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C73" w:rsidP="001D1C73" w:rsidRDefault="001D1C73" w14:paraId="6A2FA238" w14:textId="77777777">
      <w:pPr>
        <w:spacing w:after="0"/>
        <w:jc w:val="center"/>
        <w:rPr>
          <w:b/>
          <w:sz w:val="40"/>
        </w:rPr>
      </w:pPr>
    </w:p>
    <w:p w:rsidRPr="009139B3" w:rsidR="001D1C73" w:rsidP="001D1C73" w:rsidRDefault="001D1C73" w14:paraId="745202F0" w14:textId="77777777">
      <w:pPr>
        <w:pStyle w:val="ReportCover-Title"/>
        <w:jc w:val="center"/>
        <w:rPr>
          <w:rFonts w:ascii="Arial" w:hAnsi="Arial" w:eastAsia="Arial Unicode MS" w:cs="Arial"/>
          <w:noProof/>
          <w:color w:val="auto"/>
        </w:rPr>
      </w:pPr>
    </w:p>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EC75D0" w14:paraId="5C437A34" w14:textId="01AB3FBC">
      <w:pPr>
        <w:pStyle w:val="ReportCover-Title"/>
        <w:jc w:val="center"/>
        <w:rPr>
          <w:rFonts w:ascii="Arial" w:hAnsi="Arial" w:cs="Arial"/>
          <w:color w:val="auto"/>
        </w:rPr>
      </w:pPr>
      <w:r>
        <w:rPr>
          <w:rFonts w:ascii="Arial" w:hAnsi="Arial" w:eastAsia="Arial Unicode MS" w:cs="Arial"/>
          <w:noProof/>
          <w:color w:val="auto"/>
        </w:rPr>
        <w:t>2019 National Surve</w:t>
      </w:r>
      <w:r w:rsidRPr="009139B3" w:rsidR="001D1C73">
        <w:rPr>
          <w:rFonts w:ascii="Arial" w:hAnsi="Arial" w:eastAsia="Arial Unicode MS" w:cs="Arial"/>
          <w:noProof/>
          <w:color w:val="auto"/>
        </w:rPr>
        <w:t>y</w:t>
      </w:r>
      <w:r>
        <w:rPr>
          <w:rFonts w:ascii="Arial" w:hAnsi="Arial" w:eastAsia="Arial Unicode MS" w:cs="Arial"/>
          <w:noProof/>
          <w:color w:val="auto"/>
        </w:rPr>
        <w:t xml:space="preserve"> of Early Care and Education COVID-19 Follow-up</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4950F67D">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sidR="00EC75D0">
        <w:rPr>
          <w:rFonts w:ascii="Arial" w:hAnsi="Arial" w:cs="Arial"/>
          <w:color w:val="auto"/>
          <w:sz w:val="32"/>
          <w:szCs w:val="32"/>
        </w:rPr>
        <w:t>0391</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0D0729" w14:paraId="25EC0787" w14:textId="074F7F3E">
      <w:pPr>
        <w:pStyle w:val="ReportCover-Date"/>
        <w:spacing w:after="0"/>
        <w:jc w:val="center"/>
        <w:rPr>
          <w:rFonts w:ascii="Arial" w:hAnsi="Arial" w:cs="Arial"/>
          <w:color w:val="auto"/>
        </w:rPr>
      </w:pPr>
      <w:r>
        <w:rPr>
          <w:rFonts w:ascii="Arial" w:hAnsi="Arial" w:cs="Arial"/>
          <w:color w:val="auto"/>
        </w:rPr>
        <w:t>Octo</w:t>
      </w:r>
      <w:r w:rsidR="00EC75D0">
        <w:rPr>
          <w:rFonts w:ascii="Arial" w:hAnsi="Arial" w:cs="Arial"/>
          <w:color w:val="auto"/>
        </w:rPr>
        <w:t>ber 2020</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proofErr w:type="gramStart"/>
      <w:r w:rsidRPr="009139B3">
        <w:rPr>
          <w:rFonts w:ascii="Arial" w:hAnsi="Arial" w:cs="Arial"/>
        </w:rPr>
        <w:t>4</w:t>
      </w:r>
      <w:r w:rsidRPr="009139B3">
        <w:rPr>
          <w:rFonts w:ascii="Arial" w:hAnsi="Arial" w:cs="Arial"/>
          <w:vertAlign w:val="superscript"/>
        </w:rPr>
        <w:t>th</w:t>
      </w:r>
      <w:proofErr w:type="gramEnd"/>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2DB3F5C6">
      <w:pPr>
        <w:spacing w:after="0" w:line="240" w:lineRule="auto"/>
        <w:jc w:val="center"/>
        <w:rPr>
          <w:rFonts w:ascii="Arial" w:hAnsi="Arial" w:cs="Arial"/>
        </w:rPr>
      </w:pPr>
      <w:r w:rsidRPr="009139B3">
        <w:rPr>
          <w:rFonts w:ascii="Arial" w:hAnsi="Arial" w:cs="Arial"/>
        </w:rPr>
        <w:t>Project Officers:</w:t>
      </w:r>
      <w:r w:rsidR="00EC75D0">
        <w:rPr>
          <w:rFonts w:ascii="Arial" w:hAnsi="Arial" w:cs="Arial"/>
        </w:rPr>
        <w:t xml:space="preserve"> Ivelisse Martinez-Beck and Ann Rivera</w:t>
      </w:r>
      <w:r w:rsidR="0022308B">
        <w:rPr>
          <w:rFonts w:ascii="Arial" w:hAnsi="Arial" w:cs="Arial"/>
        </w:rPr>
        <w:t xml:space="preserve"> </w:t>
      </w:r>
    </w:p>
    <w:p w:rsidRPr="009139B3" w:rsidR="001D1C73" w:rsidP="00BD129A" w:rsidRDefault="001D1C73" w14:paraId="7819D4D9" w14:textId="77777777">
      <w:pPr>
        <w:spacing w:after="0"/>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1D1C73" w:rsidRDefault="001D1C73" w14:paraId="61404D3D" w14:textId="7D7D8B97">
      <w:pPr>
        <w:pStyle w:val="ListParagraph"/>
        <w:numPr>
          <w:ilvl w:val="0"/>
          <w:numId w:val="27"/>
        </w:numPr>
        <w:spacing w:after="0" w:line="240" w:lineRule="auto"/>
      </w:pPr>
      <w:r w:rsidRPr="009139B3">
        <w:rPr>
          <w:b/>
        </w:rPr>
        <w:t xml:space="preserve">Type of Request: </w:t>
      </w:r>
      <w:r w:rsidRPr="009139B3">
        <w:t xml:space="preserve">This Information Collection Request is for a </w:t>
      </w:r>
      <w:r w:rsidR="00BD129A">
        <w:t>reinstatement with changes to a previously approved information collection (OMB #0970-0391, previously titled, “The 2019 National Survey of Early Care and Education (2019 NSECE): The Household, Provider, and Workforce Surveys”).</w:t>
      </w:r>
      <w:r w:rsidR="00EC75D0">
        <w:t xml:space="preserve"> </w:t>
      </w:r>
      <w:r w:rsidRPr="009139B3">
        <w:t xml:space="preserve">We are requesting </w:t>
      </w:r>
      <w:r w:rsidR="00731BA9">
        <w:t>one</w:t>
      </w:r>
      <w:r w:rsidR="00EC75D0">
        <w:t xml:space="preserve"> </w:t>
      </w:r>
      <w:r w:rsidRPr="009139B3">
        <w:t xml:space="preserve">year of approval. </w:t>
      </w:r>
    </w:p>
    <w:p w:rsidRPr="009139B3" w:rsidR="001D1C73" w:rsidP="001D1C73" w:rsidRDefault="001D1C73" w14:paraId="7AE0042F" w14:textId="77777777">
      <w:pPr>
        <w:spacing w:after="0" w:line="240" w:lineRule="auto"/>
      </w:pPr>
    </w:p>
    <w:p w:rsidR="001D1C73" w:rsidP="00CA7AFA" w:rsidRDefault="001D1C73" w14:paraId="427148C8" w14:textId="128D7A0B">
      <w:pPr>
        <w:pStyle w:val="ListParagraph"/>
        <w:numPr>
          <w:ilvl w:val="0"/>
          <w:numId w:val="27"/>
        </w:numPr>
        <w:spacing w:after="0" w:line="240" w:lineRule="auto"/>
      </w:pPr>
      <w:r w:rsidRPr="00CA7AFA">
        <w:rPr>
          <w:b/>
        </w:rPr>
        <w:t xml:space="preserve">Progress to Date: </w:t>
      </w:r>
      <w:r w:rsidR="00EC75D0">
        <w:t>Data collection for the 2019 NSECE ended in July 2019, as scheduled.  Participants include</w:t>
      </w:r>
      <w:r w:rsidR="00731BA9">
        <w:t>d</w:t>
      </w:r>
      <w:r w:rsidR="00983449">
        <w:t xml:space="preserve"> 11</w:t>
      </w:r>
      <w:r w:rsidR="00EC75D0">
        <w:t xml:space="preserve">,000 center-based or home-based early care and education </w:t>
      </w:r>
      <w:r w:rsidR="00A7124D">
        <w:t xml:space="preserve">(ECE) </w:t>
      </w:r>
      <w:r w:rsidR="00EC75D0">
        <w:t xml:space="preserve">providers, and 5,000 </w:t>
      </w:r>
      <w:r w:rsidR="00F02C87">
        <w:t>workforce members from center-based providers</w:t>
      </w:r>
      <w:r w:rsidR="00EC75D0">
        <w:t xml:space="preserve">, as well as 8,000 households with children under age 13. Data are currently being </w:t>
      </w:r>
      <w:proofErr w:type="gramStart"/>
      <w:r w:rsidR="00EC75D0">
        <w:t>analyzed</w:t>
      </w:r>
      <w:proofErr w:type="gramEnd"/>
      <w:r w:rsidR="00EC75D0">
        <w:t xml:space="preserve"> and released.  </w:t>
      </w:r>
    </w:p>
    <w:p w:rsidRPr="009139B3" w:rsidR="00946276" w:rsidP="00983449" w:rsidRDefault="00946276" w14:paraId="588FBBA8" w14:textId="77777777">
      <w:pPr>
        <w:pStyle w:val="ListParagraph"/>
        <w:spacing w:after="0" w:line="240" w:lineRule="auto"/>
      </w:pPr>
    </w:p>
    <w:p w:rsidRPr="009139B3" w:rsidR="001D1C73" w:rsidP="001D1C73" w:rsidRDefault="001D1C73" w14:paraId="0F01F21B" w14:textId="2A238678">
      <w:pPr>
        <w:pStyle w:val="ListParagraph"/>
        <w:numPr>
          <w:ilvl w:val="0"/>
          <w:numId w:val="27"/>
        </w:numPr>
        <w:spacing w:after="0" w:line="240" w:lineRule="auto"/>
      </w:pPr>
      <w:r w:rsidRPr="009139B3">
        <w:rPr>
          <w:b/>
        </w:rPr>
        <w:t xml:space="preserve">Timeline: </w:t>
      </w:r>
      <w:r w:rsidR="00731BA9">
        <w:t xml:space="preserve">One additional year of approval </w:t>
      </w:r>
      <w:proofErr w:type="gramStart"/>
      <w:r w:rsidR="00731BA9">
        <w:t>is</w:t>
      </w:r>
      <w:r w:rsidR="00EC75D0">
        <w:t xml:space="preserve"> requested</w:t>
      </w:r>
      <w:proofErr w:type="gramEnd"/>
      <w:r w:rsidR="00EC75D0">
        <w:t xml:space="preserve"> to field two additional waves of data collection from early care and education providers and workforce members to understand their experience of the COVID-19 pandemic.</w:t>
      </w:r>
    </w:p>
    <w:p w:rsidRPr="009139B3" w:rsidR="001D1C73" w:rsidP="001D1C73" w:rsidRDefault="001D1C73" w14:paraId="58B1BA4B" w14:textId="77777777">
      <w:pPr>
        <w:spacing w:after="0" w:line="240" w:lineRule="auto"/>
      </w:pPr>
    </w:p>
    <w:p w:rsidRPr="009139B3" w:rsidR="001D1C73" w:rsidP="001D1C73" w:rsidRDefault="001D1C73" w14:paraId="3544A9D6" w14:textId="33DC9A28">
      <w:pPr>
        <w:pStyle w:val="ListParagraph"/>
        <w:numPr>
          <w:ilvl w:val="0"/>
          <w:numId w:val="27"/>
        </w:numPr>
        <w:spacing w:after="0" w:line="240" w:lineRule="auto"/>
        <w:rPr>
          <w:rStyle w:val="CommentReference"/>
          <w:b/>
          <w:sz w:val="22"/>
          <w:szCs w:val="22"/>
        </w:rPr>
      </w:pPr>
      <w:r w:rsidRPr="009139B3">
        <w:rPr>
          <w:b/>
        </w:rPr>
        <w:t>Previous Terms of Clearance:</w:t>
      </w:r>
      <w:r w:rsidR="00A7124D">
        <w:rPr>
          <w:b/>
        </w:rPr>
        <w:t xml:space="preserve"> </w:t>
      </w:r>
      <w:r w:rsidRPr="00983449" w:rsidR="00A7124D">
        <w:t>None.</w:t>
      </w:r>
    </w:p>
    <w:p w:rsidRPr="009139B3" w:rsidR="001D1C73" w:rsidP="001D1C73" w:rsidRDefault="001D1C73" w14:paraId="2634415F" w14:textId="77777777">
      <w:pPr>
        <w:spacing w:after="0" w:line="240" w:lineRule="auto"/>
        <w:rPr>
          <w:rStyle w:val="CommentReference"/>
          <w:b/>
          <w:sz w:val="22"/>
          <w:szCs w:val="22"/>
        </w:rPr>
      </w:pPr>
    </w:p>
    <w:p w:rsidRPr="00CA7AFA" w:rsidR="00A7124D" w:rsidP="00CA7AFA" w:rsidRDefault="001D1C73" w14:paraId="3112B564" w14:textId="3278AD94">
      <w:pPr>
        <w:pStyle w:val="ListParagraph"/>
        <w:numPr>
          <w:ilvl w:val="0"/>
          <w:numId w:val="27"/>
        </w:numPr>
        <w:spacing w:after="0"/>
        <w:rPr>
          <w:rFonts w:cs="Calibri"/>
        </w:rPr>
      </w:pPr>
      <w:r w:rsidRPr="009139B3">
        <w:rPr>
          <w:b/>
        </w:rPr>
        <w:t xml:space="preserve">Summary of changes requested: </w:t>
      </w:r>
      <w:r w:rsidRPr="00CA7AFA" w:rsidR="00A7124D">
        <w:rPr>
          <w:rFonts w:cs="Calibri"/>
        </w:rPr>
        <w:t xml:space="preserve">Two waves of longitudinal data collection </w:t>
      </w:r>
      <w:proofErr w:type="gramStart"/>
      <w:r w:rsidRPr="00CA7AFA" w:rsidR="00A7124D">
        <w:rPr>
          <w:rFonts w:cs="Calibri"/>
        </w:rPr>
        <w:t>are proposed</w:t>
      </w:r>
      <w:proofErr w:type="gramEnd"/>
      <w:r w:rsidRPr="00CA7AFA" w:rsidR="00A7124D">
        <w:rPr>
          <w:rFonts w:cs="Calibri"/>
        </w:rPr>
        <w:t xml:space="preserve"> for providers and workforce members </w:t>
      </w:r>
      <w:r w:rsidRPr="00CA7AFA" w:rsidR="000D0729">
        <w:rPr>
          <w:rFonts w:cs="Calibri"/>
        </w:rPr>
        <w:t xml:space="preserve">who </w:t>
      </w:r>
      <w:r w:rsidRPr="00CA7AFA" w:rsidR="00A7124D">
        <w:rPr>
          <w:rFonts w:cs="Calibri"/>
        </w:rPr>
        <w:t>complet</w:t>
      </w:r>
      <w:r w:rsidRPr="00CA7AFA" w:rsidR="000D0729">
        <w:rPr>
          <w:rFonts w:cs="Calibri"/>
        </w:rPr>
        <w:t>ed</w:t>
      </w:r>
      <w:r w:rsidRPr="00CA7AFA" w:rsidR="00A7124D">
        <w:rPr>
          <w:rFonts w:cs="Calibri"/>
        </w:rPr>
        <w:t xml:space="preserve"> interviews in the 2019 NSECE. Using characteristics of sample members from the 2019 NSECE, the collected data will allow nationally-representative descriptions of the impact of the COVID-19 pandemic on the nation’s ECE supply as of 2019 and the individuals who were working to provide that supply in 2019.</w:t>
      </w:r>
    </w:p>
    <w:p w:rsidR="00A7124D" w:rsidP="001D1C73" w:rsidRDefault="00A7124D" w14:paraId="35C59465" w14:textId="77777777">
      <w:pPr>
        <w:pStyle w:val="ListParagraph"/>
        <w:spacing w:after="0"/>
        <w:rPr>
          <w:rFonts w:cs="Calibri"/>
        </w:rPr>
      </w:pPr>
    </w:p>
    <w:p w:rsidRPr="009139B3" w:rsidR="001D1C73" w:rsidP="00B5413A" w:rsidRDefault="001D1C73" w14:paraId="3D729D59" w14:textId="0170E036">
      <w:pPr>
        <w:pStyle w:val="ListParagraph"/>
        <w:tabs>
          <w:tab w:val="left" w:pos="2160"/>
        </w:tabs>
        <w:spacing w:after="0"/>
      </w:pPr>
      <w:r w:rsidRPr="009139B3">
        <w:rPr>
          <w:rFonts w:cs="Calibri"/>
        </w:rPr>
        <w:t xml:space="preserve">We do not intend for this information to </w:t>
      </w:r>
      <w:proofErr w:type="gramStart"/>
      <w:r w:rsidRPr="009139B3">
        <w:rPr>
          <w:rFonts w:cs="Calibri"/>
        </w:rPr>
        <w:t>be used</w:t>
      </w:r>
      <w:proofErr w:type="gramEnd"/>
      <w:r w:rsidRPr="009139B3">
        <w:rPr>
          <w:rFonts w:cs="Calibri"/>
        </w:rPr>
        <w:t xml:space="preserve"> as the principal basis for public policy decisions.</w:t>
      </w:r>
    </w:p>
    <w:p w:rsidRPr="009139B3" w:rsidR="001D1C73" w:rsidP="00BD129A" w:rsidRDefault="001D1C73" w14:paraId="685C9784" w14:textId="2416A558">
      <w:pPr>
        <w:pStyle w:val="ListParagraph"/>
        <w:spacing w:after="0"/>
      </w:pPr>
    </w:p>
    <w:p w:rsidRPr="009139B3" w:rsidR="001D1C73" w:rsidP="00CA7AFA" w:rsidRDefault="001D1C73" w14:paraId="7CF70A12" w14:textId="2411DA85">
      <w:pPr>
        <w:pStyle w:val="ListParagraph"/>
        <w:numPr>
          <w:ilvl w:val="0"/>
          <w:numId w:val="27"/>
        </w:numPr>
        <w:spacing w:after="0" w:line="240" w:lineRule="auto"/>
      </w:pPr>
      <w:r w:rsidRPr="00CA7AFA">
        <w:rPr>
          <w:b/>
        </w:rPr>
        <w:t xml:space="preserve">Time Sensitivity: </w:t>
      </w:r>
      <w:r w:rsidR="00A7124D">
        <w:t xml:space="preserve">Data collection approval </w:t>
      </w:r>
      <w:proofErr w:type="gramStart"/>
      <w:r w:rsidR="00A7124D">
        <w:t>is requested</w:t>
      </w:r>
      <w:proofErr w:type="gramEnd"/>
      <w:r w:rsidR="00A7124D">
        <w:t xml:space="preserve"> by November 1, 2020, so that timely data collection can take place during and in the immediate aftermath of the pandemic emergency.</w:t>
      </w:r>
      <w:r w:rsidR="00546671">
        <w:t xml:space="preserve"> Moreover, as delays occur in data collection launch, we anticipate increased difficulties in reaching sampled providers and workforce members as contact information becomes invalid due to pandemic-induced changes in employment, residence, and financial ability to maintain phone numbers and internet access.</w:t>
      </w:r>
    </w:p>
    <w:p w:rsidR="001D1C73" w:rsidP="001D1C73" w:rsidRDefault="001D1C73" w14:paraId="2C4A3F63" w14:textId="3297A683">
      <w:pPr>
        <w:spacing w:after="0" w:line="240" w:lineRule="auto"/>
      </w:pPr>
    </w:p>
    <w:p w:rsidR="00CA7AFA" w:rsidP="001D1C73" w:rsidRDefault="00CA7AFA" w14:paraId="7EDBCB60" w14:textId="15823CE8">
      <w:pPr>
        <w:spacing w:after="0" w:line="240" w:lineRule="auto"/>
      </w:pPr>
    </w:p>
    <w:p w:rsidR="00CA7AFA" w:rsidP="001D1C73" w:rsidRDefault="00CA7AFA" w14:paraId="40675285" w14:textId="5945A42C">
      <w:pPr>
        <w:spacing w:after="0" w:line="240" w:lineRule="auto"/>
      </w:pPr>
    </w:p>
    <w:p w:rsidR="00CA7AFA" w:rsidP="001D1C73" w:rsidRDefault="00CA7AFA" w14:paraId="5FB8249E" w14:textId="40CA68E0">
      <w:pPr>
        <w:spacing w:after="0" w:line="240" w:lineRule="auto"/>
      </w:pPr>
    </w:p>
    <w:p w:rsidR="00CA7AFA" w:rsidP="001D1C73" w:rsidRDefault="00CA7AFA" w14:paraId="3026268D" w14:textId="7707231B">
      <w:pPr>
        <w:spacing w:after="0" w:line="240" w:lineRule="auto"/>
      </w:pPr>
    </w:p>
    <w:p w:rsidRPr="009139B3" w:rsidR="00CA7AFA" w:rsidP="001D1C73" w:rsidRDefault="00CA7AFA" w14:paraId="67DAB91E" w14:textId="77777777">
      <w:pPr>
        <w:spacing w:after="0" w:line="240" w:lineRule="auto"/>
      </w:pPr>
    </w:p>
    <w:p w:rsidRPr="009139B3" w:rsidR="001D1C73" w:rsidP="001D1C73" w:rsidRDefault="001D1C73" w14:paraId="376E93B4" w14:textId="77777777">
      <w:pPr>
        <w:spacing w:after="120" w:line="240" w:lineRule="auto"/>
      </w:pPr>
      <w:r w:rsidRPr="009139B3">
        <w:rPr>
          <w:b/>
        </w:rPr>
        <w:lastRenderedPageBreak/>
        <w:t>A1</w:t>
      </w:r>
      <w:r w:rsidRPr="009139B3">
        <w:t>.</w:t>
      </w:r>
      <w:r w:rsidRPr="009139B3">
        <w:tab/>
      </w:r>
      <w:r w:rsidRPr="009139B3">
        <w:rPr>
          <w:b/>
        </w:rPr>
        <w:t>Necessity for Collection</w:t>
      </w:r>
      <w:r w:rsidRPr="009139B3">
        <w:t xml:space="preserve"> </w:t>
      </w:r>
    </w:p>
    <w:p w:rsidR="0062346D" w:rsidP="0062346D" w:rsidRDefault="0062346D" w14:paraId="4CFAB2D0" w14:textId="425CEF64">
      <w:pPr>
        <w:rPr>
          <w:szCs w:val="24"/>
        </w:rPr>
      </w:pPr>
      <w:r>
        <w:rPr>
          <w:rFonts w:cstheme="minorHAnsi"/>
        </w:rPr>
        <w:t xml:space="preserve">There are no legal or administrative requirements that necessitate this collection. ACF is undertaking the collection at the discretion of the agency. </w:t>
      </w:r>
      <w:proofErr w:type="gramStart"/>
      <w:r>
        <w:rPr>
          <w:rFonts w:cstheme="minorHAnsi"/>
        </w:rPr>
        <w:t xml:space="preserve">ACF seeks approval for information collection (IC) activities as part of their effort to better understand how the COVID-19 pandemic is affecting early care and education (ECE) supply and workforce through </w:t>
      </w:r>
      <w:r>
        <w:rPr>
          <w:szCs w:val="24"/>
        </w:rPr>
        <w:t xml:space="preserve">a COVID-focused follow-up IC of the 2019 National Survey of Early Care and Education’s sampled ECE programs and workforce (2019 NSECE; OMB </w:t>
      </w:r>
      <w:r w:rsidRPr="0062346D">
        <w:rPr>
          <w:szCs w:val="24"/>
        </w:rPr>
        <w:t># 0970-0391), sponsored by the Office of Planning, Research, and Evaluation, Administration for Childr</w:t>
      </w:r>
      <w:r>
        <w:rPr>
          <w:szCs w:val="24"/>
        </w:rPr>
        <w:t>en &amp; Families (ACF), U.S. Department of Health and Human Services (HHS).</w:t>
      </w:r>
      <w:proofErr w:type="gramEnd"/>
      <w:r>
        <w:rPr>
          <w:szCs w:val="24"/>
        </w:rPr>
        <w:t xml:space="preserve"> </w:t>
      </w:r>
      <w:r>
        <w:t xml:space="preserve">A follow-up study using the NSECE sample offers a unique opportunity to answer questions about the effect of the pandemic on ECE as it is nationally representative of all sectors of the ECE system, and offers recent pre-pandemic data that </w:t>
      </w:r>
      <w:proofErr w:type="gramStart"/>
      <w:r>
        <w:t>could be used</w:t>
      </w:r>
      <w:proofErr w:type="gramEnd"/>
      <w:r>
        <w:t xml:space="preserve"> for pre- and post-pandemic comparisons. </w:t>
      </w:r>
    </w:p>
    <w:p w:rsidRPr="009139B3" w:rsidR="001D1C73" w:rsidP="00CA7AFA" w:rsidRDefault="0062346D" w14:paraId="3706DD4E" w14:textId="0D1066BF">
      <w:r>
        <w:rPr>
          <w:szCs w:val="24"/>
        </w:rPr>
        <w:t xml:space="preserve">The 2012 and 2019 NSECE surveys provided the first national portrait of demand for and supply of ECE in 20 years. </w:t>
      </w:r>
      <w:r>
        <w:t xml:space="preserve">In March 2020, about a year after the 2019 NSECE data </w:t>
      </w:r>
      <w:proofErr w:type="gramStart"/>
      <w:r>
        <w:t>were collected</w:t>
      </w:r>
      <w:proofErr w:type="gramEnd"/>
      <w:r>
        <w:t xml:space="preserve"> (January-June 2019), the COVID-19 pandemic struck the United States. The pandemic has dramatically affected the ECE system: some states mandated closures of all ECEs except those providing emergency care to essential workers; all ECEs have different policies and operating procedures to support worker and child safety; and, multiple funding streams have emerged to help ECEs weather closures and additional costs during the pandemic</w:t>
      </w:r>
      <w:r>
        <w:rPr>
          <w:rStyle w:val="FootnoteReference"/>
        </w:rPr>
        <w:footnoteReference w:id="1"/>
      </w:r>
      <w:r>
        <w:t xml:space="preserve">. Data is needed to identify these changes to the ECE system and their effects, including how many and which providers were able to access financial assistance, and the impact of this assistance on the program’s capacity and quality. Americans rely on ECE to work. Thus, a functional ECE system is critical to our country’s economic recovery. There is a need for policy makers, researchers, and practitioners </w:t>
      </w:r>
      <w:proofErr w:type="gramStart"/>
      <w:r>
        <w:t>to better understand</w:t>
      </w:r>
      <w:proofErr w:type="gramEnd"/>
      <w:r>
        <w:t xml:space="preserve"> how the pandemic is affecting ECEs to better support the ECE workforce and families during and after the pandemic.</w:t>
      </w: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Pr="009139B3" w:rsidR="001D1C73" w:rsidP="001D1C73" w:rsidRDefault="00B0690D" w14:paraId="5D584897" w14:textId="213F2A03">
      <w:pPr>
        <w:spacing w:after="0" w:line="240" w:lineRule="auto"/>
        <w:rPr>
          <w:rFonts w:cs="Calibri"/>
        </w:rPr>
      </w:pPr>
      <w:r>
        <w:rPr>
          <w:rFonts w:cs="Calibri"/>
        </w:rPr>
        <w:t>The COVID-19 pandemic has had an enormous impact on the early care and education sector, although consistent, representative data are not avail</w:t>
      </w:r>
      <w:r w:rsidR="00AB0687">
        <w:rPr>
          <w:rFonts w:cs="Calibri"/>
        </w:rPr>
        <w:t xml:space="preserve">able that impact.  The NSECE COVID-19 Follow-up data will provide consistent and representative data to ACF for better understanding how the pandemic has affected providers and workforce members, how the ECE supply available to families may have changed, and how providers and workforce members might better be supported in future </w:t>
      </w:r>
      <w:proofErr w:type="gramStart"/>
      <w:r w:rsidR="00AB0687">
        <w:rPr>
          <w:rFonts w:cs="Calibri"/>
        </w:rPr>
        <w:t>emergency situations</w:t>
      </w:r>
      <w:proofErr w:type="gramEnd"/>
      <w:r w:rsidR="00AB0687">
        <w:rPr>
          <w:rFonts w:cs="Calibri"/>
        </w:rPr>
        <w:t xml:space="preserve">. </w:t>
      </w:r>
      <w:r w:rsidRPr="009139B3" w:rsidR="001D1C73">
        <w:rPr>
          <w:rFonts w:cs="Calibri"/>
        </w:rPr>
        <w:t xml:space="preserve">The information collected </w:t>
      </w:r>
      <w:proofErr w:type="gramStart"/>
      <w:r w:rsidRPr="009139B3" w:rsidR="001D1C73">
        <w:rPr>
          <w:rFonts w:cs="Calibri"/>
        </w:rPr>
        <w:t>is meant</w:t>
      </w:r>
      <w:proofErr w:type="gramEnd"/>
      <w:r w:rsidRPr="009139B3" w:rsidR="001D1C73">
        <w:rPr>
          <w:rFonts w:cs="Calibri"/>
        </w:rPr>
        <w:t xml:space="preserve"> to contribute to the body of knowledge on ACF programs. It </w:t>
      </w:r>
      <w:proofErr w:type="gramStart"/>
      <w:r w:rsidRPr="009139B3" w:rsidR="001D1C73">
        <w:rPr>
          <w:rFonts w:cs="Calibri"/>
        </w:rPr>
        <w:t>is not intended to be used</w:t>
      </w:r>
      <w:proofErr w:type="gramEnd"/>
      <w:r w:rsidRPr="009139B3" w:rsidR="001D1C73">
        <w:rPr>
          <w:rFonts w:cs="Calibri"/>
        </w:rPr>
        <w:t xml:space="preserve"> as the principal basis for a decision by a federal decision-maker, and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001D1C73" w:rsidP="001D1C73" w:rsidRDefault="001D1C73" w14:paraId="6F0BE561" w14:textId="77777777">
      <w:pPr>
        <w:spacing w:after="60" w:line="240" w:lineRule="auto"/>
        <w:rPr>
          <w:i/>
        </w:rPr>
      </w:pPr>
      <w:r w:rsidRPr="009139B3">
        <w:rPr>
          <w:i/>
        </w:rPr>
        <w:t>Research Questions or Tests</w:t>
      </w:r>
    </w:p>
    <w:p w:rsidRPr="00983449" w:rsidR="00DE12AB" w:rsidP="001D1C73" w:rsidRDefault="00DE12AB" w14:paraId="23F1B5B1" w14:textId="40CD5B95">
      <w:pPr>
        <w:spacing w:after="60" w:line="240" w:lineRule="auto"/>
      </w:pPr>
      <w:r>
        <w:t xml:space="preserve">The NSECE COVID-19 Follow-up </w:t>
      </w:r>
      <w:proofErr w:type="gramStart"/>
      <w:r>
        <w:t>is designed</w:t>
      </w:r>
      <w:proofErr w:type="gramEnd"/>
      <w:r>
        <w:t xml:space="preserve"> to address the research questions</w:t>
      </w:r>
      <w:r w:rsidR="0067342D">
        <w:t xml:space="preserve"> listed below. </w:t>
      </w:r>
    </w:p>
    <w:p w:rsidRPr="00EF1EBC" w:rsidR="00DE12AB" w:rsidP="00DE12AB" w:rsidRDefault="00DE12AB" w14:paraId="75038AD3" w14:textId="67EE3314">
      <w:pPr>
        <w:autoSpaceDE w:val="0"/>
        <w:autoSpaceDN w:val="0"/>
        <w:adjustRightInd w:val="0"/>
        <w:spacing w:before="240" w:after="0" w:line="240" w:lineRule="auto"/>
        <w:rPr>
          <w:rFonts w:cstheme="minorHAnsi"/>
        </w:rPr>
      </w:pPr>
    </w:p>
    <w:p w:rsidR="00794605" w:rsidP="001D1C73" w:rsidRDefault="00794605" w14:paraId="1D036808" w14:textId="77777777">
      <w:pPr>
        <w:spacing w:after="60" w:line="240" w:lineRule="auto"/>
        <w:rPr>
          <w:i/>
        </w:rPr>
      </w:pPr>
    </w:p>
    <w:p w:rsidR="001D1C73" w:rsidP="001D1C73" w:rsidRDefault="001D1C73" w14:paraId="51121746" w14:textId="0AEF6507">
      <w:pPr>
        <w:spacing w:after="60" w:line="240" w:lineRule="auto"/>
        <w:rPr>
          <w:i/>
        </w:rPr>
      </w:pPr>
      <w:r w:rsidRPr="009139B3">
        <w:rPr>
          <w:i/>
        </w:rPr>
        <w:t>Study Design</w:t>
      </w:r>
    </w:p>
    <w:p w:rsidR="001D1C73" w:rsidP="00314C42" w:rsidRDefault="00640B0E" w14:paraId="3E13AED3" w14:textId="47CA5B7B">
      <w:pPr>
        <w:spacing w:after="60" w:line="240" w:lineRule="auto"/>
      </w:pPr>
      <w:r>
        <w:t>We propose two longitudinal waves following-up the nationally</w:t>
      </w:r>
      <w:r w:rsidR="00CA7AFA">
        <w:t xml:space="preserve"> </w:t>
      </w:r>
      <w:r>
        <w:t xml:space="preserve">representative samples achieved in the 2019 NSECE of center-based ECE providers, </w:t>
      </w:r>
      <w:r w:rsidR="00794605">
        <w:t xml:space="preserve">paid </w:t>
      </w:r>
      <w:r>
        <w:t>home-based ECE providers, and classroom-assigned center-based workers</w:t>
      </w:r>
      <w:r w:rsidR="00D22570">
        <w:rPr>
          <w:i/>
        </w:rPr>
        <w:t xml:space="preserve">.  </w:t>
      </w:r>
      <w:r w:rsidR="00D22570">
        <w:t xml:space="preserve">The resulting data will document the experiences of ECE providers during the COVID-19 pandemic.  Center-based ECE providers operated by school districts requiring review of research protocols </w:t>
      </w:r>
      <w:proofErr w:type="gramStart"/>
      <w:r w:rsidR="00D22570">
        <w:t xml:space="preserve">will not </w:t>
      </w:r>
      <w:r w:rsidR="00794605">
        <w:t xml:space="preserve">be </w:t>
      </w:r>
      <w:r w:rsidR="00D22570">
        <w:t>fielded</w:t>
      </w:r>
      <w:proofErr w:type="gramEnd"/>
      <w:r w:rsidR="00D22570">
        <w:t>, due to time constraints</w:t>
      </w:r>
      <w:r w:rsidR="00794605">
        <w:t xml:space="preserve"> in securing approval</w:t>
      </w:r>
      <w:r w:rsidR="00D22570">
        <w:t xml:space="preserve">; publicly available administrative data will be sought to represent these centers where available.  NSECE COVID Follow-up data will describe the pandemic experiences of providers active in 2019. To the extent that new providers have entered ECE provision since spring 2019, these providers </w:t>
      </w:r>
      <w:proofErr w:type="gramStart"/>
      <w:r w:rsidR="00D22570">
        <w:t>will not be described</w:t>
      </w:r>
      <w:proofErr w:type="gramEnd"/>
      <w:r w:rsidR="00D22570">
        <w:t xml:space="preserve"> by the collected Follow-up data.</w:t>
      </w:r>
    </w:p>
    <w:p w:rsidR="00314C42" w:rsidP="00314C42" w:rsidRDefault="00314C42" w14:paraId="620269A5" w14:textId="77777777">
      <w:pPr>
        <w:spacing w:after="60" w:line="240" w:lineRule="auto"/>
        <w:rPr>
          <w:i/>
        </w:rPr>
      </w:pPr>
    </w:p>
    <w:p w:rsidRPr="00314C42" w:rsidR="00B159EE" w:rsidP="00314C42" w:rsidRDefault="00B159EE" w14:paraId="4A9AB24D" w14:textId="47EEF452">
      <w:pPr>
        <w:spacing w:after="60" w:line="240" w:lineRule="auto"/>
      </w:pPr>
      <w:r>
        <w:t>Exhibit A1. Key Features of Proposed Data Collection Activities</w:t>
      </w:r>
    </w:p>
    <w:tbl>
      <w:tblPr>
        <w:tblStyle w:val="TableGrid"/>
        <w:tblW w:w="9355" w:type="dxa"/>
        <w:tblInd w:w="0" w:type="dxa"/>
        <w:tblLook w:val="04A0" w:firstRow="1" w:lastRow="0" w:firstColumn="1" w:lastColumn="0" w:noHBand="0" w:noVBand="1"/>
      </w:tblPr>
      <w:tblGrid>
        <w:gridCol w:w="1615"/>
        <w:gridCol w:w="1501"/>
        <w:gridCol w:w="4439"/>
        <w:gridCol w:w="1800"/>
      </w:tblGrid>
      <w:tr w:rsidRPr="009139B3" w:rsidR="00731BA9" w:rsidTr="00731BA9" w14:paraId="2E1DFAB3" w14:textId="77777777">
        <w:tc>
          <w:tcPr>
            <w:tcW w:w="1615" w:type="dxa"/>
            <w:shd w:val="clear" w:color="auto" w:fill="BFBFBF" w:themeFill="background1" w:themeFillShade="BF"/>
          </w:tcPr>
          <w:p w:rsidRPr="00731BA9" w:rsidR="00731BA9" w:rsidP="000D582C" w:rsidRDefault="00731BA9" w14:paraId="247C701C" w14:textId="77777777">
            <w:pPr>
              <w:rPr>
                <w:rFonts w:asciiTheme="minorHAnsi" w:hAnsiTheme="minorHAnsi" w:cstheme="minorHAnsi"/>
                <w:i/>
              </w:rPr>
            </w:pPr>
            <w:r w:rsidRPr="00731BA9">
              <w:rPr>
                <w:rFonts w:asciiTheme="minorHAnsi" w:hAnsiTheme="minorHAnsi" w:cstheme="minorHAnsi"/>
                <w:i/>
              </w:rPr>
              <w:t>Data Collection Activity</w:t>
            </w:r>
          </w:p>
        </w:tc>
        <w:tc>
          <w:tcPr>
            <w:tcW w:w="1501" w:type="dxa"/>
            <w:shd w:val="clear" w:color="auto" w:fill="BFBFBF" w:themeFill="background1" w:themeFillShade="BF"/>
          </w:tcPr>
          <w:p w:rsidRPr="00731BA9" w:rsidR="00731BA9" w:rsidP="000D582C" w:rsidRDefault="00731BA9" w14:paraId="54E59C9D" w14:textId="77777777">
            <w:pPr>
              <w:rPr>
                <w:rFonts w:asciiTheme="minorHAnsi" w:hAnsiTheme="minorHAnsi" w:cstheme="minorHAnsi"/>
                <w:i/>
              </w:rPr>
            </w:pPr>
            <w:r w:rsidRPr="00731BA9">
              <w:rPr>
                <w:rFonts w:asciiTheme="minorHAnsi" w:hAnsiTheme="minorHAnsi" w:cstheme="minorHAnsi"/>
                <w:i/>
              </w:rPr>
              <w:t>Instrument(s)</w:t>
            </w:r>
          </w:p>
        </w:tc>
        <w:tc>
          <w:tcPr>
            <w:tcW w:w="4439" w:type="dxa"/>
            <w:shd w:val="clear" w:color="auto" w:fill="BFBFBF" w:themeFill="background1" w:themeFillShade="BF"/>
          </w:tcPr>
          <w:p w:rsidRPr="00731BA9" w:rsidR="00731BA9" w:rsidP="000D582C" w:rsidRDefault="00731BA9" w14:paraId="07B626F4" w14:textId="77777777">
            <w:pPr>
              <w:rPr>
                <w:rFonts w:asciiTheme="minorHAnsi" w:hAnsiTheme="minorHAnsi" w:cstheme="minorHAnsi"/>
                <w:i/>
              </w:rPr>
            </w:pPr>
            <w:r w:rsidRPr="00731BA9">
              <w:rPr>
                <w:rFonts w:asciiTheme="minorHAnsi" w:hAnsiTheme="minorHAnsi" w:cstheme="minorHAnsi"/>
                <w:i/>
              </w:rPr>
              <w:t>Respondent, Content, Purpose of Collection</w:t>
            </w:r>
          </w:p>
        </w:tc>
        <w:tc>
          <w:tcPr>
            <w:tcW w:w="1800" w:type="dxa"/>
            <w:shd w:val="clear" w:color="auto" w:fill="BFBFBF" w:themeFill="background1" w:themeFillShade="BF"/>
          </w:tcPr>
          <w:p w:rsidRPr="009139B3" w:rsidR="00731BA9" w:rsidP="000D582C" w:rsidRDefault="00731BA9" w14:paraId="7201120A" w14:textId="77777777">
            <w:pPr>
              <w:rPr>
                <w:rFonts w:asciiTheme="minorHAnsi" w:hAnsiTheme="minorHAnsi" w:cstheme="minorHAnsi"/>
                <w:i/>
              </w:rPr>
            </w:pPr>
            <w:r w:rsidRPr="00731BA9">
              <w:rPr>
                <w:rFonts w:asciiTheme="minorHAnsi" w:hAnsiTheme="minorHAnsi" w:cstheme="minorHAnsi"/>
                <w:i/>
              </w:rPr>
              <w:t>Mode and Duration</w:t>
            </w:r>
          </w:p>
        </w:tc>
      </w:tr>
      <w:tr w:rsidRPr="009139B3" w:rsidR="00E4189F" w:rsidTr="00731BA9" w14:paraId="4FA2C4D6" w14:textId="77777777">
        <w:tc>
          <w:tcPr>
            <w:tcW w:w="1615" w:type="dxa"/>
          </w:tcPr>
          <w:p w:rsidR="00E4189F" w:rsidP="00E4189F" w:rsidRDefault="00E4189F" w14:paraId="7F0183F0" w14:textId="26DF4AD9">
            <w:pPr>
              <w:rPr>
                <w:rFonts w:cstheme="minorHAnsi"/>
              </w:rPr>
            </w:pPr>
            <w:r>
              <w:rPr>
                <w:rFonts w:asciiTheme="minorHAnsi" w:hAnsiTheme="minorHAnsi" w:cstheme="minorHAnsi"/>
              </w:rPr>
              <w:t>Home-based Provider Survey</w:t>
            </w:r>
          </w:p>
        </w:tc>
        <w:tc>
          <w:tcPr>
            <w:tcW w:w="1501" w:type="dxa"/>
          </w:tcPr>
          <w:p w:rsidR="00E4189F" w:rsidP="00E4189F" w:rsidRDefault="00E4189F" w14:paraId="782F9714" w14:textId="5F47373A">
            <w:pPr>
              <w:rPr>
                <w:rFonts w:cstheme="minorHAnsi"/>
              </w:rPr>
            </w:pPr>
            <w:r>
              <w:rPr>
                <w:rFonts w:asciiTheme="minorHAnsi" w:hAnsiTheme="minorHAnsi" w:cstheme="minorHAnsi"/>
              </w:rPr>
              <w:t>Home-based Provider Questionnaire, Wave 1 and Wave 2</w:t>
            </w:r>
          </w:p>
        </w:tc>
        <w:tc>
          <w:tcPr>
            <w:tcW w:w="4439" w:type="dxa"/>
          </w:tcPr>
          <w:p w:rsidRPr="009139B3" w:rsidR="00E4189F" w:rsidP="00E4189F" w:rsidRDefault="00E4189F" w14:paraId="4A1EA873"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paid home-based providers who participated in the 2019 NSECE</w:t>
            </w:r>
          </w:p>
          <w:p w:rsidRPr="009139B3" w:rsidR="00E4189F" w:rsidP="00E4189F" w:rsidRDefault="00E4189F" w14:paraId="153131B3" w14:textId="77777777">
            <w:pPr>
              <w:rPr>
                <w:rFonts w:asciiTheme="minorHAnsi" w:hAnsiTheme="minorHAnsi" w:cstheme="minorHAnsi"/>
              </w:rPr>
            </w:pPr>
          </w:p>
          <w:p w:rsidRPr="009139B3" w:rsidR="00E4189F" w:rsidP="00E4189F" w:rsidRDefault="00E4189F" w14:paraId="1B4C656A"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Pr>
                <w:rFonts w:asciiTheme="minorHAnsi" w:hAnsiTheme="minorHAnsi" w:cstheme="minorHAnsi"/>
              </w:rPr>
              <w:t>Employment calendar, experience with pandemic programs, ECE practices during reference period, ECE status during focal week, current personal situation</w:t>
            </w:r>
          </w:p>
          <w:p w:rsidRPr="009139B3" w:rsidR="00E4189F" w:rsidP="00E4189F" w:rsidRDefault="00E4189F" w14:paraId="5CDB4EA0" w14:textId="77777777">
            <w:pPr>
              <w:rPr>
                <w:rFonts w:asciiTheme="minorHAnsi" w:hAnsiTheme="minorHAnsi" w:cstheme="minorHAnsi"/>
              </w:rPr>
            </w:pPr>
          </w:p>
          <w:p w:rsidRPr="009139B3" w:rsidR="00E4189F" w:rsidP="00E4189F" w:rsidRDefault="00E4189F" w14:paraId="54C3D512" w14:textId="6464360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Understand center practices and statuses since March 2020, as well as personal impact on providers</w:t>
            </w:r>
          </w:p>
        </w:tc>
        <w:tc>
          <w:tcPr>
            <w:tcW w:w="1800" w:type="dxa"/>
          </w:tcPr>
          <w:p w:rsidRPr="009139B3" w:rsidR="00E4189F" w:rsidP="00E4189F" w:rsidRDefault="00E4189F" w14:paraId="73798594"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web, with phone as needed</w:t>
            </w:r>
          </w:p>
          <w:p w:rsidRPr="009139B3" w:rsidR="00E4189F" w:rsidP="00E4189F" w:rsidRDefault="00E4189F" w14:paraId="18067335" w14:textId="77777777">
            <w:pPr>
              <w:rPr>
                <w:rFonts w:asciiTheme="minorHAnsi" w:hAnsiTheme="minorHAnsi" w:cstheme="minorHAnsi"/>
              </w:rPr>
            </w:pPr>
          </w:p>
          <w:p w:rsidRPr="009139B3" w:rsidR="00E4189F" w:rsidP="00E4189F" w:rsidRDefault="00E4189F" w14:paraId="77D208A6" w14:textId="4A7E7638">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20 minutes </w:t>
            </w:r>
          </w:p>
        </w:tc>
      </w:tr>
      <w:tr w:rsidRPr="009139B3" w:rsidR="00E4189F" w:rsidTr="00731BA9" w14:paraId="766E390F" w14:textId="77777777">
        <w:tc>
          <w:tcPr>
            <w:tcW w:w="1615" w:type="dxa"/>
          </w:tcPr>
          <w:p w:rsidRPr="009139B3" w:rsidR="00E4189F" w:rsidP="00E4189F" w:rsidRDefault="00E4189F" w14:paraId="344F254D" w14:textId="7B2832D0">
            <w:pPr>
              <w:rPr>
                <w:rFonts w:asciiTheme="minorHAnsi" w:hAnsiTheme="minorHAnsi" w:cstheme="minorHAnsi"/>
              </w:rPr>
            </w:pPr>
            <w:r>
              <w:rPr>
                <w:rFonts w:asciiTheme="minorHAnsi" w:hAnsiTheme="minorHAnsi" w:cstheme="minorHAnsi"/>
              </w:rPr>
              <w:t>Center-based Provider Survey</w:t>
            </w:r>
          </w:p>
        </w:tc>
        <w:tc>
          <w:tcPr>
            <w:tcW w:w="1501" w:type="dxa"/>
          </w:tcPr>
          <w:p w:rsidRPr="009139B3" w:rsidR="00E4189F" w:rsidP="00E4189F" w:rsidRDefault="00E4189F" w14:paraId="5B56CD9E" w14:textId="34FD1E5E">
            <w:pPr>
              <w:rPr>
                <w:rFonts w:asciiTheme="minorHAnsi" w:hAnsiTheme="minorHAnsi" w:cstheme="minorHAnsi"/>
              </w:rPr>
            </w:pPr>
            <w:r>
              <w:rPr>
                <w:rFonts w:asciiTheme="minorHAnsi" w:hAnsiTheme="minorHAnsi" w:cstheme="minorHAnsi"/>
              </w:rPr>
              <w:t>Center-based Provider Questionnaires, Wave 1 and Wave 2</w:t>
            </w:r>
          </w:p>
        </w:tc>
        <w:tc>
          <w:tcPr>
            <w:tcW w:w="4439" w:type="dxa"/>
          </w:tcPr>
          <w:p w:rsidRPr="009139B3" w:rsidR="00E4189F" w:rsidP="00E4189F" w:rsidRDefault="00E4189F" w14:paraId="4C5E5EDA"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center-based providers who participated in the 2019 NSECE</w:t>
            </w:r>
          </w:p>
          <w:p w:rsidRPr="009139B3" w:rsidR="00E4189F" w:rsidP="00E4189F" w:rsidRDefault="00E4189F" w14:paraId="5B69BC91" w14:textId="77777777">
            <w:pPr>
              <w:rPr>
                <w:rFonts w:asciiTheme="minorHAnsi" w:hAnsiTheme="minorHAnsi" w:cstheme="minorHAnsi"/>
              </w:rPr>
            </w:pPr>
          </w:p>
          <w:p w:rsidRPr="009139B3" w:rsidR="00E4189F" w:rsidP="00E4189F" w:rsidRDefault="00E4189F" w14:paraId="0273EBAF"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Pr>
                <w:rFonts w:asciiTheme="minorHAnsi" w:hAnsiTheme="minorHAnsi" w:cstheme="minorHAnsi"/>
              </w:rPr>
              <w:t>Care status calendar, experience with pandemic programs, ECE practices during reference period, ECE status during focal week</w:t>
            </w:r>
          </w:p>
          <w:p w:rsidRPr="009139B3" w:rsidR="00E4189F" w:rsidP="00E4189F" w:rsidRDefault="00E4189F" w14:paraId="3425465B" w14:textId="77777777">
            <w:pPr>
              <w:rPr>
                <w:rFonts w:asciiTheme="minorHAnsi" w:hAnsiTheme="minorHAnsi" w:cstheme="minorHAnsi"/>
              </w:rPr>
            </w:pPr>
          </w:p>
          <w:p w:rsidRPr="009139B3" w:rsidR="00E4189F" w:rsidP="00E4189F" w:rsidRDefault="00E4189F" w14:paraId="000EA28E" w14:textId="1508EA3B">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Understand center practices and statuses since March 2020</w:t>
            </w:r>
          </w:p>
        </w:tc>
        <w:tc>
          <w:tcPr>
            <w:tcW w:w="1800" w:type="dxa"/>
          </w:tcPr>
          <w:p w:rsidRPr="009139B3" w:rsidR="00E4189F" w:rsidP="00E4189F" w:rsidRDefault="00E4189F" w14:paraId="51D388BD"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web, with phone as needed</w:t>
            </w:r>
          </w:p>
          <w:p w:rsidRPr="009139B3" w:rsidR="00E4189F" w:rsidP="00E4189F" w:rsidRDefault="00E4189F" w14:paraId="3B31ACB4" w14:textId="77777777">
            <w:pPr>
              <w:rPr>
                <w:rFonts w:asciiTheme="minorHAnsi" w:hAnsiTheme="minorHAnsi" w:cstheme="minorHAnsi"/>
              </w:rPr>
            </w:pPr>
          </w:p>
          <w:p w:rsidRPr="009139B3" w:rsidR="00E4189F" w:rsidP="00E4189F" w:rsidRDefault="00E4189F" w14:paraId="2CAFFC49" w14:textId="7BBB3A65">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20 minutes </w:t>
            </w:r>
          </w:p>
        </w:tc>
      </w:tr>
      <w:tr w:rsidRPr="009139B3" w:rsidR="00E4189F" w:rsidTr="00731BA9" w14:paraId="023821DF" w14:textId="77777777">
        <w:tc>
          <w:tcPr>
            <w:tcW w:w="1615" w:type="dxa"/>
          </w:tcPr>
          <w:p w:rsidRPr="00E4189F" w:rsidR="00E4189F" w:rsidP="00E4189F" w:rsidRDefault="00E4189F" w14:paraId="7D8FEBA8" w14:textId="77777777">
            <w:pPr>
              <w:rPr>
                <w:rFonts w:asciiTheme="minorHAnsi" w:hAnsiTheme="minorHAnsi" w:cstheme="minorHAnsi"/>
              </w:rPr>
            </w:pPr>
            <w:r w:rsidRPr="00E4189F">
              <w:rPr>
                <w:rFonts w:asciiTheme="minorHAnsi" w:hAnsiTheme="minorHAnsi" w:cstheme="minorHAnsi"/>
              </w:rPr>
              <w:t>Workforce Survey</w:t>
            </w:r>
          </w:p>
        </w:tc>
        <w:tc>
          <w:tcPr>
            <w:tcW w:w="1501" w:type="dxa"/>
          </w:tcPr>
          <w:p w:rsidRPr="009139B3" w:rsidR="00E4189F" w:rsidP="00E4189F" w:rsidRDefault="00E4189F" w14:paraId="15508BF0" w14:textId="77777777">
            <w:pPr>
              <w:rPr>
                <w:rFonts w:cstheme="minorHAnsi"/>
              </w:rPr>
            </w:pPr>
            <w:r>
              <w:rPr>
                <w:rFonts w:asciiTheme="minorHAnsi" w:hAnsiTheme="minorHAnsi" w:cstheme="minorHAnsi"/>
              </w:rPr>
              <w:t>Center-based Worker Questionnaire, Wave 1 and Wave 2</w:t>
            </w:r>
          </w:p>
        </w:tc>
        <w:tc>
          <w:tcPr>
            <w:tcW w:w="4439" w:type="dxa"/>
          </w:tcPr>
          <w:p w:rsidRPr="009139B3" w:rsidR="00E4189F" w:rsidP="00E4189F" w:rsidRDefault="00E4189F" w14:paraId="4E152C0F" w14:textId="6F008402">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center-based workers who participated in the 2019 NSECE</w:t>
            </w:r>
          </w:p>
          <w:p w:rsidRPr="009139B3" w:rsidR="00E4189F" w:rsidP="00E4189F" w:rsidRDefault="00E4189F" w14:paraId="1D482C4B" w14:textId="77777777">
            <w:pPr>
              <w:rPr>
                <w:rFonts w:asciiTheme="minorHAnsi" w:hAnsiTheme="minorHAnsi" w:cstheme="minorHAnsi"/>
              </w:rPr>
            </w:pPr>
          </w:p>
          <w:p w:rsidRPr="009139B3" w:rsidR="00E4189F" w:rsidP="00E4189F" w:rsidRDefault="00E4189F" w14:paraId="74D801D9"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Pr>
                <w:rFonts w:asciiTheme="minorHAnsi" w:hAnsiTheme="minorHAnsi" w:cstheme="minorHAnsi"/>
              </w:rPr>
              <w:t>Employment calendar, ECE practices during reference period, ECE status during focal week, current personal situation</w:t>
            </w:r>
          </w:p>
          <w:p w:rsidRPr="009139B3" w:rsidR="00E4189F" w:rsidP="00E4189F" w:rsidRDefault="00E4189F" w14:paraId="1DCBE269" w14:textId="77777777">
            <w:pPr>
              <w:rPr>
                <w:rFonts w:asciiTheme="minorHAnsi" w:hAnsiTheme="minorHAnsi" w:cstheme="minorHAnsi"/>
              </w:rPr>
            </w:pPr>
          </w:p>
          <w:p w:rsidRPr="00560F3E" w:rsidR="00E4189F" w:rsidP="00E4189F" w:rsidRDefault="00E4189F" w14:paraId="31B9A44C" w14:textId="28330285">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Understand ECE professional experiences and personal impact on ECE workers since March 2020</w:t>
            </w:r>
          </w:p>
        </w:tc>
        <w:tc>
          <w:tcPr>
            <w:tcW w:w="1800" w:type="dxa"/>
          </w:tcPr>
          <w:p w:rsidRPr="009139B3" w:rsidR="00E4189F" w:rsidP="00E4189F" w:rsidRDefault="00E4189F" w14:paraId="39E0BC65"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web, with phone as needed</w:t>
            </w:r>
          </w:p>
          <w:p w:rsidRPr="009139B3" w:rsidR="00E4189F" w:rsidP="00E4189F" w:rsidRDefault="00E4189F" w14:paraId="7DA83EC9" w14:textId="77777777">
            <w:pPr>
              <w:rPr>
                <w:rFonts w:asciiTheme="minorHAnsi" w:hAnsiTheme="minorHAnsi" w:cstheme="minorHAnsi"/>
              </w:rPr>
            </w:pPr>
          </w:p>
          <w:p w:rsidRPr="009139B3" w:rsidR="00E4189F" w:rsidP="00E4189F" w:rsidRDefault="00E4189F" w14:paraId="3A7DABE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20 minutes</w:t>
            </w:r>
          </w:p>
        </w:tc>
      </w:tr>
    </w:tbl>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008E023B" w:rsidP="001D1C73" w:rsidRDefault="00BC5000" w14:paraId="1F6DC6E1" w14:textId="77777777">
      <w:pPr>
        <w:spacing w:after="0" w:line="240" w:lineRule="auto"/>
      </w:pPr>
      <w:r>
        <w:lastRenderedPageBreak/>
        <w:t xml:space="preserve">The most important additional data sources will be the 2019 NSECE data, which will provide the baseline pre-pandemic conditions for participating sample members, as well as the basis for assessing any non-response bias.  In addition, the 2012 and 2019 NSECE analyses and data files have linked to tract-level data from the Census Bureau’s American Community Survey for community-level contextual information, for example, on community poverty density and </w:t>
      </w:r>
      <w:proofErr w:type="spellStart"/>
      <w:r>
        <w:t>urbanicity</w:t>
      </w:r>
      <w:proofErr w:type="spellEnd"/>
      <w:r w:rsidR="008E023B">
        <w:t xml:space="preserve">.  We plan to make use of school districts’ administrative data to gather information for centers that </w:t>
      </w:r>
      <w:proofErr w:type="gramStart"/>
      <w:r w:rsidR="008E023B">
        <w:t>cannot be fielded</w:t>
      </w:r>
      <w:proofErr w:type="gramEnd"/>
      <w:r w:rsidR="008E023B">
        <w:t xml:space="preserve"> due to research review requirements.  </w:t>
      </w:r>
    </w:p>
    <w:p w:rsidRPr="009139B3" w:rsidR="001D1C73" w:rsidP="001D1C73" w:rsidRDefault="008E023B" w14:paraId="10B217EA" w14:textId="5B435B5A">
      <w:pPr>
        <w:spacing w:after="0" w:line="240" w:lineRule="auto"/>
      </w:pPr>
      <w:r>
        <w:t xml:space="preserve">Additional linkages to publicly available data may be undertaken by secondary data analysts to understand how pandemic conditions such as local infection rates or emergency </w:t>
      </w:r>
      <w:proofErr w:type="gramStart"/>
      <w:r>
        <w:t>child care</w:t>
      </w:r>
      <w:proofErr w:type="gramEnd"/>
      <w:r>
        <w:t xml:space="preserve"> licensing rules may have affected workers or programs. </w:t>
      </w:r>
    </w:p>
    <w:p w:rsidRPr="009139B3" w:rsidR="001D1C73" w:rsidP="001D1C73" w:rsidRDefault="001D1C73" w14:paraId="1B4C1958"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9139B3" w:rsidR="00A7124D" w:rsidP="00314C42" w:rsidRDefault="00A7124D" w14:paraId="7A134B5E" w14:textId="0D01C190">
      <w:pPr>
        <w:spacing w:after="0" w:line="240" w:lineRule="auto"/>
      </w:pPr>
      <w:r>
        <w:t xml:space="preserve">Data collection </w:t>
      </w:r>
      <w:proofErr w:type="gramStart"/>
      <w:r>
        <w:t>is proposed</w:t>
      </w:r>
      <w:proofErr w:type="gramEnd"/>
      <w:r>
        <w:t xml:space="preserve"> using web-based interviewing, which allows respondents to complete the interview at their own convenience and with minimum contact with contractor data collection staff.  Self-administration times are generally shorter than interviewer-administered administration times due to faster silent reading ability of most adults, so web-based interviews </w:t>
      </w:r>
      <w:proofErr w:type="gramStart"/>
      <w:r>
        <w:t>are expected</w:t>
      </w:r>
      <w:proofErr w:type="gramEnd"/>
      <w:r>
        <w:t xml:space="preserve"> to reduce burden relative to interviewer administration.  We also propose to use responses from prior interviews, administrative data sources, and programming within the instrument to minimize burden. The proposed approach minimizes cost to the government, maximizes respondent flexibility and convenience, and reduces processing time to provide data to the agency and research community.</w:t>
      </w:r>
    </w:p>
    <w:p w:rsidRPr="009139B3" w:rsidR="001D1C73" w:rsidP="00CA7AFA" w:rsidRDefault="001D1C73" w14:paraId="381FEAAD" w14:textId="33CB0E9F">
      <w:pPr>
        <w:spacing w:after="0" w:line="240" w:lineRule="auto"/>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314C42" w:rsidR="0062346D" w:rsidP="0062346D" w:rsidRDefault="0062346D" w14:paraId="54152146" w14:textId="77777777">
      <w:pPr>
        <w:spacing w:after="0" w:line="240" w:lineRule="auto"/>
        <w:rPr>
          <w:rFonts w:cstheme="minorHAnsi"/>
        </w:rPr>
      </w:pPr>
      <w:r w:rsidRPr="00314C42">
        <w:rPr>
          <w:rFonts w:cstheme="minorHAnsi"/>
        </w:rPr>
        <w:t xml:space="preserve">Every effort </w:t>
      </w:r>
      <w:proofErr w:type="gramStart"/>
      <w:r w:rsidRPr="00314C42">
        <w:rPr>
          <w:rFonts w:cstheme="minorHAnsi"/>
        </w:rPr>
        <w:t>has been made</w:t>
      </w:r>
      <w:proofErr w:type="gramEnd"/>
      <w:r w:rsidRPr="00314C42">
        <w:rPr>
          <w:rFonts w:cstheme="minorHAnsi"/>
        </w:rPr>
        <w:t xml:space="preserve"> to determine whether similar research and information exists by searching existing data and reports, and in consultation with federal staff. As part of these efforts, the study team reviewed reports and other published resources that specifically focus on the impacts of COVID-19 on ECEs. Reports were found for 23 states as well as from </w:t>
      </w:r>
      <w:proofErr w:type="gramStart"/>
      <w:r w:rsidRPr="00314C42">
        <w:rPr>
          <w:rFonts w:cstheme="minorHAnsi"/>
        </w:rPr>
        <w:t>three</w:t>
      </w:r>
      <w:proofErr w:type="gramEnd"/>
      <w:r w:rsidRPr="00314C42">
        <w:rPr>
          <w:rFonts w:cstheme="minorHAnsi"/>
        </w:rPr>
        <w:t xml:space="preserve"> private organizations that conducted multi-state surveys.</w:t>
      </w:r>
    </w:p>
    <w:p w:rsidRPr="00314C42" w:rsidR="0062346D" w:rsidP="0062346D" w:rsidRDefault="0062346D" w14:paraId="49AA68CC" w14:textId="77777777">
      <w:pPr>
        <w:spacing w:after="0" w:line="240" w:lineRule="auto"/>
        <w:rPr>
          <w:rFonts w:cstheme="minorHAnsi"/>
        </w:rPr>
      </w:pPr>
    </w:p>
    <w:p w:rsidRPr="00314C42" w:rsidR="0062346D" w:rsidP="0062346D" w:rsidRDefault="0062346D" w14:paraId="2983494E" w14:textId="77777777">
      <w:pPr>
        <w:spacing w:after="0" w:line="240" w:lineRule="auto"/>
        <w:rPr>
          <w:rFonts w:cstheme="minorHAnsi"/>
        </w:rPr>
      </w:pPr>
      <w:r w:rsidRPr="00314C42">
        <w:rPr>
          <w:rFonts w:cstheme="minorHAnsi"/>
        </w:rPr>
        <w:t xml:space="preserve">Several state and three national surveys </w:t>
      </w:r>
      <w:proofErr w:type="gramStart"/>
      <w:r w:rsidRPr="00314C42">
        <w:rPr>
          <w:rFonts w:cstheme="minorHAnsi"/>
        </w:rPr>
        <w:t>have been conducted</w:t>
      </w:r>
      <w:proofErr w:type="gramEnd"/>
      <w:r w:rsidRPr="00314C42">
        <w:rPr>
          <w:rFonts w:cstheme="minorHAnsi"/>
        </w:rPr>
        <w:t xml:space="preserve"> to identify the impact of COVID-19 on early care and education in the U.S. These include both household surveys, which primarily focus on identifying families’ needs and preferences for </w:t>
      </w:r>
      <w:proofErr w:type="gramStart"/>
      <w:r w:rsidRPr="00314C42">
        <w:rPr>
          <w:rFonts w:cstheme="minorHAnsi"/>
        </w:rPr>
        <w:t>child care</w:t>
      </w:r>
      <w:proofErr w:type="gramEnd"/>
      <w:r w:rsidRPr="00314C42">
        <w:rPr>
          <w:rFonts w:cstheme="minorHAnsi"/>
        </w:rPr>
        <w:t xml:space="preserve"> in light of COVID-19; and provider surveys, which primarily focus on the impact of COVID-19 on program closures and financial needs. </w:t>
      </w:r>
    </w:p>
    <w:p w:rsidRPr="00314C42" w:rsidR="0062346D" w:rsidP="0062346D" w:rsidRDefault="0062346D" w14:paraId="2C9FFE18" w14:textId="77777777">
      <w:pPr>
        <w:spacing w:after="0" w:line="240" w:lineRule="auto"/>
        <w:rPr>
          <w:rFonts w:cstheme="minorHAnsi"/>
        </w:rPr>
      </w:pPr>
    </w:p>
    <w:p w:rsidRPr="00314C42" w:rsidR="0062346D" w:rsidP="0062346D" w:rsidRDefault="0062346D" w14:paraId="10E3A082" w14:textId="77777777">
      <w:pPr>
        <w:spacing w:after="0" w:line="240" w:lineRule="auto"/>
        <w:rPr>
          <w:rFonts w:cstheme="minorHAnsi"/>
        </w:rPr>
      </w:pPr>
      <w:r w:rsidRPr="00314C42">
        <w:rPr>
          <w:rFonts w:cstheme="minorHAnsi"/>
        </w:rPr>
        <w:t xml:space="preserve">Though extant data sets provide useful information, they also leave multiple gaps in our knowledge base on the impact of COVID-19 on early care and education (ECE) programs and the ECE workforce.  First, existing data from national organizations, such as the National Association for the Education of Young Children, LENA and the National Association of Family Child Care Providers, and from each of the 23 states with published reports use </w:t>
      </w:r>
      <w:proofErr w:type="gramStart"/>
      <w:r w:rsidRPr="00314C42">
        <w:rPr>
          <w:rFonts w:cstheme="minorHAnsi"/>
        </w:rPr>
        <w:t>convenience sampling</w:t>
      </w:r>
      <w:proofErr w:type="gramEnd"/>
      <w:r w:rsidRPr="00314C42">
        <w:rPr>
          <w:rFonts w:cstheme="minorHAnsi"/>
        </w:rPr>
        <w:t xml:space="preserve"> procedures via web-based surveys. This sampling technique favors data from motivated providers and </w:t>
      </w:r>
      <w:proofErr w:type="gramStart"/>
      <w:r w:rsidRPr="00314C42">
        <w:rPr>
          <w:rFonts w:cstheme="minorHAnsi"/>
        </w:rPr>
        <w:t>cannot be assumed</w:t>
      </w:r>
      <w:proofErr w:type="gramEnd"/>
      <w:r w:rsidRPr="00314C42">
        <w:rPr>
          <w:rFonts w:cstheme="minorHAnsi"/>
        </w:rPr>
        <w:t xml:space="preserve"> to yield representative data. Second, the data collected tend to focus on a limited number of topics and do not include much, if any, information on members of the ECE workforce or the impact of COVID-19 on the quality of care offered and educational practices used in ECE settings.</w:t>
      </w:r>
    </w:p>
    <w:p w:rsidRPr="00314C42" w:rsidR="0062346D" w:rsidP="0062346D" w:rsidRDefault="0062346D" w14:paraId="07916123" w14:textId="77777777">
      <w:pPr>
        <w:spacing w:after="0" w:line="240" w:lineRule="auto"/>
        <w:rPr>
          <w:rFonts w:cstheme="minorHAnsi"/>
        </w:rPr>
      </w:pPr>
    </w:p>
    <w:p w:rsidRPr="00314C42" w:rsidR="0062346D" w:rsidP="0062346D" w:rsidRDefault="0062346D" w14:paraId="6F48413F" w14:textId="77777777">
      <w:pPr>
        <w:spacing w:after="0" w:line="240" w:lineRule="auto"/>
        <w:rPr>
          <w:rFonts w:cstheme="minorHAnsi"/>
        </w:rPr>
      </w:pPr>
      <w:r w:rsidRPr="00314C42">
        <w:rPr>
          <w:rFonts w:cstheme="minorHAnsi"/>
        </w:rPr>
        <w:t xml:space="preserve">A COVID follow-up on the 2019 NSECE differs from existing studies in several important ways: </w:t>
      </w:r>
    </w:p>
    <w:p w:rsidRPr="00314C42" w:rsidR="0062346D" w:rsidP="0062346D" w:rsidRDefault="0062346D" w14:paraId="41FBFD4E" w14:textId="77777777">
      <w:pPr>
        <w:spacing w:after="0" w:line="240" w:lineRule="auto"/>
        <w:rPr>
          <w:rFonts w:cstheme="minorHAnsi"/>
        </w:rPr>
      </w:pPr>
    </w:p>
    <w:p w:rsidRPr="00314C42" w:rsidR="0062346D" w:rsidP="0062346D" w:rsidRDefault="0062346D" w14:paraId="7B317711" w14:textId="01D5365E">
      <w:pPr>
        <w:pStyle w:val="ListParagraph"/>
        <w:numPr>
          <w:ilvl w:val="0"/>
          <w:numId w:val="43"/>
        </w:numPr>
        <w:spacing w:after="0" w:line="240" w:lineRule="auto"/>
        <w:rPr>
          <w:rFonts w:cstheme="minorHAnsi"/>
        </w:rPr>
      </w:pPr>
      <w:r w:rsidRPr="00314C42">
        <w:rPr>
          <w:rFonts w:cstheme="minorHAnsi"/>
          <w:b/>
          <w:bCs/>
        </w:rPr>
        <w:lastRenderedPageBreak/>
        <w:t xml:space="preserve">A 2019 COVID follow-up of the 2019 NSECE would allow for the reliable comparison of pre- and post-pandemic data. </w:t>
      </w:r>
      <w:r w:rsidRPr="00314C42">
        <w:rPr>
          <w:rFonts w:cstheme="minorHAnsi"/>
        </w:rPr>
        <w:t xml:space="preserve">The 2019 NSECE provider surveys </w:t>
      </w:r>
      <w:proofErr w:type="gramStart"/>
      <w:r w:rsidRPr="00314C42">
        <w:rPr>
          <w:rFonts w:cstheme="minorHAnsi"/>
        </w:rPr>
        <w:t>were fielded</w:t>
      </w:r>
      <w:proofErr w:type="gramEnd"/>
      <w:r w:rsidRPr="00314C42">
        <w:rPr>
          <w:rFonts w:cstheme="minorHAnsi"/>
        </w:rPr>
        <w:t xml:space="preserve"> in January-June of 20</w:t>
      </w:r>
      <w:r w:rsidR="00E45738">
        <w:rPr>
          <w:rFonts w:cstheme="minorHAnsi"/>
        </w:rPr>
        <w:t>19</w:t>
      </w:r>
      <w:r w:rsidRPr="00314C42">
        <w:rPr>
          <w:rFonts w:cstheme="minorHAnsi"/>
        </w:rPr>
        <w:t xml:space="preserve">, yielding recent comprehensive and nationally representative data on center- and home-based ECE programs as well as members of the ECE workforce. A COVID follow-up survey would allow for comparisons of the availability and usage of </w:t>
      </w:r>
      <w:proofErr w:type="gramStart"/>
      <w:r w:rsidRPr="00314C42">
        <w:rPr>
          <w:rFonts w:cstheme="minorHAnsi"/>
        </w:rPr>
        <w:t>child care</w:t>
      </w:r>
      <w:proofErr w:type="gramEnd"/>
      <w:r w:rsidRPr="00314C42">
        <w:rPr>
          <w:rFonts w:cstheme="minorHAnsi"/>
        </w:rPr>
        <w:t xml:space="preserve">, dimensions of quality, and educational practices by type of care pre- and post-pandemic.   </w:t>
      </w:r>
    </w:p>
    <w:p w:rsidRPr="00314C42" w:rsidR="0062346D" w:rsidP="0062346D" w:rsidRDefault="0062346D" w14:paraId="33B1D04C" w14:textId="77777777">
      <w:pPr>
        <w:pStyle w:val="ListParagraph"/>
        <w:numPr>
          <w:ilvl w:val="0"/>
          <w:numId w:val="43"/>
        </w:numPr>
        <w:spacing w:after="0" w:line="240" w:lineRule="auto"/>
        <w:rPr>
          <w:rFonts w:cstheme="minorHAnsi"/>
        </w:rPr>
      </w:pPr>
      <w:r w:rsidRPr="00314C42">
        <w:rPr>
          <w:rFonts w:cstheme="minorHAnsi"/>
          <w:b/>
          <w:bCs/>
        </w:rPr>
        <w:t xml:space="preserve">A 2019 COVID follow-up of the 2019 NSECE would provide </w:t>
      </w:r>
      <w:proofErr w:type="gramStart"/>
      <w:r w:rsidRPr="00314C42">
        <w:rPr>
          <w:rFonts w:cstheme="minorHAnsi"/>
          <w:b/>
          <w:bCs/>
        </w:rPr>
        <w:t>nationally-representative</w:t>
      </w:r>
      <w:proofErr w:type="gramEnd"/>
      <w:r w:rsidRPr="00314C42">
        <w:rPr>
          <w:rFonts w:cstheme="minorHAnsi"/>
          <w:b/>
          <w:bCs/>
        </w:rPr>
        <w:t xml:space="preserve"> data of the impact of the pandemic on ECE. </w:t>
      </w:r>
      <w:r w:rsidRPr="00314C42">
        <w:rPr>
          <w:rFonts w:cstheme="minorHAnsi"/>
        </w:rPr>
        <w:t>A COVID follow-up of the 2019 NSECE survey would also provide a nationally representative picture of the impact of the pandemic on early care and education, which would serve to contextualize and situate smaller state surveys.</w:t>
      </w:r>
    </w:p>
    <w:p w:rsidRPr="00314C42" w:rsidR="0062346D" w:rsidP="0062346D" w:rsidRDefault="0062346D" w14:paraId="4790B6AC" w14:textId="77777777">
      <w:pPr>
        <w:pStyle w:val="ListParagraph"/>
        <w:numPr>
          <w:ilvl w:val="0"/>
          <w:numId w:val="43"/>
        </w:numPr>
        <w:spacing w:after="0" w:line="240" w:lineRule="auto"/>
        <w:rPr>
          <w:rFonts w:cstheme="minorHAnsi"/>
        </w:rPr>
      </w:pPr>
      <w:r w:rsidRPr="00314C42">
        <w:rPr>
          <w:rFonts w:cstheme="minorHAnsi"/>
          <w:b/>
          <w:bCs/>
        </w:rPr>
        <w:t xml:space="preserve">A 2019 COVID follow-up of the 2019 NSECE would survey multiple sectors of providers. </w:t>
      </w:r>
      <w:r w:rsidRPr="00314C42">
        <w:rPr>
          <w:rFonts w:cstheme="minorHAnsi"/>
        </w:rPr>
        <w:t xml:space="preserve">The 2019 NSECE collects data from providers across all sectors of ECE (informal home-based providers, licensed home-based providers, and center-based including Head Start, pre-K, and community-based ECE). This is in contrast to existing surveys that have targeted solely one or two sectors of ECE (e.g., just community-based centers and/or family </w:t>
      </w:r>
      <w:proofErr w:type="gramStart"/>
      <w:r w:rsidRPr="00314C42">
        <w:rPr>
          <w:rFonts w:cstheme="minorHAnsi"/>
        </w:rPr>
        <w:t>child care</w:t>
      </w:r>
      <w:proofErr w:type="gramEnd"/>
      <w:r w:rsidRPr="00314C42">
        <w:rPr>
          <w:rFonts w:cstheme="minorHAnsi"/>
        </w:rPr>
        <w:t xml:space="preserve"> providers). Having pre- and post-pandemic data from providers in each of these sectors would allow for analyses of shifts in the workforce (e.g., from center- to home-based care).  </w:t>
      </w:r>
    </w:p>
    <w:p w:rsidRPr="00314C42" w:rsidR="0062346D" w:rsidP="0062346D" w:rsidRDefault="0062346D" w14:paraId="15BCADC4" w14:textId="77777777">
      <w:pPr>
        <w:pStyle w:val="ListParagraph"/>
        <w:numPr>
          <w:ilvl w:val="0"/>
          <w:numId w:val="43"/>
        </w:numPr>
        <w:spacing w:after="0" w:line="240" w:lineRule="auto"/>
        <w:rPr>
          <w:rFonts w:cstheme="minorHAnsi"/>
        </w:rPr>
      </w:pPr>
      <w:r w:rsidRPr="00314C42">
        <w:rPr>
          <w:rFonts w:cstheme="minorHAnsi"/>
          <w:b/>
          <w:bCs/>
        </w:rPr>
        <w:t xml:space="preserve">A 2019 COVID follow-up of the 2019 NSECE would provide information on low-income families. </w:t>
      </w:r>
      <w:r w:rsidRPr="00314C42">
        <w:rPr>
          <w:rFonts w:cstheme="minorHAnsi"/>
        </w:rPr>
        <w:t>The 2019 NSECE oversampled in low-income communities. A COVID follow-up of this sample would allow researchers to explore the impact of COVID comparing high and low density poverty neighborhoods.</w:t>
      </w:r>
    </w:p>
    <w:p w:rsidRPr="00314C42" w:rsidR="0062346D" w:rsidP="0062346D" w:rsidRDefault="0062346D" w14:paraId="02630469" w14:textId="77777777">
      <w:pPr>
        <w:spacing w:after="0" w:line="240" w:lineRule="auto"/>
        <w:rPr>
          <w:rFonts w:cstheme="minorHAnsi"/>
        </w:rPr>
      </w:pPr>
    </w:p>
    <w:p w:rsidRPr="00B0699C" w:rsidR="00BE6D18" w:rsidP="00314C42" w:rsidRDefault="0062346D" w14:paraId="7AC38C6E" w14:textId="08366A79">
      <w:pPr>
        <w:spacing w:after="0" w:line="240" w:lineRule="auto"/>
        <w:rPr>
          <w:rFonts w:cstheme="minorHAnsi"/>
        </w:rPr>
      </w:pPr>
      <w:r w:rsidRPr="00314C42">
        <w:rPr>
          <w:rFonts w:cstheme="minorHAnsi"/>
          <w:bCs/>
        </w:rPr>
        <w:t xml:space="preserve">We therefore conclude that additional information beyond existing research and data </w:t>
      </w:r>
      <w:proofErr w:type="gramStart"/>
      <w:r w:rsidRPr="00314C42">
        <w:rPr>
          <w:rFonts w:cstheme="minorHAnsi"/>
          <w:bCs/>
        </w:rPr>
        <w:t>is needed</w:t>
      </w:r>
      <w:proofErr w:type="gramEnd"/>
      <w:r w:rsidRPr="00314C42">
        <w:rPr>
          <w:rFonts w:cstheme="minorHAnsi"/>
          <w:bCs/>
        </w:rPr>
        <w:t xml:space="preserve"> to better understand the impacts of COVID-19 on all sectors of ECEs across the country. </w:t>
      </w:r>
      <w:r w:rsidRPr="00314C42">
        <w:rPr>
          <w:rFonts w:cstheme="minorHAnsi"/>
        </w:rPr>
        <w:t xml:space="preserve">The study team concluded that no existing data source </w:t>
      </w:r>
      <w:proofErr w:type="gramStart"/>
      <w:r w:rsidRPr="00314C42">
        <w:rPr>
          <w:rFonts w:cstheme="minorHAnsi"/>
        </w:rPr>
        <w:t>can</w:t>
      </w:r>
      <w:proofErr w:type="gramEnd"/>
      <w:r w:rsidRPr="00314C42">
        <w:rPr>
          <w:rFonts w:cstheme="minorHAnsi"/>
        </w:rPr>
        <w:t xml:space="preserve"> provide all data needed to fully address the study’s objectives.</w:t>
      </w:r>
      <w:r w:rsidR="00B0699C">
        <w:rPr>
          <w:rFonts w:cstheme="minorHAnsi"/>
        </w:rPr>
        <w:t xml:space="preserve">  </w:t>
      </w:r>
      <w:r w:rsidR="00BE6D18">
        <w:t>We also propose to seek administrative data for school-based centers where available, rather than imposing burden on these organizations.</w:t>
      </w:r>
    </w:p>
    <w:p w:rsidRPr="009139B3" w:rsidR="001D1C73" w:rsidP="001D1C73" w:rsidRDefault="001D1C73" w14:paraId="7BD59622" w14:textId="6A6A58A5">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1D1C73" w:rsidRDefault="006B10B8" w14:paraId="69B7A867" w14:textId="6B936E84">
      <w:pPr>
        <w:spacing w:after="0" w:line="240" w:lineRule="auto"/>
      </w:pPr>
      <w:r>
        <w:t>Some ECE providers in the selected sample are small businesses. The proposed data collection approach provides flexibility in timing and mode of interview participation to minimize burden on these businesses and other respondents.</w:t>
      </w:r>
    </w:p>
    <w:p w:rsidRPr="009139B3" w:rsidR="001D1C73" w:rsidP="001D1C73" w:rsidRDefault="001D1C73" w14:paraId="45C45C0C" w14:textId="77777777">
      <w:pPr>
        <w:spacing w:after="0" w:line="240" w:lineRule="auto"/>
      </w:pPr>
    </w:p>
    <w:p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1D1C73" w:rsidP="00E97764" w:rsidRDefault="006B10B8" w14:paraId="7ECFA3F2" w14:textId="47D5A7EA">
      <w:pPr>
        <w:spacing w:after="120"/>
      </w:pPr>
      <w:proofErr w:type="gramStart"/>
      <w:r>
        <w:t>Given the extended duration of the current pandemic, a single wave of data would not be able to capture both the pandemic experience and the efforts to recover after the pandemic, both of which are critical to the agency’s information needs to support ECE providers and the availability of high-quality ECE to families for their participation in the economy a</w:t>
      </w:r>
      <w:r w:rsidR="00E97764">
        <w:t>nd their children’s development</w:t>
      </w:r>
      <w:proofErr w:type="gramEnd"/>
    </w:p>
    <w:p w:rsidRPr="009139B3" w:rsidR="00E97764" w:rsidP="00E97764" w:rsidRDefault="00E97764" w14:paraId="6A97A774" w14:textId="77777777">
      <w:pPr>
        <w:spacing w:after="12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P="001D1C73" w:rsidRDefault="001D1C73" w14:paraId="0235E4A4" w14:textId="0E4AED9A">
      <w:pPr>
        <w:spacing w:after="0" w:line="240" w:lineRule="auto"/>
        <w:rPr>
          <w:b/>
        </w:rPr>
      </w:pPr>
    </w:p>
    <w:p w:rsidR="00E97764" w:rsidP="001D1C73" w:rsidRDefault="00E97764" w14:paraId="6B89E810" w14:textId="20741962">
      <w:pPr>
        <w:spacing w:after="0" w:line="240" w:lineRule="auto"/>
        <w:rPr>
          <w:b/>
        </w:rPr>
      </w:pPr>
    </w:p>
    <w:p w:rsidR="00E97764" w:rsidP="001D1C73" w:rsidRDefault="00E97764" w14:paraId="20FE9860" w14:textId="6C9DCE2A">
      <w:pPr>
        <w:spacing w:after="0" w:line="240" w:lineRule="auto"/>
        <w:rPr>
          <w:b/>
        </w:rPr>
      </w:pPr>
    </w:p>
    <w:p w:rsidR="00E97764" w:rsidP="001D1C73" w:rsidRDefault="00E97764" w14:paraId="7CFB207C" w14:textId="354D69B7">
      <w:pPr>
        <w:spacing w:after="0" w:line="240" w:lineRule="auto"/>
        <w:rPr>
          <w:b/>
        </w:rPr>
      </w:pPr>
    </w:p>
    <w:p w:rsidRPr="009139B3" w:rsidR="00E97764" w:rsidP="001D1C73" w:rsidRDefault="00E97764" w14:paraId="75DD5BE2" w14:textId="77777777">
      <w:pPr>
        <w:spacing w:after="0" w:line="240" w:lineRule="auto"/>
        <w:rPr>
          <w:b/>
        </w:rPr>
      </w:pPr>
    </w:p>
    <w:p w:rsidRPr="009139B3" w:rsidR="001D1C73" w:rsidP="001D1C73" w:rsidRDefault="001D1C73" w14:paraId="68912205" w14:textId="77777777">
      <w:pPr>
        <w:spacing w:after="120"/>
        <w:rPr>
          <w:b/>
        </w:rPr>
      </w:pPr>
      <w:r w:rsidRPr="009139B3">
        <w:rPr>
          <w:b/>
        </w:rPr>
        <w:lastRenderedPageBreak/>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1D1C73" w:rsidRDefault="001D1C73" w14:paraId="15C2AFB4" w14:textId="3E2AF221">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CA7AFA">
        <w:t>July 30, 2020</w:t>
      </w:r>
      <w:r w:rsidRPr="009139B3">
        <w:t xml:space="preserve">, Volume </w:t>
      </w:r>
      <w:r w:rsidR="00CA7AFA">
        <w:t>85</w:t>
      </w:r>
      <w:r w:rsidRPr="009139B3">
        <w:t xml:space="preserve">, Number </w:t>
      </w:r>
      <w:r w:rsidR="00CA7AFA">
        <w:t>147</w:t>
      </w:r>
      <w:r w:rsidRPr="009139B3">
        <w:t xml:space="preserve">, page </w:t>
      </w:r>
      <w:r w:rsidR="00CA7AFA">
        <w:t>45887</w:t>
      </w:r>
      <w:r w:rsidRPr="009139B3">
        <w:t xml:space="preserve">, and provided a sixty-day period for public comment.  During the notice and comment period, </w:t>
      </w:r>
      <w:r w:rsidR="00CA7AFA">
        <w:t>two</w:t>
      </w:r>
      <w:r w:rsidRPr="009139B3">
        <w:t xml:space="preserve"> comments </w:t>
      </w:r>
      <w:proofErr w:type="gramStart"/>
      <w:r w:rsidRPr="009139B3">
        <w:t>were received</w:t>
      </w:r>
      <w:proofErr w:type="gramEnd"/>
      <w:r w:rsidRPr="009139B3">
        <w:t xml:space="preserve">, which are attached. </w:t>
      </w:r>
      <w:r w:rsidR="00B73D43">
        <w:t xml:space="preserve">In response to comments from Local Initiatives Support Corporation (LISC), we have included questions on anticipated facilities improvement needs in the Center-based and Home-based questionnaires. </w:t>
      </w:r>
      <w:r w:rsidRPr="00CA7AFA" w:rsidR="00CA7AFA">
        <w:t xml:space="preserve">We note that these questions (D27-D28 in Center-based, and D31-D32 in Home-based) have not undergone cognitive testing, so may require further adjustment prior to fielding. </w:t>
      </w:r>
      <w:proofErr w:type="gramStart"/>
      <w:r w:rsidR="00B73D43">
        <w:t>We have reviewed comments from the Center for the Study of Child Care Employment and find that the proposed questionnaires and design are consistent with their recommendations.</w:t>
      </w:r>
      <w:proofErr w:type="gramEnd"/>
    </w:p>
    <w:p w:rsidRPr="009139B3" w:rsidR="001D1C73" w:rsidP="001D1C73" w:rsidRDefault="001D1C73" w14:paraId="68DB4E07" w14:textId="77777777">
      <w:pPr>
        <w:spacing w:after="0"/>
      </w:pPr>
    </w:p>
    <w:p w:rsidRPr="009139B3" w:rsidR="001D1C73" w:rsidP="001D1C73" w:rsidRDefault="001D1C73" w14:paraId="404D40E1" w14:textId="77777777">
      <w:pPr>
        <w:pStyle w:val="Heading4"/>
        <w:spacing w:before="0"/>
        <w:rPr>
          <w:rFonts w:asciiTheme="minorHAnsi" w:hAnsiTheme="minorHAnsi" w:cstheme="minorHAnsi"/>
          <w:b w:val="0"/>
          <w:i/>
          <w:sz w:val="24"/>
          <w:szCs w:val="24"/>
        </w:rPr>
      </w:pPr>
      <w:r w:rsidRPr="009139B3">
        <w:rPr>
          <w:rFonts w:asciiTheme="minorHAnsi" w:hAnsiTheme="minorHAnsi" w:cstheme="minorHAnsi"/>
          <w:b w:val="0"/>
          <w:i/>
          <w:sz w:val="24"/>
          <w:szCs w:val="24"/>
        </w:rPr>
        <w:t>Consultation with Experts Outside of the Study</w:t>
      </w:r>
    </w:p>
    <w:p w:rsidR="00BA3FF7" w:rsidP="001D1C73" w:rsidRDefault="00BA3FF7" w14:paraId="64270199" w14:textId="77777777">
      <w:pPr>
        <w:spacing w:after="0"/>
        <w:sectPr w:rsidR="00BA3FF7" w:rsidSect="00314C42">
          <w:headerReference w:type="default" r:id="rId11"/>
          <w:footerReference w:type="default" r:id="rId12"/>
          <w:type w:val="continuous"/>
          <w:pgSz w:w="12240" w:h="15840"/>
          <w:pgMar w:top="1440" w:right="1440" w:bottom="1440" w:left="1440" w:header="720" w:footer="720" w:gutter="0"/>
          <w:cols w:space="720"/>
          <w:docGrid w:linePitch="360"/>
        </w:sectPr>
      </w:pPr>
    </w:p>
    <w:p w:rsidR="00442550" w:rsidP="00731BA9" w:rsidRDefault="00731BA9" w14:paraId="628B21CE" w14:textId="1772E155">
      <w:pPr>
        <w:spacing w:after="0"/>
      </w:pPr>
      <w:r>
        <w:t>Expert consultations have taken place regarding how best to design an information collection to support the agency’s information needs, as well as on data availability, data collection</w:t>
      </w:r>
      <w:r w:rsidR="00522CAA">
        <w:t>,</w:t>
      </w:r>
      <w:r>
        <w:t xml:space="preserve"> and dissemination strategies.  We have consulted several individuals outside of ACF, through group discussions, materials review, and one-on-one correspondence.</w:t>
      </w:r>
    </w:p>
    <w:p w:rsidR="00442550" w:rsidP="00731BA9" w:rsidRDefault="00442550" w14:paraId="482FDD7F" w14:textId="77777777">
      <w:pPr>
        <w:spacing w:after="0"/>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442550" w:rsidTr="00314C42" w14:paraId="23D2C85E" w14:textId="77777777">
        <w:tc>
          <w:tcPr>
            <w:tcW w:w="4675" w:type="dxa"/>
          </w:tcPr>
          <w:p w:rsidRPr="00BA3FF7" w:rsidR="00442550" w:rsidP="00442550" w:rsidRDefault="00442550" w14:paraId="7FEC68BB" w14:textId="77777777">
            <w:pPr>
              <w:rPr>
                <w:b/>
              </w:rPr>
            </w:pPr>
            <w:r w:rsidRPr="00BA3FF7">
              <w:rPr>
                <w:b/>
              </w:rPr>
              <w:t xml:space="preserve">Daphna </w:t>
            </w:r>
            <w:proofErr w:type="spellStart"/>
            <w:r w:rsidRPr="00BA3FF7">
              <w:rPr>
                <w:b/>
              </w:rPr>
              <w:t>Bassok</w:t>
            </w:r>
            <w:proofErr w:type="spellEnd"/>
          </w:p>
          <w:p w:rsidR="00442550" w:rsidP="00731BA9" w:rsidRDefault="00442550" w14:paraId="1B3181E6" w14:textId="1E9C84FC">
            <w:r>
              <w:t>University of Virginia</w:t>
            </w:r>
          </w:p>
        </w:tc>
        <w:tc>
          <w:tcPr>
            <w:tcW w:w="4675" w:type="dxa"/>
          </w:tcPr>
          <w:p w:rsidRPr="00BA3FF7" w:rsidR="00442550" w:rsidP="00442550" w:rsidRDefault="00442550" w14:paraId="4C3EB2C7" w14:textId="77777777">
            <w:pPr>
              <w:rPr>
                <w:b/>
              </w:rPr>
            </w:pPr>
            <w:r w:rsidRPr="00BA3FF7">
              <w:rPr>
                <w:b/>
              </w:rPr>
              <w:t>Erin Hardy</w:t>
            </w:r>
          </w:p>
          <w:p w:rsidR="00442550" w:rsidP="00442550" w:rsidRDefault="00442550" w14:paraId="1C5D6978" w14:textId="77777777">
            <w:r>
              <w:t>Brandeis University</w:t>
            </w:r>
          </w:p>
          <w:p w:rsidR="00442550" w:rsidP="00731BA9" w:rsidRDefault="00442550" w14:paraId="55511D02" w14:textId="77777777"/>
        </w:tc>
      </w:tr>
      <w:tr w:rsidR="00442550" w:rsidTr="00314C42" w14:paraId="66A2A48C" w14:textId="77777777">
        <w:tc>
          <w:tcPr>
            <w:tcW w:w="4675" w:type="dxa"/>
          </w:tcPr>
          <w:p w:rsidRPr="00BA3FF7" w:rsidR="00442550" w:rsidP="00442550" w:rsidRDefault="00442550" w14:paraId="1291AB41" w14:textId="77777777">
            <w:pPr>
              <w:rPr>
                <w:b/>
              </w:rPr>
            </w:pPr>
            <w:r w:rsidRPr="00BA3FF7">
              <w:rPr>
                <w:b/>
              </w:rPr>
              <w:t>Kate Gallagher</w:t>
            </w:r>
          </w:p>
          <w:p w:rsidR="00442550" w:rsidP="00442550" w:rsidRDefault="00442550" w14:paraId="796386CB" w14:textId="77777777">
            <w:r>
              <w:t>Buffett Early Childhood Institute</w:t>
            </w:r>
          </w:p>
          <w:p w:rsidR="00442550" w:rsidP="00442550" w:rsidRDefault="00442550" w14:paraId="685D948A" w14:textId="7A37240F">
            <w:r>
              <w:t>University of Nebraska</w:t>
            </w:r>
          </w:p>
        </w:tc>
        <w:tc>
          <w:tcPr>
            <w:tcW w:w="4675" w:type="dxa"/>
          </w:tcPr>
          <w:p w:rsidRPr="00BA3FF7" w:rsidR="00442550" w:rsidP="00442550" w:rsidRDefault="00442550" w14:paraId="6E9DB61A" w14:textId="77777777">
            <w:pPr>
              <w:rPr>
                <w:b/>
              </w:rPr>
            </w:pPr>
            <w:r w:rsidRPr="00BA3FF7">
              <w:rPr>
                <w:b/>
              </w:rPr>
              <w:t xml:space="preserve">Heather </w:t>
            </w:r>
            <w:proofErr w:type="spellStart"/>
            <w:r w:rsidRPr="00BA3FF7">
              <w:rPr>
                <w:b/>
              </w:rPr>
              <w:t>Sandstrom</w:t>
            </w:r>
            <w:proofErr w:type="spellEnd"/>
          </w:p>
          <w:p w:rsidR="00442550" w:rsidP="00442550" w:rsidRDefault="00442550" w14:paraId="69185C87" w14:textId="335FF0FE">
            <w:r>
              <w:t>Urban Institute</w:t>
            </w:r>
          </w:p>
        </w:tc>
      </w:tr>
      <w:tr w:rsidR="00442550" w:rsidTr="00314C42" w14:paraId="40357088" w14:textId="77777777">
        <w:tc>
          <w:tcPr>
            <w:tcW w:w="4675" w:type="dxa"/>
          </w:tcPr>
          <w:p w:rsidRPr="00BA3FF7" w:rsidR="00442550" w:rsidP="00442550" w:rsidRDefault="00442550" w14:paraId="7EE7B302" w14:textId="77777777">
            <w:pPr>
              <w:rPr>
                <w:b/>
              </w:rPr>
            </w:pPr>
            <w:r w:rsidRPr="00BA3FF7">
              <w:rPr>
                <w:b/>
              </w:rPr>
              <w:t xml:space="preserve">Robert M. </w:t>
            </w:r>
            <w:proofErr w:type="spellStart"/>
            <w:r w:rsidRPr="00BA3FF7">
              <w:rPr>
                <w:b/>
              </w:rPr>
              <w:t>Goerge</w:t>
            </w:r>
            <w:proofErr w:type="spellEnd"/>
          </w:p>
          <w:p w:rsidR="00442550" w:rsidP="00442550" w:rsidRDefault="00442550" w14:paraId="19CB3F2D" w14:textId="77777777">
            <w:r>
              <w:t>Chapin Hall at the University of Chicago</w:t>
            </w:r>
          </w:p>
          <w:p w:rsidR="00442550" w:rsidP="00442550" w:rsidRDefault="00442550" w14:paraId="088F7238" w14:textId="13B7F07D"/>
        </w:tc>
        <w:tc>
          <w:tcPr>
            <w:tcW w:w="4675" w:type="dxa"/>
          </w:tcPr>
          <w:p w:rsidRPr="00BA3FF7" w:rsidR="00442550" w:rsidP="00442550" w:rsidRDefault="00442550" w14:paraId="75DD3C4A" w14:textId="77777777">
            <w:pPr>
              <w:rPr>
                <w:b/>
              </w:rPr>
            </w:pPr>
            <w:r w:rsidRPr="00BA3FF7">
              <w:rPr>
                <w:b/>
              </w:rPr>
              <w:t xml:space="preserve">Marcy </w:t>
            </w:r>
            <w:proofErr w:type="spellStart"/>
            <w:r w:rsidRPr="00BA3FF7">
              <w:rPr>
                <w:b/>
              </w:rPr>
              <w:t>Whitebook</w:t>
            </w:r>
            <w:proofErr w:type="spellEnd"/>
          </w:p>
          <w:p w:rsidR="00442550" w:rsidP="00442550" w:rsidRDefault="00442550" w14:paraId="435ED23A" w14:textId="77777777">
            <w:r>
              <w:t>Center for the Study of Child Care Employment</w:t>
            </w:r>
          </w:p>
          <w:p w:rsidR="00442550" w:rsidP="00442550" w:rsidRDefault="00442550" w14:paraId="021D7C47" w14:textId="27B3D1EA">
            <w:r>
              <w:t>University of California, Berkeley</w:t>
            </w:r>
          </w:p>
        </w:tc>
      </w:tr>
    </w:tbl>
    <w:p w:rsidR="00E97764" w:rsidP="001D1C73" w:rsidRDefault="00E97764" w14:paraId="3CA79FD7" w14:textId="77777777">
      <w:pPr>
        <w:spacing w:after="120" w:line="240" w:lineRule="auto"/>
      </w:pPr>
    </w:p>
    <w:p w:rsidRPr="009139B3" w:rsidR="001D1C73" w:rsidP="001D1C73" w:rsidRDefault="001D1C73" w14:paraId="2DA362B8" w14:textId="4928C8AE">
      <w:pPr>
        <w:spacing w:after="120" w:line="240" w:lineRule="auto"/>
      </w:pPr>
      <w:r w:rsidRPr="009139B3">
        <w:rPr>
          <w:b/>
        </w:rPr>
        <w:t>A9</w:t>
      </w:r>
      <w:r w:rsidRPr="009139B3">
        <w:t>.</w:t>
      </w:r>
      <w:r w:rsidRPr="009139B3">
        <w:tab/>
      </w:r>
      <w:r w:rsidRPr="009139B3">
        <w:rPr>
          <w:b/>
        </w:rPr>
        <w:t>Tokens of Appreciation</w:t>
      </w:r>
    </w:p>
    <w:p w:rsidRPr="00314C42" w:rsidR="00B0699C" w:rsidP="00B0699C" w:rsidRDefault="00B0699C" w14:paraId="6FD93B23" w14:textId="77777777">
      <w:pPr>
        <w:pStyle w:val="BodyText"/>
        <w:rPr>
          <w:rFonts w:asciiTheme="minorHAnsi" w:hAnsiTheme="minorHAnsi" w:cstheme="minorHAnsi"/>
          <w:sz w:val="22"/>
        </w:rPr>
      </w:pPr>
      <w:r w:rsidRPr="00314C42">
        <w:rPr>
          <w:rFonts w:asciiTheme="minorHAnsi" w:hAnsiTheme="minorHAnsi" w:cstheme="minorHAnsi"/>
          <w:sz w:val="22"/>
        </w:rPr>
        <w:t>We propose to use pre-paid incentives as part of the overall data collection strategy for the NSECE COVID-19 study for the following reasons:</w:t>
      </w:r>
    </w:p>
    <w:p w:rsidRPr="005420B2" w:rsidR="00B0699C" w:rsidP="00B0699C" w:rsidRDefault="00B0699C" w14:paraId="7BBE9C15" w14:textId="7ADE06BE">
      <w:pPr>
        <w:pStyle w:val="ListParagraph"/>
        <w:numPr>
          <w:ilvl w:val="0"/>
          <w:numId w:val="44"/>
        </w:numPr>
        <w:spacing w:before="60" w:after="0" w:line="240" w:lineRule="auto"/>
        <w:contextualSpacing w:val="0"/>
        <w:rPr>
          <w:rFonts w:cstheme="minorHAnsi"/>
        </w:rPr>
      </w:pPr>
      <w:r w:rsidRPr="00B0699C">
        <w:rPr>
          <w:rFonts w:cstheme="minorHAnsi"/>
        </w:rPr>
        <w:t>To increase the likelihood that</w:t>
      </w:r>
      <w:r w:rsidRPr="00B159EE">
        <w:rPr>
          <w:rFonts w:cstheme="minorHAnsi"/>
        </w:rPr>
        <w:t xml:space="preserve"> data collection </w:t>
      </w:r>
      <w:proofErr w:type="gramStart"/>
      <w:r w:rsidRPr="00B159EE">
        <w:rPr>
          <w:rFonts w:cstheme="minorHAnsi"/>
        </w:rPr>
        <w:t>ca</w:t>
      </w:r>
      <w:r w:rsidR="00CA7AFA">
        <w:rPr>
          <w:rFonts w:cstheme="minorHAnsi"/>
        </w:rPr>
        <w:t>n be completed</w:t>
      </w:r>
      <w:proofErr w:type="gramEnd"/>
      <w:r w:rsidR="00CA7AFA">
        <w:rPr>
          <w:rFonts w:cstheme="minorHAnsi"/>
        </w:rPr>
        <w:t xml:space="preserve"> within the three-</w:t>
      </w:r>
      <w:r w:rsidRPr="00B159EE">
        <w:rPr>
          <w:rFonts w:cstheme="minorHAnsi"/>
        </w:rPr>
        <w:t>month data collection window</w:t>
      </w:r>
      <w:r w:rsidRPr="00442550">
        <w:rPr>
          <w:rFonts w:cstheme="minorHAnsi"/>
        </w:rPr>
        <w:t>s for both proposed waves of the COVID-19 Follow-up.  Compressed time periods are essential</w:t>
      </w:r>
      <w:r w:rsidR="00CA7AFA">
        <w:rPr>
          <w:rFonts w:cstheme="minorHAnsi"/>
        </w:rPr>
        <w:t>,</w:t>
      </w:r>
      <w:r w:rsidRPr="00442550">
        <w:rPr>
          <w:rFonts w:cstheme="minorHAnsi"/>
        </w:rPr>
        <w:t xml:space="preserve"> both to facilitate collection of two separate waves of data, and because extended data col</w:t>
      </w:r>
      <w:r w:rsidRPr="005420B2">
        <w:rPr>
          <w:rFonts w:cstheme="minorHAnsi"/>
        </w:rPr>
        <w:t>lection periods will make it more difficult to chart the course of the pandemic over time.</w:t>
      </w:r>
    </w:p>
    <w:p w:rsidRPr="00794605" w:rsidR="00B0699C" w:rsidP="00B0699C" w:rsidRDefault="00B0699C" w14:paraId="5A76C0E5" w14:textId="77777777">
      <w:pPr>
        <w:pStyle w:val="ListParagraph"/>
        <w:numPr>
          <w:ilvl w:val="0"/>
          <w:numId w:val="44"/>
        </w:numPr>
        <w:spacing w:before="60" w:after="0" w:line="240" w:lineRule="auto"/>
        <w:contextualSpacing w:val="0"/>
        <w:rPr>
          <w:rFonts w:cstheme="minorHAnsi"/>
        </w:rPr>
      </w:pPr>
      <w:r w:rsidRPr="00794605">
        <w:rPr>
          <w:rFonts w:cstheme="minorHAnsi"/>
        </w:rPr>
        <w:t>To minimize bias in estimates, ensuring that the final data sets are representative of the target population.</w:t>
      </w:r>
    </w:p>
    <w:p w:rsidRPr="00BD129A" w:rsidR="00B0699C" w:rsidP="00B0699C" w:rsidRDefault="00B0699C" w14:paraId="18D3075B" w14:textId="77777777">
      <w:pPr>
        <w:pStyle w:val="ListParagraph"/>
        <w:numPr>
          <w:ilvl w:val="0"/>
          <w:numId w:val="44"/>
        </w:numPr>
        <w:spacing w:before="60" w:after="0" w:line="240" w:lineRule="auto"/>
        <w:contextualSpacing w:val="0"/>
        <w:rPr>
          <w:rFonts w:cstheme="minorHAnsi"/>
        </w:rPr>
      </w:pPr>
      <w:r w:rsidRPr="00BD129A">
        <w:rPr>
          <w:rFonts w:cstheme="minorHAnsi"/>
        </w:rPr>
        <w:t xml:space="preserve">To ensure that target sample sizes </w:t>
      </w:r>
      <w:proofErr w:type="gramStart"/>
      <w:r w:rsidRPr="00BD129A">
        <w:rPr>
          <w:rFonts w:cstheme="minorHAnsi"/>
        </w:rPr>
        <w:t>are achieved</w:t>
      </w:r>
      <w:proofErr w:type="gramEnd"/>
      <w:r w:rsidRPr="00BD129A">
        <w:rPr>
          <w:rFonts w:cstheme="minorHAnsi"/>
        </w:rPr>
        <w:t>. Target sample sizes are required to support high priority subgroup analyses, especially ECE providers and workers in rural areas.</w:t>
      </w:r>
    </w:p>
    <w:p w:rsidRPr="00314C42" w:rsidR="00B0699C" w:rsidP="00B0699C" w:rsidRDefault="00B0699C" w14:paraId="72CDF2B1" w14:textId="77777777">
      <w:pPr>
        <w:pStyle w:val="BodyText"/>
        <w:spacing w:after="0"/>
        <w:rPr>
          <w:rFonts w:asciiTheme="minorHAnsi" w:hAnsiTheme="minorHAnsi" w:cstheme="minorHAnsi"/>
          <w:sz w:val="22"/>
        </w:rPr>
      </w:pPr>
    </w:p>
    <w:p w:rsidRPr="00314C42" w:rsidR="00B0699C" w:rsidP="00B0699C" w:rsidRDefault="00B0699C" w14:paraId="61E458D3" w14:textId="77777777">
      <w:pPr>
        <w:pStyle w:val="BodyText"/>
        <w:rPr>
          <w:rFonts w:asciiTheme="minorHAnsi" w:hAnsiTheme="minorHAnsi" w:cstheme="minorHAnsi"/>
          <w:sz w:val="22"/>
        </w:rPr>
      </w:pPr>
      <w:r w:rsidRPr="00314C42">
        <w:rPr>
          <w:rFonts w:asciiTheme="minorHAnsi" w:hAnsiTheme="minorHAnsi" w:cstheme="minorHAnsi"/>
          <w:sz w:val="22"/>
        </w:rPr>
        <w:t>Pre-Paid Incentive and Experiment</w:t>
      </w:r>
    </w:p>
    <w:p w:rsidRPr="00314C42" w:rsidR="00B0699C" w:rsidP="00B0699C" w:rsidRDefault="00B0699C" w14:paraId="10307F7B" w14:textId="44DFDC01">
      <w:pPr>
        <w:pStyle w:val="BodyText"/>
        <w:rPr>
          <w:rFonts w:asciiTheme="minorHAnsi" w:hAnsiTheme="minorHAnsi" w:cstheme="minorHAnsi"/>
          <w:color w:val="333333"/>
          <w:sz w:val="22"/>
          <w:shd w:val="clear" w:color="auto" w:fill="F1F1F1"/>
        </w:rPr>
      </w:pPr>
      <w:r w:rsidRPr="00314C42">
        <w:rPr>
          <w:rFonts w:asciiTheme="minorHAnsi" w:hAnsiTheme="minorHAnsi" w:cstheme="minorHAnsi"/>
          <w:sz w:val="22"/>
        </w:rPr>
        <w:t xml:space="preserve">Research about the effectiveness of survey incentives has found that pre-paid mail incentives have a larger impact per dollar than pre-paid incentives by other modes or post-paid incentives.  Based on detailed experimentation in the 2017 National Household Education Survey (NHES), the US Department of Education implemented a $5 pre-pay incentive in the 2019 NHES (OMB # </w:t>
      </w:r>
      <w:r w:rsidRPr="00314C42">
        <w:rPr>
          <w:rFonts w:asciiTheme="minorHAnsi" w:hAnsiTheme="minorHAnsi" w:cstheme="minorHAnsi"/>
          <w:color w:val="333333"/>
          <w:sz w:val="22"/>
          <w:shd w:val="clear" w:color="auto" w:fill="F1F1F1"/>
        </w:rPr>
        <w:t>1850-0768).</w:t>
      </w:r>
      <w:r w:rsidR="0067342D">
        <w:rPr>
          <w:rFonts w:asciiTheme="minorHAnsi" w:hAnsiTheme="minorHAnsi" w:cstheme="minorHAnsi"/>
          <w:color w:val="333333"/>
          <w:sz w:val="22"/>
          <w:shd w:val="clear" w:color="auto" w:fill="F1F1F1"/>
        </w:rPr>
        <w:t xml:space="preserve"> Although the NHES was a household survey, it appears to be the most rigorous test available of pre-payment incentives.</w:t>
      </w:r>
    </w:p>
    <w:p w:rsidRPr="00314C42" w:rsidR="00B0699C" w:rsidP="00B0699C" w:rsidRDefault="00B0699C" w14:paraId="2F974995" w14:textId="77777777">
      <w:pPr>
        <w:pStyle w:val="BodyText"/>
        <w:rPr>
          <w:rFonts w:asciiTheme="minorHAnsi" w:hAnsiTheme="minorHAnsi" w:cstheme="minorHAnsi"/>
          <w:sz w:val="22"/>
        </w:rPr>
      </w:pPr>
      <w:r w:rsidRPr="00314C42">
        <w:rPr>
          <w:rFonts w:asciiTheme="minorHAnsi" w:hAnsiTheme="minorHAnsi" w:cstheme="minorHAnsi"/>
          <w:sz w:val="22"/>
        </w:rPr>
        <w:t xml:space="preserve">We propose a $5 unconditional pre-paid incentive to encourage participation in all </w:t>
      </w:r>
      <w:proofErr w:type="gramStart"/>
      <w:r w:rsidRPr="00314C42">
        <w:rPr>
          <w:rFonts w:asciiTheme="minorHAnsi" w:hAnsiTheme="minorHAnsi" w:cstheme="minorHAnsi"/>
          <w:sz w:val="22"/>
        </w:rPr>
        <w:t>three sample</w:t>
      </w:r>
      <w:proofErr w:type="gramEnd"/>
      <w:r w:rsidRPr="00314C42">
        <w:rPr>
          <w:rFonts w:asciiTheme="minorHAnsi" w:hAnsiTheme="minorHAnsi" w:cstheme="minorHAnsi"/>
          <w:sz w:val="22"/>
        </w:rPr>
        <w:t xml:space="preserve"> types, however we will build into the Wave 1 data collection an experiment as to the timing of the pre-payment.  Our data collection approach calls for two parallel modes of </w:t>
      </w:r>
      <w:proofErr w:type="gramStart"/>
      <w:r w:rsidRPr="00314C42">
        <w:rPr>
          <w:rFonts w:asciiTheme="minorHAnsi" w:hAnsiTheme="minorHAnsi" w:cstheme="minorHAnsi"/>
          <w:sz w:val="22"/>
        </w:rPr>
        <w:t>outreach which will occur simultaneously</w:t>
      </w:r>
      <w:proofErr w:type="gramEnd"/>
      <w:r w:rsidRPr="00314C42">
        <w:rPr>
          <w:rFonts w:asciiTheme="minorHAnsi" w:hAnsiTheme="minorHAnsi" w:cstheme="minorHAnsi"/>
          <w:sz w:val="22"/>
        </w:rPr>
        <w:t xml:space="preserve"> but in a coordinated fashion: email encouragement to complete the web questionnaire, together with interviewer telephone outreach to encourage web completion (or a telephone interview, if needed).  We propose an experiment to understand the optimal timing of the pre-paid incentive, which </w:t>
      </w:r>
      <w:proofErr w:type="gramStart"/>
      <w:r w:rsidRPr="00314C42">
        <w:rPr>
          <w:rFonts w:asciiTheme="minorHAnsi" w:hAnsiTheme="minorHAnsi" w:cstheme="minorHAnsi"/>
          <w:sz w:val="22"/>
        </w:rPr>
        <w:t>will be sent</w:t>
      </w:r>
      <w:proofErr w:type="gramEnd"/>
      <w:r w:rsidRPr="00314C42">
        <w:rPr>
          <w:rFonts w:asciiTheme="minorHAnsi" w:hAnsiTheme="minorHAnsi" w:cstheme="minorHAnsi"/>
          <w:sz w:val="22"/>
        </w:rPr>
        <w:t xml:space="preserve"> by postal mail.</w:t>
      </w:r>
    </w:p>
    <w:p w:rsidRPr="00314C42" w:rsidR="00B0699C" w:rsidP="00B0699C" w:rsidRDefault="00B0699C" w14:paraId="59EE9FEF" w14:textId="77777777">
      <w:pPr>
        <w:pStyle w:val="BodyText"/>
        <w:rPr>
          <w:rFonts w:asciiTheme="minorHAnsi" w:hAnsiTheme="minorHAnsi" w:cstheme="minorHAnsi"/>
          <w:sz w:val="22"/>
        </w:rPr>
      </w:pPr>
      <w:r w:rsidRPr="00314C42">
        <w:rPr>
          <w:rFonts w:asciiTheme="minorHAnsi" w:hAnsiTheme="minorHAnsi" w:cstheme="minorHAnsi"/>
          <w:sz w:val="22"/>
        </w:rPr>
        <w:t xml:space="preserve">The table below indicates four experimental conditions, varying the timing of a postal mailing with incentive and including no-incentive conditions as controls.  Studies often include pre-payment incentives in initial mailings to encourage self-response before deploying more costly interviewer outreach methods. </w:t>
      </w:r>
      <w:proofErr w:type="gramStart"/>
      <w:r w:rsidRPr="00314C42">
        <w:rPr>
          <w:rFonts w:asciiTheme="minorHAnsi" w:hAnsiTheme="minorHAnsi" w:cstheme="minorHAnsi"/>
          <w:sz w:val="22"/>
        </w:rPr>
        <w:t>Also</w:t>
      </w:r>
      <w:proofErr w:type="gramEnd"/>
      <w:r w:rsidRPr="00314C42">
        <w:rPr>
          <w:rFonts w:asciiTheme="minorHAnsi" w:hAnsiTheme="minorHAnsi" w:cstheme="minorHAnsi"/>
          <w:sz w:val="22"/>
        </w:rPr>
        <w:t xml:space="preserve">, the 2017 NHES found that larger pre-payment incentives were more effective in the first two mailings to respondents than in subsequent outreach. </w:t>
      </w:r>
    </w:p>
    <w:p w:rsidR="00B0699C" w:rsidP="00B0699C" w:rsidRDefault="00B0699C" w14:paraId="327A869E" w14:textId="77777777">
      <w:pPr>
        <w:pStyle w:val="BodyText"/>
        <w:rPr>
          <w:rFonts w:asciiTheme="minorHAnsi" w:hAnsiTheme="minorHAnsi" w:cstheme="minorHAnsi"/>
          <w:sz w:val="22"/>
        </w:rPr>
      </w:pPr>
      <w:r w:rsidRPr="00314C42">
        <w:rPr>
          <w:rFonts w:asciiTheme="minorHAnsi" w:hAnsiTheme="minorHAnsi" w:cstheme="minorHAnsi"/>
          <w:sz w:val="22"/>
        </w:rPr>
        <w:t>However, the 2012 and 2019 NSECE experience with early care and education providers and workers is that they rarely will respond to invitations for survey participation without personalized interviewer outreach supplemented by repeated email encouragement. For these individuals, a pre-payment incentive may be more effective once respondents are convinced of the legitimacy of the survey through interviewer communication and facilitated by the ease of an emailed survey link (rather than having to type in a web address from a hard copy mailing).</w:t>
      </w:r>
    </w:p>
    <w:p w:rsidRPr="00B36700" w:rsidR="00B36700" w:rsidP="00B0699C" w:rsidRDefault="00B36700" w14:paraId="30F7F650" w14:textId="5CB2DF3B">
      <w:pPr>
        <w:pStyle w:val="BodyText"/>
        <w:rPr>
          <w:rFonts w:asciiTheme="minorHAnsi" w:hAnsiTheme="minorHAnsi" w:cstheme="minorHAnsi"/>
          <w:sz w:val="22"/>
        </w:rPr>
      </w:pPr>
      <w:r>
        <w:rPr>
          <w:rFonts w:asciiTheme="minorHAnsi" w:hAnsiTheme="minorHAnsi" w:cstheme="minorHAnsi"/>
          <w:sz w:val="22"/>
        </w:rPr>
        <w:t>The 2019 NSECE included a similar $2 pre-payment incentive for the listed home-based provider sample to induce sampled individuals to reveal whether or not they were eligible for the listed home-based provider survey (many would have stopped providing care and so become ineligible).  Because there was no experimental design, we are unable to report findings of the efficacy of that incentive offer.</w:t>
      </w:r>
    </w:p>
    <w:p w:rsidR="00B0699C" w:rsidP="00B0699C" w:rsidRDefault="00B0699C" w14:paraId="218B195E" w14:textId="77777777">
      <w:pPr>
        <w:pStyle w:val="BodyText"/>
        <w:rPr>
          <w:rFonts w:asciiTheme="minorHAnsi" w:hAnsiTheme="minorHAnsi" w:cstheme="minorHAnsi"/>
          <w:sz w:val="22"/>
        </w:rPr>
      </w:pPr>
      <w:r w:rsidRPr="00B36700">
        <w:rPr>
          <w:rFonts w:asciiTheme="minorHAnsi" w:hAnsiTheme="minorHAnsi" w:cstheme="minorHAnsi"/>
          <w:sz w:val="22"/>
        </w:rPr>
        <w:t>The table below includes a breakdown of the approximate percentages of respondents we propose to include into each condition.</w:t>
      </w:r>
    </w:p>
    <w:p w:rsidRPr="00B36700" w:rsidR="00B159EE" w:rsidP="00B0699C" w:rsidRDefault="00B159EE" w14:paraId="351FB62C" w14:textId="2AE272FB">
      <w:pPr>
        <w:pStyle w:val="BodyText"/>
        <w:rPr>
          <w:rFonts w:asciiTheme="minorHAnsi" w:hAnsiTheme="minorHAnsi" w:cstheme="minorHAnsi"/>
          <w:sz w:val="22"/>
        </w:rPr>
      </w:pPr>
      <w:r>
        <w:rPr>
          <w:rFonts w:asciiTheme="minorHAnsi" w:hAnsiTheme="minorHAnsi" w:cstheme="minorHAnsi"/>
          <w:sz w:val="22"/>
        </w:rPr>
        <w:t>Exhibit A2. Proposed experiment for pre-paid incentive to encourage self-administration</w:t>
      </w:r>
    </w:p>
    <w:tbl>
      <w:tblPr>
        <w:tblStyle w:val="TableGrid"/>
        <w:tblW w:w="0" w:type="auto"/>
        <w:tblInd w:w="0" w:type="dxa"/>
        <w:tblLook w:val="04A0" w:firstRow="1" w:lastRow="0" w:firstColumn="1" w:lastColumn="0" w:noHBand="0" w:noVBand="1"/>
      </w:tblPr>
      <w:tblGrid>
        <w:gridCol w:w="2238"/>
        <w:gridCol w:w="2238"/>
        <w:gridCol w:w="2238"/>
        <w:gridCol w:w="2636"/>
      </w:tblGrid>
      <w:tr w:rsidRPr="00B0699C" w:rsidR="00B0699C" w:rsidTr="00794605" w14:paraId="0C783B2D" w14:textId="77777777">
        <w:tc>
          <w:tcPr>
            <w:tcW w:w="2238" w:type="dxa"/>
          </w:tcPr>
          <w:p w:rsidRPr="00B36700" w:rsidR="00B0699C" w:rsidP="00794605" w:rsidRDefault="00B0699C" w14:paraId="7058E6F0" w14:textId="77777777">
            <w:pPr>
              <w:pStyle w:val="BodyText"/>
              <w:rPr>
                <w:rFonts w:asciiTheme="minorHAnsi" w:hAnsiTheme="minorHAnsi" w:cstheme="minorHAnsi"/>
                <w:sz w:val="22"/>
                <w:szCs w:val="22"/>
              </w:rPr>
            </w:pPr>
            <w:r w:rsidRPr="00B36700">
              <w:rPr>
                <w:rFonts w:asciiTheme="minorHAnsi" w:hAnsiTheme="minorHAnsi" w:cstheme="minorHAnsi"/>
                <w:sz w:val="22"/>
                <w:szCs w:val="22"/>
              </w:rPr>
              <w:t>Treatment category</w:t>
            </w:r>
          </w:p>
        </w:tc>
        <w:tc>
          <w:tcPr>
            <w:tcW w:w="2238" w:type="dxa"/>
          </w:tcPr>
          <w:p w:rsidRPr="00B36700" w:rsidR="00B0699C" w:rsidP="00794605" w:rsidRDefault="00B0699C" w14:paraId="1DA08372" w14:textId="77777777">
            <w:pPr>
              <w:pStyle w:val="BodyText"/>
              <w:rPr>
                <w:rFonts w:asciiTheme="minorHAnsi" w:hAnsiTheme="minorHAnsi" w:cstheme="minorHAnsi"/>
                <w:sz w:val="22"/>
                <w:szCs w:val="22"/>
              </w:rPr>
            </w:pPr>
            <w:r w:rsidRPr="00B36700">
              <w:rPr>
                <w:rFonts w:asciiTheme="minorHAnsi" w:hAnsiTheme="minorHAnsi" w:cstheme="minorHAnsi"/>
                <w:sz w:val="22"/>
                <w:szCs w:val="22"/>
              </w:rPr>
              <w:t>Percentage of sample</w:t>
            </w:r>
          </w:p>
        </w:tc>
        <w:tc>
          <w:tcPr>
            <w:tcW w:w="2238" w:type="dxa"/>
          </w:tcPr>
          <w:p w:rsidRPr="00B36700" w:rsidR="00B0699C" w:rsidP="00794605" w:rsidRDefault="00B0699C" w14:paraId="31DF6270" w14:textId="77777777">
            <w:pPr>
              <w:pStyle w:val="BodyText"/>
              <w:rPr>
                <w:rFonts w:asciiTheme="minorHAnsi" w:hAnsiTheme="minorHAnsi" w:cstheme="minorHAnsi"/>
                <w:sz w:val="22"/>
                <w:szCs w:val="22"/>
              </w:rPr>
            </w:pPr>
            <w:r w:rsidRPr="00B36700">
              <w:rPr>
                <w:rFonts w:asciiTheme="minorHAnsi" w:hAnsiTheme="minorHAnsi" w:cstheme="minorHAnsi"/>
                <w:sz w:val="22"/>
                <w:szCs w:val="22"/>
              </w:rPr>
              <w:t>Timing of postal mailing</w:t>
            </w:r>
          </w:p>
        </w:tc>
        <w:tc>
          <w:tcPr>
            <w:tcW w:w="2636" w:type="dxa"/>
          </w:tcPr>
          <w:p w:rsidRPr="00B36700" w:rsidR="00B0699C" w:rsidP="00794605" w:rsidRDefault="00B0699C" w14:paraId="61D03B1A" w14:textId="77777777">
            <w:pPr>
              <w:pStyle w:val="BodyText"/>
              <w:rPr>
                <w:rFonts w:asciiTheme="minorHAnsi" w:hAnsiTheme="minorHAnsi" w:cstheme="minorHAnsi"/>
                <w:sz w:val="22"/>
                <w:szCs w:val="22"/>
              </w:rPr>
            </w:pPr>
            <w:r w:rsidRPr="00B36700">
              <w:rPr>
                <w:rFonts w:asciiTheme="minorHAnsi" w:hAnsiTheme="minorHAnsi" w:cstheme="minorHAnsi"/>
                <w:sz w:val="22"/>
                <w:szCs w:val="22"/>
              </w:rPr>
              <w:t>Dollar amount of postal mailing</w:t>
            </w:r>
          </w:p>
        </w:tc>
      </w:tr>
      <w:tr w:rsidRPr="00B0699C" w:rsidR="00B0699C" w:rsidTr="00794605" w14:paraId="3C35C863" w14:textId="77777777">
        <w:tc>
          <w:tcPr>
            <w:tcW w:w="2238" w:type="dxa"/>
          </w:tcPr>
          <w:p w:rsidRPr="00B0699C" w:rsidR="00B0699C" w:rsidP="00794605" w:rsidRDefault="00B0699C" w14:paraId="7B82E1F2"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Initial postal mailing with incentive</w:t>
            </w:r>
          </w:p>
        </w:tc>
        <w:tc>
          <w:tcPr>
            <w:tcW w:w="2238" w:type="dxa"/>
          </w:tcPr>
          <w:p w:rsidRPr="00B0699C" w:rsidR="00B0699C" w:rsidP="00794605" w:rsidRDefault="00B0699C" w14:paraId="6722EE62" w14:textId="06A3B61D">
            <w:pPr>
              <w:pStyle w:val="BodyText"/>
              <w:jc w:val="center"/>
              <w:rPr>
                <w:rFonts w:asciiTheme="minorHAnsi" w:hAnsiTheme="minorHAnsi" w:cstheme="minorHAnsi"/>
                <w:sz w:val="22"/>
                <w:szCs w:val="22"/>
              </w:rPr>
            </w:pPr>
            <w:r w:rsidRPr="00B0699C">
              <w:rPr>
                <w:rFonts w:asciiTheme="minorHAnsi" w:hAnsiTheme="minorHAnsi" w:cstheme="minorHAnsi"/>
                <w:sz w:val="22"/>
                <w:szCs w:val="22"/>
              </w:rPr>
              <w:t>42</w:t>
            </w:r>
          </w:p>
        </w:tc>
        <w:tc>
          <w:tcPr>
            <w:tcW w:w="2238" w:type="dxa"/>
          </w:tcPr>
          <w:p w:rsidRPr="00B0699C" w:rsidR="00B0699C" w:rsidP="00794605" w:rsidRDefault="00B0699C" w14:paraId="42200DFA"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Prior to email or interviewer outreach</w:t>
            </w:r>
          </w:p>
        </w:tc>
        <w:tc>
          <w:tcPr>
            <w:tcW w:w="2636" w:type="dxa"/>
          </w:tcPr>
          <w:p w:rsidRPr="00B0699C" w:rsidR="00B0699C" w:rsidP="00794605" w:rsidRDefault="00B0699C" w14:paraId="62C50AA2" w14:textId="77777777">
            <w:pPr>
              <w:pStyle w:val="BodyText"/>
              <w:jc w:val="center"/>
              <w:rPr>
                <w:rFonts w:asciiTheme="minorHAnsi" w:hAnsiTheme="minorHAnsi" w:cstheme="minorHAnsi"/>
                <w:sz w:val="22"/>
                <w:szCs w:val="22"/>
              </w:rPr>
            </w:pPr>
            <w:r w:rsidRPr="00B0699C">
              <w:rPr>
                <w:rFonts w:asciiTheme="minorHAnsi" w:hAnsiTheme="minorHAnsi" w:cstheme="minorHAnsi"/>
                <w:sz w:val="22"/>
                <w:szCs w:val="22"/>
              </w:rPr>
              <w:t>$5</w:t>
            </w:r>
          </w:p>
        </w:tc>
      </w:tr>
      <w:tr w:rsidRPr="00B0699C" w:rsidR="00B0699C" w:rsidTr="00794605" w14:paraId="480B75A6" w14:textId="77777777">
        <w:tc>
          <w:tcPr>
            <w:tcW w:w="2238" w:type="dxa"/>
          </w:tcPr>
          <w:p w:rsidRPr="00B0699C" w:rsidR="00B0699C" w:rsidP="00794605" w:rsidRDefault="00B0699C" w14:paraId="76554824"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lastRenderedPageBreak/>
              <w:t>Postal mailing in Week 4 with incentive</w:t>
            </w:r>
          </w:p>
        </w:tc>
        <w:tc>
          <w:tcPr>
            <w:tcW w:w="2238" w:type="dxa"/>
          </w:tcPr>
          <w:p w:rsidRPr="00B0699C" w:rsidR="00B0699C" w:rsidP="00794605" w:rsidRDefault="00B0699C" w14:paraId="40BD868A" w14:textId="54565920">
            <w:pPr>
              <w:pStyle w:val="BodyText"/>
              <w:jc w:val="center"/>
              <w:rPr>
                <w:rFonts w:asciiTheme="minorHAnsi" w:hAnsiTheme="minorHAnsi" w:cstheme="minorHAnsi"/>
                <w:sz w:val="22"/>
                <w:szCs w:val="22"/>
              </w:rPr>
            </w:pPr>
            <w:r w:rsidRPr="00B0699C">
              <w:rPr>
                <w:rFonts w:asciiTheme="minorHAnsi" w:hAnsiTheme="minorHAnsi" w:cstheme="minorHAnsi"/>
                <w:sz w:val="22"/>
                <w:szCs w:val="22"/>
              </w:rPr>
              <w:t>42</w:t>
            </w:r>
          </w:p>
        </w:tc>
        <w:tc>
          <w:tcPr>
            <w:tcW w:w="2238" w:type="dxa"/>
          </w:tcPr>
          <w:p w:rsidRPr="00B0699C" w:rsidR="00B0699C" w:rsidP="00794605" w:rsidRDefault="00B0699C" w14:paraId="41DF208B"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Week 4, after attempted email and interviewer outreach</w:t>
            </w:r>
          </w:p>
        </w:tc>
        <w:tc>
          <w:tcPr>
            <w:tcW w:w="2636" w:type="dxa"/>
          </w:tcPr>
          <w:p w:rsidRPr="00B0699C" w:rsidR="00B0699C" w:rsidP="00794605" w:rsidRDefault="00B0699C" w14:paraId="27F0481E" w14:textId="77777777">
            <w:pPr>
              <w:pStyle w:val="BodyText"/>
              <w:jc w:val="center"/>
              <w:rPr>
                <w:rFonts w:asciiTheme="minorHAnsi" w:hAnsiTheme="minorHAnsi" w:cstheme="minorHAnsi"/>
                <w:sz w:val="22"/>
                <w:szCs w:val="22"/>
              </w:rPr>
            </w:pPr>
            <w:r w:rsidRPr="00B0699C">
              <w:rPr>
                <w:rFonts w:asciiTheme="minorHAnsi" w:hAnsiTheme="minorHAnsi" w:cstheme="minorHAnsi"/>
                <w:sz w:val="22"/>
                <w:szCs w:val="22"/>
              </w:rPr>
              <w:t>$5</w:t>
            </w:r>
          </w:p>
        </w:tc>
      </w:tr>
      <w:tr w:rsidRPr="00B0699C" w:rsidR="00B0699C" w:rsidTr="00794605" w14:paraId="132AABB8" w14:textId="77777777">
        <w:tc>
          <w:tcPr>
            <w:tcW w:w="2238" w:type="dxa"/>
          </w:tcPr>
          <w:p w:rsidRPr="00B0699C" w:rsidR="00B0699C" w:rsidP="00794605" w:rsidRDefault="00B0699C" w14:paraId="7AAD3778"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Initial postal mailing no incentive</w:t>
            </w:r>
          </w:p>
        </w:tc>
        <w:tc>
          <w:tcPr>
            <w:tcW w:w="2238" w:type="dxa"/>
          </w:tcPr>
          <w:p w:rsidRPr="00B0699C" w:rsidR="00B0699C" w:rsidP="00794605" w:rsidRDefault="00B0699C" w14:paraId="6235F273" w14:textId="6EEAE8DD">
            <w:pPr>
              <w:pStyle w:val="BodyText"/>
              <w:jc w:val="center"/>
              <w:rPr>
                <w:rFonts w:asciiTheme="minorHAnsi" w:hAnsiTheme="minorHAnsi" w:cstheme="minorHAnsi"/>
                <w:sz w:val="22"/>
                <w:szCs w:val="22"/>
              </w:rPr>
            </w:pPr>
            <w:r w:rsidRPr="00B0699C">
              <w:rPr>
                <w:rFonts w:asciiTheme="minorHAnsi" w:hAnsiTheme="minorHAnsi" w:cstheme="minorHAnsi"/>
                <w:sz w:val="22"/>
                <w:szCs w:val="22"/>
              </w:rPr>
              <w:t>8</w:t>
            </w:r>
          </w:p>
        </w:tc>
        <w:tc>
          <w:tcPr>
            <w:tcW w:w="2238" w:type="dxa"/>
          </w:tcPr>
          <w:p w:rsidRPr="00B0699C" w:rsidR="00B0699C" w:rsidP="00794605" w:rsidRDefault="00B0699C" w14:paraId="4AA3095B"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Prior to email or interviewer outreach</w:t>
            </w:r>
          </w:p>
        </w:tc>
        <w:tc>
          <w:tcPr>
            <w:tcW w:w="2636" w:type="dxa"/>
          </w:tcPr>
          <w:p w:rsidRPr="00B0699C" w:rsidR="00B0699C" w:rsidP="00794605" w:rsidRDefault="00B0699C" w14:paraId="6BAAD141" w14:textId="77777777">
            <w:pPr>
              <w:pStyle w:val="BodyText"/>
              <w:jc w:val="center"/>
              <w:rPr>
                <w:rFonts w:asciiTheme="minorHAnsi" w:hAnsiTheme="minorHAnsi" w:cstheme="minorHAnsi"/>
                <w:sz w:val="22"/>
                <w:szCs w:val="22"/>
              </w:rPr>
            </w:pPr>
            <w:r w:rsidRPr="00B0699C">
              <w:rPr>
                <w:rFonts w:asciiTheme="minorHAnsi" w:hAnsiTheme="minorHAnsi" w:cstheme="minorHAnsi"/>
                <w:sz w:val="22"/>
                <w:szCs w:val="22"/>
              </w:rPr>
              <w:t>None</w:t>
            </w:r>
          </w:p>
        </w:tc>
      </w:tr>
      <w:tr w:rsidRPr="00B0699C" w:rsidR="00B0699C" w:rsidTr="00794605" w14:paraId="07C78EBE" w14:textId="77777777">
        <w:tc>
          <w:tcPr>
            <w:tcW w:w="2238" w:type="dxa"/>
          </w:tcPr>
          <w:p w:rsidRPr="00B0699C" w:rsidR="00B0699C" w:rsidP="00794605" w:rsidRDefault="00B0699C" w14:paraId="670A641E"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Postal mailing in Week 4 with no incentive</w:t>
            </w:r>
          </w:p>
        </w:tc>
        <w:tc>
          <w:tcPr>
            <w:tcW w:w="2238" w:type="dxa"/>
          </w:tcPr>
          <w:p w:rsidRPr="00B0699C" w:rsidR="00B0699C" w:rsidP="00794605" w:rsidRDefault="00B0699C" w14:paraId="14AFCE88" w14:textId="6D23F124">
            <w:pPr>
              <w:pStyle w:val="BodyText"/>
              <w:jc w:val="center"/>
              <w:rPr>
                <w:rFonts w:asciiTheme="minorHAnsi" w:hAnsiTheme="minorHAnsi" w:cstheme="minorHAnsi"/>
                <w:sz w:val="22"/>
                <w:szCs w:val="22"/>
              </w:rPr>
            </w:pPr>
            <w:r w:rsidRPr="00B0699C">
              <w:rPr>
                <w:rFonts w:asciiTheme="minorHAnsi" w:hAnsiTheme="minorHAnsi" w:cstheme="minorHAnsi"/>
                <w:sz w:val="22"/>
                <w:szCs w:val="22"/>
              </w:rPr>
              <w:t>8</w:t>
            </w:r>
          </w:p>
        </w:tc>
        <w:tc>
          <w:tcPr>
            <w:tcW w:w="2238" w:type="dxa"/>
          </w:tcPr>
          <w:p w:rsidRPr="00B0699C" w:rsidR="00B0699C" w:rsidP="00794605" w:rsidRDefault="00B0699C" w14:paraId="37930602"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Week 4, after attempted email and interviewer outreach</w:t>
            </w:r>
          </w:p>
        </w:tc>
        <w:tc>
          <w:tcPr>
            <w:tcW w:w="2636" w:type="dxa"/>
          </w:tcPr>
          <w:p w:rsidRPr="00B0699C" w:rsidR="00B0699C" w:rsidP="00794605" w:rsidRDefault="00B0699C" w14:paraId="1E5A42F6" w14:textId="77777777">
            <w:pPr>
              <w:pStyle w:val="BodyText"/>
              <w:jc w:val="center"/>
              <w:rPr>
                <w:rFonts w:asciiTheme="minorHAnsi" w:hAnsiTheme="minorHAnsi" w:cstheme="minorHAnsi"/>
                <w:sz w:val="22"/>
                <w:szCs w:val="22"/>
              </w:rPr>
            </w:pPr>
            <w:r w:rsidRPr="00B0699C">
              <w:rPr>
                <w:rFonts w:asciiTheme="minorHAnsi" w:hAnsiTheme="minorHAnsi" w:cstheme="minorHAnsi"/>
                <w:sz w:val="22"/>
                <w:szCs w:val="22"/>
              </w:rPr>
              <w:t>None</w:t>
            </w:r>
          </w:p>
        </w:tc>
      </w:tr>
    </w:tbl>
    <w:p w:rsidRPr="00B0699C" w:rsidR="00B0699C" w:rsidP="00B0699C" w:rsidRDefault="00B0699C" w14:paraId="0DBBCB6B" w14:textId="77777777">
      <w:pPr>
        <w:pStyle w:val="BodyText"/>
        <w:rPr>
          <w:rFonts w:asciiTheme="minorHAnsi" w:hAnsiTheme="minorHAnsi" w:cstheme="minorHAnsi"/>
          <w:sz w:val="22"/>
        </w:rPr>
      </w:pPr>
    </w:p>
    <w:p w:rsidRPr="00B0699C" w:rsidR="00B0699C" w:rsidP="00B0699C" w:rsidRDefault="00B0699C" w14:paraId="78778AC7" w14:textId="77777777">
      <w:pPr>
        <w:pStyle w:val="BodyText"/>
        <w:rPr>
          <w:rFonts w:asciiTheme="minorHAnsi" w:hAnsiTheme="minorHAnsi" w:cstheme="minorHAnsi"/>
          <w:sz w:val="22"/>
        </w:rPr>
      </w:pPr>
      <w:r w:rsidRPr="00B0699C">
        <w:rPr>
          <w:rFonts w:asciiTheme="minorHAnsi" w:hAnsiTheme="minorHAnsi" w:cstheme="minorHAnsi"/>
          <w:sz w:val="22"/>
        </w:rPr>
        <w:t>The experiment pertains to sample members for whom we have both email and a mailing address. Some respondents have only one type of contact information (only email or only a mailing address), while others have both.  If the only contact information we have is a mailing address, we will include a $5 pre-paid incentive along with their initial mailing.  If the only contact information we have is an email, the sample member will not receive a pre-incentive.</w:t>
      </w:r>
    </w:p>
    <w:p w:rsidRPr="00E97764" w:rsidR="001D1C73" w:rsidP="00E97764" w:rsidRDefault="00B0699C" w14:paraId="7735BE59" w14:textId="41BBE197">
      <w:pPr>
        <w:pStyle w:val="BodyText"/>
        <w:rPr>
          <w:rFonts w:asciiTheme="minorHAnsi" w:hAnsiTheme="minorHAnsi" w:cstheme="minorHAnsi"/>
          <w:sz w:val="22"/>
        </w:rPr>
      </w:pPr>
      <w:r w:rsidRPr="00B0699C">
        <w:rPr>
          <w:rFonts w:asciiTheme="minorHAnsi" w:hAnsiTheme="minorHAnsi" w:cstheme="minorHAnsi"/>
          <w:sz w:val="22"/>
        </w:rPr>
        <w:t xml:space="preserve">We propose an experiment in Wave 1 to identify the optimal timing of a postal mailing with incentive among this survey population.  We would implement the pre-payment incentive in Wave 2 based on the Wave 1 results, which may yield different implications for different sample types or sample subgroups. We will evaluate the experiment </w:t>
      </w:r>
      <w:proofErr w:type="gramStart"/>
      <w:r w:rsidRPr="00B0699C">
        <w:rPr>
          <w:rFonts w:asciiTheme="minorHAnsi" w:hAnsiTheme="minorHAnsi" w:cstheme="minorHAnsi"/>
          <w:sz w:val="22"/>
        </w:rPr>
        <w:t>both in terms of overall completion rates, costs incurred, and representativeness</w:t>
      </w:r>
      <w:proofErr w:type="gramEnd"/>
      <w:r w:rsidRPr="00B0699C">
        <w:rPr>
          <w:rFonts w:asciiTheme="minorHAnsi" w:hAnsiTheme="minorHAnsi" w:cstheme="minorHAnsi"/>
          <w:sz w:val="22"/>
        </w:rPr>
        <w:t xml:space="preserve"> of the sample.</w:t>
      </w: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r w:rsidRPr="009139B3">
        <w:rPr>
          <w:i/>
        </w:rPr>
        <w:t>Personally Identifiable Information</w:t>
      </w:r>
    </w:p>
    <w:p w:rsidRPr="009139B3" w:rsidR="001D1C73" w:rsidP="001D1C73" w:rsidRDefault="001D1C73" w14:paraId="7688FE78" w14:textId="77777777">
      <w:pPr>
        <w:spacing w:after="0" w:line="240" w:lineRule="auto"/>
        <w:rPr>
          <w:i/>
        </w:rPr>
      </w:pPr>
      <w:r w:rsidRPr="009139B3">
        <w:rPr>
          <w:rFonts w:cstheme="minorHAnsi"/>
        </w:rPr>
        <w:t xml:space="preserve">Information </w:t>
      </w:r>
      <w:proofErr w:type="gramStart"/>
      <w:r w:rsidRPr="009139B3">
        <w:rPr>
          <w:rFonts w:cstheme="minorHAnsi"/>
        </w:rPr>
        <w:t>will not be maintained</w:t>
      </w:r>
      <w:proofErr w:type="gramEnd"/>
      <w:r w:rsidRPr="009139B3">
        <w:rPr>
          <w:rFonts w:cstheme="minorHAnsi"/>
        </w:rPr>
        <w:t xml:space="preserve">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Pr="009139B3" w:rsidR="001D1C73" w:rsidP="001D1C73" w:rsidRDefault="001D1C73" w14:paraId="3B371F60" w14:textId="77777777">
      <w:pPr>
        <w:spacing w:after="0" w:line="240" w:lineRule="auto"/>
        <w:rPr>
          <w:rFonts w:cstheme="minorHAnsi"/>
        </w:rPr>
      </w:pPr>
      <w:r w:rsidRPr="009139B3">
        <w:rPr>
          <w:rFonts w:cstheme="minorHAnsi"/>
        </w:rPr>
        <w:t xml:space="preserve">Information collected </w:t>
      </w:r>
      <w:proofErr w:type="gramStart"/>
      <w:r w:rsidRPr="009139B3">
        <w:rPr>
          <w:rFonts w:cstheme="minorHAnsi"/>
        </w:rPr>
        <w:t>will be kept</w:t>
      </w:r>
      <w:proofErr w:type="gramEnd"/>
      <w:r w:rsidRPr="009139B3">
        <w:rPr>
          <w:rFonts w:cstheme="minorHAnsi"/>
        </w:rPr>
        <w:t xml:space="preserve"> private to the extent permitted by law. Respondents </w:t>
      </w:r>
      <w:proofErr w:type="gramStart"/>
      <w:r w:rsidRPr="009139B3">
        <w:rPr>
          <w:rFonts w:cstheme="minorHAnsi"/>
        </w:rPr>
        <w:t>will be informed</w:t>
      </w:r>
      <w:proofErr w:type="gramEnd"/>
      <w:r w:rsidRPr="009139B3">
        <w:rPr>
          <w:rFonts w:cstheme="minorHAnsi"/>
        </w:rPr>
        <w:t xml:space="preserve">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9139B3" w:rsidR="001D1C73" w:rsidP="001D1C73" w:rsidRDefault="001D1C73" w14:paraId="4CBB7BE4" w14:textId="77777777">
      <w:pPr>
        <w:spacing w:after="0" w:line="240" w:lineRule="auto"/>
        <w:rPr>
          <w:rFonts w:cstheme="minorHAnsi"/>
        </w:rPr>
      </w:pPr>
    </w:p>
    <w:p w:rsidRPr="009139B3" w:rsidR="001D1C73" w:rsidP="001D1C73" w:rsidRDefault="001D1C73" w14:paraId="4F8CC7BF" w14:textId="1203AAE8">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evaluation will obtain a Certificate of Confidentiality. The study team has applied for this Certificate and will provide it to OMB once it </w:t>
      </w:r>
      <w:proofErr w:type="gramStart"/>
      <w:r w:rsidRPr="009139B3">
        <w:rPr>
          <w:rFonts w:eastAsia="Times New Roman" w:cstheme="minorHAnsi"/>
        </w:rPr>
        <w:t>is received</w:t>
      </w:r>
      <w:proofErr w:type="gramEnd"/>
      <w:r w:rsidRPr="009139B3">
        <w:rPr>
          <w:rFonts w:eastAsia="Times New Roman" w:cstheme="minorHAnsi"/>
        </w:rPr>
        <w:t xml:space="preserve">. The Certificate of Confidentiality helps to assure participants that their information will be kept private </w:t>
      </w:r>
      <w:proofErr w:type="gramStart"/>
      <w:r w:rsidRPr="009139B3">
        <w:rPr>
          <w:rFonts w:eastAsia="Times New Roman" w:cstheme="minorHAnsi"/>
        </w:rPr>
        <w:t>to the fullest extent</w:t>
      </w:r>
      <w:proofErr w:type="gramEnd"/>
      <w:r w:rsidRPr="009139B3">
        <w:rPr>
          <w:rFonts w:eastAsia="Times New Roman" w:cstheme="minorHAnsi"/>
        </w:rPr>
        <w:t xml:space="preserve"> permitted by law. </w:t>
      </w:r>
    </w:p>
    <w:p w:rsidRPr="009139B3" w:rsidR="001D1C73" w:rsidP="001D1C73" w:rsidRDefault="001D1C73" w14:paraId="66D7D622"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Pr="009139B3" w:rsidR="001D1C73" w:rsidP="001D1C73" w:rsidRDefault="001D1C73" w14:paraId="5E1F4C48" w14:textId="77777777">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w:t>
      </w:r>
      <w:r w:rsidRPr="009139B3">
        <w:rPr>
          <w:rFonts w:eastAsia="Times New Roman" w:cstheme="minorHAnsi"/>
        </w:rPr>
        <w:lastRenderedPageBreak/>
        <w:t xml:space="preserve">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Pr="009139B3" w:rsidR="00731BA9" w:rsidP="00731BA9" w:rsidRDefault="001D1C73" w14:paraId="7B4F90DA" w14:textId="0AE3586F">
      <w:pPr>
        <w:spacing w:after="0" w:line="240" w:lineRule="auto"/>
        <w:rPr>
          <w:rFonts w:eastAsia="Times New Roman" w:cstheme="minorHAnsi"/>
        </w:rPr>
      </w:pPr>
      <w:r w:rsidRPr="009139B3">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w:t>
      </w:r>
      <w:proofErr w:type="gramStart"/>
      <w:r w:rsidRPr="009139B3">
        <w:rPr>
          <w:rFonts w:eastAsia="Times New Roman" w:cstheme="minorHAnsi"/>
        </w:rPr>
        <w:t>shall:</w:t>
      </w:r>
      <w:proofErr w:type="gramEnd"/>
      <w:r w:rsidRPr="009139B3">
        <w:rPr>
          <w:rFonts w:eastAsia="Times New Roman" w:cstheme="minorHAnsi"/>
        </w:rPr>
        <w:t xml:space="preserve">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t>
      </w:r>
      <w:proofErr w:type="gramStart"/>
      <w:r w:rsidRPr="009139B3">
        <w:rPr>
          <w:rFonts w:eastAsia="Times New Roman" w:cstheme="minorHAnsi"/>
        </w:rPr>
        <w:t>will be secured</w:t>
      </w:r>
      <w:proofErr w:type="gramEnd"/>
      <w:r w:rsidRPr="009139B3">
        <w:rPr>
          <w:rFonts w:eastAsia="Times New Roman" w:cstheme="minorHAnsi"/>
        </w:rPr>
        <w:t xml:space="preserve">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Pr="009139B3" w:rsidR="001D1C73" w:rsidP="001D1C73" w:rsidRDefault="001D1C73" w14:paraId="00EDDFF9" w14:textId="7281D23E">
      <w:pPr>
        <w:spacing w:after="0" w:line="240" w:lineRule="auto"/>
        <w:rPr>
          <w:rFonts w:cstheme="minorHAnsi"/>
        </w:rPr>
      </w:pPr>
    </w:p>
    <w:p w:rsidRPr="009139B3" w:rsidR="001D1C73" w:rsidP="001D1C73" w:rsidRDefault="001D1C73" w14:paraId="40B5F5B3" w14:textId="3742B4D8">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2"/>
      </w:r>
    </w:p>
    <w:p w:rsidR="005B35F4" w:rsidP="005B35F4" w:rsidRDefault="005B35F4" w14:paraId="132401FC" w14:textId="09EDCCB2">
      <w:pPr>
        <w:pStyle w:val="BodyText"/>
        <w:rPr>
          <w:rFonts w:asciiTheme="minorHAnsi" w:hAnsiTheme="minorHAnsi" w:cstheme="minorHAnsi"/>
          <w:sz w:val="22"/>
        </w:rPr>
      </w:pPr>
      <w:r>
        <w:rPr>
          <w:rFonts w:asciiTheme="minorHAnsi" w:hAnsiTheme="minorHAnsi" w:cstheme="minorHAnsi"/>
          <w:sz w:val="22"/>
        </w:rPr>
        <w:t>The</w:t>
      </w:r>
      <w:r w:rsidRPr="00314C42">
        <w:rPr>
          <w:rFonts w:asciiTheme="minorHAnsi" w:hAnsiTheme="minorHAnsi" w:cstheme="minorHAnsi"/>
          <w:sz w:val="22"/>
        </w:rPr>
        <w:t xml:space="preserve"> home-based provider and </w:t>
      </w:r>
      <w:r w:rsidR="002330F7">
        <w:rPr>
          <w:rFonts w:asciiTheme="minorHAnsi" w:hAnsiTheme="minorHAnsi" w:cstheme="minorHAnsi"/>
          <w:sz w:val="22"/>
        </w:rPr>
        <w:t>workforce</w:t>
      </w:r>
      <w:r w:rsidRPr="00314C42">
        <w:rPr>
          <w:rFonts w:asciiTheme="minorHAnsi" w:hAnsiTheme="minorHAnsi" w:cstheme="minorHAnsi"/>
          <w:sz w:val="22"/>
        </w:rPr>
        <w:t xml:space="preserve"> questionnaires ask respondents to report their total household income the year preceding questionnaire completion</w:t>
      </w:r>
      <w:r w:rsidRPr="005B35F4">
        <w:rPr>
          <w:rFonts w:asciiTheme="minorHAnsi" w:hAnsiTheme="minorHAnsi" w:cstheme="minorHAnsi"/>
          <w:sz w:val="22"/>
        </w:rPr>
        <w:t xml:space="preserve"> (calendar year 2019 for </w:t>
      </w:r>
      <w:r>
        <w:rPr>
          <w:rFonts w:asciiTheme="minorHAnsi" w:hAnsiTheme="minorHAnsi" w:cstheme="minorHAnsi"/>
          <w:sz w:val="22"/>
        </w:rPr>
        <w:t>Wave 1 and 2020 for Wave 2</w:t>
      </w:r>
      <w:r w:rsidRPr="00314C42">
        <w:rPr>
          <w:rFonts w:asciiTheme="minorHAnsi" w:hAnsiTheme="minorHAnsi" w:cstheme="minorHAnsi"/>
          <w:sz w:val="22"/>
        </w:rPr>
        <w:t xml:space="preserve">). </w:t>
      </w:r>
      <w:r>
        <w:rPr>
          <w:rFonts w:asciiTheme="minorHAnsi" w:hAnsiTheme="minorHAnsi" w:cstheme="minorHAnsi"/>
          <w:sz w:val="22"/>
        </w:rPr>
        <w:t xml:space="preserve"> Q</w:t>
      </w:r>
      <w:r w:rsidRPr="00314C42">
        <w:rPr>
          <w:rFonts w:asciiTheme="minorHAnsi" w:hAnsiTheme="minorHAnsi" w:cstheme="minorHAnsi"/>
          <w:sz w:val="22"/>
        </w:rPr>
        <w:t>uestionnaires ask respondents to report income as an exact dollar amount. Since income may be difficult to remember or report, if respondents do not know or refuse to provide this information</w:t>
      </w:r>
      <w:r w:rsidR="00190122">
        <w:rPr>
          <w:rFonts w:asciiTheme="minorHAnsi" w:hAnsiTheme="minorHAnsi" w:cstheme="minorHAnsi"/>
          <w:sz w:val="22"/>
        </w:rPr>
        <w:t>,</w:t>
      </w:r>
      <w:r w:rsidRPr="00314C42">
        <w:rPr>
          <w:rFonts w:asciiTheme="minorHAnsi" w:hAnsiTheme="minorHAnsi" w:cstheme="minorHAnsi"/>
          <w:sz w:val="22"/>
        </w:rPr>
        <w:t xml:space="preserve"> the questionnaires then ask them to describe income by pre-defined approximate ranges, such as less than $15,000, $15,001 to $22,500, and so on.</w:t>
      </w:r>
      <w:r>
        <w:rPr>
          <w:rFonts w:asciiTheme="minorHAnsi" w:hAnsiTheme="minorHAnsi" w:cstheme="minorHAnsi"/>
          <w:sz w:val="22"/>
        </w:rPr>
        <w:t xml:space="preserve"> </w:t>
      </w:r>
    </w:p>
    <w:p w:rsidRPr="00314C42" w:rsidR="00983449" w:rsidP="005B35F4" w:rsidRDefault="005B35F4" w14:paraId="423A0ECA" w14:textId="06770A96">
      <w:pPr>
        <w:pStyle w:val="BodyText"/>
        <w:rPr>
          <w:rFonts w:asciiTheme="minorHAnsi" w:hAnsiTheme="minorHAnsi" w:cstheme="minorHAnsi"/>
          <w:sz w:val="22"/>
        </w:rPr>
      </w:pPr>
      <w:r>
        <w:rPr>
          <w:rFonts w:asciiTheme="minorHAnsi" w:hAnsiTheme="minorHAnsi" w:cstheme="minorHAnsi"/>
          <w:sz w:val="22"/>
        </w:rPr>
        <w:t>These same questionnaires have additional questions about respondents’ current financial situation, such as recent food insecurity, and receipt of government assistance for low-income individuals.</w:t>
      </w:r>
      <w:r w:rsidR="00983449">
        <w:rPr>
          <w:rFonts w:asciiTheme="minorHAnsi" w:hAnsiTheme="minorHAnsi" w:cstheme="minorHAnsi"/>
          <w:sz w:val="22"/>
        </w:rPr>
        <w:t xml:space="preserve"> Understanding the financial impact of the COVID-19 pandemic on providers and workforce members and their ability to get help is a critical purpose of the COVID-19 Follow-up, so these questions are essential to achieving the study objectives.</w:t>
      </w:r>
    </w:p>
    <w:p w:rsidRPr="00314C42" w:rsidR="005B35F4" w:rsidP="005B35F4" w:rsidRDefault="005B35F4" w14:paraId="676CD7B1" w14:textId="006ECF2C">
      <w:pPr>
        <w:pStyle w:val="BodyText"/>
        <w:rPr>
          <w:rFonts w:eastAsia="Times New Roman" w:asciiTheme="minorHAnsi" w:hAnsiTheme="minorHAnsi" w:cstheme="minorHAnsi"/>
          <w:b/>
          <w:bCs/>
          <w:sz w:val="22"/>
          <w:lang w:val="x-none" w:eastAsia="x-none"/>
        </w:rPr>
      </w:pPr>
      <w:r w:rsidRPr="00314C42">
        <w:rPr>
          <w:rFonts w:asciiTheme="minorHAnsi" w:hAnsiTheme="minorHAnsi" w:cstheme="minorHAnsi"/>
          <w:sz w:val="22"/>
        </w:rPr>
        <w:t xml:space="preserve">Last, the home-based provider questionnaire may raise additional concerns about disclosure, such as individuals without full work permission in the U.S., or providing ECE services without full compliance with licensing or other requirements. The questionnaire, therefore, very intentionally avoids any reference to such issues as visa status or licensing status. We view it as essential in gaining cooperation and respondents’ trust to be able to assure them that no questions </w:t>
      </w:r>
      <w:proofErr w:type="gramStart"/>
      <w:r w:rsidRPr="00314C42">
        <w:rPr>
          <w:rFonts w:asciiTheme="minorHAnsi" w:hAnsiTheme="minorHAnsi" w:cstheme="minorHAnsi"/>
          <w:sz w:val="22"/>
        </w:rPr>
        <w:t>will be asked</w:t>
      </w:r>
      <w:proofErr w:type="gramEnd"/>
      <w:r w:rsidRPr="00314C42">
        <w:rPr>
          <w:rFonts w:asciiTheme="minorHAnsi" w:hAnsiTheme="minorHAnsi" w:cstheme="minorHAnsi"/>
          <w:sz w:val="22"/>
        </w:rPr>
        <w:t xml:space="preserve"> on these potentially sensitive topics.</w:t>
      </w:r>
      <w:r w:rsidR="00983449">
        <w:rPr>
          <w:rFonts w:asciiTheme="minorHAnsi" w:hAnsiTheme="minorHAnsi" w:cstheme="minorHAnsi"/>
          <w:sz w:val="22"/>
        </w:rPr>
        <w:t xml:space="preserve">  Visa status and licensing status are not germane to the research questions for the study.</w:t>
      </w:r>
    </w:p>
    <w:p w:rsidRPr="009139B3" w:rsidR="001D1C73" w:rsidP="001D1C73" w:rsidRDefault="001D1C73" w14:paraId="454AD3D8"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Pr="009139B3" w:rsidR="001D1C73" w:rsidP="001D1C73" w:rsidRDefault="001B59D0" w14:paraId="688B2061" w14:textId="4EAFE455">
      <w:pPr>
        <w:spacing w:after="0" w:line="240" w:lineRule="auto"/>
      </w:pPr>
      <w:r>
        <w:t xml:space="preserve">Each of the three instruments </w:t>
      </w:r>
      <w:proofErr w:type="gramStart"/>
      <w:r>
        <w:t>is expected</w:t>
      </w:r>
      <w:proofErr w:type="gramEnd"/>
      <w:r>
        <w:t xml:space="preserve"> to average 20 minutes administration time. The administration time will be quite a bit less for respondents who are not participating in early care and activities during the survey focal periods of the last week of </w:t>
      </w:r>
      <w:proofErr w:type="gramStart"/>
      <w:r>
        <w:t>October,</w:t>
      </w:r>
      <w:proofErr w:type="gramEnd"/>
      <w:r>
        <w:t xml:space="preserve"> 2020 and the first week of April, 2021.  </w:t>
      </w:r>
      <w:proofErr w:type="gramStart"/>
      <w:r>
        <w:t xml:space="preserve">These rates of prevalence are not possible to know or accurately estimate at this time, given the volatility of the current </w:t>
      </w:r>
      <w:r w:rsidR="00752E9A">
        <w:t xml:space="preserve">economic and pandemic situation, but we have used the following assumptions: 20 percent of home-based providers completing the COVID Follow-up interview will not be providing ECE during the focal weeks of each wave; 25 percent of center-based providers will not be providing ECE; and 33 percent of </w:t>
      </w:r>
      <w:r w:rsidR="002330F7">
        <w:t>center-based workforce members</w:t>
      </w:r>
      <w:r w:rsidR="00752E9A">
        <w:t xml:space="preserve"> will not be providing ECE during the focal weeks of each wave.</w:t>
      </w:r>
      <w:proofErr w:type="gramEnd"/>
    </w:p>
    <w:p w:rsidRPr="009139B3" w:rsidR="001D1C73" w:rsidP="001D1C73" w:rsidRDefault="001D1C73" w14:paraId="3C662ADD" w14:textId="77777777">
      <w:pPr>
        <w:spacing w:after="0" w:line="240" w:lineRule="auto"/>
      </w:pPr>
    </w:p>
    <w:p w:rsidRPr="009139B3" w:rsidR="001D1C73" w:rsidP="001D1C73" w:rsidRDefault="001D1C73" w14:paraId="36874344" w14:textId="77777777">
      <w:pPr>
        <w:spacing w:after="60" w:line="240" w:lineRule="auto"/>
        <w:rPr>
          <w:i/>
        </w:rPr>
      </w:pPr>
      <w:r w:rsidRPr="009139B3">
        <w:rPr>
          <w:i/>
        </w:rPr>
        <w:t>Estimated Annualized Cost to Respondents</w:t>
      </w:r>
    </w:p>
    <w:p w:rsidRPr="009139B3" w:rsidR="001D1C73" w:rsidP="001D1C73" w:rsidRDefault="001D1C73" w14:paraId="7E2C5F84" w14:textId="77777777">
      <w:pPr>
        <w:spacing w:after="0" w:line="240" w:lineRule="auto"/>
      </w:pPr>
    </w:p>
    <w:p w:rsidRPr="009139B3" w:rsidR="001D1C73" w:rsidP="001D1C73" w:rsidRDefault="00B159EE" w14:paraId="1DA4EFA8" w14:textId="19DC990B">
      <w:pPr>
        <w:spacing w:after="0" w:line="240" w:lineRule="auto"/>
      </w:pPr>
      <w:r>
        <w:t xml:space="preserve">Exhibit </w:t>
      </w:r>
      <w:r w:rsidR="0067342D">
        <w:t>A</w:t>
      </w:r>
      <w:r>
        <w:t>3. Estimated Annualized Cost to Respondents</w:t>
      </w:r>
    </w:p>
    <w:tbl>
      <w:tblPr>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245"/>
        <w:gridCol w:w="1440"/>
        <w:gridCol w:w="1620"/>
        <w:gridCol w:w="1350"/>
        <w:gridCol w:w="1530"/>
        <w:gridCol w:w="990"/>
        <w:gridCol w:w="1260"/>
      </w:tblGrid>
      <w:tr w:rsidRPr="00177DCA" w:rsidR="002330F7" w:rsidTr="002330F7" w14:paraId="0D425289" w14:textId="77777777">
        <w:trPr>
          <w:trHeight w:val="1250"/>
          <w:tblHeader/>
        </w:trPr>
        <w:tc>
          <w:tcPr>
            <w:tcW w:w="22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A3FF7" w:rsidR="002330F7" w:rsidP="00794605" w:rsidRDefault="002330F7" w14:paraId="683D8FBC" w14:textId="77777777">
            <w:pPr>
              <w:jc w:val="center"/>
              <w:rPr>
                <w:rFonts w:cstheme="minorHAnsi"/>
              </w:rPr>
            </w:pPr>
            <w:r w:rsidRPr="00BA3FF7">
              <w:rPr>
                <w:rFonts w:cstheme="minorHAnsi"/>
              </w:rPr>
              <w:lastRenderedPageBreak/>
              <w:t>Instrument</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A3FF7" w:rsidR="002330F7" w:rsidP="00794605" w:rsidRDefault="002330F7" w14:paraId="1CBFFBFC" w14:textId="77777777">
            <w:pPr>
              <w:jc w:val="center"/>
              <w:rPr>
                <w:rFonts w:cstheme="minorHAnsi"/>
              </w:rPr>
            </w:pPr>
            <w:r w:rsidRPr="00BA3FF7">
              <w:rPr>
                <w:rFonts w:cstheme="minorHAnsi"/>
              </w:rPr>
              <w:t>Number of Respondents</w:t>
            </w: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A3FF7" w:rsidR="002330F7" w:rsidP="00794605" w:rsidRDefault="002330F7" w14:paraId="0C32C07A" w14:textId="77777777">
            <w:pPr>
              <w:jc w:val="center"/>
              <w:rPr>
                <w:rFonts w:cstheme="minorHAnsi"/>
              </w:rPr>
            </w:pPr>
            <w:r w:rsidRPr="00BA3FF7">
              <w:rPr>
                <w:rFonts w:cstheme="minorHAnsi"/>
              </w:rPr>
              <w:t>Number of Responses per Respondent</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A3FF7" w:rsidR="002330F7" w:rsidP="00794605" w:rsidRDefault="002330F7" w14:paraId="120EB834" w14:textId="77777777">
            <w:pPr>
              <w:jc w:val="center"/>
              <w:rPr>
                <w:rFonts w:cstheme="minorHAnsi"/>
              </w:rPr>
            </w:pPr>
            <w:r w:rsidRPr="00BA3FF7">
              <w:rPr>
                <w:rFonts w:cstheme="minorHAnsi"/>
              </w:rPr>
              <w:t>Average Burden Hours per Response</w:t>
            </w:r>
          </w:p>
        </w:tc>
        <w:tc>
          <w:tcPr>
            <w:tcW w:w="1530" w:type="dxa"/>
            <w:tcBorders>
              <w:top w:val="single" w:color="auto" w:sz="4" w:space="0"/>
              <w:left w:val="single" w:color="auto" w:sz="4" w:space="0"/>
              <w:bottom w:val="single" w:color="auto" w:sz="4" w:space="0"/>
              <w:right w:val="single" w:color="auto" w:sz="4" w:space="0"/>
            </w:tcBorders>
            <w:vAlign w:val="center"/>
          </w:tcPr>
          <w:p w:rsidRPr="00BA3FF7" w:rsidR="002330F7" w:rsidP="00794605" w:rsidRDefault="002330F7" w14:paraId="59BD58FD" w14:textId="77777777">
            <w:pPr>
              <w:jc w:val="center"/>
              <w:rPr>
                <w:rFonts w:cstheme="minorHAnsi"/>
              </w:rPr>
            </w:pPr>
            <w:r w:rsidRPr="00BA3FF7">
              <w:rPr>
                <w:rFonts w:cstheme="minorHAnsi"/>
              </w:rPr>
              <w:t>Estimated Total/ Annual Burden Hours</w:t>
            </w:r>
          </w:p>
        </w:tc>
        <w:tc>
          <w:tcPr>
            <w:tcW w:w="990" w:type="dxa"/>
            <w:tcBorders>
              <w:top w:val="single" w:color="auto" w:sz="4" w:space="0"/>
              <w:left w:val="single" w:color="auto" w:sz="4" w:space="0"/>
              <w:bottom w:val="single" w:color="auto" w:sz="4" w:space="0"/>
              <w:right w:val="single" w:color="auto" w:sz="4" w:space="0"/>
            </w:tcBorders>
          </w:tcPr>
          <w:p w:rsidRPr="00BA3FF7" w:rsidR="002330F7" w:rsidP="00794605" w:rsidRDefault="002330F7" w14:paraId="500BC14B" w14:textId="77777777">
            <w:pPr>
              <w:jc w:val="center"/>
              <w:rPr>
                <w:rFonts w:cstheme="minorHAnsi"/>
              </w:rPr>
            </w:pPr>
            <w:r w:rsidRPr="00BA3FF7">
              <w:rPr>
                <w:rFonts w:cstheme="minorHAnsi"/>
              </w:rPr>
              <w:t>Average Hourly Wage Rate</w:t>
            </w:r>
          </w:p>
        </w:tc>
        <w:tc>
          <w:tcPr>
            <w:tcW w:w="1260" w:type="dxa"/>
            <w:tcBorders>
              <w:top w:val="single" w:color="auto" w:sz="4" w:space="0"/>
              <w:left w:val="single" w:color="auto" w:sz="4" w:space="0"/>
              <w:bottom w:val="single" w:color="auto" w:sz="4" w:space="0"/>
              <w:right w:val="single" w:color="auto" w:sz="4" w:space="0"/>
            </w:tcBorders>
          </w:tcPr>
          <w:p w:rsidRPr="00BA3FF7" w:rsidR="002330F7" w:rsidP="00794605" w:rsidRDefault="002330F7" w14:paraId="6E033CD9" w14:textId="77777777">
            <w:pPr>
              <w:jc w:val="center"/>
              <w:rPr>
                <w:rFonts w:cstheme="minorHAnsi"/>
              </w:rPr>
            </w:pPr>
            <w:r w:rsidRPr="00BA3FF7">
              <w:rPr>
                <w:rFonts w:cstheme="minorHAnsi"/>
              </w:rPr>
              <w:t>Total/ Annual Respondent Cost</w:t>
            </w:r>
          </w:p>
        </w:tc>
      </w:tr>
      <w:tr w:rsidRPr="00C73438" w:rsidR="002330F7" w:rsidTr="00CA7AFA" w14:paraId="3532CB7C" w14:textId="77777777">
        <w:trPr>
          <w:trHeight w:val="1250"/>
          <w:tblHeader/>
        </w:trPr>
        <w:tc>
          <w:tcPr>
            <w:tcW w:w="22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2330F7" w:rsidRDefault="002330F7" w14:paraId="4465156E" w14:textId="77777777">
            <w:pPr>
              <w:jc w:val="center"/>
              <w:rPr>
                <w:rFonts w:cstheme="minorHAnsi"/>
              </w:rPr>
            </w:pPr>
            <w:r w:rsidRPr="00C73438">
              <w:rPr>
                <w:rFonts w:cstheme="minorHAnsi"/>
              </w:rPr>
              <w:t>Home-based Provider Interview, Waves 1 and 2 -- In ECE during focal week</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74F3F79F" w14:textId="77777777">
            <w:pPr>
              <w:jc w:val="center"/>
              <w:rPr>
                <w:rFonts w:cstheme="minorHAnsi"/>
              </w:rPr>
            </w:pPr>
            <w:r w:rsidRPr="00C73438">
              <w:rPr>
                <w:rFonts w:cstheme="minorHAnsi"/>
              </w:rPr>
              <w:t>2,700</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4E6F86B9" w14:textId="77777777">
            <w:pPr>
              <w:jc w:val="center"/>
              <w:rPr>
                <w:rFonts w:cstheme="minorHAnsi"/>
              </w:rPr>
            </w:pPr>
            <w:r w:rsidRPr="00C73438">
              <w:rPr>
                <w:rFonts w:cstheme="minorHAnsi"/>
              </w:rPr>
              <w:t>1.5</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279039B4" w14:textId="77777777">
            <w:pPr>
              <w:jc w:val="center"/>
              <w:rPr>
                <w:rFonts w:cstheme="minorHAnsi"/>
              </w:rPr>
            </w:pPr>
            <w:r w:rsidRPr="00C73438">
              <w:rPr>
                <w:rFonts w:cstheme="minorHAnsi"/>
              </w:rPr>
              <w:t>0.35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794605" w:rsidRDefault="002330F7" w14:paraId="630287B4" w14:textId="77777777">
            <w:pPr>
              <w:jc w:val="center"/>
              <w:rPr>
                <w:rFonts w:cstheme="minorHAnsi"/>
              </w:rPr>
            </w:pPr>
            <w:r w:rsidRPr="00C73438">
              <w:rPr>
                <w:rFonts w:cstheme="minorHAnsi"/>
              </w:rPr>
              <w:t>1,418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CA7AFA" w:rsidRDefault="002330F7" w14:paraId="731CF202" w14:textId="33549043">
            <w:pPr>
              <w:jc w:val="center"/>
              <w:rPr>
                <w:rFonts w:cstheme="minorHAnsi"/>
              </w:rPr>
            </w:pPr>
            <w:r w:rsidRPr="00C73438">
              <w:rPr>
                <w:rFonts w:cstheme="minorHAnsi"/>
              </w:rPr>
              <w:t>$12.27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CA7AFA" w:rsidRDefault="002330F7" w14:paraId="387D2CF7" w14:textId="4E2F1D2D">
            <w:pPr>
              <w:jc w:val="center"/>
              <w:rPr>
                <w:rFonts w:cstheme="minorHAnsi"/>
              </w:rPr>
            </w:pPr>
            <w:r w:rsidRPr="00C73438">
              <w:rPr>
                <w:rFonts w:cstheme="minorHAnsi"/>
              </w:rPr>
              <w:t>$17,393</w:t>
            </w:r>
          </w:p>
        </w:tc>
      </w:tr>
      <w:tr w:rsidRPr="00C73438" w:rsidR="002330F7" w:rsidTr="00CA7AFA" w14:paraId="00884A2A" w14:textId="77777777">
        <w:trPr>
          <w:trHeight w:val="1250"/>
          <w:tblHeader/>
        </w:trPr>
        <w:tc>
          <w:tcPr>
            <w:tcW w:w="22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2330F7" w:rsidRDefault="002330F7" w14:paraId="78B52005" w14:textId="77777777">
            <w:pPr>
              <w:jc w:val="center"/>
              <w:rPr>
                <w:rFonts w:cstheme="minorHAnsi"/>
              </w:rPr>
            </w:pPr>
            <w:r w:rsidRPr="00C73438">
              <w:rPr>
                <w:rFonts w:cstheme="minorHAnsi"/>
              </w:rPr>
              <w:t>Home-based Provider Interview, Waves 1 and 2 -- Not in ECE during focal week</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579A6710" w14:textId="77777777">
            <w:pPr>
              <w:jc w:val="center"/>
              <w:rPr>
                <w:rFonts w:cstheme="minorHAnsi"/>
              </w:rPr>
            </w:pPr>
            <w:r w:rsidRPr="00C73438">
              <w:rPr>
                <w:rFonts w:cstheme="minorHAnsi"/>
              </w:rPr>
              <w:t>675</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5970A568" w14:textId="77777777">
            <w:pPr>
              <w:jc w:val="center"/>
              <w:rPr>
                <w:rFonts w:cstheme="minorHAnsi"/>
              </w:rPr>
            </w:pPr>
            <w:r w:rsidRPr="00C73438">
              <w:rPr>
                <w:rFonts w:cstheme="minorHAnsi"/>
              </w:rPr>
              <w:t>1.5</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51866364" w14:textId="77777777">
            <w:pPr>
              <w:jc w:val="center"/>
              <w:rPr>
                <w:rFonts w:cstheme="minorHAnsi"/>
              </w:rPr>
            </w:pPr>
            <w:r w:rsidRPr="00C73438">
              <w:rPr>
                <w:rFonts w:cstheme="minorHAnsi"/>
              </w:rPr>
              <w:t>0.25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794605" w:rsidRDefault="002330F7" w14:paraId="2B9FE0A6" w14:textId="77777777">
            <w:pPr>
              <w:jc w:val="center"/>
              <w:rPr>
                <w:rFonts w:cstheme="minorHAnsi"/>
              </w:rPr>
            </w:pPr>
            <w:r>
              <w:rPr>
                <w:rFonts w:cstheme="minorHAnsi"/>
              </w:rPr>
              <w:t>252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CA7AFA" w:rsidRDefault="002330F7" w14:paraId="2F7A1AAB" w14:textId="007F2217">
            <w:pPr>
              <w:jc w:val="center"/>
              <w:rPr>
                <w:rFonts w:cstheme="minorHAnsi"/>
              </w:rPr>
            </w:pPr>
            <w:r w:rsidRPr="00C73438">
              <w:rPr>
                <w:rFonts w:cstheme="minorHAnsi"/>
              </w:rPr>
              <w:t>$12.27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CA7AFA" w:rsidRDefault="002330F7" w14:paraId="7A5DEE34" w14:textId="284B7E8F">
            <w:pPr>
              <w:jc w:val="center"/>
              <w:rPr>
                <w:rFonts w:cstheme="minorHAnsi"/>
              </w:rPr>
            </w:pPr>
            <w:r>
              <w:rPr>
                <w:rFonts w:cstheme="minorHAnsi"/>
              </w:rPr>
              <w:t>$3,092</w:t>
            </w:r>
          </w:p>
        </w:tc>
      </w:tr>
      <w:tr w:rsidRPr="00C73438" w:rsidR="002330F7" w:rsidTr="00CA7AFA" w14:paraId="48089B1A" w14:textId="77777777">
        <w:trPr>
          <w:trHeight w:val="1250"/>
          <w:tblHeader/>
        </w:trPr>
        <w:tc>
          <w:tcPr>
            <w:tcW w:w="22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2330F7" w:rsidRDefault="002330F7" w14:paraId="0791D7BF" w14:textId="77777777">
            <w:pPr>
              <w:jc w:val="center"/>
              <w:rPr>
                <w:rFonts w:cstheme="minorHAnsi"/>
              </w:rPr>
            </w:pPr>
            <w:r w:rsidRPr="00C73438">
              <w:rPr>
                <w:rFonts w:cstheme="minorHAnsi"/>
              </w:rPr>
              <w:t>Center-based Provider Interview, Waves 1 and 2; in ECE during focal week</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010E6D7E" w14:textId="77777777">
            <w:pPr>
              <w:jc w:val="center"/>
              <w:rPr>
                <w:rFonts w:cstheme="minorHAnsi"/>
              </w:rPr>
            </w:pPr>
            <w:r w:rsidRPr="00C73438">
              <w:rPr>
                <w:rFonts w:cstheme="minorHAnsi"/>
              </w:rPr>
              <w:t>4,388</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218B351B" w14:textId="77777777">
            <w:pPr>
              <w:jc w:val="center"/>
              <w:rPr>
                <w:rFonts w:cstheme="minorHAnsi"/>
              </w:rPr>
            </w:pPr>
            <w:r w:rsidRPr="00C73438">
              <w:rPr>
                <w:rFonts w:cstheme="minorHAnsi"/>
              </w:rPr>
              <w:t>1.5</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74812316" w14:textId="77777777">
            <w:pPr>
              <w:jc w:val="center"/>
              <w:rPr>
                <w:rFonts w:cstheme="minorHAnsi"/>
              </w:rPr>
            </w:pPr>
            <w:r w:rsidRPr="00C73438">
              <w:rPr>
                <w:rFonts w:cstheme="minorHAnsi"/>
              </w:rPr>
              <w:t>0.37</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794605" w:rsidRDefault="002330F7" w14:paraId="192C01A0" w14:textId="77777777">
            <w:pPr>
              <w:jc w:val="center"/>
              <w:rPr>
                <w:rFonts w:cstheme="minorHAnsi"/>
              </w:rPr>
            </w:pPr>
            <w:r w:rsidRPr="00C73438">
              <w:rPr>
                <w:rFonts w:cstheme="minorHAnsi"/>
              </w:rPr>
              <w:t>2,435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CA7AFA" w:rsidRDefault="002330F7" w14:paraId="484709B4" w14:textId="7343023F">
            <w:pPr>
              <w:jc w:val="center"/>
              <w:rPr>
                <w:rFonts w:cstheme="minorHAnsi"/>
              </w:rPr>
            </w:pPr>
            <w:r w:rsidRPr="00C73438">
              <w:rPr>
                <w:rFonts w:cstheme="minorHAnsi"/>
              </w:rPr>
              <w:t>$25.81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CA7AFA" w:rsidRDefault="002330F7" w14:paraId="684C092B" w14:textId="6CBA2F78">
            <w:pPr>
              <w:jc w:val="center"/>
              <w:rPr>
                <w:rFonts w:cstheme="minorHAnsi"/>
              </w:rPr>
            </w:pPr>
            <w:r w:rsidRPr="00C73438">
              <w:rPr>
                <w:rFonts w:cstheme="minorHAnsi"/>
              </w:rPr>
              <w:t>$62,849</w:t>
            </w:r>
          </w:p>
        </w:tc>
      </w:tr>
      <w:tr w:rsidRPr="00C73438" w:rsidR="002330F7" w:rsidTr="00CA7AFA" w14:paraId="092054AB" w14:textId="77777777">
        <w:trPr>
          <w:trHeight w:val="1250"/>
          <w:tblHeader/>
        </w:trPr>
        <w:tc>
          <w:tcPr>
            <w:tcW w:w="22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2330F7" w:rsidRDefault="002330F7" w14:paraId="0D32FE2E" w14:textId="77777777">
            <w:pPr>
              <w:jc w:val="center"/>
              <w:rPr>
                <w:rFonts w:cstheme="minorHAnsi"/>
              </w:rPr>
            </w:pPr>
            <w:r w:rsidRPr="00C73438">
              <w:rPr>
                <w:rFonts w:cstheme="minorHAnsi"/>
              </w:rPr>
              <w:t>Center-based Provider Interview, Waves 1 and 2; not in ECE during focal week</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784DD3FE" w14:textId="77777777">
            <w:pPr>
              <w:jc w:val="center"/>
              <w:rPr>
                <w:rFonts w:cstheme="minorHAnsi"/>
              </w:rPr>
            </w:pPr>
            <w:r w:rsidRPr="00C73438">
              <w:rPr>
                <w:rFonts w:cstheme="minorHAnsi"/>
              </w:rPr>
              <w:t>1,463</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5CCABAB2" w14:textId="77777777">
            <w:pPr>
              <w:jc w:val="center"/>
              <w:rPr>
                <w:rFonts w:cstheme="minorHAnsi"/>
              </w:rPr>
            </w:pPr>
            <w:r w:rsidRPr="00C73438">
              <w:rPr>
                <w:rFonts w:cstheme="minorHAnsi"/>
              </w:rPr>
              <w:t>1.5</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4A495E" w14:paraId="68692F94" w14:textId="1D7A8C86">
            <w:pPr>
              <w:jc w:val="center"/>
              <w:rPr>
                <w:rFonts w:cstheme="minorHAnsi"/>
              </w:rPr>
            </w:pPr>
            <w:r>
              <w:rPr>
                <w:rFonts w:cstheme="minorHAnsi"/>
              </w:rPr>
              <w:t>0.22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794605" w:rsidRDefault="002330F7" w14:paraId="265336B4" w14:textId="77777777">
            <w:pPr>
              <w:jc w:val="center"/>
              <w:rPr>
                <w:rFonts w:cstheme="minorHAnsi"/>
              </w:rPr>
            </w:pPr>
            <w:r>
              <w:rPr>
                <w:rFonts w:cstheme="minorHAnsi"/>
              </w:rPr>
              <w:t>483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CA7AFA" w:rsidRDefault="002330F7" w14:paraId="61666D7B" w14:textId="3DBC0B80">
            <w:pPr>
              <w:jc w:val="center"/>
              <w:rPr>
                <w:rFonts w:cstheme="minorHAnsi"/>
              </w:rPr>
            </w:pPr>
            <w:r w:rsidRPr="00C73438">
              <w:rPr>
                <w:rFonts w:cstheme="minorHAnsi"/>
              </w:rPr>
              <w:t>$25.81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CA7AFA" w:rsidRDefault="002330F7" w14:paraId="3182FC93" w14:textId="7211FF8B">
            <w:pPr>
              <w:jc w:val="center"/>
              <w:rPr>
                <w:rFonts w:cstheme="minorHAnsi"/>
              </w:rPr>
            </w:pPr>
            <w:r>
              <w:rPr>
                <w:rFonts w:cstheme="minorHAnsi"/>
              </w:rPr>
              <w:t>$12,466</w:t>
            </w:r>
          </w:p>
        </w:tc>
      </w:tr>
      <w:tr w:rsidRPr="00C73438" w:rsidR="002330F7" w:rsidTr="00CA7AFA" w14:paraId="4D235ABA" w14:textId="77777777">
        <w:trPr>
          <w:trHeight w:val="1250"/>
          <w:tblHeader/>
        </w:trPr>
        <w:tc>
          <w:tcPr>
            <w:tcW w:w="22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RDefault="002330F7" w14:paraId="385CDF9D" w14:textId="2A558980">
            <w:pPr>
              <w:jc w:val="center"/>
              <w:rPr>
                <w:rFonts w:cstheme="minorHAnsi"/>
              </w:rPr>
            </w:pPr>
            <w:r>
              <w:rPr>
                <w:rFonts w:cstheme="minorHAnsi"/>
              </w:rPr>
              <w:t>(</w:t>
            </w:r>
            <w:r w:rsidRPr="00C73438">
              <w:rPr>
                <w:rFonts w:cstheme="minorHAnsi"/>
              </w:rPr>
              <w:t>Center-based</w:t>
            </w:r>
            <w:r>
              <w:rPr>
                <w:rFonts w:cstheme="minorHAnsi"/>
              </w:rPr>
              <w:t>)</w:t>
            </w:r>
            <w:r w:rsidRPr="00C73438">
              <w:rPr>
                <w:rFonts w:cstheme="minorHAnsi"/>
              </w:rPr>
              <w:t xml:space="preserve"> </w:t>
            </w:r>
            <w:r>
              <w:rPr>
                <w:rFonts w:cstheme="minorHAnsi"/>
              </w:rPr>
              <w:t>Workforce</w:t>
            </w:r>
            <w:r w:rsidRPr="00C73438">
              <w:rPr>
                <w:rFonts w:cstheme="minorHAnsi"/>
              </w:rPr>
              <w:t xml:space="preserve"> Interview – Waves 1 and 2; In ECE during Focal Week</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5DFB6C6A" w14:textId="77777777">
            <w:pPr>
              <w:jc w:val="center"/>
              <w:rPr>
                <w:rFonts w:cstheme="minorHAnsi"/>
              </w:rPr>
            </w:pPr>
            <w:r w:rsidRPr="00C73438">
              <w:rPr>
                <w:rFonts w:cstheme="minorHAnsi"/>
              </w:rPr>
              <w:t>2,367</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117B0B4F" w14:textId="77777777">
            <w:pPr>
              <w:jc w:val="center"/>
              <w:rPr>
                <w:rFonts w:cstheme="minorHAnsi"/>
              </w:rPr>
            </w:pPr>
            <w:r w:rsidRPr="00C73438">
              <w:rPr>
                <w:rFonts w:cstheme="minorHAnsi"/>
              </w:rPr>
              <w:t>1.5</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386D7F49" w14:textId="77777777">
            <w:pPr>
              <w:jc w:val="center"/>
              <w:rPr>
                <w:rFonts w:cstheme="minorHAnsi"/>
              </w:rPr>
            </w:pPr>
            <w:r w:rsidRPr="00C73438">
              <w:rPr>
                <w:rFonts w:cstheme="minorHAnsi"/>
              </w:rPr>
              <w:t>0.375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794605" w:rsidRDefault="002330F7" w14:paraId="5BB8E617" w14:textId="77777777">
            <w:pPr>
              <w:jc w:val="center"/>
              <w:rPr>
                <w:rFonts w:cstheme="minorHAnsi"/>
              </w:rPr>
            </w:pPr>
            <w:r w:rsidRPr="00C73438">
              <w:rPr>
                <w:rFonts w:cstheme="minorHAnsi"/>
              </w:rPr>
              <w:t>1,331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CA7AFA" w:rsidRDefault="002330F7" w14:paraId="5F5FE0A3" w14:textId="378573BA">
            <w:pPr>
              <w:jc w:val="center"/>
              <w:rPr>
                <w:rFonts w:cstheme="minorHAnsi"/>
              </w:rPr>
            </w:pPr>
            <w:r w:rsidRPr="00C73438">
              <w:rPr>
                <w:rFonts w:cstheme="minorHAnsi"/>
              </w:rPr>
              <w:t>$12.27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CA7AFA" w:rsidRDefault="002330F7" w14:paraId="7C39B6B6" w14:textId="15B586B5">
            <w:pPr>
              <w:jc w:val="center"/>
              <w:rPr>
                <w:rFonts w:cstheme="minorHAnsi"/>
              </w:rPr>
            </w:pPr>
            <w:r w:rsidRPr="00C73438">
              <w:rPr>
                <w:rFonts w:cstheme="minorHAnsi"/>
              </w:rPr>
              <w:t>$16,337</w:t>
            </w:r>
          </w:p>
        </w:tc>
      </w:tr>
      <w:tr w:rsidRPr="00C73438" w:rsidR="002330F7" w:rsidTr="00CA7AFA" w14:paraId="27573CB0" w14:textId="77777777">
        <w:trPr>
          <w:trHeight w:val="1250"/>
          <w:tblHeader/>
        </w:trPr>
        <w:tc>
          <w:tcPr>
            <w:tcW w:w="22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2330F7" w:rsidRDefault="002330F7" w14:paraId="605C8017" w14:textId="344D140A">
            <w:pPr>
              <w:jc w:val="center"/>
              <w:rPr>
                <w:rFonts w:cstheme="minorHAnsi"/>
              </w:rPr>
            </w:pPr>
            <w:r>
              <w:rPr>
                <w:rFonts w:cstheme="minorHAnsi"/>
              </w:rPr>
              <w:t>(</w:t>
            </w:r>
            <w:r w:rsidRPr="00C73438">
              <w:rPr>
                <w:rFonts w:cstheme="minorHAnsi"/>
              </w:rPr>
              <w:t>Center-based</w:t>
            </w:r>
            <w:r>
              <w:rPr>
                <w:rFonts w:cstheme="minorHAnsi"/>
              </w:rPr>
              <w:t>) Workforce</w:t>
            </w:r>
            <w:r w:rsidRPr="00C73438">
              <w:rPr>
                <w:rFonts w:cstheme="minorHAnsi"/>
              </w:rPr>
              <w:t xml:space="preserve"> Interview – Waves 1 and 2; Not in ECE during Focal Week</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57AAC91F" w14:textId="77777777">
            <w:pPr>
              <w:jc w:val="center"/>
              <w:rPr>
                <w:rFonts w:cstheme="minorHAnsi"/>
              </w:rPr>
            </w:pPr>
            <w:r w:rsidRPr="00C73438">
              <w:rPr>
                <w:rFonts w:cstheme="minorHAnsi"/>
              </w:rPr>
              <w:t>1,166</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2330F7" w14:paraId="4DF29123" w14:textId="77777777">
            <w:pPr>
              <w:jc w:val="center"/>
              <w:rPr>
                <w:rFonts w:cstheme="minorHAnsi"/>
              </w:rPr>
            </w:pPr>
            <w:r w:rsidRPr="00C73438">
              <w:rPr>
                <w:rFonts w:cstheme="minorHAnsi"/>
              </w:rPr>
              <w:t>1.5</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C73438" w:rsidR="002330F7" w:rsidP="00794605" w:rsidRDefault="00E4189F" w14:paraId="6DB6D49D" w14:textId="714D2185">
            <w:pPr>
              <w:jc w:val="center"/>
              <w:rPr>
                <w:rFonts w:cstheme="minorHAnsi"/>
              </w:rPr>
            </w:pPr>
            <w:r>
              <w:rPr>
                <w:rFonts w:cstheme="minorHAnsi"/>
              </w:rPr>
              <w:t>0.239</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794605" w:rsidRDefault="002330F7" w14:paraId="1A077044" w14:textId="77777777">
            <w:pPr>
              <w:jc w:val="center"/>
              <w:rPr>
                <w:rFonts w:cstheme="minorHAnsi"/>
              </w:rPr>
            </w:pPr>
            <w:r>
              <w:rPr>
                <w:rFonts w:cstheme="minorHAnsi"/>
              </w:rPr>
              <w:t>418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CA7AFA" w:rsidRDefault="002330F7" w14:paraId="2A6AA377" w14:textId="6FFD82F3">
            <w:pPr>
              <w:jc w:val="center"/>
              <w:rPr>
                <w:rFonts w:cstheme="minorHAnsi"/>
              </w:rPr>
            </w:pPr>
            <w:r w:rsidRPr="00C73438">
              <w:rPr>
                <w:rFonts w:cstheme="minorHAnsi"/>
              </w:rPr>
              <w:t>$12.27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73438" w:rsidR="002330F7" w:rsidP="00CA7AFA" w:rsidRDefault="002330F7" w14:paraId="580DE000" w14:textId="6B95A321">
            <w:pPr>
              <w:jc w:val="center"/>
              <w:rPr>
                <w:rFonts w:cstheme="minorHAnsi"/>
              </w:rPr>
            </w:pPr>
            <w:r>
              <w:rPr>
                <w:rFonts w:cstheme="minorHAnsi"/>
              </w:rPr>
              <w:t>$5,129</w:t>
            </w:r>
          </w:p>
        </w:tc>
      </w:tr>
      <w:tr w:rsidRPr="00177DCA" w:rsidR="002330F7" w:rsidTr="00794605" w14:paraId="7DE65390" w14:textId="77777777">
        <w:trPr>
          <w:trHeight w:val="341"/>
          <w:tblHeader/>
        </w:trPr>
        <w:tc>
          <w:tcPr>
            <w:tcW w:w="6655" w:type="dxa"/>
            <w:gridSpan w:val="4"/>
            <w:tcMar>
              <w:top w:w="0" w:type="dxa"/>
              <w:left w:w="108" w:type="dxa"/>
              <w:bottom w:w="0" w:type="dxa"/>
              <w:right w:w="108" w:type="dxa"/>
            </w:tcMar>
            <w:vAlign w:val="center"/>
          </w:tcPr>
          <w:p w:rsidRPr="00BA3FF7" w:rsidR="002330F7" w:rsidP="00794605" w:rsidRDefault="002330F7" w14:paraId="58BFF9DD" w14:textId="77777777">
            <w:pPr>
              <w:jc w:val="right"/>
              <w:rPr>
                <w:rFonts w:cstheme="minorHAnsi"/>
              </w:rPr>
            </w:pPr>
            <w:r w:rsidRPr="00BA3FF7">
              <w:rPr>
                <w:rFonts w:cstheme="minorHAnsi"/>
                <w:b/>
              </w:rPr>
              <w:t>Estimated Total Annual Burden Hours</w:t>
            </w:r>
          </w:p>
        </w:tc>
        <w:tc>
          <w:tcPr>
            <w:tcW w:w="1530" w:type="dxa"/>
            <w:vAlign w:val="center"/>
          </w:tcPr>
          <w:p w:rsidRPr="00BA3FF7" w:rsidR="002330F7" w:rsidP="00794605" w:rsidRDefault="002330F7" w14:paraId="57E16987" w14:textId="77777777">
            <w:pPr>
              <w:jc w:val="center"/>
              <w:rPr>
                <w:rFonts w:cstheme="minorHAnsi"/>
                <w:b/>
              </w:rPr>
            </w:pPr>
            <w:r w:rsidRPr="00BA3FF7">
              <w:rPr>
                <w:rFonts w:cstheme="minorHAnsi"/>
                <w:b/>
              </w:rPr>
              <w:t>6,337</w:t>
            </w:r>
          </w:p>
        </w:tc>
        <w:tc>
          <w:tcPr>
            <w:tcW w:w="990" w:type="dxa"/>
          </w:tcPr>
          <w:p w:rsidRPr="00BA3FF7" w:rsidR="002330F7" w:rsidP="00794605" w:rsidRDefault="002330F7" w14:paraId="7D9A3C80" w14:textId="77777777">
            <w:pPr>
              <w:jc w:val="center"/>
              <w:rPr>
                <w:rFonts w:cstheme="minorHAnsi"/>
                <w:b/>
              </w:rPr>
            </w:pPr>
          </w:p>
        </w:tc>
        <w:tc>
          <w:tcPr>
            <w:tcW w:w="1260" w:type="dxa"/>
          </w:tcPr>
          <w:p w:rsidRPr="00BA3FF7" w:rsidR="002330F7" w:rsidP="00794605" w:rsidRDefault="002330F7" w14:paraId="21100040" w14:textId="77777777">
            <w:pPr>
              <w:jc w:val="center"/>
              <w:rPr>
                <w:rFonts w:cstheme="minorHAnsi"/>
                <w:b/>
              </w:rPr>
            </w:pPr>
            <w:r>
              <w:rPr>
                <w:rFonts w:cstheme="minorHAnsi"/>
                <w:b/>
              </w:rPr>
              <w:t>$117,307</w:t>
            </w:r>
          </w:p>
        </w:tc>
      </w:tr>
    </w:tbl>
    <w:p w:rsidRPr="00B3028D" w:rsidR="002330F7" w:rsidP="002330F7" w:rsidRDefault="002330F7" w14:paraId="003D5785" w14:textId="354BD766">
      <w:pPr>
        <w:suppressAutoHyphens/>
        <w:spacing w:line="240" w:lineRule="auto"/>
        <w:contextualSpacing/>
        <w:rPr>
          <w:rFonts w:ascii="Courier New" w:hAnsi="Courier New"/>
        </w:rPr>
      </w:pPr>
      <w:r>
        <w:rPr>
          <w:rFonts w:ascii="Courier New" w:hAnsi="Courier New"/>
        </w:rPr>
        <w:t xml:space="preserve">Note: </w:t>
      </w:r>
      <w:r>
        <w:t xml:space="preserve">The above average hourly wage information includes estimates from the Bureau of Labor Statistics. The median hourly wage for </w:t>
      </w:r>
      <w:r w:rsidRPr="00D107E3">
        <w:t>11-9031 Education Administrators, Preschool and Child</w:t>
      </w:r>
      <w:r>
        <w:t xml:space="preserve"> C</w:t>
      </w:r>
      <w:r w:rsidRPr="00D107E3">
        <w:t>are Center/Program</w:t>
      </w:r>
      <w:r>
        <w:t xml:space="preserve"> is $25.81.</w:t>
      </w:r>
      <w:r>
        <w:rPr>
          <w:rStyle w:val="FootnoteReference"/>
        </w:rPr>
        <w:footnoteReference w:id="3"/>
      </w:r>
      <w:r>
        <w:t xml:space="preserve"> The median hourly wage for home-based providers or workforce members is $12.27.</w:t>
      </w:r>
      <w:r>
        <w:rPr>
          <w:rStyle w:val="FootnoteReference"/>
        </w:rPr>
        <w:footnoteReference w:id="4"/>
      </w:r>
    </w:p>
    <w:p w:rsidR="002330F7" w:rsidP="00BA3FF7" w:rsidRDefault="002330F7" w14:paraId="4DDF07DC" w14:textId="77777777">
      <w:pPr>
        <w:suppressAutoHyphens/>
        <w:spacing w:line="240" w:lineRule="auto"/>
        <w:contextualSpacing/>
        <w:rPr>
          <w:rFonts w:ascii="Courier New" w:hAnsi="Courier New"/>
        </w:rPr>
      </w:pPr>
    </w:p>
    <w:p w:rsidR="0066472D" w:rsidP="001D1C73" w:rsidRDefault="0066472D" w14:paraId="2939FEDB" w14:textId="77777777">
      <w:pPr>
        <w:spacing w:after="0" w:line="240" w:lineRule="auto"/>
      </w:pPr>
    </w:p>
    <w:p w:rsidRPr="009139B3" w:rsidR="0066472D" w:rsidP="001D1C73" w:rsidRDefault="0066472D" w14:paraId="30F2ECE7"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2330F7" w:rsidR="00B159EE" w:rsidP="00B159EE" w:rsidRDefault="00B159EE" w14:paraId="72C048A1" w14:textId="7BBF53DC">
      <w:pPr>
        <w:pStyle w:val="BodyText"/>
        <w:rPr>
          <w:rFonts w:asciiTheme="minorHAnsi" w:hAnsiTheme="minorHAnsi" w:cstheme="minorHAnsi"/>
          <w:sz w:val="22"/>
        </w:rPr>
      </w:pPr>
      <w:r w:rsidRPr="002330F7">
        <w:rPr>
          <w:rFonts w:asciiTheme="minorHAnsi" w:hAnsiTheme="minorHAnsi" w:cstheme="minorHAnsi"/>
          <w:sz w:val="22"/>
        </w:rPr>
        <w:t xml:space="preserve">Honoraria </w:t>
      </w:r>
      <w:proofErr w:type="gramStart"/>
      <w:r w:rsidRPr="002330F7">
        <w:rPr>
          <w:rFonts w:asciiTheme="minorHAnsi" w:hAnsiTheme="minorHAnsi" w:cstheme="minorHAnsi"/>
          <w:sz w:val="22"/>
        </w:rPr>
        <w:t>will be provided</w:t>
      </w:r>
      <w:proofErr w:type="gramEnd"/>
      <w:r w:rsidRPr="002330F7">
        <w:rPr>
          <w:rFonts w:asciiTheme="minorHAnsi" w:hAnsiTheme="minorHAnsi" w:cstheme="minorHAnsi"/>
          <w:sz w:val="22"/>
        </w:rPr>
        <w:t xml:space="preserve"> directly to individual participants as compensation for their time participating in the survey. </w:t>
      </w:r>
    </w:p>
    <w:p w:rsidRPr="002330F7" w:rsidR="00B159EE" w:rsidP="00B159EE" w:rsidRDefault="00B159EE" w14:paraId="55AF2AB8" w14:textId="3EE7F06C">
      <w:pPr>
        <w:pStyle w:val="NORCCaption-Exhibit"/>
        <w:spacing w:line="360" w:lineRule="auto"/>
        <w:contextualSpacing/>
        <w:rPr>
          <w:rFonts w:asciiTheme="minorHAnsi" w:hAnsiTheme="minorHAnsi" w:cstheme="minorHAnsi"/>
          <w:szCs w:val="22"/>
        </w:rPr>
      </w:pPr>
      <w:bookmarkStart w:name="_Toc527029650" w:id="0"/>
      <w:r w:rsidRPr="00B159EE">
        <w:rPr>
          <w:rFonts w:asciiTheme="minorHAnsi" w:hAnsiTheme="minorHAnsi" w:cstheme="minorHAnsi"/>
          <w:b/>
          <w:szCs w:val="22"/>
        </w:rPr>
        <w:t xml:space="preserve">Exhibit </w:t>
      </w:r>
      <w:r w:rsidR="0067342D">
        <w:rPr>
          <w:rFonts w:asciiTheme="minorHAnsi" w:hAnsiTheme="minorHAnsi" w:cstheme="minorHAnsi"/>
          <w:b/>
          <w:szCs w:val="22"/>
        </w:rPr>
        <w:t>A</w:t>
      </w:r>
      <w:r w:rsidRPr="00B159EE">
        <w:rPr>
          <w:rFonts w:asciiTheme="minorHAnsi" w:hAnsiTheme="minorHAnsi" w:cstheme="minorHAnsi"/>
          <w:b/>
          <w:szCs w:val="22"/>
        </w:rPr>
        <w:t>4</w:t>
      </w:r>
      <w:r w:rsidRPr="002330F7">
        <w:rPr>
          <w:rFonts w:asciiTheme="minorHAnsi" w:hAnsiTheme="minorHAnsi" w:cstheme="minorHAnsi"/>
          <w:b/>
          <w:szCs w:val="22"/>
        </w:rPr>
        <w:t>.</w:t>
      </w:r>
      <w:r w:rsidRPr="002330F7">
        <w:rPr>
          <w:rFonts w:asciiTheme="minorHAnsi" w:hAnsiTheme="minorHAnsi" w:cstheme="minorHAnsi"/>
          <w:szCs w:val="22"/>
        </w:rPr>
        <w:tab/>
        <w:t>Proposed Honoraria Models for 2019 NSECE</w:t>
      </w:r>
      <w:bookmarkEnd w:id="0"/>
      <w:r w:rsidRPr="002330F7">
        <w:rPr>
          <w:rFonts w:asciiTheme="minorHAnsi" w:hAnsiTheme="minorHAnsi" w:cstheme="minorHAnsi"/>
          <w:szCs w:val="22"/>
        </w:rPr>
        <w:t xml:space="preserve"> COVID-19 Follow-up</w:t>
      </w:r>
    </w:p>
    <w:p w:rsidRPr="002330F7" w:rsidR="00B159EE" w:rsidP="00B159EE" w:rsidRDefault="00B159EE" w14:paraId="3C06B3C7" w14:textId="77777777">
      <w:pPr>
        <w:pStyle w:val="NormalSS"/>
        <w:spacing w:after="0"/>
        <w:ind w:firstLine="0"/>
        <w:jc w:val="both"/>
        <w:rPr>
          <w:rFonts w:asciiTheme="minorHAnsi" w:hAnsiTheme="minorHAnsi" w:cstheme="minorHAnsi"/>
          <w:sz w:val="22"/>
          <w:szCs w:val="22"/>
        </w:rPr>
      </w:pPr>
    </w:p>
    <w:tbl>
      <w:tblPr>
        <w:tblStyle w:val="TableGrid"/>
        <w:tblW w:w="0" w:type="auto"/>
        <w:tblInd w:w="0" w:type="dxa"/>
        <w:tblLook w:val="04A0" w:firstRow="1" w:lastRow="0" w:firstColumn="1" w:lastColumn="0" w:noHBand="0" w:noVBand="1"/>
      </w:tblPr>
      <w:tblGrid>
        <w:gridCol w:w="2128"/>
        <w:gridCol w:w="1350"/>
        <w:gridCol w:w="2043"/>
        <w:gridCol w:w="2129"/>
      </w:tblGrid>
      <w:tr w:rsidRPr="00B159EE" w:rsidR="00B159EE" w:rsidTr="00794605" w14:paraId="3CEFF6A8" w14:textId="77777777">
        <w:trPr>
          <w:trHeight w:val="249"/>
        </w:trPr>
        <w:tc>
          <w:tcPr>
            <w:tcW w:w="2128" w:type="dxa"/>
            <w:shd w:val="clear" w:color="auto" w:fill="BFB6AC"/>
            <w:vAlign w:val="center"/>
          </w:tcPr>
          <w:p w:rsidRPr="002330F7" w:rsidR="00B159EE" w:rsidP="00794605" w:rsidRDefault="00B159EE" w14:paraId="682BB873" w14:textId="77777777">
            <w:pPr>
              <w:jc w:val="center"/>
              <w:rPr>
                <w:rFonts w:asciiTheme="minorHAnsi" w:hAnsiTheme="minorHAnsi" w:cstheme="minorHAnsi"/>
                <w:b/>
                <w:sz w:val="22"/>
                <w:szCs w:val="22"/>
              </w:rPr>
            </w:pPr>
            <w:r w:rsidRPr="002330F7">
              <w:rPr>
                <w:rFonts w:asciiTheme="minorHAnsi" w:hAnsiTheme="minorHAnsi" w:cstheme="minorHAnsi"/>
                <w:b/>
                <w:sz w:val="22"/>
                <w:szCs w:val="22"/>
              </w:rPr>
              <w:t>Sample</w:t>
            </w:r>
          </w:p>
        </w:tc>
        <w:tc>
          <w:tcPr>
            <w:tcW w:w="1350" w:type="dxa"/>
            <w:shd w:val="clear" w:color="auto" w:fill="BFB6AC"/>
            <w:vAlign w:val="center"/>
          </w:tcPr>
          <w:p w:rsidRPr="002330F7" w:rsidR="00B159EE" w:rsidP="00794605" w:rsidRDefault="00B159EE" w14:paraId="705007D7" w14:textId="77777777">
            <w:pPr>
              <w:jc w:val="center"/>
              <w:rPr>
                <w:rFonts w:asciiTheme="minorHAnsi" w:hAnsiTheme="minorHAnsi" w:cstheme="minorHAnsi"/>
                <w:b/>
                <w:sz w:val="22"/>
                <w:szCs w:val="22"/>
              </w:rPr>
            </w:pPr>
            <w:r w:rsidRPr="002330F7">
              <w:rPr>
                <w:rFonts w:asciiTheme="minorHAnsi" w:hAnsiTheme="minorHAnsi" w:cstheme="minorHAnsi"/>
                <w:b/>
                <w:sz w:val="22"/>
                <w:szCs w:val="22"/>
              </w:rPr>
              <w:t>Post-paid Honorarium Value**</w:t>
            </w:r>
          </w:p>
        </w:tc>
        <w:tc>
          <w:tcPr>
            <w:tcW w:w="2043" w:type="dxa"/>
            <w:shd w:val="clear" w:color="auto" w:fill="BFB6AC"/>
            <w:vAlign w:val="center"/>
          </w:tcPr>
          <w:p w:rsidRPr="002330F7" w:rsidR="00B159EE" w:rsidP="00794605" w:rsidRDefault="00B159EE" w14:paraId="4949AACE" w14:textId="77777777">
            <w:pPr>
              <w:jc w:val="center"/>
              <w:rPr>
                <w:rFonts w:asciiTheme="minorHAnsi" w:hAnsiTheme="minorHAnsi" w:cstheme="minorHAnsi"/>
                <w:b/>
                <w:sz w:val="22"/>
                <w:szCs w:val="22"/>
              </w:rPr>
            </w:pPr>
            <w:r w:rsidRPr="002330F7">
              <w:rPr>
                <w:rFonts w:asciiTheme="minorHAnsi" w:hAnsiTheme="minorHAnsi" w:cstheme="minorHAnsi"/>
                <w:b/>
                <w:sz w:val="22"/>
                <w:szCs w:val="22"/>
              </w:rPr>
              <w:t>Estimated COVID-19 Follow-up Questionnaire Completion Time (hours)</w:t>
            </w:r>
          </w:p>
        </w:tc>
        <w:tc>
          <w:tcPr>
            <w:tcW w:w="2129" w:type="dxa"/>
            <w:shd w:val="clear" w:color="auto" w:fill="BFB6AC"/>
            <w:vAlign w:val="center"/>
          </w:tcPr>
          <w:p w:rsidRPr="002330F7" w:rsidR="00B159EE" w:rsidP="00794605" w:rsidRDefault="00B159EE" w14:paraId="2A2A89AA" w14:textId="77777777">
            <w:pPr>
              <w:jc w:val="center"/>
              <w:rPr>
                <w:rFonts w:asciiTheme="minorHAnsi" w:hAnsiTheme="minorHAnsi" w:cstheme="minorHAnsi"/>
                <w:b/>
                <w:sz w:val="22"/>
                <w:szCs w:val="22"/>
              </w:rPr>
            </w:pPr>
            <w:r w:rsidRPr="002330F7">
              <w:rPr>
                <w:rFonts w:asciiTheme="minorHAnsi" w:hAnsiTheme="minorHAnsi" w:cstheme="minorHAnsi"/>
                <w:b/>
                <w:sz w:val="22"/>
                <w:szCs w:val="22"/>
              </w:rPr>
              <w:t>Estimated 2020  Wages</w:t>
            </w:r>
          </w:p>
        </w:tc>
      </w:tr>
      <w:tr w:rsidRPr="00B159EE" w:rsidR="005F50F1" w:rsidTr="00794605" w14:paraId="3CEF9066" w14:textId="77777777">
        <w:trPr>
          <w:trHeight w:val="498"/>
        </w:trPr>
        <w:tc>
          <w:tcPr>
            <w:tcW w:w="2128" w:type="dxa"/>
          </w:tcPr>
          <w:p w:rsidR="005F50F1" w:rsidP="005F50F1" w:rsidRDefault="005F50F1" w14:paraId="08EA3C52" w14:textId="4073B990">
            <w:pPr>
              <w:rPr>
                <w:rFonts w:cstheme="minorHAnsi"/>
              </w:rPr>
            </w:pPr>
            <w:r>
              <w:rPr>
                <w:rFonts w:asciiTheme="minorHAnsi" w:hAnsiTheme="minorHAnsi" w:cstheme="minorHAnsi"/>
                <w:sz w:val="22"/>
                <w:szCs w:val="22"/>
              </w:rPr>
              <w:t>H</w:t>
            </w:r>
            <w:r w:rsidRPr="002330F7">
              <w:rPr>
                <w:rFonts w:asciiTheme="minorHAnsi" w:hAnsiTheme="minorHAnsi" w:cstheme="minorHAnsi"/>
                <w:sz w:val="22"/>
                <w:szCs w:val="22"/>
              </w:rPr>
              <w:t>ome-based provider</w:t>
            </w:r>
          </w:p>
        </w:tc>
        <w:tc>
          <w:tcPr>
            <w:tcW w:w="1350" w:type="dxa"/>
            <w:vAlign w:val="center"/>
          </w:tcPr>
          <w:p w:rsidRPr="002330F7" w:rsidR="005F50F1" w:rsidP="005F50F1" w:rsidRDefault="005F50F1" w14:paraId="1D18C5BF" w14:textId="32A2A0FB">
            <w:pPr>
              <w:jc w:val="center"/>
              <w:rPr>
                <w:rFonts w:cstheme="minorHAnsi"/>
              </w:rPr>
            </w:pPr>
            <w:r w:rsidRPr="002330F7">
              <w:rPr>
                <w:rFonts w:asciiTheme="minorHAnsi" w:hAnsiTheme="minorHAnsi" w:cstheme="minorHAnsi"/>
                <w:sz w:val="22"/>
                <w:szCs w:val="22"/>
              </w:rPr>
              <w:t>$10</w:t>
            </w:r>
          </w:p>
        </w:tc>
        <w:tc>
          <w:tcPr>
            <w:tcW w:w="2043" w:type="dxa"/>
            <w:vAlign w:val="center"/>
          </w:tcPr>
          <w:p w:rsidRPr="002330F7" w:rsidR="005F50F1" w:rsidP="005F50F1" w:rsidRDefault="005F50F1" w14:paraId="5A66ED74" w14:textId="24068498">
            <w:pPr>
              <w:jc w:val="center"/>
              <w:rPr>
                <w:rFonts w:cstheme="minorHAnsi"/>
              </w:rPr>
            </w:pPr>
            <w:r w:rsidRPr="002330F7">
              <w:rPr>
                <w:rFonts w:asciiTheme="minorHAnsi" w:hAnsiTheme="minorHAnsi" w:cstheme="minorHAnsi"/>
                <w:sz w:val="22"/>
                <w:szCs w:val="22"/>
              </w:rPr>
              <w:t>0.33</w:t>
            </w:r>
          </w:p>
        </w:tc>
        <w:tc>
          <w:tcPr>
            <w:tcW w:w="2129" w:type="dxa"/>
            <w:vAlign w:val="center"/>
          </w:tcPr>
          <w:p w:rsidRPr="002330F7" w:rsidR="005F50F1" w:rsidP="005F50F1" w:rsidRDefault="005F50F1" w14:paraId="39B05667" w14:textId="291972AB">
            <w:pPr>
              <w:jc w:val="center"/>
              <w:rPr>
                <w:rFonts w:cstheme="minorHAnsi"/>
              </w:rPr>
            </w:pPr>
            <w:r w:rsidRPr="002330F7">
              <w:rPr>
                <w:rFonts w:asciiTheme="minorHAnsi" w:hAnsiTheme="minorHAnsi" w:cstheme="minorHAnsi"/>
                <w:sz w:val="22"/>
                <w:szCs w:val="22"/>
              </w:rPr>
              <w:t>$1</w:t>
            </w:r>
            <w:r w:rsidRPr="00B159EE">
              <w:rPr>
                <w:rFonts w:asciiTheme="minorHAnsi" w:hAnsiTheme="minorHAnsi" w:cstheme="minorHAnsi"/>
                <w:sz w:val="22"/>
                <w:szCs w:val="22"/>
              </w:rPr>
              <w:t>2</w:t>
            </w:r>
            <w:r w:rsidRPr="00314C42">
              <w:rPr>
                <w:rFonts w:asciiTheme="minorHAnsi" w:hAnsiTheme="minorHAnsi" w:cstheme="minorHAnsi"/>
              </w:rPr>
              <w:t>.</w:t>
            </w:r>
            <w:r>
              <w:rPr>
                <w:rFonts w:asciiTheme="minorHAnsi" w:hAnsiTheme="minorHAnsi" w:cstheme="minorHAnsi"/>
                <w:sz w:val="22"/>
                <w:szCs w:val="22"/>
              </w:rPr>
              <w:t>27</w:t>
            </w:r>
            <w:r w:rsidRPr="002330F7">
              <w:rPr>
                <w:rFonts w:asciiTheme="minorHAnsi" w:hAnsiTheme="minorHAnsi" w:cstheme="minorHAnsi"/>
                <w:sz w:val="22"/>
                <w:szCs w:val="22"/>
              </w:rPr>
              <w:t>/hour</w:t>
            </w:r>
          </w:p>
        </w:tc>
      </w:tr>
      <w:tr w:rsidRPr="00B159EE" w:rsidR="005F50F1" w:rsidTr="00794605" w14:paraId="6515D40C" w14:textId="77777777">
        <w:trPr>
          <w:trHeight w:val="498"/>
        </w:trPr>
        <w:tc>
          <w:tcPr>
            <w:tcW w:w="2128" w:type="dxa"/>
          </w:tcPr>
          <w:p w:rsidRPr="002330F7" w:rsidR="005F50F1" w:rsidP="005F50F1" w:rsidRDefault="005F50F1" w14:paraId="1B06B94C" w14:textId="3C53E2D9">
            <w:pPr>
              <w:rPr>
                <w:rFonts w:asciiTheme="minorHAnsi" w:hAnsiTheme="minorHAnsi" w:cstheme="minorHAnsi"/>
                <w:sz w:val="22"/>
                <w:szCs w:val="22"/>
              </w:rPr>
            </w:pPr>
            <w:r w:rsidRPr="002330F7">
              <w:rPr>
                <w:rFonts w:asciiTheme="minorHAnsi" w:hAnsiTheme="minorHAnsi" w:cstheme="minorHAnsi"/>
                <w:sz w:val="22"/>
                <w:szCs w:val="22"/>
              </w:rPr>
              <w:t>Center-based provider</w:t>
            </w:r>
          </w:p>
        </w:tc>
        <w:tc>
          <w:tcPr>
            <w:tcW w:w="1350" w:type="dxa"/>
            <w:vAlign w:val="center"/>
          </w:tcPr>
          <w:p w:rsidRPr="002330F7" w:rsidR="005F50F1" w:rsidP="005F50F1" w:rsidRDefault="005F50F1" w14:paraId="6BFF4AA9" w14:textId="793262DD">
            <w:pPr>
              <w:jc w:val="center"/>
              <w:rPr>
                <w:rFonts w:asciiTheme="minorHAnsi" w:hAnsiTheme="minorHAnsi" w:cstheme="minorHAnsi"/>
                <w:sz w:val="22"/>
                <w:szCs w:val="22"/>
              </w:rPr>
            </w:pPr>
            <w:r w:rsidRPr="002330F7">
              <w:rPr>
                <w:rFonts w:asciiTheme="minorHAnsi" w:hAnsiTheme="minorHAnsi" w:cstheme="minorHAnsi"/>
                <w:sz w:val="22"/>
                <w:szCs w:val="22"/>
              </w:rPr>
              <w:t>$10</w:t>
            </w:r>
          </w:p>
        </w:tc>
        <w:tc>
          <w:tcPr>
            <w:tcW w:w="2043" w:type="dxa"/>
            <w:vAlign w:val="center"/>
          </w:tcPr>
          <w:p w:rsidRPr="002330F7" w:rsidR="005F50F1" w:rsidP="005F50F1" w:rsidRDefault="005F50F1" w14:paraId="3BE01C1F" w14:textId="1D07B5CB">
            <w:pPr>
              <w:jc w:val="center"/>
              <w:rPr>
                <w:rFonts w:asciiTheme="minorHAnsi" w:hAnsiTheme="minorHAnsi" w:cstheme="minorHAnsi"/>
                <w:sz w:val="22"/>
                <w:szCs w:val="22"/>
              </w:rPr>
            </w:pPr>
            <w:r w:rsidRPr="002330F7">
              <w:rPr>
                <w:rFonts w:asciiTheme="minorHAnsi" w:hAnsiTheme="minorHAnsi" w:cstheme="minorHAnsi"/>
                <w:sz w:val="22"/>
                <w:szCs w:val="22"/>
              </w:rPr>
              <w:t>0.33</w:t>
            </w:r>
          </w:p>
        </w:tc>
        <w:tc>
          <w:tcPr>
            <w:tcW w:w="2129" w:type="dxa"/>
            <w:vAlign w:val="center"/>
          </w:tcPr>
          <w:p w:rsidRPr="00314C42" w:rsidR="005F50F1" w:rsidP="005F50F1" w:rsidRDefault="005F50F1" w14:paraId="1FA3AC4D" w14:textId="4BD5E9D0">
            <w:pPr>
              <w:jc w:val="center"/>
              <w:rPr>
                <w:rFonts w:asciiTheme="minorHAnsi" w:hAnsiTheme="minorHAnsi" w:cstheme="minorHAnsi"/>
                <w:sz w:val="22"/>
                <w:szCs w:val="22"/>
              </w:rPr>
            </w:pPr>
            <w:r w:rsidRPr="002330F7">
              <w:rPr>
                <w:rFonts w:asciiTheme="minorHAnsi" w:hAnsiTheme="minorHAnsi" w:cstheme="minorHAnsi"/>
                <w:sz w:val="22"/>
                <w:szCs w:val="22"/>
              </w:rPr>
              <w:t>Median: $25.81/hour</w:t>
            </w:r>
          </w:p>
        </w:tc>
      </w:tr>
      <w:tr w:rsidRPr="00B159EE" w:rsidR="005F50F1" w:rsidTr="00794605" w14:paraId="1F10F130" w14:textId="77777777">
        <w:trPr>
          <w:trHeight w:val="249"/>
        </w:trPr>
        <w:tc>
          <w:tcPr>
            <w:tcW w:w="2128" w:type="dxa"/>
          </w:tcPr>
          <w:p w:rsidRPr="005F50F1" w:rsidR="005F50F1" w:rsidP="005F50F1" w:rsidRDefault="005F50F1" w14:paraId="5C250B4F" w14:textId="6E689E99">
            <w:pPr>
              <w:rPr>
                <w:rFonts w:asciiTheme="minorHAnsi" w:hAnsiTheme="minorHAnsi" w:cstheme="minorHAnsi"/>
                <w:sz w:val="22"/>
                <w:szCs w:val="22"/>
              </w:rPr>
            </w:pPr>
            <w:r w:rsidRPr="005F50F1">
              <w:rPr>
                <w:rFonts w:asciiTheme="minorHAnsi" w:hAnsiTheme="minorHAnsi" w:cstheme="minorHAnsi"/>
                <w:sz w:val="22"/>
                <w:szCs w:val="22"/>
              </w:rPr>
              <w:t>(Center-based)</w:t>
            </w:r>
            <w:r w:rsidRPr="005F50F1">
              <w:rPr>
                <w:rFonts w:asciiTheme="minorHAnsi" w:hAnsiTheme="minorHAnsi" w:cstheme="minorHAnsi"/>
              </w:rPr>
              <w:t xml:space="preserve"> </w:t>
            </w:r>
            <w:r w:rsidRPr="005F50F1">
              <w:rPr>
                <w:rFonts w:asciiTheme="minorHAnsi" w:hAnsiTheme="minorHAnsi" w:cstheme="minorHAnsi"/>
                <w:sz w:val="22"/>
                <w:szCs w:val="22"/>
              </w:rPr>
              <w:t>W</w:t>
            </w:r>
            <w:r w:rsidRPr="005F50F1">
              <w:rPr>
                <w:rFonts w:asciiTheme="minorHAnsi" w:hAnsiTheme="minorHAnsi" w:cstheme="minorHAnsi"/>
              </w:rPr>
              <w:t>orkforce</w:t>
            </w:r>
          </w:p>
        </w:tc>
        <w:tc>
          <w:tcPr>
            <w:tcW w:w="1350" w:type="dxa"/>
            <w:vAlign w:val="center"/>
          </w:tcPr>
          <w:p w:rsidRPr="005F50F1" w:rsidR="005F50F1" w:rsidP="005F50F1" w:rsidRDefault="005F50F1" w14:paraId="142FAC8B" w14:textId="77777777">
            <w:pPr>
              <w:jc w:val="center"/>
              <w:rPr>
                <w:rFonts w:asciiTheme="minorHAnsi" w:hAnsiTheme="minorHAnsi" w:cstheme="minorHAnsi"/>
                <w:sz w:val="22"/>
                <w:szCs w:val="22"/>
              </w:rPr>
            </w:pPr>
            <w:r w:rsidRPr="005F50F1">
              <w:rPr>
                <w:rFonts w:asciiTheme="minorHAnsi" w:hAnsiTheme="minorHAnsi" w:cstheme="minorHAnsi"/>
                <w:sz w:val="22"/>
                <w:szCs w:val="22"/>
              </w:rPr>
              <w:t>$10</w:t>
            </w:r>
          </w:p>
        </w:tc>
        <w:tc>
          <w:tcPr>
            <w:tcW w:w="2043" w:type="dxa"/>
            <w:vAlign w:val="center"/>
          </w:tcPr>
          <w:p w:rsidRPr="005F50F1" w:rsidR="005F50F1" w:rsidP="005F50F1" w:rsidRDefault="005F50F1" w14:paraId="03FB17FB" w14:textId="77777777">
            <w:pPr>
              <w:jc w:val="center"/>
              <w:rPr>
                <w:rFonts w:asciiTheme="minorHAnsi" w:hAnsiTheme="minorHAnsi" w:cstheme="minorHAnsi"/>
                <w:sz w:val="22"/>
                <w:szCs w:val="22"/>
              </w:rPr>
            </w:pPr>
            <w:r w:rsidRPr="005F50F1">
              <w:rPr>
                <w:rFonts w:asciiTheme="minorHAnsi" w:hAnsiTheme="minorHAnsi" w:cstheme="minorHAnsi"/>
                <w:sz w:val="22"/>
                <w:szCs w:val="22"/>
              </w:rPr>
              <w:t>0.33</w:t>
            </w:r>
          </w:p>
        </w:tc>
        <w:tc>
          <w:tcPr>
            <w:tcW w:w="2129" w:type="dxa"/>
            <w:vAlign w:val="center"/>
          </w:tcPr>
          <w:p w:rsidRPr="005F50F1" w:rsidR="005F50F1" w:rsidP="005F50F1" w:rsidRDefault="005F50F1" w14:paraId="52D3B699" w14:textId="4056B5AA">
            <w:pPr>
              <w:jc w:val="center"/>
              <w:rPr>
                <w:rFonts w:asciiTheme="minorHAnsi" w:hAnsiTheme="minorHAnsi" w:cstheme="minorHAnsi"/>
                <w:sz w:val="22"/>
                <w:szCs w:val="22"/>
              </w:rPr>
            </w:pPr>
            <w:r w:rsidRPr="005F50F1">
              <w:rPr>
                <w:rFonts w:asciiTheme="minorHAnsi" w:hAnsiTheme="minorHAnsi" w:cstheme="minorHAnsi"/>
                <w:sz w:val="22"/>
                <w:szCs w:val="22"/>
              </w:rPr>
              <w:t>Median: $12.27/hour</w:t>
            </w:r>
          </w:p>
        </w:tc>
      </w:tr>
    </w:tbl>
    <w:p w:rsidRPr="00CA7AFA" w:rsidR="001D1C73" w:rsidP="00CA7AFA" w:rsidRDefault="002330F7" w14:paraId="01ADACD0" w14:textId="62377076">
      <w:r>
        <w:t>Note: Estimated wages from BLS as indicated for Exhibit 3.</w:t>
      </w:r>
    </w:p>
    <w:p w:rsidRPr="009139B3" w:rsidR="001D1C73" w:rsidP="001D1C73" w:rsidRDefault="001D1C73" w14:paraId="7ECB5AF6"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9139B3" w:rsidR="001D1C73" w:rsidP="001D1C73" w:rsidRDefault="001D1C73" w14:paraId="35E516D7" w14:textId="77777777">
      <w:pPr>
        <w:spacing w:after="0" w:line="240" w:lineRule="auto"/>
        <w:rPr>
          <w:rFonts w:cstheme="minorHAnsi"/>
        </w:rPr>
      </w:pPr>
    </w:p>
    <w:p w:rsidRPr="009139B3" w:rsidR="001D1C73" w:rsidP="001D1C73" w:rsidRDefault="002330F7" w14:paraId="30A9FAE4" w14:textId="62FF2644">
      <w:pPr>
        <w:spacing w:after="0"/>
      </w:pPr>
      <w:r>
        <w:t xml:space="preserve">Exhibit </w:t>
      </w:r>
      <w:r w:rsidR="0067342D">
        <w:t>A</w:t>
      </w:r>
      <w:r>
        <w:t>5. Estimated Costs for Proposed Data Collection</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A7124D"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A7124D" w:rsidRDefault="001D1C73" w14:paraId="040ACCEE" w14:textId="77777777">
            <w:pPr>
              <w:spacing w:after="0"/>
              <w:rPr>
                <w:b/>
                <w:bCs/>
                <w:sz w:val="20"/>
              </w:rPr>
            </w:pPr>
            <w:bookmarkStart w:name="_GoBack" w:colFirst="2" w:colLast="2" w:id="1"/>
            <w:r w:rsidRPr="009139B3">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A7124D" w:rsidRDefault="001D1C73" w14:paraId="2D64809B" w14:textId="77777777">
            <w:pPr>
              <w:spacing w:after="0"/>
              <w:jc w:val="center"/>
              <w:rPr>
                <w:b/>
                <w:bCs/>
                <w:sz w:val="20"/>
              </w:rPr>
            </w:pPr>
            <w:r w:rsidRPr="009139B3">
              <w:rPr>
                <w:b/>
                <w:bCs/>
                <w:sz w:val="20"/>
              </w:rPr>
              <w:t>Estimated Costs</w:t>
            </w:r>
          </w:p>
        </w:tc>
      </w:tr>
      <w:tr w:rsidRPr="009139B3" w:rsidR="001D1C73" w:rsidTr="00A7124D"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A7124D" w:rsidRDefault="001D1C73" w14:paraId="28494A95" w14:textId="77777777">
            <w:pPr>
              <w:spacing w:after="0"/>
              <w:rPr>
                <w:sz w:val="20"/>
              </w:rPr>
            </w:pPr>
            <w:r w:rsidRPr="009139B3">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640B0E" w:rsidRDefault="001D1C73" w14:paraId="1EBEFF56" w14:textId="68D75A96">
            <w:pPr>
              <w:spacing w:after="0"/>
              <w:jc w:val="center"/>
              <w:rPr>
                <w:sz w:val="20"/>
              </w:rPr>
            </w:pPr>
            <w:r w:rsidRPr="009139B3">
              <w:rPr>
                <w:sz w:val="20"/>
              </w:rPr>
              <w:t>$</w:t>
            </w:r>
            <w:r w:rsidR="00640B0E">
              <w:rPr>
                <w:sz w:val="20"/>
              </w:rPr>
              <w:t>162,260</w:t>
            </w:r>
          </w:p>
        </w:tc>
      </w:tr>
      <w:tr w:rsidRPr="009139B3" w:rsidR="001D1C73" w:rsidTr="00A7124D"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A7124D" w:rsidRDefault="001D1C73" w14:paraId="299A5ADE" w14:textId="77777777">
            <w:pPr>
              <w:spacing w:after="0"/>
              <w:rPr>
                <w:rFonts w:ascii="Calibri" w:hAnsi="Calibri" w:eastAsia="Calibri" w:cs="Calibri"/>
                <w:sz w:val="20"/>
              </w:rPr>
            </w:pPr>
            <w:r w:rsidRPr="009139B3">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640B0E" w:rsidRDefault="001D1C73" w14:paraId="219CBE6F" w14:textId="4EC6072A">
            <w:pPr>
              <w:spacing w:after="0"/>
              <w:jc w:val="center"/>
              <w:rPr>
                <w:sz w:val="20"/>
              </w:rPr>
            </w:pPr>
            <w:r w:rsidRPr="009139B3">
              <w:rPr>
                <w:sz w:val="20"/>
              </w:rPr>
              <w:t>$</w:t>
            </w:r>
            <w:r w:rsidR="00640B0E">
              <w:rPr>
                <w:sz w:val="20"/>
              </w:rPr>
              <w:t>5,211,009</w:t>
            </w:r>
          </w:p>
        </w:tc>
      </w:tr>
      <w:tr w:rsidRPr="009139B3" w:rsidR="001D1C73" w:rsidTr="00A7124D"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A7124D" w:rsidRDefault="001D1C73" w14:paraId="2DD9D85F" w14:textId="77777777">
            <w:pPr>
              <w:spacing w:after="0"/>
              <w:rPr>
                <w:sz w:val="20"/>
              </w:rPr>
            </w:pPr>
            <w:r w:rsidRPr="009139B3">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A7124D" w:rsidRDefault="001D1C73" w14:paraId="194E752D" w14:textId="4465648C">
            <w:pPr>
              <w:spacing w:after="0"/>
              <w:jc w:val="center"/>
              <w:rPr>
                <w:sz w:val="20"/>
              </w:rPr>
            </w:pPr>
            <w:r w:rsidRPr="009139B3">
              <w:rPr>
                <w:sz w:val="20"/>
              </w:rPr>
              <w:t>$</w:t>
            </w:r>
            <w:r w:rsidR="00D60C11">
              <w:rPr>
                <w:sz w:val="20"/>
              </w:rPr>
              <w:t>1,294,691</w:t>
            </w:r>
          </w:p>
        </w:tc>
      </w:tr>
      <w:tr w:rsidRPr="009139B3" w:rsidR="001D1C73" w:rsidTr="00A7124D"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A7124D" w:rsidRDefault="001D1C73" w14:paraId="6E55C846" w14:textId="77777777">
            <w:pPr>
              <w:spacing w:after="0"/>
              <w:rPr>
                <w:rFonts w:ascii="Calibri" w:hAnsi="Calibri" w:eastAsia="Calibri" w:cs="Calibri"/>
                <w:sz w:val="20"/>
              </w:rPr>
            </w:pPr>
            <w:r w:rsidRPr="009139B3">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A7124D" w:rsidRDefault="001D1C73" w14:paraId="6BF10F4D" w14:textId="0A8D1914">
            <w:pPr>
              <w:spacing w:after="0"/>
              <w:jc w:val="center"/>
              <w:rPr>
                <w:sz w:val="20"/>
              </w:rPr>
            </w:pPr>
            <w:r w:rsidRPr="009139B3">
              <w:rPr>
                <w:sz w:val="20"/>
              </w:rPr>
              <w:t>$</w:t>
            </w:r>
            <w:r w:rsidR="00640B0E">
              <w:rPr>
                <w:sz w:val="20"/>
              </w:rPr>
              <w:t>407,789</w:t>
            </w:r>
          </w:p>
        </w:tc>
      </w:tr>
      <w:tr w:rsidRPr="009139B3" w:rsidR="001D1C73" w:rsidTr="00A7124D"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A7124D" w:rsidRDefault="001D1C73"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A7124D" w:rsidRDefault="001D1C73" w14:paraId="0B43751B" w14:textId="32812CEE">
            <w:pPr>
              <w:spacing w:after="0"/>
              <w:jc w:val="center"/>
              <w:rPr>
                <w:b/>
                <w:bCs/>
                <w:sz w:val="20"/>
              </w:rPr>
            </w:pPr>
            <w:r w:rsidRPr="009139B3">
              <w:rPr>
                <w:sz w:val="20"/>
              </w:rPr>
              <w:t>$</w:t>
            </w:r>
            <w:r w:rsidR="000D582C">
              <w:rPr>
                <w:sz w:val="20"/>
              </w:rPr>
              <w:t>7,075,749</w:t>
            </w:r>
          </w:p>
        </w:tc>
      </w:tr>
      <w:bookmarkEnd w:id="1"/>
    </w:tbl>
    <w:p w:rsidRPr="009139B3" w:rsidR="001D1C73" w:rsidP="001D1C73" w:rsidRDefault="001D1C73" w14:paraId="29B359B6" w14:textId="616A2915">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1D1C73" w:rsidRDefault="00A310AB" w14:paraId="2E8F0BA5" w14:textId="19CDF880">
      <w:pPr>
        <w:spacing w:after="0" w:line="240" w:lineRule="auto"/>
        <w:rPr>
          <w:rFonts w:cstheme="minorHAnsi"/>
        </w:rPr>
      </w:pPr>
      <w:r>
        <w:rPr>
          <w:rFonts w:cstheme="minorHAnsi"/>
        </w:rPr>
        <w:t>ACF is requesting to reinstate the previously approved information collection (0970-0391) with changes, initiating two additional waves of</w:t>
      </w:r>
      <w:r w:rsidR="0062346D">
        <w:rPr>
          <w:rFonts w:cstheme="minorHAnsi"/>
        </w:rPr>
        <w:t xml:space="preserve"> information collection</w:t>
      </w:r>
      <w:r>
        <w:rPr>
          <w:rFonts w:cstheme="minorHAnsi"/>
        </w:rPr>
        <w:t xml:space="preserve"> and thus increasing the previously approved burden estimate.</w:t>
      </w:r>
    </w:p>
    <w:p w:rsidRPr="009139B3" w:rsidR="001D1C73" w:rsidP="001D1C73" w:rsidRDefault="001D1C73" w14:paraId="40BE8BE3" w14:textId="77777777">
      <w:pPr>
        <w:spacing w:after="0" w:line="240" w:lineRule="auto"/>
        <w:rPr>
          <w:rFonts w:cstheme="minorHAnsi"/>
        </w:rPr>
      </w:pPr>
    </w:p>
    <w:p w:rsidR="001D1C73" w:rsidP="001D1C73" w:rsidRDefault="001D1C73" w14:paraId="69096039" w14:textId="77777777">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9139B3" w:rsidR="00365D6F" w:rsidP="001D1C73" w:rsidRDefault="00A310AB" w14:paraId="6B1295F7" w14:textId="75D0DACB">
      <w:pPr>
        <w:spacing w:after="120" w:line="240" w:lineRule="auto"/>
        <w:rPr>
          <w:rFonts w:cstheme="minorHAnsi"/>
        </w:rPr>
      </w:pPr>
      <w:r>
        <w:rPr>
          <w:rFonts w:cstheme="minorHAnsi"/>
          <w:b/>
        </w:rPr>
        <w:t>Pending OMB approval, ACF proposes the</w:t>
      </w:r>
      <w:r w:rsidR="00365D6F">
        <w:rPr>
          <w:rFonts w:cstheme="minorHAnsi"/>
          <w:b/>
        </w:rPr>
        <w:t xml:space="preserve"> </w:t>
      </w:r>
      <w:r>
        <w:rPr>
          <w:rFonts w:cstheme="minorHAnsi"/>
          <w:b/>
        </w:rPr>
        <w:t>following updated project timeline</w:t>
      </w:r>
      <w:r w:rsidR="00365D6F">
        <w:rPr>
          <w:rFonts w:cstheme="minorHAnsi"/>
          <w:b/>
        </w:rPr>
        <w:t>:</w:t>
      </w:r>
    </w:p>
    <w:p w:rsidR="00365D6F" w:rsidP="001D1C73" w:rsidRDefault="00365D6F" w14:paraId="0DC402EB" w14:textId="0145D5F1">
      <w:pPr>
        <w:spacing w:after="0" w:line="240" w:lineRule="auto"/>
        <w:rPr>
          <w:rFonts w:cstheme="minorHAnsi"/>
        </w:rPr>
      </w:pPr>
      <w:r>
        <w:rPr>
          <w:rFonts w:cstheme="minorHAnsi"/>
        </w:rPr>
        <w:t>Questionnaire design</w:t>
      </w:r>
      <w:r>
        <w:rPr>
          <w:rFonts w:cstheme="minorHAnsi"/>
        </w:rPr>
        <w:tab/>
      </w:r>
      <w:r>
        <w:rPr>
          <w:rFonts w:cstheme="minorHAnsi"/>
        </w:rPr>
        <w:tab/>
      </w:r>
      <w:r>
        <w:rPr>
          <w:rFonts w:cstheme="minorHAnsi"/>
        </w:rPr>
        <w:tab/>
        <w:t>July 2020 – September 2020</w:t>
      </w:r>
    </w:p>
    <w:p w:rsidR="001D1C73" w:rsidP="001D1C73" w:rsidRDefault="00365D6F" w14:paraId="27BD65F7" w14:textId="6F2D3492">
      <w:pPr>
        <w:spacing w:after="0" w:line="240" w:lineRule="auto"/>
        <w:rPr>
          <w:rFonts w:cstheme="minorHAnsi"/>
        </w:rPr>
      </w:pPr>
      <w:r>
        <w:rPr>
          <w:rFonts w:cstheme="minorHAnsi"/>
        </w:rPr>
        <w:t>Wave 1 data collection</w:t>
      </w:r>
      <w:r>
        <w:rPr>
          <w:rFonts w:cstheme="minorHAnsi"/>
        </w:rPr>
        <w:tab/>
      </w:r>
      <w:r>
        <w:rPr>
          <w:rFonts w:cstheme="minorHAnsi"/>
        </w:rPr>
        <w:tab/>
      </w:r>
      <w:r>
        <w:rPr>
          <w:rFonts w:cstheme="minorHAnsi"/>
        </w:rPr>
        <w:tab/>
        <w:t>November 1, 2020 – January 31, 2021</w:t>
      </w:r>
    </w:p>
    <w:p w:rsidR="00365D6F" w:rsidP="001D1C73" w:rsidRDefault="00365D6F" w14:paraId="6793E9BF" w14:textId="1819EBCD">
      <w:pPr>
        <w:spacing w:after="0" w:line="240" w:lineRule="auto"/>
        <w:rPr>
          <w:rFonts w:cstheme="minorHAnsi"/>
        </w:rPr>
      </w:pPr>
      <w:r>
        <w:rPr>
          <w:rFonts w:cstheme="minorHAnsi"/>
        </w:rPr>
        <w:t>Wave 1 data processing/analysis</w:t>
      </w:r>
      <w:r>
        <w:rPr>
          <w:rFonts w:cstheme="minorHAnsi"/>
        </w:rPr>
        <w:tab/>
        <w:t xml:space="preserve">February – </w:t>
      </w:r>
      <w:proofErr w:type="gramStart"/>
      <w:r>
        <w:rPr>
          <w:rFonts w:cstheme="minorHAnsi"/>
        </w:rPr>
        <w:t>May,</w:t>
      </w:r>
      <w:proofErr w:type="gramEnd"/>
      <w:r>
        <w:rPr>
          <w:rFonts w:cstheme="minorHAnsi"/>
        </w:rPr>
        <w:t xml:space="preserve"> 2021</w:t>
      </w:r>
    </w:p>
    <w:p w:rsidR="00365D6F" w:rsidP="001D1C73" w:rsidRDefault="00365D6F" w14:paraId="7FDFF02F" w14:textId="3446C3D2">
      <w:pPr>
        <w:spacing w:after="0" w:line="240" w:lineRule="auto"/>
        <w:rPr>
          <w:rFonts w:cstheme="minorHAnsi"/>
        </w:rPr>
      </w:pPr>
      <w:r>
        <w:rPr>
          <w:rFonts w:cstheme="minorHAnsi"/>
        </w:rPr>
        <w:lastRenderedPageBreak/>
        <w:t>Wave 2 data collection</w:t>
      </w:r>
      <w:r>
        <w:rPr>
          <w:rFonts w:cstheme="minorHAnsi"/>
        </w:rPr>
        <w:tab/>
      </w:r>
      <w:r>
        <w:rPr>
          <w:rFonts w:cstheme="minorHAnsi"/>
        </w:rPr>
        <w:tab/>
      </w:r>
      <w:r>
        <w:rPr>
          <w:rFonts w:cstheme="minorHAnsi"/>
        </w:rPr>
        <w:tab/>
        <w:t>April 1, 2021 – June 30, 2021</w:t>
      </w:r>
    </w:p>
    <w:p w:rsidR="00365D6F" w:rsidP="001D1C73" w:rsidRDefault="00365D6F" w14:paraId="3577DB82" w14:textId="7FE983DA">
      <w:pPr>
        <w:spacing w:after="0" w:line="240" w:lineRule="auto"/>
        <w:rPr>
          <w:rFonts w:cstheme="minorHAnsi"/>
        </w:rPr>
      </w:pPr>
      <w:r>
        <w:rPr>
          <w:rFonts w:cstheme="minorHAnsi"/>
        </w:rPr>
        <w:t>Initial findings release Wave 1</w:t>
      </w:r>
      <w:r>
        <w:rPr>
          <w:rFonts w:cstheme="minorHAnsi"/>
        </w:rPr>
        <w:tab/>
      </w:r>
      <w:r>
        <w:rPr>
          <w:rFonts w:cstheme="minorHAnsi"/>
        </w:rPr>
        <w:tab/>
        <w:t>April-June 2021</w:t>
      </w:r>
    </w:p>
    <w:p w:rsidR="00365D6F" w:rsidP="001D1C73" w:rsidRDefault="00365D6F" w14:paraId="1323312F" w14:textId="77A09C2A">
      <w:pPr>
        <w:spacing w:after="0" w:line="240" w:lineRule="auto"/>
        <w:rPr>
          <w:rFonts w:cstheme="minorHAnsi"/>
        </w:rPr>
      </w:pPr>
      <w:r>
        <w:rPr>
          <w:rFonts w:cstheme="minorHAnsi"/>
        </w:rPr>
        <w:t>Wave 2 data processing/analysis</w:t>
      </w:r>
      <w:r>
        <w:rPr>
          <w:rFonts w:cstheme="minorHAnsi"/>
        </w:rPr>
        <w:tab/>
        <w:t xml:space="preserve">July – </w:t>
      </w:r>
      <w:proofErr w:type="gramStart"/>
      <w:r>
        <w:rPr>
          <w:rFonts w:cstheme="minorHAnsi"/>
        </w:rPr>
        <w:t>October,</w:t>
      </w:r>
      <w:proofErr w:type="gramEnd"/>
      <w:r>
        <w:rPr>
          <w:rFonts w:cstheme="minorHAnsi"/>
        </w:rPr>
        <w:t xml:space="preserve"> 2021</w:t>
      </w:r>
    </w:p>
    <w:p w:rsidR="001F489D" w:rsidP="001D1C73" w:rsidRDefault="00365D6F" w14:paraId="6161B4FD" w14:textId="68668824">
      <w:pPr>
        <w:spacing w:after="0" w:line="240" w:lineRule="auto"/>
        <w:rPr>
          <w:rFonts w:cstheme="minorHAnsi"/>
        </w:rPr>
      </w:pPr>
      <w:r>
        <w:rPr>
          <w:rFonts w:cstheme="minorHAnsi"/>
        </w:rPr>
        <w:t>Initial findings release Wave 2</w:t>
      </w:r>
      <w:r>
        <w:rPr>
          <w:rFonts w:cstheme="minorHAnsi"/>
        </w:rPr>
        <w:tab/>
      </w:r>
      <w:r>
        <w:rPr>
          <w:rFonts w:cstheme="minorHAnsi"/>
        </w:rPr>
        <w:tab/>
        <w:t>September-</w:t>
      </w:r>
      <w:proofErr w:type="gramStart"/>
      <w:r>
        <w:rPr>
          <w:rFonts w:cstheme="minorHAnsi"/>
        </w:rPr>
        <w:t>November,</w:t>
      </w:r>
      <w:proofErr w:type="gramEnd"/>
      <w:r>
        <w:rPr>
          <w:rFonts w:cstheme="minorHAnsi"/>
        </w:rPr>
        <w:t xml:space="preserve"> 2021</w:t>
      </w:r>
    </w:p>
    <w:p w:rsidR="00E87AFC" w:rsidP="001D1C73" w:rsidRDefault="00E87AFC" w14:paraId="5AB706A6" w14:textId="2C04FB77">
      <w:pPr>
        <w:spacing w:after="0" w:line="240" w:lineRule="auto"/>
        <w:rPr>
          <w:rFonts w:cstheme="minorHAnsi"/>
        </w:rPr>
      </w:pPr>
      <w:r>
        <w:rPr>
          <w:rFonts w:cstheme="minorHAnsi"/>
        </w:rPr>
        <w:t>Data files available for public use</w:t>
      </w:r>
      <w:r>
        <w:rPr>
          <w:rFonts w:cstheme="minorHAnsi"/>
        </w:rPr>
        <w:tab/>
        <w:t>November-December 2021</w:t>
      </w:r>
    </w:p>
    <w:p w:rsidRPr="009139B3" w:rsidR="001F489D" w:rsidP="001D1C73" w:rsidRDefault="001F489D" w14:paraId="7C6934EF"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FE33ECD" w14:textId="3EDFFF10">
      <w:pPr>
        <w:spacing w:after="0"/>
      </w:pPr>
    </w:p>
    <w:p w:rsidR="001D1C73" w:rsidP="001D1C73" w:rsidRDefault="001D1C73" w14:paraId="7BED44AA" w14:textId="77777777">
      <w:pPr>
        <w:spacing w:after="120" w:line="240" w:lineRule="auto"/>
        <w:rPr>
          <w:b/>
        </w:rPr>
      </w:pPr>
      <w:r w:rsidRPr="009139B3">
        <w:rPr>
          <w:b/>
        </w:rPr>
        <w:t>Attachments</w:t>
      </w:r>
    </w:p>
    <w:p w:rsidR="00204F27" w:rsidP="00204F27" w:rsidRDefault="00204F27" w14:paraId="4E17D7B3" w14:textId="6824F64D">
      <w:pPr>
        <w:spacing w:after="0" w:line="240" w:lineRule="auto"/>
      </w:pPr>
      <w:r>
        <w:t>Instrument 1</w:t>
      </w:r>
      <w:r>
        <w:t>: NSECE COVID-19 Follow-up Home-based Provider Questionnaire</w:t>
      </w:r>
    </w:p>
    <w:p w:rsidR="00314C42" w:rsidP="00B0690D" w:rsidRDefault="00204F27" w14:paraId="73AF1BCF" w14:textId="23F0126B">
      <w:pPr>
        <w:spacing w:after="0" w:line="240" w:lineRule="auto"/>
      </w:pPr>
      <w:r>
        <w:t>Instrument 2</w:t>
      </w:r>
      <w:r w:rsidR="00314C42">
        <w:t>: NSECE COVID-19 Follow-up Center-based Provider Questionnaire</w:t>
      </w:r>
    </w:p>
    <w:p w:rsidR="00314C42" w:rsidP="00B0690D" w:rsidRDefault="00314C42" w14:paraId="3FB40E3C" w14:textId="77777777">
      <w:pPr>
        <w:spacing w:after="0" w:line="240" w:lineRule="auto"/>
      </w:pPr>
      <w:r>
        <w:t>Instrument 3: NSECE COVID-19 Follow-up Workforce Questionnaire</w:t>
      </w:r>
    </w:p>
    <w:p w:rsidR="00314C42" w:rsidP="00B0690D" w:rsidRDefault="00314C42" w14:paraId="7992FD25" w14:textId="77777777">
      <w:pPr>
        <w:spacing w:after="0" w:line="240" w:lineRule="auto"/>
      </w:pPr>
      <w:r>
        <w:t>Appendix A: NSECE COVID-19 Follow-up Study Research Questions</w:t>
      </w:r>
    </w:p>
    <w:p w:rsidR="00314C42" w:rsidP="00B0690D" w:rsidRDefault="00314C42" w14:paraId="17065D1E" w14:textId="77777777">
      <w:pPr>
        <w:spacing w:after="0" w:line="240" w:lineRule="auto"/>
      </w:pPr>
      <w:r>
        <w:t>Appendix B: Center-based Provider COVID-19 Follow-up Survey Contact Materials</w:t>
      </w:r>
    </w:p>
    <w:p w:rsidR="00314C42" w:rsidP="00B0690D" w:rsidRDefault="00314C42" w14:paraId="6A2F184B" w14:textId="77777777">
      <w:pPr>
        <w:spacing w:after="0" w:line="240" w:lineRule="auto"/>
      </w:pPr>
      <w:r>
        <w:t>Appendix C: Home-based Provider COVID-19 Follow-up Survey Contact Materials</w:t>
      </w:r>
    </w:p>
    <w:p w:rsidR="00314C42" w:rsidP="00B0690D" w:rsidRDefault="00314C42" w14:paraId="2BC3F1A1" w14:textId="77777777">
      <w:pPr>
        <w:spacing w:after="0" w:line="240" w:lineRule="auto"/>
      </w:pPr>
      <w:r>
        <w:t>Appendix D: Workforce COVID-19 Follow-up Survey Contact Materials</w:t>
      </w:r>
    </w:p>
    <w:p w:rsidRPr="006B53F1" w:rsidR="00083227" w:rsidP="00560F3E" w:rsidRDefault="00083227" w14:paraId="1E574BF6" w14:textId="77777777"/>
    <w:sectPr w:rsidRPr="006B53F1" w:rsidR="00083227" w:rsidSect="00BA3FF7">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9584D" w14:textId="77777777" w:rsidR="0013335C" w:rsidRDefault="0013335C" w:rsidP="0004063C">
      <w:pPr>
        <w:spacing w:after="0" w:line="240" w:lineRule="auto"/>
      </w:pPr>
      <w:r>
        <w:separator/>
      </w:r>
    </w:p>
  </w:endnote>
  <w:endnote w:type="continuationSeparator" w:id="0">
    <w:p w14:paraId="0F6A5F2D" w14:textId="77777777" w:rsidR="0013335C" w:rsidRDefault="0013335C"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02168"/>
      <w:docPartObj>
        <w:docPartGallery w:val="Page Numbers (Bottom of Page)"/>
        <w:docPartUnique/>
      </w:docPartObj>
    </w:sdtPr>
    <w:sdtEndPr>
      <w:rPr>
        <w:noProof/>
      </w:rPr>
    </w:sdtEndPr>
    <w:sdtContent>
      <w:p w14:paraId="03A5A331" w14:textId="59F8C150" w:rsidR="000D0729" w:rsidRDefault="000D0729">
        <w:pPr>
          <w:pStyle w:val="Footer"/>
          <w:jc w:val="right"/>
        </w:pPr>
        <w:r>
          <w:fldChar w:fldCharType="begin"/>
        </w:r>
        <w:r>
          <w:instrText xml:space="preserve"> PAGE   \* MERGEFORMAT </w:instrText>
        </w:r>
        <w:r>
          <w:fldChar w:fldCharType="separate"/>
        </w:r>
        <w:r w:rsidR="005F50F1">
          <w:rPr>
            <w:noProof/>
          </w:rPr>
          <w:t>7</w:t>
        </w:r>
        <w:r>
          <w:rPr>
            <w:noProof/>
          </w:rPr>
          <w:fldChar w:fldCharType="end"/>
        </w:r>
      </w:p>
    </w:sdtContent>
  </w:sdt>
  <w:p w14:paraId="04723F22" w14:textId="77777777" w:rsidR="000D0729" w:rsidRDefault="000D0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003632"/>
      <w:docPartObj>
        <w:docPartGallery w:val="Page Numbers (Bottom of Page)"/>
        <w:docPartUnique/>
      </w:docPartObj>
    </w:sdtPr>
    <w:sdtEndPr>
      <w:rPr>
        <w:noProof/>
      </w:rPr>
    </w:sdtEndPr>
    <w:sdtContent>
      <w:p w14:paraId="645395AD" w14:textId="399C39A7" w:rsidR="000D0729" w:rsidRDefault="000D0729">
        <w:pPr>
          <w:pStyle w:val="Footer"/>
          <w:jc w:val="right"/>
        </w:pPr>
        <w:r>
          <w:fldChar w:fldCharType="begin"/>
        </w:r>
        <w:r>
          <w:instrText xml:space="preserve"> PAGE   \* MERGEFORMAT </w:instrText>
        </w:r>
        <w:r>
          <w:fldChar w:fldCharType="separate"/>
        </w:r>
        <w:r w:rsidR="005F50F1">
          <w:rPr>
            <w:noProof/>
          </w:rPr>
          <w:t>14</w:t>
        </w:r>
        <w:r>
          <w:rPr>
            <w:noProof/>
          </w:rPr>
          <w:fldChar w:fldCharType="end"/>
        </w:r>
      </w:p>
    </w:sdtContent>
  </w:sdt>
  <w:p w14:paraId="75A1FC37" w14:textId="77777777" w:rsidR="000D0729" w:rsidRDefault="000D0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F6AD5" w14:textId="77777777" w:rsidR="0013335C" w:rsidRDefault="0013335C" w:rsidP="0004063C">
      <w:pPr>
        <w:spacing w:after="0" w:line="240" w:lineRule="auto"/>
      </w:pPr>
      <w:r>
        <w:separator/>
      </w:r>
    </w:p>
  </w:footnote>
  <w:footnote w:type="continuationSeparator" w:id="0">
    <w:p w14:paraId="695C18C1" w14:textId="77777777" w:rsidR="0013335C" w:rsidRDefault="0013335C" w:rsidP="0004063C">
      <w:pPr>
        <w:spacing w:after="0" w:line="240" w:lineRule="auto"/>
      </w:pPr>
      <w:r>
        <w:continuationSeparator/>
      </w:r>
    </w:p>
  </w:footnote>
  <w:footnote w:id="1">
    <w:p w14:paraId="3D293AFC" w14:textId="77777777" w:rsidR="000D0729" w:rsidRDefault="000D0729" w:rsidP="0062346D">
      <w:pPr>
        <w:ind w:left="720" w:hanging="720"/>
      </w:pPr>
      <w:r>
        <w:rPr>
          <w:rStyle w:val="FootnoteReference"/>
        </w:rPr>
        <w:footnoteRef/>
      </w:r>
      <w:r>
        <w:t xml:space="preserve"> Hunt Institute (2020). </w:t>
      </w:r>
      <w:r>
        <w:rPr>
          <w:i/>
          <w:iCs/>
        </w:rPr>
        <w:t>COVID-19 resources and policy considerations: Child care state actions</w:t>
      </w:r>
      <w:r>
        <w:t xml:space="preserve">. Retrieved from: </w:t>
      </w:r>
      <w:hyperlink r:id="rId1" w:history="1">
        <w:r>
          <w:rPr>
            <w:rStyle w:val="Hyperlink"/>
          </w:rPr>
          <w:t>http://www.hunt-institute.org/covid-19-resources/state-child-care-actions-covid-19/</w:t>
        </w:r>
      </w:hyperlink>
      <w:r>
        <w:t xml:space="preserve"> </w:t>
      </w:r>
    </w:p>
    <w:p w14:paraId="2F7A4A3D" w14:textId="7AE5B75C" w:rsidR="000D0729" w:rsidRDefault="000D0729">
      <w:pPr>
        <w:pStyle w:val="FootnoteText"/>
      </w:pPr>
    </w:p>
  </w:footnote>
  <w:footnote w:id="2">
    <w:p w14:paraId="440255E6" w14:textId="77777777" w:rsidR="000D0729" w:rsidRPr="00D82755" w:rsidRDefault="000D0729" w:rsidP="001D1C73">
      <w:pPr>
        <w:pStyle w:val="FootnoteText"/>
      </w:pPr>
      <w:r w:rsidRPr="00D82755">
        <w:rPr>
          <w:rStyle w:val="FootnoteReference"/>
        </w:rPr>
        <w:footnoteRef/>
      </w:r>
      <w:r w:rsidRPr="00D82755">
        <w:t xml:space="preserve"> </w:t>
      </w:r>
      <w:proofErr w:type="gramStart"/>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roofErr w:type="gramEnd"/>
    </w:p>
  </w:footnote>
  <w:footnote w:id="3">
    <w:p w14:paraId="4C534B07" w14:textId="77777777" w:rsidR="000D0729" w:rsidRPr="00D107E3" w:rsidRDefault="000D0729" w:rsidP="002330F7">
      <w:pPr>
        <w:pStyle w:val="FootnoteText"/>
      </w:pPr>
      <w:r>
        <w:rPr>
          <w:rStyle w:val="FootnoteReference"/>
        </w:rPr>
        <w:footnoteRef/>
      </w:r>
      <w:r>
        <w:t xml:space="preserve"> </w:t>
      </w:r>
      <w:r w:rsidRPr="00D107E3">
        <w:t>https://www.bls.gov/oes/current/oes119031.htm</w:t>
      </w:r>
    </w:p>
  </w:footnote>
  <w:footnote w:id="4">
    <w:p w14:paraId="327230D9" w14:textId="77777777" w:rsidR="000D0729" w:rsidRPr="00D107E3" w:rsidRDefault="000D0729" w:rsidP="002330F7">
      <w:pPr>
        <w:pStyle w:val="FootnoteText"/>
      </w:pPr>
      <w:r>
        <w:rPr>
          <w:rStyle w:val="FootnoteReference"/>
        </w:rPr>
        <w:footnoteRef/>
      </w:r>
      <w:r>
        <w:t xml:space="preserve"> </w:t>
      </w:r>
      <w:r w:rsidRPr="00D107E3">
        <w:t>https://www.bls.gov/oes/current/oes399011.htm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6F04" w14:textId="77777777" w:rsidR="000D0729" w:rsidRPr="000D7D44" w:rsidRDefault="000D0729"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0D0729" w:rsidRPr="001D1C73" w:rsidRDefault="000D0729"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F05CC" w14:textId="77777777" w:rsidR="000D0729" w:rsidRPr="000D7D44" w:rsidRDefault="000D0729"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14CE3409" w14:textId="77777777" w:rsidR="000D0729" w:rsidRPr="001D1C73" w:rsidRDefault="000D0729"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1288A"/>
    <w:multiLevelType w:val="hybridMultilevel"/>
    <w:tmpl w:val="CC50B9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A376B"/>
    <w:multiLevelType w:val="hybridMultilevel"/>
    <w:tmpl w:val="6E54241C"/>
    <w:lvl w:ilvl="0" w:tplc="8AE289B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E5B0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C24A73"/>
    <w:multiLevelType w:val="hybridMultilevel"/>
    <w:tmpl w:val="CC50B9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8"/>
  </w:num>
  <w:num w:numId="3">
    <w:abstractNumId w:val="6"/>
  </w:num>
  <w:num w:numId="4">
    <w:abstractNumId w:val="33"/>
  </w:num>
  <w:num w:numId="5">
    <w:abstractNumId w:val="21"/>
  </w:num>
  <w:num w:numId="6">
    <w:abstractNumId w:val="42"/>
  </w:num>
  <w:num w:numId="7">
    <w:abstractNumId w:val="5"/>
  </w:num>
  <w:num w:numId="8">
    <w:abstractNumId w:val="12"/>
  </w:num>
  <w:num w:numId="9">
    <w:abstractNumId w:val="20"/>
  </w:num>
  <w:num w:numId="10">
    <w:abstractNumId w:val="40"/>
  </w:num>
  <w:num w:numId="11">
    <w:abstractNumId w:val="43"/>
  </w:num>
  <w:num w:numId="12">
    <w:abstractNumId w:val="37"/>
  </w:num>
  <w:num w:numId="13">
    <w:abstractNumId w:val="32"/>
  </w:num>
  <w:num w:numId="14">
    <w:abstractNumId w:val="39"/>
  </w:num>
  <w:num w:numId="15">
    <w:abstractNumId w:val="23"/>
  </w:num>
  <w:num w:numId="16">
    <w:abstractNumId w:val="31"/>
  </w:num>
  <w:num w:numId="17">
    <w:abstractNumId w:val="19"/>
  </w:num>
  <w:num w:numId="18">
    <w:abstractNumId w:val="10"/>
  </w:num>
  <w:num w:numId="19">
    <w:abstractNumId w:val="9"/>
  </w:num>
  <w:num w:numId="20">
    <w:abstractNumId w:val="30"/>
  </w:num>
  <w:num w:numId="21">
    <w:abstractNumId w:val="0"/>
  </w:num>
  <w:num w:numId="22">
    <w:abstractNumId w:val="1"/>
  </w:num>
  <w:num w:numId="23">
    <w:abstractNumId w:val="24"/>
  </w:num>
  <w:num w:numId="24">
    <w:abstractNumId w:val="2"/>
  </w:num>
  <w:num w:numId="25">
    <w:abstractNumId w:val="14"/>
  </w:num>
  <w:num w:numId="26">
    <w:abstractNumId w:val="38"/>
  </w:num>
  <w:num w:numId="27">
    <w:abstractNumId w:val="17"/>
  </w:num>
  <w:num w:numId="28">
    <w:abstractNumId w:val="16"/>
  </w:num>
  <w:num w:numId="29">
    <w:abstractNumId w:val="4"/>
  </w:num>
  <w:num w:numId="30">
    <w:abstractNumId w:val="25"/>
  </w:num>
  <w:num w:numId="31">
    <w:abstractNumId w:val="34"/>
  </w:num>
  <w:num w:numId="32">
    <w:abstractNumId w:val="13"/>
  </w:num>
  <w:num w:numId="33">
    <w:abstractNumId w:val="22"/>
  </w:num>
  <w:num w:numId="34">
    <w:abstractNumId w:val="18"/>
  </w:num>
  <w:num w:numId="35">
    <w:abstractNumId w:val="35"/>
  </w:num>
  <w:num w:numId="36">
    <w:abstractNumId w:val="26"/>
  </w:num>
  <w:num w:numId="37">
    <w:abstractNumId w:val="8"/>
  </w:num>
  <w:num w:numId="38">
    <w:abstractNumId w:val="41"/>
  </w:num>
  <w:num w:numId="39">
    <w:abstractNumId w:val="36"/>
  </w:num>
  <w:num w:numId="40">
    <w:abstractNumId w:val="11"/>
  </w:num>
  <w:num w:numId="41">
    <w:abstractNumId w:val="27"/>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15"/>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27E79"/>
    <w:rsid w:val="0004063C"/>
    <w:rsid w:val="0004247F"/>
    <w:rsid w:val="00062AFB"/>
    <w:rsid w:val="000655DD"/>
    <w:rsid w:val="00071F79"/>
    <w:rsid w:val="0007251B"/>
    <w:rsid w:val="000733A5"/>
    <w:rsid w:val="00082C5B"/>
    <w:rsid w:val="00083227"/>
    <w:rsid w:val="00086CBE"/>
    <w:rsid w:val="00090812"/>
    <w:rsid w:val="000921F0"/>
    <w:rsid w:val="000A012A"/>
    <w:rsid w:val="000D0729"/>
    <w:rsid w:val="000D4E9A"/>
    <w:rsid w:val="000D582C"/>
    <w:rsid w:val="000D7D44"/>
    <w:rsid w:val="000F1E4A"/>
    <w:rsid w:val="00100D34"/>
    <w:rsid w:val="00103EFD"/>
    <w:rsid w:val="00107D87"/>
    <w:rsid w:val="001253F4"/>
    <w:rsid w:val="0013335C"/>
    <w:rsid w:val="00157482"/>
    <w:rsid w:val="001707D8"/>
    <w:rsid w:val="00190122"/>
    <w:rsid w:val="001B0A76"/>
    <w:rsid w:val="001B59D0"/>
    <w:rsid w:val="001D1C73"/>
    <w:rsid w:val="001D7139"/>
    <w:rsid w:val="001F489D"/>
    <w:rsid w:val="001F57F5"/>
    <w:rsid w:val="0020401C"/>
    <w:rsid w:val="00204F27"/>
    <w:rsid w:val="0020629A"/>
    <w:rsid w:val="00206E11"/>
    <w:rsid w:val="00206FE3"/>
    <w:rsid w:val="00207554"/>
    <w:rsid w:val="00211261"/>
    <w:rsid w:val="0022308B"/>
    <w:rsid w:val="002330F7"/>
    <w:rsid w:val="002517BB"/>
    <w:rsid w:val="00256E24"/>
    <w:rsid w:val="00265491"/>
    <w:rsid w:val="00276CE2"/>
    <w:rsid w:val="00287AF1"/>
    <w:rsid w:val="002A41C6"/>
    <w:rsid w:val="002B785B"/>
    <w:rsid w:val="002E6CCF"/>
    <w:rsid w:val="002F33D0"/>
    <w:rsid w:val="00300722"/>
    <w:rsid w:val="0030316D"/>
    <w:rsid w:val="00314C42"/>
    <w:rsid w:val="00324262"/>
    <w:rsid w:val="003354E7"/>
    <w:rsid w:val="00346C92"/>
    <w:rsid w:val="00365D6F"/>
    <w:rsid w:val="00373D2F"/>
    <w:rsid w:val="003941AE"/>
    <w:rsid w:val="003A7774"/>
    <w:rsid w:val="003C7358"/>
    <w:rsid w:val="003E61F6"/>
    <w:rsid w:val="003F2264"/>
    <w:rsid w:val="00407537"/>
    <w:rsid w:val="004165BD"/>
    <w:rsid w:val="0042220D"/>
    <w:rsid w:val="0043377A"/>
    <w:rsid w:val="004379B6"/>
    <w:rsid w:val="00442550"/>
    <w:rsid w:val="0044428E"/>
    <w:rsid w:val="00446465"/>
    <w:rsid w:val="00452207"/>
    <w:rsid w:val="00460D54"/>
    <w:rsid w:val="00461D3E"/>
    <w:rsid w:val="004706CC"/>
    <w:rsid w:val="004A495E"/>
    <w:rsid w:val="004B75AC"/>
    <w:rsid w:val="004C3644"/>
    <w:rsid w:val="004D12DD"/>
    <w:rsid w:val="004E5778"/>
    <w:rsid w:val="004E7ED8"/>
    <w:rsid w:val="004F4259"/>
    <w:rsid w:val="0050376D"/>
    <w:rsid w:val="00512C25"/>
    <w:rsid w:val="00522CAA"/>
    <w:rsid w:val="005302CB"/>
    <w:rsid w:val="005420B2"/>
    <w:rsid w:val="00546671"/>
    <w:rsid w:val="0055434C"/>
    <w:rsid w:val="00560F3E"/>
    <w:rsid w:val="00591283"/>
    <w:rsid w:val="005A61CE"/>
    <w:rsid w:val="005A7E5A"/>
    <w:rsid w:val="005B1285"/>
    <w:rsid w:val="005B1410"/>
    <w:rsid w:val="005B35F4"/>
    <w:rsid w:val="005B39D4"/>
    <w:rsid w:val="005D4A40"/>
    <w:rsid w:val="005E493B"/>
    <w:rsid w:val="005F2951"/>
    <w:rsid w:val="005F50F1"/>
    <w:rsid w:val="0062346D"/>
    <w:rsid w:val="00624DDC"/>
    <w:rsid w:val="006253B6"/>
    <w:rsid w:val="006257ED"/>
    <w:rsid w:val="0062686E"/>
    <w:rsid w:val="00630B30"/>
    <w:rsid w:val="00640B0E"/>
    <w:rsid w:val="006431D2"/>
    <w:rsid w:val="00651FF6"/>
    <w:rsid w:val="00664575"/>
    <w:rsid w:val="0066472D"/>
    <w:rsid w:val="0067342D"/>
    <w:rsid w:val="0068303E"/>
    <w:rsid w:val="0068383E"/>
    <w:rsid w:val="00697501"/>
    <w:rsid w:val="006A34DC"/>
    <w:rsid w:val="006A4D02"/>
    <w:rsid w:val="006B10B8"/>
    <w:rsid w:val="006B1BF9"/>
    <w:rsid w:val="006B31DA"/>
    <w:rsid w:val="006B53F1"/>
    <w:rsid w:val="006B6037"/>
    <w:rsid w:val="006C0E56"/>
    <w:rsid w:val="006C5AA0"/>
    <w:rsid w:val="006E4F82"/>
    <w:rsid w:val="00717BDC"/>
    <w:rsid w:val="00723A28"/>
    <w:rsid w:val="00731BA9"/>
    <w:rsid w:val="00736B62"/>
    <w:rsid w:val="00752E9A"/>
    <w:rsid w:val="00764C85"/>
    <w:rsid w:val="00793E3E"/>
    <w:rsid w:val="00794605"/>
    <w:rsid w:val="007A0F1B"/>
    <w:rsid w:val="007A29C5"/>
    <w:rsid w:val="007C7B4B"/>
    <w:rsid w:val="0082288E"/>
    <w:rsid w:val="00823428"/>
    <w:rsid w:val="008369BA"/>
    <w:rsid w:val="00840D32"/>
    <w:rsid w:val="00843933"/>
    <w:rsid w:val="00864C1F"/>
    <w:rsid w:val="008664D8"/>
    <w:rsid w:val="00870FA1"/>
    <w:rsid w:val="00875220"/>
    <w:rsid w:val="00891CD9"/>
    <w:rsid w:val="008A25E9"/>
    <w:rsid w:val="008D30BB"/>
    <w:rsid w:val="008E0239"/>
    <w:rsid w:val="008E023B"/>
    <w:rsid w:val="008E4718"/>
    <w:rsid w:val="008F2446"/>
    <w:rsid w:val="00901040"/>
    <w:rsid w:val="009139B3"/>
    <w:rsid w:val="0091540F"/>
    <w:rsid w:val="00921BEE"/>
    <w:rsid w:val="00923F25"/>
    <w:rsid w:val="00946276"/>
    <w:rsid w:val="00963503"/>
    <w:rsid w:val="00965DBD"/>
    <w:rsid w:val="00971944"/>
    <w:rsid w:val="009815C6"/>
    <w:rsid w:val="00983449"/>
    <w:rsid w:val="00996201"/>
    <w:rsid w:val="009A39E1"/>
    <w:rsid w:val="009A3AD8"/>
    <w:rsid w:val="009A6EE8"/>
    <w:rsid w:val="009B0F58"/>
    <w:rsid w:val="009C3380"/>
    <w:rsid w:val="009E7E38"/>
    <w:rsid w:val="009F265B"/>
    <w:rsid w:val="009F482C"/>
    <w:rsid w:val="009F68DB"/>
    <w:rsid w:val="00A03E3F"/>
    <w:rsid w:val="00A1108E"/>
    <w:rsid w:val="00A27CD0"/>
    <w:rsid w:val="00A310AB"/>
    <w:rsid w:val="00A362B6"/>
    <w:rsid w:val="00A67DFF"/>
    <w:rsid w:val="00A7124D"/>
    <w:rsid w:val="00A71475"/>
    <w:rsid w:val="00A714DC"/>
    <w:rsid w:val="00A7179C"/>
    <w:rsid w:val="00A761CB"/>
    <w:rsid w:val="00A85701"/>
    <w:rsid w:val="00A93035"/>
    <w:rsid w:val="00AA1697"/>
    <w:rsid w:val="00AB0687"/>
    <w:rsid w:val="00AD3261"/>
    <w:rsid w:val="00AD4355"/>
    <w:rsid w:val="00AE3F5F"/>
    <w:rsid w:val="00AF756C"/>
    <w:rsid w:val="00B0690D"/>
    <w:rsid w:val="00B0699C"/>
    <w:rsid w:val="00B13DC4"/>
    <w:rsid w:val="00B159EE"/>
    <w:rsid w:val="00B17B7C"/>
    <w:rsid w:val="00B23277"/>
    <w:rsid w:val="00B245AD"/>
    <w:rsid w:val="00B36700"/>
    <w:rsid w:val="00B4182B"/>
    <w:rsid w:val="00B5413A"/>
    <w:rsid w:val="00B55E54"/>
    <w:rsid w:val="00B56589"/>
    <w:rsid w:val="00B643A3"/>
    <w:rsid w:val="00B64D05"/>
    <w:rsid w:val="00B70460"/>
    <w:rsid w:val="00B73D43"/>
    <w:rsid w:val="00B9441B"/>
    <w:rsid w:val="00BA3FF7"/>
    <w:rsid w:val="00BA5034"/>
    <w:rsid w:val="00BA5C03"/>
    <w:rsid w:val="00BB4BF8"/>
    <w:rsid w:val="00BC096B"/>
    <w:rsid w:val="00BC3D29"/>
    <w:rsid w:val="00BC5000"/>
    <w:rsid w:val="00BD129A"/>
    <w:rsid w:val="00BD702B"/>
    <w:rsid w:val="00BD7B78"/>
    <w:rsid w:val="00BE6D18"/>
    <w:rsid w:val="00BE773B"/>
    <w:rsid w:val="00C05352"/>
    <w:rsid w:val="00C32404"/>
    <w:rsid w:val="00C62A96"/>
    <w:rsid w:val="00C73360"/>
    <w:rsid w:val="00C73438"/>
    <w:rsid w:val="00C86CB2"/>
    <w:rsid w:val="00C87E14"/>
    <w:rsid w:val="00C91C71"/>
    <w:rsid w:val="00C95126"/>
    <w:rsid w:val="00CA72A5"/>
    <w:rsid w:val="00CA7AFA"/>
    <w:rsid w:val="00CC07BF"/>
    <w:rsid w:val="00CC4651"/>
    <w:rsid w:val="00CE018E"/>
    <w:rsid w:val="00CE7A4A"/>
    <w:rsid w:val="00D1343F"/>
    <w:rsid w:val="00D13AA8"/>
    <w:rsid w:val="00D22570"/>
    <w:rsid w:val="00D239B5"/>
    <w:rsid w:val="00D32B72"/>
    <w:rsid w:val="00D4033C"/>
    <w:rsid w:val="00D45504"/>
    <w:rsid w:val="00D5346A"/>
    <w:rsid w:val="00D55767"/>
    <w:rsid w:val="00D60C11"/>
    <w:rsid w:val="00D71BA0"/>
    <w:rsid w:val="00D749DF"/>
    <w:rsid w:val="00D82755"/>
    <w:rsid w:val="00D82E67"/>
    <w:rsid w:val="00D831AC"/>
    <w:rsid w:val="00D93F95"/>
    <w:rsid w:val="00D97926"/>
    <w:rsid w:val="00DA3557"/>
    <w:rsid w:val="00DA4701"/>
    <w:rsid w:val="00DC65F2"/>
    <w:rsid w:val="00DC7876"/>
    <w:rsid w:val="00DC7DD5"/>
    <w:rsid w:val="00DE12AB"/>
    <w:rsid w:val="00DE2508"/>
    <w:rsid w:val="00DE3ED7"/>
    <w:rsid w:val="00DF1291"/>
    <w:rsid w:val="00E1392C"/>
    <w:rsid w:val="00E22AC6"/>
    <w:rsid w:val="00E24830"/>
    <w:rsid w:val="00E318A6"/>
    <w:rsid w:val="00E4189F"/>
    <w:rsid w:val="00E41C62"/>
    <w:rsid w:val="00E41EE9"/>
    <w:rsid w:val="00E45738"/>
    <w:rsid w:val="00E461D4"/>
    <w:rsid w:val="00E62285"/>
    <w:rsid w:val="00E62819"/>
    <w:rsid w:val="00E71E25"/>
    <w:rsid w:val="00E87AFC"/>
    <w:rsid w:val="00E9045F"/>
    <w:rsid w:val="00E97764"/>
    <w:rsid w:val="00EA0D4F"/>
    <w:rsid w:val="00EA405B"/>
    <w:rsid w:val="00EB4C26"/>
    <w:rsid w:val="00EB6134"/>
    <w:rsid w:val="00EC1A6C"/>
    <w:rsid w:val="00EC75D0"/>
    <w:rsid w:val="00ED5761"/>
    <w:rsid w:val="00ED7509"/>
    <w:rsid w:val="00EE38AF"/>
    <w:rsid w:val="00EF254B"/>
    <w:rsid w:val="00EF4FF2"/>
    <w:rsid w:val="00F02C87"/>
    <w:rsid w:val="00F071DE"/>
    <w:rsid w:val="00F42246"/>
    <w:rsid w:val="00F5517F"/>
    <w:rsid w:val="00F74630"/>
    <w:rsid w:val="00F9122A"/>
    <w:rsid w:val="00FA6D2C"/>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unhideWhenUsed/>
    <w:rsid w:val="005B35F4"/>
    <w:pPr>
      <w:spacing w:after="240" w:line="240"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rsid w:val="005B35F4"/>
    <w:rPr>
      <w:rFonts w:ascii="Times New Roman" w:eastAsia="Calibri" w:hAnsi="Times New Roman" w:cs="Times New Roman"/>
      <w:sz w:val="24"/>
    </w:rPr>
  </w:style>
  <w:style w:type="paragraph" w:customStyle="1" w:styleId="NORCCaption-Exhibit">
    <w:name w:val="NORC Caption - Exhibit"/>
    <w:basedOn w:val="Normal"/>
    <w:qFormat/>
    <w:rsid w:val="00B159EE"/>
    <w:pPr>
      <w:keepNext/>
      <w:keepLines/>
      <w:pBdr>
        <w:top w:val="single" w:sz="4" w:space="5" w:color="BFB6AC"/>
        <w:bottom w:val="single" w:sz="4" w:space="3" w:color="BFB6AC"/>
      </w:pBdr>
      <w:tabs>
        <w:tab w:val="left" w:pos="1224"/>
      </w:tabs>
      <w:spacing w:before="320" w:after="120" w:line="240" w:lineRule="auto"/>
      <w:ind w:left="1224" w:hanging="1224"/>
    </w:pPr>
    <w:rPr>
      <w:rFonts w:ascii="Arial" w:eastAsia="Times New Roman" w:hAnsi="Arial" w:cs="Arial"/>
      <w:color w:val="000000" w:themeColor="text1"/>
      <w:szCs w:val="24"/>
    </w:rPr>
  </w:style>
  <w:style w:type="paragraph" w:customStyle="1" w:styleId="NormalSS">
    <w:name w:val="NormalSS"/>
    <w:basedOn w:val="Normal"/>
    <w:link w:val="NormalSSChar"/>
    <w:qFormat/>
    <w:rsid w:val="00B159EE"/>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B159E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6329762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2626876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063407">
      <w:bodyDiv w:val="1"/>
      <w:marLeft w:val="0"/>
      <w:marRight w:val="0"/>
      <w:marTop w:val="0"/>
      <w:marBottom w:val="0"/>
      <w:divBdr>
        <w:top w:val="none" w:sz="0" w:space="0" w:color="auto"/>
        <w:left w:val="none" w:sz="0" w:space="0" w:color="auto"/>
        <w:bottom w:val="none" w:sz="0" w:space="0" w:color="auto"/>
        <w:right w:val="none" w:sz="0" w:space="0" w:color="auto"/>
      </w:divBdr>
    </w:div>
    <w:div w:id="1561282899">
      <w:bodyDiv w:val="1"/>
      <w:marLeft w:val="0"/>
      <w:marRight w:val="0"/>
      <w:marTop w:val="0"/>
      <w:marBottom w:val="0"/>
      <w:divBdr>
        <w:top w:val="none" w:sz="0" w:space="0" w:color="auto"/>
        <w:left w:val="none" w:sz="0" w:space="0" w:color="auto"/>
        <w:bottom w:val="none" w:sz="0" w:space="0" w:color="auto"/>
        <w:right w:val="none" w:sz="0" w:space="0" w:color="auto"/>
      </w:divBdr>
    </w:div>
    <w:div w:id="1662805108">
      <w:bodyDiv w:val="1"/>
      <w:marLeft w:val="0"/>
      <w:marRight w:val="0"/>
      <w:marTop w:val="0"/>
      <w:marBottom w:val="0"/>
      <w:divBdr>
        <w:top w:val="none" w:sz="0" w:space="0" w:color="auto"/>
        <w:left w:val="none" w:sz="0" w:space="0" w:color="auto"/>
        <w:bottom w:val="none" w:sz="0" w:space="0" w:color="auto"/>
        <w:right w:val="none" w:sz="0" w:space="0" w:color="auto"/>
      </w:divBdr>
    </w:div>
    <w:div w:id="2000233544">
      <w:bodyDiv w:val="1"/>
      <w:marLeft w:val="0"/>
      <w:marRight w:val="0"/>
      <w:marTop w:val="0"/>
      <w:marBottom w:val="0"/>
      <w:divBdr>
        <w:top w:val="none" w:sz="0" w:space="0" w:color="auto"/>
        <w:left w:val="none" w:sz="0" w:space="0" w:color="auto"/>
        <w:bottom w:val="none" w:sz="0" w:space="0" w:color="auto"/>
        <w:right w:val="none" w:sz="0" w:space="0" w:color="auto"/>
      </w:divBdr>
    </w:div>
    <w:div w:id="2040278621">
      <w:bodyDiv w:val="1"/>
      <w:marLeft w:val="0"/>
      <w:marRight w:val="0"/>
      <w:marTop w:val="0"/>
      <w:marBottom w:val="0"/>
      <w:divBdr>
        <w:top w:val="none" w:sz="0" w:space="0" w:color="auto"/>
        <w:left w:val="none" w:sz="0" w:space="0" w:color="auto"/>
        <w:bottom w:val="none" w:sz="0" w:space="0" w:color="auto"/>
        <w:right w:val="none" w:sz="0" w:space="0" w:color="auto"/>
      </w:divBdr>
    </w:div>
    <w:div w:id="2102681609">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hunt-institute.org/covid-19-resources/state-child-care-action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B25D-F193-4A9B-8B80-CDA9A2B9B26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4DAB6-C40C-4695-ADF2-BC9A8A63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14</Pages>
  <Words>4532</Words>
  <Characters>25836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Ivelisse Martinez-Beck</dc:creator>
  <cp:lastModifiedBy>Wilson, Camille (ACF) (CTR)</cp:lastModifiedBy>
  <cp:revision>12</cp:revision>
  <dcterms:created xsi:type="dcterms:W3CDTF">2020-10-05T21:28:00Z</dcterms:created>
  <dcterms:modified xsi:type="dcterms:W3CDTF">2020-10-16T00:11:00Z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