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6B28" w:rsidP="00226B28" w:rsidRDefault="00BB1D61" w14:paraId="53D1FAF5" w14:textId="3001474B">
      <w:pPr>
        <w:jc w:val="center"/>
        <w:rPr>
          <w:b/>
          <w:bCs/>
        </w:rPr>
      </w:pPr>
      <w:r>
        <w:rPr>
          <w:b/>
          <w:bCs/>
        </w:rPr>
        <w:t>S</w:t>
      </w:r>
      <w:r w:rsidR="00532FF7">
        <w:rPr>
          <w:b/>
          <w:bCs/>
        </w:rPr>
        <w:t>upporting</w:t>
      </w:r>
      <w:r w:rsidRPr="00C465F4" w:rsidR="00C465F4">
        <w:rPr>
          <w:b/>
          <w:bCs/>
        </w:rPr>
        <w:t xml:space="preserve"> S</w:t>
      </w:r>
      <w:r w:rsidR="00532FF7">
        <w:rPr>
          <w:b/>
          <w:bCs/>
        </w:rPr>
        <w:t>tatement for</w:t>
      </w:r>
      <w:r w:rsidRPr="00C465F4" w:rsidR="00C465F4">
        <w:rPr>
          <w:b/>
          <w:bCs/>
        </w:rPr>
        <w:t xml:space="preserve"> </w:t>
      </w:r>
    </w:p>
    <w:p w:rsidR="00C465F4" w:rsidP="00226B28" w:rsidRDefault="00532FF7" w14:paraId="39957547" w14:textId="77777777">
      <w:pPr>
        <w:jc w:val="center"/>
        <w:rPr>
          <w:b/>
          <w:bCs/>
        </w:rPr>
      </w:pPr>
      <w:r>
        <w:rPr>
          <w:b/>
          <w:bCs/>
        </w:rPr>
        <w:t>Medicare Part D Subsidies</w:t>
      </w:r>
    </w:p>
    <w:p w:rsidR="00226B28" w:rsidP="00226B28" w:rsidRDefault="0052104E" w14:paraId="35C0EA54" w14:textId="77777777">
      <w:pPr>
        <w:jc w:val="center"/>
        <w:rPr>
          <w:b/>
          <w:bCs/>
        </w:rPr>
      </w:pPr>
      <w:r>
        <w:rPr>
          <w:b/>
          <w:bCs/>
        </w:rPr>
        <w:t>20 CFR 418.3625(c), 418.3645, 418.3665(a), and 418.3670</w:t>
      </w:r>
    </w:p>
    <w:p w:rsidR="00226B28" w:rsidP="00226B28" w:rsidRDefault="00226B28" w14:paraId="44EA6192" w14:textId="77777777">
      <w:pPr>
        <w:jc w:val="center"/>
        <w:rPr>
          <w:b/>
          <w:bCs/>
        </w:rPr>
      </w:pPr>
      <w:r>
        <w:rPr>
          <w:b/>
          <w:bCs/>
        </w:rPr>
        <w:t>OMB No. 0960-</w:t>
      </w:r>
      <w:r w:rsidR="009142E8">
        <w:rPr>
          <w:b/>
          <w:bCs/>
        </w:rPr>
        <w:t>0702</w:t>
      </w:r>
    </w:p>
    <w:p w:rsidR="00C465F4" w:rsidP="00C465F4" w:rsidRDefault="00C465F4" w14:paraId="6EADFBB2" w14:textId="77777777">
      <w:pPr>
        <w:jc w:val="center"/>
        <w:rPr>
          <w:b/>
          <w:bCs/>
        </w:rPr>
      </w:pPr>
    </w:p>
    <w:p w:rsidRPr="00226B28" w:rsidR="00C465F4" w:rsidP="00B52594" w:rsidRDefault="00C465F4" w14:paraId="239DDDD1" w14:textId="78708A54">
      <w:pPr>
        <w:numPr>
          <w:ilvl w:val="0"/>
          <w:numId w:val="1"/>
        </w:numPr>
        <w:tabs>
          <w:tab w:val="clear" w:pos="360"/>
          <w:tab w:val="num" w:pos="720"/>
        </w:tabs>
        <w:ind w:left="720" w:hanging="540"/>
        <w:rPr>
          <w:b/>
          <w:bCs/>
          <w:u w:val="single"/>
        </w:rPr>
      </w:pPr>
      <w:r w:rsidRPr="00226B28">
        <w:rPr>
          <w:b/>
          <w:bCs/>
          <w:u w:val="single"/>
        </w:rPr>
        <w:t>Justification</w:t>
      </w:r>
    </w:p>
    <w:p w:rsidR="00C465F4" w:rsidP="00C465F4" w:rsidRDefault="00C465F4" w14:paraId="7A536208" w14:textId="77777777">
      <w:pPr>
        <w:rPr>
          <w:b/>
          <w:bCs/>
        </w:rPr>
      </w:pPr>
    </w:p>
    <w:p w:rsidRPr="0052104E" w:rsidR="0052104E" w:rsidP="00B52594" w:rsidRDefault="0052104E" w14:paraId="6BE4B534" w14:textId="77777777">
      <w:pPr>
        <w:numPr>
          <w:ilvl w:val="1"/>
          <w:numId w:val="1"/>
        </w:numPr>
        <w:tabs>
          <w:tab w:val="clear" w:pos="1080"/>
          <w:tab w:val="num" w:pos="1440"/>
        </w:tabs>
        <w:ind w:left="1440" w:hanging="720"/>
        <w:rPr>
          <w:color w:val="000000"/>
        </w:rPr>
      </w:pPr>
      <w:r>
        <w:rPr>
          <w:b/>
        </w:rPr>
        <w:t>Introduction/Authoring Laws and Regulations</w:t>
      </w:r>
    </w:p>
    <w:p w:rsidRPr="00567294" w:rsidR="00A61A8C" w:rsidP="00A61A8C" w:rsidRDefault="00A61A8C" w14:paraId="69148387" w14:textId="77777777">
      <w:pPr>
        <w:tabs>
          <w:tab w:val="num" w:pos="1440"/>
        </w:tabs>
        <w:ind w:left="1440"/>
        <w:rPr>
          <w:color w:val="000000"/>
        </w:rPr>
      </w:pPr>
      <w:r>
        <w:t xml:space="preserve">The Medicare Prescription Drug, Improvement, and Modernization Act of 2003 (MMA) established the Medicare Part D program, which provides voluntary prescription drug coverage for Medicare recipients.  The MMA also established a low-income subsidy (LIS) Extra Help program for those individuals who qualify for Medicare Part D and meet eligibility criteria for help with premium, deductible, and co-payment costs.  The Social Security Administration (SSA) administers the LIS program.  The MMA requires SSA to make initial LIS eligibility determinations, LIS eligibility redeterminations, and provide a process for appealing SSA LIS determinations.  </w:t>
      </w:r>
    </w:p>
    <w:p w:rsidR="00A61A8C" w:rsidP="00A61A8C" w:rsidRDefault="00A61A8C" w14:paraId="5306C907" w14:textId="77777777">
      <w:pPr>
        <w:tabs>
          <w:tab w:val="num" w:pos="1440"/>
        </w:tabs>
        <w:ind w:left="1440"/>
      </w:pPr>
    </w:p>
    <w:p w:rsidRPr="00DD3444" w:rsidR="00A61A8C" w:rsidP="00A61A8C" w:rsidRDefault="00A61A8C" w14:paraId="465AFC77" w14:textId="77777777">
      <w:pPr>
        <w:tabs>
          <w:tab w:val="num" w:pos="1440"/>
        </w:tabs>
        <w:ind w:left="1440"/>
      </w:pPr>
      <w:r>
        <w:rPr>
          <w:i/>
          <w:iCs/>
        </w:rPr>
        <w:t xml:space="preserve">Section 1860D-14 </w:t>
      </w:r>
      <w:r>
        <w:t xml:space="preserve">of the </w:t>
      </w:r>
      <w:r>
        <w:rPr>
          <w:i/>
          <w:iCs/>
        </w:rPr>
        <w:t xml:space="preserve">Social Security </w:t>
      </w:r>
      <w:r w:rsidRPr="00465EA7">
        <w:rPr>
          <w:i/>
          <w:iCs/>
        </w:rPr>
        <w:t>Act</w:t>
      </w:r>
      <w:r>
        <w:rPr>
          <w:i/>
          <w:iCs/>
        </w:rPr>
        <w:t xml:space="preserve"> (Act) </w:t>
      </w:r>
      <w:r>
        <w:t xml:space="preserve">describes Medicare Part D LIS requirements. When applicants or their personal representatives file a LIS application with SSA they complete an </w:t>
      </w:r>
      <w:r w:rsidRPr="0098077F">
        <w:rPr>
          <w:i/>
        </w:rPr>
        <w:t>Application for Extra Help with Medicare Prescription Drug Plan Costs</w:t>
      </w:r>
      <w:r>
        <w:t xml:space="preserve"> paper Form SSA-1020 or internet form i1020.  SSA uses paper form SSA-1020 and internet i1020 to collect information necessary for making Medicare Part D low-income subsidy eligibility determinations. Applicants or their personal representatives may also apply for LIS with SSA in-person or via telephone. </w:t>
      </w:r>
      <w:r w:rsidRPr="00C22175">
        <w:t xml:space="preserve">SSA documents information applicants or their personal representatives provide on </w:t>
      </w:r>
      <w:r>
        <w:t>LIS</w:t>
      </w:r>
      <w:r w:rsidRPr="00C22175">
        <w:t xml:space="preserve"> forms in the Medicare Application Processing System, reviews the information, and sends a subsidy award, pre-decisional, or denial notice to the individual at his or her last known address. </w:t>
      </w:r>
      <w:r>
        <w:t xml:space="preserve">Additional information regarding SSA initial LIS application information collection is captured in OMB control number 0960-0696 titled, </w:t>
      </w:r>
      <w:r w:rsidRPr="00DD3444">
        <w:t xml:space="preserve">Supporting Statement for Form SSA-1020/i1020 Application for Extra Help with Medicare Prescription Drug Plan Costs. </w:t>
      </w:r>
    </w:p>
    <w:p w:rsidR="00A61A8C" w:rsidP="00A61A8C" w:rsidRDefault="00A61A8C" w14:paraId="2B9442CA" w14:textId="77777777">
      <w:pPr>
        <w:tabs>
          <w:tab w:val="num" w:pos="1440"/>
        </w:tabs>
      </w:pPr>
    </w:p>
    <w:p w:rsidR="00A61A8C" w:rsidP="00A61A8C" w:rsidRDefault="00A61A8C" w14:paraId="71D305E3" w14:textId="77777777">
      <w:pPr>
        <w:tabs>
          <w:tab w:val="num" w:pos="1440"/>
        </w:tabs>
        <w:ind w:left="1440"/>
      </w:pPr>
      <w:r>
        <w:t xml:space="preserve">When SSA approves an initial LIS application, recipients undergo eligibility redeterminations under two potential circumstances.  SSA uses paper forms SSA-1026-SCE and SSA 1026-REDE to process changes in circumstances reported by the applicant or their personal representative and to conduct cyclical low-income subsidy redeterminations required by Section 1860D-14(a)(3)(A)(iv)(I) of the Medicare Modernization Act (MMA) of 2003, as codified in Section 418.3125 of the Code of Federal Regulations.  For more information on SSA subsidy redetermination information collection see OMB control number 0960-0723 titled, </w:t>
      </w:r>
      <w:r w:rsidRPr="0098077F">
        <w:rPr>
          <w:i/>
        </w:rPr>
        <w:t xml:space="preserve">Supporting Statement for Redetermination of Eligibility/Reporting a Change that May Affect Your Eligibility for Extra Help </w:t>
      </w:r>
      <w:proofErr w:type="gramStart"/>
      <w:r w:rsidRPr="0098077F">
        <w:rPr>
          <w:i/>
        </w:rPr>
        <w:t>With</w:t>
      </w:r>
      <w:proofErr w:type="gramEnd"/>
      <w:r w:rsidRPr="0098077F">
        <w:rPr>
          <w:i/>
        </w:rPr>
        <w:t xml:space="preserve"> Medicare Prescription Drug Plan Costs</w:t>
      </w:r>
      <w:r>
        <w:t>.</w:t>
      </w:r>
    </w:p>
    <w:p w:rsidR="00A61A8C" w:rsidP="00A61A8C" w:rsidRDefault="00A61A8C" w14:paraId="4795D2BF" w14:textId="77777777">
      <w:pPr>
        <w:tabs>
          <w:tab w:val="num" w:pos="1440"/>
        </w:tabs>
        <w:ind w:left="1440"/>
      </w:pPr>
    </w:p>
    <w:p w:rsidR="00A61A8C" w:rsidP="00A61A8C" w:rsidRDefault="00A61A8C" w14:paraId="59C2B7D6" w14:textId="77777777">
      <w:pPr>
        <w:tabs>
          <w:tab w:val="num" w:pos="1440"/>
        </w:tabs>
        <w:ind w:left="1440"/>
      </w:pPr>
      <w:r>
        <w:lastRenderedPageBreak/>
        <w:t>When an applicant appears to be ineligible for a Medicare Part D low-income subsidy (LIS), the Social Security Administration (SSA) sends a pre-decisional notice before sending a denial notice. The LIS pre-decisional</w:t>
      </w:r>
      <w:r w:rsidRPr="00AE06B4">
        <w:t xml:space="preserve"> notice includes the basis for the proposed denial, lists a</w:t>
      </w:r>
      <w:r>
        <w:t>ny additional information SSA</w:t>
      </w:r>
      <w:r w:rsidRPr="00AE06B4">
        <w:t xml:space="preserve"> need</w:t>
      </w:r>
      <w:r>
        <w:t>s</w:t>
      </w:r>
      <w:r w:rsidRPr="00AE06B4">
        <w:t xml:space="preserve">, and allows 10 days from the date of the notice for the proposed action to be rebutted or to receive additional information. Since </w:t>
      </w:r>
      <w:r>
        <w:t>the LIS pre-decisional notice</w:t>
      </w:r>
      <w:r w:rsidRPr="00AE06B4">
        <w:t xml:space="preserve"> </w:t>
      </w:r>
      <w:r>
        <w:t xml:space="preserve">is </w:t>
      </w:r>
      <w:r w:rsidRPr="00AE06B4">
        <w:t>only an advance notice of proposed action, it does not include formal appeal language.</w:t>
      </w:r>
      <w:r>
        <w:t xml:space="preserve"> SSA automatically generates a LIS </w:t>
      </w:r>
      <w:r w:rsidRPr="00FA2C4A">
        <w:t>denial n</w:t>
      </w:r>
      <w:r>
        <w:t>otice when</w:t>
      </w:r>
      <w:r w:rsidRPr="00FA2C4A">
        <w:t xml:space="preserve"> an applicant </w:t>
      </w:r>
      <w:r>
        <w:t xml:space="preserve">or their personal representative </w:t>
      </w:r>
      <w:r w:rsidRPr="00FA2C4A">
        <w:t xml:space="preserve">does not contact SSA within 20 days of </w:t>
      </w:r>
      <w:r>
        <w:t>receiving</w:t>
      </w:r>
      <w:r w:rsidRPr="00FA2C4A">
        <w:t xml:space="preserve"> a pre-decisional </w:t>
      </w:r>
      <w:r>
        <w:t xml:space="preserve">notice, or if a </w:t>
      </w:r>
      <w:r w:rsidRPr="00FA2C4A">
        <w:t xml:space="preserve">response to the pre-decisional notice does not change SSA’s determination. </w:t>
      </w:r>
      <w:r>
        <w:t xml:space="preserve">LIS award and denial notices are formal determinations that include appeal rights and information about how to request an appeal. Applicants or their personal representatives may request an appeal within </w:t>
      </w:r>
      <w:r w:rsidRPr="00FA2C4A">
        <w:t>60 da</w:t>
      </w:r>
      <w:r>
        <w:t xml:space="preserve">ys after the date they receive a formal </w:t>
      </w:r>
      <w:r w:rsidRPr="00FA2C4A">
        <w:t>determination</w:t>
      </w:r>
      <w:r>
        <w:t xml:space="preserve"> notice</w:t>
      </w:r>
      <w:r w:rsidRPr="00FA2C4A">
        <w:t>.</w:t>
      </w:r>
    </w:p>
    <w:p w:rsidR="00A61A8C" w:rsidP="00A61A8C" w:rsidRDefault="00A61A8C" w14:paraId="1E136D67" w14:textId="77777777">
      <w:pPr>
        <w:tabs>
          <w:tab w:val="num" w:pos="1440"/>
        </w:tabs>
        <w:ind w:left="1440"/>
      </w:pPr>
    </w:p>
    <w:p w:rsidRPr="00DD3444" w:rsidR="00A61A8C" w:rsidP="00A61A8C" w:rsidRDefault="00A61A8C" w14:paraId="6A58C808" w14:textId="77777777">
      <w:pPr>
        <w:tabs>
          <w:tab w:val="num" w:pos="1440"/>
        </w:tabs>
        <w:ind w:left="1440"/>
        <w:rPr>
          <w:color w:val="000000"/>
        </w:rPr>
      </w:pPr>
      <w:r>
        <w:t xml:space="preserve">The appeal process for subsidy determinations consists of one formal SSA administrative step. An applicant or their personal representative can choose a telephone hearing or an informal case review. Both, telephone hearings and informal case reviews are the same level of the administrative appeal. When an applicant or their personal representative requests a LIS appeal, SSA conducts an administrative review of the case based on information in the file and any additional information the individual or his or her personal representative provides. </w:t>
      </w:r>
      <w:r w:rsidRPr="005A143C">
        <w:t>If an individual is dissatisfied with SSA’s final decision, he or she may file an action in Federal district court.</w:t>
      </w:r>
      <w:r>
        <w:t xml:space="preserve"> Additional information about SSA subsidy appeal information collection is captured in OMB control number 0960-0695 titled, </w:t>
      </w:r>
      <w:r w:rsidRPr="00DD3444">
        <w:t>Supporting Statement for Form SSA-1021 Appeal of Determination for Extra Help with Medicare Prescription Drug Costs.</w:t>
      </w:r>
    </w:p>
    <w:p w:rsidR="00226B28" w:rsidP="00B52594" w:rsidRDefault="00226B28" w14:paraId="420011BD" w14:textId="77777777">
      <w:pPr>
        <w:tabs>
          <w:tab w:val="num" w:pos="1440"/>
        </w:tabs>
        <w:ind w:left="1440"/>
        <w:rPr>
          <w:color w:val="000000"/>
        </w:rPr>
      </w:pPr>
    </w:p>
    <w:p w:rsidR="0052104E" w:rsidP="00B52594" w:rsidRDefault="0052104E" w14:paraId="17B5590D" w14:textId="5333F2CF">
      <w:pPr>
        <w:numPr>
          <w:ilvl w:val="1"/>
          <w:numId w:val="1"/>
        </w:numPr>
        <w:tabs>
          <w:tab w:val="clear" w:pos="1080"/>
          <w:tab w:val="num" w:pos="1440"/>
        </w:tabs>
        <w:ind w:left="1440" w:hanging="720"/>
        <w:rPr>
          <w:color w:val="000000"/>
        </w:rPr>
      </w:pPr>
      <w:r>
        <w:rPr>
          <w:b/>
        </w:rPr>
        <w:t>Description of Collection</w:t>
      </w:r>
      <w:r w:rsidRPr="001D3216">
        <w:rPr>
          <w:color w:val="000000"/>
        </w:rPr>
        <w:t xml:space="preserve"> </w:t>
      </w:r>
    </w:p>
    <w:p w:rsidRPr="005D1A21" w:rsidR="00A61A8C" w:rsidP="00A61A8C" w:rsidRDefault="00A61A8C" w14:paraId="66B1BC5F" w14:textId="77777777">
      <w:pPr>
        <w:tabs>
          <w:tab w:val="num" w:pos="1440"/>
        </w:tabs>
        <w:ind w:left="1440"/>
      </w:pPr>
      <w:r w:rsidRPr="001D3216">
        <w:rPr>
          <w:color w:val="000000"/>
        </w:rPr>
        <w:t xml:space="preserve">SSA </w:t>
      </w:r>
      <w:r>
        <w:rPr>
          <w:color w:val="000000"/>
        </w:rPr>
        <w:t xml:space="preserve">collects information under this OMB control in accordance with regulation sections </w:t>
      </w:r>
      <w:r>
        <w:rPr>
          <w:i/>
          <w:color w:val="000000"/>
        </w:rPr>
        <w:t xml:space="preserve">20 CFR </w:t>
      </w:r>
      <w:r w:rsidRPr="00F61D31">
        <w:rPr>
          <w:i/>
          <w:color w:val="000000"/>
        </w:rPr>
        <w:t>418.3625(c), 418.3645, 418.3665(a), and 418.3670</w:t>
      </w:r>
      <w:r>
        <w:rPr>
          <w:color w:val="000000"/>
        </w:rPr>
        <w:t>.  These regulations pertain to the SSA subsidy appeal scheduling and review process</w:t>
      </w:r>
      <w:r w:rsidRPr="00485CEB">
        <w:rPr>
          <w:color w:val="000000"/>
        </w:rPr>
        <w:t xml:space="preserve">. </w:t>
      </w:r>
    </w:p>
    <w:p w:rsidR="00A61A8C" w:rsidP="00A61A8C" w:rsidRDefault="00A61A8C" w14:paraId="0AF6D4E1" w14:textId="77777777">
      <w:pPr>
        <w:ind w:left="1440"/>
        <w:rPr>
          <w:color w:val="000000"/>
        </w:rPr>
      </w:pPr>
    </w:p>
    <w:p w:rsidR="00226B28" w:rsidP="00B52594" w:rsidRDefault="00567294" w14:paraId="232615F3" w14:textId="4C24C1C2">
      <w:pPr>
        <w:tabs>
          <w:tab w:val="num" w:pos="1440"/>
        </w:tabs>
        <w:ind w:left="1440"/>
        <w:rPr>
          <w:color w:val="000000"/>
        </w:rPr>
      </w:pPr>
      <w:r w:rsidRPr="001D3216">
        <w:rPr>
          <w:color w:val="000000"/>
        </w:rPr>
        <w:t xml:space="preserve">SSA uses the information </w:t>
      </w:r>
      <w:r w:rsidRPr="00485CEB">
        <w:rPr>
          <w:color w:val="000000"/>
        </w:rPr>
        <w:t>these four regulation sections</w:t>
      </w:r>
      <w:r w:rsidR="004D456C">
        <w:rPr>
          <w:color w:val="000000"/>
        </w:rPr>
        <w:t xml:space="preserve"> request</w:t>
      </w:r>
      <w:r w:rsidRPr="00485CEB">
        <w:rPr>
          <w:color w:val="000000"/>
        </w:rPr>
        <w:t xml:space="preserve"> (i</w:t>
      </w:r>
      <w:r w:rsidR="00340AA9">
        <w:rPr>
          <w:color w:val="000000"/>
        </w:rPr>
        <w:t xml:space="preserve">n combination </w:t>
      </w:r>
      <w:r w:rsidRPr="00485CEB" w:rsidR="006C6DF4">
        <w:rPr>
          <w:color w:val="000000"/>
        </w:rPr>
        <w:t>with</w:t>
      </w:r>
      <w:r w:rsidR="00340AA9">
        <w:rPr>
          <w:color w:val="000000"/>
        </w:rPr>
        <w:t xml:space="preserve"> </w:t>
      </w:r>
      <w:r w:rsidR="001D3216">
        <w:rPr>
          <w:color w:val="000000"/>
        </w:rPr>
        <w:t>other inf</w:t>
      </w:r>
      <w:r w:rsidR="008206AA">
        <w:rPr>
          <w:color w:val="000000"/>
        </w:rPr>
        <w:t>ormation</w:t>
      </w:r>
      <w:r w:rsidRPr="00485CEB">
        <w:rPr>
          <w:color w:val="000000"/>
        </w:rPr>
        <w:t xml:space="preserve">) to </w:t>
      </w:r>
      <w:r w:rsidRPr="00485CEB" w:rsidR="00226B28">
        <w:rPr>
          <w:color w:val="000000"/>
        </w:rPr>
        <w:t xml:space="preserve">determine eligibility for the Medicare Part D </w:t>
      </w:r>
      <w:r w:rsidR="001D3216">
        <w:rPr>
          <w:color w:val="000000"/>
        </w:rPr>
        <w:t>low</w:t>
      </w:r>
      <w:r w:rsidR="000A0836">
        <w:rPr>
          <w:color w:val="000000"/>
        </w:rPr>
        <w:noBreakHyphen/>
      </w:r>
      <w:r w:rsidR="001D3216">
        <w:rPr>
          <w:color w:val="000000"/>
        </w:rPr>
        <w:t xml:space="preserve">income </w:t>
      </w:r>
      <w:r w:rsidR="00F61D31">
        <w:rPr>
          <w:color w:val="000000"/>
        </w:rPr>
        <w:t>subsidy;</w:t>
      </w:r>
      <w:r w:rsidRPr="00485CEB" w:rsidR="00226B28">
        <w:rPr>
          <w:color w:val="000000"/>
        </w:rPr>
        <w:t xml:space="preserve"> to proce</w:t>
      </w:r>
      <w:r w:rsidR="00F61D31">
        <w:rPr>
          <w:color w:val="000000"/>
        </w:rPr>
        <w:t>ss eligibility redeterminations;</w:t>
      </w:r>
      <w:r w:rsidRPr="00485CEB" w:rsidR="00226B28">
        <w:rPr>
          <w:color w:val="000000"/>
        </w:rPr>
        <w:t xml:space="preserve"> and to enable determination appeals.  A description of the </w:t>
      </w:r>
      <w:r w:rsidRPr="00485CEB" w:rsidR="00AB4E72">
        <w:rPr>
          <w:color w:val="000000"/>
        </w:rPr>
        <w:t xml:space="preserve">specific </w:t>
      </w:r>
      <w:r w:rsidRPr="00485CEB" w:rsidR="00C35C21">
        <w:rPr>
          <w:color w:val="000000"/>
        </w:rPr>
        <w:t>information collection</w:t>
      </w:r>
      <w:r w:rsidRPr="00485CEB" w:rsidR="00226B28">
        <w:rPr>
          <w:color w:val="000000"/>
        </w:rPr>
        <w:t xml:space="preserve"> requirement</w:t>
      </w:r>
      <w:r w:rsidRPr="00485CEB" w:rsidR="00AB4E72">
        <w:rPr>
          <w:color w:val="000000"/>
        </w:rPr>
        <w:t>s</w:t>
      </w:r>
      <w:r w:rsidRPr="00485CEB" w:rsidR="00226B28">
        <w:rPr>
          <w:color w:val="000000"/>
        </w:rPr>
        <w:t xml:space="preserve"> for each </w:t>
      </w:r>
      <w:r w:rsidR="00A05FFD">
        <w:rPr>
          <w:color w:val="000000"/>
        </w:rPr>
        <w:t xml:space="preserve">of the four </w:t>
      </w:r>
      <w:r w:rsidRPr="00485CEB" w:rsidR="00226B28">
        <w:rPr>
          <w:color w:val="000000"/>
        </w:rPr>
        <w:t>section</w:t>
      </w:r>
      <w:r w:rsidR="00A05FFD">
        <w:rPr>
          <w:color w:val="000000"/>
        </w:rPr>
        <w:t>s</w:t>
      </w:r>
      <w:r w:rsidRPr="00485CEB" w:rsidR="00226B28">
        <w:rPr>
          <w:color w:val="000000"/>
        </w:rPr>
        <w:t xml:space="preserve"> follows</w:t>
      </w:r>
      <w:r w:rsidR="00226B28">
        <w:rPr>
          <w:color w:val="000000"/>
        </w:rPr>
        <w:t>:</w:t>
      </w:r>
    </w:p>
    <w:p w:rsidR="00226B28" w:rsidP="00B52594" w:rsidRDefault="00226B28" w14:paraId="0724D709" w14:textId="77777777">
      <w:pPr>
        <w:tabs>
          <w:tab w:val="num" w:pos="1440"/>
        </w:tabs>
        <w:ind w:left="1440"/>
        <w:rPr>
          <w:color w:val="000000"/>
        </w:rPr>
      </w:pPr>
    </w:p>
    <w:p w:rsidRPr="005D1A21" w:rsidR="005D1A21" w:rsidP="00B52594" w:rsidRDefault="005D1A21" w14:paraId="2B5A19E3" w14:textId="64366268">
      <w:pPr>
        <w:tabs>
          <w:tab w:val="num" w:pos="1440"/>
        </w:tabs>
        <w:ind w:left="1440"/>
      </w:pPr>
      <w:r w:rsidRPr="005D1A21">
        <w:rPr>
          <w:b/>
          <w:bCs/>
          <w:u w:val="single"/>
        </w:rPr>
        <w:t>418.3625(c)</w:t>
      </w:r>
      <w:r w:rsidRPr="005D1A21">
        <w:t xml:space="preserve"> – O</w:t>
      </w:r>
      <w:r w:rsidR="0052104E">
        <w:t xml:space="preserve">ne may request a change in date or </w:t>
      </w:r>
      <w:r w:rsidRPr="005D1A21">
        <w:t>time for an administrative review hearing, but must provide a reason for doing so</w:t>
      </w:r>
      <w:r w:rsidR="00F61D31">
        <w:t>,</w:t>
      </w:r>
      <w:r w:rsidRPr="005D1A21">
        <w:t xml:space="preserve"> and</w:t>
      </w:r>
      <w:r w:rsidR="0052104E">
        <w:t xml:space="preserve"> must provide alternative dates or </w:t>
      </w:r>
      <w:r w:rsidRPr="005D1A21">
        <w:t>times.</w:t>
      </w:r>
    </w:p>
    <w:p w:rsidRPr="005D1A21" w:rsidR="005D1A21" w:rsidP="00B52594" w:rsidRDefault="005D1A21" w14:paraId="3A9FD3FC" w14:textId="77777777">
      <w:pPr>
        <w:tabs>
          <w:tab w:val="num" w:pos="1440"/>
        </w:tabs>
        <w:ind w:left="1440"/>
      </w:pPr>
    </w:p>
    <w:p w:rsidRPr="005D1A21" w:rsidR="005D1A21" w:rsidP="00B52594" w:rsidRDefault="005D1A21" w14:paraId="20943F11" w14:textId="77777777">
      <w:pPr>
        <w:tabs>
          <w:tab w:val="num" w:pos="1440"/>
        </w:tabs>
        <w:ind w:left="1440"/>
      </w:pPr>
      <w:r w:rsidRPr="005D1A21">
        <w:rPr>
          <w:b/>
          <w:bCs/>
          <w:u w:val="single"/>
        </w:rPr>
        <w:t>418.3645</w:t>
      </w:r>
      <w:r w:rsidRPr="005D1A21">
        <w:t xml:space="preserve"> – One may </w:t>
      </w:r>
      <w:r w:rsidR="005F61A7">
        <w:t xml:space="preserve">object to the person who will be conducting </w:t>
      </w:r>
      <w:r w:rsidRPr="005D1A21">
        <w:t xml:space="preserve">the </w:t>
      </w:r>
      <w:r w:rsidR="00805EB9">
        <w:t>administrative review</w:t>
      </w:r>
      <w:r w:rsidR="005F61A7">
        <w:t xml:space="preserve"> hearing by notifying SSA at the earliest opportunity</w:t>
      </w:r>
      <w:r w:rsidRPr="005D1A21">
        <w:t>.</w:t>
      </w:r>
    </w:p>
    <w:p w:rsidRPr="005D1A21" w:rsidR="005D1A21" w:rsidP="00B52594" w:rsidRDefault="005D1A21" w14:paraId="724444D1" w14:textId="77777777">
      <w:pPr>
        <w:tabs>
          <w:tab w:val="num" w:pos="1440"/>
        </w:tabs>
        <w:ind w:left="1440"/>
      </w:pPr>
    </w:p>
    <w:p w:rsidRPr="005D1A21" w:rsidR="005D1A21" w:rsidP="00B52594" w:rsidRDefault="005D1A21" w14:paraId="4010F75E" w14:textId="77777777">
      <w:pPr>
        <w:tabs>
          <w:tab w:val="num" w:pos="1440"/>
        </w:tabs>
        <w:ind w:left="1440"/>
      </w:pPr>
      <w:r w:rsidRPr="005D1A21">
        <w:rPr>
          <w:b/>
          <w:bCs/>
          <w:u w:val="single"/>
        </w:rPr>
        <w:lastRenderedPageBreak/>
        <w:t>418.3665(a)</w:t>
      </w:r>
      <w:r w:rsidRPr="005D1A21">
        <w:t xml:space="preserve"> – One may withdraw </w:t>
      </w:r>
      <w:r w:rsidR="000B500C">
        <w:t>a</w:t>
      </w:r>
      <w:r w:rsidRPr="005D1A21">
        <w:t xml:space="preserve"> request for administrative review</w:t>
      </w:r>
      <w:r w:rsidR="005F61A7">
        <w:t xml:space="preserve"> at any time before notice of the decision is mailed</w:t>
      </w:r>
      <w:r w:rsidRPr="005D1A21">
        <w:t>.</w:t>
      </w:r>
    </w:p>
    <w:p w:rsidRPr="005D1A21" w:rsidR="005D1A21" w:rsidP="00B52594" w:rsidRDefault="005D1A21" w14:paraId="65EEAB49" w14:textId="77777777">
      <w:pPr>
        <w:tabs>
          <w:tab w:val="num" w:pos="1440"/>
        </w:tabs>
        <w:ind w:left="1440"/>
      </w:pPr>
    </w:p>
    <w:p w:rsidR="00D22427" w:rsidP="00B52594" w:rsidRDefault="005D1A21" w14:paraId="631AA148" w14:textId="77777777">
      <w:pPr>
        <w:tabs>
          <w:tab w:val="num" w:pos="1440"/>
        </w:tabs>
        <w:ind w:left="1440"/>
      </w:pPr>
      <w:r w:rsidRPr="005D1A21">
        <w:rPr>
          <w:b/>
          <w:bCs/>
          <w:u w:val="single"/>
        </w:rPr>
        <w:t>418.3670</w:t>
      </w:r>
      <w:r w:rsidRPr="005D1A21">
        <w:t xml:space="preserve"> – </w:t>
      </w:r>
      <w:r w:rsidR="005F61A7">
        <w:t xml:space="preserve">Within 60 days of receiving </w:t>
      </w:r>
      <w:r w:rsidR="003B604C">
        <w:t xml:space="preserve">the </w:t>
      </w:r>
      <w:r w:rsidR="005F61A7">
        <w:t>dismissal notice, o</w:t>
      </w:r>
      <w:r w:rsidR="00805EB9">
        <w:t xml:space="preserve">ne </w:t>
      </w:r>
      <w:r w:rsidRPr="005D1A21">
        <w:t xml:space="preserve">may ask SSA to vacate </w:t>
      </w:r>
      <w:r w:rsidR="003B604C">
        <w:t xml:space="preserve">the </w:t>
      </w:r>
      <w:r w:rsidRPr="005D1A21">
        <w:t>dismiss</w:t>
      </w:r>
      <w:r w:rsidR="005F61A7">
        <w:t>al of a request for</w:t>
      </w:r>
      <w:r w:rsidRPr="005D1A21">
        <w:t xml:space="preserve"> administrative review</w:t>
      </w:r>
      <w:r w:rsidR="00D22427">
        <w:t xml:space="preserve"> and show good cause why we should not dismiss the request.</w:t>
      </w:r>
    </w:p>
    <w:p w:rsidRPr="005D1A21" w:rsidR="00A05FFD" w:rsidP="00B52594" w:rsidRDefault="00B060BD" w14:paraId="21247B5B" w14:textId="40143AA5">
      <w:pPr>
        <w:tabs>
          <w:tab w:val="num" w:pos="1440"/>
        </w:tabs>
        <w:ind w:left="1440"/>
      </w:pPr>
      <w:r>
        <w:t xml:space="preserve">SSA </w:t>
      </w:r>
      <w:r w:rsidR="00585469">
        <w:t xml:space="preserve">employees </w:t>
      </w:r>
      <w:r w:rsidR="004561D7">
        <w:t>collect</w:t>
      </w:r>
      <w:r w:rsidR="005C7C5B">
        <w:t xml:space="preserve"> this information </w:t>
      </w:r>
      <w:r w:rsidR="00FF070A">
        <w:t xml:space="preserve">only </w:t>
      </w:r>
      <w:r w:rsidR="005C7C5B">
        <w:t xml:space="preserve">when </w:t>
      </w:r>
      <w:r w:rsidR="004561D7">
        <w:t xml:space="preserve">an applicant </w:t>
      </w:r>
      <w:r w:rsidR="00146904">
        <w:t xml:space="preserve">contacts SSA </w:t>
      </w:r>
      <w:r w:rsidR="004561D7">
        <w:t xml:space="preserve">to make one of these four requests regarding </w:t>
      </w:r>
      <w:r w:rsidR="000A0836">
        <w:t>their</w:t>
      </w:r>
      <w:r w:rsidR="004561D7">
        <w:t xml:space="preserve"> administrative review hearing.</w:t>
      </w:r>
      <w:r w:rsidR="0050622C">
        <w:t xml:space="preserve"> </w:t>
      </w:r>
      <w:r w:rsidR="004561D7">
        <w:t xml:space="preserve"> </w:t>
      </w:r>
      <w:r>
        <w:t>An applicant can make these requests in person or by phone, fax, or mail.</w:t>
      </w:r>
      <w:r w:rsidR="003C6FC7">
        <w:t xml:space="preserve">  </w:t>
      </w:r>
      <w:r w:rsidR="0052104E">
        <w:rPr>
          <w:color w:val="000000"/>
        </w:rPr>
        <w:t>The respondents are applicants for the low-income subsidy program who are awaiting an administrative review hearing and have one or more of the requests</w:t>
      </w:r>
      <w:r w:rsidR="00FF070A">
        <w:rPr>
          <w:color w:val="000000"/>
        </w:rPr>
        <w:t xml:space="preserve"> shown</w:t>
      </w:r>
      <w:r w:rsidR="0052104E">
        <w:rPr>
          <w:color w:val="000000"/>
        </w:rPr>
        <w:t xml:space="preserve"> above.</w:t>
      </w:r>
    </w:p>
    <w:p w:rsidR="007151A6" w:rsidP="00B52594" w:rsidRDefault="007151A6" w14:paraId="0F9D0FBA" w14:textId="77777777">
      <w:pPr>
        <w:tabs>
          <w:tab w:val="num" w:pos="1440"/>
        </w:tabs>
        <w:ind w:left="1440"/>
      </w:pPr>
    </w:p>
    <w:p w:rsidR="0052104E" w:rsidP="00B52594" w:rsidRDefault="0052104E" w14:paraId="177118DB" w14:textId="77777777">
      <w:pPr>
        <w:numPr>
          <w:ilvl w:val="1"/>
          <w:numId w:val="1"/>
        </w:numPr>
        <w:tabs>
          <w:tab w:val="clear" w:pos="1080"/>
          <w:tab w:val="num" w:pos="1440"/>
        </w:tabs>
        <w:ind w:left="1440" w:hanging="720"/>
      </w:pPr>
      <w:r>
        <w:rPr>
          <w:b/>
        </w:rPr>
        <w:t>Use of Information Technology to Collect the Information</w:t>
      </w:r>
      <w:r>
        <w:t xml:space="preserve"> </w:t>
      </w:r>
    </w:p>
    <w:p w:rsidR="00900E98" w:rsidP="00900E98" w:rsidRDefault="007E0B7E" w14:paraId="49497457" w14:textId="65435E45">
      <w:pPr>
        <w:tabs>
          <w:tab w:val="num" w:pos="1440"/>
        </w:tabs>
        <w:ind w:left="1440"/>
      </w:pPr>
      <w:r>
        <w:t>A</w:t>
      </w:r>
      <w:r w:rsidR="00AB041F">
        <w:t>s stated above, a</w:t>
      </w:r>
      <w:r>
        <w:t xml:space="preserve">n applicant </w:t>
      </w:r>
      <w:r w:rsidR="00BA1680">
        <w:t xml:space="preserve">can </w:t>
      </w:r>
      <w:r w:rsidR="00296872">
        <w:t xml:space="preserve">make these </w:t>
      </w:r>
      <w:r w:rsidR="00BA1680">
        <w:t>request</w:t>
      </w:r>
      <w:r w:rsidR="00296872">
        <w:t>s regarding</w:t>
      </w:r>
      <w:r w:rsidR="00BA1680">
        <w:t xml:space="preserve"> </w:t>
      </w:r>
      <w:r w:rsidR="000A0836">
        <w:t>their</w:t>
      </w:r>
      <w:r w:rsidR="00296872">
        <w:t xml:space="preserve"> </w:t>
      </w:r>
      <w:r w:rsidR="00BA1680">
        <w:t xml:space="preserve">administrative review </w:t>
      </w:r>
      <w:r w:rsidR="00296872">
        <w:t xml:space="preserve">hearing </w:t>
      </w:r>
      <w:r w:rsidR="00BA1680">
        <w:t>in person</w:t>
      </w:r>
      <w:r w:rsidR="00296872">
        <w:t xml:space="preserve"> or </w:t>
      </w:r>
      <w:r w:rsidR="00BA1680">
        <w:t xml:space="preserve">by phone, fax, or mail.  </w:t>
      </w:r>
      <w:r w:rsidR="00AC5B84">
        <w:t xml:space="preserve">SSA employees electronically record the information in </w:t>
      </w:r>
      <w:r w:rsidR="0052104E">
        <w:t>the</w:t>
      </w:r>
      <w:r w:rsidR="00093245">
        <w:t xml:space="preserve"> </w:t>
      </w:r>
      <w:r w:rsidR="007557B7">
        <w:t xml:space="preserve">Case Processing and Management System </w:t>
      </w:r>
      <w:r w:rsidR="005A5851">
        <w:t>in all instanc</w:t>
      </w:r>
      <w:r w:rsidR="00093245">
        <w:t>es</w:t>
      </w:r>
      <w:r w:rsidR="0052104E">
        <w:t xml:space="preserve">.  </w:t>
      </w:r>
      <w:r w:rsidRPr="00A67B7E" w:rsidR="00900E98">
        <w:t>SSA is unable to create an Internet version of this information collection, as</w:t>
      </w:r>
      <w:r w:rsidR="00FC0EB3">
        <w:t xml:space="preserve"> this information collection request pertains to regulation sections and does not have a specific information collection instrument</w:t>
      </w:r>
      <w:r w:rsidRPr="00A67B7E" w:rsidR="00900E98">
        <w:t>.  We will reassess this ability if and when technological advances are created that would allow for us to make this collection available via the Internet.</w:t>
      </w:r>
    </w:p>
    <w:p w:rsidR="00C50DCF" w:rsidP="00B52594" w:rsidRDefault="00C50DCF" w14:paraId="0D06FADB" w14:textId="77777777">
      <w:pPr>
        <w:tabs>
          <w:tab w:val="num" w:pos="1440"/>
        </w:tabs>
        <w:ind w:left="1440"/>
      </w:pPr>
    </w:p>
    <w:p w:rsidR="0052104E" w:rsidP="00B52594" w:rsidRDefault="0052104E" w14:paraId="5FD25CBA" w14:textId="77777777">
      <w:pPr>
        <w:numPr>
          <w:ilvl w:val="1"/>
          <w:numId w:val="1"/>
        </w:numPr>
        <w:tabs>
          <w:tab w:val="clear" w:pos="1080"/>
          <w:tab w:val="num" w:pos="1440"/>
        </w:tabs>
        <w:ind w:left="1440" w:hanging="720"/>
      </w:pPr>
      <w:r>
        <w:rPr>
          <w:b/>
        </w:rPr>
        <w:t>Why We Cannot Use Duplicate Information</w:t>
      </w:r>
      <w:r>
        <w:t xml:space="preserve"> </w:t>
      </w:r>
    </w:p>
    <w:p w:rsidR="008767A0" w:rsidP="00B52594" w:rsidRDefault="002315E6" w14:paraId="243C3C1D" w14:textId="4B6040BE">
      <w:pPr>
        <w:tabs>
          <w:tab w:val="num" w:pos="1440"/>
        </w:tabs>
        <w:ind w:left="1440"/>
      </w:pPr>
      <w:r>
        <w:t xml:space="preserve">The nature of the information </w:t>
      </w:r>
      <w:r w:rsidR="0045656E">
        <w:t xml:space="preserve">we </w:t>
      </w:r>
      <w:r w:rsidR="006C2DE4">
        <w:t>collect a</w:t>
      </w:r>
      <w:r>
        <w:t xml:space="preserve">nd the manner in which </w:t>
      </w:r>
      <w:r w:rsidR="0045656E">
        <w:t>we collect</w:t>
      </w:r>
      <w:r w:rsidR="006C2DE4">
        <w:t xml:space="preserve"> </w:t>
      </w:r>
      <w:r w:rsidR="0045656E">
        <w:t xml:space="preserve">it </w:t>
      </w:r>
      <w:r>
        <w:t>preclude duplication.</w:t>
      </w:r>
      <w:r w:rsidR="0045656E">
        <w:t xml:space="preserve">  SSA does not use another collection i</w:t>
      </w:r>
      <w:r w:rsidR="0052104E">
        <w:t>nstrument to obtain similar data</w:t>
      </w:r>
      <w:r w:rsidR="0045656E">
        <w:t>.</w:t>
      </w:r>
    </w:p>
    <w:p w:rsidR="008767A0" w:rsidP="00B52594" w:rsidRDefault="008767A0" w14:paraId="35DAF7A2" w14:textId="77777777">
      <w:pPr>
        <w:tabs>
          <w:tab w:val="num" w:pos="1440"/>
        </w:tabs>
        <w:ind w:left="1440"/>
      </w:pPr>
    </w:p>
    <w:p w:rsidR="0052104E" w:rsidP="00B52594" w:rsidRDefault="0052104E" w14:paraId="2C5AC630" w14:textId="77777777">
      <w:pPr>
        <w:numPr>
          <w:ilvl w:val="1"/>
          <w:numId w:val="1"/>
        </w:numPr>
        <w:tabs>
          <w:tab w:val="clear" w:pos="1080"/>
          <w:tab w:val="num" w:pos="1440"/>
        </w:tabs>
        <w:ind w:left="1440" w:hanging="720"/>
      </w:pPr>
      <w:r>
        <w:rPr>
          <w:b/>
        </w:rPr>
        <w:t>Minimizing Burden on Small Respondents</w:t>
      </w:r>
      <w:r>
        <w:t xml:space="preserve"> </w:t>
      </w:r>
    </w:p>
    <w:p w:rsidR="008767A0" w:rsidP="00B52594" w:rsidRDefault="002315E6" w14:paraId="3171EC17" w14:textId="77777777">
      <w:pPr>
        <w:tabs>
          <w:tab w:val="num" w:pos="1440"/>
        </w:tabs>
        <w:ind w:left="1440"/>
      </w:pPr>
      <w:r>
        <w:t xml:space="preserve">This collection does not </w:t>
      </w:r>
      <w:r w:rsidR="0045656E">
        <w:t>affect</w:t>
      </w:r>
      <w:r>
        <w:t xml:space="preserve"> small businesses or other small entities.</w:t>
      </w:r>
    </w:p>
    <w:p w:rsidR="006D1152" w:rsidP="00B52594" w:rsidRDefault="006D1152" w14:paraId="7A7B0139" w14:textId="77777777">
      <w:pPr>
        <w:tabs>
          <w:tab w:val="num" w:pos="1440"/>
        </w:tabs>
        <w:ind w:left="1440"/>
      </w:pPr>
    </w:p>
    <w:p w:rsidR="0052104E" w:rsidP="00B52594" w:rsidRDefault="0052104E" w14:paraId="5BEAE3DD" w14:textId="77777777">
      <w:pPr>
        <w:numPr>
          <w:ilvl w:val="1"/>
          <w:numId w:val="1"/>
        </w:numPr>
        <w:tabs>
          <w:tab w:val="clear" w:pos="1080"/>
          <w:tab w:val="num" w:pos="1440"/>
        </w:tabs>
        <w:ind w:left="1440" w:hanging="720"/>
      </w:pPr>
      <w:r>
        <w:rPr>
          <w:b/>
        </w:rPr>
        <w:t>Consequence of Not Collecting Information or Collecting it Less Frequently</w:t>
      </w:r>
      <w:r>
        <w:t xml:space="preserve"> </w:t>
      </w:r>
    </w:p>
    <w:p w:rsidR="003E7719" w:rsidP="00B52594" w:rsidRDefault="003E7719" w14:paraId="5D346E60" w14:textId="4C790834">
      <w:pPr>
        <w:tabs>
          <w:tab w:val="num" w:pos="1440"/>
        </w:tabs>
        <w:ind w:left="1440"/>
      </w:pPr>
      <w:r>
        <w:t xml:space="preserve">If </w:t>
      </w:r>
      <w:r w:rsidR="0045656E">
        <w:t xml:space="preserve">SSA did not conduct </w:t>
      </w:r>
      <w:r>
        <w:t xml:space="preserve">the information collection these regulation sections </w:t>
      </w:r>
      <w:r w:rsidR="0045656E">
        <w:t>require</w:t>
      </w:r>
      <w:r>
        <w:t xml:space="preserve">, SSA would have no means of carrying out the Medicare Part D subsidy provisions of the MMA.  </w:t>
      </w:r>
      <w:r w:rsidR="00C92598">
        <w:t>Because</w:t>
      </w:r>
      <w:r w:rsidR="0045656E">
        <w:t xml:space="preserve"> we only collect this information</w:t>
      </w:r>
      <w:r>
        <w:t xml:space="preserve"> when a specific situation arise</w:t>
      </w:r>
      <w:r w:rsidR="00F61D31">
        <w:t>s (ex: applying for the subsidy; appealing a decision;</w:t>
      </w:r>
      <w:r>
        <w:t xml:space="preserve"> requesting an administrative hearing), </w:t>
      </w:r>
      <w:r w:rsidR="0045656E">
        <w:t xml:space="preserve">we </w:t>
      </w:r>
      <w:r>
        <w:t xml:space="preserve">cannot </w:t>
      </w:r>
      <w:r w:rsidR="0045656E">
        <w:t xml:space="preserve">collect it </w:t>
      </w:r>
      <w:r>
        <w:t>less frequently.</w:t>
      </w:r>
      <w:r w:rsidR="00536991">
        <w:t xml:space="preserve">  </w:t>
      </w:r>
      <w:r>
        <w:t xml:space="preserve">There are no technical or legal obstacles </w:t>
      </w:r>
      <w:r w:rsidR="0045656E">
        <w:t xml:space="preserve">to </w:t>
      </w:r>
      <w:r>
        <w:t>burden reduction.</w:t>
      </w:r>
    </w:p>
    <w:p w:rsidR="006D1152" w:rsidP="00B52594" w:rsidRDefault="006D1152" w14:paraId="3F7B3197" w14:textId="77777777">
      <w:pPr>
        <w:tabs>
          <w:tab w:val="num" w:pos="1440"/>
        </w:tabs>
        <w:ind w:left="1440"/>
      </w:pPr>
    </w:p>
    <w:p w:rsidR="001346B4" w:rsidP="00B52594" w:rsidRDefault="001346B4" w14:paraId="742A4A17" w14:textId="77777777">
      <w:pPr>
        <w:numPr>
          <w:ilvl w:val="1"/>
          <w:numId w:val="1"/>
        </w:numPr>
        <w:tabs>
          <w:tab w:val="clear" w:pos="1080"/>
          <w:tab w:val="num" w:pos="1440"/>
        </w:tabs>
        <w:ind w:left="1440" w:hanging="720"/>
      </w:pPr>
      <w:r>
        <w:rPr>
          <w:b/>
        </w:rPr>
        <w:t>Special Circumstances</w:t>
      </w:r>
      <w:r>
        <w:t xml:space="preserve"> </w:t>
      </w:r>
    </w:p>
    <w:p w:rsidR="00F248AD" w:rsidP="00B52594" w:rsidRDefault="003E7719" w14:paraId="15694533" w14:textId="77777777">
      <w:pPr>
        <w:tabs>
          <w:tab w:val="num" w:pos="1440"/>
        </w:tabs>
        <w:ind w:left="1440"/>
      </w:pPr>
      <w:r>
        <w:t xml:space="preserve">There are no special circumstances that would cause </w:t>
      </w:r>
      <w:r w:rsidR="00485CEB">
        <w:t xml:space="preserve">SSA to conduct </w:t>
      </w:r>
      <w:r>
        <w:t xml:space="preserve">this information collection in a manner inconsistent with </w:t>
      </w:r>
      <w:r w:rsidRPr="001346B4">
        <w:rPr>
          <w:i/>
        </w:rPr>
        <w:t>5 CFR 1320.5.</w:t>
      </w:r>
    </w:p>
    <w:p w:rsidRPr="00CD5740" w:rsidR="00F248AD" w:rsidP="00B52594" w:rsidRDefault="00F248AD" w14:paraId="02907E49" w14:textId="77777777">
      <w:pPr>
        <w:tabs>
          <w:tab w:val="num" w:pos="1440"/>
        </w:tabs>
        <w:ind w:left="1440"/>
      </w:pPr>
    </w:p>
    <w:p w:rsidRPr="001346B4" w:rsidR="001346B4" w:rsidP="00B52594" w:rsidRDefault="001346B4" w14:paraId="7C49784E" w14:textId="77777777">
      <w:pPr>
        <w:numPr>
          <w:ilvl w:val="1"/>
          <w:numId w:val="1"/>
        </w:numPr>
        <w:tabs>
          <w:tab w:val="clear" w:pos="1080"/>
          <w:tab w:val="num" w:pos="1440"/>
        </w:tabs>
        <w:ind w:left="1440" w:hanging="720"/>
      </w:pPr>
      <w:r>
        <w:rPr>
          <w:b/>
        </w:rPr>
        <w:t>Solicitation of Public Comment and Other Consultations with the Public</w:t>
      </w:r>
      <w:r w:rsidRPr="00EA5D0D">
        <w:rPr>
          <w:spacing w:val="-2"/>
        </w:rPr>
        <w:t xml:space="preserve"> </w:t>
      </w:r>
    </w:p>
    <w:p w:rsidR="007A2022" w:rsidP="00B52594" w:rsidRDefault="007A2022" w14:paraId="3666375E" w14:textId="7F3828D5">
      <w:pPr>
        <w:tabs>
          <w:tab w:val="num" w:pos="1440"/>
        </w:tabs>
        <w:ind w:left="1440"/>
      </w:pPr>
      <w:r w:rsidRPr="00043B9D">
        <w:t xml:space="preserve">The 60-day advance Federal Register Notice published on </w:t>
      </w:r>
      <w:r>
        <w:t>October 8,</w:t>
      </w:r>
      <w:r w:rsidR="00561D12">
        <w:t xml:space="preserve"> </w:t>
      </w:r>
      <w:r>
        <w:t>2020</w:t>
      </w:r>
      <w:r w:rsidRPr="00043B9D">
        <w:t xml:space="preserve">, at </w:t>
      </w:r>
    </w:p>
    <w:p w:rsidRPr="000317B7" w:rsidR="000317B7" w:rsidP="000317B7" w:rsidRDefault="007A2022" w14:paraId="76276789" w14:textId="68F67027">
      <w:pPr>
        <w:ind w:left="1440"/>
      </w:pPr>
      <w:r>
        <w:lastRenderedPageBreak/>
        <w:t>85</w:t>
      </w:r>
      <w:r w:rsidRPr="00043B9D">
        <w:t xml:space="preserve"> FR </w:t>
      </w:r>
      <w:r>
        <w:t>63630</w:t>
      </w:r>
      <w:r w:rsidRPr="00043B9D">
        <w:t xml:space="preserve">, and we received no public comments.  The 30-day FRN published on </w:t>
      </w:r>
      <w:r w:rsidR="000317B7">
        <w:t xml:space="preserve">December 8, 2020 </w:t>
      </w:r>
      <w:r w:rsidRPr="00043B9D">
        <w:t xml:space="preserve">at </w:t>
      </w:r>
      <w:r w:rsidR="000317B7">
        <w:t>85 FR 79064</w:t>
      </w:r>
      <w:r w:rsidRPr="00043B9D">
        <w:t>.  If we receive any comments in response to this Notice, we will forward them to OMB</w:t>
      </w:r>
      <w:r w:rsidR="000317B7">
        <w:t xml:space="preserve">.  </w:t>
      </w:r>
      <w:r w:rsidRPr="000317B7" w:rsidR="000317B7">
        <w:t>We did not consult with the public in the</w:t>
      </w:r>
      <w:r w:rsidR="000317B7">
        <w:t xml:space="preserve"> </w:t>
      </w:r>
      <w:r w:rsidR="00A155ED">
        <w:t xml:space="preserve">revision </w:t>
      </w:r>
      <w:r w:rsidRPr="000317B7" w:rsidR="000317B7">
        <w:t>of this collection.</w:t>
      </w:r>
    </w:p>
    <w:p w:rsidR="003E7719" w:rsidP="00B52594" w:rsidRDefault="003E7719" w14:paraId="75842135" w14:textId="77EDBAE2">
      <w:pPr>
        <w:tabs>
          <w:tab w:val="num" w:pos="1440"/>
        </w:tabs>
        <w:ind w:left="1440"/>
      </w:pPr>
    </w:p>
    <w:p w:rsidR="001346B4" w:rsidP="00B52594" w:rsidRDefault="001346B4" w14:paraId="5E8309DC" w14:textId="77777777">
      <w:pPr>
        <w:numPr>
          <w:ilvl w:val="1"/>
          <w:numId w:val="1"/>
        </w:numPr>
        <w:tabs>
          <w:tab w:val="clear" w:pos="1080"/>
          <w:tab w:val="num" w:pos="1440"/>
        </w:tabs>
        <w:ind w:left="1440" w:hanging="720"/>
      </w:pPr>
      <w:r>
        <w:rPr>
          <w:b/>
        </w:rPr>
        <w:t>Payment or Gifts to Respondents</w:t>
      </w:r>
      <w:r>
        <w:t xml:space="preserve"> </w:t>
      </w:r>
    </w:p>
    <w:p w:rsidR="00092BB3" w:rsidP="004D456C" w:rsidRDefault="003E7719" w14:paraId="754CFB1E" w14:textId="02708E96">
      <w:pPr>
        <w:tabs>
          <w:tab w:val="num" w:pos="1440"/>
        </w:tabs>
        <w:ind w:left="1440"/>
      </w:pPr>
      <w:r>
        <w:t xml:space="preserve">SSA </w:t>
      </w:r>
      <w:r w:rsidR="00485CEB">
        <w:t xml:space="preserve">does not </w:t>
      </w:r>
      <w:r>
        <w:t>provide</w:t>
      </w:r>
      <w:r w:rsidR="00485CEB">
        <w:t xml:space="preserve"> </w:t>
      </w:r>
      <w:r>
        <w:t>payment</w:t>
      </w:r>
      <w:r w:rsidR="00485CEB">
        <w:t>s</w:t>
      </w:r>
      <w:r>
        <w:t xml:space="preserve"> or gifts to </w:t>
      </w:r>
      <w:r w:rsidR="00485CEB">
        <w:t xml:space="preserve">the </w:t>
      </w:r>
      <w:r>
        <w:t>respondents.</w:t>
      </w:r>
    </w:p>
    <w:p w:rsidR="00FE102F" w:rsidP="004D456C" w:rsidRDefault="00FE102F" w14:paraId="331AB2BC" w14:textId="77777777">
      <w:pPr>
        <w:tabs>
          <w:tab w:val="num" w:pos="1440"/>
        </w:tabs>
        <w:ind w:left="1440"/>
      </w:pPr>
    </w:p>
    <w:p w:rsidR="001346B4" w:rsidP="00B52594" w:rsidRDefault="001346B4" w14:paraId="254A929B" w14:textId="77777777">
      <w:pPr>
        <w:numPr>
          <w:ilvl w:val="1"/>
          <w:numId w:val="1"/>
        </w:numPr>
        <w:tabs>
          <w:tab w:val="clear" w:pos="1080"/>
          <w:tab w:val="num" w:pos="1440"/>
        </w:tabs>
        <w:ind w:left="1440" w:hanging="720"/>
      </w:pPr>
      <w:r>
        <w:rPr>
          <w:b/>
        </w:rPr>
        <w:t>Assurances of Confidentiality</w:t>
      </w:r>
      <w:r>
        <w:t xml:space="preserve"> </w:t>
      </w:r>
    </w:p>
    <w:p w:rsidR="00092BB3" w:rsidP="00B52594" w:rsidRDefault="001346B4" w14:paraId="38E6FC95" w14:textId="14F1B374">
      <w:pPr>
        <w:tabs>
          <w:tab w:val="num" w:pos="1440"/>
        </w:tabs>
        <w:ind w:left="1440"/>
      </w:pPr>
      <w:r w:rsidRPr="00411EAE">
        <w:t>SSA protects and holds confidential the information it collects in accordance with</w:t>
      </w:r>
      <w:r>
        <w:rPr>
          <w:i/>
        </w:rPr>
        <w:t xml:space="preserve"> 42 U.S.C. 1306, 20 CFR 401 </w:t>
      </w:r>
      <w:r w:rsidRPr="00411EAE">
        <w:t xml:space="preserve">and </w:t>
      </w:r>
      <w:r>
        <w:rPr>
          <w:i/>
        </w:rPr>
        <w:t xml:space="preserve">402, 5 U.S.C. 552 </w:t>
      </w:r>
      <w:r w:rsidRPr="00411EAE">
        <w:t>(Freedom of Informat</w:t>
      </w:r>
      <w:r w:rsidR="004D456C">
        <w:t xml:space="preserve">ion </w:t>
      </w:r>
      <w:r w:rsidRPr="00411EAE">
        <w:t>Act)</w:t>
      </w:r>
      <w:r>
        <w:rPr>
          <w:i/>
        </w:rPr>
        <w:t xml:space="preserve">, 5 U.S.C. 552a </w:t>
      </w:r>
      <w:r w:rsidRPr="00411EAE">
        <w:t>(Privacy Act of 1974), and OMB Circular No. A-130</w:t>
      </w:r>
      <w:r w:rsidR="003E7719">
        <w:t>.</w:t>
      </w:r>
    </w:p>
    <w:p w:rsidR="00092BB3" w:rsidP="00B52594" w:rsidRDefault="00092BB3" w14:paraId="1074A36B" w14:textId="77777777">
      <w:pPr>
        <w:tabs>
          <w:tab w:val="num" w:pos="1440"/>
        </w:tabs>
        <w:ind w:left="1440"/>
      </w:pPr>
    </w:p>
    <w:p w:rsidR="001346B4" w:rsidP="00B52594" w:rsidRDefault="001346B4" w14:paraId="65ADF7B1" w14:textId="77777777">
      <w:pPr>
        <w:numPr>
          <w:ilvl w:val="1"/>
          <w:numId w:val="1"/>
        </w:numPr>
        <w:tabs>
          <w:tab w:val="clear" w:pos="1080"/>
          <w:tab w:val="num" w:pos="1440"/>
        </w:tabs>
        <w:ind w:left="1440" w:hanging="720"/>
      </w:pPr>
      <w:r>
        <w:rPr>
          <w:b/>
        </w:rPr>
        <w:t>Justification for Sensitive Questions</w:t>
      </w:r>
      <w:r w:rsidRPr="003C1702">
        <w:t xml:space="preserve"> </w:t>
      </w:r>
    </w:p>
    <w:p w:rsidR="006D1152" w:rsidP="00B52594" w:rsidRDefault="003E7719" w14:paraId="5E042780" w14:textId="1C8CD11D">
      <w:pPr>
        <w:tabs>
          <w:tab w:val="num" w:pos="1440"/>
        </w:tabs>
        <w:ind w:left="1440"/>
      </w:pPr>
      <w:r w:rsidRPr="003C1702">
        <w:t>Some of the information</w:t>
      </w:r>
      <w:r>
        <w:t xml:space="preserve"> </w:t>
      </w:r>
      <w:r w:rsidR="00186057">
        <w:t>we collect</w:t>
      </w:r>
      <w:r w:rsidR="00F61D31">
        <w:t xml:space="preserve"> </w:t>
      </w:r>
      <w:r w:rsidR="00186057">
        <w:t xml:space="preserve">may be </w:t>
      </w:r>
      <w:r w:rsidR="008B2218">
        <w:t xml:space="preserve">of a sensitive nature.  However, this information is necessary </w:t>
      </w:r>
      <w:r w:rsidR="00C320CE">
        <w:t>to fulfill applicants’</w:t>
      </w:r>
      <w:r w:rsidR="008B2218">
        <w:t xml:space="preserve"> requests and to proceed with the administrative review hearing process.  </w:t>
      </w:r>
      <w:r w:rsidR="00A70CEF">
        <w:t>We on</w:t>
      </w:r>
      <w:r w:rsidR="0074316C">
        <w:t>ly collect this information after</w:t>
      </w:r>
      <w:r w:rsidR="00A70CEF">
        <w:t xml:space="preserve"> an applicant initiates contact with </w:t>
      </w:r>
      <w:r w:rsidR="00A50647">
        <w:t>SSA to make one of the requests.</w:t>
      </w:r>
    </w:p>
    <w:p w:rsidR="00090390" w:rsidP="00B52594" w:rsidRDefault="00090390" w14:paraId="606C5069" w14:textId="77777777">
      <w:pPr>
        <w:tabs>
          <w:tab w:val="num" w:pos="1440"/>
        </w:tabs>
        <w:ind w:left="1440"/>
      </w:pPr>
    </w:p>
    <w:p w:rsidRPr="001346B4" w:rsidR="001346B4" w:rsidP="00B52594" w:rsidRDefault="001346B4" w14:paraId="3655B01A" w14:textId="77777777">
      <w:pPr>
        <w:numPr>
          <w:ilvl w:val="1"/>
          <w:numId w:val="1"/>
        </w:numPr>
        <w:tabs>
          <w:tab w:val="clear" w:pos="1080"/>
          <w:tab w:val="num" w:pos="1440"/>
        </w:tabs>
        <w:ind w:left="1440" w:hanging="720"/>
      </w:pPr>
      <w:r>
        <w:rPr>
          <w:b/>
        </w:rPr>
        <w:t>Estimates of Public Reporting Burden</w:t>
      </w:r>
      <w:r>
        <w:rPr>
          <w:bCs/>
          <w:iCs/>
        </w:rPr>
        <w:t xml:space="preserve"> </w:t>
      </w:r>
    </w:p>
    <w:p w:rsidR="00B37A54" w:rsidP="00750D59" w:rsidRDefault="009907C3" w14:paraId="105194C3" w14:textId="3347E1C7">
      <w:pPr>
        <w:ind w:left="1440"/>
      </w:pPr>
      <w:r>
        <w:t>The b</w:t>
      </w:r>
      <w:r w:rsidR="00750D59">
        <w:t xml:space="preserve">elow chart list </w:t>
      </w:r>
      <w:r w:rsidR="00484065">
        <w:t xml:space="preserve">the </w:t>
      </w:r>
      <w:r w:rsidR="00F148A9">
        <w:t xml:space="preserve">four </w:t>
      </w:r>
      <w:r w:rsidR="00484065">
        <w:t>regulation sections</w:t>
      </w:r>
      <w:r w:rsidR="00F148A9">
        <w:t xml:space="preserve"> this</w:t>
      </w:r>
      <w:r w:rsidR="00E82996">
        <w:t xml:space="preserve"> ICR </w:t>
      </w:r>
      <w:r w:rsidR="00F148A9">
        <w:t>addresses</w:t>
      </w:r>
      <w:r w:rsidR="00876EEB">
        <w:t xml:space="preserve"> </w:t>
      </w:r>
      <w:r w:rsidR="00484065">
        <w:t xml:space="preserve">and the projected </w:t>
      </w:r>
      <w:r w:rsidR="001346B4">
        <w:t xml:space="preserve">annual </w:t>
      </w:r>
      <w:r w:rsidR="00484065">
        <w:t xml:space="preserve">public </w:t>
      </w:r>
      <w:r w:rsidR="00C35C21">
        <w:t xml:space="preserve">reporting </w:t>
      </w:r>
      <w:r w:rsidR="00484065">
        <w:t>burden for each section.</w:t>
      </w:r>
      <w:r w:rsidRPr="00D061D7" w:rsidR="00D061D7">
        <w:t xml:space="preserve"> </w:t>
      </w:r>
      <w:r w:rsidR="004D456C">
        <w:t xml:space="preserve"> </w:t>
      </w:r>
      <w:r w:rsidR="00D061D7">
        <w:t xml:space="preserve">The total burden for this ICR is </w:t>
      </w:r>
      <w:r w:rsidR="004D456C">
        <w:rPr>
          <w:b/>
        </w:rPr>
        <w:t>29</w:t>
      </w:r>
      <w:r w:rsidRPr="00F004CC" w:rsidR="00D061D7">
        <w:rPr>
          <w:b/>
        </w:rPr>
        <w:t xml:space="preserve"> </w:t>
      </w:r>
      <w:r w:rsidRPr="00750D59" w:rsidR="00750D59">
        <w:t xml:space="preserve">burden </w:t>
      </w:r>
      <w:r w:rsidRPr="00750D59" w:rsidR="00D061D7">
        <w:t>hours</w:t>
      </w:r>
      <w:r w:rsidR="00750D59">
        <w:rPr>
          <w:b/>
        </w:rPr>
        <w:t xml:space="preserve"> </w:t>
      </w:r>
      <w:r w:rsidRPr="00750D59" w:rsidR="00750D59">
        <w:t xml:space="preserve">(reflecting </w:t>
      </w:r>
      <w:r w:rsidR="004D456C">
        <w:t xml:space="preserve">current </w:t>
      </w:r>
      <w:r w:rsidRPr="00750D59" w:rsidR="00750D59">
        <w:t>SSA management information data), which results in an associated theoretical (not actual) opportunity cost financial burde</w:t>
      </w:r>
      <w:r w:rsidR="00750D59">
        <w:t xml:space="preserve">n of </w:t>
      </w:r>
      <w:r w:rsidR="004D456C">
        <w:rPr>
          <w:b/>
        </w:rPr>
        <w:t>$31</w:t>
      </w:r>
      <w:r w:rsidR="00F70EB3">
        <w:rPr>
          <w:b/>
        </w:rPr>
        <w:t>1</w:t>
      </w:r>
      <w:r w:rsidRPr="00750D59" w:rsidR="00750D59">
        <w:t xml:space="preserve">.  </w:t>
      </w:r>
    </w:p>
    <w:p w:rsidR="00B37A54" w:rsidP="00B37A54" w:rsidRDefault="00B37A54" w14:paraId="24C4C2FA" w14:textId="77777777"/>
    <w:tbl>
      <w:tblPr>
        <w:tblW w:w="50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83"/>
        <w:gridCol w:w="1523"/>
        <w:gridCol w:w="1310"/>
        <w:gridCol w:w="1216"/>
        <w:gridCol w:w="1256"/>
        <w:gridCol w:w="1389"/>
        <w:gridCol w:w="1510"/>
      </w:tblGrid>
      <w:tr w:rsidRPr="003C6517" w:rsidR="00D061D7" w:rsidTr="00D061D7" w14:paraId="343AD4E7" w14:textId="382FA4E6">
        <w:tc>
          <w:tcPr>
            <w:tcW w:w="707" w:type="pct"/>
            <w:tcBorders>
              <w:top w:val="single" w:color="auto" w:sz="4" w:space="0"/>
              <w:left w:val="single" w:color="auto" w:sz="4" w:space="0"/>
              <w:bottom w:val="single" w:color="auto" w:sz="4" w:space="0"/>
              <w:right w:val="single" w:color="auto" w:sz="4" w:space="0"/>
            </w:tcBorders>
          </w:tcPr>
          <w:p w:rsidRPr="003C6517" w:rsidR="00D061D7" w:rsidP="001346B4" w:rsidRDefault="00D061D7" w14:paraId="2B78A4E6" w14:textId="77777777">
            <w:pPr>
              <w:rPr>
                <w:b/>
                <w:bCs/>
              </w:rPr>
            </w:pPr>
            <w:r>
              <w:rPr>
                <w:b/>
                <w:bCs/>
              </w:rPr>
              <w:t>Modality of Collection</w:t>
            </w:r>
          </w:p>
        </w:tc>
        <w:tc>
          <w:tcPr>
            <w:tcW w:w="779" w:type="pct"/>
            <w:tcBorders>
              <w:top w:val="single" w:color="auto" w:sz="4" w:space="0"/>
              <w:left w:val="single" w:color="auto" w:sz="4" w:space="0"/>
              <w:bottom w:val="single" w:color="auto" w:sz="4" w:space="0"/>
              <w:right w:val="single" w:color="auto" w:sz="4" w:space="0"/>
            </w:tcBorders>
          </w:tcPr>
          <w:p w:rsidRPr="003C6517" w:rsidR="00D061D7" w:rsidP="001346B4" w:rsidRDefault="00D061D7" w14:paraId="4E5AC83F" w14:textId="77777777">
            <w:pPr>
              <w:rPr>
                <w:b/>
                <w:bCs/>
              </w:rPr>
            </w:pPr>
            <w:r w:rsidRPr="003C6517">
              <w:rPr>
                <w:b/>
                <w:bCs/>
              </w:rPr>
              <w:t>Number of Respondents</w:t>
            </w:r>
          </w:p>
        </w:tc>
        <w:tc>
          <w:tcPr>
            <w:tcW w:w="670" w:type="pct"/>
            <w:tcBorders>
              <w:top w:val="single" w:color="auto" w:sz="4" w:space="0"/>
              <w:left w:val="single" w:color="auto" w:sz="4" w:space="0"/>
              <w:bottom w:val="single" w:color="auto" w:sz="4" w:space="0"/>
              <w:right w:val="single" w:color="auto" w:sz="4" w:space="0"/>
            </w:tcBorders>
          </w:tcPr>
          <w:p w:rsidRPr="003C6517" w:rsidR="00D061D7" w:rsidP="001346B4" w:rsidRDefault="00D061D7" w14:paraId="0BC0F7AD" w14:textId="77777777">
            <w:pPr>
              <w:rPr>
                <w:b/>
                <w:bCs/>
              </w:rPr>
            </w:pPr>
            <w:r w:rsidRPr="003C6517">
              <w:rPr>
                <w:b/>
                <w:bCs/>
              </w:rPr>
              <w:t>Frequency of Response</w:t>
            </w:r>
          </w:p>
        </w:tc>
        <w:tc>
          <w:tcPr>
            <w:tcW w:w="622" w:type="pct"/>
            <w:tcBorders>
              <w:top w:val="single" w:color="auto" w:sz="4" w:space="0"/>
              <w:left w:val="single" w:color="auto" w:sz="4" w:space="0"/>
              <w:bottom w:val="single" w:color="auto" w:sz="4" w:space="0"/>
              <w:right w:val="single" w:color="auto" w:sz="4" w:space="0"/>
            </w:tcBorders>
          </w:tcPr>
          <w:p w:rsidRPr="003C6517" w:rsidR="00D061D7" w:rsidP="001346B4" w:rsidRDefault="00D061D7" w14:paraId="04EA52B6" w14:textId="77777777">
            <w:pPr>
              <w:rPr>
                <w:b/>
                <w:bCs/>
              </w:rPr>
            </w:pPr>
            <w:r w:rsidRPr="003C6517">
              <w:rPr>
                <w:b/>
                <w:bCs/>
              </w:rPr>
              <w:t>Average Burden Per Response (Minutes)</w:t>
            </w:r>
          </w:p>
        </w:tc>
        <w:tc>
          <w:tcPr>
            <w:tcW w:w="642" w:type="pct"/>
            <w:tcBorders>
              <w:top w:val="single" w:color="auto" w:sz="4" w:space="0"/>
              <w:left w:val="single" w:color="auto" w:sz="4" w:space="0"/>
              <w:bottom w:val="single" w:color="auto" w:sz="4" w:space="0"/>
              <w:right w:val="single" w:color="auto" w:sz="4" w:space="0"/>
            </w:tcBorders>
          </w:tcPr>
          <w:p w:rsidRPr="003C6517" w:rsidR="00D061D7" w:rsidP="001346B4" w:rsidRDefault="00D061D7" w14:paraId="6F8DF69D" w14:textId="4994DA9E">
            <w:pPr>
              <w:rPr>
                <w:b/>
                <w:bCs/>
              </w:rPr>
            </w:pPr>
            <w:r w:rsidRPr="003C6517">
              <w:rPr>
                <w:b/>
                <w:bCs/>
              </w:rPr>
              <w:t xml:space="preserve">Estimated </w:t>
            </w:r>
            <w:r>
              <w:rPr>
                <w:b/>
                <w:bCs/>
              </w:rPr>
              <w:t xml:space="preserve">Total </w:t>
            </w:r>
            <w:r w:rsidRPr="003C6517">
              <w:rPr>
                <w:b/>
                <w:bCs/>
              </w:rPr>
              <w:t>Annual Burden (hours)</w:t>
            </w:r>
          </w:p>
        </w:tc>
        <w:tc>
          <w:tcPr>
            <w:tcW w:w="711" w:type="pct"/>
            <w:tcBorders>
              <w:top w:val="single" w:color="auto" w:sz="4" w:space="0"/>
              <w:left w:val="single" w:color="auto" w:sz="4" w:space="0"/>
              <w:bottom w:val="single" w:color="auto" w:sz="4" w:space="0"/>
              <w:right w:val="single" w:color="auto" w:sz="4" w:space="0"/>
            </w:tcBorders>
          </w:tcPr>
          <w:p w:rsidRPr="003C6517" w:rsidR="00D061D7" w:rsidP="001346B4" w:rsidRDefault="00D061D7" w14:paraId="1BE15BE5" w14:textId="160BF62A">
            <w:pPr>
              <w:rPr>
                <w:b/>
                <w:bCs/>
              </w:rPr>
            </w:pPr>
            <w:r>
              <w:rPr>
                <w:b/>
                <w:bCs/>
              </w:rPr>
              <w:t>Average Theoretical Hourly Cost Amount (Dollars)**</w:t>
            </w:r>
          </w:p>
        </w:tc>
        <w:tc>
          <w:tcPr>
            <w:tcW w:w="869" w:type="pct"/>
            <w:tcBorders>
              <w:top w:val="single" w:color="auto" w:sz="4" w:space="0"/>
              <w:left w:val="single" w:color="auto" w:sz="4" w:space="0"/>
              <w:bottom w:val="single" w:color="auto" w:sz="4" w:space="0"/>
              <w:right w:val="single" w:color="auto" w:sz="4" w:space="0"/>
            </w:tcBorders>
          </w:tcPr>
          <w:p w:rsidRPr="003C6517" w:rsidR="00D061D7" w:rsidP="001346B4" w:rsidRDefault="00D061D7" w14:paraId="16D5D0DE" w14:textId="63EF5F0E">
            <w:pPr>
              <w:rPr>
                <w:b/>
                <w:bCs/>
              </w:rPr>
            </w:pPr>
            <w:r>
              <w:rPr>
                <w:b/>
                <w:bCs/>
              </w:rPr>
              <w:t>Total Annual Opportunity Cost (Dollars)***</w:t>
            </w:r>
          </w:p>
        </w:tc>
      </w:tr>
      <w:tr w:rsidR="00D061D7" w:rsidTr="00D061D7" w14:paraId="4D409C70" w14:textId="23BA88CD">
        <w:tc>
          <w:tcPr>
            <w:tcW w:w="707" w:type="pct"/>
            <w:tcBorders>
              <w:top w:val="single" w:color="auto" w:sz="4" w:space="0"/>
              <w:left w:val="single" w:color="auto" w:sz="4" w:space="0"/>
              <w:bottom w:val="single" w:color="auto" w:sz="4" w:space="0"/>
              <w:right w:val="single" w:color="auto" w:sz="4" w:space="0"/>
            </w:tcBorders>
          </w:tcPr>
          <w:p w:rsidRPr="003C6517" w:rsidR="00D061D7" w:rsidP="001346B4" w:rsidRDefault="00D061D7" w14:paraId="50068319" w14:textId="77777777">
            <w:pPr>
              <w:rPr>
                <w:color w:val="000000"/>
              </w:rPr>
            </w:pPr>
            <w:r w:rsidRPr="003C6517">
              <w:rPr>
                <w:color w:val="000000"/>
              </w:rPr>
              <w:t>418.3625(c)</w:t>
            </w:r>
          </w:p>
        </w:tc>
        <w:tc>
          <w:tcPr>
            <w:tcW w:w="779" w:type="pct"/>
            <w:tcBorders>
              <w:top w:val="single" w:color="auto" w:sz="4" w:space="0"/>
              <w:left w:val="single" w:color="auto" w:sz="4" w:space="0"/>
              <w:bottom w:val="single" w:color="auto" w:sz="4" w:space="0"/>
              <w:right w:val="single" w:color="auto" w:sz="4" w:space="0"/>
            </w:tcBorders>
          </w:tcPr>
          <w:p w:rsidR="00D061D7" w:rsidP="001346B4" w:rsidRDefault="00D061D7" w14:paraId="24E0467A" w14:textId="35AA9688">
            <w:pPr>
              <w:jc w:val="right"/>
            </w:pPr>
            <w:r>
              <w:t>110</w:t>
            </w:r>
          </w:p>
        </w:tc>
        <w:tc>
          <w:tcPr>
            <w:tcW w:w="670" w:type="pct"/>
            <w:tcBorders>
              <w:top w:val="single" w:color="auto" w:sz="4" w:space="0"/>
              <w:left w:val="single" w:color="auto" w:sz="4" w:space="0"/>
              <w:bottom w:val="single" w:color="auto" w:sz="4" w:space="0"/>
              <w:right w:val="single" w:color="auto" w:sz="4" w:space="0"/>
            </w:tcBorders>
          </w:tcPr>
          <w:p w:rsidR="00D061D7" w:rsidP="001346B4" w:rsidRDefault="00D061D7" w14:paraId="4AFC7B7B" w14:textId="77777777">
            <w:pPr>
              <w:jc w:val="right"/>
            </w:pPr>
            <w:r>
              <w:t>1</w:t>
            </w:r>
          </w:p>
        </w:tc>
        <w:tc>
          <w:tcPr>
            <w:tcW w:w="622" w:type="pct"/>
            <w:tcBorders>
              <w:top w:val="single" w:color="auto" w:sz="4" w:space="0"/>
              <w:left w:val="single" w:color="auto" w:sz="4" w:space="0"/>
              <w:bottom w:val="single" w:color="auto" w:sz="4" w:space="0"/>
              <w:right w:val="single" w:color="auto" w:sz="4" w:space="0"/>
            </w:tcBorders>
          </w:tcPr>
          <w:p w:rsidR="00D061D7" w:rsidP="001346B4" w:rsidRDefault="00D061D7" w14:paraId="5319EA42" w14:textId="77777777">
            <w:pPr>
              <w:jc w:val="right"/>
            </w:pPr>
            <w:r>
              <w:t>5</w:t>
            </w:r>
          </w:p>
        </w:tc>
        <w:tc>
          <w:tcPr>
            <w:tcW w:w="642" w:type="pct"/>
            <w:tcBorders>
              <w:top w:val="single" w:color="auto" w:sz="4" w:space="0"/>
              <w:left w:val="single" w:color="auto" w:sz="4" w:space="0"/>
              <w:bottom w:val="single" w:color="auto" w:sz="4" w:space="0"/>
              <w:right w:val="single" w:color="auto" w:sz="4" w:space="0"/>
            </w:tcBorders>
          </w:tcPr>
          <w:p w:rsidR="00D061D7" w:rsidP="001346B4" w:rsidRDefault="00D061D7" w14:paraId="243CD83F" w14:textId="21B67562">
            <w:pPr>
              <w:jc w:val="right"/>
            </w:pPr>
            <w:r>
              <w:t>9</w:t>
            </w:r>
          </w:p>
        </w:tc>
        <w:tc>
          <w:tcPr>
            <w:tcW w:w="711" w:type="pct"/>
            <w:tcBorders>
              <w:top w:val="single" w:color="auto" w:sz="4" w:space="0"/>
              <w:left w:val="single" w:color="auto" w:sz="4" w:space="0"/>
              <w:bottom w:val="single" w:color="auto" w:sz="4" w:space="0"/>
              <w:right w:val="single" w:color="auto" w:sz="4" w:space="0"/>
            </w:tcBorders>
          </w:tcPr>
          <w:p w:rsidR="00D061D7" w:rsidP="001346B4" w:rsidRDefault="002C3498" w14:paraId="203FC9CB" w14:textId="40E7B902">
            <w:pPr>
              <w:jc w:val="right"/>
            </w:pPr>
            <w:r>
              <w:t>$10.73</w:t>
            </w:r>
            <w:r w:rsidR="00D061D7">
              <w:t>**</w:t>
            </w:r>
          </w:p>
        </w:tc>
        <w:tc>
          <w:tcPr>
            <w:tcW w:w="869" w:type="pct"/>
            <w:tcBorders>
              <w:top w:val="single" w:color="auto" w:sz="4" w:space="0"/>
              <w:left w:val="single" w:color="auto" w:sz="4" w:space="0"/>
              <w:bottom w:val="single" w:color="auto" w:sz="4" w:space="0"/>
              <w:right w:val="single" w:color="auto" w:sz="4" w:space="0"/>
            </w:tcBorders>
          </w:tcPr>
          <w:p w:rsidR="00D061D7" w:rsidP="001346B4" w:rsidRDefault="00A051B0" w14:paraId="461EE422" w14:textId="5FAE528A">
            <w:pPr>
              <w:jc w:val="right"/>
            </w:pPr>
            <w:r>
              <w:t>$97</w:t>
            </w:r>
          </w:p>
        </w:tc>
      </w:tr>
      <w:tr w:rsidR="00D061D7" w:rsidTr="00D061D7" w14:paraId="09939D7C" w14:textId="2A22C704">
        <w:tc>
          <w:tcPr>
            <w:tcW w:w="707" w:type="pct"/>
            <w:tcBorders>
              <w:top w:val="single" w:color="auto" w:sz="4" w:space="0"/>
              <w:left w:val="single" w:color="auto" w:sz="4" w:space="0"/>
              <w:bottom w:val="single" w:color="auto" w:sz="4" w:space="0"/>
              <w:right w:val="single" w:color="auto" w:sz="4" w:space="0"/>
            </w:tcBorders>
          </w:tcPr>
          <w:p w:rsidRPr="003C6517" w:rsidR="00D061D7" w:rsidP="001346B4" w:rsidRDefault="00D061D7" w14:paraId="42BE4D54" w14:textId="77777777">
            <w:pPr>
              <w:rPr>
                <w:color w:val="000000"/>
              </w:rPr>
            </w:pPr>
            <w:r w:rsidRPr="003C6517">
              <w:rPr>
                <w:color w:val="000000"/>
              </w:rPr>
              <w:t>418.3645</w:t>
            </w:r>
          </w:p>
        </w:tc>
        <w:tc>
          <w:tcPr>
            <w:tcW w:w="779" w:type="pct"/>
            <w:tcBorders>
              <w:top w:val="single" w:color="auto" w:sz="4" w:space="0"/>
              <w:left w:val="single" w:color="auto" w:sz="4" w:space="0"/>
              <w:bottom w:val="single" w:color="auto" w:sz="4" w:space="0"/>
              <w:right w:val="single" w:color="auto" w:sz="4" w:space="0"/>
            </w:tcBorders>
          </w:tcPr>
          <w:p w:rsidR="00D061D7" w:rsidP="001346B4" w:rsidRDefault="00D061D7" w14:paraId="19A964C9" w14:textId="77777777">
            <w:pPr>
              <w:jc w:val="right"/>
            </w:pPr>
            <w:r>
              <w:t>10</w:t>
            </w:r>
          </w:p>
        </w:tc>
        <w:tc>
          <w:tcPr>
            <w:tcW w:w="670" w:type="pct"/>
            <w:tcBorders>
              <w:top w:val="single" w:color="auto" w:sz="4" w:space="0"/>
              <w:left w:val="single" w:color="auto" w:sz="4" w:space="0"/>
              <w:bottom w:val="single" w:color="auto" w:sz="4" w:space="0"/>
              <w:right w:val="single" w:color="auto" w:sz="4" w:space="0"/>
            </w:tcBorders>
          </w:tcPr>
          <w:p w:rsidR="00D061D7" w:rsidP="001346B4" w:rsidRDefault="00D061D7" w14:paraId="128C419F" w14:textId="77777777">
            <w:pPr>
              <w:jc w:val="right"/>
            </w:pPr>
            <w:r>
              <w:t>1</w:t>
            </w:r>
          </w:p>
        </w:tc>
        <w:tc>
          <w:tcPr>
            <w:tcW w:w="622" w:type="pct"/>
            <w:tcBorders>
              <w:top w:val="single" w:color="auto" w:sz="4" w:space="0"/>
              <w:left w:val="single" w:color="auto" w:sz="4" w:space="0"/>
              <w:bottom w:val="single" w:color="auto" w:sz="4" w:space="0"/>
              <w:right w:val="single" w:color="auto" w:sz="4" w:space="0"/>
            </w:tcBorders>
          </w:tcPr>
          <w:p w:rsidR="00D061D7" w:rsidP="001346B4" w:rsidRDefault="00D061D7" w14:paraId="29BE38FF" w14:textId="47401A57">
            <w:pPr>
              <w:jc w:val="right"/>
            </w:pPr>
            <w:r>
              <w:t>5</w:t>
            </w:r>
          </w:p>
        </w:tc>
        <w:tc>
          <w:tcPr>
            <w:tcW w:w="642" w:type="pct"/>
            <w:tcBorders>
              <w:top w:val="single" w:color="auto" w:sz="4" w:space="0"/>
              <w:left w:val="single" w:color="auto" w:sz="4" w:space="0"/>
              <w:bottom w:val="single" w:color="auto" w:sz="4" w:space="0"/>
              <w:right w:val="single" w:color="auto" w:sz="4" w:space="0"/>
            </w:tcBorders>
          </w:tcPr>
          <w:p w:rsidR="00D061D7" w:rsidP="001346B4" w:rsidRDefault="00BF32BF" w14:paraId="019D4603" w14:textId="015E6042">
            <w:pPr>
              <w:jc w:val="right"/>
            </w:pPr>
            <w:r>
              <w:t>2</w:t>
            </w:r>
          </w:p>
        </w:tc>
        <w:tc>
          <w:tcPr>
            <w:tcW w:w="711" w:type="pct"/>
            <w:tcBorders>
              <w:top w:val="single" w:color="auto" w:sz="4" w:space="0"/>
              <w:left w:val="single" w:color="auto" w:sz="4" w:space="0"/>
              <w:bottom w:val="single" w:color="auto" w:sz="4" w:space="0"/>
              <w:right w:val="single" w:color="auto" w:sz="4" w:space="0"/>
            </w:tcBorders>
          </w:tcPr>
          <w:p w:rsidR="00D061D7" w:rsidP="001346B4" w:rsidRDefault="002C3498" w14:paraId="43DB8D76" w14:textId="75639790">
            <w:pPr>
              <w:jc w:val="right"/>
            </w:pPr>
            <w:r>
              <w:t>$10.73</w:t>
            </w:r>
            <w:r w:rsidR="00D061D7">
              <w:t>**</w:t>
            </w:r>
          </w:p>
        </w:tc>
        <w:tc>
          <w:tcPr>
            <w:tcW w:w="869" w:type="pct"/>
            <w:tcBorders>
              <w:top w:val="single" w:color="auto" w:sz="4" w:space="0"/>
              <w:left w:val="single" w:color="auto" w:sz="4" w:space="0"/>
              <w:bottom w:val="single" w:color="auto" w:sz="4" w:space="0"/>
              <w:right w:val="single" w:color="auto" w:sz="4" w:space="0"/>
            </w:tcBorders>
          </w:tcPr>
          <w:p w:rsidR="00D061D7" w:rsidP="00BF32BF" w:rsidRDefault="00A051B0" w14:paraId="1339B60E" w14:textId="5F6C5BAF">
            <w:pPr>
              <w:jc w:val="right"/>
            </w:pPr>
            <w:r>
              <w:t>$</w:t>
            </w:r>
            <w:r w:rsidR="00BF32BF">
              <w:t>21</w:t>
            </w:r>
          </w:p>
        </w:tc>
      </w:tr>
      <w:tr w:rsidR="00D061D7" w:rsidTr="00D061D7" w14:paraId="3103F81B" w14:textId="2809E325">
        <w:tc>
          <w:tcPr>
            <w:tcW w:w="707" w:type="pct"/>
            <w:tcBorders>
              <w:top w:val="single" w:color="auto" w:sz="4" w:space="0"/>
              <w:left w:val="single" w:color="auto" w:sz="4" w:space="0"/>
              <w:bottom w:val="single" w:color="auto" w:sz="4" w:space="0"/>
              <w:right w:val="single" w:color="auto" w:sz="4" w:space="0"/>
            </w:tcBorders>
          </w:tcPr>
          <w:p w:rsidRPr="003C6517" w:rsidR="00D061D7" w:rsidP="001346B4" w:rsidRDefault="00D061D7" w14:paraId="7F0D60F5" w14:textId="77777777">
            <w:pPr>
              <w:rPr>
                <w:color w:val="000000"/>
              </w:rPr>
            </w:pPr>
            <w:r w:rsidRPr="003C6517">
              <w:rPr>
                <w:color w:val="000000"/>
              </w:rPr>
              <w:t>418.3665(a)</w:t>
            </w:r>
          </w:p>
        </w:tc>
        <w:tc>
          <w:tcPr>
            <w:tcW w:w="779" w:type="pct"/>
            <w:tcBorders>
              <w:top w:val="single" w:color="auto" w:sz="4" w:space="0"/>
              <w:left w:val="single" w:color="auto" w:sz="4" w:space="0"/>
              <w:bottom w:val="single" w:color="auto" w:sz="4" w:space="0"/>
              <w:right w:val="single" w:color="auto" w:sz="4" w:space="0"/>
            </w:tcBorders>
          </w:tcPr>
          <w:p w:rsidR="00D061D7" w:rsidP="001346B4" w:rsidRDefault="00D061D7" w14:paraId="3F4D8436" w14:textId="0CBB3B51">
            <w:pPr>
              <w:jc w:val="right"/>
            </w:pPr>
            <w:r>
              <w:t>215</w:t>
            </w:r>
          </w:p>
        </w:tc>
        <w:tc>
          <w:tcPr>
            <w:tcW w:w="670" w:type="pct"/>
            <w:tcBorders>
              <w:top w:val="single" w:color="auto" w:sz="4" w:space="0"/>
              <w:left w:val="single" w:color="auto" w:sz="4" w:space="0"/>
              <w:bottom w:val="single" w:color="auto" w:sz="4" w:space="0"/>
              <w:right w:val="single" w:color="auto" w:sz="4" w:space="0"/>
            </w:tcBorders>
          </w:tcPr>
          <w:p w:rsidR="00D061D7" w:rsidP="001346B4" w:rsidRDefault="00D061D7" w14:paraId="1BD5EEC0" w14:textId="77777777">
            <w:pPr>
              <w:jc w:val="right"/>
            </w:pPr>
            <w:r>
              <w:t>1</w:t>
            </w:r>
          </w:p>
        </w:tc>
        <w:tc>
          <w:tcPr>
            <w:tcW w:w="622" w:type="pct"/>
            <w:tcBorders>
              <w:top w:val="single" w:color="auto" w:sz="4" w:space="0"/>
              <w:left w:val="single" w:color="auto" w:sz="4" w:space="0"/>
              <w:bottom w:val="single" w:color="auto" w:sz="4" w:space="0"/>
              <w:right w:val="single" w:color="auto" w:sz="4" w:space="0"/>
            </w:tcBorders>
          </w:tcPr>
          <w:p w:rsidR="00D061D7" w:rsidP="001346B4" w:rsidRDefault="00D061D7" w14:paraId="7934FB23" w14:textId="77777777">
            <w:pPr>
              <w:jc w:val="right"/>
            </w:pPr>
            <w:r>
              <w:t>5</w:t>
            </w:r>
          </w:p>
        </w:tc>
        <w:tc>
          <w:tcPr>
            <w:tcW w:w="642" w:type="pct"/>
            <w:tcBorders>
              <w:top w:val="single" w:color="auto" w:sz="4" w:space="0"/>
              <w:left w:val="single" w:color="auto" w:sz="4" w:space="0"/>
              <w:bottom w:val="single" w:color="auto" w:sz="4" w:space="0"/>
              <w:right w:val="single" w:color="auto" w:sz="4" w:space="0"/>
            </w:tcBorders>
          </w:tcPr>
          <w:p w:rsidR="00D061D7" w:rsidP="001346B4" w:rsidRDefault="00D061D7" w14:paraId="0093612F" w14:textId="67887410">
            <w:pPr>
              <w:jc w:val="right"/>
            </w:pPr>
            <w:r>
              <w:t>18</w:t>
            </w:r>
          </w:p>
        </w:tc>
        <w:tc>
          <w:tcPr>
            <w:tcW w:w="711" w:type="pct"/>
            <w:tcBorders>
              <w:top w:val="single" w:color="auto" w:sz="4" w:space="0"/>
              <w:left w:val="single" w:color="auto" w:sz="4" w:space="0"/>
              <w:bottom w:val="single" w:color="auto" w:sz="4" w:space="0"/>
              <w:right w:val="single" w:color="auto" w:sz="4" w:space="0"/>
            </w:tcBorders>
          </w:tcPr>
          <w:p w:rsidR="00D061D7" w:rsidP="001346B4" w:rsidRDefault="002C3498" w14:paraId="0ED30F77" w14:textId="31F8EDC5">
            <w:pPr>
              <w:jc w:val="right"/>
            </w:pPr>
            <w:r>
              <w:t>$10.73</w:t>
            </w:r>
            <w:r w:rsidR="00D061D7">
              <w:t>**</w:t>
            </w:r>
          </w:p>
        </w:tc>
        <w:tc>
          <w:tcPr>
            <w:tcW w:w="869" w:type="pct"/>
            <w:tcBorders>
              <w:top w:val="single" w:color="auto" w:sz="4" w:space="0"/>
              <w:left w:val="single" w:color="auto" w:sz="4" w:space="0"/>
              <w:bottom w:val="single" w:color="auto" w:sz="4" w:space="0"/>
              <w:right w:val="single" w:color="auto" w:sz="4" w:space="0"/>
            </w:tcBorders>
          </w:tcPr>
          <w:p w:rsidR="00D061D7" w:rsidP="001346B4" w:rsidRDefault="00A051B0" w14:paraId="1E5BD4CA" w14:textId="3916ED5A">
            <w:pPr>
              <w:jc w:val="right"/>
            </w:pPr>
            <w:r>
              <w:t>$193</w:t>
            </w:r>
          </w:p>
        </w:tc>
      </w:tr>
      <w:tr w:rsidR="00D061D7" w:rsidTr="00D061D7" w14:paraId="173CFB1E" w14:textId="43FF14C3">
        <w:tc>
          <w:tcPr>
            <w:tcW w:w="707" w:type="pct"/>
            <w:tcBorders>
              <w:top w:val="single" w:color="auto" w:sz="4" w:space="0"/>
              <w:left w:val="single" w:color="auto" w:sz="4" w:space="0"/>
              <w:bottom w:val="single" w:color="auto" w:sz="4" w:space="0"/>
              <w:right w:val="single" w:color="auto" w:sz="4" w:space="0"/>
            </w:tcBorders>
          </w:tcPr>
          <w:p w:rsidRPr="003C6517" w:rsidR="00D061D7" w:rsidP="001346B4" w:rsidRDefault="00D061D7" w14:paraId="0051E7D9" w14:textId="63733334">
            <w:pPr>
              <w:rPr>
                <w:color w:val="000000"/>
              </w:rPr>
            </w:pPr>
            <w:r w:rsidRPr="003C6517">
              <w:rPr>
                <w:color w:val="000000"/>
              </w:rPr>
              <w:t>418.3670</w:t>
            </w:r>
            <w:r w:rsidRPr="000C435E">
              <w:rPr>
                <w:color w:val="000000"/>
              </w:rPr>
              <w:t>*</w:t>
            </w:r>
          </w:p>
        </w:tc>
        <w:tc>
          <w:tcPr>
            <w:tcW w:w="779" w:type="pct"/>
            <w:tcBorders>
              <w:top w:val="single" w:color="auto" w:sz="4" w:space="0"/>
              <w:left w:val="single" w:color="auto" w:sz="4" w:space="0"/>
              <w:bottom w:val="single" w:color="auto" w:sz="4" w:space="0"/>
              <w:right w:val="single" w:color="auto" w:sz="4" w:space="0"/>
            </w:tcBorders>
          </w:tcPr>
          <w:p w:rsidR="00D061D7" w:rsidP="001346B4" w:rsidRDefault="00D061D7" w14:paraId="61382C1C" w14:textId="32062C00">
            <w:pPr>
              <w:jc w:val="right"/>
            </w:pPr>
            <w:r>
              <w:t>0</w:t>
            </w:r>
          </w:p>
        </w:tc>
        <w:tc>
          <w:tcPr>
            <w:tcW w:w="670" w:type="pct"/>
            <w:tcBorders>
              <w:top w:val="single" w:color="auto" w:sz="4" w:space="0"/>
              <w:left w:val="single" w:color="auto" w:sz="4" w:space="0"/>
              <w:bottom w:val="single" w:color="auto" w:sz="4" w:space="0"/>
              <w:right w:val="single" w:color="auto" w:sz="4" w:space="0"/>
            </w:tcBorders>
          </w:tcPr>
          <w:p w:rsidR="00D061D7" w:rsidP="001346B4" w:rsidRDefault="00D061D7" w14:paraId="4301202D" w14:textId="77777777">
            <w:pPr>
              <w:jc w:val="right"/>
            </w:pPr>
            <w:r>
              <w:t>1</w:t>
            </w:r>
          </w:p>
        </w:tc>
        <w:tc>
          <w:tcPr>
            <w:tcW w:w="622" w:type="pct"/>
            <w:tcBorders>
              <w:top w:val="single" w:color="auto" w:sz="4" w:space="0"/>
              <w:left w:val="single" w:color="auto" w:sz="4" w:space="0"/>
              <w:bottom w:val="single" w:color="auto" w:sz="4" w:space="0"/>
              <w:right w:val="single" w:color="auto" w:sz="4" w:space="0"/>
            </w:tcBorders>
          </w:tcPr>
          <w:p w:rsidR="00D061D7" w:rsidP="001346B4" w:rsidRDefault="00D061D7" w14:paraId="1D3C4168" w14:textId="77777777">
            <w:pPr>
              <w:jc w:val="right"/>
            </w:pPr>
            <w:r>
              <w:t>10</w:t>
            </w:r>
          </w:p>
        </w:tc>
        <w:tc>
          <w:tcPr>
            <w:tcW w:w="642" w:type="pct"/>
            <w:tcBorders>
              <w:top w:val="single" w:color="auto" w:sz="4" w:space="0"/>
              <w:left w:val="single" w:color="auto" w:sz="4" w:space="0"/>
              <w:bottom w:val="single" w:color="auto" w:sz="4" w:space="0"/>
              <w:right w:val="single" w:color="auto" w:sz="4" w:space="0"/>
            </w:tcBorders>
          </w:tcPr>
          <w:p w:rsidR="00D061D7" w:rsidP="001346B4" w:rsidRDefault="00D061D7" w14:paraId="2BA5EB34" w14:textId="77777777">
            <w:pPr>
              <w:jc w:val="right"/>
            </w:pPr>
            <w:r>
              <w:t>0</w:t>
            </w:r>
          </w:p>
        </w:tc>
        <w:tc>
          <w:tcPr>
            <w:tcW w:w="711" w:type="pct"/>
            <w:tcBorders>
              <w:top w:val="single" w:color="auto" w:sz="4" w:space="0"/>
              <w:left w:val="single" w:color="auto" w:sz="4" w:space="0"/>
              <w:bottom w:val="single" w:color="auto" w:sz="4" w:space="0"/>
              <w:right w:val="single" w:color="auto" w:sz="4" w:space="0"/>
            </w:tcBorders>
          </w:tcPr>
          <w:p w:rsidR="00D061D7" w:rsidP="001346B4" w:rsidRDefault="00D061D7" w14:paraId="2358EA84" w14:textId="77777777">
            <w:pPr>
              <w:jc w:val="right"/>
            </w:pPr>
          </w:p>
        </w:tc>
        <w:tc>
          <w:tcPr>
            <w:tcW w:w="869" w:type="pct"/>
            <w:tcBorders>
              <w:top w:val="single" w:color="auto" w:sz="4" w:space="0"/>
              <w:left w:val="single" w:color="auto" w:sz="4" w:space="0"/>
              <w:bottom w:val="single" w:color="auto" w:sz="4" w:space="0"/>
              <w:right w:val="single" w:color="auto" w:sz="4" w:space="0"/>
            </w:tcBorders>
          </w:tcPr>
          <w:p w:rsidR="00D061D7" w:rsidP="001346B4" w:rsidRDefault="00D061D7" w14:paraId="2BCC4C57" w14:textId="77777777">
            <w:pPr>
              <w:jc w:val="right"/>
            </w:pPr>
          </w:p>
        </w:tc>
      </w:tr>
      <w:tr w:rsidRPr="003C6517" w:rsidR="00D061D7" w:rsidTr="00D061D7" w14:paraId="2DA503BF" w14:textId="579974BB">
        <w:tc>
          <w:tcPr>
            <w:tcW w:w="707" w:type="pct"/>
            <w:tcBorders>
              <w:top w:val="single" w:color="auto" w:sz="4" w:space="0"/>
              <w:left w:val="single" w:color="auto" w:sz="4" w:space="0"/>
              <w:bottom w:val="single" w:color="auto" w:sz="4" w:space="0"/>
              <w:right w:val="single" w:color="auto" w:sz="4" w:space="0"/>
            </w:tcBorders>
          </w:tcPr>
          <w:p w:rsidRPr="003C6517" w:rsidR="00D061D7" w:rsidP="001346B4" w:rsidRDefault="00D061D7" w14:paraId="197A5D7B" w14:textId="77777777">
            <w:pPr>
              <w:rPr>
                <w:b/>
                <w:bCs/>
                <w:color w:val="000000"/>
              </w:rPr>
            </w:pPr>
            <w:r w:rsidRPr="003C6517">
              <w:rPr>
                <w:b/>
                <w:bCs/>
                <w:color w:val="000000"/>
              </w:rPr>
              <w:t>Total</w:t>
            </w:r>
          </w:p>
        </w:tc>
        <w:tc>
          <w:tcPr>
            <w:tcW w:w="779" w:type="pct"/>
            <w:tcBorders>
              <w:top w:val="single" w:color="auto" w:sz="4" w:space="0"/>
              <w:left w:val="single" w:color="auto" w:sz="4" w:space="0"/>
              <w:bottom w:val="single" w:color="auto" w:sz="4" w:space="0"/>
              <w:right w:val="single" w:color="auto" w:sz="4" w:space="0"/>
            </w:tcBorders>
          </w:tcPr>
          <w:p w:rsidRPr="003C6517" w:rsidR="00D061D7" w:rsidP="000C435E" w:rsidRDefault="00D061D7" w14:paraId="0660F847" w14:textId="7DAC377D">
            <w:pPr>
              <w:jc w:val="right"/>
              <w:rPr>
                <w:b/>
                <w:bCs/>
              </w:rPr>
            </w:pPr>
            <w:r>
              <w:rPr>
                <w:b/>
                <w:bCs/>
              </w:rPr>
              <w:t>335</w:t>
            </w:r>
          </w:p>
        </w:tc>
        <w:tc>
          <w:tcPr>
            <w:tcW w:w="670" w:type="pct"/>
            <w:tcBorders>
              <w:top w:val="single" w:color="auto" w:sz="4" w:space="0"/>
              <w:left w:val="single" w:color="auto" w:sz="4" w:space="0"/>
              <w:bottom w:val="single" w:color="auto" w:sz="4" w:space="0"/>
              <w:right w:val="single" w:color="auto" w:sz="4" w:space="0"/>
            </w:tcBorders>
          </w:tcPr>
          <w:p w:rsidR="00D061D7" w:rsidP="00BD1D95" w:rsidRDefault="00D061D7" w14:paraId="51215EEF" w14:textId="27D6314D">
            <w:pPr>
              <w:jc w:val="center"/>
            </w:pPr>
          </w:p>
        </w:tc>
        <w:tc>
          <w:tcPr>
            <w:tcW w:w="622" w:type="pct"/>
            <w:tcBorders>
              <w:top w:val="single" w:color="auto" w:sz="4" w:space="0"/>
              <w:left w:val="single" w:color="auto" w:sz="4" w:space="0"/>
              <w:bottom w:val="single" w:color="auto" w:sz="4" w:space="0"/>
              <w:right w:val="single" w:color="auto" w:sz="4" w:space="0"/>
            </w:tcBorders>
          </w:tcPr>
          <w:p w:rsidR="00D061D7" w:rsidP="001346B4" w:rsidRDefault="00D061D7" w14:paraId="0843D7EF" w14:textId="0A235C9E">
            <w:pPr>
              <w:jc w:val="right"/>
            </w:pPr>
          </w:p>
        </w:tc>
        <w:tc>
          <w:tcPr>
            <w:tcW w:w="642" w:type="pct"/>
            <w:tcBorders>
              <w:top w:val="single" w:color="auto" w:sz="4" w:space="0"/>
              <w:left w:val="single" w:color="auto" w:sz="4" w:space="0"/>
              <w:bottom w:val="single" w:color="auto" w:sz="4" w:space="0"/>
              <w:right w:val="single" w:color="auto" w:sz="4" w:space="0"/>
            </w:tcBorders>
          </w:tcPr>
          <w:p w:rsidRPr="003C6517" w:rsidR="00D061D7" w:rsidP="001346B4" w:rsidRDefault="00D061D7" w14:paraId="2DBFAEE3" w14:textId="7597FAF0">
            <w:pPr>
              <w:jc w:val="right"/>
              <w:rPr>
                <w:b/>
                <w:bCs/>
              </w:rPr>
            </w:pPr>
            <w:r>
              <w:rPr>
                <w:b/>
                <w:bCs/>
              </w:rPr>
              <w:t>2</w:t>
            </w:r>
            <w:r w:rsidR="006C7971">
              <w:rPr>
                <w:b/>
                <w:bCs/>
              </w:rPr>
              <w:t>9</w:t>
            </w:r>
          </w:p>
        </w:tc>
        <w:tc>
          <w:tcPr>
            <w:tcW w:w="711" w:type="pct"/>
            <w:tcBorders>
              <w:top w:val="single" w:color="auto" w:sz="4" w:space="0"/>
              <w:left w:val="single" w:color="auto" w:sz="4" w:space="0"/>
              <w:bottom w:val="single" w:color="auto" w:sz="4" w:space="0"/>
              <w:right w:val="single" w:color="auto" w:sz="4" w:space="0"/>
            </w:tcBorders>
          </w:tcPr>
          <w:p w:rsidR="00D061D7" w:rsidP="001346B4" w:rsidRDefault="00D061D7" w14:paraId="45DA1E52" w14:textId="77777777">
            <w:pPr>
              <w:jc w:val="right"/>
              <w:rPr>
                <w:b/>
                <w:bCs/>
              </w:rPr>
            </w:pPr>
          </w:p>
        </w:tc>
        <w:tc>
          <w:tcPr>
            <w:tcW w:w="869" w:type="pct"/>
            <w:tcBorders>
              <w:top w:val="single" w:color="auto" w:sz="4" w:space="0"/>
              <w:left w:val="single" w:color="auto" w:sz="4" w:space="0"/>
              <w:bottom w:val="single" w:color="auto" w:sz="4" w:space="0"/>
              <w:right w:val="single" w:color="auto" w:sz="4" w:space="0"/>
            </w:tcBorders>
          </w:tcPr>
          <w:p w:rsidR="00D061D7" w:rsidP="001346B4" w:rsidRDefault="00BF32BF" w14:paraId="351FFC95" w14:textId="6C01B43F">
            <w:pPr>
              <w:jc w:val="right"/>
              <w:rPr>
                <w:b/>
                <w:bCs/>
              </w:rPr>
            </w:pPr>
            <w:r>
              <w:rPr>
                <w:b/>
                <w:bCs/>
              </w:rPr>
              <w:t>$31</w:t>
            </w:r>
            <w:r w:rsidR="00A051B0">
              <w:rPr>
                <w:b/>
                <w:bCs/>
              </w:rPr>
              <w:t>1</w:t>
            </w:r>
          </w:p>
        </w:tc>
      </w:tr>
    </w:tbl>
    <w:p w:rsidR="00D061D7" w:rsidP="00B52594" w:rsidRDefault="000C435E" w14:paraId="3238F94D" w14:textId="77777777">
      <w:pPr>
        <w:ind w:left="1440"/>
      </w:pPr>
      <w:r w:rsidRPr="000C435E">
        <w:t>*</w:t>
      </w:r>
      <w:r>
        <w:t xml:space="preserve"> Regulation section 418.3670 </w:t>
      </w:r>
      <w:r w:rsidR="000A52DA">
        <w:t>could be used</w:t>
      </w:r>
      <w:r>
        <w:t xml:space="preserve"> at any time; however, we currently have no data showing usage over the past three years.</w:t>
      </w:r>
    </w:p>
    <w:p w:rsidR="00D061D7" w:rsidP="00B52594" w:rsidRDefault="00D061D7" w14:paraId="57A39139" w14:textId="77777777">
      <w:pPr>
        <w:ind w:left="1440"/>
      </w:pPr>
    </w:p>
    <w:p w:rsidR="001A6561" w:rsidP="001A6561" w:rsidRDefault="00D061D7" w14:paraId="18C0FE8B" w14:textId="6440164B">
      <w:pPr>
        <w:ind w:left="1440"/>
      </w:pPr>
      <w:r>
        <w:t>**</w:t>
      </w:r>
      <w:r w:rsidRPr="00A051B0" w:rsidR="00A051B0">
        <w:t xml:space="preserve"> We based thi</w:t>
      </w:r>
      <w:r w:rsidR="004D456C">
        <w:t xml:space="preserve">s figure on average DI </w:t>
      </w:r>
      <w:r w:rsidR="00A051B0">
        <w:t>payments</w:t>
      </w:r>
      <w:r w:rsidR="004D456C">
        <w:t xml:space="preserve"> </w:t>
      </w:r>
      <w:r w:rsidR="001A6561">
        <w:t>(</w:t>
      </w:r>
      <w:hyperlink w:history="1" r:id="rId8">
        <w:r w:rsidR="001A6561">
          <w:rPr>
            <w:rStyle w:val="Hyperlink"/>
            <w:rFonts w:ascii="Palatino Linotype" w:hAnsi="Palatino Linotype"/>
          </w:rPr>
          <w:t>https://www.ssa.gov/legislation/2020Fact%20Sheet.pdf</w:t>
        </w:r>
      </w:hyperlink>
      <w:r w:rsidR="001A6561">
        <w:rPr>
          <w:rFonts w:ascii="Palatino Linotype" w:hAnsi="Palatino Linotype"/>
          <w:color w:val="1F497D"/>
        </w:rPr>
        <w:t>).</w:t>
      </w:r>
    </w:p>
    <w:p w:rsidR="00D061D7" w:rsidP="00D061D7" w:rsidRDefault="00D061D7" w14:paraId="2EAB8424" w14:textId="77777777">
      <w:pPr>
        <w:ind w:left="1440"/>
      </w:pPr>
    </w:p>
    <w:p w:rsidR="00750D59" w:rsidP="00D061D7" w:rsidRDefault="00D061D7" w14:paraId="0AEA65D6" w14:textId="22403C46">
      <w:pPr>
        <w:ind w:left="1440"/>
        <w:rPr>
          <w:b/>
          <w:u w:val="single"/>
        </w:rPr>
      </w:pPr>
      <w:r>
        <w:t xml:space="preserve">*** This figure does not represent actual costs that SSA is imposing on recipients of Social Security payments to complete this application; rather, these are theoretical opportunity costs for the additional time respondents will spend to </w:t>
      </w:r>
      <w:r>
        <w:lastRenderedPageBreak/>
        <w:t xml:space="preserve">complete the application. </w:t>
      </w:r>
      <w:r w:rsidRPr="00A051B0">
        <w:rPr>
          <w:b/>
          <w:u w:val="single"/>
        </w:rPr>
        <w:t>There is no actual charge to respondents to complete the application.</w:t>
      </w:r>
    </w:p>
    <w:p w:rsidR="006C7971" w:rsidP="00D061D7" w:rsidRDefault="006C7971" w14:paraId="15550DB1" w14:textId="77777777">
      <w:pPr>
        <w:ind w:left="1440"/>
        <w:rPr>
          <w:b/>
          <w:u w:val="single"/>
        </w:rPr>
      </w:pPr>
    </w:p>
    <w:p w:rsidR="006B1277" w:rsidP="006B1277" w:rsidRDefault="006B1277" w14:paraId="19412B8D" w14:textId="24D00A20">
      <w:pPr>
        <w:pStyle w:val="ListParagraph"/>
        <w:ind w:left="1440"/>
        <w:rPr>
          <w:b/>
          <w:u w:val="single"/>
        </w:rPr>
      </w:pPr>
      <w:r w:rsidRPr="00C16A28">
        <w:rPr>
          <w:color w:val="000000"/>
          <w:lang w:eastAsia="ar-SA"/>
        </w:rPr>
        <w:t>We base our burden estimates on current management information data, which includes data from actual interviews, as well as from years of conducting this information collection.  Per our management inf</w:t>
      </w:r>
      <w:r>
        <w:rPr>
          <w:color w:val="000000"/>
          <w:lang w:eastAsia="ar-SA"/>
        </w:rPr>
        <w:t xml:space="preserve">ormation data, we believe that 6 </w:t>
      </w:r>
      <w:r w:rsidRPr="00C16A28">
        <w:rPr>
          <w:color w:val="000000"/>
          <w:lang w:eastAsia="ar-SA"/>
        </w:rPr>
        <w:t xml:space="preserve">minutes accurately shows the average burden per response for reading the </w:t>
      </w:r>
      <w:r w:rsidRPr="00C16A28">
        <w:rPr>
          <w:lang w:eastAsia="ar-SA"/>
        </w:rPr>
        <w:t>instructions, gathering the facts, and answering the questions</w:t>
      </w:r>
      <w:r w:rsidRPr="00C16A28">
        <w:rPr>
          <w:color w:val="000000"/>
          <w:lang w:eastAsia="ar-SA"/>
        </w:rPr>
        <w:t xml:space="preserve">.  Based on our current management information data, the current burden information we provided is accurate.  </w:t>
      </w:r>
      <w:r w:rsidRPr="00C16A28">
        <w:rPr>
          <w:lang w:eastAsia="ar-SA"/>
        </w:rPr>
        <w:t xml:space="preserve">The total burden for this collection instrument is </w:t>
      </w:r>
      <w:r w:rsidR="000317B7">
        <w:rPr>
          <w:b/>
          <w:lang w:eastAsia="ar-SA"/>
        </w:rPr>
        <w:t>2</w:t>
      </w:r>
      <w:r w:rsidR="006C7971">
        <w:rPr>
          <w:b/>
          <w:lang w:eastAsia="ar-SA"/>
        </w:rPr>
        <w:t>9</w:t>
      </w:r>
      <w:r w:rsidRPr="00C16A28">
        <w:rPr>
          <w:lang w:eastAsia="ar-SA"/>
        </w:rPr>
        <w:t xml:space="preserve"> burden hours (reflecting SSA management information data), which results in an associated theoretical (not actual) opportunity cost financial burden of </w:t>
      </w:r>
      <w:r w:rsidRPr="00C16A28">
        <w:rPr>
          <w:b/>
          <w:lang w:eastAsia="ar-SA"/>
        </w:rPr>
        <w:t>$</w:t>
      </w:r>
      <w:r w:rsidR="00BF32BF">
        <w:rPr>
          <w:b/>
          <w:lang w:eastAsia="ar-SA"/>
        </w:rPr>
        <w:t>31</w:t>
      </w:r>
      <w:r>
        <w:rPr>
          <w:b/>
          <w:lang w:eastAsia="ar-SA"/>
        </w:rPr>
        <w:t>1</w:t>
      </w:r>
      <w:r w:rsidRPr="00C16A28">
        <w:rPr>
          <w:lang w:eastAsia="ar-SA"/>
        </w:rPr>
        <w:t>.  SSA does not charge respondents to complete our applications</w:t>
      </w:r>
      <w:r>
        <w:rPr>
          <w:lang w:eastAsia="ar-SA"/>
        </w:rPr>
        <w:t>.</w:t>
      </w:r>
    </w:p>
    <w:p w:rsidR="00B37A54" w:rsidP="00D061D7" w:rsidRDefault="000C435E" w14:paraId="3DAC5450" w14:textId="4F83B603">
      <w:pPr>
        <w:ind w:left="1440"/>
      </w:pPr>
      <w:r>
        <w:t xml:space="preserve">  </w:t>
      </w:r>
    </w:p>
    <w:p w:rsidRPr="00BC6FCE" w:rsidR="00BC6FCE" w:rsidP="00B52594" w:rsidRDefault="00BC6FCE" w14:paraId="172B57D5" w14:textId="77777777">
      <w:pPr>
        <w:numPr>
          <w:ilvl w:val="1"/>
          <w:numId w:val="1"/>
        </w:numPr>
        <w:tabs>
          <w:tab w:val="clear" w:pos="1080"/>
          <w:tab w:val="num" w:pos="1440"/>
        </w:tabs>
        <w:ind w:left="1440" w:hanging="720"/>
      </w:pPr>
      <w:r>
        <w:rPr>
          <w:b/>
        </w:rPr>
        <w:t>Annual</w:t>
      </w:r>
      <w:r>
        <w:t xml:space="preserve"> </w:t>
      </w:r>
      <w:r>
        <w:rPr>
          <w:b/>
        </w:rPr>
        <w:t>Cost to the Respondents (Other)</w:t>
      </w:r>
    </w:p>
    <w:p w:rsidR="00B37A54" w:rsidP="00B52594" w:rsidRDefault="00B37A54" w14:paraId="74D546E4" w14:textId="77777777">
      <w:pPr>
        <w:ind w:left="1440"/>
      </w:pPr>
      <w:r>
        <w:t>This collection does not impose a known cost burden on the respondents.</w:t>
      </w:r>
    </w:p>
    <w:p w:rsidR="00B37A54" w:rsidP="00B52594" w:rsidRDefault="00B37A54" w14:paraId="350D81BB" w14:textId="77777777">
      <w:pPr>
        <w:ind w:left="1440"/>
      </w:pPr>
    </w:p>
    <w:p w:rsidR="00BC6FCE" w:rsidP="00B52594" w:rsidRDefault="00BC6FCE" w14:paraId="6236A1CC" w14:textId="77777777">
      <w:pPr>
        <w:numPr>
          <w:ilvl w:val="1"/>
          <w:numId w:val="1"/>
        </w:numPr>
        <w:tabs>
          <w:tab w:val="clear" w:pos="1080"/>
          <w:tab w:val="num" w:pos="1440"/>
        </w:tabs>
        <w:ind w:left="1440" w:hanging="720"/>
      </w:pPr>
      <w:r>
        <w:rPr>
          <w:b/>
        </w:rPr>
        <w:t>Annual Cost To Federal Government</w:t>
      </w:r>
      <w:r>
        <w:t xml:space="preserve"> </w:t>
      </w:r>
    </w:p>
    <w:p w:rsidR="00A40480" w:rsidP="00A40480" w:rsidRDefault="00A40480" w14:paraId="6862FC2B" w14:textId="71EC2628">
      <w:pPr>
        <w:pStyle w:val="ListParagraph"/>
        <w:ind w:left="1440"/>
        <w:rPr>
          <w:rFonts w:eastAsia="Calibri"/>
          <w:color w:val="000000"/>
          <w:lang w:eastAsia="en-US"/>
        </w:rPr>
      </w:pPr>
      <w:r w:rsidRPr="00A40480">
        <w:rPr>
          <w:rFonts w:eastAsia="Calibri"/>
          <w:color w:val="000000"/>
          <w:lang w:eastAsia="en-US"/>
        </w:rPr>
        <w:t xml:space="preserve">The annual cost to the Federal Government is approximately </w:t>
      </w:r>
      <w:r w:rsidRPr="00EC0895">
        <w:rPr>
          <w:rFonts w:eastAsia="Calibri"/>
          <w:b/>
          <w:color w:val="000000"/>
          <w:lang w:eastAsia="en-US"/>
        </w:rPr>
        <w:t>$66,559</w:t>
      </w:r>
      <w:r w:rsidRPr="00A40480">
        <w:rPr>
          <w:rFonts w:eastAsia="Calibri"/>
          <w:color w:val="000000"/>
          <w:lang w:eastAsia="en-US"/>
        </w:rPr>
        <w:t>.  This estimate accounts for costs from the following areas:</w:t>
      </w:r>
    </w:p>
    <w:p w:rsidRPr="00A40480" w:rsidR="00A40480" w:rsidP="00A40480" w:rsidRDefault="00A40480" w14:paraId="0A57658D" w14:textId="3416C3D1">
      <w:pPr>
        <w:pStyle w:val="ListParagraph"/>
        <w:ind w:left="1440"/>
        <w:rPr>
          <w:rFonts w:eastAsia="Calibri"/>
          <w:color w:val="000000"/>
          <w:lang w:eastAsia="en-US"/>
        </w:rPr>
      </w:pPr>
      <w:r w:rsidRPr="00A40480">
        <w:rPr>
          <w:rFonts w:eastAsia="Calibri"/>
          <w:color w:val="000000"/>
          <w:lang w:eastAsia="en-US"/>
        </w:rPr>
        <w:t xml:space="preserve">  </w:t>
      </w:r>
    </w:p>
    <w:tbl>
      <w:tblPr>
        <w:tblW w:w="8006" w:type="dxa"/>
        <w:tblInd w:w="1430" w:type="dxa"/>
        <w:tblCellMar>
          <w:left w:w="0" w:type="dxa"/>
          <w:right w:w="0" w:type="dxa"/>
        </w:tblCellMar>
        <w:tblLook w:val="04A0" w:firstRow="1" w:lastRow="0" w:firstColumn="1" w:lastColumn="0" w:noHBand="0" w:noVBand="1"/>
      </w:tblPr>
      <w:tblGrid>
        <w:gridCol w:w="2733"/>
        <w:gridCol w:w="3087"/>
        <w:gridCol w:w="2186"/>
      </w:tblGrid>
      <w:tr w:rsidRPr="009E1D95" w:rsidR="00A40480" w:rsidTr="00A40480" w14:paraId="266126BA" w14:textId="77777777">
        <w:trPr>
          <w:trHeight w:val="251"/>
        </w:trPr>
        <w:tc>
          <w:tcPr>
            <w:tcW w:w="27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E1D95" w:rsidR="00A40480" w:rsidP="00D9454C" w:rsidRDefault="00A40480" w14:paraId="21F0BBC7" w14:textId="77777777">
            <w:pPr>
              <w:contextualSpacing/>
              <w:rPr>
                <w:rFonts w:eastAsia="Calibri"/>
                <w:b/>
                <w:bCs/>
                <w:color w:val="000000"/>
                <w:lang w:eastAsia="en-US"/>
              </w:rPr>
            </w:pPr>
            <w:r w:rsidRPr="009E1D95">
              <w:rPr>
                <w:rFonts w:eastAsia="Calibri"/>
                <w:b/>
                <w:bCs/>
                <w:color w:val="000000"/>
                <w:lang w:eastAsia="en-US"/>
              </w:rPr>
              <w:t>Description of Cost Factor</w:t>
            </w:r>
          </w:p>
        </w:tc>
        <w:tc>
          <w:tcPr>
            <w:tcW w:w="308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E1D95" w:rsidR="00A40480" w:rsidP="00D9454C" w:rsidRDefault="00A40480" w14:paraId="2B607765" w14:textId="77777777">
            <w:pPr>
              <w:contextualSpacing/>
              <w:rPr>
                <w:rFonts w:eastAsia="Calibri"/>
                <w:b/>
                <w:bCs/>
                <w:color w:val="000000"/>
                <w:lang w:eastAsia="en-US"/>
              </w:rPr>
            </w:pPr>
            <w:r w:rsidRPr="009E1D95">
              <w:rPr>
                <w:rFonts w:eastAsia="Calibri"/>
                <w:b/>
                <w:bCs/>
                <w:color w:val="000000"/>
                <w:lang w:eastAsia="en-US"/>
              </w:rPr>
              <w:t>Methodology for Estimating Cost</w:t>
            </w:r>
          </w:p>
        </w:tc>
        <w:tc>
          <w:tcPr>
            <w:tcW w:w="2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E1D95" w:rsidR="00A40480" w:rsidP="00D9454C" w:rsidRDefault="00A40480" w14:paraId="2ED116B7" w14:textId="77777777">
            <w:pPr>
              <w:contextualSpacing/>
              <w:rPr>
                <w:rFonts w:eastAsia="Calibri"/>
                <w:b/>
                <w:bCs/>
                <w:color w:val="000000"/>
                <w:lang w:eastAsia="en-US"/>
              </w:rPr>
            </w:pPr>
            <w:r w:rsidRPr="009E1D95">
              <w:rPr>
                <w:rFonts w:eastAsia="Calibri"/>
                <w:b/>
                <w:bCs/>
                <w:color w:val="000000"/>
                <w:lang w:eastAsia="en-US"/>
              </w:rPr>
              <w:t>Cost in Dollars*</w:t>
            </w:r>
          </w:p>
        </w:tc>
      </w:tr>
      <w:tr w:rsidRPr="009E1D95" w:rsidR="00A40480" w:rsidTr="00A40480" w14:paraId="415384A2" w14:textId="77777777">
        <w:trPr>
          <w:trHeight w:val="240"/>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1D95" w:rsidR="00A40480" w:rsidP="00D9454C" w:rsidRDefault="00A40480" w14:paraId="7817628B" w14:textId="77777777">
            <w:pPr>
              <w:contextualSpacing/>
              <w:rPr>
                <w:rFonts w:eastAsia="Calibri"/>
                <w:color w:val="000000"/>
                <w:lang w:eastAsia="en-US"/>
              </w:rPr>
            </w:pPr>
            <w:r w:rsidRPr="009E1D95">
              <w:rPr>
                <w:rFonts w:eastAsia="Calibri"/>
                <w:color w:val="000000"/>
                <w:lang w:eastAsia="en-US"/>
              </w:rPr>
              <w:t>Designing and Printing the Form</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9E1D95" w:rsidR="00A40480" w:rsidP="00D9454C" w:rsidRDefault="00A40480" w14:paraId="342C5872" w14:textId="77777777">
            <w:pPr>
              <w:contextualSpacing/>
              <w:rPr>
                <w:rFonts w:eastAsia="Calibri"/>
                <w:color w:val="000000"/>
                <w:lang w:eastAsia="en-US"/>
              </w:rPr>
            </w:pPr>
            <w:r w:rsidRPr="009E1D95">
              <w:rPr>
                <w:rFonts w:eastAsia="Calibri"/>
                <w:color w:val="000000"/>
                <w:lang w:eastAsia="en-US"/>
              </w:rPr>
              <w:t>Design Cost + Printing Cost</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9E1D95" w:rsidR="00A40480" w:rsidP="00D9454C" w:rsidRDefault="00A40480" w14:paraId="2449E143" w14:textId="60A40662">
            <w:pPr>
              <w:contextualSpacing/>
              <w:rPr>
                <w:rFonts w:eastAsia="Calibri"/>
                <w:color w:val="000000"/>
                <w:lang w:eastAsia="en-US"/>
              </w:rPr>
            </w:pPr>
            <w:r>
              <w:rPr>
                <w:rFonts w:eastAsia="Calibri"/>
                <w:color w:val="000000"/>
                <w:lang w:eastAsia="en-US"/>
              </w:rPr>
              <w:t>$0</w:t>
            </w:r>
          </w:p>
        </w:tc>
      </w:tr>
      <w:tr w:rsidRPr="009E1D95" w:rsidR="00A40480" w:rsidTr="00A40480" w14:paraId="4AD3DFAA" w14:textId="77777777">
        <w:trPr>
          <w:trHeight w:val="503"/>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1D95" w:rsidR="00A40480" w:rsidP="00D9454C" w:rsidRDefault="00A40480" w14:paraId="3C1404A8" w14:textId="77777777">
            <w:pPr>
              <w:contextualSpacing/>
              <w:rPr>
                <w:rFonts w:eastAsia="Calibri"/>
                <w:color w:val="000000"/>
                <w:lang w:eastAsia="en-US"/>
              </w:rPr>
            </w:pPr>
            <w:r w:rsidRPr="009E1D95">
              <w:rPr>
                <w:rFonts w:eastAsia="Calibri"/>
                <w:color w:val="000000"/>
                <w:lang w:eastAsia="en-US"/>
              </w:rPr>
              <w:t>Distributing, Shipping, and Material Costs for the Form</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9E1D95" w:rsidR="00A40480" w:rsidP="00D9454C" w:rsidRDefault="00A40480" w14:paraId="670377A5" w14:textId="77777777">
            <w:pPr>
              <w:contextualSpacing/>
              <w:rPr>
                <w:rFonts w:eastAsia="Calibri"/>
                <w:color w:val="000000"/>
                <w:lang w:eastAsia="en-US"/>
              </w:rPr>
            </w:pPr>
            <w:r w:rsidRPr="009E1D95">
              <w:rPr>
                <w:rFonts w:eastAsia="Calibri"/>
                <w:color w:val="000000"/>
                <w:lang w:eastAsia="en-US"/>
              </w:rPr>
              <w:t>Distribution + Shipping + Material Cost</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9E1D95" w:rsidR="00A40480" w:rsidP="00D9454C" w:rsidRDefault="00A40480" w14:paraId="0B11F440" w14:textId="027C643F">
            <w:pPr>
              <w:contextualSpacing/>
              <w:rPr>
                <w:rFonts w:eastAsia="Calibri"/>
                <w:color w:val="000000"/>
                <w:lang w:eastAsia="en-US"/>
              </w:rPr>
            </w:pPr>
            <w:r>
              <w:rPr>
                <w:rFonts w:eastAsia="Calibri"/>
                <w:color w:val="000000"/>
                <w:lang w:eastAsia="en-US"/>
              </w:rPr>
              <w:t>$0</w:t>
            </w:r>
          </w:p>
        </w:tc>
      </w:tr>
      <w:tr w:rsidRPr="00A40480" w:rsidR="00A40480" w:rsidTr="00A40480" w14:paraId="6C5DF161" w14:textId="77777777">
        <w:trPr>
          <w:trHeight w:val="754"/>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0480" w:rsidR="00A40480" w:rsidP="00D9454C" w:rsidRDefault="00A40480" w14:paraId="3D38613D" w14:textId="77777777">
            <w:pPr>
              <w:contextualSpacing/>
              <w:rPr>
                <w:rFonts w:eastAsia="Calibri"/>
                <w:lang w:eastAsia="en-US"/>
              </w:rPr>
            </w:pPr>
            <w:r w:rsidRPr="00A40480">
              <w:rPr>
                <w:rFonts w:eastAsia="Calibri"/>
                <w:lang w:eastAsia="en-US"/>
              </w:rPr>
              <w:t>SSA Employee (e.g., field office, 800 number, DDS staff) Information Collection and Processing Time</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A40480" w:rsidR="00A40480" w:rsidP="00D9454C" w:rsidRDefault="00A40480" w14:paraId="36F72AE4" w14:textId="77777777">
            <w:pPr>
              <w:contextualSpacing/>
              <w:rPr>
                <w:rFonts w:eastAsia="Calibri"/>
                <w:lang w:eastAsia="en-US"/>
              </w:rPr>
            </w:pPr>
            <w:r w:rsidRPr="00A40480">
              <w:rPr>
                <w:rFonts w:eastAsia="Calibri"/>
                <w:lang w:eastAsia="en-US"/>
              </w:rPr>
              <w:t>GS-9 employee x # of responses x processing time</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A40480" w:rsidR="00A40480" w:rsidP="00D9454C" w:rsidRDefault="00A40480" w14:paraId="43353C7A" w14:textId="6422CEC0">
            <w:pPr>
              <w:contextualSpacing/>
              <w:rPr>
                <w:rFonts w:eastAsia="Calibri"/>
                <w:lang w:eastAsia="en-US"/>
              </w:rPr>
            </w:pPr>
            <w:r w:rsidRPr="00A40480">
              <w:rPr>
                <w:bCs/>
              </w:rPr>
              <w:t>$51,758</w:t>
            </w:r>
          </w:p>
        </w:tc>
      </w:tr>
      <w:tr w:rsidRPr="00A40480" w:rsidR="00A40480" w:rsidTr="00A40480" w14:paraId="20C3B3CD" w14:textId="77777777">
        <w:trPr>
          <w:trHeight w:val="492"/>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0480" w:rsidR="00A40480" w:rsidP="00D9454C" w:rsidRDefault="00A40480" w14:paraId="6B020701" w14:textId="77777777">
            <w:pPr>
              <w:contextualSpacing/>
              <w:rPr>
                <w:rFonts w:eastAsia="Calibri"/>
                <w:lang w:eastAsia="en-US"/>
              </w:rPr>
            </w:pPr>
            <w:r w:rsidRPr="00A40480">
              <w:rPr>
                <w:rFonts w:eastAsia="Calibri"/>
                <w:lang w:eastAsia="en-US"/>
              </w:rPr>
              <w:t>Full-Time Equivalent Costs</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A40480" w:rsidR="00A40480" w:rsidP="00D9454C" w:rsidRDefault="00A40480" w14:paraId="47D39970" w14:textId="77777777">
            <w:pPr>
              <w:contextualSpacing/>
              <w:rPr>
                <w:rFonts w:eastAsia="Calibri"/>
                <w:lang w:eastAsia="en-US"/>
              </w:rPr>
            </w:pPr>
            <w:r w:rsidRPr="00A40480">
              <w:rPr>
                <w:rFonts w:eastAsia="Calibri"/>
                <w:lang w:eastAsia="en-US"/>
              </w:rPr>
              <w:t>Out of pocket costs + Other expenses for providing this service</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A40480" w:rsidR="00A40480" w:rsidP="00D9454C" w:rsidRDefault="00A40480" w14:paraId="1BB24311" w14:textId="53534BC7">
            <w:pPr>
              <w:contextualSpacing/>
              <w:rPr>
                <w:rFonts w:eastAsia="Calibri"/>
                <w:lang w:eastAsia="en-US"/>
              </w:rPr>
            </w:pPr>
            <w:r w:rsidRPr="00A40480">
              <w:rPr>
                <w:bCs/>
              </w:rPr>
              <w:t>$3,300</w:t>
            </w:r>
          </w:p>
        </w:tc>
      </w:tr>
      <w:tr w:rsidRPr="00A40480" w:rsidR="00A40480" w:rsidTr="00A40480" w14:paraId="7466C093" w14:textId="77777777">
        <w:trPr>
          <w:trHeight w:val="754"/>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0480" w:rsidR="00A40480" w:rsidP="00D9454C" w:rsidRDefault="00A40480" w14:paraId="0ED58409" w14:textId="77777777">
            <w:pPr>
              <w:contextualSpacing/>
              <w:rPr>
                <w:rFonts w:eastAsia="Calibri"/>
                <w:lang w:eastAsia="en-US"/>
              </w:rPr>
            </w:pPr>
            <w:r w:rsidRPr="00A40480">
              <w:rPr>
                <w:rFonts w:eastAsia="Calibri"/>
                <w:lang w:eastAsia="en-US"/>
              </w:rPr>
              <w:t>Systems Development, Updating, and Maintenance</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A40480" w:rsidR="00A40480" w:rsidP="00D9454C" w:rsidRDefault="00A40480" w14:paraId="30370877" w14:textId="77777777">
            <w:pPr>
              <w:contextualSpacing/>
              <w:rPr>
                <w:rFonts w:eastAsia="Calibri"/>
                <w:lang w:eastAsia="en-US"/>
              </w:rPr>
            </w:pPr>
            <w:r w:rsidRPr="00A40480">
              <w:rPr>
                <w:rFonts w:eastAsia="Calibri"/>
                <w:lang w:eastAsia="en-US"/>
              </w:rPr>
              <w:t>GS-9 employee x man hours for development, updating, maintenance</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A40480" w:rsidR="00A40480" w:rsidP="00D9454C" w:rsidRDefault="00A40480" w14:paraId="4A4C83BD" w14:textId="4A412C5F">
            <w:pPr>
              <w:contextualSpacing/>
              <w:rPr>
                <w:rFonts w:eastAsia="Calibri"/>
                <w:lang w:eastAsia="en-US"/>
              </w:rPr>
            </w:pPr>
            <w:r>
              <w:rPr>
                <w:rFonts w:eastAsia="Calibri"/>
                <w:lang w:eastAsia="en-US"/>
              </w:rPr>
              <w:t>$11,501</w:t>
            </w:r>
          </w:p>
        </w:tc>
      </w:tr>
      <w:tr w:rsidRPr="00A40480" w:rsidR="00A40480" w:rsidTr="00A40480" w14:paraId="1CA804B3" w14:textId="77777777">
        <w:trPr>
          <w:trHeight w:val="251"/>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0480" w:rsidR="00A40480" w:rsidP="00D9454C" w:rsidRDefault="00A40480" w14:paraId="24F6BC38" w14:textId="77777777">
            <w:pPr>
              <w:contextualSpacing/>
              <w:rPr>
                <w:rFonts w:eastAsia="Calibri"/>
                <w:lang w:eastAsia="en-US"/>
              </w:rPr>
            </w:pPr>
            <w:r w:rsidRPr="00A40480">
              <w:rPr>
                <w:rFonts w:eastAsia="Calibri"/>
                <w:lang w:eastAsia="en-US"/>
              </w:rPr>
              <w:t>Quantifiable IT Costs</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A40480" w:rsidR="00A40480" w:rsidP="00D9454C" w:rsidRDefault="00A40480" w14:paraId="289F6AB7" w14:textId="77777777">
            <w:pPr>
              <w:contextualSpacing/>
              <w:rPr>
                <w:rFonts w:eastAsia="Calibri"/>
                <w:lang w:eastAsia="en-US"/>
              </w:rPr>
            </w:pPr>
            <w:r w:rsidRPr="00A40480">
              <w:rPr>
                <w:rFonts w:eastAsia="Calibri"/>
                <w:lang w:eastAsia="en-US"/>
              </w:rPr>
              <w:t>Any additional IT costs</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A40480" w:rsidR="00A40480" w:rsidP="00D9454C" w:rsidRDefault="000317B7" w14:paraId="06CDB511" w14:textId="584AEB54">
            <w:pPr>
              <w:contextualSpacing/>
              <w:rPr>
                <w:rFonts w:eastAsia="Calibri"/>
                <w:lang w:eastAsia="en-US"/>
              </w:rPr>
            </w:pPr>
            <w:r>
              <w:rPr>
                <w:rFonts w:eastAsia="Calibri"/>
                <w:lang w:eastAsia="en-US"/>
              </w:rPr>
              <w:t>$0</w:t>
            </w:r>
          </w:p>
        </w:tc>
      </w:tr>
      <w:tr w:rsidRPr="00A40480" w:rsidR="00A40480" w:rsidTr="00A40480" w14:paraId="141055D6" w14:textId="77777777">
        <w:trPr>
          <w:trHeight w:val="240"/>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0480" w:rsidR="00A40480" w:rsidP="00D9454C" w:rsidRDefault="00A40480" w14:paraId="74C9115A" w14:textId="77777777">
            <w:pPr>
              <w:contextualSpacing/>
              <w:rPr>
                <w:rFonts w:eastAsia="Calibri"/>
                <w:lang w:eastAsia="en-US"/>
              </w:rPr>
            </w:pPr>
            <w:r w:rsidRPr="00A40480">
              <w:rPr>
                <w:rFonts w:eastAsia="Calibri"/>
                <w:lang w:eastAsia="en-US"/>
              </w:rPr>
              <w:t>Other</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A40480" w:rsidR="00A40480" w:rsidP="00D9454C" w:rsidRDefault="00A40480" w14:paraId="60ABB117" w14:textId="77777777">
            <w:pPr>
              <w:contextualSpacing/>
              <w:rPr>
                <w:rFonts w:eastAsia="Calibri"/>
                <w:lang w:eastAsia="en-US"/>
              </w:rPr>
            </w:pPr>
            <w:r w:rsidRPr="00A40480">
              <w:rPr>
                <w:rFonts w:eastAsia="Calibri"/>
                <w:lang w:eastAsia="en-US"/>
              </w:rPr>
              <w:t>[Component may add as needed]</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A40480" w:rsidR="00A40480" w:rsidP="00D9454C" w:rsidRDefault="000317B7" w14:paraId="35B5A1E3" w14:textId="330CF36D">
            <w:pPr>
              <w:contextualSpacing/>
              <w:rPr>
                <w:rFonts w:eastAsia="Calibri"/>
                <w:lang w:eastAsia="en-US"/>
              </w:rPr>
            </w:pPr>
            <w:r>
              <w:rPr>
                <w:rFonts w:eastAsia="Calibri"/>
                <w:lang w:eastAsia="en-US"/>
              </w:rPr>
              <w:t>$0</w:t>
            </w:r>
          </w:p>
        </w:tc>
      </w:tr>
      <w:tr w:rsidRPr="00A40480" w:rsidR="00A40480" w:rsidTr="00A40480" w14:paraId="134DD172" w14:textId="77777777">
        <w:trPr>
          <w:trHeight w:val="251"/>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0480" w:rsidR="00A40480" w:rsidP="00D9454C" w:rsidRDefault="00A40480" w14:paraId="51B9BA73" w14:textId="77777777">
            <w:pPr>
              <w:contextualSpacing/>
              <w:rPr>
                <w:rFonts w:eastAsia="Calibri"/>
                <w:b/>
                <w:lang w:eastAsia="en-US"/>
              </w:rPr>
            </w:pPr>
            <w:r w:rsidRPr="00A40480">
              <w:rPr>
                <w:rFonts w:eastAsia="Calibri"/>
                <w:b/>
                <w:lang w:eastAsia="en-US"/>
              </w:rPr>
              <w:t>Total</w:t>
            </w:r>
          </w:p>
        </w:tc>
        <w:tc>
          <w:tcPr>
            <w:tcW w:w="3087" w:type="dxa"/>
            <w:tcBorders>
              <w:top w:val="nil"/>
              <w:left w:val="nil"/>
              <w:bottom w:val="single" w:color="auto" w:sz="8" w:space="0"/>
              <w:right w:val="single" w:color="auto" w:sz="8" w:space="0"/>
            </w:tcBorders>
            <w:tcMar>
              <w:top w:w="0" w:type="dxa"/>
              <w:left w:w="108" w:type="dxa"/>
              <w:bottom w:w="0" w:type="dxa"/>
              <w:right w:w="108" w:type="dxa"/>
            </w:tcMar>
          </w:tcPr>
          <w:p w:rsidRPr="00A40480" w:rsidR="00A40480" w:rsidP="00D9454C" w:rsidRDefault="00A40480" w14:paraId="5D32A119" w14:textId="77777777">
            <w:pPr>
              <w:contextualSpacing/>
              <w:rPr>
                <w:rFonts w:eastAsia="Calibri"/>
                <w:lang w:eastAsia="en-US"/>
              </w:rPr>
            </w:pP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A40480" w:rsidR="00A40480" w:rsidP="00D9454C" w:rsidRDefault="00A40480" w14:paraId="7A5B1552" w14:textId="7ACE01E4">
            <w:pPr>
              <w:contextualSpacing/>
              <w:rPr>
                <w:rFonts w:eastAsia="Calibri"/>
                <w:lang w:eastAsia="en-US"/>
              </w:rPr>
            </w:pPr>
            <w:r w:rsidRPr="00A40480">
              <w:rPr>
                <w:b/>
                <w:bCs/>
              </w:rPr>
              <w:t>$66,559</w:t>
            </w:r>
          </w:p>
        </w:tc>
      </w:tr>
    </w:tbl>
    <w:p w:rsidRPr="009E1D95" w:rsidR="00A40480" w:rsidP="00A40480" w:rsidRDefault="00A40480" w14:paraId="21FCE788" w14:textId="77777777">
      <w:pPr>
        <w:ind w:left="1440"/>
        <w:rPr>
          <w:rFonts w:eastAsia="Calibri"/>
          <w:color w:val="000000"/>
          <w:lang w:eastAsia="en-US"/>
        </w:rPr>
      </w:pPr>
      <w:r w:rsidRPr="009E1D95">
        <w:rPr>
          <w:rFonts w:eastAsia="Calibri"/>
          <w:color w:val="000000"/>
          <w:lang w:eastAsia="en-US"/>
        </w:rPr>
        <w:t>* We have inserted a $0 amount for cost factors that do not apply to this collection.</w:t>
      </w:r>
    </w:p>
    <w:p w:rsidRPr="009E1D95" w:rsidR="00A40480" w:rsidP="00A40480" w:rsidRDefault="00A40480" w14:paraId="7E4B21E5" w14:textId="77777777">
      <w:pPr>
        <w:ind w:left="360"/>
        <w:rPr>
          <w:rFonts w:eastAsia="Calibri"/>
          <w:color w:val="000000"/>
          <w:lang w:eastAsia="en-US"/>
        </w:rPr>
      </w:pPr>
    </w:p>
    <w:p w:rsidRPr="009E1D95" w:rsidR="00A40480" w:rsidP="00A40480" w:rsidRDefault="00A40480" w14:paraId="23605810" w14:textId="77777777">
      <w:pPr>
        <w:ind w:left="1440"/>
        <w:rPr>
          <w:rFonts w:eastAsia="Calibri"/>
          <w:color w:val="000000"/>
          <w:lang w:eastAsia="en-US"/>
        </w:rPr>
      </w:pPr>
      <w:r w:rsidRPr="009E1D95">
        <w:rPr>
          <w:rFonts w:eastAsia="Calibri"/>
          <w:color w:val="000000"/>
          <w:lang w:eastAsia="en-US"/>
        </w:rPr>
        <w:lastRenderedPageBreak/>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B37A54" w:rsidP="00B52594" w:rsidRDefault="00B37A54" w14:paraId="7EE209B1" w14:textId="3D6E5335">
      <w:pPr>
        <w:ind w:left="1440"/>
      </w:pPr>
    </w:p>
    <w:p w:rsidR="00BC6FCE" w:rsidP="00B52594" w:rsidRDefault="00BC6FCE" w14:paraId="409AD279" w14:textId="77777777">
      <w:pPr>
        <w:numPr>
          <w:ilvl w:val="1"/>
          <w:numId w:val="1"/>
        </w:numPr>
        <w:tabs>
          <w:tab w:val="clear" w:pos="1080"/>
          <w:tab w:val="num" w:pos="1440"/>
        </w:tabs>
        <w:ind w:left="1440" w:hanging="720"/>
      </w:pPr>
      <w:r>
        <w:rPr>
          <w:b/>
        </w:rPr>
        <w:t>Program Changes or Adjustments to the Information Collection Request</w:t>
      </w:r>
      <w:r>
        <w:t xml:space="preserve"> </w:t>
      </w:r>
    </w:p>
    <w:p w:rsidRPr="009F3966" w:rsidR="009F3966" w:rsidP="009F3966" w:rsidRDefault="009F3966" w14:paraId="608FAC01" w14:textId="6B415A2C">
      <w:pPr>
        <w:pStyle w:val="ListParagraph"/>
        <w:ind w:left="1440"/>
        <w:rPr>
          <w:b/>
        </w:rPr>
      </w:pPr>
      <w:r w:rsidRPr="009F3966">
        <w:t>When</w:t>
      </w:r>
      <w:r>
        <w:t xml:space="preserve"> we last cleared this IC in 2017</w:t>
      </w:r>
      <w:r w:rsidRPr="009F3966">
        <w:t xml:space="preserve">, the burden was </w:t>
      </w:r>
      <w:r>
        <w:t>37</w:t>
      </w:r>
      <w:r w:rsidRPr="009F3966">
        <w:t xml:space="preserve"> hours.  However, we are currently reporting a burden of </w:t>
      </w:r>
      <w:r>
        <w:t>28</w:t>
      </w:r>
      <w:r w:rsidRPr="009F3966">
        <w:t xml:space="preserve"> hours.  This change stems </w:t>
      </w:r>
      <w:r w:rsidR="004D456C">
        <w:t xml:space="preserve">from </w:t>
      </w:r>
      <w:r w:rsidRPr="009F3966">
        <w:t>a decrease in the number of responses from</w:t>
      </w:r>
      <w:r>
        <w:t xml:space="preserve"> 425</w:t>
      </w:r>
      <w:r w:rsidRPr="009F3966">
        <w:t xml:space="preserve"> to</w:t>
      </w:r>
      <w:r>
        <w:t xml:space="preserve"> 335</w:t>
      </w:r>
      <w:r w:rsidRPr="009F3966">
        <w:t>.  There is no change to the burden time per response.  Although the number of responses changed, SSA did not take any actions to cause this change.  These figures represent current Management Information data.</w:t>
      </w:r>
    </w:p>
    <w:p w:rsidR="009F3966" w:rsidP="00B52594" w:rsidRDefault="009F3966" w14:paraId="4901AE7C" w14:textId="77777777">
      <w:pPr>
        <w:ind w:left="1440"/>
      </w:pPr>
    </w:p>
    <w:p w:rsidR="00BC6FCE" w:rsidP="00B52594" w:rsidRDefault="00BC6FCE" w14:paraId="023C1FFB" w14:textId="77777777">
      <w:pPr>
        <w:numPr>
          <w:ilvl w:val="1"/>
          <w:numId w:val="1"/>
        </w:numPr>
        <w:tabs>
          <w:tab w:val="clear" w:pos="1080"/>
          <w:tab w:val="num" w:pos="1440"/>
        </w:tabs>
        <w:ind w:left="1440" w:hanging="720"/>
      </w:pPr>
      <w:r>
        <w:rPr>
          <w:b/>
        </w:rPr>
        <w:t>Plans for Publication Information Collection Results</w:t>
      </w:r>
      <w:r>
        <w:t xml:space="preserve"> </w:t>
      </w:r>
    </w:p>
    <w:p w:rsidR="00BC6FCE" w:rsidP="00B52594" w:rsidRDefault="00B37A54" w14:paraId="57A39754" w14:textId="77777777">
      <w:pPr>
        <w:ind w:left="1440"/>
      </w:pPr>
      <w:r>
        <w:t>SSA will not publish the results of the information collection.</w:t>
      </w:r>
    </w:p>
    <w:p w:rsidRPr="00A73FAA" w:rsidR="00B52594" w:rsidP="00B52594" w:rsidRDefault="00B52594" w14:paraId="740E9380" w14:textId="77777777">
      <w:pPr>
        <w:ind w:left="1440"/>
      </w:pPr>
    </w:p>
    <w:p w:rsidR="00BC6FCE" w:rsidP="00B52594" w:rsidRDefault="00BC6FCE" w14:paraId="39F165BC" w14:textId="77777777">
      <w:pPr>
        <w:numPr>
          <w:ilvl w:val="1"/>
          <w:numId w:val="1"/>
        </w:numPr>
        <w:tabs>
          <w:tab w:val="clear" w:pos="1080"/>
          <w:tab w:val="num" w:pos="1440"/>
        </w:tabs>
        <w:ind w:left="1440" w:hanging="720"/>
      </w:pPr>
      <w:r>
        <w:rPr>
          <w:b/>
        </w:rPr>
        <w:t>Displaying the OMB Approval Expiration Date</w:t>
      </w:r>
      <w:r>
        <w:t xml:space="preserve"> </w:t>
      </w:r>
    </w:p>
    <w:p w:rsidRPr="00B64CC5" w:rsidR="009F3966" w:rsidP="009F3966" w:rsidRDefault="009F3966" w14:paraId="2652B06F" w14:textId="77777777">
      <w:pPr>
        <w:pStyle w:val="NoSpacing"/>
        <w:ind w:left="1440"/>
        <w:rPr>
          <w:bCs/>
          <w:i/>
          <w:iCs/>
        </w:rPr>
      </w:pPr>
      <w:r w:rsidRPr="009F3966">
        <w:rPr>
          <w:bCs/>
          <w:iCs/>
        </w:rPr>
        <w:t>SSA is not requesting an exception to the requirement to display an expiration date</w:t>
      </w:r>
      <w:r w:rsidRPr="00B64CC5">
        <w:rPr>
          <w:bCs/>
          <w:i/>
          <w:iCs/>
        </w:rPr>
        <w:t>.</w:t>
      </w:r>
    </w:p>
    <w:p w:rsidR="00BC6FCE" w:rsidP="00B52594" w:rsidRDefault="00BC6FCE" w14:paraId="22231030" w14:textId="77777777">
      <w:pPr>
        <w:numPr>
          <w:ilvl w:val="1"/>
          <w:numId w:val="1"/>
        </w:numPr>
        <w:tabs>
          <w:tab w:val="clear" w:pos="1080"/>
          <w:tab w:val="num" w:pos="1440"/>
        </w:tabs>
        <w:ind w:left="1440" w:hanging="720"/>
      </w:pPr>
      <w:r>
        <w:rPr>
          <w:b/>
        </w:rPr>
        <w:t>Exceptions to Certification Statement</w:t>
      </w:r>
      <w:r>
        <w:t xml:space="preserve"> </w:t>
      </w:r>
    </w:p>
    <w:p w:rsidR="009F3966" w:rsidP="00B52594" w:rsidRDefault="00B37A54" w14:paraId="264B4B37" w14:textId="77777777">
      <w:pPr>
        <w:ind w:left="1440"/>
      </w:pPr>
      <w:r>
        <w:t xml:space="preserve">SSA is not requesting an exception to the certification requirements at </w:t>
      </w:r>
    </w:p>
    <w:p w:rsidR="00B37A54" w:rsidP="00B52594" w:rsidRDefault="00B37A54" w14:paraId="3630C121" w14:textId="559DEAF3">
      <w:pPr>
        <w:ind w:left="1440"/>
      </w:pPr>
      <w:r w:rsidRPr="00E13119">
        <w:rPr>
          <w:i/>
        </w:rPr>
        <w:t>5 CFR 1320.9</w:t>
      </w:r>
      <w:r>
        <w:t xml:space="preserve"> and related provisions at </w:t>
      </w:r>
      <w:r w:rsidRPr="00E13119">
        <w:rPr>
          <w:i/>
        </w:rPr>
        <w:t>5 CFR 1320.8(b)(3)</w:t>
      </w:r>
      <w:r>
        <w:t>.</w:t>
      </w:r>
    </w:p>
    <w:p w:rsidR="00B37A54" w:rsidP="00B37A54" w:rsidRDefault="00B37A54" w14:paraId="076DD19A" w14:textId="77777777">
      <w:pPr>
        <w:ind w:left="1080"/>
      </w:pPr>
    </w:p>
    <w:p w:rsidRPr="00484065" w:rsidR="00B37A54" w:rsidP="00B52594" w:rsidRDefault="00B37A54" w14:paraId="1B0EC6C8" w14:textId="3CB01547">
      <w:pPr>
        <w:numPr>
          <w:ilvl w:val="0"/>
          <w:numId w:val="1"/>
        </w:numPr>
        <w:tabs>
          <w:tab w:val="clear" w:pos="360"/>
          <w:tab w:val="num" w:pos="720"/>
        </w:tabs>
        <w:ind w:left="720" w:hanging="540"/>
        <w:rPr>
          <w:b/>
          <w:bCs/>
          <w:u w:val="single"/>
        </w:rPr>
      </w:pPr>
      <w:r w:rsidRPr="00484065">
        <w:rPr>
          <w:b/>
          <w:bCs/>
          <w:u w:val="single"/>
        </w:rPr>
        <w:t>Collections of Information Employing Statistical Methods</w:t>
      </w:r>
    </w:p>
    <w:p w:rsidR="00B37A54" w:rsidP="00B37A54" w:rsidRDefault="00B37A54" w14:paraId="20ECA539" w14:textId="77777777">
      <w:pPr>
        <w:ind w:left="360"/>
        <w:rPr>
          <w:b/>
          <w:bCs/>
        </w:rPr>
      </w:pPr>
    </w:p>
    <w:p w:rsidR="00E52DA2" w:rsidP="00B52594" w:rsidRDefault="00B37A54" w14:paraId="318B48E2" w14:textId="4F05B816">
      <w:pPr>
        <w:ind w:left="1440"/>
      </w:pPr>
      <w:r>
        <w:t>SSA does not use statistical methods for this information collection.</w:t>
      </w:r>
    </w:p>
    <w:sectPr w:rsidR="00E52DA2" w:rsidSect="006C2D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9016C" w14:textId="77777777" w:rsidR="00F0634A" w:rsidRDefault="00F0634A">
      <w:r>
        <w:separator/>
      </w:r>
    </w:p>
  </w:endnote>
  <w:endnote w:type="continuationSeparator" w:id="0">
    <w:p w14:paraId="5B9917DF" w14:textId="77777777" w:rsidR="00F0634A" w:rsidRDefault="00F0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452186"/>
      <w:docPartObj>
        <w:docPartGallery w:val="Page Numbers (Bottom of Page)"/>
        <w:docPartUnique/>
      </w:docPartObj>
    </w:sdtPr>
    <w:sdtEndPr>
      <w:rPr>
        <w:noProof/>
      </w:rPr>
    </w:sdtEndPr>
    <w:sdtContent>
      <w:p w14:paraId="010636EE" w14:textId="72A59734" w:rsidR="00D22427" w:rsidRDefault="00D22427">
        <w:pPr>
          <w:pStyle w:val="Footer"/>
          <w:jc w:val="center"/>
        </w:pPr>
        <w:r>
          <w:fldChar w:fldCharType="begin"/>
        </w:r>
        <w:r>
          <w:instrText xml:space="preserve"> PAGE   \* MERGEFORMAT </w:instrText>
        </w:r>
        <w:r>
          <w:fldChar w:fldCharType="separate"/>
        </w:r>
        <w:r w:rsidR="00FE102F">
          <w:rPr>
            <w:noProof/>
          </w:rPr>
          <w:t>6</w:t>
        </w:r>
        <w:r>
          <w:rPr>
            <w:noProof/>
          </w:rPr>
          <w:fldChar w:fldCharType="end"/>
        </w:r>
      </w:p>
    </w:sdtContent>
  </w:sdt>
  <w:p w14:paraId="32CA800B" w14:textId="72D91CF3" w:rsidR="00F65F81" w:rsidRPr="00226B28" w:rsidRDefault="00F65F81" w:rsidP="00226B28">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DFDE" w14:textId="77777777" w:rsidR="00F0634A" w:rsidRDefault="00F0634A">
      <w:r>
        <w:separator/>
      </w:r>
    </w:p>
  </w:footnote>
  <w:footnote w:type="continuationSeparator" w:id="0">
    <w:p w14:paraId="282F12FE" w14:textId="77777777" w:rsidR="00F0634A" w:rsidRDefault="00F06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3045B"/>
    <w:multiLevelType w:val="hybridMultilevel"/>
    <w:tmpl w:val="91584B68"/>
    <w:lvl w:ilvl="0" w:tplc="352E8AC2">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0255F3A"/>
    <w:multiLevelType w:val="hybridMultilevel"/>
    <w:tmpl w:val="C90690B0"/>
    <w:lvl w:ilvl="0" w:tplc="04090015">
      <w:start w:val="1"/>
      <w:numFmt w:val="upperLetter"/>
      <w:lvlText w:val="%1."/>
      <w:lvlJc w:val="left"/>
      <w:pPr>
        <w:tabs>
          <w:tab w:val="num" w:pos="360"/>
        </w:tabs>
        <w:ind w:left="360" w:hanging="360"/>
      </w:pPr>
      <w:rPr>
        <w:rFonts w:hint="default"/>
      </w:rPr>
    </w:lvl>
    <w:lvl w:ilvl="1" w:tplc="5E14B8E6">
      <w:start w:val="1"/>
      <w:numFmt w:val="decimal"/>
      <w:lvlText w:val="%2."/>
      <w:lvlJc w:val="left"/>
      <w:pPr>
        <w:tabs>
          <w:tab w:val="num" w:pos="1080"/>
        </w:tabs>
        <w:ind w:left="1080" w:hanging="360"/>
      </w:pPr>
      <w:rPr>
        <w:rFonts w:hint="default"/>
        <w:b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503CC8"/>
    <w:multiLevelType w:val="hybridMultilevel"/>
    <w:tmpl w:val="19F41F2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33F1538C"/>
    <w:multiLevelType w:val="multilevel"/>
    <w:tmpl w:val="91584B68"/>
    <w:lvl w:ilvl="0">
      <w:start w:val="1"/>
      <w:numFmt w:val="bullet"/>
      <w:lvlText w:val="-"/>
      <w:lvlJc w:val="left"/>
      <w:pPr>
        <w:tabs>
          <w:tab w:val="num" w:pos="2520"/>
        </w:tabs>
        <w:ind w:left="2520" w:hanging="360"/>
      </w:pPr>
      <w:rPr>
        <w:rFonts w:ascii="Courier New" w:hAnsi="Courier New"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4D0E6087"/>
    <w:multiLevelType w:val="hybridMultilevel"/>
    <w:tmpl w:val="BE2E7C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690F2C3A"/>
    <w:multiLevelType w:val="hybridMultilevel"/>
    <w:tmpl w:val="C36ED12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6B990C46"/>
    <w:multiLevelType w:val="hybridMultilevel"/>
    <w:tmpl w:val="05387FE6"/>
    <w:lvl w:ilvl="0" w:tplc="C14E8498">
      <w:start w:val="800"/>
      <w:numFmt w:val="bullet"/>
      <w:lvlText w:val=""/>
      <w:lvlJc w:val="left"/>
      <w:pPr>
        <w:tabs>
          <w:tab w:val="num" w:pos="2520"/>
        </w:tabs>
        <w:ind w:left="2520" w:hanging="360"/>
      </w:pPr>
      <w:rPr>
        <w:rFonts w:ascii="Symbol" w:eastAsia="SimSun" w:hAnsi="Symbol"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71761665"/>
    <w:multiLevelType w:val="hybridMultilevel"/>
    <w:tmpl w:val="BD0C0B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2D6591D"/>
    <w:multiLevelType w:val="hybridMultilevel"/>
    <w:tmpl w:val="331C406A"/>
    <w:lvl w:ilvl="0" w:tplc="C14E8498">
      <w:start w:val="800"/>
      <w:numFmt w:val="bullet"/>
      <w:lvlText w:val=""/>
      <w:lvlJc w:val="left"/>
      <w:pPr>
        <w:tabs>
          <w:tab w:val="num" w:pos="2160"/>
        </w:tabs>
        <w:ind w:left="2160" w:hanging="360"/>
      </w:pPr>
      <w:rPr>
        <w:rFonts w:ascii="Symbol" w:eastAsia="SimSu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7"/>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E31"/>
    <w:rsid w:val="00002D1F"/>
    <w:rsid w:val="00017C7C"/>
    <w:rsid w:val="000317B7"/>
    <w:rsid w:val="00031DA6"/>
    <w:rsid w:val="00033199"/>
    <w:rsid w:val="000535C7"/>
    <w:rsid w:val="00057F93"/>
    <w:rsid w:val="00071223"/>
    <w:rsid w:val="00071407"/>
    <w:rsid w:val="00073019"/>
    <w:rsid w:val="00090390"/>
    <w:rsid w:val="000905D3"/>
    <w:rsid w:val="00092BB3"/>
    <w:rsid w:val="00093245"/>
    <w:rsid w:val="00095683"/>
    <w:rsid w:val="000A0836"/>
    <w:rsid w:val="000A247F"/>
    <w:rsid w:val="000A24A8"/>
    <w:rsid w:val="000A52DA"/>
    <w:rsid w:val="000B1AA8"/>
    <w:rsid w:val="000B41A0"/>
    <w:rsid w:val="000B500C"/>
    <w:rsid w:val="000B79CD"/>
    <w:rsid w:val="000C435E"/>
    <w:rsid w:val="000E4D3F"/>
    <w:rsid w:val="000E5205"/>
    <w:rsid w:val="000F09F8"/>
    <w:rsid w:val="000F4298"/>
    <w:rsid w:val="000F4B8E"/>
    <w:rsid w:val="00107C94"/>
    <w:rsid w:val="00111D84"/>
    <w:rsid w:val="0011435A"/>
    <w:rsid w:val="00125E97"/>
    <w:rsid w:val="0013284E"/>
    <w:rsid w:val="001346B4"/>
    <w:rsid w:val="001355A6"/>
    <w:rsid w:val="00140D86"/>
    <w:rsid w:val="00145AD6"/>
    <w:rsid w:val="00146904"/>
    <w:rsid w:val="00164B9D"/>
    <w:rsid w:val="0017008F"/>
    <w:rsid w:val="0017785F"/>
    <w:rsid w:val="00182137"/>
    <w:rsid w:val="001834DB"/>
    <w:rsid w:val="001836E0"/>
    <w:rsid w:val="00186057"/>
    <w:rsid w:val="00195E02"/>
    <w:rsid w:val="0019605A"/>
    <w:rsid w:val="001A02FA"/>
    <w:rsid w:val="001A6561"/>
    <w:rsid w:val="001C6865"/>
    <w:rsid w:val="001D3216"/>
    <w:rsid w:val="00204CF5"/>
    <w:rsid w:val="002058F4"/>
    <w:rsid w:val="00220BA4"/>
    <w:rsid w:val="00226B28"/>
    <w:rsid w:val="002315E6"/>
    <w:rsid w:val="0023201A"/>
    <w:rsid w:val="002334ED"/>
    <w:rsid w:val="00236DC4"/>
    <w:rsid w:val="002417CD"/>
    <w:rsid w:val="0025152F"/>
    <w:rsid w:val="002515AD"/>
    <w:rsid w:val="00254F20"/>
    <w:rsid w:val="00263A6F"/>
    <w:rsid w:val="00271D80"/>
    <w:rsid w:val="00272065"/>
    <w:rsid w:val="00280105"/>
    <w:rsid w:val="002824CB"/>
    <w:rsid w:val="00283AB8"/>
    <w:rsid w:val="00284AA9"/>
    <w:rsid w:val="00293FE1"/>
    <w:rsid w:val="002964C4"/>
    <w:rsid w:val="00296872"/>
    <w:rsid w:val="002A3E43"/>
    <w:rsid w:val="002B5EFB"/>
    <w:rsid w:val="002C3498"/>
    <w:rsid w:val="002C5AB3"/>
    <w:rsid w:val="002C7B7C"/>
    <w:rsid w:val="002D4A13"/>
    <w:rsid w:val="002E0CE3"/>
    <w:rsid w:val="002E5F61"/>
    <w:rsid w:val="002F0C37"/>
    <w:rsid w:val="002F27CD"/>
    <w:rsid w:val="002F7A3B"/>
    <w:rsid w:val="00316C88"/>
    <w:rsid w:val="00316F61"/>
    <w:rsid w:val="00323AF5"/>
    <w:rsid w:val="00333066"/>
    <w:rsid w:val="00337AEA"/>
    <w:rsid w:val="00340AA9"/>
    <w:rsid w:val="0034226F"/>
    <w:rsid w:val="003434F7"/>
    <w:rsid w:val="0035372F"/>
    <w:rsid w:val="00374DAD"/>
    <w:rsid w:val="003948AA"/>
    <w:rsid w:val="003A13FB"/>
    <w:rsid w:val="003A36C9"/>
    <w:rsid w:val="003A5BF6"/>
    <w:rsid w:val="003B3105"/>
    <w:rsid w:val="003B604C"/>
    <w:rsid w:val="003B6D2D"/>
    <w:rsid w:val="003C0CE4"/>
    <w:rsid w:val="003C1044"/>
    <w:rsid w:val="003C1702"/>
    <w:rsid w:val="003C3690"/>
    <w:rsid w:val="003C6517"/>
    <w:rsid w:val="003C6FC7"/>
    <w:rsid w:val="003E1786"/>
    <w:rsid w:val="003E6D85"/>
    <w:rsid w:val="003E7719"/>
    <w:rsid w:val="00401208"/>
    <w:rsid w:val="00407FD8"/>
    <w:rsid w:val="0042354E"/>
    <w:rsid w:val="0042762A"/>
    <w:rsid w:val="004306C7"/>
    <w:rsid w:val="00432947"/>
    <w:rsid w:val="004355E8"/>
    <w:rsid w:val="00454142"/>
    <w:rsid w:val="00454B1E"/>
    <w:rsid w:val="004561D7"/>
    <w:rsid w:val="0045656E"/>
    <w:rsid w:val="00465EA7"/>
    <w:rsid w:val="004800DF"/>
    <w:rsid w:val="00484065"/>
    <w:rsid w:val="00485CEB"/>
    <w:rsid w:val="004955DC"/>
    <w:rsid w:val="004C12F2"/>
    <w:rsid w:val="004C16A1"/>
    <w:rsid w:val="004D456C"/>
    <w:rsid w:val="004D7977"/>
    <w:rsid w:val="004E44ED"/>
    <w:rsid w:val="004E66AB"/>
    <w:rsid w:val="004E75DD"/>
    <w:rsid w:val="0050622C"/>
    <w:rsid w:val="00511B55"/>
    <w:rsid w:val="0052104E"/>
    <w:rsid w:val="00523800"/>
    <w:rsid w:val="00532FF7"/>
    <w:rsid w:val="0053544E"/>
    <w:rsid w:val="00536991"/>
    <w:rsid w:val="00540194"/>
    <w:rsid w:val="00542A76"/>
    <w:rsid w:val="00555722"/>
    <w:rsid w:val="00561D12"/>
    <w:rsid w:val="00561D67"/>
    <w:rsid w:val="00567294"/>
    <w:rsid w:val="005845CC"/>
    <w:rsid w:val="00585469"/>
    <w:rsid w:val="00585B25"/>
    <w:rsid w:val="00586D54"/>
    <w:rsid w:val="00587023"/>
    <w:rsid w:val="00592315"/>
    <w:rsid w:val="005A5851"/>
    <w:rsid w:val="005B024A"/>
    <w:rsid w:val="005B1764"/>
    <w:rsid w:val="005C7C5B"/>
    <w:rsid w:val="005D1A21"/>
    <w:rsid w:val="005D7147"/>
    <w:rsid w:val="005F2EBA"/>
    <w:rsid w:val="005F5A51"/>
    <w:rsid w:val="005F61A7"/>
    <w:rsid w:val="00606D00"/>
    <w:rsid w:val="00622C72"/>
    <w:rsid w:val="00632611"/>
    <w:rsid w:val="00636A99"/>
    <w:rsid w:val="00652AF4"/>
    <w:rsid w:val="00676D8E"/>
    <w:rsid w:val="00684912"/>
    <w:rsid w:val="006868B6"/>
    <w:rsid w:val="0068779D"/>
    <w:rsid w:val="00697521"/>
    <w:rsid w:val="006B1277"/>
    <w:rsid w:val="006B64E6"/>
    <w:rsid w:val="006B6C10"/>
    <w:rsid w:val="006C2DE4"/>
    <w:rsid w:val="006C4609"/>
    <w:rsid w:val="006C6DF4"/>
    <w:rsid w:val="006C7971"/>
    <w:rsid w:val="006C7E0D"/>
    <w:rsid w:val="006D1152"/>
    <w:rsid w:val="006F126D"/>
    <w:rsid w:val="006F1E1E"/>
    <w:rsid w:val="006F4C86"/>
    <w:rsid w:val="006F6C9A"/>
    <w:rsid w:val="0070011F"/>
    <w:rsid w:val="007011B1"/>
    <w:rsid w:val="0070715D"/>
    <w:rsid w:val="00707F23"/>
    <w:rsid w:val="007151A6"/>
    <w:rsid w:val="00722146"/>
    <w:rsid w:val="0073041D"/>
    <w:rsid w:val="00732D0A"/>
    <w:rsid w:val="007351FA"/>
    <w:rsid w:val="00741B4E"/>
    <w:rsid w:val="0074316C"/>
    <w:rsid w:val="00747781"/>
    <w:rsid w:val="00750D59"/>
    <w:rsid w:val="007513B7"/>
    <w:rsid w:val="00754908"/>
    <w:rsid w:val="007557B7"/>
    <w:rsid w:val="007559F7"/>
    <w:rsid w:val="00756775"/>
    <w:rsid w:val="007611B9"/>
    <w:rsid w:val="00767041"/>
    <w:rsid w:val="00767684"/>
    <w:rsid w:val="00774FFB"/>
    <w:rsid w:val="00791E65"/>
    <w:rsid w:val="00792307"/>
    <w:rsid w:val="007A2022"/>
    <w:rsid w:val="007B1B58"/>
    <w:rsid w:val="007C0A44"/>
    <w:rsid w:val="007C6632"/>
    <w:rsid w:val="007C6E84"/>
    <w:rsid w:val="007D05A4"/>
    <w:rsid w:val="007D5231"/>
    <w:rsid w:val="007D7B03"/>
    <w:rsid w:val="007E0B7E"/>
    <w:rsid w:val="007E6645"/>
    <w:rsid w:val="007F5006"/>
    <w:rsid w:val="007F7FAA"/>
    <w:rsid w:val="00805EB9"/>
    <w:rsid w:val="0081159B"/>
    <w:rsid w:val="008135F6"/>
    <w:rsid w:val="00814498"/>
    <w:rsid w:val="00816A3E"/>
    <w:rsid w:val="008206AA"/>
    <w:rsid w:val="0083392A"/>
    <w:rsid w:val="0085243C"/>
    <w:rsid w:val="008629ED"/>
    <w:rsid w:val="00875119"/>
    <w:rsid w:val="008767A0"/>
    <w:rsid w:val="00876EEB"/>
    <w:rsid w:val="00892F3D"/>
    <w:rsid w:val="008A0916"/>
    <w:rsid w:val="008A79FC"/>
    <w:rsid w:val="008B2218"/>
    <w:rsid w:val="008D1E48"/>
    <w:rsid w:val="008E493B"/>
    <w:rsid w:val="008E5ABE"/>
    <w:rsid w:val="008F4144"/>
    <w:rsid w:val="008F6A1E"/>
    <w:rsid w:val="00900E98"/>
    <w:rsid w:val="009075A1"/>
    <w:rsid w:val="009132C2"/>
    <w:rsid w:val="009142E8"/>
    <w:rsid w:val="00925D84"/>
    <w:rsid w:val="00925E2D"/>
    <w:rsid w:val="00930365"/>
    <w:rsid w:val="00932AFD"/>
    <w:rsid w:val="0094216E"/>
    <w:rsid w:val="00942D8A"/>
    <w:rsid w:val="009667ED"/>
    <w:rsid w:val="00972141"/>
    <w:rsid w:val="00974469"/>
    <w:rsid w:val="00976684"/>
    <w:rsid w:val="0097713F"/>
    <w:rsid w:val="0098330D"/>
    <w:rsid w:val="009839B2"/>
    <w:rsid w:val="00983DEB"/>
    <w:rsid w:val="009907C3"/>
    <w:rsid w:val="00990E08"/>
    <w:rsid w:val="009928A3"/>
    <w:rsid w:val="009A3F21"/>
    <w:rsid w:val="009B7CA6"/>
    <w:rsid w:val="009C1507"/>
    <w:rsid w:val="009C6D02"/>
    <w:rsid w:val="009C7108"/>
    <w:rsid w:val="009D537D"/>
    <w:rsid w:val="009E6414"/>
    <w:rsid w:val="009F3483"/>
    <w:rsid w:val="009F3966"/>
    <w:rsid w:val="009F4522"/>
    <w:rsid w:val="00A051B0"/>
    <w:rsid w:val="00A05FFD"/>
    <w:rsid w:val="00A110BE"/>
    <w:rsid w:val="00A155ED"/>
    <w:rsid w:val="00A3119A"/>
    <w:rsid w:val="00A31DED"/>
    <w:rsid w:val="00A40480"/>
    <w:rsid w:val="00A50647"/>
    <w:rsid w:val="00A50A49"/>
    <w:rsid w:val="00A61A8C"/>
    <w:rsid w:val="00A62F5C"/>
    <w:rsid w:val="00A64519"/>
    <w:rsid w:val="00A70CEF"/>
    <w:rsid w:val="00A73FAA"/>
    <w:rsid w:val="00A833D4"/>
    <w:rsid w:val="00A8538D"/>
    <w:rsid w:val="00A873C9"/>
    <w:rsid w:val="00A93C1E"/>
    <w:rsid w:val="00AA2668"/>
    <w:rsid w:val="00AA4994"/>
    <w:rsid w:val="00AB041F"/>
    <w:rsid w:val="00AB4787"/>
    <w:rsid w:val="00AB4E72"/>
    <w:rsid w:val="00AC5B84"/>
    <w:rsid w:val="00AC6272"/>
    <w:rsid w:val="00AD430A"/>
    <w:rsid w:val="00AF3E21"/>
    <w:rsid w:val="00B028CD"/>
    <w:rsid w:val="00B060BD"/>
    <w:rsid w:val="00B10C23"/>
    <w:rsid w:val="00B135C2"/>
    <w:rsid w:val="00B177A3"/>
    <w:rsid w:val="00B23326"/>
    <w:rsid w:val="00B2467E"/>
    <w:rsid w:val="00B37A54"/>
    <w:rsid w:val="00B51E59"/>
    <w:rsid w:val="00B52594"/>
    <w:rsid w:val="00B6289F"/>
    <w:rsid w:val="00B67EFA"/>
    <w:rsid w:val="00B72D24"/>
    <w:rsid w:val="00BA1680"/>
    <w:rsid w:val="00BB1D61"/>
    <w:rsid w:val="00BC2A5F"/>
    <w:rsid w:val="00BC5FD6"/>
    <w:rsid w:val="00BC6FCE"/>
    <w:rsid w:val="00BD1D95"/>
    <w:rsid w:val="00BE0F44"/>
    <w:rsid w:val="00BE5F20"/>
    <w:rsid w:val="00BE7796"/>
    <w:rsid w:val="00BF2919"/>
    <w:rsid w:val="00BF32BF"/>
    <w:rsid w:val="00BF7C2A"/>
    <w:rsid w:val="00C0420C"/>
    <w:rsid w:val="00C320CE"/>
    <w:rsid w:val="00C35C21"/>
    <w:rsid w:val="00C45C17"/>
    <w:rsid w:val="00C465F4"/>
    <w:rsid w:val="00C50DCF"/>
    <w:rsid w:val="00C5576A"/>
    <w:rsid w:val="00C5664D"/>
    <w:rsid w:val="00C65491"/>
    <w:rsid w:val="00C802CB"/>
    <w:rsid w:val="00C84ECC"/>
    <w:rsid w:val="00C86290"/>
    <w:rsid w:val="00C92598"/>
    <w:rsid w:val="00CA1BEB"/>
    <w:rsid w:val="00CB55E3"/>
    <w:rsid w:val="00CB6B4A"/>
    <w:rsid w:val="00CC215B"/>
    <w:rsid w:val="00CC24F5"/>
    <w:rsid w:val="00CC4804"/>
    <w:rsid w:val="00CD5740"/>
    <w:rsid w:val="00CD7E93"/>
    <w:rsid w:val="00CE6325"/>
    <w:rsid w:val="00CF39B1"/>
    <w:rsid w:val="00CF4A48"/>
    <w:rsid w:val="00CF6C59"/>
    <w:rsid w:val="00D061D7"/>
    <w:rsid w:val="00D22427"/>
    <w:rsid w:val="00D45991"/>
    <w:rsid w:val="00D6392D"/>
    <w:rsid w:val="00D67D4F"/>
    <w:rsid w:val="00D806FE"/>
    <w:rsid w:val="00D95EE4"/>
    <w:rsid w:val="00DA482A"/>
    <w:rsid w:val="00DA50C7"/>
    <w:rsid w:val="00DA65CF"/>
    <w:rsid w:val="00DC14DF"/>
    <w:rsid w:val="00DC1E3A"/>
    <w:rsid w:val="00DD2AAE"/>
    <w:rsid w:val="00DD2DD5"/>
    <w:rsid w:val="00DD3444"/>
    <w:rsid w:val="00DD6C94"/>
    <w:rsid w:val="00DE4610"/>
    <w:rsid w:val="00DE4F5D"/>
    <w:rsid w:val="00DE6D26"/>
    <w:rsid w:val="00DF149B"/>
    <w:rsid w:val="00DF5BE4"/>
    <w:rsid w:val="00E045AD"/>
    <w:rsid w:val="00E067D8"/>
    <w:rsid w:val="00E13119"/>
    <w:rsid w:val="00E26ACC"/>
    <w:rsid w:val="00E3388A"/>
    <w:rsid w:val="00E46020"/>
    <w:rsid w:val="00E52DA2"/>
    <w:rsid w:val="00E64E34"/>
    <w:rsid w:val="00E7189E"/>
    <w:rsid w:val="00E7355B"/>
    <w:rsid w:val="00E82996"/>
    <w:rsid w:val="00E82A50"/>
    <w:rsid w:val="00EA1753"/>
    <w:rsid w:val="00EA571F"/>
    <w:rsid w:val="00EB293D"/>
    <w:rsid w:val="00EB3C09"/>
    <w:rsid w:val="00EC0895"/>
    <w:rsid w:val="00ED24C0"/>
    <w:rsid w:val="00ED68FD"/>
    <w:rsid w:val="00EE073E"/>
    <w:rsid w:val="00F004CC"/>
    <w:rsid w:val="00F01FCB"/>
    <w:rsid w:val="00F03AAC"/>
    <w:rsid w:val="00F0634A"/>
    <w:rsid w:val="00F07300"/>
    <w:rsid w:val="00F148A9"/>
    <w:rsid w:val="00F14BBD"/>
    <w:rsid w:val="00F20425"/>
    <w:rsid w:val="00F2261C"/>
    <w:rsid w:val="00F248AD"/>
    <w:rsid w:val="00F426F7"/>
    <w:rsid w:val="00F45B5E"/>
    <w:rsid w:val="00F46670"/>
    <w:rsid w:val="00F51B6E"/>
    <w:rsid w:val="00F52E31"/>
    <w:rsid w:val="00F61D31"/>
    <w:rsid w:val="00F64501"/>
    <w:rsid w:val="00F65F81"/>
    <w:rsid w:val="00F70BA1"/>
    <w:rsid w:val="00F70EB3"/>
    <w:rsid w:val="00F726CD"/>
    <w:rsid w:val="00F72C20"/>
    <w:rsid w:val="00F8049A"/>
    <w:rsid w:val="00F94A3D"/>
    <w:rsid w:val="00FA3259"/>
    <w:rsid w:val="00FA6160"/>
    <w:rsid w:val="00FB1716"/>
    <w:rsid w:val="00FB6F1E"/>
    <w:rsid w:val="00FC073A"/>
    <w:rsid w:val="00FC0EB3"/>
    <w:rsid w:val="00FC26AE"/>
    <w:rsid w:val="00FD197E"/>
    <w:rsid w:val="00FD286F"/>
    <w:rsid w:val="00FD7223"/>
    <w:rsid w:val="00FE102F"/>
    <w:rsid w:val="00FE53BE"/>
    <w:rsid w:val="00FF070A"/>
    <w:rsid w:val="00FF260F"/>
    <w:rsid w:val="00F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7813E7"/>
  <w15:docId w15:val="{11F0CFCB-81F3-4574-984D-18775E79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2CB"/>
    <w:rPr>
      <w:sz w:val="24"/>
      <w:szCs w:val="24"/>
      <w:lang w:eastAsia="zh-CN"/>
    </w:rPr>
  </w:style>
  <w:style w:type="paragraph" w:styleId="Heading1">
    <w:name w:val="heading 1"/>
    <w:basedOn w:val="Normal"/>
    <w:next w:val="Normal"/>
    <w:qFormat/>
    <w:rsid w:val="00C465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465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1E3A"/>
    <w:rPr>
      <w:rFonts w:ascii="Tahoma" w:hAnsi="Tahoma" w:cs="Tahoma"/>
      <w:sz w:val="16"/>
      <w:szCs w:val="16"/>
    </w:rPr>
  </w:style>
  <w:style w:type="paragraph" w:styleId="Header">
    <w:name w:val="header"/>
    <w:basedOn w:val="Normal"/>
    <w:rsid w:val="00226B28"/>
    <w:pPr>
      <w:tabs>
        <w:tab w:val="center" w:pos="4320"/>
        <w:tab w:val="right" w:pos="8640"/>
      </w:tabs>
    </w:pPr>
  </w:style>
  <w:style w:type="paragraph" w:styleId="Footer">
    <w:name w:val="footer"/>
    <w:basedOn w:val="Normal"/>
    <w:link w:val="FooterChar"/>
    <w:uiPriority w:val="99"/>
    <w:rsid w:val="00226B28"/>
    <w:pPr>
      <w:tabs>
        <w:tab w:val="center" w:pos="4320"/>
        <w:tab w:val="right" w:pos="8640"/>
      </w:tabs>
    </w:pPr>
  </w:style>
  <w:style w:type="character" w:styleId="PageNumber">
    <w:name w:val="page number"/>
    <w:basedOn w:val="DefaultParagraphFont"/>
    <w:rsid w:val="00226B28"/>
  </w:style>
  <w:style w:type="table" w:styleId="TableGrid">
    <w:name w:val="Table Grid"/>
    <w:basedOn w:val="TableNormal"/>
    <w:rsid w:val="0048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5CEB"/>
    <w:pPr>
      <w:ind w:left="720"/>
    </w:pPr>
  </w:style>
  <w:style w:type="paragraph" w:styleId="Revision">
    <w:name w:val="Revision"/>
    <w:hidden/>
    <w:uiPriority w:val="99"/>
    <w:semiHidden/>
    <w:rsid w:val="00C5664D"/>
    <w:rPr>
      <w:sz w:val="24"/>
      <w:szCs w:val="24"/>
      <w:lang w:eastAsia="zh-CN"/>
    </w:rPr>
  </w:style>
  <w:style w:type="character" w:styleId="CommentReference">
    <w:name w:val="annotation reference"/>
    <w:basedOn w:val="DefaultParagraphFont"/>
    <w:semiHidden/>
    <w:unhideWhenUsed/>
    <w:rsid w:val="00C5664D"/>
    <w:rPr>
      <w:sz w:val="16"/>
      <w:szCs w:val="16"/>
    </w:rPr>
  </w:style>
  <w:style w:type="paragraph" w:styleId="CommentText">
    <w:name w:val="annotation text"/>
    <w:basedOn w:val="Normal"/>
    <w:link w:val="CommentTextChar"/>
    <w:semiHidden/>
    <w:unhideWhenUsed/>
    <w:rsid w:val="00C5664D"/>
    <w:rPr>
      <w:sz w:val="20"/>
      <w:szCs w:val="20"/>
    </w:rPr>
  </w:style>
  <w:style w:type="character" w:customStyle="1" w:styleId="CommentTextChar">
    <w:name w:val="Comment Text Char"/>
    <w:basedOn w:val="DefaultParagraphFont"/>
    <w:link w:val="CommentText"/>
    <w:semiHidden/>
    <w:rsid w:val="00C5664D"/>
    <w:rPr>
      <w:lang w:eastAsia="zh-CN"/>
    </w:rPr>
  </w:style>
  <w:style w:type="paragraph" w:styleId="CommentSubject">
    <w:name w:val="annotation subject"/>
    <w:basedOn w:val="CommentText"/>
    <w:next w:val="CommentText"/>
    <w:link w:val="CommentSubjectChar"/>
    <w:semiHidden/>
    <w:unhideWhenUsed/>
    <w:rsid w:val="00C5664D"/>
    <w:rPr>
      <w:b/>
      <w:bCs/>
    </w:rPr>
  </w:style>
  <w:style w:type="character" w:customStyle="1" w:styleId="CommentSubjectChar">
    <w:name w:val="Comment Subject Char"/>
    <w:basedOn w:val="CommentTextChar"/>
    <w:link w:val="CommentSubject"/>
    <w:semiHidden/>
    <w:rsid w:val="00C5664D"/>
    <w:rPr>
      <w:b/>
      <w:bCs/>
      <w:lang w:eastAsia="zh-CN"/>
    </w:rPr>
  </w:style>
  <w:style w:type="character" w:styleId="Hyperlink">
    <w:name w:val="Hyperlink"/>
    <w:uiPriority w:val="99"/>
    <w:unhideWhenUsed/>
    <w:rsid w:val="001A6561"/>
    <w:rPr>
      <w:color w:val="0000FF"/>
      <w:u w:val="single"/>
    </w:rPr>
  </w:style>
  <w:style w:type="paragraph" w:styleId="NoSpacing">
    <w:name w:val="No Spacing"/>
    <w:qFormat/>
    <w:rsid w:val="009F3966"/>
    <w:rPr>
      <w:rFonts w:eastAsia="Times New Roman"/>
      <w:sz w:val="24"/>
      <w:szCs w:val="24"/>
      <w:lang w:bidi="en-US"/>
    </w:rPr>
  </w:style>
  <w:style w:type="character" w:customStyle="1" w:styleId="FooterChar">
    <w:name w:val="Footer Char"/>
    <w:basedOn w:val="DefaultParagraphFont"/>
    <w:link w:val="Footer"/>
    <w:uiPriority w:val="99"/>
    <w:rsid w:val="00D2242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74573">
      <w:bodyDiv w:val="1"/>
      <w:marLeft w:val="0"/>
      <w:marRight w:val="0"/>
      <w:marTop w:val="0"/>
      <w:marBottom w:val="0"/>
      <w:divBdr>
        <w:top w:val="none" w:sz="0" w:space="0" w:color="auto"/>
        <w:left w:val="none" w:sz="0" w:space="0" w:color="auto"/>
        <w:bottom w:val="none" w:sz="0" w:space="0" w:color="auto"/>
        <w:right w:val="none" w:sz="0" w:space="0" w:color="auto"/>
      </w:divBdr>
    </w:div>
    <w:div w:id="243030136">
      <w:bodyDiv w:val="1"/>
      <w:marLeft w:val="0"/>
      <w:marRight w:val="0"/>
      <w:marTop w:val="0"/>
      <w:marBottom w:val="0"/>
      <w:divBdr>
        <w:top w:val="none" w:sz="0" w:space="0" w:color="auto"/>
        <w:left w:val="none" w:sz="0" w:space="0" w:color="auto"/>
        <w:bottom w:val="none" w:sz="0" w:space="0" w:color="auto"/>
        <w:right w:val="none" w:sz="0" w:space="0" w:color="auto"/>
      </w:divBdr>
    </w:div>
    <w:div w:id="956721190">
      <w:bodyDiv w:val="1"/>
      <w:marLeft w:val="0"/>
      <w:marRight w:val="0"/>
      <w:marTop w:val="0"/>
      <w:marBottom w:val="0"/>
      <w:divBdr>
        <w:top w:val="none" w:sz="0" w:space="0" w:color="auto"/>
        <w:left w:val="none" w:sz="0" w:space="0" w:color="auto"/>
        <w:bottom w:val="none" w:sz="0" w:space="0" w:color="auto"/>
        <w:right w:val="none" w:sz="0" w:space="0" w:color="auto"/>
      </w:divBdr>
    </w:div>
    <w:div w:id="1313870835">
      <w:bodyDiv w:val="1"/>
      <w:marLeft w:val="0"/>
      <w:marRight w:val="0"/>
      <w:marTop w:val="0"/>
      <w:marBottom w:val="0"/>
      <w:divBdr>
        <w:top w:val="none" w:sz="0" w:space="0" w:color="auto"/>
        <w:left w:val="none" w:sz="0" w:space="0" w:color="auto"/>
        <w:bottom w:val="none" w:sz="0" w:space="0" w:color="auto"/>
        <w:right w:val="none" w:sz="0" w:space="0" w:color="auto"/>
      </w:divBdr>
    </w:div>
    <w:div w:id="190834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0Fact%20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74A22-6B8D-4A4B-8A11-5398E078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2154</Words>
  <Characters>12194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Part D Subsidy App SUPPORTING STATEMENT INSTRUCTIONS FOR FORM __________</vt:lpstr>
    </vt:vector>
  </TitlesOfParts>
  <Company>Social Security Administration</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Subsidy App SUPPORTING STATEMENT INSTRUCTIONS FOR FORM __________</dc:title>
  <dc:creator>762320</dc:creator>
  <cp:lastModifiedBy>Mandley, Tasha</cp:lastModifiedBy>
  <cp:revision>2</cp:revision>
  <cp:lastPrinted>2017-06-19T18:47:00Z</cp:lastPrinted>
  <dcterms:created xsi:type="dcterms:W3CDTF">2021-05-03T11:36:00Z</dcterms:created>
  <dcterms:modified xsi:type="dcterms:W3CDTF">2021-05-03T11:36:00Z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-809427583</vt:i4>
  </property>
  <property fmtid="{D5CDD505-2E9C-101B-9397-08002B2CF9AE}" pid="3" name="_NewReviewCycle">
    <vt:lpwstr/>
  </property>
  <property fmtid="{D5CDD505-2E9C-101B-9397-08002B2CF9AE}" pid="4" name="_EmailSubject">
    <vt:lpwstr>[EXTERNAL]   0960-0702 Comments</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1909751312</vt:i4>
  </property>
  <property fmtid="{D5CDD505-2E9C-101B-9397-08002B2CF9AE}" pid="8" name="_ReviewingToolsShownOnce">
    <vt:lpwstr/>
  </property>
</Properties>
</file>