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0886" w:rsidP="00D80886" w14:paraId="29406A96" w14:textId="77777777">
      <w:pPr>
        <w:jc w:val="center"/>
        <w:rPr>
          <w:rFonts w:ascii="Times New Roman" w:hAnsi="Times New Roman"/>
          <w:b/>
          <w:bCs/>
        </w:rPr>
      </w:pPr>
      <w:r w:rsidRPr="00827923">
        <w:rPr>
          <w:rFonts w:ascii="Times New Roman" w:hAnsi="Times New Roman"/>
          <w:b/>
          <w:bCs/>
        </w:rPr>
        <w:t>S</w:t>
      </w:r>
      <w:r w:rsidR="00E81415">
        <w:rPr>
          <w:rFonts w:ascii="Times New Roman" w:hAnsi="Times New Roman"/>
          <w:b/>
          <w:bCs/>
        </w:rPr>
        <w:t>upporting Statement for Form</w:t>
      </w:r>
      <w:r w:rsidR="00F41F9E">
        <w:rPr>
          <w:rFonts w:ascii="Times New Roman" w:hAnsi="Times New Roman"/>
          <w:b/>
          <w:bCs/>
        </w:rPr>
        <w:t xml:space="preserve"> SSA-44</w:t>
      </w:r>
    </w:p>
    <w:p w:rsidR="00F207F5" w:rsidP="00307168" w14:paraId="2745D4C2" w14:textId="77777777">
      <w:pPr>
        <w:jc w:val="center"/>
        <w:rPr>
          <w:rFonts w:ascii="Times New Roman" w:hAnsi="Times New Roman"/>
          <w:b/>
          <w:bCs/>
        </w:rPr>
      </w:pPr>
      <w:r>
        <w:rPr>
          <w:rFonts w:ascii="Times New Roman" w:hAnsi="Times New Roman"/>
          <w:b/>
          <w:bCs/>
        </w:rPr>
        <w:t>M</w:t>
      </w:r>
      <w:r w:rsidR="00E81415">
        <w:rPr>
          <w:rFonts w:ascii="Times New Roman" w:hAnsi="Times New Roman"/>
          <w:b/>
          <w:bCs/>
        </w:rPr>
        <w:t xml:space="preserve">edicare </w:t>
      </w:r>
      <w:r>
        <w:rPr>
          <w:rFonts w:ascii="Times New Roman" w:hAnsi="Times New Roman"/>
          <w:b/>
          <w:bCs/>
        </w:rPr>
        <w:t>I</w:t>
      </w:r>
      <w:r w:rsidR="00E81415">
        <w:rPr>
          <w:rFonts w:ascii="Times New Roman" w:hAnsi="Times New Roman"/>
          <w:b/>
          <w:bCs/>
        </w:rPr>
        <w:t xml:space="preserve">ncome-Related </w:t>
      </w:r>
      <w:r w:rsidR="00DF26EA">
        <w:rPr>
          <w:rFonts w:ascii="Times New Roman" w:hAnsi="Times New Roman"/>
          <w:b/>
          <w:bCs/>
        </w:rPr>
        <w:t xml:space="preserve">Monthly </w:t>
      </w:r>
    </w:p>
    <w:p w:rsidR="00F41F9E" w:rsidRPr="00307168" w:rsidP="00F207F5" w14:paraId="3CFFEF44" w14:textId="77777777">
      <w:pPr>
        <w:jc w:val="center"/>
        <w:rPr>
          <w:rFonts w:ascii="Times New Roman" w:hAnsi="Times New Roman"/>
          <w:b/>
          <w:bCs/>
        </w:rPr>
      </w:pPr>
      <w:r>
        <w:rPr>
          <w:rFonts w:ascii="Times New Roman" w:hAnsi="Times New Roman"/>
          <w:b/>
          <w:bCs/>
        </w:rPr>
        <w:t>Adjustment Amount</w:t>
      </w:r>
      <w:r w:rsidR="00E81415">
        <w:rPr>
          <w:rFonts w:ascii="Times New Roman" w:hAnsi="Times New Roman"/>
          <w:b/>
          <w:bCs/>
        </w:rPr>
        <w:t xml:space="preserve"> –</w:t>
      </w:r>
      <w:r w:rsidR="00D90F58">
        <w:rPr>
          <w:rFonts w:ascii="Times New Roman" w:hAnsi="Times New Roman"/>
          <w:b/>
          <w:bCs/>
        </w:rPr>
        <w:t xml:space="preserve"> L</w:t>
      </w:r>
      <w:r w:rsidR="00E81415">
        <w:rPr>
          <w:rFonts w:ascii="Times New Roman" w:hAnsi="Times New Roman"/>
          <w:b/>
          <w:bCs/>
        </w:rPr>
        <w:t xml:space="preserve">ife-Changing Event </w:t>
      </w:r>
    </w:p>
    <w:p w:rsidR="00F41F9E" w:rsidP="00307168" w14:paraId="418AE6E9" w14:textId="77777777">
      <w:pPr>
        <w:jc w:val="center"/>
        <w:rPr>
          <w:rFonts w:ascii="Times New Roman" w:hAnsi="Times New Roman"/>
          <w:b/>
          <w:iCs/>
        </w:rPr>
      </w:pPr>
      <w:r w:rsidRPr="002342F4">
        <w:rPr>
          <w:rFonts w:ascii="Times New Roman" w:hAnsi="Times New Roman"/>
          <w:b/>
          <w:iCs/>
        </w:rPr>
        <w:t>20 CFR 418.</w:t>
      </w:r>
      <w:r w:rsidR="001B1185">
        <w:rPr>
          <w:rFonts w:ascii="Times New Roman" w:hAnsi="Times New Roman"/>
          <w:b/>
          <w:iCs/>
        </w:rPr>
        <w:t xml:space="preserve">1205, </w:t>
      </w:r>
      <w:r w:rsidR="003537D7">
        <w:rPr>
          <w:rFonts w:ascii="Times New Roman" w:hAnsi="Times New Roman"/>
          <w:b/>
          <w:iCs/>
        </w:rPr>
        <w:t>418</w:t>
      </w:r>
      <w:r w:rsidR="001B1185">
        <w:rPr>
          <w:rFonts w:ascii="Times New Roman" w:hAnsi="Times New Roman"/>
          <w:b/>
          <w:iCs/>
        </w:rPr>
        <w:t xml:space="preserve">.1255, </w:t>
      </w:r>
      <w:r w:rsidR="003537D7">
        <w:rPr>
          <w:rFonts w:ascii="Times New Roman" w:hAnsi="Times New Roman"/>
          <w:b/>
          <w:iCs/>
        </w:rPr>
        <w:t>418</w:t>
      </w:r>
      <w:r w:rsidR="001B1185">
        <w:rPr>
          <w:rFonts w:ascii="Times New Roman" w:hAnsi="Times New Roman"/>
          <w:b/>
          <w:iCs/>
        </w:rPr>
        <w:t>.1265</w:t>
      </w:r>
      <w:r w:rsidR="00A2687A">
        <w:rPr>
          <w:rFonts w:ascii="Times New Roman" w:hAnsi="Times New Roman"/>
          <w:b/>
          <w:iCs/>
        </w:rPr>
        <w:t xml:space="preserve">, </w:t>
      </w:r>
      <w:r w:rsidR="003537D7">
        <w:rPr>
          <w:rFonts w:ascii="Times New Roman" w:hAnsi="Times New Roman"/>
          <w:b/>
          <w:iCs/>
        </w:rPr>
        <w:t>418</w:t>
      </w:r>
      <w:r w:rsidR="00787C6F">
        <w:rPr>
          <w:rFonts w:ascii="Times New Roman" w:hAnsi="Times New Roman"/>
          <w:b/>
          <w:iCs/>
        </w:rPr>
        <w:t>.2205,</w:t>
      </w:r>
      <w:r w:rsidR="00D80886">
        <w:rPr>
          <w:rFonts w:ascii="Times New Roman" w:hAnsi="Times New Roman"/>
          <w:b/>
          <w:iCs/>
        </w:rPr>
        <w:t xml:space="preserve"> </w:t>
      </w:r>
      <w:r w:rsidR="003537D7">
        <w:rPr>
          <w:rFonts w:ascii="Times New Roman" w:hAnsi="Times New Roman"/>
          <w:b/>
          <w:iCs/>
        </w:rPr>
        <w:t>418</w:t>
      </w:r>
      <w:r w:rsidR="00787C6F">
        <w:rPr>
          <w:rFonts w:ascii="Times New Roman" w:hAnsi="Times New Roman"/>
          <w:b/>
          <w:iCs/>
        </w:rPr>
        <w:t xml:space="preserve">.2255, </w:t>
      </w:r>
      <w:r w:rsidR="003537D7">
        <w:rPr>
          <w:rFonts w:ascii="Times New Roman" w:hAnsi="Times New Roman"/>
          <w:b/>
          <w:iCs/>
        </w:rPr>
        <w:t>418</w:t>
      </w:r>
      <w:r w:rsidR="00787C6F">
        <w:rPr>
          <w:rFonts w:ascii="Times New Roman" w:hAnsi="Times New Roman"/>
          <w:b/>
          <w:iCs/>
        </w:rPr>
        <w:t>.2265</w:t>
      </w:r>
    </w:p>
    <w:p w:rsidR="007759C8" w:rsidRPr="00827923" w:rsidP="002342F4" w14:paraId="08C93F02" w14:textId="77777777">
      <w:pPr>
        <w:jc w:val="center"/>
        <w:rPr>
          <w:rFonts w:ascii="Times New Roman" w:hAnsi="Times New Roman"/>
          <w:b/>
          <w:bCs/>
        </w:rPr>
      </w:pPr>
      <w:r w:rsidRPr="00827923">
        <w:rPr>
          <w:rFonts w:ascii="Times New Roman" w:hAnsi="Times New Roman"/>
          <w:b/>
          <w:bCs/>
        </w:rPr>
        <w:t xml:space="preserve">OMB No. </w:t>
      </w:r>
      <w:r w:rsidR="00307168">
        <w:rPr>
          <w:rFonts w:ascii="Times New Roman" w:hAnsi="Times New Roman"/>
          <w:b/>
          <w:bCs/>
        </w:rPr>
        <w:t>0960-</w:t>
      </w:r>
      <w:r w:rsidR="00CE1AFB">
        <w:rPr>
          <w:rFonts w:ascii="Times New Roman" w:hAnsi="Times New Roman"/>
          <w:b/>
          <w:bCs/>
        </w:rPr>
        <w:t>0784</w:t>
      </w:r>
    </w:p>
    <w:p w:rsidR="00827923" w:rsidP="00AA2CC5" w14:paraId="2B82D258" w14:textId="77777777">
      <w:pPr>
        <w:ind w:right="-720"/>
        <w:rPr>
          <w:rFonts w:ascii="Times New Roman" w:hAnsi="Times New Roman"/>
        </w:rPr>
      </w:pPr>
    </w:p>
    <w:p w:rsidR="003537D7" w:rsidP="003537D7" w14:paraId="54CC50A9" w14:textId="77777777">
      <w:pPr>
        <w:pStyle w:val="ListParagraph"/>
        <w:numPr>
          <w:ilvl w:val="0"/>
          <w:numId w:val="22"/>
        </w:numPr>
        <w:ind w:right="-720"/>
        <w:rPr>
          <w:rFonts w:ascii="Times New Roman" w:hAnsi="Times New Roman"/>
          <w:b/>
          <w:bCs/>
          <w:u w:val="single"/>
        </w:rPr>
      </w:pPr>
      <w:r w:rsidRPr="003537D7">
        <w:rPr>
          <w:rFonts w:ascii="Times New Roman" w:hAnsi="Times New Roman"/>
          <w:b/>
          <w:bCs/>
          <w:u w:val="single"/>
        </w:rPr>
        <w:t>Justification</w:t>
      </w:r>
    </w:p>
    <w:p w:rsidR="003537D7" w:rsidP="003537D7" w14:paraId="3D3F434E" w14:textId="77777777">
      <w:pPr>
        <w:pStyle w:val="ListParagraph"/>
        <w:ind w:left="360" w:right="-720"/>
        <w:rPr>
          <w:rFonts w:ascii="Times New Roman" w:hAnsi="Times New Roman"/>
          <w:b/>
          <w:bCs/>
          <w:u w:val="single"/>
        </w:rPr>
      </w:pPr>
    </w:p>
    <w:p w:rsidR="003537D7" w:rsidRPr="003537D7" w:rsidP="003537D7" w14:paraId="3F05CDFE" w14:textId="77777777">
      <w:pPr>
        <w:pStyle w:val="ListParagraph"/>
        <w:numPr>
          <w:ilvl w:val="0"/>
          <w:numId w:val="23"/>
        </w:numPr>
        <w:ind w:right="-720"/>
        <w:rPr>
          <w:rFonts w:ascii="Times New Roman" w:hAnsi="Times New Roman"/>
          <w:b/>
          <w:bCs/>
        </w:rPr>
      </w:pPr>
      <w:r>
        <w:rPr>
          <w:rFonts w:ascii="Times New Roman" w:hAnsi="Times New Roman"/>
          <w:b/>
        </w:rPr>
        <w:t>Introduction/</w:t>
      </w:r>
      <w:r w:rsidRPr="00BC7F42">
        <w:rPr>
          <w:rFonts w:ascii="Times New Roman" w:hAnsi="Times New Roman"/>
          <w:b/>
        </w:rPr>
        <w:t>Authoring Laws and Regulations</w:t>
      </w:r>
    </w:p>
    <w:p w:rsidR="003537D7" w:rsidP="003537D7" w14:paraId="5CBC6E20" w14:textId="77777777">
      <w:pPr>
        <w:pStyle w:val="ListParagraph"/>
        <w:ind w:right="-720"/>
        <w:rPr>
          <w:rFonts w:ascii="Times New Roman" w:hAnsi="Times New Roman"/>
        </w:rPr>
      </w:pPr>
      <w:r>
        <w:rPr>
          <w:rFonts w:ascii="Times New Roman" w:hAnsi="Times New Roman"/>
        </w:rPr>
        <w:t xml:space="preserve">Sections </w:t>
      </w:r>
      <w:r w:rsidRPr="004E6C06">
        <w:rPr>
          <w:rFonts w:ascii="Times New Roman" w:hAnsi="Times New Roman"/>
          <w:i/>
        </w:rPr>
        <w:t>1860D-13(a</w:t>
      </w:r>
      <w:r>
        <w:rPr>
          <w:rFonts w:ascii="Times New Roman" w:hAnsi="Times New Roman"/>
          <w:i/>
        </w:rPr>
        <w:t xml:space="preserve">) </w:t>
      </w:r>
      <w:r>
        <w:rPr>
          <w:rFonts w:ascii="Times New Roman" w:hAnsi="Times New Roman"/>
        </w:rPr>
        <w:t xml:space="preserve">and </w:t>
      </w:r>
      <w:r w:rsidRPr="003562B7">
        <w:rPr>
          <w:rFonts w:ascii="Times New Roman" w:hAnsi="Times New Roman"/>
        </w:rPr>
        <w:t>Section</w:t>
      </w:r>
      <w:r>
        <w:rPr>
          <w:rFonts w:ascii="Times New Roman" w:hAnsi="Times New Roman"/>
          <w:i/>
          <w:iCs/>
        </w:rPr>
        <w:t xml:space="preserve"> 1839(</w:t>
      </w:r>
      <w:r>
        <w:rPr>
          <w:rFonts w:ascii="Times New Roman" w:hAnsi="Times New Roman"/>
          <w:i/>
          <w:iCs/>
        </w:rPr>
        <w:t>i</w:t>
      </w:r>
      <w:r>
        <w:rPr>
          <w:rFonts w:ascii="Times New Roman" w:hAnsi="Times New Roman"/>
          <w:i/>
          <w:iCs/>
        </w:rPr>
        <w:t>)</w:t>
      </w:r>
      <w:r>
        <w:rPr>
          <w:rFonts w:ascii="Times New Roman" w:hAnsi="Times New Roman"/>
        </w:rPr>
        <w:t xml:space="preserve"> of the </w:t>
      </w:r>
      <w:r>
        <w:rPr>
          <w:rFonts w:ascii="Times New Roman" w:hAnsi="Times New Roman"/>
          <w:i/>
          <w:iCs/>
        </w:rPr>
        <w:t xml:space="preserve">Social Security </w:t>
      </w:r>
      <w:r w:rsidRPr="003562B7">
        <w:rPr>
          <w:rFonts w:ascii="Times New Roman" w:hAnsi="Times New Roman"/>
          <w:i/>
          <w:iCs/>
        </w:rPr>
        <w:t>Ac</w:t>
      </w:r>
      <w:r>
        <w:rPr>
          <w:rFonts w:ascii="Times New Roman" w:hAnsi="Times New Roman"/>
          <w:i/>
          <w:iCs/>
        </w:rPr>
        <w:t xml:space="preserve">t, </w:t>
      </w:r>
      <w:r w:rsidRPr="00EF12EC">
        <w:rPr>
          <w:rFonts w:ascii="Times New Roman" w:hAnsi="Times New Roman"/>
          <w:iCs/>
        </w:rPr>
        <w:t>as</w:t>
      </w:r>
      <w:r>
        <w:rPr>
          <w:rFonts w:ascii="Times New Roman" w:hAnsi="Times New Roman"/>
          <w:i/>
          <w:iCs/>
        </w:rPr>
        <w:t xml:space="preserve"> </w:t>
      </w:r>
      <w:r w:rsidRPr="009E4DEA">
        <w:rPr>
          <w:rFonts w:ascii="Times New Roman" w:hAnsi="Times New Roman"/>
          <w:iCs/>
        </w:rPr>
        <w:t>c</w:t>
      </w:r>
      <w:r w:rsidRPr="005D185A">
        <w:rPr>
          <w:rFonts w:ascii="Times New Roman" w:hAnsi="Times New Roman"/>
          <w:iCs/>
        </w:rPr>
        <w:t xml:space="preserve">odified </w:t>
      </w:r>
      <w:r>
        <w:rPr>
          <w:rFonts w:ascii="Times New Roman" w:hAnsi="Times New Roman"/>
          <w:iCs/>
        </w:rPr>
        <w:t xml:space="preserve">in the </w:t>
      </w:r>
      <w:r>
        <w:rPr>
          <w:rFonts w:ascii="Times New Roman" w:hAnsi="Times New Roman"/>
          <w:i/>
          <w:iCs/>
        </w:rPr>
        <w:t xml:space="preserve">Code of Federal Regulations, </w:t>
      </w:r>
      <w:r w:rsidRPr="003537D7">
        <w:rPr>
          <w:rFonts w:ascii="Times New Roman" w:hAnsi="Times New Roman"/>
          <w:i/>
          <w:iCs/>
        </w:rPr>
        <w:t>20 CFR 418</w:t>
      </w:r>
      <w:r>
        <w:rPr>
          <w:rFonts w:ascii="Times New Roman" w:hAnsi="Times New Roman"/>
          <w:i/>
          <w:iCs/>
        </w:rPr>
        <w:t xml:space="preserve">, </w:t>
      </w:r>
      <w:r w:rsidRPr="005D185A">
        <w:rPr>
          <w:rFonts w:ascii="Times New Roman" w:hAnsi="Times New Roman"/>
          <w:iCs/>
        </w:rPr>
        <w:t xml:space="preserve">mandate </w:t>
      </w:r>
      <w:r>
        <w:rPr>
          <w:rFonts w:ascii="Times New Roman" w:hAnsi="Times New Roman"/>
        </w:rPr>
        <w:t>reductions in the Federal Medicare Part B and prescription drug coverage subsidies.  This results in higher premiums for those with Medicare Part B and prescription drug coverage with income above a specific threshold.  The amount of the premium subsidy reduction is an income-related monthly adjustment amount, or IRMAA.</w:t>
      </w:r>
    </w:p>
    <w:p w:rsidR="003537D7" w:rsidP="003537D7" w14:paraId="43D9AE32" w14:textId="77777777">
      <w:pPr>
        <w:pStyle w:val="ListParagraph"/>
        <w:ind w:right="-720"/>
        <w:rPr>
          <w:rFonts w:ascii="Times New Roman" w:hAnsi="Times New Roman"/>
        </w:rPr>
      </w:pPr>
    </w:p>
    <w:p w:rsidR="003537D7" w:rsidP="003537D7" w14:paraId="10FC9593" w14:textId="77777777">
      <w:pPr>
        <w:pStyle w:val="ListParagraph"/>
        <w:ind w:right="-720"/>
        <w:rPr>
          <w:rFonts w:ascii="Times New Roman" w:hAnsi="Times New Roman"/>
        </w:rPr>
      </w:pPr>
      <w:r>
        <w:rPr>
          <w:rFonts w:ascii="Times New Roman" w:hAnsi="Times New Roman"/>
        </w:rPr>
        <w:t>A Medicare beneficiary who experiences a significant life-changing event (LCE) and a subsequent reduction in income can report these circumstances to SSA and receive a reduction in or elimination of IRMAA.  SSA defines a relevant LCE as: 1) marriage, 2) divorce or annulment, 3) spousal death, 4) work stoppage, 5) work reduction, 6) loss of income due to property loss, 7) loss of pension income, and 8) receipt of a one-time employer’s (or former employer’s) settlement payment.</w:t>
      </w:r>
    </w:p>
    <w:p w:rsidR="003537D7" w:rsidP="003537D7" w14:paraId="4502E0F9" w14:textId="77777777">
      <w:pPr>
        <w:pStyle w:val="ListParagraph"/>
        <w:ind w:right="-720"/>
        <w:rPr>
          <w:rFonts w:ascii="Times New Roman" w:hAnsi="Times New Roman"/>
        </w:rPr>
      </w:pPr>
    </w:p>
    <w:p w:rsidR="003537D7" w:rsidP="003537D7" w14:paraId="1A7D8F9E" w14:textId="77777777">
      <w:pPr>
        <w:pStyle w:val="ListParagraph"/>
        <w:ind w:right="-720"/>
        <w:rPr>
          <w:rFonts w:ascii="Times New Roman" w:hAnsi="Times New Roman"/>
          <w:b/>
        </w:rPr>
      </w:pPr>
      <w:r>
        <w:rPr>
          <w:rFonts w:ascii="Times New Roman" w:hAnsi="Times New Roman"/>
        </w:rPr>
        <w:t xml:space="preserve">The Medicare Part B regulations requiring a life-changing event for use of a more recent taxable year are in Subpart B of </w:t>
      </w:r>
      <w:r w:rsidRPr="004C309A">
        <w:rPr>
          <w:rFonts w:ascii="Times New Roman" w:hAnsi="Times New Roman"/>
          <w:i/>
        </w:rPr>
        <w:t>20 CFR Part 418</w:t>
      </w:r>
      <w:r>
        <w:rPr>
          <w:rFonts w:ascii="Times New Roman" w:hAnsi="Times New Roman"/>
        </w:rPr>
        <w:t xml:space="preserve">.  The parallel regulations for Medicare prescription drug coverage are in Subpart C of </w:t>
      </w:r>
      <w:r w:rsidRPr="004C309A">
        <w:rPr>
          <w:rFonts w:ascii="Times New Roman" w:hAnsi="Times New Roman"/>
          <w:i/>
        </w:rPr>
        <w:t>20 CFR Part 418</w:t>
      </w:r>
      <w:r>
        <w:rPr>
          <w:rFonts w:ascii="Times New Roman" w:hAnsi="Times New Roman"/>
        </w:rPr>
        <w:t xml:space="preserve">.  Our regulations at </w:t>
      </w:r>
      <w:r w:rsidRPr="00DD47A8">
        <w:rPr>
          <w:rFonts w:ascii="Times New Roman" w:hAnsi="Times New Roman"/>
          <w:i/>
        </w:rPr>
        <w:t>20 CFR 418.1205</w:t>
      </w:r>
      <w:r>
        <w:rPr>
          <w:rFonts w:ascii="Times New Roman" w:hAnsi="Times New Roman"/>
        </w:rPr>
        <w:t xml:space="preserve"> and </w:t>
      </w:r>
      <w:r w:rsidRPr="00DD47A8">
        <w:rPr>
          <w:rFonts w:ascii="Times New Roman" w:hAnsi="Times New Roman"/>
          <w:i/>
        </w:rPr>
        <w:t>20 CFR 418.2205</w:t>
      </w:r>
      <w:r>
        <w:rPr>
          <w:rFonts w:ascii="Times New Roman" w:hAnsi="Times New Roman"/>
        </w:rPr>
        <w:t xml:space="preserve"> specify the LCEs.</w:t>
      </w:r>
    </w:p>
    <w:p w:rsidR="003537D7" w:rsidP="003537D7" w14:paraId="5DFB6E19" w14:textId="77777777">
      <w:pPr>
        <w:pStyle w:val="ListParagraph"/>
        <w:ind w:right="-720"/>
        <w:rPr>
          <w:rFonts w:ascii="Times New Roman" w:hAnsi="Times New Roman"/>
          <w:b/>
          <w:bCs/>
        </w:rPr>
      </w:pPr>
    </w:p>
    <w:p w:rsidR="003537D7" w:rsidRPr="00836022" w:rsidP="003537D7" w14:paraId="11BB9CC9" w14:textId="77777777">
      <w:pPr>
        <w:numPr>
          <w:ilvl w:val="0"/>
          <w:numId w:val="23"/>
        </w:numPr>
        <w:rPr>
          <w:rFonts w:ascii="Times New Roman" w:hAnsi="Times New Roman"/>
        </w:rPr>
      </w:pPr>
      <w:r>
        <w:rPr>
          <w:rFonts w:ascii="Times New Roman" w:hAnsi="Times New Roman"/>
          <w:b/>
        </w:rPr>
        <w:t>Description of Collection</w:t>
      </w:r>
    </w:p>
    <w:p w:rsidR="003537D7" w:rsidP="003537D7" w14:paraId="657A8D7B" w14:textId="77777777">
      <w:pPr>
        <w:pStyle w:val="ListParagraph"/>
        <w:ind w:right="-720"/>
        <w:rPr>
          <w:rFonts w:ascii="Times New Roman" w:hAnsi="Times New Roman"/>
        </w:rPr>
      </w:pPr>
      <w:r>
        <w:rPr>
          <w:rFonts w:ascii="Times New Roman" w:hAnsi="Times New Roman"/>
        </w:rPr>
        <w:t>The Centers for Medicare &amp; Medicaid Services in the Department of Health and Human Services is responsible for determining the amounts of Medicare Part B monthly premiums, the national base beneficiary premium for prescription drug coverage, and the monthly income-related adjustment amounts.  SSA is responsible for several aspects of the premium collection process.  As part of this process, SSA’s role includes:</w:t>
      </w:r>
    </w:p>
    <w:p w:rsidR="003537D7" w:rsidP="003537D7" w14:paraId="299285F2" w14:textId="77777777">
      <w:pPr>
        <w:pStyle w:val="ListParagraph"/>
        <w:ind w:right="-720"/>
        <w:rPr>
          <w:rFonts w:ascii="Times New Roman" w:hAnsi="Times New Roman"/>
        </w:rPr>
      </w:pPr>
    </w:p>
    <w:p w:rsidR="003537D7" w:rsidP="003537D7" w14:paraId="75295BB8" w14:textId="77777777">
      <w:pPr>
        <w:pStyle w:val="ListParagraph"/>
        <w:numPr>
          <w:ilvl w:val="0"/>
          <w:numId w:val="24"/>
        </w:numPr>
        <w:ind w:right="-720"/>
        <w:rPr>
          <w:rFonts w:ascii="Times New Roman" w:hAnsi="Times New Roman"/>
        </w:rPr>
      </w:pPr>
      <w:r>
        <w:rPr>
          <w:rFonts w:ascii="Times New Roman" w:hAnsi="Times New Roman"/>
        </w:rPr>
        <w:t>Determining which Medicare Part B and prescription drug coverage recipients are subject to IRMAA based on Federal tax return information from the Internal Revenue Service (IRS</w:t>
      </w:r>
      <w:r>
        <w:rPr>
          <w:rFonts w:ascii="Times New Roman" w:hAnsi="Times New Roman"/>
        </w:rPr>
        <w:t>);</w:t>
      </w:r>
    </w:p>
    <w:p w:rsidR="003537D7" w:rsidP="003537D7" w14:paraId="4EB094A2" w14:textId="77777777">
      <w:pPr>
        <w:pStyle w:val="ListParagraph"/>
        <w:ind w:left="1080" w:right="-720"/>
        <w:rPr>
          <w:rFonts w:ascii="Times New Roman" w:hAnsi="Times New Roman"/>
        </w:rPr>
      </w:pPr>
    </w:p>
    <w:p w:rsidR="003537D7" w:rsidP="003537D7" w14:paraId="6742EF2E" w14:textId="77777777">
      <w:pPr>
        <w:pStyle w:val="ListParagraph"/>
        <w:numPr>
          <w:ilvl w:val="0"/>
          <w:numId w:val="24"/>
        </w:numPr>
        <w:ind w:right="-720"/>
        <w:rPr>
          <w:rFonts w:ascii="Times New Roman" w:hAnsi="Times New Roman"/>
        </w:rPr>
      </w:pPr>
      <w:r>
        <w:rPr>
          <w:rFonts w:ascii="Times New Roman" w:hAnsi="Times New Roman"/>
        </w:rPr>
        <w:t xml:space="preserve">Determining when to apply an IRMAA </w:t>
      </w:r>
      <w:r>
        <w:rPr>
          <w:rFonts w:ascii="Times New Roman" w:hAnsi="Times New Roman"/>
        </w:rPr>
        <w:t>amount</w:t>
      </w:r>
      <w:r w:rsidRPr="00836022">
        <w:rPr>
          <w:rFonts w:ascii="Times New Roman" w:hAnsi="Times New Roman"/>
        </w:rPr>
        <w:t>;</w:t>
      </w:r>
    </w:p>
    <w:p w:rsidR="003537D7" w:rsidRPr="003537D7" w:rsidP="003537D7" w14:paraId="0DDE99DF" w14:textId="77777777">
      <w:pPr>
        <w:pStyle w:val="ListParagraph"/>
        <w:rPr>
          <w:rFonts w:ascii="Times New Roman" w:hAnsi="Times New Roman"/>
        </w:rPr>
      </w:pPr>
    </w:p>
    <w:p w:rsidR="003537D7" w:rsidP="003537D7" w14:paraId="2FC1B18A" w14:textId="77777777">
      <w:pPr>
        <w:pStyle w:val="ListParagraph"/>
        <w:numPr>
          <w:ilvl w:val="0"/>
          <w:numId w:val="24"/>
        </w:numPr>
        <w:ind w:right="-720"/>
        <w:rPr>
          <w:rFonts w:ascii="Times New Roman" w:hAnsi="Times New Roman"/>
        </w:rPr>
      </w:pPr>
      <w:r>
        <w:rPr>
          <w:rFonts w:ascii="Times New Roman" w:hAnsi="Times New Roman"/>
        </w:rPr>
        <w:t>Accepting</w:t>
      </w:r>
      <w:r w:rsidRPr="00836022">
        <w:rPr>
          <w:rFonts w:ascii="Times New Roman" w:hAnsi="Times New Roman"/>
        </w:rPr>
        <w:t xml:space="preserve"> </w:t>
      </w:r>
      <w:r>
        <w:rPr>
          <w:rFonts w:ascii="Times New Roman" w:hAnsi="Times New Roman"/>
        </w:rPr>
        <w:t>information from recipients that</w:t>
      </w:r>
      <w:r w:rsidRPr="00836022">
        <w:rPr>
          <w:rFonts w:ascii="Times New Roman" w:hAnsi="Times New Roman"/>
        </w:rPr>
        <w:t xml:space="preserve"> updates or clarifies the tax data provided by </w:t>
      </w:r>
      <w:r w:rsidRPr="00836022">
        <w:rPr>
          <w:rFonts w:ascii="Times New Roman" w:hAnsi="Times New Roman"/>
        </w:rPr>
        <w:t>IRS;</w:t>
      </w:r>
      <w:r>
        <w:rPr>
          <w:rFonts w:ascii="Times New Roman" w:hAnsi="Times New Roman"/>
        </w:rPr>
        <w:t xml:space="preserve"> a</w:t>
      </w:r>
      <w:r w:rsidRPr="00836022">
        <w:rPr>
          <w:rFonts w:ascii="Times New Roman" w:hAnsi="Times New Roman"/>
        </w:rPr>
        <w:t>nd</w:t>
      </w:r>
      <w:r>
        <w:rPr>
          <w:rFonts w:ascii="Times New Roman" w:hAnsi="Times New Roman"/>
        </w:rPr>
        <w:t>.</w:t>
      </w:r>
    </w:p>
    <w:p w:rsidR="003537D7" w:rsidRPr="003537D7" w:rsidP="003537D7" w14:paraId="34C4D772" w14:textId="77777777">
      <w:pPr>
        <w:pStyle w:val="ListParagraph"/>
        <w:rPr>
          <w:rFonts w:ascii="Times New Roman" w:hAnsi="Times New Roman"/>
        </w:rPr>
      </w:pPr>
    </w:p>
    <w:p w:rsidR="003537D7" w:rsidP="003537D7" w14:paraId="7E8A01DC" w14:textId="77777777">
      <w:pPr>
        <w:pStyle w:val="ListParagraph"/>
        <w:numPr>
          <w:ilvl w:val="0"/>
          <w:numId w:val="24"/>
        </w:numPr>
        <w:ind w:right="-720"/>
        <w:rPr>
          <w:rFonts w:ascii="Times New Roman" w:hAnsi="Times New Roman"/>
        </w:rPr>
      </w:pPr>
      <w:r>
        <w:rPr>
          <w:rFonts w:ascii="Times New Roman" w:hAnsi="Times New Roman"/>
        </w:rPr>
        <w:t xml:space="preserve">Making </w:t>
      </w:r>
      <w:r w:rsidRPr="00836022">
        <w:rPr>
          <w:rFonts w:ascii="Times New Roman" w:hAnsi="Times New Roman"/>
        </w:rPr>
        <w:t xml:space="preserve">new initial </w:t>
      </w:r>
      <w:r>
        <w:rPr>
          <w:rFonts w:ascii="Times New Roman" w:hAnsi="Times New Roman"/>
        </w:rPr>
        <w:t xml:space="preserve">IRMAA </w:t>
      </w:r>
      <w:r w:rsidRPr="00836022">
        <w:rPr>
          <w:rFonts w:ascii="Times New Roman" w:hAnsi="Times New Roman"/>
        </w:rPr>
        <w:t xml:space="preserve">determinations based on </w:t>
      </w:r>
      <w:r>
        <w:rPr>
          <w:rFonts w:ascii="Times New Roman" w:hAnsi="Times New Roman"/>
        </w:rPr>
        <w:t>a significant LCE when there is a reduction in income</w:t>
      </w:r>
      <w:r w:rsidRPr="00836022">
        <w:rPr>
          <w:rFonts w:ascii="Times New Roman" w:hAnsi="Times New Roman"/>
        </w:rPr>
        <w:t>.</w:t>
      </w:r>
    </w:p>
    <w:p w:rsidR="003537D7" w:rsidRPr="003537D7" w:rsidP="003537D7" w14:paraId="0F763FC6" w14:textId="77777777">
      <w:pPr>
        <w:ind w:right="-720"/>
        <w:rPr>
          <w:rFonts w:ascii="Times New Roman" w:hAnsi="Times New Roman"/>
        </w:rPr>
      </w:pPr>
    </w:p>
    <w:p w:rsidR="006A70D5" w:rsidP="003537D7" w14:paraId="4679434E" w14:textId="7E360C29">
      <w:pPr>
        <w:pStyle w:val="ListParagraph"/>
        <w:ind w:right="-720"/>
        <w:rPr>
          <w:rFonts w:ascii="Times New Roman" w:hAnsi="Times New Roman"/>
        </w:rPr>
      </w:pPr>
      <w:r>
        <w:rPr>
          <w:rFonts w:ascii="Times New Roman" w:hAnsi="Times New Roman"/>
        </w:rPr>
        <w:t>SSA determines IRMAA based on past IRS tax data</w:t>
      </w:r>
      <w:r w:rsidR="000C32C1">
        <w:rPr>
          <w:rFonts w:ascii="Times New Roman" w:hAnsi="Times New Roman"/>
        </w:rPr>
        <w:t xml:space="preserve">. On an annual basis, the IRS provides SSA the </w:t>
      </w:r>
      <w:r w:rsidR="000C32C1">
        <w:rPr>
          <w:rFonts w:ascii="Times New Roman" w:hAnsi="Times New Roman"/>
        </w:rPr>
        <w:t>modififed</w:t>
      </w:r>
      <w:r w:rsidR="000C32C1">
        <w:rPr>
          <w:rFonts w:ascii="Times New Roman" w:hAnsi="Times New Roman"/>
        </w:rPr>
        <w:t xml:space="preserve"> adjusted gross income (MAGI) for all Medicare beneficiaries based off </w:t>
      </w:r>
      <w:r w:rsidR="00B64AC0">
        <w:rPr>
          <w:rFonts w:ascii="Times New Roman" w:hAnsi="Times New Roman"/>
        </w:rPr>
        <w:t xml:space="preserve">their most recent </w:t>
      </w:r>
      <w:r w:rsidR="000C32C1">
        <w:rPr>
          <w:rFonts w:ascii="Times New Roman" w:hAnsi="Times New Roman"/>
        </w:rPr>
        <w:t xml:space="preserve">tax return filings. For individuals or </w:t>
      </w:r>
      <w:r w:rsidR="00B64AC0">
        <w:rPr>
          <w:rFonts w:ascii="Times New Roman" w:hAnsi="Times New Roman"/>
        </w:rPr>
        <w:t>joint</w:t>
      </w:r>
      <w:r w:rsidR="000C32C1">
        <w:rPr>
          <w:rFonts w:ascii="Times New Roman" w:hAnsi="Times New Roman"/>
        </w:rPr>
        <w:t xml:space="preserve">-filing couples whose income is above the high-income threshold, </w:t>
      </w:r>
      <w:r w:rsidR="00B64AC0">
        <w:rPr>
          <w:rFonts w:ascii="Times New Roman" w:hAnsi="Times New Roman"/>
        </w:rPr>
        <w:t xml:space="preserve">in most circumstances </w:t>
      </w:r>
      <w:r w:rsidR="000C32C1">
        <w:rPr>
          <w:rFonts w:ascii="Times New Roman" w:hAnsi="Times New Roman"/>
        </w:rPr>
        <w:t xml:space="preserve">SSA will </w:t>
      </w:r>
      <w:r w:rsidR="00B64AC0">
        <w:rPr>
          <w:rFonts w:ascii="Times New Roman" w:hAnsi="Times New Roman"/>
        </w:rPr>
        <w:t xml:space="preserve">immediately apply </w:t>
      </w:r>
      <w:r w:rsidR="000C32C1">
        <w:rPr>
          <w:rFonts w:ascii="Times New Roman" w:hAnsi="Times New Roman"/>
        </w:rPr>
        <w:t xml:space="preserve">the IRMAA </w:t>
      </w:r>
      <w:r w:rsidR="00B64AC0">
        <w:rPr>
          <w:rFonts w:ascii="Times New Roman" w:hAnsi="Times New Roman"/>
        </w:rPr>
        <w:t xml:space="preserve">premium subsidy reduction via deduction from the beneficiary’s monthly Social Security benefits. </w:t>
      </w:r>
      <w:r>
        <w:rPr>
          <w:rFonts w:ascii="Times New Roman" w:hAnsi="Times New Roman"/>
        </w:rPr>
        <w:t xml:space="preserve">It will also send a notice to the beneficiary explaining the amount of the </w:t>
      </w:r>
      <w:r w:rsidR="00D62BF2">
        <w:rPr>
          <w:rFonts w:ascii="Times New Roman" w:hAnsi="Times New Roman"/>
        </w:rPr>
        <w:t>premium</w:t>
      </w:r>
      <w:r>
        <w:rPr>
          <w:rFonts w:ascii="Times New Roman" w:hAnsi="Times New Roman"/>
        </w:rPr>
        <w:t xml:space="preserve"> subsidy reduction, the reason(s) for the reduction, and instructions on how to request a review of the reduction.</w:t>
      </w:r>
      <w:r w:rsidR="0086434F">
        <w:rPr>
          <w:rFonts w:ascii="Times New Roman" w:hAnsi="Times New Roman"/>
        </w:rPr>
        <w:t xml:space="preserve"> As discussed below, the instructions provide options for submitting the information collection either through scheduling a field office in-person interview or through mailing in the </w:t>
      </w:r>
      <w:r w:rsidR="00440B4F">
        <w:rPr>
          <w:rFonts w:ascii="Times New Roman" w:hAnsi="Times New Roman"/>
        </w:rPr>
        <w:t>form (with documentation) to</w:t>
      </w:r>
      <w:r w:rsidR="00151835">
        <w:rPr>
          <w:rFonts w:ascii="Times New Roman" w:hAnsi="Times New Roman"/>
        </w:rPr>
        <w:t xml:space="preserve"> local Social Security Field office.</w:t>
      </w:r>
    </w:p>
    <w:p w:rsidR="006A70D5" w:rsidP="003537D7" w14:paraId="3517DFE7" w14:textId="77777777">
      <w:pPr>
        <w:pStyle w:val="ListParagraph"/>
        <w:ind w:right="-720"/>
        <w:rPr>
          <w:rFonts w:ascii="Times New Roman" w:hAnsi="Times New Roman"/>
        </w:rPr>
      </w:pPr>
    </w:p>
    <w:p w:rsidR="003537D7" w:rsidP="003537D7" w14:paraId="6FF56F37" w14:textId="3E0FD960">
      <w:pPr>
        <w:pStyle w:val="ListParagraph"/>
        <w:ind w:right="-720"/>
        <w:rPr>
          <w:rFonts w:ascii="Times New Roman" w:hAnsi="Times New Roman"/>
        </w:rPr>
      </w:pPr>
      <w:r>
        <w:rPr>
          <w:rFonts w:ascii="Times New Roman" w:hAnsi="Times New Roman"/>
        </w:rPr>
        <w:t xml:space="preserve">Because the IRMAA is based on up-to two-year old tax information (for example, </w:t>
      </w:r>
      <w:r w:rsidR="00440B4F">
        <w:rPr>
          <w:rFonts w:ascii="Times New Roman" w:hAnsi="Times New Roman"/>
        </w:rPr>
        <w:t>2016 tax filing information may be used for applying an IRMAA in 2018</w:t>
      </w:r>
      <w:r>
        <w:rPr>
          <w:rFonts w:ascii="Times New Roman" w:hAnsi="Times New Roman"/>
        </w:rPr>
        <w:t xml:space="preserve">), it </w:t>
      </w:r>
      <w:r>
        <w:rPr>
          <w:rFonts w:ascii="Times New Roman" w:hAnsi="Times New Roman"/>
        </w:rPr>
        <w:t>is possible recipients’ financial situations may have changed due to a significant LCE and SSA’s IRMAA determination would no longer be accurate.  SSA uses Form SSA-44, the Medicare Income-Related Monthly Adjustment Amount – Life-Changing Event, to collect information from Medicare recipients about an LCE that could affect their IRMAA.</w:t>
      </w:r>
    </w:p>
    <w:p w:rsidR="003537D7" w:rsidP="003537D7" w14:paraId="35B88A11" w14:textId="77777777">
      <w:pPr>
        <w:pStyle w:val="ListParagraph"/>
        <w:ind w:right="-720"/>
        <w:rPr>
          <w:rFonts w:ascii="Times New Roman" w:hAnsi="Times New Roman"/>
        </w:rPr>
      </w:pPr>
    </w:p>
    <w:p w:rsidR="003537D7" w:rsidRPr="003537D7" w:rsidP="003537D7" w14:paraId="03957609" w14:textId="77777777">
      <w:pPr>
        <w:pStyle w:val="ListParagraph"/>
        <w:ind w:right="-720"/>
        <w:rPr>
          <w:rFonts w:ascii="Times New Roman" w:hAnsi="Times New Roman"/>
          <w:b/>
          <w:bCs/>
        </w:rPr>
      </w:pPr>
      <w:r>
        <w:rPr>
          <w:rFonts w:ascii="Times New Roman" w:hAnsi="Times New Roman"/>
        </w:rPr>
        <w:t>SSA uses the information collected on Form SSA-44 to determine if the initial IRS tax data used for the beneficiary needs to change.  If the agency determines the LCE warrants the use of a more recent taxable year to determine IRMAA, we will use the information to make a new initial determination.  The respondents are Medicare Part B and prescription drug coverage enrollees with modified adjusted gross income over a high-income threshold who experience one of the eight significant LCEs cited above.</w:t>
      </w:r>
    </w:p>
    <w:p w:rsidR="003537D7" w:rsidP="003537D7" w14:paraId="17DDF22A" w14:textId="77777777">
      <w:pPr>
        <w:pStyle w:val="ListParagraph"/>
        <w:ind w:right="-720"/>
        <w:rPr>
          <w:rFonts w:ascii="Times New Roman" w:hAnsi="Times New Roman"/>
          <w:b/>
          <w:bCs/>
        </w:rPr>
      </w:pPr>
    </w:p>
    <w:p w:rsidR="003537D7" w:rsidRPr="003537D7" w:rsidP="003537D7" w14:paraId="38A00642" w14:textId="77777777">
      <w:pPr>
        <w:pStyle w:val="ListParagraph"/>
        <w:numPr>
          <w:ilvl w:val="0"/>
          <w:numId w:val="23"/>
        </w:numPr>
        <w:ind w:right="-720"/>
        <w:rPr>
          <w:rFonts w:ascii="Times New Roman" w:hAnsi="Times New Roman"/>
          <w:b/>
          <w:bCs/>
        </w:rPr>
      </w:pPr>
      <w:r>
        <w:rPr>
          <w:rFonts w:ascii="Times New Roman" w:hAnsi="Times New Roman"/>
          <w:b/>
        </w:rPr>
        <w:t>U</w:t>
      </w:r>
      <w:r w:rsidRPr="00BC7F42">
        <w:rPr>
          <w:rFonts w:ascii="Times New Roman" w:hAnsi="Times New Roman"/>
          <w:b/>
        </w:rPr>
        <w:t>se of Information Technology to Collect the Information</w:t>
      </w:r>
    </w:p>
    <w:p w:rsidR="004D15BE" w:rsidP="004D15BE" w14:paraId="653DFD58" w14:textId="544012E5">
      <w:pPr>
        <w:pStyle w:val="ListParagraph"/>
        <w:ind w:right="-720"/>
        <w:rPr>
          <w:rFonts w:ascii="Times New Roman" w:hAnsi="Times New Roman"/>
          <w:b/>
        </w:rPr>
      </w:pPr>
      <w:r w:rsidRPr="00574BA4">
        <w:rPr>
          <w:rFonts w:ascii="Times New Roman" w:hAnsi="Times New Roman"/>
        </w:rPr>
        <w:t xml:space="preserve">SSA created an </w:t>
      </w:r>
      <w:r>
        <w:rPr>
          <w:rFonts w:ascii="Times New Roman" w:hAnsi="Times New Roman"/>
        </w:rPr>
        <w:t>Intranet</w:t>
      </w:r>
      <w:r w:rsidRPr="00574BA4">
        <w:rPr>
          <w:rFonts w:ascii="Times New Roman" w:hAnsi="Times New Roman"/>
        </w:rPr>
        <w:t xml:space="preserve"> version of </w:t>
      </w:r>
      <w:r>
        <w:rPr>
          <w:rFonts w:ascii="Times New Roman" w:hAnsi="Times New Roman"/>
        </w:rPr>
        <w:t>F</w:t>
      </w:r>
      <w:r w:rsidRPr="00574BA4">
        <w:rPr>
          <w:rFonts w:ascii="Times New Roman" w:hAnsi="Times New Roman"/>
        </w:rPr>
        <w:t xml:space="preserve">orm </w:t>
      </w:r>
      <w:r>
        <w:rPr>
          <w:rFonts w:ascii="Times New Roman" w:hAnsi="Times New Roman"/>
        </w:rPr>
        <w:t>SSA-44 through M</w:t>
      </w:r>
      <w:r w:rsidR="000E4C8B">
        <w:rPr>
          <w:rFonts w:ascii="Times New Roman" w:hAnsi="Times New Roman"/>
        </w:rPr>
        <w:t>odernized Claim System (M</w:t>
      </w:r>
      <w:r>
        <w:rPr>
          <w:rFonts w:ascii="Times New Roman" w:hAnsi="Times New Roman"/>
        </w:rPr>
        <w:t>CS</w:t>
      </w:r>
      <w:r w:rsidR="000E4C8B">
        <w:rPr>
          <w:rFonts w:ascii="Times New Roman" w:hAnsi="Times New Roman"/>
        </w:rPr>
        <w:t>)</w:t>
      </w:r>
      <w:r w:rsidR="000C32C1">
        <w:rPr>
          <w:rFonts w:ascii="Times New Roman" w:hAnsi="Times New Roman"/>
        </w:rPr>
        <w:t>, which allows SSA personnel to enter responses into the MCS during an in-person interview with the beneficiary</w:t>
      </w:r>
      <w:r>
        <w:rPr>
          <w:rFonts w:ascii="Times New Roman" w:hAnsi="Times New Roman"/>
        </w:rPr>
        <w:t xml:space="preserve">.  </w:t>
      </w:r>
      <w:r w:rsidRPr="00574BA4">
        <w:rPr>
          <w:rFonts w:ascii="Times New Roman" w:hAnsi="Times New Roman"/>
        </w:rPr>
        <w:t>Based on our data, we estimate approximately</w:t>
      </w:r>
      <w:r>
        <w:rPr>
          <w:rFonts w:ascii="Times New Roman" w:hAnsi="Times New Roman"/>
        </w:rPr>
        <w:t xml:space="preserve"> 70</w:t>
      </w:r>
      <w:r w:rsidRPr="00574BA4">
        <w:rPr>
          <w:rFonts w:ascii="Times New Roman" w:hAnsi="Times New Roman"/>
        </w:rPr>
        <w:t>% of respondents under this OMB number use the electronic version</w:t>
      </w:r>
      <w:r w:rsidR="000E4C8B">
        <w:rPr>
          <w:rFonts w:ascii="Times New Roman" w:hAnsi="Times New Roman"/>
        </w:rPr>
        <w:t xml:space="preserve"> through a personal interview with field office representatives</w:t>
      </w:r>
      <w:r>
        <w:rPr>
          <w:rFonts w:ascii="Times New Roman" w:hAnsi="Times New Roman"/>
        </w:rPr>
        <w:t xml:space="preserve">.  </w:t>
      </w:r>
      <w:r w:rsidR="000C32C1">
        <w:rPr>
          <w:rFonts w:ascii="Times New Roman" w:hAnsi="Times New Roman"/>
          <w:color w:val="000000"/>
        </w:rPr>
        <w:t xml:space="preserve">This information collection does not allow for electronic submission as described by </w:t>
      </w:r>
      <w:r>
        <w:rPr>
          <w:rFonts w:ascii="Times New Roman" w:hAnsi="Times New Roman"/>
          <w:color w:val="000000"/>
        </w:rPr>
        <w:t>GPEA.</w:t>
      </w:r>
      <w:r>
        <w:rPr>
          <w:rFonts w:ascii="Times New Roman" w:hAnsi="Times New Roman"/>
          <w:color w:val="000000"/>
        </w:rPr>
        <w:t xml:space="preserve"> SSA intends to implement a submittable PDF version of the SSA-44 later this year.  </w:t>
      </w:r>
    </w:p>
    <w:p w:rsidR="003537D7" w:rsidP="003537D7" w14:paraId="6E1CD303" w14:textId="162CFF19">
      <w:pPr>
        <w:pStyle w:val="ListParagraph"/>
        <w:ind w:right="-720"/>
        <w:rPr>
          <w:rFonts w:ascii="Times New Roman" w:hAnsi="Times New Roman"/>
          <w:b/>
        </w:rPr>
      </w:pPr>
    </w:p>
    <w:p w:rsidR="003537D7" w:rsidP="003537D7" w14:paraId="62D80D67" w14:textId="77777777">
      <w:pPr>
        <w:pStyle w:val="ListParagraph"/>
        <w:ind w:right="-720"/>
        <w:rPr>
          <w:rFonts w:ascii="Times New Roman" w:hAnsi="Times New Roman"/>
          <w:b/>
          <w:bCs/>
        </w:rPr>
      </w:pPr>
    </w:p>
    <w:p w:rsidR="003537D7" w:rsidRPr="000E4C8B" w:rsidP="003537D7" w14:paraId="1587173D" w14:textId="77777777">
      <w:pPr>
        <w:pStyle w:val="ListParagraph"/>
        <w:numPr>
          <w:ilvl w:val="0"/>
          <w:numId w:val="23"/>
        </w:numPr>
        <w:ind w:right="-720"/>
        <w:rPr>
          <w:rFonts w:ascii="Times New Roman" w:hAnsi="Times New Roman"/>
          <w:b/>
          <w:bCs/>
        </w:rPr>
      </w:pPr>
      <w:r w:rsidRPr="00BC7F42">
        <w:rPr>
          <w:rFonts w:ascii="Times New Roman" w:hAnsi="Times New Roman"/>
          <w:b/>
        </w:rPr>
        <w:t xml:space="preserve">Why </w:t>
      </w:r>
      <w:r>
        <w:rPr>
          <w:rFonts w:ascii="Times New Roman" w:hAnsi="Times New Roman"/>
          <w:b/>
        </w:rPr>
        <w:t>We Cannot Use Duplicate Information</w:t>
      </w:r>
    </w:p>
    <w:p w:rsidR="000E4C8B" w:rsidP="000E4C8B" w14:paraId="7A934B6F" w14:textId="77777777">
      <w:pPr>
        <w:pStyle w:val="ListParagraph"/>
        <w:ind w:right="-720"/>
        <w:rPr>
          <w:rFonts w:ascii="Times New Roman" w:hAnsi="Times New Roman"/>
          <w:b/>
        </w:rPr>
      </w:pPr>
      <w:r>
        <w:rPr>
          <w:rFonts w:ascii="Times New Roman" w:hAnsi="Times New Roman"/>
        </w:rPr>
        <w:t xml:space="preserve">The nature </w:t>
      </w:r>
      <w:r w:rsidRPr="00FC32DA">
        <w:rPr>
          <w:rFonts w:ascii="Times New Roman" w:hAnsi="Times New Roman"/>
        </w:rPr>
        <w:t>of the information we are collecting and the manner in which we are collecting it preclude duplication.  SSA does not use another collection instrument to obtain similar data</w:t>
      </w:r>
      <w:r>
        <w:rPr>
          <w:rFonts w:ascii="Times New Roman" w:hAnsi="Times New Roman"/>
        </w:rPr>
        <w:t>.</w:t>
      </w:r>
    </w:p>
    <w:p w:rsidR="000E4C8B" w:rsidP="000E4C8B" w14:paraId="7FC1DE14" w14:textId="77777777">
      <w:pPr>
        <w:pStyle w:val="ListParagraph"/>
        <w:ind w:right="-720"/>
        <w:rPr>
          <w:rFonts w:ascii="Times New Roman" w:hAnsi="Times New Roman"/>
          <w:b/>
          <w:bCs/>
        </w:rPr>
      </w:pPr>
    </w:p>
    <w:p w:rsidR="003537D7" w:rsidRPr="000E4C8B" w:rsidP="003537D7" w14:paraId="4B718FBD" w14:textId="77777777">
      <w:pPr>
        <w:pStyle w:val="ListParagraph"/>
        <w:numPr>
          <w:ilvl w:val="0"/>
          <w:numId w:val="23"/>
        </w:numPr>
        <w:ind w:right="-720"/>
        <w:rPr>
          <w:rFonts w:ascii="Times New Roman" w:hAnsi="Times New Roman"/>
          <w:b/>
          <w:bCs/>
        </w:rPr>
      </w:pPr>
      <w:r>
        <w:rPr>
          <w:rFonts w:ascii="Times New Roman" w:hAnsi="Times New Roman"/>
          <w:b/>
        </w:rPr>
        <w:t>Minimizing Burden on Small Respondents</w:t>
      </w:r>
    </w:p>
    <w:p w:rsidR="000E4C8B" w:rsidP="000E4C8B" w14:paraId="5EA423D8" w14:textId="77777777">
      <w:pPr>
        <w:pStyle w:val="ListParagraph"/>
        <w:ind w:right="-720"/>
        <w:rPr>
          <w:rFonts w:ascii="Times New Roman" w:hAnsi="Times New Roman"/>
          <w:b/>
        </w:rPr>
      </w:pPr>
      <w:r w:rsidRPr="005F1647">
        <w:rPr>
          <w:rFonts w:ascii="Times New Roman" w:hAnsi="Times New Roman"/>
        </w:rPr>
        <w:t>This collection does not affect small businesses or other small entities</w:t>
      </w:r>
      <w:r>
        <w:rPr>
          <w:rFonts w:ascii="Times New Roman" w:hAnsi="Times New Roman"/>
        </w:rPr>
        <w:t>.</w:t>
      </w:r>
    </w:p>
    <w:p w:rsidR="000E4C8B" w:rsidP="000E4C8B" w14:paraId="59FFFBAB" w14:textId="77777777">
      <w:pPr>
        <w:pStyle w:val="ListParagraph"/>
        <w:ind w:right="-720"/>
        <w:rPr>
          <w:rFonts w:ascii="Times New Roman" w:hAnsi="Times New Roman"/>
          <w:b/>
          <w:bCs/>
        </w:rPr>
      </w:pPr>
    </w:p>
    <w:p w:rsidR="003537D7" w:rsidRPr="000E4C8B" w:rsidP="003537D7" w14:paraId="4C66C608" w14:textId="77777777">
      <w:pPr>
        <w:pStyle w:val="ListParagraph"/>
        <w:numPr>
          <w:ilvl w:val="0"/>
          <w:numId w:val="23"/>
        </w:numPr>
        <w:ind w:right="-720"/>
        <w:rPr>
          <w:rFonts w:ascii="Times New Roman" w:hAnsi="Times New Roman"/>
          <w:b/>
          <w:bCs/>
        </w:rPr>
      </w:pPr>
      <w:r w:rsidRPr="00BC7F42">
        <w:rPr>
          <w:rFonts w:ascii="Times New Roman" w:hAnsi="Times New Roman"/>
          <w:b/>
        </w:rPr>
        <w:t>Consequence of Not Collecting Information or Collecting it Less Frequently</w:t>
      </w:r>
    </w:p>
    <w:p w:rsidR="000E4C8B" w:rsidP="000E4C8B" w14:paraId="1DC804DD" w14:textId="77777777">
      <w:pPr>
        <w:pStyle w:val="ListParagraph"/>
        <w:ind w:right="-720"/>
        <w:rPr>
          <w:rFonts w:ascii="Times New Roman" w:hAnsi="Times New Roman"/>
          <w:b/>
        </w:rPr>
      </w:pPr>
      <w:r>
        <w:rPr>
          <w:rFonts w:ascii="Times New Roman" w:hAnsi="Times New Roman"/>
        </w:rPr>
        <w:t xml:space="preserve">If SSA did not collect this information, we would be unable to allow Medicare enrollees with prescription drug coverage or Part B who have experienced significant LCEs to report such </w:t>
      </w:r>
      <w:r>
        <w:rPr>
          <w:rFonts w:ascii="Times New Roman" w:hAnsi="Times New Roman"/>
        </w:rPr>
        <w:t xml:space="preserve">events.  Because we collect the </w:t>
      </w:r>
      <w:r w:rsidRPr="005F1647">
        <w:rPr>
          <w:rFonts w:ascii="Times New Roman" w:hAnsi="Times New Roman"/>
        </w:rPr>
        <w:t>information on an as</w:t>
      </w:r>
      <w:r>
        <w:rPr>
          <w:rFonts w:ascii="Times New Roman" w:hAnsi="Times New Roman"/>
        </w:rPr>
        <w:t xml:space="preserve"> </w:t>
      </w:r>
      <w:r w:rsidRPr="005F1647">
        <w:rPr>
          <w:rFonts w:ascii="Times New Roman" w:hAnsi="Times New Roman"/>
        </w:rPr>
        <w:t>needed basis, we can</w:t>
      </w:r>
      <w:r>
        <w:rPr>
          <w:rFonts w:ascii="Times New Roman" w:hAnsi="Times New Roman"/>
        </w:rPr>
        <w:t xml:space="preserve">not collect it less frequently.  </w:t>
      </w:r>
      <w:r w:rsidRPr="005F1647">
        <w:rPr>
          <w:rFonts w:ascii="Times New Roman" w:hAnsi="Times New Roman"/>
        </w:rPr>
        <w:t>There are no technical or legal obstacles to burden reduction</w:t>
      </w:r>
      <w:r>
        <w:rPr>
          <w:rFonts w:ascii="Times New Roman" w:hAnsi="Times New Roman"/>
        </w:rPr>
        <w:t>.</w:t>
      </w:r>
    </w:p>
    <w:p w:rsidR="000E4C8B" w:rsidP="000E4C8B" w14:paraId="1D6F519A" w14:textId="77777777">
      <w:pPr>
        <w:pStyle w:val="ListParagraph"/>
        <w:ind w:right="-720"/>
        <w:rPr>
          <w:rFonts w:ascii="Times New Roman" w:hAnsi="Times New Roman"/>
          <w:b/>
          <w:bCs/>
        </w:rPr>
      </w:pPr>
    </w:p>
    <w:p w:rsidR="003537D7" w:rsidRPr="000E4C8B" w:rsidP="003537D7" w14:paraId="529A4714" w14:textId="77777777">
      <w:pPr>
        <w:pStyle w:val="ListParagraph"/>
        <w:numPr>
          <w:ilvl w:val="0"/>
          <w:numId w:val="23"/>
        </w:numPr>
        <w:ind w:right="-720"/>
        <w:rPr>
          <w:rFonts w:ascii="Times New Roman" w:hAnsi="Times New Roman"/>
          <w:b/>
          <w:bCs/>
        </w:rPr>
      </w:pPr>
      <w:r w:rsidRPr="00BC7F42">
        <w:rPr>
          <w:rFonts w:ascii="Times New Roman" w:hAnsi="Times New Roman"/>
          <w:b/>
        </w:rPr>
        <w:t>Special Circumstances</w:t>
      </w:r>
    </w:p>
    <w:p w:rsidR="000E4C8B" w:rsidP="000E4C8B" w14:paraId="03A5A4B5" w14:textId="77777777">
      <w:pPr>
        <w:pStyle w:val="ListParagraph"/>
        <w:ind w:right="-720"/>
        <w:rPr>
          <w:rFonts w:ascii="Times New Roman" w:hAnsi="Times New Roman"/>
          <w:b/>
        </w:rPr>
      </w:pPr>
      <w:r w:rsidRPr="009F1A8B">
        <w:rPr>
          <w:rFonts w:ascii="Times New Roman" w:hAnsi="Times New Roman"/>
        </w:rPr>
        <w:t>There are no special circumstances that would cause</w:t>
      </w:r>
      <w:r>
        <w:rPr>
          <w:rFonts w:ascii="Times New Roman" w:hAnsi="Times New Roman"/>
        </w:rPr>
        <w:t xml:space="preserve"> us to collect this information in a manner inconsistent with </w:t>
      </w:r>
      <w:r w:rsidRPr="004235B5">
        <w:rPr>
          <w:rFonts w:ascii="Times New Roman" w:hAnsi="Times New Roman"/>
          <w:i/>
        </w:rPr>
        <w:t>5 CFR 1320.5</w:t>
      </w:r>
      <w:r w:rsidRPr="009F1A8B">
        <w:rPr>
          <w:rFonts w:ascii="Times New Roman" w:hAnsi="Times New Roman"/>
        </w:rPr>
        <w:t>.</w:t>
      </w:r>
    </w:p>
    <w:p w:rsidR="000E4C8B" w:rsidP="000E4C8B" w14:paraId="04AC7073" w14:textId="77777777">
      <w:pPr>
        <w:pStyle w:val="ListParagraph"/>
        <w:ind w:right="-720"/>
        <w:rPr>
          <w:rFonts w:ascii="Times New Roman" w:hAnsi="Times New Roman"/>
          <w:b/>
          <w:bCs/>
        </w:rPr>
      </w:pPr>
    </w:p>
    <w:p w:rsidR="003537D7" w:rsidRPr="000E4C8B" w:rsidP="003537D7" w14:paraId="6662A432" w14:textId="77777777">
      <w:pPr>
        <w:pStyle w:val="ListParagraph"/>
        <w:numPr>
          <w:ilvl w:val="0"/>
          <w:numId w:val="23"/>
        </w:numPr>
        <w:ind w:right="-720"/>
        <w:rPr>
          <w:rFonts w:ascii="Times New Roman" w:hAnsi="Times New Roman"/>
          <w:b/>
          <w:bCs/>
        </w:rPr>
      </w:pPr>
      <w:r w:rsidRPr="00BC7F42">
        <w:rPr>
          <w:rFonts w:ascii="Times New Roman" w:hAnsi="Times New Roman"/>
          <w:b/>
        </w:rPr>
        <w:t>Solicitation of Public Comment and Other Consultations with the Public</w:t>
      </w:r>
    </w:p>
    <w:p w:rsidR="000E4C8B" w:rsidRPr="000E4C8B" w:rsidP="000E4C8B" w14:paraId="714209BF" w14:textId="77777777">
      <w:pPr>
        <w:pStyle w:val="ListParagraph"/>
        <w:rPr>
          <w:rFonts w:ascii="Times New Roman" w:hAnsi="Times New Roman"/>
        </w:rPr>
      </w:pPr>
      <w:r w:rsidRPr="0009387D">
        <w:rPr>
          <w:rFonts w:ascii="Times New Roman" w:hAnsi="Times New Roman"/>
        </w:rPr>
        <w:t>The 60-day advance Federal Register Notice</w:t>
      </w:r>
      <w:r>
        <w:rPr>
          <w:rFonts w:ascii="Times New Roman" w:hAnsi="Times New Roman"/>
        </w:rPr>
        <w:t xml:space="preserve"> published on July 29, 2020, at </w:t>
      </w:r>
      <w:r w:rsidRPr="000E4C8B">
        <w:rPr>
          <w:rFonts w:ascii="Times New Roman" w:hAnsi="Times New Roman"/>
        </w:rPr>
        <w:t xml:space="preserve">85 FR 45723, and we received no public comments.  The 30-day FRN published on September 25, </w:t>
      </w:r>
      <w:r w:rsidRPr="000E4C8B">
        <w:rPr>
          <w:rFonts w:ascii="Times New Roman" w:hAnsi="Times New Roman"/>
        </w:rPr>
        <w:t>2020</w:t>
      </w:r>
      <w:r w:rsidRPr="000E4C8B">
        <w:rPr>
          <w:rFonts w:ascii="Times New Roman" w:hAnsi="Times New Roman"/>
        </w:rPr>
        <w:t xml:space="preserve"> at 85 FR 60509.  If we receive any comments in response to this Notice, we will forward them to OMB.  We did not consult with the public in the revision of this form.</w:t>
      </w:r>
    </w:p>
    <w:p w:rsidR="000E4C8B" w:rsidP="000E4C8B" w14:paraId="0D7CE0B2" w14:textId="77777777">
      <w:pPr>
        <w:pStyle w:val="ListParagraph"/>
        <w:ind w:right="-720"/>
        <w:rPr>
          <w:rFonts w:ascii="Times New Roman" w:hAnsi="Times New Roman"/>
          <w:b/>
          <w:bCs/>
        </w:rPr>
      </w:pPr>
    </w:p>
    <w:p w:rsidR="003537D7" w:rsidRPr="000E4C8B" w:rsidP="003537D7" w14:paraId="0AC4CD55" w14:textId="77777777">
      <w:pPr>
        <w:pStyle w:val="ListParagraph"/>
        <w:numPr>
          <w:ilvl w:val="0"/>
          <w:numId w:val="23"/>
        </w:numPr>
        <w:ind w:right="-720"/>
        <w:rPr>
          <w:rFonts w:ascii="Times New Roman" w:hAnsi="Times New Roman"/>
          <w:b/>
          <w:bCs/>
        </w:rPr>
      </w:pPr>
      <w:r w:rsidRPr="00BC7F42">
        <w:rPr>
          <w:rFonts w:ascii="Times New Roman" w:hAnsi="Times New Roman"/>
          <w:b/>
        </w:rPr>
        <w:t>Payment or Gifts to Respondents</w:t>
      </w:r>
    </w:p>
    <w:p w:rsidR="000E4C8B" w:rsidP="000E4C8B" w14:paraId="3B05DFFD" w14:textId="77777777">
      <w:pPr>
        <w:pStyle w:val="ListParagraph"/>
        <w:ind w:right="-720"/>
        <w:rPr>
          <w:rFonts w:ascii="Times New Roman" w:hAnsi="Times New Roman"/>
          <w:b/>
        </w:rPr>
      </w:pPr>
      <w:r w:rsidRPr="001D2525">
        <w:rPr>
          <w:rFonts w:ascii="Times New Roman" w:hAnsi="Times New Roman"/>
        </w:rPr>
        <w:t>SSA</w:t>
      </w:r>
      <w:r>
        <w:rPr>
          <w:rFonts w:ascii="Times New Roman" w:hAnsi="Times New Roman"/>
        </w:rPr>
        <w:t xml:space="preserve"> does not provide payments or</w:t>
      </w:r>
      <w:r w:rsidRPr="001D2525">
        <w:rPr>
          <w:rFonts w:ascii="Times New Roman" w:hAnsi="Times New Roman"/>
        </w:rPr>
        <w:t xml:space="preserve"> gifts to the respondents</w:t>
      </w:r>
      <w:r>
        <w:rPr>
          <w:rFonts w:ascii="Times New Roman" w:hAnsi="Times New Roman"/>
        </w:rPr>
        <w:t>.</w:t>
      </w:r>
    </w:p>
    <w:p w:rsidR="000E4C8B" w:rsidP="000E4C8B" w14:paraId="6B6EC9E5" w14:textId="77777777">
      <w:pPr>
        <w:pStyle w:val="ListParagraph"/>
        <w:ind w:right="-720"/>
        <w:rPr>
          <w:rFonts w:ascii="Times New Roman" w:hAnsi="Times New Roman"/>
          <w:b/>
          <w:bCs/>
        </w:rPr>
      </w:pPr>
    </w:p>
    <w:p w:rsidR="003537D7" w:rsidRPr="000E4C8B" w:rsidP="003537D7" w14:paraId="14443FFE" w14:textId="77777777">
      <w:pPr>
        <w:pStyle w:val="ListParagraph"/>
        <w:numPr>
          <w:ilvl w:val="0"/>
          <w:numId w:val="23"/>
        </w:numPr>
        <w:ind w:right="-720"/>
        <w:rPr>
          <w:rFonts w:ascii="Times New Roman" w:hAnsi="Times New Roman"/>
          <w:b/>
          <w:bCs/>
        </w:rPr>
      </w:pPr>
      <w:r w:rsidRPr="00BC7F42">
        <w:rPr>
          <w:rFonts w:ascii="Times New Roman" w:hAnsi="Times New Roman"/>
          <w:b/>
        </w:rPr>
        <w:t>Assurances of Confidentiality</w:t>
      </w:r>
    </w:p>
    <w:p w:rsidR="000E4C8B" w:rsidRPr="000E4C8B" w:rsidP="000E4C8B" w14:paraId="1957B909" w14:textId="77777777">
      <w:pPr>
        <w:pStyle w:val="ListParagraph"/>
        <w:tabs>
          <w:tab w:val="left" w:pos="720"/>
          <w:tab w:val="left" w:pos="1080"/>
          <w:tab w:val="left" w:pos="1260"/>
          <w:tab w:val="left" w:pos="1440"/>
        </w:tabs>
        <w:ind w:right="-720"/>
        <w:rPr>
          <w:rFonts w:ascii="Times New Roman" w:hAnsi="Times New Roman"/>
        </w:rPr>
      </w:pPr>
      <w:r w:rsidRPr="000E4C8B">
        <w:rPr>
          <w:rFonts w:ascii="Times New Roman" w:hAnsi="Times New Roman"/>
        </w:rPr>
        <w:t xml:space="preserve">SSA protects and holds confidential the information it collects in accordance with </w:t>
      </w:r>
      <w:r>
        <w:rPr>
          <w:rFonts w:ascii="Times New Roman" w:hAnsi="Times New Roman"/>
        </w:rPr>
        <w:t xml:space="preserve"> </w:t>
      </w:r>
      <w:r>
        <w:rPr>
          <w:rFonts w:ascii="Times New Roman" w:hAnsi="Times New Roman"/>
          <w:i/>
        </w:rPr>
        <w:t>42  U.S.C. </w:t>
      </w:r>
      <w:r w:rsidRPr="000E4C8B">
        <w:rPr>
          <w:rFonts w:ascii="Times New Roman" w:hAnsi="Times New Roman"/>
          <w:i/>
        </w:rPr>
        <w:t>1306</w:t>
      </w:r>
      <w:r w:rsidRPr="000E4C8B">
        <w:rPr>
          <w:rFonts w:ascii="Times New Roman" w:hAnsi="Times New Roman"/>
        </w:rPr>
        <w:t xml:space="preserve">, </w:t>
      </w:r>
      <w:r w:rsidRPr="000E4C8B">
        <w:rPr>
          <w:rFonts w:ascii="Times New Roman" w:hAnsi="Times New Roman"/>
          <w:i/>
        </w:rPr>
        <w:t>20 CFR Parts 401</w:t>
      </w:r>
      <w:r w:rsidRPr="000E4C8B">
        <w:rPr>
          <w:rFonts w:ascii="Times New Roman" w:hAnsi="Times New Roman"/>
        </w:rPr>
        <w:t xml:space="preserve"> and </w:t>
      </w:r>
      <w:r w:rsidRPr="000E4C8B">
        <w:rPr>
          <w:rFonts w:ascii="Times New Roman" w:hAnsi="Times New Roman"/>
          <w:i/>
        </w:rPr>
        <w:t>402, 5 U.S.C. 552</w:t>
      </w:r>
      <w:r w:rsidRPr="000E4C8B">
        <w:rPr>
          <w:rFonts w:ascii="Times New Roman" w:hAnsi="Times New Roman"/>
        </w:rPr>
        <w:t xml:space="preserve"> (Freedom of Information Act), </w:t>
      </w:r>
      <w:r>
        <w:rPr>
          <w:rFonts w:ascii="Times New Roman" w:hAnsi="Times New Roman"/>
          <w:i/>
        </w:rPr>
        <w:t>5 </w:t>
      </w:r>
      <w:r w:rsidRPr="000E4C8B">
        <w:rPr>
          <w:rFonts w:ascii="Times New Roman" w:hAnsi="Times New Roman"/>
          <w:i/>
        </w:rPr>
        <w:t>U.S.C. 552a</w:t>
      </w:r>
      <w:r w:rsidRPr="000E4C8B">
        <w:rPr>
          <w:rFonts w:ascii="Times New Roman" w:hAnsi="Times New Roman"/>
        </w:rPr>
        <w:t xml:space="preserve"> (Privacy Act of 1974), and OMB Circular No. A-130.</w:t>
      </w:r>
    </w:p>
    <w:p w:rsidR="000E4C8B" w:rsidP="000E4C8B" w14:paraId="556245DE" w14:textId="77777777">
      <w:pPr>
        <w:pStyle w:val="ListParagraph"/>
        <w:ind w:right="-720"/>
        <w:rPr>
          <w:rFonts w:ascii="Times New Roman" w:hAnsi="Times New Roman"/>
          <w:b/>
          <w:bCs/>
        </w:rPr>
      </w:pPr>
    </w:p>
    <w:p w:rsidR="003537D7" w:rsidRPr="000E4C8B" w:rsidP="003537D7" w14:paraId="361F26F2" w14:textId="77777777">
      <w:pPr>
        <w:pStyle w:val="ListParagraph"/>
        <w:numPr>
          <w:ilvl w:val="0"/>
          <w:numId w:val="23"/>
        </w:numPr>
        <w:ind w:right="-720"/>
        <w:rPr>
          <w:rFonts w:ascii="Times New Roman" w:hAnsi="Times New Roman"/>
          <w:b/>
          <w:bCs/>
        </w:rPr>
      </w:pPr>
      <w:r w:rsidRPr="00BC7F42">
        <w:rPr>
          <w:rFonts w:ascii="Times New Roman" w:hAnsi="Times New Roman"/>
          <w:b/>
        </w:rPr>
        <w:t>Justification for Sensitive Questions</w:t>
      </w:r>
    </w:p>
    <w:p w:rsidR="000E4C8B" w:rsidP="000E4C8B" w14:paraId="6425EED3" w14:textId="77777777">
      <w:pPr>
        <w:pStyle w:val="ListParagraph"/>
        <w:ind w:right="-720"/>
        <w:rPr>
          <w:rFonts w:ascii="Times New Roman" w:hAnsi="Times New Roman"/>
          <w:b/>
        </w:rPr>
      </w:pPr>
      <w:r w:rsidRPr="00B67CB9">
        <w:rPr>
          <w:rFonts w:ascii="Times New Roman" w:hAnsi="Times New Roman"/>
        </w:rPr>
        <w:t>The information collection does not contain any questions of a sensitive nature</w:t>
      </w:r>
      <w:r>
        <w:rPr>
          <w:rFonts w:ascii="Times New Roman" w:hAnsi="Times New Roman"/>
        </w:rPr>
        <w:t>.</w:t>
      </w:r>
    </w:p>
    <w:p w:rsidR="000E4C8B" w:rsidP="000E4C8B" w14:paraId="1E47F77C" w14:textId="77777777">
      <w:pPr>
        <w:pStyle w:val="ListParagraph"/>
        <w:ind w:right="-720"/>
        <w:rPr>
          <w:rFonts w:ascii="Times New Roman" w:hAnsi="Times New Roman"/>
          <w:b/>
          <w:bCs/>
        </w:rPr>
      </w:pPr>
    </w:p>
    <w:p w:rsidR="003537D7" w:rsidRPr="000E4C8B" w:rsidP="003537D7" w14:paraId="49EE19ED" w14:textId="77777777">
      <w:pPr>
        <w:pStyle w:val="ListParagraph"/>
        <w:numPr>
          <w:ilvl w:val="0"/>
          <w:numId w:val="23"/>
        </w:numPr>
        <w:ind w:right="-720"/>
        <w:rPr>
          <w:rFonts w:ascii="Times New Roman" w:hAnsi="Times New Roman"/>
          <w:b/>
          <w:bCs/>
        </w:rPr>
      </w:pPr>
      <w:r w:rsidRPr="00BC7F42">
        <w:rPr>
          <w:rFonts w:ascii="Times New Roman" w:hAnsi="Times New Roman"/>
          <w:b/>
        </w:rPr>
        <w:t>Estimates of Public Reporting Burden</w:t>
      </w:r>
    </w:p>
    <w:tbl>
      <w:tblPr>
        <w:tblStyle w:val="TableGrid"/>
        <w:tblW w:w="11520" w:type="dxa"/>
        <w:tblInd w:w="-1085" w:type="dxa"/>
        <w:tblLook w:val="04A0"/>
      </w:tblPr>
      <w:tblGrid>
        <w:gridCol w:w="1416"/>
        <w:gridCol w:w="1552"/>
        <w:gridCol w:w="1310"/>
        <w:gridCol w:w="1209"/>
        <w:gridCol w:w="1260"/>
        <w:gridCol w:w="1389"/>
        <w:gridCol w:w="1606"/>
        <w:gridCol w:w="1778"/>
      </w:tblGrid>
      <w:tr w14:paraId="4723E3A2" w14:textId="77777777" w:rsidTr="000E4C8B">
        <w:tblPrEx>
          <w:tblW w:w="11520" w:type="dxa"/>
          <w:tblInd w:w="-1085" w:type="dxa"/>
          <w:tblLook w:val="04A0"/>
        </w:tblPrEx>
        <w:tc>
          <w:tcPr>
            <w:tcW w:w="1416" w:type="dxa"/>
          </w:tcPr>
          <w:p w:rsidR="000E4C8B" w:rsidRPr="00A72857" w:rsidP="000E4C8B" w14:paraId="4E6576AF" w14:textId="77777777">
            <w:pPr>
              <w:tabs>
                <w:tab w:val="left" w:pos="1350"/>
              </w:tabs>
              <w:suppressAutoHyphens/>
              <w:autoSpaceDE w:val="0"/>
              <w:autoSpaceDN w:val="0"/>
              <w:adjustRightInd w:val="0"/>
              <w:ind w:hanging="18"/>
              <w:rPr>
                <w:rFonts w:ascii="Times New Roman" w:eastAsia="SimSun" w:hAnsi="Times New Roman"/>
                <w:lang w:eastAsia="ar-SA"/>
              </w:rPr>
            </w:pPr>
            <w:r w:rsidRPr="00A72857">
              <w:rPr>
                <w:rFonts w:ascii="Times New Roman" w:eastAsia="SimSun" w:hAnsi="Times New Roman"/>
                <w:b/>
                <w:lang w:eastAsia="ar-SA"/>
              </w:rPr>
              <w:t>Modality of Completion</w:t>
            </w:r>
          </w:p>
        </w:tc>
        <w:tc>
          <w:tcPr>
            <w:tcW w:w="1554" w:type="dxa"/>
          </w:tcPr>
          <w:p w:rsidR="000E4C8B" w:rsidRPr="00A72857" w:rsidP="000E4C8B" w14:paraId="2586EC65" w14:textId="77777777">
            <w:pPr>
              <w:tabs>
                <w:tab w:val="left" w:pos="1350"/>
              </w:tabs>
              <w:suppressAutoHyphens/>
              <w:autoSpaceDE w:val="0"/>
              <w:autoSpaceDN w:val="0"/>
              <w:adjustRightInd w:val="0"/>
              <w:rPr>
                <w:rFonts w:ascii="Times New Roman" w:eastAsia="SimSun" w:hAnsi="Times New Roman"/>
                <w:lang w:eastAsia="ar-SA"/>
              </w:rPr>
            </w:pPr>
            <w:r w:rsidRPr="00A72857">
              <w:rPr>
                <w:rFonts w:ascii="Times New Roman" w:eastAsia="SimSun" w:hAnsi="Times New Roman"/>
                <w:b/>
                <w:lang w:eastAsia="ar-SA"/>
              </w:rPr>
              <w:t>Number of Respondents</w:t>
            </w:r>
          </w:p>
        </w:tc>
        <w:tc>
          <w:tcPr>
            <w:tcW w:w="1310" w:type="dxa"/>
          </w:tcPr>
          <w:p w:rsidR="000E4C8B" w:rsidRPr="00A72857" w:rsidP="000E4C8B" w14:paraId="4427A9D8" w14:textId="77777777">
            <w:pPr>
              <w:tabs>
                <w:tab w:val="left" w:pos="1350"/>
              </w:tabs>
              <w:suppressAutoHyphens/>
              <w:autoSpaceDE w:val="0"/>
              <w:autoSpaceDN w:val="0"/>
              <w:adjustRightInd w:val="0"/>
              <w:rPr>
                <w:rFonts w:ascii="Times New Roman" w:eastAsia="SimSun" w:hAnsi="Times New Roman"/>
                <w:lang w:eastAsia="ar-SA"/>
              </w:rPr>
            </w:pPr>
            <w:r w:rsidRPr="00A72857">
              <w:rPr>
                <w:rFonts w:ascii="Times New Roman" w:eastAsia="SimSun" w:hAnsi="Times New Roman"/>
                <w:b/>
                <w:lang w:eastAsia="ar-SA"/>
              </w:rPr>
              <w:t>Frequency of Response</w:t>
            </w:r>
          </w:p>
        </w:tc>
        <w:tc>
          <w:tcPr>
            <w:tcW w:w="1210" w:type="dxa"/>
          </w:tcPr>
          <w:p w:rsidR="000E4C8B" w:rsidRPr="00A72857" w:rsidP="000E4C8B" w14:paraId="40ABA46D" w14:textId="77777777">
            <w:pPr>
              <w:tabs>
                <w:tab w:val="left" w:pos="1350"/>
              </w:tabs>
              <w:suppressAutoHyphens/>
              <w:autoSpaceDE w:val="0"/>
              <w:autoSpaceDN w:val="0"/>
              <w:adjustRightInd w:val="0"/>
              <w:rPr>
                <w:rFonts w:ascii="Times New Roman" w:eastAsia="SimSun" w:hAnsi="Times New Roman"/>
                <w:lang w:eastAsia="ar-SA"/>
              </w:rPr>
            </w:pPr>
            <w:r w:rsidRPr="00A72857">
              <w:rPr>
                <w:rFonts w:ascii="Times New Roman" w:eastAsia="SimSun" w:hAnsi="Times New Roman"/>
                <w:b/>
                <w:lang w:eastAsia="ar-SA"/>
              </w:rPr>
              <w:t>Average Burden per Response (minutes)</w:t>
            </w:r>
          </w:p>
        </w:tc>
        <w:tc>
          <w:tcPr>
            <w:tcW w:w="1260" w:type="dxa"/>
          </w:tcPr>
          <w:p w:rsidR="000E4C8B" w:rsidRPr="00A72857" w:rsidP="000E4C8B" w14:paraId="13CFC517" w14:textId="77777777">
            <w:pPr>
              <w:tabs>
                <w:tab w:val="left" w:pos="1350"/>
              </w:tabs>
              <w:suppressAutoHyphens/>
              <w:autoSpaceDE w:val="0"/>
              <w:autoSpaceDN w:val="0"/>
              <w:adjustRightInd w:val="0"/>
              <w:rPr>
                <w:rFonts w:ascii="Times New Roman" w:eastAsia="SimSun" w:hAnsi="Times New Roman"/>
                <w:lang w:eastAsia="ar-SA"/>
              </w:rPr>
            </w:pPr>
            <w:r w:rsidRPr="00A72857">
              <w:rPr>
                <w:rFonts w:ascii="Times New Roman" w:eastAsia="SimSun" w:hAnsi="Times New Roman"/>
                <w:b/>
                <w:lang w:eastAsia="ar-SA"/>
              </w:rPr>
              <w:t>Estimated Total Annual Burden (hours)</w:t>
            </w:r>
          </w:p>
        </w:tc>
        <w:tc>
          <w:tcPr>
            <w:tcW w:w="1350" w:type="dxa"/>
          </w:tcPr>
          <w:p w:rsidR="000E4C8B" w:rsidRPr="00A72857" w:rsidP="000E4C8B" w14:paraId="24C8AE84" w14:textId="77777777">
            <w:pPr>
              <w:tabs>
                <w:tab w:val="left" w:pos="1350"/>
              </w:tabs>
              <w:suppressAutoHyphens/>
              <w:autoSpaceDE w:val="0"/>
              <w:autoSpaceDN w:val="0"/>
              <w:adjustRightInd w:val="0"/>
              <w:rPr>
                <w:rFonts w:ascii="Times New Roman" w:eastAsia="SimSun" w:hAnsi="Times New Roman"/>
                <w:lang w:eastAsia="ar-SA"/>
              </w:rPr>
            </w:pPr>
            <w:r w:rsidRPr="00A72857">
              <w:rPr>
                <w:rFonts w:ascii="Times New Roman" w:eastAsia="SimSun" w:hAnsi="Times New Roman"/>
                <w:b/>
                <w:lang w:eastAsia="ar-SA"/>
              </w:rPr>
              <w:t>Average Theoretical Hourly Cost Amount (dollars)*</w:t>
            </w:r>
          </w:p>
        </w:tc>
        <w:tc>
          <w:tcPr>
            <w:tcW w:w="1634" w:type="dxa"/>
          </w:tcPr>
          <w:p w:rsidR="000E4C8B" w:rsidRPr="00A72857" w:rsidP="000E4C8B" w14:paraId="41DBC968" w14:textId="77777777">
            <w:pPr>
              <w:suppressAutoHyphens/>
              <w:autoSpaceDE w:val="0"/>
              <w:autoSpaceDN w:val="0"/>
              <w:adjustRightInd w:val="0"/>
              <w:rPr>
                <w:rFonts w:ascii="Times New Roman" w:eastAsia="SimSun" w:hAnsi="Times New Roman"/>
                <w:b/>
                <w:lang w:eastAsia="ar-SA"/>
              </w:rPr>
            </w:pPr>
            <w:r w:rsidRPr="00A72857">
              <w:rPr>
                <w:rFonts w:ascii="Times New Roman" w:eastAsia="SimSun" w:hAnsi="Times New Roman"/>
                <w:b/>
                <w:lang w:eastAsia="ar-SA"/>
              </w:rPr>
              <w:t xml:space="preserve">Average Wait Time in Field Office </w:t>
            </w:r>
          </w:p>
          <w:p w:rsidR="000E4C8B" w:rsidRPr="00A72857" w:rsidP="000E4C8B" w14:paraId="27CA7140" w14:textId="77777777">
            <w:pPr>
              <w:tabs>
                <w:tab w:val="left" w:pos="1350"/>
              </w:tabs>
              <w:suppressAutoHyphens/>
              <w:autoSpaceDE w:val="0"/>
              <w:autoSpaceDN w:val="0"/>
              <w:adjustRightInd w:val="0"/>
              <w:rPr>
                <w:rFonts w:ascii="Times New Roman" w:eastAsia="SimSun" w:hAnsi="Times New Roman"/>
                <w:b/>
                <w:lang w:eastAsia="ar-SA"/>
              </w:rPr>
            </w:pPr>
            <w:r w:rsidRPr="00A72857">
              <w:rPr>
                <w:rFonts w:ascii="Times New Roman" w:eastAsia="SimSun" w:hAnsi="Times New Roman"/>
                <w:b/>
                <w:lang w:eastAsia="ar-SA"/>
              </w:rPr>
              <w:t>(minutes) **</w:t>
            </w:r>
          </w:p>
        </w:tc>
        <w:tc>
          <w:tcPr>
            <w:tcW w:w="1786" w:type="dxa"/>
          </w:tcPr>
          <w:p w:rsidR="000E4C8B" w:rsidRPr="00A72857" w:rsidP="000E4C8B" w14:paraId="1C676F41" w14:textId="77777777">
            <w:pPr>
              <w:suppressAutoHyphens/>
              <w:autoSpaceDE w:val="0"/>
              <w:autoSpaceDN w:val="0"/>
              <w:adjustRightInd w:val="0"/>
              <w:rPr>
                <w:rFonts w:ascii="Times New Roman" w:eastAsia="SimSun" w:hAnsi="Times New Roman"/>
                <w:b/>
                <w:lang w:eastAsia="ar-SA"/>
              </w:rPr>
            </w:pPr>
            <w:r w:rsidRPr="00A72857">
              <w:rPr>
                <w:rFonts w:ascii="Times New Roman" w:eastAsia="SimSun" w:hAnsi="Times New Roman"/>
                <w:b/>
                <w:lang w:eastAsia="ar-SA"/>
              </w:rPr>
              <w:t>Total Annual Opportunity Cost (dollars) ***</w:t>
            </w:r>
          </w:p>
        </w:tc>
      </w:tr>
      <w:tr w14:paraId="5389ECDB" w14:textId="77777777" w:rsidTr="000E4C8B">
        <w:tblPrEx>
          <w:tblW w:w="11520" w:type="dxa"/>
          <w:tblInd w:w="-1085" w:type="dxa"/>
          <w:tblLook w:val="04A0"/>
        </w:tblPrEx>
        <w:tc>
          <w:tcPr>
            <w:tcW w:w="1416" w:type="dxa"/>
          </w:tcPr>
          <w:p w:rsidR="000E4C8B" w:rsidRPr="00A72857" w:rsidP="000E4C8B" w14:paraId="46E0A195" w14:textId="77777777">
            <w:pPr>
              <w:widowControl w:val="0"/>
              <w:suppressAutoHyphens/>
              <w:rPr>
                <w:rFonts w:ascii="Times New Roman" w:eastAsia="SimSun" w:hAnsi="Times New Roman"/>
                <w:lang w:eastAsia="ar-SA"/>
              </w:rPr>
            </w:pPr>
            <w:r w:rsidRPr="00A72857">
              <w:rPr>
                <w:rFonts w:ascii="Times New Roman" w:eastAsia="SimSun" w:hAnsi="Times New Roman"/>
                <w:lang w:eastAsia="ar-SA"/>
              </w:rPr>
              <w:t>Personal Interview (SSA field office)</w:t>
            </w:r>
          </w:p>
          <w:p w:rsidR="000E4C8B" w:rsidRPr="00A72857" w:rsidP="000E4C8B" w14:paraId="32A3A1E7" w14:textId="77777777">
            <w:pPr>
              <w:widowControl w:val="0"/>
              <w:suppressAutoHyphens/>
              <w:rPr>
                <w:rFonts w:ascii="Times New Roman" w:eastAsia="SimSun" w:hAnsi="Times New Roman"/>
                <w:lang w:eastAsia="ar-SA"/>
              </w:rPr>
            </w:pPr>
          </w:p>
        </w:tc>
        <w:tc>
          <w:tcPr>
            <w:tcW w:w="1554" w:type="dxa"/>
          </w:tcPr>
          <w:p w:rsidR="000E4C8B" w:rsidRPr="00A72857" w:rsidP="000E4C8B" w14:paraId="4A86ED6A" w14:textId="77777777">
            <w:pPr>
              <w:widowControl w:val="0"/>
              <w:suppressAutoHyphens/>
              <w:jc w:val="right"/>
              <w:rPr>
                <w:rFonts w:ascii="Times New Roman" w:eastAsia="SimSun" w:hAnsi="Times New Roman"/>
                <w:lang w:eastAsia="ar-SA"/>
              </w:rPr>
            </w:pPr>
            <w:r w:rsidRPr="00A72857">
              <w:rPr>
                <w:rFonts w:ascii="Times New Roman" w:eastAsia="SimSun" w:hAnsi="Times New Roman"/>
                <w:lang w:eastAsia="ar-SA"/>
              </w:rPr>
              <w:t>178,840</w:t>
            </w:r>
          </w:p>
        </w:tc>
        <w:tc>
          <w:tcPr>
            <w:tcW w:w="1310" w:type="dxa"/>
          </w:tcPr>
          <w:p w:rsidR="000E4C8B" w:rsidRPr="00A72857" w:rsidP="000E4C8B" w14:paraId="354ED4D3" w14:textId="77777777">
            <w:pPr>
              <w:widowControl w:val="0"/>
              <w:tabs>
                <w:tab w:val="left" w:pos="241"/>
              </w:tabs>
              <w:suppressAutoHyphens/>
              <w:snapToGrid w:val="0"/>
              <w:ind w:left="-104" w:firstLine="104"/>
              <w:jc w:val="right"/>
              <w:rPr>
                <w:rFonts w:ascii="Times New Roman" w:eastAsia="SimSun" w:hAnsi="Times New Roman"/>
                <w:lang w:eastAsia="ar-SA"/>
              </w:rPr>
            </w:pPr>
            <w:r w:rsidRPr="00A72857">
              <w:rPr>
                <w:rFonts w:ascii="Times New Roman" w:eastAsia="SimSun" w:hAnsi="Times New Roman"/>
                <w:lang w:eastAsia="ar-SA"/>
              </w:rPr>
              <w:t>1</w:t>
            </w:r>
          </w:p>
        </w:tc>
        <w:tc>
          <w:tcPr>
            <w:tcW w:w="1210" w:type="dxa"/>
          </w:tcPr>
          <w:p w:rsidR="000E4C8B" w:rsidRPr="00A72857" w:rsidP="000E4C8B" w14:paraId="2C4769E9" w14:textId="77777777">
            <w:pPr>
              <w:widowControl w:val="0"/>
              <w:suppressAutoHyphens/>
              <w:jc w:val="right"/>
              <w:rPr>
                <w:rFonts w:ascii="Times New Roman" w:eastAsia="SimSun" w:hAnsi="Times New Roman"/>
                <w:lang w:eastAsia="ar-SA"/>
              </w:rPr>
            </w:pPr>
            <w:r w:rsidRPr="00A72857">
              <w:rPr>
                <w:rFonts w:ascii="Times New Roman" w:eastAsia="SimSun" w:hAnsi="Times New Roman"/>
                <w:lang w:eastAsia="ar-SA"/>
              </w:rPr>
              <w:t>30</w:t>
            </w:r>
          </w:p>
        </w:tc>
        <w:tc>
          <w:tcPr>
            <w:tcW w:w="1260" w:type="dxa"/>
          </w:tcPr>
          <w:p w:rsidR="000E4C8B" w:rsidRPr="00A72857" w:rsidP="000E4C8B" w14:paraId="4AB6DF85" w14:textId="77777777">
            <w:pPr>
              <w:widowControl w:val="0"/>
              <w:suppressAutoHyphens/>
              <w:jc w:val="right"/>
              <w:rPr>
                <w:rFonts w:ascii="Times New Roman" w:eastAsia="SimSun" w:hAnsi="Times New Roman"/>
                <w:lang w:eastAsia="ar-SA"/>
              </w:rPr>
            </w:pPr>
            <w:r w:rsidRPr="00A72857">
              <w:rPr>
                <w:rFonts w:ascii="Times New Roman" w:eastAsia="SimSun" w:hAnsi="Times New Roman"/>
                <w:lang w:eastAsia="ar-SA"/>
              </w:rPr>
              <w:t>89,420</w:t>
            </w:r>
          </w:p>
        </w:tc>
        <w:tc>
          <w:tcPr>
            <w:tcW w:w="1350" w:type="dxa"/>
          </w:tcPr>
          <w:p w:rsidR="000E4C8B" w:rsidRPr="00A72857" w:rsidP="000E4C8B" w14:paraId="64A9BCEB" w14:textId="6B2872BE">
            <w:pPr>
              <w:widowControl w:val="0"/>
              <w:suppressAutoHyphens/>
              <w:snapToGrid w:val="0"/>
              <w:jc w:val="right"/>
              <w:rPr>
                <w:rFonts w:ascii="Times New Roman" w:eastAsia="SimSun" w:hAnsi="Times New Roman"/>
                <w:lang w:eastAsia="ar-SA"/>
              </w:rPr>
            </w:pPr>
            <w:r w:rsidRPr="00A72857">
              <w:rPr>
                <w:rFonts w:ascii="Times New Roman" w:eastAsia="SimSun" w:hAnsi="Times New Roman"/>
                <w:lang w:eastAsia="ar-SA"/>
              </w:rPr>
              <w:t>$</w:t>
            </w:r>
            <w:r w:rsidR="00943778">
              <w:rPr>
                <w:rFonts w:ascii="Times New Roman" w:hAnsi="Times New Roman"/>
              </w:rPr>
              <w:t>31.48</w:t>
            </w:r>
            <w:r w:rsidRPr="00A72857">
              <w:rPr>
                <w:rFonts w:ascii="Times New Roman" w:eastAsia="SimSun" w:hAnsi="Times New Roman"/>
                <w:lang w:eastAsia="ar-SA"/>
              </w:rPr>
              <w:t>*</w:t>
            </w:r>
          </w:p>
        </w:tc>
        <w:tc>
          <w:tcPr>
            <w:tcW w:w="1634" w:type="dxa"/>
          </w:tcPr>
          <w:p w:rsidR="000E4C8B" w:rsidRPr="00A72857" w:rsidP="000E4C8B" w14:paraId="5EC167C6" w14:textId="77777777">
            <w:pPr>
              <w:tabs>
                <w:tab w:val="left" w:pos="1350"/>
              </w:tabs>
              <w:suppressAutoHyphens/>
              <w:autoSpaceDE w:val="0"/>
              <w:autoSpaceDN w:val="0"/>
              <w:adjustRightInd w:val="0"/>
              <w:jc w:val="right"/>
              <w:rPr>
                <w:rFonts w:ascii="Times New Roman" w:eastAsia="SimSun" w:hAnsi="Times New Roman"/>
                <w:lang w:eastAsia="ar-SA"/>
              </w:rPr>
            </w:pPr>
            <w:r w:rsidRPr="00A72857">
              <w:rPr>
                <w:rFonts w:ascii="Times New Roman" w:eastAsia="SimSun" w:hAnsi="Times New Roman"/>
                <w:lang w:eastAsia="ar-SA"/>
              </w:rPr>
              <w:t>24**</w:t>
            </w:r>
          </w:p>
        </w:tc>
        <w:tc>
          <w:tcPr>
            <w:tcW w:w="1786" w:type="dxa"/>
          </w:tcPr>
          <w:p w:rsidR="000E4C8B" w:rsidRPr="00A72857" w:rsidP="000E4C8B" w14:paraId="3CB7000E" w14:textId="6F83D52D">
            <w:pPr>
              <w:tabs>
                <w:tab w:val="left" w:pos="1350"/>
              </w:tabs>
              <w:suppressAutoHyphens/>
              <w:autoSpaceDE w:val="0"/>
              <w:autoSpaceDN w:val="0"/>
              <w:adjustRightInd w:val="0"/>
              <w:jc w:val="right"/>
              <w:rPr>
                <w:rFonts w:ascii="Times New Roman" w:eastAsia="SimSun" w:hAnsi="Times New Roman"/>
                <w:lang w:eastAsia="ar-SA"/>
              </w:rPr>
            </w:pPr>
            <w:r w:rsidRPr="00A72857">
              <w:rPr>
                <w:rFonts w:ascii="Times New Roman" w:eastAsia="SimSun" w:hAnsi="Times New Roman"/>
                <w:lang w:eastAsia="ar-SA"/>
              </w:rPr>
              <w:t>$</w:t>
            </w:r>
            <w:r w:rsidR="00943778">
              <w:rPr>
                <w:rFonts w:ascii="Times New Roman" w:eastAsia="SimSun" w:hAnsi="Times New Roman"/>
                <w:lang w:eastAsia="ar-SA"/>
              </w:rPr>
              <w:t>5</w:t>
            </w:r>
            <w:r>
              <w:rPr>
                <w:rFonts w:ascii="Times New Roman" w:eastAsia="SimSun" w:hAnsi="Times New Roman"/>
                <w:lang w:eastAsia="ar-SA"/>
              </w:rPr>
              <w:t>,</w:t>
            </w:r>
            <w:r w:rsidR="00943778">
              <w:rPr>
                <w:rFonts w:ascii="Times New Roman" w:eastAsia="SimSun" w:hAnsi="Times New Roman"/>
                <w:lang w:eastAsia="ar-SA"/>
              </w:rPr>
              <w:t>066</w:t>
            </w:r>
            <w:r>
              <w:rPr>
                <w:rFonts w:ascii="Times New Roman" w:eastAsia="SimSun" w:hAnsi="Times New Roman"/>
                <w:lang w:eastAsia="ar-SA"/>
              </w:rPr>
              <w:t>,</w:t>
            </w:r>
            <w:r w:rsidR="00943778">
              <w:rPr>
                <w:rFonts w:ascii="Times New Roman" w:eastAsia="SimSun" w:hAnsi="Times New Roman"/>
                <w:lang w:eastAsia="ar-SA"/>
              </w:rPr>
              <w:t>895</w:t>
            </w:r>
            <w:r w:rsidRPr="00A72857">
              <w:rPr>
                <w:rFonts w:ascii="Times New Roman" w:eastAsia="SimSun" w:hAnsi="Times New Roman"/>
                <w:lang w:eastAsia="ar-SA"/>
              </w:rPr>
              <w:t>***</w:t>
            </w:r>
          </w:p>
        </w:tc>
      </w:tr>
      <w:tr w14:paraId="6F19F80A" w14:textId="77777777" w:rsidTr="000E4C8B">
        <w:tblPrEx>
          <w:tblW w:w="11520" w:type="dxa"/>
          <w:tblInd w:w="-1085" w:type="dxa"/>
          <w:tblLook w:val="04A0"/>
        </w:tblPrEx>
        <w:tc>
          <w:tcPr>
            <w:tcW w:w="1416" w:type="dxa"/>
          </w:tcPr>
          <w:p w:rsidR="000E4C8B" w:rsidRPr="00A72857" w:rsidP="000E4C8B" w14:paraId="6D506A3E" w14:textId="77777777">
            <w:pPr>
              <w:widowControl w:val="0"/>
              <w:suppressAutoHyphens/>
              <w:rPr>
                <w:rFonts w:ascii="Times New Roman" w:eastAsia="SimSun" w:hAnsi="Times New Roman"/>
                <w:lang w:eastAsia="ar-SA"/>
              </w:rPr>
            </w:pPr>
            <w:r w:rsidRPr="00A72857">
              <w:rPr>
                <w:rFonts w:ascii="Times New Roman" w:eastAsia="SimSun" w:hAnsi="Times New Roman"/>
                <w:lang w:eastAsia="ar-SA"/>
              </w:rPr>
              <w:t>SSA-44</w:t>
            </w:r>
          </w:p>
        </w:tc>
        <w:tc>
          <w:tcPr>
            <w:tcW w:w="1552" w:type="dxa"/>
          </w:tcPr>
          <w:p w:rsidR="000E4C8B" w:rsidRPr="00A72857" w:rsidP="000E4C8B" w14:paraId="4108C0D0" w14:textId="77777777">
            <w:pPr>
              <w:widowControl w:val="0"/>
              <w:suppressAutoHyphens/>
              <w:jc w:val="right"/>
              <w:rPr>
                <w:rFonts w:ascii="Times New Roman" w:eastAsia="SimSun" w:hAnsi="Times New Roman"/>
                <w:lang w:eastAsia="ar-SA"/>
              </w:rPr>
            </w:pPr>
            <w:r w:rsidRPr="00A72857">
              <w:rPr>
                <w:rFonts w:ascii="Times New Roman" w:eastAsia="SimSun" w:hAnsi="Times New Roman"/>
                <w:lang w:eastAsia="ar-SA"/>
              </w:rPr>
              <w:t>76,645</w:t>
            </w:r>
          </w:p>
        </w:tc>
        <w:tc>
          <w:tcPr>
            <w:tcW w:w="1310" w:type="dxa"/>
          </w:tcPr>
          <w:p w:rsidR="000E4C8B" w:rsidRPr="00A72857" w:rsidP="000E4C8B" w14:paraId="07D9C1CF" w14:textId="77777777">
            <w:pPr>
              <w:widowControl w:val="0"/>
              <w:tabs>
                <w:tab w:val="left" w:pos="241"/>
              </w:tabs>
              <w:suppressAutoHyphens/>
              <w:snapToGrid w:val="0"/>
              <w:ind w:left="-104" w:firstLine="104"/>
              <w:jc w:val="right"/>
              <w:rPr>
                <w:rFonts w:ascii="Times New Roman" w:eastAsia="SimSun" w:hAnsi="Times New Roman"/>
                <w:lang w:eastAsia="ar-SA"/>
              </w:rPr>
            </w:pPr>
            <w:r w:rsidRPr="00A72857">
              <w:rPr>
                <w:rFonts w:ascii="Times New Roman" w:eastAsia="SimSun" w:hAnsi="Times New Roman"/>
                <w:lang w:eastAsia="ar-SA"/>
              </w:rPr>
              <w:t>1</w:t>
            </w:r>
          </w:p>
        </w:tc>
        <w:tc>
          <w:tcPr>
            <w:tcW w:w="1209" w:type="dxa"/>
          </w:tcPr>
          <w:p w:rsidR="000E4C8B" w:rsidRPr="00A72857" w:rsidP="000E4C8B" w14:paraId="47ECD84C" w14:textId="77777777">
            <w:pPr>
              <w:widowControl w:val="0"/>
              <w:suppressAutoHyphens/>
              <w:jc w:val="right"/>
              <w:rPr>
                <w:rFonts w:ascii="Times New Roman" w:eastAsia="SimSun" w:hAnsi="Times New Roman"/>
                <w:lang w:eastAsia="ar-SA"/>
              </w:rPr>
            </w:pPr>
            <w:r w:rsidRPr="00A72857">
              <w:rPr>
                <w:rFonts w:ascii="Times New Roman" w:eastAsia="SimSun" w:hAnsi="Times New Roman"/>
                <w:lang w:eastAsia="ar-SA"/>
              </w:rPr>
              <w:t>45</w:t>
            </w:r>
          </w:p>
        </w:tc>
        <w:tc>
          <w:tcPr>
            <w:tcW w:w="1260" w:type="dxa"/>
          </w:tcPr>
          <w:p w:rsidR="000E4C8B" w:rsidRPr="00A72857" w:rsidP="000E4C8B" w14:paraId="6432BAFE" w14:textId="77777777">
            <w:pPr>
              <w:widowControl w:val="0"/>
              <w:suppressAutoHyphens/>
              <w:jc w:val="right"/>
              <w:rPr>
                <w:rFonts w:ascii="Times New Roman" w:eastAsia="SimSun" w:hAnsi="Times New Roman"/>
                <w:lang w:eastAsia="ar-SA"/>
              </w:rPr>
            </w:pPr>
            <w:r w:rsidRPr="00A72857">
              <w:rPr>
                <w:rFonts w:ascii="Times New Roman" w:eastAsia="SimSun" w:hAnsi="Times New Roman"/>
                <w:lang w:eastAsia="ar-SA"/>
              </w:rPr>
              <w:t>57,484</w:t>
            </w:r>
          </w:p>
        </w:tc>
        <w:tc>
          <w:tcPr>
            <w:tcW w:w="1389" w:type="dxa"/>
          </w:tcPr>
          <w:p w:rsidR="000E4C8B" w:rsidRPr="00A72857" w:rsidP="000E4C8B" w14:paraId="093C84E2" w14:textId="22585426">
            <w:pPr>
              <w:widowControl w:val="0"/>
              <w:suppressAutoHyphens/>
              <w:snapToGrid w:val="0"/>
              <w:jc w:val="right"/>
              <w:rPr>
                <w:rFonts w:ascii="Times New Roman" w:eastAsia="SimSun" w:hAnsi="Times New Roman"/>
                <w:lang w:eastAsia="ar-SA"/>
              </w:rPr>
            </w:pPr>
            <w:r w:rsidRPr="00A72857">
              <w:rPr>
                <w:rFonts w:ascii="Times New Roman" w:eastAsia="SimSun" w:hAnsi="Times New Roman"/>
                <w:lang w:eastAsia="ar-SA"/>
              </w:rPr>
              <w:t>$</w:t>
            </w:r>
            <w:r w:rsidR="00943778">
              <w:rPr>
                <w:rFonts w:ascii="Times New Roman" w:hAnsi="Times New Roman"/>
              </w:rPr>
              <w:t>31.48</w:t>
            </w:r>
            <w:r w:rsidRPr="00A72857">
              <w:rPr>
                <w:rFonts w:ascii="Times New Roman" w:eastAsia="SimSun" w:hAnsi="Times New Roman"/>
                <w:lang w:eastAsia="ar-SA"/>
              </w:rPr>
              <w:t>*</w:t>
            </w:r>
          </w:p>
        </w:tc>
        <w:tc>
          <w:tcPr>
            <w:tcW w:w="1606" w:type="dxa"/>
          </w:tcPr>
          <w:p w:rsidR="000E4C8B" w:rsidRPr="00A72857" w:rsidP="000E4C8B" w14:paraId="71C28713" w14:textId="77777777">
            <w:pPr>
              <w:tabs>
                <w:tab w:val="left" w:pos="1350"/>
              </w:tabs>
              <w:suppressAutoHyphens/>
              <w:autoSpaceDE w:val="0"/>
              <w:autoSpaceDN w:val="0"/>
              <w:adjustRightInd w:val="0"/>
              <w:jc w:val="right"/>
              <w:rPr>
                <w:rFonts w:ascii="Times New Roman" w:eastAsia="SimSun" w:hAnsi="Times New Roman"/>
                <w:lang w:eastAsia="ar-SA"/>
              </w:rPr>
            </w:pPr>
            <w:r w:rsidRPr="00A72857">
              <w:rPr>
                <w:rFonts w:ascii="Times New Roman" w:eastAsia="SimSun" w:hAnsi="Times New Roman"/>
                <w:lang w:eastAsia="ar-SA"/>
              </w:rPr>
              <w:t>0</w:t>
            </w:r>
          </w:p>
        </w:tc>
        <w:tc>
          <w:tcPr>
            <w:tcW w:w="1778" w:type="dxa"/>
          </w:tcPr>
          <w:p w:rsidR="000E4C8B" w:rsidRPr="00A72857" w:rsidP="000E4C8B" w14:paraId="4EC4CDDA" w14:textId="24F56B89">
            <w:pPr>
              <w:tabs>
                <w:tab w:val="left" w:pos="1350"/>
              </w:tabs>
              <w:suppressAutoHyphens/>
              <w:autoSpaceDE w:val="0"/>
              <w:autoSpaceDN w:val="0"/>
              <w:adjustRightInd w:val="0"/>
              <w:jc w:val="right"/>
              <w:rPr>
                <w:rFonts w:ascii="Times New Roman" w:eastAsia="SimSun" w:hAnsi="Times New Roman"/>
                <w:lang w:eastAsia="ar-SA"/>
              </w:rPr>
            </w:pPr>
            <w:r>
              <w:rPr>
                <w:rFonts w:ascii="Times New Roman" w:eastAsia="SimSun" w:hAnsi="Times New Roman"/>
                <w:lang w:eastAsia="ar-SA"/>
              </w:rPr>
              <w:t>$</w:t>
            </w:r>
            <w:r w:rsidRPr="00A72857">
              <w:rPr>
                <w:rFonts w:ascii="Times New Roman" w:eastAsia="SimSun" w:hAnsi="Times New Roman"/>
                <w:lang w:eastAsia="ar-SA"/>
              </w:rPr>
              <w:t>1,</w:t>
            </w:r>
            <w:r w:rsidR="00943778">
              <w:rPr>
                <w:rFonts w:ascii="Times New Roman" w:eastAsia="SimSun" w:hAnsi="Times New Roman"/>
                <w:lang w:eastAsia="ar-SA"/>
              </w:rPr>
              <w:t>809,596</w:t>
            </w:r>
            <w:r w:rsidRPr="00A72857">
              <w:rPr>
                <w:rFonts w:ascii="Times New Roman" w:eastAsia="SimSun" w:hAnsi="Times New Roman"/>
                <w:lang w:eastAsia="ar-SA"/>
              </w:rPr>
              <w:t>***</w:t>
            </w:r>
          </w:p>
        </w:tc>
      </w:tr>
      <w:tr w14:paraId="29A6DE17" w14:textId="77777777" w:rsidTr="000E4C8B">
        <w:tblPrEx>
          <w:tblW w:w="11520" w:type="dxa"/>
          <w:tblInd w:w="-1085" w:type="dxa"/>
          <w:tblLook w:val="04A0"/>
        </w:tblPrEx>
        <w:tc>
          <w:tcPr>
            <w:tcW w:w="1416" w:type="dxa"/>
          </w:tcPr>
          <w:p w:rsidR="000E4C8B" w:rsidRPr="00A72857" w:rsidP="000E4C8B" w14:paraId="524D7B49" w14:textId="77777777">
            <w:pPr>
              <w:widowControl w:val="0"/>
              <w:suppressAutoHyphens/>
              <w:rPr>
                <w:rFonts w:ascii="Times New Roman" w:eastAsia="SimSun" w:hAnsi="Times New Roman"/>
                <w:b/>
                <w:lang w:eastAsia="ar-SA"/>
              </w:rPr>
            </w:pPr>
            <w:r w:rsidRPr="00A72857">
              <w:rPr>
                <w:rFonts w:ascii="Times New Roman" w:eastAsia="SimSun" w:hAnsi="Times New Roman"/>
                <w:b/>
                <w:lang w:eastAsia="ar-SA"/>
              </w:rPr>
              <w:t>Totals</w:t>
            </w:r>
          </w:p>
        </w:tc>
        <w:tc>
          <w:tcPr>
            <w:tcW w:w="1552" w:type="dxa"/>
          </w:tcPr>
          <w:p w:rsidR="000E4C8B" w:rsidRPr="00A72857" w:rsidP="000E4C8B" w14:paraId="017F8FD7" w14:textId="77777777">
            <w:pPr>
              <w:widowControl w:val="0"/>
              <w:suppressAutoHyphens/>
              <w:jc w:val="right"/>
              <w:rPr>
                <w:rFonts w:ascii="Times New Roman" w:eastAsia="SimSun" w:hAnsi="Times New Roman"/>
                <w:b/>
                <w:lang w:eastAsia="ar-SA"/>
              </w:rPr>
            </w:pPr>
            <w:r w:rsidRPr="00A72857">
              <w:rPr>
                <w:rFonts w:ascii="Times New Roman" w:eastAsia="SimSun" w:hAnsi="Times New Roman"/>
                <w:b/>
                <w:lang w:eastAsia="ar-SA"/>
              </w:rPr>
              <w:t>255,485</w:t>
            </w:r>
          </w:p>
        </w:tc>
        <w:tc>
          <w:tcPr>
            <w:tcW w:w="1310" w:type="dxa"/>
          </w:tcPr>
          <w:p w:rsidR="000E4C8B" w:rsidRPr="00A72857" w:rsidP="000E4C8B" w14:paraId="15BDE94D" w14:textId="77777777">
            <w:pPr>
              <w:widowControl w:val="0"/>
              <w:tabs>
                <w:tab w:val="left" w:pos="241"/>
              </w:tabs>
              <w:suppressAutoHyphens/>
              <w:snapToGrid w:val="0"/>
              <w:ind w:left="-104" w:firstLine="104"/>
              <w:jc w:val="right"/>
              <w:rPr>
                <w:rFonts w:ascii="Times New Roman" w:eastAsia="SimSun" w:hAnsi="Times New Roman"/>
                <w:b/>
                <w:lang w:eastAsia="ar-SA"/>
              </w:rPr>
            </w:pPr>
          </w:p>
        </w:tc>
        <w:tc>
          <w:tcPr>
            <w:tcW w:w="1209" w:type="dxa"/>
          </w:tcPr>
          <w:p w:rsidR="000E4C8B" w:rsidRPr="00A72857" w:rsidP="000E4C8B" w14:paraId="31ABD94F" w14:textId="77777777">
            <w:pPr>
              <w:widowControl w:val="0"/>
              <w:suppressAutoHyphens/>
              <w:jc w:val="right"/>
              <w:rPr>
                <w:rFonts w:ascii="Times New Roman" w:eastAsia="SimSun" w:hAnsi="Times New Roman"/>
                <w:b/>
                <w:lang w:eastAsia="ar-SA"/>
              </w:rPr>
            </w:pPr>
          </w:p>
        </w:tc>
        <w:tc>
          <w:tcPr>
            <w:tcW w:w="1260" w:type="dxa"/>
          </w:tcPr>
          <w:p w:rsidR="000E4C8B" w:rsidRPr="00A72857" w:rsidP="000E4C8B" w14:paraId="28BC82BB" w14:textId="77777777">
            <w:pPr>
              <w:widowControl w:val="0"/>
              <w:suppressAutoHyphens/>
              <w:jc w:val="right"/>
              <w:rPr>
                <w:rFonts w:ascii="Times New Roman" w:eastAsia="SimSun" w:hAnsi="Times New Roman"/>
                <w:b/>
                <w:lang w:eastAsia="ar-SA"/>
              </w:rPr>
            </w:pPr>
            <w:r w:rsidRPr="00A72857">
              <w:rPr>
                <w:rFonts w:ascii="Times New Roman" w:eastAsia="SimSun" w:hAnsi="Times New Roman"/>
                <w:b/>
                <w:lang w:eastAsia="ar-SA"/>
              </w:rPr>
              <w:t>146,904</w:t>
            </w:r>
          </w:p>
        </w:tc>
        <w:tc>
          <w:tcPr>
            <w:tcW w:w="1389" w:type="dxa"/>
          </w:tcPr>
          <w:p w:rsidR="000E4C8B" w:rsidRPr="00A72857" w:rsidP="000E4C8B" w14:paraId="62F005A7" w14:textId="77777777">
            <w:pPr>
              <w:widowControl w:val="0"/>
              <w:suppressAutoHyphens/>
              <w:snapToGrid w:val="0"/>
              <w:jc w:val="right"/>
              <w:rPr>
                <w:rFonts w:ascii="Times New Roman" w:eastAsia="SimSun" w:hAnsi="Times New Roman"/>
                <w:b/>
                <w:lang w:eastAsia="ar-SA"/>
              </w:rPr>
            </w:pPr>
          </w:p>
        </w:tc>
        <w:tc>
          <w:tcPr>
            <w:tcW w:w="1606" w:type="dxa"/>
          </w:tcPr>
          <w:p w:rsidR="000E4C8B" w:rsidRPr="00A72857" w:rsidP="000E4C8B" w14:paraId="2D15C554" w14:textId="77777777">
            <w:pPr>
              <w:tabs>
                <w:tab w:val="left" w:pos="1350"/>
              </w:tabs>
              <w:suppressAutoHyphens/>
              <w:autoSpaceDE w:val="0"/>
              <w:autoSpaceDN w:val="0"/>
              <w:adjustRightInd w:val="0"/>
              <w:jc w:val="right"/>
              <w:rPr>
                <w:rFonts w:ascii="Times New Roman" w:eastAsia="SimSun" w:hAnsi="Times New Roman"/>
                <w:b/>
                <w:lang w:eastAsia="ar-SA"/>
              </w:rPr>
            </w:pPr>
          </w:p>
        </w:tc>
        <w:tc>
          <w:tcPr>
            <w:tcW w:w="1778" w:type="dxa"/>
          </w:tcPr>
          <w:p w:rsidR="000E4C8B" w:rsidRPr="00A72857" w:rsidP="000E4C8B" w14:paraId="373FE7A8" w14:textId="714A1671">
            <w:pPr>
              <w:tabs>
                <w:tab w:val="left" w:pos="1350"/>
              </w:tabs>
              <w:suppressAutoHyphens/>
              <w:autoSpaceDE w:val="0"/>
              <w:autoSpaceDN w:val="0"/>
              <w:adjustRightInd w:val="0"/>
              <w:jc w:val="right"/>
              <w:rPr>
                <w:rFonts w:ascii="Times New Roman" w:eastAsia="SimSun" w:hAnsi="Times New Roman"/>
                <w:b/>
                <w:lang w:eastAsia="ar-SA"/>
              </w:rPr>
            </w:pPr>
            <w:r w:rsidRPr="00A72857">
              <w:rPr>
                <w:rFonts w:ascii="Times New Roman" w:eastAsia="SimSun" w:hAnsi="Times New Roman"/>
                <w:b/>
                <w:lang w:eastAsia="ar-SA"/>
              </w:rPr>
              <w:t>$</w:t>
            </w:r>
            <w:r w:rsidR="00943778">
              <w:rPr>
                <w:rFonts w:ascii="Times New Roman" w:eastAsia="SimSun" w:hAnsi="Times New Roman"/>
                <w:b/>
                <w:lang w:eastAsia="ar-SA"/>
              </w:rPr>
              <w:t>6,876,491</w:t>
            </w:r>
            <w:r w:rsidRPr="00A72857">
              <w:rPr>
                <w:rFonts w:ascii="Times New Roman" w:eastAsia="SimSun" w:hAnsi="Times New Roman"/>
                <w:b/>
                <w:lang w:eastAsia="ar-SA"/>
              </w:rPr>
              <w:t>***</w:t>
            </w:r>
          </w:p>
        </w:tc>
      </w:tr>
    </w:tbl>
    <w:p w:rsidR="000E4C8B" w:rsidP="000E4C8B" w14:paraId="01A2EBD4" w14:textId="77777777">
      <w:pPr>
        <w:pStyle w:val="ListParagraph"/>
        <w:ind w:right="-720"/>
        <w:rPr>
          <w:rFonts w:ascii="Times New Roman" w:hAnsi="Times New Roman"/>
        </w:rPr>
      </w:pPr>
      <w:r>
        <w:rPr>
          <w:rFonts w:ascii="Times New Roman" w:hAnsi="Times New Roman"/>
        </w:rPr>
        <w:t>* We based th</w:t>
      </w:r>
      <w:r w:rsidRPr="00257BB5">
        <w:rPr>
          <w:rFonts w:ascii="Times New Roman" w:hAnsi="Times New Roman"/>
        </w:rPr>
        <w:t>ese figures on average U.S. citizen’s hourly salary, as reported by Bureau of Labor Statistics data</w:t>
      </w:r>
      <w:r>
        <w:rPr>
          <w:rFonts w:ascii="Times New Roman" w:hAnsi="Times New Roman"/>
        </w:rPr>
        <w:t xml:space="preserve"> (</w:t>
      </w:r>
      <w:hyperlink r:id="rId5" w:history="1">
        <w:r w:rsidRPr="00257BB5">
          <w:rPr>
            <w:rStyle w:val="Hyperlink"/>
            <w:rFonts w:ascii="Times New Roman" w:hAnsi="Times New Roman"/>
          </w:rPr>
          <w:t>https://www.bls.gov/oes/current/oes434199.htm</w:t>
        </w:r>
      </w:hyperlink>
      <w:r>
        <w:rPr>
          <w:rFonts w:ascii="Times New Roman" w:hAnsi="Times New Roman"/>
        </w:rPr>
        <w:t>).</w:t>
      </w:r>
    </w:p>
    <w:p w:rsidR="00943778" w:rsidP="000E4C8B" w14:paraId="34270977" w14:textId="77777777">
      <w:pPr>
        <w:pStyle w:val="ListParagraph"/>
        <w:ind w:right="-720"/>
        <w:rPr>
          <w:rFonts w:ascii="Times New Roman" w:hAnsi="Times New Roman"/>
        </w:rPr>
      </w:pPr>
    </w:p>
    <w:p w:rsidR="000E4C8B" w:rsidP="000E4C8B" w14:paraId="623DE4D4" w14:textId="0B140A4C">
      <w:pPr>
        <w:pStyle w:val="ListParagraph"/>
        <w:ind w:right="-720"/>
        <w:rPr>
          <w:rFonts w:ascii="Times New Roman" w:hAnsi="Times New Roman"/>
        </w:rPr>
      </w:pPr>
      <w:r w:rsidRPr="00257BB5">
        <w:rPr>
          <w:rFonts w:ascii="Times New Roman" w:hAnsi="Times New Roman"/>
        </w:rPr>
        <w:t>** We based this figure on the average FY 202</w:t>
      </w:r>
      <w:r w:rsidR="00943778">
        <w:rPr>
          <w:rFonts w:ascii="Times New Roman" w:hAnsi="Times New Roman"/>
        </w:rPr>
        <w:t>4</w:t>
      </w:r>
      <w:r w:rsidRPr="00257BB5">
        <w:rPr>
          <w:rFonts w:ascii="Times New Roman" w:hAnsi="Times New Roman"/>
        </w:rPr>
        <w:t xml:space="preserve"> wait times for field offices, based on SSA’s current management information data</w:t>
      </w:r>
      <w:r>
        <w:rPr>
          <w:rFonts w:ascii="Times New Roman" w:hAnsi="Times New Roman"/>
        </w:rPr>
        <w:t>.</w:t>
      </w:r>
    </w:p>
    <w:p w:rsidR="00943778" w:rsidP="000E4C8B" w14:paraId="7F0CC19D" w14:textId="77777777">
      <w:pPr>
        <w:pStyle w:val="ListParagraph"/>
        <w:ind w:right="-720"/>
        <w:rPr>
          <w:rFonts w:ascii="Times New Roman" w:hAnsi="Times New Roman"/>
        </w:rPr>
      </w:pPr>
    </w:p>
    <w:p w:rsidR="000E4C8B" w:rsidP="000E4C8B" w14:paraId="7B80776C" w14:textId="77777777">
      <w:pPr>
        <w:pStyle w:val="ListParagraph"/>
        <w:ind w:right="-720"/>
        <w:rPr>
          <w:rFonts w:ascii="Times New Roman" w:hAnsi="Times New Roman"/>
          <w:b/>
          <w:u w:val="single"/>
        </w:rPr>
      </w:pPr>
      <w:r w:rsidRPr="00257BB5">
        <w:rPr>
          <w:rFonts w:ascii="Times New Roman" w:hAnsi="Times New Roman"/>
        </w:rPr>
        <w:t xml:space="preserve">*** This figure does not represent actual costs that SSA is imposing on recipients of Social Security payments to complete this application; rather, these are theoretical opportunity costs for </w:t>
      </w:r>
      <w:r w:rsidRPr="00257BB5">
        <w:rPr>
          <w:rFonts w:ascii="Times New Roman" w:hAnsi="Times New Roman"/>
        </w:rPr>
        <w:t>the additional time respondents will spend to complete the application.</w:t>
      </w:r>
      <w:r w:rsidRPr="00257BB5">
        <w:rPr>
          <w:rFonts w:ascii="Times New Roman" w:hAnsi="Times New Roman"/>
          <w:b/>
        </w:rPr>
        <w:t xml:space="preserve">  </w:t>
      </w:r>
      <w:r w:rsidRPr="00257BB5">
        <w:rPr>
          <w:rFonts w:ascii="Times New Roman" w:hAnsi="Times New Roman"/>
          <w:b/>
          <w:u w:val="single"/>
        </w:rPr>
        <w:t>There is no actual charge to respondents to complete the application</w:t>
      </w:r>
      <w:r>
        <w:rPr>
          <w:rFonts w:ascii="Times New Roman" w:hAnsi="Times New Roman"/>
          <w:b/>
          <w:u w:val="single"/>
        </w:rPr>
        <w:t>.</w:t>
      </w:r>
    </w:p>
    <w:p w:rsidR="000E4C8B" w:rsidP="000E4C8B" w14:paraId="0A7270CF" w14:textId="77777777">
      <w:pPr>
        <w:pStyle w:val="ListParagraph"/>
        <w:ind w:right="-720"/>
        <w:rPr>
          <w:rFonts w:ascii="Times New Roman" w:hAnsi="Times New Roman"/>
          <w:b/>
          <w:u w:val="single"/>
        </w:rPr>
      </w:pPr>
    </w:p>
    <w:p w:rsidR="000E4C8B" w:rsidRPr="000E4C8B" w:rsidP="000E4C8B" w14:paraId="635E715D" w14:textId="77777777">
      <w:pPr>
        <w:pStyle w:val="ListParagraph"/>
        <w:ind w:right="-720"/>
        <w:rPr>
          <w:rFonts w:ascii="Times New Roman" w:eastAsia="SimSun" w:hAnsi="Times New Roman"/>
          <w:lang w:eastAsia="ar-SA"/>
        </w:rPr>
      </w:pPr>
      <w:r w:rsidRPr="00535D1F">
        <w:rPr>
          <w:rFonts w:ascii="Times New Roman" w:eastAsia="SimSun" w:hAnsi="Times New Roman"/>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r>
        <w:rPr>
          <w:rFonts w:ascii="Times New Roman" w:eastAsia="SimSun" w:hAnsi="Times New Roman"/>
          <w:lang w:eastAsia="ar-SA"/>
        </w:rPr>
        <w:t>:</w:t>
      </w:r>
    </w:p>
    <w:tbl>
      <w:tblPr>
        <w:tblStyle w:val="TableGrid"/>
        <w:tblW w:w="0" w:type="auto"/>
        <w:tblInd w:w="720" w:type="dxa"/>
        <w:tblLook w:val="04A0"/>
      </w:tblPr>
      <w:tblGrid>
        <w:gridCol w:w="1726"/>
        <w:gridCol w:w="1726"/>
        <w:gridCol w:w="1726"/>
        <w:gridCol w:w="1726"/>
        <w:gridCol w:w="1726"/>
      </w:tblGrid>
      <w:tr w14:paraId="1A87CA3B" w14:textId="77777777" w:rsidTr="00943778">
        <w:tblPrEx>
          <w:tblW w:w="0" w:type="auto"/>
          <w:tblInd w:w="720" w:type="dxa"/>
          <w:tblLook w:val="04A0"/>
        </w:tblPrEx>
        <w:trPr>
          <w:trHeight w:val="1457"/>
        </w:trPr>
        <w:tc>
          <w:tcPr>
            <w:tcW w:w="1726" w:type="dxa"/>
          </w:tcPr>
          <w:p w:rsidR="00341BE6" w:rsidRPr="00535D1F" w:rsidP="00341BE6" w14:paraId="392FF785" w14:textId="77777777">
            <w:pPr>
              <w:rPr>
                <w:rFonts w:ascii="Times New Roman" w:eastAsia="SimSun" w:hAnsi="Times New Roman"/>
                <w:lang w:eastAsia="ar-SA"/>
              </w:rPr>
            </w:pPr>
            <w:r w:rsidRPr="00535D1F">
              <w:rPr>
                <w:rFonts w:ascii="Times New Roman" w:eastAsia="SimSun" w:hAnsi="Times New Roman"/>
                <w:lang w:eastAsia="ar-SA"/>
              </w:rPr>
              <w:t>Total Number of Respondents Who Visit a Field Office</w:t>
            </w:r>
          </w:p>
        </w:tc>
        <w:tc>
          <w:tcPr>
            <w:tcW w:w="1726" w:type="dxa"/>
          </w:tcPr>
          <w:p w:rsidR="00341BE6" w:rsidRPr="00535D1F" w:rsidP="00341BE6" w14:paraId="00377107" w14:textId="77777777">
            <w:pPr>
              <w:rPr>
                <w:rFonts w:ascii="Times New Roman" w:eastAsia="SimSun" w:hAnsi="Times New Roman"/>
                <w:lang w:eastAsia="ar-SA"/>
              </w:rPr>
            </w:pPr>
            <w:r w:rsidRPr="00535D1F">
              <w:rPr>
                <w:rFonts w:ascii="Times New Roman" w:eastAsia="SimSun" w:hAnsi="Times New Roman"/>
                <w:lang w:eastAsia="ar-SA"/>
              </w:rPr>
              <w:t>Frequency of Response</w:t>
            </w:r>
          </w:p>
        </w:tc>
        <w:tc>
          <w:tcPr>
            <w:tcW w:w="1726" w:type="dxa"/>
          </w:tcPr>
          <w:p w:rsidR="00341BE6" w:rsidRPr="00535D1F" w:rsidP="00341BE6" w14:paraId="69F7C67F" w14:textId="77777777">
            <w:pPr>
              <w:rPr>
                <w:rFonts w:ascii="Times New Roman" w:eastAsia="SimSun" w:hAnsi="Times New Roman"/>
                <w:lang w:eastAsia="ar-SA"/>
              </w:rPr>
            </w:pPr>
            <w:r w:rsidRPr="00535D1F">
              <w:rPr>
                <w:rFonts w:ascii="Times New Roman" w:eastAsia="SimSun" w:hAnsi="Times New Roman"/>
                <w:lang w:eastAsia="ar-SA"/>
              </w:rPr>
              <w:t>Average One-Way Travel Time to a Field Office (minutes)</w:t>
            </w:r>
          </w:p>
        </w:tc>
        <w:tc>
          <w:tcPr>
            <w:tcW w:w="1726" w:type="dxa"/>
          </w:tcPr>
          <w:p w:rsidR="00341BE6" w:rsidRPr="00535D1F" w:rsidP="00341BE6" w14:paraId="6186F5BD" w14:textId="77777777">
            <w:pPr>
              <w:rPr>
                <w:rFonts w:ascii="Times New Roman" w:eastAsia="SimSun" w:hAnsi="Times New Roman"/>
                <w:lang w:eastAsia="ar-SA"/>
              </w:rPr>
            </w:pPr>
            <w:r w:rsidRPr="00535D1F">
              <w:rPr>
                <w:rFonts w:ascii="Times New Roman" w:eastAsia="SimSun" w:hAnsi="Times New Roman"/>
                <w:lang w:eastAsia="ar-SA"/>
              </w:rPr>
              <w:t>Estimated Total Travel Time to a Field Office (hours)</w:t>
            </w:r>
          </w:p>
        </w:tc>
        <w:tc>
          <w:tcPr>
            <w:tcW w:w="1726" w:type="dxa"/>
          </w:tcPr>
          <w:p w:rsidR="00341BE6" w:rsidRPr="00535D1F" w:rsidP="00341BE6" w14:paraId="118E48B4" w14:textId="77777777">
            <w:pPr>
              <w:rPr>
                <w:rFonts w:ascii="Times New Roman" w:eastAsia="SimSun" w:hAnsi="Times New Roman"/>
                <w:lang w:eastAsia="ar-SA"/>
              </w:rPr>
            </w:pPr>
            <w:r w:rsidRPr="00535D1F">
              <w:rPr>
                <w:rFonts w:ascii="Times New Roman" w:eastAsia="SimSun" w:hAnsi="Times New Roman"/>
                <w:lang w:eastAsia="ar-SA"/>
              </w:rPr>
              <w:t>Total Annual Opportunity Cost for Travel Time (dollars)****</w:t>
            </w:r>
          </w:p>
        </w:tc>
      </w:tr>
      <w:tr w14:paraId="366E4FA5" w14:textId="77777777" w:rsidTr="00943778">
        <w:tblPrEx>
          <w:tblW w:w="0" w:type="auto"/>
          <w:tblInd w:w="720" w:type="dxa"/>
          <w:tblLook w:val="04A0"/>
        </w:tblPrEx>
        <w:trPr>
          <w:trHeight w:val="260"/>
        </w:trPr>
        <w:tc>
          <w:tcPr>
            <w:tcW w:w="1726" w:type="dxa"/>
          </w:tcPr>
          <w:p w:rsidR="00341BE6" w:rsidRPr="00535D1F" w:rsidP="00943778" w14:paraId="6665ECAF" w14:textId="77777777">
            <w:pPr>
              <w:jc w:val="right"/>
              <w:rPr>
                <w:rFonts w:ascii="Times New Roman" w:eastAsia="SimSun" w:hAnsi="Times New Roman"/>
                <w:lang w:eastAsia="ar-SA"/>
              </w:rPr>
            </w:pPr>
            <w:r>
              <w:rPr>
                <w:rFonts w:ascii="Times New Roman" w:eastAsia="SimSun" w:hAnsi="Times New Roman"/>
                <w:lang w:eastAsia="ar-SA"/>
              </w:rPr>
              <w:t>178,840</w:t>
            </w:r>
          </w:p>
        </w:tc>
        <w:tc>
          <w:tcPr>
            <w:tcW w:w="1726" w:type="dxa"/>
          </w:tcPr>
          <w:p w:rsidR="00341BE6" w:rsidRPr="00535D1F" w:rsidP="00341BE6" w14:paraId="6F35D8B4" w14:textId="77777777">
            <w:pPr>
              <w:jc w:val="right"/>
              <w:rPr>
                <w:rFonts w:ascii="Times New Roman" w:eastAsia="SimSun" w:hAnsi="Times New Roman"/>
                <w:lang w:eastAsia="ar-SA"/>
              </w:rPr>
            </w:pPr>
            <w:r w:rsidRPr="00535D1F">
              <w:rPr>
                <w:rFonts w:ascii="Times New Roman" w:eastAsia="SimSun" w:hAnsi="Times New Roman"/>
                <w:lang w:eastAsia="ar-SA"/>
              </w:rPr>
              <w:t>1</w:t>
            </w:r>
          </w:p>
        </w:tc>
        <w:tc>
          <w:tcPr>
            <w:tcW w:w="1726" w:type="dxa"/>
          </w:tcPr>
          <w:p w:rsidR="00341BE6" w:rsidRPr="00535D1F" w:rsidP="00341BE6" w14:paraId="7FC75724" w14:textId="77777777">
            <w:pPr>
              <w:jc w:val="right"/>
              <w:rPr>
                <w:rFonts w:ascii="Times New Roman" w:eastAsia="SimSun" w:hAnsi="Times New Roman"/>
                <w:lang w:eastAsia="ar-SA"/>
              </w:rPr>
            </w:pPr>
            <w:r w:rsidRPr="00535D1F">
              <w:rPr>
                <w:rFonts w:ascii="Times New Roman" w:eastAsia="SimSun" w:hAnsi="Times New Roman"/>
                <w:lang w:eastAsia="ar-SA"/>
              </w:rPr>
              <w:t>30</w:t>
            </w:r>
          </w:p>
        </w:tc>
        <w:tc>
          <w:tcPr>
            <w:tcW w:w="1726" w:type="dxa"/>
          </w:tcPr>
          <w:p w:rsidR="00341BE6" w:rsidRPr="00535D1F" w:rsidP="00341BE6" w14:paraId="1D66F3B2" w14:textId="77777777">
            <w:pPr>
              <w:jc w:val="right"/>
              <w:rPr>
                <w:rFonts w:ascii="Times New Roman" w:eastAsia="SimSun" w:hAnsi="Times New Roman"/>
                <w:lang w:eastAsia="ar-SA"/>
              </w:rPr>
            </w:pPr>
            <w:r>
              <w:rPr>
                <w:rFonts w:ascii="Times New Roman" w:eastAsia="SimSun" w:hAnsi="Times New Roman"/>
                <w:lang w:eastAsia="ar-SA"/>
              </w:rPr>
              <w:t>89,420</w:t>
            </w:r>
          </w:p>
        </w:tc>
        <w:tc>
          <w:tcPr>
            <w:tcW w:w="1726" w:type="dxa"/>
          </w:tcPr>
          <w:p w:rsidR="00341BE6" w:rsidRPr="00535D1F" w:rsidP="00341BE6" w14:paraId="119FB1A2" w14:textId="73FA3149">
            <w:pPr>
              <w:jc w:val="right"/>
              <w:rPr>
                <w:rFonts w:ascii="Times New Roman" w:eastAsia="SimSun" w:hAnsi="Times New Roman"/>
                <w:lang w:eastAsia="ar-SA"/>
              </w:rPr>
            </w:pPr>
            <w:r w:rsidRPr="00535D1F">
              <w:rPr>
                <w:rFonts w:ascii="Times New Roman" w:eastAsia="SimSun" w:hAnsi="Times New Roman"/>
                <w:lang w:eastAsia="ar-SA"/>
              </w:rPr>
              <w:t>$</w:t>
            </w:r>
            <w:r w:rsidR="00943778">
              <w:rPr>
                <w:rFonts w:ascii="Times New Roman" w:eastAsia="SimSun" w:hAnsi="Times New Roman"/>
                <w:lang w:eastAsia="ar-SA"/>
              </w:rPr>
              <w:t>2,814,942</w:t>
            </w:r>
            <w:r>
              <w:rPr>
                <w:rFonts w:ascii="Times New Roman" w:eastAsia="SimSun" w:hAnsi="Times New Roman"/>
                <w:lang w:eastAsia="ar-SA"/>
              </w:rPr>
              <w:t>***</w:t>
            </w:r>
          </w:p>
        </w:tc>
      </w:tr>
    </w:tbl>
    <w:p w:rsidR="000E4C8B" w:rsidP="000E4C8B" w14:paraId="40F244D5" w14:textId="77777777">
      <w:pPr>
        <w:pStyle w:val="ListParagraph"/>
        <w:ind w:right="-720"/>
        <w:rPr>
          <w:rFonts w:ascii="Times New Roman" w:eastAsia="SimSun" w:hAnsi="Times New Roman"/>
          <w:lang w:eastAsia="ar-SA"/>
        </w:rPr>
      </w:pPr>
      <w:r w:rsidRPr="00535D1F">
        <w:rPr>
          <w:rFonts w:ascii="Times New Roman" w:eastAsia="SimSun" w:hAnsi="Times New Roman"/>
          <w:lang w:eastAsia="ar-SA"/>
        </w:rPr>
        <w:t>****We based this dollar amount on the Average Theoretical Hourly Cost Amount in dollars shown on the burden chart above.</w:t>
      </w:r>
    </w:p>
    <w:p w:rsidR="00341BE6" w:rsidP="000E4C8B" w14:paraId="29477BB1" w14:textId="77777777">
      <w:pPr>
        <w:pStyle w:val="ListParagraph"/>
        <w:ind w:right="-720"/>
        <w:rPr>
          <w:rFonts w:ascii="Times New Roman" w:eastAsia="SimSun" w:hAnsi="Times New Roman"/>
          <w:lang w:eastAsia="ar-SA"/>
        </w:rPr>
      </w:pPr>
    </w:p>
    <w:p w:rsidR="000E4C8B" w:rsidP="000E4C8B" w14:paraId="366106C0" w14:textId="77777777">
      <w:pPr>
        <w:pStyle w:val="ListParagraph"/>
        <w:ind w:right="-720"/>
        <w:rPr>
          <w:rFonts w:ascii="Times New Roman" w:eastAsia="SimSun" w:hAnsi="Times New Roman"/>
          <w:lang w:eastAsia="ar-SA"/>
        </w:rPr>
      </w:pPr>
      <w:r w:rsidRPr="00535D1F">
        <w:rPr>
          <w:rFonts w:ascii="Times New Roman" w:eastAsia="SimSun" w:hAnsi="Times New Roman"/>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Pr>
          <w:rFonts w:ascii="Times New Roman" w:eastAsia="SimSun" w:hAnsi="Times New Roman"/>
          <w:lang w:eastAsia="ar-SA"/>
        </w:rPr>
        <w:t>.</w:t>
      </w:r>
    </w:p>
    <w:p w:rsidR="00341BE6" w:rsidP="000E4C8B" w14:paraId="434CB83C" w14:textId="77777777">
      <w:pPr>
        <w:pStyle w:val="ListParagraph"/>
        <w:ind w:right="-720"/>
        <w:rPr>
          <w:rFonts w:ascii="Times New Roman" w:eastAsia="SimSun" w:hAnsi="Times New Roman"/>
          <w:lang w:eastAsia="ar-SA"/>
        </w:rPr>
      </w:pPr>
    </w:p>
    <w:p w:rsidR="00341BE6" w:rsidP="000E4C8B" w14:paraId="7144B062" w14:textId="77777777">
      <w:pPr>
        <w:pStyle w:val="ListParagraph"/>
        <w:ind w:right="-720"/>
        <w:rPr>
          <w:rFonts w:ascii="Times New Roman" w:eastAsia="SimSun" w:hAnsi="Times New Roman"/>
          <w:lang w:eastAsia="ar-SA"/>
        </w:rPr>
      </w:pPr>
      <w:r w:rsidRPr="00535D1F">
        <w:rPr>
          <w:rFonts w:ascii="Times New Roman" w:eastAsia="SimSun" w:hAnsi="Times New Roman"/>
          <w:lang w:eastAsia="ar-SA"/>
        </w:rPr>
        <w:t>NOTE:  We included the total opportunity cost estimate from this chart in our calculations when showing the total time and opportunity cost estimates in the paragraph below</w:t>
      </w:r>
      <w:r>
        <w:rPr>
          <w:rFonts w:ascii="Times New Roman" w:eastAsia="SimSun" w:hAnsi="Times New Roman"/>
          <w:lang w:eastAsia="ar-SA"/>
        </w:rPr>
        <w:t>.</w:t>
      </w:r>
    </w:p>
    <w:p w:rsidR="00341BE6" w:rsidP="000E4C8B" w14:paraId="732F9097" w14:textId="77777777">
      <w:pPr>
        <w:pStyle w:val="ListParagraph"/>
        <w:ind w:right="-720"/>
        <w:rPr>
          <w:rFonts w:ascii="Times New Roman" w:eastAsia="SimSun" w:hAnsi="Times New Roman"/>
          <w:lang w:eastAsia="ar-SA"/>
        </w:rPr>
      </w:pPr>
    </w:p>
    <w:p w:rsidR="000E4C8B" w:rsidRPr="00341BE6" w:rsidP="00341BE6" w14:paraId="02CAEDC4" w14:textId="5EF74795">
      <w:pPr>
        <w:pStyle w:val="ListParagraph"/>
        <w:ind w:right="-720"/>
        <w:rPr>
          <w:rFonts w:ascii="Times New Roman" w:hAnsi="Times New Roman"/>
        </w:rPr>
      </w:pPr>
      <w:r w:rsidRPr="00535D1F">
        <w:rPr>
          <w:rFonts w:ascii="Times New Roman" w:eastAsia="SimSun" w:hAnsi="Times New Roman"/>
          <w:color w:val="000000"/>
          <w:lang w:eastAsia="ar-SA"/>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535D1F">
        <w:rPr>
          <w:rFonts w:ascii="Times New Roman" w:eastAsia="SimSun" w:hAnsi="Times New Roman"/>
          <w:lang w:eastAsia="ar-SA"/>
        </w:rPr>
        <w:t>instructions, gathering the facts, and answering the questions</w:t>
      </w:r>
      <w:r w:rsidRPr="00535D1F">
        <w:rPr>
          <w:rFonts w:ascii="Times New Roman" w:eastAsia="SimSun" w:hAnsi="Times New Roman"/>
          <w:color w:val="000000"/>
          <w:lang w:eastAsia="ar-SA"/>
        </w:rPr>
        <w:t xml:space="preserve">.  Based on our current management information data, the current burden information we provided is accurate.  </w:t>
      </w:r>
      <w:r w:rsidRPr="00535D1F">
        <w:rPr>
          <w:rFonts w:ascii="Times New Roman" w:eastAsia="SimSun" w:hAnsi="Times New Roman"/>
          <w:lang w:eastAsia="ar-SA"/>
        </w:rPr>
        <w:t xml:space="preserve">The total burden for this collection instrument is </w:t>
      </w:r>
      <w:r w:rsidRPr="00D112C6">
        <w:rPr>
          <w:rFonts w:ascii="Times New Roman" w:eastAsia="SimSun" w:hAnsi="Times New Roman"/>
          <w:b/>
          <w:lang w:eastAsia="ar-SA"/>
        </w:rPr>
        <w:t>146,904</w:t>
      </w:r>
      <w:r w:rsidRPr="00535D1F">
        <w:rPr>
          <w:rFonts w:ascii="Times New Roman" w:eastAsia="SimSun" w:hAnsi="Times New Roman"/>
          <w:lang w:eastAsia="ar-SA"/>
        </w:rPr>
        <w:t xml:space="preserve"> burden hours (reflecting SSA management information data), which results in an associated theoretical (not actual) opportunity cost financial burden of </w:t>
      </w:r>
      <w:r>
        <w:rPr>
          <w:rFonts w:ascii="Times New Roman" w:eastAsia="SimSun" w:hAnsi="Times New Roman"/>
          <w:b/>
          <w:lang w:eastAsia="ar-SA"/>
        </w:rPr>
        <w:t>$9,</w:t>
      </w:r>
      <w:r w:rsidR="00943778">
        <w:rPr>
          <w:rFonts w:ascii="Times New Roman" w:eastAsia="SimSun" w:hAnsi="Times New Roman"/>
          <w:b/>
          <w:lang w:eastAsia="ar-SA"/>
        </w:rPr>
        <w:t>691,433.</w:t>
      </w:r>
      <w:r w:rsidRPr="00535D1F">
        <w:rPr>
          <w:rFonts w:ascii="Times New Roman" w:eastAsia="SimSun" w:hAnsi="Times New Roman"/>
          <w:lang w:eastAsia="ar-SA"/>
        </w:rPr>
        <w:t xml:space="preserve">  SSA does not charge respondents to complete our applications</w:t>
      </w:r>
      <w:r>
        <w:rPr>
          <w:rFonts w:ascii="Times New Roman" w:eastAsia="SimSun" w:hAnsi="Times New Roman"/>
          <w:lang w:eastAsia="ar-SA"/>
        </w:rPr>
        <w:t>.</w:t>
      </w:r>
    </w:p>
    <w:p w:rsidR="000E4C8B" w:rsidP="000E4C8B" w14:paraId="3E1023E3" w14:textId="77777777">
      <w:pPr>
        <w:pStyle w:val="ListParagraph"/>
        <w:ind w:right="-720"/>
        <w:rPr>
          <w:rFonts w:ascii="Times New Roman" w:hAnsi="Times New Roman"/>
          <w:b/>
          <w:bCs/>
        </w:rPr>
      </w:pPr>
    </w:p>
    <w:p w:rsidR="003537D7" w:rsidRPr="00341BE6" w:rsidP="003537D7" w14:paraId="0C3D9157" w14:textId="77777777">
      <w:pPr>
        <w:pStyle w:val="ListParagraph"/>
        <w:numPr>
          <w:ilvl w:val="0"/>
          <w:numId w:val="23"/>
        </w:numPr>
        <w:ind w:right="-720"/>
        <w:rPr>
          <w:rFonts w:ascii="Times New Roman" w:hAnsi="Times New Roman"/>
          <w:b/>
          <w:bCs/>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341BE6" w:rsidP="00341BE6" w14:paraId="30FD60DE" w14:textId="77777777">
      <w:pPr>
        <w:pStyle w:val="ListParagraph"/>
        <w:ind w:right="-720"/>
        <w:rPr>
          <w:rFonts w:ascii="Times New Roman" w:hAnsi="Times New Roman"/>
          <w:b/>
        </w:rPr>
      </w:pPr>
      <w:r>
        <w:rPr>
          <w:rFonts w:ascii="Times New Roman" w:hAnsi="Times New Roman"/>
        </w:rPr>
        <w:t>T</w:t>
      </w:r>
      <w:r w:rsidRPr="00747114">
        <w:rPr>
          <w:rFonts w:ascii="Times New Roman" w:hAnsi="Times New Roman"/>
        </w:rPr>
        <w:t>his collection does not impose a known cost burden</w:t>
      </w:r>
      <w:r>
        <w:rPr>
          <w:rFonts w:ascii="Times New Roman" w:hAnsi="Times New Roman"/>
        </w:rPr>
        <w:t xml:space="preserve"> on</w:t>
      </w:r>
      <w:r w:rsidRPr="00747114">
        <w:rPr>
          <w:rFonts w:ascii="Times New Roman" w:hAnsi="Times New Roman"/>
        </w:rPr>
        <w:t xml:space="preserve"> the respondents</w:t>
      </w:r>
      <w:r>
        <w:rPr>
          <w:rFonts w:ascii="Times New Roman" w:hAnsi="Times New Roman"/>
        </w:rPr>
        <w:t>.</w:t>
      </w:r>
    </w:p>
    <w:p w:rsidR="00341BE6" w:rsidP="00341BE6" w14:paraId="0379E936" w14:textId="77777777">
      <w:pPr>
        <w:pStyle w:val="ListParagraph"/>
        <w:ind w:right="-720"/>
        <w:rPr>
          <w:rFonts w:ascii="Times New Roman" w:hAnsi="Times New Roman"/>
          <w:b/>
          <w:bCs/>
        </w:rPr>
      </w:pPr>
    </w:p>
    <w:p w:rsidR="00943778" w:rsidP="00341BE6" w14:paraId="48FC8AF9" w14:textId="77777777">
      <w:pPr>
        <w:pStyle w:val="ListParagraph"/>
        <w:ind w:right="-720"/>
        <w:rPr>
          <w:rFonts w:ascii="Times New Roman" w:hAnsi="Times New Roman"/>
          <w:b/>
          <w:bCs/>
        </w:rPr>
      </w:pPr>
    </w:p>
    <w:p w:rsidR="00943778" w:rsidP="00341BE6" w14:paraId="22E6263C" w14:textId="77777777">
      <w:pPr>
        <w:pStyle w:val="ListParagraph"/>
        <w:ind w:right="-720"/>
        <w:rPr>
          <w:rFonts w:ascii="Times New Roman" w:hAnsi="Times New Roman"/>
          <w:b/>
          <w:bCs/>
        </w:rPr>
      </w:pPr>
    </w:p>
    <w:p w:rsidR="003537D7" w:rsidRPr="00341BE6" w:rsidP="003537D7" w14:paraId="76F477CF" w14:textId="77777777">
      <w:pPr>
        <w:pStyle w:val="ListParagraph"/>
        <w:numPr>
          <w:ilvl w:val="0"/>
          <w:numId w:val="23"/>
        </w:numPr>
        <w:ind w:right="-720"/>
        <w:rPr>
          <w:rFonts w:ascii="Times New Roman" w:hAnsi="Times New Roman"/>
          <w:b/>
          <w:bCs/>
        </w:rPr>
      </w:pPr>
      <w:r w:rsidRPr="00262EC2">
        <w:rPr>
          <w:rFonts w:ascii="Times New Roman" w:hAnsi="Times New Roman"/>
          <w:b/>
        </w:rPr>
        <w:t>Annual Cost to Federal Government</w:t>
      </w:r>
    </w:p>
    <w:p w:rsidR="00341BE6" w:rsidP="00341BE6" w14:paraId="1BA52D13" w14:textId="77777777">
      <w:pPr>
        <w:pStyle w:val="ListParagraph"/>
        <w:ind w:right="-720"/>
        <w:rPr>
          <w:rFonts w:ascii="Times New Roman" w:eastAsia="Calibri" w:hAnsi="Times New Roman"/>
          <w:color w:val="000000"/>
        </w:rPr>
      </w:pPr>
      <w:r w:rsidRPr="009E1D95">
        <w:rPr>
          <w:rFonts w:ascii="Times New Roman" w:eastAsia="Calibri" w:hAnsi="Times New Roman"/>
          <w:color w:val="000000"/>
        </w:rPr>
        <w:t>The annual cost to the Federa</w:t>
      </w:r>
      <w:r>
        <w:rPr>
          <w:rFonts w:ascii="Times New Roman" w:eastAsia="Calibri" w:hAnsi="Times New Roman"/>
          <w:color w:val="000000"/>
        </w:rPr>
        <w:t xml:space="preserve">l Government is approximately </w:t>
      </w:r>
      <w:r w:rsidRPr="00571280">
        <w:rPr>
          <w:rFonts w:ascii="Times New Roman" w:eastAsia="Calibri" w:hAnsi="Times New Roman"/>
          <w:b/>
          <w:color w:val="000000"/>
        </w:rPr>
        <w:t>$244,079,109</w:t>
      </w:r>
      <w:r>
        <w:rPr>
          <w:rFonts w:ascii="Times New Roman" w:eastAsia="Calibri" w:hAnsi="Times New Roman"/>
          <w:color w:val="000000"/>
        </w:rPr>
        <w:t xml:space="preserve">.  </w:t>
      </w:r>
      <w:r w:rsidRPr="009E1D95">
        <w:rPr>
          <w:rFonts w:ascii="Times New Roman" w:eastAsia="Calibri" w:hAnsi="Times New Roman"/>
          <w:color w:val="000000"/>
        </w:rPr>
        <w:t>This estimate accounts for costs from the following areas</w:t>
      </w:r>
      <w:r>
        <w:rPr>
          <w:rFonts w:ascii="Times New Roman" w:eastAsia="Calibri" w:hAnsi="Times New Roman"/>
          <w:color w:val="000000"/>
        </w:rPr>
        <w:t>:</w:t>
      </w:r>
    </w:p>
    <w:p w:rsidR="00341BE6" w:rsidP="00341BE6" w14:paraId="2ABEE288" w14:textId="77777777">
      <w:pPr>
        <w:pStyle w:val="ListParagraph"/>
        <w:ind w:right="-720"/>
        <w:rPr>
          <w:rFonts w:ascii="Times New Roman" w:eastAsia="Calibri" w:hAnsi="Times New Roman"/>
          <w:color w:val="000000"/>
        </w:rPr>
      </w:pPr>
    </w:p>
    <w:tbl>
      <w:tblPr>
        <w:tblStyle w:val="TableGrid"/>
        <w:tblW w:w="0" w:type="auto"/>
        <w:tblInd w:w="720" w:type="dxa"/>
        <w:tblLook w:val="04A0"/>
      </w:tblPr>
      <w:tblGrid>
        <w:gridCol w:w="2876"/>
        <w:gridCol w:w="2877"/>
        <w:gridCol w:w="2877"/>
      </w:tblGrid>
      <w:tr w14:paraId="4D3A81D0" w14:textId="77777777" w:rsidTr="00341BE6">
        <w:tblPrEx>
          <w:tblW w:w="0" w:type="auto"/>
          <w:tblInd w:w="720" w:type="dxa"/>
          <w:tblLook w:val="04A0"/>
        </w:tblPrEx>
        <w:tc>
          <w:tcPr>
            <w:tcW w:w="2876" w:type="dxa"/>
          </w:tcPr>
          <w:p w:rsidR="00341BE6" w:rsidRPr="009E1D95" w:rsidP="00341BE6" w14:paraId="780550D2" w14:textId="77777777">
            <w:pPr>
              <w:contextualSpacing/>
              <w:rPr>
                <w:rFonts w:ascii="Times New Roman" w:eastAsia="Calibri" w:hAnsi="Times New Roman"/>
                <w:b/>
                <w:bCs/>
                <w:color w:val="000000"/>
              </w:rPr>
            </w:pPr>
            <w:r w:rsidRPr="009E1D95">
              <w:rPr>
                <w:rFonts w:ascii="Times New Roman" w:eastAsia="Calibri" w:hAnsi="Times New Roman"/>
                <w:b/>
                <w:bCs/>
                <w:color w:val="000000"/>
              </w:rPr>
              <w:t>Description of Cost Factor</w:t>
            </w:r>
          </w:p>
        </w:tc>
        <w:tc>
          <w:tcPr>
            <w:tcW w:w="2877" w:type="dxa"/>
          </w:tcPr>
          <w:p w:rsidR="00341BE6" w:rsidRPr="009E1D95" w:rsidP="00341BE6" w14:paraId="7EFA8B2F" w14:textId="77777777">
            <w:pPr>
              <w:contextualSpacing/>
              <w:rPr>
                <w:rFonts w:ascii="Times New Roman" w:eastAsia="Calibri" w:hAnsi="Times New Roman"/>
                <w:b/>
                <w:bCs/>
                <w:color w:val="000000"/>
              </w:rPr>
            </w:pPr>
            <w:r w:rsidRPr="009E1D95">
              <w:rPr>
                <w:rFonts w:ascii="Times New Roman" w:eastAsia="Calibri" w:hAnsi="Times New Roman"/>
                <w:b/>
                <w:bCs/>
                <w:color w:val="000000"/>
              </w:rPr>
              <w:t>Methodology for Estimating Cost</w:t>
            </w:r>
          </w:p>
        </w:tc>
        <w:tc>
          <w:tcPr>
            <w:tcW w:w="2877" w:type="dxa"/>
          </w:tcPr>
          <w:p w:rsidR="00341BE6" w:rsidRPr="009E1D95" w:rsidP="00341BE6" w14:paraId="6CBA96DD" w14:textId="77777777">
            <w:pPr>
              <w:contextualSpacing/>
              <w:rPr>
                <w:rFonts w:ascii="Times New Roman" w:eastAsia="Calibri" w:hAnsi="Times New Roman"/>
                <w:b/>
                <w:bCs/>
              </w:rPr>
            </w:pPr>
            <w:r w:rsidRPr="009E1D95">
              <w:rPr>
                <w:rFonts w:ascii="Times New Roman" w:eastAsia="Calibri" w:hAnsi="Times New Roman"/>
                <w:b/>
                <w:bCs/>
              </w:rPr>
              <w:t>Cost in Dollars*</w:t>
            </w:r>
          </w:p>
        </w:tc>
      </w:tr>
      <w:tr w14:paraId="13E52C98" w14:textId="77777777" w:rsidTr="00341BE6">
        <w:tblPrEx>
          <w:tblW w:w="0" w:type="auto"/>
          <w:tblInd w:w="720" w:type="dxa"/>
          <w:tblLook w:val="04A0"/>
        </w:tblPrEx>
        <w:tc>
          <w:tcPr>
            <w:tcW w:w="2876" w:type="dxa"/>
          </w:tcPr>
          <w:p w:rsidR="00341BE6" w:rsidRPr="009E1D95" w:rsidP="00341BE6" w14:paraId="5892E732" w14:textId="77777777">
            <w:pPr>
              <w:contextualSpacing/>
              <w:rPr>
                <w:rFonts w:ascii="Times New Roman" w:eastAsia="Calibri" w:hAnsi="Times New Roman"/>
                <w:color w:val="000000"/>
              </w:rPr>
            </w:pPr>
            <w:r w:rsidRPr="009E1D95">
              <w:rPr>
                <w:rFonts w:ascii="Times New Roman" w:eastAsia="Calibri" w:hAnsi="Times New Roman"/>
                <w:color w:val="000000"/>
              </w:rPr>
              <w:t>Designing and Printing the Form</w:t>
            </w:r>
          </w:p>
        </w:tc>
        <w:tc>
          <w:tcPr>
            <w:tcW w:w="2877" w:type="dxa"/>
          </w:tcPr>
          <w:p w:rsidR="00341BE6" w:rsidRPr="009E1D95" w:rsidP="00341BE6" w14:paraId="16BC52D1" w14:textId="77777777">
            <w:pPr>
              <w:contextualSpacing/>
              <w:rPr>
                <w:rFonts w:ascii="Times New Roman" w:eastAsia="Calibri" w:hAnsi="Times New Roman"/>
                <w:color w:val="000000"/>
              </w:rPr>
            </w:pPr>
            <w:r w:rsidRPr="009E1D95">
              <w:rPr>
                <w:rFonts w:ascii="Times New Roman" w:eastAsia="Calibri" w:hAnsi="Times New Roman"/>
                <w:color w:val="000000"/>
              </w:rPr>
              <w:t>Design Cost + Printing Cost</w:t>
            </w:r>
          </w:p>
        </w:tc>
        <w:tc>
          <w:tcPr>
            <w:tcW w:w="2877" w:type="dxa"/>
          </w:tcPr>
          <w:p w:rsidR="00341BE6" w:rsidRPr="009E1D95" w:rsidP="00341BE6" w14:paraId="51C1D3BF" w14:textId="77777777">
            <w:pPr>
              <w:contextualSpacing/>
              <w:rPr>
                <w:rFonts w:ascii="Times New Roman" w:eastAsia="Calibri" w:hAnsi="Times New Roman"/>
              </w:rPr>
            </w:pPr>
            <w:r w:rsidRPr="00262EC2">
              <w:rPr>
                <w:rFonts w:ascii="Times New Roman" w:hAnsi="Times New Roman"/>
              </w:rPr>
              <w:t>$359.17</w:t>
            </w:r>
          </w:p>
        </w:tc>
      </w:tr>
      <w:tr w14:paraId="6845C3EE" w14:textId="77777777" w:rsidTr="00341BE6">
        <w:tblPrEx>
          <w:tblW w:w="0" w:type="auto"/>
          <w:tblInd w:w="720" w:type="dxa"/>
          <w:tblLook w:val="04A0"/>
        </w:tblPrEx>
        <w:tc>
          <w:tcPr>
            <w:tcW w:w="2876" w:type="dxa"/>
          </w:tcPr>
          <w:p w:rsidR="00341BE6" w:rsidRPr="009E1D95" w:rsidP="00341BE6" w14:paraId="59EC6D67" w14:textId="77777777">
            <w:pPr>
              <w:contextualSpacing/>
              <w:rPr>
                <w:rFonts w:ascii="Times New Roman" w:eastAsia="Calibri" w:hAnsi="Times New Roman"/>
                <w:color w:val="000000"/>
              </w:rPr>
            </w:pPr>
            <w:r w:rsidRPr="009E1D95">
              <w:rPr>
                <w:rFonts w:ascii="Times New Roman" w:eastAsia="Calibri" w:hAnsi="Times New Roman"/>
                <w:color w:val="000000"/>
              </w:rPr>
              <w:t>Distributing, Shipping, and Material Costs for the Form</w:t>
            </w:r>
          </w:p>
        </w:tc>
        <w:tc>
          <w:tcPr>
            <w:tcW w:w="2877" w:type="dxa"/>
          </w:tcPr>
          <w:p w:rsidR="00341BE6" w:rsidRPr="009E1D95" w:rsidP="00341BE6" w14:paraId="5E2DEC5F" w14:textId="77777777">
            <w:pPr>
              <w:contextualSpacing/>
              <w:rPr>
                <w:rFonts w:ascii="Times New Roman" w:eastAsia="Calibri" w:hAnsi="Times New Roman"/>
                <w:color w:val="000000"/>
              </w:rPr>
            </w:pPr>
            <w:r w:rsidRPr="009E1D95">
              <w:rPr>
                <w:rFonts w:ascii="Times New Roman" w:eastAsia="Calibri" w:hAnsi="Times New Roman"/>
                <w:color w:val="000000"/>
              </w:rPr>
              <w:t>Distribution + Shipping + Material Cost</w:t>
            </w:r>
          </w:p>
        </w:tc>
        <w:tc>
          <w:tcPr>
            <w:tcW w:w="2877" w:type="dxa"/>
          </w:tcPr>
          <w:p w:rsidR="00341BE6" w:rsidRPr="009E1D95" w:rsidP="00341BE6" w14:paraId="22D1DE31" w14:textId="77777777">
            <w:pPr>
              <w:contextualSpacing/>
              <w:rPr>
                <w:rFonts w:ascii="Times New Roman" w:eastAsia="Calibri" w:hAnsi="Times New Roman"/>
                <w:color w:val="000000"/>
              </w:rPr>
            </w:pPr>
            <w:r>
              <w:rPr>
                <w:rFonts w:ascii="Times New Roman" w:eastAsia="Calibri" w:hAnsi="Times New Roman"/>
                <w:color w:val="000000"/>
              </w:rPr>
              <w:t>$0</w:t>
            </w:r>
          </w:p>
        </w:tc>
      </w:tr>
      <w:tr w14:paraId="325F158B" w14:textId="77777777" w:rsidTr="00341BE6">
        <w:tblPrEx>
          <w:tblW w:w="0" w:type="auto"/>
          <w:tblInd w:w="720" w:type="dxa"/>
          <w:tblLook w:val="04A0"/>
        </w:tblPrEx>
        <w:tc>
          <w:tcPr>
            <w:tcW w:w="2876" w:type="dxa"/>
          </w:tcPr>
          <w:p w:rsidR="00341BE6" w:rsidRPr="009E1D95" w:rsidP="00341BE6" w14:paraId="577A8243" w14:textId="77777777">
            <w:pPr>
              <w:contextualSpacing/>
              <w:rPr>
                <w:rFonts w:ascii="Times New Roman" w:eastAsia="Calibri" w:hAnsi="Times New Roman"/>
                <w:color w:val="000000"/>
              </w:rPr>
            </w:pPr>
            <w:r w:rsidRPr="009E1D95">
              <w:rPr>
                <w:rFonts w:ascii="Times New Roman" w:eastAsia="Calibri" w:hAnsi="Times New Roman"/>
                <w:color w:val="000000"/>
              </w:rPr>
              <w:t>SSA Employee (e.g., field office, 800 number, DDS staff) Information Collection and Processing Time</w:t>
            </w:r>
          </w:p>
        </w:tc>
        <w:tc>
          <w:tcPr>
            <w:tcW w:w="2877" w:type="dxa"/>
          </w:tcPr>
          <w:p w:rsidR="00341BE6" w:rsidRPr="009E1D95" w:rsidP="00341BE6" w14:paraId="11E42766" w14:textId="77777777">
            <w:pPr>
              <w:contextualSpacing/>
              <w:rPr>
                <w:rFonts w:ascii="Times New Roman" w:eastAsia="Calibri" w:hAnsi="Times New Roman"/>
                <w:color w:val="000000"/>
              </w:rPr>
            </w:pPr>
            <w:r w:rsidRPr="009E1D95">
              <w:rPr>
                <w:rFonts w:ascii="Times New Roman" w:eastAsia="Calibri" w:hAnsi="Times New Roman"/>
                <w:color w:val="000000"/>
              </w:rPr>
              <w:t>GS-9 employee x # of responses x processing time</w:t>
            </w:r>
          </w:p>
        </w:tc>
        <w:tc>
          <w:tcPr>
            <w:tcW w:w="2877" w:type="dxa"/>
          </w:tcPr>
          <w:p w:rsidR="00341BE6" w:rsidRPr="009E1D95" w:rsidP="00341BE6" w14:paraId="78C82C79" w14:textId="77777777">
            <w:pPr>
              <w:contextualSpacing/>
              <w:rPr>
                <w:rFonts w:ascii="Times New Roman" w:eastAsia="Calibri" w:hAnsi="Times New Roman"/>
                <w:color w:val="000000"/>
              </w:rPr>
            </w:pPr>
            <w:r>
              <w:rPr>
                <w:rFonts w:ascii="Times New Roman" w:eastAsia="Calibri" w:hAnsi="Times New Roman"/>
                <w:color w:val="000000"/>
              </w:rPr>
              <w:t>$242,710,750</w:t>
            </w:r>
          </w:p>
        </w:tc>
      </w:tr>
      <w:tr w14:paraId="3C7DADBD" w14:textId="77777777" w:rsidTr="00341BE6">
        <w:tblPrEx>
          <w:tblW w:w="0" w:type="auto"/>
          <w:tblInd w:w="720" w:type="dxa"/>
          <w:tblLook w:val="04A0"/>
        </w:tblPrEx>
        <w:tc>
          <w:tcPr>
            <w:tcW w:w="2876" w:type="dxa"/>
          </w:tcPr>
          <w:p w:rsidR="00341BE6" w:rsidRPr="009E1D95" w:rsidP="00341BE6" w14:paraId="04CA4B71" w14:textId="77777777">
            <w:pPr>
              <w:contextualSpacing/>
              <w:rPr>
                <w:rFonts w:ascii="Times New Roman" w:eastAsia="Calibri" w:hAnsi="Times New Roman"/>
                <w:color w:val="000000"/>
              </w:rPr>
            </w:pPr>
            <w:r w:rsidRPr="009E1D95">
              <w:rPr>
                <w:rFonts w:ascii="Times New Roman" w:eastAsia="Calibri" w:hAnsi="Times New Roman"/>
                <w:color w:val="000000"/>
              </w:rPr>
              <w:t>Full-Time Equivalent Costs</w:t>
            </w:r>
          </w:p>
        </w:tc>
        <w:tc>
          <w:tcPr>
            <w:tcW w:w="2877" w:type="dxa"/>
          </w:tcPr>
          <w:p w:rsidR="00341BE6" w:rsidRPr="009E1D95" w:rsidP="00341BE6" w14:paraId="5FBCEEA3" w14:textId="77777777">
            <w:pPr>
              <w:contextualSpacing/>
              <w:rPr>
                <w:rFonts w:ascii="Times New Roman" w:eastAsia="Calibri" w:hAnsi="Times New Roman"/>
                <w:color w:val="000000"/>
              </w:rPr>
            </w:pPr>
            <w:r w:rsidRPr="009E1D95">
              <w:rPr>
                <w:rFonts w:ascii="Times New Roman" w:eastAsia="Calibri" w:hAnsi="Times New Roman"/>
                <w:color w:val="000000"/>
              </w:rPr>
              <w:t>Out of pocket costs + Other expenses for providing this service</w:t>
            </w:r>
          </w:p>
        </w:tc>
        <w:tc>
          <w:tcPr>
            <w:tcW w:w="2877" w:type="dxa"/>
          </w:tcPr>
          <w:p w:rsidR="00341BE6" w:rsidRPr="009E1D95" w:rsidP="00341BE6" w14:paraId="6E1BD315" w14:textId="77777777">
            <w:pPr>
              <w:contextualSpacing/>
              <w:rPr>
                <w:rFonts w:ascii="Times New Roman" w:eastAsia="Calibri" w:hAnsi="Times New Roman"/>
                <w:color w:val="000000"/>
              </w:rPr>
            </w:pPr>
            <w:r>
              <w:rPr>
                <w:rFonts w:ascii="Times New Roman" w:eastAsia="Calibri" w:hAnsi="Times New Roman"/>
                <w:color w:val="000000"/>
              </w:rPr>
              <w:t>$0</w:t>
            </w:r>
          </w:p>
        </w:tc>
      </w:tr>
      <w:tr w14:paraId="5ED51988" w14:textId="77777777" w:rsidTr="00341BE6">
        <w:tblPrEx>
          <w:tblW w:w="0" w:type="auto"/>
          <w:tblInd w:w="720" w:type="dxa"/>
          <w:tblLook w:val="04A0"/>
        </w:tblPrEx>
        <w:tc>
          <w:tcPr>
            <w:tcW w:w="2876" w:type="dxa"/>
          </w:tcPr>
          <w:p w:rsidR="00341BE6" w:rsidRPr="009E1D95" w:rsidP="00341BE6" w14:paraId="3C7EEEB9" w14:textId="77777777">
            <w:pPr>
              <w:contextualSpacing/>
              <w:rPr>
                <w:rFonts w:ascii="Times New Roman" w:eastAsia="Calibri" w:hAnsi="Times New Roman"/>
                <w:color w:val="000000"/>
              </w:rPr>
            </w:pPr>
            <w:r w:rsidRPr="009E1D95">
              <w:rPr>
                <w:rFonts w:ascii="Times New Roman" w:eastAsia="Calibri" w:hAnsi="Times New Roman"/>
                <w:color w:val="000000"/>
              </w:rPr>
              <w:t>Systems Development, Updating, and Maintenance</w:t>
            </w:r>
          </w:p>
        </w:tc>
        <w:tc>
          <w:tcPr>
            <w:tcW w:w="2877" w:type="dxa"/>
          </w:tcPr>
          <w:p w:rsidR="00341BE6" w:rsidRPr="009E1D95" w:rsidP="00341BE6" w14:paraId="6C98F87C" w14:textId="77777777">
            <w:pPr>
              <w:contextualSpacing/>
              <w:rPr>
                <w:rFonts w:ascii="Times New Roman" w:eastAsia="Calibri" w:hAnsi="Times New Roman"/>
                <w:color w:val="000000"/>
              </w:rPr>
            </w:pPr>
            <w:r w:rsidRPr="009E1D95">
              <w:rPr>
                <w:rFonts w:ascii="Times New Roman" w:eastAsia="Calibri" w:hAnsi="Times New Roman"/>
                <w:color w:val="000000"/>
              </w:rPr>
              <w:t>GS-9 employee x man hours for development, updating, maintenance</w:t>
            </w:r>
          </w:p>
        </w:tc>
        <w:tc>
          <w:tcPr>
            <w:tcW w:w="2877" w:type="dxa"/>
          </w:tcPr>
          <w:p w:rsidR="00341BE6" w:rsidRPr="009E1D95" w:rsidP="00341BE6" w14:paraId="43819F9D" w14:textId="77777777">
            <w:pPr>
              <w:contextualSpacing/>
              <w:rPr>
                <w:rFonts w:ascii="Times New Roman" w:eastAsia="Calibri" w:hAnsi="Times New Roman"/>
                <w:color w:val="000000"/>
              </w:rPr>
            </w:pPr>
            <w:r>
              <w:rPr>
                <w:rFonts w:ascii="Times New Roman" w:hAnsi="Times New Roman"/>
                <w:color w:val="000000"/>
              </w:rPr>
              <w:t>$1,368,000</w:t>
            </w:r>
          </w:p>
        </w:tc>
      </w:tr>
      <w:tr w14:paraId="27119FA7" w14:textId="77777777" w:rsidTr="00341BE6">
        <w:tblPrEx>
          <w:tblW w:w="0" w:type="auto"/>
          <w:tblInd w:w="720" w:type="dxa"/>
          <w:tblLook w:val="04A0"/>
        </w:tblPrEx>
        <w:tc>
          <w:tcPr>
            <w:tcW w:w="2876" w:type="dxa"/>
          </w:tcPr>
          <w:p w:rsidR="00341BE6" w:rsidRPr="009E1D95" w:rsidP="00341BE6" w14:paraId="30416BE5" w14:textId="77777777">
            <w:pPr>
              <w:contextualSpacing/>
              <w:rPr>
                <w:rFonts w:ascii="Times New Roman" w:eastAsia="Calibri" w:hAnsi="Times New Roman"/>
                <w:color w:val="000000"/>
              </w:rPr>
            </w:pPr>
            <w:r w:rsidRPr="009E1D95">
              <w:rPr>
                <w:rFonts w:ascii="Times New Roman" w:eastAsia="Calibri" w:hAnsi="Times New Roman"/>
                <w:color w:val="000000"/>
              </w:rPr>
              <w:t>Quantifiable IT Costs</w:t>
            </w:r>
          </w:p>
        </w:tc>
        <w:tc>
          <w:tcPr>
            <w:tcW w:w="2877" w:type="dxa"/>
          </w:tcPr>
          <w:p w:rsidR="00341BE6" w:rsidRPr="009E1D95" w:rsidP="00341BE6" w14:paraId="58D502D6" w14:textId="77777777">
            <w:pPr>
              <w:contextualSpacing/>
              <w:rPr>
                <w:rFonts w:ascii="Times New Roman" w:eastAsia="Calibri" w:hAnsi="Times New Roman"/>
                <w:color w:val="000000"/>
              </w:rPr>
            </w:pPr>
            <w:r w:rsidRPr="009E1D95">
              <w:rPr>
                <w:rFonts w:ascii="Times New Roman" w:eastAsia="Calibri" w:hAnsi="Times New Roman"/>
                <w:color w:val="000000"/>
              </w:rPr>
              <w:t>Any additional IT costs</w:t>
            </w:r>
          </w:p>
        </w:tc>
        <w:tc>
          <w:tcPr>
            <w:tcW w:w="2877" w:type="dxa"/>
          </w:tcPr>
          <w:p w:rsidR="00341BE6" w:rsidRPr="009E1D95" w:rsidP="00341BE6" w14:paraId="7EDAB2FD" w14:textId="77777777">
            <w:pPr>
              <w:contextualSpacing/>
              <w:rPr>
                <w:rFonts w:ascii="Times New Roman" w:eastAsia="Calibri" w:hAnsi="Times New Roman"/>
                <w:color w:val="000000"/>
              </w:rPr>
            </w:pPr>
            <w:r>
              <w:rPr>
                <w:rFonts w:ascii="Times New Roman" w:eastAsia="Calibri" w:hAnsi="Times New Roman"/>
                <w:color w:val="000000"/>
              </w:rPr>
              <w:t>$0</w:t>
            </w:r>
          </w:p>
        </w:tc>
      </w:tr>
      <w:tr w14:paraId="6273C466" w14:textId="77777777" w:rsidTr="00341BE6">
        <w:tblPrEx>
          <w:tblW w:w="0" w:type="auto"/>
          <w:tblInd w:w="720" w:type="dxa"/>
          <w:tblLook w:val="04A0"/>
        </w:tblPrEx>
        <w:tc>
          <w:tcPr>
            <w:tcW w:w="2876" w:type="dxa"/>
          </w:tcPr>
          <w:p w:rsidR="00341BE6" w:rsidRPr="009E1D95" w:rsidP="00341BE6" w14:paraId="6A269A5D" w14:textId="77777777">
            <w:pPr>
              <w:contextualSpacing/>
              <w:rPr>
                <w:rFonts w:ascii="Times New Roman" w:eastAsia="Calibri" w:hAnsi="Times New Roman"/>
                <w:color w:val="000000"/>
              </w:rPr>
            </w:pPr>
            <w:r w:rsidRPr="009E1D95">
              <w:rPr>
                <w:rFonts w:ascii="Times New Roman" w:eastAsia="Calibri" w:hAnsi="Times New Roman"/>
                <w:color w:val="000000"/>
              </w:rPr>
              <w:t>Other</w:t>
            </w:r>
          </w:p>
        </w:tc>
        <w:tc>
          <w:tcPr>
            <w:tcW w:w="2877" w:type="dxa"/>
          </w:tcPr>
          <w:p w:rsidR="00341BE6" w:rsidRPr="009E1D95" w:rsidP="00341BE6" w14:paraId="65FCD3AD" w14:textId="77777777">
            <w:pPr>
              <w:contextualSpacing/>
              <w:rPr>
                <w:rFonts w:ascii="Times New Roman" w:eastAsia="Calibri" w:hAnsi="Times New Roman"/>
                <w:color w:val="000000"/>
              </w:rPr>
            </w:pPr>
            <w:r w:rsidRPr="009E1D95">
              <w:rPr>
                <w:rFonts w:ascii="Times New Roman" w:eastAsia="Calibri" w:hAnsi="Times New Roman"/>
                <w:color w:val="000000"/>
              </w:rPr>
              <w:t>[Component may add as needed]</w:t>
            </w:r>
          </w:p>
        </w:tc>
        <w:tc>
          <w:tcPr>
            <w:tcW w:w="2877" w:type="dxa"/>
          </w:tcPr>
          <w:p w:rsidR="00341BE6" w:rsidRPr="009E1D95" w:rsidP="00341BE6" w14:paraId="2F517149" w14:textId="77777777">
            <w:pPr>
              <w:contextualSpacing/>
              <w:rPr>
                <w:rFonts w:ascii="Times New Roman" w:eastAsia="Calibri" w:hAnsi="Times New Roman"/>
                <w:color w:val="000000"/>
              </w:rPr>
            </w:pPr>
            <w:r>
              <w:rPr>
                <w:rFonts w:ascii="Times New Roman" w:eastAsia="Calibri" w:hAnsi="Times New Roman"/>
                <w:color w:val="000000"/>
              </w:rPr>
              <w:t>$0</w:t>
            </w:r>
          </w:p>
        </w:tc>
      </w:tr>
      <w:tr w14:paraId="49184C73" w14:textId="77777777" w:rsidTr="00341BE6">
        <w:tblPrEx>
          <w:tblW w:w="0" w:type="auto"/>
          <w:tblInd w:w="720" w:type="dxa"/>
          <w:tblLook w:val="04A0"/>
        </w:tblPrEx>
        <w:tc>
          <w:tcPr>
            <w:tcW w:w="2876" w:type="dxa"/>
          </w:tcPr>
          <w:p w:rsidR="00341BE6" w:rsidRPr="009E1D95" w:rsidP="00341BE6" w14:paraId="0E4276D1" w14:textId="77777777">
            <w:pPr>
              <w:contextualSpacing/>
              <w:rPr>
                <w:rFonts w:ascii="Times New Roman" w:eastAsia="Calibri" w:hAnsi="Times New Roman"/>
                <w:color w:val="000000"/>
              </w:rPr>
            </w:pPr>
            <w:r w:rsidRPr="009E1D95">
              <w:rPr>
                <w:rFonts w:ascii="Times New Roman" w:eastAsia="Calibri" w:hAnsi="Times New Roman"/>
                <w:color w:val="000000"/>
              </w:rPr>
              <w:t>Total</w:t>
            </w:r>
          </w:p>
        </w:tc>
        <w:tc>
          <w:tcPr>
            <w:tcW w:w="2877" w:type="dxa"/>
          </w:tcPr>
          <w:p w:rsidR="00341BE6" w:rsidRPr="009E1D95" w:rsidP="00341BE6" w14:paraId="26D4E9C6" w14:textId="77777777">
            <w:pPr>
              <w:contextualSpacing/>
              <w:rPr>
                <w:rFonts w:ascii="Times New Roman" w:eastAsia="Calibri" w:hAnsi="Times New Roman"/>
                <w:color w:val="000000"/>
              </w:rPr>
            </w:pPr>
          </w:p>
        </w:tc>
        <w:tc>
          <w:tcPr>
            <w:tcW w:w="2877" w:type="dxa"/>
          </w:tcPr>
          <w:p w:rsidR="00341BE6" w:rsidRPr="009E1D95" w:rsidP="00341BE6" w14:paraId="51190D19" w14:textId="77777777">
            <w:pPr>
              <w:contextualSpacing/>
              <w:rPr>
                <w:rFonts w:ascii="Times New Roman" w:eastAsia="Calibri" w:hAnsi="Times New Roman"/>
                <w:b/>
                <w:color w:val="000000"/>
              </w:rPr>
            </w:pPr>
            <w:r w:rsidRPr="00571280">
              <w:rPr>
                <w:rFonts w:ascii="Times New Roman" w:eastAsia="Calibri" w:hAnsi="Times New Roman"/>
                <w:b/>
                <w:color w:val="000000"/>
              </w:rPr>
              <w:t>$244,079,109</w:t>
            </w:r>
          </w:p>
        </w:tc>
      </w:tr>
    </w:tbl>
    <w:p w:rsidR="00341BE6" w:rsidP="00341BE6" w14:paraId="4439C5D9" w14:textId="77777777">
      <w:pPr>
        <w:pStyle w:val="ListParagraph"/>
        <w:ind w:right="-720"/>
        <w:rPr>
          <w:rFonts w:ascii="Times New Roman" w:eastAsia="Calibri" w:hAnsi="Times New Roman"/>
          <w:color w:val="000000"/>
        </w:rPr>
      </w:pPr>
      <w:r w:rsidRPr="009E1D95">
        <w:rPr>
          <w:rFonts w:ascii="Times New Roman" w:eastAsia="Calibri" w:hAnsi="Times New Roman"/>
          <w:color w:val="000000"/>
        </w:rPr>
        <w:t>* We have inserted a $0 amount for cost factors that do not apply to this collection</w:t>
      </w:r>
      <w:r>
        <w:rPr>
          <w:rFonts w:ascii="Times New Roman" w:eastAsia="Calibri" w:hAnsi="Times New Roman"/>
          <w:color w:val="000000"/>
        </w:rPr>
        <w:t>.</w:t>
      </w:r>
    </w:p>
    <w:p w:rsidR="00341BE6" w:rsidP="00341BE6" w14:paraId="7767E926" w14:textId="77777777">
      <w:pPr>
        <w:pStyle w:val="ListParagraph"/>
        <w:ind w:right="-720"/>
        <w:rPr>
          <w:rFonts w:ascii="Times New Roman" w:eastAsia="Calibri" w:hAnsi="Times New Roman"/>
          <w:color w:val="000000"/>
        </w:rPr>
      </w:pPr>
    </w:p>
    <w:p w:rsidR="00341BE6" w:rsidP="00341BE6" w14:paraId="68685668" w14:textId="77777777">
      <w:pPr>
        <w:pStyle w:val="ListParagraph"/>
        <w:ind w:right="-720"/>
        <w:rPr>
          <w:rFonts w:ascii="Times New Roman" w:hAnsi="Times New Roman"/>
          <w:b/>
        </w:rPr>
      </w:pPr>
      <w:r w:rsidRPr="009E1D95">
        <w:rPr>
          <w:rFonts w:ascii="Times New Roman" w:eastAsia="Calibri"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eastAsia="Calibri" w:hAnsi="Times New Roman"/>
          <w:color w:val="000000"/>
        </w:rPr>
        <w:t>.</w:t>
      </w:r>
    </w:p>
    <w:p w:rsidR="00341BE6" w:rsidP="00341BE6" w14:paraId="05C7BA83" w14:textId="77777777">
      <w:pPr>
        <w:pStyle w:val="ListParagraph"/>
        <w:ind w:right="-720"/>
        <w:rPr>
          <w:rFonts w:ascii="Times New Roman" w:hAnsi="Times New Roman"/>
          <w:b/>
          <w:bCs/>
        </w:rPr>
      </w:pPr>
    </w:p>
    <w:p w:rsidR="003537D7" w:rsidRPr="00341BE6" w:rsidP="003537D7" w14:paraId="5A4AE830" w14:textId="77777777">
      <w:pPr>
        <w:pStyle w:val="ListParagraph"/>
        <w:numPr>
          <w:ilvl w:val="0"/>
          <w:numId w:val="23"/>
        </w:numPr>
        <w:ind w:right="-720"/>
        <w:rPr>
          <w:rFonts w:ascii="Times New Roman" w:hAnsi="Times New Roman"/>
          <w:b/>
          <w:bCs/>
        </w:rPr>
      </w:pPr>
      <w:r w:rsidRPr="00BC7F42">
        <w:rPr>
          <w:rFonts w:ascii="Times New Roman" w:hAnsi="Times New Roman"/>
          <w:b/>
        </w:rPr>
        <w:t xml:space="preserve">Program Changes or Adjustments to the Information Collection </w:t>
      </w:r>
      <w:r>
        <w:rPr>
          <w:rFonts w:ascii="Times New Roman" w:hAnsi="Times New Roman"/>
          <w:b/>
        </w:rPr>
        <w:t>Request</w:t>
      </w:r>
    </w:p>
    <w:p w:rsidR="00341BE6" w:rsidP="00341BE6" w14:paraId="06BA66E9" w14:textId="77777777">
      <w:pPr>
        <w:pStyle w:val="ListParagraph"/>
        <w:ind w:right="-720"/>
        <w:rPr>
          <w:rFonts w:ascii="Times New Roman" w:hAnsi="Times New Roman"/>
        </w:rPr>
      </w:pPr>
      <w:r w:rsidRPr="005B20A3">
        <w:rPr>
          <w:rFonts w:ascii="Times New Roman" w:hAnsi="Times New Roman"/>
        </w:rPr>
        <w:t>When</w:t>
      </w:r>
      <w:r>
        <w:rPr>
          <w:rFonts w:ascii="Times New Roman" w:hAnsi="Times New Roman"/>
        </w:rPr>
        <w:t xml:space="preserve"> we last cleared this IC in 2017</w:t>
      </w:r>
      <w:r w:rsidRPr="005B20A3">
        <w:rPr>
          <w:rFonts w:ascii="Times New Roman" w:hAnsi="Times New Roman"/>
        </w:rPr>
        <w:t>, the burden was</w:t>
      </w:r>
      <w:r>
        <w:rPr>
          <w:rFonts w:ascii="Times New Roman" w:hAnsi="Times New Roman"/>
        </w:rPr>
        <w:t xml:space="preserve"> 115,311</w:t>
      </w:r>
      <w:r w:rsidRPr="005B20A3">
        <w:rPr>
          <w:rFonts w:ascii="Times New Roman" w:hAnsi="Times New Roman"/>
        </w:rPr>
        <w:t xml:space="preserve"> hours.  However, we are currently reporting a burden of </w:t>
      </w:r>
      <w:r>
        <w:rPr>
          <w:rFonts w:ascii="Times New Roman" w:hAnsi="Times New Roman"/>
        </w:rPr>
        <w:t>146,904</w:t>
      </w:r>
      <w:r w:rsidRPr="005B20A3">
        <w:rPr>
          <w:rFonts w:ascii="Times New Roman" w:hAnsi="Times New Roman"/>
        </w:rPr>
        <w:t xml:space="preserve"> hours.  This change stems a</w:t>
      </w:r>
      <w:r>
        <w:rPr>
          <w:rFonts w:ascii="Times New Roman" w:hAnsi="Times New Roman"/>
        </w:rPr>
        <w:t>n</w:t>
      </w:r>
      <w:r w:rsidRPr="005B20A3">
        <w:rPr>
          <w:rFonts w:ascii="Times New Roman" w:hAnsi="Times New Roman"/>
        </w:rPr>
        <w:t xml:space="preserve"> increase in the number of responses from</w:t>
      </w:r>
      <w:r>
        <w:rPr>
          <w:rFonts w:ascii="Times New Roman" w:hAnsi="Times New Roman"/>
        </w:rPr>
        <w:t xml:space="preserve"> 200,540 to 255,485</w:t>
      </w:r>
      <w:r w:rsidRPr="005B20A3">
        <w:rPr>
          <w:rFonts w:ascii="Times New Roman" w:hAnsi="Times New Roman"/>
        </w:rPr>
        <w:t>.  There is no change to the burden time per response.  Although the number of responses changed, SSA did not take any actions to cause this change.  These figures represent current Management Information data</w:t>
      </w:r>
      <w:r>
        <w:rPr>
          <w:rFonts w:ascii="Times New Roman" w:hAnsi="Times New Roman"/>
        </w:rPr>
        <w:t>.</w:t>
      </w:r>
    </w:p>
    <w:p w:rsidR="00943778" w:rsidP="00341BE6" w14:paraId="1F9DD044" w14:textId="77777777">
      <w:pPr>
        <w:pStyle w:val="ListParagraph"/>
        <w:ind w:right="-720"/>
        <w:rPr>
          <w:rFonts w:ascii="Times New Roman" w:hAnsi="Times New Roman"/>
        </w:rPr>
      </w:pPr>
    </w:p>
    <w:p w:rsidR="00943778" w:rsidRPr="00943778" w:rsidP="00341BE6" w14:paraId="5E0B1680" w14:textId="27F2870A">
      <w:pPr>
        <w:pStyle w:val="ListParagraph"/>
        <w:ind w:right="-720"/>
        <w:rPr>
          <w:rFonts w:ascii="Times New Roman" w:hAnsi="Times New Roman"/>
          <w:b/>
        </w:rPr>
      </w:pPr>
      <w:r w:rsidRPr="00943778">
        <w:rPr>
          <w:rFonts w:ascii="Times New Roman" w:hAnsi="Times New Roman"/>
          <w:color w:val="000000"/>
        </w:rPr>
        <w:t xml:space="preserve">* Note: The total burden reflected in ROCIS is </w:t>
      </w:r>
      <w:r>
        <w:rPr>
          <w:rFonts w:ascii="Times New Roman" w:hAnsi="Times New Roman"/>
          <w:b/>
          <w:bCs/>
          <w:color w:val="000000"/>
        </w:rPr>
        <w:t>307,860</w:t>
      </w:r>
      <w:r w:rsidRPr="00943778">
        <w:rPr>
          <w:rFonts w:ascii="Times New Roman" w:hAnsi="Times New Roman"/>
          <w:color w:val="000000"/>
        </w:rPr>
        <w:t xml:space="preserve">, while the burden cited in #12 of the Supporting Statement is </w:t>
      </w:r>
      <w:r w:rsidRPr="00A72857">
        <w:rPr>
          <w:rFonts w:ascii="Times New Roman" w:eastAsia="SimSun" w:hAnsi="Times New Roman"/>
          <w:b/>
          <w:lang w:eastAsia="ar-SA"/>
        </w:rPr>
        <w:t>146,904</w:t>
      </w:r>
      <w:r w:rsidRPr="00943778">
        <w:rPr>
          <w:rFonts w:ascii="Times New Roman" w:hAnsi="Times New Roman"/>
          <w:color w:val="000000"/>
        </w:rPr>
        <w:t>.  This discrepancy is because the ROCIS burden reflects the following components:  field office waiting time + a rough estimate of a 30-minute, one-way, drive burden.  In contrast, the chart in #12 of the Supporting Statement reflects actual burden</w:t>
      </w:r>
      <w:r w:rsidRPr="00943778">
        <w:rPr>
          <w:rFonts w:ascii="Times New Roman" w:hAnsi="Times New Roman"/>
          <w:color w:val="000000"/>
        </w:rPr>
        <w:t>.</w:t>
      </w:r>
    </w:p>
    <w:p w:rsidR="00341BE6" w:rsidP="00341BE6" w14:paraId="380ABA95" w14:textId="77777777">
      <w:pPr>
        <w:pStyle w:val="ListParagraph"/>
        <w:ind w:right="-720"/>
        <w:rPr>
          <w:rFonts w:ascii="Times New Roman" w:hAnsi="Times New Roman"/>
          <w:b/>
          <w:bCs/>
        </w:rPr>
      </w:pPr>
    </w:p>
    <w:p w:rsidR="003537D7" w:rsidRPr="00341BE6" w:rsidP="003537D7" w14:paraId="0EA4B9FA" w14:textId="77777777">
      <w:pPr>
        <w:pStyle w:val="ListParagraph"/>
        <w:numPr>
          <w:ilvl w:val="0"/>
          <w:numId w:val="23"/>
        </w:numPr>
        <w:ind w:right="-720"/>
        <w:rPr>
          <w:rFonts w:ascii="Times New Roman" w:hAnsi="Times New Roman"/>
          <w:b/>
          <w:bCs/>
        </w:rPr>
      </w:pPr>
      <w:r w:rsidRPr="00BC7F42">
        <w:rPr>
          <w:rFonts w:ascii="Times New Roman" w:hAnsi="Times New Roman"/>
          <w:b/>
        </w:rPr>
        <w:t>Plans for Publication Information Collection</w:t>
      </w:r>
      <w:r>
        <w:rPr>
          <w:rFonts w:ascii="Times New Roman" w:hAnsi="Times New Roman"/>
          <w:b/>
        </w:rPr>
        <w:t xml:space="preserve"> Results</w:t>
      </w:r>
    </w:p>
    <w:p w:rsidR="00341BE6" w:rsidP="00341BE6" w14:paraId="607F691C" w14:textId="77777777">
      <w:pPr>
        <w:pStyle w:val="ListParagraph"/>
        <w:ind w:right="-720"/>
        <w:rPr>
          <w:rFonts w:ascii="Times New Roman" w:hAnsi="Times New Roman"/>
          <w:b/>
        </w:rPr>
      </w:pPr>
      <w:r w:rsidRPr="00AD49B0">
        <w:rPr>
          <w:rFonts w:ascii="Times New Roman" w:hAnsi="Times New Roman"/>
        </w:rPr>
        <w:t>SSA will not publish the results of the information collection</w:t>
      </w:r>
      <w:r>
        <w:rPr>
          <w:rFonts w:ascii="Times New Roman" w:hAnsi="Times New Roman"/>
        </w:rPr>
        <w:t>.</w:t>
      </w:r>
    </w:p>
    <w:p w:rsidR="00341BE6" w:rsidP="00341BE6" w14:paraId="12F04758" w14:textId="77777777">
      <w:pPr>
        <w:pStyle w:val="ListParagraph"/>
        <w:ind w:right="-720"/>
        <w:rPr>
          <w:rFonts w:ascii="Times New Roman" w:hAnsi="Times New Roman"/>
          <w:b/>
          <w:bCs/>
        </w:rPr>
      </w:pPr>
    </w:p>
    <w:p w:rsidR="003537D7" w:rsidRPr="00341BE6" w:rsidP="003537D7" w14:paraId="26EDAB39" w14:textId="77777777">
      <w:pPr>
        <w:pStyle w:val="ListParagraph"/>
        <w:numPr>
          <w:ilvl w:val="0"/>
          <w:numId w:val="23"/>
        </w:numPr>
        <w:ind w:right="-720"/>
        <w:rPr>
          <w:rFonts w:ascii="Times New Roman" w:hAnsi="Times New Roman"/>
          <w:b/>
          <w:bCs/>
        </w:rPr>
      </w:pPr>
      <w:r>
        <w:rPr>
          <w:rFonts w:ascii="Times New Roman" w:hAnsi="Times New Roman"/>
          <w:b/>
        </w:rPr>
        <w:t>Displaying the OMB Approval Expiration Date</w:t>
      </w:r>
    </w:p>
    <w:p w:rsidR="00341BE6" w:rsidP="00341BE6" w14:paraId="06CE82A7" w14:textId="77777777">
      <w:pPr>
        <w:pStyle w:val="ListParagraph"/>
        <w:ind w:right="-720"/>
        <w:rPr>
          <w:rFonts w:ascii="Times New Roman" w:hAnsi="Times New Roman"/>
          <w:b/>
        </w:rPr>
      </w:pPr>
      <w:r>
        <w:rPr>
          <w:rFonts w:ascii="Times New Roman" w:hAnsi="Times New Roman"/>
        </w:rPr>
        <w:t>SSA is not requesting an exception to the requirement to display an expiration date.</w:t>
      </w:r>
    </w:p>
    <w:p w:rsidR="00341BE6" w:rsidP="00341BE6" w14:paraId="3B76E515" w14:textId="77777777">
      <w:pPr>
        <w:pStyle w:val="ListParagraph"/>
        <w:ind w:right="-720"/>
        <w:rPr>
          <w:rFonts w:ascii="Times New Roman" w:hAnsi="Times New Roman"/>
          <w:b/>
          <w:bCs/>
        </w:rPr>
      </w:pPr>
    </w:p>
    <w:p w:rsidR="003537D7" w:rsidRPr="00341BE6" w:rsidP="003537D7" w14:paraId="5B3F3B1B" w14:textId="77777777">
      <w:pPr>
        <w:pStyle w:val="ListParagraph"/>
        <w:numPr>
          <w:ilvl w:val="0"/>
          <w:numId w:val="23"/>
        </w:numPr>
        <w:ind w:right="-720"/>
        <w:rPr>
          <w:rFonts w:ascii="Times New Roman" w:hAnsi="Times New Roman"/>
          <w:b/>
          <w:bCs/>
        </w:rPr>
      </w:pPr>
      <w:r>
        <w:rPr>
          <w:rFonts w:ascii="Times New Roman" w:hAnsi="Times New Roman"/>
          <w:b/>
        </w:rPr>
        <w:t>Exceptions to Certification Statement</w:t>
      </w:r>
    </w:p>
    <w:p w:rsidR="00341BE6" w:rsidRPr="00341BE6" w:rsidP="00341BE6" w14:paraId="23CB6AE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9E5023">
        <w:rPr>
          <w:rFonts w:ascii="Times New Roman" w:hAnsi="Times New Roman"/>
          <w:b w:val="0"/>
          <w:i w:val="0"/>
        </w:rPr>
        <w:t xml:space="preserve">SSA is not requesting an exception to the certification requirements at </w:t>
      </w:r>
      <w:r w:rsidRPr="00341BE6">
        <w:rPr>
          <w:rFonts w:ascii="Times New Roman" w:hAnsi="Times New Roman"/>
          <w:b w:val="0"/>
        </w:rPr>
        <w:t xml:space="preserve">5 CFR 1320.9 </w:t>
      </w:r>
      <w:r w:rsidRPr="00341BE6">
        <w:rPr>
          <w:rFonts w:ascii="Times New Roman" w:hAnsi="Times New Roman"/>
          <w:b w:val="0"/>
          <w:i w:val="0"/>
        </w:rPr>
        <w:t xml:space="preserve">and related provisions at </w:t>
      </w:r>
      <w:r w:rsidRPr="00341BE6">
        <w:rPr>
          <w:rFonts w:ascii="Times New Roman" w:hAnsi="Times New Roman"/>
          <w:b w:val="0"/>
        </w:rPr>
        <w:t>5 CFR 1320.8(b)(3).</w:t>
      </w:r>
    </w:p>
    <w:p w:rsidR="003537D7" w:rsidRPr="003537D7" w:rsidP="003537D7" w14:paraId="4DD0EF91" w14:textId="77777777">
      <w:pPr>
        <w:pStyle w:val="ListParagraph"/>
        <w:ind w:left="360" w:right="-720"/>
        <w:rPr>
          <w:rFonts w:ascii="Times New Roman" w:hAnsi="Times New Roman"/>
          <w:b/>
          <w:bCs/>
          <w:u w:val="single"/>
        </w:rPr>
      </w:pPr>
    </w:p>
    <w:p w:rsidR="00341BE6" w:rsidRPr="00341BE6" w:rsidP="00341BE6" w14:paraId="63836ABC" w14:textId="77777777">
      <w:pPr>
        <w:pStyle w:val="ListParagraph"/>
        <w:numPr>
          <w:ilvl w:val="0"/>
          <w:numId w:val="22"/>
        </w:numPr>
        <w:ind w:right="-720"/>
        <w:rPr>
          <w:rFonts w:ascii="Times New Roman" w:hAnsi="Times New Roman"/>
          <w:b/>
          <w:bCs/>
          <w:u w:val="single"/>
        </w:rPr>
      </w:pPr>
      <w:r w:rsidRPr="00341BE6">
        <w:rPr>
          <w:rFonts w:ascii="Times New Roman" w:hAnsi="Times New Roman"/>
          <w:b/>
          <w:u w:val="single"/>
        </w:rPr>
        <w:t>Collections of Information Employing Statistical Methods</w:t>
      </w:r>
    </w:p>
    <w:p w:rsidR="00341BE6" w:rsidP="00341BE6" w14:paraId="43A29F10" w14:textId="77777777">
      <w:pPr>
        <w:pStyle w:val="ListParagraph"/>
        <w:ind w:left="360" w:right="-720"/>
        <w:rPr>
          <w:rFonts w:ascii="Times New Roman" w:hAnsi="Times New Roman"/>
          <w:b/>
          <w:u w:val="single"/>
        </w:rPr>
      </w:pPr>
    </w:p>
    <w:p w:rsidR="00AA2CC5" w:rsidRPr="00341BE6" w:rsidP="00341BE6" w14:paraId="50BD10D0" w14:textId="77777777">
      <w:pPr>
        <w:pStyle w:val="ListParagraph"/>
        <w:ind w:right="-720"/>
        <w:rPr>
          <w:rFonts w:ascii="Times New Roman" w:hAnsi="Times New Roman"/>
          <w:b/>
          <w:bCs/>
          <w:u w:val="single"/>
        </w:rPr>
      </w:pPr>
      <w:r w:rsidRPr="00341BE6">
        <w:rPr>
          <w:rFonts w:ascii="Times New Roman" w:hAnsi="Times New Roman"/>
        </w:rPr>
        <w:t>SSA does not use statistical methods</w:t>
      </w:r>
      <w:r w:rsidRPr="00341BE6">
        <w:rPr>
          <w:rFonts w:ascii="Times New Roman" w:hAnsi="Times New Roman"/>
        </w:rPr>
        <w:t xml:space="preserve"> for this information collection. </w:t>
      </w:r>
    </w:p>
    <w:p w:rsidR="00AA2CC5" w:rsidP="00AA2CC5" w14:paraId="003AD9E7" w14:textId="77777777">
      <w:pPr>
        <w:ind w:right="-720"/>
        <w:rPr>
          <w:rFonts w:ascii="Times New Roman" w:hAnsi="Times New Roman"/>
        </w:rPr>
      </w:pPr>
    </w:p>
    <w:sectPr w:rsidSect="00E710D2">
      <w:footerReference w:type="defaul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7689864"/>
      <w:docPartObj>
        <w:docPartGallery w:val="Page Numbers (Bottom of Page)"/>
        <w:docPartUnique/>
      </w:docPartObj>
    </w:sdtPr>
    <w:sdtEndPr>
      <w:rPr>
        <w:noProof/>
      </w:rPr>
    </w:sdtEndPr>
    <w:sdtContent>
      <w:p w:rsidR="00A631DC" w14:paraId="4B814A1C" w14:textId="6173615B">
        <w:pPr>
          <w:pStyle w:val="Footer"/>
          <w:jc w:val="center"/>
        </w:pPr>
        <w:r>
          <w:fldChar w:fldCharType="begin"/>
        </w:r>
        <w:r>
          <w:instrText xml:space="preserve"> PAGE   \* MERGEFORMAT </w:instrText>
        </w:r>
        <w:r>
          <w:fldChar w:fldCharType="separate"/>
        </w:r>
        <w:r w:rsidR="00420D5F">
          <w:rPr>
            <w:noProof/>
          </w:rPr>
          <w:t>3</w:t>
        </w:r>
        <w:r>
          <w:rPr>
            <w:noProof/>
          </w:rPr>
          <w:fldChar w:fldCharType="end"/>
        </w:r>
      </w:p>
    </w:sdtContent>
  </w:sdt>
  <w:p w:rsidR="00840461" w:rsidRPr="0030548E" w:rsidP="0030548E" w14:paraId="3A0501CB" w14:textId="77777777">
    <w:pPr>
      <w:pStyle w:val="Footer"/>
      <w:jc w:val="center"/>
      <w:rPr>
        <w:rFonts w:ascii="Times New Roman" w:hAnsi="Times New Roman"/>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7876B41"/>
    <w:multiLevelType w:val="hybridMultilevel"/>
    <w:tmpl w:val="919ED9FA"/>
    <w:lvl w:ilvl="0">
      <w:start w:val="2"/>
      <w:numFmt w:val="decimal"/>
      <w:lvlText w:val="%1."/>
      <w:lvlJc w:val="left"/>
      <w:pPr>
        <w:tabs>
          <w:tab w:val="num" w:pos="1440"/>
        </w:tabs>
        <w:ind w:left="1440" w:hanging="720"/>
      </w:pPr>
      <w:rPr>
        <w:rFonts w:ascii="Times New Roman" w:hAnsi="Times New Roman" w:hint="default"/>
        <w:b w:val="0"/>
        <w:bCs/>
        <w:i w:val="0"/>
        <w:sz w:val="24"/>
        <w:szCs w:val="24"/>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0E306D18"/>
    <w:multiLevelType w:val="hybridMultilevel"/>
    <w:tmpl w:val="20CE0A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4">
    <w:nsid w:val="1EF83BD4"/>
    <w:multiLevelType w:val="multilevel"/>
    <w:tmpl w:val="F2568564"/>
    <w:lvl w:ilvl="0">
      <w:start w:val="8"/>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EF5F37"/>
    <w:multiLevelType w:val="multilevel"/>
    <w:tmpl w:val="01D81188"/>
    <w:lvl w:ilvl="0">
      <w:start w:val="8"/>
      <w:numFmt w:val="decimal"/>
      <w:lvlText w:val="%1."/>
      <w:lvlJc w:val="left"/>
      <w:pPr>
        <w:tabs>
          <w:tab w:val="num" w:pos="900"/>
        </w:tabs>
        <w:ind w:left="900" w:hanging="72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260869"/>
    <w:multiLevelType w:val="multilevel"/>
    <w:tmpl w:val="64268CA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27D666EF"/>
    <w:multiLevelType w:val="hybridMultilevel"/>
    <w:tmpl w:val="78DC1F1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299042D0"/>
    <w:multiLevelType w:val="hybridMultilevel"/>
    <w:tmpl w:val="64268CA0"/>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2D2939FF"/>
    <w:multiLevelType w:val="hybridMultilevel"/>
    <w:tmpl w:val="4FA6152C"/>
    <w:lvl w:ilvl="0">
      <w:start w:val="17"/>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0A518B"/>
    <w:multiLevelType w:val="hybridMultilevel"/>
    <w:tmpl w:val="6C464CB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505631"/>
    <w:multiLevelType w:val="hybridMultilevel"/>
    <w:tmpl w:val="21F2814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CF244C9"/>
    <w:multiLevelType w:val="multilevel"/>
    <w:tmpl w:val="01D81188"/>
    <w:lvl w:ilvl="0">
      <w:start w:val="8"/>
      <w:numFmt w:val="decimal"/>
      <w:lvlText w:val="%1."/>
      <w:lvlJc w:val="left"/>
      <w:pPr>
        <w:tabs>
          <w:tab w:val="num" w:pos="900"/>
        </w:tabs>
        <w:ind w:left="900" w:hanging="72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2040C6"/>
    <w:multiLevelType w:val="multilevel"/>
    <w:tmpl w:val="A59CC9F4"/>
    <w:lvl w:ilvl="0">
      <w:start w:val="2"/>
      <w:numFmt w:val="decimal"/>
      <w:lvlText w:val="%1."/>
      <w:lvlJc w:val="left"/>
      <w:pPr>
        <w:tabs>
          <w:tab w:val="num" w:pos="1440"/>
        </w:tabs>
        <w:ind w:left="1440" w:hanging="720"/>
      </w:pPr>
      <w:rPr>
        <w:rFonts w:ascii="Times New Roman" w:hAnsi="Times New Roman" w:hint="default"/>
        <w:b w:val="0"/>
        <w:bCs/>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53BD3E5F"/>
    <w:multiLevelType w:val="hybridMultilevel"/>
    <w:tmpl w:val="BFA82EF8"/>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44E05CA"/>
    <w:multiLevelType w:val="hybridMultilevel"/>
    <w:tmpl w:val="0A081BF6"/>
    <w:lvl w:ilvl="0">
      <w:start w:val="1"/>
      <w:numFmt w:val="decimal"/>
      <w:lvlText w:val="%1."/>
      <w:lvlJc w:val="left"/>
      <w:pPr>
        <w:tabs>
          <w:tab w:val="num" w:pos="1080"/>
        </w:tabs>
        <w:ind w:left="1080" w:hanging="360"/>
      </w:pPr>
      <w:rPr>
        <w:rFonts w:hint="default"/>
        <w:b w:val="0"/>
      </w:rPr>
    </w:lvl>
    <w:lvl w:ilvl="1">
      <w:start w:val="1"/>
      <w:numFmt w:val="decimal"/>
      <w:lvlText w:val="%2."/>
      <w:lvlJc w:val="left"/>
      <w:pPr>
        <w:tabs>
          <w:tab w:val="num" w:pos="1800"/>
        </w:tabs>
        <w:ind w:left="1800" w:hanging="360"/>
      </w:pPr>
      <w:rPr>
        <w:rFonts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65C6174"/>
    <w:multiLevelType w:val="hybridMultilevel"/>
    <w:tmpl w:val="49F82A5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8">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659F537A"/>
    <w:multiLevelType w:val="multilevel"/>
    <w:tmpl w:val="FAC87CC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1">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2">
    <w:nsid w:val="7A9B5E7D"/>
    <w:multiLevelType w:val="multilevel"/>
    <w:tmpl w:val="4830E6CE"/>
    <w:lvl w:ilvl="0">
      <w:start w:val="8"/>
      <w:numFmt w:val="decimal"/>
      <w:lvlText w:val="%1."/>
      <w:lvlJc w:val="left"/>
      <w:pPr>
        <w:tabs>
          <w:tab w:val="num" w:pos="900"/>
        </w:tabs>
        <w:ind w:left="900" w:hanging="72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59930264">
    <w:abstractNumId w:val="22"/>
  </w:num>
  <w:num w:numId="2" w16cid:durableId="1491216299">
    <w:abstractNumId w:val="1"/>
  </w:num>
  <w:num w:numId="3" w16cid:durableId="1673413017">
    <w:abstractNumId w:val="15"/>
  </w:num>
  <w:num w:numId="4" w16cid:durableId="447313426">
    <w:abstractNumId w:val="7"/>
  </w:num>
  <w:num w:numId="5" w16cid:durableId="1500579186">
    <w:abstractNumId w:val="8"/>
  </w:num>
  <w:num w:numId="6" w16cid:durableId="1537818054">
    <w:abstractNumId w:val="6"/>
  </w:num>
  <w:num w:numId="7" w16cid:durableId="292560613">
    <w:abstractNumId w:val="16"/>
  </w:num>
  <w:num w:numId="8" w16cid:durableId="1062829908">
    <w:abstractNumId w:val="19"/>
  </w:num>
  <w:num w:numId="9" w16cid:durableId="1027372448">
    <w:abstractNumId w:val="3"/>
  </w:num>
  <w:num w:numId="10" w16cid:durableId="979650420">
    <w:abstractNumId w:val="4"/>
  </w:num>
  <w:num w:numId="11" w16cid:durableId="1789347262">
    <w:abstractNumId w:val="9"/>
  </w:num>
  <w:num w:numId="12" w16cid:durableId="19471921">
    <w:abstractNumId w:val="18"/>
  </w:num>
  <w:num w:numId="13" w16cid:durableId="1376276443">
    <w:abstractNumId w:val="21"/>
  </w:num>
  <w:num w:numId="14" w16cid:durableId="1362246416">
    <w:abstractNumId w:val="17"/>
  </w:num>
  <w:num w:numId="15" w16cid:durableId="2060587079">
    <w:abstractNumId w:val="13"/>
  </w:num>
  <w:num w:numId="16" w16cid:durableId="1882669601">
    <w:abstractNumId w:val="12"/>
  </w:num>
  <w:num w:numId="17" w16cid:durableId="868302597">
    <w:abstractNumId w:val="20"/>
  </w:num>
  <w:num w:numId="18" w16cid:durableId="900091543">
    <w:abstractNumId w:val="5"/>
  </w:num>
  <w:num w:numId="19" w16cid:durableId="497423728">
    <w:abstractNumId w:val="22"/>
    <w:lvlOverride w:ilvl="0">
      <w:startOverride w:val="15"/>
    </w:lvlOverride>
  </w:num>
  <w:num w:numId="20" w16cid:durableId="752972713">
    <w:abstractNumId w:val="0"/>
  </w:num>
  <w:num w:numId="21" w16cid:durableId="1101922502">
    <w:abstractNumId w:val="11"/>
  </w:num>
  <w:num w:numId="22" w16cid:durableId="1024287184">
    <w:abstractNumId w:val="14"/>
  </w:num>
  <w:num w:numId="23" w16cid:durableId="1149787179">
    <w:abstractNumId w:val="10"/>
  </w:num>
  <w:num w:numId="24" w16cid:durableId="9598438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C5"/>
    <w:rsid w:val="000011E3"/>
    <w:rsid w:val="0001309F"/>
    <w:rsid w:val="00014FC8"/>
    <w:rsid w:val="000441C0"/>
    <w:rsid w:val="00054CCF"/>
    <w:rsid w:val="00055E49"/>
    <w:rsid w:val="00057A16"/>
    <w:rsid w:val="00071710"/>
    <w:rsid w:val="000801D5"/>
    <w:rsid w:val="000879DB"/>
    <w:rsid w:val="0009387D"/>
    <w:rsid w:val="000942D5"/>
    <w:rsid w:val="000A06F5"/>
    <w:rsid w:val="000A2169"/>
    <w:rsid w:val="000A2472"/>
    <w:rsid w:val="000B51DD"/>
    <w:rsid w:val="000C1634"/>
    <w:rsid w:val="000C32C1"/>
    <w:rsid w:val="000C7E76"/>
    <w:rsid w:val="000D705E"/>
    <w:rsid w:val="000E4C8B"/>
    <w:rsid w:val="000E4E31"/>
    <w:rsid w:val="000F2B61"/>
    <w:rsid w:val="000F5EC6"/>
    <w:rsid w:val="001042BB"/>
    <w:rsid w:val="00130666"/>
    <w:rsid w:val="001446BF"/>
    <w:rsid w:val="001468D0"/>
    <w:rsid w:val="00147BD5"/>
    <w:rsid w:val="00151835"/>
    <w:rsid w:val="001522E7"/>
    <w:rsid w:val="00153977"/>
    <w:rsid w:val="00163545"/>
    <w:rsid w:val="00163C39"/>
    <w:rsid w:val="00164EE4"/>
    <w:rsid w:val="0016537A"/>
    <w:rsid w:val="001768BB"/>
    <w:rsid w:val="00191E28"/>
    <w:rsid w:val="0019415B"/>
    <w:rsid w:val="00195435"/>
    <w:rsid w:val="001A06F9"/>
    <w:rsid w:val="001A1EBF"/>
    <w:rsid w:val="001A4EF1"/>
    <w:rsid w:val="001A7589"/>
    <w:rsid w:val="001A7FA0"/>
    <w:rsid w:val="001B1185"/>
    <w:rsid w:val="001B2637"/>
    <w:rsid w:val="001B67EB"/>
    <w:rsid w:val="001D2525"/>
    <w:rsid w:val="001D41D9"/>
    <w:rsid w:val="001E0333"/>
    <w:rsid w:val="001E7DE8"/>
    <w:rsid w:val="001F4583"/>
    <w:rsid w:val="001F4CD9"/>
    <w:rsid w:val="001F6968"/>
    <w:rsid w:val="001F72E4"/>
    <w:rsid w:val="001F7BAB"/>
    <w:rsid w:val="0020010E"/>
    <w:rsid w:val="0020689B"/>
    <w:rsid w:val="00214DA5"/>
    <w:rsid w:val="0022119C"/>
    <w:rsid w:val="00221A43"/>
    <w:rsid w:val="002223ED"/>
    <w:rsid w:val="002251AE"/>
    <w:rsid w:val="00226C2E"/>
    <w:rsid w:val="0023351D"/>
    <w:rsid w:val="002342F4"/>
    <w:rsid w:val="0023690C"/>
    <w:rsid w:val="00242C38"/>
    <w:rsid w:val="00245896"/>
    <w:rsid w:val="00245D55"/>
    <w:rsid w:val="0024739A"/>
    <w:rsid w:val="0025433A"/>
    <w:rsid w:val="00254D57"/>
    <w:rsid w:val="00257BB5"/>
    <w:rsid w:val="002604B6"/>
    <w:rsid w:val="0026119A"/>
    <w:rsid w:val="00262EC2"/>
    <w:rsid w:val="00276332"/>
    <w:rsid w:val="002811E9"/>
    <w:rsid w:val="00293658"/>
    <w:rsid w:val="00297A38"/>
    <w:rsid w:val="002B2825"/>
    <w:rsid w:val="002B475C"/>
    <w:rsid w:val="002B5744"/>
    <w:rsid w:val="002B7F05"/>
    <w:rsid w:val="002C4BD0"/>
    <w:rsid w:val="002C683F"/>
    <w:rsid w:val="002C7DAF"/>
    <w:rsid w:val="002D0E11"/>
    <w:rsid w:val="002D22AC"/>
    <w:rsid w:val="002D40DD"/>
    <w:rsid w:val="002D506F"/>
    <w:rsid w:val="002F4817"/>
    <w:rsid w:val="002F59B9"/>
    <w:rsid w:val="00304375"/>
    <w:rsid w:val="0030548E"/>
    <w:rsid w:val="003070D2"/>
    <w:rsid w:val="00307168"/>
    <w:rsid w:val="00324D2F"/>
    <w:rsid w:val="0033130F"/>
    <w:rsid w:val="00331C5E"/>
    <w:rsid w:val="00341BE6"/>
    <w:rsid w:val="00346F11"/>
    <w:rsid w:val="0034759F"/>
    <w:rsid w:val="0035080C"/>
    <w:rsid w:val="003537D7"/>
    <w:rsid w:val="00355B36"/>
    <w:rsid w:val="00356059"/>
    <w:rsid w:val="003562B7"/>
    <w:rsid w:val="00363D97"/>
    <w:rsid w:val="00365518"/>
    <w:rsid w:val="0036644E"/>
    <w:rsid w:val="00366FF9"/>
    <w:rsid w:val="00380FD1"/>
    <w:rsid w:val="00386492"/>
    <w:rsid w:val="003865A2"/>
    <w:rsid w:val="00391EA4"/>
    <w:rsid w:val="00393ED1"/>
    <w:rsid w:val="00396C7A"/>
    <w:rsid w:val="003A6ABA"/>
    <w:rsid w:val="003B2309"/>
    <w:rsid w:val="003B3525"/>
    <w:rsid w:val="003B4022"/>
    <w:rsid w:val="003D2860"/>
    <w:rsid w:val="003D34F9"/>
    <w:rsid w:val="003E60C2"/>
    <w:rsid w:val="003F57DF"/>
    <w:rsid w:val="003F58F8"/>
    <w:rsid w:val="004067A5"/>
    <w:rsid w:val="00407008"/>
    <w:rsid w:val="00407EEB"/>
    <w:rsid w:val="00410B8B"/>
    <w:rsid w:val="00412B7E"/>
    <w:rsid w:val="00413657"/>
    <w:rsid w:val="00415BBB"/>
    <w:rsid w:val="004163F7"/>
    <w:rsid w:val="004177A1"/>
    <w:rsid w:val="00420582"/>
    <w:rsid w:val="00420D5F"/>
    <w:rsid w:val="004235B5"/>
    <w:rsid w:val="004244CE"/>
    <w:rsid w:val="004256A6"/>
    <w:rsid w:val="00426276"/>
    <w:rsid w:val="00433CC5"/>
    <w:rsid w:val="00434D9A"/>
    <w:rsid w:val="00440B4F"/>
    <w:rsid w:val="00441ED6"/>
    <w:rsid w:val="00445495"/>
    <w:rsid w:val="004464D2"/>
    <w:rsid w:val="004468F6"/>
    <w:rsid w:val="00446C8E"/>
    <w:rsid w:val="004506D6"/>
    <w:rsid w:val="0046210B"/>
    <w:rsid w:val="004743CB"/>
    <w:rsid w:val="00482615"/>
    <w:rsid w:val="00485416"/>
    <w:rsid w:val="00485BEC"/>
    <w:rsid w:val="00490007"/>
    <w:rsid w:val="00496E3F"/>
    <w:rsid w:val="004A5197"/>
    <w:rsid w:val="004B1F85"/>
    <w:rsid w:val="004B4507"/>
    <w:rsid w:val="004B75B4"/>
    <w:rsid w:val="004C20E8"/>
    <w:rsid w:val="004C2151"/>
    <w:rsid w:val="004C2B8D"/>
    <w:rsid w:val="004C309A"/>
    <w:rsid w:val="004C47A5"/>
    <w:rsid w:val="004C4B72"/>
    <w:rsid w:val="004C4F20"/>
    <w:rsid w:val="004C6B11"/>
    <w:rsid w:val="004C754D"/>
    <w:rsid w:val="004D15BE"/>
    <w:rsid w:val="004D47FE"/>
    <w:rsid w:val="004E18EC"/>
    <w:rsid w:val="004E6C06"/>
    <w:rsid w:val="004E78B5"/>
    <w:rsid w:val="004F3331"/>
    <w:rsid w:val="004F66D5"/>
    <w:rsid w:val="004F6B9F"/>
    <w:rsid w:val="004F7210"/>
    <w:rsid w:val="005070E2"/>
    <w:rsid w:val="005070F3"/>
    <w:rsid w:val="00507685"/>
    <w:rsid w:val="00510120"/>
    <w:rsid w:val="00512149"/>
    <w:rsid w:val="00523E1B"/>
    <w:rsid w:val="00524100"/>
    <w:rsid w:val="0052787B"/>
    <w:rsid w:val="00531651"/>
    <w:rsid w:val="00533D20"/>
    <w:rsid w:val="005344D4"/>
    <w:rsid w:val="00535D1F"/>
    <w:rsid w:val="005402A2"/>
    <w:rsid w:val="00543B0B"/>
    <w:rsid w:val="00545E7C"/>
    <w:rsid w:val="00545F87"/>
    <w:rsid w:val="00550601"/>
    <w:rsid w:val="00550AE6"/>
    <w:rsid w:val="005521C2"/>
    <w:rsid w:val="00564B34"/>
    <w:rsid w:val="00571280"/>
    <w:rsid w:val="00572E53"/>
    <w:rsid w:val="005749CF"/>
    <w:rsid w:val="00574BA4"/>
    <w:rsid w:val="00580D35"/>
    <w:rsid w:val="005A16C0"/>
    <w:rsid w:val="005A2904"/>
    <w:rsid w:val="005A762A"/>
    <w:rsid w:val="005B1D97"/>
    <w:rsid w:val="005B20A3"/>
    <w:rsid w:val="005B5DAA"/>
    <w:rsid w:val="005B730F"/>
    <w:rsid w:val="005C007F"/>
    <w:rsid w:val="005C636C"/>
    <w:rsid w:val="005D0C0E"/>
    <w:rsid w:val="005D185A"/>
    <w:rsid w:val="005D1EEA"/>
    <w:rsid w:val="005D30A7"/>
    <w:rsid w:val="005E13F7"/>
    <w:rsid w:val="005E1FB3"/>
    <w:rsid w:val="005E39A6"/>
    <w:rsid w:val="005F1647"/>
    <w:rsid w:val="005F1BF4"/>
    <w:rsid w:val="005F4E00"/>
    <w:rsid w:val="00605F9F"/>
    <w:rsid w:val="0061216A"/>
    <w:rsid w:val="006137D6"/>
    <w:rsid w:val="00622A7F"/>
    <w:rsid w:val="00623CB0"/>
    <w:rsid w:val="006333BC"/>
    <w:rsid w:val="0063388D"/>
    <w:rsid w:val="00643250"/>
    <w:rsid w:val="00643D18"/>
    <w:rsid w:val="00652DC8"/>
    <w:rsid w:val="006615BF"/>
    <w:rsid w:val="00662DEE"/>
    <w:rsid w:val="006714AE"/>
    <w:rsid w:val="0067313E"/>
    <w:rsid w:val="006746EF"/>
    <w:rsid w:val="00676CA9"/>
    <w:rsid w:val="00677410"/>
    <w:rsid w:val="00685C05"/>
    <w:rsid w:val="00686DE6"/>
    <w:rsid w:val="00690697"/>
    <w:rsid w:val="00694B2B"/>
    <w:rsid w:val="00697249"/>
    <w:rsid w:val="0069791B"/>
    <w:rsid w:val="006A2593"/>
    <w:rsid w:val="006A4ED7"/>
    <w:rsid w:val="006A5B2F"/>
    <w:rsid w:val="006A70D5"/>
    <w:rsid w:val="006D39E4"/>
    <w:rsid w:val="006D5036"/>
    <w:rsid w:val="006D7891"/>
    <w:rsid w:val="006E3F07"/>
    <w:rsid w:val="006F5132"/>
    <w:rsid w:val="007076B8"/>
    <w:rsid w:val="0071606B"/>
    <w:rsid w:val="00720683"/>
    <w:rsid w:val="007211F7"/>
    <w:rsid w:val="007353B3"/>
    <w:rsid w:val="00747114"/>
    <w:rsid w:val="00747E3B"/>
    <w:rsid w:val="00752DC1"/>
    <w:rsid w:val="00756C00"/>
    <w:rsid w:val="00770068"/>
    <w:rsid w:val="007726D2"/>
    <w:rsid w:val="007759C8"/>
    <w:rsid w:val="007828E5"/>
    <w:rsid w:val="007877E8"/>
    <w:rsid w:val="00787C6F"/>
    <w:rsid w:val="00797D6C"/>
    <w:rsid w:val="007A6995"/>
    <w:rsid w:val="007B68B6"/>
    <w:rsid w:val="007C17D7"/>
    <w:rsid w:val="007C4F09"/>
    <w:rsid w:val="007C6135"/>
    <w:rsid w:val="007C79EA"/>
    <w:rsid w:val="007D1081"/>
    <w:rsid w:val="007D5EAC"/>
    <w:rsid w:val="007E7FFC"/>
    <w:rsid w:val="007F61FF"/>
    <w:rsid w:val="00802353"/>
    <w:rsid w:val="00805E39"/>
    <w:rsid w:val="00816524"/>
    <w:rsid w:val="00827923"/>
    <w:rsid w:val="00830177"/>
    <w:rsid w:val="008328BB"/>
    <w:rsid w:val="00835600"/>
    <w:rsid w:val="00836022"/>
    <w:rsid w:val="0083790D"/>
    <w:rsid w:val="00840461"/>
    <w:rsid w:val="008444E6"/>
    <w:rsid w:val="0084584F"/>
    <w:rsid w:val="008534B7"/>
    <w:rsid w:val="00855DC6"/>
    <w:rsid w:val="0086434F"/>
    <w:rsid w:val="0087622C"/>
    <w:rsid w:val="00876C05"/>
    <w:rsid w:val="00877ADC"/>
    <w:rsid w:val="00885022"/>
    <w:rsid w:val="0088626A"/>
    <w:rsid w:val="008917CC"/>
    <w:rsid w:val="008953F4"/>
    <w:rsid w:val="008A5813"/>
    <w:rsid w:val="008B3978"/>
    <w:rsid w:val="008D5505"/>
    <w:rsid w:val="008F0E94"/>
    <w:rsid w:val="008F5C08"/>
    <w:rsid w:val="00922A48"/>
    <w:rsid w:val="00931F40"/>
    <w:rsid w:val="009377A3"/>
    <w:rsid w:val="00943778"/>
    <w:rsid w:val="00946EC5"/>
    <w:rsid w:val="00953456"/>
    <w:rsid w:val="00961B62"/>
    <w:rsid w:val="009623E9"/>
    <w:rsid w:val="00964CFE"/>
    <w:rsid w:val="00966F36"/>
    <w:rsid w:val="00967995"/>
    <w:rsid w:val="0097521D"/>
    <w:rsid w:val="009774C7"/>
    <w:rsid w:val="00984EA6"/>
    <w:rsid w:val="009B65F8"/>
    <w:rsid w:val="009C0F48"/>
    <w:rsid w:val="009D6010"/>
    <w:rsid w:val="009E1D95"/>
    <w:rsid w:val="009E2A32"/>
    <w:rsid w:val="009E4DEA"/>
    <w:rsid w:val="009E5023"/>
    <w:rsid w:val="009F1A8B"/>
    <w:rsid w:val="009F40E4"/>
    <w:rsid w:val="00A01B15"/>
    <w:rsid w:val="00A21A8F"/>
    <w:rsid w:val="00A2687A"/>
    <w:rsid w:val="00A33FB3"/>
    <w:rsid w:val="00A440F1"/>
    <w:rsid w:val="00A50E5D"/>
    <w:rsid w:val="00A523F6"/>
    <w:rsid w:val="00A55C61"/>
    <w:rsid w:val="00A57A6F"/>
    <w:rsid w:val="00A622E2"/>
    <w:rsid w:val="00A631DC"/>
    <w:rsid w:val="00A72857"/>
    <w:rsid w:val="00A73756"/>
    <w:rsid w:val="00A81C93"/>
    <w:rsid w:val="00A85127"/>
    <w:rsid w:val="00A96503"/>
    <w:rsid w:val="00A96F88"/>
    <w:rsid w:val="00AA1235"/>
    <w:rsid w:val="00AA2CC5"/>
    <w:rsid w:val="00AA737A"/>
    <w:rsid w:val="00AD49B0"/>
    <w:rsid w:val="00AE529B"/>
    <w:rsid w:val="00AE5BCD"/>
    <w:rsid w:val="00AE7368"/>
    <w:rsid w:val="00AE7E73"/>
    <w:rsid w:val="00AF67CB"/>
    <w:rsid w:val="00B11C8E"/>
    <w:rsid w:val="00B121A8"/>
    <w:rsid w:val="00B14ABC"/>
    <w:rsid w:val="00B15398"/>
    <w:rsid w:val="00B15863"/>
    <w:rsid w:val="00B16EEB"/>
    <w:rsid w:val="00B2328E"/>
    <w:rsid w:val="00B34AB3"/>
    <w:rsid w:val="00B44E3C"/>
    <w:rsid w:val="00B467CA"/>
    <w:rsid w:val="00B55E3A"/>
    <w:rsid w:val="00B64AC0"/>
    <w:rsid w:val="00B654AF"/>
    <w:rsid w:val="00B6654B"/>
    <w:rsid w:val="00B67CB9"/>
    <w:rsid w:val="00B70F8F"/>
    <w:rsid w:val="00B800E2"/>
    <w:rsid w:val="00B92CE2"/>
    <w:rsid w:val="00B97BF1"/>
    <w:rsid w:val="00BA40CA"/>
    <w:rsid w:val="00BA62C6"/>
    <w:rsid w:val="00BA686E"/>
    <w:rsid w:val="00BB4299"/>
    <w:rsid w:val="00BB4D9F"/>
    <w:rsid w:val="00BC006A"/>
    <w:rsid w:val="00BC0E2E"/>
    <w:rsid w:val="00BC1998"/>
    <w:rsid w:val="00BC6692"/>
    <w:rsid w:val="00BC7F42"/>
    <w:rsid w:val="00BE1465"/>
    <w:rsid w:val="00BE510A"/>
    <w:rsid w:val="00BE555E"/>
    <w:rsid w:val="00BF2D20"/>
    <w:rsid w:val="00BF3C55"/>
    <w:rsid w:val="00BF7B20"/>
    <w:rsid w:val="00C04DC5"/>
    <w:rsid w:val="00C07E83"/>
    <w:rsid w:val="00C11234"/>
    <w:rsid w:val="00C125F6"/>
    <w:rsid w:val="00C16018"/>
    <w:rsid w:val="00C16031"/>
    <w:rsid w:val="00C17312"/>
    <w:rsid w:val="00C35A79"/>
    <w:rsid w:val="00C37920"/>
    <w:rsid w:val="00C412FE"/>
    <w:rsid w:val="00C4403C"/>
    <w:rsid w:val="00C61532"/>
    <w:rsid w:val="00C65E82"/>
    <w:rsid w:val="00C75BC0"/>
    <w:rsid w:val="00C92594"/>
    <w:rsid w:val="00C92F35"/>
    <w:rsid w:val="00C93ADA"/>
    <w:rsid w:val="00C95F64"/>
    <w:rsid w:val="00CA3007"/>
    <w:rsid w:val="00CA337B"/>
    <w:rsid w:val="00CB6928"/>
    <w:rsid w:val="00CC0BAC"/>
    <w:rsid w:val="00CD1413"/>
    <w:rsid w:val="00CD1B39"/>
    <w:rsid w:val="00CE1AFB"/>
    <w:rsid w:val="00D10AE2"/>
    <w:rsid w:val="00D112C6"/>
    <w:rsid w:val="00D14F84"/>
    <w:rsid w:val="00D16563"/>
    <w:rsid w:val="00D23864"/>
    <w:rsid w:val="00D24FBC"/>
    <w:rsid w:val="00D3189A"/>
    <w:rsid w:val="00D3799A"/>
    <w:rsid w:val="00D47697"/>
    <w:rsid w:val="00D529F6"/>
    <w:rsid w:val="00D56A06"/>
    <w:rsid w:val="00D573ED"/>
    <w:rsid w:val="00D62BF2"/>
    <w:rsid w:val="00D66356"/>
    <w:rsid w:val="00D67D67"/>
    <w:rsid w:val="00D7438C"/>
    <w:rsid w:val="00D74D94"/>
    <w:rsid w:val="00D77C5B"/>
    <w:rsid w:val="00D80886"/>
    <w:rsid w:val="00D82CC2"/>
    <w:rsid w:val="00D90F58"/>
    <w:rsid w:val="00D9682E"/>
    <w:rsid w:val="00DA3B35"/>
    <w:rsid w:val="00DA4AD1"/>
    <w:rsid w:val="00DB7F67"/>
    <w:rsid w:val="00DC6610"/>
    <w:rsid w:val="00DC73A7"/>
    <w:rsid w:val="00DD3C96"/>
    <w:rsid w:val="00DD3CAF"/>
    <w:rsid w:val="00DD47A8"/>
    <w:rsid w:val="00DF1020"/>
    <w:rsid w:val="00DF26EA"/>
    <w:rsid w:val="00DF5615"/>
    <w:rsid w:val="00DF581F"/>
    <w:rsid w:val="00DF5DD1"/>
    <w:rsid w:val="00DF5EB5"/>
    <w:rsid w:val="00DF698C"/>
    <w:rsid w:val="00E02593"/>
    <w:rsid w:val="00E22E0E"/>
    <w:rsid w:val="00E25185"/>
    <w:rsid w:val="00E30F2E"/>
    <w:rsid w:val="00E32A6E"/>
    <w:rsid w:val="00E34C16"/>
    <w:rsid w:val="00E40EA8"/>
    <w:rsid w:val="00E4381F"/>
    <w:rsid w:val="00E45DB3"/>
    <w:rsid w:val="00E473F8"/>
    <w:rsid w:val="00E54D89"/>
    <w:rsid w:val="00E623C9"/>
    <w:rsid w:val="00E62897"/>
    <w:rsid w:val="00E6330B"/>
    <w:rsid w:val="00E6627D"/>
    <w:rsid w:val="00E710D2"/>
    <w:rsid w:val="00E717DC"/>
    <w:rsid w:val="00E81415"/>
    <w:rsid w:val="00E84168"/>
    <w:rsid w:val="00EA5903"/>
    <w:rsid w:val="00EB17C0"/>
    <w:rsid w:val="00EB5037"/>
    <w:rsid w:val="00EC233B"/>
    <w:rsid w:val="00EC58C1"/>
    <w:rsid w:val="00EC6AF2"/>
    <w:rsid w:val="00EC763F"/>
    <w:rsid w:val="00ED22FD"/>
    <w:rsid w:val="00ED26AA"/>
    <w:rsid w:val="00ED6302"/>
    <w:rsid w:val="00EE1093"/>
    <w:rsid w:val="00EE7DE6"/>
    <w:rsid w:val="00EF00F1"/>
    <w:rsid w:val="00EF12EC"/>
    <w:rsid w:val="00EF4E48"/>
    <w:rsid w:val="00F027E7"/>
    <w:rsid w:val="00F02EA0"/>
    <w:rsid w:val="00F075E9"/>
    <w:rsid w:val="00F1237B"/>
    <w:rsid w:val="00F13B18"/>
    <w:rsid w:val="00F15B1D"/>
    <w:rsid w:val="00F207F5"/>
    <w:rsid w:val="00F32B73"/>
    <w:rsid w:val="00F35E93"/>
    <w:rsid w:val="00F41F9E"/>
    <w:rsid w:val="00F4209D"/>
    <w:rsid w:val="00F533DD"/>
    <w:rsid w:val="00F64E0E"/>
    <w:rsid w:val="00F738D9"/>
    <w:rsid w:val="00F74A0E"/>
    <w:rsid w:val="00F800DE"/>
    <w:rsid w:val="00F82277"/>
    <w:rsid w:val="00F83673"/>
    <w:rsid w:val="00F86807"/>
    <w:rsid w:val="00F8778A"/>
    <w:rsid w:val="00F87E5A"/>
    <w:rsid w:val="00F934AB"/>
    <w:rsid w:val="00FA5DDC"/>
    <w:rsid w:val="00FA5EC4"/>
    <w:rsid w:val="00FB5325"/>
    <w:rsid w:val="00FB60D6"/>
    <w:rsid w:val="00FC32DA"/>
    <w:rsid w:val="00FC33FD"/>
    <w:rsid w:val="00FD45E6"/>
    <w:rsid w:val="00FD78E6"/>
    <w:rsid w:val="00FD7A9E"/>
    <w:rsid w:val="00FD7BAE"/>
    <w:rsid w:val="00FF2C22"/>
    <w:rsid w:val="00FF32EC"/>
    <w:rsid w:val="00FF63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DECD6E"/>
  <w15:docId w15:val="{CFB76C93-25D1-4BC0-9957-043107CB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10D2"/>
    <w:rPr>
      <w:sz w:val="24"/>
      <w:szCs w:val="24"/>
    </w:rPr>
  </w:style>
  <w:style w:type="paragraph" w:styleId="Heading1">
    <w:name w:val="heading 1"/>
    <w:basedOn w:val="Normal"/>
    <w:next w:val="Normal"/>
    <w:link w:val="Heading1Char"/>
    <w:uiPriority w:val="9"/>
    <w:qFormat/>
    <w:rsid w:val="00E710D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710D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710D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710D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710D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710D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710D2"/>
    <w:pPr>
      <w:spacing w:before="240" w:after="60"/>
      <w:outlineLvl w:val="6"/>
    </w:pPr>
  </w:style>
  <w:style w:type="paragraph" w:styleId="Heading8">
    <w:name w:val="heading 8"/>
    <w:basedOn w:val="Normal"/>
    <w:next w:val="Normal"/>
    <w:link w:val="Heading8Char"/>
    <w:uiPriority w:val="9"/>
    <w:semiHidden/>
    <w:unhideWhenUsed/>
    <w:qFormat/>
    <w:rsid w:val="00E710D2"/>
    <w:pPr>
      <w:spacing w:before="240" w:after="60"/>
      <w:outlineLvl w:val="7"/>
    </w:pPr>
    <w:rPr>
      <w:i/>
      <w:iCs/>
    </w:rPr>
  </w:style>
  <w:style w:type="paragraph" w:styleId="Heading9">
    <w:name w:val="heading 9"/>
    <w:basedOn w:val="Normal"/>
    <w:next w:val="Normal"/>
    <w:link w:val="Heading9Char"/>
    <w:uiPriority w:val="9"/>
    <w:semiHidden/>
    <w:unhideWhenUsed/>
    <w:qFormat/>
    <w:rsid w:val="00E710D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CC5"/>
    <w:pPr>
      <w:tabs>
        <w:tab w:val="center" w:pos="4320"/>
        <w:tab w:val="right" w:pos="8640"/>
      </w:tabs>
    </w:pPr>
  </w:style>
  <w:style w:type="paragraph" w:styleId="BodyText2">
    <w:name w:val="Body Text 2"/>
    <w:basedOn w:val="Normal"/>
    <w:link w:val="BodyText2Char"/>
    <w:rsid w:val="00AA2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A2CC5"/>
    <w:rPr>
      <w:i/>
      <w:iCs/>
    </w:rPr>
  </w:style>
  <w:style w:type="paragraph" w:styleId="BalloonText">
    <w:name w:val="Balloon Text"/>
    <w:basedOn w:val="Normal"/>
    <w:semiHidden/>
    <w:rsid w:val="00827923"/>
    <w:rPr>
      <w:rFonts w:ascii="Tahoma" w:hAnsi="Tahoma" w:cs="Tahoma"/>
      <w:sz w:val="16"/>
      <w:szCs w:val="16"/>
    </w:rPr>
  </w:style>
  <w:style w:type="character" w:styleId="CommentReference">
    <w:name w:val="annotation reference"/>
    <w:basedOn w:val="DefaultParagraphFont"/>
    <w:semiHidden/>
    <w:rsid w:val="004C6B11"/>
    <w:rPr>
      <w:sz w:val="16"/>
      <w:szCs w:val="16"/>
    </w:rPr>
  </w:style>
  <w:style w:type="paragraph" w:styleId="CommentText">
    <w:name w:val="annotation text"/>
    <w:basedOn w:val="Normal"/>
    <w:semiHidden/>
    <w:rsid w:val="004C6B11"/>
    <w:rPr>
      <w:sz w:val="20"/>
      <w:szCs w:val="20"/>
    </w:rPr>
  </w:style>
  <w:style w:type="paragraph" w:styleId="CommentSubject">
    <w:name w:val="annotation subject"/>
    <w:basedOn w:val="CommentText"/>
    <w:next w:val="CommentText"/>
    <w:semiHidden/>
    <w:rsid w:val="004C6B11"/>
    <w:rPr>
      <w:b/>
      <w:bCs/>
    </w:rPr>
  </w:style>
  <w:style w:type="table" w:styleId="TableGrid">
    <w:name w:val="Table Grid"/>
    <w:basedOn w:val="TableNormal"/>
    <w:rsid w:val="0089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0548E"/>
    <w:pPr>
      <w:tabs>
        <w:tab w:val="center" w:pos="4320"/>
        <w:tab w:val="right" w:pos="8640"/>
      </w:tabs>
    </w:pPr>
  </w:style>
  <w:style w:type="character" w:styleId="PageNumber">
    <w:name w:val="page number"/>
    <w:basedOn w:val="DefaultParagraphFont"/>
    <w:rsid w:val="0030548E"/>
  </w:style>
  <w:style w:type="paragraph" w:styleId="NoSpacing">
    <w:name w:val="No Spacing"/>
    <w:basedOn w:val="Normal"/>
    <w:uiPriority w:val="1"/>
    <w:qFormat/>
    <w:rsid w:val="00E710D2"/>
    <w:rPr>
      <w:szCs w:val="32"/>
    </w:rPr>
  </w:style>
  <w:style w:type="character" w:customStyle="1" w:styleId="BodyText2Char">
    <w:name w:val="Body Text 2 Char"/>
    <w:basedOn w:val="DefaultParagraphFont"/>
    <w:link w:val="BodyText2"/>
    <w:rsid w:val="00CB6928"/>
    <w:rPr>
      <w:rFonts w:ascii="Courier" w:hAnsi="Courier"/>
      <w:b/>
      <w:bCs/>
      <w:i/>
      <w:iCs/>
      <w:snapToGrid w:val="0"/>
      <w:sz w:val="24"/>
      <w:szCs w:val="24"/>
      <w:lang w:val="en-US" w:eastAsia="en-US" w:bidi="ar-SA"/>
    </w:rPr>
  </w:style>
  <w:style w:type="paragraph" w:styleId="ListParagraph">
    <w:name w:val="List Paragraph"/>
    <w:basedOn w:val="Normal"/>
    <w:uiPriority w:val="34"/>
    <w:qFormat/>
    <w:rsid w:val="00E710D2"/>
    <w:pPr>
      <w:ind w:left="720"/>
      <w:contextualSpacing/>
    </w:pPr>
  </w:style>
  <w:style w:type="character" w:customStyle="1" w:styleId="FooterChar">
    <w:name w:val="Footer Char"/>
    <w:basedOn w:val="DefaultParagraphFont"/>
    <w:link w:val="Footer"/>
    <w:uiPriority w:val="99"/>
    <w:rsid w:val="00966F36"/>
    <w:rPr>
      <w:rFonts w:ascii="Courier" w:hAnsi="Courier"/>
      <w:snapToGrid w:val="0"/>
      <w:sz w:val="24"/>
      <w:szCs w:val="24"/>
    </w:rPr>
  </w:style>
  <w:style w:type="paragraph" w:styleId="Revision">
    <w:name w:val="Revision"/>
    <w:hidden/>
    <w:uiPriority w:val="99"/>
    <w:semiHidden/>
    <w:rsid w:val="004E18EC"/>
    <w:rPr>
      <w:rFonts w:ascii="Courier" w:hAnsi="Courier"/>
      <w:snapToGrid w:val="0"/>
      <w:sz w:val="24"/>
      <w:szCs w:val="24"/>
    </w:rPr>
  </w:style>
  <w:style w:type="character" w:customStyle="1" w:styleId="Heading1Char">
    <w:name w:val="Heading 1 Char"/>
    <w:basedOn w:val="DefaultParagraphFont"/>
    <w:link w:val="Heading1"/>
    <w:uiPriority w:val="9"/>
    <w:rsid w:val="00E710D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710D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710D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710D2"/>
    <w:rPr>
      <w:b/>
      <w:bCs/>
      <w:sz w:val="28"/>
      <w:szCs w:val="28"/>
    </w:rPr>
  </w:style>
  <w:style w:type="character" w:customStyle="1" w:styleId="Heading5Char">
    <w:name w:val="Heading 5 Char"/>
    <w:basedOn w:val="DefaultParagraphFont"/>
    <w:link w:val="Heading5"/>
    <w:uiPriority w:val="9"/>
    <w:semiHidden/>
    <w:rsid w:val="00E710D2"/>
    <w:rPr>
      <w:b/>
      <w:bCs/>
      <w:i/>
      <w:iCs/>
      <w:sz w:val="26"/>
      <w:szCs w:val="26"/>
    </w:rPr>
  </w:style>
  <w:style w:type="character" w:customStyle="1" w:styleId="Heading6Char">
    <w:name w:val="Heading 6 Char"/>
    <w:basedOn w:val="DefaultParagraphFont"/>
    <w:link w:val="Heading6"/>
    <w:uiPriority w:val="9"/>
    <w:semiHidden/>
    <w:rsid w:val="00E710D2"/>
    <w:rPr>
      <w:b/>
      <w:bCs/>
    </w:rPr>
  </w:style>
  <w:style w:type="character" w:customStyle="1" w:styleId="Heading7Char">
    <w:name w:val="Heading 7 Char"/>
    <w:basedOn w:val="DefaultParagraphFont"/>
    <w:link w:val="Heading7"/>
    <w:uiPriority w:val="9"/>
    <w:semiHidden/>
    <w:rsid w:val="00E710D2"/>
    <w:rPr>
      <w:sz w:val="24"/>
      <w:szCs w:val="24"/>
    </w:rPr>
  </w:style>
  <w:style w:type="character" w:customStyle="1" w:styleId="Heading8Char">
    <w:name w:val="Heading 8 Char"/>
    <w:basedOn w:val="DefaultParagraphFont"/>
    <w:link w:val="Heading8"/>
    <w:uiPriority w:val="9"/>
    <w:semiHidden/>
    <w:rsid w:val="00E710D2"/>
    <w:rPr>
      <w:i/>
      <w:iCs/>
      <w:sz w:val="24"/>
      <w:szCs w:val="24"/>
    </w:rPr>
  </w:style>
  <w:style w:type="character" w:customStyle="1" w:styleId="Heading9Char">
    <w:name w:val="Heading 9 Char"/>
    <w:basedOn w:val="DefaultParagraphFont"/>
    <w:link w:val="Heading9"/>
    <w:uiPriority w:val="9"/>
    <w:semiHidden/>
    <w:rsid w:val="00E710D2"/>
    <w:rPr>
      <w:rFonts w:asciiTheme="majorHAnsi" w:eastAsiaTheme="majorEastAsia" w:hAnsiTheme="majorHAnsi"/>
    </w:rPr>
  </w:style>
  <w:style w:type="paragraph" w:styleId="Title">
    <w:name w:val="Title"/>
    <w:basedOn w:val="Normal"/>
    <w:next w:val="Normal"/>
    <w:link w:val="TitleChar"/>
    <w:uiPriority w:val="10"/>
    <w:qFormat/>
    <w:rsid w:val="00E710D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710D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710D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710D2"/>
    <w:rPr>
      <w:rFonts w:asciiTheme="majorHAnsi" w:eastAsiaTheme="majorEastAsia" w:hAnsiTheme="majorHAnsi"/>
      <w:sz w:val="24"/>
      <w:szCs w:val="24"/>
    </w:rPr>
  </w:style>
  <w:style w:type="character" w:styleId="Strong">
    <w:name w:val="Strong"/>
    <w:basedOn w:val="DefaultParagraphFont"/>
    <w:uiPriority w:val="22"/>
    <w:qFormat/>
    <w:rsid w:val="00E710D2"/>
    <w:rPr>
      <w:b/>
      <w:bCs/>
    </w:rPr>
  </w:style>
  <w:style w:type="character" w:styleId="Emphasis">
    <w:name w:val="Emphasis"/>
    <w:basedOn w:val="DefaultParagraphFont"/>
    <w:uiPriority w:val="20"/>
    <w:qFormat/>
    <w:rsid w:val="00E710D2"/>
    <w:rPr>
      <w:rFonts w:asciiTheme="minorHAnsi" w:hAnsiTheme="minorHAnsi"/>
      <w:b/>
      <w:i/>
      <w:iCs/>
    </w:rPr>
  </w:style>
  <w:style w:type="paragraph" w:styleId="Quote">
    <w:name w:val="Quote"/>
    <w:basedOn w:val="Normal"/>
    <w:next w:val="Normal"/>
    <w:link w:val="QuoteChar"/>
    <w:uiPriority w:val="29"/>
    <w:qFormat/>
    <w:rsid w:val="00E710D2"/>
    <w:rPr>
      <w:i/>
    </w:rPr>
  </w:style>
  <w:style w:type="character" w:customStyle="1" w:styleId="QuoteChar">
    <w:name w:val="Quote Char"/>
    <w:basedOn w:val="DefaultParagraphFont"/>
    <w:link w:val="Quote"/>
    <w:uiPriority w:val="29"/>
    <w:rsid w:val="00E710D2"/>
    <w:rPr>
      <w:i/>
      <w:sz w:val="24"/>
      <w:szCs w:val="24"/>
    </w:rPr>
  </w:style>
  <w:style w:type="paragraph" w:styleId="IntenseQuote">
    <w:name w:val="Intense Quote"/>
    <w:basedOn w:val="Normal"/>
    <w:next w:val="Normal"/>
    <w:link w:val="IntenseQuoteChar"/>
    <w:uiPriority w:val="30"/>
    <w:qFormat/>
    <w:rsid w:val="00E710D2"/>
    <w:pPr>
      <w:ind w:left="720" w:right="720"/>
    </w:pPr>
    <w:rPr>
      <w:b/>
      <w:i/>
      <w:szCs w:val="22"/>
    </w:rPr>
  </w:style>
  <w:style w:type="character" w:customStyle="1" w:styleId="IntenseQuoteChar">
    <w:name w:val="Intense Quote Char"/>
    <w:basedOn w:val="DefaultParagraphFont"/>
    <w:link w:val="IntenseQuote"/>
    <w:uiPriority w:val="30"/>
    <w:rsid w:val="00E710D2"/>
    <w:rPr>
      <w:b/>
      <w:i/>
      <w:sz w:val="24"/>
    </w:rPr>
  </w:style>
  <w:style w:type="character" w:styleId="SubtleEmphasis">
    <w:name w:val="Subtle Emphasis"/>
    <w:uiPriority w:val="19"/>
    <w:qFormat/>
    <w:rsid w:val="00E710D2"/>
    <w:rPr>
      <w:i/>
      <w:color w:val="5A5A5A" w:themeColor="text1" w:themeTint="A5"/>
    </w:rPr>
  </w:style>
  <w:style w:type="character" w:styleId="IntenseEmphasis">
    <w:name w:val="Intense Emphasis"/>
    <w:basedOn w:val="DefaultParagraphFont"/>
    <w:uiPriority w:val="21"/>
    <w:qFormat/>
    <w:rsid w:val="00E710D2"/>
    <w:rPr>
      <w:b/>
      <w:i/>
      <w:sz w:val="24"/>
      <w:szCs w:val="24"/>
      <w:u w:val="single"/>
    </w:rPr>
  </w:style>
  <w:style w:type="character" w:styleId="SubtleReference">
    <w:name w:val="Subtle Reference"/>
    <w:basedOn w:val="DefaultParagraphFont"/>
    <w:uiPriority w:val="31"/>
    <w:qFormat/>
    <w:rsid w:val="00E710D2"/>
    <w:rPr>
      <w:sz w:val="24"/>
      <w:szCs w:val="24"/>
      <w:u w:val="single"/>
    </w:rPr>
  </w:style>
  <w:style w:type="character" w:styleId="IntenseReference">
    <w:name w:val="Intense Reference"/>
    <w:basedOn w:val="DefaultParagraphFont"/>
    <w:uiPriority w:val="32"/>
    <w:qFormat/>
    <w:rsid w:val="00E710D2"/>
    <w:rPr>
      <w:b/>
      <w:sz w:val="24"/>
      <w:u w:val="single"/>
    </w:rPr>
  </w:style>
  <w:style w:type="character" w:styleId="BookTitle">
    <w:name w:val="Book Title"/>
    <w:basedOn w:val="DefaultParagraphFont"/>
    <w:uiPriority w:val="33"/>
    <w:qFormat/>
    <w:rsid w:val="00E710D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710D2"/>
    <w:pPr>
      <w:outlineLvl w:val="9"/>
    </w:pPr>
  </w:style>
  <w:style w:type="character" w:styleId="Hyperlink">
    <w:name w:val="Hyperlink"/>
    <w:semiHidden/>
    <w:rsid w:val="00257BB5"/>
    <w:rPr>
      <w:rFonts w:cs="Times New Roman"/>
      <w:color w:val="0000FF"/>
      <w:u w:val="single"/>
    </w:rPr>
  </w:style>
  <w:style w:type="table" w:customStyle="1" w:styleId="TableGrid1">
    <w:name w:val="Table Grid1"/>
    <w:basedOn w:val="TableNormal"/>
    <w:next w:val="TableGrid"/>
    <w:uiPriority w:val="39"/>
    <w:rsid w:val="00535D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434199.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78214-B637-401E-930A-FE38543A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2142</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vt:lpstr>
    </vt:vector>
  </TitlesOfParts>
  <Company>Social Security Administration</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072230</dc:creator>
  <cp:lastModifiedBy>Naomi Sipple</cp:lastModifiedBy>
  <cp:revision>2</cp:revision>
  <cp:lastPrinted>2013-12-03T22:22:00Z</cp:lastPrinted>
  <dcterms:created xsi:type="dcterms:W3CDTF">2024-07-24T20:28:00Z</dcterms:created>
  <dcterms:modified xsi:type="dcterms:W3CDTF">2024-07-24T20:28:00Z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118870690</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OIRA Passback Round 4- SSA Responses (12-3-21) for 0960-0784 SSA-44</vt:lpwstr>
  </property>
  <property fmtid="{D5CDD505-2E9C-101B-9397-08002B2CF9AE}" pid="6" name="_NewReviewCycle">
    <vt:lpwstr/>
  </property>
  <property fmtid="{D5CDD505-2E9C-101B-9397-08002B2CF9AE}" pid="7" name="_PreviousAdHocReviewCycleID">
    <vt:i4>382579065</vt:i4>
  </property>
  <property fmtid="{D5CDD505-2E9C-101B-9397-08002B2CF9AE}" pid="8" name="_ReviewingToolsShownOnce">
    <vt:lpwstr/>
  </property>
</Properties>
</file>