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38515" w14:textId="76D4CB54" w:rsidR="006869D4" w:rsidRDefault="006869D4" w:rsidP="00F95454">
      <w:pPr>
        <w:pStyle w:val="NoSpacing"/>
        <w:spacing w:before="120" w:after="120"/>
        <w:mirrorIndents/>
        <w:jc w:val="center"/>
        <w:rPr>
          <w:b/>
        </w:rPr>
      </w:pPr>
      <w:bookmarkStart w:id="0" w:name="_GoBack"/>
      <w:bookmarkEnd w:id="0"/>
    </w:p>
    <w:p w14:paraId="09CB9C00" w14:textId="4535DC72" w:rsidR="00A32FBE" w:rsidRDefault="00A32FBE" w:rsidP="00F95454">
      <w:pPr>
        <w:pStyle w:val="NoSpacing"/>
        <w:spacing w:before="120" w:after="120"/>
        <w:mirrorIndents/>
        <w:jc w:val="center"/>
      </w:pPr>
      <w:r w:rsidRPr="00BD3D46">
        <w:rPr>
          <w:b/>
          <w:sz w:val="36"/>
          <w:szCs w:val="36"/>
        </w:rPr>
        <w:t xml:space="preserve">HIV </w:t>
      </w:r>
      <w:r>
        <w:rPr>
          <w:b/>
          <w:sz w:val="36"/>
          <w:szCs w:val="36"/>
        </w:rPr>
        <w:t>P</w:t>
      </w:r>
      <w:r w:rsidRPr="00BD3D46">
        <w:rPr>
          <w:b/>
          <w:sz w:val="36"/>
          <w:szCs w:val="36"/>
        </w:rPr>
        <w:t xml:space="preserve">revention and </w:t>
      </w:r>
      <w:r>
        <w:rPr>
          <w:b/>
          <w:sz w:val="36"/>
          <w:szCs w:val="36"/>
        </w:rPr>
        <w:t>T</w:t>
      </w:r>
      <w:r w:rsidRPr="00BD3D46">
        <w:rPr>
          <w:b/>
          <w:sz w:val="36"/>
          <w:szCs w:val="36"/>
        </w:rPr>
        <w:t xml:space="preserve">reatment </w:t>
      </w:r>
      <w:r>
        <w:rPr>
          <w:b/>
          <w:sz w:val="36"/>
          <w:szCs w:val="36"/>
        </w:rPr>
        <w:t>S</w:t>
      </w:r>
      <w:r w:rsidRPr="00BD3D46">
        <w:rPr>
          <w:b/>
          <w:sz w:val="36"/>
          <w:szCs w:val="36"/>
        </w:rPr>
        <w:t xml:space="preserve">ervices among </w:t>
      </w:r>
      <w:r>
        <w:rPr>
          <w:b/>
          <w:sz w:val="36"/>
          <w:szCs w:val="36"/>
        </w:rPr>
        <w:t>Y</w:t>
      </w:r>
      <w:r w:rsidRPr="00BD3D46">
        <w:rPr>
          <w:b/>
          <w:sz w:val="36"/>
          <w:szCs w:val="36"/>
        </w:rPr>
        <w:t xml:space="preserve">oung </w:t>
      </w:r>
      <w:r>
        <w:rPr>
          <w:b/>
          <w:sz w:val="36"/>
          <w:szCs w:val="36"/>
        </w:rPr>
        <w:t>M</w:t>
      </w:r>
      <w:r w:rsidRPr="00BD3D46">
        <w:rPr>
          <w:b/>
          <w:sz w:val="36"/>
          <w:szCs w:val="36"/>
        </w:rPr>
        <w:t xml:space="preserve">en of </w:t>
      </w:r>
      <w:r>
        <w:rPr>
          <w:b/>
          <w:sz w:val="36"/>
          <w:szCs w:val="36"/>
        </w:rPr>
        <w:t>C</w:t>
      </w:r>
      <w:r w:rsidRPr="00BD3D46">
        <w:rPr>
          <w:b/>
          <w:sz w:val="36"/>
          <w:szCs w:val="36"/>
        </w:rPr>
        <w:t xml:space="preserve">olor who </w:t>
      </w:r>
      <w:r>
        <w:rPr>
          <w:b/>
          <w:sz w:val="36"/>
          <w:szCs w:val="36"/>
        </w:rPr>
        <w:t>H</w:t>
      </w:r>
      <w:r w:rsidRPr="00BD3D46">
        <w:rPr>
          <w:b/>
          <w:sz w:val="36"/>
          <w:szCs w:val="36"/>
        </w:rPr>
        <w:t xml:space="preserve">ave </w:t>
      </w:r>
      <w:r>
        <w:rPr>
          <w:b/>
          <w:sz w:val="36"/>
          <w:szCs w:val="36"/>
        </w:rPr>
        <w:t>S</w:t>
      </w:r>
      <w:r w:rsidRPr="00BD3D46">
        <w:rPr>
          <w:b/>
          <w:sz w:val="36"/>
          <w:szCs w:val="36"/>
        </w:rPr>
        <w:t xml:space="preserve">ex with </w:t>
      </w:r>
      <w:r>
        <w:rPr>
          <w:b/>
          <w:sz w:val="36"/>
          <w:szCs w:val="36"/>
        </w:rPr>
        <w:t>M</w:t>
      </w:r>
      <w:r w:rsidRPr="00BD3D46">
        <w:rPr>
          <w:b/>
          <w:sz w:val="36"/>
          <w:szCs w:val="36"/>
        </w:rPr>
        <w:t xml:space="preserve">en (YMSM of </w:t>
      </w:r>
      <w:r>
        <w:rPr>
          <w:b/>
          <w:sz w:val="36"/>
          <w:szCs w:val="36"/>
        </w:rPr>
        <w:t>C</w:t>
      </w:r>
      <w:r w:rsidRPr="00BD3D46">
        <w:rPr>
          <w:b/>
          <w:sz w:val="36"/>
          <w:szCs w:val="36"/>
        </w:rPr>
        <w:t xml:space="preserve">olor) and </w:t>
      </w:r>
      <w:r>
        <w:rPr>
          <w:b/>
          <w:sz w:val="36"/>
          <w:szCs w:val="36"/>
        </w:rPr>
        <w:t>Y</w:t>
      </w:r>
      <w:r w:rsidRPr="00BD3D46">
        <w:rPr>
          <w:b/>
          <w:sz w:val="36"/>
          <w:szCs w:val="36"/>
        </w:rPr>
        <w:t xml:space="preserve">oung </w:t>
      </w:r>
      <w:r>
        <w:rPr>
          <w:b/>
          <w:sz w:val="36"/>
          <w:szCs w:val="36"/>
        </w:rPr>
        <w:t>T</w:t>
      </w:r>
      <w:r w:rsidRPr="00BD3D46">
        <w:rPr>
          <w:b/>
          <w:sz w:val="36"/>
          <w:szCs w:val="36"/>
        </w:rPr>
        <w:t xml:space="preserve">ransgender </w:t>
      </w:r>
      <w:r>
        <w:rPr>
          <w:b/>
          <w:sz w:val="36"/>
          <w:szCs w:val="36"/>
        </w:rPr>
        <w:t>P</w:t>
      </w:r>
      <w:r w:rsidRPr="00BD3D46">
        <w:rPr>
          <w:b/>
          <w:sz w:val="36"/>
          <w:szCs w:val="36"/>
        </w:rPr>
        <w:t xml:space="preserve">ersons of </w:t>
      </w:r>
      <w:r>
        <w:rPr>
          <w:b/>
          <w:sz w:val="36"/>
          <w:szCs w:val="36"/>
        </w:rPr>
        <w:t>C</w:t>
      </w:r>
      <w:r w:rsidRPr="00BD3D46">
        <w:rPr>
          <w:b/>
          <w:sz w:val="36"/>
          <w:szCs w:val="36"/>
        </w:rPr>
        <w:t xml:space="preserve">olor (YTG of </w:t>
      </w:r>
      <w:r>
        <w:rPr>
          <w:b/>
          <w:sz w:val="36"/>
          <w:szCs w:val="36"/>
        </w:rPr>
        <w:t>C</w:t>
      </w:r>
      <w:r w:rsidR="00B01EA2">
        <w:rPr>
          <w:b/>
          <w:sz w:val="36"/>
          <w:szCs w:val="36"/>
        </w:rPr>
        <w:t>olor)</w:t>
      </w:r>
      <w:r w:rsidRPr="00BD3D46">
        <w:rPr>
          <w:b/>
          <w:sz w:val="36"/>
          <w:szCs w:val="36"/>
        </w:rPr>
        <w:t xml:space="preserve"> in the Deep South</w:t>
      </w:r>
      <w:r w:rsidRPr="00412543">
        <w:t xml:space="preserve"> </w:t>
      </w:r>
    </w:p>
    <w:p w14:paraId="2D4C5522" w14:textId="449E5910" w:rsidR="00E227E6" w:rsidRPr="00412543" w:rsidRDefault="00E227E6" w:rsidP="00F95454">
      <w:pPr>
        <w:pStyle w:val="NoSpacing"/>
        <w:spacing w:before="120" w:after="120"/>
        <w:mirrorIndents/>
        <w:jc w:val="center"/>
      </w:pPr>
      <w:r w:rsidRPr="00412543">
        <w:t>Gen</w:t>
      </w:r>
      <w:r w:rsidR="001F2D33" w:rsidRPr="00412543">
        <w:t>eric</w:t>
      </w:r>
      <w:r w:rsidRPr="00412543">
        <w:t xml:space="preserve"> Information Collection under OMB #0920-</w:t>
      </w:r>
      <w:r w:rsidR="001F2D33" w:rsidRPr="00412543">
        <w:t>1091</w:t>
      </w:r>
    </w:p>
    <w:p w14:paraId="646ACD0B" w14:textId="77777777" w:rsidR="00E227E6" w:rsidRDefault="00E227E6" w:rsidP="00F95454">
      <w:pPr>
        <w:pStyle w:val="NoSpacing"/>
        <w:spacing w:before="120" w:after="120"/>
        <w:mirrorIndents/>
        <w:jc w:val="center"/>
        <w:rPr>
          <w:b/>
        </w:rPr>
      </w:pPr>
    </w:p>
    <w:p w14:paraId="70491B13" w14:textId="77777777" w:rsidR="00E227E6" w:rsidRDefault="00E227E6" w:rsidP="00F95454">
      <w:pPr>
        <w:pStyle w:val="NoSpacing"/>
        <w:spacing w:before="120" w:after="120"/>
        <w:mirrorIndents/>
        <w:jc w:val="center"/>
        <w:rPr>
          <w:b/>
        </w:rPr>
      </w:pPr>
    </w:p>
    <w:p w14:paraId="3FA0A050" w14:textId="77777777" w:rsidR="0098673D" w:rsidRDefault="0098673D" w:rsidP="00F95454">
      <w:pPr>
        <w:pStyle w:val="NoSpacing"/>
        <w:spacing w:before="120" w:after="120"/>
        <w:mirrorIndents/>
        <w:jc w:val="center"/>
        <w:rPr>
          <w:b/>
        </w:rPr>
      </w:pPr>
    </w:p>
    <w:p w14:paraId="1032F302" w14:textId="01A5147B" w:rsidR="0098673D" w:rsidRDefault="00256843" w:rsidP="00F95454">
      <w:pPr>
        <w:pStyle w:val="NoSpacing"/>
        <w:spacing w:before="120" w:after="120"/>
        <w:mirrorIndents/>
        <w:jc w:val="center"/>
        <w:rPr>
          <w:b/>
        </w:rPr>
      </w:pPr>
      <w:r>
        <w:rPr>
          <w:b/>
        </w:rPr>
        <w:t xml:space="preserve"> </w:t>
      </w:r>
    </w:p>
    <w:p w14:paraId="0DA15451" w14:textId="77777777" w:rsidR="0098673D" w:rsidRPr="00412543" w:rsidRDefault="0098673D" w:rsidP="00F95454">
      <w:pPr>
        <w:pStyle w:val="NoSpacing"/>
        <w:spacing w:before="120" w:after="120"/>
        <w:mirrorIndents/>
        <w:jc w:val="center"/>
      </w:pPr>
      <w:r w:rsidRPr="00412543">
        <w:t>Section A: Supporting Statement</w:t>
      </w:r>
    </w:p>
    <w:p w14:paraId="012C70EF" w14:textId="77777777" w:rsidR="0098673D" w:rsidRDefault="0098673D" w:rsidP="00F95454">
      <w:pPr>
        <w:pStyle w:val="NoSpacing"/>
        <w:spacing w:before="120" w:after="120"/>
        <w:mirrorIndents/>
        <w:jc w:val="center"/>
        <w:rPr>
          <w:b/>
        </w:rPr>
      </w:pPr>
    </w:p>
    <w:p w14:paraId="20F53B92" w14:textId="77777777" w:rsidR="0098673D" w:rsidRDefault="0098673D" w:rsidP="00F95454">
      <w:pPr>
        <w:pStyle w:val="NoSpacing"/>
        <w:spacing w:before="120" w:after="120"/>
        <w:mirrorIndents/>
        <w:jc w:val="center"/>
        <w:rPr>
          <w:b/>
        </w:rPr>
      </w:pPr>
    </w:p>
    <w:p w14:paraId="7AFB1319" w14:textId="77777777" w:rsidR="00053671" w:rsidRDefault="00053671" w:rsidP="00F95454">
      <w:pPr>
        <w:pStyle w:val="NoSpacing"/>
        <w:spacing w:before="120" w:after="120"/>
        <w:mirrorIndents/>
        <w:jc w:val="center"/>
        <w:rPr>
          <w:b/>
        </w:rPr>
      </w:pPr>
    </w:p>
    <w:p w14:paraId="04EE08F6" w14:textId="77777777" w:rsidR="00053671" w:rsidRDefault="00053671" w:rsidP="00F95454">
      <w:pPr>
        <w:pStyle w:val="NoSpacing"/>
        <w:spacing w:before="120" w:after="120"/>
        <w:mirrorIndents/>
        <w:jc w:val="center"/>
        <w:rPr>
          <w:b/>
        </w:rPr>
      </w:pPr>
    </w:p>
    <w:p w14:paraId="09B6F01D" w14:textId="70711405" w:rsidR="005A0F49" w:rsidRPr="00412543" w:rsidRDefault="00095EDD" w:rsidP="00F95454">
      <w:pPr>
        <w:pStyle w:val="NoSpacing"/>
        <w:spacing w:before="120" w:after="120"/>
        <w:mirrorIndents/>
        <w:jc w:val="center"/>
      </w:pPr>
      <w:r>
        <w:t>March 27</w:t>
      </w:r>
      <w:r w:rsidR="00B45435">
        <w:t>, 2019</w:t>
      </w:r>
    </w:p>
    <w:p w14:paraId="3ADA8582" w14:textId="77777777" w:rsidR="00053671" w:rsidRDefault="00053671" w:rsidP="00F95454">
      <w:pPr>
        <w:pStyle w:val="NoSpacing"/>
        <w:spacing w:before="120" w:after="120"/>
        <w:mirrorIndents/>
        <w:jc w:val="center"/>
        <w:rPr>
          <w:b/>
        </w:rPr>
      </w:pPr>
    </w:p>
    <w:p w14:paraId="6C409248" w14:textId="77777777" w:rsidR="00053671" w:rsidRDefault="00053671" w:rsidP="00F95454">
      <w:pPr>
        <w:pStyle w:val="NoSpacing"/>
        <w:spacing w:before="120" w:after="120"/>
        <w:mirrorIndents/>
        <w:jc w:val="center"/>
        <w:rPr>
          <w:b/>
        </w:rPr>
      </w:pPr>
    </w:p>
    <w:p w14:paraId="0438CDFE" w14:textId="77777777" w:rsidR="00053671" w:rsidRDefault="00053671" w:rsidP="00F95454">
      <w:pPr>
        <w:pStyle w:val="NoSpacing"/>
        <w:spacing w:before="120" w:after="120"/>
        <w:mirrorIndents/>
        <w:jc w:val="center"/>
        <w:rPr>
          <w:b/>
        </w:rPr>
      </w:pPr>
      <w:r>
        <w:rPr>
          <w:b/>
        </w:rPr>
        <w:t>CONTACT</w:t>
      </w:r>
    </w:p>
    <w:p w14:paraId="12434A3D" w14:textId="7DA5FF4A" w:rsidR="00053671" w:rsidRPr="00603813" w:rsidRDefault="001F2D33" w:rsidP="00F95454">
      <w:pPr>
        <w:spacing w:before="120" w:after="120"/>
        <w:mirrorIndents/>
        <w:jc w:val="center"/>
        <w:rPr>
          <w:shd w:val="clear" w:color="auto" w:fill="FFFFFF"/>
        </w:rPr>
      </w:pPr>
      <w:r>
        <w:rPr>
          <w:bCs/>
          <w:shd w:val="clear" w:color="auto" w:fill="FFFFFF"/>
        </w:rPr>
        <w:t>James</w:t>
      </w:r>
      <w:r w:rsidR="00AC254E">
        <w:rPr>
          <w:bCs/>
          <w:shd w:val="clear" w:color="auto" w:fill="FFFFFF"/>
        </w:rPr>
        <w:t xml:space="preserve"> W.</w:t>
      </w:r>
      <w:r>
        <w:rPr>
          <w:bCs/>
          <w:shd w:val="clear" w:color="auto" w:fill="FFFFFF"/>
        </w:rPr>
        <w:t xml:space="preserve"> Carey</w:t>
      </w:r>
      <w:r w:rsidR="00053671" w:rsidRPr="00603813">
        <w:rPr>
          <w:bCs/>
          <w:shd w:val="clear" w:color="auto" w:fill="FFFFFF"/>
        </w:rPr>
        <w:t>, PhD</w:t>
      </w:r>
      <w:r w:rsidR="00AC254E">
        <w:t>, MPH</w:t>
      </w:r>
      <w:r w:rsidR="00053671" w:rsidRPr="00603813">
        <w:br/>
      </w:r>
      <w:r>
        <w:t>Project Officer</w:t>
      </w:r>
    </w:p>
    <w:p w14:paraId="35C162D9" w14:textId="0B0D355E" w:rsidR="004657BF" w:rsidRDefault="00053671" w:rsidP="00F95454">
      <w:pPr>
        <w:pStyle w:val="NoSpacing"/>
        <w:spacing w:before="120" w:after="120"/>
        <w:mirrorIndents/>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Division of HIV/AIDS Prevention</w:t>
      </w:r>
      <w:r w:rsidRPr="00603813">
        <w:t xml:space="preserve"> </w:t>
      </w:r>
      <w:r w:rsidRPr="00603813">
        <w:br/>
      </w:r>
      <w:r w:rsidRPr="00603813">
        <w:rPr>
          <w:shd w:val="clear" w:color="auto" w:fill="FFFFFF"/>
        </w:rPr>
        <w:t>1600 Clifton Road, NE, Mailstop E-37</w:t>
      </w:r>
      <w:r w:rsidRPr="00603813">
        <w:br/>
      </w:r>
      <w:r w:rsidRPr="00603813">
        <w:rPr>
          <w:shd w:val="clear" w:color="auto" w:fill="FFFFFF"/>
        </w:rPr>
        <w:t>Atlanta, GA 30333</w:t>
      </w:r>
      <w:r w:rsidRPr="00603813">
        <w:br/>
      </w:r>
      <w:r w:rsidRPr="00603813">
        <w:rPr>
          <w:shd w:val="clear" w:color="auto" w:fill="FFFFFF"/>
        </w:rPr>
        <w:t xml:space="preserve">Phone: </w:t>
      </w:r>
      <w:r w:rsidR="004657BF">
        <w:rPr>
          <w:shd w:val="clear" w:color="auto" w:fill="FFFFFF"/>
        </w:rPr>
        <w:t>404-639-</w:t>
      </w:r>
      <w:r w:rsidR="004657BF" w:rsidRPr="004657BF">
        <w:rPr>
          <w:shd w:val="clear" w:color="auto" w:fill="FFFFFF"/>
        </w:rPr>
        <w:t>1903</w:t>
      </w:r>
    </w:p>
    <w:p w14:paraId="3A83CC25" w14:textId="6796FDE3" w:rsidR="00053671" w:rsidRDefault="00053671" w:rsidP="00F95454">
      <w:pPr>
        <w:pStyle w:val="NoSpacing"/>
        <w:spacing w:before="120" w:after="120"/>
        <w:mirrorIndents/>
        <w:jc w:val="center"/>
      </w:pPr>
      <w:r w:rsidRPr="00603813">
        <w:rPr>
          <w:shd w:val="clear" w:color="auto" w:fill="FFFFFF"/>
        </w:rPr>
        <w:t>Fax: 404-639-1950</w:t>
      </w:r>
      <w:r w:rsidRPr="00603813">
        <w:br/>
      </w:r>
      <w:r w:rsidRPr="00603813">
        <w:rPr>
          <w:shd w:val="clear" w:color="auto" w:fill="FFFFFF"/>
        </w:rPr>
        <w:t>E-mail:</w:t>
      </w:r>
      <w:r w:rsidRPr="00603813">
        <w:t> </w:t>
      </w:r>
      <w:r w:rsidR="004657BF">
        <w:t>jfc9</w:t>
      </w:r>
      <w:r w:rsidR="00542640">
        <w:t>@cdc.gov</w:t>
      </w:r>
    </w:p>
    <w:p w14:paraId="6D3B73F1" w14:textId="77777777" w:rsidR="00542640" w:rsidRDefault="00542640" w:rsidP="00F95454">
      <w:pPr>
        <w:pStyle w:val="NoSpacing"/>
        <w:spacing w:before="120" w:after="120"/>
        <w:mirrorIndents/>
        <w:jc w:val="center"/>
        <w:rPr>
          <w:b/>
        </w:rPr>
      </w:pPr>
    </w:p>
    <w:p w14:paraId="1CDBCFDA" w14:textId="77777777" w:rsidR="00542640" w:rsidRDefault="00542640" w:rsidP="00F95454">
      <w:pPr>
        <w:pStyle w:val="NoSpacing"/>
        <w:spacing w:before="120" w:after="120"/>
        <w:mirrorIndents/>
        <w:jc w:val="center"/>
        <w:rPr>
          <w:b/>
        </w:rPr>
      </w:pPr>
    </w:p>
    <w:p w14:paraId="37C195DE" w14:textId="77777777" w:rsidR="00542640" w:rsidRDefault="00542640" w:rsidP="00F95454">
      <w:pPr>
        <w:pStyle w:val="NoSpacing"/>
        <w:spacing w:before="120" w:after="120"/>
        <w:mirrorIndents/>
        <w:jc w:val="center"/>
        <w:rPr>
          <w:b/>
        </w:rPr>
      </w:pPr>
    </w:p>
    <w:p w14:paraId="189F3DEB" w14:textId="77777777" w:rsidR="00542640" w:rsidRDefault="00542640" w:rsidP="00F95454">
      <w:pPr>
        <w:pStyle w:val="NoSpacing"/>
        <w:spacing w:before="120" w:after="120"/>
        <w:mirrorIndents/>
        <w:jc w:val="center"/>
        <w:rPr>
          <w:b/>
        </w:rPr>
      </w:pPr>
    </w:p>
    <w:p w14:paraId="301712CD" w14:textId="77777777" w:rsidR="00542640" w:rsidRDefault="00542640" w:rsidP="00F95454">
      <w:pPr>
        <w:spacing w:before="120" w:after="120"/>
        <w:mirrorIndents/>
        <w:rPr>
          <w:rFonts w:eastAsiaTheme="minorHAnsi" w:cstheme="minorBidi"/>
          <w:b/>
          <w:szCs w:val="22"/>
        </w:rPr>
      </w:pPr>
      <w:r>
        <w:rPr>
          <w:b/>
        </w:rPr>
        <w:br w:type="page"/>
      </w:r>
    </w:p>
    <w:p w14:paraId="0038FF52" w14:textId="77777777" w:rsidR="00542640" w:rsidRDefault="00542640" w:rsidP="003B3841">
      <w:pPr>
        <w:pStyle w:val="NoSpacing"/>
        <w:pBdr>
          <w:bottom w:val="single" w:sz="4" w:space="1" w:color="auto"/>
        </w:pBdr>
        <w:mirrorIndents/>
        <w:rPr>
          <w:b/>
        </w:rPr>
      </w:pPr>
      <w:r w:rsidRPr="00E2574F">
        <w:rPr>
          <w:b/>
        </w:rPr>
        <w:lastRenderedPageBreak/>
        <w:t>TABLE OF CONTENTS</w:t>
      </w:r>
    </w:p>
    <w:p w14:paraId="25A78CC9" w14:textId="77777777" w:rsidR="00542640" w:rsidRDefault="00542640" w:rsidP="003B3841">
      <w:pPr>
        <w:pStyle w:val="NoSpacing"/>
        <w:mirrorIndents/>
        <w:rPr>
          <w:b/>
        </w:rPr>
      </w:pPr>
    </w:p>
    <w:sdt>
      <w:sdtPr>
        <w:id w:val="1602600070"/>
        <w:docPartObj>
          <w:docPartGallery w:val="Table of Contents"/>
          <w:docPartUnique/>
        </w:docPartObj>
      </w:sdtPr>
      <w:sdtEndPr>
        <w:rPr>
          <w:b/>
          <w:bCs/>
          <w:noProof/>
        </w:rPr>
      </w:sdtEndPr>
      <w:sdtContent>
        <w:p w14:paraId="166B3B02" w14:textId="5E9E489F" w:rsidR="006C655A" w:rsidRDefault="00B12EA3"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r w:rsidRPr="00B12EA3">
            <w:fldChar w:fldCharType="begin"/>
          </w:r>
          <w:r w:rsidRPr="00B12EA3">
            <w:instrText xml:space="preserve"> TOC \o "1-3" \h \z \u </w:instrText>
          </w:r>
          <w:r w:rsidRPr="00B12EA3">
            <w:fldChar w:fldCharType="separate"/>
          </w:r>
          <w:hyperlink w:anchor="_Toc448296072" w:history="1">
            <w:r w:rsidR="006C655A" w:rsidRPr="00CF5A5B">
              <w:rPr>
                <w:rStyle w:val="Hyperlink"/>
                <w:noProof/>
              </w:rPr>
              <w:t>1.</w:t>
            </w:r>
            <w:r w:rsidR="006C655A">
              <w:rPr>
                <w:rFonts w:asciiTheme="minorHAnsi" w:eastAsiaTheme="minorEastAsia" w:hAnsiTheme="minorHAnsi" w:cstheme="minorBidi"/>
                <w:noProof/>
                <w:sz w:val="22"/>
                <w:szCs w:val="22"/>
              </w:rPr>
              <w:tab/>
            </w:r>
            <w:r w:rsidR="006C655A" w:rsidRPr="00CF5A5B">
              <w:rPr>
                <w:rStyle w:val="Hyperlink"/>
                <w:noProof/>
              </w:rPr>
              <w:t>Circumstances Making the Collection of Information Necessary</w:t>
            </w:r>
            <w:r w:rsidR="006C655A">
              <w:rPr>
                <w:noProof/>
                <w:webHidden/>
              </w:rPr>
              <w:tab/>
            </w:r>
            <w:r w:rsidR="006C655A">
              <w:rPr>
                <w:noProof/>
                <w:webHidden/>
              </w:rPr>
              <w:fldChar w:fldCharType="begin"/>
            </w:r>
            <w:r w:rsidR="006C655A">
              <w:rPr>
                <w:noProof/>
                <w:webHidden/>
              </w:rPr>
              <w:instrText xml:space="preserve"> PAGEREF _Toc448296072 \h </w:instrText>
            </w:r>
            <w:r w:rsidR="006C655A">
              <w:rPr>
                <w:noProof/>
                <w:webHidden/>
              </w:rPr>
            </w:r>
            <w:r w:rsidR="006C655A">
              <w:rPr>
                <w:noProof/>
                <w:webHidden/>
              </w:rPr>
              <w:fldChar w:fldCharType="separate"/>
            </w:r>
            <w:r w:rsidR="00D07179">
              <w:rPr>
                <w:noProof/>
                <w:webHidden/>
              </w:rPr>
              <w:t>3</w:t>
            </w:r>
            <w:r w:rsidR="006C655A">
              <w:rPr>
                <w:noProof/>
                <w:webHidden/>
              </w:rPr>
              <w:fldChar w:fldCharType="end"/>
            </w:r>
          </w:hyperlink>
        </w:p>
        <w:p w14:paraId="2AC37EA4" w14:textId="7735FAA4" w:rsidR="006C655A" w:rsidRDefault="00250230"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3" w:history="1">
            <w:r w:rsidR="006C655A" w:rsidRPr="00CF5A5B">
              <w:rPr>
                <w:rStyle w:val="Hyperlink"/>
                <w:noProof/>
              </w:rPr>
              <w:t>2.</w:t>
            </w:r>
            <w:r w:rsidR="006C655A">
              <w:rPr>
                <w:rFonts w:asciiTheme="minorHAnsi" w:eastAsiaTheme="minorEastAsia" w:hAnsiTheme="minorHAnsi" w:cstheme="minorBidi"/>
                <w:noProof/>
                <w:sz w:val="22"/>
                <w:szCs w:val="22"/>
              </w:rPr>
              <w:tab/>
            </w:r>
            <w:r w:rsidR="006C655A" w:rsidRPr="00CF5A5B">
              <w:rPr>
                <w:rStyle w:val="Hyperlink"/>
                <w:noProof/>
              </w:rPr>
              <w:t>Purpose and Use of the Information Collection</w:t>
            </w:r>
            <w:r w:rsidR="006C655A">
              <w:rPr>
                <w:noProof/>
                <w:webHidden/>
              </w:rPr>
              <w:tab/>
            </w:r>
            <w:r w:rsidR="006C655A">
              <w:rPr>
                <w:noProof/>
                <w:webHidden/>
              </w:rPr>
              <w:fldChar w:fldCharType="begin"/>
            </w:r>
            <w:r w:rsidR="006C655A">
              <w:rPr>
                <w:noProof/>
                <w:webHidden/>
              </w:rPr>
              <w:instrText xml:space="preserve"> PAGEREF _Toc448296073 \h </w:instrText>
            </w:r>
            <w:r w:rsidR="006C655A">
              <w:rPr>
                <w:noProof/>
                <w:webHidden/>
              </w:rPr>
            </w:r>
            <w:r w:rsidR="006C655A">
              <w:rPr>
                <w:noProof/>
                <w:webHidden/>
              </w:rPr>
              <w:fldChar w:fldCharType="separate"/>
            </w:r>
            <w:r w:rsidR="00D07179">
              <w:rPr>
                <w:noProof/>
                <w:webHidden/>
              </w:rPr>
              <w:t>3</w:t>
            </w:r>
            <w:r w:rsidR="006C655A">
              <w:rPr>
                <w:noProof/>
                <w:webHidden/>
              </w:rPr>
              <w:fldChar w:fldCharType="end"/>
            </w:r>
          </w:hyperlink>
        </w:p>
        <w:p w14:paraId="28DE14EC" w14:textId="046E3D38" w:rsidR="006C655A" w:rsidRDefault="00250230"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4" w:history="1">
            <w:r w:rsidR="006C655A" w:rsidRPr="00CF5A5B">
              <w:rPr>
                <w:rStyle w:val="Hyperlink"/>
                <w:noProof/>
              </w:rPr>
              <w:t>3.</w:t>
            </w:r>
            <w:r w:rsidR="006C655A">
              <w:rPr>
                <w:rFonts w:asciiTheme="minorHAnsi" w:eastAsiaTheme="minorEastAsia" w:hAnsiTheme="minorHAnsi" w:cstheme="minorBidi"/>
                <w:noProof/>
                <w:sz w:val="22"/>
                <w:szCs w:val="22"/>
              </w:rPr>
              <w:tab/>
            </w:r>
            <w:r w:rsidR="006C655A" w:rsidRPr="00CF5A5B">
              <w:rPr>
                <w:rStyle w:val="Hyperlink"/>
                <w:noProof/>
              </w:rPr>
              <w:t>Use of Improved Information Technology and Burden Reduction</w:t>
            </w:r>
            <w:r w:rsidR="006C655A">
              <w:rPr>
                <w:noProof/>
                <w:webHidden/>
              </w:rPr>
              <w:tab/>
            </w:r>
            <w:r w:rsidR="006C655A">
              <w:rPr>
                <w:noProof/>
                <w:webHidden/>
              </w:rPr>
              <w:fldChar w:fldCharType="begin"/>
            </w:r>
            <w:r w:rsidR="006C655A">
              <w:rPr>
                <w:noProof/>
                <w:webHidden/>
              </w:rPr>
              <w:instrText xml:space="preserve"> PAGEREF _Toc448296074 \h </w:instrText>
            </w:r>
            <w:r w:rsidR="006C655A">
              <w:rPr>
                <w:noProof/>
                <w:webHidden/>
              </w:rPr>
            </w:r>
            <w:r w:rsidR="006C655A">
              <w:rPr>
                <w:noProof/>
                <w:webHidden/>
              </w:rPr>
              <w:fldChar w:fldCharType="separate"/>
            </w:r>
            <w:r w:rsidR="00D07179">
              <w:rPr>
                <w:noProof/>
                <w:webHidden/>
              </w:rPr>
              <w:t>6</w:t>
            </w:r>
            <w:r w:rsidR="006C655A">
              <w:rPr>
                <w:noProof/>
                <w:webHidden/>
              </w:rPr>
              <w:fldChar w:fldCharType="end"/>
            </w:r>
          </w:hyperlink>
        </w:p>
        <w:p w14:paraId="6AD5762D" w14:textId="71F95F6D" w:rsidR="006C655A" w:rsidRDefault="00250230"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5" w:history="1">
            <w:r w:rsidR="006C655A" w:rsidRPr="00CF5A5B">
              <w:rPr>
                <w:rStyle w:val="Hyperlink"/>
                <w:noProof/>
              </w:rPr>
              <w:t>4.</w:t>
            </w:r>
            <w:r w:rsidR="006C655A">
              <w:rPr>
                <w:rFonts w:asciiTheme="minorHAnsi" w:eastAsiaTheme="minorEastAsia" w:hAnsiTheme="minorHAnsi" w:cstheme="minorBidi"/>
                <w:noProof/>
                <w:sz w:val="22"/>
                <w:szCs w:val="22"/>
              </w:rPr>
              <w:tab/>
            </w:r>
            <w:r w:rsidR="006C655A" w:rsidRPr="00CF5A5B">
              <w:rPr>
                <w:rStyle w:val="Hyperlink"/>
                <w:noProof/>
              </w:rPr>
              <w:t>Efforts to Identify Duplication and Use of Similar Information</w:t>
            </w:r>
            <w:r w:rsidR="006C655A">
              <w:rPr>
                <w:noProof/>
                <w:webHidden/>
              </w:rPr>
              <w:tab/>
            </w:r>
            <w:r w:rsidR="006C655A">
              <w:rPr>
                <w:noProof/>
                <w:webHidden/>
              </w:rPr>
              <w:fldChar w:fldCharType="begin"/>
            </w:r>
            <w:r w:rsidR="006C655A">
              <w:rPr>
                <w:noProof/>
                <w:webHidden/>
              </w:rPr>
              <w:instrText xml:space="preserve"> PAGEREF _Toc448296075 \h </w:instrText>
            </w:r>
            <w:r w:rsidR="006C655A">
              <w:rPr>
                <w:noProof/>
                <w:webHidden/>
              </w:rPr>
            </w:r>
            <w:r w:rsidR="006C655A">
              <w:rPr>
                <w:noProof/>
                <w:webHidden/>
              </w:rPr>
              <w:fldChar w:fldCharType="separate"/>
            </w:r>
            <w:r w:rsidR="00D07179">
              <w:rPr>
                <w:noProof/>
                <w:webHidden/>
              </w:rPr>
              <w:t>8</w:t>
            </w:r>
            <w:r w:rsidR="006C655A">
              <w:rPr>
                <w:noProof/>
                <w:webHidden/>
              </w:rPr>
              <w:fldChar w:fldCharType="end"/>
            </w:r>
          </w:hyperlink>
        </w:p>
        <w:p w14:paraId="1A239163" w14:textId="47578E1E" w:rsidR="006C655A" w:rsidRDefault="00250230"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6" w:history="1">
            <w:r w:rsidR="006C655A" w:rsidRPr="00CF5A5B">
              <w:rPr>
                <w:rStyle w:val="Hyperlink"/>
                <w:noProof/>
              </w:rPr>
              <w:t>5.</w:t>
            </w:r>
            <w:r w:rsidR="006C655A">
              <w:rPr>
                <w:rFonts w:asciiTheme="minorHAnsi" w:eastAsiaTheme="minorEastAsia" w:hAnsiTheme="minorHAnsi" w:cstheme="minorBidi"/>
                <w:noProof/>
                <w:sz w:val="22"/>
                <w:szCs w:val="22"/>
              </w:rPr>
              <w:tab/>
            </w:r>
            <w:r w:rsidR="006C655A" w:rsidRPr="00CF5A5B">
              <w:rPr>
                <w:rStyle w:val="Hyperlink"/>
                <w:noProof/>
              </w:rPr>
              <w:t>Impact on Small Businesses or Other Small Entities</w:t>
            </w:r>
            <w:r w:rsidR="006C655A">
              <w:rPr>
                <w:noProof/>
                <w:webHidden/>
              </w:rPr>
              <w:tab/>
            </w:r>
            <w:r w:rsidR="006C655A">
              <w:rPr>
                <w:noProof/>
                <w:webHidden/>
              </w:rPr>
              <w:fldChar w:fldCharType="begin"/>
            </w:r>
            <w:r w:rsidR="006C655A">
              <w:rPr>
                <w:noProof/>
                <w:webHidden/>
              </w:rPr>
              <w:instrText xml:space="preserve"> PAGEREF _Toc448296076 \h </w:instrText>
            </w:r>
            <w:r w:rsidR="006C655A">
              <w:rPr>
                <w:noProof/>
                <w:webHidden/>
              </w:rPr>
            </w:r>
            <w:r w:rsidR="006C655A">
              <w:rPr>
                <w:noProof/>
                <w:webHidden/>
              </w:rPr>
              <w:fldChar w:fldCharType="separate"/>
            </w:r>
            <w:r w:rsidR="00D07179">
              <w:rPr>
                <w:noProof/>
                <w:webHidden/>
              </w:rPr>
              <w:t>8</w:t>
            </w:r>
            <w:r w:rsidR="006C655A">
              <w:rPr>
                <w:noProof/>
                <w:webHidden/>
              </w:rPr>
              <w:fldChar w:fldCharType="end"/>
            </w:r>
          </w:hyperlink>
        </w:p>
        <w:p w14:paraId="618D5250" w14:textId="1D6836D8" w:rsidR="006C655A" w:rsidRDefault="00250230"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7" w:history="1">
            <w:r w:rsidR="006C655A" w:rsidRPr="00CF5A5B">
              <w:rPr>
                <w:rStyle w:val="Hyperlink"/>
                <w:noProof/>
              </w:rPr>
              <w:t>6.</w:t>
            </w:r>
            <w:r w:rsidR="006C655A">
              <w:rPr>
                <w:rFonts w:asciiTheme="minorHAnsi" w:eastAsiaTheme="minorEastAsia" w:hAnsiTheme="minorHAnsi" w:cstheme="minorBidi"/>
                <w:noProof/>
                <w:sz w:val="22"/>
                <w:szCs w:val="22"/>
              </w:rPr>
              <w:tab/>
            </w:r>
            <w:r w:rsidR="006C655A" w:rsidRPr="00CF5A5B">
              <w:rPr>
                <w:rStyle w:val="Hyperlink"/>
                <w:noProof/>
              </w:rPr>
              <w:t>Consequences of Collecting the Information Less Frequently</w:t>
            </w:r>
            <w:r w:rsidR="006C655A">
              <w:rPr>
                <w:noProof/>
                <w:webHidden/>
              </w:rPr>
              <w:tab/>
            </w:r>
            <w:r w:rsidR="006C655A">
              <w:rPr>
                <w:noProof/>
                <w:webHidden/>
              </w:rPr>
              <w:fldChar w:fldCharType="begin"/>
            </w:r>
            <w:r w:rsidR="006C655A">
              <w:rPr>
                <w:noProof/>
                <w:webHidden/>
              </w:rPr>
              <w:instrText xml:space="preserve"> PAGEREF _Toc448296077 \h </w:instrText>
            </w:r>
            <w:r w:rsidR="006C655A">
              <w:rPr>
                <w:noProof/>
                <w:webHidden/>
              </w:rPr>
            </w:r>
            <w:r w:rsidR="006C655A">
              <w:rPr>
                <w:noProof/>
                <w:webHidden/>
              </w:rPr>
              <w:fldChar w:fldCharType="separate"/>
            </w:r>
            <w:r w:rsidR="00D07179">
              <w:rPr>
                <w:noProof/>
                <w:webHidden/>
              </w:rPr>
              <w:t>8</w:t>
            </w:r>
            <w:r w:rsidR="006C655A">
              <w:rPr>
                <w:noProof/>
                <w:webHidden/>
              </w:rPr>
              <w:fldChar w:fldCharType="end"/>
            </w:r>
          </w:hyperlink>
        </w:p>
        <w:p w14:paraId="059BAE9E" w14:textId="7C4802C3" w:rsidR="006C655A" w:rsidRDefault="00250230"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8" w:history="1">
            <w:r w:rsidR="006C655A" w:rsidRPr="00CF5A5B">
              <w:rPr>
                <w:rStyle w:val="Hyperlink"/>
                <w:noProof/>
              </w:rPr>
              <w:t>7.</w:t>
            </w:r>
            <w:r w:rsidR="006C655A">
              <w:rPr>
                <w:rFonts w:asciiTheme="minorHAnsi" w:eastAsiaTheme="minorEastAsia" w:hAnsiTheme="minorHAnsi" w:cstheme="minorBidi"/>
                <w:noProof/>
                <w:sz w:val="22"/>
                <w:szCs w:val="22"/>
              </w:rPr>
              <w:tab/>
            </w:r>
            <w:r w:rsidR="006C655A" w:rsidRPr="00CF5A5B">
              <w:rPr>
                <w:rStyle w:val="Hyperlink"/>
                <w:noProof/>
              </w:rPr>
              <w:t>Special Circumstances Relating to the Guidelines of 5 CFR 1320.5</w:t>
            </w:r>
            <w:r w:rsidR="006C655A">
              <w:rPr>
                <w:noProof/>
                <w:webHidden/>
              </w:rPr>
              <w:tab/>
            </w:r>
            <w:r w:rsidR="006C655A">
              <w:rPr>
                <w:noProof/>
                <w:webHidden/>
              </w:rPr>
              <w:fldChar w:fldCharType="begin"/>
            </w:r>
            <w:r w:rsidR="006C655A">
              <w:rPr>
                <w:noProof/>
                <w:webHidden/>
              </w:rPr>
              <w:instrText xml:space="preserve"> PAGEREF _Toc448296078 \h </w:instrText>
            </w:r>
            <w:r w:rsidR="006C655A">
              <w:rPr>
                <w:noProof/>
                <w:webHidden/>
              </w:rPr>
            </w:r>
            <w:r w:rsidR="006C655A">
              <w:rPr>
                <w:noProof/>
                <w:webHidden/>
              </w:rPr>
              <w:fldChar w:fldCharType="separate"/>
            </w:r>
            <w:r w:rsidR="00D07179">
              <w:rPr>
                <w:noProof/>
                <w:webHidden/>
              </w:rPr>
              <w:t>9</w:t>
            </w:r>
            <w:r w:rsidR="006C655A">
              <w:rPr>
                <w:noProof/>
                <w:webHidden/>
              </w:rPr>
              <w:fldChar w:fldCharType="end"/>
            </w:r>
          </w:hyperlink>
        </w:p>
        <w:p w14:paraId="408697EC" w14:textId="7AC1D499" w:rsidR="006C655A" w:rsidRDefault="00250230"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9" w:history="1">
            <w:r w:rsidR="006C655A" w:rsidRPr="00CF5A5B">
              <w:rPr>
                <w:rStyle w:val="Hyperlink"/>
                <w:noProof/>
              </w:rPr>
              <w:t>8.</w:t>
            </w:r>
            <w:r w:rsidR="006C655A">
              <w:rPr>
                <w:rFonts w:asciiTheme="minorHAnsi" w:eastAsiaTheme="minorEastAsia" w:hAnsiTheme="minorHAnsi" w:cstheme="minorBidi"/>
                <w:noProof/>
                <w:sz w:val="22"/>
                <w:szCs w:val="22"/>
              </w:rPr>
              <w:tab/>
            </w:r>
            <w:r w:rsidR="006C655A" w:rsidRPr="00CF5A5B">
              <w:rPr>
                <w:rStyle w:val="Hyperlink"/>
                <w:noProof/>
              </w:rPr>
              <w:t>Comments in Response to the Federal Register Notice and Efforts to Consult Outside the Agency</w:t>
            </w:r>
            <w:r w:rsidR="006C655A">
              <w:rPr>
                <w:noProof/>
                <w:webHidden/>
              </w:rPr>
              <w:tab/>
            </w:r>
            <w:r w:rsidR="006C655A">
              <w:rPr>
                <w:noProof/>
                <w:webHidden/>
              </w:rPr>
              <w:fldChar w:fldCharType="begin"/>
            </w:r>
            <w:r w:rsidR="006C655A">
              <w:rPr>
                <w:noProof/>
                <w:webHidden/>
              </w:rPr>
              <w:instrText xml:space="preserve"> PAGEREF _Toc448296079 \h </w:instrText>
            </w:r>
            <w:r w:rsidR="006C655A">
              <w:rPr>
                <w:noProof/>
                <w:webHidden/>
              </w:rPr>
            </w:r>
            <w:r w:rsidR="006C655A">
              <w:rPr>
                <w:noProof/>
                <w:webHidden/>
              </w:rPr>
              <w:fldChar w:fldCharType="separate"/>
            </w:r>
            <w:r w:rsidR="00D07179">
              <w:rPr>
                <w:noProof/>
                <w:webHidden/>
              </w:rPr>
              <w:t>9</w:t>
            </w:r>
            <w:r w:rsidR="006C655A">
              <w:rPr>
                <w:noProof/>
                <w:webHidden/>
              </w:rPr>
              <w:fldChar w:fldCharType="end"/>
            </w:r>
          </w:hyperlink>
        </w:p>
        <w:p w14:paraId="067F1F3D" w14:textId="7356068F" w:rsidR="006C655A" w:rsidRDefault="00250230"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80" w:history="1">
            <w:r w:rsidR="006C655A" w:rsidRPr="00CF5A5B">
              <w:rPr>
                <w:rStyle w:val="Hyperlink"/>
                <w:noProof/>
              </w:rPr>
              <w:t>9.</w:t>
            </w:r>
            <w:r w:rsidR="006C655A">
              <w:rPr>
                <w:rFonts w:asciiTheme="minorHAnsi" w:eastAsiaTheme="minorEastAsia" w:hAnsiTheme="minorHAnsi" w:cstheme="minorBidi"/>
                <w:noProof/>
                <w:sz w:val="22"/>
                <w:szCs w:val="22"/>
              </w:rPr>
              <w:tab/>
            </w:r>
            <w:r w:rsidR="006C655A" w:rsidRPr="00CF5A5B">
              <w:rPr>
                <w:rStyle w:val="Hyperlink"/>
                <w:noProof/>
              </w:rPr>
              <w:t>Explanation of Any Payment or Gift to Respondents</w:t>
            </w:r>
            <w:r w:rsidR="006C655A">
              <w:rPr>
                <w:noProof/>
                <w:webHidden/>
              </w:rPr>
              <w:tab/>
            </w:r>
            <w:r w:rsidR="006C655A">
              <w:rPr>
                <w:noProof/>
                <w:webHidden/>
              </w:rPr>
              <w:fldChar w:fldCharType="begin"/>
            </w:r>
            <w:r w:rsidR="006C655A">
              <w:rPr>
                <w:noProof/>
                <w:webHidden/>
              </w:rPr>
              <w:instrText xml:space="preserve"> PAGEREF _Toc448296080 \h </w:instrText>
            </w:r>
            <w:r w:rsidR="006C655A">
              <w:rPr>
                <w:noProof/>
                <w:webHidden/>
              </w:rPr>
            </w:r>
            <w:r w:rsidR="006C655A">
              <w:rPr>
                <w:noProof/>
                <w:webHidden/>
              </w:rPr>
              <w:fldChar w:fldCharType="separate"/>
            </w:r>
            <w:r w:rsidR="00D07179">
              <w:rPr>
                <w:noProof/>
                <w:webHidden/>
              </w:rPr>
              <w:t>10</w:t>
            </w:r>
            <w:r w:rsidR="006C655A">
              <w:rPr>
                <w:noProof/>
                <w:webHidden/>
              </w:rPr>
              <w:fldChar w:fldCharType="end"/>
            </w:r>
          </w:hyperlink>
        </w:p>
        <w:p w14:paraId="55DE2D38" w14:textId="1ADEF894" w:rsidR="006C655A" w:rsidRDefault="00250230"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1" w:history="1">
            <w:r w:rsidR="006C655A" w:rsidRPr="00CF5A5B">
              <w:rPr>
                <w:rStyle w:val="Hyperlink"/>
                <w:noProof/>
              </w:rPr>
              <w:t>10.</w:t>
            </w:r>
            <w:r w:rsidR="006C655A">
              <w:rPr>
                <w:rFonts w:asciiTheme="minorHAnsi" w:eastAsiaTheme="minorEastAsia" w:hAnsiTheme="minorHAnsi" w:cstheme="minorBidi"/>
                <w:noProof/>
                <w:sz w:val="22"/>
                <w:szCs w:val="22"/>
              </w:rPr>
              <w:tab/>
            </w:r>
            <w:r w:rsidR="006C655A" w:rsidRPr="00CF5A5B">
              <w:rPr>
                <w:rStyle w:val="Hyperlink"/>
                <w:noProof/>
              </w:rPr>
              <w:t>Protection of the Privacy and Confidentiality of Information Provided by Respondents</w:t>
            </w:r>
            <w:r w:rsidR="006C655A">
              <w:rPr>
                <w:noProof/>
                <w:webHidden/>
              </w:rPr>
              <w:tab/>
            </w:r>
            <w:r w:rsidR="006C655A">
              <w:rPr>
                <w:noProof/>
                <w:webHidden/>
              </w:rPr>
              <w:fldChar w:fldCharType="begin"/>
            </w:r>
            <w:r w:rsidR="006C655A">
              <w:rPr>
                <w:noProof/>
                <w:webHidden/>
              </w:rPr>
              <w:instrText xml:space="preserve"> PAGEREF _Toc448296081 \h </w:instrText>
            </w:r>
            <w:r w:rsidR="006C655A">
              <w:rPr>
                <w:noProof/>
                <w:webHidden/>
              </w:rPr>
            </w:r>
            <w:r w:rsidR="006C655A">
              <w:rPr>
                <w:noProof/>
                <w:webHidden/>
              </w:rPr>
              <w:fldChar w:fldCharType="separate"/>
            </w:r>
            <w:r w:rsidR="00D07179">
              <w:rPr>
                <w:noProof/>
                <w:webHidden/>
              </w:rPr>
              <w:t>10</w:t>
            </w:r>
            <w:r w:rsidR="006C655A">
              <w:rPr>
                <w:noProof/>
                <w:webHidden/>
              </w:rPr>
              <w:fldChar w:fldCharType="end"/>
            </w:r>
          </w:hyperlink>
        </w:p>
        <w:p w14:paraId="477990D0" w14:textId="621433E9" w:rsidR="006C655A" w:rsidRDefault="00250230"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2" w:history="1">
            <w:r w:rsidR="006C655A" w:rsidRPr="00CF5A5B">
              <w:rPr>
                <w:rStyle w:val="Hyperlink"/>
                <w:noProof/>
              </w:rPr>
              <w:t>11.</w:t>
            </w:r>
            <w:r w:rsidR="006C655A">
              <w:rPr>
                <w:rFonts w:asciiTheme="minorHAnsi" w:eastAsiaTheme="minorEastAsia" w:hAnsiTheme="minorHAnsi" w:cstheme="minorBidi"/>
                <w:noProof/>
                <w:sz w:val="22"/>
                <w:szCs w:val="22"/>
              </w:rPr>
              <w:tab/>
            </w:r>
            <w:r w:rsidR="006C655A" w:rsidRPr="00CF5A5B">
              <w:rPr>
                <w:rStyle w:val="Hyperlink"/>
                <w:noProof/>
              </w:rPr>
              <w:t>Institutional Review Board (IRB) and Justification for Sensitive Questions</w:t>
            </w:r>
            <w:r w:rsidR="006C655A">
              <w:rPr>
                <w:noProof/>
                <w:webHidden/>
              </w:rPr>
              <w:tab/>
            </w:r>
            <w:r w:rsidR="006C655A">
              <w:rPr>
                <w:noProof/>
                <w:webHidden/>
              </w:rPr>
              <w:fldChar w:fldCharType="begin"/>
            </w:r>
            <w:r w:rsidR="006C655A">
              <w:rPr>
                <w:noProof/>
                <w:webHidden/>
              </w:rPr>
              <w:instrText xml:space="preserve"> PAGEREF _Toc448296082 \h </w:instrText>
            </w:r>
            <w:r w:rsidR="006C655A">
              <w:rPr>
                <w:noProof/>
                <w:webHidden/>
              </w:rPr>
            </w:r>
            <w:r w:rsidR="006C655A">
              <w:rPr>
                <w:noProof/>
                <w:webHidden/>
              </w:rPr>
              <w:fldChar w:fldCharType="separate"/>
            </w:r>
            <w:r w:rsidR="00D07179">
              <w:rPr>
                <w:noProof/>
                <w:webHidden/>
              </w:rPr>
              <w:t>11</w:t>
            </w:r>
            <w:r w:rsidR="006C655A">
              <w:rPr>
                <w:noProof/>
                <w:webHidden/>
              </w:rPr>
              <w:fldChar w:fldCharType="end"/>
            </w:r>
          </w:hyperlink>
        </w:p>
        <w:p w14:paraId="1DB562BE" w14:textId="0C7ED56D" w:rsidR="006C655A" w:rsidRDefault="00250230"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3" w:history="1">
            <w:r w:rsidR="006C655A" w:rsidRPr="00CF5A5B">
              <w:rPr>
                <w:rStyle w:val="Hyperlink"/>
                <w:noProof/>
              </w:rPr>
              <w:t>12.</w:t>
            </w:r>
            <w:r w:rsidR="006C655A">
              <w:rPr>
                <w:rFonts w:asciiTheme="minorHAnsi" w:eastAsiaTheme="minorEastAsia" w:hAnsiTheme="minorHAnsi" w:cstheme="minorBidi"/>
                <w:noProof/>
                <w:sz w:val="22"/>
                <w:szCs w:val="22"/>
              </w:rPr>
              <w:tab/>
            </w:r>
            <w:r w:rsidR="006C655A" w:rsidRPr="00CF5A5B">
              <w:rPr>
                <w:rStyle w:val="Hyperlink"/>
                <w:noProof/>
              </w:rPr>
              <w:t>Estimates of Annualized Burden Hours and Costs</w:t>
            </w:r>
            <w:r w:rsidR="006C655A">
              <w:rPr>
                <w:noProof/>
                <w:webHidden/>
              </w:rPr>
              <w:tab/>
            </w:r>
            <w:r w:rsidR="006C655A">
              <w:rPr>
                <w:noProof/>
                <w:webHidden/>
              </w:rPr>
              <w:fldChar w:fldCharType="begin"/>
            </w:r>
            <w:r w:rsidR="006C655A">
              <w:rPr>
                <w:noProof/>
                <w:webHidden/>
              </w:rPr>
              <w:instrText xml:space="preserve"> PAGEREF _Toc448296083 \h </w:instrText>
            </w:r>
            <w:r w:rsidR="006C655A">
              <w:rPr>
                <w:noProof/>
                <w:webHidden/>
              </w:rPr>
            </w:r>
            <w:r w:rsidR="006C655A">
              <w:rPr>
                <w:noProof/>
                <w:webHidden/>
              </w:rPr>
              <w:fldChar w:fldCharType="separate"/>
            </w:r>
            <w:r w:rsidR="00D07179">
              <w:rPr>
                <w:noProof/>
                <w:webHidden/>
              </w:rPr>
              <w:t>11</w:t>
            </w:r>
            <w:r w:rsidR="006C655A">
              <w:rPr>
                <w:noProof/>
                <w:webHidden/>
              </w:rPr>
              <w:fldChar w:fldCharType="end"/>
            </w:r>
          </w:hyperlink>
        </w:p>
        <w:p w14:paraId="186522B5" w14:textId="24630E93" w:rsidR="006C655A" w:rsidRDefault="00250230"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6" w:history="1">
            <w:r w:rsidR="006C655A" w:rsidRPr="00CF5A5B">
              <w:rPr>
                <w:rStyle w:val="Hyperlink"/>
                <w:noProof/>
              </w:rPr>
              <w:t>13.</w:t>
            </w:r>
            <w:r w:rsidR="006C655A">
              <w:rPr>
                <w:rFonts w:asciiTheme="minorHAnsi" w:eastAsiaTheme="minorEastAsia" w:hAnsiTheme="minorHAnsi" w:cstheme="minorBidi"/>
                <w:noProof/>
                <w:sz w:val="22"/>
                <w:szCs w:val="22"/>
              </w:rPr>
              <w:tab/>
            </w:r>
            <w:r w:rsidR="006C655A" w:rsidRPr="00CF5A5B">
              <w:rPr>
                <w:rStyle w:val="Hyperlink"/>
                <w:noProof/>
              </w:rPr>
              <w:t>Estimates of Other Total Annual Cost Burden to Respondents and Record Keepers</w:t>
            </w:r>
            <w:r w:rsidR="006C655A">
              <w:rPr>
                <w:noProof/>
                <w:webHidden/>
              </w:rPr>
              <w:tab/>
            </w:r>
            <w:r w:rsidR="006C655A">
              <w:rPr>
                <w:noProof/>
                <w:webHidden/>
              </w:rPr>
              <w:fldChar w:fldCharType="begin"/>
            </w:r>
            <w:r w:rsidR="006C655A">
              <w:rPr>
                <w:noProof/>
                <w:webHidden/>
              </w:rPr>
              <w:instrText xml:space="preserve"> PAGEREF _Toc448296086 \h </w:instrText>
            </w:r>
            <w:r w:rsidR="006C655A">
              <w:rPr>
                <w:noProof/>
                <w:webHidden/>
              </w:rPr>
            </w:r>
            <w:r w:rsidR="006C655A">
              <w:rPr>
                <w:noProof/>
                <w:webHidden/>
              </w:rPr>
              <w:fldChar w:fldCharType="separate"/>
            </w:r>
            <w:r w:rsidR="00D07179">
              <w:rPr>
                <w:noProof/>
                <w:webHidden/>
              </w:rPr>
              <w:t>12</w:t>
            </w:r>
            <w:r w:rsidR="006C655A">
              <w:rPr>
                <w:noProof/>
                <w:webHidden/>
              </w:rPr>
              <w:fldChar w:fldCharType="end"/>
            </w:r>
          </w:hyperlink>
        </w:p>
        <w:p w14:paraId="7AF1389E" w14:textId="43EB94C1" w:rsidR="006C655A" w:rsidRDefault="00250230"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7" w:history="1">
            <w:r w:rsidR="006C655A" w:rsidRPr="00CF5A5B">
              <w:rPr>
                <w:rStyle w:val="Hyperlink"/>
                <w:noProof/>
              </w:rPr>
              <w:t>14.</w:t>
            </w:r>
            <w:r w:rsidR="006C655A">
              <w:rPr>
                <w:rFonts w:asciiTheme="minorHAnsi" w:eastAsiaTheme="minorEastAsia" w:hAnsiTheme="minorHAnsi" w:cstheme="minorBidi"/>
                <w:noProof/>
                <w:sz w:val="22"/>
                <w:szCs w:val="22"/>
              </w:rPr>
              <w:tab/>
            </w:r>
            <w:r w:rsidR="006C655A" w:rsidRPr="00CF5A5B">
              <w:rPr>
                <w:rStyle w:val="Hyperlink"/>
                <w:noProof/>
              </w:rPr>
              <w:t>Annualized Cost to the Federal Government</w:t>
            </w:r>
            <w:r w:rsidR="006C655A">
              <w:rPr>
                <w:noProof/>
                <w:webHidden/>
              </w:rPr>
              <w:tab/>
            </w:r>
            <w:r w:rsidR="006C655A">
              <w:rPr>
                <w:noProof/>
                <w:webHidden/>
              </w:rPr>
              <w:fldChar w:fldCharType="begin"/>
            </w:r>
            <w:r w:rsidR="006C655A">
              <w:rPr>
                <w:noProof/>
                <w:webHidden/>
              </w:rPr>
              <w:instrText xml:space="preserve"> PAGEREF _Toc448296087 \h </w:instrText>
            </w:r>
            <w:r w:rsidR="006C655A">
              <w:rPr>
                <w:noProof/>
                <w:webHidden/>
              </w:rPr>
            </w:r>
            <w:r w:rsidR="006C655A">
              <w:rPr>
                <w:noProof/>
                <w:webHidden/>
              </w:rPr>
              <w:fldChar w:fldCharType="separate"/>
            </w:r>
            <w:r w:rsidR="00D07179">
              <w:rPr>
                <w:noProof/>
                <w:webHidden/>
              </w:rPr>
              <w:t>12</w:t>
            </w:r>
            <w:r w:rsidR="006C655A">
              <w:rPr>
                <w:noProof/>
                <w:webHidden/>
              </w:rPr>
              <w:fldChar w:fldCharType="end"/>
            </w:r>
          </w:hyperlink>
        </w:p>
        <w:p w14:paraId="1315EE73" w14:textId="59895F4B" w:rsidR="006C655A" w:rsidRDefault="00250230"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8" w:history="1">
            <w:r w:rsidR="006C655A" w:rsidRPr="00CF5A5B">
              <w:rPr>
                <w:rStyle w:val="Hyperlink"/>
                <w:noProof/>
              </w:rPr>
              <w:t>15.</w:t>
            </w:r>
            <w:r w:rsidR="006C655A">
              <w:rPr>
                <w:rFonts w:asciiTheme="minorHAnsi" w:eastAsiaTheme="minorEastAsia" w:hAnsiTheme="minorHAnsi" w:cstheme="minorBidi"/>
                <w:noProof/>
                <w:sz w:val="22"/>
                <w:szCs w:val="22"/>
              </w:rPr>
              <w:tab/>
            </w:r>
            <w:r w:rsidR="006C655A" w:rsidRPr="00CF5A5B">
              <w:rPr>
                <w:rStyle w:val="Hyperlink"/>
                <w:noProof/>
              </w:rPr>
              <w:t>Explanation for Program Changes or Adjustments</w:t>
            </w:r>
            <w:r w:rsidR="006C655A">
              <w:rPr>
                <w:noProof/>
                <w:webHidden/>
              </w:rPr>
              <w:tab/>
            </w:r>
            <w:r w:rsidR="006C655A">
              <w:rPr>
                <w:noProof/>
                <w:webHidden/>
              </w:rPr>
              <w:fldChar w:fldCharType="begin"/>
            </w:r>
            <w:r w:rsidR="006C655A">
              <w:rPr>
                <w:noProof/>
                <w:webHidden/>
              </w:rPr>
              <w:instrText xml:space="preserve"> PAGEREF _Toc448296088 \h </w:instrText>
            </w:r>
            <w:r w:rsidR="006C655A">
              <w:rPr>
                <w:noProof/>
                <w:webHidden/>
              </w:rPr>
            </w:r>
            <w:r w:rsidR="006C655A">
              <w:rPr>
                <w:noProof/>
                <w:webHidden/>
              </w:rPr>
              <w:fldChar w:fldCharType="separate"/>
            </w:r>
            <w:r w:rsidR="00D07179">
              <w:rPr>
                <w:noProof/>
                <w:webHidden/>
              </w:rPr>
              <w:t>13</w:t>
            </w:r>
            <w:r w:rsidR="006C655A">
              <w:rPr>
                <w:noProof/>
                <w:webHidden/>
              </w:rPr>
              <w:fldChar w:fldCharType="end"/>
            </w:r>
          </w:hyperlink>
        </w:p>
        <w:p w14:paraId="4B697EBA" w14:textId="211BF9F1" w:rsidR="006C655A" w:rsidRDefault="00250230"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9" w:history="1">
            <w:r w:rsidR="006C655A" w:rsidRPr="00CF5A5B">
              <w:rPr>
                <w:rStyle w:val="Hyperlink"/>
                <w:noProof/>
              </w:rPr>
              <w:t>16.</w:t>
            </w:r>
            <w:r w:rsidR="006C655A">
              <w:rPr>
                <w:rFonts w:asciiTheme="minorHAnsi" w:eastAsiaTheme="minorEastAsia" w:hAnsiTheme="minorHAnsi" w:cstheme="minorBidi"/>
                <w:noProof/>
                <w:sz w:val="22"/>
                <w:szCs w:val="22"/>
              </w:rPr>
              <w:tab/>
            </w:r>
            <w:r w:rsidR="006C655A" w:rsidRPr="00CF5A5B">
              <w:rPr>
                <w:rStyle w:val="Hyperlink"/>
                <w:noProof/>
              </w:rPr>
              <w:t>Plans for Tabulation and Publication and Project Time Schedule</w:t>
            </w:r>
            <w:r w:rsidR="006C655A">
              <w:rPr>
                <w:noProof/>
                <w:webHidden/>
              </w:rPr>
              <w:tab/>
            </w:r>
            <w:r w:rsidR="006C655A">
              <w:rPr>
                <w:noProof/>
                <w:webHidden/>
              </w:rPr>
              <w:fldChar w:fldCharType="begin"/>
            </w:r>
            <w:r w:rsidR="006C655A">
              <w:rPr>
                <w:noProof/>
                <w:webHidden/>
              </w:rPr>
              <w:instrText xml:space="preserve"> PAGEREF _Toc448296089 \h </w:instrText>
            </w:r>
            <w:r w:rsidR="006C655A">
              <w:rPr>
                <w:noProof/>
                <w:webHidden/>
              </w:rPr>
            </w:r>
            <w:r w:rsidR="006C655A">
              <w:rPr>
                <w:noProof/>
                <w:webHidden/>
              </w:rPr>
              <w:fldChar w:fldCharType="separate"/>
            </w:r>
            <w:r w:rsidR="00D07179">
              <w:rPr>
                <w:noProof/>
                <w:webHidden/>
              </w:rPr>
              <w:t>13</w:t>
            </w:r>
            <w:r w:rsidR="006C655A">
              <w:rPr>
                <w:noProof/>
                <w:webHidden/>
              </w:rPr>
              <w:fldChar w:fldCharType="end"/>
            </w:r>
          </w:hyperlink>
        </w:p>
        <w:p w14:paraId="292F9451" w14:textId="27451019" w:rsidR="006C655A" w:rsidRDefault="00250230"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90" w:history="1">
            <w:r w:rsidR="006C655A" w:rsidRPr="00CF5A5B">
              <w:rPr>
                <w:rStyle w:val="Hyperlink"/>
                <w:noProof/>
              </w:rPr>
              <w:t>17.</w:t>
            </w:r>
            <w:r w:rsidR="006C655A">
              <w:rPr>
                <w:rFonts w:asciiTheme="minorHAnsi" w:eastAsiaTheme="minorEastAsia" w:hAnsiTheme="minorHAnsi" w:cstheme="minorBidi"/>
                <w:noProof/>
                <w:sz w:val="22"/>
                <w:szCs w:val="22"/>
              </w:rPr>
              <w:tab/>
            </w:r>
            <w:r w:rsidR="006C655A" w:rsidRPr="00CF5A5B">
              <w:rPr>
                <w:rStyle w:val="Hyperlink"/>
                <w:noProof/>
              </w:rPr>
              <w:t>Reason(s) Display of OMB Expiration Date is Inappropriate</w:t>
            </w:r>
            <w:r w:rsidR="006C655A">
              <w:rPr>
                <w:noProof/>
                <w:webHidden/>
              </w:rPr>
              <w:tab/>
            </w:r>
            <w:r w:rsidR="006C655A">
              <w:rPr>
                <w:noProof/>
                <w:webHidden/>
              </w:rPr>
              <w:fldChar w:fldCharType="begin"/>
            </w:r>
            <w:r w:rsidR="006C655A">
              <w:rPr>
                <w:noProof/>
                <w:webHidden/>
              </w:rPr>
              <w:instrText xml:space="preserve"> PAGEREF _Toc448296090 \h </w:instrText>
            </w:r>
            <w:r w:rsidR="006C655A">
              <w:rPr>
                <w:noProof/>
                <w:webHidden/>
              </w:rPr>
            </w:r>
            <w:r w:rsidR="006C655A">
              <w:rPr>
                <w:noProof/>
                <w:webHidden/>
              </w:rPr>
              <w:fldChar w:fldCharType="separate"/>
            </w:r>
            <w:r w:rsidR="00D07179">
              <w:rPr>
                <w:noProof/>
                <w:webHidden/>
              </w:rPr>
              <w:t>14</w:t>
            </w:r>
            <w:r w:rsidR="006C655A">
              <w:rPr>
                <w:noProof/>
                <w:webHidden/>
              </w:rPr>
              <w:fldChar w:fldCharType="end"/>
            </w:r>
          </w:hyperlink>
        </w:p>
        <w:p w14:paraId="2159ACBD" w14:textId="2447ABA8" w:rsidR="006C655A" w:rsidRDefault="00250230"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91" w:history="1">
            <w:r w:rsidR="006C655A" w:rsidRPr="00CF5A5B">
              <w:rPr>
                <w:rStyle w:val="Hyperlink"/>
                <w:noProof/>
              </w:rPr>
              <w:t>18.</w:t>
            </w:r>
            <w:r w:rsidR="006C655A">
              <w:rPr>
                <w:rFonts w:asciiTheme="minorHAnsi" w:eastAsiaTheme="minorEastAsia" w:hAnsiTheme="minorHAnsi" w:cstheme="minorBidi"/>
                <w:noProof/>
                <w:sz w:val="22"/>
                <w:szCs w:val="22"/>
              </w:rPr>
              <w:tab/>
            </w:r>
            <w:r w:rsidR="006C655A" w:rsidRPr="00CF5A5B">
              <w:rPr>
                <w:rStyle w:val="Hyperlink"/>
                <w:noProof/>
              </w:rPr>
              <w:t>Exceptions to Certification for Paperwork Reduction Act Submissions</w:t>
            </w:r>
            <w:r w:rsidR="006C655A">
              <w:rPr>
                <w:noProof/>
                <w:webHidden/>
              </w:rPr>
              <w:tab/>
            </w:r>
            <w:r w:rsidR="006C655A">
              <w:rPr>
                <w:noProof/>
                <w:webHidden/>
              </w:rPr>
              <w:fldChar w:fldCharType="begin"/>
            </w:r>
            <w:r w:rsidR="006C655A">
              <w:rPr>
                <w:noProof/>
                <w:webHidden/>
              </w:rPr>
              <w:instrText xml:space="preserve"> PAGEREF _Toc448296091 \h </w:instrText>
            </w:r>
            <w:r w:rsidR="006C655A">
              <w:rPr>
                <w:noProof/>
                <w:webHidden/>
              </w:rPr>
            </w:r>
            <w:r w:rsidR="006C655A">
              <w:rPr>
                <w:noProof/>
                <w:webHidden/>
              </w:rPr>
              <w:fldChar w:fldCharType="separate"/>
            </w:r>
            <w:r w:rsidR="00D07179">
              <w:rPr>
                <w:noProof/>
                <w:webHidden/>
              </w:rPr>
              <w:t>14</w:t>
            </w:r>
            <w:r w:rsidR="006C655A">
              <w:rPr>
                <w:noProof/>
                <w:webHidden/>
              </w:rPr>
              <w:fldChar w:fldCharType="end"/>
            </w:r>
          </w:hyperlink>
        </w:p>
        <w:p w14:paraId="084482D0" w14:textId="13E0164B" w:rsidR="006C655A" w:rsidRDefault="00250230" w:rsidP="003B3841">
          <w:pPr>
            <w:pStyle w:val="TOC1"/>
            <w:tabs>
              <w:tab w:val="right" w:leader="dot" w:pos="10070"/>
            </w:tabs>
            <w:spacing w:after="0"/>
            <w:mirrorIndents/>
            <w:rPr>
              <w:rFonts w:asciiTheme="minorHAnsi" w:eastAsiaTheme="minorEastAsia" w:hAnsiTheme="minorHAnsi" w:cstheme="minorBidi"/>
              <w:noProof/>
              <w:sz w:val="22"/>
              <w:szCs w:val="22"/>
            </w:rPr>
          </w:pPr>
          <w:hyperlink w:anchor="_Toc448296092" w:history="1">
            <w:r w:rsidR="006C655A" w:rsidRPr="00CF5A5B">
              <w:rPr>
                <w:rStyle w:val="Hyperlink"/>
                <w:noProof/>
              </w:rPr>
              <w:t>References:</w:t>
            </w:r>
            <w:r w:rsidR="006C655A">
              <w:rPr>
                <w:noProof/>
                <w:webHidden/>
              </w:rPr>
              <w:tab/>
            </w:r>
            <w:r w:rsidR="006C655A">
              <w:rPr>
                <w:noProof/>
                <w:webHidden/>
              </w:rPr>
              <w:fldChar w:fldCharType="begin"/>
            </w:r>
            <w:r w:rsidR="006C655A">
              <w:rPr>
                <w:noProof/>
                <w:webHidden/>
              </w:rPr>
              <w:instrText xml:space="preserve"> PAGEREF _Toc448296092 \h </w:instrText>
            </w:r>
            <w:r w:rsidR="006C655A">
              <w:rPr>
                <w:noProof/>
                <w:webHidden/>
              </w:rPr>
            </w:r>
            <w:r w:rsidR="006C655A">
              <w:rPr>
                <w:noProof/>
                <w:webHidden/>
              </w:rPr>
              <w:fldChar w:fldCharType="separate"/>
            </w:r>
            <w:r w:rsidR="00D07179">
              <w:rPr>
                <w:noProof/>
                <w:webHidden/>
              </w:rPr>
              <w:t>14</w:t>
            </w:r>
            <w:r w:rsidR="006C655A">
              <w:rPr>
                <w:noProof/>
                <w:webHidden/>
              </w:rPr>
              <w:fldChar w:fldCharType="end"/>
            </w:r>
          </w:hyperlink>
        </w:p>
        <w:p w14:paraId="1BBE6876" w14:textId="77777777" w:rsidR="00B12EA3" w:rsidRDefault="00B12EA3" w:rsidP="003B3841">
          <w:pPr>
            <w:mirrorIndents/>
          </w:pPr>
          <w:r w:rsidRPr="00B12EA3">
            <w:rPr>
              <w:bCs/>
              <w:noProof/>
            </w:rPr>
            <w:fldChar w:fldCharType="end"/>
          </w:r>
        </w:p>
      </w:sdtContent>
    </w:sdt>
    <w:p w14:paraId="054F860B" w14:textId="56D5F962" w:rsidR="009221FF" w:rsidRDefault="009221FF" w:rsidP="003B3841">
      <w:pPr>
        <w:pStyle w:val="NoSpacing"/>
        <w:pBdr>
          <w:bottom w:val="single" w:sz="4" w:space="1" w:color="auto"/>
        </w:pBdr>
        <w:mirrorIndents/>
        <w:rPr>
          <w:b/>
        </w:rPr>
      </w:pPr>
      <w:r>
        <w:rPr>
          <w:b/>
        </w:rPr>
        <w:t>EXHIBITS</w:t>
      </w:r>
    </w:p>
    <w:p w14:paraId="0B9738F4" w14:textId="77777777" w:rsidR="009221FF" w:rsidRPr="009221FF" w:rsidRDefault="009221FF" w:rsidP="003B3841">
      <w:pPr>
        <w:pStyle w:val="NoSpacing"/>
        <w:mirrorIndents/>
        <w:rPr>
          <w:b/>
        </w:rPr>
      </w:pPr>
    </w:p>
    <w:p w14:paraId="495A81B6" w14:textId="1B67B92D" w:rsidR="00CF44C9" w:rsidRDefault="009221FF" w:rsidP="003B3841">
      <w:pPr>
        <w:pStyle w:val="TableofFigures"/>
        <w:tabs>
          <w:tab w:val="right" w:leader="dot" w:pos="10070"/>
        </w:tabs>
        <w:mirrorIndents/>
        <w:rPr>
          <w:rFonts w:asciiTheme="minorHAnsi" w:eastAsiaTheme="minorEastAsia" w:hAnsiTheme="minorHAnsi" w:cstheme="minorBidi"/>
          <w:noProof/>
          <w:sz w:val="22"/>
          <w:szCs w:val="22"/>
        </w:rPr>
      </w:pPr>
      <w:r>
        <w:rPr>
          <w:b/>
        </w:rPr>
        <w:fldChar w:fldCharType="begin"/>
      </w:r>
      <w:r>
        <w:rPr>
          <w:b/>
        </w:rPr>
        <w:instrText xml:space="preserve"> TOC \h \z \c "Exhibit" </w:instrText>
      </w:r>
      <w:r>
        <w:rPr>
          <w:b/>
        </w:rPr>
        <w:fldChar w:fldCharType="separate"/>
      </w:r>
      <w:hyperlink w:anchor="_Toc449541622" w:history="1">
        <w:r w:rsidR="00CF44C9" w:rsidRPr="00702F75">
          <w:rPr>
            <w:rStyle w:val="Hyperlink"/>
            <w:noProof/>
          </w:rPr>
          <w:t>Exhibit 2.1: Overview of Key Variables</w:t>
        </w:r>
        <w:r w:rsidR="00CF44C9">
          <w:rPr>
            <w:noProof/>
            <w:webHidden/>
          </w:rPr>
          <w:tab/>
        </w:r>
        <w:r w:rsidR="00CF44C9">
          <w:rPr>
            <w:noProof/>
            <w:webHidden/>
          </w:rPr>
          <w:fldChar w:fldCharType="begin"/>
        </w:r>
        <w:r w:rsidR="00CF44C9">
          <w:rPr>
            <w:noProof/>
            <w:webHidden/>
          </w:rPr>
          <w:instrText xml:space="preserve"> PAGEREF _Toc449541622 \h </w:instrText>
        </w:r>
        <w:r w:rsidR="00CF44C9">
          <w:rPr>
            <w:noProof/>
            <w:webHidden/>
          </w:rPr>
        </w:r>
        <w:r w:rsidR="00CF44C9">
          <w:rPr>
            <w:noProof/>
            <w:webHidden/>
          </w:rPr>
          <w:fldChar w:fldCharType="separate"/>
        </w:r>
        <w:r w:rsidR="00D07179">
          <w:rPr>
            <w:noProof/>
            <w:webHidden/>
          </w:rPr>
          <w:t>7</w:t>
        </w:r>
        <w:r w:rsidR="00CF44C9">
          <w:rPr>
            <w:noProof/>
            <w:webHidden/>
          </w:rPr>
          <w:fldChar w:fldCharType="end"/>
        </w:r>
      </w:hyperlink>
    </w:p>
    <w:p w14:paraId="302EED39" w14:textId="72C8812B" w:rsidR="00CF44C9" w:rsidRDefault="00250230" w:rsidP="003B3841">
      <w:pPr>
        <w:pStyle w:val="TableofFigures"/>
        <w:tabs>
          <w:tab w:val="right" w:leader="dot" w:pos="10070"/>
        </w:tabs>
        <w:mirrorIndents/>
        <w:rPr>
          <w:rFonts w:asciiTheme="minorHAnsi" w:eastAsiaTheme="minorEastAsia" w:hAnsiTheme="minorHAnsi" w:cstheme="minorBidi"/>
          <w:noProof/>
          <w:sz w:val="22"/>
          <w:szCs w:val="22"/>
        </w:rPr>
      </w:pPr>
      <w:hyperlink w:anchor="_Toc449541623" w:history="1">
        <w:r w:rsidR="00CF44C9" w:rsidRPr="00702F75">
          <w:rPr>
            <w:rStyle w:val="Hyperlink"/>
            <w:noProof/>
          </w:rPr>
          <w:t>Exhibit 12.1: Estimated Annualized Burden Hours</w:t>
        </w:r>
        <w:r w:rsidR="00CF44C9">
          <w:rPr>
            <w:noProof/>
            <w:webHidden/>
          </w:rPr>
          <w:tab/>
        </w:r>
        <w:r w:rsidR="00CF44C9">
          <w:rPr>
            <w:noProof/>
            <w:webHidden/>
          </w:rPr>
          <w:fldChar w:fldCharType="begin"/>
        </w:r>
        <w:r w:rsidR="00CF44C9">
          <w:rPr>
            <w:noProof/>
            <w:webHidden/>
          </w:rPr>
          <w:instrText xml:space="preserve"> PAGEREF _Toc449541623 \h </w:instrText>
        </w:r>
        <w:r w:rsidR="00CF44C9">
          <w:rPr>
            <w:noProof/>
            <w:webHidden/>
          </w:rPr>
        </w:r>
        <w:r w:rsidR="00CF44C9">
          <w:rPr>
            <w:noProof/>
            <w:webHidden/>
          </w:rPr>
          <w:fldChar w:fldCharType="separate"/>
        </w:r>
        <w:r w:rsidR="00D07179">
          <w:rPr>
            <w:noProof/>
            <w:webHidden/>
          </w:rPr>
          <w:t>11</w:t>
        </w:r>
        <w:r w:rsidR="00CF44C9">
          <w:rPr>
            <w:noProof/>
            <w:webHidden/>
          </w:rPr>
          <w:fldChar w:fldCharType="end"/>
        </w:r>
      </w:hyperlink>
    </w:p>
    <w:p w14:paraId="134F6FD6" w14:textId="35F27156" w:rsidR="00CF44C9" w:rsidRDefault="00250230" w:rsidP="003B3841">
      <w:pPr>
        <w:pStyle w:val="TableofFigures"/>
        <w:tabs>
          <w:tab w:val="right" w:leader="dot" w:pos="10070"/>
        </w:tabs>
        <w:mirrorIndents/>
        <w:rPr>
          <w:rFonts w:asciiTheme="minorHAnsi" w:eastAsiaTheme="minorEastAsia" w:hAnsiTheme="minorHAnsi" w:cstheme="minorBidi"/>
          <w:noProof/>
          <w:sz w:val="22"/>
          <w:szCs w:val="22"/>
        </w:rPr>
      </w:pPr>
      <w:hyperlink w:anchor="_Toc449541624" w:history="1">
        <w:r w:rsidR="00CF44C9" w:rsidRPr="00702F75">
          <w:rPr>
            <w:rStyle w:val="Hyperlink"/>
            <w:noProof/>
          </w:rPr>
          <w:t>Exhibit 12.2: Estimated Annualized Burden Costs</w:t>
        </w:r>
        <w:r w:rsidR="00CF44C9">
          <w:rPr>
            <w:noProof/>
            <w:webHidden/>
          </w:rPr>
          <w:tab/>
        </w:r>
        <w:r w:rsidR="00CF44C9">
          <w:rPr>
            <w:noProof/>
            <w:webHidden/>
          </w:rPr>
          <w:fldChar w:fldCharType="begin"/>
        </w:r>
        <w:r w:rsidR="00CF44C9">
          <w:rPr>
            <w:noProof/>
            <w:webHidden/>
          </w:rPr>
          <w:instrText xml:space="preserve"> PAGEREF _Toc449541624 \h </w:instrText>
        </w:r>
        <w:r w:rsidR="00CF44C9">
          <w:rPr>
            <w:noProof/>
            <w:webHidden/>
          </w:rPr>
        </w:r>
        <w:r w:rsidR="00CF44C9">
          <w:rPr>
            <w:noProof/>
            <w:webHidden/>
          </w:rPr>
          <w:fldChar w:fldCharType="separate"/>
        </w:r>
        <w:r w:rsidR="00D07179">
          <w:rPr>
            <w:noProof/>
            <w:webHidden/>
          </w:rPr>
          <w:t>12</w:t>
        </w:r>
        <w:r w:rsidR="00CF44C9">
          <w:rPr>
            <w:noProof/>
            <w:webHidden/>
          </w:rPr>
          <w:fldChar w:fldCharType="end"/>
        </w:r>
      </w:hyperlink>
    </w:p>
    <w:p w14:paraId="69822D32" w14:textId="6C4B044B" w:rsidR="00CF44C9" w:rsidRDefault="00250230" w:rsidP="003B3841">
      <w:pPr>
        <w:pStyle w:val="TableofFigures"/>
        <w:tabs>
          <w:tab w:val="right" w:leader="dot" w:pos="10070"/>
        </w:tabs>
        <w:mirrorIndents/>
        <w:rPr>
          <w:rFonts w:asciiTheme="minorHAnsi" w:eastAsiaTheme="minorEastAsia" w:hAnsiTheme="minorHAnsi" w:cstheme="minorBidi"/>
          <w:noProof/>
          <w:sz w:val="22"/>
          <w:szCs w:val="22"/>
        </w:rPr>
      </w:pPr>
      <w:hyperlink w:anchor="_Toc449541625" w:history="1">
        <w:r w:rsidR="00CF44C9" w:rsidRPr="00702F75">
          <w:rPr>
            <w:rStyle w:val="Hyperlink"/>
            <w:noProof/>
          </w:rPr>
          <w:t>Exhibit 14.1: Annualized Cost to the Government</w:t>
        </w:r>
        <w:r w:rsidR="00CF44C9">
          <w:rPr>
            <w:noProof/>
            <w:webHidden/>
          </w:rPr>
          <w:tab/>
        </w:r>
        <w:r w:rsidR="00CF44C9">
          <w:rPr>
            <w:noProof/>
            <w:webHidden/>
          </w:rPr>
          <w:fldChar w:fldCharType="begin"/>
        </w:r>
        <w:r w:rsidR="00CF44C9">
          <w:rPr>
            <w:noProof/>
            <w:webHidden/>
          </w:rPr>
          <w:instrText xml:space="preserve"> PAGEREF _Toc449541625 \h </w:instrText>
        </w:r>
        <w:r w:rsidR="00CF44C9">
          <w:rPr>
            <w:noProof/>
            <w:webHidden/>
          </w:rPr>
        </w:r>
        <w:r w:rsidR="00CF44C9">
          <w:rPr>
            <w:noProof/>
            <w:webHidden/>
          </w:rPr>
          <w:fldChar w:fldCharType="separate"/>
        </w:r>
        <w:r w:rsidR="00D07179">
          <w:rPr>
            <w:noProof/>
            <w:webHidden/>
          </w:rPr>
          <w:t>13</w:t>
        </w:r>
        <w:r w:rsidR="00CF44C9">
          <w:rPr>
            <w:noProof/>
            <w:webHidden/>
          </w:rPr>
          <w:fldChar w:fldCharType="end"/>
        </w:r>
      </w:hyperlink>
    </w:p>
    <w:p w14:paraId="420CC9CE" w14:textId="6BC3F4C6" w:rsidR="00CF44C9" w:rsidRDefault="00250230" w:rsidP="003B3841">
      <w:pPr>
        <w:pStyle w:val="TableofFigures"/>
        <w:tabs>
          <w:tab w:val="right" w:leader="dot" w:pos="10070"/>
        </w:tabs>
        <w:mirrorIndents/>
        <w:rPr>
          <w:rFonts w:asciiTheme="minorHAnsi" w:eastAsiaTheme="minorEastAsia" w:hAnsiTheme="minorHAnsi" w:cstheme="minorBidi"/>
          <w:noProof/>
          <w:sz w:val="22"/>
          <w:szCs w:val="22"/>
        </w:rPr>
      </w:pPr>
      <w:hyperlink w:anchor="_Toc449541626" w:history="1">
        <w:r w:rsidR="00CF44C9" w:rsidRPr="00702F75">
          <w:rPr>
            <w:rStyle w:val="Hyperlink"/>
            <w:noProof/>
          </w:rPr>
          <w:t>Exhibit 16.1: Project Time Schedule</w:t>
        </w:r>
        <w:r w:rsidR="00CF44C9">
          <w:rPr>
            <w:noProof/>
            <w:webHidden/>
          </w:rPr>
          <w:tab/>
        </w:r>
        <w:r w:rsidR="00CF44C9">
          <w:rPr>
            <w:noProof/>
            <w:webHidden/>
          </w:rPr>
          <w:fldChar w:fldCharType="begin"/>
        </w:r>
        <w:r w:rsidR="00CF44C9">
          <w:rPr>
            <w:noProof/>
            <w:webHidden/>
          </w:rPr>
          <w:instrText xml:space="preserve"> PAGEREF _Toc449541626 \h </w:instrText>
        </w:r>
        <w:r w:rsidR="00CF44C9">
          <w:rPr>
            <w:noProof/>
            <w:webHidden/>
          </w:rPr>
        </w:r>
        <w:r w:rsidR="00CF44C9">
          <w:rPr>
            <w:noProof/>
            <w:webHidden/>
          </w:rPr>
          <w:fldChar w:fldCharType="separate"/>
        </w:r>
        <w:r w:rsidR="00D07179">
          <w:rPr>
            <w:noProof/>
            <w:webHidden/>
          </w:rPr>
          <w:t>13</w:t>
        </w:r>
        <w:r w:rsidR="00CF44C9">
          <w:rPr>
            <w:noProof/>
            <w:webHidden/>
          </w:rPr>
          <w:fldChar w:fldCharType="end"/>
        </w:r>
      </w:hyperlink>
    </w:p>
    <w:p w14:paraId="3FB7760C" w14:textId="1846C216" w:rsidR="003B3841" w:rsidRDefault="009221FF" w:rsidP="003B3841">
      <w:pPr>
        <w:pStyle w:val="NoSpacing"/>
        <w:mirrorIndents/>
        <w:rPr>
          <w:b/>
        </w:rPr>
      </w:pPr>
      <w:r>
        <w:fldChar w:fldCharType="end"/>
      </w:r>
    </w:p>
    <w:p w14:paraId="2D50569E" w14:textId="2B3F8AAA" w:rsidR="00347120" w:rsidRPr="00C46977" w:rsidRDefault="00347120" w:rsidP="003B3841">
      <w:pPr>
        <w:pStyle w:val="NoSpacing"/>
        <w:pBdr>
          <w:bottom w:val="single" w:sz="4" w:space="1" w:color="auto"/>
        </w:pBdr>
        <w:mirrorIndents/>
        <w:rPr>
          <w:b/>
        </w:rPr>
      </w:pPr>
      <w:r w:rsidRPr="00C46977">
        <w:rPr>
          <w:b/>
        </w:rPr>
        <w:t>LIST OF ATTACHMENTS</w:t>
      </w:r>
    </w:p>
    <w:p w14:paraId="09F5260B" w14:textId="77777777" w:rsidR="00347120" w:rsidRDefault="00347120" w:rsidP="003B3841">
      <w:pPr>
        <w:pStyle w:val="NoSpacing"/>
        <w:mirrorIndents/>
      </w:pPr>
    </w:p>
    <w:p w14:paraId="792DF4DC" w14:textId="7428B1BF" w:rsidR="009951A9" w:rsidRPr="00D96359" w:rsidRDefault="009951A9" w:rsidP="003B3841">
      <w:pPr>
        <w:pStyle w:val="NoSpacing"/>
        <w:tabs>
          <w:tab w:val="left" w:pos="360"/>
        </w:tabs>
        <w:mirrorIndents/>
      </w:pPr>
      <w:r w:rsidRPr="00D96359">
        <w:rPr>
          <w:b/>
        </w:rPr>
        <w:t>Attachment 1</w:t>
      </w:r>
      <w:r w:rsidR="00D96359" w:rsidRPr="00D96359">
        <w:t xml:space="preserve"> </w:t>
      </w:r>
      <w:r w:rsidR="00D74C3B">
        <w:t>D</w:t>
      </w:r>
      <w:r w:rsidR="003C5773">
        <w:t>eep South</w:t>
      </w:r>
      <w:r w:rsidR="00D74C3B">
        <w:t xml:space="preserve"> </w:t>
      </w:r>
      <w:r w:rsidR="00D96359" w:rsidRPr="00D96359">
        <w:t>Recruitment Flyers</w:t>
      </w:r>
    </w:p>
    <w:p w14:paraId="7032D2FF" w14:textId="69508FCF" w:rsidR="00E72740" w:rsidRPr="00D96359" w:rsidRDefault="009951A9" w:rsidP="003B3841">
      <w:pPr>
        <w:pStyle w:val="NoSpacing"/>
        <w:tabs>
          <w:tab w:val="left" w:pos="360"/>
        </w:tabs>
        <w:mirrorIndents/>
      </w:pPr>
      <w:r w:rsidRPr="00D96359">
        <w:rPr>
          <w:b/>
        </w:rPr>
        <w:t>Attachment 2</w:t>
      </w:r>
      <w:r w:rsidR="00347120" w:rsidRPr="00D96359">
        <w:rPr>
          <w:b/>
        </w:rPr>
        <w:t xml:space="preserve"> </w:t>
      </w:r>
      <w:r w:rsidR="00D74C3B" w:rsidRPr="00D74C3B">
        <w:t>D</w:t>
      </w:r>
      <w:r w:rsidR="003C5773">
        <w:t xml:space="preserve">eep South </w:t>
      </w:r>
      <w:r w:rsidR="00D96359" w:rsidRPr="00D96359">
        <w:t>Informed</w:t>
      </w:r>
      <w:r w:rsidR="00D96359" w:rsidRPr="00D96359">
        <w:rPr>
          <w:b/>
        </w:rPr>
        <w:t xml:space="preserve"> </w:t>
      </w:r>
      <w:r w:rsidR="00CF44C9" w:rsidRPr="00D96359">
        <w:t>Consent Form</w:t>
      </w:r>
      <w:r w:rsidR="00B470EB">
        <w:t>s</w:t>
      </w:r>
    </w:p>
    <w:p w14:paraId="79606E93" w14:textId="0206A39B" w:rsidR="00D96359" w:rsidRPr="00D96359" w:rsidRDefault="00D96359" w:rsidP="003B3841">
      <w:pPr>
        <w:pStyle w:val="NoSpacing"/>
        <w:tabs>
          <w:tab w:val="left" w:pos="360"/>
        </w:tabs>
        <w:mirrorIndents/>
        <w:rPr>
          <w:b/>
        </w:rPr>
      </w:pPr>
      <w:r w:rsidRPr="00D96359">
        <w:rPr>
          <w:b/>
        </w:rPr>
        <w:t>Attachment 3a</w:t>
      </w:r>
      <w:r w:rsidRPr="00D96359">
        <w:t xml:space="preserve"> </w:t>
      </w:r>
      <w:r w:rsidR="002368E4">
        <w:t>D</w:t>
      </w:r>
      <w:r w:rsidR="003C5773">
        <w:t xml:space="preserve">eep South </w:t>
      </w:r>
      <w:r w:rsidR="002368E4">
        <w:t>Client</w:t>
      </w:r>
      <w:r w:rsidR="002368E4" w:rsidRPr="00D96359">
        <w:t xml:space="preserve"> </w:t>
      </w:r>
      <w:r w:rsidRPr="00D96359">
        <w:t>Screener</w:t>
      </w:r>
      <w:r w:rsidR="009951A9" w:rsidRPr="00D96359">
        <w:tab/>
      </w:r>
    </w:p>
    <w:p w14:paraId="7E34262B" w14:textId="5E6FB912" w:rsidR="00347120" w:rsidRPr="00D96359" w:rsidRDefault="00D96359" w:rsidP="003B3841">
      <w:pPr>
        <w:pStyle w:val="NoSpacing"/>
        <w:tabs>
          <w:tab w:val="left" w:pos="360"/>
        </w:tabs>
        <w:mirrorIndents/>
      </w:pPr>
      <w:r w:rsidRPr="00D96359">
        <w:rPr>
          <w:b/>
        </w:rPr>
        <w:t>Attachment</w:t>
      </w:r>
      <w:r w:rsidRPr="00D96359">
        <w:t xml:space="preserve"> </w:t>
      </w:r>
      <w:r w:rsidR="009951A9" w:rsidRPr="00D96359">
        <w:rPr>
          <w:b/>
        </w:rPr>
        <w:t>3</w:t>
      </w:r>
      <w:r w:rsidRPr="00D96359">
        <w:rPr>
          <w:b/>
        </w:rPr>
        <w:t>b</w:t>
      </w:r>
      <w:r w:rsidR="00347120" w:rsidRPr="00D96359">
        <w:t xml:space="preserve"> </w:t>
      </w:r>
      <w:r w:rsidR="003E478F" w:rsidRPr="00D96359">
        <w:t>D</w:t>
      </w:r>
      <w:r w:rsidR="003C5773">
        <w:t xml:space="preserve">eep South </w:t>
      </w:r>
      <w:r w:rsidR="003E478F" w:rsidRPr="00D96359">
        <w:t xml:space="preserve">Client Interview Guide </w:t>
      </w:r>
    </w:p>
    <w:p w14:paraId="2E3DB2B0" w14:textId="1C823CA1" w:rsidR="00347120" w:rsidRPr="00D96359" w:rsidRDefault="00D96359" w:rsidP="003B3841">
      <w:pPr>
        <w:pStyle w:val="NoSpacing"/>
        <w:tabs>
          <w:tab w:val="left" w:pos="360"/>
        </w:tabs>
        <w:mirrorIndents/>
      </w:pPr>
      <w:r w:rsidRPr="00D96359">
        <w:rPr>
          <w:b/>
        </w:rPr>
        <w:t>Attachment</w:t>
      </w:r>
      <w:r w:rsidRPr="00D96359">
        <w:t xml:space="preserve"> </w:t>
      </w:r>
      <w:r w:rsidR="009951A9" w:rsidRPr="00D96359">
        <w:rPr>
          <w:b/>
        </w:rPr>
        <w:t>3</w:t>
      </w:r>
      <w:r w:rsidRPr="00D96359">
        <w:rPr>
          <w:b/>
        </w:rPr>
        <w:t>c</w:t>
      </w:r>
      <w:r w:rsidR="00CF5EFA" w:rsidRPr="00D96359">
        <w:t xml:space="preserve"> </w:t>
      </w:r>
      <w:r w:rsidR="003E478F" w:rsidRPr="00D96359">
        <w:t>D</w:t>
      </w:r>
      <w:r w:rsidR="003C5773">
        <w:t>eep South</w:t>
      </w:r>
      <w:r w:rsidR="003E478F" w:rsidRPr="00D96359">
        <w:t xml:space="preserve"> Program Staff Interview Guide</w:t>
      </w:r>
    </w:p>
    <w:p w14:paraId="0546CF9D" w14:textId="3F961F56" w:rsidR="00347120" w:rsidRDefault="009951A9" w:rsidP="003B3841">
      <w:pPr>
        <w:pStyle w:val="NoSpacing"/>
        <w:tabs>
          <w:tab w:val="left" w:pos="360"/>
        </w:tabs>
        <w:mirrorIndents/>
      </w:pPr>
      <w:r w:rsidRPr="00D96359">
        <w:rPr>
          <w:b/>
        </w:rPr>
        <w:t>Attachment 4</w:t>
      </w:r>
      <w:r w:rsidR="00D96359" w:rsidRPr="00D96359">
        <w:rPr>
          <w:b/>
        </w:rPr>
        <w:t>a</w:t>
      </w:r>
      <w:r w:rsidR="00347120" w:rsidRPr="00D96359">
        <w:t xml:space="preserve"> </w:t>
      </w:r>
      <w:r w:rsidR="00D96359" w:rsidRPr="00D96359">
        <w:t>CDC</w:t>
      </w:r>
      <w:r w:rsidR="00CF44C9" w:rsidRPr="00D96359">
        <w:t xml:space="preserve"> IRB Approval</w:t>
      </w:r>
    </w:p>
    <w:p w14:paraId="7F387B58" w14:textId="6933BBAA" w:rsidR="00D96359" w:rsidRDefault="00D96359" w:rsidP="003B3841">
      <w:pPr>
        <w:pStyle w:val="NoSpacing"/>
        <w:tabs>
          <w:tab w:val="left" w:pos="360"/>
        </w:tabs>
        <w:mirrorIndents/>
      </w:pPr>
      <w:r w:rsidRPr="00D96359">
        <w:rPr>
          <w:b/>
        </w:rPr>
        <w:t>Attachment 4b</w:t>
      </w:r>
      <w:r>
        <w:t xml:space="preserve"> Emory University </w:t>
      </w:r>
      <w:r w:rsidR="00D74C3B">
        <w:t xml:space="preserve">IRB </w:t>
      </w:r>
      <w:r>
        <w:t>Determination</w:t>
      </w:r>
    </w:p>
    <w:p w14:paraId="682388CC" w14:textId="2C1DC896" w:rsidR="009B5C38" w:rsidRDefault="009B5C38" w:rsidP="003B3841">
      <w:pPr>
        <w:pStyle w:val="NoSpacing"/>
        <w:tabs>
          <w:tab w:val="left" w:pos="360"/>
        </w:tabs>
        <w:mirrorIndents/>
      </w:pPr>
      <w:r w:rsidRPr="009B5C38">
        <w:rPr>
          <w:b/>
        </w:rPr>
        <w:t>Attachment 5</w:t>
      </w:r>
      <w:r>
        <w:t xml:space="preserve"> </w:t>
      </w:r>
      <w:r w:rsidR="00D74C3B">
        <w:t>D</w:t>
      </w:r>
      <w:r w:rsidR="003C5773">
        <w:t xml:space="preserve">eep South </w:t>
      </w:r>
      <w:r>
        <w:t>Data Use Plan</w:t>
      </w:r>
    </w:p>
    <w:p w14:paraId="1250C48D" w14:textId="6889DE8B" w:rsidR="005B5D5C" w:rsidRPr="00DC56F1" w:rsidRDefault="005B5D5C" w:rsidP="003B3841">
      <w:pPr>
        <w:pStyle w:val="NoSpacing"/>
        <w:tabs>
          <w:tab w:val="left" w:pos="360"/>
        </w:tabs>
        <w:mirrorIndents/>
      </w:pPr>
      <w:r w:rsidRPr="00DC56F1">
        <w:rPr>
          <w:b/>
        </w:rPr>
        <w:t>Attachment 6</w:t>
      </w:r>
      <w:r w:rsidR="00DC56F1" w:rsidRPr="00DC56F1">
        <w:rPr>
          <w:b/>
        </w:rPr>
        <w:t xml:space="preserve"> </w:t>
      </w:r>
      <w:r w:rsidR="00DC56F1" w:rsidRPr="00DC56F1">
        <w:t xml:space="preserve">Privacy </w:t>
      </w:r>
      <w:r w:rsidR="00B45435">
        <w:t>Impact Assessment Approval</w:t>
      </w:r>
    </w:p>
    <w:p w14:paraId="171B3D85" w14:textId="3BB2022A" w:rsidR="005B5D5C" w:rsidRDefault="005B5D5C" w:rsidP="003B3841">
      <w:pPr>
        <w:pStyle w:val="NoSpacing"/>
        <w:tabs>
          <w:tab w:val="left" w:pos="360"/>
        </w:tabs>
        <w:mirrorIndents/>
      </w:pPr>
    </w:p>
    <w:p w14:paraId="57FEAA20" w14:textId="1C850E91" w:rsidR="005B3D89" w:rsidRDefault="005B3D89" w:rsidP="003B3841">
      <w:pPr>
        <w:pStyle w:val="NoSpacing"/>
        <w:tabs>
          <w:tab w:val="left" w:pos="360"/>
        </w:tabs>
        <w:mirrorIndents/>
      </w:pPr>
    </w:p>
    <w:p w14:paraId="6E137FD1" w14:textId="3666E127" w:rsidR="00542640" w:rsidRDefault="00542640" w:rsidP="003B3841">
      <w:pPr>
        <w:mirrorIndents/>
        <w:rPr>
          <w:b/>
        </w:rPr>
      </w:pPr>
    </w:p>
    <w:p w14:paraId="55181C2A" w14:textId="77777777" w:rsidR="00200D2C" w:rsidRPr="00E2574F" w:rsidRDefault="00200D2C" w:rsidP="003B3841">
      <w:pPr>
        <w:mirrorIndents/>
        <w:rPr>
          <w:b/>
        </w:rPr>
      </w:pPr>
    </w:p>
    <w:tbl>
      <w:tblPr>
        <w:tblStyle w:val="TableGrid"/>
        <w:tblW w:w="0" w:type="auto"/>
        <w:tblLook w:val="04A0" w:firstRow="1" w:lastRow="0" w:firstColumn="1" w:lastColumn="0" w:noHBand="0" w:noVBand="1"/>
      </w:tblPr>
      <w:tblGrid>
        <w:gridCol w:w="10070"/>
      </w:tblGrid>
      <w:tr w:rsidR="00B12EA3" w14:paraId="04906BCF" w14:textId="77777777" w:rsidTr="00E2574F">
        <w:trPr>
          <w:trHeight w:val="3860"/>
        </w:trPr>
        <w:tc>
          <w:tcPr>
            <w:tcW w:w="10070" w:type="dxa"/>
          </w:tcPr>
          <w:p w14:paraId="211ADFB2" w14:textId="01872673" w:rsidR="008A16FB" w:rsidRPr="008A16FB" w:rsidRDefault="00B12EA3" w:rsidP="008A16FB">
            <w:pPr>
              <w:pStyle w:val="NoSpacing"/>
              <w:numPr>
                <w:ilvl w:val="0"/>
                <w:numId w:val="1"/>
              </w:numPr>
              <w:spacing w:before="120" w:after="120"/>
              <w:mirrorIndents/>
              <w:rPr>
                <w:b/>
              </w:rPr>
            </w:pPr>
            <w:r w:rsidRPr="00FB7AA8">
              <w:rPr>
                <w:b/>
              </w:rPr>
              <w:lastRenderedPageBreak/>
              <w:t xml:space="preserve">Goals of the study: </w:t>
            </w:r>
            <w:r w:rsidR="00F30E45">
              <w:t xml:space="preserve">This qualitative research study focuses on community-based organization (CBO) clients who are black/African American and Hispanic/Latino young men who have sex with men (YMSM) and young transgender youth (YTG). </w:t>
            </w:r>
            <w:r w:rsidR="00B328D6" w:rsidRPr="00FB7AA8">
              <w:t xml:space="preserve">The </w:t>
            </w:r>
            <w:r w:rsidR="00FB7AA8" w:rsidRPr="00FB7AA8">
              <w:t>goal</w:t>
            </w:r>
            <w:r w:rsidR="00B328D6" w:rsidRPr="00FB7AA8">
              <w:t xml:space="preserve"> of this</w:t>
            </w:r>
            <w:r w:rsidR="005248A5" w:rsidRPr="00FB7AA8">
              <w:t xml:space="preserve"> </w:t>
            </w:r>
            <w:r w:rsidR="00965E71" w:rsidRPr="00FB7AA8">
              <w:t xml:space="preserve">study </w:t>
            </w:r>
            <w:r w:rsidR="00FB7AA8" w:rsidRPr="00FB7AA8">
              <w:t xml:space="preserve">is to identify </w:t>
            </w:r>
            <w:r w:rsidR="00C00EDB">
              <w:t xml:space="preserve">factors that influence how clients use HIV prevention, care, and treatment services offered at CBOs located in Deep South states. </w:t>
            </w:r>
            <w:r w:rsidR="008A16FB">
              <w:t>These four CBOs are funded by CDC’s existing PS17-1704 grant program to provide HIV prevention and care services to YMSM and YTG.</w:t>
            </w:r>
          </w:p>
          <w:p w14:paraId="1D02776F" w14:textId="7E25CBA3" w:rsidR="00B12EA3" w:rsidRPr="00AC05E8" w:rsidRDefault="00B12EA3" w:rsidP="00AC05E8">
            <w:pPr>
              <w:pStyle w:val="NoSpacing"/>
              <w:numPr>
                <w:ilvl w:val="0"/>
                <w:numId w:val="1"/>
              </w:numPr>
              <w:spacing w:before="120" w:after="120"/>
              <w:mirrorIndents/>
              <w:rPr>
                <w:b/>
              </w:rPr>
            </w:pPr>
            <w:r w:rsidRPr="00FB7AA8">
              <w:rPr>
                <w:b/>
              </w:rPr>
              <w:t>Intended use:</w:t>
            </w:r>
            <w:r w:rsidR="00B328D6" w:rsidRPr="00FB7AA8">
              <w:rPr>
                <w:b/>
              </w:rPr>
              <w:t xml:space="preserve"> </w:t>
            </w:r>
            <w:r w:rsidR="00AC05E8">
              <w:rPr>
                <w:rFonts w:cs="Times New Roman"/>
                <w:szCs w:val="24"/>
              </w:rPr>
              <w:t>Study outcomes will be communicated</w:t>
            </w:r>
            <w:r w:rsidR="00AC05E8" w:rsidRPr="00342435">
              <w:rPr>
                <w:rFonts w:cs="Times New Roman"/>
                <w:szCs w:val="24"/>
              </w:rPr>
              <w:t xml:space="preserve"> to </w:t>
            </w:r>
            <w:r w:rsidR="00AC05E8">
              <w:rPr>
                <w:rFonts w:cs="Times New Roman"/>
                <w:szCs w:val="24"/>
              </w:rPr>
              <w:t>local stakeholders</w:t>
            </w:r>
            <w:r w:rsidR="00AC05E8" w:rsidRPr="00342435">
              <w:rPr>
                <w:rFonts w:cs="Times New Roman"/>
                <w:szCs w:val="24"/>
              </w:rPr>
              <w:t xml:space="preserve"> and </w:t>
            </w:r>
            <w:r w:rsidR="00C00EDB">
              <w:rPr>
                <w:rFonts w:cs="Times New Roman"/>
                <w:szCs w:val="24"/>
              </w:rPr>
              <w:t>CBO staff</w:t>
            </w:r>
            <w:r w:rsidR="00AC05E8" w:rsidRPr="00342435">
              <w:rPr>
                <w:rFonts w:cs="Times New Roman"/>
                <w:szCs w:val="24"/>
              </w:rPr>
              <w:t xml:space="preserve"> in </w:t>
            </w:r>
            <w:r w:rsidR="00AC05E8" w:rsidRPr="007B2EBE">
              <w:rPr>
                <w:rFonts w:cs="Times New Roman"/>
                <w:szCs w:val="24"/>
              </w:rPr>
              <w:t xml:space="preserve">positions to consider and implement site-specific improvements in </w:t>
            </w:r>
            <w:r w:rsidR="00AC05E8">
              <w:rPr>
                <w:rFonts w:cs="Times New Roman"/>
                <w:szCs w:val="24"/>
              </w:rPr>
              <w:t xml:space="preserve">their </w:t>
            </w:r>
            <w:r w:rsidR="00AC05E8" w:rsidRPr="007B2EBE">
              <w:rPr>
                <w:rFonts w:cs="Times New Roman"/>
                <w:szCs w:val="24"/>
              </w:rPr>
              <w:t>HIV</w:t>
            </w:r>
            <w:r w:rsidR="00C00EDB">
              <w:rPr>
                <w:rFonts w:cs="Times New Roman"/>
                <w:szCs w:val="24"/>
              </w:rPr>
              <w:t xml:space="preserve"> prevention, care and treatment services. T</w:t>
            </w:r>
            <w:r w:rsidR="00AC05E8" w:rsidRPr="00FB7AA8">
              <w:t>he results of this study are not intended to be generalized to the larger population.</w:t>
            </w:r>
            <w:r w:rsidR="00AC05E8" w:rsidRPr="00AC05E8">
              <w:rPr>
                <w:rFonts w:cs="Times New Roman"/>
                <w:szCs w:val="24"/>
              </w:rPr>
              <w:t xml:space="preserve"> </w:t>
            </w:r>
            <w:r w:rsidR="00AC05E8">
              <w:t>The results also</w:t>
            </w:r>
            <w:r w:rsidR="00FB7AA8">
              <w:t xml:space="preserve"> will </w:t>
            </w:r>
            <w:r w:rsidR="00FB7AA8" w:rsidRPr="00FB7AA8">
              <w:t>provide CDC an increased understanding of the factor</w:t>
            </w:r>
            <w:r w:rsidR="00C00EDB">
              <w:t>s t</w:t>
            </w:r>
            <w:r w:rsidR="0006639A">
              <w:t xml:space="preserve">hat contribute to effective </w:t>
            </w:r>
            <w:r w:rsidR="0006639A" w:rsidRPr="007B2EBE">
              <w:rPr>
                <w:rFonts w:cs="Times New Roman"/>
                <w:szCs w:val="24"/>
              </w:rPr>
              <w:t>HIV</w:t>
            </w:r>
            <w:r w:rsidR="0006639A">
              <w:rPr>
                <w:rFonts w:cs="Times New Roman"/>
                <w:szCs w:val="24"/>
              </w:rPr>
              <w:t xml:space="preserve"> prevention, care and treatment</w:t>
            </w:r>
            <w:r w:rsidR="0006639A">
              <w:t xml:space="preserve"> </w:t>
            </w:r>
            <w:r w:rsidR="00C00EDB">
              <w:t>p</w:t>
            </w:r>
            <w:r w:rsidR="00FB7AA8" w:rsidRPr="00FB7AA8">
              <w:t>rograms</w:t>
            </w:r>
            <w:r w:rsidR="0006639A">
              <w:t xml:space="preserve"> provided by CBOs</w:t>
            </w:r>
            <w:r w:rsidR="00F30E45">
              <w:t xml:space="preserve"> in Deep South states</w:t>
            </w:r>
            <w:r w:rsidR="00731B24" w:rsidRPr="00FB7AA8">
              <w:t>.</w:t>
            </w:r>
          </w:p>
          <w:p w14:paraId="02AC9B98" w14:textId="7694EDDD" w:rsidR="00810B9E" w:rsidRPr="00FB7AA8" w:rsidRDefault="00B12EA3" w:rsidP="00F95454">
            <w:pPr>
              <w:pStyle w:val="NoSpacing"/>
              <w:numPr>
                <w:ilvl w:val="0"/>
                <w:numId w:val="1"/>
              </w:numPr>
              <w:spacing w:before="120" w:after="120"/>
              <w:mirrorIndents/>
              <w:rPr>
                <w:b/>
              </w:rPr>
            </w:pPr>
            <w:r w:rsidRPr="00FB7AA8">
              <w:rPr>
                <w:b/>
              </w:rPr>
              <w:t>Methods to be used to collect data:</w:t>
            </w:r>
            <w:r w:rsidR="00A34D13" w:rsidRPr="00FB7AA8">
              <w:rPr>
                <w:b/>
              </w:rPr>
              <w:t xml:space="preserve"> </w:t>
            </w:r>
            <w:r w:rsidR="00A34D13" w:rsidRPr="00FB7AA8">
              <w:t xml:space="preserve">Data will be collected </w:t>
            </w:r>
            <w:r w:rsidR="003E2A65" w:rsidRPr="00FB7AA8">
              <w:t xml:space="preserve">from </w:t>
            </w:r>
            <w:r w:rsidR="00150705">
              <w:t xml:space="preserve">a total of </w:t>
            </w:r>
            <w:r w:rsidR="00B76615">
              <w:t>156</w:t>
            </w:r>
            <w:r w:rsidR="009A2571" w:rsidRPr="00FB7AA8">
              <w:t xml:space="preserve"> individuals through </w:t>
            </w:r>
            <w:r w:rsidR="00731B24" w:rsidRPr="00FB7AA8">
              <w:t>semi-structured</w:t>
            </w:r>
            <w:r w:rsidR="009A2571" w:rsidRPr="00FB7AA8">
              <w:t>, qualitative</w:t>
            </w:r>
            <w:r w:rsidR="00F353ED" w:rsidRPr="00FB7AA8">
              <w:t xml:space="preserve"> </w:t>
            </w:r>
            <w:r w:rsidR="004B25CE">
              <w:t>in-depth</w:t>
            </w:r>
            <w:r w:rsidR="009A2571" w:rsidRPr="00FB7AA8">
              <w:t xml:space="preserve"> interviews</w:t>
            </w:r>
            <w:r w:rsidR="004B25CE">
              <w:t xml:space="preserve"> (IDIs)</w:t>
            </w:r>
            <w:r w:rsidR="00731B24" w:rsidRPr="00FB7AA8">
              <w:t>.</w:t>
            </w:r>
          </w:p>
          <w:p w14:paraId="205F61C7" w14:textId="1FD81423" w:rsidR="00CB62C5" w:rsidRPr="00FB7AA8" w:rsidRDefault="00F30E45" w:rsidP="00F95454">
            <w:pPr>
              <w:pStyle w:val="NoSpacing"/>
              <w:numPr>
                <w:ilvl w:val="0"/>
                <w:numId w:val="1"/>
              </w:numPr>
              <w:spacing w:before="120" w:after="120"/>
              <w:mirrorIndents/>
              <w:rPr>
                <w:b/>
              </w:rPr>
            </w:pPr>
            <w:r>
              <w:rPr>
                <w:b/>
              </w:rPr>
              <w:t>S</w:t>
            </w:r>
            <w:r w:rsidR="00B12EA3" w:rsidRPr="00FB7AA8">
              <w:rPr>
                <w:b/>
              </w:rPr>
              <w:t>ubpopulation</w:t>
            </w:r>
            <w:r>
              <w:rPr>
                <w:b/>
              </w:rPr>
              <w:t>s</w:t>
            </w:r>
            <w:r w:rsidR="00B12EA3" w:rsidRPr="00FB7AA8">
              <w:rPr>
                <w:b/>
              </w:rPr>
              <w:t xml:space="preserve"> to be studied:</w:t>
            </w:r>
            <w:r w:rsidR="00207534" w:rsidRPr="00FB7AA8">
              <w:rPr>
                <w:b/>
              </w:rPr>
              <w:t xml:space="preserve"> </w:t>
            </w:r>
            <w:r w:rsidR="00CB62C5" w:rsidRPr="00FB7AA8">
              <w:t xml:space="preserve">We will </w:t>
            </w:r>
            <w:r>
              <w:t>obtain data from</w:t>
            </w:r>
            <w:r w:rsidR="00CB62C5" w:rsidRPr="00FB7AA8">
              <w:t xml:space="preserve"> </w:t>
            </w:r>
            <w:r w:rsidR="00B76615">
              <w:t xml:space="preserve">144 black/African American and Hispanic/Latino YMSM and YTG, aged 18-24, </w:t>
            </w:r>
            <w:r w:rsidR="00FB7AA8" w:rsidRPr="00FB7AA8">
              <w:t xml:space="preserve">who previously have received </w:t>
            </w:r>
            <w:r w:rsidR="00B76615">
              <w:t>HIV prevention, care or treatment services from C</w:t>
            </w:r>
            <w:r>
              <w:t>BOs. In addition, we will obtain data from</w:t>
            </w:r>
            <w:r w:rsidR="00B76615">
              <w:t xml:space="preserve"> 12 CBO staff involved with provision of </w:t>
            </w:r>
            <w:r>
              <w:t xml:space="preserve">HIV-related </w:t>
            </w:r>
            <w:r w:rsidR="00B76615">
              <w:t>services to YMSM and YTG clients. These 144 client and 12 CBO staff will be sampled from four CBOs located in Miami/Ft. Lauderdale, F</w:t>
            </w:r>
            <w:r w:rsidR="00FB7AA8" w:rsidRPr="00FB7AA8">
              <w:t>lorida</w:t>
            </w:r>
            <w:r w:rsidR="00B76615">
              <w:t>;</w:t>
            </w:r>
            <w:r w:rsidR="00FB7AA8" w:rsidRPr="00FB7AA8">
              <w:t xml:space="preserve"> </w:t>
            </w:r>
            <w:r w:rsidR="00B76615">
              <w:t xml:space="preserve">Atlanta, Georgia; New Orleans/Baton Rouge, </w:t>
            </w:r>
            <w:r w:rsidR="00FB7AA8" w:rsidRPr="00FB7AA8">
              <w:t>Louisiana</w:t>
            </w:r>
            <w:r w:rsidR="00B76615">
              <w:t>; and Columbia, South Carolina.</w:t>
            </w:r>
          </w:p>
          <w:p w14:paraId="67C82716" w14:textId="2B988C84" w:rsidR="00B12EA3" w:rsidRPr="00B12EA3" w:rsidRDefault="00B12EA3" w:rsidP="00B76615">
            <w:pPr>
              <w:pStyle w:val="NoSpacing"/>
              <w:numPr>
                <w:ilvl w:val="0"/>
                <w:numId w:val="1"/>
              </w:numPr>
              <w:spacing w:before="120" w:after="120"/>
              <w:mirrorIndents/>
              <w:rPr>
                <w:b/>
              </w:rPr>
            </w:pPr>
            <w:r w:rsidRPr="00FB7AA8">
              <w:rPr>
                <w:b/>
              </w:rPr>
              <w:t>How data will be analyzed:</w:t>
            </w:r>
            <w:r w:rsidR="003539FB" w:rsidRPr="00FB7AA8">
              <w:rPr>
                <w:b/>
              </w:rPr>
              <w:t xml:space="preserve"> </w:t>
            </w:r>
            <w:r w:rsidR="003E2A65" w:rsidRPr="00FB7AA8">
              <w:rPr>
                <w:noProof/>
                <w:szCs w:val="24"/>
              </w:rPr>
              <w:t xml:space="preserve">Qualitative coding of </w:t>
            </w:r>
            <w:r w:rsidR="00B76615">
              <w:rPr>
                <w:noProof/>
                <w:szCs w:val="24"/>
              </w:rPr>
              <w:t>156</w:t>
            </w:r>
            <w:r w:rsidR="003E2A65" w:rsidRPr="00FB7AA8">
              <w:rPr>
                <w:noProof/>
                <w:szCs w:val="24"/>
              </w:rPr>
              <w:t xml:space="preserve"> </w:t>
            </w:r>
            <w:r w:rsidR="004B25CE">
              <w:rPr>
                <w:noProof/>
                <w:szCs w:val="24"/>
              </w:rPr>
              <w:t>IDI</w:t>
            </w:r>
            <w:r w:rsidR="00CB62C5" w:rsidRPr="00FB7AA8">
              <w:rPr>
                <w:noProof/>
                <w:szCs w:val="24"/>
              </w:rPr>
              <w:t xml:space="preserve"> transcripts using computer-</w:t>
            </w:r>
            <w:r w:rsidR="003E2A65" w:rsidRPr="00FB7AA8">
              <w:rPr>
                <w:noProof/>
                <w:szCs w:val="24"/>
              </w:rPr>
              <w:t>assisted qualitative data analysis software.</w:t>
            </w:r>
          </w:p>
        </w:tc>
      </w:tr>
    </w:tbl>
    <w:p w14:paraId="33849E7F" w14:textId="77777777" w:rsidR="00B12EA3" w:rsidRDefault="00B12EA3" w:rsidP="00F95454">
      <w:pPr>
        <w:pStyle w:val="NoSpacing"/>
        <w:spacing w:before="120" w:after="120"/>
        <w:mirrorIndents/>
      </w:pPr>
    </w:p>
    <w:p w14:paraId="6B0500C1" w14:textId="77777777" w:rsidR="00F734ED" w:rsidRPr="00F734ED" w:rsidRDefault="00F734ED" w:rsidP="00F95454">
      <w:pPr>
        <w:pStyle w:val="NoSpacing"/>
        <w:spacing w:before="120" w:after="120"/>
        <w:mirrorIndents/>
        <w:rPr>
          <w:b/>
        </w:rPr>
      </w:pPr>
      <w:r w:rsidRPr="00F734ED">
        <w:rPr>
          <w:b/>
        </w:rPr>
        <w:t>Supporting Statement</w:t>
      </w:r>
    </w:p>
    <w:p w14:paraId="32E1ACF3" w14:textId="2F1C42DA" w:rsidR="00B12EA3" w:rsidRPr="00E90840" w:rsidRDefault="00F734ED" w:rsidP="00F95454">
      <w:pPr>
        <w:pStyle w:val="NoSpacing"/>
        <w:spacing w:before="120" w:after="120"/>
        <w:mirrorIndents/>
        <w:rPr>
          <w:b/>
        </w:rPr>
      </w:pPr>
      <w:r w:rsidRPr="00F734ED">
        <w:rPr>
          <w:b/>
        </w:rPr>
        <w:t xml:space="preserve">A. </w:t>
      </w:r>
      <w:r w:rsidRPr="00F734ED">
        <w:rPr>
          <w:b/>
          <w:u w:val="single"/>
        </w:rPr>
        <w:t>Justification</w:t>
      </w:r>
    </w:p>
    <w:p w14:paraId="16B4B2A2" w14:textId="21511C47" w:rsidR="00B12EA3" w:rsidRDefault="00B12EA3" w:rsidP="00F95454">
      <w:pPr>
        <w:pStyle w:val="Heading1"/>
        <w:spacing w:before="120" w:after="120"/>
        <w:mirrorIndents/>
      </w:pPr>
      <w:bookmarkStart w:id="1" w:name="_Toc448296072"/>
      <w:r w:rsidRPr="00B12EA3">
        <w:t>Circumstances Making the Collection of Information Necessary</w:t>
      </w:r>
      <w:bookmarkEnd w:id="1"/>
    </w:p>
    <w:p w14:paraId="5F472E7A" w14:textId="01E4B500" w:rsidR="00067E1B" w:rsidRPr="009A38A1" w:rsidRDefault="00067E1B" w:rsidP="009636FA">
      <w:pPr>
        <w:widowControl w:val="0"/>
        <w:spacing w:before="120" w:after="120"/>
        <w:mirrorIndents/>
        <w:rPr>
          <w:b/>
        </w:rPr>
      </w:pPr>
      <w:r w:rsidRPr="00067E1B">
        <w:t>The Centers for Disease Control and Prevention’s</w:t>
      </w:r>
      <w:r w:rsidR="00F94AE4">
        <w:t xml:space="preserve"> (CDC)</w:t>
      </w:r>
      <w:r w:rsidRPr="00067E1B">
        <w:t xml:space="preserve"> Division of HIV/AIDS Prevention, (DHA</w:t>
      </w:r>
      <w:r w:rsidR="00F15707">
        <w:t>P) requests OMB approval for a qualitative</w:t>
      </w:r>
      <w:r w:rsidR="00F94AE4">
        <w:t xml:space="preserve"> extramural</w:t>
      </w:r>
      <w:r w:rsidRPr="00067E1B">
        <w:t xml:space="preserve"> research study entitled, “</w:t>
      </w:r>
      <w:r w:rsidR="00EE683F">
        <w:t>Factors that Infl</w:t>
      </w:r>
      <w:r w:rsidR="00424B0A">
        <w:t>ue</w:t>
      </w:r>
      <w:r w:rsidR="00EE683F">
        <w:t>nce Use</w:t>
      </w:r>
      <w:r w:rsidR="00013FAA" w:rsidRPr="00013FAA">
        <w:t xml:space="preserve"> of HIV Prevention and Treatment Services among Young Men of Color who Have Sex with Men (YMSM of Color) and Young Transgender Persons of Color (YTG of Color) Living in the Deep South</w:t>
      </w:r>
      <w:r w:rsidRPr="00067E1B">
        <w:t xml:space="preserve">” under </w:t>
      </w:r>
      <w:r w:rsidR="00BF4C06">
        <w:t>the Using Qualitative Methods to Understand Issues in HIV Prevention, Care and Treatment in the United States</w:t>
      </w:r>
      <w:r w:rsidRPr="00067E1B">
        <w:t xml:space="preserve"> Generic Clearance (OMB #0920-</w:t>
      </w:r>
      <w:r w:rsidR="00F15707">
        <w:t>1091</w:t>
      </w:r>
      <w:r w:rsidRPr="00067E1B">
        <w:t xml:space="preserve">, expires </w:t>
      </w:r>
      <w:r w:rsidR="00EE683F">
        <w:t>09</w:t>
      </w:r>
      <w:r w:rsidR="00F15707">
        <w:t>/</w:t>
      </w:r>
      <w:r>
        <w:t>3</w:t>
      </w:r>
      <w:r w:rsidR="00EE683F">
        <w:t>0</w:t>
      </w:r>
      <w:r w:rsidR="00F15707">
        <w:t>/20</w:t>
      </w:r>
      <w:r w:rsidR="00EE683F">
        <w:t>21</w:t>
      </w:r>
      <w:r w:rsidR="00AA0B72">
        <w:t>)</w:t>
      </w:r>
      <w:r w:rsidRPr="00067E1B">
        <w:t>.</w:t>
      </w:r>
      <w:r w:rsidR="00F94AE4">
        <w:t xml:space="preserve"> </w:t>
      </w:r>
      <w:r w:rsidR="007325ED">
        <w:t>CDC sponsor</w:t>
      </w:r>
      <w:r w:rsidR="00EE683F">
        <w:t>s</w:t>
      </w:r>
      <w:r w:rsidR="007325ED">
        <w:t xml:space="preserve"> this </w:t>
      </w:r>
      <w:r w:rsidR="006E2395">
        <w:t xml:space="preserve">current </w:t>
      </w:r>
      <w:r w:rsidR="00582903">
        <w:t>data collection activity</w:t>
      </w:r>
      <w:r w:rsidR="005E6F8D">
        <w:t>.</w:t>
      </w:r>
      <w:r w:rsidR="00582903">
        <w:t xml:space="preserve"> </w:t>
      </w:r>
      <w:r w:rsidR="005E6F8D">
        <w:t>D</w:t>
      </w:r>
      <w:r w:rsidR="007325ED">
        <w:t xml:space="preserve">ata collection will be carried out by </w:t>
      </w:r>
      <w:r w:rsidR="00582903">
        <w:t xml:space="preserve">the CDC’s </w:t>
      </w:r>
      <w:r w:rsidR="007325ED">
        <w:t>contractor, Research Support Services</w:t>
      </w:r>
      <w:r w:rsidR="00582903">
        <w:t>, in conjunction with its subcontracting partners</w:t>
      </w:r>
      <w:r w:rsidR="007325ED">
        <w:t xml:space="preserve">. </w:t>
      </w:r>
    </w:p>
    <w:p w14:paraId="3B12ACAF" w14:textId="5449ED8F" w:rsidR="0013020F" w:rsidRDefault="0013020F" w:rsidP="0013020F">
      <w:pPr>
        <w:rPr>
          <w:color w:val="000000" w:themeColor="text1"/>
        </w:rPr>
      </w:pPr>
      <w:bookmarkStart w:id="2" w:name="_Toc448296073"/>
      <w:r>
        <w:rPr>
          <w:color w:val="000000"/>
          <w:shd w:val="clear" w:color="auto" w:fill="FFFFFF"/>
        </w:rPr>
        <w:t>A</w:t>
      </w:r>
      <w:r w:rsidRPr="00F02545">
        <w:rPr>
          <w:color w:val="000000"/>
          <w:shd w:val="clear" w:color="auto" w:fill="FFFFFF"/>
        </w:rPr>
        <w:t>n estimated 1.1 million persons aged 13 and older were living with HIV infection in the United States at the end of 2015, including an estimated 162,500 (15%) persons whose infections had not been diagnosed.</w:t>
      </w:r>
      <w:r>
        <w:rPr>
          <w:rStyle w:val="EndnoteReference"/>
          <w:color w:val="000000"/>
          <w:shd w:val="clear" w:color="auto" w:fill="FFFFFF"/>
        </w:rPr>
        <w:endnoteReference w:id="1"/>
      </w:r>
      <w:r>
        <w:t xml:space="preserve"> The southern U.S. in particular accounted for 45% of all people living with an HIV diagnosis and half of all new diagnoses in the U.S. in 2016, despite the South making up only one third (38%) of the U.S. population.</w:t>
      </w:r>
      <w:r>
        <w:rPr>
          <w:rStyle w:val="EndnoteReference"/>
        </w:rPr>
        <w:endnoteReference w:id="2"/>
      </w:r>
      <w:r>
        <w:t xml:space="preserve"> T</w:t>
      </w:r>
      <w:r w:rsidRPr="00B3407A">
        <w:t xml:space="preserve">he </w:t>
      </w:r>
      <w:r>
        <w:t>“</w:t>
      </w:r>
      <w:r w:rsidRPr="00B3407A">
        <w:t>Deep South</w:t>
      </w:r>
      <w:r>
        <w:t xml:space="preserve">”, defined as </w:t>
      </w:r>
      <w:r w:rsidRPr="00B3407A">
        <w:t>Alabama, Florida, Georgia, Louisiana, Mississippi, North Carolina, Sout</w:t>
      </w:r>
      <w:r>
        <w:t>h Carolina, Tennessee and Texas, accounted for</w:t>
      </w:r>
      <w:r w:rsidRPr="00B3407A">
        <w:t xml:space="preserve"> 40% of new diagnoses and </w:t>
      </w:r>
      <w:r>
        <w:t>a significant proportion (</w:t>
      </w:r>
      <w:r w:rsidRPr="00B3407A">
        <w:t>34%</w:t>
      </w:r>
      <w:r>
        <w:t>)</w:t>
      </w:r>
      <w:r w:rsidRPr="00B3407A">
        <w:t xml:space="preserve"> of all persons living with HIV in the U.S</w:t>
      </w:r>
      <w:r>
        <w:t>.</w:t>
      </w:r>
      <w:r>
        <w:rPr>
          <w:rStyle w:val="EndnoteReference"/>
        </w:rPr>
        <w:endnoteReference w:id="3"/>
      </w:r>
      <w:r>
        <w:rPr>
          <w:vertAlign w:val="superscript"/>
        </w:rPr>
        <w:t>,</w:t>
      </w:r>
      <w:r>
        <w:rPr>
          <w:rStyle w:val="EndnoteReference"/>
        </w:rPr>
        <w:endnoteReference w:id="4"/>
      </w:r>
      <w:r>
        <w:t xml:space="preserve"> In just five years (2008-2013), the Deep South also had 21,308 HIV-related deaths, with a corresponding increase in new HIV diagnoses for 109,019 cases reported in the same time period.</w:t>
      </w:r>
    </w:p>
    <w:p w14:paraId="3E10971D" w14:textId="77777777" w:rsidR="0013020F" w:rsidRDefault="0013020F" w:rsidP="0013020F">
      <w:pPr>
        <w:rPr>
          <w:color w:val="000000" w:themeColor="text1"/>
        </w:rPr>
      </w:pPr>
    </w:p>
    <w:p w14:paraId="627C2341" w14:textId="49BB98F9" w:rsidR="00552FDF" w:rsidRDefault="0013020F" w:rsidP="0013020F">
      <w:r>
        <w:rPr>
          <w:szCs w:val="20"/>
        </w:rPr>
        <w:t>Th</w:t>
      </w:r>
      <w:r w:rsidRPr="00614C97">
        <w:rPr>
          <w:color w:val="000000" w:themeColor="text1"/>
        </w:rPr>
        <w:t>e burden of HIV infe</w:t>
      </w:r>
      <w:r w:rsidR="00552FDF">
        <w:rPr>
          <w:color w:val="000000" w:themeColor="text1"/>
        </w:rPr>
        <w:t xml:space="preserve">ction </w:t>
      </w:r>
      <w:r w:rsidRPr="00614C97">
        <w:rPr>
          <w:color w:val="000000" w:themeColor="text1"/>
        </w:rPr>
        <w:t>is dispropor</w:t>
      </w:r>
      <w:r w:rsidR="00552FDF">
        <w:rPr>
          <w:color w:val="000000" w:themeColor="text1"/>
        </w:rPr>
        <w:t xml:space="preserve">tionately higher among some </w:t>
      </w:r>
      <w:r w:rsidRPr="00614C97">
        <w:rPr>
          <w:color w:val="000000" w:themeColor="text1"/>
        </w:rPr>
        <w:t>groups</w:t>
      </w:r>
      <w:r w:rsidR="00BC004B">
        <w:rPr>
          <w:color w:val="000000" w:themeColor="text1"/>
        </w:rPr>
        <w:t xml:space="preserve"> in the United States</w:t>
      </w:r>
      <w:r w:rsidR="00552FDF">
        <w:rPr>
          <w:color w:val="000000" w:themeColor="text1"/>
        </w:rPr>
        <w:t>,</w:t>
      </w:r>
      <w:r w:rsidRPr="00614C97">
        <w:rPr>
          <w:color w:val="000000" w:themeColor="text1"/>
        </w:rPr>
        <w:t xml:space="preserve"> such as men who have sex with men (MSM) and racial and ethnic minorities.</w:t>
      </w:r>
      <w:r>
        <w:rPr>
          <w:rStyle w:val="EndnoteReference"/>
        </w:rPr>
        <w:endnoteReference w:id="5"/>
      </w:r>
      <w:r w:rsidR="00552FDF">
        <w:rPr>
          <w:color w:val="000000" w:themeColor="text1"/>
        </w:rPr>
        <w:t xml:space="preserve"> </w:t>
      </w:r>
      <w:r w:rsidRPr="003476D5">
        <w:t>Data show diagnoses among young men who have sex with men (YMSM) of color remain high,</w:t>
      </w:r>
      <w:r>
        <w:t xml:space="preserve"> especially among b</w:t>
      </w:r>
      <w:r w:rsidRPr="003476D5">
        <w:t>lack/African American and Hispanic/Latino YMSM.</w:t>
      </w:r>
      <w:r w:rsidRPr="003476D5">
        <w:rPr>
          <w:vertAlign w:val="superscript"/>
        </w:rPr>
        <w:t>2</w:t>
      </w:r>
      <w:r>
        <w:rPr>
          <w:vertAlign w:val="superscript"/>
        </w:rPr>
        <w:t xml:space="preserve"> </w:t>
      </w:r>
      <w:r>
        <w:t>Among newly diagnosed youth (age 13 – 24), 81% were from male-to-male sexual contact; 55% of these newly diagnosed cases were black/African American males and 24% were Hispanic/Latino males</w:t>
      </w:r>
      <w:r w:rsidRPr="00DC1F0F">
        <w:t>.</w:t>
      </w:r>
      <w:r w:rsidRPr="00DC1F0F">
        <w:rPr>
          <w:rStyle w:val="EndnoteReference"/>
        </w:rPr>
        <w:endnoteReference w:id="6"/>
      </w:r>
      <w:r w:rsidRPr="00DC1F0F">
        <w:t xml:space="preserve"> </w:t>
      </w:r>
      <w:r>
        <w:t xml:space="preserve">Although </w:t>
      </w:r>
      <w:r w:rsidRPr="00614C97">
        <w:t>data for transgender people are not uniformly collected</w:t>
      </w:r>
      <w:r>
        <w:t xml:space="preserve"> and </w:t>
      </w:r>
      <w:r w:rsidRPr="00614C97">
        <w:t>information is lacking on the number or proportion of transgender people in the United States who are infected with HIV, a recent meta-analysis of individual studies estimated that 25% of young transgender women are living with HIV.</w:t>
      </w:r>
      <w:r>
        <w:rPr>
          <w:rStyle w:val="EndnoteReference"/>
        </w:rPr>
        <w:endnoteReference w:id="7"/>
      </w:r>
      <w:r w:rsidRPr="00614C97">
        <w:t xml:space="preserve"> Transgender youth</w:t>
      </w:r>
      <w:r>
        <w:t xml:space="preserve"> (YTG)</w:t>
      </w:r>
      <w:r w:rsidRPr="00614C97">
        <w:t xml:space="preserve"> face numerous HIV prevention challenges</w:t>
      </w:r>
      <w:r>
        <w:t>,</w:t>
      </w:r>
      <w:r w:rsidRPr="00614C97">
        <w:t xml:space="preserve"> which include drug and alcohol use, mental health disorders, homelessness, unemployment, discrimination, violence, victimization, limited housing opportunities, and negative experiences with health care </w:t>
      </w:r>
      <w:r w:rsidR="00DF3B92">
        <w:t>providers and settings</w:t>
      </w:r>
      <w:r w:rsidRPr="00614C97">
        <w:t>.</w:t>
      </w:r>
      <w:r>
        <w:rPr>
          <w:rStyle w:val="EndnoteReference"/>
        </w:rPr>
        <w:endnoteReference w:id="8"/>
      </w:r>
      <w:r w:rsidRPr="00614C97">
        <w:t xml:space="preserve"> Together, these increase the likelihood of poor HIV prevention service utilization and poor HIV treatment outcomes.</w:t>
      </w:r>
      <w:r w:rsidR="00552FDF">
        <w:t xml:space="preserve"> </w:t>
      </w:r>
    </w:p>
    <w:p w14:paraId="1149D5C5" w14:textId="77777777" w:rsidR="00552FDF" w:rsidRDefault="00552FDF" w:rsidP="0013020F"/>
    <w:p w14:paraId="545B3452" w14:textId="45CE5328" w:rsidR="00552FDF" w:rsidRDefault="00417F9E" w:rsidP="00552FDF">
      <w:r>
        <w:t>Prior studies suggest that s</w:t>
      </w:r>
      <w:r w:rsidR="00552FDF" w:rsidRPr="009F0175">
        <w:t>tigma, discrimination</w:t>
      </w:r>
      <w:r w:rsidR="00552FDF" w:rsidRPr="00614C97">
        <w:t xml:space="preserve">, </w:t>
      </w:r>
      <w:r w:rsidR="00552FDF" w:rsidRPr="007C0C6C">
        <w:t>higher levels of sexually transmitted infections, racial inequality and b</w:t>
      </w:r>
      <w:r w:rsidR="00552FDF">
        <w:t xml:space="preserve">ias, legal impediments for sexual minorities, cultural issues, a lack of qualified </w:t>
      </w:r>
      <w:r w:rsidR="00552FDF" w:rsidRPr="000F4C64">
        <w:t>medical care providers</w:t>
      </w:r>
      <w:r w:rsidR="00552FDF">
        <w:t>,</w:t>
      </w:r>
      <w:r w:rsidR="00552FDF" w:rsidRPr="000F4C64">
        <w:t xml:space="preserve"> </w:t>
      </w:r>
      <w:r w:rsidR="00552FDF" w:rsidRPr="00614C97">
        <w:t>poverty</w:t>
      </w:r>
      <w:r w:rsidR="00552FDF">
        <w:t>, and other financial barriers</w:t>
      </w:r>
      <w:r w:rsidR="00552FDF" w:rsidRPr="00614C97">
        <w:t xml:space="preserve"> may prevent </w:t>
      </w:r>
      <w:r w:rsidR="00F64CC0">
        <w:t>YMSM and YTG</w:t>
      </w:r>
      <w:r w:rsidR="00552FDF" w:rsidRPr="00614C97">
        <w:t xml:space="preserve"> youth </w:t>
      </w:r>
      <w:r w:rsidR="00552FDF">
        <w:t xml:space="preserve">in the South </w:t>
      </w:r>
      <w:r w:rsidR="00552FDF" w:rsidRPr="00614C97">
        <w:t>from accessing HIV testing and prevention services</w:t>
      </w:r>
      <w:r w:rsidR="00F64CC0">
        <w:t>,</w:t>
      </w:r>
      <w:r w:rsidR="00552FDF" w:rsidRPr="00614C97">
        <w:t xml:space="preserve"> as well as HIV care and treatment</w:t>
      </w:r>
      <w:r w:rsidR="00F64CC0">
        <w:t xml:space="preserve"> for those living with HIV infection</w:t>
      </w:r>
      <w:r w:rsidR="00552FDF" w:rsidRPr="00614C97">
        <w:t>.</w:t>
      </w:r>
      <w:r w:rsidR="00552FDF">
        <w:rPr>
          <w:rStyle w:val="EndnoteReference"/>
        </w:rPr>
        <w:endnoteReference w:id="9"/>
      </w:r>
      <w:r w:rsidR="00552FDF">
        <w:rPr>
          <w:vertAlign w:val="superscript"/>
        </w:rPr>
        <w:t>,</w:t>
      </w:r>
      <w:r w:rsidR="00552FDF">
        <w:rPr>
          <w:rStyle w:val="EndnoteReference"/>
        </w:rPr>
        <w:endnoteReference w:id="10"/>
      </w:r>
      <w:r w:rsidR="00552FDF">
        <w:rPr>
          <w:vertAlign w:val="superscript"/>
        </w:rPr>
        <w:t>,</w:t>
      </w:r>
      <w:r w:rsidR="00552FDF">
        <w:rPr>
          <w:rStyle w:val="EndnoteReference"/>
        </w:rPr>
        <w:endnoteReference w:id="11"/>
      </w:r>
      <w:r w:rsidR="00552FDF" w:rsidRPr="00614C97">
        <w:t xml:space="preserve"> </w:t>
      </w:r>
      <w:r w:rsidR="00552FDF">
        <w:t xml:space="preserve">In 2015, youth </w:t>
      </w:r>
      <w:r>
        <w:t xml:space="preserve">living with HIV infections </w:t>
      </w:r>
      <w:r w:rsidR="00552FDF">
        <w:t>had the lowest percentage of persons linked to HIV medical care within one and three months following diagnosis of any age group; they were also the age group with the lowest percentage of viral suppression at the end of 2014</w:t>
      </w:r>
      <w:r w:rsidR="00552FDF" w:rsidRPr="001F16B1">
        <w:t>.</w:t>
      </w:r>
      <w:r w:rsidR="00552FDF" w:rsidRPr="001F16B1">
        <w:rPr>
          <w:rStyle w:val="EndnoteReference"/>
        </w:rPr>
        <w:endnoteReference w:id="12"/>
      </w:r>
      <w:r w:rsidR="00552FDF" w:rsidRPr="00614C97">
        <w:t xml:space="preserve"> </w:t>
      </w:r>
    </w:p>
    <w:p w14:paraId="7B3B4D47" w14:textId="77777777" w:rsidR="00552FDF" w:rsidRDefault="00552FDF" w:rsidP="0013020F"/>
    <w:p w14:paraId="684A4831" w14:textId="6C772A77" w:rsidR="00552FDF" w:rsidRPr="00A27092" w:rsidRDefault="00552FDF" w:rsidP="0013020F">
      <w:r>
        <w:t xml:space="preserve">Community-based organizations often play critical roles in assisting YMSM and YTG of color who otherwise would have few </w:t>
      </w:r>
      <w:r w:rsidR="00C202D5">
        <w:t xml:space="preserve">other </w:t>
      </w:r>
      <w:r>
        <w:t xml:space="preserve">options for obtaining HIV prevention, care, and treatment services. It therefore is essential to understand factors that influence the success of YMSM and YTG </w:t>
      </w:r>
      <w:r w:rsidR="00C202D5">
        <w:t xml:space="preserve">of color </w:t>
      </w:r>
      <w:r>
        <w:t>in accessing and using CBOs in their communities.</w:t>
      </w:r>
    </w:p>
    <w:p w14:paraId="396FECDC" w14:textId="4A92CA96" w:rsidR="00242BC8" w:rsidRDefault="003A6A6C" w:rsidP="009636FA">
      <w:pPr>
        <w:pStyle w:val="Normal1"/>
        <w:spacing w:before="120" w:after="120"/>
      </w:pPr>
      <w:r w:rsidRPr="009636FA">
        <w:t xml:space="preserve">This project will conduct case studies of </w:t>
      </w:r>
      <w:r w:rsidR="00013FAA">
        <w:t xml:space="preserve">community-based organizations (CBOs) </w:t>
      </w:r>
      <w:r w:rsidR="00ED14C4">
        <w:t>that</w:t>
      </w:r>
      <w:r w:rsidR="00013FAA">
        <w:t xml:space="preserve"> provide HIV prevention, care, and treatment services to clients who are black/African American and Hispanic/Latino YMSM</w:t>
      </w:r>
      <w:r w:rsidR="00ED14C4">
        <w:t xml:space="preserve"> and </w:t>
      </w:r>
      <w:r w:rsidR="00013FAA">
        <w:t xml:space="preserve">YTG. </w:t>
      </w:r>
      <w:r w:rsidR="00ED14C4">
        <w:t xml:space="preserve">For our study purposes, we especially are interested in </w:t>
      </w:r>
      <w:r w:rsidR="00FC0162">
        <w:t xml:space="preserve">CBOs that </w:t>
      </w:r>
      <w:r w:rsidR="00ED14C4">
        <w:t>provide</w:t>
      </w:r>
      <w:r w:rsidR="00FC0162">
        <w:t xml:space="preserve"> services</w:t>
      </w:r>
      <w:r w:rsidR="00ED14C4">
        <w:t xml:space="preserve"> to YMSM and YTG of color aged 18-24 years. </w:t>
      </w:r>
      <w:r w:rsidR="00013FAA">
        <w:t xml:space="preserve">This study </w:t>
      </w:r>
      <w:r w:rsidR="00ED14C4">
        <w:t xml:space="preserve">will </w:t>
      </w:r>
      <w:r w:rsidR="00013FAA" w:rsidRPr="00FB7AA8">
        <w:t xml:space="preserve">identify </w:t>
      </w:r>
      <w:r w:rsidR="00FC0162">
        <w:t>factors that influence how</w:t>
      </w:r>
      <w:r w:rsidR="00D63688">
        <w:t xml:space="preserve"> </w:t>
      </w:r>
      <w:r w:rsidR="00013FAA">
        <w:t xml:space="preserve">clients access and use HIV prevention, care, and treatment services offered at </w:t>
      </w:r>
      <w:r w:rsidR="00D63688">
        <w:t xml:space="preserve">CBOs </w:t>
      </w:r>
      <w:r w:rsidR="00013FAA">
        <w:t>located in Deep South states.</w:t>
      </w:r>
      <w:r w:rsidRPr="009636FA">
        <w:t xml:space="preserve"> </w:t>
      </w:r>
      <w:r w:rsidR="009636FA" w:rsidRPr="009636FA">
        <w:t>This study</w:t>
      </w:r>
      <w:r w:rsidRPr="009636FA">
        <w:t xml:space="preserve"> will yield </w:t>
      </w:r>
      <w:r w:rsidR="00013FAA">
        <w:t xml:space="preserve">a </w:t>
      </w:r>
      <w:r w:rsidRPr="009636FA">
        <w:t xml:space="preserve">report that </w:t>
      </w:r>
      <w:r w:rsidR="00013FAA">
        <w:t>summarizes factors that influence the success of CBOs in providing HIV services to their clients</w:t>
      </w:r>
      <w:r w:rsidRPr="009636FA">
        <w:t>.</w:t>
      </w:r>
      <w:r w:rsidR="009636FA">
        <w:t xml:space="preserve"> </w:t>
      </w:r>
      <w:r w:rsidRPr="009636FA">
        <w:rPr>
          <w:rFonts w:eastAsia="Calibri"/>
        </w:rPr>
        <w:t xml:space="preserve">By learning from the experiences of </w:t>
      </w:r>
      <w:r w:rsidR="00CE4936">
        <w:rPr>
          <w:rFonts w:eastAsia="Calibri"/>
        </w:rPr>
        <w:t xml:space="preserve">CBO clients and </w:t>
      </w:r>
      <w:r w:rsidRPr="009636FA">
        <w:rPr>
          <w:rFonts w:eastAsia="Calibri"/>
        </w:rPr>
        <w:t xml:space="preserve">staff running </w:t>
      </w:r>
      <w:r w:rsidR="00013FAA">
        <w:rPr>
          <w:rFonts w:eastAsia="Calibri"/>
        </w:rPr>
        <w:t xml:space="preserve">CBO </w:t>
      </w:r>
      <w:r w:rsidRPr="009636FA">
        <w:rPr>
          <w:rFonts w:eastAsia="Calibri"/>
        </w:rPr>
        <w:t>programs, t</w:t>
      </w:r>
      <w:r w:rsidRPr="009636FA">
        <w:rPr>
          <w:rFonts w:eastAsia="Calibri"/>
          <w:bCs/>
        </w:rPr>
        <w:t>he proposed study will offer</w:t>
      </w:r>
      <w:r w:rsidRPr="009636FA">
        <w:t xml:space="preserve"> </w:t>
      </w:r>
      <w:r w:rsidRPr="009636FA">
        <w:rPr>
          <w:rFonts w:eastAsia="Calibri"/>
          <w:bCs/>
        </w:rPr>
        <w:t xml:space="preserve">a unique perspective on how </w:t>
      </w:r>
      <w:r w:rsidR="00013FAA">
        <w:rPr>
          <w:rFonts w:eastAsia="Calibri"/>
          <w:bCs/>
        </w:rPr>
        <w:t>CBO</w:t>
      </w:r>
      <w:r w:rsidRPr="009636FA">
        <w:rPr>
          <w:rFonts w:eastAsia="Calibri"/>
          <w:bCs/>
        </w:rPr>
        <w:t xml:space="preserve"> programs function and the impact they have on </w:t>
      </w:r>
      <w:r w:rsidR="00D63688">
        <w:rPr>
          <w:rFonts w:eastAsia="Calibri"/>
          <w:bCs/>
        </w:rPr>
        <w:t xml:space="preserve">their </w:t>
      </w:r>
      <w:r w:rsidRPr="009636FA">
        <w:rPr>
          <w:rFonts w:eastAsia="Calibri"/>
          <w:bCs/>
        </w:rPr>
        <w:t xml:space="preserve">client’s lives. </w:t>
      </w:r>
      <w:r w:rsidR="00ED14C4">
        <w:t xml:space="preserve">We anticipate the findings from this study will be of practical use when creating new </w:t>
      </w:r>
      <w:r w:rsidR="00F64E04">
        <w:t>CBO services</w:t>
      </w:r>
      <w:r w:rsidR="00ED14C4">
        <w:t xml:space="preserve"> or when strengthening existing </w:t>
      </w:r>
      <w:r w:rsidR="00F64E04">
        <w:t>services</w:t>
      </w:r>
      <w:r w:rsidR="00ED14C4">
        <w:t xml:space="preserve">. </w:t>
      </w:r>
    </w:p>
    <w:p w14:paraId="182A465C" w14:textId="56C0C8D4" w:rsidR="003A6A6C" w:rsidRDefault="003A6A6C" w:rsidP="009636FA">
      <w:pPr>
        <w:pStyle w:val="Normal1"/>
        <w:spacing w:before="120" w:after="120"/>
      </w:pPr>
      <w:r w:rsidRPr="009636FA">
        <w:rPr>
          <w:rFonts w:eastAsia="Calibri"/>
          <w:bCs/>
        </w:rPr>
        <w:t xml:space="preserve">The results </w:t>
      </w:r>
      <w:r w:rsidR="00242BC8">
        <w:rPr>
          <w:rFonts w:eastAsia="Calibri"/>
          <w:bCs/>
        </w:rPr>
        <w:t xml:space="preserve">of this proposed study therefore </w:t>
      </w:r>
      <w:r w:rsidRPr="009636FA">
        <w:rPr>
          <w:rFonts w:eastAsia="Calibri"/>
          <w:bCs/>
        </w:rPr>
        <w:t xml:space="preserve">will help </w:t>
      </w:r>
      <w:r w:rsidR="00D63688">
        <w:rPr>
          <w:rFonts w:eastAsia="Calibri"/>
          <w:bCs/>
        </w:rPr>
        <w:t xml:space="preserve">CBOs </w:t>
      </w:r>
      <w:r w:rsidR="00ED14C4">
        <w:rPr>
          <w:rFonts w:eastAsia="Calibri"/>
          <w:bCs/>
        </w:rPr>
        <w:t>further improve</w:t>
      </w:r>
      <w:r w:rsidRPr="009636FA">
        <w:rPr>
          <w:rFonts w:eastAsia="Calibri"/>
          <w:bCs/>
        </w:rPr>
        <w:t xml:space="preserve"> </w:t>
      </w:r>
      <w:r w:rsidR="00D63688">
        <w:rPr>
          <w:rFonts w:eastAsia="Calibri"/>
          <w:bCs/>
        </w:rPr>
        <w:t xml:space="preserve">their </w:t>
      </w:r>
      <w:r w:rsidR="00242BC8">
        <w:rPr>
          <w:rFonts w:eastAsia="Calibri"/>
          <w:bCs/>
        </w:rPr>
        <w:t xml:space="preserve">assistance to </w:t>
      </w:r>
      <w:r w:rsidR="00D63688">
        <w:rPr>
          <w:rFonts w:eastAsia="Calibri"/>
          <w:bCs/>
        </w:rPr>
        <w:t xml:space="preserve">YMSM and YTG groups </w:t>
      </w:r>
      <w:r w:rsidRPr="009636FA">
        <w:rPr>
          <w:rFonts w:eastAsia="Calibri"/>
          <w:bCs/>
        </w:rPr>
        <w:t>who historically have had difficulties obtaining HIV</w:t>
      </w:r>
      <w:r w:rsidR="00D63688">
        <w:rPr>
          <w:rFonts w:eastAsia="Calibri"/>
          <w:bCs/>
        </w:rPr>
        <w:t xml:space="preserve"> prevention, care, and treatment</w:t>
      </w:r>
      <w:r w:rsidR="00242BC8">
        <w:rPr>
          <w:rFonts w:eastAsia="Calibri"/>
          <w:bCs/>
        </w:rPr>
        <w:t xml:space="preserve"> services</w:t>
      </w:r>
      <w:r w:rsidRPr="009636FA">
        <w:rPr>
          <w:rFonts w:eastAsia="Calibri"/>
          <w:bCs/>
        </w:rPr>
        <w:t>.</w:t>
      </w:r>
    </w:p>
    <w:p w14:paraId="62E24C59" w14:textId="33B2AEE3" w:rsidR="0082377F" w:rsidRDefault="0082377F" w:rsidP="009636FA">
      <w:pPr>
        <w:pStyle w:val="Normal1"/>
        <w:spacing w:before="120" w:after="120"/>
        <w:mirrorIndents/>
      </w:pPr>
    </w:p>
    <w:p w14:paraId="24BFF15F" w14:textId="152EED82" w:rsidR="00CC6AB1" w:rsidRDefault="00CC6AB1" w:rsidP="00F95454">
      <w:pPr>
        <w:pStyle w:val="Heading1"/>
        <w:spacing w:before="120" w:after="120"/>
        <w:mirrorIndents/>
      </w:pPr>
      <w:r w:rsidRPr="00B12EA3">
        <w:t>Purpose and Use of the Information Collection</w:t>
      </w:r>
      <w:bookmarkEnd w:id="2"/>
    </w:p>
    <w:p w14:paraId="56A921A4" w14:textId="77777777" w:rsidR="008A16FB" w:rsidRDefault="0082377F" w:rsidP="008A16FB">
      <w:pPr>
        <w:pStyle w:val="Normal1"/>
        <w:spacing w:before="120" w:after="120"/>
      </w:pPr>
      <w:r w:rsidRPr="00624CE1">
        <w:t>The purpose of th</w:t>
      </w:r>
      <w:r w:rsidR="00F64CC0">
        <w:t xml:space="preserve">is information collection is to </w:t>
      </w:r>
      <w:r w:rsidR="00F64CC0" w:rsidRPr="00FB7AA8">
        <w:t xml:space="preserve">identify </w:t>
      </w:r>
      <w:r w:rsidR="00F64CC0">
        <w:t>factors that influence how clients access and use HIV prevention, care, and treatment services offered at CBOs located in Deep South states. Specifically, this study focuses on CBO clients who are black/African American and Hispanic/Latino young men who have sex with men (YMSM) and young transgender youth (YTG).</w:t>
      </w:r>
      <w:r w:rsidR="00B42992">
        <w:t xml:space="preserve"> The study will take place in four CBOs located in Miami/Ft. Lauderdale, F</w:t>
      </w:r>
      <w:r w:rsidR="00B42992" w:rsidRPr="00FB7AA8">
        <w:t>lorida</w:t>
      </w:r>
      <w:r w:rsidR="00B42992">
        <w:t>;</w:t>
      </w:r>
      <w:r w:rsidR="00B42992" w:rsidRPr="00FB7AA8">
        <w:t xml:space="preserve"> </w:t>
      </w:r>
      <w:r w:rsidR="00B42992">
        <w:t xml:space="preserve">Atlanta, Georgia; New Orleans/Baton Rouge, </w:t>
      </w:r>
      <w:r w:rsidR="00B42992" w:rsidRPr="00FB7AA8">
        <w:t>Louisiana</w:t>
      </w:r>
      <w:r w:rsidR="00B42992">
        <w:t>; and Columbia, South Carolina.</w:t>
      </w:r>
      <w:r w:rsidR="008A16FB">
        <w:t xml:space="preserve"> These four CBOs are funded by CDC’s existing PS17-1704 grant program to provide HIV prevention and care services to YMSM and YTG.</w:t>
      </w:r>
    </w:p>
    <w:p w14:paraId="30D1CDC2" w14:textId="7219EFDB" w:rsidR="0082377F" w:rsidRPr="00B42992" w:rsidRDefault="00B42992" w:rsidP="00B42992">
      <w:pPr>
        <w:pStyle w:val="NoSpacing"/>
        <w:spacing w:before="120" w:after="120"/>
        <w:mirrorIndents/>
        <w:rPr>
          <w:b/>
        </w:rPr>
      </w:pPr>
      <w:r>
        <w:t xml:space="preserve">Interview data will be gathered from a total of 156 persons. These include 144 black/African American and Hispanic/Latino YMSM and YTG, aged 18-24, </w:t>
      </w:r>
      <w:r w:rsidRPr="00FB7AA8">
        <w:t xml:space="preserve">who previously have received </w:t>
      </w:r>
      <w:r>
        <w:t xml:space="preserve">HIV prevention, care or treatment services from the four CBOs. In addition, we will gather interview data from 12 CBO staff involved with provision of services to YMSM and YTG clients. </w:t>
      </w:r>
    </w:p>
    <w:p w14:paraId="1F5A07F3" w14:textId="2080DC65" w:rsidR="001319BD" w:rsidRPr="003A6A6C" w:rsidRDefault="00582903" w:rsidP="00F95454">
      <w:pPr>
        <w:spacing w:before="120" w:after="120"/>
        <w:mirrorIndents/>
      </w:pPr>
      <w:r w:rsidRPr="0082377F">
        <w:t xml:space="preserve">The qualitative data collected through this study will be used to </w:t>
      </w:r>
      <w:r w:rsidR="003962DF">
        <w:t xml:space="preserve">write a </w:t>
      </w:r>
      <w:r w:rsidRPr="0082377F">
        <w:t>report</w:t>
      </w:r>
      <w:r w:rsidR="003962DF">
        <w:t xml:space="preserve"> that summarizes</w:t>
      </w:r>
      <w:r w:rsidRPr="0082377F">
        <w:t xml:space="preserve"> </w:t>
      </w:r>
      <w:r w:rsidR="003962DF">
        <w:t>factors that influence how black/African American and Hispanic/Latino YMSM and YTG clients access and use HIV prevention, care, and treatment services offered at their local CBOs</w:t>
      </w:r>
      <w:r w:rsidR="00D07179">
        <w:t xml:space="preserve"> in the Deep South</w:t>
      </w:r>
      <w:r w:rsidR="003962DF">
        <w:t>. These r</w:t>
      </w:r>
      <w:r w:rsidR="00AC05E8" w:rsidRPr="004B315D">
        <w:t xml:space="preserve">esults will be communicated to relevant community </w:t>
      </w:r>
      <w:r w:rsidR="003962DF">
        <w:t xml:space="preserve">public health </w:t>
      </w:r>
      <w:r w:rsidR="00BB3F53">
        <w:t xml:space="preserve">personnel </w:t>
      </w:r>
      <w:r w:rsidR="003962DF">
        <w:t>and CBO leaders</w:t>
      </w:r>
      <w:r w:rsidR="00AC05E8" w:rsidRPr="004B315D">
        <w:t xml:space="preserve"> in the study locations.</w:t>
      </w:r>
      <w:r w:rsidR="00BB3F53">
        <w:t xml:space="preserve"> These public health personnel and CBO leaders will be in a position to</w:t>
      </w:r>
      <w:r w:rsidR="00AC05E8" w:rsidRPr="004B315D">
        <w:t xml:space="preserve"> use the study results to further strengthen their local </w:t>
      </w:r>
      <w:r w:rsidR="00BB3F53">
        <w:t xml:space="preserve">HIV prevention, care, and treatment </w:t>
      </w:r>
      <w:r w:rsidR="00AC05E8">
        <w:t>programs</w:t>
      </w:r>
      <w:r w:rsidR="00AC05E8" w:rsidRPr="004B315D">
        <w:t xml:space="preserve"> </w:t>
      </w:r>
      <w:r w:rsidR="00BB3F53">
        <w:t xml:space="preserve">that assist YMSM and YTG </w:t>
      </w:r>
      <w:r w:rsidR="00AC05E8" w:rsidRPr="004B315D">
        <w:t>within their regions.</w:t>
      </w:r>
      <w:r w:rsidR="00AC05E8">
        <w:t xml:space="preserve">  </w:t>
      </w:r>
      <w:r w:rsidR="00C5536E" w:rsidRPr="00C5536E">
        <w:t>Study outcomes will be communicated to local stakeholders and CBO staff in positions to consider and implement site-specific improvements in their HIV prevention, care and treatment services. The results of this study are not intended to be generalized to the larger population. The results also will provide CDC an increased understanding of the factors that contribute to effective HIV prevention, care and treatment programs provided by CBOs in Deep South states.</w:t>
      </w:r>
      <w:r w:rsidR="00AC05E8">
        <w:t xml:space="preserve">The results also will </w:t>
      </w:r>
      <w:r w:rsidR="00AC05E8" w:rsidRPr="00FB7AA8">
        <w:t xml:space="preserve">provide CDC an increased understanding of the factors </w:t>
      </w:r>
      <w:r w:rsidR="00BB3F53">
        <w:t xml:space="preserve">that contribute to effective </w:t>
      </w:r>
      <w:r w:rsidR="00BB3F53" w:rsidRPr="007B2EBE">
        <w:t>HIV</w:t>
      </w:r>
      <w:r w:rsidR="00BB3F53">
        <w:t xml:space="preserve"> prevention, care and treatment p</w:t>
      </w:r>
      <w:r w:rsidR="00BB3F53" w:rsidRPr="00FB7AA8">
        <w:t>rograms</w:t>
      </w:r>
      <w:r w:rsidR="00BB3F53">
        <w:t xml:space="preserve"> provided by CBOs </w:t>
      </w:r>
      <w:r w:rsidR="00D84695">
        <w:rPr>
          <w:rFonts w:eastAsia="Calibri"/>
          <w:bCs/>
        </w:rPr>
        <w:t>in different geographic locations</w:t>
      </w:r>
      <w:r w:rsidR="00BB3F53">
        <w:rPr>
          <w:rFonts w:eastAsia="Calibri"/>
          <w:bCs/>
        </w:rPr>
        <w:t xml:space="preserve"> within Deep South states</w:t>
      </w:r>
      <w:r w:rsidR="001319BD">
        <w:rPr>
          <w:rFonts w:eastAsia="Calibri"/>
          <w:bCs/>
        </w:rPr>
        <w:t>.</w:t>
      </w:r>
      <w:r w:rsidR="00C5536E">
        <w:rPr>
          <w:rFonts w:eastAsia="Calibri"/>
          <w:bCs/>
        </w:rPr>
        <w:t xml:space="preserve"> Given the information gathered will be from specific regions and agencies, the results shared in the summary report will have limited generalizability. The results shared in the summary report will be </w:t>
      </w:r>
      <w:r w:rsidR="008004EF">
        <w:rPr>
          <w:rFonts w:eastAsia="Calibri"/>
          <w:bCs/>
        </w:rPr>
        <w:t xml:space="preserve">specific to the agencies. </w:t>
      </w:r>
    </w:p>
    <w:p w14:paraId="26CBB214" w14:textId="2D5C1BEA" w:rsidR="008D5F8D" w:rsidRDefault="00070D4D" w:rsidP="00F95454">
      <w:pPr>
        <w:spacing w:before="120" w:after="120"/>
        <w:mirrorIndents/>
      </w:pPr>
      <w:r>
        <w:t xml:space="preserve">The </w:t>
      </w:r>
      <w:r w:rsidR="007F4F7A">
        <w:t xml:space="preserve">12 </w:t>
      </w:r>
      <w:r w:rsidR="001319BD" w:rsidRPr="001319BD">
        <w:t>C</w:t>
      </w:r>
      <w:r w:rsidR="007F4F7A">
        <w:t>BO</w:t>
      </w:r>
      <w:r>
        <w:t xml:space="preserve"> </w:t>
      </w:r>
      <w:r w:rsidR="00D70265" w:rsidRPr="001319BD">
        <w:t>staff</w:t>
      </w:r>
      <w:r w:rsidR="001319BD" w:rsidRPr="001319BD">
        <w:t xml:space="preserve"> and </w:t>
      </w:r>
      <w:r w:rsidR="007F4F7A">
        <w:t xml:space="preserve">144 YMSM and YTG </w:t>
      </w:r>
      <w:r w:rsidR="008D5F8D">
        <w:t>clients</w:t>
      </w:r>
      <w:r w:rsidR="001319BD" w:rsidRPr="001319BD">
        <w:t xml:space="preserve"> </w:t>
      </w:r>
      <w:r w:rsidR="00ED75FB" w:rsidRPr="001319BD">
        <w:t>will be recruite</w:t>
      </w:r>
      <w:r w:rsidR="00240E62">
        <w:t>d for</w:t>
      </w:r>
      <w:r w:rsidR="00150BF0">
        <w:t xml:space="preserve"> in-depth interviews</w:t>
      </w:r>
      <w:r w:rsidR="00240E62">
        <w:t xml:space="preserve"> </w:t>
      </w:r>
      <w:r w:rsidR="00150BF0">
        <w:t>(</w:t>
      </w:r>
      <w:r w:rsidR="00240E62">
        <w:t>IDIs</w:t>
      </w:r>
      <w:r w:rsidR="00150BF0">
        <w:t>)</w:t>
      </w:r>
      <w:r w:rsidR="00240E62">
        <w:t xml:space="preserve"> </w:t>
      </w:r>
      <w:r w:rsidR="00ED75FB" w:rsidRPr="001319BD">
        <w:t xml:space="preserve">across all </w:t>
      </w:r>
      <w:r w:rsidR="00FE505B">
        <w:t xml:space="preserve">four </w:t>
      </w:r>
      <w:r w:rsidR="001319BD" w:rsidRPr="001319BD">
        <w:t>sites.</w:t>
      </w:r>
      <w:r>
        <w:t xml:space="preserve"> Contractor </w:t>
      </w:r>
      <w:r w:rsidR="00044340">
        <w:t xml:space="preserve">team members </w:t>
      </w:r>
      <w:r>
        <w:t>involved with this study</w:t>
      </w:r>
      <w:r w:rsidR="00F83380">
        <w:t xml:space="preserve"> will identify eligible </w:t>
      </w:r>
      <w:r w:rsidR="007F4F7A">
        <w:t>CBO</w:t>
      </w:r>
      <w:r w:rsidR="001319BD">
        <w:t xml:space="preserve"> </w:t>
      </w:r>
      <w:r w:rsidR="008D5F8D">
        <w:t>staff</w:t>
      </w:r>
      <w:r w:rsidR="001319BD">
        <w:t xml:space="preserve"> </w:t>
      </w:r>
      <w:r w:rsidR="00FD2FD5">
        <w:t xml:space="preserve">by examining lists </w:t>
      </w:r>
      <w:r w:rsidR="00D07179">
        <w:t xml:space="preserve">of </w:t>
      </w:r>
      <w:r w:rsidR="007F4F7A">
        <w:t>CBO</w:t>
      </w:r>
      <w:r w:rsidR="00FD2FD5">
        <w:t xml:space="preserve"> </w:t>
      </w:r>
      <w:r w:rsidR="001319BD">
        <w:t>personnel</w:t>
      </w:r>
      <w:r w:rsidR="00F83380">
        <w:t>.</w:t>
      </w:r>
      <w:r w:rsidR="001319BD" w:rsidRPr="003638C5">
        <w:rPr>
          <w:rStyle w:val="Normal1Char"/>
        </w:rPr>
        <w:t xml:space="preserve"> </w:t>
      </w:r>
      <w:r w:rsidR="00FE505B">
        <w:rPr>
          <w:rStyle w:val="Normal1Char"/>
        </w:rPr>
        <w:t>The</w:t>
      </w:r>
      <w:r>
        <w:rPr>
          <w:rStyle w:val="Normal1Char"/>
        </w:rPr>
        <w:t>se</w:t>
      </w:r>
      <w:r w:rsidR="00FE505B">
        <w:rPr>
          <w:rStyle w:val="Normal1Char"/>
        </w:rPr>
        <w:t xml:space="preserve"> </w:t>
      </w:r>
      <w:r>
        <w:rPr>
          <w:rStyle w:val="Normal1Char"/>
        </w:rPr>
        <w:t>12 CBO staff</w:t>
      </w:r>
      <w:r w:rsidR="00FE505B">
        <w:rPr>
          <w:rStyle w:val="Normal1Char"/>
        </w:rPr>
        <w:t xml:space="preserve"> will</w:t>
      </w:r>
      <w:r w:rsidR="00FD2FD5">
        <w:rPr>
          <w:rStyle w:val="Normal1Char"/>
        </w:rPr>
        <w:t xml:space="preserve"> </w:t>
      </w:r>
      <w:r w:rsidR="007F4F7A">
        <w:rPr>
          <w:rStyle w:val="Normal1Char"/>
        </w:rPr>
        <w:t xml:space="preserve">include </w:t>
      </w:r>
      <w:r>
        <w:rPr>
          <w:rStyle w:val="Normal1Char"/>
        </w:rPr>
        <w:t>individuals</w:t>
      </w:r>
      <w:r w:rsidR="007F4F7A">
        <w:rPr>
          <w:rStyle w:val="Normal1Char"/>
        </w:rPr>
        <w:t xml:space="preserve"> involved with provision of HIV prevention, care, or treatment</w:t>
      </w:r>
      <w:r w:rsidR="00974E01">
        <w:rPr>
          <w:rStyle w:val="Normal1Char"/>
        </w:rPr>
        <w:t>-</w:t>
      </w:r>
      <w:r w:rsidR="007F4F7A">
        <w:rPr>
          <w:rStyle w:val="Normal1Char"/>
        </w:rPr>
        <w:t xml:space="preserve">related services to their YMSM and YTG clients. </w:t>
      </w:r>
      <w:r w:rsidR="008D5F8D" w:rsidRPr="003638C5">
        <w:rPr>
          <w:rStyle w:val="Normal1Char"/>
        </w:rPr>
        <w:t>Once project clearances have been obtained, we</w:t>
      </w:r>
      <w:r w:rsidR="008D5F8D">
        <w:t xml:space="preserve"> will request name and contact information for all staff on the list, and will use that list to recruit</w:t>
      </w:r>
      <w:r w:rsidR="00FD2FD5">
        <w:t xml:space="preserve"> participants in</w:t>
      </w:r>
      <w:r>
        <w:t>to</w:t>
      </w:r>
      <w:r w:rsidR="00FD2FD5">
        <w:t xml:space="preserve"> the </w:t>
      </w:r>
      <w:r>
        <w:t xml:space="preserve">CBO </w:t>
      </w:r>
      <w:r w:rsidR="00FD2FD5">
        <w:t>staff sample</w:t>
      </w:r>
      <w:r w:rsidR="008D5F8D">
        <w:t>. Participation in</w:t>
      </w:r>
      <w:r w:rsidR="007F4F7A">
        <w:t xml:space="preserve"> this study will not impact CBO</w:t>
      </w:r>
      <w:r w:rsidR="008D5F8D">
        <w:t xml:space="preserve"> </w:t>
      </w:r>
      <w:r w:rsidR="00FE505B">
        <w:t xml:space="preserve">staff </w:t>
      </w:r>
      <w:r w:rsidR="008D5F8D">
        <w:t xml:space="preserve">job performance, and there is no requirement </w:t>
      </w:r>
      <w:r w:rsidR="00FE505B">
        <w:t xml:space="preserve">for </w:t>
      </w:r>
      <w:r>
        <w:t xml:space="preserve">the 12 </w:t>
      </w:r>
      <w:r w:rsidR="00FE505B">
        <w:t>staff</w:t>
      </w:r>
      <w:r>
        <w:t xml:space="preserve"> members</w:t>
      </w:r>
      <w:r w:rsidR="00FE505B">
        <w:t xml:space="preserve"> </w:t>
      </w:r>
      <w:r w:rsidR="008D5F8D">
        <w:t xml:space="preserve">to participate in this study as a function of </w:t>
      </w:r>
      <w:r w:rsidR="00FE505B">
        <w:t xml:space="preserve">their </w:t>
      </w:r>
      <w:r w:rsidR="008D5F8D">
        <w:t xml:space="preserve">job performance. </w:t>
      </w:r>
      <w:r w:rsidR="005E2979">
        <w:t xml:space="preserve">No screening tool is needed for </w:t>
      </w:r>
      <w:r w:rsidR="007F4F7A">
        <w:t xml:space="preserve">CBO </w:t>
      </w:r>
      <w:r w:rsidR="005E2979">
        <w:t xml:space="preserve">staff participants because they </w:t>
      </w:r>
      <w:r w:rsidR="00E50DA8">
        <w:t>will</w:t>
      </w:r>
      <w:r w:rsidR="005E2979">
        <w:t xml:space="preserve"> be purposively recruited based on the </w:t>
      </w:r>
      <w:r w:rsidR="00FE505B">
        <w:t xml:space="preserve">roles they play in </w:t>
      </w:r>
      <w:r w:rsidR="005E2979">
        <w:t xml:space="preserve">the </w:t>
      </w:r>
      <w:r w:rsidR="007F4F7A">
        <w:t>four CBOs</w:t>
      </w:r>
      <w:r w:rsidR="005E2979">
        <w:t>.</w:t>
      </w:r>
    </w:p>
    <w:p w14:paraId="69A352A2" w14:textId="687FD828" w:rsidR="00775675" w:rsidRDefault="001319BD" w:rsidP="00B64D28">
      <w:pPr>
        <w:pStyle w:val="Heading1"/>
        <w:numPr>
          <w:ilvl w:val="0"/>
          <w:numId w:val="0"/>
        </w:numPr>
        <w:spacing w:before="120" w:after="120"/>
        <w:mirrorIndents/>
      </w:pPr>
      <w:r w:rsidRPr="00B64D28">
        <w:rPr>
          <w:b w:val="0"/>
        </w:rPr>
        <w:t xml:space="preserve">Recruitment of </w:t>
      </w:r>
      <w:r w:rsidR="007F4F7A">
        <w:rPr>
          <w:b w:val="0"/>
        </w:rPr>
        <w:t>the 144 YMSM and YTG</w:t>
      </w:r>
      <w:r w:rsidRPr="00B64D28">
        <w:rPr>
          <w:b w:val="0"/>
        </w:rPr>
        <w:t xml:space="preserve"> clients will be accomplished by referral from </w:t>
      </w:r>
      <w:r w:rsidR="007F4F7A">
        <w:rPr>
          <w:b w:val="0"/>
        </w:rPr>
        <w:t>CBO</w:t>
      </w:r>
      <w:r w:rsidRPr="00B64D28">
        <w:rPr>
          <w:b w:val="0"/>
        </w:rPr>
        <w:t xml:space="preserve"> staff at each site. </w:t>
      </w:r>
      <w:r w:rsidR="007F4F7A">
        <w:rPr>
          <w:b w:val="0"/>
        </w:rPr>
        <w:t>CBO</w:t>
      </w:r>
      <w:r w:rsidRPr="00B64D28">
        <w:rPr>
          <w:b w:val="0"/>
        </w:rPr>
        <w:t xml:space="preserve"> staff will have study information as well as a set of study recruitment flyers with unique ID numbers to distribute to</w:t>
      </w:r>
      <w:r w:rsidR="006B0C20">
        <w:rPr>
          <w:b w:val="0"/>
        </w:rPr>
        <w:t xml:space="preserve"> their</w:t>
      </w:r>
      <w:r w:rsidRPr="00B64D28">
        <w:rPr>
          <w:b w:val="0"/>
        </w:rPr>
        <w:t xml:space="preserve"> </w:t>
      </w:r>
      <w:r w:rsidR="007F4F7A">
        <w:rPr>
          <w:b w:val="0"/>
        </w:rPr>
        <w:t xml:space="preserve">YMSM and YTG </w:t>
      </w:r>
      <w:r w:rsidRPr="00B64D28">
        <w:rPr>
          <w:b w:val="0"/>
        </w:rPr>
        <w:t xml:space="preserve">clients </w:t>
      </w:r>
      <w:r w:rsidR="00772A65" w:rsidRPr="00A12ABA">
        <w:rPr>
          <w:b w:val="0"/>
        </w:rPr>
        <w:t>(</w:t>
      </w:r>
      <w:r w:rsidR="00772A65" w:rsidRPr="00B64D28">
        <w:t>Attachment 1</w:t>
      </w:r>
      <w:r w:rsidRPr="00A12ABA">
        <w:rPr>
          <w:b w:val="0"/>
        </w:rPr>
        <w:t>)</w:t>
      </w:r>
      <w:r w:rsidRPr="00B64D28">
        <w:rPr>
          <w:b w:val="0"/>
        </w:rPr>
        <w:t>.</w:t>
      </w:r>
      <w:r w:rsidRPr="00A12ABA">
        <w:rPr>
          <w:b w:val="0"/>
        </w:rPr>
        <w:t xml:space="preserve"> </w:t>
      </w:r>
      <w:r w:rsidR="00155815" w:rsidRPr="00A12ABA">
        <w:rPr>
          <w:b w:val="0"/>
        </w:rPr>
        <w:t xml:space="preserve">The </w:t>
      </w:r>
      <w:r w:rsidR="007F4F7A">
        <w:rPr>
          <w:b w:val="0"/>
        </w:rPr>
        <w:t xml:space="preserve">CBO </w:t>
      </w:r>
      <w:r w:rsidR="00155815" w:rsidRPr="00A12ABA">
        <w:rPr>
          <w:b w:val="0"/>
        </w:rPr>
        <w:t xml:space="preserve">staff will share </w:t>
      </w:r>
      <w:r w:rsidR="00831EA0">
        <w:rPr>
          <w:b w:val="0"/>
        </w:rPr>
        <w:t xml:space="preserve">this </w:t>
      </w:r>
      <w:r w:rsidR="00155815" w:rsidRPr="00A12ABA">
        <w:rPr>
          <w:b w:val="0"/>
        </w:rPr>
        <w:t xml:space="preserve">study information with </w:t>
      </w:r>
      <w:r w:rsidR="00574FA6" w:rsidRPr="00B64D28">
        <w:rPr>
          <w:b w:val="0"/>
        </w:rPr>
        <w:t xml:space="preserve">their program’s </w:t>
      </w:r>
      <w:r w:rsidR="00044340">
        <w:rPr>
          <w:b w:val="0"/>
        </w:rPr>
        <w:t xml:space="preserve">clients </w:t>
      </w:r>
      <w:r w:rsidR="00B64D28">
        <w:rPr>
          <w:b w:val="0"/>
        </w:rPr>
        <w:t xml:space="preserve">and give them </w:t>
      </w:r>
      <w:r w:rsidR="007442C3">
        <w:rPr>
          <w:b w:val="0"/>
        </w:rPr>
        <w:t>a copy of one of the flyers</w:t>
      </w:r>
      <w:r w:rsidR="00155815" w:rsidRPr="00A12ABA">
        <w:rPr>
          <w:b w:val="0"/>
        </w:rPr>
        <w:t xml:space="preserve">. </w:t>
      </w:r>
      <w:r w:rsidR="00B76486" w:rsidRPr="00B64D28">
        <w:rPr>
          <w:b w:val="0"/>
        </w:rPr>
        <w:t xml:space="preserve">This information includes details on how a client can contact study </w:t>
      </w:r>
      <w:r w:rsidR="0081086B" w:rsidRPr="00B64D28">
        <w:rPr>
          <w:b w:val="0"/>
        </w:rPr>
        <w:t>staff, if they are interested in being a participant</w:t>
      </w:r>
      <w:r w:rsidR="00B76486" w:rsidRPr="00B64D28">
        <w:rPr>
          <w:b w:val="0"/>
        </w:rPr>
        <w:t xml:space="preserve">. However, the </w:t>
      </w:r>
      <w:r w:rsidR="008C0758">
        <w:rPr>
          <w:b w:val="0"/>
        </w:rPr>
        <w:t>CBO</w:t>
      </w:r>
      <w:r w:rsidR="00574FA6" w:rsidRPr="00B64D28">
        <w:rPr>
          <w:b w:val="0"/>
        </w:rPr>
        <w:t xml:space="preserve"> staff will never learn which of their clients contacted study </w:t>
      </w:r>
      <w:r w:rsidR="0081086B" w:rsidRPr="00B64D28">
        <w:rPr>
          <w:b w:val="0"/>
        </w:rPr>
        <w:t>staff after referral</w:t>
      </w:r>
      <w:r w:rsidR="00574FA6" w:rsidRPr="00B64D28">
        <w:rPr>
          <w:b w:val="0"/>
        </w:rPr>
        <w:t xml:space="preserve">. </w:t>
      </w:r>
      <w:r w:rsidR="0081086B" w:rsidRPr="00B64D28">
        <w:rPr>
          <w:b w:val="0"/>
        </w:rPr>
        <w:t xml:space="preserve">Likewise, </w:t>
      </w:r>
      <w:r w:rsidR="008C0758">
        <w:rPr>
          <w:b w:val="0"/>
        </w:rPr>
        <w:t xml:space="preserve">CBO </w:t>
      </w:r>
      <w:r w:rsidR="00574FA6" w:rsidRPr="00B64D28">
        <w:rPr>
          <w:b w:val="0"/>
        </w:rPr>
        <w:t xml:space="preserve">staff also will never learn which of their clients </w:t>
      </w:r>
      <w:r w:rsidR="00B76486" w:rsidRPr="00B64D28">
        <w:rPr>
          <w:b w:val="0"/>
        </w:rPr>
        <w:t xml:space="preserve">subsequently </w:t>
      </w:r>
      <w:r w:rsidR="00574FA6" w:rsidRPr="00B64D28">
        <w:rPr>
          <w:b w:val="0"/>
        </w:rPr>
        <w:t>became enrolled as participants in the study.</w:t>
      </w:r>
      <w:r w:rsidR="00B64D28">
        <w:rPr>
          <w:b w:val="0"/>
        </w:rPr>
        <w:t xml:space="preserve"> </w:t>
      </w:r>
      <w:r w:rsidR="00A732A6">
        <w:rPr>
          <w:b w:val="0"/>
        </w:rPr>
        <w:t xml:space="preserve">Finally, to help protect participant identities, </w:t>
      </w:r>
      <w:r w:rsidR="002F4995" w:rsidRPr="00B64D28">
        <w:rPr>
          <w:b w:val="0"/>
        </w:rPr>
        <w:t xml:space="preserve">CDC staff will never learn the identities of either the </w:t>
      </w:r>
      <w:r w:rsidR="008C0758">
        <w:rPr>
          <w:b w:val="0"/>
        </w:rPr>
        <w:t xml:space="preserve">CBO </w:t>
      </w:r>
      <w:r w:rsidR="002F4995" w:rsidRPr="00B64D28">
        <w:rPr>
          <w:b w:val="0"/>
        </w:rPr>
        <w:t>staff or clients enrolled in the study.</w:t>
      </w:r>
      <w:r w:rsidR="00775675">
        <w:t xml:space="preserve"> </w:t>
      </w:r>
      <w:r w:rsidR="00775675" w:rsidRPr="00B64D28">
        <w:rPr>
          <w:b w:val="0"/>
        </w:rPr>
        <w:t xml:space="preserve">(For </w:t>
      </w:r>
      <w:r w:rsidR="00882365">
        <w:rPr>
          <w:b w:val="0"/>
        </w:rPr>
        <w:t xml:space="preserve">additional </w:t>
      </w:r>
      <w:r w:rsidR="00AD617D">
        <w:rPr>
          <w:b w:val="0"/>
        </w:rPr>
        <w:t xml:space="preserve">details </w:t>
      </w:r>
      <w:r w:rsidR="00775675">
        <w:rPr>
          <w:b w:val="0"/>
        </w:rPr>
        <w:t>on how we protect the identities of study participants</w:t>
      </w:r>
      <w:r w:rsidR="00775675" w:rsidRPr="00B64D28">
        <w:rPr>
          <w:b w:val="0"/>
        </w:rPr>
        <w:t>, see</w:t>
      </w:r>
      <w:r w:rsidR="00775675">
        <w:rPr>
          <w:b w:val="0"/>
        </w:rPr>
        <w:t xml:space="preserve"> the</w:t>
      </w:r>
      <w:r w:rsidR="00775675" w:rsidRPr="00B64D28">
        <w:rPr>
          <w:b w:val="0"/>
        </w:rPr>
        <w:t xml:space="preserve"> </w:t>
      </w:r>
      <w:r w:rsidR="00775675" w:rsidRPr="00B12EA3">
        <w:t>Protection of the Privacy and Confidentiality of Information Provided by Respondents</w:t>
      </w:r>
      <w:r w:rsidR="00775675" w:rsidRPr="00B64D28">
        <w:rPr>
          <w:b w:val="0"/>
        </w:rPr>
        <w:t xml:space="preserve"> section included </w:t>
      </w:r>
      <w:r w:rsidR="00775675">
        <w:rPr>
          <w:b w:val="0"/>
        </w:rPr>
        <w:t xml:space="preserve">below </w:t>
      </w:r>
      <w:r w:rsidR="00775675" w:rsidRPr="00B64D28">
        <w:rPr>
          <w:b w:val="0"/>
        </w:rPr>
        <w:t>in this document.)</w:t>
      </w:r>
    </w:p>
    <w:p w14:paraId="1A006A32" w14:textId="1457BB27" w:rsidR="00574FA6" w:rsidRDefault="00574FA6" w:rsidP="00574FA6">
      <w:pPr>
        <w:spacing w:before="120" w:after="120"/>
        <w:mirrorIndents/>
      </w:pPr>
    </w:p>
    <w:p w14:paraId="336192A7" w14:textId="4732FB84" w:rsidR="001B4A66" w:rsidRPr="00C36986" w:rsidRDefault="00155815" w:rsidP="00F95454">
      <w:pPr>
        <w:spacing w:before="120" w:after="120"/>
        <w:mirrorIndents/>
        <w:rPr>
          <w:color w:val="000000" w:themeColor="text1"/>
          <w:highlight w:val="yellow"/>
        </w:rPr>
      </w:pPr>
      <w:r w:rsidRPr="00B64D28">
        <w:t xml:space="preserve">If a </w:t>
      </w:r>
      <w:r w:rsidR="008C0758">
        <w:t xml:space="preserve">CBO </w:t>
      </w:r>
      <w:r w:rsidRPr="00B64D28">
        <w:t>client is interested in being a study participant, they will c</w:t>
      </w:r>
      <w:r w:rsidR="00D05089">
        <w:t>all</w:t>
      </w:r>
      <w:r w:rsidRPr="00B64D28">
        <w:t xml:space="preserve"> study </w:t>
      </w:r>
      <w:r w:rsidR="0081086B">
        <w:t xml:space="preserve">staff </w:t>
      </w:r>
      <w:r w:rsidR="00D05FAB">
        <w:t xml:space="preserve">from the contractor team, </w:t>
      </w:r>
      <w:r w:rsidR="0081086B">
        <w:t xml:space="preserve">using the information provided in the recruitment flyers </w:t>
      </w:r>
      <w:r w:rsidR="0081086B" w:rsidRPr="00B64D28">
        <w:rPr>
          <w:b/>
        </w:rPr>
        <w:t>(Attachment 1)</w:t>
      </w:r>
      <w:r w:rsidRPr="00B64D28">
        <w:t>.</w:t>
      </w:r>
      <w:r w:rsidR="00574FA6">
        <w:t xml:space="preserve"> </w:t>
      </w:r>
      <w:r w:rsidRPr="00B64D28">
        <w:t xml:space="preserve">Study </w:t>
      </w:r>
      <w:r w:rsidR="0081086B">
        <w:t>staff</w:t>
      </w:r>
      <w:r w:rsidRPr="00B64D28">
        <w:t xml:space="preserve"> </w:t>
      </w:r>
      <w:r w:rsidR="004C581B" w:rsidRPr="004334AB">
        <w:t>will screen</w:t>
      </w:r>
      <w:r>
        <w:t xml:space="preserve"> potential client participants</w:t>
      </w:r>
      <w:r w:rsidR="004C581B" w:rsidRPr="004334AB">
        <w:t xml:space="preserve"> for </w:t>
      </w:r>
      <w:r>
        <w:t xml:space="preserve">study </w:t>
      </w:r>
      <w:r w:rsidR="004C581B" w:rsidRPr="004334AB">
        <w:t>eligibility</w:t>
      </w:r>
      <w:r w:rsidR="0011632B">
        <w:t xml:space="preserve"> with</w:t>
      </w:r>
      <w:r w:rsidR="00D74C3B">
        <w:t xml:space="preserve"> </w:t>
      </w:r>
      <w:r w:rsidR="005E2979" w:rsidRPr="00B64D28">
        <w:t xml:space="preserve">the </w:t>
      </w:r>
      <w:r w:rsidR="008C0758">
        <w:t xml:space="preserve">CBO </w:t>
      </w:r>
      <w:r w:rsidR="005E2979">
        <w:t xml:space="preserve">client </w:t>
      </w:r>
      <w:r w:rsidR="005E2979" w:rsidRPr="00B64D28">
        <w:t>screening</w:t>
      </w:r>
      <w:r w:rsidR="005E2979">
        <w:t xml:space="preserve"> tool </w:t>
      </w:r>
      <w:r w:rsidR="0011632B">
        <w:t>(</w:t>
      </w:r>
      <w:r w:rsidR="004C581B">
        <w:rPr>
          <w:b/>
        </w:rPr>
        <w:t>Attachment 3a</w:t>
      </w:r>
      <w:r w:rsidR="0011632B">
        <w:rPr>
          <w:b/>
        </w:rPr>
        <w:t>)</w:t>
      </w:r>
      <w:r w:rsidR="004C581B" w:rsidRPr="00B64D28">
        <w:t>.</w:t>
      </w:r>
      <w:r w:rsidR="004C581B">
        <w:rPr>
          <w:b/>
        </w:rPr>
        <w:t xml:space="preserve"> </w:t>
      </w:r>
      <w:r>
        <w:t xml:space="preserve">Eligible </w:t>
      </w:r>
      <w:r w:rsidR="0081086B">
        <w:t xml:space="preserve">client </w:t>
      </w:r>
      <w:r>
        <w:t>p</w:t>
      </w:r>
      <w:r w:rsidR="001B4A66" w:rsidRPr="009A4982">
        <w:t>articipants who choose to enroll in the study will be sch</w:t>
      </w:r>
      <w:r w:rsidR="00240E62">
        <w:t xml:space="preserve">eduled for an </w:t>
      </w:r>
      <w:r>
        <w:t>interview</w:t>
      </w:r>
      <w:r w:rsidR="001B4A66" w:rsidRPr="009A4982">
        <w:t xml:space="preserve"> </w:t>
      </w:r>
      <w:r w:rsidR="008D5F8D" w:rsidRPr="008D5F8D">
        <w:rPr>
          <w:b/>
        </w:rPr>
        <w:t>(Attachment 3b)</w:t>
      </w:r>
      <w:r w:rsidR="008D5F8D">
        <w:t xml:space="preserve"> </w:t>
      </w:r>
      <w:r w:rsidR="001B4A66" w:rsidRPr="009A4982">
        <w:t xml:space="preserve">at a time and location that is convenient to them. At </w:t>
      </w:r>
      <w:r w:rsidR="00C17EE7">
        <w:t xml:space="preserve">the </w:t>
      </w:r>
      <w:r w:rsidR="00B64D28">
        <w:t>beginning</w:t>
      </w:r>
      <w:r w:rsidR="00B64D28" w:rsidRPr="009A4982">
        <w:t xml:space="preserve"> of</w:t>
      </w:r>
      <w:r w:rsidR="001B4A66" w:rsidRPr="009A4982">
        <w:t xml:space="preserve"> </w:t>
      </w:r>
      <w:r w:rsidR="008320F7">
        <w:t>each</w:t>
      </w:r>
      <w:r w:rsidR="001B4A66" w:rsidRPr="009A4982">
        <w:t xml:space="preserve"> interview</w:t>
      </w:r>
      <w:r w:rsidR="0081086B">
        <w:t xml:space="preserve"> with </w:t>
      </w:r>
      <w:r w:rsidR="008C0758">
        <w:t>CBO</w:t>
      </w:r>
      <w:r w:rsidR="0081086B">
        <w:t xml:space="preserve"> staff or clients</w:t>
      </w:r>
      <w:r w:rsidR="00C17EE7">
        <w:t xml:space="preserve"> and before any data collection starts</w:t>
      </w:r>
      <w:r w:rsidR="001B4A66" w:rsidRPr="009A4982">
        <w:t xml:space="preserve">, </w:t>
      </w:r>
      <w:r w:rsidR="00C17EE7">
        <w:t xml:space="preserve">study </w:t>
      </w:r>
      <w:r w:rsidR="001B4A66" w:rsidRPr="009A4982">
        <w:t>staff will review the study procedures</w:t>
      </w:r>
      <w:r w:rsidR="0045429A">
        <w:t xml:space="preserve"> with each participant</w:t>
      </w:r>
      <w:r w:rsidR="00C17EE7">
        <w:t>. P</w:t>
      </w:r>
      <w:r w:rsidR="001B4A66" w:rsidRPr="009A4982">
        <w:t>articipants will</w:t>
      </w:r>
      <w:r w:rsidR="00C17EE7">
        <w:t xml:space="preserve"> be asked to</w:t>
      </w:r>
      <w:r w:rsidR="001B4A66" w:rsidRPr="009A4982">
        <w:t xml:space="preserve"> complete </w:t>
      </w:r>
      <w:r w:rsidR="00D70D00">
        <w:t>a</w:t>
      </w:r>
      <w:r w:rsidR="00C17EE7">
        <w:t>n</w:t>
      </w:r>
      <w:r w:rsidR="001B4A66" w:rsidRPr="009A4982">
        <w:t xml:space="preserve"> informed consent</w:t>
      </w:r>
      <w:r w:rsidR="00C17EE7">
        <w:t xml:space="preserve"> form</w:t>
      </w:r>
      <w:r w:rsidR="001B4A66" w:rsidRPr="009A4982">
        <w:t xml:space="preserve"> </w:t>
      </w:r>
      <w:r w:rsidR="001B4A66" w:rsidRPr="00E70C71">
        <w:rPr>
          <w:b/>
        </w:rPr>
        <w:t>(</w:t>
      </w:r>
      <w:r w:rsidR="001B4A66" w:rsidRPr="009A4982">
        <w:rPr>
          <w:b/>
        </w:rPr>
        <w:t>Attachment 2</w:t>
      </w:r>
      <w:r w:rsidR="001B4A66" w:rsidRPr="009A4982">
        <w:t xml:space="preserve">). </w:t>
      </w:r>
      <w:r w:rsidR="002525F3" w:rsidRPr="00C24A59">
        <w:t>There are</w:t>
      </w:r>
      <w:r w:rsidR="00D74C3B">
        <w:t xml:space="preserve"> two </w:t>
      </w:r>
      <w:r w:rsidR="00D70D00">
        <w:t>consent forms</w:t>
      </w:r>
      <w:r w:rsidR="002525F3">
        <w:t>; o</w:t>
      </w:r>
      <w:r w:rsidR="00D45E08">
        <w:t xml:space="preserve">ne </w:t>
      </w:r>
      <w:r w:rsidR="00D70D00">
        <w:t xml:space="preserve">for </w:t>
      </w:r>
      <w:r>
        <w:t xml:space="preserve">eligible </w:t>
      </w:r>
      <w:r w:rsidR="008C0758">
        <w:t>CBO</w:t>
      </w:r>
      <w:r w:rsidR="00D70D00">
        <w:t xml:space="preserve"> clients </w:t>
      </w:r>
      <w:r w:rsidR="00D45E08">
        <w:t xml:space="preserve">and </w:t>
      </w:r>
      <w:r w:rsidR="002525F3">
        <w:t xml:space="preserve">one </w:t>
      </w:r>
      <w:r w:rsidR="00D70D00">
        <w:t xml:space="preserve">for </w:t>
      </w:r>
      <w:r>
        <w:t xml:space="preserve">eligible </w:t>
      </w:r>
      <w:r w:rsidR="008C0758">
        <w:t xml:space="preserve">CBO </w:t>
      </w:r>
      <w:r w:rsidR="00D70D00">
        <w:t xml:space="preserve">staff. </w:t>
      </w:r>
      <w:r w:rsidR="00ED3A5B">
        <w:t xml:space="preserve">The wording of these forms </w:t>
      </w:r>
      <w:r w:rsidR="00ED3A5B" w:rsidRPr="00C36986">
        <w:rPr>
          <w:color w:val="000000" w:themeColor="text1"/>
        </w:rPr>
        <w:t>has been reviewed and approved by the CDC IRB (</w:t>
      </w:r>
      <w:r w:rsidR="00ED3A5B" w:rsidRPr="00C36986">
        <w:rPr>
          <w:b/>
          <w:color w:val="000000" w:themeColor="text1"/>
        </w:rPr>
        <w:t>Attachment 4a</w:t>
      </w:r>
      <w:r w:rsidR="00ED3A5B" w:rsidRPr="00C36986">
        <w:rPr>
          <w:color w:val="000000" w:themeColor="text1"/>
        </w:rPr>
        <w:t>).</w:t>
      </w:r>
      <w:r w:rsidR="00681610">
        <w:rPr>
          <w:color w:val="000000" w:themeColor="text1"/>
        </w:rPr>
        <w:t xml:space="preserve"> </w:t>
      </w:r>
      <w:r w:rsidR="00681610">
        <w:t>CDC IRB protocol approval was received October 10, 2018.</w:t>
      </w:r>
    </w:p>
    <w:p w14:paraId="043B4D37" w14:textId="3AB1C863" w:rsidR="005B016B" w:rsidRDefault="001B4A66" w:rsidP="005D66B4">
      <w:pPr>
        <w:spacing w:before="120" w:after="120"/>
        <w:mirrorIndents/>
      </w:pPr>
      <w:r w:rsidRPr="001319BD">
        <w:t>We will use</w:t>
      </w:r>
      <w:r w:rsidR="005B016B">
        <w:t xml:space="preserve"> two</w:t>
      </w:r>
      <w:r w:rsidRPr="001319BD">
        <w:t xml:space="preserve"> </w:t>
      </w:r>
      <w:r w:rsidR="00DD1B1B">
        <w:t xml:space="preserve">semi-structured </w:t>
      </w:r>
      <w:r w:rsidRPr="001319BD">
        <w:t xml:space="preserve">qualitative </w:t>
      </w:r>
      <w:r w:rsidR="00150BF0">
        <w:t>interview guides</w:t>
      </w:r>
      <w:r w:rsidRPr="001319BD">
        <w:t xml:space="preserve"> to collect information for this </w:t>
      </w:r>
      <w:r w:rsidRPr="009A4982">
        <w:t>study</w:t>
      </w:r>
      <w:r w:rsidR="00FE505B">
        <w:t xml:space="preserve">, one for CBO </w:t>
      </w:r>
      <w:r w:rsidR="00C24A59">
        <w:t xml:space="preserve">clients, and the other for </w:t>
      </w:r>
      <w:r w:rsidR="00FE505B">
        <w:t>CBO</w:t>
      </w:r>
      <w:r w:rsidR="00C24A59">
        <w:t xml:space="preserve"> staff</w:t>
      </w:r>
      <w:r w:rsidR="000E1128" w:rsidRPr="009A4982">
        <w:t xml:space="preserve"> (</w:t>
      </w:r>
      <w:r w:rsidR="009A4982" w:rsidRPr="009A4982">
        <w:rPr>
          <w:b/>
        </w:rPr>
        <w:t>Attachments 3</w:t>
      </w:r>
      <w:r w:rsidR="000E1128" w:rsidRPr="009A4982">
        <w:rPr>
          <w:b/>
        </w:rPr>
        <w:t>b</w:t>
      </w:r>
      <w:r w:rsidR="009A4982" w:rsidRPr="009A4982">
        <w:rPr>
          <w:b/>
        </w:rPr>
        <w:t>-c</w:t>
      </w:r>
      <w:r w:rsidR="000E1128" w:rsidRPr="00E70C71">
        <w:rPr>
          <w:b/>
        </w:rPr>
        <w:t>)</w:t>
      </w:r>
      <w:r w:rsidRPr="009A4982">
        <w:t>.</w:t>
      </w:r>
      <w:r w:rsidR="000E1128" w:rsidRPr="009A4982">
        <w:t xml:space="preserve"> </w:t>
      </w:r>
      <w:r w:rsidR="00150BF0">
        <w:t>Both types of i</w:t>
      </w:r>
      <w:r w:rsidR="000E1128" w:rsidRPr="00F42159">
        <w:t>nterviews include a short, structured response section to collect participant</w:t>
      </w:r>
      <w:r w:rsidR="00334FDA" w:rsidRPr="00F42159">
        <w:t>s’</w:t>
      </w:r>
      <w:r w:rsidR="000E1128" w:rsidRPr="00F42159">
        <w:t xml:space="preserve"> </w:t>
      </w:r>
      <w:r w:rsidR="00FE505B">
        <w:t>descriptive characteristics</w:t>
      </w:r>
      <w:r w:rsidR="000E1128" w:rsidRPr="00F42159">
        <w:t xml:space="preserve"> information</w:t>
      </w:r>
      <w:r w:rsidR="00FE505B">
        <w:t xml:space="preserve"> as well as open-ended questions</w:t>
      </w:r>
      <w:r w:rsidR="000E1128" w:rsidRPr="00F42159">
        <w:t xml:space="preserve">. </w:t>
      </w:r>
      <w:r w:rsidR="005B016B">
        <w:t xml:space="preserve">The questions included on </w:t>
      </w:r>
      <w:r w:rsidR="00974E01">
        <w:t xml:space="preserve">the </w:t>
      </w:r>
      <w:r w:rsidR="005B016B">
        <w:t xml:space="preserve">staff interview guide and the client interview guide intentionally inquire </w:t>
      </w:r>
      <w:r w:rsidR="005D66B4">
        <w:t>about related topics. I</w:t>
      </w:r>
      <w:r w:rsidR="005B016B">
        <w:t xml:space="preserve">t is possible that the CBO staff and clients may not share identical knowledge, recollections, perspectives, or opinions. By asking parallel questions using the two interview guides, we will be able to compare and contrast similarities and differences between the </w:t>
      </w:r>
      <w:r w:rsidR="005D66B4">
        <w:t>CBO staff versus the CBO clients</w:t>
      </w:r>
      <w:r w:rsidR="005B016B">
        <w:t xml:space="preserve">. For example, staff might believe one specific CBO activity is particularly </w:t>
      </w:r>
      <w:r w:rsidR="005D66B4">
        <w:t>helpful for their clients.</w:t>
      </w:r>
      <w:r w:rsidR="005B016B">
        <w:t xml:space="preserve"> But the CBO clients might disagree or highlight other program activities during their interviews.</w:t>
      </w:r>
      <w:r w:rsidR="005B016B" w:rsidRPr="008B7B1C">
        <w:t xml:space="preserve"> </w:t>
      </w:r>
      <w:r w:rsidR="005D66B4">
        <w:t xml:space="preserve">Likewise, CBO staff and clients may have differing ideas related to how clients access and use HIV prevention, care, and treatment services. Conducting the interviews with the CBO staff and clients will allow us to identify the similarities and differences in the two groups’ perspectives. </w:t>
      </w:r>
    </w:p>
    <w:p w14:paraId="40992F0C" w14:textId="74082864" w:rsidR="00FE505B" w:rsidRDefault="00F42159" w:rsidP="00FE505B">
      <w:pPr>
        <w:spacing w:before="120" w:after="120"/>
        <w:mirrorIndents/>
      </w:pPr>
      <w:r>
        <w:t>For</w:t>
      </w:r>
      <w:r w:rsidR="00FE505B">
        <w:t xml:space="preserve"> the</w:t>
      </w:r>
      <w:r>
        <w:t xml:space="preserve"> </w:t>
      </w:r>
      <w:r w:rsidR="00FE505B">
        <w:t xml:space="preserve">CBO </w:t>
      </w:r>
      <w:r w:rsidRPr="00F42159">
        <w:t>staff</w:t>
      </w:r>
      <w:r w:rsidR="00FE505B">
        <w:t xml:space="preserve"> respondents</w:t>
      </w:r>
      <w:r w:rsidRPr="00F42159">
        <w:t>, t</w:t>
      </w:r>
      <w:r w:rsidR="00F72954" w:rsidRPr="00F42159">
        <w:t xml:space="preserve">he </w:t>
      </w:r>
      <w:bookmarkStart w:id="3" w:name="_Toc448296074"/>
      <w:r w:rsidR="00FE505B">
        <w:t xml:space="preserve">interview guide </w:t>
      </w:r>
      <w:r w:rsidR="00FE505B">
        <w:rPr>
          <w:bCs/>
        </w:rPr>
        <w:t>begins with a series of structured response questions that elicit demographic and other basic descriptive characteristics of the respondent, including the role they have within the CBO (</w:t>
      </w:r>
      <w:r w:rsidR="00FE505B" w:rsidRPr="00FE505B">
        <w:rPr>
          <w:b/>
          <w:bCs/>
        </w:rPr>
        <w:t>Attachment 3c</w:t>
      </w:r>
      <w:r w:rsidR="00FE505B">
        <w:rPr>
          <w:bCs/>
        </w:rPr>
        <w:t>).  In addition, the staff interview guide includes a series of open-ended questions. These items ask the staff person to describe their views on how clients learn about and use the CBO’s services. This interview guide also has a series of questions related to barriers and facilitators that CBO clients may face when seeking CBO services, including stigma related to the clients’ sexual orientation, gender identity, HIV status, or racial/ethnic backgrounds.</w:t>
      </w:r>
    </w:p>
    <w:p w14:paraId="04CEFFFC" w14:textId="3DB692F2" w:rsidR="00FE505B" w:rsidRDefault="00F42159" w:rsidP="00FE505B">
      <w:r w:rsidRPr="00F42159">
        <w:t xml:space="preserve">For </w:t>
      </w:r>
      <w:r w:rsidR="00FE505B">
        <w:t>the CBO</w:t>
      </w:r>
      <w:r w:rsidR="00377FA8">
        <w:t xml:space="preserve"> clients</w:t>
      </w:r>
      <w:r w:rsidRPr="00F42159">
        <w:t>, the interview</w:t>
      </w:r>
      <w:r w:rsidR="00FE505B">
        <w:t xml:space="preserve"> guide also begins with a series of structured response questions, including age, ethnicity, race, education sexual orientation, sex at birth, gender identity, HIV status, and other descriptive characteristics</w:t>
      </w:r>
      <w:r w:rsidR="00606904">
        <w:t xml:space="preserve"> (</w:t>
      </w:r>
      <w:r w:rsidR="00606904" w:rsidRPr="00606904">
        <w:rPr>
          <w:b/>
        </w:rPr>
        <w:t>Attachment 3b</w:t>
      </w:r>
      <w:r w:rsidR="00606904">
        <w:t>)</w:t>
      </w:r>
      <w:r w:rsidR="00FE505B">
        <w:t>. Likewise, the client interview guide includes open-ended questions. These are designed to learn about how the client recalls learning about the CBO, why they began using the CBO’s services, factors that make it easier or more difficult to obtain services at the CBO, and the role that stigma related to the client’s sexual orientation, gender identity, HIV status, or racial/ethnic background may affect the services they seek and receive at the CBO.</w:t>
      </w:r>
    </w:p>
    <w:p w14:paraId="143F1395" w14:textId="77777777" w:rsidR="00FE505B" w:rsidRDefault="00FE505B" w:rsidP="00FE505B"/>
    <w:p w14:paraId="052AC805" w14:textId="4DF29868" w:rsidR="00F72954" w:rsidRDefault="00F72954" w:rsidP="00F95454">
      <w:pPr>
        <w:spacing w:before="120" w:after="120"/>
        <w:mirrorIndents/>
      </w:pPr>
      <w:r w:rsidRPr="008B7B1C">
        <w:t>Key variables</w:t>
      </w:r>
      <w:r w:rsidR="008B7B1C" w:rsidRPr="008B7B1C">
        <w:t xml:space="preserve"> to be explored through the </w:t>
      </w:r>
      <w:r w:rsidRPr="008B7B1C">
        <w:t xml:space="preserve">participant interviews are described in Exhibit </w:t>
      </w:r>
      <w:r w:rsidR="00C91C02" w:rsidRPr="008B7B1C">
        <w:t>2.1</w:t>
      </w:r>
      <w:r w:rsidRPr="008B7B1C">
        <w:t xml:space="preserve"> below. All data collection</w:t>
      </w:r>
      <w:r w:rsidRPr="00F42159">
        <w:t xml:space="preserve"> instruments have been approved by </w:t>
      </w:r>
      <w:r w:rsidRPr="009A4982">
        <w:t xml:space="preserve">the </w:t>
      </w:r>
      <w:r w:rsidR="00F42159" w:rsidRPr="009A4982">
        <w:t>CDC</w:t>
      </w:r>
      <w:r w:rsidRPr="009A4982">
        <w:t xml:space="preserve"> IRB</w:t>
      </w:r>
      <w:r w:rsidRPr="00316981">
        <w:rPr>
          <w:b/>
        </w:rPr>
        <w:t xml:space="preserve"> (Attachment 4</w:t>
      </w:r>
      <w:r w:rsidR="009A4982" w:rsidRPr="00316981">
        <w:rPr>
          <w:b/>
        </w:rPr>
        <w:t>a</w:t>
      </w:r>
      <w:r w:rsidRPr="00316981">
        <w:rPr>
          <w:b/>
        </w:rPr>
        <w:t>)</w:t>
      </w:r>
      <w:r w:rsidRPr="00316981">
        <w:t>.</w:t>
      </w:r>
    </w:p>
    <w:p w14:paraId="24B744D8" w14:textId="77777777" w:rsidR="00412543" w:rsidRDefault="00412543">
      <w:pPr>
        <w:spacing w:after="200" w:line="276" w:lineRule="auto"/>
        <w:rPr>
          <w:b/>
          <w:bCs/>
          <w:sz w:val="20"/>
          <w:szCs w:val="20"/>
        </w:rPr>
      </w:pPr>
      <w:bookmarkStart w:id="4" w:name="_Toc449541622"/>
      <w:r>
        <w:br w:type="page"/>
      </w:r>
    </w:p>
    <w:p w14:paraId="1A7585C2" w14:textId="220FA573" w:rsidR="00F72954" w:rsidRPr="009B396D" w:rsidRDefault="00C91C02" w:rsidP="00973A03">
      <w:pPr>
        <w:pStyle w:val="Caption"/>
        <w:mirrorIndents/>
        <w:rPr>
          <w:sz w:val="24"/>
          <w:szCs w:val="24"/>
        </w:rPr>
      </w:pPr>
      <w:r w:rsidRPr="009B396D">
        <w:rPr>
          <w:sz w:val="24"/>
          <w:szCs w:val="24"/>
        </w:rPr>
        <w:t>Exhibit</w:t>
      </w:r>
      <w:r w:rsidR="009B396D">
        <w:rPr>
          <w:sz w:val="24"/>
          <w:szCs w:val="24"/>
        </w:rPr>
        <w:t xml:space="preserve"> 2</w:t>
      </w:r>
      <w:r w:rsidRPr="009B396D">
        <w:rPr>
          <w:sz w:val="24"/>
          <w:szCs w:val="24"/>
        </w:rPr>
        <w:t>.</w:t>
      </w:r>
      <w:r w:rsidR="003962DF" w:rsidRPr="009B396D">
        <w:rPr>
          <w:sz w:val="24"/>
          <w:szCs w:val="24"/>
        </w:rPr>
        <w:fldChar w:fldCharType="begin"/>
      </w:r>
      <w:r w:rsidR="003962DF" w:rsidRPr="009B396D">
        <w:rPr>
          <w:sz w:val="24"/>
          <w:szCs w:val="24"/>
        </w:rPr>
        <w:instrText xml:space="preserve"> SEQ Exhibit \* ARABIC \s 1 </w:instrText>
      </w:r>
      <w:r w:rsidR="003962DF" w:rsidRPr="009B396D">
        <w:rPr>
          <w:sz w:val="24"/>
          <w:szCs w:val="24"/>
        </w:rPr>
        <w:fldChar w:fldCharType="separate"/>
      </w:r>
      <w:r w:rsidR="00D07179">
        <w:rPr>
          <w:noProof/>
          <w:sz w:val="24"/>
          <w:szCs w:val="24"/>
        </w:rPr>
        <w:t>1</w:t>
      </w:r>
      <w:r w:rsidR="003962DF" w:rsidRPr="009B396D">
        <w:rPr>
          <w:noProof/>
          <w:sz w:val="24"/>
          <w:szCs w:val="24"/>
        </w:rPr>
        <w:fldChar w:fldCharType="end"/>
      </w:r>
      <w:r w:rsidRPr="009B396D">
        <w:rPr>
          <w:sz w:val="24"/>
          <w:szCs w:val="24"/>
        </w:rPr>
        <w:t>: Overview of Key Variables</w:t>
      </w:r>
      <w:bookmarkEnd w:id="4"/>
    </w:p>
    <w:tbl>
      <w:tblPr>
        <w:tblStyle w:val="TableGrid"/>
        <w:tblW w:w="0" w:type="auto"/>
        <w:tblLook w:val="04A0" w:firstRow="1" w:lastRow="0" w:firstColumn="1" w:lastColumn="0" w:noHBand="0" w:noVBand="1"/>
      </w:tblPr>
      <w:tblGrid>
        <w:gridCol w:w="4888"/>
        <w:gridCol w:w="4888"/>
      </w:tblGrid>
      <w:tr w:rsidR="00F72954" w:rsidRPr="00973A03" w14:paraId="174053D7" w14:textId="2EB751E6" w:rsidTr="00F72954">
        <w:tc>
          <w:tcPr>
            <w:tcW w:w="4888" w:type="dxa"/>
          </w:tcPr>
          <w:p w14:paraId="32C8A612" w14:textId="356E9466" w:rsidR="00F72954" w:rsidRPr="00973A03" w:rsidRDefault="00CF3EE1" w:rsidP="00CF3EE1">
            <w:pPr>
              <w:pStyle w:val="ListParagraph"/>
              <w:spacing w:after="0" w:line="240" w:lineRule="auto"/>
              <w:ind w:left="360"/>
              <w:contextualSpacing w:val="0"/>
              <w:mirrorIndents/>
              <w:jc w:val="center"/>
              <w:rPr>
                <w:rFonts w:ascii="Times New Roman" w:hAnsi="Times New Roman"/>
                <w:b/>
                <w:sz w:val="20"/>
                <w:szCs w:val="20"/>
              </w:rPr>
            </w:pPr>
            <w:r>
              <w:rPr>
                <w:rFonts w:ascii="Times New Roman" w:hAnsi="Times New Roman"/>
                <w:b/>
                <w:sz w:val="20"/>
                <w:szCs w:val="20"/>
                <w:lang w:val="en-US"/>
              </w:rPr>
              <w:t>CBO</w:t>
            </w:r>
            <w:r w:rsidR="00BB0F3A" w:rsidRPr="00973A03">
              <w:rPr>
                <w:rFonts w:ascii="Times New Roman" w:hAnsi="Times New Roman"/>
                <w:b/>
                <w:sz w:val="20"/>
                <w:szCs w:val="20"/>
                <w:lang w:val="en-US"/>
              </w:rPr>
              <w:t xml:space="preserve"> Staff</w:t>
            </w:r>
            <w:r w:rsidR="00BB0F3A" w:rsidRPr="00973A03">
              <w:rPr>
                <w:rFonts w:ascii="Times New Roman" w:hAnsi="Times New Roman"/>
                <w:b/>
                <w:sz w:val="20"/>
                <w:szCs w:val="20"/>
              </w:rPr>
              <w:t xml:space="preserve"> (Att</w:t>
            </w:r>
            <w:r w:rsidR="009C5D88" w:rsidRPr="00973A03">
              <w:rPr>
                <w:rFonts w:ascii="Times New Roman" w:hAnsi="Times New Roman"/>
                <w:b/>
                <w:sz w:val="20"/>
                <w:szCs w:val="20"/>
                <w:lang w:val="en-US"/>
              </w:rPr>
              <w:t>.</w:t>
            </w:r>
            <w:r w:rsidR="00BB0F3A" w:rsidRPr="00973A03">
              <w:rPr>
                <w:rFonts w:ascii="Times New Roman" w:hAnsi="Times New Roman"/>
                <w:b/>
                <w:sz w:val="20"/>
                <w:szCs w:val="20"/>
              </w:rPr>
              <w:t xml:space="preserve"> 3</w:t>
            </w:r>
            <w:r>
              <w:rPr>
                <w:rFonts w:ascii="Times New Roman" w:hAnsi="Times New Roman"/>
                <w:b/>
                <w:sz w:val="20"/>
                <w:szCs w:val="20"/>
                <w:lang w:val="en-US"/>
              </w:rPr>
              <w:t>c</w:t>
            </w:r>
            <w:r w:rsidR="00F72954" w:rsidRPr="00973A03">
              <w:rPr>
                <w:rFonts w:ascii="Times New Roman" w:hAnsi="Times New Roman"/>
                <w:b/>
                <w:sz w:val="20"/>
                <w:szCs w:val="20"/>
              </w:rPr>
              <w:t>)</w:t>
            </w:r>
          </w:p>
        </w:tc>
        <w:tc>
          <w:tcPr>
            <w:tcW w:w="4888" w:type="dxa"/>
          </w:tcPr>
          <w:p w14:paraId="5697C3D3" w14:textId="1F8669B6" w:rsidR="00F72954" w:rsidRPr="00973A03" w:rsidRDefault="00CF3EE1" w:rsidP="00CF3EE1">
            <w:pPr>
              <w:mirrorIndents/>
              <w:jc w:val="center"/>
              <w:rPr>
                <w:b/>
                <w:sz w:val="20"/>
                <w:szCs w:val="20"/>
              </w:rPr>
            </w:pPr>
            <w:r>
              <w:rPr>
                <w:b/>
                <w:sz w:val="20"/>
                <w:szCs w:val="20"/>
              </w:rPr>
              <w:t>CBO YMSM and YTG</w:t>
            </w:r>
            <w:r w:rsidR="002368E4" w:rsidRPr="00973A03">
              <w:rPr>
                <w:b/>
                <w:sz w:val="20"/>
                <w:szCs w:val="20"/>
              </w:rPr>
              <w:t xml:space="preserve"> Clients </w:t>
            </w:r>
            <w:r w:rsidR="00BB0F3A" w:rsidRPr="00973A03">
              <w:rPr>
                <w:b/>
                <w:sz w:val="20"/>
                <w:szCs w:val="20"/>
              </w:rPr>
              <w:t>(Att</w:t>
            </w:r>
            <w:r w:rsidR="009C5D88" w:rsidRPr="00973A03">
              <w:rPr>
                <w:b/>
                <w:sz w:val="20"/>
                <w:szCs w:val="20"/>
              </w:rPr>
              <w:t>.</w:t>
            </w:r>
            <w:r w:rsidR="00BB0F3A" w:rsidRPr="00973A03">
              <w:rPr>
                <w:b/>
                <w:sz w:val="20"/>
                <w:szCs w:val="20"/>
              </w:rPr>
              <w:t xml:space="preserve"> 3</w:t>
            </w:r>
            <w:r>
              <w:rPr>
                <w:b/>
                <w:sz w:val="20"/>
                <w:szCs w:val="20"/>
              </w:rPr>
              <w:t>b</w:t>
            </w:r>
            <w:r w:rsidR="00F72954" w:rsidRPr="00973A03">
              <w:rPr>
                <w:b/>
                <w:sz w:val="20"/>
                <w:szCs w:val="20"/>
              </w:rPr>
              <w:t>)</w:t>
            </w:r>
          </w:p>
        </w:tc>
      </w:tr>
      <w:tr w:rsidR="00F72954" w:rsidRPr="00973A03" w14:paraId="5097009E" w14:textId="5F849DB8" w:rsidTr="00F72954">
        <w:tc>
          <w:tcPr>
            <w:tcW w:w="4888" w:type="dxa"/>
          </w:tcPr>
          <w:p w14:paraId="26CEAAFB" w14:textId="0F609BE9" w:rsidR="00CF3EE1" w:rsidRPr="009B396D" w:rsidRDefault="00CF3EE1" w:rsidP="00973A03">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9B396D">
              <w:rPr>
                <w:rFonts w:ascii="Times New Roman" w:hAnsi="Times New Roman"/>
                <w:sz w:val="24"/>
                <w:szCs w:val="24"/>
                <w:lang w:val="en-US"/>
              </w:rPr>
              <w:t xml:space="preserve">Staff </w:t>
            </w:r>
            <w:r w:rsidR="008865B5">
              <w:rPr>
                <w:rFonts w:ascii="Times New Roman" w:hAnsi="Times New Roman"/>
                <w:sz w:val="24"/>
                <w:szCs w:val="24"/>
                <w:lang w:val="en-US"/>
              </w:rPr>
              <w:t xml:space="preserve">sample </w:t>
            </w:r>
            <w:r w:rsidRPr="009B396D">
              <w:rPr>
                <w:rFonts w:ascii="Times New Roman" w:hAnsi="Times New Roman"/>
                <w:sz w:val="24"/>
                <w:szCs w:val="24"/>
                <w:lang w:val="en-US"/>
              </w:rPr>
              <w:t>descriptive characteristics</w:t>
            </w:r>
          </w:p>
          <w:p w14:paraId="3B707FF9" w14:textId="04262B47" w:rsidR="00743F22" w:rsidRPr="009B396D" w:rsidRDefault="00CF3EE1" w:rsidP="00973A03">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9B396D">
              <w:rPr>
                <w:rFonts w:ascii="Times New Roman" w:hAnsi="Times New Roman"/>
                <w:bCs/>
                <w:sz w:val="24"/>
                <w:szCs w:val="24"/>
                <w:lang w:val="en-US"/>
              </w:rPr>
              <w:t xml:space="preserve">Staff perspectives on </w:t>
            </w:r>
            <w:r w:rsidRPr="009B396D">
              <w:rPr>
                <w:rFonts w:ascii="Times New Roman" w:hAnsi="Times New Roman"/>
                <w:bCs/>
                <w:sz w:val="24"/>
                <w:szCs w:val="24"/>
              </w:rPr>
              <w:t>how clients learn about and use the CBO’s services</w:t>
            </w:r>
            <w:r w:rsidR="00BB0F3A" w:rsidRPr="009B396D">
              <w:rPr>
                <w:rFonts w:ascii="Times New Roman" w:hAnsi="Times New Roman"/>
                <w:sz w:val="24"/>
                <w:szCs w:val="24"/>
              </w:rPr>
              <w:t>.</w:t>
            </w:r>
          </w:p>
          <w:p w14:paraId="386C54D8" w14:textId="4F2513C1" w:rsidR="00743F22" w:rsidRPr="009B396D" w:rsidRDefault="00CF3EE1" w:rsidP="00973A03">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9B396D">
              <w:rPr>
                <w:rFonts w:ascii="Times New Roman" w:hAnsi="Times New Roman"/>
                <w:sz w:val="24"/>
                <w:szCs w:val="24"/>
                <w:lang w:val="en-US"/>
              </w:rPr>
              <w:t xml:space="preserve">Staff perspectives on general </w:t>
            </w:r>
            <w:r w:rsidRPr="009B396D">
              <w:rPr>
                <w:rFonts w:ascii="Times New Roman" w:hAnsi="Times New Roman"/>
                <w:bCs/>
                <w:sz w:val="24"/>
                <w:szCs w:val="24"/>
              </w:rPr>
              <w:t>barriers and facilitators that CBO clients may face when seeking CBO services,</w:t>
            </w:r>
          </w:p>
          <w:p w14:paraId="5EB8F1BF" w14:textId="3583E5A1" w:rsidR="00743F22" w:rsidRPr="009B396D" w:rsidRDefault="00CF3EE1" w:rsidP="00973A03">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9B396D">
              <w:rPr>
                <w:rFonts w:ascii="Times New Roman" w:hAnsi="Times New Roman"/>
                <w:sz w:val="24"/>
                <w:szCs w:val="24"/>
                <w:lang w:val="en-US"/>
              </w:rPr>
              <w:t xml:space="preserve">Staff perspectives on how </w:t>
            </w:r>
            <w:r w:rsidRPr="009B396D">
              <w:rPr>
                <w:rFonts w:ascii="Times New Roman" w:hAnsi="Times New Roman"/>
                <w:bCs/>
                <w:sz w:val="24"/>
                <w:szCs w:val="24"/>
              </w:rPr>
              <w:t>stigma related to the</w:t>
            </w:r>
            <w:r w:rsidRPr="009B396D">
              <w:rPr>
                <w:rFonts w:ascii="Times New Roman" w:hAnsi="Times New Roman"/>
                <w:bCs/>
                <w:sz w:val="24"/>
                <w:szCs w:val="24"/>
                <w:lang w:val="en-US"/>
              </w:rPr>
              <w:t>ir</w:t>
            </w:r>
            <w:r w:rsidRPr="009B396D">
              <w:rPr>
                <w:rFonts w:ascii="Times New Roman" w:hAnsi="Times New Roman"/>
                <w:bCs/>
                <w:sz w:val="24"/>
                <w:szCs w:val="24"/>
              </w:rPr>
              <w:t xml:space="preserve"> clients’ sexual orientation</w:t>
            </w:r>
            <w:r w:rsidRPr="009B396D">
              <w:rPr>
                <w:rFonts w:ascii="Times New Roman" w:hAnsi="Times New Roman"/>
                <w:bCs/>
                <w:sz w:val="24"/>
                <w:szCs w:val="24"/>
                <w:lang w:val="en-US"/>
              </w:rPr>
              <w:t xml:space="preserve"> may affect how they access and use CBO services</w:t>
            </w:r>
            <w:r w:rsidR="00BB0F3A" w:rsidRPr="009B396D">
              <w:rPr>
                <w:rFonts w:ascii="Times New Roman" w:hAnsi="Times New Roman"/>
                <w:sz w:val="24"/>
                <w:szCs w:val="24"/>
              </w:rPr>
              <w:t>.</w:t>
            </w:r>
          </w:p>
          <w:p w14:paraId="1D05071B" w14:textId="6991BF24" w:rsidR="00743F22" w:rsidRPr="009B396D" w:rsidRDefault="00CF3EE1" w:rsidP="00973A03">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9B396D">
              <w:rPr>
                <w:rFonts w:ascii="Times New Roman" w:hAnsi="Times New Roman"/>
                <w:sz w:val="24"/>
                <w:szCs w:val="24"/>
                <w:lang w:val="en-US"/>
              </w:rPr>
              <w:t xml:space="preserve">Staff perspectives on how </w:t>
            </w:r>
            <w:r w:rsidRPr="009B396D">
              <w:rPr>
                <w:rFonts w:ascii="Times New Roman" w:hAnsi="Times New Roman"/>
                <w:bCs/>
                <w:sz w:val="24"/>
                <w:szCs w:val="24"/>
              </w:rPr>
              <w:t xml:space="preserve">clients’ </w:t>
            </w:r>
            <w:r w:rsidRPr="009B396D">
              <w:rPr>
                <w:rFonts w:ascii="Times New Roman" w:hAnsi="Times New Roman"/>
                <w:bCs/>
                <w:sz w:val="24"/>
                <w:szCs w:val="24"/>
                <w:lang w:val="en-US"/>
              </w:rPr>
              <w:t>gender identity may affect how they access and use CBO services</w:t>
            </w:r>
            <w:r w:rsidR="00BB0F3A" w:rsidRPr="009B396D">
              <w:rPr>
                <w:rFonts w:ascii="Times New Roman" w:hAnsi="Times New Roman"/>
                <w:sz w:val="24"/>
                <w:szCs w:val="24"/>
              </w:rPr>
              <w:t>.</w:t>
            </w:r>
          </w:p>
          <w:p w14:paraId="0D21AF6A" w14:textId="77777777" w:rsidR="009B396D" w:rsidRPr="009B396D" w:rsidRDefault="00CF3EE1" w:rsidP="00973A03">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9B396D">
              <w:rPr>
                <w:rFonts w:ascii="Times New Roman" w:hAnsi="Times New Roman"/>
                <w:sz w:val="24"/>
                <w:szCs w:val="24"/>
                <w:lang w:val="en-US"/>
              </w:rPr>
              <w:t xml:space="preserve">Staff perspectives on how </w:t>
            </w:r>
            <w:r w:rsidRPr="009B396D">
              <w:rPr>
                <w:rFonts w:ascii="Times New Roman" w:hAnsi="Times New Roman"/>
                <w:bCs/>
                <w:sz w:val="24"/>
                <w:szCs w:val="24"/>
              </w:rPr>
              <w:t xml:space="preserve">clients’ </w:t>
            </w:r>
            <w:r w:rsidRPr="009B396D">
              <w:rPr>
                <w:rFonts w:ascii="Times New Roman" w:hAnsi="Times New Roman"/>
                <w:bCs/>
                <w:sz w:val="24"/>
                <w:szCs w:val="24"/>
                <w:lang w:val="en-US"/>
              </w:rPr>
              <w:t>HIV-negative or HIV-positive status may affect how they access and use CBO services</w:t>
            </w:r>
            <w:r w:rsidR="00743F22" w:rsidRPr="009B396D">
              <w:rPr>
                <w:rFonts w:ascii="Times New Roman" w:hAnsi="Times New Roman"/>
                <w:sz w:val="24"/>
                <w:szCs w:val="24"/>
              </w:rPr>
              <w:t>.</w:t>
            </w:r>
          </w:p>
          <w:p w14:paraId="19757B33" w14:textId="35CD6124" w:rsidR="00743F22" w:rsidRPr="009B396D" w:rsidRDefault="009B396D" w:rsidP="00973A03">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9B396D">
              <w:rPr>
                <w:rFonts w:ascii="Times New Roman" w:hAnsi="Times New Roman"/>
                <w:sz w:val="24"/>
                <w:szCs w:val="24"/>
                <w:lang w:val="en-US"/>
              </w:rPr>
              <w:t xml:space="preserve">Staff perspectives on how </w:t>
            </w:r>
            <w:r w:rsidRPr="009B396D">
              <w:rPr>
                <w:rFonts w:ascii="Times New Roman" w:hAnsi="Times New Roman"/>
                <w:bCs/>
                <w:sz w:val="24"/>
                <w:szCs w:val="24"/>
              </w:rPr>
              <w:t xml:space="preserve">clients’ </w:t>
            </w:r>
            <w:r w:rsidRPr="009B396D">
              <w:rPr>
                <w:rFonts w:ascii="Times New Roman" w:hAnsi="Times New Roman"/>
                <w:bCs/>
                <w:sz w:val="24"/>
                <w:szCs w:val="24"/>
                <w:lang w:val="en-US"/>
              </w:rPr>
              <w:t>racial or ethnic identity may affect how they access and use CBO services</w:t>
            </w:r>
            <w:r w:rsidRPr="009B396D">
              <w:rPr>
                <w:rFonts w:ascii="Times New Roman" w:hAnsi="Times New Roman"/>
                <w:sz w:val="24"/>
                <w:szCs w:val="24"/>
              </w:rPr>
              <w:t>.</w:t>
            </w:r>
            <w:r w:rsidR="00743F22" w:rsidRPr="009B396D">
              <w:rPr>
                <w:rFonts w:ascii="Times New Roman" w:hAnsi="Times New Roman"/>
                <w:sz w:val="24"/>
                <w:szCs w:val="24"/>
              </w:rPr>
              <w:t xml:space="preserve"> </w:t>
            </w:r>
          </w:p>
          <w:p w14:paraId="48DAB482" w14:textId="7D84B953" w:rsidR="00BB0F3A" w:rsidRPr="00973A03" w:rsidRDefault="00743F22" w:rsidP="00CF3EE1">
            <w:pPr>
              <w:pStyle w:val="ListParagraph"/>
              <w:numPr>
                <w:ilvl w:val="0"/>
                <w:numId w:val="15"/>
              </w:numPr>
              <w:spacing w:after="0" w:line="240" w:lineRule="auto"/>
              <w:ind w:left="332" w:hanging="270"/>
              <w:contextualSpacing w:val="0"/>
              <w:mirrorIndents/>
              <w:rPr>
                <w:sz w:val="20"/>
                <w:szCs w:val="20"/>
              </w:rPr>
            </w:pPr>
            <w:r w:rsidRPr="009B396D">
              <w:rPr>
                <w:rFonts w:ascii="Times New Roman" w:hAnsi="Times New Roman"/>
                <w:sz w:val="24"/>
                <w:szCs w:val="24"/>
              </w:rPr>
              <w:t>Lessons learned about</w:t>
            </w:r>
            <w:r w:rsidR="00CF3EE1" w:rsidRPr="009B396D">
              <w:rPr>
                <w:rFonts w:ascii="Times New Roman" w:hAnsi="Times New Roman"/>
                <w:sz w:val="24"/>
                <w:szCs w:val="24"/>
                <w:lang w:val="en-US"/>
              </w:rPr>
              <w:t xml:space="preserve"> how CBOs can successfully provide HIV prevention, care, and treatment services to </w:t>
            </w:r>
            <w:r w:rsidR="009B396D" w:rsidRPr="009B396D">
              <w:rPr>
                <w:rFonts w:ascii="Times New Roman" w:hAnsi="Times New Roman"/>
                <w:sz w:val="24"/>
                <w:szCs w:val="24"/>
                <w:lang w:val="en-US"/>
              </w:rPr>
              <w:t xml:space="preserve">black/African American or Hispanic/Latino </w:t>
            </w:r>
            <w:r w:rsidR="00CF3EE1" w:rsidRPr="009B396D">
              <w:rPr>
                <w:rFonts w:ascii="Times New Roman" w:hAnsi="Times New Roman"/>
                <w:sz w:val="24"/>
                <w:szCs w:val="24"/>
                <w:lang w:val="en-US"/>
              </w:rPr>
              <w:t>YMSM and YTG</w:t>
            </w:r>
            <w:r w:rsidR="00BB0F3A" w:rsidRPr="009B396D">
              <w:rPr>
                <w:rFonts w:ascii="Times New Roman" w:hAnsi="Times New Roman"/>
                <w:sz w:val="24"/>
                <w:szCs w:val="24"/>
                <w:lang w:val="en-US"/>
              </w:rPr>
              <w:t>.</w:t>
            </w:r>
          </w:p>
        </w:tc>
        <w:tc>
          <w:tcPr>
            <w:tcW w:w="4888" w:type="dxa"/>
          </w:tcPr>
          <w:p w14:paraId="2F20F52D" w14:textId="3C1AAF65" w:rsidR="0081618D" w:rsidRPr="0081618D" w:rsidRDefault="0081618D" w:rsidP="0081618D">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81618D">
              <w:rPr>
                <w:rFonts w:ascii="Times New Roman" w:hAnsi="Times New Roman"/>
                <w:sz w:val="24"/>
                <w:szCs w:val="24"/>
                <w:lang w:val="en-US"/>
              </w:rPr>
              <w:t xml:space="preserve">Client </w:t>
            </w:r>
            <w:r w:rsidR="008865B5">
              <w:rPr>
                <w:rFonts w:ascii="Times New Roman" w:hAnsi="Times New Roman"/>
                <w:sz w:val="24"/>
                <w:szCs w:val="24"/>
                <w:lang w:val="en-US"/>
              </w:rPr>
              <w:t xml:space="preserve">sample </w:t>
            </w:r>
            <w:r w:rsidRPr="0081618D">
              <w:rPr>
                <w:rFonts w:ascii="Times New Roman" w:hAnsi="Times New Roman"/>
                <w:sz w:val="24"/>
                <w:szCs w:val="24"/>
                <w:lang w:val="en-US"/>
              </w:rPr>
              <w:t>descriptive characteristics</w:t>
            </w:r>
          </w:p>
          <w:p w14:paraId="1E6A7D2A" w14:textId="76E567EB" w:rsidR="0081618D" w:rsidRPr="0081618D" w:rsidRDefault="0081618D" w:rsidP="0081618D">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81618D">
              <w:rPr>
                <w:rFonts w:ascii="Times New Roman" w:hAnsi="Times New Roman"/>
                <w:bCs/>
                <w:sz w:val="24"/>
                <w:szCs w:val="24"/>
                <w:lang w:val="en-US"/>
              </w:rPr>
              <w:t xml:space="preserve">Client perspectives on </w:t>
            </w:r>
            <w:r w:rsidRPr="0081618D">
              <w:rPr>
                <w:rFonts w:ascii="Times New Roman" w:hAnsi="Times New Roman"/>
                <w:bCs/>
                <w:sz w:val="24"/>
                <w:szCs w:val="24"/>
              </w:rPr>
              <w:t xml:space="preserve">how </w:t>
            </w:r>
            <w:r w:rsidRPr="0081618D">
              <w:rPr>
                <w:rFonts w:ascii="Times New Roman" w:hAnsi="Times New Roman"/>
                <w:bCs/>
                <w:sz w:val="24"/>
                <w:szCs w:val="24"/>
                <w:lang w:val="en-US"/>
              </w:rPr>
              <w:t>they</w:t>
            </w:r>
            <w:r w:rsidRPr="0081618D">
              <w:rPr>
                <w:rFonts w:ascii="Times New Roman" w:hAnsi="Times New Roman"/>
                <w:bCs/>
                <w:sz w:val="24"/>
                <w:szCs w:val="24"/>
              </w:rPr>
              <w:t xml:space="preserve"> learn about and use the CBO’s services</w:t>
            </w:r>
            <w:r w:rsidRPr="0081618D">
              <w:rPr>
                <w:rFonts w:ascii="Times New Roman" w:hAnsi="Times New Roman"/>
                <w:sz w:val="24"/>
                <w:szCs w:val="24"/>
              </w:rPr>
              <w:t>.</w:t>
            </w:r>
          </w:p>
          <w:p w14:paraId="76508879" w14:textId="3A392E60" w:rsidR="0081618D" w:rsidRPr="0081618D" w:rsidRDefault="0081618D" w:rsidP="0081618D">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81618D">
              <w:rPr>
                <w:rFonts w:ascii="Times New Roman" w:hAnsi="Times New Roman"/>
                <w:sz w:val="24"/>
                <w:szCs w:val="24"/>
                <w:lang w:val="en-US"/>
              </w:rPr>
              <w:t xml:space="preserve">Client perspectives on general </w:t>
            </w:r>
            <w:r w:rsidRPr="0081618D">
              <w:rPr>
                <w:rFonts w:ascii="Times New Roman" w:hAnsi="Times New Roman"/>
                <w:bCs/>
                <w:sz w:val="24"/>
                <w:szCs w:val="24"/>
              </w:rPr>
              <w:t xml:space="preserve">barriers and facilitators that </w:t>
            </w:r>
            <w:r w:rsidRPr="0081618D">
              <w:rPr>
                <w:rFonts w:ascii="Times New Roman" w:hAnsi="Times New Roman"/>
                <w:bCs/>
                <w:sz w:val="24"/>
                <w:szCs w:val="24"/>
                <w:lang w:val="en-US"/>
              </w:rPr>
              <w:t>they</w:t>
            </w:r>
            <w:r w:rsidRPr="0081618D">
              <w:rPr>
                <w:rFonts w:ascii="Times New Roman" w:hAnsi="Times New Roman"/>
                <w:bCs/>
                <w:sz w:val="24"/>
                <w:szCs w:val="24"/>
              </w:rPr>
              <w:t xml:space="preserve"> face when seeking CBO services,</w:t>
            </w:r>
          </w:p>
          <w:p w14:paraId="0A909075" w14:textId="7BD4DF15" w:rsidR="0081618D" w:rsidRPr="0081618D" w:rsidRDefault="0081618D" w:rsidP="0081618D">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81618D">
              <w:rPr>
                <w:rFonts w:ascii="Times New Roman" w:hAnsi="Times New Roman"/>
                <w:sz w:val="24"/>
                <w:szCs w:val="24"/>
                <w:lang w:val="en-US"/>
              </w:rPr>
              <w:t xml:space="preserve">Client perspectives on how </w:t>
            </w:r>
            <w:r w:rsidRPr="0081618D">
              <w:rPr>
                <w:rFonts w:ascii="Times New Roman" w:hAnsi="Times New Roman"/>
                <w:bCs/>
                <w:sz w:val="24"/>
                <w:szCs w:val="24"/>
              </w:rPr>
              <w:t>stigma related to the</w:t>
            </w:r>
            <w:r w:rsidRPr="0081618D">
              <w:rPr>
                <w:rFonts w:ascii="Times New Roman" w:hAnsi="Times New Roman"/>
                <w:bCs/>
                <w:sz w:val="24"/>
                <w:szCs w:val="24"/>
                <w:lang w:val="en-US"/>
              </w:rPr>
              <w:t>ir</w:t>
            </w:r>
            <w:r w:rsidRPr="0081618D">
              <w:rPr>
                <w:rFonts w:ascii="Times New Roman" w:hAnsi="Times New Roman"/>
                <w:bCs/>
                <w:sz w:val="24"/>
                <w:szCs w:val="24"/>
              </w:rPr>
              <w:t xml:space="preserve"> sexual orientation</w:t>
            </w:r>
            <w:r w:rsidRPr="0081618D">
              <w:rPr>
                <w:rFonts w:ascii="Times New Roman" w:hAnsi="Times New Roman"/>
                <w:bCs/>
                <w:sz w:val="24"/>
                <w:szCs w:val="24"/>
                <w:lang w:val="en-US"/>
              </w:rPr>
              <w:t xml:space="preserve"> may affect how they access and use CBO services</w:t>
            </w:r>
            <w:r w:rsidRPr="0081618D">
              <w:rPr>
                <w:rFonts w:ascii="Times New Roman" w:hAnsi="Times New Roman"/>
                <w:sz w:val="24"/>
                <w:szCs w:val="24"/>
              </w:rPr>
              <w:t>.</w:t>
            </w:r>
          </w:p>
          <w:p w14:paraId="67028DC7" w14:textId="3DFDA4A9" w:rsidR="0081618D" w:rsidRPr="0081618D" w:rsidRDefault="0081618D" w:rsidP="0081618D">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81618D">
              <w:rPr>
                <w:rFonts w:ascii="Times New Roman" w:hAnsi="Times New Roman"/>
                <w:sz w:val="24"/>
                <w:szCs w:val="24"/>
                <w:lang w:val="en-US"/>
              </w:rPr>
              <w:t>Client perspectives on their</w:t>
            </w:r>
            <w:r w:rsidRPr="0081618D">
              <w:rPr>
                <w:rFonts w:ascii="Times New Roman" w:hAnsi="Times New Roman"/>
                <w:bCs/>
                <w:sz w:val="24"/>
                <w:szCs w:val="24"/>
              </w:rPr>
              <w:t xml:space="preserve"> </w:t>
            </w:r>
            <w:r w:rsidRPr="0081618D">
              <w:rPr>
                <w:rFonts w:ascii="Times New Roman" w:hAnsi="Times New Roman"/>
                <w:bCs/>
                <w:sz w:val="24"/>
                <w:szCs w:val="24"/>
                <w:lang w:val="en-US"/>
              </w:rPr>
              <w:t>gender identity may affect how they access and use CBO services</w:t>
            </w:r>
            <w:r w:rsidRPr="0081618D">
              <w:rPr>
                <w:rFonts w:ascii="Times New Roman" w:hAnsi="Times New Roman"/>
                <w:sz w:val="24"/>
                <w:szCs w:val="24"/>
              </w:rPr>
              <w:t>.</w:t>
            </w:r>
          </w:p>
          <w:p w14:paraId="6805EAC0" w14:textId="20531AFD" w:rsidR="0081618D" w:rsidRPr="0081618D" w:rsidRDefault="0081618D" w:rsidP="0081618D">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81618D">
              <w:rPr>
                <w:rFonts w:ascii="Times New Roman" w:hAnsi="Times New Roman"/>
                <w:sz w:val="24"/>
                <w:szCs w:val="24"/>
                <w:lang w:val="en-US"/>
              </w:rPr>
              <w:t>Client perspectives on how their</w:t>
            </w:r>
            <w:r w:rsidRPr="0081618D">
              <w:rPr>
                <w:rFonts w:ascii="Times New Roman" w:hAnsi="Times New Roman"/>
                <w:bCs/>
                <w:sz w:val="24"/>
                <w:szCs w:val="24"/>
              </w:rPr>
              <w:t xml:space="preserve"> </w:t>
            </w:r>
            <w:r w:rsidRPr="0081618D">
              <w:rPr>
                <w:rFonts w:ascii="Times New Roman" w:hAnsi="Times New Roman"/>
                <w:bCs/>
                <w:sz w:val="24"/>
                <w:szCs w:val="24"/>
                <w:lang w:val="en-US"/>
              </w:rPr>
              <w:t>HIV-negative or HIV-positive status may affect how they access and use CBO services</w:t>
            </w:r>
            <w:r w:rsidRPr="0081618D">
              <w:rPr>
                <w:rFonts w:ascii="Times New Roman" w:hAnsi="Times New Roman"/>
                <w:sz w:val="24"/>
                <w:szCs w:val="24"/>
              </w:rPr>
              <w:t>.</w:t>
            </w:r>
          </w:p>
          <w:p w14:paraId="460BB153" w14:textId="545B4FA0" w:rsidR="0081618D" w:rsidRPr="0081618D" w:rsidRDefault="0081618D" w:rsidP="0081618D">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81618D">
              <w:rPr>
                <w:rFonts w:ascii="Times New Roman" w:hAnsi="Times New Roman"/>
                <w:sz w:val="24"/>
                <w:szCs w:val="24"/>
                <w:lang w:val="en-US"/>
              </w:rPr>
              <w:t xml:space="preserve">Client perspectives on how their </w:t>
            </w:r>
            <w:r w:rsidRPr="0081618D">
              <w:rPr>
                <w:rFonts w:ascii="Times New Roman" w:hAnsi="Times New Roman"/>
                <w:bCs/>
                <w:sz w:val="24"/>
                <w:szCs w:val="24"/>
                <w:lang w:val="en-US"/>
              </w:rPr>
              <w:t>racial or ethnic identity may affect how they access and use CBO services</w:t>
            </w:r>
            <w:r w:rsidRPr="0081618D">
              <w:rPr>
                <w:rFonts w:ascii="Times New Roman" w:hAnsi="Times New Roman"/>
                <w:sz w:val="24"/>
                <w:szCs w:val="24"/>
              </w:rPr>
              <w:t xml:space="preserve">. </w:t>
            </w:r>
          </w:p>
          <w:p w14:paraId="5DA9A7CB" w14:textId="59EF7EE5" w:rsidR="00F72954" w:rsidRPr="00973A03" w:rsidRDefault="0081618D" w:rsidP="0081618D">
            <w:pPr>
              <w:pStyle w:val="ListParagraph"/>
              <w:numPr>
                <w:ilvl w:val="0"/>
                <w:numId w:val="11"/>
              </w:numPr>
              <w:spacing w:after="0" w:line="240" w:lineRule="auto"/>
              <w:ind w:left="314" w:hanging="270"/>
              <w:contextualSpacing w:val="0"/>
              <w:mirrorIndents/>
              <w:rPr>
                <w:sz w:val="20"/>
                <w:szCs w:val="20"/>
              </w:rPr>
            </w:pPr>
            <w:r w:rsidRPr="0081618D">
              <w:rPr>
                <w:rFonts w:ascii="Times New Roman" w:hAnsi="Times New Roman"/>
                <w:sz w:val="24"/>
                <w:szCs w:val="24"/>
                <w:lang w:val="en-US"/>
              </w:rPr>
              <w:t xml:space="preserve">Client ideas </w:t>
            </w:r>
            <w:r w:rsidRPr="0081618D">
              <w:rPr>
                <w:rFonts w:ascii="Times New Roman" w:hAnsi="Times New Roman"/>
                <w:sz w:val="24"/>
                <w:szCs w:val="24"/>
              </w:rPr>
              <w:t>about</w:t>
            </w:r>
            <w:r w:rsidRPr="0081618D">
              <w:rPr>
                <w:rFonts w:ascii="Times New Roman" w:hAnsi="Times New Roman"/>
                <w:sz w:val="24"/>
                <w:szCs w:val="24"/>
                <w:lang w:val="en-US"/>
              </w:rPr>
              <w:t xml:space="preserve"> how CBOs can successfully provide HIV prevention, care, and treatment services to black/African American or Hispanic/Latino YMSM and YTG.</w:t>
            </w:r>
          </w:p>
        </w:tc>
      </w:tr>
    </w:tbl>
    <w:p w14:paraId="32E4AA00" w14:textId="77777777" w:rsidR="00F72954" w:rsidRDefault="00F72954" w:rsidP="00F95454">
      <w:pPr>
        <w:spacing w:before="120" w:after="120"/>
        <w:mirrorIndents/>
      </w:pPr>
    </w:p>
    <w:p w14:paraId="607EBA2E" w14:textId="650FCE14" w:rsidR="00CC6AB1" w:rsidRDefault="00CC6AB1" w:rsidP="00F95454">
      <w:pPr>
        <w:pStyle w:val="Heading1"/>
        <w:spacing w:before="120" w:after="120"/>
        <w:mirrorIndents/>
      </w:pPr>
      <w:r w:rsidRPr="00B12EA3">
        <w:t>Use of Improved Information Technology and Burden Reduction</w:t>
      </w:r>
      <w:bookmarkEnd w:id="3"/>
    </w:p>
    <w:p w14:paraId="54CD4506" w14:textId="5B7D2EFE" w:rsidR="00E06F4F" w:rsidRDefault="00933271" w:rsidP="00F95454">
      <w:pPr>
        <w:spacing w:before="120" w:after="120"/>
        <w:mirrorIndents/>
      </w:pPr>
      <w:r w:rsidRPr="00F42159">
        <w:t xml:space="preserve">The contracting team </w:t>
      </w:r>
      <w:r w:rsidR="002F4995">
        <w:t xml:space="preserve">will screen potential </w:t>
      </w:r>
      <w:r w:rsidR="00427C03">
        <w:t>CBO c</w:t>
      </w:r>
      <w:r w:rsidR="00823552">
        <w:t xml:space="preserve">lient </w:t>
      </w:r>
      <w:r w:rsidR="002F4995">
        <w:t>participants by telephone</w:t>
      </w:r>
      <w:r w:rsidR="00AD7976">
        <w:t xml:space="preserve"> or in person</w:t>
      </w:r>
      <w:r w:rsidR="00974E01">
        <w:t>.</w:t>
      </w:r>
      <w:r w:rsidR="002F4995">
        <w:t xml:space="preserve"> </w:t>
      </w:r>
      <w:r w:rsidR="00AD7976">
        <w:t xml:space="preserve">A client screening tool will be used by the contracting team when talking with potential CBO client respondents </w:t>
      </w:r>
      <w:r w:rsidR="00AD7976" w:rsidRPr="00AD7976">
        <w:rPr>
          <w:b/>
        </w:rPr>
        <w:t>(Attachment 3a)</w:t>
      </w:r>
      <w:r w:rsidR="00AD7976">
        <w:t xml:space="preserve">. </w:t>
      </w:r>
      <w:r w:rsidR="002F4995">
        <w:t xml:space="preserve">Study staff from the contracting team </w:t>
      </w:r>
      <w:r w:rsidRPr="00F42159">
        <w:t xml:space="preserve">will conduct individual </w:t>
      </w:r>
      <w:r w:rsidR="00200B70">
        <w:t>IDIs</w:t>
      </w:r>
      <w:r w:rsidRPr="00F42159">
        <w:t xml:space="preserve"> at a time and location that is convenient to the participants. Telephone interviews or visual remote interviews (such as web or Skype interviews) are not a good vehicle for developing the necessary rapport between interviewer and </w:t>
      </w:r>
      <w:r w:rsidR="00591E48">
        <w:t xml:space="preserve">client </w:t>
      </w:r>
      <w:r w:rsidR="003C10A5">
        <w:t>participant</w:t>
      </w:r>
      <w:r w:rsidRPr="00F42159">
        <w:t xml:space="preserve"> for a successful qualitative interview on a sensitive topic. Body language and facial cues are critical to understand where additional probing may be needed or should stop, and telephone or web interviews limit the interviewer’s abi</w:t>
      </w:r>
      <w:r w:rsidRPr="00C5458E">
        <w:t>lity to read both. Thus, the contracting team will conduct the i</w:t>
      </w:r>
      <w:r w:rsidR="00240E62">
        <w:t>ndividual IDIs</w:t>
      </w:r>
      <w:r w:rsidRPr="00C5458E">
        <w:t xml:space="preserve"> in person.</w:t>
      </w:r>
      <w:r w:rsidR="00F42159" w:rsidRPr="00C5458E">
        <w:t xml:space="preserve"> </w:t>
      </w:r>
    </w:p>
    <w:p w14:paraId="11A6A2D2" w14:textId="027BE9E2" w:rsidR="00E06F4F" w:rsidRDefault="00E06F4F" w:rsidP="00F95454">
      <w:pPr>
        <w:spacing w:before="120" w:after="120"/>
        <w:mirrorIndents/>
      </w:pPr>
      <w:r>
        <w:t xml:space="preserve">A member of the study contractor team will invite </w:t>
      </w:r>
      <w:r w:rsidR="00427C03">
        <w:t xml:space="preserve">CBO </w:t>
      </w:r>
      <w:r>
        <w:t xml:space="preserve">staff to participate, either by telephone or by email. </w:t>
      </w:r>
      <w:r w:rsidR="00AD7976">
        <w:t xml:space="preserve">No staff screening tool is needed with potential CBO staff respondents because they will be invited based on their job roles within the CBO (for example, staff who provide HIV-related services to the CBO’s YMSM or YTG clients). </w:t>
      </w:r>
      <w:r>
        <w:t xml:space="preserve">When possible, the contractor team will conduct face-to-face interviews with the </w:t>
      </w:r>
      <w:r w:rsidR="00427C03">
        <w:t xml:space="preserve">CBO </w:t>
      </w:r>
      <w:r>
        <w:t xml:space="preserve">staff participants. However, this may not always be possible because of busy work schedules for the </w:t>
      </w:r>
      <w:r w:rsidR="00427C03">
        <w:t xml:space="preserve">CBO </w:t>
      </w:r>
      <w:r>
        <w:t>staff. In those situations, some program staff may be conducted by phone instead of face-to-face.</w:t>
      </w:r>
    </w:p>
    <w:p w14:paraId="6A8EFB70" w14:textId="7F546CEF" w:rsidR="006775DC" w:rsidRDefault="00427C03" w:rsidP="00F95454">
      <w:pPr>
        <w:spacing w:before="120" w:after="120"/>
        <w:mirrorIndents/>
      </w:pPr>
      <w:r>
        <w:t>CBO</w:t>
      </w:r>
      <w:r w:rsidR="00E06F4F">
        <w:t xml:space="preserve"> client</w:t>
      </w:r>
      <w:r>
        <w:t>s</w:t>
      </w:r>
      <w:r w:rsidR="00E06F4F">
        <w:t xml:space="preserve"> and </w:t>
      </w:r>
      <w:r>
        <w:t xml:space="preserve">CBO </w:t>
      </w:r>
      <w:r w:rsidR="00E06F4F">
        <w:t>staff will all be asked to provide a signed consent form prior to doing the interview. Two versions of the form will be used for the two groups (</w:t>
      </w:r>
      <w:r w:rsidR="00E06F4F" w:rsidRPr="00B64D28">
        <w:rPr>
          <w:b/>
        </w:rPr>
        <w:t>Attachment 2</w:t>
      </w:r>
      <w:r w:rsidR="00E06F4F">
        <w:t xml:space="preserve">). </w:t>
      </w:r>
      <w:r w:rsidR="00E65FF8">
        <w:t xml:space="preserve">Both consent forms </w:t>
      </w:r>
      <w:r w:rsidR="00E65FF8" w:rsidRPr="00F42159">
        <w:t xml:space="preserve">have been </w:t>
      </w:r>
      <w:r w:rsidR="00E65FF8">
        <w:t xml:space="preserve">reviews and </w:t>
      </w:r>
      <w:r w:rsidR="00E65FF8" w:rsidRPr="00F42159">
        <w:t xml:space="preserve">approved by </w:t>
      </w:r>
      <w:r w:rsidR="00E65FF8" w:rsidRPr="009A4982">
        <w:t>the CDC IRB</w:t>
      </w:r>
      <w:r w:rsidR="00E65FF8" w:rsidRPr="00316981">
        <w:rPr>
          <w:b/>
        </w:rPr>
        <w:t xml:space="preserve"> (Attachment 4a)</w:t>
      </w:r>
      <w:r w:rsidR="00E65FF8" w:rsidRPr="00316981">
        <w:t>.</w:t>
      </w:r>
      <w:r w:rsidR="00E65FF8">
        <w:t xml:space="preserve"> </w:t>
      </w:r>
      <w:r w:rsidR="00933271" w:rsidRPr="00C5458E">
        <w:t>After asking for and re</w:t>
      </w:r>
      <w:r w:rsidR="00674DC2">
        <w:t xml:space="preserve">ceiving </w:t>
      </w:r>
      <w:r w:rsidR="00A63A65">
        <w:t>signed consent forms</w:t>
      </w:r>
      <w:r w:rsidR="00674DC2">
        <w:t xml:space="preserve"> from the participant</w:t>
      </w:r>
      <w:r w:rsidR="00933271" w:rsidRPr="00C5458E">
        <w:t xml:space="preserve">, the contracting team will audio-record the interviews and transcribe recordings after the interview. This limits the burden on the </w:t>
      </w:r>
      <w:r w:rsidR="00C03F9D">
        <w:t>participant</w:t>
      </w:r>
      <w:r w:rsidR="00933271" w:rsidRPr="00C5458E">
        <w:t xml:space="preserve"> (no additional burden after completing the interview) and allows the interviewer to focus on building and maintaining rapport with the </w:t>
      </w:r>
      <w:r w:rsidR="00C03F9D">
        <w:t>participant</w:t>
      </w:r>
      <w:r w:rsidR="00933271" w:rsidRPr="00C5458E">
        <w:t>.</w:t>
      </w:r>
    </w:p>
    <w:p w14:paraId="77A42E3E" w14:textId="77777777" w:rsidR="005E6F8D" w:rsidRDefault="005E6F8D" w:rsidP="00F95454">
      <w:pPr>
        <w:spacing w:before="120" w:after="120"/>
        <w:mirrorIndents/>
        <w:jc w:val="both"/>
      </w:pPr>
    </w:p>
    <w:p w14:paraId="0F163E5C" w14:textId="22597E96" w:rsidR="00CC6AB1" w:rsidRDefault="00CC6AB1" w:rsidP="00F95454">
      <w:pPr>
        <w:pStyle w:val="Heading1"/>
        <w:spacing w:before="120" w:after="120"/>
        <w:mirrorIndents/>
      </w:pPr>
      <w:bookmarkStart w:id="5" w:name="_Toc448296075"/>
      <w:r w:rsidRPr="00B12EA3">
        <w:t>Efforts to Identify Duplication and Use of Similar Information</w:t>
      </w:r>
      <w:bookmarkEnd w:id="5"/>
    </w:p>
    <w:p w14:paraId="30C796A1" w14:textId="4AB217E1" w:rsidR="00FF37D9" w:rsidRDefault="00082EA9" w:rsidP="00FF37D9">
      <w:pPr>
        <w:tabs>
          <w:tab w:val="left" w:pos="720"/>
        </w:tabs>
        <w:spacing w:before="120" w:after="120"/>
        <w:mirrorIndents/>
      </w:pPr>
      <w:r w:rsidRPr="00A04495">
        <w:t xml:space="preserve">This study will </w:t>
      </w:r>
      <w:r w:rsidR="003A6A6C">
        <w:t xml:space="preserve">gather information </w:t>
      </w:r>
      <w:r w:rsidR="00FF37D9">
        <w:t>about</w:t>
      </w:r>
      <w:r w:rsidR="00FF37D9" w:rsidRPr="00FB7AA8">
        <w:t xml:space="preserve"> </w:t>
      </w:r>
      <w:r w:rsidR="00FF37D9">
        <w:t xml:space="preserve">factors that influence how black/African American and Hispanic/Latino YMSM and YTG access and use </w:t>
      </w:r>
      <w:r w:rsidR="006A1A16">
        <w:t xml:space="preserve">the </w:t>
      </w:r>
      <w:r w:rsidR="00FF37D9">
        <w:t>HIV prevention, care, and treatment services provided CBOs located in Deep South states. As previously noted in the “</w:t>
      </w:r>
      <w:r w:rsidR="00FF37D9" w:rsidRPr="00CC211B">
        <w:rPr>
          <w:b/>
        </w:rPr>
        <w:t>Circumstances Making the Collection of Information Necessary</w:t>
      </w:r>
      <w:r w:rsidR="00FF37D9">
        <w:t xml:space="preserve">” section of this document, public health </w:t>
      </w:r>
      <w:r w:rsidR="00A552D2">
        <w:t xml:space="preserve">studies </w:t>
      </w:r>
      <w:r w:rsidR="006A1A16">
        <w:t xml:space="preserve">have </w:t>
      </w:r>
      <w:r w:rsidR="00FF37D9">
        <w:t>show</w:t>
      </w:r>
      <w:r w:rsidR="006A1A16">
        <w:t>n</w:t>
      </w:r>
      <w:r w:rsidR="00FF37D9">
        <w:t xml:space="preserve"> that black/African American and Hispanic/Latino YMSM and YTG are at high risk for acquiring HIV infection</w:t>
      </w:r>
      <w:r w:rsidR="00CC211B">
        <w:t>, especially in Deep South states</w:t>
      </w:r>
      <w:r w:rsidR="00FF37D9">
        <w:t xml:space="preserve">. Likewise, prior information exists showing that black/African American and Hispanic/Latino YMSM and YTG often faces challenges in obtaining services that might help HIV-negative individuals avoid </w:t>
      </w:r>
      <w:r w:rsidR="00A552D2">
        <w:t xml:space="preserve">acquiring </w:t>
      </w:r>
      <w:r w:rsidR="00FF37D9">
        <w:t xml:space="preserve">HIV infection. Prior evidence also suggests that HIV-positive black/African American and Hispanic/Latino YMSM and YTG </w:t>
      </w:r>
      <w:r w:rsidR="00CC211B">
        <w:t>have difficulty accessing HIV care and treatment services.</w:t>
      </w:r>
    </w:p>
    <w:p w14:paraId="595BFA06" w14:textId="4F2FB682" w:rsidR="00CC211B" w:rsidRDefault="00CC211B" w:rsidP="00FF37D9">
      <w:pPr>
        <w:tabs>
          <w:tab w:val="left" w:pos="720"/>
        </w:tabs>
        <w:spacing w:before="120" w:after="120"/>
        <w:mirrorIndents/>
      </w:pPr>
      <w:r>
        <w:t>However, we are not aware of any previous studies that have collected information on factors that influence how black/African American and Hispanic/Latino YMSM and YTG access and use HIV prevention, care, and treatment services provided by CBOs in the Deep South, or in any other regions of the United States. CBOs often are unique and essential sources of HIV prevention, care, and treatment services for black/African American and Hispanic/Latino YMSM and YTG. To the Agency’s knowledge, the current proposed information collection will be the first study to examine these issues.</w:t>
      </w:r>
      <w:r w:rsidR="00BF2A04">
        <w:t xml:space="preserve"> The results obtained from the current proposed study will provide unique, novel, and useful information that CBOs and other </w:t>
      </w:r>
      <w:r w:rsidR="005B7DF7">
        <w:t>public health stakeholders can use to improve HIV prevention, care, and treatment services for black/African American and Hispanic/Latino YMSM and YTG.</w:t>
      </w:r>
      <w:r>
        <w:t xml:space="preserve"> </w:t>
      </w:r>
    </w:p>
    <w:p w14:paraId="6C5766A6" w14:textId="0D7E3337" w:rsidR="00933271" w:rsidRPr="003A6A6C" w:rsidRDefault="00A04495" w:rsidP="003A6A6C">
      <w:pPr>
        <w:tabs>
          <w:tab w:val="left" w:pos="720"/>
        </w:tabs>
        <w:spacing w:before="120" w:after="120"/>
        <w:mirrorIndents/>
        <w:rPr>
          <w:rFonts w:eastAsia="Calibri"/>
        </w:rPr>
      </w:pPr>
      <w:r w:rsidRPr="00A04495">
        <w:t xml:space="preserve">Thus, </w:t>
      </w:r>
      <w:r w:rsidR="00CC211B">
        <w:t>t</w:t>
      </w:r>
      <w:r w:rsidR="003A6A6C">
        <w:t xml:space="preserve">he Agency </w:t>
      </w:r>
      <w:r w:rsidR="00933271" w:rsidRPr="00A04495">
        <w:t xml:space="preserve">believes this </w:t>
      </w:r>
      <w:r w:rsidR="00CC211B">
        <w:t xml:space="preserve">proposed </w:t>
      </w:r>
      <w:r w:rsidR="00933271" w:rsidRPr="00A04495">
        <w:t>informa</w:t>
      </w:r>
      <w:r w:rsidR="003A6A6C">
        <w:t>tion</w:t>
      </w:r>
      <w:r w:rsidR="00CC211B">
        <w:t xml:space="preserve"> collection</w:t>
      </w:r>
      <w:r w:rsidR="003A6A6C">
        <w:t xml:space="preserve"> is not captured elsewhere, and that </w:t>
      </w:r>
      <w:r w:rsidR="00933271" w:rsidRPr="00A04495">
        <w:t>no other data collection effort has been conducted or has been planned to collect similar information for this population</w:t>
      </w:r>
      <w:r w:rsidR="00815C35" w:rsidRPr="00A04495">
        <w:t xml:space="preserve"> in these jurisdictions</w:t>
      </w:r>
      <w:r w:rsidR="00933271" w:rsidRPr="00A04495">
        <w:t xml:space="preserve">. </w:t>
      </w:r>
      <w:r w:rsidR="00CC211B">
        <w:t>T</w:t>
      </w:r>
      <w:r w:rsidR="003A6A6C">
        <w:t xml:space="preserve">he Agency </w:t>
      </w:r>
      <w:r w:rsidR="00CC211B">
        <w:t>conducted a review of related</w:t>
      </w:r>
      <w:r w:rsidR="00DC0C2E" w:rsidRPr="00A04495">
        <w:t xml:space="preserve"> studies and determined that this study is collecting unique information. </w:t>
      </w:r>
      <w:r w:rsidR="00933271" w:rsidRPr="00A04495">
        <w:t xml:space="preserve">Therefore, our evaluation requires the collection of this new primary data. There would be no reason for another Federal Agency to evaluate </w:t>
      </w:r>
      <w:r w:rsidR="00582903" w:rsidRPr="00A04495">
        <w:t>these research questions</w:t>
      </w:r>
      <w:r w:rsidR="00933271" w:rsidRPr="00A04495">
        <w:t>.</w:t>
      </w:r>
    </w:p>
    <w:p w14:paraId="3697F9FB" w14:textId="77777777" w:rsidR="00F95454" w:rsidRDefault="00F95454" w:rsidP="00F95454">
      <w:pPr>
        <w:spacing w:before="120" w:after="120"/>
        <w:mirrorIndents/>
      </w:pPr>
    </w:p>
    <w:p w14:paraId="45B921C7" w14:textId="5E59F610" w:rsidR="00CC6AB1" w:rsidRDefault="00CC6AB1" w:rsidP="00F95454">
      <w:pPr>
        <w:pStyle w:val="Heading1"/>
        <w:spacing w:before="120" w:after="120"/>
        <w:mirrorIndents/>
      </w:pPr>
      <w:bookmarkStart w:id="6" w:name="_Toc448296076"/>
      <w:r w:rsidRPr="00B12EA3">
        <w:t>Impact on Small Businesses or Other Small Entities</w:t>
      </w:r>
      <w:bookmarkEnd w:id="6"/>
    </w:p>
    <w:p w14:paraId="544AD443" w14:textId="27F4F996" w:rsidR="00CC6AB1" w:rsidRDefault="00CC6AB1" w:rsidP="00F95454">
      <w:pPr>
        <w:spacing w:before="120" w:after="120"/>
        <w:mirrorIndents/>
      </w:pPr>
      <w:r w:rsidRPr="00F42159">
        <w:t xml:space="preserve">This </w:t>
      </w:r>
      <w:r w:rsidR="00E368ED" w:rsidRPr="00F42159">
        <w:t xml:space="preserve">information </w:t>
      </w:r>
      <w:r w:rsidRPr="00F42159">
        <w:t>collection does not involve burden to small businesses or other small entities.</w:t>
      </w:r>
    </w:p>
    <w:p w14:paraId="7C17A669" w14:textId="77777777" w:rsidR="00F95454" w:rsidRDefault="00F95454" w:rsidP="00F95454">
      <w:pPr>
        <w:spacing w:before="120" w:after="120"/>
        <w:mirrorIndents/>
      </w:pPr>
    </w:p>
    <w:p w14:paraId="55BE02A1" w14:textId="1A42ADD3" w:rsidR="00CC6AB1" w:rsidRDefault="00CC6AB1" w:rsidP="00F95454">
      <w:pPr>
        <w:pStyle w:val="Heading1"/>
        <w:spacing w:before="120" w:after="120"/>
        <w:mirrorIndents/>
      </w:pPr>
      <w:bookmarkStart w:id="7" w:name="_Toc448296077"/>
      <w:r w:rsidRPr="00F9622C">
        <w:t>Consequences</w:t>
      </w:r>
      <w:r w:rsidRPr="00B12EA3">
        <w:t xml:space="preserve"> of Collecting the Information Less Frequently</w:t>
      </w:r>
      <w:bookmarkEnd w:id="7"/>
    </w:p>
    <w:p w14:paraId="03741B81" w14:textId="043B72E9" w:rsidR="00A51C29" w:rsidRDefault="007F7EDD" w:rsidP="00F95454">
      <w:pPr>
        <w:spacing w:before="120" w:after="120"/>
        <w:mirrorIndents/>
        <w:rPr>
          <w:bCs/>
          <w:lang w:bidi="en-US"/>
        </w:rPr>
      </w:pPr>
      <w:r w:rsidRPr="00A04495">
        <w:rPr>
          <w:bCs/>
        </w:rPr>
        <w:t xml:space="preserve">This information collection </w:t>
      </w:r>
      <w:r w:rsidR="00DC0C2E" w:rsidRPr="00A04495">
        <w:rPr>
          <w:bCs/>
        </w:rPr>
        <w:t xml:space="preserve">will provide the primary qualitative data needed to understand </w:t>
      </w:r>
      <w:r w:rsidR="000816E0">
        <w:t xml:space="preserve">how black/African American and Hispanic/Latino YMSM and YTG access and use HIV prevention, care, and treatment services provided </w:t>
      </w:r>
      <w:r w:rsidR="00493F64">
        <w:t xml:space="preserve">by </w:t>
      </w:r>
      <w:r w:rsidR="000816E0">
        <w:t>CBOs</w:t>
      </w:r>
      <w:r w:rsidR="00493F64">
        <w:t xml:space="preserve"> in the Deep South</w:t>
      </w:r>
      <w:r w:rsidR="002C3AE2" w:rsidRPr="00A04495">
        <w:rPr>
          <w:bCs/>
        </w:rPr>
        <w:t xml:space="preserve">. If this case study were not conducted, it would not be possible to form an in-depth contextual understanding </w:t>
      </w:r>
      <w:r w:rsidR="002C3AE2" w:rsidRPr="00A04495">
        <w:rPr>
          <w:bCs/>
          <w:lang w:bidi="en-US"/>
        </w:rPr>
        <w:t>of</w:t>
      </w:r>
      <w:r w:rsidR="000816E0">
        <w:rPr>
          <w:bCs/>
          <w:lang w:bidi="en-US"/>
        </w:rPr>
        <w:t xml:space="preserve"> factors that may affect the success of CBOs providing these services to these populations</w:t>
      </w:r>
      <w:r w:rsidR="002C3AE2" w:rsidRPr="00A04495">
        <w:rPr>
          <w:bCs/>
          <w:lang w:bidi="en-US"/>
        </w:rPr>
        <w:t>.</w:t>
      </w:r>
      <w:r w:rsidR="00582903" w:rsidRPr="00A04495">
        <w:rPr>
          <w:bCs/>
          <w:lang w:bidi="en-US"/>
        </w:rPr>
        <w:t xml:space="preserve"> </w:t>
      </w:r>
      <w:r w:rsidR="00E344D5" w:rsidRPr="00A04495">
        <w:rPr>
          <w:bCs/>
          <w:lang w:bidi="en-US"/>
        </w:rPr>
        <w:t xml:space="preserve">Collecting this type of jurisdiction-specific information is important, as </w:t>
      </w:r>
      <w:r w:rsidR="007F1E53" w:rsidRPr="00A04495">
        <w:rPr>
          <w:bCs/>
          <w:lang w:bidi="en-US"/>
        </w:rPr>
        <w:t>it will allow</w:t>
      </w:r>
      <w:r w:rsidR="00E344D5" w:rsidRPr="00A04495">
        <w:rPr>
          <w:bCs/>
          <w:lang w:bidi="en-US"/>
        </w:rPr>
        <w:t xml:space="preserve"> us to provide feedback to </w:t>
      </w:r>
      <w:r w:rsidR="000816E0">
        <w:rPr>
          <w:bCs/>
          <w:lang w:bidi="en-US"/>
        </w:rPr>
        <w:t xml:space="preserve">CBOs </w:t>
      </w:r>
      <w:r w:rsidR="00E344D5" w:rsidRPr="00565EDB">
        <w:rPr>
          <w:bCs/>
          <w:lang w:bidi="en-US"/>
        </w:rPr>
        <w:t xml:space="preserve">and other </w:t>
      </w:r>
      <w:r w:rsidR="000816E0">
        <w:rPr>
          <w:bCs/>
          <w:lang w:bidi="en-US"/>
        </w:rPr>
        <w:t xml:space="preserve">public health </w:t>
      </w:r>
      <w:r w:rsidR="00E344D5" w:rsidRPr="00565EDB">
        <w:rPr>
          <w:bCs/>
          <w:lang w:bidi="en-US"/>
        </w:rPr>
        <w:t>stakeholders that is relevant</w:t>
      </w:r>
      <w:r w:rsidR="00493F64">
        <w:rPr>
          <w:bCs/>
          <w:lang w:bidi="en-US"/>
        </w:rPr>
        <w:t xml:space="preserve"> for improving HIV prevention, care, and treatment services offered by the CBOs</w:t>
      </w:r>
      <w:r w:rsidR="00E344D5" w:rsidRPr="00565EDB">
        <w:rPr>
          <w:bCs/>
          <w:lang w:bidi="en-US"/>
        </w:rPr>
        <w:t xml:space="preserve">. </w:t>
      </w:r>
      <w:r w:rsidR="002C3AE2" w:rsidRPr="00565EDB">
        <w:rPr>
          <w:bCs/>
          <w:lang w:bidi="en-US"/>
        </w:rPr>
        <w:t xml:space="preserve">The </w:t>
      </w:r>
      <w:r w:rsidR="004C581B">
        <w:rPr>
          <w:bCs/>
          <w:lang w:bidi="en-US"/>
        </w:rPr>
        <w:t xml:space="preserve">total </w:t>
      </w:r>
      <w:r w:rsidR="002C3AE2" w:rsidRPr="00565EDB">
        <w:rPr>
          <w:bCs/>
          <w:lang w:bidi="en-US"/>
        </w:rPr>
        <w:t xml:space="preserve">length of data collection </w:t>
      </w:r>
      <w:r w:rsidR="004F56DE" w:rsidRPr="00565EDB">
        <w:rPr>
          <w:bCs/>
          <w:lang w:bidi="en-US"/>
        </w:rPr>
        <w:t>is 3-4 months and data will only be collected once.</w:t>
      </w:r>
    </w:p>
    <w:p w14:paraId="660C26E5" w14:textId="77777777" w:rsidR="00316981" w:rsidRDefault="00316981" w:rsidP="00F95454">
      <w:pPr>
        <w:spacing w:before="120" w:after="120"/>
        <w:mirrorIndents/>
      </w:pPr>
    </w:p>
    <w:p w14:paraId="19581741" w14:textId="36DB443F" w:rsidR="00CC6AB1" w:rsidRDefault="00CC6AB1" w:rsidP="00F95454">
      <w:pPr>
        <w:pStyle w:val="Heading1"/>
        <w:spacing w:before="120" w:after="120"/>
        <w:mirrorIndents/>
      </w:pPr>
      <w:bookmarkStart w:id="8" w:name="_Toc448296078"/>
      <w:r w:rsidRPr="00B12EA3">
        <w:t>Special Circumstances Relating to the Guidelines of 5 CFR 1320.5</w:t>
      </w:r>
      <w:bookmarkEnd w:id="8"/>
    </w:p>
    <w:p w14:paraId="5C965F8D" w14:textId="41137467" w:rsidR="00CC6AB1" w:rsidRDefault="00CC6AB1" w:rsidP="00F95454">
      <w:pPr>
        <w:spacing w:before="120" w:after="120"/>
        <w:mirrorIndents/>
      </w:pPr>
      <w:r w:rsidRPr="00A04495">
        <w:t>This data collection effort does not involve any special circumstances.</w:t>
      </w:r>
    </w:p>
    <w:p w14:paraId="226566BE" w14:textId="77777777" w:rsidR="00F95454" w:rsidRPr="00D467C4" w:rsidRDefault="00F95454" w:rsidP="00F95454">
      <w:pPr>
        <w:spacing w:before="120" w:after="120"/>
        <w:mirrorIndents/>
      </w:pPr>
    </w:p>
    <w:p w14:paraId="0FDC9E36" w14:textId="109020A0" w:rsidR="00CC6AB1" w:rsidRDefault="00CC6AB1" w:rsidP="00F95454">
      <w:pPr>
        <w:pStyle w:val="Heading1"/>
        <w:spacing w:before="120" w:after="120"/>
        <w:mirrorIndents/>
      </w:pPr>
      <w:bookmarkStart w:id="9" w:name="_Toc448296079"/>
      <w:r w:rsidRPr="00B12EA3">
        <w:t>Comments in Response to the Federal Register Notice and Efforts to Consult Outside the Agency</w:t>
      </w:r>
      <w:bookmarkEnd w:id="9"/>
    </w:p>
    <w:p w14:paraId="74F8AA59" w14:textId="3B1A9AEB" w:rsidR="00CC6AB1" w:rsidRPr="00973A03" w:rsidRDefault="00CC6AB1" w:rsidP="00F95454">
      <w:pPr>
        <w:spacing w:before="120" w:after="120"/>
        <w:mirrorIndents/>
      </w:pPr>
      <w:r w:rsidRPr="00973A03">
        <w:t>A 60 day FRN notice to solicit public comments was published for the Generic umbrella collection (0920-</w:t>
      </w:r>
      <w:r w:rsidR="00D329C3" w:rsidRPr="00973A03">
        <w:t>1091</w:t>
      </w:r>
      <w:r w:rsidRPr="00973A03">
        <w:t xml:space="preserve">) in the Federal Register on </w:t>
      </w:r>
      <w:r w:rsidR="00F15707" w:rsidRPr="00973A03">
        <w:t>02/24/2015</w:t>
      </w:r>
      <w:r w:rsidRPr="00973A03">
        <w:t>, Volume 80, Number</w:t>
      </w:r>
      <w:r w:rsidR="00F15707" w:rsidRPr="00973A03">
        <w:t xml:space="preserve"> 36</w:t>
      </w:r>
      <w:r w:rsidRPr="00973A03">
        <w:t xml:space="preserve">, Page Number </w:t>
      </w:r>
      <w:r w:rsidR="00F15707" w:rsidRPr="00973A03">
        <w:t>9727</w:t>
      </w:r>
      <w:r w:rsidRPr="00973A03">
        <w:t>-</w:t>
      </w:r>
      <w:r w:rsidR="00F15707" w:rsidRPr="00973A03">
        <w:t>9728</w:t>
      </w:r>
      <w:r w:rsidRPr="00973A03">
        <w:t>.   No public comments were received.</w:t>
      </w:r>
    </w:p>
    <w:p w14:paraId="5700D26F" w14:textId="5240812B" w:rsidR="00C1216F" w:rsidRPr="003A6A6C" w:rsidRDefault="00C1216F" w:rsidP="00F95454">
      <w:pPr>
        <w:spacing w:before="120" w:after="120"/>
        <w:mirrorIndents/>
      </w:pPr>
      <w:r w:rsidRPr="003A6A6C">
        <w:t xml:space="preserve">In addition, </w:t>
      </w:r>
      <w:r w:rsidR="00F15707" w:rsidRPr="003A6A6C">
        <w:t>Research Support Services</w:t>
      </w:r>
      <w:r w:rsidRPr="003A6A6C">
        <w:t xml:space="preserve"> </w:t>
      </w:r>
      <w:r w:rsidR="00441432" w:rsidRPr="003A6A6C">
        <w:t xml:space="preserve">and </w:t>
      </w:r>
      <w:r w:rsidR="00A60B75">
        <w:t>their subcontractors</w:t>
      </w:r>
      <w:r w:rsidR="00A71916" w:rsidRPr="003A6A6C">
        <w:t xml:space="preserve"> </w:t>
      </w:r>
      <w:r w:rsidR="00E76B94">
        <w:t xml:space="preserve">(IMPAQ International, and Emory Univ./Univ. of Nevada) </w:t>
      </w:r>
      <w:r w:rsidR="00A71916" w:rsidRPr="003A6A6C">
        <w:t>were consulted for the development of this study</w:t>
      </w:r>
      <w:r w:rsidR="00E76B94">
        <w:t xml:space="preserve"> (see Table below)</w:t>
      </w:r>
      <w:r w:rsidR="00A71916" w:rsidRPr="003A6A6C">
        <w:t xml:space="preserve">. There were no unresolved issues associated with the consultation process. </w:t>
      </w:r>
      <w:r w:rsidR="00A71916" w:rsidRPr="00973A03">
        <w:t>Aside from the official 60 day public comment period</w:t>
      </w:r>
      <w:r w:rsidR="0014691A" w:rsidRPr="00973A03">
        <w:t xml:space="preserve"> for the Generic data collection</w:t>
      </w:r>
      <w:r w:rsidR="00A71916" w:rsidRPr="00973A03">
        <w:t xml:space="preserve">, there were no other public contacts or opportunities for public comment on this </w:t>
      </w:r>
      <w:r w:rsidR="007F7EDD" w:rsidRPr="00973A03">
        <w:t>information collection</w:t>
      </w:r>
      <w:r w:rsidR="00A71916" w:rsidRPr="00973A03">
        <w:t>.</w:t>
      </w:r>
      <w:r w:rsidR="00A71916" w:rsidRPr="003A6A6C">
        <w:t xml:space="preserve"> </w:t>
      </w:r>
    </w:p>
    <w:tbl>
      <w:tblPr>
        <w:tblStyle w:val="TableGrid"/>
        <w:tblW w:w="0" w:type="auto"/>
        <w:tblLook w:val="04A0" w:firstRow="1" w:lastRow="0" w:firstColumn="1" w:lastColumn="0" w:noHBand="0" w:noVBand="1"/>
      </w:tblPr>
      <w:tblGrid>
        <w:gridCol w:w="5035"/>
        <w:gridCol w:w="5035"/>
      </w:tblGrid>
      <w:tr w:rsidR="00A71916" w14:paraId="4ADCB37A" w14:textId="77777777" w:rsidTr="00F26954">
        <w:trPr>
          <w:trHeight w:val="2582"/>
        </w:trPr>
        <w:tc>
          <w:tcPr>
            <w:tcW w:w="5035" w:type="dxa"/>
          </w:tcPr>
          <w:p w14:paraId="7DC8396B" w14:textId="1582E73E" w:rsidR="00B962E4" w:rsidRDefault="009501CD" w:rsidP="00B962E4">
            <w:pPr>
              <w:mirrorIndents/>
            </w:pPr>
            <w:r w:rsidRPr="00F94F35">
              <w:t xml:space="preserve">Paula Frew, </w:t>
            </w:r>
            <w:r w:rsidR="001812AE">
              <w:t xml:space="preserve">Team Lead; </w:t>
            </w:r>
          </w:p>
          <w:p w14:paraId="054FC5A5" w14:textId="0AE02A1E" w:rsidR="009501CD" w:rsidRPr="00F94F35" w:rsidRDefault="00A60B75" w:rsidP="00F95454">
            <w:pPr>
              <w:mirrorIndents/>
            </w:pPr>
            <w:r>
              <w:t>University of Nevada at Las Vegas</w:t>
            </w:r>
            <w:r w:rsidR="00B962E4">
              <w:t xml:space="preserve"> (formerly at Emory University </w:t>
            </w:r>
            <w:r w:rsidR="00982E03">
              <w:t>prior to Sept 1, 2018</w:t>
            </w:r>
            <w:r w:rsidR="00B962E4">
              <w:t>)</w:t>
            </w:r>
          </w:p>
          <w:p w14:paraId="26DB8973" w14:textId="3E82F0DB" w:rsidR="00B962E4" w:rsidRPr="00F26954" w:rsidRDefault="00B962E4" w:rsidP="00B962E4">
            <w:r w:rsidRPr="00F26954">
              <w:t>4505 South Maryland Parkway</w:t>
            </w:r>
          </w:p>
          <w:p w14:paraId="4F34C1AA" w14:textId="77777777" w:rsidR="00B962E4" w:rsidRPr="00F26954" w:rsidRDefault="00B962E4" w:rsidP="00B962E4">
            <w:r w:rsidRPr="00F26954">
              <w:t>The Harry Reid Research Bldg</w:t>
            </w:r>
          </w:p>
          <w:p w14:paraId="35F67C23" w14:textId="77777777" w:rsidR="00B962E4" w:rsidRPr="00F26954" w:rsidRDefault="00B962E4" w:rsidP="00B962E4">
            <w:r w:rsidRPr="00F26954">
              <w:t>room 413</w:t>
            </w:r>
          </w:p>
          <w:p w14:paraId="4C051B56" w14:textId="77777777" w:rsidR="00B962E4" w:rsidRPr="00F26954" w:rsidRDefault="00B962E4" w:rsidP="00B962E4">
            <w:r w:rsidRPr="00F26954">
              <w:t>Las Vegas, NV 89154</w:t>
            </w:r>
          </w:p>
          <w:p w14:paraId="1207F669" w14:textId="2BAB5849" w:rsidR="009501CD" w:rsidRPr="00F26954" w:rsidRDefault="004B5036" w:rsidP="00F95454">
            <w:pPr>
              <w:mirrorIndents/>
            </w:pPr>
            <w:r w:rsidRPr="00F26954">
              <w:t xml:space="preserve">Phone: </w:t>
            </w:r>
            <w:r w:rsidR="00A60B75" w:rsidRPr="00F26954">
              <w:t>678</w:t>
            </w:r>
            <w:r w:rsidR="00334FDA" w:rsidRPr="00F26954">
              <w:t>-</w:t>
            </w:r>
            <w:r w:rsidR="00A60B75" w:rsidRPr="00F26954">
              <w:t>591</w:t>
            </w:r>
            <w:r w:rsidR="00334FDA" w:rsidRPr="00F26954">
              <w:t>-</w:t>
            </w:r>
            <w:r w:rsidR="00A60B75" w:rsidRPr="00F26954">
              <w:t>3494</w:t>
            </w:r>
          </w:p>
          <w:p w14:paraId="228A2321" w14:textId="039D70FB" w:rsidR="00334FDA" w:rsidRPr="00F26954" w:rsidRDefault="00250230" w:rsidP="00F95454">
            <w:pPr>
              <w:mirrorIndents/>
            </w:pPr>
            <w:hyperlink r:id="rId9" w:tgtFrame="_blank" w:history="1">
              <w:r w:rsidR="00A60B75" w:rsidRPr="00F26954">
                <w:rPr>
                  <w:rStyle w:val="Hyperlink"/>
                  <w:bCs/>
                </w:rPr>
                <w:t>paula.frew@unlv.edu</w:t>
              </w:r>
            </w:hyperlink>
          </w:p>
          <w:p w14:paraId="055A2B75" w14:textId="72B660EE" w:rsidR="00A60B75" w:rsidRPr="00F94F35" w:rsidRDefault="00A60B75" w:rsidP="00F95454">
            <w:pPr>
              <w:mirrorIndents/>
            </w:pPr>
          </w:p>
        </w:tc>
        <w:tc>
          <w:tcPr>
            <w:tcW w:w="5035" w:type="dxa"/>
          </w:tcPr>
          <w:p w14:paraId="62D7600E" w14:textId="034E6795" w:rsidR="00026DB7" w:rsidRDefault="00026DB7" w:rsidP="00F95454">
            <w:pPr>
              <w:mirrorIndents/>
            </w:pPr>
            <w:r w:rsidRPr="00F94F35">
              <w:t xml:space="preserve">Laura Randall, </w:t>
            </w:r>
            <w:r w:rsidR="004713DD">
              <w:t>Project Manager</w:t>
            </w:r>
            <w:r w:rsidR="001812AE">
              <w:t xml:space="preserve">; </w:t>
            </w:r>
          </w:p>
          <w:p w14:paraId="49498EEC" w14:textId="792AA7D1" w:rsidR="00B962E4" w:rsidRPr="00F26954" w:rsidRDefault="00B962E4" w:rsidP="00B962E4">
            <w:pPr>
              <w:mirrorIndents/>
            </w:pPr>
            <w:r w:rsidRPr="00F26954">
              <w:t>University of Nevada at Las Vegas (formerly at Emory University</w:t>
            </w:r>
            <w:r w:rsidR="00982E03">
              <w:t xml:space="preserve"> prior to Sept 1, 2018</w:t>
            </w:r>
            <w:r w:rsidRPr="00F26954">
              <w:t>)</w:t>
            </w:r>
          </w:p>
          <w:p w14:paraId="25FCE0F2" w14:textId="77777777" w:rsidR="00B962E4" w:rsidRPr="00F26954" w:rsidRDefault="00B962E4" w:rsidP="00B962E4">
            <w:r w:rsidRPr="00F26954">
              <w:t>4505 South Maryland Parkway</w:t>
            </w:r>
          </w:p>
          <w:p w14:paraId="714E609A" w14:textId="77777777" w:rsidR="00B962E4" w:rsidRPr="00F26954" w:rsidRDefault="00B962E4" w:rsidP="00B962E4">
            <w:r w:rsidRPr="00F26954">
              <w:t>The Harry Reid Research Bldg</w:t>
            </w:r>
          </w:p>
          <w:p w14:paraId="66DCF917" w14:textId="77777777" w:rsidR="00B962E4" w:rsidRPr="00F26954" w:rsidRDefault="00B962E4" w:rsidP="00B962E4">
            <w:r w:rsidRPr="00F26954">
              <w:t>room 413</w:t>
            </w:r>
          </w:p>
          <w:p w14:paraId="464CDF04" w14:textId="77777777" w:rsidR="00B962E4" w:rsidRPr="00F26954" w:rsidRDefault="00B962E4" w:rsidP="00B962E4">
            <w:r w:rsidRPr="00F26954">
              <w:t>Las Vegas, NV 89154</w:t>
            </w:r>
          </w:p>
          <w:p w14:paraId="04D606A1" w14:textId="3E17722B" w:rsidR="004B5036" w:rsidRPr="00F26954" w:rsidRDefault="004B5036" w:rsidP="00F95454">
            <w:pPr>
              <w:mirrorIndents/>
            </w:pPr>
            <w:r w:rsidRPr="00F26954">
              <w:t>Phone: 404-727-2994</w:t>
            </w:r>
          </w:p>
          <w:p w14:paraId="6F41D030" w14:textId="6536A35B" w:rsidR="00026DB7" w:rsidRPr="00F94F35" w:rsidRDefault="00250230" w:rsidP="00F95454">
            <w:pPr>
              <w:mirrorIndents/>
            </w:pPr>
            <w:hyperlink r:id="rId10" w:history="1">
              <w:r w:rsidR="00026DB7" w:rsidRPr="00F94F35">
                <w:rPr>
                  <w:rStyle w:val="Hyperlink"/>
                </w:rPr>
                <w:t>laura.randall@emory.edu</w:t>
              </w:r>
            </w:hyperlink>
            <w:r w:rsidR="00026DB7" w:rsidRPr="00F94F35">
              <w:t xml:space="preserve"> </w:t>
            </w:r>
          </w:p>
        </w:tc>
      </w:tr>
      <w:tr w:rsidR="00A71916" w14:paraId="7B26C142" w14:textId="77777777" w:rsidTr="004B5036">
        <w:trPr>
          <w:trHeight w:val="1664"/>
        </w:trPr>
        <w:tc>
          <w:tcPr>
            <w:tcW w:w="5035" w:type="dxa"/>
          </w:tcPr>
          <w:p w14:paraId="6FB6C701" w14:textId="7B8CF5FD" w:rsidR="00026DB7" w:rsidRPr="00F94F35" w:rsidRDefault="00026DB7" w:rsidP="00F95454">
            <w:pPr>
              <w:mirrorIndents/>
              <w:rPr>
                <w:color w:val="000000"/>
              </w:rPr>
            </w:pPr>
            <w:r w:rsidRPr="00F94F35">
              <w:rPr>
                <w:color w:val="000000"/>
              </w:rPr>
              <w:t xml:space="preserve">Alisu Schoua-Glusberg, Project Director </w:t>
            </w:r>
          </w:p>
          <w:p w14:paraId="51FD60C8" w14:textId="77777777" w:rsidR="00026DB7" w:rsidRPr="00F94F35" w:rsidRDefault="00026DB7" w:rsidP="00F95454">
            <w:pPr>
              <w:mirrorIndents/>
              <w:rPr>
                <w:color w:val="000000"/>
              </w:rPr>
            </w:pPr>
            <w:r w:rsidRPr="00F94F35">
              <w:rPr>
                <w:color w:val="000000"/>
              </w:rPr>
              <w:t xml:space="preserve">Research Support Services, Inc. </w:t>
            </w:r>
          </w:p>
          <w:p w14:paraId="0076B665" w14:textId="77777777" w:rsidR="00026DB7" w:rsidRPr="00F94F35" w:rsidRDefault="00026DB7" w:rsidP="00F95454">
            <w:pPr>
              <w:mirrorIndents/>
              <w:rPr>
                <w:color w:val="000000"/>
              </w:rPr>
            </w:pPr>
            <w:r w:rsidRPr="00F94F35">
              <w:rPr>
                <w:color w:val="000000"/>
              </w:rPr>
              <w:t xml:space="preserve">906 Ridge Ave. </w:t>
            </w:r>
          </w:p>
          <w:p w14:paraId="653FFD15" w14:textId="77777777" w:rsidR="00026DB7" w:rsidRPr="00F94F35" w:rsidRDefault="00026DB7" w:rsidP="00F95454">
            <w:pPr>
              <w:mirrorIndents/>
              <w:rPr>
                <w:color w:val="000000"/>
              </w:rPr>
            </w:pPr>
            <w:r w:rsidRPr="00F94F35">
              <w:rPr>
                <w:color w:val="000000"/>
              </w:rPr>
              <w:t>Evanston, IL 60202-1720</w:t>
            </w:r>
          </w:p>
          <w:p w14:paraId="62DCF7E7" w14:textId="77777777" w:rsidR="00026DB7" w:rsidRPr="00F94F35" w:rsidRDefault="00026DB7" w:rsidP="00F95454">
            <w:pPr>
              <w:mirrorIndents/>
              <w:rPr>
                <w:color w:val="000000"/>
              </w:rPr>
            </w:pPr>
            <w:r w:rsidRPr="00F94F35">
              <w:rPr>
                <w:color w:val="000000"/>
              </w:rPr>
              <w:t>Phone:  847-864-5677</w:t>
            </w:r>
          </w:p>
          <w:p w14:paraId="0FDE3AD8" w14:textId="14D0ACC9" w:rsidR="00A71916" w:rsidRPr="00F94F35" w:rsidRDefault="00250230" w:rsidP="00F95454">
            <w:pPr>
              <w:mirrorIndents/>
              <w:rPr>
                <w:color w:val="000000"/>
              </w:rPr>
            </w:pPr>
            <w:hyperlink r:id="rId11" w:history="1">
              <w:r w:rsidR="00026DB7" w:rsidRPr="00F94F35">
                <w:rPr>
                  <w:rStyle w:val="Hyperlink"/>
                </w:rPr>
                <w:t>alisu@researchsupportservices.com</w:t>
              </w:r>
            </w:hyperlink>
            <w:r w:rsidR="00026DB7" w:rsidRPr="00F94F35">
              <w:rPr>
                <w:color w:val="000000"/>
              </w:rPr>
              <w:t xml:space="preserve"> </w:t>
            </w:r>
          </w:p>
        </w:tc>
        <w:tc>
          <w:tcPr>
            <w:tcW w:w="5035" w:type="dxa"/>
          </w:tcPr>
          <w:p w14:paraId="4E7DE7C3" w14:textId="210315A7" w:rsidR="00A71916" w:rsidRPr="00F94F35" w:rsidRDefault="00A04495" w:rsidP="00F95454">
            <w:pPr>
              <w:mirrorIndents/>
            </w:pPr>
            <w:r w:rsidRPr="00F94F35">
              <w:t>Casey Tesfaye, Project Manager</w:t>
            </w:r>
          </w:p>
          <w:p w14:paraId="3E811F16" w14:textId="77777777" w:rsidR="00A04495" w:rsidRPr="00F94F35" w:rsidRDefault="00A04495" w:rsidP="00F95454">
            <w:pPr>
              <w:mirrorIndents/>
              <w:rPr>
                <w:color w:val="000000"/>
              </w:rPr>
            </w:pPr>
            <w:r w:rsidRPr="00F94F35">
              <w:rPr>
                <w:color w:val="000000"/>
              </w:rPr>
              <w:t xml:space="preserve">Research Support Services, Inc. </w:t>
            </w:r>
          </w:p>
          <w:p w14:paraId="7A9257E5" w14:textId="77777777" w:rsidR="00A04495" w:rsidRPr="00F94F35" w:rsidRDefault="00A04495" w:rsidP="00F95454">
            <w:pPr>
              <w:mirrorIndents/>
              <w:rPr>
                <w:color w:val="000000"/>
              </w:rPr>
            </w:pPr>
            <w:r w:rsidRPr="00F94F35">
              <w:rPr>
                <w:color w:val="000000"/>
              </w:rPr>
              <w:t xml:space="preserve">906 Ridge Ave. </w:t>
            </w:r>
          </w:p>
          <w:p w14:paraId="5B42E247" w14:textId="77777777" w:rsidR="00A04495" w:rsidRPr="00F94F35" w:rsidRDefault="00A04495" w:rsidP="00F95454">
            <w:pPr>
              <w:mirrorIndents/>
              <w:rPr>
                <w:color w:val="000000"/>
              </w:rPr>
            </w:pPr>
            <w:r w:rsidRPr="00F94F35">
              <w:rPr>
                <w:color w:val="000000"/>
              </w:rPr>
              <w:t>Evanston, IL 60202-1720</w:t>
            </w:r>
          </w:p>
          <w:p w14:paraId="5660BBA0" w14:textId="04DB0DF2" w:rsidR="00A04495" w:rsidRPr="00F94F35" w:rsidRDefault="004B5036" w:rsidP="00F95454">
            <w:pPr>
              <w:mirrorIndents/>
            </w:pPr>
            <w:r>
              <w:t>Phone: 847-864-5677</w:t>
            </w:r>
          </w:p>
          <w:p w14:paraId="5B843D0B" w14:textId="4D04207C" w:rsidR="00F94F35" w:rsidRPr="00F94F35" w:rsidRDefault="00250230" w:rsidP="00F95454">
            <w:pPr>
              <w:mirrorIndents/>
            </w:pPr>
            <w:hyperlink r:id="rId12" w:history="1">
              <w:r w:rsidR="00F94F35" w:rsidRPr="00F94F35">
                <w:rPr>
                  <w:rStyle w:val="Hyperlink"/>
                </w:rPr>
                <w:t>casey@reserachsupportservices.com</w:t>
              </w:r>
            </w:hyperlink>
          </w:p>
        </w:tc>
      </w:tr>
      <w:tr w:rsidR="00A71916" w14:paraId="5565D9E1" w14:textId="77777777" w:rsidTr="00A71916">
        <w:tc>
          <w:tcPr>
            <w:tcW w:w="5035" w:type="dxa"/>
          </w:tcPr>
          <w:p w14:paraId="6DF13B79" w14:textId="77777777" w:rsidR="00F94F35" w:rsidRPr="00F94F35" w:rsidRDefault="00F94F35" w:rsidP="00F95454">
            <w:pPr>
              <w:mirrorIndents/>
            </w:pPr>
            <w:r w:rsidRPr="00F94F35">
              <w:t>Bryan Gale, Project Manager</w:t>
            </w:r>
          </w:p>
          <w:p w14:paraId="5BFC1BEF" w14:textId="77777777" w:rsidR="00F94F35" w:rsidRPr="00F94F35" w:rsidRDefault="00F94F35" w:rsidP="00F95454">
            <w:pPr>
              <w:mirrorIndents/>
              <w:rPr>
                <w:color w:val="000000"/>
              </w:rPr>
            </w:pPr>
            <w:r w:rsidRPr="00F94F35">
              <w:rPr>
                <w:color w:val="000000"/>
              </w:rPr>
              <w:t xml:space="preserve">IMPAQ International </w:t>
            </w:r>
          </w:p>
          <w:p w14:paraId="71C88F9D" w14:textId="77777777" w:rsidR="00F94F35" w:rsidRPr="00F94F35" w:rsidRDefault="00F94F35" w:rsidP="00F95454">
            <w:pPr>
              <w:mirrorIndents/>
              <w:rPr>
                <w:color w:val="000000"/>
              </w:rPr>
            </w:pPr>
            <w:r w:rsidRPr="00F94F35">
              <w:rPr>
                <w:color w:val="000000"/>
              </w:rPr>
              <w:t>10420 Little Patuxent Parkway, Suite 300</w:t>
            </w:r>
          </w:p>
          <w:p w14:paraId="7766E382" w14:textId="54E4DF28" w:rsidR="00F94F35" w:rsidRDefault="00F94F35" w:rsidP="00F95454">
            <w:pPr>
              <w:mirrorIndents/>
              <w:rPr>
                <w:color w:val="000000"/>
              </w:rPr>
            </w:pPr>
            <w:r w:rsidRPr="00F94F35">
              <w:rPr>
                <w:color w:val="000000"/>
              </w:rPr>
              <w:t>Columbia, MD 21044</w:t>
            </w:r>
          </w:p>
          <w:p w14:paraId="6B51EF73" w14:textId="64F2DA7D" w:rsidR="004B5036" w:rsidRPr="00F94F35" w:rsidRDefault="004B5036" w:rsidP="00F95454">
            <w:pPr>
              <w:mirrorIndents/>
              <w:rPr>
                <w:color w:val="000000"/>
              </w:rPr>
            </w:pPr>
            <w:r>
              <w:rPr>
                <w:color w:val="000000"/>
              </w:rPr>
              <w:t>443-259-5186</w:t>
            </w:r>
          </w:p>
          <w:p w14:paraId="18D10142" w14:textId="4A792A7F" w:rsidR="00F94F35" w:rsidRPr="00F94F35" w:rsidRDefault="00250230" w:rsidP="00F95454">
            <w:pPr>
              <w:mirrorIndents/>
            </w:pPr>
            <w:hyperlink r:id="rId13" w:history="1">
              <w:r w:rsidR="00F94F35" w:rsidRPr="00F94F35">
                <w:rPr>
                  <w:rStyle w:val="Hyperlink"/>
                </w:rPr>
                <w:t>bglae@impaqint.com</w:t>
              </w:r>
            </w:hyperlink>
          </w:p>
        </w:tc>
        <w:tc>
          <w:tcPr>
            <w:tcW w:w="5035" w:type="dxa"/>
          </w:tcPr>
          <w:p w14:paraId="2F304BC0" w14:textId="77777777" w:rsidR="00026DB7" w:rsidRPr="00F94F35" w:rsidRDefault="00026DB7" w:rsidP="00F95454">
            <w:pPr>
              <w:mirrorIndents/>
            </w:pPr>
            <w:r w:rsidRPr="00F94F35">
              <w:t>Valerie Betley, Senior Research Analyst</w:t>
            </w:r>
          </w:p>
          <w:p w14:paraId="6AD6CCFB" w14:textId="77777777" w:rsidR="00026DB7" w:rsidRPr="00F94F35" w:rsidRDefault="00026DB7" w:rsidP="00F95454">
            <w:pPr>
              <w:mirrorIndents/>
              <w:rPr>
                <w:color w:val="000000"/>
              </w:rPr>
            </w:pPr>
            <w:r w:rsidRPr="00F94F35">
              <w:rPr>
                <w:color w:val="000000"/>
              </w:rPr>
              <w:t xml:space="preserve">IMPAQ International </w:t>
            </w:r>
          </w:p>
          <w:p w14:paraId="4D8296EB" w14:textId="77777777" w:rsidR="00026DB7" w:rsidRPr="00F94F35" w:rsidRDefault="00026DB7" w:rsidP="00F95454">
            <w:pPr>
              <w:mirrorIndents/>
              <w:rPr>
                <w:color w:val="000000"/>
              </w:rPr>
            </w:pPr>
            <w:r w:rsidRPr="00F94F35">
              <w:rPr>
                <w:color w:val="000000"/>
              </w:rPr>
              <w:t>10420 Little Patuxent Parkway, Suite 300</w:t>
            </w:r>
          </w:p>
          <w:p w14:paraId="25E49834" w14:textId="332E95CD" w:rsidR="00026DB7" w:rsidRDefault="00026DB7" w:rsidP="00F95454">
            <w:pPr>
              <w:mirrorIndents/>
              <w:rPr>
                <w:color w:val="000000"/>
              </w:rPr>
            </w:pPr>
            <w:r w:rsidRPr="00F94F35">
              <w:rPr>
                <w:color w:val="000000"/>
              </w:rPr>
              <w:t>Columbia, MD 21044</w:t>
            </w:r>
          </w:p>
          <w:p w14:paraId="1D359FC2" w14:textId="473C0743" w:rsidR="004B5036" w:rsidRPr="00F94F35" w:rsidRDefault="004B5036" w:rsidP="00F95454">
            <w:pPr>
              <w:mirrorIndents/>
              <w:rPr>
                <w:color w:val="000000"/>
              </w:rPr>
            </w:pPr>
            <w:r>
              <w:rPr>
                <w:color w:val="000000"/>
              </w:rPr>
              <w:t>443-259-5196</w:t>
            </w:r>
          </w:p>
          <w:p w14:paraId="2529F341" w14:textId="3849F5FF" w:rsidR="00A71916" w:rsidRPr="00F94F35" w:rsidRDefault="00250230" w:rsidP="00F95454">
            <w:pPr>
              <w:mirrorIndents/>
            </w:pPr>
            <w:hyperlink r:id="rId14" w:history="1">
              <w:r w:rsidR="00026DB7" w:rsidRPr="00F94F35">
                <w:rPr>
                  <w:rStyle w:val="Hyperlink"/>
                </w:rPr>
                <w:t>vbetley@impaqint.com</w:t>
              </w:r>
            </w:hyperlink>
          </w:p>
        </w:tc>
      </w:tr>
      <w:tr w:rsidR="00F94F35" w14:paraId="222A33A7" w14:textId="77777777" w:rsidTr="00A71916">
        <w:tc>
          <w:tcPr>
            <w:tcW w:w="5035" w:type="dxa"/>
          </w:tcPr>
          <w:p w14:paraId="6649A54E" w14:textId="17FF2653" w:rsidR="00F94F35" w:rsidRPr="00F94F35" w:rsidRDefault="00F94F35" w:rsidP="00F95454">
            <w:pPr>
              <w:mirrorIndents/>
            </w:pPr>
            <w:r w:rsidRPr="00F94F35">
              <w:t>Elizabeth Gall, Tea</w:t>
            </w:r>
            <w:r w:rsidR="004713DD">
              <w:t>m M</w:t>
            </w:r>
            <w:r w:rsidRPr="00F94F35">
              <w:t>ember</w:t>
            </w:r>
          </w:p>
          <w:p w14:paraId="0585CE98" w14:textId="77777777" w:rsidR="00565EDB" w:rsidRPr="00F94F35" w:rsidRDefault="00565EDB" w:rsidP="00F95454">
            <w:pPr>
              <w:mirrorIndents/>
              <w:rPr>
                <w:color w:val="000000"/>
              </w:rPr>
            </w:pPr>
            <w:r w:rsidRPr="00F94F35">
              <w:rPr>
                <w:color w:val="000000"/>
              </w:rPr>
              <w:t xml:space="preserve">IMPAQ International </w:t>
            </w:r>
          </w:p>
          <w:p w14:paraId="795351D1" w14:textId="77777777" w:rsidR="00565EDB" w:rsidRPr="00F94F35" w:rsidRDefault="00565EDB" w:rsidP="00F95454">
            <w:pPr>
              <w:mirrorIndents/>
              <w:rPr>
                <w:color w:val="000000"/>
              </w:rPr>
            </w:pPr>
            <w:r w:rsidRPr="00F94F35">
              <w:rPr>
                <w:color w:val="000000"/>
              </w:rPr>
              <w:t>10420 Little Patuxent Parkway, Suite 300</w:t>
            </w:r>
          </w:p>
          <w:p w14:paraId="0C76AC66" w14:textId="3170EB59" w:rsidR="00565EDB" w:rsidRDefault="00565EDB" w:rsidP="00F95454">
            <w:pPr>
              <w:mirrorIndents/>
              <w:rPr>
                <w:color w:val="000000"/>
              </w:rPr>
            </w:pPr>
            <w:r w:rsidRPr="00F94F35">
              <w:rPr>
                <w:color w:val="000000"/>
              </w:rPr>
              <w:t>Columbia, MD 21044</w:t>
            </w:r>
          </w:p>
          <w:p w14:paraId="540176BE" w14:textId="7DBAAFC7" w:rsidR="004B5036" w:rsidRPr="00F94F35" w:rsidRDefault="004B5036" w:rsidP="00F95454">
            <w:pPr>
              <w:mirrorIndents/>
              <w:rPr>
                <w:color w:val="000000"/>
              </w:rPr>
            </w:pPr>
            <w:r>
              <w:rPr>
                <w:color w:val="000000"/>
              </w:rPr>
              <w:t>443-259-5216</w:t>
            </w:r>
          </w:p>
          <w:p w14:paraId="0392F46A" w14:textId="5648A810" w:rsidR="00F94F35" w:rsidRDefault="00250230" w:rsidP="00F95454">
            <w:pPr>
              <w:mirrorIndents/>
            </w:pPr>
            <w:hyperlink r:id="rId15" w:history="1">
              <w:r w:rsidR="00565EDB" w:rsidRPr="004D0D56">
                <w:rPr>
                  <w:rStyle w:val="Hyperlink"/>
                </w:rPr>
                <w:t>egall@impaqint.com</w:t>
              </w:r>
            </w:hyperlink>
          </w:p>
          <w:p w14:paraId="25E2DB77" w14:textId="50951D54" w:rsidR="00565EDB" w:rsidRPr="00F94F35" w:rsidRDefault="00565EDB" w:rsidP="00F95454">
            <w:pPr>
              <w:mirrorIndents/>
            </w:pPr>
          </w:p>
        </w:tc>
        <w:tc>
          <w:tcPr>
            <w:tcW w:w="5035" w:type="dxa"/>
          </w:tcPr>
          <w:p w14:paraId="0B0A389A" w14:textId="15B149E5" w:rsidR="004C581B" w:rsidRPr="00F94F35" w:rsidRDefault="004C581B" w:rsidP="00F95454">
            <w:pPr>
              <w:mirrorIndents/>
            </w:pPr>
            <w:r>
              <w:t xml:space="preserve"> </w:t>
            </w:r>
          </w:p>
        </w:tc>
      </w:tr>
    </w:tbl>
    <w:p w14:paraId="2E4EA80C" w14:textId="77777777" w:rsidR="00C1216F" w:rsidRDefault="00C1216F" w:rsidP="00F95454">
      <w:pPr>
        <w:spacing w:before="120" w:after="120"/>
        <w:mirrorIndents/>
      </w:pPr>
    </w:p>
    <w:p w14:paraId="2F989310" w14:textId="04404510" w:rsidR="00CC6AB1" w:rsidRDefault="00CC6AB1" w:rsidP="00F95454">
      <w:pPr>
        <w:pStyle w:val="Heading1"/>
        <w:spacing w:before="120" w:after="120"/>
        <w:mirrorIndents/>
      </w:pPr>
      <w:bookmarkStart w:id="10" w:name="_Toc448296080"/>
      <w:r w:rsidRPr="00B12EA3">
        <w:t>Explanation of Any Payment or Gift to Respondents</w:t>
      </w:r>
      <w:bookmarkEnd w:id="10"/>
    </w:p>
    <w:p w14:paraId="795F6F2E" w14:textId="6253523B" w:rsidR="001C516C" w:rsidRDefault="001C516C" w:rsidP="00F95454">
      <w:pPr>
        <w:spacing w:before="120" w:after="120"/>
        <w:mirrorIndents/>
      </w:pPr>
      <w:r>
        <w:t xml:space="preserve">Interview participants who are </w:t>
      </w:r>
      <w:r w:rsidR="002F24DC">
        <w:t xml:space="preserve">CBO </w:t>
      </w:r>
      <w:r>
        <w:t>staff will not receive token of appreciation funds. However, i</w:t>
      </w:r>
      <w:r w:rsidR="004B3D61" w:rsidRPr="00EC5C59">
        <w:t xml:space="preserve">nterview participants </w:t>
      </w:r>
      <w:r>
        <w:t xml:space="preserve">who are </w:t>
      </w:r>
      <w:r w:rsidR="002F24DC">
        <w:t xml:space="preserve">CBO </w:t>
      </w:r>
      <w:r>
        <w:t xml:space="preserve">clients </w:t>
      </w:r>
      <w:r w:rsidR="004B3D61" w:rsidRPr="00EC5C59">
        <w:t xml:space="preserve">will </w:t>
      </w:r>
      <w:r w:rsidR="00D473E4" w:rsidRPr="00EC5C59">
        <w:t xml:space="preserve">each </w:t>
      </w:r>
      <w:r w:rsidR="004B3D61" w:rsidRPr="00EC5C59">
        <w:t xml:space="preserve">receive </w:t>
      </w:r>
      <w:r w:rsidR="00D473E4" w:rsidRPr="00EC5C59">
        <w:t xml:space="preserve">a $40 token of appreciation. </w:t>
      </w:r>
      <w:r w:rsidR="00EC5C59" w:rsidRPr="004368F1">
        <w:t xml:space="preserve">Forty U.S. dollars </w:t>
      </w:r>
      <w:r w:rsidR="00F34537">
        <w:t xml:space="preserve">has been used in prior OMB-approved collections under this generic </w:t>
      </w:r>
      <w:r w:rsidR="00E26604">
        <w:t xml:space="preserve">umbrella </w:t>
      </w:r>
      <w:r w:rsidR="00F34537">
        <w:t>mechanism including LEAP (OMB 0920-0840)</w:t>
      </w:r>
      <w:r w:rsidR="002F24DC">
        <w:t>,</w:t>
      </w:r>
      <w:r w:rsidR="00F34537">
        <w:t xml:space="preserve"> LEAP Part II (OMB 0920-1091)</w:t>
      </w:r>
      <w:r w:rsidR="002F24DC">
        <w:t xml:space="preserve">, and </w:t>
      </w:r>
      <w:r w:rsidR="008541D4">
        <w:t>Data to Care (OMB 0920-1091) projects</w:t>
      </w:r>
      <w:r w:rsidR="00F34537">
        <w:t xml:space="preserve">. </w:t>
      </w:r>
      <w:r w:rsidR="00EC5C59" w:rsidRPr="004368F1">
        <w:t>In addition, this amount is</w:t>
      </w:r>
      <w:r w:rsidR="007F1AE0">
        <w:t xml:space="preserve"> </w:t>
      </w:r>
      <w:r w:rsidR="00EC5C59" w:rsidRPr="004368F1">
        <w:t>consistent with similar studies and accounts for the inconvenience of travel and time.</w:t>
      </w:r>
      <w:r w:rsidR="00EC5C59">
        <w:t xml:space="preserve"> </w:t>
      </w:r>
      <w:r w:rsidR="00D473E4" w:rsidRPr="00EC5C59">
        <w:t>Although there has been some debate on the necessity of offering tokens of appreciation, numerous studies have shown that tokens of appreciation can significantly increase response rates, and the use of tokens of appreciation is expected to enhance survey response rates without biasing responses.</w:t>
      </w:r>
      <w:r w:rsidR="008541D4" w:rsidRPr="008541D4">
        <w:rPr>
          <w:vertAlign w:val="superscript"/>
        </w:rPr>
        <w:t>18, 19</w:t>
      </w:r>
      <w:r w:rsidR="000A73A6">
        <w:t xml:space="preserve">  </w:t>
      </w:r>
    </w:p>
    <w:p w14:paraId="441C1357" w14:textId="609105C9" w:rsidR="00401AFC" w:rsidRPr="0078411B" w:rsidRDefault="00401AFC" w:rsidP="00F95454">
      <w:pPr>
        <w:spacing w:before="120" w:after="120"/>
        <w:mirrorIndents/>
      </w:pPr>
      <w:r w:rsidRPr="0078411B">
        <w:rPr>
          <w:bCs/>
          <w:iCs/>
        </w:rPr>
        <w:t xml:space="preserve">Offering tokens of appreciation is necessary to recruit minorities and historically underrepresented groups into research. </w:t>
      </w:r>
      <w:r w:rsidRPr="0078411B">
        <w:t>In a recent study o</w:t>
      </w:r>
      <w:r w:rsidR="007D2C4F" w:rsidRPr="0078411B">
        <w:t>f recruitment and retention of b</w:t>
      </w:r>
      <w:r w:rsidRPr="0078411B">
        <w:t xml:space="preserve">lack </w:t>
      </w:r>
      <w:r w:rsidR="00200B70">
        <w:t>men who have sex with men</w:t>
      </w:r>
      <w:r w:rsidRPr="0078411B">
        <w:t xml:space="preserve"> by </w:t>
      </w:r>
      <w:r w:rsidR="00293D1E">
        <w:t>a community-based organization</w:t>
      </w:r>
      <w:r w:rsidRPr="0078411B">
        <w:t xml:space="preserve">, recruiters found it difficult to obtain information </w:t>
      </w:r>
      <w:r w:rsidR="00200B70">
        <w:t>from participants</w:t>
      </w:r>
      <w:r w:rsidRPr="0078411B">
        <w:t xml:space="preserve"> because many were reluctant to provide their names and contact information because of concerns about being seen giving these personal details to an HIV prevention </w:t>
      </w:r>
      <w:r w:rsidRPr="004E3395">
        <w:t>program.</w:t>
      </w:r>
      <w:r w:rsidR="00F014B6" w:rsidRPr="004E3395">
        <w:t xml:space="preserve"> </w:t>
      </w:r>
      <w:r w:rsidR="00200B70">
        <w:t>However, i</w:t>
      </w:r>
      <w:r w:rsidRPr="004E3395">
        <w:t>n this study, offering a token of appreciation improved participation</w:t>
      </w:r>
      <w:r w:rsidR="004E3395" w:rsidRPr="004E3395">
        <w:t>.</w:t>
      </w:r>
      <w:r w:rsidR="008541D4" w:rsidRPr="008541D4">
        <w:rPr>
          <w:vertAlign w:val="superscript"/>
        </w:rPr>
        <w:t>20</w:t>
      </w:r>
      <w:r w:rsidRPr="004E3395">
        <w:t xml:space="preserve"> </w:t>
      </w:r>
      <w:r w:rsidR="00200B70">
        <w:t>In addition, a</w:t>
      </w:r>
      <w:r w:rsidRPr="004E3395">
        <w:t xml:space="preserve"> meta-analysis of 95 studies published between January 1999 and April 2005 describing methods of increasing minority persons’ enrollment and retention in research studies found that remuneration enhanced retention among this group.</w:t>
      </w:r>
      <w:r w:rsidR="008541D4" w:rsidRPr="008541D4">
        <w:rPr>
          <w:vertAlign w:val="superscript"/>
        </w:rPr>
        <w:t>21</w:t>
      </w:r>
      <w:r w:rsidR="00276C85" w:rsidRPr="0078411B">
        <w:t xml:space="preserve"> </w:t>
      </w:r>
    </w:p>
    <w:p w14:paraId="39FDAFCB" w14:textId="7389AFC0" w:rsidR="00F83380" w:rsidRDefault="00401AFC" w:rsidP="00432322">
      <w:pPr>
        <w:spacing w:before="120" w:after="120"/>
        <w:mirrorIndents/>
        <w:rPr>
          <w:bCs/>
          <w:iCs/>
        </w:rPr>
      </w:pPr>
      <w:r w:rsidRPr="00006A29">
        <w:t>Remuneration has been used in other HIV-related CDC data collection efforts, such as for National HIV Behavioral Surveillance (OMB 0920-0770, exp. 5/31/2014) and the Testing Brief Messages for Black and Latino MSM Study (OMB 0920-14SY under 0920-0840, exp. 1/31/2019), which included similar populations and had a similar length of time for completing the client interview as in this proposed research. In all of these other projects, tokens of appreciation were used to help increase participation rates.</w:t>
      </w:r>
      <w:r>
        <w:t> </w:t>
      </w:r>
      <w:r w:rsidR="00F83380" w:rsidRPr="00432322">
        <w:t xml:space="preserve">Tokens of appreciation </w:t>
      </w:r>
      <w:r w:rsidR="00523479">
        <w:t xml:space="preserve">also </w:t>
      </w:r>
      <w:r w:rsidR="00F83380" w:rsidRPr="00432322">
        <w:t xml:space="preserve">were </w:t>
      </w:r>
      <w:r w:rsidR="00523479">
        <w:t xml:space="preserve">successfully </w:t>
      </w:r>
      <w:r w:rsidR="00F83380" w:rsidRPr="00432322">
        <w:t>used in prior information</w:t>
      </w:r>
      <w:r w:rsidR="00E83EFA" w:rsidRPr="00432322">
        <w:t xml:space="preserve"> collections completed under this </w:t>
      </w:r>
      <w:r w:rsidR="00F83380" w:rsidRPr="00432322">
        <w:t xml:space="preserve">existing generic ICR, and they helped encourage respondent recruitment. </w:t>
      </w:r>
      <w:r w:rsidR="00E83EFA" w:rsidRPr="00432322">
        <w:rPr>
          <w:bCs/>
          <w:iCs/>
        </w:rPr>
        <w:t>Numerous</w:t>
      </w:r>
      <w:r w:rsidR="00E83EFA" w:rsidRPr="00432322">
        <w:t xml:space="preserve"> other studies have shown that tokens of appreciation can significantly increase response rates</w:t>
      </w:r>
      <w:r w:rsidR="00E83EFA" w:rsidRPr="00432322">
        <w:rPr>
          <w:bCs/>
          <w:iCs/>
        </w:rPr>
        <w:t xml:space="preserve"> and the use of tokens of appreciation is expected to enhance survey response rates without biasing responses.</w:t>
      </w:r>
      <w:r w:rsidR="00E83EFA" w:rsidRPr="00432322">
        <w:t xml:space="preserve"> This improves the validity and reliability of the data,</w:t>
      </w:r>
      <w:r w:rsidR="00E83EFA" w:rsidRPr="00432322">
        <w:rPr>
          <w:b/>
        </w:rPr>
        <w:t xml:space="preserve"> </w:t>
      </w:r>
      <w:r w:rsidR="00E83EFA" w:rsidRPr="00432322">
        <w:t xml:space="preserve">which is of utmost importance in this scientific study. </w:t>
      </w:r>
      <w:r w:rsidR="00E83EFA" w:rsidRPr="00432322">
        <w:rPr>
          <w:bCs/>
          <w:iCs/>
        </w:rPr>
        <w:t>In addition, HIV has a stigma that other health issues do not have, which makes it difficult to recruit participants for research when compared to other diseases.</w:t>
      </w:r>
    </w:p>
    <w:p w14:paraId="04285968" w14:textId="0CDBC4F4" w:rsidR="001C516C" w:rsidRDefault="001C516C" w:rsidP="00432322">
      <w:pPr>
        <w:spacing w:before="120" w:after="120"/>
        <w:mirrorIndents/>
        <w:rPr>
          <w:bCs/>
          <w:iCs/>
        </w:rPr>
      </w:pPr>
    </w:p>
    <w:p w14:paraId="65CCCDCB" w14:textId="1E23E4E7" w:rsidR="00B12EA3" w:rsidRDefault="00B12EA3" w:rsidP="00F95454">
      <w:pPr>
        <w:pStyle w:val="Heading1"/>
        <w:spacing w:before="120" w:after="120"/>
        <w:mirrorIndents/>
      </w:pPr>
      <w:bookmarkStart w:id="11" w:name="_Toc448296081"/>
      <w:r w:rsidRPr="00B12EA3">
        <w:t>Protection of the Privacy and Confidentiality of Information Provided by Respondents</w:t>
      </w:r>
      <w:bookmarkEnd w:id="11"/>
    </w:p>
    <w:p w14:paraId="3AFAD46F" w14:textId="5C1915C1" w:rsidR="009C7405" w:rsidRDefault="00827286" w:rsidP="0011632B">
      <w:pPr>
        <w:spacing w:before="120" w:after="120"/>
        <w:mirrorIndents/>
      </w:pPr>
      <w:r w:rsidRPr="00827286">
        <w:t xml:space="preserve">The CDC Privacy Officer has assessed this package for applicability of 5 U.S.C. § 552a, and determined that the Privacy Act does apply to the overall information collection. </w:t>
      </w:r>
      <w:r w:rsidR="00073EFB">
        <w:t xml:space="preserve">CDC has completed a Privacy Impact Assessment of the </w:t>
      </w:r>
      <w:r w:rsidR="00755BBA">
        <w:t xml:space="preserve">data </w:t>
      </w:r>
      <w:r w:rsidR="00073EFB">
        <w:t xml:space="preserve">system used by the </w:t>
      </w:r>
      <w:r w:rsidR="00843673">
        <w:t xml:space="preserve">study </w:t>
      </w:r>
      <w:r w:rsidR="00073EFB">
        <w:t>contractor team (</w:t>
      </w:r>
      <w:r w:rsidR="00073EFB" w:rsidRPr="00B64D28">
        <w:rPr>
          <w:b/>
        </w:rPr>
        <w:t>Attachment 6</w:t>
      </w:r>
      <w:r w:rsidR="00073EFB">
        <w:t xml:space="preserve">). </w:t>
      </w:r>
      <w:r>
        <w:t xml:space="preserve"> </w:t>
      </w:r>
    </w:p>
    <w:p w14:paraId="60F37AA3" w14:textId="35BF9D7F" w:rsidR="00827286" w:rsidRDefault="00827286" w:rsidP="00827286">
      <w:pPr>
        <w:spacing w:before="120" w:after="120"/>
        <w:mirrorIndents/>
      </w:pPr>
      <w:r>
        <w:t xml:space="preserve">Potential </w:t>
      </w:r>
      <w:r w:rsidR="00E76B94">
        <w:t xml:space="preserve">CBO client </w:t>
      </w:r>
      <w:r>
        <w:t>respondents will be screened for eligibility using a screening tool (</w:t>
      </w:r>
      <w:r w:rsidRPr="00827286">
        <w:rPr>
          <w:b/>
        </w:rPr>
        <w:t>Attachment 3a</w:t>
      </w:r>
      <w:r>
        <w:t>). If they are eligible, they will be invited to provide their contact information (name, phone, email), in order to schedule the in-depth interview. This contact information will be hand written on paper, and not be computerized on a form. When not in active use, the papers containing the contact information will be stored in locked cabinets separate from other study data at the contractor’s office facility. These papers with the participant’s contact information will be destroyed after the interview is completed and the interview data have been fully transcribed and verified for accuracy.</w:t>
      </w:r>
    </w:p>
    <w:p w14:paraId="091FBBF0" w14:textId="47DFDAFD" w:rsidR="00827286" w:rsidRDefault="00827286" w:rsidP="00827286">
      <w:pPr>
        <w:autoSpaceDE w:val="0"/>
        <w:autoSpaceDN w:val="0"/>
        <w:adjustRightInd w:val="0"/>
        <w:spacing w:before="120" w:after="120"/>
      </w:pPr>
      <w:r>
        <w:t>At the beginning of the in-depth interview, a member of the contractor team will review the purpose of the study with the participant and answer any questions they might have. The participant will be asked to provide signed informed consent (</w:t>
      </w:r>
      <w:r w:rsidRPr="00827286">
        <w:rPr>
          <w:b/>
        </w:rPr>
        <w:t>Attachment 2</w:t>
      </w:r>
      <w:r>
        <w:t>). This includes permission to audio record the interview.</w:t>
      </w:r>
      <w:r w:rsidR="00F42657">
        <w:t xml:space="preserve"> All participants will be informed that the information collected during the interview will not be attributed to the participant. </w:t>
      </w:r>
      <w:r>
        <w:t xml:space="preserve"> After the consent process is finished, the interview will begin.  The study data sharing and use agreement describes in detail how data access will be provided and provisions for protection of privacy, confidentiality, security, intellectual property, or other rights (</w:t>
      </w:r>
      <w:r w:rsidRPr="008A423B">
        <w:rPr>
          <w:b/>
        </w:rPr>
        <w:t>Attachment 5</w:t>
      </w:r>
      <w:r w:rsidRPr="00AB04FA">
        <w:t>).</w:t>
      </w:r>
      <w:r>
        <w:t xml:space="preserve"> </w:t>
      </w:r>
    </w:p>
    <w:p w14:paraId="267C98C4" w14:textId="77777777" w:rsidR="008004EF" w:rsidRDefault="008004EF" w:rsidP="008004EF">
      <w:pPr>
        <w:autoSpaceDE w:val="0"/>
        <w:autoSpaceDN w:val="0"/>
        <w:adjustRightInd w:val="0"/>
        <w:spacing w:before="120" w:after="120"/>
      </w:pPr>
    </w:p>
    <w:p w14:paraId="14FD65BB" w14:textId="1992039A" w:rsidR="008004EF" w:rsidRDefault="008004EF" w:rsidP="008004EF">
      <w:pPr>
        <w:autoSpaceDE w:val="0"/>
        <w:autoSpaceDN w:val="0"/>
        <w:adjustRightInd w:val="0"/>
        <w:spacing w:before="120" w:after="120"/>
      </w:pPr>
      <w:r>
        <w:t xml:space="preserve">Personally identifiable information (PII) including names, addresses, phone numbers, email addresses, will be electronically deleted by Atlas Research Inc., and Research Support Services Inc., before data are transferred to CDC. Therefore, data provided by CDC for release will not contain PII.  </w:t>
      </w:r>
    </w:p>
    <w:p w14:paraId="01B9FD0A" w14:textId="37951EC3" w:rsidR="008004EF" w:rsidRDefault="008004EF" w:rsidP="008004EF">
      <w:pPr>
        <w:autoSpaceDE w:val="0"/>
        <w:autoSpaceDN w:val="0"/>
        <w:adjustRightInd w:val="0"/>
        <w:spacing w:before="120" w:after="120"/>
      </w:pPr>
      <w:r>
        <w:t>All quotations by participants used in publications from qualitative data where the research population contains 40 or fewer participants can only be identified using gender, transmission group, age category (not specific age), and race/ethnicity (if more than one race is provided, use ‘multi-race’).  For example, quotes will follow this format: “Lorem ipsum dolor sit amet, duo ei dicta theophrastus intellegebat. Est meliore liberavisse cu. An duo populo laboramus, eam iusto appareat no. Eum probatus evertitur in. Ad ius feugiat consectetuer, eu liber maiorum mea. Nec an alia iriure.” Hispanic/Latino MSM, 18-24 years old.</w:t>
      </w:r>
    </w:p>
    <w:p w14:paraId="3C3FE8D0" w14:textId="45D4A8E3" w:rsidR="008004EF" w:rsidRDefault="008004EF" w:rsidP="008004EF">
      <w:pPr>
        <w:autoSpaceDE w:val="0"/>
        <w:autoSpaceDN w:val="0"/>
        <w:adjustRightInd w:val="0"/>
        <w:spacing w:before="120" w:after="120"/>
      </w:pPr>
      <w:r>
        <w:t xml:space="preserve">Atlas Research Inc., and Research Support Services Inc., will conduct data cleaning on all data sets prior to delivery to the CDC.  This process will ensure that all PII (including indirect identification data) are deleted from the data.  All data will be retained until analysis is complete and for up to two years after publication. At that time, users must delete all data stored on their servers.  CDC will store complete de-identified data on a secure server that is accessible through the Division of HIV Prevention, Prevention Research Branch.  </w:t>
      </w:r>
    </w:p>
    <w:p w14:paraId="275A366E" w14:textId="77777777" w:rsidR="008004EF" w:rsidRDefault="008004EF" w:rsidP="00827286">
      <w:pPr>
        <w:autoSpaceDE w:val="0"/>
        <w:autoSpaceDN w:val="0"/>
        <w:adjustRightInd w:val="0"/>
        <w:spacing w:before="120" w:after="120"/>
      </w:pPr>
    </w:p>
    <w:p w14:paraId="21798AE8" w14:textId="43F3999C" w:rsidR="00827286" w:rsidRDefault="00827286" w:rsidP="00827286">
      <w:pPr>
        <w:autoSpaceDE w:val="0"/>
        <w:autoSpaceDN w:val="0"/>
        <w:adjustRightInd w:val="0"/>
        <w:spacing w:before="120" w:after="120"/>
      </w:pPr>
      <w:r w:rsidRPr="00C34C13">
        <w:t>Only project staff will have access to the records, study documents, and data.</w:t>
      </w:r>
      <w:r w:rsidR="00877BE2">
        <w:t xml:space="preserve"> </w:t>
      </w:r>
      <w:r w:rsidR="00877BE2" w:rsidRPr="00877BE2">
        <w:t>CDC staff will not be involved with sample recruitment and will never know the identities of any study respondents</w:t>
      </w:r>
      <w:r w:rsidR="00877BE2">
        <w:t xml:space="preserve">. </w:t>
      </w:r>
    </w:p>
    <w:p w14:paraId="43EBB4BB" w14:textId="17E8B575" w:rsidR="00827286" w:rsidRDefault="00827286" w:rsidP="00827286">
      <w:pPr>
        <w:spacing w:before="120" w:after="120"/>
        <w:mirrorIndents/>
      </w:pPr>
    </w:p>
    <w:p w14:paraId="72128784" w14:textId="72270540" w:rsidR="00B12EA3" w:rsidRDefault="00B12EA3" w:rsidP="00F95454">
      <w:pPr>
        <w:pStyle w:val="Heading1"/>
        <w:spacing w:before="120" w:after="120"/>
        <w:mirrorIndents/>
      </w:pPr>
      <w:bookmarkStart w:id="12" w:name="_Toc448296082"/>
      <w:r w:rsidRPr="00B12EA3">
        <w:t>Institutional Review Board (IRB) and Justification for Sensitive Questions</w:t>
      </w:r>
      <w:bookmarkEnd w:id="12"/>
    </w:p>
    <w:p w14:paraId="6602B565" w14:textId="3EA5B9E1" w:rsidR="00D312D3" w:rsidRPr="008172D1" w:rsidRDefault="00D312D3" w:rsidP="003C10A5">
      <w:pPr>
        <w:spacing w:before="120" w:after="120"/>
        <w:mirrorIndents/>
      </w:pPr>
      <w:r w:rsidRPr="008172D1">
        <w:t>IRB Approval</w:t>
      </w:r>
    </w:p>
    <w:p w14:paraId="1F65D3C3" w14:textId="65D4F7E5" w:rsidR="003C3C33" w:rsidRPr="000A56BD" w:rsidRDefault="003340FF" w:rsidP="003C10A5">
      <w:pPr>
        <w:spacing w:before="120" w:after="120"/>
        <w:mirrorIndents/>
        <w:rPr>
          <w:highlight w:val="yellow"/>
        </w:rPr>
      </w:pPr>
      <w:r w:rsidRPr="008172D1">
        <w:t xml:space="preserve">This study has been reviewed and approved by the </w:t>
      </w:r>
      <w:r w:rsidR="008172D1" w:rsidRPr="008172D1">
        <w:t>CDC</w:t>
      </w:r>
      <w:r w:rsidRPr="008172D1">
        <w:t xml:space="preserve"> </w:t>
      </w:r>
      <w:r w:rsidRPr="00A06E57">
        <w:t>IRB</w:t>
      </w:r>
      <w:r w:rsidR="009951A9" w:rsidRPr="00A06E57">
        <w:t xml:space="preserve"> </w:t>
      </w:r>
      <w:r w:rsidR="009951A9" w:rsidRPr="00E70C71">
        <w:rPr>
          <w:b/>
        </w:rPr>
        <w:t>(</w:t>
      </w:r>
      <w:r w:rsidR="00A06E57" w:rsidRPr="00A06E57">
        <w:rPr>
          <w:b/>
        </w:rPr>
        <w:t>Attachment 4a</w:t>
      </w:r>
      <w:r w:rsidR="009D6649" w:rsidRPr="00E70C71">
        <w:rPr>
          <w:b/>
        </w:rPr>
        <w:t>)</w:t>
      </w:r>
      <w:r w:rsidRPr="00A06E57">
        <w:t xml:space="preserve">. </w:t>
      </w:r>
      <w:r w:rsidR="00E76B94">
        <w:t xml:space="preserve">The </w:t>
      </w:r>
      <w:r w:rsidR="00587EC2">
        <w:t xml:space="preserve">Emory University IRB </w:t>
      </w:r>
      <w:r w:rsidR="00E76B94">
        <w:t>also</w:t>
      </w:r>
      <w:r w:rsidR="00587EC2">
        <w:t xml:space="preserve"> declared that no IRB review is required </w:t>
      </w:r>
      <w:r w:rsidR="00587EC2" w:rsidRPr="00E70C71">
        <w:rPr>
          <w:b/>
        </w:rPr>
        <w:t>(</w:t>
      </w:r>
      <w:r w:rsidR="00587EC2" w:rsidRPr="000F4CAA">
        <w:rPr>
          <w:b/>
        </w:rPr>
        <w:t>Attachment 4b</w:t>
      </w:r>
      <w:r w:rsidR="00587EC2" w:rsidRPr="00E70C71">
        <w:rPr>
          <w:b/>
        </w:rPr>
        <w:t>)</w:t>
      </w:r>
      <w:r w:rsidR="00587EC2">
        <w:t xml:space="preserve">. </w:t>
      </w:r>
    </w:p>
    <w:p w14:paraId="1761E88A" w14:textId="271C53FC" w:rsidR="003C3C33" w:rsidRPr="008172D1" w:rsidRDefault="003C3C33" w:rsidP="003C10A5">
      <w:pPr>
        <w:spacing w:before="120" w:after="120"/>
        <w:mirrorIndents/>
      </w:pPr>
      <w:r w:rsidRPr="008172D1">
        <w:t>Sensitive Questions</w:t>
      </w:r>
    </w:p>
    <w:p w14:paraId="6C660CBC" w14:textId="14C70701" w:rsidR="00AC254E" w:rsidRDefault="00D6673F" w:rsidP="003C10A5">
      <w:pPr>
        <w:spacing w:before="120" w:after="120"/>
        <w:mirrorIndents/>
      </w:pPr>
      <w:r w:rsidRPr="008172D1">
        <w:t xml:space="preserve">This study is an initiative </w:t>
      </w:r>
      <w:r w:rsidR="00270C3A">
        <w:t xml:space="preserve">to </w:t>
      </w:r>
      <w:r w:rsidR="00270C3A" w:rsidRPr="00FB7AA8">
        <w:t xml:space="preserve">identify </w:t>
      </w:r>
      <w:r w:rsidR="00270C3A">
        <w:t>factors that influence how black/African American and Hispanic/Latino YMSM and YTG clients access and use HIV prevention, care, and treatment services offered at CBOs located in Deep South states</w:t>
      </w:r>
      <w:r w:rsidRPr="008172D1">
        <w:t xml:space="preserve">. As such, our </w:t>
      </w:r>
      <w:r w:rsidR="007F7EDD" w:rsidRPr="008172D1">
        <w:t xml:space="preserve">information collection </w:t>
      </w:r>
      <w:r w:rsidRPr="008172D1">
        <w:t xml:space="preserve">entails measurement of HIV-related information. </w:t>
      </w:r>
      <w:r w:rsidRPr="00076D10">
        <w:t xml:space="preserve">All contracting staff will </w:t>
      </w:r>
      <w:r w:rsidR="003C10A5" w:rsidRPr="00076D10">
        <w:t>be trained to provide participant</w:t>
      </w:r>
      <w:r w:rsidRPr="00076D10">
        <w:t xml:space="preserve">s with </w:t>
      </w:r>
      <w:r w:rsidR="00587EC2" w:rsidRPr="00076D10">
        <w:t>referrals for prevention and care, such as</w:t>
      </w:r>
      <w:r w:rsidRPr="00076D10">
        <w:t xml:space="preserve"> mental health care organizations</w:t>
      </w:r>
      <w:r w:rsidR="00587EC2" w:rsidRPr="00076D10">
        <w:t>,</w:t>
      </w:r>
      <w:r w:rsidRPr="00076D10">
        <w:t xml:space="preserve"> as needed. </w:t>
      </w:r>
      <w:r w:rsidRPr="008172D1">
        <w:t>We will inform all participants that they may skip any question or stop</w:t>
      </w:r>
      <w:r w:rsidR="00623078">
        <w:t xml:space="preserve"> interviews</w:t>
      </w:r>
      <w:r w:rsidRPr="008172D1">
        <w:t xml:space="preserve"> at any time for any reason.</w:t>
      </w:r>
      <w:r w:rsidRPr="00603813">
        <w:t xml:space="preserve">  </w:t>
      </w:r>
      <w:r w:rsidR="00877BE2">
        <w:t>S</w:t>
      </w:r>
      <w:r w:rsidR="00877BE2" w:rsidRPr="00877BE2">
        <w:t xml:space="preserve">ensitive information is not transferred to CDC, and the results are </w:t>
      </w:r>
      <w:r w:rsidR="00877BE2">
        <w:t>transmitted to CDC</w:t>
      </w:r>
      <w:r w:rsidR="00877BE2" w:rsidRPr="00877BE2">
        <w:t xml:space="preserve"> in aggregate.    </w:t>
      </w:r>
    </w:p>
    <w:p w14:paraId="0A6C012E" w14:textId="77777777" w:rsidR="00F95454" w:rsidRDefault="00F95454" w:rsidP="00F95454">
      <w:pPr>
        <w:spacing w:before="120" w:after="120"/>
        <w:mirrorIndents/>
        <w:jc w:val="both"/>
      </w:pPr>
    </w:p>
    <w:p w14:paraId="7D1DAD7B" w14:textId="5E01587E" w:rsidR="00B12EA3" w:rsidRDefault="00B12EA3" w:rsidP="00F95454">
      <w:pPr>
        <w:pStyle w:val="Heading1"/>
        <w:spacing w:before="120" w:after="120"/>
        <w:mirrorIndents/>
      </w:pPr>
      <w:bookmarkStart w:id="13" w:name="_Toc448296083"/>
      <w:r w:rsidRPr="00B057DB">
        <w:t>Estimates of Annualized Burden Hours and Costs</w:t>
      </w:r>
      <w:bookmarkEnd w:id="13"/>
    </w:p>
    <w:p w14:paraId="55510EF6" w14:textId="475BF17F" w:rsidR="003D7EF0" w:rsidRDefault="001015FC" w:rsidP="00F95454">
      <w:pPr>
        <w:spacing w:before="120" w:after="120"/>
        <w:mirrorIndents/>
      </w:pPr>
      <w:r>
        <w:t xml:space="preserve">The recruitment and enrollment period is four months. </w:t>
      </w:r>
      <w:r w:rsidR="002368E4" w:rsidRPr="002368E4">
        <w:t>T</w:t>
      </w:r>
      <w:r>
        <w:t xml:space="preserve">his data collection will include </w:t>
      </w:r>
      <w:r w:rsidR="00270C3A">
        <w:t>156</w:t>
      </w:r>
      <w:r>
        <w:t xml:space="preserve"> individuals</w:t>
      </w:r>
      <w:r w:rsidR="002368E4" w:rsidRPr="002368E4">
        <w:t xml:space="preserve">. </w:t>
      </w:r>
      <w:r w:rsidR="00270C3A">
        <w:t>144</w:t>
      </w:r>
      <w:r w:rsidRPr="001015FC">
        <w:t xml:space="preserve"> individuals will be adult </w:t>
      </w:r>
      <w:r w:rsidR="00270C3A">
        <w:t xml:space="preserve">YMSM and YTG </w:t>
      </w:r>
      <w:r w:rsidRPr="001015FC">
        <w:t>clients 18</w:t>
      </w:r>
      <w:r w:rsidR="00270C3A">
        <w:t xml:space="preserve">-24 </w:t>
      </w:r>
      <w:r w:rsidRPr="001015FC">
        <w:t>years of age who have previously</w:t>
      </w:r>
      <w:r w:rsidR="00270C3A">
        <w:t xml:space="preserve"> used HIV prevention, care, or treatment services at the four CBOs</w:t>
      </w:r>
      <w:r>
        <w:t>.</w:t>
      </w:r>
      <w:r w:rsidRPr="001015FC">
        <w:t xml:space="preserve"> </w:t>
      </w:r>
      <w:r w:rsidR="00587EC2">
        <w:t xml:space="preserve">We expect to screen </w:t>
      </w:r>
      <w:r w:rsidR="00270C3A">
        <w:t xml:space="preserve">288 CBO </w:t>
      </w:r>
      <w:r w:rsidR="00587EC2">
        <w:t>clients, and we expect 50% to be eligible and to participant in the data collection</w:t>
      </w:r>
      <w:r w:rsidR="000E3652">
        <w:t xml:space="preserve">, which yields a final client sample size of </w:t>
      </w:r>
      <w:r w:rsidR="00270C3A">
        <w:t>144</w:t>
      </w:r>
      <w:r w:rsidR="00587EC2">
        <w:t xml:space="preserve">. </w:t>
      </w:r>
      <w:r w:rsidR="008A19F2">
        <w:t xml:space="preserve">Contractor staff will screen potential </w:t>
      </w:r>
      <w:r w:rsidR="00270C3A">
        <w:t xml:space="preserve">CBO </w:t>
      </w:r>
      <w:r w:rsidR="008A19F2">
        <w:t xml:space="preserve">client participants for eligibility by phone, which </w:t>
      </w:r>
      <w:r w:rsidR="008A19F2" w:rsidRPr="004E3A0F">
        <w:t>will take approximately five minutes</w:t>
      </w:r>
      <w:r w:rsidR="00FD091D">
        <w:t xml:space="preserve"> </w:t>
      </w:r>
      <w:r w:rsidR="00FD091D" w:rsidRPr="00FD091D">
        <w:rPr>
          <w:b/>
        </w:rPr>
        <w:t>(Attachment 3a)</w:t>
      </w:r>
      <w:r w:rsidR="008A19F2" w:rsidRPr="00FD091D">
        <w:rPr>
          <w:b/>
        </w:rPr>
        <w:t>.</w:t>
      </w:r>
      <w:r w:rsidR="008A19F2" w:rsidRPr="008A19F2">
        <w:t xml:space="preserve"> </w:t>
      </w:r>
      <w:r w:rsidR="002368E4">
        <w:t xml:space="preserve">The </w:t>
      </w:r>
      <w:r w:rsidR="00270C3A">
        <w:t>CBO c</w:t>
      </w:r>
      <w:r w:rsidR="002368E4">
        <w:t xml:space="preserve">lient </w:t>
      </w:r>
      <w:r w:rsidR="000E3652">
        <w:t>interview</w:t>
      </w:r>
      <w:r w:rsidR="002368E4">
        <w:t xml:space="preserve"> </w:t>
      </w:r>
      <w:r w:rsidR="002368E4" w:rsidRPr="00CB51BB">
        <w:rPr>
          <w:b/>
        </w:rPr>
        <w:t>(Attachment 3b)</w:t>
      </w:r>
      <w:r w:rsidR="002368E4">
        <w:t xml:space="preserve"> will take 60 minutes to complete and will be administered once. </w:t>
      </w:r>
    </w:p>
    <w:p w14:paraId="5D6012B1" w14:textId="2CD899E3" w:rsidR="008A19F2" w:rsidRDefault="001015FC" w:rsidP="00F95454">
      <w:pPr>
        <w:spacing w:before="120" w:after="120"/>
        <w:mirrorIndents/>
      </w:pPr>
      <w:r>
        <w:t xml:space="preserve">We will </w:t>
      </w:r>
      <w:r w:rsidR="002368E4">
        <w:t xml:space="preserve">also interview </w:t>
      </w:r>
      <w:r w:rsidR="00270C3A">
        <w:t>12</w:t>
      </w:r>
      <w:r w:rsidR="002368E4">
        <w:t xml:space="preserve"> </w:t>
      </w:r>
      <w:r w:rsidR="00270C3A">
        <w:t>CBO</w:t>
      </w:r>
      <w:r w:rsidR="002368E4">
        <w:t xml:space="preserve"> staff. The </w:t>
      </w:r>
      <w:r w:rsidR="00270C3A">
        <w:t xml:space="preserve">CBO </w:t>
      </w:r>
      <w:r w:rsidR="002368E4">
        <w:t xml:space="preserve">staff </w:t>
      </w:r>
      <w:r w:rsidR="002F72C7">
        <w:t>interview</w:t>
      </w:r>
      <w:r w:rsidR="002368E4">
        <w:t xml:space="preserve"> </w:t>
      </w:r>
      <w:r w:rsidR="002368E4" w:rsidRPr="00CB51BB">
        <w:rPr>
          <w:b/>
        </w:rPr>
        <w:t>(Attachment 3c)</w:t>
      </w:r>
      <w:r w:rsidR="002368E4">
        <w:t xml:space="preserve"> </w:t>
      </w:r>
      <w:r w:rsidR="00CB51BB">
        <w:t>will</w:t>
      </w:r>
      <w:r w:rsidR="002368E4">
        <w:t xml:space="preserve"> take 60 minutes </w:t>
      </w:r>
      <w:r w:rsidR="00CB51BB">
        <w:t xml:space="preserve">to complete </w:t>
      </w:r>
      <w:r w:rsidR="002368E4">
        <w:t xml:space="preserve">and will be administered once. </w:t>
      </w:r>
      <w:r>
        <w:t xml:space="preserve">No </w:t>
      </w:r>
      <w:r w:rsidR="00580606">
        <w:t xml:space="preserve">separate </w:t>
      </w:r>
      <w:r>
        <w:t xml:space="preserve">screening instrument will be used to identify </w:t>
      </w:r>
      <w:r w:rsidR="00580606">
        <w:t xml:space="preserve">eligible </w:t>
      </w:r>
      <w:r w:rsidR="00270C3A">
        <w:t xml:space="preserve">CBO </w:t>
      </w:r>
      <w:r>
        <w:t>staff because</w:t>
      </w:r>
      <w:r w:rsidR="00CB51BB">
        <w:t xml:space="preserve"> they will be identified directly through</w:t>
      </w:r>
      <w:r w:rsidR="00580606">
        <w:t xml:space="preserve"> existing</w:t>
      </w:r>
      <w:r w:rsidR="00CB51BB">
        <w:t xml:space="preserve"> </w:t>
      </w:r>
      <w:r w:rsidR="00270C3A">
        <w:t>CBO s</w:t>
      </w:r>
      <w:r w:rsidR="00CB51BB">
        <w:t xml:space="preserve">taff rosters. </w:t>
      </w:r>
      <w:r>
        <w:t xml:space="preserve"> </w:t>
      </w:r>
      <w:r w:rsidR="008519CC" w:rsidRPr="00C9502D">
        <w:t xml:space="preserve"> </w:t>
      </w:r>
    </w:p>
    <w:p w14:paraId="76954D5A" w14:textId="7B183BA7" w:rsidR="003340FF" w:rsidRDefault="002E5112" w:rsidP="00F95454">
      <w:pPr>
        <w:spacing w:before="120" w:after="120"/>
        <w:mirrorIndents/>
      </w:pPr>
      <w:r w:rsidRPr="000F4CAA">
        <w:t>Exhibits 12.1 and 12.2 provide further details about how the estimates of burden hours and costs were calculated.</w:t>
      </w:r>
      <w:r w:rsidR="008A19F2">
        <w:t xml:space="preserve"> </w:t>
      </w:r>
      <w:r w:rsidR="008A19F2" w:rsidRPr="00B65A4F">
        <w:t xml:space="preserve">The estimated annualized burden is </w:t>
      </w:r>
      <w:r w:rsidR="00FD6AEB">
        <w:t xml:space="preserve">180 </w:t>
      </w:r>
      <w:r w:rsidR="008A19F2" w:rsidRPr="00B65A4F">
        <w:t>hours.</w:t>
      </w:r>
    </w:p>
    <w:p w14:paraId="58C577B2" w14:textId="0CEFAFFF" w:rsidR="00332F80" w:rsidRDefault="00332F80" w:rsidP="00F95454">
      <w:pPr>
        <w:pStyle w:val="Heading2"/>
        <w:spacing w:before="120" w:after="120"/>
        <w:mirrorIndents/>
      </w:pPr>
      <w:bookmarkStart w:id="14" w:name="_Toc444867858"/>
      <w:bookmarkStart w:id="15" w:name="_Toc444883709"/>
      <w:bookmarkStart w:id="16" w:name="_Toc445385234"/>
      <w:bookmarkStart w:id="17" w:name="_Toc448296084"/>
      <w:r>
        <w:t>Estimated Annualized Burden Hours</w:t>
      </w:r>
      <w:bookmarkEnd w:id="14"/>
      <w:bookmarkEnd w:id="15"/>
      <w:bookmarkEnd w:id="16"/>
      <w:bookmarkEnd w:id="17"/>
    </w:p>
    <w:p w14:paraId="59EE5EE9" w14:textId="1FE77979" w:rsidR="00E53653" w:rsidRPr="007376F4" w:rsidRDefault="00E86C70" w:rsidP="00F95454">
      <w:pPr>
        <w:pStyle w:val="Caption"/>
        <w:spacing w:before="120" w:after="120"/>
        <w:mirrorIndents/>
      </w:pPr>
      <w:bookmarkStart w:id="18" w:name="_Toc449541623"/>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D07179">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D07179">
        <w:rPr>
          <w:noProof/>
          <w:sz w:val="24"/>
          <w:szCs w:val="24"/>
        </w:rPr>
        <w:t>1</w:t>
      </w:r>
      <w:r w:rsidR="00C91C02">
        <w:rPr>
          <w:sz w:val="24"/>
          <w:szCs w:val="24"/>
        </w:rPr>
        <w:fldChar w:fldCharType="end"/>
      </w:r>
      <w:r w:rsidRPr="00E6566E">
        <w:rPr>
          <w:sz w:val="24"/>
          <w:szCs w:val="24"/>
        </w:rPr>
        <w:t>: Estimated Annualized Burden Hours</w:t>
      </w:r>
      <w:bookmarkEnd w:id="18"/>
    </w:p>
    <w:tbl>
      <w:tblPr>
        <w:tblW w:w="9717" w:type="dxa"/>
        <w:tblLayout w:type="fixed"/>
        <w:tblCellMar>
          <w:left w:w="129" w:type="dxa"/>
          <w:right w:w="129" w:type="dxa"/>
        </w:tblCellMar>
        <w:tblLook w:val="0000" w:firstRow="0" w:lastRow="0" w:firstColumn="0" w:lastColumn="0" w:noHBand="0" w:noVBand="0"/>
      </w:tblPr>
      <w:tblGrid>
        <w:gridCol w:w="1527"/>
        <w:gridCol w:w="1800"/>
        <w:gridCol w:w="1620"/>
        <w:gridCol w:w="1710"/>
        <w:gridCol w:w="1980"/>
        <w:gridCol w:w="1080"/>
      </w:tblGrid>
      <w:tr w:rsidR="000879CA" w:rsidRPr="0062606A" w14:paraId="53C2C1BB" w14:textId="77777777" w:rsidTr="00B45435">
        <w:trPr>
          <w:cantSplit/>
          <w:tblHeader/>
        </w:trPr>
        <w:tc>
          <w:tcPr>
            <w:tcW w:w="1527" w:type="dxa"/>
            <w:tcBorders>
              <w:top w:val="single" w:sz="2" w:space="0" w:color="000000"/>
              <w:left w:val="single" w:sz="2" w:space="0" w:color="000000"/>
              <w:bottom w:val="single" w:sz="2" w:space="0" w:color="000000"/>
              <w:right w:val="nil"/>
            </w:tcBorders>
          </w:tcPr>
          <w:p w14:paraId="135B48D5" w14:textId="77777777" w:rsidR="000879CA" w:rsidRPr="0062606A" w:rsidRDefault="000879CA" w:rsidP="00F95454">
            <w:pPr>
              <w:mirrorIndents/>
              <w:rPr>
                <w:b/>
              </w:rPr>
            </w:pPr>
            <w:r w:rsidRPr="0062606A">
              <w:rPr>
                <w:b/>
              </w:rPr>
              <w:t>Type of Respondent</w:t>
            </w:r>
          </w:p>
        </w:tc>
        <w:tc>
          <w:tcPr>
            <w:tcW w:w="1800" w:type="dxa"/>
            <w:tcBorders>
              <w:top w:val="single" w:sz="2" w:space="0" w:color="000000"/>
              <w:left w:val="single" w:sz="2" w:space="0" w:color="000000"/>
              <w:bottom w:val="nil"/>
              <w:right w:val="nil"/>
            </w:tcBorders>
          </w:tcPr>
          <w:p w14:paraId="3005DAB6" w14:textId="77777777" w:rsidR="000879CA" w:rsidRPr="0062606A" w:rsidRDefault="000879CA" w:rsidP="00F95454">
            <w:pPr>
              <w:mirrorIndents/>
              <w:rPr>
                <w:b/>
              </w:rPr>
            </w:pPr>
            <w:r w:rsidRPr="0062606A">
              <w:rPr>
                <w:b/>
              </w:rPr>
              <w:t>Form Name</w:t>
            </w:r>
          </w:p>
        </w:tc>
        <w:tc>
          <w:tcPr>
            <w:tcW w:w="1620" w:type="dxa"/>
            <w:tcBorders>
              <w:top w:val="single" w:sz="2" w:space="0" w:color="000000"/>
              <w:left w:val="single" w:sz="2" w:space="0" w:color="000000"/>
              <w:bottom w:val="nil"/>
              <w:right w:val="nil"/>
            </w:tcBorders>
          </w:tcPr>
          <w:p w14:paraId="6BA44EF5" w14:textId="77777777" w:rsidR="000879CA" w:rsidRPr="0062606A" w:rsidRDefault="000879CA" w:rsidP="00F95454">
            <w:pPr>
              <w:mirrorIndents/>
              <w:jc w:val="center"/>
              <w:rPr>
                <w:b/>
              </w:rPr>
            </w:pPr>
            <w:r w:rsidRPr="0062606A">
              <w:rPr>
                <w:b/>
              </w:rPr>
              <w:t>No. of Respondents</w:t>
            </w:r>
          </w:p>
        </w:tc>
        <w:tc>
          <w:tcPr>
            <w:tcW w:w="1710" w:type="dxa"/>
            <w:tcBorders>
              <w:top w:val="single" w:sz="2" w:space="0" w:color="000000"/>
              <w:left w:val="single" w:sz="2" w:space="0" w:color="000000"/>
              <w:bottom w:val="nil"/>
              <w:right w:val="nil"/>
            </w:tcBorders>
          </w:tcPr>
          <w:p w14:paraId="1975FADA" w14:textId="77777777" w:rsidR="000879CA" w:rsidRPr="0062606A" w:rsidRDefault="000879CA" w:rsidP="00F95454">
            <w:pPr>
              <w:mirrorIndents/>
              <w:jc w:val="center"/>
              <w:rPr>
                <w:b/>
              </w:rPr>
            </w:pPr>
            <w:r w:rsidRPr="0062606A">
              <w:rPr>
                <w:b/>
              </w:rPr>
              <w:t>No. of Responses Per Respondent</w:t>
            </w:r>
          </w:p>
        </w:tc>
        <w:tc>
          <w:tcPr>
            <w:tcW w:w="1980" w:type="dxa"/>
            <w:tcBorders>
              <w:top w:val="single" w:sz="2" w:space="0" w:color="000000"/>
              <w:left w:val="single" w:sz="2" w:space="0" w:color="000000"/>
              <w:bottom w:val="nil"/>
              <w:right w:val="single" w:sz="2" w:space="0" w:color="000000"/>
            </w:tcBorders>
          </w:tcPr>
          <w:p w14:paraId="5E253BC2" w14:textId="5B47AA39" w:rsidR="000879CA" w:rsidRPr="0062606A" w:rsidRDefault="0025627B" w:rsidP="00F95454">
            <w:pPr>
              <w:mirrorIndents/>
              <w:jc w:val="center"/>
              <w:rPr>
                <w:b/>
              </w:rPr>
            </w:pPr>
            <w:r w:rsidRPr="0062606A">
              <w:rPr>
                <w:b/>
              </w:rPr>
              <w:t>Average Burden Per Response (h</w:t>
            </w:r>
            <w:r w:rsidR="000879CA" w:rsidRPr="0062606A">
              <w:rPr>
                <w:b/>
              </w:rPr>
              <w:t>ours)</w:t>
            </w:r>
          </w:p>
        </w:tc>
        <w:tc>
          <w:tcPr>
            <w:tcW w:w="1080" w:type="dxa"/>
            <w:tcBorders>
              <w:top w:val="single" w:sz="2" w:space="0" w:color="000000"/>
              <w:left w:val="single" w:sz="2" w:space="0" w:color="000000"/>
              <w:bottom w:val="nil"/>
              <w:right w:val="single" w:sz="2" w:space="0" w:color="000000"/>
            </w:tcBorders>
          </w:tcPr>
          <w:p w14:paraId="55727504" w14:textId="675A4663" w:rsidR="000879CA" w:rsidRPr="0062606A" w:rsidRDefault="000879CA" w:rsidP="00F95454">
            <w:pPr>
              <w:mirrorIndents/>
              <w:jc w:val="center"/>
              <w:rPr>
                <w:b/>
              </w:rPr>
            </w:pPr>
            <w:r w:rsidRPr="0062606A">
              <w:rPr>
                <w:b/>
              </w:rPr>
              <w:t>Total</w:t>
            </w:r>
          </w:p>
          <w:p w14:paraId="22FFF7BE" w14:textId="77777777" w:rsidR="000879CA" w:rsidRPr="0062606A" w:rsidRDefault="000879CA" w:rsidP="00F95454">
            <w:pPr>
              <w:mirrorIndents/>
              <w:jc w:val="center"/>
              <w:rPr>
                <w:b/>
              </w:rPr>
            </w:pPr>
            <w:r w:rsidRPr="0062606A">
              <w:rPr>
                <w:b/>
              </w:rPr>
              <w:t>Burden</w:t>
            </w:r>
          </w:p>
          <w:p w14:paraId="50CFECF8" w14:textId="77777777" w:rsidR="000879CA" w:rsidRPr="0062606A" w:rsidRDefault="000879CA" w:rsidP="00F95454">
            <w:pPr>
              <w:mirrorIndents/>
              <w:jc w:val="center"/>
              <w:rPr>
                <w:b/>
              </w:rPr>
            </w:pPr>
            <w:r w:rsidRPr="0062606A">
              <w:rPr>
                <w:b/>
              </w:rPr>
              <w:t>Hours</w:t>
            </w:r>
          </w:p>
        </w:tc>
      </w:tr>
      <w:tr w:rsidR="008172D1" w:rsidRPr="0062606A" w14:paraId="6A71D2DA" w14:textId="77777777" w:rsidTr="00B45435">
        <w:trPr>
          <w:cantSplit/>
        </w:trPr>
        <w:tc>
          <w:tcPr>
            <w:tcW w:w="1527" w:type="dxa"/>
            <w:tcBorders>
              <w:top w:val="single" w:sz="2" w:space="0" w:color="000000"/>
              <w:left w:val="single" w:sz="2" w:space="0" w:color="000000"/>
              <w:bottom w:val="single" w:sz="4" w:space="0" w:color="auto"/>
              <w:right w:val="nil"/>
            </w:tcBorders>
          </w:tcPr>
          <w:p w14:paraId="7331D6BA" w14:textId="7CB3C64E" w:rsidR="008172D1" w:rsidRPr="0062606A" w:rsidRDefault="008172D1" w:rsidP="00F95454">
            <w:pPr>
              <w:mirrorIndents/>
              <w:jc w:val="both"/>
            </w:pPr>
            <w:r w:rsidRPr="0062606A">
              <w:t>General Public- Adults</w:t>
            </w:r>
          </w:p>
        </w:tc>
        <w:tc>
          <w:tcPr>
            <w:tcW w:w="1800" w:type="dxa"/>
            <w:tcBorders>
              <w:top w:val="single" w:sz="2" w:space="0" w:color="000000"/>
              <w:left w:val="single" w:sz="2" w:space="0" w:color="000000"/>
              <w:bottom w:val="single" w:sz="2" w:space="0" w:color="000000"/>
              <w:right w:val="nil"/>
            </w:tcBorders>
          </w:tcPr>
          <w:p w14:paraId="5A079BF9" w14:textId="016EF5DF" w:rsidR="008172D1" w:rsidRPr="0062606A" w:rsidRDefault="00FD6AEB" w:rsidP="00F95454">
            <w:pPr>
              <w:ind w:left="-39" w:right="51"/>
              <w:mirrorIndents/>
              <w:rPr>
                <w:iCs/>
              </w:rPr>
            </w:pPr>
            <w:r>
              <w:rPr>
                <w:iCs/>
              </w:rPr>
              <w:t xml:space="preserve">CBO </w:t>
            </w:r>
            <w:r w:rsidR="002368E4" w:rsidRPr="0062606A">
              <w:rPr>
                <w:iCs/>
              </w:rPr>
              <w:t xml:space="preserve">Client  </w:t>
            </w:r>
            <w:r w:rsidR="008172D1" w:rsidRPr="0062606A">
              <w:rPr>
                <w:iCs/>
              </w:rPr>
              <w:t>Screener</w:t>
            </w:r>
            <w:r w:rsidR="00343F28" w:rsidRPr="0062606A">
              <w:rPr>
                <w:iCs/>
              </w:rPr>
              <w:t xml:space="preserve"> (Att</w:t>
            </w:r>
            <w:r w:rsidR="000F4CAA" w:rsidRPr="0062606A">
              <w:rPr>
                <w:iCs/>
              </w:rPr>
              <w:t>.</w:t>
            </w:r>
            <w:r w:rsidR="00343F28" w:rsidRPr="0062606A">
              <w:rPr>
                <w:iCs/>
              </w:rPr>
              <w:t xml:space="preserve"> 3a)</w:t>
            </w:r>
          </w:p>
        </w:tc>
        <w:tc>
          <w:tcPr>
            <w:tcW w:w="1620" w:type="dxa"/>
            <w:tcBorders>
              <w:top w:val="single" w:sz="2" w:space="0" w:color="000000"/>
              <w:left w:val="single" w:sz="2" w:space="0" w:color="000000"/>
              <w:bottom w:val="single" w:sz="2" w:space="0" w:color="000000"/>
              <w:right w:val="nil"/>
            </w:tcBorders>
            <w:vAlign w:val="center"/>
          </w:tcPr>
          <w:p w14:paraId="70F789C7" w14:textId="40792661" w:rsidR="008172D1" w:rsidRPr="0062606A" w:rsidRDefault="00FD6AEB" w:rsidP="00F95454">
            <w:pPr>
              <w:mirrorIndents/>
              <w:jc w:val="center"/>
            </w:pPr>
            <w:r>
              <w:t>288</w:t>
            </w:r>
          </w:p>
        </w:tc>
        <w:tc>
          <w:tcPr>
            <w:tcW w:w="1710" w:type="dxa"/>
            <w:tcBorders>
              <w:top w:val="single" w:sz="2" w:space="0" w:color="000000"/>
              <w:left w:val="single" w:sz="2" w:space="0" w:color="000000"/>
              <w:bottom w:val="single" w:sz="2" w:space="0" w:color="000000"/>
              <w:right w:val="nil"/>
            </w:tcBorders>
            <w:vAlign w:val="center"/>
          </w:tcPr>
          <w:p w14:paraId="636D8DD4" w14:textId="32F6D7FA" w:rsidR="008172D1" w:rsidRPr="0062606A" w:rsidRDefault="008172D1" w:rsidP="00F95454">
            <w:pPr>
              <w:ind w:right="-39"/>
              <w:mirrorIndents/>
              <w:jc w:val="center"/>
              <w:rPr>
                <w:highlight w:val="yellow"/>
              </w:rPr>
            </w:pPr>
            <w:r w:rsidRPr="0062606A">
              <w:t>1</w:t>
            </w:r>
          </w:p>
        </w:tc>
        <w:tc>
          <w:tcPr>
            <w:tcW w:w="1980" w:type="dxa"/>
            <w:tcBorders>
              <w:top w:val="single" w:sz="2" w:space="0" w:color="000000"/>
              <w:left w:val="single" w:sz="2" w:space="0" w:color="000000"/>
              <w:bottom w:val="single" w:sz="2" w:space="0" w:color="000000"/>
              <w:right w:val="single" w:sz="2" w:space="0" w:color="000000"/>
            </w:tcBorders>
            <w:vAlign w:val="center"/>
          </w:tcPr>
          <w:p w14:paraId="7CE6E5A3" w14:textId="48E247B8" w:rsidR="008172D1" w:rsidRPr="0062606A" w:rsidRDefault="007F1AE0" w:rsidP="00F95454">
            <w:pPr>
              <w:ind w:right="-39"/>
              <w:mirrorIndents/>
              <w:jc w:val="center"/>
              <w:rPr>
                <w:highlight w:val="yellow"/>
              </w:rPr>
            </w:pPr>
            <w:r w:rsidRPr="0062606A">
              <w:t>5/60</w:t>
            </w:r>
          </w:p>
        </w:tc>
        <w:tc>
          <w:tcPr>
            <w:tcW w:w="1080" w:type="dxa"/>
            <w:tcBorders>
              <w:top w:val="single" w:sz="2" w:space="0" w:color="000000"/>
              <w:left w:val="single" w:sz="2" w:space="0" w:color="000000"/>
              <w:bottom w:val="single" w:sz="2" w:space="0" w:color="000000"/>
              <w:right w:val="single" w:sz="2" w:space="0" w:color="000000"/>
            </w:tcBorders>
            <w:vAlign w:val="center"/>
          </w:tcPr>
          <w:p w14:paraId="4104A66F" w14:textId="7ABCF29C" w:rsidR="008172D1" w:rsidRPr="0062606A" w:rsidRDefault="00FD6AEB" w:rsidP="00F95454">
            <w:pPr>
              <w:mirrorIndents/>
              <w:jc w:val="center"/>
              <w:rPr>
                <w:highlight w:val="yellow"/>
              </w:rPr>
            </w:pPr>
            <w:r w:rsidRPr="00FD6AEB">
              <w:t>24</w:t>
            </w:r>
          </w:p>
        </w:tc>
      </w:tr>
      <w:tr w:rsidR="000879CA" w:rsidRPr="0062606A" w14:paraId="20BDBA89" w14:textId="77777777" w:rsidTr="00B45435">
        <w:trPr>
          <w:cantSplit/>
        </w:trPr>
        <w:tc>
          <w:tcPr>
            <w:tcW w:w="1527" w:type="dxa"/>
            <w:tcBorders>
              <w:top w:val="single" w:sz="4" w:space="0" w:color="auto"/>
              <w:left w:val="single" w:sz="2" w:space="0" w:color="000000"/>
              <w:right w:val="nil"/>
            </w:tcBorders>
          </w:tcPr>
          <w:p w14:paraId="718F0264" w14:textId="0F02B3BC" w:rsidR="000879CA" w:rsidRPr="0062606A" w:rsidRDefault="000879CA" w:rsidP="00F95454">
            <w:pPr>
              <w:mirrorIndents/>
              <w:jc w:val="both"/>
            </w:pPr>
            <w:r w:rsidRPr="0062606A">
              <w:t>General</w:t>
            </w:r>
            <w:r w:rsidR="00777FC0" w:rsidRPr="0062606A">
              <w:t xml:space="preserve"> </w:t>
            </w:r>
            <w:r w:rsidRPr="0062606A">
              <w:t>Public- Adults</w:t>
            </w:r>
          </w:p>
        </w:tc>
        <w:tc>
          <w:tcPr>
            <w:tcW w:w="1800" w:type="dxa"/>
            <w:tcBorders>
              <w:top w:val="single" w:sz="2" w:space="0" w:color="000000"/>
              <w:left w:val="single" w:sz="2" w:space="0" w:color="000000"/>
              <w:bottom w:val="single" w:sz="2" w:space="0" w:color="000000"/>
              <w:right w:val="nil"/>
            </w:tcBorders>
          </w:tcPr>
          <w:p w14:paraId="165B9FE8" w14:textId="28401141" w:rsidR="000879CA" w:rsidRPr="0062606A" w:rsidRDefault="00FD6AEB" w:rsidP="00F95454">
            <w:pPr>
              <w:ind w:left="-39" w:right="51"/>
              <w:mirrorIndents/>
            </w:pPr>
            <w:r>
              <w:rPr>
                <w:iCs/>
              </w:rPr>
              <w:t xml:space="preserve">CBO </w:t>
            </w:r>
            <w:r w:rsidR="002368E4" w:rsidRPr="0062606A">
              <w:rPr>
                <w:iCs/>
              </w:rPr>
              <w:t>Client Interview</w:t>
            </w:r>
            <w:r w:rsidR="00343F28" w:rsidRPr="0062606A">
              <w:rPr>
                <w:iCs/>
              </w:rPr>
              <w:t xml:space="preserve"> (Att. 3b</w:t>
            </w:r>
            <w:r w:rsidR="008519CC" w:rsidRPr="0062606A">
              <w:rPr>
                <w:iCs/>
              </w:rPr>
              <w:t>)</w:t>
            </w:r>
          </w:p>
        </w:tc>
        <w:tc>
          <w:tcPr>
            <w:tcW w:w="1620" w:type="dxa"/>
            <w:tcBorders>
              <w:top w:val="single" w:sz="2" w:space="0" w:color="000000"/>
              <w:left w:val="single" w:sz="2" w:space="0" w:color="000000"/>
              <w:bottom w:val="single" w:sz="2" w:space="0" w:color="000000"/>
              <w:right w:val="nil"/>
            </w:tcBorders>
            <w:vAlign w:val="center"/>
          </w:tcPr>
          <w:p w14:paraId="54123835" w14:textId="22FACD01" w:rsidR="000879CA" w:rsidRPr="0062606A" w:rsidRDefault="00FD6AEB" w:rsidP="00F95454">
            <w:pPr>
              <w:mirrorIndents/>
              <w:jc w:val="center"/>
            </w:pPr>
            <w:r>
              <w:t>144</w:t>
            </w:r>
          </w:p>
        </w:tc>
        <w:tc>
          <w:tcPr>
            <w:tcW w:w="1710" w:type="dxa"/>
            <w:tcBorders>
              <w:top w:val="single" w:sz="2" w:space="0" w:color="000000"/>
              <w:left w:val="single" w:sz="2" w:space="0" w:color="000000"/>
              <w:bottom w:val="single" w:sz="2" w:space="0" w:color="000000"/>
              <w:right w:val="nil"/>
            </w:tcBorders>
            <w:vAlign w:val="center"/>
          </w:tcPr>
          <w:p w14:paraId="5A033A8B" w14:textId="6935FAE5" w:rsidR="000879CA" w:rsidRPr="0062606A" w:rsidRDefault="006B56C4" w:rsidP="00F95454">
            <w:pPr>
              <w:ind w:right="-39"/>
              <w:mirrorIndents/>
              <w:jc w:val="center"/>
            </w:pPr>
            <w:r w:rsidRPr="0062606A">
              <w:t>1</w:t>
            </w:r>
          </w:p>
        </w:tc>
        <w:tc>
          <w:tcPr>
            <w:tcW w:w="1980" w:type="dxa"/>
            <w:tcBorders>
              <w:top w:val="single" w:sz="2" w:space="0" w:color="000000"/>
              <w:left w:val="single" w:sz="2" w:space="0" w:color="000000"/>
              <w:bottom w:val="single" w:sz="2" w:space="0" w:color="000000"/>
              <w:right w:val="single" w:sz="2" w:space="0" w:color="000000"/>
            </w:tcBorders>
            <w:vAlign w:val="center"/>
          </w:tcPr>
          <w:p w14:paraId="48E9D8E9" w14:textId="1CDCD5EF" w:rsidR="000879CA" w:rsidRPr="0062606A" w:rsidRDefault="008519CC" w:rsidP="00F95454">
            <w:pPr>
              <w:ind w:right="-39"/>
              <w:mirrorIndents/>
              <w:jc w:val="center"/>
            </w:pPr>
            <w:r w:rsidRPr="0062606A">
              <w:t>1</w:t>
            </w:r>
            <w:r w:rsidR="00DF291A" w:rsidRPr="0062606A">
              <w:t>.0</w:t>
            </w:r>
          </w:p>
        </w:tc>
        <w:tc>
          <w:tcPr>
            <w:tcW w:w="1080" w:type="dxa"/>
            <w:tcBorders>
              <w:top w:val="single" w:sz="2" w:space="0" w:color="000000"/>
              <w:left w:val="single" w:sz="2" w:space="0" w:color="000000"/>
              <w:bottom w:val="single" w:sz="2" w:space="0" w:color="000000"/>
              <w:right w:val="single" w:sz="2" w:space="0" w:color="000000"/>
            </w:tcBorders>
            <w:vAlign w:val="center"/>
          </w:tcPr>
          <w:p w14:paraId="4E334A7F" w14:textId="351DFDCC" w:rsidR="000879CA" w:rsidRPr="0062606A" w:rsidRDefault="00FD6AEB" w:rsidP="00F95454">
            <w:pPr>
              <w:mirrorIndents/>
              <w:jc w:val="center"/>
            </w:pPr>
            <w:r>
              <w:t>144</w:t>
            </w:r>
          </w:p>
        </w:tc>
      </w:tr>
      <w:tr w:rsidR="008457FB" w:rsidRPr="0062606A" w14:paraId="2F14FFD0" w14:textId="77777777" w:rsidTr="00C61DD4">
        <w:trPr>
          <w:cantSplit/>
        </w:trPr>
        <w:tc>
          <w:tcPr>
            <w:tcW w:w="1527" w:type="dxa"/>
            <w:tcBorders>
              <w:top w:val="single" w:sz="2" w:space="0" w:color="000000"/>
              <w:left w:val="single" w:sz="2" w:space="0" w:color="000000"/>
              <w:bottom w:val="single" w:sz="4" w:space="0" w:color="auto"/>
              <w:right w:val="nil"/>
            </w:tcBorders>
          </w:tcPr>
          <w:p w14:paraId="224CAF1A" w14:textId="53A69A04" w:rsidR="008457FB" w:rsidRPr="0062606A" w:rsidRDefault="008457FB" w:rsidP="00F95454">
            <w:pPr>
              <w:mirrorIndents/>
              <w:jc w:val="both"/>
            </w:pPr>
            <w:r w:rsidRPr="0062606A">
              <w:t>General Public-Adults</w:t>
            </w:r>
          </w:p>
        </w:tc>
        <w:tc>
          <w:tcPr>
            <w:tcW w:w="1800" w:type="dxa"/>
            <w:tcBorders>
              <w:top w:val="single" w:sz="2" w:space="0" w:color="000000"/>
              <w:left w:val="single" w:sz="2" w:space="0" w:color="000000"/>
              <w:bottom w:val="single" w:sz="2" w:space="0" w:color="000000"/>
              <w:right w:val="nil"/>
            </w:tcBorders>
          </w:tcPr>
          <w:p w14:paraId="72E62FAA" w14:textId="77251D54" w:rsidR="008457FB" w:rsidRPr="0062606A" w:rsidRDefault="00FD6AEB" w:rsidP="00F95454">
            <w:pPr>
              <w:ind w:left="-39" w:right="51"/>
              <w:mirrorIndents/>
            </w:pPr>
            <w:r>
              <w:t xml:space="preserve">CBO </w:t>
            </w:r>
            <w:r w:rsidR="002368E4" w:rsidRPr="0062606A">
              <w:t>Program Staff Interview</w:t>
            </w:r>
            <w:r w:rsidR="00343F28" w:rsidRPr="0062606A">
              <w:t xml:space="preserve"> (Att. 3c</w:t>
            </w:r>
            <w:r w:rsidR="008519CC" w:rsidRPr="0062606A">
              <w:t>)</w:t>
            </w:r>
          </w:p>
        </w:tc>
        <w:tc>
          <w:tcPr>
            <w:tcW w:w="1620" w:type="dxa"/>
            <w:tcBorders>
              <w:top w:val="single" w:sz="2" w:space="0" w:color="000000"/>
              <w:left w:val="single" w:sz="2" w:space="0" w:color="000000"/>
              <w:bottom w:val="single" w:sz="2" w:space="0" w:color="000000"/>
              <w:right w:val="nil"/>
            </w:tcBorders>
            <w:vAlign w:val="center"/>
          </w:tcPr>
          <w:p w14:paraId="03BF87F2" w14:textId="1A675374" w:rsidR="008457FB" w:rsidRPr="0062606A" w:rsidRDefault="00FD6AEB" w:rsidP="00F95454">
            <w:pPr>
              <w:mirrorIndents/>
              <w:jc w:val="center"/>
            </w:pPr>
            <w:r>
              <w:t>12</w:t>
            </w:r>
          </w:p>
        </w:tc>
        <w:tc>
          <w:tcPr>
            <w:tcW w:w="1710" w:type="dxa"/>
            <w:tcBorders>
              <w:top w:val="single" w:sz="2" w:space="0" w:color="000000"/>
              <w:left w:val="single" w:sz="2" w:space="0" w:color="000000"/>
              <w:bottom w:val="single" w:sz="2" w:space="0" w:color="000000"/>
              <w:right w:val="nil"/>
            </w:tcBorders>
            <w:vAlign w:val="center"/>
          </w:tcPr>
          <w:p w14:paraId="65CEF3B4" w14:textId="53A7D6AE" w:rsidR="008457FB" w:rsidRPr="0062606A" w:rsidRDefault="008457FB" w:rsidP="00F95454">
            <w:pPr>
              <w:ind w:right="-39"/>
              <w:mirrorIndents/>
              <w:jc w:val="center"/>
            </w:pPr>
            <w:r w:rsidRPr="0062606A">
              <w:t>1</w:t>
            </w:r>
          </w:p>
        </w:tc>
        <w:tc>
          <w:tcPr>
            <w:tcW w:w="1980" w:type="dxa"/>
            <w:tcBorders>
              <w:top w:val="single" w:sz="2" w:space="0" w:color="000000"/>
              <w:left w:val="single" w:sz="2" w:space="0" w:color="000000"/>
              <w:bottom w:val="single" w:sz="2" w:space="0" w:color="000000"/>
              <w:right w:val="single" w:sz="2" w:space="0" w:color="000000"/>
            </w:tcBorders>
            <w:vAlign w:val="center"/>
          </w:tcPr>
          <w:p w14:paraId="4F682159" w14:textId="52E88514" w:rsidR="008457FB" w:rsidRPr="0062606A" w:rsidRDefault="0063212A" w:rsidP="0063212A">
            <w:pPr>
              <w:ind w:right="-39"/>
              <w:mirrorIndents/>
              <w:jc w:val="center"/>
            </w:pPr>
            <w:r>
              <w:t>45/60</w:t>
            </w:r>
          </w:p>
        </w:tc>
        <w:tc>
          <w:tcPr>
            <w:tcW w:w="1080" w:type="dxa"/>
            <w:tcBorders>
              <w:top w:val="single" w:sz="2" w:space="0" w:color="000000"/>
              <w:left w:val="single" w:sz="2" w:space="0" w:color="000000"/>
              <w:bottom w:val="single" w:sz="2" w:space="0" w:color="000000"/>
              <w:right w:val="single" w:sz="2" w:space="0" w:color="000000"/>
            </w:tcBorders>
            <w:vAlign w:val="center"/>
          </w:tcPr>
          <w:p w14:paraId="68D42ED1" w14:textId="5A04E744" w:rsidR="008457FB" w:rsidRPr="0062606A" w:rsidRDefault="00425356" w:rsidP="00F95454">
            <w:pPr>
              <w:mirrorIndents/>
              <w:jc w:val="center"/>
            </w:pPr>
            <w:r>
              <w:t>9</w:t>
            </w:r>
          </w:p>
        </w:tc>
      </w:tr>
      <w:tr w:rsidR="000879CA" w:rsidRPr="0062606A" w14:paraId="003AEEEE" w14:textId="77777777" w:rsidTr="0025627B">
        <w:trPr>
          <w:cantSplit/>
        </w:trPr>
        <w:tc>
          <w:tcPr>
            <w:tcW w:w="8637" w:type="dxa"/>
            <w:gridSpan w:val="5"/>
            <w:tcBorders>
              <w:top w:val="single" w:sz="2" w:space="0" w:color="000000"/>
              <w:left w:val="single" w:sz="2" w:space="0" w:color="000000"/>
              <w:bottom w:val="single" w:sz="2" w:space="0" w:color="000000"/>
              <w:right w:val="single" w:sz="2" w:space="0" w:color="000000"/>
            </w:tcBorders>
          </w:tcPr>
          <w:p w14:paraId="408BF53D" w14:textId="77777777" w:rsidR="000879CA" w:rsidRPr="0062606A" w:rsidRDefault="000879CA" w:rsidP="00F95454">
            <w:pPr>
              <w:ind w:right="224"/>
              <w:mirrorIndents/>
              <w:jc w:val="right"/>
              <w:rPr>
                <w:b/>
              </w:rPr>
            </w:pPr>
            <w:r w:rsidRPr="0062606A">
              <w:rPr>
                <w:b/>
              </w:rPr>
              <w:t>Total</w:t>
            </w:r>
          </w:p>
        </w:tc>
        <w:tc>
          <w:tcPr>
            <w:tcW w:w="1080" w:type="dxa"/>
            <w:tcBorders>
              <w:top w:val="single" w:sz="2" w:space="0" w:color="000000"/>
              <w:left w:val="single" w:sz="2" w:space="0" w:color="000000"/>
              <w:bottom w:val="single" w:sz="2" w:space="0" w:color="000000"/>
              <w:right w:val="single" w:sz="2" w:space="0" w:color="000000"/>
            </w:tcBorders>
            <w:vAlign w:val="center"/>
          </w:tcPr>
          <w:p w14:paraId="544BEFCA" w14:textId="0440DD16" w:rsidR="000879CA" w:rsidRPr="0062606A" w:rsidRDefault="00425356" w:rsidP="00FD6AEB">
            <w:pPr>
              <w:mirrorIndents/>
              <w:jc w:val="center"/>
              <w:rPr>
                <w:b/>
              </w:rPr>
            </w:pPr>
            <w:r>
              <w:rPr>
                <w:b/>
              </w:rPr>
              <w:t>177</w:t>
            </w:r>
          </w:p>
        </w:tc>
      </w:tr>
    </w:tbl>
    <w:p w14:paraId="6FECCC11" w14:textId="77777777" w:rsidR="00332F80" w:rsidRPr="00603813" w:rsidRDefault="00332F80" w:rsidP="00F95454">
      <w:pPr>
        <w:spacing w:before="120" w:after="120"/>
        <w:mirrorIndents/>
        <w:rPr>
          <w:b/>
        </w:rPr>
      </w:pPr>
    </w:p>
    <w:p w14:paraId="6A5D9D70" w14:textId="0327A8B9" w:rsidR="00332F80" w:rsidRPr="00E6566E" w:rsidRDefault="00332F80" w:rsidP="00F95454">
      <w:pPr>
        <w:pStyle w:val="Heading2"/>
        <w:spacing w:before="120" w:after="120"/>
        <w:mirrorIndents/>
        <w:rPr>
          <w:b w:val="0"/>
        </w:rPr>
      </w:pPr>
      <w:bookmarkStart w:id="19" w:name="_Toc444867859"/>
      <w:bookmarkStart w:id="20" w:name="_Toc444883710"/>
      <w:bookmarkStart w:id="21" w:name="_Toc445385235"/>
      <w:bookmarkStart w:id="22" w:name="_Toc448296085"/>
      <w:r w:rsidRPr="00E6566E">
        <w:t>Estimated Annualized Burden Costs</w:t>
      </w:r>
      <w:bookmarkEnd w:id="19"/>
      <w:bookmarkEnd w:id="20"/>
      <w:bookmarkEnd w:id="21"/>
      <w:bookmarkEnd w:id="22"/>
    </w:p>
    <w:p w14:paraId="220EC10A" w14:textId="75BB5C60" w:rsidR="00332F80" w:rsidRPr="00603813" w:rsidRDefault="00332F80" w:rsidP="00F95454">
      <w:pPr>
        <w:spacing w:before="120" w:after="120"/>
        <w:mirrorIndents/>
      </w:pPr>
      <w:r w:rsidRPr="007E5176">
        <w:t xml:space="preserve">The annualized costs to the </w:t>
      </w:r>
      <w:r w:rsidR="003C10A5">
        <w:t>participants</w:t>
      </w:r>
      <w:r w:rsidRPr="007E5176">
        <w:t xml:space="preserve"> are described in Exhibit </w:t>
      </w:r>
      <w:r w:rsidR="0029515C" w:rsidRPr="007E5176">
        <w:t>12</w:t>
      </w:r>
      <w:r w:rsidR="00DE4370" w:rsidRPr="007E5176">
        <w:t>.</w:t>
      </w:r>
      <w:r w:rsidR="002E5112">
        <w:t>2</w:t>
      </w:r>
      <w:r w:rsidRPr="007E5176">
        <w:t xml:space="preserve">. The United States </w:t>
      </w:r>
      <w:r w:rsidR="0029515C" w:rsidRPr="007E5176">
        <w:t>Bureau</w:t>
      </w:r>
      <w:r w:rsidRPr="007E5176">
        <w:t xml:space="preserve"> of Labor Statistics</w:t>
      </w:r>
      <w:r w:rsidR="0029515C" w:rsidRPr="007E5176">
        <w:t>’ employment and wages estimates from</w:t>
      </w:r>
      <w:r w:rsidRPr="007E5176">
        <w:t xml:space="preserve"> </w:t>
      </w:r>
      <w:r w:rsidR="00EB7D6E">
        <w:t>April 6, 2018</w:t>
      </w:r>
      <w:r w:rsidRPr="007E5176">
        <w:t xml:space="preserve"> </w:t>
      </w:r>
      <w:r w:rsidR="0029515C" w:rsidRPr="007E5176">
        <w:t>(</w:t>
      </w:r>
      <w:hyperlink r:id="rId16" w:history="1">
        <w:r w:rsidR="00EB7D6E" w:rsidRPr="00AF130D">
          <w:rPr>
            <w:rStyle w:val="Hyperlink"/>
          </w:rPr>
          <w:t>https://www.bls.gov/news.release/empsit.t19.htm</w:t>
        </w:r>
      </w:hyperlink>
      <w:r w:rsidR="00EB7D6E">
        <w:t xml:space="preserve"> </w:t>
      </w:r>
      <w:r w:rsidR="00506E45" w:rsidRPr="007E5176">
        <w:t>)</w:t>
      </w:r>
      <w:r w:rsidRPr="007E5176">
        <w:rPr>
          <w:color w:val="0070C0"/>
        </w:rPr>
        <w:t xml:space="preserve"> </w:t>
      </w:r>
      <w:hyperlink w:history="1"/>
      <w:r w:rsidRPr="007E5176">
        <w:t>w</w:t>
      </w:r>
      <w:r w:rsidR="0029515C" w:rsidRPr="007E5176">
        <w:t>ere</w:t>
      </w:r>
      <w:r w:rsidRPr="007E5176">
        <w:t xml:space="preserve"> used to estimate the hourly wage rate for </w:t>
      </w:r>
      <w:r w:rsidR="00940241">
        <w:t xml:space="preserve">“other services” provided by </w:t>
      </w:r>
      <w:r w:rsidRPr="007E5176">
        <w:t xml:space="preserve">the general public for the purpose of this GenIC request. </w:t>
      </w:r>
      <w:r w:rsidRPr="00B65A4F">
        <w:t xml:space="preserve">The total estimated cost of the burden to </w:t>
      </w:r>
      <w:r w:rsidR="003C10A5">
        <w:t>participants</w:t>
      </w:r>
      <w:r w:rsidRPr="00B65A4F">
        <w:t xml:space="preserve"> is approximately </w:t>
      </w:r>
      <w:r w:rsidR="002E50F1" w:rsidRPr="002E50F1">
        <w:t>$4,374.00</w:t>
      </w:r>
      <w:r w:rsidR="00943B21" w:rsidRPr="00B65A4F">
        <w:t>.  This</w:t>
      </w:r>
      <w:r w:rsidRPr="00B65A4F">
        <w:t xml:space="preserve"> cost represents the total burde</w:t>
      </w:r>
      <w:r w:rsidR="003C10A5">
        <w:t>n hours of general participant</w:t>
      </w:r>
      <w:r w:rsidRPr="00B65A4F">
        <w:t xml:space="preserve">s multiplied by the average hourly wage rate </w:t>
      </w:r>
      <w:r w:rsidR="00DF291A" w:rsidRPr="00B65A4F">
        <w:t>$2</w:t>
      </w:r>
      <w:r w:rsidR="00EB7D6E">
        <w:t>4.30</w:t>
      </w:r>
      <w:r w:rsidRPr="00B65A4F">
        <w:t>).</w:t>
      </w:r>
      <w:r w:rsidRPr="00603813">
        <w:t xml:space="preserve"> </w:t>
      </w:r>
    </w:p>
    <w:p w14:paraId="46305BF3" w14:textId="1C4CAC5E" w:rsidR="00E53653" w:rsidRPr="007376F4" w:rsidRDefault="00332F80" w:rsidP="00F95454">
      <w:pPr>
        <w:pStyle w:val="Caption"/>
        <w:spacing w:before="120" w:after="120"/>
        <w:mirrorIndents/>
      </w:pPr>
      <w:r w:rsidRPr="00603813">
        <w:t xml:space="preserve"> </w:t>
      </w:r>
      <w:bookmarkStart w:id="23" w:name="_Toc449541624"/>
      <w:r w:rsidR="00E53653"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D07179">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D07179">
        <w:rPr>
          <w:noProof/>
          <w:sz w:val="24"/>
          <w:szCs w:val="24"/>
        </w:rPr>
        <w:t>2</w:t>
      </w:r>
      <w:r w:rsidR="00C91C02">
        <w:rPr>
          <w:sz w:val="24"/>
          <w:szCs w:val="24"/>
        </w:rPr>
        <w:fldChar w:fldCharType="end"/>
      </w:r>
      <w:r w:rsidR="00E53653" w:rsidRPr="00E6566E">
        <w:rPr>
          <w:sz w:val="24"/>
          <w:szCs w:val="24"/>
        </w:rPr>
        <w:t xml:space="preserve">: Estimated Annualized Burden </w:t>
      </w:r>
      <w:r w:rsidR="00CC5FFB">
        <w:rPr>
          <w:sz w:val="24"/>
          <w:szCs w:val="24"/>
        </w:rPr>
        <w:t>Costs</w:t>
      </w:r>
      <w:bookmarkEnd w:id="23"/>
    </w:p>
    <w:tbl>
      <w:tblPr>
        <w:tblW w:w="8367" w:type="dxa"/>
        <w:tblLayout w:type="fixed"/>
        <w:tblCellMar>
          <w:left w:w="129" w:type="dxa"/>
          <w:right w:w="129" w:type="dxa"/>
        </w:tblCellMar>
        <w:tblLook w:val="0000" w:firstRow="0" w:lastRow="0" w:firstColumn="0" w:lastColumn="0" w:noHBand="0" w:noVBand="0"/>
      </w:tblPr>
      <w:tblGrid>
        <w:gridCol w:w="1890"/>
        <w:gridCol w:w="2067"/>
        <w:gridCol w:w="1350"/>
        <w:gridCol w:w="1350"/>
        <w:gridCol w:w="1710"/>
      </w:tblGrid>
      <w:tr w:rsidR="00332F80" w:rsidRPr="0062606A" w14:paraId="5A5AB004" w14:textId="77777777" w:rsidTr="0025627B">
        <w:trPr>
          <w:cantSplit/>
          <w:tblHeader/>
        </w:trPr>
        <w:tc>
          <w:tcPr>
            <w:tcW w:w="1890" w:type="dxa"/>
            <w:tcBorders>
              <w:top w:val="single" w:sz="2" w:space="0" w:color="000000"/>
              <w:left w:val="single" w:sz="2" w:space="0" w:color="000000"/>
              <w:bottom w:val="nil"/>
              <w:right w:val="nil"/>
            </w:tcBorders>
          </w:tcPr>
          <w:p w14:paraId="516F241C" w14:textId="77777777" w:rsidR="00332F80" w:rsidRPr="0062606A" w:rsidRDefault="00332F80" w:rsidP="00F95454">
            <w:pPr>
              <w:mirrorIndents/>
              <w:rPr>
                <w:b/>
              </w:rPr>
            </w:pPr>
            <w:r w:rsidRPr="0062606A">
              <w:rPr>
                <w:b/>
              </w:rPr>
              <w:t>Type of Respondent</w:t>
            </w:r>
          </w:p>
        </w:tc>
        <w:tc>
          <w:tcPr>
            <w:tcW w:w="2067" w:type="dxa"/>
            <w:tcBorders>
              <w:top w:val="single" w:sz="2" w:space="0" w:color="000000"/>
              <w:left w:val="single" w:sz="2" w:space="0" w:color="000000"/>
              <w:bottom w:val="nil"/>
              <w:right w:val="nil"/>
            </w:tcBorders>
          </w:tcPr>
          <w:p w14:paraId="2FC92B67" w14:textId="77777777" w:rsidR="00332F80" w:rsidRPr="0062606A" w:rsidRDefault="00332F80" w:rsidP="00F95454">
            <w:pPr>
              <w:mirrorIndents/>
              <w:rPr>
                <w:b/>
              </w:rPr>
            </w:pPr>
            <w:r w:rsidRPr="0062606A">
              <w:rPr>
                <w:b/>
              </w:rPr>
              <w:t>Form Name</w:t>
            </w:r>
          </w:p>
        </w:tc>
        <w:tc>
          <w:tcPr>
            <w:tcW w:w="1350" w:type="dxa"/>
            <w:tcBorders>
              <w:top w:val="single" w:sz="2" w:space="0" w:color="000000"/>
              <w:left w:val="single" w:sz="2" w:space="0" w:color="000000"/>
              <w:bottom w:val="nil"/>
              <w:right w:val="nil"/>
            </w:tcBorders>
          </w:tcPr>
          <w:p w14:paraId="5392D11A" w14:textId="37768470" w:rsidR="00332F80" w:rsidRPr="0062606A" w:rsidRDefault="00332F80" w:rsidP="00F95454">
            <w:pPr>
              <w:mirrorIndents/>
              <w:jc w:val="center"/>
              <w:rPr>
                <w:b/>
              </w:rPr>
            </w:pPr>
            <w:r w:rsidRPr="0062606A">
              <w:rPr>
                <w:b/>
              </w:rPr>
              <w:t>Total</w:t>
            </w:r>
          </w:p>
          <w:p w14:paraId="426CC59C" w14:textId="77777777" w:rsidR="00332F80" w:rsidRPr="0062606A" w:rsidRDefault="00332F80" w:rsidP="00F95454">
            <w:pPr>
              <w:mirrorIndents/>
              <w:jc w:val="center"/>
              <w:rPr>
                <w:b/>
              </w:rPr>
            </w:pPr>
            <w:r w:rsidRPr="0062606A">
              <w:rPr>
                <w:b/>
              </w:rPr>
              <w:t>Burden</w:t>
            </w:r>
          </w:p>
          <w:p w14:paraId="61E5D27A" w14:textId="77777777" w:rsidR="00332F80" w:rsidRPr="0062606A" w:rsidRDefault="00332F80" w:rsidP="00F95454">
            <w:pPr>
              <w:mirrorIndents/>
              <w:jc w:val="center"/>
              <w:rPr>
                <w:b/>
              </w:rPr>
            </w:pPr>
            <w:r w:rsidRPr="0062606A">
              <w:rPr>
                <w:b/>
              </w:rPr>
              <w:t>Hours</w:t>
            </w:r>
          </w:p>
        </w:tc>
        <w:tc>
          <w:tcPr>
            <w:tcW w:w="1350" w:type="dxa"/>
            <w:tcBorders>
              <w:top w:val="single" w:sz="2" w:space="0" w:color="000000"/>
              <w:left w:val="single" w:sz="2" w:space="0" w:color="000000"/>
              <w:bottom w:val="nil"/>
              <w:right w:val="nil"/>
            </w:tcBorders>
          </w:tcPr>
          <w:p w14:paraId="48C8863C" w14:textId="77777777" w:rsidR="00332F80" w:rsidRPr="0062606A" w:rsidRDefault="00332F80" w:rsidP="00F95454">
            <w:pPr>
              <w:mirrorIndents/>
              <w:jc w:val="center"/>
              <w:rPr>
                <w:b/>
              </w:rPr>
            </w:pPr>
            <w:r w:rsidRPr="0062606A">
              <w:rPr>
                <w:b/>
              </w:rPr>
              <w:t>Hourly Wage Rate</w:t>
            </w:r>
          </w:p>
        </w:tc>
        <w:tc>
          <w:tcPr>
            <w:tcW w:w="1710" w:type="dxa"/>
            <w:tcBorders>
              <w:top w:val="single" w:sz="2" w:space="0" w:color="000000"/>
              <w:left w:val="single" w:sz="2" w:space="0" w:color="000000"/>
              <w:bottom w:val="nil"/>
              <w:right w:val="single" w:sz="2" w:space="0" w:color="000000"/>
            </w:tcBorders>
          </w:tcPr>
          <w:p w14:paraId="4FD2858F" w14:textId="77777777" w:rsidR="00332F80" w:rsidRPr="0062606A" w:rsidRDefault="00332F80" w:rsidP="00F95454">
            <w:pPr>
              <w:mirrorIndents/>
              <w:jc w:val="center"/>
              <w:rPr>
                <w:b/>
              </w:rPr>
            </w:pPr>
            <w:r w:rsidRPr="0062606A">
              <w:rPr>
                <w:b/>
              </w:rPr>
              <w:t>Total Respondent Costs</w:t>
            </w:r>
          </w:p>
        </w:tc>
      </w:tr>
      <w:tr w:rsidR="005F32F0" w:rsidRPr="0062606A" w14:paraId="1A3C6131" w14:textId="77777777" w:rsidTr="0025627B">
        <w:trPr>
          <w:cantSplit/>
        </w:trPr>
        <w:tc>
          <w:tcPr>
            <w:tcW w:w="1890" w:type="dxa"/>
            <w:tcBorders>
              <w:top w:val="single" w:sz="4" w:space="0" w:color="auto"/>
              <w:left w:val="single" w:sz="4" w:space="0" w:color="auto"/>
              <w:bottom w:val="single" w:sz="4" w:space="0" w:color="auto"/>
              <w:right w:val="single" w:sz="4" w:space="0" w:color="auto"/>
            </w:tcBorders>
          </w:tcPr>
          <w:p w14:paraId="38D70117" w14:textId="44401F9C" w:rsidR="005F32F0" w:rsidRPr="0062606A" w:rsidRDefault="005F32F0" w:rsidP="00F95454">
            <w:pPr>
              <w:mirrorIndents/>
            </w:pPr>
            <w:r w:rsidRPr="0062606A">
              <w:t>General Public- Adults</w:t>
            </w:r>
          </w:p>
        </w:tc>
        <w:tc>
          <w:tcPr>
            <w:tcW w:w="2067" w:type="dxa"/>
            <w:tcBorders>
              <w:top w:val="single" w:sz="2" w:space="0" w:color="000000"/>
              <w:left w:val="single" w:sz="4" w:space="0" w:color="auto"/>
              <w:bottom w:val="single" w:sz="2" w:space="0" w:color="000000"/>
              <w:right w:val="nil"/>
            </w:tcBorders>
          </w:tcPr>
          <w:p w14:paraId="2B5195DD" w14:textId="28B0B8FF" w:rsidR="005F32F0" w:rsidRPr="0062606A" w:rsidRDefault="00FD6AEB" w:rsidP="00F95454">
            <w:pPr>
              <w:ind w:left="-39" w:right="51"/>
              <w:mirrorIndents/>
              <w:rPr>
                <w:iCs/>
              </w:rPr>
            </w:pPr>
            <w:r>
              <w:rPr>
                <w:iCs/>
              </w:rPr>
              <w:t xml:space="preserve">CBO </w:t>
            </w:r>
            <w:r w:rsidR="002368E4" w:rsidRPr="0062606A">
              <w:rPr>
                <w:iCs/>
              </w:rPr>
              <w:t xml:space="preserve">Client </w:t>
            </w:r>
            <w:r w:rsidR="005F32F0" w:rsidRPr="0062606A">
              <w:rPr>
                <w:iCs/>
              </w:rPr>
              <w:t>Screener</w:t>
            </w:r>
            <w:r w:rsidR="00637F5D" w:rsidRPr="0062606A">
              <w:rPr>
                <w:iCs/>
              </w:rPr>
              <w:t xml:space="preserve"> (Att</w:t>
            </w:r>
            <w:r w:rsidR="00B65A4F" w:rsidRPr="0062606A">
              <w:rPr>
                <w:iCs/>
              </w:rPr>
              <w:t>.</w:t>
            </w:r>
            <w:r w:rsidR="00637F5D" w:rsidRPr="0062606A">
              <w:rPr>
                <w:iCs/>
              </w:rPr>
              <w:t xml:space="preserve"> 3a)</w:t>
            </w:r>
          </w:p>
        </w:tc>
        <w:tc>
          <w:tcPr>
            <w:tcW w:w="1350" w:type="dxa"/>
            <w:tcBorders>
              <w:top w:val="single" w:sz="2" w:space="0" w:color="000000"/>
              <w:left w:val="single" w:sz="2" w:space="0" w:color="000000"/>
              <w:bottom w:val="single" w:sz="2" w:space="0" w:color="000000"/>
              <w:right w:val="nil"/>
            </w:tcBorders>
            <w:vAlign w:val="center"/>
          </w:tcPr>
          <w:p w14:paraId="73EF1633" w14:textId="454DD1FA" w:rsidR="005F32F0" w:rsidRPr="0062606A" w:rsidRDefault="002E50F1" w:rsidP="00F95454">
            <w:pPr>
              <w:mirrorIndents/>
              <w:jc w:val="center"/>
            </w:pPr>
            <w:r>
              <w:t>24</w:t>
            </w:r>
          </w:p>
        </w:tc>
        <w:tc>
          <w:tcPr>
            <w:tcW w:w="1350" w:type="dxa"/>
            <w:tcBorders>
              <w:top w:val="single" w:sz="2" w:space="0" w:color="000000"/>
              <w:left w:val="single" w:sz="2" w:space="0" w:color="000000"/>
              <w:bottom w:val="single" w:sz="2" w:space="0" w:color="000000"/>
              <w:right w:val="nil"/>
            </w:tcBorders>
            <w:vAlign w:val="center"/>
          </w:tcPr>
          <w:p w14:paraId="36339757" w14:textId="33B3ABFB" w:rsidR="005F32F0" w:rsidRPr="0062606A" w:rsidRDefault="00DF291A" w:rsidP="00EB7D6E">
            <w:pPr>
              <w:ind w:right="-39"/>
              <w:mirrorIndents/>
              <w:jc w:val="center"/>
            </w:pPr>
            <w:r w:rsidRPr="0062606A">
              <w:t>$</w:t>
            </w:r>
            <w:r w:rsidR="00EB7D6E" w:rsidRPr="00B65A4F">
              <w:t>2</w:t>
            </w:r>
            <w:r w:rsidR="00EB7D6E">
              <w:t>4.30</w:t>
            </w:r>
          </w:p>
        </w:tc>
        <w:tc>
          <w:tcPr>
            <w:tcW w:w="1710" w:type="dxa"/>
            <w:tcBorders>
              <w:top w:val="single" w:sz="2" w:space="0" w:color="000000"/>
              <w:left w:val="single" w:sz="2" w:space="0" w:color="000000"/>
              <w:bottom w:val="single" w:sz="2" w:space="0" w:color="000000"/>
              <w:right w:val="single" w:sz="2" w:space="0" w:color="000000"/>
            </w:tcBorders>
            <w:vAlign w:val="center"/>
          </w:tcPr>
          <w:p w14:paraId="7441C556" w14:textId="587FA364" w:rsidR="005F32F0" w:rsidRPr="0062606A" w:rsidRDefault="00DF291A" w:rsidP="00F95454">
            <w:pPr>
              <w:ind w:right="-39"/>
              <w:mirrorIndents/>
              <w:jc w:val="center"/>
            </w:pPr>
            <w:r w:rsidRPr="0062606A">
              <w:t>$</w:t>
            </w:r>
            <w:r w:rsidR="002E50F1">
              <w:t>583.20</w:t>
            </w:r>
          </w:p>
        </w:tc>
      </w:tr>
      <w:tr w:rsidR="007E5176" w:rsidRPr="0062606A" w14:paraId="7EE2C3DA" w14:textId="77777777" w:rsidTr="0025627B">
        <w:trPr>
          <w:cantSplit/>
        </w:trPr>
        <w:tc>
          <w:tcPr>
            <w:tcW w:w="1890" w:type="dxa"/>
            <w:tcBorders>
              <w:top w:val="single" w:sz="4" w:space="0" w:color="auto"/>
              <w:left w:val="single" w:sz="4" w:space="0" w:color="auto"/>
              <w:bottom w:val="single" w:sz="4" w:space="0" w:color="auto"/>
              <w:right w:val="single" w:sz="4" w:space="0" w:color="auto"/>
            </w:tcBorders>
          </w:tcPr>
          <w:p w14:paraId="641F66F6" w14:textId="46944AA4" w:rsidR="007E5176" w:rsidRPr="0062606A" w:rsidRDefault="007E5176" w:rsidP="00F95454">
            <w:pPr>
              <w:mirrorIndents/>
            </w:pPr>
            <w:r w:rsidRPr="0062606A">
              <w:t>General Public- Adults</w:t>
            </w:r>
          </w:p>
        </w:tc>
        <w:tc>
          <w:tcPr>
            <w:tcW w:w="2067" w:type="dxa"/>
            <w:tcBorders>
              <w:top w:val="single" w:sz="2" w:space="0" w:color="000000"/>
              <w:left w:val="single" w:sz="4" w:space="0" w:color="auto"/>
              <w:bottom w:val="single" w:sz="2" w:space="0" w:color="000000"/>
              <w:right w:val="nil"/>
            </w:tcBorders>
          </w:tcPr>
          <w:p w14:paraId="23BDDF95" w14:textId="41D22903" w:rsidR="007E5176" w:rsidRPr="0062606A" w:rsidRDefault="00FD6AEB" w:rsidP="00F95454">
            <w:pPr>
              <w:ind w:left="-39" w:right="51"/>
              <w:mirrorIndents/>
            </w:pPr>
            <w:r>
              <w:rPr>
                <w:iCs/>
              </w:rPr>
              <w:t xml:space="preserve">CBO </w:t>
            </w:r>
            <w:r w:rsidR="002368E4" w:rsidRPr="0062606A">
              <w:rPr>
                <w:iCs/>
              </w:rPr>
              <w:t>Client Interview</w:t>
            </w:r>
            <w:r w:rsidR="00637F5D" w:rsidRPr="0062606A">
              <w:rPr>
                <w:iCs/>
              </w:rPr>
              <w:t xml:space="preserve"> </w:t>
            </w:r>
            <w:r w:rsidR="003E478F" w:rsidRPr="0062606A">
              <w:rPr>
                <w:iCs/>
              </w:rPr>
              <w:t>(Att. 3b</w:t>
            </w:r>
            <w:r w:rsidR="007E5176" w:rsidRPr="0062606A">
              <w:rPr>
                <w:iCs/>
              </w:rPr>
              <w:t>)</w:t>
            </w:r>
          </w:p>
        </w:tc>
        <w:tc>
          <w:tcPr>
            <w:tcW w:w="1350" w:type="dxa"/>
            <w:tcBorders>
              <w:top w:val="single" w:sz="2" w:space="0" w:color="000000"/>
              <w:left w:val="single" w:sz="2" w:space="0" w:color="000000"/>
              <w:bottom w:val="single" w:sz="2" w:space="0" w:color="000000"/>
              <w:right w:val="nil"/>
            </w:tcBorders>
            <w:vAlign w:val="center"/>
          </w:tcPr>
          <w:p w14:paraId="46372667" w14:textId="06168D41" w:rsidR="007E5176" w:rsidRPr="0062606A" w:rsidRDefault="002E50F1" w:rsidP="00F95454">
            <w:pPr>
              <w:mirrorIndents/>
              <w:jc w:val="center"/>
            </w:pPr>
            <w:r>
              <w:t>144</w:t>
            </w:r>
          </w:p>
        </w:tc>
        <w:tc>
          <w:tcPr>
            <w:tcW w:w="1350" w:type="dxa"/>
            <w:tcBorders>
              <w:top w:val="single" w:sz="2" w:space="0" w:color="000000"/>
              <w:left w:val="single" w:sz="2" w:space="0" w:color="000000"/>
              <w:bottom w:val="single" w:sz="2" w:space="0" w:color="000000"/>
              <w:right w:val="nil"/>
            </w:tcBorders>
            <w:vAlign w:val="center"/>
          </w:tcPr>
          <w:p w14:paraId="4CC91E00" w14:textId="033E497E" w:rsidR="007E5176" w:rsidRPr="0062606A" w:rsidRDefault="00DF291A" w:rsidP="00EB7D6E">
            <w:pPr>
              <w:ind w:right="-39"/>
              <w:mirrorIndents/>
              <w:jc w:val="center"/>
            </w:pPr>
            <w:r w:rsidRPr="0062606A">
              <w:t>$</w:t>
            </w:r>
            <w:r w:rsidR="00EB7D6E" w:rsidRPr="00B65A4F">
              <w:t>2</w:t>
            </w:r>
            <w:r w:rsidR="00EB7D6E">
              <w:t>4.30</w:t>
            </w:r>
          </w:p>
        </w:tc>
        <w:tc>
          <w:tcPr>
            <w:tcW w:w="1710" w:type="dxa"/>
            <w:tcBorders>
              <w:top w:val="single" w:sz="2" w:space="0" w:color="000000"/>
              <w:left w:val="single" w:sz="2" w:space="0" w:color="000000"/>
              <w:bottom w:val="single" w:sz="2" w:space="0" w:color="000000"/>
              <w:right w:val="single" w:sz="2" w:space="0" w:color="000000"/>
            </w:tcBorders>
            <w:vAlign w:val="center"/>
          </w:tcPr>
          <w:p w14:paraId="5A90C502" w14:textId="178E0FA2" w:rsidR="007E5176" w:rsidRPr="0062606A" w:rsidRDefault="00DF291A" w:rsidP="00F95454">
            <w:pPr>
              <w:ind w:right="-39"/>
              <w:mirrorIndents/>
              <w:jc w:val="center"/>
            </w:pPr>
            <w:r w:rsidRPr="0062606A">
              <w:t>$</w:t>
            </w:r>
            <w:r w:rsidR="002E50F1">
              <w:t>3,499.20</w:t>
            </w:r>
          </w:p>
        </w:tc>
      </w:tr>
      <w:tr w:rsidR="007E5176" w:rsidRPr="0062606A" w14:paraId="53D292FF" w14:textId="77777777" w:rsidTr="0025627B">
        <w:trPr>
          <w:cantSplit/>
        </w:trPr>
        <w:tc>
          <w:tcPr>
            <w:tcW w:w="1890" w:type="dxa"/>
            <w:tcBorders>
              <w:top w:val="single" w:sz="4" w:space="0" w:color="auto"/>
              <w:left w:val="single" w:sz="4" w:space="0" w:color="auto"/>
              <w:bottom w:val="single" w:sz="4" w:space="0" w:color="auto"/>
              <w:right w:val="single" w:sz="4" w:space="0" w:color="auto"/>
            </w:tcBorders>
          </w:tcPr>
          <w:p w14:paraId="505E1FDF" w14:textId="45F982AE" w:rsidR="007E5176" w:rsidRPr="0062606A" w:rsidRDefault="007E5176" w:rsidP="00F95454">
            <w:pPr>
              <w:mirrorIndents/>
            </w:pPr>
            <w:r w:rsidRPr="0062606A">
              <w:t xml:space="preserve">General Public- </w:t>
            </w:r>
          </w:p>
          <w:p w14:paraId="2BA38C4A" w14:textId="101730CB" w:rsidR="007E5176" w:rsidRPr="0062606A" w:rsidRDefault="007E5176" w:rsidP="00F95454">
            <w:pPr>
              <w:mirrorIndents/>
            </w:pPr>
            <w:r w:rsidRPr="0062606A">
              <w:t>Adults</w:t>
            </w:r>
          </w:p>
        </w:tc>
        <w:tc>
          <w:tcPr>
            <w:tcW w:w="2067" w:type="dxa"/>
            <w:tcBorders>
              <w:top w:val="single" w:sz="2" w:space="0" w:color="000000"/>
              <w:left w:val="single" w:sz="4" w:space="0" w:color="auto"/>
              <w:bottom w:val="single" w:sz="2" w:space="0" w:color="000000"/>
              <w:right w:val="nil"/>
            </w:tcBorders>
          </w:tcPr>
          <w:p w14:paraId="3C49BB57" w14:textId="1CCC7907" w:rsidR="007E5176" w:rsidRPr="0062606A" w:rsidRDefault="00FD6AEB" w:rsidP="00F95454">
            <w:pPr>
              <w:ind w:left="-39" w:right="51"/>
              <w:mirrorIndents/>
            </w:pPr>
            <w:r>
              <w:t xml:space="preserve"> CBO </w:t>
            </w:r>
            <w:r w:rsidR="002368E4" w:rsidRPr="0062606A">
              <w:t>Program Staff Interview</w:t>
            </w:r>
            <w:r w:rsidR="00343F28" w:rsidRPr="0062606A">
              <w:t xml:space="preserve"> (Att. 3c</w:t>
            </w:r>
            <w:r w:rsidR="007E5176" w:rsidRPr="0062606A">
              <w:t>)</w:t>
            </w:r>
          </w:p>
        </w:tc>
        <w:tc>
          <w:tcPr>
            <w:tcW w:w="1350" w:type="dxa"/>
            <w:tcBorders>
              <w:top w:val="single" w:sz="2" w:space="0" w:color="000000"/>
              <w:left w:val="single" w:sz="2" w:space="0" w:color="000000"/>
              <w:bottom w:val="single" w:sz="2" w:space="0" w:color="000000"/>
              <w:right w:val="nil"/>
            </w:tcBorders>
            <w:vAlign w:val="center"/>
          </w:tcPr>
          <w:p w14:paraId="73A4C4E1" w14:textId="476E397B" w:rsidR="007E5176" w:rsidRPr="0062606A" w:rsidRDefault="00425356" w:rsidP="00F95454">
            <w:pPr>
              <w:mirrorIndents/>
              <w:jc w:val="center"/>
            </w:pPr>
            <w:r>
              <w:t>9</w:t>
            </w:r>
          </w:p>
        </w:tc>
        <w:tc>
          <w:tcPr>
            <w:tcW w:w="1350" w:type="dxa"/>
            <w:tcBorders>
              <w:top w:val="single" w:sz="2" w:space="0" w:color="000000"/>
              <w:left w:val="single" w:sz="2" w:space="0" w:color="000000"/>
              <w:bottom w:val="single" w:sz="2" w:space="0" w:color="000000"/>
              <w:right w:val="nil"/>
            </w:tcBorders>
            <w:vAlign w:val="center"/>
          </w:tcPr>
          <w:p w14:paraId="1321E87F" w14:textId="49F0885F" w:rsidR="007E5176" w:rsidRPr="0062606A" w:rsidRDefault="00DF291A" w:rsidP="00EB7D6E">
            <w:pPr>
              <w:ind w:right="-39"/>
              <w:mirrorIndents/>
              <w:jc w:val="center"/>
            </w:pPr>
            <w:r w:rsidRPr="0062606A">
              <w:t>$</w:t>
            </w:r>
            <w:r w:rsidR="00EB7D6E" w:rsidRPr="00B65A4F">
              <w:t>2</w:t>
            </w:r>
            <w:r w:rsidR="00EB7D6E">
              <w:t>4.30</w:t>
            </w:r>
          </w:p>
        </w:tc>
        <w:tc>
          <w:tcPr>
            <w:tcW w:w="1710" w:type="dxa"/>
            <w:tcBorders>
              <w:top w:val="single" w:sz="2" w:space="0" w:color="000000"/>
              <w:left w:val="single" w:sz="2" w:space="0" w:color="000000"/>
              <w:bottom w:val="single" w:sz="2" w:space="0" w:color="000000"/>
              <w:right w:val="single" w:sz="2" w:space="0" w:color="000000"/>
            </w:tcBorders>
            <w:vAlign w:val="center"/>
          </w:tcPr>
          <w:p w14:paraId="16E11440" w14:textId="197150F6" w:rsidR="007E5176" w:rsidRPr="0062606A" w:rsidRDefault="00425356" w:rsidP="00F95454">
            <w:pPr>
              <w:ind w:right="-39"/>
              <w:mirrorIndents/>
              <w:jc w:val="center"/>
              <w:rPr>
                <w:highlight w:val="yellow"/>
              </w:rPr>
            </w:pPr>
            <w:r>
              <w:t>$218.70</w:t>
            </w:r>
          </w:p>
        </w:tc>
      </w:tr>
      <w:tr w:rsidR="00E95779" w:rsidRPr="0062606A" w14:paraId="00222644" w14:textId="77777777" w:rsidTr="0025627B">
        <w:trPr>
          <w:cantSplit/>
        </w:trPr>
        <w:tc>
          <w:tcPr>
            <w:tcW w:w="8367" w:type="dxa"/>
            <w:gridSpan w:val="5"/>
            <w:tcBorders>
              <w:top w:val="single" w:sz="2" w:space="0" w:color="000000"/>
              <w:left w:val="single" w:sz="2" w:space="0" w:color="000000"/>
              <w:bottom w:val="single" w:sz="2" w:space="0" w:color="000000"/>
              <w:right w:val="single" w:sz="2" w:space="0" w:color="000000"/>
            </w:tcBorders>
          </w:tcPr>
          <w:p w14:paraId="24F9042E" w14:textId="2B3BBD64" w:rsidR="00E95779" w:rsidRPr="0062606A" w:rsidRDefault="00E95779" w:rsidP="00F95454">
            <w:pPr>
              <w:ind w:right="224"/>
              <w:mirrorIndents/>
              <w:jc w:val="right"/>
              <w:rPr>
                <w:b/>
              </w:rPr>
            </w:pPr>
            <w:r w:rsidRPr="0062606A">
              <w:rPr>
                <w:b/>
              </w:rPr>
              <w:t xml:space="preserve">Total </w:t>
            </w:r>
            <w:r w:rsidR="002E50F1">
              <w:rPr>
                <w:b/>
              </w:rPr>
              <w:t>$4</w:t>
            </w:r>
            <w:r w:rsidR="00425356">
              <w:rPr>
                <w:b/>
              </w:rPr>
              <w:t>, 301.10</w:t>
            </w:r>
          </w:p>
        </w:tc>
      </w:tr>
    </w:tbl>
    <w:p w14:paraId="0E4B630F" w14:textId="77777777" w:rsidR="00E76B94" w:rsidRDefault="00E76B94" w:rsidP="00E76B94">
      <w:pPr>
        <w:pStyle w:val="Heading1"/>
        <w:numPr>
          <w:ilvl w:val="0"/>
          <w:numId w:val="0"/>
        </w:numPr>
        <w:spacing w:before="120" w:after="120"/>
        <w:ind w:left="432"/>
        <w:mirrorIndents/>
      </w:pPr>
      <w:bookmarkStart w:id="24" w:name="_Toc448296086"/>
    </w:p>
    <w:p w14:paraId="11D43D79" w14:textId="765DF9F7" w:rsidR="00B12EA3" w:rsidRDefault="00B12EA3" w:rsidP="00F95454">
      <w:pPr>
        <w:pStyle w:val="Heading1"/>
        <w:spacing w:before="120" w:after="120"/>
        <w:mirrorIndents/>
      </w:pPr>
      <w:r w:rsidRPr="00B12EA3">
        <w:t>Estimates of Other Total Annual Cost Burden to Respondents and Record Keepers</w:t>
      </w:r>
      <w:bookmarkEnd w:id="24"/>
    </w:p>
    <w:p w14:paraId="66DF91DD" w14:textId="7AC6A382" w:rsidR="00332F80" w:rsidRDefault="00332F80" w:rsidP="00F95454">
      <w:pPr>
        <w:spacing w:before="120" w:after="120"/>
        <w:mirrorIndents/>
      </w:pPr>
      <w:r w:rsidRPr="00F15684">
        <w:t xml:space="preserve">There are no </w:t>
      </w:r>
      <w:r w:rsidR="00747020" w:rsidRPr="00F15684">
        <w:t xml:space="preserve">other </w:t>
      </w:r>
      <w:r w:rsidR="003C10A5">
        <w:t>costs to participant</w:t>
      </w:r>
      <w:r w:rsidRPr="00F15684">
        <w:t>s for participating in this survey.</w:t>
      </w:r>
    </w:p>
    <w:p w14:paraId="4FA662BE" w14:textId="77777777" w:rsidR="00015AE7" w:rsidRPr="00F951D1" w:rsidRDefault="00015AE7" w:rsidP="00F95454">
      <w:pPr>
        <w:spacing w:before="120" w:after="120"/>
        <w:mirrorIndents/>
      </w:pPr>
    </w:p>
    <w:p w14:paraId="30DCC62D" w14:textId="14BC7D11" w:rsidR="00332F80" w:rsidRDefault="00B12EA3" w:rsidP="00F95454">
      <w:pPr>
        <w:pStyle w:val="Heading1"/>
        <w:spacing w:before="120" w:after="120"/>
        <w:mirrorIndents/>
      </w:pPr>
      <w:bookmarkStart w:id="25" w:name="_Toc448296087"/>
      <w:r w:rsidRPr="00E6566E">
        <w:t>Annualized Cost to the Federal Government</w:t>
      </w:r>
      <w:bookmarkEnd w:id="25"/>
    </w:p>
    <w:p w14:paraId="2C85965F" w14:textId="1EA04631" w:rsidR="00B65A4F" w:rsidRPr="00B65A4F" w:rsidRDefault="00B65A4F" w:rsidP="00F95454">
      <w:pPr>
        <w:spacing w:before="120" w:after="120"/>
        <w:mirrorIndents/>
      </w:pPr>
      <w:r>
        <w:t>Exhibit 14.1</w:t>
      </w:r>
      <w:r w:rsidRPr="00B65A4F">
        <w:t xml:space="preserve"> provides the annualized cost to the government</w:t>
      </w:r>
      <w:r w:rsidRPr="006A4424">
        <w:t>, which totals $</w:t>
      </w:r>
      <w:r w:rsidR="00F3714D">
        <w:t>369,288.88</w:t>
      </w:r>
      <w:r w:rsidR="006A4424" w:rsidRPr="006A4424">
        <w:t xml:space="preserve"> </w:t>
      </w:r>
      <w:r w:rsidRPr="006A4424">
        <w:t>using</w:t>
      </w:r>
      <w:r w:rsidRPr="00B65A4F">
        <w:t xml:space="preserve"> the </w:t>
      </w:r>
      <w:r>
        <w:t>201</w:t>
      </w:r>
      <w:r w:rsidR="00037930">
        <w:t>8</w:t>
      </w:r>
      <w:r>
        <w:t xml:space="preserve"> </w:t>
      </w:r>
      <w:r w:rsidRPr="00B65A4F">
        <w:t xml:space="preserve">Atlanta locality salary schedule. CDC supports costs for HIV prevention </w:t>
      </w:r>
      <w:r w:rsidRPr="008102BB">
        <w:t>program task orders using</w:t>
      </w:r>
      <w:r w:rsidRPr="00B65A4F">
        <w:t xml:space="preserve"> funds budgeted for these purposes. Additional expenses may be incurred by CDC for attending site visits. Managing the project, providing technical assistance, monitoring and analyzing the submitted data, and generating assorted reports </w:t>
      </w:r>
      <w:r>
        <w:t>will</w:t>
      </w:r>
      <w:r w:rsidRPr="00B65A4F">
        <w:t xml:space="preserve"> require the expertise of </w:t>
      </w:r>
      <w:r>
        <w:t>three</w:t>
      </w:r>
      <w:r w:rsidRPr="00B65A4F">
        <w:t xml:space="preserve"> CDC staff. </w:t>
      </w:r>
    </w:p>
    <w:p w14:paraId="792B45B5" w14:textId="56ABE8C2" w:rsidR="00E53653" w:rsidRPr="007376F4" w:rsidRDefault="00E53653" w:rsidP="00F95454">
      <w:pPr>
        <w:pStyle w:val="Caption"/>
        <w:keepNext/>
        <w:spacing w:before="120" w:after="120"/>
        <w:mirrorIndents/>
      </w:pPr>
      <w:bookmarkStart w:id="26" w:name="_Toc449541625"/>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D07179">
        <w:rPr>
          <w:noProof/>
          <w:sz w:val="24"/>
          <w:szCs w:val="24"/>
        </w:rPr>
        <w:t>14</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D07179">
        <w:rPr>
          <w:noProof/>
          <w:sz w:val="24"/>
          <w:szCs w:val="24"/>
        </w:rPr>
        <w:t>1</w:t>
      </w:r>
      <w:r w:rsidR="00C91C02">
        <w:rPr>
          <w:sz w:val="24"/>
          <w:szCs w:val="24"/>
        </w:rPr>
        <w:fldChar w:fldCharType="end"/>
      </w:r>
      <w:r w:rsidRPr="00E6566E">
        <w:rPr>
          <w:sz w:val="24"/>
          <w:szCs w:val="24"/>
        </w:rPr>
        <w:t>: Annualized Cost to the Government</w:t>
      </w:r>
      <w:bookmarkEnd w:id="26"/>
      <w:r w:rsidR="00B65A4F">
        <w:rPr>
          <w:sz w:val="24"/>
          <w:szCs w:val="24"/>
        </w:rPr>
        <w:t xml:space="preserve"> (2017 scale)</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43"/>
        <w:gridCol w:w="5447"/>
        <w:gridCol w:w="2340"/>
      </w:tblGrid>
      <w:tr w:rsidR="00332F80" w:rsidRPr="00D02168" w14:paraId="13CE864C" w14:textId="77777777" w:rsidTr="00D02168">
        <w:tc>
          <w:tcPr>
            <w:tcW w:w="1843" w:type="dxa"/>
          </w:tcPr>
          <w:p w14:paraId="394C584A"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bCs/>
              </w:rPr>
            </w:pPr>
            <w:r w:rsidRPr="00D02168">
              <w:rPr>
                <w:b/>
                <w:bCs/>
              </w:rPr>
              <w:t>Expense Type</w:t>
            </w:r>
          </w:p>
        </w:tc>
        <w:tc>
          <w:tcPr>
            <w:tcW w:w="5447" w:type="dxa"/>
          </w:tcPr>
          <w:p w14:paraId="40E3E56D"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D02168">
              <w:rPr>
                <w:b/>
                <w:bCs/>
              </w:rPr>
              <w:t>Expense Explanation</w:t>
            </w:r>
          </w:p>
        </w:tc>
        <w:tc>
          <w:tcPr>
            <w:tcW w:w="2340" w:type="dxa"/>
          </w:tcPr>
          <w:p w14:paraId="5683A7F0"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D02168">
              <w:rPr>
                <w:b/>
                <w:bCs/>
              </w:rPr>
              <w:t>Annual Costs (dollars)</w:t>
            </w:r>
          </w:p>
        </w:tc>
      </w:tr>
      <w:tr w:rsidR="00332F80" w:rsidRPr="00D02168" w14:paraId="0CC8B117" w14:textId="77777777" w:rsidTr="00D02168">
        <w:tc>
          <w:tcPr>
            <w:tcW w:w="1843" w:type="dxa"/>
          </w:tcPr>
          <w:p w14:paraId="7502CF7F" w14:textId="66809D8B"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Direct Costs</w:t>
            </w:r>
          </w:p>
        </w:tc>
        <w:tc>
          <w:tcPr>
            <w:tcW w:w="5447" w:type="dxa"/>
            <w:vAlign w:val="center"/>
          </w:tcPr>
          <w:p w14:paraId="07DF3CB1" w14:textId="04EA2853"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 xml:space="preserve">CDC, </w:t>
            </w:r>
            <w:r w:rsidR="00E2574F" w:rsidRPr="00D02168">
              <w:t xml:space="preserve">Project Officer </w:t>
            </w:r>
            <w:r w:rsidRPr="00D02168">
              <w:t>(GS-14</w:t>
            </w:r>
            <w:r w:rsidR="00291F2D" w:rsidRPr="00D02168">
              <w:t>,</w:t>
            </w:r>
            <w:r w:rsidRPr="00D02168">
              <w:t xml:space="preserve"> 0.20 FTE)</w:t>
            </w:r>
          </w:p>
        </w:tc>
        <w:tc>
          <w:tcPr>
            <w:tcW w:w="2340" w:type="dxa"/>
            <w:vAlign w:val="center"/>
          </w:tcPr>
          <w:p w14:paraId="1A280807" w14:textId="1E7C8EDA" w:rsidR="00332F80" w:rsidRPr="00D02168" w:rsidRDefault="00291F2D" w:rsidP="000379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$21</w:t>
            </w:r>
            <w:r w:rsidR="00332F80" w:rsidRPr="00D02168">
              <w:t>,</w:t>
            </w:r>
            <w:r w:rsidR="00037930">
              <w:t>656.20</w:t>
            </w:r>
          </w:p>
        </w:tc>
      </w:tr>
      <w:tr w:rsidR="00332F80" w:rsidRPr="00D02168" w14:paraId="68E5496D" w14:textId="77777777" w:rsidTr="00D02168">
        <w:tc>
          <w:tcPr>
            <w:tcW w:w="1843" w:type="dxa"/>
          </w:tcPr>
          <w:p w14:paraId="0A3E69D8"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p>
        </w:tc>
        <w:tc>
          <w:tcPr>
            <w:tcW w:w="5447" w:type="dxa"/>
            <w:vAlign w:val="center"/>
          </w:tcPr>
          <w:p w14:paraId="176F3693" w14:textId="357D41CB"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CDC</w:t>
            </w:r>
            <w:r w:rsidR="00E2574F" w:rsidRPr="00D02168">
              <w:t xml:space="preserve"> Scientist</w:t>
            </w:r>
            <w:r w:rsidR="00C60213" w:rsidRPr="00D02168">
              <w:t xml:space="preserve"> </w:t>
            </w:r>
            <w:r w:rsidRPr="00D02168">
              <w:t>(GS-1</w:t>
            </w:r>
            <w:r w:rsidR="00C1474B" w:rsidRPr="00D02168">
              <w:t>3</w:t>
            </w:r>
            <w:r w:rsidR="00E2574F" w:rsidRPr="00D02168">
              <w:t xml:space="preserve">, </w:t>
            </w:r>
            <w:r w:rsidRPr="00D02168">
              <w:t>0.20 FTE)</w:t>
            </w:r>
          </w:p>
        </w:tc>
        <w:tc>
          <w:tcPr>
            <w:tcW w:w="2340" w:type="dxa"/>
            <w:vAlign w:val="center"/>
          </w:tcPr>
          <w:p w14:paraId="208D543C" w14:textId="22164858" w:rsidR="00332F80" w:rsidRPr="00D02168" w:rsidRDefault="00332F80" w:rsidP="000379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w:t>
            </w:r>
            <w:r w:rsidR="00291F2D" w:rsidRPr="00D02168">
              <w:t>1</w:t>
            </w:r>
            <w:r w:rsidR="008E10CB" w:rsidRPr="00D02168">
              <w:t>8,</w:t>
            </w:r>
            <w:r w:rsidR="00037930">
              <w:t>326.20</w:t>
            </w:r>
          </w:p>
        </w:tc>
      </w:tr>
      <w:tr w:rsidR="00332F80" w:rsidRPr="00D02168" w14:paraId="6417CD23" w14:textId="77777777" w:rsidTr="00D02168">
        <w:tc>
          <w:tcPr>
            <w:tcW w:w="1843" w:type="dxa"/>
          </w:tcPr>
          <w:p w14:paraId="5BB5FCA4"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p>
        </w:tc>
        <w:tc>
          <w:tcPr>
            <w:tcW w:w="5447" w:type="dxa"/>
            <w:vAlign w:val="center"/>
          </w:tcPr>
          <w:p w14:paraId="6FAA05A1" w14:textId="7ACEE16C" w:rsidR="00332F80" w:rsidRPr="00D02168" w:rsidRDefault="008C3782"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CDC Scientist (GS-13, 0.20 FTE)</w:t>
            </w:r>
          </w:p>
        </w:tc>
        <w:tc>
          <w:tcPr>
            <w:tcW w:w="2340" w:type="dxa"/>
            <w:vAlign w:val="center"/>
          </w:tcPr>
          <w:p w14:paraId="68A6DA76" w14:textId="22AE6613" w:rsidR="00332F80" w:rsidRPr="00D02168" w:rsidRDefault="008C3782" w:rsidP="000379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$18,</w:t>
            </w:r>
            <w:r w:rsidR="00037930">
              <w:t>326.20</w:t>
            </w:r>
          </w:p>
        </w:tc>
      </w:tr>
      <w:tr w:rsidR="00332F80" w:rsidRPr="00D02168" w14:paraId="6B8192A0" w14:textId="77777777" w:rsidTr="00D02168">
        <w:tc>
          <w:tcPr>
            <w:tcW w:w="1843" w:type="dxa"/>
          </w:tcPr>
          <w:p w14:paraId="0025A39E"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p>
        </w:tc>
        <w:tc>
          <w:tcPr>
            <w:tcW w:w="5447" w:type="dxa"/>
            <w:vAlign w:val="center"/>
          </w:tcPr>
          <w:p w14:paraId="3F028717"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rPr>
                <w:b/>
              </w:rPr>
              <w:t xml:space="preserve">           Subtotal, Direct Costs</w:t>
            </w:r>
          </w:p>
        </w:tc>
        <w:tc>
          <w:tcPr>
            <w:tcW w:w="2340" w:type="dxa"/>
            <w:vAlign w:val="center"/>
          </w:tcPr>
          <w:p w14:paraId="5F055B04" w14:textId="1AB1F3C0" w:rsidR="00332F80" w:rsidRPr="00D02168" w:rsidRDefault="008C3782"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Pr>
                <w:b/>
              </w:rPr>
              <w:t>$5</w:t>
            </w:r>
            <w:r w:rsidR="00037930">
              <w:rPr>
                <w:b/>
              </w:rPr>
              <w:t>8,308.60</w:t>
            </w:r>
          </w:p>
        </w:tc>
      </w:tr>
      <w:tr w:rsidR="00332F80" w:rsidRPr="00D02168" w14:paraId="7DDD5C41" w14:textId="77777777" w:rsidTr="00D02168">
        <w:tc>
          <w:tcPr>
            <w:tcW w:w="1843" w:type="dxa"/>
          </w:tcPr>
          <w:p w14:paraId="410561C9" w14:textId="0096B059" w:rsidR="00332F80" w:rsidRPr="00D02168" w:rsidRDefault="008519CC"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Contract</w:t>
            </w:r>
            <w:r w:rsidR="00EE4F87" w:rsidRPr="00D02168">
              <w:t xml:space="preserve"> Costs</w:t>
            </w:r>
            <w:r w:rsidR="004629B2" w:rsidRPr="00D02168">
              <w:t xml:space="preserve"> </w:t>
            </w:r>
          </w:p>
        </w:tc>
        <w:tc>
          <w:tcPr>
            <w:tcW w:w="5447" w:type="dxa"/>
            <w:vAlign w:val="center"/>
          </w:tcPr>
          <w:p w14:paraId="06852707" w14:textId="0D5D66F8" w:rsidR="00332F80" w:rsidRPr="00F95904" w:rsidRDefault="008519CC"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F95904">
              <w:rPr>
                <w:b/>
              </w:rPr>
              <w:t xml:space="preserve">Annual Contract Costs  (RSS, </w:t>
            </w:r>
            <w:r w:rsidR="00104E90" w:rsidRPr="00F95904">
              <w:rPr>
                <w:b/>
              </w:rPr>
              <w:t>#</w:t>
            </w:r>
            <w:r w:rsidRPr="00F95904">
              <w:rPr>
                <w:b/>
              </w:rPr>
              <w:t>200-2013-57341</w:t>
            </w:r>
            <w:r w:rsidR="00104E90" w:rsidRPr="00F95904">
              <w:rPr>
                <w:b/>
              </w:rPr>
              <w:t>)</w:t>
            </w:r>
            <w:r w:rsidR="00332F80" w:rsidRPr="00F95904">
              <w:rPr>
                <w:b/>
              </w:rPr>
              <w:t xml:space="preserve">               </w:t>
            </w:r>
          </w:p>
        </w:tc>
        <w:tc>
          <w:tcPr>
            <w:tcW w:w="2340" w:type="dxa"/>
            <w:vAlign w:val="center"/>
          </w:tcPr>
          <w:p w14:paraId="3D36E433" w14:textId="5BDF167C" w:rsidR="00332F80" w:rsidRPr="00F95904" w:rsidRDefault="00332F80" w:rsidP="00F95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F95904">
              <w:rPr>
                <w:b/>
              </w:rPr>
              <w:t>$</w:t>
            </w:r>
            <w:r w:rsidR="008C3782">
              <w:rPr>
                <w:b/>
              </w:rPr>
              <w:t>310,977.28</w:t>
            </w:r>
          </w:p>
        </w:tc>
      </w:tr>
      <w:tr w:rsidR="00332F80" w:rsidRPr="00D02168" w14:paraId="00643FEF" w14:textId="77777777" w:rsidTr="00D02168">
        <w:tc>
          <w:tcPr>
            <w:tcW w:w="1843" w:type="dxa"/>
          </w:tcPr>
          <w:p w14:paraId="302920C0"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p>
        </w:tc>
        <w:tc>
          <w:tcPr>
            <w:tcW w:w="5447" w:type="dxa"/>
          </w:tcPr>
          <w:p w14:paraId="34DA3866" w14:textId="77777777" w:rsidR="00332F80" w:rsidRPr="00F95904"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F95904">
              <w:rPr>
                <w:b/>
              </w:rPr>
              <w:t xml:space="preserve">TOTAL COST TO THE GOVERNMENT </w:t>
            </w:r>
          </w:p>
        </w:tc>
        <w:tc>
          <w:tcPr>
            <w:tcW w:w="2340" w:type="dxa"/>
          </w:tcPr>
          <w:p w14:paraId="32B261F2" w14:textId="786F1725" w:rsidR="00332F80" w:rsidRPr="00F95904" w:rsidRDefault="00B953B0" w:rsidP="000379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F95904">
              <w:rPr>
                <w:b/>
              </w:rPr>
              <w:t xml:space="preserve">$ </w:t>
            </w:r>
            <w:r w:rsidR="006A4424">
              <w:rPr>
                <w:b/>
              </w:rPr>
              <w:t>3</w:t>
            </w:r>
            <w:r w:rsidR="00037930">
              <w:rPr>
                <w:b/>
              </w:rPr>
              <w:t>69</w:t>
            </w:r>
            <w:r w:rsidR="008C3782">
              <w:rPr>
                <w:b/>
              </w:rPr>
              <w:t>,2</w:t>
            </w:r>
            <w:r w:rsidR="00037930">
              <w:rPr>
                <w:b/>
              </w:rPr>
              <w:t>88.8</w:t>
            </w:r>
            <w:r w:rsidR="008C3782">
              <w:rPr>
                <w:b/>
              </w:rPr>
              <w:t>8</w:t>
            </w:r>
          </w:p>
        </w:tc>
      </w:tr>
    </w:tbl>
    <w:p w14:paraId="558D68D7" w14:textId="77777777" w:rsidR="00F95454" w:rsidRDefault="00F95454" w:rsidP="00F95454">
      <w:pPr>
        <w:pStyle w:val="Heading1"/>
        <w:numPr>
          <w:ilvl w:val="0"/>
          <w:numId w:val="0"/>
        </w:numPr>
        <w:spacing w:before="120" w:after="120"/>
        <w:ind w:left="432"/>
        <w:mirrorIndents/>
      </w:pPr>
      <w:bookmarkStart w:id="27" w:name="_Toc448296088"/>
    </w:p>
    <w:p w14:paraId="0027368F" w14:textId="766681C5" w:rsidR="00B12EA3" w:rsidRDefault="00B12EA3" w:rsidP="00F95454">
      <w:pPr>
        <w:pStyle w:val="Heading1"/>
        <w:spacing w:before="120" w:after="120"/>
        <w:mirrorIndents/>
      </w:pPr>
      <w:r w:rsidRPr="00B12EA3">
        <w:t>Explanation for Program Changes or Adjustments</w:t>
      </w:r>
      <w:bookmarkEnd w:id="27"/>
    </w:p>
    <w:p w14:paraId="12E59EA5" w14:textId="1FAED562" w:rsidR="00332F80" w:rsidRDefault="00332F80" w:rsidP="00F95454">
      <w:pPr>
        <w:autoSpaceDE w:val="0"/>
        <w:autoSpaceDN w:val="0"/>
        <w:adjustRightInd w:val="0"/>
        <w:spacing w:before="120" w:after="120"/>
        <w:mirrorIndents/>
        <w:jc w:val="both"/>
        <w:rPr>
          <w:bCs/>
        </w:rPr>
      </w:pPr>
      <w:r w:rsidRPr="009C5D88">
        <w:rPr>
          <w:bCs/>
        </w:rPr>
        <w:t>This is a new GenIC information collection request (ICR).</w:t>
      </w:r>
      <w:r w:rsidRPr="00603813">
        <w:rPr>
          <w:bCs/>
        </w:rPr>
        <w:t xml:space="preserve"> </w:t>
      </w:r>
    </w:p>
    <w:p w14:paraId="08E6E6B7" w14:textId="77777777" w:rsidR="005E6F8D" w:rsidRDefault="005E6F8D" w:rsidP="00F95454">
      <w:pPr>
        <w:autoSpaceDE w:val="0"/>
        <w:autoSpaceDN w:val="0"/>
        <w:adjustRightInd w:val="0"/>
        <w:spacing w:before="120" w:after="120"/>
        <w:mirrorIndents/>
        <w:jc w:val="both"/>
        <w:rPr>
          <w:bCs/>
        </w:rPr>
      </w:pPr>
    </w:p>
    <w:p w14:paraId="6DB91386" w14:textId="33251CB3" w:rsidR="00332F80" w:rsidRDefault="00B12EA3" w:rsidP="00F95454">
      <w:pPr>
        <w:pStyle w:val="Heading1"/>
        <w:spacing w:before="120" w:after="120"/>
        <w:mirrorIndents/>
      </w:pPr>
      <w:bookmarkStart w:id="28" w:name="_Toc448296089"/>
      <w:r w:rsidRPr="00C46977">
        <w:t>Plans for Tabulation and Publication and Project Time Schedule</w:t>
      </w:r>
      <w:bookmarkEnd w:id="28"/>
    </w:p>
    <w:p w14:paraId="5892749C" w14:textId="45A5A2CF" w:rsidR="00104E90" w:rsidRDefault="00104E90" w:rsidP="003C10A5">
      <w:pPr>
        <w:spacing w:before="120" w:after="120"/>
        <w:mirrorIndents/>
      </w:pPr>
      <w:r w:rsidRPr="009C5D88">
        <w:t>Tabulation will include descripti</w:t>
      </w:r>
      <w:r w:rsidR="003C10A5">
        <w:t>ve characteristics of participant</w:t>
      </w:r>
      <w:r w:rsidRPr="009C5D88">
        <w:t>s collected in the first part of the interview</w:t>
      </w:r>
      <w:r w:rsidR="007D3913">
        <w:t>s</w:t>
      </w:r>
      <w:r w:rsidRPr="00B953B0">
        <w:t xml:space="preserve">.  Data collection will occur between </w:t>
      </w:r>
      <w:r w:rsidR="00B45435">
        <w:t>April-July 2019</w:t>
      </w:r>
      <w:r w:rsidRPr="00B953B0">
        <w:t xml:space="preserve">, analyses will be carried out in </w:t>
      </w:r>
      <w:r w:rsidR="00B45435">
        <w:t>August-September</w:t>
      </w:r>
      <w:r w:rsidR="0050634D">
        <w:t xml:space="preserve"> 2019</w:t>
      </w:r>
      <w:r w:rsidRPr="00B953B0">
        <w:t xml:space="preserve">, and the final data set and report will be submitted in </w:t>
      </w:r>
      <w:r w:rsidR="00B45435">
        <w:t>March 2020</w:t>
      </w:r>
      <w:r w:rsidRPr="00B953B0">
        <w:t>. The</w:t>
      </w:r>
      <w:r w:rsidRPr="009C5D88">
        <w:t xml:space="preserve"> project timeline is detailed in exhibit 16.1.</w:t>
      </w:r>
    </w:p>
    <w:p w14:paraId="6EFB6473" w14:textId="7BF86713" w:rsidR="00E86C70" w:rsidRDefault="00E86C70" w:rsidP="00F95454">
      <w:pPr>
        <w:pStyle w:val="Caption"/>
        <w:keepNext/>
        <w:spacing w:before="120" w:after="120"/>
        <w:mirrorIndents/>
        <w:rPr>
          <w:sz w:val="24"/>
          <w:szCs w:val="24"/>
        </w:rPr>
      </w:pPr>
      <w:bookmarkStart w:id="29" w:name="_Toc449541626"/>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D07179">
        <w:rPr>
          <w:noProof/>
          <w:sz w:val="24"/>
          <w:szCs w:val="24"/>
        </w:rPr>
        <w:t>16</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D07179">
        <w:rPr>
          <w:noProof/>
          <w:sz w:val="24"/>
          <w:szCs w:val="24"/>
        </w:rPr>
        <w:t>1</w:t>
      </w:r>
      <w:r w:rsidR="00C91C02">
        <w:rPr>
          <w:sz w:val="24"/>
          <w:szCs w:val="24"/>
        </w:rPr>
        <w:fldChar w:fldCharType="end"/>
      </w:r>
      <w:r w:rsidRPr="00E6566E">
        <w:rPr>
          <w:sz w:val="24"/>
          <w:szCs w:val="24"/>
        </w:rPr>
        <w:t>: Project Time Schedule</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5"/>
        <w:gridCol w:w="4230"/>
      </w:tblGrid>
      <w:tr w:rsidR="007D2C4F" w:rsidRPr="00B474EC" w14:paraId="1ADF7033" w14:textId="77777777" w:rsidTr="00B953B0">
        <w:tc>
          <w:tcPr>
            <w:tcW w:w="4405" w:type="dxa"/>
            <w:tcMar>
              <w:top w:w="0" w:type="dxa"/>
              <w:left w:w="108" w:type="dxa"/>
              <w:bottom w:w="0" w:type="dxa"/>
              <w:right w:w="108" w:type="dxa"/>
            </w:tcMar>
            <w:hideMark/>
          </w:tcPr>
          <w:p w14:paraId="6595C061" w14:textId="77777777" w:rsidR="007D2C4F" w:rsidRPr="00B474EC" w:rsidRDefault="007D2C4F" w:rsidP="00F95454">
            <w:pPr>
              <w:mirrorIndents/>
            </w:pPr>
            <w:r w:rsidRPr="00B474EC">
              <w:rPr>
                <w:b/>
                <w:bCs/>
              </w:rPr>
              <w:t>Activity</w:t>
            </w:r>
          </w:p>
        </w:tc>
        <w:tc>
          <w:tcPr>
            <w:tcW w:w="4230" w:type="dxa"/>
            <w:tcMar>
              <w:top w:w="0" w:type="dxa"/>
              <w:left w:w="108" w:type="dxa"/>
              <w:bottom w:w="0" w:type="dxa"/>
              <w:right w:w="108" w:type="dxa"/>
            </w:tcMar>
            <w:hideMark/>
          </w:tcPr>
          <w:p w14:paraId="3D02435F" w14:textId="77777777" w:rsidR="007D2C4F" w:rsidRPr="00B474EC" w:rsidRDefault="007D2C4F" w:rsidP="00F95454">
            <w:pPr>
              <w:mirrorIndents/>
              <w:jc w:val="center"/>
            </w:pPr>
            <w:r w:rsidRPr="00B474EC">
              <w:rPr>
                <w:b/>
                <w:bCs/>
              </w:rPr>
              <w:t>Time Schedule</w:t>
            </w:r>
          </w:p>
        </w:tc>
      </w:tr>
      <w:tr w:rsidR="007D2C4F" w:rsidRPr="00B474EC" w14:paraId="407A9610" w14:textId="77777777" w:rsidTr="00B953B0">
        <w:tc>
          <w:tcPr>
            <w:tcW w:w="4405" w:type="dxa"/>
            <w:tcMar>
              <w:top w:w="0" w:type="dxa"/>
              <w:left w:w="108" w:type="dxa"/>
              <w:bottom w:w="0" w:type="dxa"/>
              <w:right w:w="108" w:type="dxa"/>
            </w:tcMar>
            <w:vAlign w:val="center"/>
            <w:hideMark/>
          </w:tcPr>
          <w:p w14:paraId="08E02275" w14:textId="77777777" w:rsidR="007D2C4F" w:rsidRPr="00B474EC" w:rsidRDefault="007D2C4F" w:rsidP="00F95454">
            <w:pPr>
              <w:mirrorIndents/>
            </w:pPr>
            <w:r w:rsidRPr="00B474EC">
              <w:t xml:space="preserve">Develop data collection tools, sampling and data plans, study protocol </w:t>
            </w:r>
          </w:p>
        </w:tc>
        <w:tc>
          <w:tcPr>
            <w:tcW w:w="4230" w:type="dxa"/>
            <w:tcMar>
              <w:top w:w="0" w:type="dxa"/>
              <w:left w:w="108" w:type="dxa"/>
              <w:bottom w:w="0" w:type="dxa"/>
              <w:right w:w="108" w:type="dxa"/>
            </w:tcMar>
            <w:vAlign w:val="center"/>
          </w:tcPr>
          <w:p w14:paraId="19969263" w14:textId="40BFCC28" w:rsidR="007D2C4F" w:rsidRPr="00B474EC" w:rsidRDefault="007D3913" w:rsidP="00681610">
            <w:pPr>
              <w:mirrorIndents/>
            </w:pPr>
            <w:r>
              <w:t>October</w:t>
            </w:r>
            <w:r w:rsidR="007D2C4F" w:rsidRPr="00B474EC">
              <w:t xml:space="preserve"> 2017 – </w:t>
            </w:r>
            <w:r>
              <w:t>May</w:t>
            </w:r>
            <w:r w:rsidR="00F4093A">
              <w:t xml:space="preserve"> 2018; CDC IRB protocol approval was </w:t>
            </w:r>
            <w:r w:rsidR="00681610">
              <w:t>received</w:t>
            </w:r>
            <w:r w:rsidR="00F4093A">
              <w:t xml:space="preserve"> October 10, 2018</w:t>
            </w:r>
          </w:p>
        </w:tc>
      </w:tr>
      <w:tr w:rsidR="007D2C4F" w:rsidRPr="00B474EC" w14:paraId="21545BE8" w14:textId="77777777" w:rsidTr="00B953B0">
        <w:tc>
          <w:tcPr>
            <w:tcW w:w="4405" w:type="dxa"/>
            <w:tcMar>
              <w:top w:w="0" w:type="dxa"/>
              <w:left w:w="108" w:type="dxa"/>
              <w:bottom w:w="0" w:type="dxa"/>
              <w:right w:w="108" w:type="dxa"/>
            </w:tcMar>
            <w:vAlign w:val="center"/>
          </w:tcPr>
          <w:p w14:paraId="39DBC332" w14:textId="77777777" w:rsidR="007D2C4F" w:rsidRPr="00B474EC" w:rsidRDefault="007D2C4F" w:rsidP="00F95454">
            <w:pPr>
              <w:mirrorIndents/>
            </w:pPr>
            <w:r w:rsidRPr="00B474EC">
              <w:t>OMB Submission</w:t>
            </w:r>
          </w:p>
        </w:tc>
        <w:tc>
          <w:tcPr>
            <w:tcW w:w="4230" w:type="dxa"/>
            <w:tcMar>
              <w:top w:w="0" w:type="dxa"/>
              <w:left w:w="108" w:type="dxa"/>
              <w:bottom w:w="0" w:type="dxa"/>
              <w:right w:w="108" w:type="dxa"/>
            </w:tcMar>
            <w:vAlign w:val="center"/>
          </w:tcPr>
          <w:p w14:paraId="3EDC37C5" w14:textId="7A04BE74" w:rsidR="007D2C4F" w:rsidRPr="00B474EC" w:rsidRDefault="00E76B94" w:rsidP="007D3913">
            <w:pPr>
              <w:mirrorIndents/>
            </w:pPr>
            <w:r>
              <w:t>December</w:t>
            </w:r>
            <w:r w:rsidR="008D47EF">
              <w:t xml:space="preserve"> 2018</w:t>
            </w:r>
          </w:p>
        </w:tc>
      </w:tr>
      <w:tr w:rsidR="007D2C4F" w:rsidRPr="00B474EC" w14:paraId="092283B1" w14:textId="77777777" w:rsidTr="00B953B0">
        <w:tc>
          <w:tcPr>
            <w:tcW w:w="4405" w:type="dxa"/>
            <w:tcMar>
              <w:top w:w="0" w:type="dxa"/>
              <w:left w:w="108" w:type="dxa"/>
              <w:bottom w:w="0" w:type="dxa"/>
              <w:right w:w="108" w:type="dxa"/>
            </w:tcMar>
            <w:vAlign w:val="center"/>
            <w:hideMark/>
          </w:tcPr>
          <w:p w14:paraId="3C5696DE" w14:textId="77777777" w:rsidR="007D2C4F" w:rsidRPr="00B474EC" w:rsidRDefault="007D2C4F" w:rsidP="00F95454">
            <w:pPr>
              <w:mirrorIndents/>
            </w:pPr>
            <w:r w:rsidRPr="00B474EC">
              <w:t>Recruitment  </w:t>
            </w:r>
          </w:p>
        </w:tc>
        <w:tc>
          <w:tcPr>
            <w:tcW w:w="4230" w:type="dxa"/>
            <w:tcMar>
              <w:top w:w="0" w:type="dxa"/>
              <w:left w:w="108" w:type="dxa"/>
              <w:bottom w:w="0" w:type="dxa"/>
              <w:right w:w="108" w:type="dxa"/>
            </w:tcMar>
            <w:vAlign w:val="center"/>
          </w:tcPr>
          <w:p w14:paraId="60E69657" w14:textId="39B6866B" w:rsidR="007D2C4F" w:rsidRPr="00B474EC" w:rsidRDefault="00D45E08" w:rsidP="00E76B94">
            <w:pPr>
              <w:mirrorIndents/>
            </w:pPr>
            <w:r>
              <w:t>1-4 months a</w:t>
            </w:r>
            <w:r w:rsidR="007D2C4F" w:rsidRPr="00B474EC">
              <w:t>fter OMB Approval</w:t>
            </w:r>
            <w:r>
              <w:t xml:space="preserve"> (</w:t>
            </w:r>
            <w:r w:rsidR="00E76B94">
              <w:t>February</w:t>
            </w:r>
            <w:r>
              <w:t>-</w:t>
            </w:r>
            <w:r w:rsidR="00E76B94">
              <w:t>March</w:t>
            </w:r>
            <w:r>
              <w:t xml:space="preserve"> 201</w:t>
            </w:r>
            <w:r w:rsidR="00E76B94">
              <w:t>9</w:t>
            </w:r>
            <w:r>
              <w:t>)</w:t>
            </w:r>
          </w:p>
        </w:tc>
      </w:tr>
      <w:tr w:rsidR="007D2C4F" w:rsidRPr="00B474EC" w14:paraId="6C2B5F7D" w14:textId="77777777" w:rsidTr="00B953B0">
        <w:tc>
          <w:tcPr>
            <w:tcW w:w="4405" w:type="dxa"/>
            <w:tcMar>
              <w:top w:w="0" w:type="dxa"/>
              <w:left w:w="108" w:type="dxa"/>
              <w:bottom w:w="0" w:type="dxa"/>
              <w:right w:w="108" w:type="dxa"/>
            </w:tcMar>
            <w:vAlign w:val="center"/>
            <w:hideMark/>
          </w:tcPr>
          <w:p w14:paraId="0C22C8FD" w14:textId="77777777" w:rsidR="007D2C4F" w:rsidRPr="00B474EC" w:rsidRDefault="007D2C4F" w:rsidP="00F95454">
            <w:pPr>
              <w:mirrorIndents/>
            </w:pPr>
            <w:r w:rsidRPr="00B474EC">
              <w:t>Data Collection  </w:t>
            </w:r>
          </w:p>
        </w:tc>
        <w:tc>
          <w:tcPr>
            <w:tcW w:w="4230" w:type="dxa"/>
            <w:tcMar>
              <w:top w:w="0" w:type="dxa"/>
              <w:left w:w="108" w:type="dxa"/>
              <w:bottom w:w="0" w:type="dxa"/>
              <w:right w:w="108" w:type="dxa"/>
            </w:tcMar>
            <w:vAlign w:val="center"/>
          </w:tcPr>
          <w:p w14:paraId="2D85416B" w14:textId="0B7144C9" w:rsidR="007D2C4F" w:rsidRPr="00B474EC" w:rsidRDefault="007D2C4F" w:rsidP="00F4093A">
            <w:pPr>
              <w:mirrorIndents/>
            </w:pPr>
            <w:r w:rsidRPr="00B474EC">
              <w:t>1-</w:t>
            </w:r>
            <w:r w:rsidR="007D3913">
              <w:t>5</w:t>
            </w:r>
            <w:r w:rsidRPr="00B474EC">
              <w:t xml:space="preserve"> months after OMB Approval</w:t>
            </w:r>
            <w:r w:rsidR="00D45E08">
              <w:t xml:space="preserve"> (A</w:t>
            </w:r>
            <w:r w:rsidR="00F4093A">
              <w:t>pril-July</w:t>
            </w:r>
            <w:r w:rsidR="00D45E08">
              <w:t xml:space="preserve"> 201</w:t>
            </w:r>
            <w:r w:rsidR="00F4093A">
              <w:t>9</w:t>
            </w:r>
            <w:r w:rsidR="00D45E08">
              <w:t>)</w:t>
            </w:r>
          </w:p>
        </w:tc>
      </w:tr>
      <w:tr w:rsidR="007D2C4F" w:rsidRPr="00B474EC" w14:paraId="2FA032F7" w14:textId="77777777" w:rsidTr="00B953B0">
        <w:tc>
          <w:tcPr>
            <w:tcW w:w="4405" w:type="dxa"/>
            <w:tcMar>
              <w:top w:w="0" w:type="dxa"/>
              <w:left w:w="108" w:type="dxa"/>
              <w:bottom w:w="0" w:type="dxa"/>
              <w:right w:w="108" w:type="dxa"/>
            </w:tcMar>
            <w:vAlign w:val="center"/>
            <w:hideMark/>
          </w:tcPr>
          <w:p w14:paraId="56FB3266" w14:textId="3D08020F" w:rsidR="007D2C4F" w:rsidRPr="00B474EC" w:rsidRDefault="007D2C4F" w:rsidP="007D3913">
            <w:pPr>
              <w:mirrorIndents/>
            </w:pPr>
            <w:r w:rsidRPr="00B474EC">
              <w:t>Data analysis finalized</w:t>
            </w:r>
          </w:p>
        </w:tc>
        <w:tc>
          <w:tcPr>
            <w:tcW w:w="4230" w:type="dxa"/>
            <w:tcMar>
              <w:top w:w="0" w:type="dxa"/>
              <w:left w:w="108" w:type="dxa"/>
              <w:bottom w:w="0" w:type="dxa"/>
              <w:right w:w="108" w:type="dxa"/>
            </w:tcMar>
            <w:vAlign w:val="center"/>
          </w:tcPr>
          <w:p w14:paraId="7DC953C9" w14:textId="732B8E31" w:rsidR="007D2C4F" w:rsidRPr="00B474EC" w:rsidRDefault="007D2C4F" w:rsidP="00F4093A">
            <w:pPr>
              <w:mirrorIndents/>
            </w:pPr>
            <w:r w:rsidRPr="00B474EC">
              <w:t>5-7 months after OMB Approval</w:t>
            </w:r>
            <w:r w:rsidR="00D45E08">
              <w:t xml:space="preserve"> (</w:t>
            </w:r>
            <w:r w:rsidR="00F4093A">
              <w:t>August-September</w:t>
            </w:r>
            <w:r w:rsidR="00D45E08">
              <w:t xml:space="preserve"> 201</w:t>
            </w:r>
            <w:r w:rsidR="007D3913">
              <w:t>9</w:t>
            </w:r>
            <w:r w:rsidR="00D45E08">
              <w:t>)</w:t>
            </w:r>
          </w:p>
        </w:tc>
      </w:tr>
      <w:tr w:rsidR="007D3913" w:rsidRPr="00B474EC" w14:paraId="081E813F" w14:textId="77777777" w:rsidTr="00B953B0">
        <w:tc>
          <w:tcPr>
            <w:tcW w:w="4405" w:type="dxa"/>
            <w:tcMar>
              <w:top w:w="0" w:type="dxa"/>
              <w:left w:w="108" w:type="dxa"/>
              <w:bottom w:w="0" w:type="dxa"/>
              <w:right w:w="108" w:type="dxa"/>
            </w:tcMar>
            <w:vAlign w:val="center"/>
          </w:tcPr>
          <w:p w14:paraId="5646F886" w14:textId="2B586C9D" w:rsidR="007D3913" w:rsidRPr="00B474EC" w:rsidRDefault="007D3913" w:rsidP="007D3913">
            <w:pPr>
              <w:mirrorIndents/>
            </w:pPr>
            <w:r>
              <w:t>Draft report and final report written</w:t>
            </w:r>
          </w:p>
        </w:tc>
        <w:tc>
          <w:tcPr>
            <w:tcW w:w="4230" w:type="dxa"/>
            <w:tcMar>
              <w:top w:w="0" w:type="dxa"/>
              <w:left w:w="108" w:type="dxa"/>
              <w:bottom w:w="0" w:type="dxa"/>
              <w:right w:w="108" w:type="dxa"/>
            </w:tcMar>
            <w:vAlign w:val="center"/>
          </w:tcPr>
          <w:p w14:paraId="7BB92071" w14:textId="65D73A2C" w:rsidR="007D3913" w:rsidRPr="00B474EC" w:rsidRDefault="007D3913" w:rsidP="00F4093A">
            <w:pPr>
              <w:mirrorIndents/>
            </w:pPr>
            <w:r>
              <w:t>9-11 months after OMB approval (</w:t>
            </w:r>
            <w:r w:rsidR="00F4093A">
              <w:t>October</w:t>
            </w:r>
            <w:r>
              <w:t>-</w:t>
            </w:r>
            <w:r w:rsidR="00F4093A">
              <w:t>December</w:t>
            </w:r>
            <w:r>
              <w:t xml:space="preserve"> 2019)</w:t>
            </w:r>
          </w:p>
        </w:tc>
      </w:tr>
      <w:tr w:rsidR="007D2C4F" w:rsidRPr="00B474EC" w14:paraId="15167263" w14:textId="77777777" w:rsidTr="00B953B0">
        <w:tc>
          <w:tcPr>
            <w:tcW w:w="4405" w:type="dxa"/>
            <w:tcMar>
              <w:top w:w="0" w:type="dxa"/>
              <w:left w:w="108" w:type="dxa"/>
              <w:bottom w:w="0" w:type="dxa"/>
              <w:right w:w="108" w:type="dxa"/>
            </w:tcMar>
            <w:vAlign w:val="center"/>
            <w:hideMark/>
          </w:tcPr>
          <w:p w14:paraId="2FD00BC4" w14:textId="77777777" w:rsidR="007D2C4F" w:rsidRPr="00B474EC" w:rsidRDefault="007D2C4F" w:rsidP="00F95454">
            <w:pPr>
              <w:mirrorIndents/>
            </w:pPr>
            <w:r w:rsidRPr="00B474EC">
              <w:t>Final data set and final report submitted to CDC</w:t>
            </w:r>
          </w:p>
        </w:tc>
        <w:tc>
          <w:tcPr>
            <w:tcW w:w="4230" w:type="dxa"/>
            <w:tcMar>
              <w:top w:w="0" w:type="dxa"/>
              <w:left w:w="108" w:type="dxa"/>
              <w:bottom w:w="0" w:type="dxa"/>
              <w:right w:w="108" w:type="dxa"/>
            </w:tcMar>
            <w:vAlign w:val="center"/>
          </w:tcPr>
          <w:p w14:paraId="5B603678" w14:textId="1B11208D" w:rsidR="007D2C4F" w:rsidRPr="00B474EC" w:rsidRDefault="007D3913" w:rsidP="00F4093A">
            <w:pPr>
              <w:mirrorIndents/>
            </w:pPr>
            <w:r>
              <w:t>12</w:t>
            </w:r>
            <w:r w:rsidR="007D2C4F" w:rsidRPr="00B474EC">
              <w:t xml:space="preserve"> months after OMB Approval </w:t>
            </w:r>
            <w:r w:rsidR="00D45E08">
              <w:t>(</w:t>
            </w:r>
            <w:r w:rsidR="00F4093A">
              <w:t>March</w:t>
            </w:r>
            <w:r w:rsidR="00D45E08">
              <w:t xml:space="preserve"> 20</w:t>
            </w:r>
            <w:r w:rsidR="00F4093A">
              <w:t>20</w:t>
            </w:r>
            <w:r w:rsidR="00D45E08">
              <w:t>)</w:t>
            </w:r>
          </w:p>
        </w:tc>
      </w:tr>
    </w:tbl>
    <w:p w14:paraId="1257D8A8" w14:textId="4A9C569E" w:rsidR="00041B9F" w:rsidRDefault="00041B9F" w:rsidP="003C10A5">
      <w:pPr>
        <w:spacing w:before="120" w:after="120"/>
        <w:mirrorIndents/>
      </w:pPr>
      <w:r w:rsidRPr="009C5D88">
        <w:t>In compliance with the CDC policy on data management</w:t>
      </w:r>
      <w:r w:rsidR="00E95231" w:rsidRPr="009C5D88">
        <w:t xml:space="preserve"> and access</w:t>
      </w:r>
      <w:r w:rsidRPr="009C5D88">
        <w:t>, we will develop a final, de-identified (names, other PII, and locations will be removed) qualitative database for this study along with the corresponding data documentation</w:t>
      </w:r>
      <w:r w:rsidR="00817236">
        <w:t xml:space="preserve">. Public access to the final data will be provided at the completion of the study and after the dissemination of the main outcome findings. The study data sharing and use agreement describes in detail how de-identified data access will be provided and provisions for protection of privacy, confidentiality, security, intellectual property, or other rights. A copy of the Data Use Plan is provided </w:t>
      </w:r>
      <w:r w:rsidR="00354810">
        <w:t>(</w:t>
      </w:r>
      <w:r w:rsidR="00817236" w:rsidRPr="00B64D28">
        <w:rPr>
          <w:b/>
        </w:rPr>
        <w:t>Attachment 5</w:t>
      </w:r>
      <w:r w:rsidR="00354810">
        <w:rPr>
          <w:b/>
        </w:rPr>
        <w:t>)</w:t>
      </w:r>
      <w:r w:rsidR="00817236">
        <w:t>.</w:t>
      </w:r>
    </w:p>
    <w:p w14:paraId="7F36421F" w14:textId="77777777" w:rsidR="00F95454" w:rsidRPr="005E6F8D" w:rsidRDefault="00F95454" w:rsidP="00F95454">
      <w:pPr>
        <w:spacing w:before="120" w:after="120"/>
        <w:mirrorIndents/>
        <w:jc w:val="both"/>
      </w:pPr>
    </w:p>
    <w:p w14:paraId="5E10EBF4" w14:textId="70DD4E06" w:rsidR="00B12EA3" w:rsidRDefault="00B12EA3" w:rsidP="00F95454">
      <w:pPr>
        <w:pStyle w:val="Heading1"/>
        <w:spacing w:before="120" w:after="120"/>
        <w:mirrorIndents/>
      </w:pPr>
      <w:bookmarkStart w:id="30" w:name="_Toc448296090"/>
      <w:r w:rsidRPr="00B12EA3">
        <w:t>Reason(s) Display of OMB Expiration Date is Inappropriate</w:t>
      </w:r>
      <w:bookmarkEnd w:id="30"/>
    </w:p>
    <w:p w14:paraId="22EFCC05" w14:textId="4C6924BF" w:rsidR="00332F80" w:rsidRDefault="00332F80" w:rsidP="00F95454">
      <w:pPr>
        <w:spacing w:before="120" w:after="120"/>
        <w:mirrorIndents/>
      </w:pPr>
      <w:r w:rsidRPr="00603813">
        <w:t xml:space="preserve">We do not seek approval to eliminate the expiration date. </w:t>
      </w:r>
    </w:p>
    <w:p w14:paraId="78B387FA" w14:textId="77777777" w:rsidR="00F95454" w:rsidRPr="00F951D1" w:rsidRDefault="00F95454" w:rsidP="00F95454">
      <w:pPr>
        <w:spacing w:before="120" w:after="120"/>
        <w:mirrorIndents/>
      </w:pPr>
    </w:p>
    <w:p w14:paraId="64729C1A" w14:textId="52431784" w:rsidR="00542640" w:rsidRDefault="00B12EA3" w:rsidP="00F95454">
      <w:pPr>
        <w:pStyle w:val="Heading1"/>
        <w:spacing w:before="120" w:after="120"/>
        <w:mirrorIndents/>
      </w:pPr>
      <w:bookmarkStart w:id="31" w:name="_Toc448296091"/>
      <w:r w:rsidRPr="00B12EA3">
        <w:t>E</w:t>
      </w:r>
      <w:r w:rsidRPr="00E53653">
        <w:rPr>
          <w:rStyle w:val="Heading1Char"/>
        </w:rPr>
        <w:t>x</w:t>
      </w:r>
      <w:r w:rsidRPr="00B12EA3">
        <w:t>ceptions to Certification for Paperwork Reduction Act Submissions</w:t>
      </w:r>
      <w:bookmarkEnd w:id="31"/>
    </w:p>
    <w:p w14:paraId="7C4350FB" w14:textId="02726F4A" w:rsidR="006869D4" w:rsidRDefault="00332F80" w:rsidP="00F95454">
      <w:pPr>
        <w:spacing w:before="120" w:after="120"/>
        <w:mirrorIndents/>
      </w:pPr>
      <w:r w:rsidRPr="00332F80">
        <w:t>There are no exemptions to the certification.</w:t>
      </w:r>
    </w:p>
    <w:p w14:paraId="1ABEA8A0" w14:textId="77777777" w:rsidR="00BF2B6F" w:rsidRDefault="00BF2B6F" w:rsidP="00F95454">
      <w:pPr>
        <w:spacing w:before="120" w:after="120"/>
        <w:mirrorIndents/>
      </w:pPr>
    </w:p>
    <w:p w14:paraId="1FD69DA1" w14:textId="3B65144A" w:rsidR="00BF2B6F" w:rsidRPr="00BF2B6F" w:rsidRDefault="00BF2B6F" w:rsidP="00F95454">
      <w:pPr>
        <w:pStyle w:val="EndNoteBibliography"/>
        <w:spacing w:before="120" w:after="120"/>
        <w:ind w:left="720" w:hanging="720"/>
        <w:mirrorIndents/>
        <w:rPr>
          <w:b/>
        </w:rPr>
      </w:pPr>
      <w:bookmarkStart w:id="32" w:name="_Toc448296092"/>
      <w:r w:rsidRPr="00BF2B6F">
        <w:rPr>
          <w:b/>
        </w:rPr>
        <w:t>References</w:t>
      </w:r>
    </w:p>
    <w:p w14:paraId="69985ADE" w14:textId="7B9212C5" w:rsidR="00A32FBE" w:rsidRPr="00B170CE" w:rsidRDefault="00A32FBE" w:rsidP="00A32FBE">
      <w:pPr>
        <w:pStyle w:val="EndNoteBibliography"/>
        <w:spacing w:before="120" w:after="120"/>
        <w:ind w:left="720" w:hanging="720"/>
        <w:mirrorIndents/>
      </w:pPr>
    </w:p>
    <w:p w14:paraId="2994CE5C" w14:textId="77777777" w:rsidR="00A32FBE" w:rsidRPr="00B170CE" w:rsidRDefault="00A32FBE" w:rsidP="00A32FBE">
      <w:pPr>
        <w:pStyle w:val="EndnoteText"/>
        <w:rPr>
          <w:sz w:val="24"/>
          <w:szCs w:val="24"/>
        </w:rPr>
      </w:pPr>
      <w:r w:rsidRPr="00B170CE">
        <w:rPr>
          <w:rStyle w:val="EndnoteReference"/>
          <w:sz w:val="24"/>
          <w:szCs w:val="24"/>
        </w:rPr>
        <w:footnoteRef/>
      </w:r>
      <w:r w:rsidRPr="00B170CE">
        <w:rPr>
          <w:sz w:val="24"/>
          <w:szCs w:val="24"/>
        </w:rPr>
        <w:t xml:space="preserve"> Dailey AF, Hoots BE, Hall HI, Song R, Hayes D, Fulton P, Prejean J, Hernandez AL, Koenig LJ, Valleroy LA. Vital Signs: Human Immunodeficiency Virus testing and diagnosis delays — United States. MMWR 2017;66:1-7.</w:t>
      </w:r>
    </w:p>
    <w:p w14:paraId="4CBD5824" w14:textId="2AD001C2" w:rsidR="00A32FBE" w:rsidRPr="00B170CE" w:rsidRDefault="00A32FBE" w:rsidP="00A32FBE">
      <w:pPr>
        <w:pStyle w:val="EndnoteText"/>
        <w:rPr>
          <w:sz w:val="24"/>
          <w:szCs w:val="24"/>
        </w:rPr>
      </w:pPr>
      <w:r w:rsidRPr="00B170CE">
        <w:rPr>
          <w:rStyle w:val="EndnoteReference"/>
          <w:sz w:val="24"/>
          <w:szCs w:val="24"/>
        </w:rPr>
        <w:t>2</w:t>
      </w:r>
      <w:r w:rsidRPr="00B170CE">
        <w:rPr>
          <w:sz w:val="24"/>
          <w:szCs w:val="24"/>
        </w:rPr>
        <w:t xml:space="preserve"> AIDSVu. Deeper Look: HIV in the South. 2017. https://aidsvu.org/aidsvu-in-use/deeper-look/south/</w:t>
      </w:r>
    </w:p>
    <w:p w14:paraId="16EB4A2D" w14:textId="44FECD42" w:rsidR="00A32FBE" w:rsidRPr="00B170CE" w:rsidRDefault="00A32FBE" w:rsidP="00A32FBE">
      <w:pPr>
        <w:pStyle w:val="EndnoteText"/>
        <w:rPr>
          <w:i/>
          <w:iCs/>
          <w:sz w:val="24"/>
          <w:szCs w:val="24"/>
        </w:rPr>
      </w:pPr>
      <w:r w:rsidRPr="00B170CE">
        <w:rPr>
          <w:rStyle w:val="EndnoteReference"/>
          <w:sz w:val="24"/>
          <w:szCs w:val="24"/>
        </w:rPr>
        <w:t>3</w:t>
      </w:r>
      <w:r w:rsidRPr="00B170CE">
        <w:rPr>
          <w:sz w:val="24"/>
          <w:szCs w:val="24"/>
        </w:rPr>
        <w:t xml:space="preserve"> Centers for Disease Control and Prevention. </w:t>
      </w:r>
      <w:r w:rsidRPr="00B170CE">
        <w:rPr>
          <w:iCs/>
          <w:sz w:val="24"/>
          <w:szCs w:val="24"/>
        </w:rPr>
        <w:t xml:space="preserve">HIV Surveillance Report: </w:t>
      </w:r>
      <w:r w:rsidRPr="00B170CE">
        <w:rPr>
          <w:bCs/>
          <w:iCs/>
          <w:sz w:val="24"/>
          <w:szCs w:val="24"/>
        </w:rPr>
        <w:t xml:space="preserve">Diagnoses of HIV Infection in the United States and Dependent Areas, 2016 </w:t>
      </w:r>
      <w:r w:rsidRPr="00B170CE">
        <w:rPr>
          <w:sz w:val="24"/>
          <w:szCs w:val="24"/>
        </w:rPr>
        <w:t>; vol. 28. http://www.cdc.gov/hiv/library/reports/hiv-surveillance.html. Published November 2017.</w:t>
      </w:r>
    </w:p>
    <w:p w14:paraId="5B8965CE" w14:textId="4F8D55FA" w:rsidR="00A32FBE" w:rsidRPr="00B170CE" w:rsidRDefault="00A32FBE" w:rsidP="00A32FBE">
      <w:r w:rsidRPr="00B170CE">
        <w:rPr>
          <w:vertAlign w:val="superscript"/>
        </w:rPr>
        <w:t xml:space="preserve">4 </w:t>
      </w:r>
      <w:r w:rsidRPr="00B170CE">
        <w:t>Centers for Disease Control and Prevention. HIV among Youth. https://www.cdc.gov/hiv/group/age/youth/index.html.</w:t>
      </w:r>
    </w:p>
    <w:p w14:paraId="41137849" w14:textId="6E091656" w:rsidR="00A32FBE" w:rsidRPr="00B170CE" w:rsidRDefault="00A32FBE" w:rsidP="00A32FBE">
      <w:r w:rsidRPr="00B170CE">
        <w:rPr>
          <w:rStyle w:val="EndnoteReference"/>
        </w:rPr>
        <w:t>5</w:t>
      </w:r>
      <w:r w:rsidRPr="00B170CE">
        <w:t xml:space="preserve"> Dowshen, N, Lee, SS, Castillo, M, Hawkins, L, Barg, FK. Barriers and Facilitators to HIV Prevention, Testing, and Treatment among Young Transgender Women. </w:t>
      </w:r>
      <w:r w:rsidRPr="00B170CE">
        <w:rPr>
          <w:rFonts w:eastAsiaTheme="minorEastAsia"/>
          <w:i/>
          <w:color w:val="262626"/>
        </w:rPr>
        <w:t>Journal of Adolescent Health</w:t>
      </w:r>
      <w:r w:rsidRPr="00B170CE">
        <w:rPr>
          <w:rFonts w:eastAsiaTheme="minorEastAsia"/>
          <w:color w:val="262626"/>
        </w:rPr>
        <w:t>, Volume 58, Issue 2.</w:t>
      </w:r>
      <w:r w:rsidRPr="00B170CE">
        <w:t xml:space="preserve"> November 2016.</w:t>
      </w:r>
    </w:p>
    <w:p w14:paraId="22FA6A4E" w14:textId="616C3249" w:rsidR="00A32FBE" w:rsidRPr="00B170CE" w:rsidRDefault="00A32FBE" w:rsidP="00A32FBE">
      <w:r w:rsidRPr="00B170CE">
        <w:rPr>
          <w:rStyle w:val="EndnoteReference"/>
        </w:rPr>
        <w:t>6</w:t>
      </w:r>
      <w:r w:rsidRPr="00B170CE">
        <w:t xml:space="preserve"> Centers for Disease Control and Prevention. HIV among Transgender People. https://www.cdc.gov/hiv/group/gender/transgender/. 2017.</w:t>
      </w:r>
    </w:p>
    <w:p w14:paraId="7BCCE762" w14:textId="44788296" w:rsidR="00A32FBE" w:rsidRPr="00B170CE" w:rsidRDefault="00A32FBE" w:rsidP="00A32FBE">
      <w:pPr>
        <w:pStyle w:val="EndnoteText"/>
        <w:rPr>
          <w:sz w:val="24"/>
          <w:szCs w:val="24"/>
        </w:rPr>
      </w:pPr>
      <w:r w:rsidRPr="00B170CE">
        <w:rPr>
          <w:rStyle w:val="EndnoteReference"/>
          <w:sz w:val="24"/>
          <w:szCs w:val="24"/>
        </w:rPr>
        <w:t>7</w:t>
      </w:r>
      <w:r w:rsidRPr="00B170CE">
        <w:rPr>
          <w:sz w:val="24"/>
          <w:szCs w:val="24"/>
        </w:rPr>
        <w:t xml:space="preserve"> Centers for Disease Control and Prevention. Sexual Identity, Sex of Sexual Contacts, and Health-Related Behaviors Among Students in Grades 9-12 - United States and Selected Sites, 2015. MMWR Surveill Summ. 2016 Aug 12;65(9):1-202. doi: 10.15585/mmwr.ss6509a1</w:t>
      </w:r>
    </w:p>
    <w:p w14:paraId="7ED58B84" w14:textId="20B987CF" w:rsidR="00A32FBE" w:rsidRPr="00B170CE" w:rsidRDefault="00A32FBE" w:rsidP="00A32FBE">
      <w:pPr>
        <w:pStyle w:val="CommentText"/>
        <w:rPr>
          <w:sz w:val="24"/>
          <w:szCs w:val="24"/>
        </w:rPr>
      </w:pPr>
      <w:r w:rsidRPr="00B170CE">
        <w:rPr>
          <w:rStyle w:val="EndnoteReference"/>
          <w:sz w:val="24"/>
          <w:szCs w:val="24"/>
        </w:rPr>
        <w:t>8</w:t>
      </w:r>
      <w:r w:rsidRPr="00B170CE">
        <w:rPr>
          <w:sz w:val="24"/>
          <w:szCs w:val="24"/>
        </w:rPr>
        <w:t xml:space="preserve"> Reif, Susan  ;  Safley, Donna  ; Wilson, Elena  ;  Whetten, Kathryn  (2016) HIV/AIDS in the U.S. Deep South: Trends from 2008-2013. Publisher: Southern HIV/AIDS Strategy Initiative. https://southernaids.files.wordpress.com/2011/10/hiv-aids-in-the-us-deep-south-trends-from-2008-2013.pdf</w:t>
      </w:r>
      <w:r w:rsidRPr="00B170CE">
        <w:rPr>
          <w:rStyle w:val="Hyperlink"/>
          <w:sz w:val="24"/>
          <w:szCs w:val="24"/>
        </w:rPr>
        <w:t>.</w:t>
      </w:r>
    </w:p>
    <w:p w14:paraId="61563CF7" w14:textId="0CAE0AD7" w:rsidR="00A32FBE" w:rsidRPr="00B170CE" w:rsidRDefault="00A32FBE" w:rsidP="00A32FBE">
      <w:pPr>
        <w:pStyle w:val="EndnoteText"/>
        <w:rPr>
          <w:sz w:val="24"/>
          <w:szCs w:val="24"/>
        </w:rPr>
      </w:pPr>
      <w:r w:rsidRPr="00B170CE">
        <w:rPr>
          <w:rStyle w:val="EndnoteReference"/>
          <w:sz w:val="24"/>
          <w:szCs w:val="24"/>
        </w:rPr>
        <w:t>9</w:t>
      </w:r>
      <w:r w:rsidRPr="00B170CE">
        <w:rPr>
          <w:sz w:val="24"/>
          <w:szCs w:val="24"/>
        </w:rPr>
        <w:t xml:space="preserve"> Reif S, Whetten K, Lowe K. HIV and AIDS in the Deep South. American Journal of Public Health. 2006;96(6):970-973.</w:t>
      </w:r>
    </w:p>
    <w:p w14:paraId="446DACDE" w14:textId="3E259C7C" w:rsidR="00A32FBE" w:rsidRPr="00B170CE" w:rsidRDefault="00A32FBE" w:rsidP="00A32FBE">
      <w:pPr>
        <w:pStyle w:val="CommentText"/>
        <w:ind w:right="-270"/>
        <w:rPr>
          <w:sz w:val="24"/>
          <w:szCs w:val="24"/>
        </w:rPr>
      </w:pPr>
      <w:r w:rsidRPr="00B170CE">
        <w:rPr>
          <w:sz w:val="24"/>
          <w:szCs w:val="24"/>
          <w:vertAlign w:val="superscript"/>
        </w:rPr>
        <w:t>10</w:t>
      </w:r>
      <w:r w:rsidRPr="00B170CE">
        <w:rPr>
          <w:sz w:val="24"/>
          <w:szCs w:val="24"/>
        </w:rPr>
        <w:t xml:space="preserve"> Reif, Susan;Safley, Donna; McAllaster, Carolyn; Wilson, Elena; Whetten, Kathryn (2017) State of HIV in the US Deep South. Publisher: Southern HIV/AIDS Strategy Initiative. Available at: https://dukespace.lib.duke.edu/dspace/handle/10161/13807.</w:t>
      </w:r>
    </w:p>
    <w:p w14:paraId="3E8D9205" w14:textId="17CDFD00" w:rsidR="00A32FBE" w:rsidRPr="00B170CE" w:rsidRDefault="00A32FBE" w:rsidP="00A32FBE">
      <w:pPr>
        <w:pStyle w:val="EndnoteText"/>
        <w:rPr>
          <w:sz w:val="24"/>
          <w:szCs w:val="24"/>
        </w:rPr>
      </w:pPr>
      <w:r w:rsidRPr="00B170CE">
        <w:rPr>
          <w:sz w:val="24"/>
          <w:szCs w:val="24"/>
          <w:vertAlign w:val="superscript"/>
        </w:rPr>
        <w:t>1</w:t>
      </w:r>
      <w:r w:rsidRPr="00B170CE">
        <w:rPr>
          <w:rStyle w:val="EndnoteReference"/>
          <w:sz w:val="24"/>
          <w:szCs w:val="24"/>
        </w:rPr>
        <w:footnoteRef/>
      </w:r>
      <w:r w:rsidRPr="00B170CE">
        <w:rPr>
          <w:sz w:val="24"/>
          <w:szCs w:val="24"/>
        </w:rPr>
        <w:t xml:space="preserve"> Wohl DA, Kuwahara RK, Javadi K, Kirby C, Rosen DL, Napravnik S, Farel C. financial Barriers and Lapses in Treatment and Care of Hiv-infected Adults in a Southern State in the United States. AIDS patient care and STDs. 2017 Nov 1;31(11):463-9.</w:t>
      </w:r>
    </w:p>
    <w:p w14:paraId="5827ADB2" w14:textId="2BF38929" w:rsidR="00A32FBE" w:rsidRPr="00B170CE" w:rsidRDefault="00A32FBE" w:rsidP="00A32FBE">
      <w:pPr>
        <w:pStyle w:val="EndnoteText"/>
        <w:rPr>
          <w:sz w:val="24"/>
          <w:szCs w:val="24"/>
        </w:rPr>
      </w:pPr>
      <w:r w:rsidRPr="00B170CE">
        <w:rPr>
          <w:rStyle w:val="EndnoteReference"/>
          <w:sz w:val="24"/>
          <w:szCs w:val="24"/>
        </w:rPr>
        <w:footnoteRef/>
      </w:r>
      <w:r w:rsidRPr="00B170CE">
        <w:rPr>
          <w:sz w:val="24"/>
          <w:szCs w:val="24"/>
          <w:vertAlign w:val="superscript"/>
        </w:rPr>
        <w:t>2</w:t>
      </w:r>
      <w:r w:rsidRPr="00B170CE">
        <w:rPr>
          <w:sz w:val="24"/>
          <w:szCs w:val="24"/>
        </w:rPr>
        <w:t xml:space="preserve"> Turan B, Budhwani H, Fazeli PL, Browning WR, Raper JL, Mugavero MJ, Turan JM. How does stigma affect people living with HIV? The mediating roles of internalized and anticipated HIV stigma in the effects of perceived community stigma on health and psychosocial outcomes. AIDS and Behavior. 2017 Jan 1;21(1):283-91.</w:t>
      </w:r>
    </w:p>
    <w:p w14:paraId="053F6461" w14:textId="74E64669" w:rsidR="00A32FBE" w:rsidRPr="00B170CE" w:rsidRDefault="00A32FBE" w:rsidP="00A32FBE">
      <w:r w:rsidRPr="00B170CE">
        <w:rPr>
          <w:rStyle w:val="EndnoteReference"/>
        </w:rPr>
        <w:footnoteRef/>
      </w:r>
      <w:r w:rsidRPr="00B170CE">
        <w:rPr>
          <w:vertAlign w:val="superscript"/>
        </w:rPr>
        <w:t>3</w:t>
      </w:r>
      <w:r w:rsidRPr="00B170CE">
        <w:t xml:space="preserve"> Centers for Disease Control and Prevention. Monitoring selected national HIV prevention and care objectives by using HIV surveillance data—United States and 6 dependent areas, 2015. HIV Surveillance Supplemental Report 2017;22(No. 2). http://www.cdc.gov/hiv/library/reports/hiv-surveillance.html. Published July 2017.</w:t>
      </w:r>
    </w:p>
    <w:p w14:paraId="6BFA8120" w14:textId="128E7DB5" w:rsidR="00A32FBE" w:rsidRPr="00B170CE" w:rsidRDefault="00A32FBE" w:rsidP="00A32FBE">
      <w:pPr>
        <w:pStyle w:val="EndnoteText"/>
        <w:rPr>
          <w:sz w:val="24"/>
          <w:szCs w:val="24"/>
        </w:rPr>
      </w:pPr>
      <w:r w:rsidRPr="00B170CE">
        <w:rPr>
          <w:rStyle w:val="EndnoteReference"/>
          <w:sz w:val="24"/>
          <w:szCs w:val="24"/>
        </w:rPr>
        <w:footnoteRef/>
      </w:r>
      <w:r w:rsidRPr="00B170CE">
        <w:rPr>
          <w:sz w:val="24"/>
          <w:szCs w:val="24"/>
          <w:vertAlign w:val="superscript"/>
        </w:rPr>
        <w:t>4</w:t>
      </w:r>
      <w:r w:rsidRPr="00B170CE">
        <w:rPr>
          <w:sz w:val="24"/>
          <w:szCs w:val="24"/>
        </w:rPr>
        <w:t xml:space="preserve"> AIDSVu. City and State Profiles. https://aidsvu.org/local-statistics/. Accessed April 2018.</w:t>
      </w:r>
    </w:p>
    <w:p w14:paraId="0438A90E" w14:textId="0BC4743F" w:rsidR="00A32FBE" w:rsidRPr="00B170CE" w:rsidRDefault="00A32FBE" w:rsidP="00A32FBE">
      <w:pPr>
        <w:pStyle w:val="EndnoteText"/>
        <w:rPr>
          <w:sz w:val="24"/>
          <w:szCs w:val="24"/>
        </w:rPr>
      </w:pPr>
      <w:r w:rsidRPr="00B170CE">
        <w:rPr>
          <w:rStyle w:val="EndnoteReference"/>
          <w:sz w:val="24"/>
          <w:szCs w:val="24"/>
        </w:rPr>
        <w:footnoteRef/>
      </w:r>
      <w:r w:rsidRPr="00B170CE">
        <w:rPr>
          <w:sz w:val="24"/>
          <w:szCs w:val="24"/>
          <w:vertAlign w:val="superscript"/>
        </w:rPr>
        <w:t>5</w:t>
      </w:r>
      <w:r w:rsidRPr="00B170CE">
        <w:rPr>
          <w:sz w:val="24"/>
          <w:szCs w:val="24"/>
        </w:rPr>
        <w:t xml:space="preserve"> Centers for Disease Control and Prevention. Diagnosis of HIV infection in the United States and its dependent areas, 2014. 2015. Available from: http://www.cdc.gov/hiv/pdf/library/reports/surveillance/cdc-hiv-surveillance-report-us.pdf.</w:t>
      </w:r>
    </w:p>
    <w:p w14:paraId="0CBA3E74" w14:textId="0973C02A" w:rsidR="00A32FBE" w:rsidRPr="00B170CE" w:rsidRDefault="00A32FBE" w:rsidP="00A32FBE">
      <w:pPr>
        <w:pStyle w:val="EndnoteText"/>
        <w:rPr>
          <w:sz w:val="24"/>
          <w:szCs w:val="24"/>
        </w:rPr>
      </w:pPr>
      <w:r w:rsidRPr="00B170CE">
        <w:rPr>
          <w:rStyle w:val="EndnoteReference"/>
          <w:sz w:val="24"/>
          <w:szCs w:val="24"/>
        </w:rPr>
        <w:footnoteRef/>
      </w:r>
      <w:r w:rsidRPr="00B170CE">
        <w:rPr>
          <w:sz w:val="24"/>
          <w:szCs w:val="24"/>
          <w:vertAlign w:val="superscript"/>
        </w:rPr>
        <w:t>6</w:t>
      </w:r>
      <w:r w:rsidRPr="00B170CE">
        <w:rPr>
          <w:sz w:val="24"/>
          <w:szCs w:val="24"/>
        </w:rPr>
        <w:t xml:space="preserve"> Florida Department of Health. Monthly HIV/AIDS Surveillance Report October 2015. </w:t>
      </w:r>
      <w:r w:rsidRPr="00B170CE">
        <w:rPr>
          <w:i/>
          <w:sz w:val="24"/>
          <w:szCs w:val="24"/>
          <w:lang w:val="fr-BE"/>
        </w:rPr>
        <w:t>HIV/AIDS Surveillance</w:t>
      </w:r>
      <w:r w:rsidRPr="00B170CE">
        <w:rPr>
          <w:sz w:val="24"/>
          <w:szCs w:val="24"/>
          <w:lang w:val="fr-BE"/>
        </w:rPr>
        <w:t xml:space="preserve"> 2015; Available from: http://miamidade.floridahealth.gov/programs-and-services/infectious-disease-services/hiv-aids-services/_documents/hiv-surveillance-monthly-report-2015-10.pdf.</w:t>
      </w:r>
    </w:p>
    <w:p w14:paraId="5FFA9CBD" w14:textId="452EA6A4" w:rsidR="00A32FBE" w:rsidRPr="00B170CE" w:rsidRDefault="00A32FBE" w:rsidP="00A32FBE">
      <w:pPr>
        <w:pStyle w:val="EndnoteText"/>
        <w:rPr>
          <w:sz w:val="24"/>
          <w:szCs w:val="24"/>
        </w:rPr>
      </w:pPr>
      <w:r w:rsidRPr="00B170CE">
        <w:rPr>
          <w:rStyle w:val="EndnoteReference"/>
          <w:sz w:val="24"/>
          <w:szCs w:val="24"/>
        </w:rPr>
        <w:footnoteRef/>
      </w:r>
      <w:r w:rsidRPr="00B170CE">
        <w:rPr>
          <w:sz w:val="24"/>
          <w:szCs w:val="24"/>
          <w:vertAlign w:val="superscript"/>
        </w:rPr>
        <w:t>7</w:t>
      </w:r>
      <w:r w:rsidRPr="00B170CE">
        <w:rPr>
          <w:sz w:val="24"/>
          <w:szCs w:val="24"/>
        </w:rPr>
        <w:t xml:space="preserve"> Georgia Department of Public Health. HIV Surveillance Fact sheet 2015 </w:t>
      </w:r>
      <w:hyperlink r:id="rId17" w:history="1">
        <w:r w:rsidRPr="00B170CE">
          <w:rPr>
            <w:rStyle w:val="Hyperlink"/>
            <w:sz w:val="24"/>
            <w:szCs w:val="24"/>
          </w:rPr>
          <w:t>http://dph.georgia.gov/georgias-hivaidsepidemiology-surveillance-section</w:t>
        </w:r>
      </w:hyperlink>
      <w:r w:rsidRPr="00B170CE">
        <w:rPr>
          <w:sz w:val="24"/>
          <w:szCs w:val="24"/>
        </w:rPr>
        <w:t>. Published April 2017. Accessed [April 23, 2017].</w:t>
      </w:r>
    </w:p>
    <w:p w14:paraId="2C5BEC22" w14:textId="1CFF5ED0" w:rsidR="00A32FBE" w:rsidRPr="00B170CE" w:rsidRDefault="00A32FBE" w:rsidP="00A32FBE">
      <w:pPr>
        <w:pStyle w:val="EndnoteText"/>
        <w:rPr>
          <w:sz w:val="24"/>
          <w:szCs w:val="24"/>
        </w:rPr>
      </w:pPr>
      <w:r w:rsidRPr="00B170CE">
        <w:rPr>
          <w:rStyle w:val="EndnoteReference"/>
          <w:sz w:val="24"/>
          <w:szCs w:val="24"/>
        </w:rPr>
        <w:footnoteRef/>
      </w:r>
      <w:r w:rsidRPr="00B170CE">
        <w:rPr>
          <w:sz w:val="24"/>
          <w:szCs w:val="24"/>
          <w:vertAlign w:val="superscript"/>
        </w:rPr>
        <w:t>8</w:t>
      </w:r>
      <w:r w:rsidRPr="00B170CE">
        <w:rPr>
          <w:sz w:val="24"/>
          <w:szCs w:val="24"/>
        </w:rPr>
        <w:t xml:space="preserve"> Georgia Department of Public Health, HIV/AIDS Epidemiology Section HIV Surveillance Summary, Georgia 2015, https://dph.georgia.gov/data-fact-sheet-summaris, Published March 2017. Accessed [April 23, 2017].</w:t>
      </w:r>
    </w:p>
    <w:p w14:paraId="5D7E9649" w14:textId="1FCD4D0C" w:rsidR="00A32FBE" w:rsidRPr="00B170CE" w:rsidRDefault="00A32FBE" w:rsidP="00A32FBE">
      <w:pPr>
        <w:pStyle w:val="EndNoteBibliography"/>
      </w:pPr>
      <w:r w:rsidRPr="00B170CE">
        <w:rPr>
          <w:rStyle w:val="EndnoteReference"/>
        </w:rPr>
        <w:footnoteRef/>
      </w:r>
      <w:r w:rsidRPr="00B170CE">
        <w:rPr>
          <w:vertAlign w:val="superscript"/>
        </w:rPr>
        <w:t>9</w:t>
      </w:r>
      <w:r w:rsidRPr="00B170CE">
        <w:t xml:space="preserve"> Sullivan PS, Rosenberg ES, Sanchez TH, Kelley CF, Luisi N, Cooper HL, et al. Explaining racial disparities in HIV incidence in black and white men who have sex with men in Atlanta, GA: a prospective observational cohort study. Annals of epidemiology. 2015;25(6):445-54.</w:t>
      </w:r>
    </w:p>
    <w:p w14:paraId="5C5868BA" w14:textId="3AE190DB" w:rsidR="00A32FBE" w:rsidRPr="00B170CE" w:rsidRDefault="00A32FBE" w:rsidP="00A32FBE">
      <w:pPr>
        <w:rPr>
          <w:rFonts w:asciiTheme="minorHAnsi" w:hAnsiTheme="minorHAnsi"/>
        </w:rPr>
      </w:pPr>
      <w:r w:rsidRPr="00B170CE">
        <w:rPr>
          <w:rStyle w:val="EndnoteReference"/>
        </w:rPr>
        <w:t>2</w:t>
      </w:r>
      <w:r w:rsidRPr="00B170CE">
        <w:rPr>
          <w:vertAlign w:val="superscript"/>
        </w:rPr>
        <w:t>0</w:t>
      </w:r>
      <w:r w:rsidRPr="00B170CE">
        <w:t xml:space="preserve"> </w:t>
      </w:r>
      <w:r w:rsidRPr="00B170CE">
        <w:rPr>
          <w:iCs/>
        </w:rPr>
        <w:t xml:space="preserve">Data USA. Atlanta, GA – Demographics (Race &amp; Ethnicity) [Cited July 2016] </w:t>
      </w:r>
      <w:r w:rsidRPr="00B170CE">
        <w:t>http://datausa.io/profile/geo/atlanta-ga/#demographics</w:t>
      </w:r>
    </w:p>
    <w:p w14:paraId="46B68B3A" w14:textId="47FC68D4" w:rsidR="00A32FBE" w:rsidRPr="00B170CE" w:rsidRDefault="00A32FBE" w:rsidP="00A32FBE">
      <w:pPr>
        <w:pStyle w:val="EndnoteText"/>
        <w:rPr>
          <w:sz w:val="24"/>
          <w:szCs w:val="24"/>
        </w:rPr>
      </w:pPr>
      <w:r w:rsidRPr="00B170CE">
        <w:rPr>
          <w:rStyle w:val="EndnoteReference"/>
          <w:sz w:val="24"/>
          <w:szCs w:val="24"/>
        </w:rPr>
        <w:t>2</w:t>
      </w:r>
      <w:r w:rsidRPr="00B170CE">
        <w:rPr>
          <w:sz w:val="24"/>
          <w:szCs w:val="24"/>
          <w:vertAlign w:val="superscript"/>
        </w:rPr>
        <w:t>1</w:t>
      </w:r>
      <w:r w:rsidRPr="00B170CE">
        <w:rPr>
          <w:sz w:val="24"/>
          <w:szCs w:val="24"/>
        </w:rPr>
        <w:t xml:space="preserve"> Louisiana Department of Health. 2014 STD/HIV Surveillance Report. http://new.dhh.louisiana.gov/assets/oph/HIVSTD/2014_STDHIV_SURVEILLANCE_REPORT.pdf.</w:t>
      </w:r>
    </w:p>
    <w:p w14:paraId="6407F9DF" w14:textId="58A69B1A" w:rsidR="00A32FBE" w:rsidRPr="00B170CE" w:rsidRDefault="00A32FBE" w:rsidP="00A32FBE">
      <w:pPr>
        <w:pStyle w:val="EndnoteText"/>
        <w:rPr>
          <w:sz w:val="24"/>
          <w:szCs w:val="24"/>
        </w:rPr>
      </w:pPr>
      <w:r w:rsidRPr="00B170CE">
        <w:rPr>
          <w:sz w:val="24"/>
          <w:szCs w:val="24"/>
          <w:vertAlign w:val="superscript"/>
        </w:rPr>
        <w:t>22</w:t>
      </w:r>
      <w:r w:rsidRPr="00B170CE">
        <w:rPr>
          <w:sz w:val="24"/>
          <w:szCs w:val="24"/>
        </w:rPr>
        <w:t xml:space="preserve"> Centers for Disease Control and Prevention. HIV Surveillance Report, 2015; vol. 27.</w:t>
      </w:r>
    </w:p>
    <w:p w14:paraId="2109DCFF" w14:textId="77777777" w:rsidR="00A32FBE" w:rsidRPr="00B170CE" w:rsidRDefault="00A32FBE" w:rsidP="00A32FBE">
      <w:pPr>
        <w:pStyle w:val="EndnoteText"/>
        <w:rPr>
          <w:sz w:val="24"/>
          <w:szCs w:val="24"/>
        </w:rPr>
      </w:pPr>
      <w:r w:rsidRPr="00B170CE">
        <w:rPr>
          <w:sz w:val="24"/>
          <w:szCs w:val="24"/>
        </w:rPr>
        <w:t>http://www.cdc.gov/hiv/library/reports/hiv-surveillance.html. Published November 2016.</w:t>
      </w:r>
    </w:p>
    <w:p w14:paraId="126FD537" w14:textId="79B63BC2" w:rsidR="00A32FBE" w:rsidRPr="00B170CE" w:rsidRDefault="00A32FBE" w:rsidP="00A32FBE">
      <w:pPr>
        <w:pStyle w:val="EndnoteText"/>
        <w:rPr>
          <w:sz w:val="24"/>
          <w:szCs w:val="24"/>
        </w:rPr>
      </w:pPr>
      <w:r w:rsidRPr="00B170CE">
        <w:rPr>
          <w:rStyle w:val="EndnoteReference"/>
          <w:sz w:val="24"/>
          <w:szCs w:val="24"/>
        </w:rPr>
        <w:t>2</w:t>
      </w:r>
      <w:r w:rsidRPr="00B170CE">
        <w:rPr>
          <w:sz w:val="24"/>
          <w:szCs w:val="24"/>
          <w:vertAlign w:val="superscript"/>
        </w:rPr>
        <w:t>3</w:t>
      </w:r>
      <w:r w:rsidRPr="00B170CE">
        <w:rPr>
          <w:sz w:val="24"/>
          <w:szCs w:val="24"/>
        </w:rPr>
        <w:t xml:space="preserve"> AIDSVu. Columbia Highlights. https://aidsvu.org/state/south-carolina/columbia/</w:t>
      </w:r>
    </w:p>
    <w:p w14:paraId="675369C2" w14:textId="54DDBF7D" w:rsidR="00A32FBE" w:rsidRPr="00B170CE" w:rsidRDefault="00A32FBE" w:rsidP="00A32FBE">
      <w:pPr>
        <w:pStyle w:val="EndnoteText"/>
        <w:rPr>
          <w:sz w:val="24"/>
          <w:szCs w:val="24"/>
        </w:rPr>
      </w:pPr>
      <w:r w:rsidRPr="00B170CE">
        <w:rPr>
          <w:sz w:val="24"/>
          <w:szCs w:val="24"/>
          <w:vertAlign w:val="superscript"/>
        </w:rPr>
        <w:t>24</w:t>
      </w:r>
      <w:r w:rsidRPr="00B170CE">
        <w:rPr>
          <w:sz w:val="24"/>
          <w:szCs w:val="24"/>
        </w:rPr>
        <w:t xml:space="preserve"> Patton, M. (1990) Qualitative evaluation and research methods. (pp. 169-186). Beverly Hills, CA: SAGE.  </w:t>
      </w:r>
    </w:p>
    <w:p w14:paraId="1BF96C32" w14:textId="77777777" w:rsidR="00A32FBE" w:rsidRPr="00B170CE" w:rsidRDefault="00A32FBE" w:rsidP="00A32FBE">
      <w:pPr>
        <w:rPr>
          <w:color w:val="000000"/>
        </w:rPr>
      </w:pPr>
      <w:r w:rsidRPr="00B170CE">
        <w:rPr>
          <w:rStyle w:val="EndnoteReference"/>
        </w:rPr>
        <w:t>2</w:t>
      </w:r>
      <w:r w:rsidRPr="00B170CE">
        <w:rPr>
          <w:vertAlign w:val="superscript"/>
        </w:rPr>
        <w:t>5</w:t>
      </w:r>
      <w:r w:rsidRPr="00B170CE">
        <w:t xml:space="preserve"> </w:t>
      </w:r>
      <w:r w:rsidRPr="00B170CE">
        <w:rPr>
          <w:color w:val="000000"/>
        </w:rPr>
        <w:t xml:space="preserve">McLellan, Eleanor, MacQueen, Kathleen M., and Neidig, Judith L. 2003. Beyond the Qualitative Interview: Data Preparation and Transcriptions.  </w:t>
      </w:r>
      <w:r w:rsidRPr="00B170CE">
        <w:rPr>
          <w:i/>
          <w:color w:val="000000"/>
        </w:rPr>
        <w:t xml:space="preserve">Field Methods </w:t>
      </w:r>
      <w:r w:rsidRPr="00B170CE">
        <w:rPr>
          <w:color w:val="000000"/>
        </w:rPr>
        <w:t>15(1):63-84.</w:t>
      </w:r>
    </w:p>
    <w:p w14:paraId="675DAEF2" w14:textId="676B571A" w:rsidR="00A32FBE" w:rsidRPr="00B170CE" w:rsidRDefault="00A32FBE" w:rsidP="00A32FBE">
      <w:r w:rsidRPr="00B170CE">
        <w:rPr>
          <w:vertAlign w:val="superscript"/>
        </w:rPr>
        <w:t>26</w:t>
      </w:r>
      <w:r w:rsidRPr="00B170CE">
        <w:t xml:space="preserve"> Abreu DA, Winters F. Using monetary incentives to reduce attrition in the survey of income and program participation. . Proceedings of the Survey Research Methods Section of the American Statistical Association 1999. </w:t>
      </w:r>
    </w:p>
    <w:p w14:paraId="6ACE7F39" w14:textId="5CA05E85" w:rsidR="00A32FBE" w:rsidRPr="00B170CE" w:rsidRDefault="00A32FBE" w:rsidP="00A32FBE">
      <w:pPr>
        <w:pStyle w:val="EndnoteText"/>
        <w:rPr>
          <w:sz w:val="24"/>
          <w:szCs w:val="24"/>
        </w:rPr>
      </w:pPr>
      <w:r w:rsidRPr="00B170CE">
        <w:rPr>
          <w:sz w:val="24"/>
          <w:szCs w:val="24"/>
          <w:vertAlign w:val="superscript"/>
        </w:rPr>
        <w:t>27</w:t>
      </w:r>
      <w:r w:rsidRPr="00B170CE">
        <w:rPr>
          <w:sz w:val="24"/>
          <w:szCs w:val="24"/>
        </w:rPr>
        <w:t xml:space="preserve"> Shettle C, Mooney G. Monetary incentives in U.S. government surveys. Journal of Offical Statistics 1999;15(2):231-50.</w:t>
      </w:r>
    </w:p>
    <w:p w14:paraId="53943633" w14:textId="77777777" w:rsidR="00A32FBE" w:rsidRPr="00B170CE" w:rsidRDefault="00A32FBE" w:rsidP="00A32FBE">
      <w:pPr>
        <w:pStyle w:val="EndnoteText"/>
        <w:rPr>
          <w:sz w:val="24"/>
          <w:szCs w:val="24"/>
        </w:rPr>
      </w:pPr>
      <w:r w:rsidRPr="00B170CE">
        <w:rPr>
          <w:rStyle w:val="EndnoteReference"/>
          <w:sz w:val="24"/>
          <w:szCs w:val="24"/>
        </w:rPr>
        <w:t>2</w:t>
      </w:r>
      <w:r w:rsidRPr="00B170CE">
        <w:rPr>
          <w:sz w:val="24"/>
          <w:szCs w:val="24"/>
          <w:vertAlign w:val="superscript"/>
        </w:rPr>
        <w:t>8</w:t>
      </w:r>
      <w:r w:rsidRPr="00B170CE">
        <w:rPr>
          <w:sz w:val="24"/>
          <w:szCs w:val="24"/>
        </w:rPr>
        <w:t xml:space="preserve"> Painter TM, Ngalame PM, Lucas B, Lauby JL, Herbst JH. Strategies used by community-based organizations to evaluate their locally developed HIV prevention interventions: Lessons learned from the CDC's innovative interventions project. AIDS Educ Prev 2010;22(5):387-401.</w:t>
      </w:r>
    </w:p>
    <w:p w14:paraId="7EE0B73F" w14:textId="27D1FEC4" w:rsidR="00A32FBE" w:rsidRPr="00B170CE" w:rsidRDefault="00A32FBE" w:rsidP="00A32FBE">
      <w:pPr>
        <w:pStyle w:val="EndnoteText"/>
        <w:rPr>
          <w:sz w:val="24"/>
          <w:szCs w:val="24"/>
        </w:rPr>
      </w:pPr>
      <w:r w:rsidRPr="00B170CE">
        <w:rPr>
          <w:sz w:val="24"/>
          <w:szCs w:val="24"/>
          <w:vertAlign w:val="superscript"/>
        </w:rPr>
        <w:t>29</w:t>
      </w:r>
      <w:r w:rsidRPr="00B170CE">
        <w:rPr>
          <w:sz w:val="24"/>
          <w:szCs w:val="24"/>
        </w:rPr>
        <w:t xml:space="preserve"> Yancey AK, Ortega AN, Kumanyika SK. Effective recruitment and retention of minority research participants. Annu Rev Public Health 2006;27:1-28.</w:t>
      </w:r>
      <w:bookmarkEnd w:id="32"/>
    </w:p>
    <w:sectPr w:rsidR="00A32FBE" w:rsidRPr="00B170CE" w:rsidSect="00CC6AB1">
      <w:footerReference w:type="default" r:id="rId18"/>
      <w:endnotePr>
        <w:numFmt w:val="decimal"/>
      </w:endnotePr>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A5898" w14:textId="77777777" w:rsidR="00DC1426" w:rsidRDefault="00DC1426" w:rsidP="008B5D54">
      <w:r>
        <w:separator/>
      </w:r>
    </w:p>
  </w:endnote>
  <w:endnote w:type="continuationSeparator" w:id="0">
    <w:p w14:paraId="3FEE374E" w14:textId="77777777" w:rsidR="00DC1426" w:rsidRDefault="00DC1426" w:rsidP="008B5D54">
      <w:r>
        <w:continuationSeparator/>
      </w:r>
    </w:p>
  </w:endnote>
  <w:endnote w:id="1">
    <w:p w14:paraId="3C8581DD" w14:textId="17F6D25F" w:rsidR="00C5536E" w:rsidRPr="00F02545" w:rsidRDefault="00C5536E" w:rsidP="0013020F">
      <w:pPr>
        <w:pStyle w:val="EndnoteText"/>
      </w:pPr>
    </w:p>
  </w:endnote>
  <w:endnote w:id="2">
    <w:p w14:paraId="68D3D187" w14:textId="50452875" w:rsidR="00C5536E" w:rsidRPr="00A27092" w:rsidRDefault="00C5536E" w:rsidP="00B45435">
      <w:pPr>
        <w:pStyle w:val="EndnoteText"/>
        <w:ind w:firstLine="720"/>
      </w:pPr>
    </w:p>
  </w:endnote>
  <w:endnote w:id="3">
    <w:p w14:paraId="06C7E339" w14:textId="5166C7BB" w:rsidR="00C5536E" w:rsidRDefault="00C5536E" w:rsidP="0013020F">
      <w:pPr>
        <w:pStyle w:val="CommentText"/>
      </w:pPr>
    </w:p>
  </w:endnote>
  <w:endnote w:id="4">
    <w:p w14:paraId="3D64B15D" w14:textId="4D7AFA3D" w:rsidR="00C5536E" w:rsidRPr="001B1B44" w:rsidRDefault="00C5536E" w:rsidP="0013020F">
      <w:pPr>
        <w:pStyle w:val="EndnoteText"/>
      </w:pPr>
    </w:p>
  </w:endnote>
  <w:endnote w:id="5">
    <w:p w14:paraId="493B72E9" w14:textId="13D6E85C" w:rsidR="00C5536E" w:rsidRPr="00F02545" w:rsidRDefault="00C5536E" w:rsidP="0013020F">
      <w:pPr>
        <w:pStyle w:val="EndnoteText"/>
        <w:rPr>
          <w:i/>
          <w:iCs/>
        </w:rPr>
      </w:pPr>
    </w:p>
  </w:endnote>
  <w:endnote w:id="6">
    <w:p w14:paraId="7E2BA83E" w14:textId="2536BDAA" w:rsidR="00C5536E" w:rsidRPr="001B1B44" w:rsidRDefault="00C5536E" w:rsidP="0013020F">
      <w:pPr>
        <w:rPr>
          <w:sz w:val="20"/>
          <w:szCs w:val="20"/>
        </w:rPr>
      </w:pPr>
    </w:p>
  </w:endnote>
  <w:endnote w:id="7">
    <w:p w14:paraId="6BE25B7D" w14:textId="7F1B7D8F" w:rsidR="00C5536E" w:rsidRPr="001B1B44" w:rsidRDefault="00C5536E" w:rsidP="0013020F">
      <w:pPr>
        <w:rPr>
          <w:sz w:val="20"/>
          <w:szCs w:val="20"/>
        </w:rPr>
      </w:pPr>
    </w:p>
  </w:endnote>
  <w:endnote w:id="8">
    <w:p w14:paraId="65DCCC1C" w14:textId="79DCFFCF" w:rsidR="00C5536E" w:rsidRPr="001B1B44" w:rsidRDefault="00C5536E" w:rsidP="0013020F">
      <w:pPr>
        <w:rPr>
          <w:sz w:val="20"/>
          <w:szCs w:val="20"/>
        </w:rPr>
      </w:pPr>
    </w:p>
  </w:endnote>
  <w:endnote w:id="9">
    <w:p w14:paraId="49F3072E" w14:textId="5332E0FE" w:rsidR="00C5536E" w:rsidRPr="008E1D02" w:rsidRDefault="00C5536E" w:rsidP="00552FDF">
      <w:pPr>
        <w:pStyle w:val="CommentText"/>
        <w:ind w:right="-270"/>
      </w:pPr>
    </w:p>
  </w:endnote>
  <w:endnote w:id="10">
    <w:p w14:paraId="0B673DF1" w14:textId="3CFCDB1C" w:rsidR="00C5536E" w:rsidRPr="008E1D02" w:rsidRDefault="00C5536E" w:rsidP="00552FDF">
      <w:pPr>
        <w:pStyle w:val="EndnoteText"/>
      </w:pPr>
    </w:p>
  </w:endnote>
  <w:endnote w:id="11">
    <w:p w14:paraId="12BFEBF1" w14:textId="4FACDEA4" w:rsidR="00C5536E" w:rsidRPr="008E1D02" w:rsidRDefault="00C5536E" w:rsidP="00552FDF">
      <w:pPr>
        <w:pStyle w:val="EndnoteText"/>
      </w:pPr>
    </w:p>
  </w:endnote>
  <w:endnote w:id="12">
    <w:p w14:paraId="67CB4887" w14:textId="5E38E069" w:rsidR="00C5536E" w:rsidRDefault="00C5536E" w:rsidP="00552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621567"/>
      <w:docPartObj>
        <w:docPartGallery w:val="Page Numbers (Bottom of Page)"/>
        <w:docPartUnique/>
      </w:docPartObj>
    </w:sdtPr>
    <w:sdtEndPr>
      <w:rPr>
        <w:noProof/>
      </w:rPr>
    </w:sdtEndPr>
    <w:sdtContent>
      <w:p w14:paraId="56D33063" w14:textId="64213B20" w:rsidR="00C5536E" w:rsidRDefault="00C5536E">
        <w:pPr>
          <w:pStyle w:val="Footer"/>
          <w:jc w:val="center"/>
        </w:pPr>
        <w:r>
          <w:fldChar w:fldCharType="begin"/>
        </w:r>
        <w:r>
          <w:instrText xml:space="preserve"> PAGE   \* MERGEFORMAT </w:instrText>
        </w:r>
        <w:r>
          <w:fldChar w:fldCharType="separate"/>
        </w:r>
        <w:r w:rsidR="00250230">
          <w:rPr>
            <w:noProof/>
          </w:rPr>
          <w:t>1</w:t>
        </w:r>
        <w:r>
          <w:rPr>
            <w:noProof/>
          </w:rPr>
          <w:fldChar w:fldCharType="end"/>
        </w:r>
      </w:p>
    </w:sdtContent>
  </w:sdt>
  <w:p w14:paraId="14B64FA2" w14:textId="77777777" w:rsidR="00C5536E" w:rsidRDefault="00C553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D6513" w14:textId="77777777" w:rsidR="00DC1426" w:rsidRDefault="00DC1426" w:rsidP="008B5D54">
      <w:r>
        <w:separator/>
      </w:r>
    </w:p>
  </w:footnote>
  <w:footnote w:type="continuationSeparator" w:id="0">
    <w:p w14:paraId="06D799C1" w14:textId="77777777" w:rsidR="00DC1426" w:rsidRDefault="00DC1426"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A203EE"/>
    <w:multiLevelType w:val="hybridMultilevel"/>
    <w:tmpl w:val="C340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50399"/>
    <w:multiLevelType w:val="hybridMultilevel"/>
    <w:tmpl w:val="59F0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CE4E25"/>
    <w:multiLevelType w:val="hybridMultilevel"/>
    <w:tmpl w:val="2AA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44622A"/>
    <w:multiLevelType w:val="multilevel"/>
    <w:tmpl w:val="09125016"/>
    <w:numStyleLink w:val="Style1"/>
  </w:abstractNum>
  <w:abstractNum w:abstractNumId="8">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E5C3C"/>
    <w:multiLevelType w:val="hybridMultilevel"/>
    <w:tmpl w:val="5E8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4C47F1"/>
    <w:multiLevelType w:val="hybridMultilevel"/>
    <w:tmpl w:val="69A0B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4">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2"/>
  </w:num>
  <w:num w:numId="2">
    <w:abstractNumId w:val="10"/>
  </w:num>
  <w:num w:numId="3">
    <w:abstractNumId w:val="9"/>
  </w:num>
  <w:num w:numId="4">
    <w:abstractNumId w:val="6"/>
  </w:num>
  <w:num w:numId="5">
    <w:abstractNumId w:val="14"/>
  </w:num>
  <w:num w:numId="6">
    <w:abstractNumId w:val="5"/>
  </w:num>
  <w:num w:numId="7">
    <w:abstractNumId w:val="8"/>
  </w:num>
  <w:num w:numId="8">
    <w:abstractNumId w:val="7"/>
  </w:num>
  <w:num w:numId="9">
    <w:abstractNumId w:val="0"/>
  </w:num>
  <w:num w:numId="10">
    <w:abstractNumId w:val="4"/>
  </w:num>
  <w:num w:numId="11">
    <w:abstractNumId w:val="11"/>
  </w:num>
  <w:num w:numId="12">
    <w:abstractNumId w:val="13"/>
  </w:num>
  <w:num w:numId="13">
    <w:abstractNumId w:val="3"/>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BE" w:vendorID="64" w:dllVersion="131078" w:nlCheck="1" w:checkStyle="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Prev 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e2rpadwfdf21ezrr3vdad6zpzrrvzwdv09&quot;&gt;iQual Citations&lt;record-ids&gt;&lt;item&gt;1&lt;/item&gt;&lt;item&gt;2&lt;/item&gt;&lt;item&gt;3&lt;/item&gt;&lt;item&gt;4&lt;/item&gt;&lt;item&gt;5&lt;/item&gt;&lt;item&gt;6&lt;/item&gt;&lt;item&gt;7&lt;/item&gt;&lt;item&gt;8&lt;/item&gt;&lt;item&gt;9&lt;/item&gt;&lt;item&gt;10&lt;/item&gt;&lt;/record-ids&gt;&lt;/item&gt;&lt;/Libraries&gt;"/>
  </w:docVars>
  <w:rsids>
    <w:rsidRoot w:val="006869D4"/>
    <w:rsid w:val="00006403"/>
    <w:rsid w:val="00006A29"/>
    <w:rsid w:val="00013FAA"/>
    <w:rsid w:val="00014227"/>
    <w:rsid w:val="00015AE7"/>
    <w:rsid w:val="00017B88"/>
    <w:rsid w:val="0002165C"/>
    <w:rsid w:val="00026DB7"/>
    <w:rsid w:val="00030FFE"/>
    <w:rsid w:val="00031545"/>
    <w:rsid w:val="000317BA"/>
    <w:rsid w:val="00031D61"/>
    <w:rsid w:val="00033F30"/>
    <w:rsid w:val="00037930"/>
    <w:rsid w:val="00040CE0"/>
    <w:rsid w:val="00041B9F"/>
    <w:rsid w:val="00042183"/>
    <w:rsid w:val="00044340"/>
    <w:rsid w:val="00051586"/>
    <w:rsid w:val="00053671"/>
    <w:rsid w:val="00056DD2"/>
    <w:rsid w:val="0006247E"/>
    <w:rsid w:val="000652BE"/>
    <w:rsid w:val="0006639A"/>
    <w:rsid w:val="000678AE"/>
    <w:rsid w:val="00067E1B"/>
    <w:rsid w:val="00070D4D"/>
    <w:rsid w:val="00071920"/>
    <w:rsid w:val="00073EFB"/>
    <w:rsid w:val="000747AC"/>
    <w:rsid w:val="00074FDE"/>
    <w:rsid w:val="00076D10"/>
    <w:rsid w:val="000777EF"/>
    <w:rsid w:val="000816E0"/>
    <w:rsid w:val="00081E33"/>
    <w:rsid w:val="00082EA9"/>
    <w:rsid w:val="000879CA"/>
    <w:rsid w:val="000912C9"/>
    <w:rsid w:val="00093DF9"/>
    <w:rsid w:val="00095EDD"/>
    <w:rsid w:val="000A0AC0"/>
    <w:rsid w:val="000A56BD"/>
    <w:rsid w:val="000A5E51"/>
    <w:rsid w:val="000A73A6"/>
    <w:rsid w:val="000B1947"/>
    <w:rsid w:val="000C20AB"/>
    <w:rsid w:val="000D10E8"/>
    <w:rsid w:val="000D3C8A"/>
    <w:rsid w:val="000D7D1D"/>
    <w:rsid w:val="000E1128"/>
    <w:rsid w:val="000E16D3"/>
    <w:rsid w:val="000E209D"/>
    <w:rsid w:val="000E2854"/>
    <w:rsid w:val="000E3652"/>
    <w:rsid w:val="000F1DE3"/>
    <w:rsid w:val="000F2DDC"/>
    <w:rsid w:val="000F4CAA"/>
    <w:rsid w:val="001015FC"/>
    <w:rsid w:val="00103FF5"/>
    <w:rsid w:val="00104E90"/>
    <w:rsid w:val="001054F6"/>
    <w:rsid w:val="00105EBF"/>
    <w:rsid w:val="00106FDF"/>
    <w:rsid w:val="0011632B"/>
    <w:rsid w:val="0012271A"/>
    <w:rsid w:val="0013020F"/>
    <w:rsid w:val="001319BD"/>
    <w:rsid w:val="0013226B"/>
    <w:rsid w:val="00134095"/>
    <w:rsid w:val="00134B29"/>
    <w:rsid w:val="001433A9"/>
    <w:rsid w:val="00145159"/>
    <w:rsid w:val="0014691A"/>
    <w:rsid w:val="001503E6"/>
    <w:rsid w:val="00150705"/>
    <w:rsid w:val="00150BF0"/>
    <w:rsid w:val="001515AA"/>
    <w:rsid w:val="00153F9D"/>
    <w:rsid w:val="00155815"/>
    <w:rsid w:val="00156C6A"/>
    <w:rsid w:val="00157A3F"/>
    <w:rsid w:val="00171ECE"/>
    <w:rsid w:val="00172F69"/>
    <w:rsid w:val="00177836"/>
    <w:rsid w:val="001812AE"/>
    <w:rsid w:val="00185DD3"/>
    <w:rsid w:val="0019449E"/>
    <w:rsid w:val="00195E37"/>
    <w:rsid w:val="001A1DAB"/>
    <w:rsid w:val="001A1EFA"/>
    <w:rsid w:val="001B323C"/>
    <w:rsid w:val="001B4A66"/>
    <w:rsid w:val="001B4D2B"/>
    <w:rsid w:val="001B6AFB"/>
    <w:rsid w:val="001C0CE3"/>
    <w:rsid w:val="001C516C"/>
    <w:rsid w:val="001C77A3"/>
    <w:rsid w:val="001D0AB9"/>
    <w:rsid w:val="001D29E7"/>
    <w:rsid w:val="001D6DDB"/>
    <w:rsid w:val="001E01ED"/>
    <w:rsid w:val="001F181F"/>
    <w:rsid w:val="001F2D33"/>
    <w:rsid w:val="00200775"/>
    <w:rsid w:val="00200B70"/>
    <w:rsid w:val="00200D2C"/>
    <w:rsid w:val="002014E2"/>
    <w:rsid w:val="002019A9"/>
    <w:rsid w:val="00201B4A"/>
    <w:rsid w:val="00203A50"/>
    <w:rsid w:val="00204AFB"/>
    <w:rsid w:val="0020663A"/>
    <w:rsid w:val="00206828"/>
    <w:rsid w:val="00207534"/>
    <w:rsid w:val="002202FF"/>
    <w:rsid w:val="002213CC"/>
    <w:rsid w:val="0023115C"/>
    <w:rsid w:val="002332D6"/>
    <w:rsid w:val="002368E4"/>
    <w:rsid w:val="0023769F"/>
    <w:rsid w:val="00240A5C"/>
    <w:rsid w:val="00240E62"/>
    <w:rsid w:val="0024170B"/>
    <w:rsid w:val="00242341"/>
    <w:rsid w:val="002425F1"/>
    <w:rsid w:val="00242998"/>
    <w:rsid w:val="00242BC8"/>
    <w:rsid w:val="00244129"/>
    <w:rsid w:val="00244D05"/>
    <w:rsid w:val="00250230"/>
    <w:rsid w:val="002525F3"/>
    <w:rsid w:val="0025627B"/>
    <w:rsid w:val="00256843"/>
    <w:rsid w:val="002568B4"/>
    <w:rsid w:val="00265EDF"/>
    <w:rsid w:val="002661C7"/>
    <w:rsid w:val="0026711D"/>
    <w:rsid w:val="00270C3A"/>
    <w:rsid w:val="002739D6"/>
    <w:rsid w:val="00275ADF"/>
    <w:rsid w:val="00276C85"/>
    <w:rsid w:val="00280D66"/>
    <w:rsid w:val="0028198D"/>
    <w:rsid w:val="0028773F"/>
    <w:rsid w:val="00291F2D"/>
    <w:rsid w:val="00293D1E"/>
    <w:rsid w:val="0029515C"/>
    <w:rsid w:val="002961D6"/>
    <w:rsid w:val="002965F6"/>
    <w:rsid w:val="00297D51"/>
    <w:rsid w:val="002A0ADA"/>
    <w:rsid w:val="002A4FE1"/>
    <w:rsid w:val="002B2D0D"/>
    <w:rsid w:val="002C3AE2"/>
    <w:rsid w:val="002C6BD1"/>
    <w:rsid w:val="002D3D0C"/>
    <w:rsid w:val="002E24C0"/>
    <w:rsid w:val="002E4E76"/>
    <w:rsid w:val="002E50F1"/>
    <w:rsid w:val="002E5112"/>
    <w:rsid w:val="002F24DC"/>
    <w:rsid w:val="002F4995"/>
    <w:rsid w:val="002F5602"/>
    <w:rsid w:val="002F72C7"/>
    <w:rsid w:val="00305A1B"/>
    <w:rsid w:val="00316981"/>
    <w:rsid w:val="00321C21"/>
    <w:rsid w:val="00331282"/>
    <w:rsid w:val="00332F80"/>
    <w:rsid w:val="003340FF"/>
    <w:rsid w:val="003344F5"/>
    <w:rsid w:val="00334FDA"/>
    <w:rsid w:val="00343F28"/>
    <w:rsid w:val="00344C7C"/>
    <w:rsid w:val="00347120"/>
    <w:rsid w:val="00352D80"/>
    <w:rsid w:val="003539FB"/>
    <w:rsid w:val="00354810"/>
    <w:rsid w:val="003703FF"/>
    <w:rsid w:val="0037216F"/>
    <w:rsid w:val="003737AF"/>
    <w:rsid w:val="00376B2C"/>
    <w:rsid w:val="00377FA8"/>
    <w:rsid w:val="00380753"/>
    <w:rsid w:val="003901F6"/>
    <w:rsid w:val="00390FA0"/>
    <w:rsid w:val="003962DF"/>
    <w:rsid w:val="003971F9"/>
    <w:rsid w:val="003A6A6C"/>
    <w:rsid w:val="003B3841"/>
    <w:rsid w:val="003B3EE9"/>
    <w:rsid w:val="003B47DD"/>
    <w:rsid w:val="003C10A5"/>
    <w:rsid w:val="003C12D1"/>
    <w:rsid w:val="003C221F"/>
    <w:rsid w:val="003C3C33"/>
    <w:rsid w:val="003C5773"/>
    <w:rsid w:val="003D1EC2"/>
    <w:rsid w:val="003D7EF0"/>
    <w:rsid w:val="003E13AC"/>
    <w:rsid w:val="003E2A65"/>
    <w:rsid w:val="003E478F"/>
    <w:rsid w:val="003F027D"/>
    <w:rsid w:val="003F3408"/>
    <w:rsid w:val="004003F7"/>
    <w:rsid w:val="00401AFC"/>
    <w:rsid w:val="004021B3"/>
    <w:rsid w:val="004042A2"/>
    <w:rsid w:val="00412543"/>
    <w:rsid w:val="00417F9E"/>
    <w:rsid w:val="00424B0A"/>
    <w:rsid w:val="00425356"/>
    <w:rsid w:val="00427C03"/>
    <w:rsid w:val="00432322"/>
    <w:rsid w:val="004334AB"/>
    <w:rsid w:val="00441432"/>
    <w:rsid w:val="00453494"/>
    <w:rsid w:val="00453EC7"/>
    <w:rsid w:val="0045429A"/>
    <w:rsid w:val="00460D47"/>
    <w:rsid w:val="004629B2"/>
    <w:rsid w:val="004633D8"/>
    <w:rsid w:val="004657BF"/>
    <w:rsid w:val="004713DD"/>
    <w:rsid w:val="0047402D"/>
    <w:rsid w:val="00480063"/>
    <w:rsid w:val="0048458E"/>
    <w:rsid w:val="00485E43"/>
    <w:rsid w:val="00493F64"/>
    <w:rsid w:val="00494049"/>
    <w:rsid w:val="004B25CE"/>
    <w:rsid w:val="004B3702"/>
    <w:rsid w:val="004B3D61"/>
    <w:rsid w:val="004B5036"/>
    <w:rsid w:val="004B71A2"/>
    <w:rsid w:val="004C2697"/>
    <w:rsid w:val="004C3356"/>
    <w:rsid w:val="004C581B"/>
    <w:rsid w:val="004D028F"/>
    <w:rsid w:val="004D205C"/>
    <w:rsid w:val="004D4DD0"/>
    <w:rsid w:val="004D5389"/>
    <w:rsid w:val="004D5B15"/>
    <w:rsid w:val="004D632E"/>
    <w:rsid w:val="004E0E3A"/>
    <w:rsid w:val="004E3395"/>
    <w:rsid w:val="004E3544"/>
    <w:rsid w:val="004E72EA"/>
    <w:rsid w:val="004F3BC7"/>
    <w:rsid w:val="004F442A"/>
    <w:rsid w:val="004F56DE"/>
    <w:rsid w:val="004F65C6"/>
    <w:rsid w:val="004F71D7"/>
    <w:rsid w:val="00501270"/>
    <w:rsid w:val="00506031"/>
    <w:rsid w:val="0050634D"/>
    <w:rsid w:val="00506E45"/>
    <w:rsid w:val="00511D75"/>
    <w:rsid w:val="00515886"/>
    <w:rsid w:val="00523479"/>
    <w:rsid w:val="0052486D"/>
    <w:rsid w:val="005248A5"/>
    <w:rsid w:val="00536AF1"/>
    <w:rsid w:val="00536ED0"/>
    <w:rsid w:val="00537E55"/>
    <w:rsid w:val="00541712"/>
    <w:rsid w:val="00542640"/>
    <w:rsid w:val="00546ADD"/>
    <w:rsid w:val="00550E55"/>
    <w:rsid w:val="00552FDF"/>
    <w:rsid w:val="00565EDB"/>
    <w:rsid w:val="0057169B"/>
    <w:rsid w:val="005743EC"/>
    <w:rsid w:val="00574FA6"/>
    <w:rsid w:val="00580606"/>
    <w:rsid w:val="00582502"/>
    <w:rsid w:val="0058267E"/>
    <w:rsid w:val="00582903"/>
    <w:rsid w:val="00582C8E"/>
    <w:rsid w:val="00587EC2"/>
    <w:rsid w:val="00591E48"/>
    <w:rsid w:val="005A038A"/>
    <w:rsid w:val="005A0F49"/>
    <w:rsid w:val="005B016B"/>
    <w:rsid w:val="005B0C43"/>
    <w:rsid w:val="005B3D89"/>
    <w:rsid w:val="005B4518"/>
    <w:rsid w:val="005B5D5C"/>
    <w:rsid w:val="005B7263"/>
    <w:rsid w:val="005B7DF7"/>
    <w:rsid w:val="005C4186"/>
    <w:rsid w:val="005C5398"/>
    <w:rsid w:val="005C7600"/>
    <w:rsid w:val="005C7B17"/>
    <w:rsid w:val="005D10E7"/>
    <w:rsid w:val="005D66B4"/>
    <w:rsid w:val="005D7BF0"/>
    <w:rsid w:val="005E2979"/>
    <w:rsid w:val="005E6F8D"/>
    <w:rsid w:val="005F32F0"/>
    <w:rsid w:val="005F51A2"/>
    <w:rsid w:val="0060115E"/>
    <w:rsid w:val="00602878"/>
    <w:rsid w:val="00606904"/>
    <w:rsid w:val="00606E0A"/>
    <w:rsid w:val="00613E64"/>
    <w:rsid w:val="00617B96"/>
    <w:rsid w:val="00622CA8"/>
    <w:rsid w:val="00623078"/>
    <w:rsid w:val="00623F86"/>
    <w:rsid w:val="00624CE1"/>
    <w:rsid w:val="00625F34"/>
    <w:rsid w:val="0062606A"/>
    <w:rsid w:val="0063212A"/>
    <w:rsid w:val="006343C9"/>
    <w:rsid w:val="00637F5D"/>
    <w:rsid w:val="0064023D"/>
    <w:rsid w:val="00657BDF"/>
    <w:rsid w:val="00663BC9"/>
    <w:rsid w:val="00674C2B"/>
    <w:rsid w:val="00674DC2"/>
    <w:rsid w:val="006775DC"/>
    <w:rsid w:val="00681610"/>
    <w:rsid w:val="00686217"/>
    <w:rsid w:val="006869D4"/>
    <w:rsid w:val="00690E5E"/>
    <w:rsid w:val="006968B0"/>
    <w:rsid w:val="006A1A16"/>
    <w:rsid w:val="006A4424"/>
    <w:rsid w:val="006A4A39"/>
    <w:rsid w:val="006B07DF"/>
    <w:rsid w:val="006B0C20"/>
    <w:rsid w:val="006B56C4"/>
    <w:rsid w:val="006C1A1E"/>
    <w:rsid w:val="006C500C"/>
    <w:rsid w:val="006C655A"/>
    <w:rsid w:val="006C6578"/>
    <w:rsid w:val="006E2395"/>
    <w:rsid w:val="006E4F97"/>
    <w:rsid w:val="006F070E"/>
    <w:rsid w:val="006F3440"/>
    <w:rsid w:val="00706BCB"/>
    <w:rsid w:val="00720709"/>
    <w:rsid w:val="00724D04"/>
    <w:rsid w:val="007311C6"/>
    <w:rsid w:val="00731B24"/>
    <w:rsid w:val="007325ED"/>
    <w:rsid w:val="00733192"/>
    <w:rsid w:val="007376F4"/>
    <w:rsid w:val="0074100D"/>
    <w:rsid w:val="00743F22"/>
    <w:rsid w:val="007442C3"/>
    <w:rsid w:val="007447B9"/>
    <w:rsid w:val="00747020"/>
    <w:rsid w:val="007530B7"/>
    <w:rsid w:val="00754E12"/>
    <w:rsid w:val="0075552D"/>
    <w:rsid w:val="00755BBA"/>
    <w:rsid w:val="00757F44"/>
    <w:rsid w:val="007667E1"/>
    <w:rsid w:val="00772A65"/>
    <w:rsid w:val="00773161"/>
    <w:rsid w:val="00775675"/>
    <w:rsid w:val="00777448"/>
    <w:rsid w:val="00777FC0"/>
    <w:rsid w:val="00782BDE"/>
    <w:rsid w:val="0078411B"/>
    <w:rsid w:val="007841E3"/>
    <w:rsid w:val="00784DDF"/>
    <w:rsid w:val="00786C5A"/>
    <w:rsid w:val="00792F8A"/>
    <w:rsid w:val="007A0C90"/>
    <w:rsid w:val="007A2FDD"/>
    <w:rsid w:val="007A3DAD"/>
    <w:rsid w:val="007B3D63"/>
    <w:rsid w:val="007B4891"/>
    <w:rsid w:val="007B4CA8"/>
    <w:rsid w:val="007C2B6F"/>
    <w:rsid w:val="007C71F5"/>
    <w:rsid w:val="007D2C4F"/>
    <w:rsid w:val="007D3913"/>
    <w:rsid w:val="007D4C07"/>
    <w:rsid w:val="007E405F"/>
    <w:rsid w:val="007E5176"/>
    <w:rsid w:val="007E6191"/>
    <w:rsid w:val="007E72EF"/>
    <w:rsid w:val="007F1AE0"/>
    <w:rsid w:val="007F1E53"/>
    <w:rsid w:val="007F4F7A"/>
    <w:rsid w:val="007F7EDD"/>
    <w:rsid w:val="008004EF"/>
    <w:rsid w:val="00802966"/>
    <w:rsid w:val="008102BB"/>
    <w:rsid w:val="0081086B"/>
    <w:rsid w:val="00810B9E"/>
    <w:rsid w:val="00815C35"/>
    <w:rsid w:val="0081618D"/>
    <w:rsid w:val="00817236"/>
    <w:rsid w:val="008172D1"/>
    <w:rsid w:val="00823552"/>
    <w:rsid w:val="0082377F"/>
    <w:rsid w:val="00825415"/>
    <w:rsid w:val="00827286"/>
    <w:rsid w:val="00831EA0"/>
    <w:rsid w:val="008320F7"/>
    <w:rsid w:val="00834315"/>
    <w:rsid w:val="0084098E"/>
    <w:rsid w:val="00842C29"/>
    <w:rsid w:val="00843673"/>
    <w:rsid w:val="00843E71"/>
    <w:rsid w:val="008452CD"/>
    <w:rsid w:val="008457FB"/>
    <w:rsid w:val="008519CC"/>
    <w:rsid w:val="00852956"/>
    <w:rsid w:val="008541D4"/>
    <w:rsid w:val="008574B9"/>
    <w:rsid w:val="0087762E"/>
    <w:rsid w:val="00877BE2"/>
    <w:rsid w:val="00882365"/>
    <w:rsid w:val="008839F0"/>
    <w:rsid w:val="008845A2"/>
    <w:rsid w:val="008865B5"/>
    <w:rsid w:val="00886C49"/>
    <w:rsid w:val="00890B73"/>
    <w:rsid w:val="008A0D9E"/>
    <w:rsid w:val="008A16FB"/>
    <w:rsid w:val="008A19F2"/>
    <w:rsid w:val="008A3AA0"/>
    <w:rsid w:val="008A4739"/>
    <w:rsid w:val="008A4E7B"/>
    <w:rsid w:val="008B180A"/>
    <w:rsid w:val="008B5D54"/>
    <w:rsid w:val="008B7B1C"/>
    <w:rsid w:val="008C0758"/>
    <w:rsid w:val="008C09DC"/>
    <w:rsid w:val="008C0F50"/>
    <w:rsid w:val="008C1BEA"/>
    <w:rsid w:val="008C3782"/>
    <w:rsid w:val="008C5507"/>
    <w:rsid w:val="008D47EF"/>
    <w:rsid w:val="008D5F8D"/>
    <w:rsid w:val="008E10CB"/>
    <w:rsid w:val="008E5022"/>
    <w:rsid w:val="008E6D5A"/>
    <w:rsid w:val="008F34F0"/>
    <w:rsid w:val="008F6383"/>
    <w:rsid w:val="008F6B1C"/>
    <w:rsid w:val="00904F07"/>
    <w:rsid w:val="00910A43"/>
    <w:rsid w:val="009111E8"/>
    <w:rsid w:val="00913292"/>
    <w:rsid w:val="009132DF"/>
    <w:rsid w:val="00913A3E"/>
    <w:rsid w:val="009221FF"/>
    <w:rsid w:val="00924A81"/>
    <w:rsid w:val="00925BA9"/>
    <w:rsid w:val="009330AF"/>
    <w:rsid w:val="00933271"/>
    <w:rsid w:val="009371FE"/>
    <w:rsid w:val="00940241"/>
    <w:rsid w:val="00941A61"/>
    <w:rsid w:val="009423E7"/>
    <w:rsid w:val="00943B21"/>
    <w:rsid w:val="00947351"/>
    <w:rsid w:val="009501CD"/>
    <w:rsid w:val="0095683F"/>
    <w:rsid w:val="00956B5D"/>
    <w:rsid w:val="009579AD"/>
    <w:rsid w:val="00957EBB"/>
    <w:rsid w:val="00963092"/>
    <w:rsid w:val="009636FA"/>
    <w:rsid w:val="0096557A"/>
    <w:rsid w:val="00965E71"/>
    <w:rsid w:val="00973A03"/>
    <w:rsid w:val="00974E01"/>
    <w:rsid w:val="00976441"/>
    <w:rsid w:val="00980F7C"/>
    <w:rsid w:val="009811EB"/>
    <w:rsid w:val="00982E03"/>
    <w:rsid w:val="009830DB"/>
    <w:rsid w:val="0098459C"/>
    <w:rsid w:val="0098673D"/>
    <w:rsid w:val="00987256"/>
    <w:rsid w:val="009951A9"/>
    <w:rsid w:val="0099750D"/>
    <w:rsid w:val="009A2571"/>
    <w:rsid w:val="009A38A1"/>
    <w:rsid w:val="009A4982"/>
    <w:rsid w:val="009A6CEF"/>
    <w:rsid w:val="009B396D"/>
    <w:rsid w:val="009B4858"/>
    <w:rsid w:val="009B5C38"/>
    <w:rsid w:val="009C3FFF"/>
    <w:rsid w:val="009C5D88"/>
    <w:rsid w:val="009C7405"/>
    <w:rsid w:val="009D041A"/>
    <w:rsid w:val="009D4CC5"/>
    <w:rsid w:val="009D6649"/>
    <w:rsid w:val="009E1B12"/>
    <w:rsid w:val="009F2B1C"/>
    <w:rsid w:val="009F4C05"/>
    <w:rsid w:val="00A00005"/>
    <w:rsid w:val="00A003CC"/>
    <w:rsid w:val="00A02DE6"/>
    <w:rsid w:val="00A04495"/>
    <w:rsid w:val="00A06E04"/>
    <w:rsid w:val="00A06E57"/>
    <w:rsid w:val="00A07E2E"/>
    <w:rsid w:val="00A12865"/>
    <w:rsid w:val="00A12ABA"/>
    <w:rsid w:val="00A200F6"/>
    <w:rsid w:val="00A31F59"/>
    <w:rsid w:val="00A32FBE"/>
    <w:rsid w:val="00A34D13"/>
    <w:rsid w:val="00A3575B"/>
    <w:rsid w:val="00A46777"/>
    <w:rsid w:val="00A51C29"/>
    <w:rsid w:val="00A552D2"/>
    <w:rsid w:val="00A55C9F"/>
    <w:rsid w:val="00A60B75"/>
    <w:rsid w:val="00A63A65"/>
    <w:rsid w:val="00A64F2A"/>
    <w:rsid w:val="00A71916"/>
    <w:rsid w:val="00A732A6"/>
    <w:rsid w:val="00A74155"/>
    <w:rsid w:val="00A753EB"/>
    <w:rsid w:val="00A76979"/>
    <w:rsid w:val="00A80799"/>
    <w:rsid w:val="00A90552"/>
    <w:rsid w:val="00AA0B72"/>
    <w:rsid w:val="00AA1ED6"/>
    <w:rsid w:val="00AB78EA"/>
    <w:rsid w:val="00AC05E8"/>
    <w:rsid w:val="00AC254E"/>
    <w:rsid w:val="00AC25ED"/>
    <w:rsid w:val="00AC3C90"/>
    <w:rsid w:val="00AC60FB"/>
    <w:rsid w:val="00AD2807"/>
    <w:rsid w:val="00AD4495"/>
    <w:rsid w:val="00AD617D"/>
    <w:rsid w:val="00AD7976"/>
    <w:rsid w:val="00AE0874"/>
    <w:rsid w:val="00AE50F8"/>
    <w:rsid w:val="00AF2647"/>
    <w:rsid w:val="00AF6D1E"/>
    <w:rsid w:val="00AF6FD9"/>
    <w:rsid w:val="00B01EA2"/>
    <w:rsid w:val="00B01F8A"/>
    <w:rsid w:val="00B03E4D"/>
    <w:rsid w:val="00B057DB"/>
    <w:rsid w:val="00B06922"/>
    <w:rsid w:val="00B10932"/>
    <w:rsid w:val="00B11437"/>
    <w:rsid w:val="00B12EA3"/>
    <w:rsid w:val="00B1394D"/>
    <w:rsid w:val="00B13A15"/>
    <w:rsid w:val="00B13D7C"/>
    <w:rsid w:val="00B148B5"/>
    <w:rsid w:val="00B170CE"/>
    <w:rsid w:val="00B200C8"/>
    <w:rsid w:val="00B24C5D"/>
    <w:rsid w:val="00B24E32"/>
    <w:rsid w:val="00B250E0"/>
    <w:rsid w:val="00B328D6"/>
    <w:rsid w:val="00B343E9"/>
    <w:rsid w:val="00B36F42"/>
    <w:rsid w:val="00B414DF"/>
    <w:rsid w:val="00B42992"/>
    <w:rsid w:val="00B42A00"/>
    <w:rsid w:val="00B447EE"/>
    <w:rsid w:val="00B45362"/>
    <w:rsid w:val="00B45435"/>
    <w:rsid w:val="00B470EB"/>
    <w:rsid w:val="00B474EC"/>
    <w:rsid w:val="00B52D00"/>
    <w:rsid w:val="00B55735"/>
    <w:rsid w:val="00B608AC"/>
    <w:rsid w:val="00B62FF3"/>
    <w:rsid w:val="00B64D28"/>
    <w:rsid w:val="00B65A4F"/>
    <w:rsid w:val="00B65B0C"/>
    <w:rsid w:val="00B712D6"/>
    <w:rsid w:val="00B76486"/>
    <w:rsid w:val="00B76615"/>
    <w:rsid w:val="00B82C9D"/>
    <w:rsid w:val="00B930C9"/>
    <w:rsid w:val="00B9447E"/>
    <w:rsid w:val="00B953B0"/>
    <w:rsid w:val="00B962E4"/>
    <w:rsid w:val="00BA7B25"/>
    <w:rsid w:val="00BB0F3A"/>
    <w:rsid w:val="00BB3F53"/>
    <w:rsid w:val="00BC004B"/>
    <w:rsid w:val="00BC38BA"/>
    <w:rsid w:val="00BC60F9"/>
    <w:rsid w:val="00BC7371"/>
    <w:rsid w:val="00BD0B38"/>
    <w:rsid w:val="00BD7FDE"/>
    <w:rsid w:val="00BE0850"/>
    <w:rsid w:val="00BF1EB9"/>
    <w:rsid w:val="00BF2A04"/>
    <w:rsid w:val="00BF2B6F"/>
    <w:rsid w:val="00BF4C06"/>
    <w:rsid w:val="00BF671C"/>
    <w:rsid w:val="00C00EDB"/>
    <w:rsid w:val="00C03F9D"/>
    <w:rsid w:val="00C1216F"/>
    <w:rsid w:val="00C1474B"/>
    <w:rsid w:val="00C15DB7"/>
    <w:rsid w:val="00C172B3"/>
    <w:rsid w:val="00C17EE7"/>
    <w:rsid w:val="00C202D5"/>
    <w:rsid w:val="00C24A59"/>
    <w:rsid w:val="00C25635"/>
    <w:rsid w:val="00C36986"/>
    <w:rsid w:val="00C37E9C"/>
    <w:rsid w:val="00C421C2"/>
    <w:rsid w:val="00C436DC"/>
    <w:rsid w:val="00C46977"/>
    <w:rsid w:val="00C50810"/>
    <w:rsid w:val="00C53CE5"/>
    <w:rsid w:val="00C5458E"/>
    <w:rsid w:val="00C5536E"/>
    <w:rsid w:val="00C56A3A"/>
    <w:rsid w:val="00C60213"/>
    <w:rsid w:val="00C60A58"/>
    <w:rsid w:val="00C61DD4"/>
    <w:rsid w:val="00C62F5E"/>
    <w:rsid w:val="00C67BED"/>
    <w:rsid w:val="00C67C7D"/>
    <w:rsid w:val="00C70483"/>
    <w:rsid w:val="00C70C6E"/>
    <w:rsid w:val="00C72912"/>
    <w:rsid w:val="00C736A4"/>
    <w:rsid w:val="00C74F4A"/>
    <w:rsid w:val="00C81AAD"/>
    <w:rsid w:val="00C8370A"/>
    <w:rsid w:val="00C84609"/>
    <w:rsid w:val="00C91C02"/>
    <w:rsid w:val="00C9502D"/>
    <w:rsid w:val="00C9558E"/>
    <w:rsid w:val="00CA7D49"/>
    <w:rsid w:val="00CB031A"/>
    <w:rsid w:val="00CB51BB"/>
    <w:rsid w:val="00CB62C5"/>
    <w:rsid w:val="00CC211B"/>
    <w:rsid w:val="00CC297C"/>
    <w:rsid w:val="00CC3B01"/>
    <w:rsid w:val="00CC5FFB"/>
    <w:rsid w:val="00CC6AB1"/>
    <w:rsid w:val="00CD441E"/>
    <w:rsid w:val="00CE4936"/>
    <w:rsid w:val="00CF191F"/>
    <w:rsid w:val="00CF3EE1"/>
    <w:rsid w:val="00CF44C9"/>
    <w:rsid w:val="00CF5EFA"/>
    <w:rsid w:val="00D01AB3"/>
    <w:rsid w:val="00D02168"/>
    <w:rsid w:val="00D02DEF"/>
    <w:rsid w:val="00D05089"/>
    <w:rsid w:val="00D05FAB"/>
    <w:rsid w:val="00D07179"/>
    <w:rsid w:val="00D071EB"/>
    <w:rsid w:val="00D07372"/>
    <w:rsid w:val="00D07617"/>
    <w:rsid w:val="00D17FA6"/>
    <w:rsid w:val="00D21275"/>
    <w:rsid w:val="00D312D3"/>
    <w:rsid w:val="00D329C3"/>
    <w:rsid w:val="00D37337"/>
    <w:rsid w:val="00D45665"/>
    <w:rsid w:val="00D45E08"/>
    <w:rsid w:val="00D467C4"/>
    <w:rsid w:val="00D473E4"/>
    <w:rsid w:val="00D4797E"/>
    <w:rsid w:val="00D528B9"/>
    <w:rsid w:val="00D55A4B"/>
    <w:rsid w:val="00D56E26"/>
    <w:rsid w:val="00D601A8"/>
    <w:rsid w:val="00D62D1E"/>
    <w:rsid w:val="00D63688"/>
    <w:rsid w:val="00D6673F"/>
    <w:rsid w:val="00D66FE5"/>
    <w:rsid w:val="00D70265"/>
    <w:rsid w:val="00D70D00"/>
    <w:rsid w:val="00D70EC7"/>
    <w:rsid w:val="00D74C3B"/>
    <w:rsid w:val="00D7645F"/>
    <w:rsid w:val="00D84695"/>
    <w:rsid w:val="00D96359"/>
    <w:rsid w:val="00DA06C8"/>
    <w:rsid w:val="00DA3EA4"/>
    <w:rsid w:val="00DB13DE"/>
    <w:rsid w:val="00DB632D"/>
    <w:rsid w:val="00DC0C2E"/>
    <w:rsid w:val="00DC1426"/>
    <w:rsid w:val="00DC3C26"/>
    <w:rsid w:val="00DC56F1"/>
    <w:rsid w:val="00DC57CC"/>
    <w:rsid w:val="00DC68BA"/>
    <w:rsid w:val="00DC71F2"/>
    <w:rsid w:val="00DD1B1B"/>
    <w:rsid w:val="00DD3B22"/>
    <w:rsid w:val="00DD4021"/>
    <w:rsid w:val="00DE2A5A"/>
    <w:rsid w:val="00DE4370"/>
    <w:rsid w:val="00DF291A"/>
    <w:rsid w:val="00DF3B92"/>
    <w:rsid w:val="00DF71D5"/>
    <w:rsid w:val="00E005EF"/>
    <w:rsid w:val="00E036C0"/>
    <w:rsid w:val="00E06F4F"/>
    <w:rsid w:val="00E11DD3"/>
    <w:rsid w:val="00E227E6"/>
    <w:rsid w:val="00E2574F"/>
    <w:rsid w:val="00E25E5B"/>
    <w:rsid w:val="00E26604"/>
    <w:rsid w:val="00E344D5"/>
    <w:rsid w:val="00E3571A"/>
    <w:rsid w:val="00E368ED"/>
    <w:rsid w:val="00E4144C"/>
    <w:rsid w:val="00E45F70"/>
    <w:rsid w:val="00E477CF"/>
    <w:rsid w:val="00E47D1A"/>
    <w:rsid w:val="00E50603"/>
    <w:rsid w:val="00E50DA8"/>
    <w:rsid w:val="00E53653"/>
    <w:rsid w:val="00E56897"/>
    <w:rsid w:val="00E57785"/>
    <w:rsid w:val="00E64086"/>
    <w:rsid w:val="00E6566E"/>
    <w:rsid w:val="00E65FF8"/>
    <w:rsid w:val="00E66F37"/>
    <w:rsid w:val="00E70C71"/>
    <w:rsid w:val="00E72740"/>
    <w:rsid w:val="00E763FE"/>
    <w:rsid w:val="00E76B94"/>
    <w:rsid w:val="00E830C0"/>
    <w:rsid w:val="00E83EFA"/>
    <w:rsid w:val="00E8562C"/>
    <w:rsid w:val="00E86BF9"/>
    <w:rsid w:val="00E86C70"/>
    <w:rsid w:val="00E90840"/>
    <w:rsid w:val="00E95231"/>
    <w:rsid w:val="00E95779"/>
    <w:rsid w:val="00EA31E0"/>
    <w:rsid w:val="00EA4C0B"/>
    <w:rsid w:val="00EB46EE"/>
    <w:rsid w:val="00EB7706"/>
    <w:rsid w:val="00EB7D6E"/>
    <w:rsid w:val="00EC3F14"/>
    <w:rsid w:val="00EC5C59"/>
    <w:rsid w:val="00ED0207"/>
    <w:rsid w:val="00ED127C"/>
    <w:rsid w:val="00ED14C4"/>
    <w:rsid w:val="00ED3A5B"/>
    <w:rsid w:val="00ED62D3"/>
    <w:rsid w:val="00ED75FB"/>
    <w:rsid w:val="00EE4F87"/>
    <w:rsid w:val="00EE683F"/>
    <w:rsid w:val="00EF1FA3"/>
    <w:rsid w:val="00EF28D6"/>
    <w:rsid w:val="00EF42C5"/>
    <w:rsid w:val="00F014B6"/>
    <w:rsid w:val="00F025EB"/>
    <w:rsid w:val="00F119BC"/>
    <w:rsid w:val="00F11C39"/>
    <w:rsid w:val="00F13485"/>
    <w:rsid w:val="00F15684"/>
    <w:rsid w:val="00F15707"/>
    <w:rsid w:val="00F15AEE"/>
    <w:rsid w:val="00F1727A"/>
    <w:rsid w:val="00F22BAE"/>
    <w:rsid w:val="00F26954"/>
    <w:rsid w:val="00F27976"/>
    <w:rsid w:val="00F30E45"/>
    <w:rsid w:val="00F34537"/>
    <w:rsid w:val="00F353ED"/>
    <w:rsid w:val="00F3592B"/>
    <w:rsid w:val="00F3714D"/>
    <w:rsid w:val="00F4093A"/>
    <w:rsid w:val="00F42159"/>
    <w:rsid w:val="00F42657"/>
    <w:rsid w:val="00F534E7"/>
    <w:rsid w:val="00F54C87"/>
    <w:rsid w:val="00F55853"/>
    <w:rsid w:val="00F62FB8"/>
    <w:rsid w:val="00F638A1"/>
    <w:rsid w:val="00F64CC0"/>
    <w:rsid w:val="00F64E04"/>
    <w:rsid w:val="00F72954"/>
    <w:rsid w:val="00F734ED"/>
    <w:rsid w:val="00F75369"/>
    <w:rsid w:val="00F82D55"/>
    <w:rsid w:val="00F83380"/>
    <w:rsid w:val="00F84573"/>
    <w:rsid w:val="00F867DA"/>
    <w:rsid w:val="00F918BB"/>
    <w:rsid w:val="00F9212B"/>
    <w:rsid w:val="00F94AE4"/>
    <w:rsid w:val="00F94F35"/>
    <w:rsid w:val="00F951D1"/>
    <w:rsid w:val="00F95454"/>
    <w:rsid w:val="00F95904"/>
    <w:rsid w:val="00F9622C"/>
    <w:rsid w:val="00F97FAA"/>
    <w:rsid w:val="00FB7AA8"/>
    <w:rsid w:val="00FC0162"/>
    <w:rsid w:val="00FC1704"/>
    <w:rsid w:val="00FC3CFD"/>
    <w:rsid w:val="00FD091D"/>
    <w:rsid w:val="00FD2FD5"/>
    <w:rsid w:val="00FD3BED"/>
    <w:rsid w:val="00FD6609"/>
    <w:rsid w:val="00FD6A23"/>
    <w:rsid w:val="00FD6AEB"/>
    <w:rsid w:val="00FE2976"/>
    <w:rsid w:val="00FE505B"/>
    <w:rsid w:val="00FE7D83"/>
    <w:rsid w:val="00FF1CB4"/>
    <w:rsid w:val="00FF37D9"/>
    <w:rsid w:val="00FF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2E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unhideWhenUsed/>
    <w:rsid w:val="005B7263"/>
    <w:rPr>
      <w:sz w:val="20"/>
      <w:szCs w:val="20"/>
    </w:rPr>
  </w:style>
  <w:style w:type="character" w:customStyle="1" w:styleId="EndnoteTextChar">
    <w:name w:val="Endnote Text Char"/>
    <w:basedOn w:val="DefaultParagraphFont"/>
    <w:link w:val="EndnoteText"/>
    <w:uiPriority w:val="99"/>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customStyle="1" w:styleId="Protocol">
    <w:name w:val="Protocol"/>
    <w:basedOn w:val="NoSpacing"/>
    <w:link w:val="ProtocolChar"/>
    <w:autoRedefine/>
    <w:qFormat/>
    <w:rsid w:val="00D601A8"/>
    <w:pPr>
      <w:spacing w:before="120" w:after="120"/>
    </w:pPr>
    <w:rPr>
      <w:rFonts w:eastAsia="Times New Roman" w:cs="Times New Roman"/>
      <w:szCs w:val="24"/>
    </w:rPr>
  </w:style>
  <w:style w:type="character" w:customStyle="1" w:styleId="ProtocolChar">
    <w:name w:val="Protocol Char"/>
    <w:basedOn w:val="DefaultParagraphFont"/>
    <w:link w:val="Protocol"/>
    <w:rsid w:val="00D601A8"/>
    <w:rPr>
      <w:rFonts w:ascii="Times New Roman" w:eastAsia="Times New Roman" w:hAnsi="Times New Roman" w:cs="Times New Roman"/>
      <w:sz w:val="24"/>
      <w:szCs w:val="24"/>
    </w:rPr>
  </w:style>
  <w:style w:type="paragraph" w:styleId="Revision">
    <w:name w:val="Revision"/>
    <w:hidden/>
    <w:uiPriority w:val="99"/>
    <w:semiHidden/>
    <w:rsid w:val="00B64D2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unhideWhenUsed/>
    <w:rsid w:val="005B7263"/>
    <w:rPr>
      <w:sz w:val="20"/>
      <w:szCs w:val="20"/>
    </w:rPr>
  </w:style>
  <w:style w:type="character" w:customStyle="1" w:styleId="EndnoteTextChar">
    <w:name w:val="Endnote Text Char"/>
    <w:basedOn w:val="DefaultParagraphFont"/>
    <w:link w:val="EndnoteText"/>
    <w:uiPriority w:val="99"/>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customStyle="1" w:styleId="Protocol">
    <w:name w:val="Protocol"/>
    <w:basedOn w:val="NoSpacing"/>
    <w:link w:val="ProtocolChar"/>
    <w:autoRedefine/>
    <w:qFormat/>
    <w:rsid w:val="00D601A8"/>
    <w:pPr>
      <w:spacing w:before="120" w:after="120"/>
    </w:pPr>
    <w:rPr>
      <w:rFonts w:eastAsia="Times New Roman" w:cs="Times New Roman"/>
      <w:szCs w:val="24"/>
    </w:rPr>
  </w:style>
  <w:style w:type="character" w:customStyle="1" w:styleId="ProtocolChar">
    <w:name w:val="Protocol Char"/>
    <w:basedOn w:val="DefaultParagraphFont"/>
    <w:link w:val="Protocol"/>
    <w:rsid w:val="00D601A8"/>
    <w:rPr>
      <w:rFonts w:ascii="Times New Roman" w:eastAsia="Times New Roman" w:hAnsi="Times New Roman" w:cs="Times New Roman"/>
      <w:sz w:val="24"/>
      <w:szCs w:val="24"/>
    </w:rPr>
  </w:style>
  <w:style w:type="paragraph" w:styleId="Revision">
    <w:name w:val="Revision"/>
    <w:hidden/>
    <w:uiPriority w:val="99"/>
    <w:semiHidden/>
    <w:rsid w:val="00B64D2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0300">
      <w:bodyDiv w:val="1"/>
      <w:marLeft w:val="0"/>
      <w:marRight w:val="0"/>
      <w:marTop w:val="0"/>
      <w:marBottom w:val="0"/>
      <w:divBdr>
        <w:top w:val="none" w:sz="0" w:space="0" w:color="auto"/>
        <w:left w:val="none" w:sz="0" w:space="0" w:color="auto"/>
        <w:bottom w:val="none" w:sz="0" w:space="0" w:color="auto"/>
        <w:right w:val="none" w:sz="0" w:space="0" w:color="auto"/>
      </w:divBdr>
    </w:div>
    <w:div w:id="236482795">
      <w:bodyDiv w:val="1"/>
      <w:marLeft w:val="0"/>
      <w:marRight w:val="0"/>
      <w:marTop w:val="0"/>
      <w:marBottom w:val="0"/>
      <w:divBdr>
        <w:top w:val="none" w:sz="0" w:space="0" w:color="auto"/>
        <w:left w:val="none" w:sz="0" w:space="0" w:color="auto"/>
        <w:bottom w:val="none" w:sz="0" w:space="0" w:color="auto"/>
        <w:right w:val="none" w:sz="0" w:space="0" w:color="auto"/>
      </w:divBdr>
    </w:div>
    <w:div w:id="317729156">
      <w:bodyDiv w:val="1"/>
      <w:marLeft w:val="0"/>
      <w:marRight w:val="0"/>
      <w:marTop w:val="0"/>
      <w:marBottom w:val="0"/>
      <w:divBdr>
        <w:top w:val="none" w:sz="0" w:space="0" w:color="auto"/>
        <w:left w:val="none" w:sz="0" w:space="0" w:color="auto"/>
        <w:bottom w:val="none" w:sz="0" w:space="0" w:color="auto"/>
        <w:right w:val="none" w:sz="0" w:space="0" w:color="auto"/>
      </w:divBdr>
    </w:div>
    <w:div w:id="1124738157">
      <w:bodyDiv w:val="1"/>
      <w:marLeft w:val="0"/>
      <w:marRight w:val="0"/>
      <w:marTop w:val="0"/>
      <w:marBottom w:val="0"/>
      <w:divBdr>
        <w:top w:val="none" w:sz="0" w:space="0" w:color="auto"/>
        <w:left w:val="none" w:sz="0" w:space="0" w:color="auto"/>
        <w:bottom w:val="none" w:sz="0" w:space="0" w:color="auto"/>
        <w:right w:val="none" w:sz="0" w:space="0" w:color="auto"/>
      </w:divBdr>
    </w:div>
    <w:div w:id="1725328140">
      <w:bodyDiv w:val="1"/>
      <w:marLeft w:val="0"/>
      <w:marRight w:val="0"/>
      <w:marTop w:val="0"/>
      <w:marBottom w:val="0"/>
      <w:divBdr>
        <w:top w:val="none" w:sz="0" w:space="0" w:color="auto"/>
        <w:left w:val="none" w:sz="0" w:space="0" w:color="auto"/>
        <w:bottom w:val="none" w:sz="0" w:space="0" w:color="auto"/>
        <w:right w:val="none" w:sz="0" w:space="0" w:color="auto"/>
      </w:divBdr>
    </w:div>
    <w:div w:id="1971742237">
      <w:bodyDiv w:val="1"/>
      <w:marLeft w:val="0"/>
      <w:marRight w:val="0"/>
      <w:marTop w:val="0"/>
      <w:marBottom w:val="0"/>
      <w:divBdr>
        <w:top w:val="none" w:sz="0" w:space="0" w:color="auto"/>
        <w:left w:val="none" w:sz="0" w:space="0" w:color="auto"/>
        <w:bottom w:val="none" w:sz="0" w:space="0" w:color="auto"/>
        <w:right w:val="none" w:sz="0" w:space="0" w:color="auto"/>
      </w:divBdr>
    </w:div>
    <w:div w:id="1976443824">
      <w:bodyDiv w:val="1"/>
      <w:marLeft w:val="0"/>
      <w:marRight w:val="0"/>
      <w:marTop w:val="0"/>
      <w:marBottom w:val="0"/>
      <w:divBdr>
        <w:top w:val="none" w:sz="0" w:space="0" w:color="auto"/>
        <w:left w:val="none" w:sz="0" w:space="0" w:color="auto"/>
        <w:bottom w:val="none" w:sz="0" w:space="0" w:color="auto"/>
        <w:right w:val="none" w:sz="0" w:space="0" w:color="auto"/>
      </w:divBdr>
    </w:div>
    <w:div w:id="20024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glae@impaqint.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sey@reserachsupportservices.com" TargetMode="External"/><Relationship Id="rId17" Type="http://schemas.openxmlformats.org/officeDocument/2006/relationships/hyperlink" Target="http://dph.georgia.gov/georgias-hivaidsepidemiology-surveillance-section" TargetMode="External"/><Relationship Id="rId2" Type="http://schemas.openxmlformats.org/officeDocument/2006/relationships/numbering" Target="numbering.xml"/><Relationship Id="rId16" Type="http://schemas.openxmlformats.org/officeDocument/2006/relationships/hyperlink" Target="https://www.bls.gov/news.release/empsit.t19.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su@researchsupportservices.com" TargetMode="External"/><Relationship Id="rId5" Type="http://schemas.openxmlformats.org/officeDocument/2006/relationships/settings" Target="settings.xml"/><Relationship Id="rId15" Type="http://schemas.openxmlformats.org/officeDocument/2006/relationships/hyperlink" Target="mailto:egall@impaqint.com" TargetMode="External"/><Relationship Id="rId10" Type="http://schemas.openxmlformats.org/officeDocument/2006/relationships/hyperlink" Target="mailto:laura.randall@emory.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aula.frew@unlv.edu" TargetMode="External"/><Relationship Id="rId14" Type="http://schemas.openxmlformats.org/officeDocument/2006/relationships/hyperlink" Target="file:///C:\Users\jcx3\AppData\Local\Microsoft\Windows\Temporary%20Internet%20Files\Content.Outlook\3OUE63CY\vbetley@impaq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Cen14</b:Tag>
    <b:SourceType>JournalArticle</b:SourceType>
    <b:Guid>{F63D5BC7-A925-4908-8A9D-8AD17538EC8A}</b:Guid>
    <b:Author>
      <b:Author>
        <b:Corporate>Centers for Disease Control and Prevention</b:Corporate>
      </b:Author>
    </b:Author>
    <b:Title>Diagnoses of HIV infection in the United States and dependent areas, 2014</b:Title>
    <b:JournalName>HIV Surveillance Report</b:JournalName>
    <b:Year>2014</b:Year>
    <b:Volume>26</b:Volume>
    <b:URL>http://www.cdc.gov/hiv/library/reports/surveillance/</b:URL>
    <b:RefOrder>1</b:RefOrder>
  </b:Source>
</b:Sources>
</file>

<file path=customXml/itemProps1.xml><?xml version="1.0" encoding="utf-8"?>
<ds:datastoreItem xmlns:ds="http://schemas.openxmlformats.org/officeDocument/2006/customXml" ds:itemID="{244A9CF9-1632-4209-BF91-978B0122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7257</Words>
  <Characters>41366</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2019-04-30T20:40:00Z</dcterms:created>
  <dcterms:modified xsi:type="dcterms:W3CDTF">2019-04-30T20:40:00Z</dcterms:modified>
</cp:coreProperties>
</file>