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7C8A" w:rsidP="0054583A" w:rsidRDefault="0054583A" w14:paraId="69F2B81E" w14:textId="361E53F0">
      <w:pPr>
        <w:jc w:val="center"/>
        <w:rPr>
          <w:rFonts w:eastAsia="Calibri"/>
        </w:rPr>
      </w:pPr>
      <w:bookmarkStart w:name="_GoBack" w:id="0"/>
      <w:bookmarkEnd w:id="0"/>
      <w:r>
        <w:rPr>
          <w:rFonts w:eastAsia="Calibri"/>
        </w:rPr>
        <w:t>UNITED STATES FOOD &amp; DRUG ADMINISTRATION</w:t>
      </w:r>
    </w:p>
    <w:p w:rsidRPr="0054583A" w:rsidR="0054583A" w:rsidP="0054583A" w:rsidRDefault="0054583A" w14:paraId="4486E705" w14:textId="77777777">
      <w:pPr>
        <w:rPr>
          <w:rFonts w:eastAsia="Calibri"/>
        </w:rPr>
      </w:pPr>
    </w:p>
    <w:p w:rsidRPr="0054583A" w:rsidR="00357C8A" w:rsidP="0054583A" w:rsidRDefault="00D851AE" w14:paraId="1F8E36E2" w14:textId="77777777">
      <w:pPr>
        <w:jc w:val="center"/>
        <w:rPr>
          <w:rFonts w:eastAsia="Calibri"/>
        </w:rPr>
      </w:pPr>
      <w:bookmarkStart w:name="_Hlk36821988" w:id="1"/>
      <w:r w:rsidRPr="0054583A">
        <w:rPr>
          <w:rFonts w:eastAsia="Calibri"/>
        </w:rPr>
        <w:t>State Petitions for Exemptions from Preemption</w:t>
      </w:r>
    </w:p>
    <w:bookmarkEnd w:id="1"/>
    <w:p w:rsidRPr="0054583A" w:rsidR="00D851AE" w:rsidP="0054583A" w:rsidRDefault="00D851AE" w14:paraId="2DDC49BB" w14:textId="77777777">
      <w:pPr>
        <w:rPr>
          <w:rFonts w:eastAsia="Calibri"/>
        </w:rPr>
      </w:pPr>
    </w:p>
    <w:p w:rsidRPr="00441435" w:rsidR="00357C8A" w:rsidP="0054583A" w:rsidRDefault="00357C8A" w14:paraId="7705454D" w14:textId="77777777">
      <w:pPr>
        <w:jc w:val="center"/>
        <w:rPr>
          <w:rFonts w:eastAsia="Calibri"/>
          <w:u w:val="single"/>
        </w:rPr>
      </w:pPr>
      <w:r w:rsidRPr="00441435">
        <w:rPr>
          <w:rFonts w:eastAsia="Calibri"/>
          <w:u w:val="single"/>
        </w:rPr>
        <w:t>OMB Control No. 0910-</w:t>
      </w:r>
      <w:r w:rsidRPr="00441435" w:rsidR="00D851AE">
        <w:rPr>
          <w:rFonts w:eastAsia="Calibri"/>
          <w:u w:val="single"/>
        </w:rPr>
        <w:t>0277</w:t>
      </w:r>
    </w:p>
    <w:p w:rsidRPr="0054583A" w:rsidR="00D851AE" w:rsidP="0054583A" w:rsidRDefault="00D851AE" w14:paraId="204087EC" w14:textId="77777777">
      <w:pPr>
        <w:rPr>
          <w:rFonts w:eastAsia="Calibri"/>
        </w:rPr>
      </w:pPr>
    </w:p>
    <w:p w:rsidR="00E14A83" w:rsidP="0054583A" w:rsidRDefault="00E14A83" w14:paraId="306D55F3" w14:textId="77777777">
      <w:pPr>
        <w:rPr>
          <w:rFonts w:eastAsia="Calibri"/>
        </w:rPr>
      </w:pPr>
    </w:p>
    <w:p w:rsidRPr="0054583A" w:rsidR="00357C8A" w:rsidP="0054583A" w:rsidRDefault="00357C8A" w14:paraId="66AB2067" w14:textId="788C10CC">
      <w:pPr>
        <w:rPr>
          <w:rFonts w:eastAsia="Calibri"/>
        </w:rPr>
      </w:pPr>
      <w:r w:rsidRPr="0054583A">
        <w:rPr>
          <w:rFonts w:eastAsia="Calibri"/>
        </w:rPr>
        <w:t>SUPPORTING STATEMENT</w:t>
      </w:r>
      <w:r w:rsidR="0054583A">
        <w:rPr>
          <w:rFonts w:eastAsia="Calibri"/>
        </w:rPr>
        <w:t xml:space="preserve"> – </w:t>
      </w:r>
      <w:r w:rsidRPr="00441435" w:rsidR="0054583A">
        <w:rPr>
          <w:rFonts w:eastAsia="Calibri"/>
          <w:b/>
        </w:rPr>
        <w:t>Part A:  Justification</w:t>
      </w:r>
    </w:p>
    <w:p w:rsidRPr="0054583A" w:rsidR="000D79CC" w:rsidP="0054583A" w:rsidRDefault="000D79CC" w14:paraId="06C28403" w14:textId="77777777">
      <w:pPr>
        <w:rPr>
          <w:rFonts w:eastAsia="Calibri"/>
        </w:rPr>
      </w:pPr>
    </w:p>
    <w:p w:rsidRPr="0054583A" w:rsidR="00357C8A" w:rsidP="0054583A" w:rsidRDefault="00441435" w14:paraId="6F4F2D72" w14:textId="61FCB09E">
      <w:pPr>
        <w:rPr>
          <w:rFonts w:eastAsia="Calibri"/>
        </w:rPr>
      </w:pPr>
      <w:r>
        <w:rPr>
          <w:rFonts w:eastAsia="Calibri"/>
        </w:rPr>
        <w:t xml:space="preserve">1.  </w:t>
      </w:r>
      <w:r w:rsidRPr="00441435" w:rsidR="00357C8A">
        <w:rPr>
          <w:rFonts w:eastAsia="Calibri"/>
          <w:u w:val="single"/>
        </w:rPr>
        <w:t>Circumstances Making the Collection of Information Necessary</w:t>
      </w:r>
    </w:p>
    <w:p w:rsidR="00441435" w:rsidP="0054583A" w:rsidRDefault="00441435" w14:paraId="35B4978B" w14:textId="77777777">
      <w:pPr>
        <w:rPr>
          <w:rFonts w:eastAsia="Calibri"/>
        </w:rPr>
      </w:pPr>
      <w:bookmarkStart w:name="_Hlk36824974" w:id="2"/>
    </w:p>
    <w:p w:rsidRPr="0054583A" w:rsidR="00357C8A" w:rsidP="0054583A" w:rsidRDefault="00423272" w14:paraId="4021BB45" w14:textId="7E88F185">
      <w:pPr>
        <w:rPr>
          <w:rFonts w:eastAsia="Calibri"/>
        </w:rPr>
      </w:pPr>
      <w:r w:rsidRPr="0054583A">
        <w:rPr>
          <w:rFonts w:eastAsia="Calibri"/>
        </w:rPr>
        <w:t>This information collection supports Food and Drug Administration (FDA, us</w:t>
      </w:r>
      <w:r w:rsidRPr="0054583A" w:rsidR="00333FFC">
        <w:rPr>
          <w:rFonts w:eastAsia="Calibri"/>
        </w:rPr>
        <w:t>,</w:t>
      </w:r>
      <w:r w:rsidRPr="0054583A">
        <w:rPr>
          <w:rFonts w:eastAsia="Calibri"/>
        </w:rPr>
        <w:t xml:space="preserve"> or we) regulations.</w:t>
      </w:r>
      <w:r w:rsidRPr="0054583A" w:rsidR="004372E3">
        <w:rPr>
          <w:rFonts w:eastAsia="Calibri"/>
        </w:rPr>
        <w:t xml:space="preserve">  Under section 403A(b) of the Federal Food, Drug, and Cosmetic Act (the FD&amp;C Act) (21 U.S.C. 343-1(b)), </w:t>
      </w:r>
      <w:r w:rsidR="00A67A6A">
        <w:rPr>
          <w:rFonts w:eastAsia="Calibri"/>
        </w:rPr>
        <w:t>S</w:t>
      </w:r>
      <w:r w:rsidRPr="0054583A" w:rsidR="004372E3">
        <w:rPr>
          <w:rFonts w:eastAsia="Calibri"/>
        </w:rPr>
        <w:t xml:space="preserve">tates may petition for exemption from Federal preemption of state food labeling and standard of identity requirements.  </w:t>
      </w:r>
      <w:r w:rsidR="002F6D01">
        <w:rPr>
          <w:rFonts w:eastAsia="Calibri"/>
        </w:rPr>
        <w:t>Agency regulations in s</w:t>
      </w:r>
      <w:r w:rsidRPr="0054583A" w:rsidR="004372E3">
        <w:rPr>
          <w:rFonts w:eastAsia="Calibri"/>
        </w:rPr>
        <w:t xml:space="preserve">ection 100.1(d) (21 CFR 100.1(d)) set forth the information a </w:t>
      </w:r>
      <w:r w:rsidR="00840036">
        <w:rPr>
          <w:rFonts w:eastAsia="Calibri"/>
        </w:rPr>
        <w:t>S</w:t>
      </w:r>
      <w:r w:rsidRPr="0054583A" w:rsidR="004372E3">
        <w:rPr>
          <w:rFonts w:eastAsia="Calibri"/>
        </w:rPr>
        <w:t xml:space="preserve">tate is required to </w:t>
      </w:r>
      <w:r w:rsidR="00840036">
        <w:rPr>
          <w:rFonts w:eastAsia="Calibri"/>
        </w:rPr>
        <w:t xml:space="preserve">include </w:t>
      </w:r>
      <w:r w:rsidRPr="0054583A" w:rsidR="004372E3">
        <w:rPr>
          <w:rFonts w:eastAsia="Calibri"/>
        </w:rPr>
        <w:t>in such a petition.  The information required under §</w:t>
      </w:r>
      <w:r w:rsidRPr="0054583A" w:rsidR="00CF0B3C">
        <w:rPr>
          <w:rFonts w:eastAsia="Calibri"/>
        </w:rPr>
        <w:t xml:space="preserve"> </w:t>
      </w:r>
      <w:r w:rsidRPr="0054583A" w:rsidR="004372E3">
        <w:rPr>
          <w:rFonts w:eastAsia="Calibri"/>
        </w:rPr>
        <w:t xml:space="preserve">100.1(d) enables </w:t>
      </w:r>
      <w:r w:rsidRPr="0054583A" w:rsidR="00C67F5B">
        <w:rPr>
          <w:rFonts w:eastAsia="Calibri"/>
        </w:rPr>
        <w:t xml:space="preserve">us </w:t>
      </w:r>
      <w:r w:rsidRPr="0054583A" w:rsidR="004372E3">
        <w:rPr>
          <w:rFonts w:eastAsia="Calibri"/>
        </w:rPr>
        <w:t>to determine whether the state food labeling or standard of identity requirement satisfies the criteria of section 403A(b) of the FD&amp;C Act for granting exemption from Federal preemption.</w:t>
      </w:r>
      <w:bookmarkEnd w:id="2"/>
      <w:r w:rsidR="00840036">
        <w:rPr>
          <w:rFonts w:eastAsia="Calibri"/>
        </w:rPr>
        <w:t xml:space="preserve">  </w:t>
      </w:r>
      <w:r w:rsidRPr="0054583A">
        <w:rPr>
          <w:rFonts w:eastAsia="Calibri"/>
        </w:rPr>
        <w:t xml:space="preserve">We therefore request extension of OMB approval of </w:t>
      </w:r>
      <w:r w:rsidRPr="0054583A" w:rsidR="004372E3">
        <w:rPr>
          <w:rFonts w:eastAsia="Calibri"/>
        </w:rPr>
        <w:t xml:space="preserve">state petitions for exemptions from preemption </w:t>
      </w:r>
      <w:r w:rsidRPr="0054583A">
        <w:rPr>
          <w:rFonts w:eastAsia="Calibri"/>
        </w:rPr>
        <w:t xml:space="preserve">found in 21 CFR </w:t>
      </w:r>
      <w:r w:rsidRPr="0054583A" w:rsidR="00291C5C">
        <w:rPr>
          <w:rFonts w:eastAsia="Calibri"/>
        </w:rPr>
        <w:t>p</w:t>
      </w:r>
      <w:r w:rsidRPr="0054583A">
        <w:rPr>
          <w:rFonts w:eastAsia="Calibri"/>
        </w:rPr>
        <w:t>art</w:t>
      </w:r>
      <w:r w:rsidRPr="0054583A" w:rsidR="004372E3">
        <w:rPr>
          <w:rFonts w:eastAsia="Calibri"/>
        </w:rPr>
        <w:t xml:space="preserve"> 100</w:t>
      </w:r>
      <w:r w:rsidR="00840036">
        <w:rPr>
          <w:rFonts w:eastAsia="Calibri"/>
        </w:rPr>
        <w:t xml:space="preserve">, and </w:t>
      </w:r>
      <w:r w:rsidRPr="0054583A">
        <w:rPr>
          <w:rFonts w:eastAsia="Calibri"/>
        </w:rPr>
        <w:t>discussed in this supporting statement.</w:t>
      </w:r>
    </w:p>
    <w:p w:rsidRPr="0054583A" w:rsidR="005E5134" w:rsidP="0054583A" w:rsidRDefault="005E5134" w14:paraId="691A2AD8" w14:textId="77777777">
      <w:pPr>
        <w:rPr>
          <w:rFonts w:eastAsia="Calibri"/>
        </w:rPr>
      </w:pPr>
    </w:p>
    <w:p w:rsidRPr="0054583A" w:rsidR="00357C8A" w:rsidP="0054583A" w:rsidRDefault="00441435" w14:paraId="2BEA8613" w14:textId="2902558D">
      <w:pPr>
        <w:rPr>
          <w:rFonts w:eastAsia="Calibri"/>
        </w:rPr>
      </w:pPr>
      <w:r>
        <w:rPr>
          <w:rFonts w:eastAsia="Calibri"/>
        </w:rPr>
        <w:t xml:space="preserve">2.  </w:t>
      </w:r>
      <w:r w:rsidRPr="00441435" w:rsidR="00357C8A">
        <w:rPr>
          <w:rFonts w:eastAsia="Calibri"/>
          <w:u w:val="single"/>
        </w:rPr>
        <w:t>Purpose and Use of the Information Collection</w:t>
      </w:r>
      <w:r w:rsidRPr="0054583A" w:rsidR="00357C8A">
        <w:rPr>
          <w:rFonts w:eastAsia="Calibri"/>
        </w:rPr>
        <w:t xml:space="preserve"> </w:t>
      </w:r>
    </w:p>
    <w:p w:rsidR="00441435" w:rsidP="0054583A" w:rsidRDefault="00441435" w14:paraId="19FD019F" w14:textId="77777777">
      <w:pPr>
        <w:rPr>
          <w:rFonts w:eastAsia="Calibri"/>
        </w:rPr>
      </w:pPr>
    </w:p>
    <w:p w:rsidRPr="0054583A" w:rsidR="00166620" w:rsidP="0054583A" w:rsidRDefault="00166620" w14:paraId="5F264611" w14:textId="55707430">
      <w:pPr>
        <w:rPr>
          <w:rFonts w:eastAsia="Calibri"/>
        </w:rPr>
      </w:pPr>
      <w:r w:rsidRPr="0054583A">
        <w:rPr>
          <w:rFonts w:eastAsia="Calibri"/>
        </w:rPr>
        <w:t xml:space="preserve">States seeking exemption from Federal preemption of state food labeling and standard of identity requirements may submit a petition to </w:t>
      </w:r>
      <w:r w:rsidRPr="0054583A" w:rsidR="00C67F5B">
        <w:rPr>
          <w:rFonts w:eastAsia="Calibri"/>
        </w:rPr>
        <w:t xml:space="preserve">us </w:t>
      </w:r>
      <w:r w:rsidRPr="0054583A">
        <w:rPr>
          <w:rFonts w:eastAsia="Calibri"/>
        </w:rPr>
        <w:t>under §</w:t>
      </w:r>
      <w:r w:rsidRPr="0054583A" w:rsidR="008D227F">
        <w:rPr>
          <w:rFonts w:eastAsia="Calibri"/>
        </w:rPr>
        <w:t xml:space="preserve"> </w:t>
      </w:r>
      <w:r w:rsidRPr="0054583A">
        <w:rPr>
          <w:rFonts w:eastAsia="Calibri"/>
        </w:rPr>
        <w:t>100.1(d).  The information required under §</w:t>
      </w:r>
      <w:r w:rsidR="00996A53">
        <w:rPr>
          <w:rFonts w:eastAsia="Calibri"/>
        </w:rPr>
        <w:t> </w:t>
      </w:r>
      <w:r w:rsidRPr="0054583A">
        <w:rPr>
          <w:rFonts w:eastAsia="Calibri"/>
        </w:rPr>
        <w:t xml:space="preserve">100.1(d) enables </w:t>
      </w:r>
      <w:r w:rsidRPr="0054583A" w:rsidR="00C67F5B">
        <w:rPr>
          <w:rFonts w:eastAsia="Calibri"/>
        </w:rPr>
        <w:t xml:space="preserve">us </w:t>
      </w:r>
      <w:r w:rsidRPr="0054583A">
        <w:rPr>
          <w:rFonts w:eastAsia="Calibri"/>
        </w:rPr>
        <w:t xml:space="preserve">to determine whether the state food labeling or standard of identify requirement satisfies the criteria of section 403A(b) of the FD&amp;C Act for granting exemption from preemption.  In the last three years, </w:t>
      </w:r>
      <w:r w:rsidRPr="0054583A" w:rsidR="00C67F5B">
        <w:rPr>
          <w:rFonts w:eastAsia="Calibri"/>
        </w:rPr>
        <w:t xml:space="preserve">we </w:t>
      </w:r>
      <w:r w:rsidRPr="0054583A">
        <w:rPr>
          <w:rFonts w:eastAsia="Calibri"/>
        </w:rPr>
        <w:t>ha</w:t>
      </w:r>
      <w:r w:rsidRPr="0054583A" w:rsidR="00C67F5B">
        <w:rPr>
          <w:rFonts w:eastAsia="Calibri"/>
        </w:rPr>
        <w:t>ve</w:t>
      </w:r>
      <w:r w:rsidRPr="0054583A">
        <w:rPr>
          <w:rFonts w:eastAsia="Calibri"/>
        </w:rPr>
        <w:t xml:space="preserve"> received one new petition from a state agency seeking exemption from Federal preemption.</w:t>
      </w:r>
    </w:p>
    <w:p w:rsidR="00A62FC2" w:rsidP="0054583A" w:rsidRDefault="00A62FC2" w14:paraId="4089AD66" w14:textId="77777777">
      <w:pPr>
        <w:rPr>
          <w:rFonts w:eastAsia="Calibri"/>
        </w:rPr>
      </w:pPr>
    </w:p>
    <w:p w:rsidR="00357C8A" w:rsidP="0054583A" w:rsidRDefault="00166620" w14:paraId="5A5AD8BC" w14:textId="6A5D2774">
      <w:pPr>
        <w:rPr>
          <w:rFonts w:eastAsia="Calibri"/>
        </w:rPr>
      </w:pPr>
      <w:r w:rsidRPr="00A62FC2">
        <w:rPr>
          <w:rFonts w:eastAsia="Calibri"/>
          <w:i/>
        </w:rPr>
        <w:t>Description of Respondents</w:t>
      </w:r>
      <w:r w:rsidRPr="0054583A">
        <w:rPr>
          <w:rFonts w:eastAsia="Calibri"/>
        </w:rPr>
        <w:t>:</w:t>
      </w:r>
      <w:r w:rsidR="00A62FC2">
        <w:rPr>
          <w:rFonts w:eastAsia="Calibri"/>
        </w:rPr>
        <w:t xml:space="preserve">  S</w:t>
      </w:r>
      <w:r w:rsidRPr="0054583A">
        <w:rPr>
          <w:rFonts w:eastAsia="Calibri"/>
        </w:rPr>
        <w:t>ates regulating food labeling and standards of identity.  Respondents are state and local governments.</w:t>
      </w:r>
    </w:p>
    <w:p w:rsidRPr="0054583A" w:rsidR="00A62FC2" w:rsidP="0054583A" w:rsidRDefault="00A62FC2" w14:paraId="12BF821B" w14:textId="77777777">
      <w:pPr>
        <w:rPr>
          <w:rFonts w:eastAsia="Calibri"/>
        </w:rPr>
      </w:pPr>
    </w:p>
    <w:p w:rsidRPr="0054583A" w:rsidR="00357C8A" w:rsidP="0054583A" w:rsidRDefault="00A62FC2" w14:paraId="6A3986FA" w14:textId="3556EA31">
      <w:pPr>
        <w:rPr>
          <w:rFonts w:eastAsia="Calibri"/>
        </w:rPr>
      </w:pPr>
      <w:r>
        <w:rPr>
          <w:rFonts w:eastAsia="Calibri"/>
        </w:rPr>
        <w:t xml:space="preserve">3.  </w:t>
      </w:r>
      <w:r w:rsidRPr="00996A53" w:rsidR="00357C8A">
        <w:rPr>
          <w:rFonts w:eastAsia="Calibri"/>
          <w:u w:val="single"/>
        </w:rPr>
        <w:t>Use of Improved Information Technology and Burden Reduction</w:t>
      </w:r>
    </w:p>
    <w:p w:rsidR="00A62FC2" w:rsidP="0054583A" w:rsidRDefault="00A62FC2" w14:paraId="13EEBEAC" w14:textId="77777777">
      <w:pPr>
        <w:rPr>
          <w:rFonts w:eastAsia="Calibri"/>
        </w:rPr>
      </w:pPr>
    </w:p>
    <w:p w:rsidRPr="0054583A" w:rsidR="00357C8A" w:rsidP="0054583A" w:rsidRDefault="00166620" w14:paraId="4EAA3C74" w14:textId="4F0F8EB8">
      <w:pPr>
        <w:rPr>
          <w:rFonts w:eastAsia="Calibri"/>
        </w:rPr>
      </w:pPr>
      <w:r w:rsidRPr="0054583A">
        <w:rPr>
          <w:rFonts w:eastAsia="Calibri"/>
        </w:rPr>
        <w:t>Section 100.1(d) does not prescribe the use of automated, electronic, mechanical, or other technological techniques of other forms of information technology as necessary for use by the states.  States are free to use whatever form of information technology may best assist them in the development of their petition.</w:t>
      </w:r>
      <w:r w:rsidR="00996A53">
        <w:rPr>
          <w:rFonts w:eastAsia="Calibri"/>
        </w:rPr>
        <w:t xml:space="preserve">  We </w:t>
      </w:r>
      <w:r w:rsidRPr="0054583A">
        <w:rPr>
          <w:rFonts w:eastAsia="Calibri"/>
        </w:rPr>
        <w:t>estimate</w:t>
      </w:r>
      <w:r w:rsidR="00996A53">
        <w:rPr>
          <w:rFonts w:eastAsia="Calibri"/>
        </w:rPr>
        <w:t xml:space="preserve"> </w:t>
      </w:r>
      <w:r w:rsidRPr="0054583A">
        <w:rPr>
          <w:rFonts w:eastAsia="Calibri"/>
        </w:rPr>
        <w:t>that twenty-five percent (25%) of the petitions seeking exemption from Federal preemption of state food labeling and standard of identity requirements will be submitted electronically in the next three years.</w:t>
      </w:r>
    </w:p>
    <w:p w:rsidR="00B83165" w:rsidP="0054583A" w:rsidRDefault="00B83165" w14:paraId="6F46B734" w14:textId="77777777">
      <w:pPr>
        <w:rPr>
          <w:rFonts w:eastAsia="Calibri"/>
        </w:rPr>
      </w:pPr>
    </w:p>
    <w:p w:rsidRPr="0054583A" w:rsidR="00357C8A" w:rsidP="0054583A" w:rsidRDefault="00B83165" w14:paraId="73DE0235" w14:textId="22AF8019">
      <w:pPr>
        <w:rPr>
          <w:rFonts w:eastAsia="Calibri"/>
        </w:rPr>
      </w:pPr>
      <w:r>
        <w:rPr>
          <w:rFonts w:eastAsia="Calibri"/>
        </w:rPr>
        <w:t xml:space="preserve">4.  </w:t>
      </w:r>
      <w:r w:rsidRPr="0054583A" w:rsidR="00357C8A">
        <w:rPr>
          <w:rFonts w:eastAsia="Calibri"/>
        </w:rPr>
        <w:t xml:space="preserve">Efforts to Identify Duplication and Use of Similar Information </w:t>
      </w:r>
    </w:p>
    <w:p w:rsidR="00B83165" w:rsidP="0054583A" w:rsidRDefault="00B83165" w14:paraId="31F95F97" w14:textId="77777777"/>
    <w:p w:rsidR="000C1260" w:rsidP="0054583A" w:rsidRDefault="0053380B" w14:paraId="2707A3D1" w14:textId="10DF77FD">
      <w:r w:rsidRPr="0054583A">
        <w:t>We are unaware of duplicative information collection.</w:t>
      </w:r>
    </w:p>
    <w:p w:rsidRPr="0054583A" w:rsidR="00B83165" w:rsidP="0054583A" w:rsidRDefault="00B83165" w14:paraId="680ADA68" w14:textId="77777777">
      <w:pPr>
        <w:rPr>
          <w:rFonts w:eastAsia="Calibri"/>
        </w:rPr>
      </w:pPr>
    </w:p>
    <w:p w:rsidRPr="0054583A" w:rsidR="00357C8A" w:rsidP="0054583A" w:rsidRDefault="00B83165" w14:paraId="6B244671" w14:textId="2715837D">
      <w:pPr>
        <w:rPr>
          <w:rFonts w:eastAsia="Calibri"/>
        </w:rPr>
      </w:pPr>
      <w:r>
        <w:rPr>
          <w:rFonts w:eastAsia="Calibri"/>
        </w:rPr>
        <w:t xml:space="preserve">5.  </w:t>
      </w:r>
      <w:r w:rsidRPr="00FB535F" w:rsidR="00357C8A">
        <w:rPr>
          <w:rFonts w:eastAsia="Calibri"/>
          <w:u w:val="single"/>
        </w:rPr>
        <w:t>Impact on Small Businesses or Other Small Entities</w:t>
      </w:r>
    </w:p>
    <w:p w:rsidR="00B83165" w:rsidP="0054583A" w:rsidRDefault="00B83165" w14:paraId="6F51DE15" w14:textId="77777777">
      <w:pPr>
        <w:rPr>
          <w:rFonts w:eastAsia="Calibri"/>
        </w:rPr>
      </w:pPr>
    </w:p>
    <w:p w:rsidRPr="0054583A" w:rsidR="00357C8A" w:rsidP="0054583A" w:rsidRDefault="00166620" w14:paraId="69AF3BC2" w14:textId="7F620B21">
      <w:pPr>
        <w:rPr>
          <w:rFonts w:eastAsia="Calibri"/>
        </w:rPr>
      </w:pPr>
      <w:r w:rsidRPr="0054583A">
        <w:rPr>
          <w:rFonts w:eastAsia="Calibri"/>
        </w:rPr>
        <w:t>The provisions of this regulation are specific to state and local governments and are not applicable to small businesses.  No small businesses will be involved in this information collection.</w:t>
      </w:r>
    </w:p>
    <w:p w:rsidR="00B83165" w:rsidP="0054583A" w:rsidRDefault="00B83165" w14:paraId="4CA79F4D" w14:textId="77777777">
      <w:pPr>
        <w:rPr>
          <w:rFonts w:eastAsia="Calibri"/>
        </w:rPr>
      </w:pPr>
    </w:p>
    <w:p w:rsidRPr="0054583A" w:rsidR="00357C8A" w:rsidP="0054583A" w:rsidRDefault="00B83165" w14:paraId="02947219" w14:textId="6635D603">
      <w:pPr>
        <w:rPr>
          <w:rFonts w:eastAsia="Calibri"/>
        </w:rPr>
      </w:pPr>
      <w:r>
        <w:rPr>
          <w:rFonts w:eastAsia="Calibri"/>
        </w:rPr>
        <w:t xml:space="preserve">6.  </w:t>
      </w:r>
      <w:r w:rsidRPr="00FB535F" w:rsidR="00357C8A">
        <w:rPr>
          <w:rFonts w:eastAsia="Calibri"/>
          <w:u w:val="single"/>
        </w:rPr>
        <w:t>Consequences of Collecting the Information Less Frequently</w:t>
      </w:r>
    </w:p>
    <w:p w:rsidR="00B83165" w:rsidP="0054583A" w:rsidRDefault="00B83165" w14:paraId="13A9A5F4" w14:textId="77777777">
      <w:pPr>
        <w:rPr>
          <w:rFonts w:eastAsia="Calibri"/>
        </w:rPr>
      </w:pPr>
    </w:p>
    <w:p w:rsidR="00357C8A" w:rsidP="0054583A" w:rsidRDefault="00F12923" w14:paraId="13E9DCC9" w14:textId="6F711544">
      <w:pPr>
        <w:rPr>
          <w:rFonts w:eastAsia="Calibri"/>
        </w:rPr>
      </w:pPr>
      <w:r w:rsidRPr="0054583A">
        <w:rPr>
          <w:rFonts w:eastAsia="Calibri"/>
        </w:rPr>
        <w:t>Data collection occurs occasionally.  There are no consequences to Federal program or policy activities if the information is not collected or is collected less frequently.</w:t>
      </w:r>
    </w:p>
    <w:p w:rsidRPr="0054583A" w:rsidR="003402CF" w:rsidP="0054583A" w:rsidRDefault="003402CF" w14:paraId="6049B1E9" w14:textId="77777777">
      <w:pPr>
        <w:rPr>
          <w:rFonts w:eastAsia="Calibri"/>
        </w:rPr>
      </w:pPr>
    </w:p>
    <w:p w:rsidRPr="0054583A" w:rsidR="00357C8A" w:rsidP="0054583A" w:rsidRDefault="003402CF" w14:paraId="0DC7CB3D" w14:textId="4A9648FF">
      <w:pPr>
        <w:rPr>
          <w:rFonts w:eastAsia="Calibri"/>
        </w:rPr>
      </w:pPr>
      <w:r>
        <w:rPr>
          <w:rFonts w:eastAsia="Calibri"/>
        </w:rPr>
        <w:t xml:space="preserve">7.  </w:t>
      </w:r>
      <w:r w:rsidRPr="00FB535F" w:rsidR="00357C8A">
        <w:rPr>
          <w:rFonts w:eastAsia="Calibri"/>
          <w:u w:val="single"/>
        </w:rPr>
        <w:t>Special Circumstances Relating to the Guidelines of 5 CFR 1320.5</w:t>
      </w:r>
    </w:p>
    <w:p w:rsidR="00FB535F" w:rsidP="0054583A" w:rsidRDefault="00FB535F" w14:paraId="36362A25" w14:textId="77777777">
      <w:pPr>
        <w:rPr>
          <w:rFonts w:eastAsia="Calibri"/>
        </w:rPr>
      </w:pPr>
    </w:p>
    <w:p w:rsidRPr="0054583A" w:rsidR="00357C8A" w:rsidP="0054583A" w:rsidRDefault="0048631D" w14:paraId="44CCA0D4" w14:textId="508C6CC9">
      <w:pPr>
        <w:rPr>
          <w:rFonts w:eastAsia="Calibri"/>
        </w:rPr>
      </w:pPr>
      <w:r w:rsidRPr="0054583A">
        <w:rPr>
          <w:rFonts w:eastAsia="Calibri"/>
        </w:rPr>
        <w:t>There are no special circumstances associated with this collection of information.</w:t>
      </w:r>
    </w:p>
    <w:p w:rsidR="003402CF" w:rsidP="0054583A" w:rsidRDefault="003402CF" w14:paraId="4A890522" w14:textId="77777777">
      <w:pPr>
        <w:rPr>
          <w:rFonts w:eastAsia="Calibri"/>
        </w:rPr>
      </w:pPr>
    </w:p>
    <w:p w:rsidRPr="0054583A" w:rsidR="00357C8A" w:rsidP="0054583A" w:rsidRDefault="00FB535F" w14:paraId="7942AB4C" w14:textId="37D9CCFE">
      <w:pPr>
        <w:rPr>
          <w:rFonts w:eastAsia="Calibri"/>
        </w:rPr>
      </w:pPr>
      <w:r>
        <w:rPr>
          <w:rFonts w:eastAsia="Calibri"/>
        </w:rPr>
        <w:t xml:space="preserve">8.  </w:t>
      </w:r>
      <w:r w:rsidRPr="00FB535F" w:rsidR="00357C8A">
        <w:rPr>
          <w:rFonts w:eastAsia="Calibri"/>
          <w:u w:val="single"/>
        </w:rPr>
        <w:t>Comments in Response to the Federal Register Notice and Efforts to Consult Outside the Agency</w:t>
      </w:r>
    </w:p>
    <w:p w:rsidR="003402CF" w:rsidP="0054583A" w:rsidRDefault="003402CF" w14:paraId="03245EFB" w14:textId="77777777">
      <w:pPr>
        <w:rPr>
          <w:rFonts w:eastAsia="Calibri"/>
        </w:rPr>
      </w:pPr>
    </w:p>
    <w:p w:rsidRPr="0054583A" w:rsidR="00357C8A" w:rsidP="0054583A" w:rsidRDefault="0048631D" w14:paraId="0DB26AFD" w14:textId="0596BEDA">
      <w:pPr>
        <w:rPr>
          <w:rFonts w:eastAsia="Calibri"/>
        </w:rPr>
      </w:pPr>
      <w:r w:rsidRPr="0054583A">
        <w:rPr>
          <w:rFonts w:eastAsia="Calibri"/>
        </w:rPr>
        <w:t xml:space="preserve">In accordance with 5 CFR 1320.8(d), </w:t>
      </w:r>
      <w:r w:rsidRPr="0054583A" w:rsidR="00C67F5B">
        <w:rPr>
          <w:rFonts w:eastAsia="Calibri"/>
        </w:rPr>
        <w:t xml:space="preserve">we </w:t>
      </w:r>
      <w:r w:rsidRPr="0054583A">
        <w:rPr>
          <w:rFonts w:eastAsia="Calibri"/>
        </w:rPr>
        <w:t>published a 60-day notice for public comment in the Federal Register of M</w:t>
      </w:r>
      <w:r w:rsidRPr="0054583A" w:rsidR="00C67F5B">
        <w:rPr>
          <w:rFonts w:eastAsia="Calibri"/>
        </w:rPr>
        <w:t>ay 22</w:t>
      </w:r>
      <w:r w:rsidRPr="0054583A">
        <w:rPr>
          <w:rFonts w:eastAsia="Calibri"/>
        </w:rPr>
        <w:t xml:space="preserve">, 2020 (85 FR </w:t>
      </w:r>
      <w:r w:rsidRPr="0054583A" w:rsidR="00C67F5B">
        <w:rPr>
          <w:rFonts w:eastAsia="Calibri"/>
        </w:rPr>
        <w:t>31190</w:t>
      </w:r>
      <w:r w:rsidRPr="0054583A">
        <w:rPr>
          <w:rFonts w:eastAsia="Calibri"/>
        </w:rPr>
        <w:t>).  No comments were received.</w:t>
      </w:r>
    </w:p>
    <w:p w:rsidR="003402CF" w:rsidP="0054583A" w:rsidRDefault="003402CF" w14:paraId="6727243B" w14:textId="77777777">
      <w:pPr>
        <w:rPr>
          <w:rFonts w:eastAsia="Calibri"/>
        </w:rPr>
      </w:pPr>
    </w:p>
    <w:p w:rsidRPr="0054583A" w:rsidR="00357C8A" w:rsidP="0054583A" w:rsidRDefault="00FB535F" w14:paraId="10BF2070" w14:textId="46128BDD">
      <w:pPr>
        <w:rPr>
          <w:rFonts w:eastAsia="Calibri"/>
        </w:rPr>
      </w:pPr>
      <w:r>
        <w:rPr>
          <w:rFonts w:eastAsia="Calibri"/>
        </w:rPr>
        <w:t xml:space="preserve">9.  </w:t>
      </w:r>
      <w:r w:rsidRPr="00FB535F" w:rsidR="00357C8A">
        <w:rPr>
          <w:rFonts w:eastAsia="Calibri"/>
          <w:u w:val="single"/>
        </w:rPr>
        <w:t>Explanation of Any Payment or Gift to Respondents</w:t>
      </w:r>
    </w:p>
    <w:p w:rsidR="003402CF" w:rsidP="0054583A" w:rsidRDefault="003402CF" w14:paraId="6CBE3B5F" w14:textId="77777777">
      <w:pPr>
        <w:rPr>
          <w:rFonts w:eastAsia="Calibri"/>
        </w:rPr>
      </w:pPr>
    </w:p>
    <w:p w:rsidRPr="0054583A" w:rsidR="00357C8A" w:rsidP="0054583A" w:rsidRDefault="00792947" w14:paraId="0F4C28D4" w14:textId="63A5DA8D">
      <w:pPr>
        <w:rPr>
          <w:rFonts w:eastAsia="Calibri"/>
        </w:rPr>
      </w:pPr>
      <w:r w:rsidRPr="0054583A">
        <w:rPr>
          <w:rFonts w:eastAsia="Calibri"/>
        </w:rPr>
        <w:t>There are no incentives, payments</w:t>
      </w:r>
      <w:r w:rsidRPr="0054583A" w:rsidR="008878F9">
        <w:rPr>
          <w:rFonts w:eastAsia="Calibri"/>
        </w:rPr>
        <w:t>,</w:t>
      </w:r>
      <w:r w:rsidRPr="0054583A">
        <w:rPr>
          <w:rFonts w:eastAsia="Calibri"/>
        </w:rPr>
        <w:t xml:space="preserve"> or gifts associated with this information collection.</w:t>
      </w:r>
    </w:p>
    <w:p w:rsidR="003402CF" w:rsidP="0054583A" w:rsidRDefault="003402CF" w14:paraId="53E3BFA1" w14:textId="77777777">
      <w:pPr>
        <w:rPr>
          <w:rFonts w:eastAsia="Calibri"/>
        </w:rPr>
      </w:pPr>
    </w:p>
    <w:p w:rsidRPr="0054583A" w:rsidR="00357C8A" w:rsidP="0054583A" w:rsidRDefault="003402CF" w14:paraId="77C71312" w14:textId="4D90C834">
      <w:pPr>
        <w:rPr>
          <w:rFonts w:eastAsia="Calibri"/>
        </w:rPr>
      </w:pPr>
      <w:r>
        <w:rPr>
          <w:rFonts w:eastAsia="Calibri"/>
        </w:rPr>
        <w:t xml:space="preserve">10.  </w:t>
      </w:r>
      <w:r w:rsidRPr="003402CF" w:rsidR="00357C8A">
        <w:rPr>
          <w:rFonts w:eastAsia="Calibri"/>
          <w:u w:val="single"/>
        </w:rPr>
        <w:t>Assurance of Confidentiality Provided to Respondents</w:t>
      </w:r>
    </w:p>
    <w:p w:rsidR="003402CF" w:rsidP="0054583A" w:rsidRDefault="003402CF" w14:paraId="75FFA220" w14:textId="77777777">
      <w:pPr>
        <w:rPr>
          <w:rFonts w:eastAsia="Calibri"/>
        </w:rPr>
      </w:pPr>
    </w:p>
    <w:p w:rsidR="00EC4C04" w:rsidP="0054583A" w:rsidRDefault="00EC4C04" w14:paraId="1314DE97" w14:textId="77777777">
      <w:pPr>
        <w:rPr>
          <w:rFonts w:eastAsia="Calibri"/>
        </w:rPr>
      </w:pPr>
      <w:r w:rsidRPr="00EC4C04">
        <w:rPr>
          <w:rFonts w:eastAsia="Calibri"/>
          <w:i/>
        </w:rPr>
        <w:t>Privacy Act.</w:t>
      </w:r>
    </w:p>
    <w:p w:rsidR="00EC4C04" w:rsidP="0054583A" w:rsidRDefault="00EC4C04" w14:paraId="3C810B9A" w14:textId="77777777">
      <w:pPr>
        <w:rPr>
          <w:rFonts w:eastAsia="Calibri"/>
        </w:rPr>
      </w:pPr>
    </w:p>
    <w:p w:rsidR="00D6732B" w:rsidP="0054583A" w:rsidRDefault="003402CF" w14:paraId="69C80301" w14:textId="448EB77A">
      <w:pPr>
        <w:rPr>
          <w:rFonts w:eastAsia="Calibri"/>
        </w:rPr>
      </w:pPr>
      <w:r w:rsidRPr="003402CF">
        <w:rPr>
          <w:rFonts w:eastAsia="Calibri"/>
        </w:rPr>
        <w:t xml:space="preserve">In preparing this supporting statement, our staff consulted with the FDA Privacy Office to ensure appropriate handling of </w:t>
      </w:r>
      <w:r w:rsidR="00662C1D">
        <w:rPr>
          <w:rFonts w:eastAsia="Calibri"/>
        </w:rPr>
        <w:t xml:space="preserve">any personally </w:t>
      </w:r>
      <w:r w:rsidR="00E4799B">
        <w:rPr>
          <w:rFonts w:eastAsia="Calibri"/>
        </w:rPr>
        <w:t>identifiable</w:t>
      </w:r>
      <w:r w:rsidR="00662C1D">
        <w:rPr>
          <w:rFonts w:eastAsia="Calibri"/>
        </w:rPr>
        <w:t xml:space="preserve"> </w:t>
      </w:r>
      <w:r w:rsidRPr="003402CF">
        <w:rPr>
          <w:rFonts w:eastAsia="Calibri"/>
        </w:rPr>
        <w:t xml:space="preserve">information </w:t>
      </w:r>
      <w:r w:rsidR="00662C1D">
        <w:rPr>
          <w:rFonts w:eastAsia="Calibri"/>
        </w:rPr>
        <w:t xml:space="preserve">(PII) that may be collected.  In this ICR, </w:t>
      </w:r>
      <w:r w:rsidR="00D6732B">
        <w:rPr>
          <w:rFonts w:eastAsia="Calibri"/>
        </w:rPr>
        <w:t>a name is provided for contact purposes only</w:t>
      </w:r>
      <w:r w:rsidR="00AB0282">
        <w:rPr>
          <w:rFonts w:eastAsia="Calibri"/>
        </w:rPr>
        <w:t xml:space="preserve">.  We have concluded, therefore, that information </w:t>
      </w:r>
      <w:r w:rsidRPr="00D6732B" w:rsidR="00D6732B">
        <w:rPr>
          <w:rFonts w:eastAsia="Calibri"/>
        </w:rPr>
        <w:t xml:space="preserve">collected and stored is not subject to the Privacy Act of 1974 and the particular notice and other requirements of the Act do not apply.  Specifically, </w:t>
      </w:r>
      <w:r w:rsidR="00720DE6">
        <w:rPr>
          <w:rFonts w:eastAsia="Calibri"/>
        </w:rPr>
        <w:t xml:space="preserve">we </w:t>
      </w:r>
      <w:r w:rsidRPr="00D6732B" w:rsidR="00D6732B">
        <w:rPr>
          <w:rFonts w:eastAsia="Calibri"/>
        </w:rPr>
        <w:t xml:space="preserve">(including </w:t>
      </w:r>
      <w:r w:rsidR="00720DE6">
        <w:rPr>
          <w:rFonts w:eastAsia="Calibri"/>
        </w:rPr>
        <w:t xml:space="preserve">our </w:t>
      </w:r>
      <w:r w:rsidRPr="00D6732B" w:rsidR="00D6732B">
        <w:rPr>
          <w:rFonts w:eastAsia="Calibri"/>
        </w:rPr>
        <w:t xml:space="preserve">vendors or service providers acting on </w:t>
      </w:r>
      <w:r w:rsidR="00720DE6">
        <w:rPr>
          <w:rFonts w:eastAsia="Calibri"/>
        </w:rPr>
        <w:t xml:space="preserve">our </w:t>
      </w:r>
      <w:r w:rsidRPr="00D6732B" w:rsidR="00D6732B">
        <w:rPr>
          <w:rFonts w:eastAsia="Calibri"/>
        </w:rPr>
        <w:t>behalf) do</w:t>
      </w:r>
      <w:r w:rsidR="00720DE6">
        <w:rPr>
          <w:rFonts w:eastAsia="Calibri"/>
        </w:rPr>
        <w:t xml:space="preserve"> </w:t>
      </w:r>
      <w:r w:rsidRPr="00D6732B" w:rsidR="00D6732B">
        <w:rPr>
          <w:rFonts w:eastAsia="Calibri"/>
        </w:rPr>
        <w:t xml:space="preserve">not use name or any other personal identifier to retrieve records </w:t>
      </w:r>
      <w:r w:rsidR="00720DE6">
        <w:rPr>
          <w:rFonts w:eastAsia="Calibri"/>
        </w:rPr>
        <w:t>associated with the information collection.</w:t>
      </w:r>
      <w:r w:rsidR="00D6732B">
        <w:rPr>
          <w:rFonts w:eastAsia="Calibri"/>
        </w:rPr>
        <w:t xml:space="preserve"> </w:t>
      </w:r>
    </w:p>
    <w:p w:rsidR="00D6732B" w:rsidP="0054583A" w:rsidRDefault="00D6732B" w14:paraId="54761BE3" w14:textId="77777777">
      <w:pPr>
        <w:rPr>
          <w:rFonts w:eastAsia="Calibri"/>
        </w:rPr>
      </w:pPr>
    </w:p>
    <w:p w:rsidRPr="0054583A" w:rsidR="008878F9" w:rsidP="0054583A" w:rsidRDefault="00EC4C04" w14:paraId="2B339360" w14:textId="42DB2F5B">
      <w:pPr>
        <w:rPr>
          <w:rFonts w:eastAsia="Calibri"/>
        </w:rPr>
      </w:pPr>
      <w:r>
        <w:rPr>
          <w:rFonts w:eastAsia="Calibri"/>
        </w:rPr>
        <w:t>Additionally, n</w:t>
      </w:r>
      <w:r w:rsidRPr="0054583A" w:rsidR="008878F9">
        <w:rPr>
          <w:rFonts w:eastAsia="Calibri"/>
        </w:rPr>
        <w:t>o assurance of confidentiality is</w:t>
      </w:r>
      <w:r>
        <w:rPr>
          <w:rFonts w:eastAsia="Calibri"/>
        </w:rPr>
        <w:t xml:space="preserve"> provided to respondents to the information collection</w:t>
      </w:r>
      <w:r w:rsidRPr="0054583A" w:rsidR="008878F9">
        <w:rPr>
          <w:rFonts w:eastAsia="Calibri"/>
        </w:rPr>
        <w:t xml:space="preserve">.  </w:t>
      </w:r>
      <w:r w:rsidR="000970C4">
        <w:rPr>
          <w:rFonts w:eastAsia="Calibri"/>
        </w:rPr>
        <w:t xml:space="preserve">Consistent with 21 CFR </w:t>
      </w:r>
      <w:r w:rsidRPr="0054583A" w:rsidR="008878F9">
        <w:rPr>
          <w:rFonts w:eastAsia="Calibri"/>
        </w:rPr>
        <w:t>§ 100.1(e)</w:t>
      </w:r>
      <w:r w:rsidR="000970C4">
        <w:rPr>
          <w:rFonts w:eastAsia="Calibri"/>
        </w:rPr>
        <w:t xml:space="preserve">, </w:t>
      </w:r>
      <w:r w:rsidRPr="0054583A" w:rsidR="008878F9">
        <w:rPr>
          <w:rFonts w:eastAsia="Calibri"/>
        </w:rPr>
        <w:t>public disclosure of state petitions will be governed by the rules specified in 21 CFR 10.20(j).</w:t>
      </w:r>
    </w:p>
    <w:p w:rsidRPr="0054583A" w:rsidR="001075D3" w:rsidP="0054583A" w:rsidRDefault="001075D3" w14:paraId="602B9DF1" w14:textId="77777777"/>
    <w:p w:rsidRPr="0054583A" w:rsidR="00357C8A" w:rsidP="0054583A" w:rsidRDefault="003402CF" w14:paraId="0457190C" w14:textId="2B371BEC">
      <w:pPr>
        <w:rPr>
          <w:rFonts w:eastAsia="Calibri"/>
        </w:rPr>
      </w:pPr>
      <w:r>
        <w:rPr>
          <w:rFonts w:eastAsia="Calibri"/>
        </w:rPr>
        <w:t xml:space="preserve">11.  </w:t>
      </w:r>
      <w:r w:rsidRPr="000970C4" w:rsidR="00357C8A">
        <w:rPr>
          <w:rFonts w:eastAsia="Calibri"/>
          <w:u w:val="single"/>
        </w:rPr>
        <w:t>Justification for Sensitive Questions</w:t>
      </w:r>
    </w:p>
    <w:p w:rsidR="003402CF" w:rsidP="0054583A" w:rsidRDefault="003402CF" w14:paraId="536EA3D4" w14:textId="77777777">
      <w:pPr>
        <w:rPr>
          <w:rFonts w:eastAsia="Calibri"/>
        </w:rPr>
      </w:pPr>
    </w:p>
    <w:p w:rsidR="00357C8A" w:rsidP="0054583A" w:rsidRDefault="006F60C9" w14:paraId="1C688374" w14:textId="5C88A5D2">
      <w:pPr>
        <w:rPr>
          <w:rFonts w:eastAsia="Calibri"/>
        </w:rPr>
      </w:pPr>
      <w:r w:rsidRPr="0054583A">
        <w:rPr>
          <w:rFonts w:eastAsia="Calibri"/>
        </w:rPr>
        <w:t>This information collection does not involve any questions that are of a personally sensitive nature.</w:t>
      </w:r>
    </w:p>
    <w:p w:rsidRPr="0054583A" w:rsidR="000970C4" w:rsidP="0054583A" w:rsidRDefault="000970C4" w14:paraId="014E4A53" w14:textId="77777777">
      <w:pPr>
        <w:rPr>
          <w:rFonts w:eastAsia="Calibri"/>
        </w:rPr>
      </w:pPr>
    </w:p>
    <w:p w:rsidRPr="0054583A" w:rsidR="00357C8A" w:rsidP="0054583A" w:rsidRDefault="000970C4" w14:paraId="7087C56A" w14:textId="533EB1C5">
      <w:pPr>
        <w:rPr>
          <w:rFonts w:eastAsia="Calibri"/>
        </w:rPr>
      </w:pPr>
      <w:r>
        <w:rPr>
          <w:rFonts w:eastAsia="Calibri"/>
        </w:rPr>
        <w:t xml:space="preserve">12.  </w:t>
      </w:r>
      <w:r w:rsidRPr="000970C4" w:rsidR="00357C8A">
        <w:rPr>
          <w:rFonts w:eastAsia="Calibri"/>
          <w:u w:val="single"/>
        </w:rPr>
        <w:t>Estimates of Annualized Burden Hours and Cost</w:t>
      </w:r>
    </w:p>
    <w:p w:rsidR="000970C4" w:rsidP="0054583A" w:rsidRDefault="000970C4" w14:paraId="788677AE" w14:textId="77777777">
      <w:pPr>
        <w:rPr>
          <w:rFonts w:eastAsia="Calibri"/>
        </w:rPr>
      </w:pPr>
    </w:p>
    <w:p w:rsidRPr="000970C4" w:rsidR="00357C8A" w:rsidP="0054583A" w:rsidRDefault="000970C4" w14:paraId="23AD7044" w14:textId="59AA5694">
      <w:pPr>
        <w:rPr>
          <w:rFonts w:eastAsia="Calibri"/>
          <w:i/>
        </w:rPr>
      </w:pPr>
      <w:r>
        <w:rPr>
          <w:rFonts w:eastAsia="Calibri"/>
        </w:rPr>
        <w:tab/>
      </w:r>
      <w:r w:rsidRPr="000970C4" w:rsidR="00357C8A">
        <w:rPr>
          <w:rFonts w:eastAsia="Calibri"/>
          <w:i/>
        </w:rPr>
        <w:t>12a.  Annualized Hour Burden Estimate</w:t>
      </w:r>
    </w:p>
    <w:p w:rsidRPr="0054583A" w:rsidR="006F60C9" w:rsidP="0054583A" w:rsidRDefault="006F60C9" w14:paraId="79979DAB" w14:textId="77777777"/>
    <w:tbl>
      <w:tblPr>
        <w:tblW w:w="4906"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965"/>
        <w:gridCol w:w="1350"/>
        <w:gridCol w:w="1530"/>
        <w:gridCol w:w="1169"/>
        <w:gridCol w:w="1261"/>
        <w:gridCol w:w="899"/>
      </w:tblGrid>
      <w:tr w:rsidRPr="0054583A" w:rsidR="006F60C9" w:rsidTr="008B1B7C" w14:paraId="3EA39D97" w14:textId="77777777">
        <w:trPr>
          <w:cantSplit/>
          <w:trHeight w:val="20"/>
          <w:tblHeader/>
        </w:trPr>
        <w:tc>
          <w:tcPr>
            <w:tcW w:w="5000" w:type="pct"/>
            <w:gridSpan w:val="6"/>
            <w:shd w:val="clear" w:color="auto" w:fill="auto"/>
          </w:tcPr>
          <w:p w:rsidRPr="0054583A" w:rsidR="006F60C9" w:rsidP="000970C4" w:rsidRDefault="006F60C9" w14:paraId="4888AEB8" w14:textId="77777777">
            <w:pPr>
              <w:jc w:val="center"/>
            </w:pPr>
            <w:r w:rsidRPr="0054583A">
              <w:t>Table 1.--Estimated Annual Reporting Burden</w:t>
            </w:r>
            <w:r w:rsidRPr="000970C4" w:rsidR="009C387B">
              <w:rPr>
                <w:vertAlign w:val="superscript"/>
              </w:rPr>
              <w:t>1</w:t>
            </w:r>
          </w:p>
        </w:tc>
      </w:tr>
      <w:tr w:rsidRPr="0054583A" w:rsidR="008B1B7C" w:rsidTr="008B1B7C" w14:paraId="6AEC57BB" w14:textId="77777777">
        <w:trPr>
          <w:cantSplit/>
          <w:trHeight w:val="20"/>
          <w:tblHeader/>
        </w:trPr>
        <w:tc>
          <w:tcPr>
            <w:tcW w:w="1616" w:type="pct"/>
            <w:shd w:val="clear" w:color="auto" w:fill="auto"/>
          </w:tcPr>
          <w:p w:rsidRPr="000970C4" w:rsidR="006F60C9" w:rsidP="0054583A" w:rsidRDefault="006F60C9" w14:paraId="25E16E0B" w14:textId="79A5E0C3">
            <w:pPr>
              <w:rPr>
                <w:sz w:val="22"/>
                <w:szCs w:val="22"/>
              </w:rPr>
            </w:pPr>
            <w:r w:rsidRPr="000970C4">
              <w:rPr>
                <w:sz w:val="22"/>
                <w:szCs w:val="22"/>
              </w:rPr>
              <w:t>21 CFR section</w:t>
            </w:r>
            <w:r w:rsidR="000970C4">
              <w:rPr>
                <w:sz w:val="22"/>
                <w:szCs w:val="22"/>
              </w:rPr>
              <w:t>; IC Activity</w:t>
            </w:r>
          </w:p>
        </w:tc>
        <w:tc>
          <w:tcPr>
            <w:tcW w:w="736" w:type="pct"/>
            <w:shd w:val="clear" w:color="auto" w:fill="auto"/>
          </w:tcPr>
          <w:p w:rsidRPr="000970C4" w:rsidR="006F60C9" w:rsidP="0054583A" w:rsidRDefault="006F60C9" w14:paraId="54475AB6" w14:textId="77777777">
            <w:pPr>
              <w:rPr>
                <w:sz w:val="22"/>
                <w:szCs w:val="22"/>
              </w:rPr>
            </w:pPr>
            <w:r w:rsidRPr="000970C4">
              <w:rPr>
                <w:sz w:val="22"/>
                <w:szCs w:val="22"/>
              </w:rPr>
              <w:t xml:space="preserve">Number of </w:t>
            </w:r>
            <w:r w:rsidRPr="000970C4" w:rsidR="00F03BFA">
              <w:rPr>
                <w:sz w:val="22"/>
                <w:szCs w:val="22"/>
              </w:rPr>
              <w:t>R</w:t>
            </w:r>
            <w:r w:rsidRPr="000970C4">
              <w:rPr>
                <w:sz w:val="22"/>
                <w:szCs w:val="22"/>
              </w:rPr>
              <w:t>espondents</w:t>
            </w:r>
          </w:p>
        </w:tc>
        <w:tc>
          <w:tcPr>
            <w:tcW w:w="834" w:type="pct"/>
            <w:shd w:val="clear" w:color="auto" w:fill="auto"/>
          </w:tcPr>
          <w:p w:rsidRPr="000970C4" w:rsidR="006F60C9" w:rsidP="0054583A" w:rsidRDefault="006F60C9" w14:paraId="506FD33B" w14:textId="77777777">
            <w:pPr>
              <w:rPr>
                <w:sz w:val="22"/>
                <w:szCs w:val="22"/>
              </w:rPr>
            </w:pPr>
            <w:r w:rsidRPr="000970C4">
              <w:rPr>
                <w:sz w:val="22"/>
                <w:szCs w:val="22"/>
              </w:rPr>
              <w:t xml:space="preserve">Number of </w:t>
            </w:r>
            <w:r w:rsidRPr="000970C4" w:rsidR="00F03BFA">
              <w:rPr>
                <w:sz w:val="22"/>
                <w:szCs w:val="22"/>
              </w:rPr>
              <w:t>R</w:t>
            </w:r>
            <w:r w:rsidRPr="000970C4">
              <w:rPr>
                <w:sz w:val="22"/>
                <w:szCs w:val="22"/>
              </w:rPr>
              <w:t xml:space="preserve">esponses per </w:t>
            </w:r>
            <w:r w:rsidRPr="000970C4" w:rsidR="00F03BFA">
              <w:rPr>
                <w:sz w:val="22"/>
                <w:szCs w:val="22"/>
              </w:rPr>
              <w:t>R</w:t>
            </w:r>
            <w:r w:rsidRPr="000970C4">
              <w:rPr>
                <w:sz w:val="22"/>
                <w:szCs w:val="22"/>
              </w:rPr>
              <w:t>espondent</w:t>
            </w:r>
          </w:p>
        </w:tc>
        <w:tc>
          <w:tcPr>
            <w:tcW w:w="637" w:type="pct"/>
            <w:shd w:val="clear" w:color="auto" w:fill="auto"/>
          </w:tcPr>
          <w:p w:rsidRPr="000970C4" w:rsidR="006F60C9" w:rsidP="0054583A" w:rsidRDefault="006F60C9" w14:paraId="6D07537A" w14:textId="77777777">
            <w:pPr>
              <w:rPr>
                <w:sz w:val="22"/>
                <w:szCs w:val="22"/>
              </w:rPr>
            </w:pPr>
            <w:r w:rsidRPr="000970C4">
              <w:rPr>
                <w:sz w:val="22"/>
                <w:szCs w:val="22"/>
              </w:rPr>
              <w:t xml:space="preserve">Total </w:t>
            </w:r>
            <w:r w:rsidRPr="000970C4" w:rsidR="00F03BFA">
              <w:rPr>
                <w:sz w:val="22"/>
                <w:szCs w:val="22"/>
              </w:rPr>
              <w:t>A</w:t>
            </w:r>
            <w:r w:rsidRPr="000970C4">
              <w:rPr>
                <w:sz w:val="22"/>
                <w:szCs w:val="22"/>
              </w:rPr>
              <w:t xml:space="preserve">nnual </w:t>
            </w:r>
            <w:r w:rsidRPr="000970C4" w:rsidR="00F03BFA">
              <w:rPr>
                <w:sz w:val="22"/>
                <w:szCs w:val="22"/>
              </w:rPr>
              <w:t>R</w:t>
            </w:r>
            <w:r w:rsidRPr="000970C4">
              <w:rPr>
                <w:sz w:val="22"/>
                <w:szCs w:val="22"/>
              </w:rPr>
              <w:t>esponses</w:t>
            </w:r>
          </w:p>
        </w:tc>
        <w:tc>
          <w:tcPr>
            <w:tcW w:w="687" w:type="pct"/>
            <w:shd w:val="clear" w:color="auto" w:fill="auto"/>
          </w:tcPr>
          <w:p w:rsidRPr="000970C4" w:rsidR="006F60C9" w:rsidP="0054583A" w:rsidRDefault="006F60C9" w14:paraId="4D1A4F61" w14:textId="77777777">
            <w:pPr>
              <w:rPr>
                <w:sz w:val="22"/>
                <w:szCs w:val="22"/>
              </w:rPr>
            </w:pPr>
            <w:r w:rsidRPr="000970C4">
              <w:rPr>
                <w:sz w:val="22"/>
                <w:szCs w:val="22"/>
              </w:rPr>
              <w:t xml:space="preserve">Average </w:t>
            </w:r>
            <w:r w:rsidRPr="000970C4" w:rsidR="00F03BFA">
              <w:rPr>
                <w:sz w:val="22"/>
                <w:szCs w:val="22"/>
              </w:rPr>
              <w:t>B</w:t>
            </w:r>
            <w:r w:rsidRPr="000970C4">
              <w:rPr>
                <w:sz w:val="22"/>
                <w:szCs w:val="22"/>
              </w:rPr>
              <w:t xml:space="preserve">urden per </w:t>
            </w:r>
            <w:r w:rsidRPr="000970C4" w:rsidR="00F03BFA">
              <w:rPr>
                <w:sz w:val="22"/>
                <w:szCs w:val="22"/>
              </w:rPr>
              <w:t>R</w:t>
            </w:r>
            <w:r w:rsidRPr="000970C4">
              <w:rPr>
                <w:sz w:val="22"/>
                <w:szCs w:val="22"/>
              </w:rPr>
              <w:t>esponse</w:t>
            </w:r>
          </w:p>
        </w:tc>
        <w:tc>
          <w:tcPr>
            <w:tcW w:w="490" w:type="pct"/>
            <w:shd w:val="clear" w:color="auto" w:fill="auto"/>
          </w:tcPr>
          <w:p w:rsidRPr="000970C4" w:rsidR="006F60C9" w:rsidP="0054583A" w:rsidRDefault="006F60C9" w14:paraId="056410FC" w14:textId="77777777">
            <w:pPr>
              <w:rPr>
                <w:sz w:val="22"/>
                <w:szCs w:val="22"/>
              </w:rPr>
            </w:pPr>
            <w:r w:rsidRPr="000970C4">
              <w:rPr>
                <w:sz w:val="22"/>
                <w:szCs w:val="22"/>
              </w:rPr>
              <w:t xml:space="preserve">Total </w:t>
            </w:r>
            <w:r w:rsidRPr="000970C4" w:rsidR="00F03BFA">
              <w:rPr>
                <w:sz w:val="22"/>
                <w:szCs w:val="22"/>
              </w:rPr>
              <w:t>H</w:t>
            </w:r>
            <w:r w:rsidRPr="000970C4">
              <w:rPr>
                <w:sz w:val="22"/>
                <w:szCs w:val="22"/>
              </w:rPr>
              <w:t>ours</w:t>
            </w:r>
          </w:p>
        </w:tc>
      </w:tr>
      <w:tr w:rsidRPr="0054583A" w:rsidR="008B1B7C" w:rsidTr="008B1B7C" w14:paraId="2D4ABFA8" w14:textId="77777777">
        <w:trPr>
          <w:cantSplit/>
          <w:trHeight w:val="20"/>
        </w:trPr>
        <w:tc>
          <w:tcPr>
            <w:tcW w:w="1616" w:type="pct"/>
            <w:shd w:val="clear" w:color="auto" w:fill="auto"/>
          </w:tcPr>
          <w:p w:rsidRPr="008B1B7C" w:rsidR="006F60C9" w:rsidP="0054583A" w:rsidRDefault="006F60C9" w14:paraId="07EE8604" w14:textId="59254CAB">
            <w:pPr>
              <w:rPr>
                <w:sz w:val="22"/>
                <w:szCs w:val="22"/>
              </w:rPr>
            </w:pPr>
            <w:r w:rsidRPr="008B1B7C">
              <w:rPr>
                <w:sz w:val="22"/>
                <w:szCs w:val="22"/>
              </w:rPr>
              <w:t>100.1</w:t>
            </w:r>
            <w:r w:rsidRPr="008B1B7C" w:rsidR="008B1B7C">
              <w:rPr>
                <w:sz w:val="22"/>
                <w:szCs w:val="22"/>
              </w:rPr>
              <w:t>(d)</w:t>
            </w:r>
            <w:r w:rsidRPr="008B1B7C" w:rsidR="00110708">
              <w:rPr>
                <w:sz w:val="22"/>
                <w:szCs w:val="22"/>
              </w:rPr>
              <w:t>; petitions requesting exemption from preemption for State or local requirements</w:t>
            </w:r>
            <w:r w:rsidRPr="008B1B7C" w:rsidR="008B1B7C">
              <w:rPr>
                <w:sz w:val="22"/>
                <w:szCs w:val="22"/>
              </w:rPr>
              <w:t xml:space="preserve"> (form of petition)</w:t>
            </w:r>
          </w:p>
        </w:tc>
        <w:tc>
          <w:tcPr>
            <w:tcW w:w="736" w:type="pct"/>
            <w:shd w:val="clear" w:color="auto" w:fill="auto"/>
          </w:tcPr>
          <w:p w:rsidRPr="008B1B7C" w:rsidR="006F60C9" w:rsidP="0054583A" w:rsidRDefault="006F60C9" w14:paraId="6497FC47" w14:textId="77777777">
            <w:pPr>
              <w:rPr>
                <w:sz w:val="22"/>
                <w:szCs w:val="22"/>
              </w:rPr>
            </w:pPr>
            <w:r w:rsidRPr="008B1B7C">
              <w:rPr>
                <w:sz w:val="22"/>
                <w:szCs w:val="22"/>
              </w:rPr>
              <w:t>1</w:t>
            </w:r>
          </w:p>
        </w:tc>
        <w:tc>
          <w:tcPr>
            <w:tcW w:w="834" w:type="pct"/>
            <w:shd w:val="clear" w:color="auto" w:fill="auto"/>
          </w:tcPr>
          <w:p w:rsidRPr="008B1B7C" w:rsidR="006F60C9" w:rsidP="0054583A" w:rsidRDefault="006F60C9" w14:paraId="35B60BCE" w14:textId="77777777">
            <w:pPr>
              <w:rPr>
                <w:sz w:val="22"/>
                <w:szCs w:val="22"/>
              </w:rPr>
            </w:pPr>
            <w:r w:rsidRPr="008B1B7C">
              <w:rPr>
                <w:sz w:val="22"/>
                <w:szCs w:val="22"/>
              </w:rPr>
              <w:t>1</w:t>
            </w:r>
          </w:p>
        </w:tc>
        <w:tc>
          <w:tcPr>
            <w:tcW w:w="637" w:type="pct"/>
            <w:shd w:val="clear" w:color="auto" w:fill="auto"/>
          </w:tcPr>
          <w:p w:rsidRPr="008B1B7C" w:rsidR="006F60C9" w:rsidP="0054583A" w:rsidRDefault="006F60C9" w14:paraId="23EFB9C6" w14:textId="77777777">
            <w:pPr>
              <w:rPr>
                <w:sz w:val="22"/>
                <w:szCs w:val="22"/>
              </w:rPr>
            </w:pPr>
            <w:r w:rsidRPr="008B1B7C">
              <w:rPr>
                <w:sz w:val="22"/>
                <w:szCs w:val="22"/>
              </w:rPr>
              <w:t>1</w:t>
            </w:r>
          </w:p>
        </w:tc>
        <w:tc>
          <w:tcPr>
            <w:tcW w:w="687" w:type="pct"/>
            <w:shd w:val="clear" w:color="auto" w:fill="auto"/>
          </w:tcPr>
          <w:p w:rsidRPr="008B1B7C" w:rsidR="006F60C9" w:rsidP="0054583A" w:rsidRDefault="006F60C9" w14:paraId="3EB6B5E6" w14:textId="77777777">
            <w:pPr>
              <w:rPr>
                <w:sz w:val="22"/>
                <w:szCs w:val="22"/>
              </w:rPr>
            </w:pPr>
            <w:r w:rsidRPr="008B1B7C">
              <w:rPr>
                <w:sz w:val="22"/>
                <w:szCs w:val="22"/>
              </w:rPr>
              <w:t>40</w:t>
            </w:r>
          </w:p>
        </w:tc>
        <w:tc>
          <w:tcPr>
            <w:tcW w:w="490" w:type="pct"/>
            <w:shd w:val="clear" w:color="auto" w:fill="auto"/>
          </w:tcPr>
          <w:p w:rsidRPr="008B1B7C" w:rsidR="006F60C9" w:rsidP="0054583A" w:rsidRDefault="006F60C9" w14:paraId="026D11A6" w14:textId="77777777">
            <w:pPr>
              <w:rPr>
                <w:sz w:val="22"/>
                <w:szCs w:val="22"/>
              </w:rPr>
            </w:pPr>
            <w:r w:rsidRPr="008B1B7C">
              <w:rPr>
                <w:sz w:val="22"/>
                <w:szCs w:val="22"/>
              </w:rPr>
              <w:t>40</w:t>
            </w:r>
          </w:p>
        </w:tc>
      </w:tr>
    </w:tbl>
    <w:p w:rsidRPr="000970C4" w:rsidR="009C387B" w:rsidP="0054583A" w:rsidRDefault="009C387B" w14:paraId="27A76C46" w14:textId="77777777">
      <w:pPr>
        <w:rPr>
          <w:sz w:val="20"/>
          <w:szCs w:val="20"/>
        </w:rPr>
      </w:pPr>
      <w:r w:rsidRPr="000970C4">
        <w:rPr>
          <w:sz w:val="20"/>
          <w:szCs w:val="20"/>
          <w:vertAlign w:val="superscript"/>
        </w:rPr>
        <w:t>1</w:t>
      </w:r>
      <w:r w:rsidRPr="000970C4">
        <w:rPr>
          <w:sz w:val="20"/>
          <w:szCs w:val="20"/>
        </w:rPr>
        <w:t xml:space="preserve"> There are no capital costs or operating and maintenance costs associated with this collection of information.</w:t>
      </w:r>
    </w:p>
    <w:p w:rsidRPr="0054583A" w:rsidR="009C387B" w:rsidP="0054583A" w:rsidRDefault="009C387B" w14:paraId="5CF1748C" w14:textId="77777777"/>
    <w:p w:rsidRPr="0054583A" w:rsidR="006F60C9" w:rsidP="0054583A" w:rsidRDefault="006F60C9" w14:paraId="361104C3" w14:textId="77777777">
      <w:r w:rsidRPr="0054583A">
        <w:t>The reporting burden for §</w:t>
      </w:r>
      <w:r w:rsidRPr="0054583A" w:rsidR="009C387B">
        <w:t xml:space="preserve"> </w:t>
      </w:r>
      <w:r w:rsidRPr="0054583A">
        <w:t xml:space="preserve">100.1(d) is minimal because petitions for exemption from preemption are seldom submitted by states.  In the last 3 years, </w:t>
      </w:r>
      <w:r w:rsidRPr="0054583A" w:rsidR="00C67F5B">
        <w:t xml:space="preserve">we </w:t>
      </w:r>
      <w:r w:rsidRPr="0054583A">
        <w:t>ha</w:t>
      </w:r>
      <w:r w:rsidRPr="0054583A" w:rsidR="00C67F5B">
        <w:t>ve</w:t>
      </w:r>
      <w:r w:rsidRPr="0054583A">
        <w:t xml:space="preserve"> received one new petition for exemption from preemption; therefore, the agency estimates that one or fewer petitions will be submitted annually.  </w:t>
      </w:r>
    </w:p>
    <w:p w:rsidRPr="0054583A" w:rsidR="002A6C51" w:rsidP="0054583A" w:rsidRDefault="002A6C51" w14:paraId="45F087E1" w14:textId="77777777"/>
    <w:p w:rsidRPr="00FB535F" w:rsidR="00357C8A" w:rsidP="0054583A" w:rsidRDefault="00FB535F" w14:paraId="379990D0" w14:textId="398B848E">
      <w:pPr>
        <w:rPr>
          <w:rFonts w:eastAsia="Calibri"/>
          <w:i/>
        </w:rPr>
      </w:pPr>
      <w:r>
        <w:rPr>
          <w:rFonts w:eastAsia="Calibri"/>
        </w:rPr>
        <w:tab/>
      </w:r>
      <w:r w:rsidRPr="00FB535F" w:rsidR="00357C8A">
        <w:rPr>
          <w:rFonts w:eastAsia="Calibri"/>
          <w:i/>
        </w:rPr>
        <w:t>12b.  Annualized Cost Burden Estimate</w:t>
      </w:r>
    </w:p>
    <w:p w:rsidR="00FB535F" w:rsidP="0054583A" w:rsidRDefault="00FB535F" w14:paraId="30C41B27" w14:textId="77777777"/>
    <w:p w:rsidRPr="0054583A" w:rsidR="006F60C9" w:rsidP="0054583A" w:rsidRDefault="00FB535F" w14:paraId="19555FBF" w14:textId="6E52746B">
      <w:r>
        <w:tab/>
      </w:r>
      <w:r w:rsidRPr="0054583A" w:rsidR="006F60C9">
        <w:t>The annual hour cost burden to respondents is approximately $3</w:t>
      </w:r>
      <w:r w:rsidRPr="0054583A" w:rsidR="009C14AD">
        <w:t>,309</w:t>
      </w:r>
      <w:r w:rsidRPr="0054583A" w:rsidR="006F60C9">
        <w:t>.</w:t>
      </w:r>
      <w:r w:rsidRPr="0054583A" w:rsidR="009C14AD">
        <w:t>6</w:t>
      </w:r>
      <w:r w:rsidRPr="0054583A" w:rsidR="006F60C9">
        <w:t xml:space="preserve">0 per year.  </w:t>
      </w:r>
      <w:r w:rsidRPr="0054583A" w:rsidR="00F03BFA">
        <w:t xml:space="preserve">We </w:t>
      </w:r>
      <w:r w:rsidRPr="0054583A" w:rsidR="006F60C9">
        <w:t xml:space="preserve">estimate that the average hourly wage for the employee preparing and submitting a petition for an exemption from preemption would be equivalent to a GS-12/Step-1 level in the locality pay area of Washington-Baltimore in 2020, or $41.37/hour.  Doubling this wage to account for overhead costs, </w:t>
      </w:r>
      <w:r w:rsidRPr="0054583A" w:rsidR="00F03BFA">
        <w:t xml:space="preserve">we </w:t>
      </w:r>
      <w:r w:rsidRPr="0054583A" w:rsidR="006F60C9">
        <w:t>estimate the average hourly cost to respondents to be $82.74/hour.  Thus, the overall estimated cost incurred by the respondents is $3,</w:t>
      </w:r>
      <w:r w:rsidRPr="0054583A" w:rsidR="009C14AD">
        <w:t>309</w:t>
      </w:r>
      <w:r w:rsidRPr="0054583A" w:rsidR="006F60C9">
        <w:t>.</w:t>
      </w:r>
      <w:r w:rsidRPr="0054583A" w:rsidR="009C14AD">
        <w:t>6</w:t>
      </w:r>
      <w:r w:rsidRPr="0054583A" w:rsidR="006F60C9">
        <w:t>0 (40 burden hours x $82.74/hr. = $3,</w:t>
      </w:r>
      <w:r w:rsidRPr="0054583A" w:rsidR="009C14AD">
        <w:t>309</w:t>
      </w:r>
      <w:r w:rsidRPr="0054583A" w:rsidR="006F60C9">
        <w:t>.</w:t>
      </w:r>
      <w:r w:rsidRPr="0054583A" w:rsidR="009C14AD">
        <w:t>6</w:t>
      </w:r>
      <w:r w:rsidRPr="0054583A" w:rsidR="006F60C9">
        <w:t>0).</w:t>
      </w:r>
    </w:p>
    <w:p w:rsidRPr="0054583A" w:rsidR="006F60C9" w:rsidP="0054583A" w:rsidRDefault="006F60C9" w14:paraId="7B46D03D" w14:textId="77777777"/>
    <w:p w:rsidRPr="0054583A" w:rsidR="00F03BFA" w:rsidP="009420D3" w:rsidRDefault="00F03BFA" w14:paraId="66AFBAA8" w14:textId="328B9A23">
      <w:pPr>
        <w:jc w:val="center"/>
      </w:pPr>
      <w:r w:rsidRPr="0054583A">
        <w:t>Table 2.--Estimated Annual Cost Burden</w:t>
      </w: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420"/>
        <w:gridCol w:w="2340"/>
        <w:gridCol w:w="1890"/>
        <w:gridCol w:w="1463"/>
      </w:tblGrid>
      <w:tr w:rsidRPr="0054583A" w:rsidR="006F60C9" w:rsidTr="009420D3" w14:paraId="4F6BDA65" w14:textId="77777777">
        <w:trPr>
          <w:trHeight w:val="521"/>
        </w:trPr>
        <w:tc>
          <w:tcPr>
            <w:tcW w:w="3420" w:type="dxa"/>
            <w:shd w:val="clear" w:color="auto" w:fill="auto"/>
          </w:tcPr>
          <w:p w:rsidRPr="009420D3" w:rsidR="006F60C9" w:rsidP="0054583A" w:rsidRDefault="006F60C9" w14:paraId="7E989AAA" w14:textId="77777777">
            <w:pPr>
              <w:rPr>
                <w:sz w:val="22"/>
                <w:szCs w:val="22"/>
              </w:rPr>
            </w:pPr>
            <w:r w:rsidRPr="009420D3">
              <w:rPr>
                <w:sz w:val="22"/>
                <w:szCs w:val="22"/>
              </w:rPr>
              <w:t>Activity</w:t>
            </w:r>
          </w:p>
        </w:tc>
        <w:tc>
          <w:tcPr>
            <w:tcW w:w="2340" w:type="dxa"/>
            <w:shd w:val="clear" w:color="auto" w:fill="auto"/>
          </w:tcPr>
          <w:p w:rsidRPr="009420D3" w:rsidR="006F60C9" w:rsidP="0054583A" w:rsidRDefault="006F60C9" w14:paraId="3F727195" w14:textId="77777777">
            <w:pPr>
              <w:rPr>
                <w:sz w:val="22"/>
                <w:szCs w:val="22"/>
              </w:rPr>
            </w:pPr>
            <w:r w:rsidRPr="009420D3">
              <w:rPr>
                <w:sz w:val="22"/>
                <w:szCs w:val="22"/>
              </w:rPr>
              <w:t>Total Burden Hours</w:t>
            </w:r>
          </w:p>
        </w:tc>
        <w:tc>
          <w:tcPr>
            <w:tcW w:w="1890" w:type="dxa"/>
            <w:shd w:val="clear" w:color="auto" w:fill="auto"/>
          </w:tcPr>
          <w:p w:rsidRPr="009420D3" w:rsidR="006F60C9" w:rsidP="0054583A" w:rsidRDefault="006F60C9" w14:paraId="247C247E" w14:textId="77777777">
            <w:pPr>
              <w:rPr>
                <w:sz w:val="22"/>
                <w:szCs w:val="22"/>
              </w:rPr>
            </w:pPr>
            <w:r w:rsidRPr="009420D3">
              <w:rPr>
                <w:sz w:val="22"/>
                <w:szCs w:val="22"/>
              </w:rPr>
              <w:t>Hourly Wage Rate</w:t>
            </w:r>
          </w:p>
        </w:tc>
        <w:tc>
          <w:tcPr>
            <w:tcW w:w="1463" w:type="dxa"/>
            <w:shd w:val="clear" w:color="auto" w:fill="auto"/>
          </w:tcPr>
          <w:p w:rsidRPr="009420D3" w:rsidR="006F60C9" w:rsidP="0054583A" w:rsidRDefault="006F60C9" w14:paraId="4990B490" w14:textId="4ECB99D8">
            <w:pPr>
              <w:rPr>
                <w:sz w:val="22"/>
                <w:szCs w:val="22"/>
              </w:rPr>
            </w:pPr>
            <w:r w:rsidRPr="009420D3">
              <w:rPr>
                <w:sz w:val="22"/>
                <w:szCs w:val="22"/>
              </w:rPr>
              <w:t>Total Costs</w:t>
            </w:r>
          </w:p>
        </w:tc>
      </w:tr>
      <w:tr w:rsidRPr="0054583A" w:rsidR="006F60C9" w:rsidTr="009420D3" w14:paraId="5A3B50B5" w14:textId="77777777">
        <w:tc>
          <w:tcPr>
            <w:tcW w:w="3420" w:type="dxa"/>
            <w:shd w:val="clear" w:color="auto" w:fill="auto"/>
          </w:tcPr>
          <w:p w:rsidRPr="009420D3" w:rsidR="006F60C9" w:rsidP="0054583A" w:rsidRDefault="006F60C9" w14:paraId="77A6259C" w14:textId="77777777">
            <w:pPr>
              <w:rPr>
                <w:sz w:val="22"/>
                <w:szCs w:val="22"/>
              </w:rPr>
            </w:pPr>
            <w:r w:rsidRPr="009420D3">
              <w:rPr>
                <w:sz w:val="22"/>
                <w:szCs w:val="22"/>
              </w:rPr>
              <w:t>Preparing and submitting a petition for an exemption from preemption</w:t>
            </w:r>
          </w:p>
        </w:tc>
        <w:tc>
          <w:tcPr>
            <w:tcW w:w="2340" w:type="dxa"/>
            <w:shd w:val="clear" w:color="auto" w:fill="auto"/>
          </w:tcPr>
          <w:p w:rsidRPr="009420D3" w:rsidR="006F60C9" w:rsidP="0054583A" w:rsidRDefault="006F60C9" w14:paraId="3BFDD878" w14:textId="77777777">
            <w:pPr>
              <w:rPr>
                <w:sz w:val="22"/>
                <w:szCs w:val="22"/>
              </w:rPr>
            </w:pPr>
            <w:r w:rsidRPr="009420D3">
              <w:rPr>
                <w:sz w:val="22"/>
                <w:szCs w:val="22"/>
              </w:rPr>
              <w:t>40</w:t>
            </w:r>
          </w:p>
        </w:tc>
        <w:tc>
          <w:tcPr>
            <w:tcW w:w="1890" w:type="dxa"/>
            <w:shd w:val="clear" w:color="auto" w:fill="auto"/>
          </w:tcPr>
          <w:p w:rsidRPr="009420D3" w:rsidR="006F60C9" w:rsidP="0054583A" w:rsidRDefault="006F60C9" w14:paraId="146644BE" w14:textId="77777777">
            <w:pPr>
              <w:rPr>
                <w:sz w:val="22"/>
                <w:szCs w:val="22"/>
              </w:rPr>
            </w:pPr>
            <w:r w:rsidRPr="009420D3">
              <w:rPr>
                <w:sz w:val="22"/>
                <w:szCs w:val="22"/>
              </w:rPr>
              <w:t>$</w:t>
            </w:r>
            <w:r w:rsidRPr="009420D3" w:rsidR="009C14AD">
              <w:rPr>
                <w:sz w:val="22"/>
                <w:szCs w:val="22"/>
              </w:rPr>
              <w:t>82</w:t>
            </w:r>
            <w:r w:rsidRPr="009420D3">
              <w:rPr>
                <w:sz w:val="22"/>
                <w:szCs w:val="22"/>
              </w:rPr>
              <w:t>.</w:t>
            </w:r>
            <w:r w:rsidRPr="009420D3" w:rsidR="009C14AD">
              <w:rPr>
                <w:sz w:val="22"/>
                <w:szCs w:val="22"/>
              </w:rPr>
              <w:t>7</w:t>
            </w:r>
            <w:r w:rsidRPr="009420D3">
              <w:rPr>
                <w:sz w:val="22"/>
                <w:szCs w:val="22"/>
              </w:rPr>
              <w:t>4</w:t>
            </w:r>
          </w:p>
        </w:tc>
        <w:tc>
          <w:tcPr>
            <w:tcW w:w="1463" w:type="dxa"/>
            <w:shd w:val="clear" w:color="auto" w:fill="auto"/>
          </w:tcPr>
          <w:p w:rsidRPr="009420D3" w:rsidR="006F60C9" w:rsidP="0054583A" w:rsidRDefault="006F60C9" w14:paraId="3267FC00" w14:textId="77777777">
            <w:pPr>
              <w:rPr>
                <w:sz w:val="22"/>
                <w:szCs w:val="22"/>
              </w:rPr>
            </w:pPr>
            <w:r w:rsidRPr="009420D3">
              <w:rPr>
                <w:sz w:val="22"/>
                <w:szCs w:val="22"/>
              </w:rPr>
              <w:t>$3,</w:t>
            </w:r>
            <w:r w:rsidRPr="009420D3" w:rsidR="009C14AD">
              <w:rPr>
                <w:sz w:val="22"/>
                <w:szCs w:val="22"/>
              </w:rPr>
              <w:t>309</w:t>
            </w:r>
            <w:r w:rsidRPr="009420D3">
              <w:rPr>
                <w:sz w:val="22"/>
                <w:szCs w:val="22"/>
              </w:rPr>
              <w:t>.</w:t>
            </w:r>
            <w:r w:rsidRPr="009420D3" w:rsidR="009C14AD">
              <w:rPr>
                <w:sz w:val="22"/>
                <w:szCs w:val="22"/>
              </w:rPr>
              <w:t>6</w:t>
            </w:r>
            <w:r w:rsidRPr="009420D3">
              <w:rPr>
                <w:sz w:val="22"/>
                <w:szCs w:val="22"/>
              </w:rPr>
              <w:t>0</w:t>
            </w:r>
          </w:p>
        </w:tc>
      </w:tr>
    </w:tbl>
    <w:p w:rsidRPr="0054583A" w:rsidR="006F60C9" w:rsidP="0054583A" w:rsidRDefault="006F60C9" w14:paraId="30941F40" w14:textId="77777777"/>
    <w:p w:rsidRPr="0054583A" w:rsidR="00357C8A" w:rsidP="0054583A" w:rsidRDefault="00570FDD" w14:paraId="3D7F9884" w14:textId="3DC43491">
      <w:pPr>
        <w:rPr>
          <w:rFonts w:eastAsia="Calibri"/>
        </w:rPr>
      </w:pPr>
      <w:r>
        <w:rPr>
          <w:rFonts w:eastAsia="Calibri"/>
        </w:rPr>
        <w:t xml:space="preserve">13.  </w:t>
      </w:r>
      <w:r w:rsidRPr="00570FDD" w:rsidR="00357C8A">
        <w:rPr>
          <w:rFonts w:eastAsia="Calibri"/>
          <w:u w:val="single"/>
        </w:rPr>
        <w:t xml:space="preserve">Estimates of Other Total Annual Costs </w:t>
      </w:r>
      <w:r w:rsidRPr="00570FDD" w:rsidR="00590E90">
        <w:rPr>
          <w:rFonts w:eastAsia="Calibri"/>
          <w:u w:val="single"/>
        </w:rPr>
        <w:t xml:space="preserve">to Respondents/Recordkeepers or </w:t>
      </w:r>
      <w:r w:rsidRPr="00570FDD" w:rsidR="00357C8A">
        <w:rPr>
          <w:rFonts w:eastAsia="Calibri"/>
          <w:u w:val="single"/>
        </w:rPr>
        <w:t>Capital Costs</w:t>
      </w:r>
      <w:r w:rsidRPr="0054583A" w:rsidR="00357C8A">
        <w:rPr>
          <w:rFonts w:eastAsia="Calibri"/>
        </w:rPr>
        <w:t xml:space="preserve"> </w:t>
      </w:r>
    </w:p>
    <w:p w:rsidR="00570FDD" w:rsidP="0054583A" w:rsidRDefault="00570FDD" w14:paraId="3BFCC9F0" w14:textId="77777777">
      <w:pPr>
        <w:rPr>
          <w:rFonts w:eastAsia="Calibri"/>
        </w:rPr>
      </w:pPr>
    </w:p>
    <w:p w:rsidRPr="0054583A" w:rsidR="0022425B" w:rsidP="0054583A" w:rsidRDefault="009C14AD" w14:paraId="630AD79E" w14:textId="2B216A6E">
      <w:pPr>
        <w:rPr>
          <w:rFonts w:eastAsia="Calibri"/>
        </w:rPr>
      </w:pPr>
      <w:r w:rsidRPr="0054583A">
        <w:rPr>
          <w:rFonts w:eastAsia="Calibri"/>
        </w:rPr>
        <w:t>There are no capital, start-up, operating, or maintenance costs associated with this collection.</w:t>
      </w:r>
    </w:p>
    <w:p w:rsidR="00570FDD" w:rsidP="0054583A" w:rsidRDefault="00570FDD" w14:paraId="6CBCD00E" w14:textId="77777777">
      <w:pPr>
        <w:rPr>
          <w:rFonts w:eastAsia="Calibri"/>
        </w:rPr>
      </w:pPr>
    </w:p>
    <w:p w:rsidRPr="0054583A" w:rsidR="00357C8A" w:rsidP="0054583A" w:rsidRDefault="00570FDD" w14:paraId="31FEB62B" w14:textId="4CBE7DBA">
      <w:pPr>
        <w:rPr>
          <w:rFonts w:eastAsia="Calibri"/>
        </w:rPr>
      </w:pPr>
      <w:r>
        <w:rPr>
          <w:rFonts w:eastAsia="Calibri"/>
        </w:rPr>
        <w:t xml:space="preserve">14.  </w:t>
      </w:r>
      <w:r w:rsidRPr="00570FDD" w:rsidR="00357C8A">
        <w:rPr>
          <w:rFonts w:eastAsia="Calibri"/>
          <w:u w:val="single"/>
        </w:rPr>
        <w:t>Annualized Cost to the Federal Government</w:t>
      </w:r>
    </w:p>
    <w:p w:rsidR="00570FDD" w:rsidP="0054583A" w:rsidRDefault="00570FDD" w14:paraId="2A1D347E" w14:textId="77777777">
      <w:pPr>
        <w:rPr>
          <w:rFonts w:eastAsia="Calibri"/>
        </w:rPr>
      </w:pPr>
    </w:p>
    <w:p w:rsidRPr="0054583A" w:rsidR="00357C8A" w:rsidP="0054583A" w:rsidRDefault="009C14AD" w14:paraId="139F6D6F" w14:textId="66AA564B">
      <w:pPr>
        <w:rPr>
          <w:rFonts w:eastAsia="Calibri"/>
        </w:rPr>
      </w:pPr>
      <w:r w:rsidRPr="0054583A">
        <w:rPr>
          <w:rFonts w:eastAsia="Calibri"/>
        </w:rPr>
        <w:t>If a petition is submitted under §</w:t>
      </w:r>
      <w:r w:rsidRPr="0054583A" w:rsidR="000158C0">
        <w:rPr>
          <w:rFonts w:eastAsia="Calibri"/>
        </w:rPr>
        <w:t xml:space="preserve"> </w:t>
      </w:r>
      <w:r w:rsidRPr="0054583A">
        <w:rPr>
          <w:rFonts w:eastAsia="Calibri"/>
        </w:rPr>
        <w:t xml:space="preserve">100.1(d), </w:t>
      </w:r>
      <w:r w:rsidRPr="0054583A" w:rsidR="00C67F5B">
        <w:rPr>
          <w:rFonts w:eastAsia="Calibri"/>
        </w:rPr>
        <w:t xml:space="preserve">we </w:t>
      </w:r>
      <w:r w:rsidR="00305CFD">
        <w:rPr>
          <w:rFonts w:eastAsia="Calibri"/>
        </w:rPr>
        <w:t xml:space="preserve">assume an </w:t>
      </w:r>
      <w:r w:rsidRPr="0054583A">
        <w:rPr>
          <w:rFonts w:eastAsia="Calibri"/>
        </w:rPr>
        <w:t>annualized cost to the Federal government for the review and evaluation of a petition</w:t>
      </w:r>
      <w:r w:rsidR="00305CFD">
        <w:rPr>
          <w:rFonts w:eastAsia="Calibri"/>
        </w:rPr>
        <w:t xml:space="preserve"> of</w:t>
      </w:r>
      <w:r w:rsidRPr="0054583A">
        <w:rPr>
          <w:rFonts w:eastAsia="Calibri"/>
        </w:rPr>
        <w:t xml:space="preserve"> $3,935.20.  The cost is</w:t>
      </w:r>
      <w:r w:rsidR="00C23B2B">
        <w:rPr>
          <w:rFonts w:eastAsia="Calibri"/>
        </w:rPr>
        <w:t xml:space="preserve"> based</w:t>
      </w:r>
      <w:r w:rsidR="009B23A5">
        <w:rPr>
          <w:rFonts w:eastAsia="Calibri"/>
        </w:rPr>
        <w:t xml:space="preserve"> on </w:t>
      </w:r>
      <w:r w:rsidRPr="0054583A">
        <w:rPr>
          <w:rFonts w:eastAsia="Calibri"/>
        </w:rPr>
        <w:t xml:space="preserve">40 hours of review and evaluation per year by an employee at a GS-13/Step-1 salary rate of $49.19/hr. for the Washington-Baltimore locality pay area for the year 2020 (40 hours x </w:t>
      </w:r>
      <w:r w:rsidRPr="0054583A">
        <w:rPr>
          <w:rFonts w:eastAsia="Calibri"/>
        </w:rPr>
        <w:lastRenderedPageBreak/>
        <w:t>$49.19/hour = $1,967.60).  To account for overhead, this cost is increased by 100 percent, making the estimated cost to the Federal government $3,935.20.</w:t>
      </w:r>
    </w:p>
    <w:p w:rsidR="00570FDD" w:rsidP="0054583A" w:rsidRDefault="00570FDD" w14:paraId="5F04ED6C" w14:textId="77777777">
      <w:pPr>
        <w:rPr>
          <w:rFonts w:eastAsia="Calibri"/>
        </w:rPr>
      </w:pPr>
    </w:p>
    <w:p w:rsidRPr="0054583A" w:rsidR="00357C8A" w:rsidP="0054583A" w:rsidRDefault="00570FDD" w14:paraId="6635FEAF" w14:textId="2DD9624D">
      <w:pPr>
        <w:rPr>
          <w:rFonts w:eastAsia="Calibri"/>
        </w:rPr>
      </w:pPr>
      <w:r>
        <w:rPr>
          <w:rFonts w:eastAsia="Calibri"/>
        </w:rPr>
        <w:t xml:space="preserve">15.  </w:t>
      </w:r>
      <w:r w:rsidRPr="00305CFD" w:rsidR="00357C8A">
        <w:rPr>
          <w:rFonts w:eastAsia="Calibri"/>
          <w:u w:val="single"/>
        </w:rPr>
        <w:t>Explanation for Program Changes or Adjustments</w:t>
      </w:r>
    </w:p>
    <w:p w:rsidR="00570FDD" w:rsidP="0054583A" w:rsidRDefault="00570FDD" w14:paraId="599D0CF6" w14:textId="77777777">
      <w:pPr>
        <w:rPr>
          <w:rFonts w:eastAsia="Calibri"/>
        </w:rPr>
      </w:pPr>
    </w:p>
    <w:p w:rsidRPr="0054583A" w:rsidR="00357C8A" w:rsidP="0054583A" w:rsidRDefault="009C14AD" w14:paraId="407864BA" w14:textId="5B15424B">
      <w:pPr>
        <w:rPr>
          <w:rFonts w:eastAsia="Calibri"/>
        </w:rPr>
      </w:pPr>
      <w:r w:rsidRPr="0054583A">
        <w:rPr>
          <w:rFonts w:eastAsia="Calibri"/>
        </w:rPr>
        <w:t>Based on a review of the information collection since our last request for OMB approval, we have made no adjustments to our burden estimate.</w:t>
      </w:r>
    </w:p>
    <w:p w:rsidR="00570FDD" w:rsidP="0054583A" w:rsidRDefault="00570FDD" w14:paraId="1FE96670" w14:textId="77777777">
      <w:pPr>
        <w:rPr>
          <w:rFonts w:eastAsia="Calibri"/>
        </w:rPr>
      </w:pPr>
    </w:p>
    <w:p w:rsidRPr="0054583A" w:rsidR="00357C8A" w:rsidP="0054583A" w:rsidRDefault="00570FDD" w14:paraId="65BD15A6" w14:textId="3E6E695E">
      <w:pPr>
        <w:rPr>
          <w:rFonts w:eastAsia="Calibri"/>
        </w:rPr>
      </w:pPr>
      <w:r>
        <w:rPr>
          <w:rFonts w:eastAsia="Calibri"/>
        </w:rPr>
        <w:t xml:space="preserve">16.  </w:t>
      </w:r>
      <w:r w:rsidRPr="00305CFD" w:rsidR="00357C8A">
        <w:rPr>
          <w:rFonts w:eastAsia="Calibri"/>
          <w:u w:val="single"/>
        </w:rPr>
        <w:t>Plans for Tabulation and Publication and Project Time Schedule</w:t>
      </w:r>
    </w:p>
    <w:p w:rsidR="00570FDD" w:rsidP="0054583A" w:rsidRDefault="00570FDD" w14:paraId="4E94F55C" w14:textId="77777777"/>
    <w:p w:rsidRPr="0054583A" w:rsidR="00357C8A" w:rsidP="0054583A" w:rsidRDefault="009C14AD" w14:paraId="21F47898" w14:textId="580B8FB5">
      <w:pPr>
        <w:rPr>
          <w:rFonts w:eastAsia="Calibri"/>
        </w:rPr>
      </w:pPr>
      <w:r w:rsidRPr="0054583A">
        <w:t xml:space="preserve">The agency has no plans for publication of information from this information collection.  </w:t>
      </w:r>
    </w:p>
    <w:p w:rsidR="00570FDD" w:rsidP="0054583A" w:rsidRDefault="00570FDD" w14:paraId="6143348E" w14:textId="77777777">
      <w:pPr>
        <w:rPr>
          <w:rFonts w:eastAsia="Calibri"/>
        </w:rPr>
      </w:pPr>
    </w:p>
    <w:p w:rsidRPr="0054583A" w:rsidR="00357C8A" w:rsidP="0054583A" w:rsidRDefault="00570FDD" w14:paraId="3AC3194A" w14:textId="1C2F4AB7">
      <w:pPr>
        <w:rPr>
          <w:rFonts w:eastAsia="Calibri"/>
        </w:rPr>
      </w:pPr>
      <w:r>
        <w:rPr>
          <w:rFonts w:eastAsia="Calibri"/>
        </w:rPr>
        <w:t xml:space="preserve">17.  </w:t>
      </w:r>
      <w:r w:rsidRPr="00305CFD" w:rsidR="00357C8A">
        <w:rPr>
          <w:rFonts w:eastAsia="Calibri"/>
          <w:u w:val="single"/>
        </w:rPr>
        <w:t>Reason(s) Display of OMB Expiration Date is Inappropriate</w:t>
      </w:r>
    </w:p>
    <w:p w:rsidR="00570FDD" w:rsidP="0054583A" w:rsidRDefault="00570FDD" w14:paraId="4EFE335B" w14:textId="77777777">
      <w:pPr>
        <w:rPr>
          <w:rFonts w:eastAsia="Calibri"/>
        </w:rPr>
      </w:pPr>
    </w:p>
    <w:p w:rsidRPr="0054583A" w:rsidR="00357C8A" w:rsidP="0054583A" w:rsidRDefault="002A6C51" w14:paraId="69ADFCF4" w14:textId="6A440845">
      <w:pPr>
        <w:rPr>
          <w:rFonts w:eastAsia="Calibri"/>
        </w:rPr>
      </w:pPr>
      <w:r w:rsidRPr="0054583A">
        <w:rPr>
          <w:rFonts w:eastAsia="Calibri"/>
        </w:rPr>
        <w:t>Approval to not display the expiration date for OMB approval of the information collection is not being sought.</w:t>
      </w:r>
    </w:p>
    <w:p w:rsidR="00570FDD" w:rsidP="0054583A" w:rsidRDefault="00570FDD" w14:paraId="14F63BC8" w14:textId="77777777">
      <w:pPr>
        <w:rPr>
          <w:rFonts w:eastAsia="Calibri"/>
        </w:rPr>
      </w:pPr>
    </w:p>
    <w:p w:rsidRPr="0054583A" w:rsidR="00357C8A" w:rsidP="0054583A" w:rsidRDefault="00305CFD" w14:paraId="52CE0B02" w14:textId="26DE4467">
      <w:pPr>
        <w:rPr>
          <w:rFonts w:eastAsia="Calibri"/>
        </w:rPr>
      </w:pPr>
      <w:r>
        <w:rPr>
          <w:rFonts w:eastAsia="Calibri"/>
        </w:rPr>
        <w:t xml:space="preserve">18.  </w:t>
      </w:r>
      <w:r w:rsidRPr="00305CFD" w:rsidR="00357C8A">
        <w:rPr>
          <w:rFonts w:eastAsia="Calibri"/>
          <w:u w:val="single"/>
        </w:rPr>
        <w:t>Exceptions to Certification for Paperwork Reduction Act Submissions</w:t>
      </w:r>
    </w:p>
    <w:p w:rsidR="00570FDD" w:rsidP="0054583A" w:rsidRDefault="00570FDD" w14:paraId="169B4F62" w14:textId="77777777">
      <w:pPr>
        <w:rPr>
          <w:rFonts w:eastAsia="Calibri"/>
        </w:rPr>
      </w:pPr>
    </w:p>
    <w:p w:rsidRPr="0054583A" w:rsidR="00544138" w:rsidP="0054583A" w:rsidRDefault="002A6C51" w14:paraId="45893AEC" w14:textId="45603342">
      <w:pPr>
        <w:rPr>
          <w:rFonts w:eastAsia="Calibri"/>
        </w:rPr>
      </w:pPr>
      <w:r w:rsidRPr="0054583A">
        <w:rPr>
          <w:rFonts w:eastAsia="Calibri"/>
        </w:rPr>
        <w:t>There are no exceptions to the certification.</w:t>
      </w:r>
    </w:p>
    <w:sectPr w:rsidRPr="0054583A" w:rsidR="00544138" w:rsidSect="00E14A83">
      <w:footerReference w:type="even" r:id="rId7"/>
      <w:footerReference w:type="defaul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2C6F6C" w14:textId="77777777" w:rsidR="00720995" w:rsidRDefault="00720995">
      <w:r>
        <w:separator/>
      </w:r>
    </w:p>
  </w:endnote>
  <w:endnote w:type="continuationSeparator" w:id="0">
    <w:p w14:paraId="1ED29113" w14:textId="77777777" w:rsidR="00720995" w:rsidRDefault="007209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2DE9D5" w14:textId="77777777" w:rsidR="00E63DE5" w:rsidRDefault="00E63DE5"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D70637A" w14:textId="77777777" w:rsidR="00E63DE5" w:rsidRDefault="00E63D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8A10AE" w14:textId="77777777" w:rsidR="00E63DE5" w:rsidRDefault="00E63DE5"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97FFD">
      <w:rPr>
        <w:rStyle w:val="PageNumber"/>
        <w:noProof/>
      </w:rPr>
      <w:t>7</w:t>
    </w:r>
    <w:r>
      <w:rPr>
        <w:rStyle w:val="PageNumber"/>
      </w:rPr>
      <w:fldChar w:fldCharType="end"/>
    </w:r>
  </w:p>
  <w:p w14:paraId="6FAEDC71" w14:textId="77777777" w:rsidR="00E63DE5" w:rsidRDefault="00E63D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D1FB8F" w14:textId="77777777" w:rsidR="00720995" w:rsidRDefault="00720995">
      <w:r>
        <w:separator/>
      </w:r>
    </w:p>
  </w:footnote>
  <w:footnote w:type="continuationSeparator" w:id="0">
    <w:p w14:paraId="0719153F" w14:textId="77777777" w:rsidR="00720995" w:rsidRDefault="007209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5567B5"/>
    <w:multiLevelType w:val="hybridMultilevel"/>
    <w:tmpl w:val="91168750"/>
    <w:lvl w:ilvl="0" w:tplc="0409000F">
      <w:start w:val="1"/>
      <w:numFmt w:val="decimal"/>
      <w:lvlText w:val="%1."/>
      <w:lvlJc w:val="left"/>
      <w:pPr>
        <w:ind w:left="360" w:hanging="360"/>
      </w:pPr>
    </w:lvl>
    <w:lvl w:ilvl="1" w:tplc="64408308">
      <w:start w:val="1"/>
      <w:numFmt w:val="lowerLetter"/>
      <w:lvlText w:val="%2."/>
      <w:lvlJc w:val="left"/>
      <w:pPr>
        <w:ind w:left="1080" w:hanging="360"/>
      </w:pPr>
      <w:rPr>
        <w:i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7B65BAA"/>
    <w:multiLevelType w:val="hybridMultilevel"/>
    <w:tmpl w:val="A5E844D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B507DAF"/>
    <w:multiLevelType w:val="hybridMultilevel"/>
    <w:tmpl w:val="5F744CAC"/>
    <w:lvl w:ilvl="0" w:tplc="04090003">
      <w:start w:val="1"/>
      <w:numFmt w:val="bullet"/>
      <w:lvlText w:val="o"/>
      <w:lvlJc w:val="left"/>
      <w:pPr>
        <w:ind w:left="720" w:hanging="360"/>
      </w:pPr>
      <w:rPr>
        <w:rFonts w:ascii="Courier New" w:hAnsi="Courier New"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BEE557C"/>
    <w:multiLevelType w:val="hybridMultilevel"/>
    <w:tmpl w:val="B024C990"/>
    <w:lvl w:ilvl="0" w:tplc="0409000F">
      <w:start w:val="1"/>
      <w:numFmt w:val="decimal"/>
      <w:lvlText w:val="%1."/>
      <w:lvlJc w:val="left"/>
      <w:pPr>
        <w:ind w:left="360" w:hanging="360"/>
      </w:pPr>
    </w:lvl>
    <w:lvl w:ilvl="1" w:tplc="64408308">
      <w:start w:val="1"/>
      <w:numFmt w:val="lowerLetter"/>
      <w:lvlText w:val="%2."/>
      <w:lvlJc w:val="left"/>
      <w:pPr>
        <w:ind w:left="1080" w:hanging="360"/>
      </w:pPr>
      <w:rPr>
        <w:i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51C66BF9"/>
    <w:multiLevelType w:val="hybridMultilevel"/>
    <w:tmpl w:val="04687716"/>
    <w:lvl w:ilvl="0" w:tplc="D3B6806E">
      <w:start w:val="1"/>
      <w:numFmt w:val="bullet"/>
      <w:lvlText w:val=""/>
      <w:lvlJc w:val="left"/>
      <w:pPr>
        <w:ind w:left="720" w:hanging="360"/>
      </w:pPr>
      <w:rPr>
        <w:rFonts w:ascii="Symbol" w:hAnsi="Symbol" w:hint="default"/>
      </w:rPr>
    </w:lvl>
    <w:lvl w:ilvl="1" w:tplc="D3B6806E">
      <w:start w:val="1"/>
      <w:numFmt w:val="bullet"/>
      <w:lvlText w:val=""/>
      <w:lvlJc w:val="left"/>
      <w:pPr>
        <w:ind w:left="1440" w:hanging="360"/>
      </w:pPr>
      <w:rPr>
        <w:rFonts w:ascii="Symbol" w:hAnsi="Symbol" w:hint="default"/>
      </w:rPr>
    </w:lvl>
    <w:lvl w:ilvl="2" w:tplc="D3B6806E">
      <w:start w:val="1"/>
      <w:numFmt w:val="bullet"/>
      <w:lvlText w:val=""/>
      <w:lvlJc w:val="left"/>
      <w:pPr>
        <w:ind w:left="2160" w:hanging="360"/>
      </w:pPr>
      <w:rPr>
        <w:rFonts w:ascii="Symbol" w:hAnsi="Symbol" w:hint="default"/>
      </w:rPr>
    </w:lvl>
    <w:lvl w:ilvl="3" w:tplc="D3B6806E">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DC55C4D"/>
    <w:multiLevelType w:val="hybridMultilevel"/>
    <w:tmpl w:val="8F8A4D3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704B3A7E"/>
    <w:multiLevelType w:val="hybridMultilevel"/>
    <w:tmpl w:val="F0964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A5A208E"/>
    <w:multiLevelType w:val="hybridMultilevel"/>
    <w:tmpl w:val="4AA4ED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1"/>
  </w:num>
  <w:num w:numId="3">
    <w:abstractNumId w:val="6"/>
  </w:num>
  <w:num w:numId="4">
    <w:abstractNumId w:val="3"/>
  </w:num>
  <w:num w:numId="5">
    <w:abstractNumId w:val="7"/>
  </w:num>
  <w:num w:numId="6">
    <w:abstractNumId w:val="0"/>
  </w:num>
  <w:num w:numId="7">
    <w:abstractNumId w:val="2"/>
  </w:num>
  <w:num w:numId="8">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538"/>
    <w:rsid w:val="000158C0"/>
    <w:rsid w:val="00031A2C"/>
    <w:rsid w:val="00042B93"/>
    <w:rsid w:val="00043C7F"/>
    <w:rsid w:val="000467A8"/>
    <w:rsid w:val="0006570F"/>
    <w:rsid w:val="00075DE8"/>
    <w:rsid w:val="00087439"/>
    <w:rsid w:val="000970C4"/>
    <w:rsid w:val="000C1260"/>
    <w:rsid w:val="000C560C"/>
    <w:rsid w:val="000D080B"/>
    <w:rsid w:val="000D48FD"/>
    <w:rsid w:val="000D79CC"/>
    <w:rsid w:val="000E1C64"/>
    <w:rsid w:val="000F7119"/>
    <w:rsid w:val="00100739"/>
    <w:rsid w:val="0010493E"/>
    <w:rsid w:val="001075D3"/>
    <w:rsid w:val="00107885"/>
    <w:rsid w:val="00110708"/>
    <w:rsid w:val="00114FC4"/>
    <w:rsid w:val="0012329C"/>
    <w:rsid w:val="00134FA7"/>
    <w:rsid w:val="00137950"/>
    <w:rsid w:val="00152F29"/>
    <w:rsid w:val="00160EEE"/>
    <w:rsid w:val="001641BF"/>
    <w:rsid w:val="00166620"/>
    <w:rsid w:val="00174D54"/>
    <w:rsid w:val="0017702C"/>
    <w:rsid w:val="00185270"/>
    <w:rsid w:val="001A3B5A"/>
    <w:rsid w:val="001B7CE9"/>
    <w:rsid w:val="001D495A"/>
    <w:rsid w:val="001E244C"/>
    <w:rsid w:val="001F1437"/>
    <w:rsid w:val="00206799"/>
    <w:rsid w:val="002074FE"/>
    <w:rsid w:val="0022425B"/>
    <w:rsid w:val="002259EF"/>
    <w:rsid w:val="0023266B"/>
    <w:rsid w:val="00242ED1"/>
    <w:rsid w:val="002444BB"/>
    <w:rsid w:val="00254069"/>
    <w:rsid w:val="00270748"/>
    <w:rsid w:val="002734E5"/>
    <w:rsid w:val="002746DB"/>
    <w:rsid w:val="00280CAF"/>
    <w:rsid w:val="00282F09"/>
    <w:rsid w:val="00291810"/>
    <w:rsid w:val="00291C5C"/>
    <w:rsid w:val="00294D62"/>
    <w:rsid w:val="00297532"/>
    <w:rsid w:val="00297FFD"/>
    <w:rsid w:val="002A1210"/>
    <w:rsid w:val="002A47D2"/>
    <w:rsid w:val="002A6C51"/>
    <w:rsid w:val="002A7FB5"/>
    <w:rsid w:val="002B2074"/>
    <w:rsid w:val="002D14D8"/>
    <w:rsid w:val="002D4799"/>
    <w:rsid w:val="002E3FA4"/>
    <w:rsid w:val="002E53A5"/>
    <w:rsid w:val="002E64B8"/>
    <w:rsid w:val="002E6834"/>
    <w:rsid w:val="002F6D01"/>
    <w:rsid w:val="00305CFD"/>
    <w:rsid w:val="003113FF"/>
    <w:rsid w:val="00312622"/>
    <w:rsid w:val="0032277F"/>
    <w:rsid w:val="00333FFC"/>
    <w:rsid w:val="00336B69"/>
    <w:rsid w:val="003402CF"/>
    <w:rsid w:val="00342E2D"/>
    <w:rsid w:val="0034302B"/>
    <w:rsid w:val="00350523"/>
    <w:rsid w:val="0035189D"/>
    <w:rsid w:val="00352A90"/>
    <w:rsid w:val="00355B62"/>
    <w:rsid w:val="00357C8A"/>
    <w:rsid w:val="003740BC"/>
    <w:rsid w:val="0037456B"/>
    <w:rsid w:val="003801A3"/>
    <w:rsid w:val="00383D90"/>
    <w:rsid w:val="00384180"/>
    <w:rsid w:val="003870AE"/>
    <w:rsid w:val="003A1A27"/>
    <w:rsid w:val="003A50CC"/>
    <w:rsid w:val="003B42B3"/>
    <w:rsid w:val="003B6384"/>
    <w:rsid w:val="003C0FE2"/>
    <w:rsid w:val="003C4EBB"/>
    <w:rsid w:val="003D1531"/>
    <w:rsid w:val="003E4EC6"/>
    <w:rsid w:val="003E527E"/>
    <w:rsid w:val="003E553E"/>
    <w:rsid w:val="003E7078"/>
    <w:rsid w:val="003F3DF5"/>
    <w:rsid w:val="003F73B8"/>
    <w:rsid w:val="0040297E"/>
    <w:rsid w:val="00411D11"/>
    <w:rsid w:val="00414494"/>
    <w:rsid w:val="00415E23"/>
    <w:rsid w:val="0041670D"/>
    <w:rsid w:val="00423272"/>
    <w:rsid w:val="00424061"/>
    <w:rsid w:val="004372E3"/>
    <w:rsid w:val="00441435"/>
    <w:rsid w:val="00442A3C"/>
    <w:rsid w:val="00443969"/>
    <w:rsid w:val="00447D74"/>
    <w:rsid w:val="00450A74"/>
    <w:rsid w:val="004546BF"/>
    <w:rsid w:val="00456433"/>
    <w:rsid w:val="00465350"/>
    <w:rsid w:val="00476B91"/>
    <w:rsid w:val="004846BF"/>
    <w:rsid w:val="0048631D"/>
    <w:rsid w:val="00494912"/>
    <w:rsid w:val="004A5323"/>
    <w:rsid w:val="004A5A99"/>
    <w:rsid w:val="004C6979"/>
    <w:rsid w:val="004D13A2"/>
    <w:rsid w:val="004D3E7A"/>
    <w:rsid w:val="004F594B"/>
    <w:rsid w:val="004F61E1"/>
    <w:rsid w:val="0053380B"/>
    <w:rsid w:val="00543194"/>
    <w:rsid w:val="00544138"/>
    <w:rsid w:val="0054583A"/>
    <w:rsid w:val="00554E34"/>
    <w:rsid w:val="00570FDD"/>
    <w:rsid w:val="00584583"/>
    <w:rsid w:val="00590E90"/>
    <w:rsid w:val="00590EEB"/>
    <w:rsid w:val="005A4099"/>
    <w:rsid w:val="005C38B2"/>
    <w:rsid w:val="005C5029"/>
    <w:rsid w:val="005C55C2"/>
    <w:rsid w:val="005C71CA"/>
    <w:rsid w:val="005C745C"/>
    <w:rsid w:val="005D4DF5"/>
    <w:rsid w:val="005E42BA"/>
    <w:rsid w:val="005E5134"/>
    <w:rsid w:val="00602B97"/>
    <w:rsid w:val="00611D6B"/>
    <w:rsid w:val="006326EC"/>
    <w:rsid w:val="00662C1D"/>
    <w:rsid w:val="00663A42"/>
    <w:rsid w:val="006641C7"/>
    <w:rsid w:val="006705EA"/>
    <w:rsid w:val="00670BE2"/>
    <w:rsid w:val="006916D9"/>
    <w:rsid w:val="006A0E05"/>
    <w:rsid w:val="006A26C6"/>
    <w:rsid w:val="006A465A"/>
    <w:rsid w:val="006A7D5D"/>
    <w:rsid w:val="006D0C12"/>
    <w:rsid w:val="006D4E37"/>
    <w:rsid w:val="006D5D57"/>
    <w:rsid w:val="006E2538"/>
    <w:rsid w:val="006E302F"/>
    <w:rsid w:val="006F4D6D"/>
    <w:rsid w:val="006F60C9"/>
    <w:rsid w:val="00705086"/>
    <w:rsid w:val="00720995"/>
    <w:rsid w:val="00720DE6"/>
    <w:rsid w:val="00722001"/>
    <w:rsid w:val="00751E66"/>
    <w:rsid w:val="00754497"/>
    <w:rsid w:val="00780CF8"/>
    <w:rsid w:val="00787C39"/>
    <w:rsid w:val="00791B74"/>
    <w:rsid w:val="00792947"/>
    <w:rsid w:val="00795DF3"/>
    <w:rsid w:val="007A373C"/>
    <w:rsid w:val="007B225C"/>
    <w:rsid w:val="007C75B1"/>
    <w:rsid w:val="007D3DFC"/>
    <w:rsid w:val="007E2F07"/>
    <w:rsid w:val="007E59A8"/>
    <w:rsid w:val="0080776D"/>
    <w:rsid w:val="00810145"/>
    <w:rsid w:val="008108FA"/>
    <w:rsid w:val="00810FF1"/>
    <w:rsid w:val="00815ABF"/>
    <w:rsid w:val="00822336"/>
    <w:rsid w:val="00823DFA"/>
    <w:rsid w:val="00840036"/>
    <w:rsid w:val="00842DB7"/>
    <w:rsid w:val="00843752"/>
    <w:rsid w:val="0084479F"/>
    <w:rsid w:val="0085725E"/>
    <w:rsid w:val="00873D4F"/>
    <w:rsid w:val="0087509F"/>
    <w:rsid w:val="00885B09"/>
    <w:rsid w:val="008878F9"/>
    <w:rsid w:val="00892400"/>
    <w:rsid w:val="008A209D"/>
    <w:rsid w:val="008A22BB"/>
    <w:rsid w:val="008A7138"/>
    <w:rsid w:val="008B035D"/>
    <w:rsid w:val="008B0E29"/>
    <w:rsid w:val="008B0EFA"/>
    <w:rsid w:val="008B1B7C"/>
    <w:rsid w:val="008B30AB"/>
    <w:rsid w:val="008C310C"/>
    <w:rsid w:val="008C3BB8"/>
    <w:rsid w:val="008C4B65"/>
    <w:rsid w:val="008D227F"/>
    <w:rsid w:val="008E5F55"/>
    <w:rsid w:val="009009E7"/>
    <w:rsid w:val="00905DEF"/>
    <w:rsid w:val="00906056"/>
    <w:rsid w:val="009122AE"/>
    <w:rsid w:val="00913B43"/>
    <w:rsid w:val="00930203"/>
    <w:rsid w:val="009311D2"/>
    <w:rsid w:val="009311E6"/>
    <w:rsid w:val="00931275"/>
    <w:rsid w:val="00936AC7"/>
    <w:rsid w:val="009420D3"/>
    <w:rsid w:val="00953B64"/>
    <w:rsid w:val="009646A7"/>
    <w:rsid w:val="00970A88"/>
    <w:rsid w:val="009818A1"/>
    <w:rsid w:val="009918F7"/>
    <w:rsid w:val="00996A53"/>
    <w:rsid w:val="009A1674"/>
    <w:rsid w:val="009B23A5"/>
    <w:rsid w:val="009B38BE"/>
    <w:rsid w:val="009B4DF2"/>
    <w:rsid w:val="009C14AD"/>
    <w:rsid w:val="009C387B"/>
    <w:rsid w:val="009C684F"/>
    <w:rsid w:val="009D074C"/>
    <w:rsid w:val="009D6E73"/>
    <w:rsid w:val="009F1F1D"/>
    <w:rsid w:val="009F2B4F"/>
    <w:rsid w:val="009F3C63"/>
    <w:rsid w:val="009F66B5"/>
    <w:rsid w:val="00A02F10"/>
    <w:rsid w:val="00A16221"/>
    <w:rsid w:val="00A20A7D"/>
    <w:rsid w:val="00A35D42"/>
    <w:rsid w:val="00A46CCF"/>
    <w:rsid w:val="00A506DE"/>
    <w:rsid w:val="00A53451"/>
    <w:rsid w:val="00A62FC2"/>
    <w:rsid w:val="00A67A6A"/>
    <w:rsid w:val="00A70426"/>
    <w:rsid w:val="00A707CC"/>
    <w:rsid w:val="00A71410"/>
    <w:rsid w:val="00A91E9A"/>
    <w:rsid w:val="00A93ED9"/>
    <w:rsid w:val="00A96221"/>
    <w:rsid w:val="00AB0282"/>
    <w:rsid w:val="00AC2DBB"/>
    <w:rsid w:val="00AC6A99"/>
    <w:rsid w:val="00AD6048"/>
    <w:rsid w:val="00AE09C0"/>
    <w:rsid w:val="00B055EF"/>
    <w:rsid w:val="00B06B5B"/>
    <w:rsid w:val="00B23769"/>
    <w:rsid w:val="00B41789"/>
    <w:rsid w:val="00B81808"/>
    <w:rsid w:val="00B83165"/>
    <w:rsid w:val="00B86DFA"/>
    <w:rsid w:val="00B936D0"/>
    <w:rsid w:val="00BB15FB"/>
    <w:rsid w:val="00BD3D5B"/>
    <w:rsid w:val="00BE0D2D"/>
    <w:rsid w:val="00BE3600"/>
    <w:rsid w:val="00C01F6F"/>
    <w:rsid w:val="00C041EA"/>
    <w:rsid w:val="00C13BBD"/>
    <w:rsid w:val="00C149AB"/>
    <w:rsid w:val="00C16929"/>
    <w:rsid w:val="00C20690"/>
    <w:rsid w:val="00C23B2B"/>
    <w:rsid w:val="00C36020"/>
    <w:rsid w:val="00C40694"/>
    <w:rsid w:val="00C479BF"/>
    <w:rsid w:val="00C5124B"/>
    <w:rsid w:val="00C61758"/>
    <w:rsid w:val="00C67F5B"/>
    <w:rsid w:val="00C70542"/>
    <w:rsid w:val="00C75CBF"/>
    <w:rsid w:val="00CC2894"/>
    <w:rsid w:val="00CD77C3"/>
    <w:rsid w:val="00CE112C"/>
    <w:rsid w:val="00CF0B3C"/>
    <w:rsid w:val="00CF55D4"/>
    <w:rsid w:val="00D608DA"/>
    <w:rsid w:val="00D6732B"/>
    <w:rsid w:val="00D730BF"/>
    <w:rsid w:val="00D851AE"/>
    <w:rsid w:val="00D852F4"/>
    <w:rsid w:val="00DB1110"/>
    <w:rsid w:val="00DB3730"/>
    <w:rsid w:val="00DC371B"/>
    <w:rsid w:val="00DC3788"/>
    <w:rsid w:val="00DC76C7"/>
    <w:rsid w:val="00DD09F5"/>
    <w:rsid w:val="00DD0E02"/>
    <w:rsid w:val="00DD4201"/>
    <w:rsid w:val="00DD5E9F"/>
    <w:rsid w:val="00DE5711"/>
    <w:rsid w:val="00E00EA0"/>
    <w:rsid w:val="00E021CB"/>
    <w:rsid w:val="00E138F1"/>
    <w:rsid w:val="00E14A83"/>
    <w:rsid w:val="00E2309D"/>
    <w:rsid w:val="00E26758"/>
    <w:rsid w:val="00E4357B"/>
    <w:rsid w:val="00E443A7"/>
    <w:rsid w:val="00E45904"/>
    <w:rsid w:val="00E4799B"/>
    <w:rsid w:val="00E609F0"/>
    <w:rsid w:val="00E63DE5"/>
    <w:rsid w:val="00E647AF"/>
    <w:rsid w:val="00E647C7"/>
    <w:rsid w:val="00E65A37"/>
    <w:rsid w:val="00E65EF7"/>
    <w:rsid w:val="00E77B48"/>
    <w:rsid w:val="00E857FB"/>
    <w:rsid w:val="00E91799"/>
    <w:rsid w:val="00E97DF8"/>
    <w:rsid w:val="00EA21FE"/>
    <w:rsid w:val="00EA34E3"/>
    <w:rsid w:val="00EB7538"/>
    <w:rsid w:val="00EC0F57"/>
    <w:rsid w:val="00EC1868"/>
    <w:rsid w:val="00EC4C04"/>
    <w:rsid w:val="00EE6468"/>
    <w:rsid w:val="00F03BFA"/>
    <w:rsid w:val="00F12923"/>
    <w:rsid w:val="00F1299B"/>
    <w:rsid w:val="00F207A4"/>
    <w:rsid w:val="00F25173"/>
    <w:rsid w:val="00F355AC"/>
    <w:rsid w:val="00F40CF7"/>
    <w:rsid w:val="00F44194"/>
    <w:rsid w:val="00F71A5A"/>
    <w:rsid w:val="00F73A1A"/>
    <w:rsid w:val="00F769E0"/>
    <w:rsid w:val="00FA4A46"/>
    <w:rsid w:val="00FA75FE"/>
    <w:rsid w:val="00FB1032"/>
    <w:rsid w:val="00FB39BC"/>
    <w:rsid w:val="00FB535F"/>
    <w:rsid w:val="00FB6A53"/>
    <w:rsid w:val="00FC11CA"/>
    <w:rsid w:val="00FC6BDE"/>
    <w:rsid w:val="00FD3070"/>
    <w:rsid w:val="00FF61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o:shapelayout v:ext="edit">
      <o:idmap v:ext="edit" data="1"/>
    </o:shapelayout>
  </w:shapeDefaults>
  <w:decimalSymbol w:val="."/>
  <w:listSeparator w:val=","/>
  <w14:docId w14:val="4A4C6B3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6CC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11D6B"/>
    <w:pPr>
      <w:tabs>
        <w:tab w:val="center" w:pos="4320"/>
        <w:tab w:val="right" w:pos="8640"/>
      </w:tabs>
    </w:pPr>
  </w:style>
  <w:style w:type="character" w:styleId="PageNumber">
    <w:name w:val="page number"/>
    <w:basedOn w:val="DefaultParagraphFont"/>
    <w:rsid w:val="00611D6B"/>
  </w:style>
  <w:style w:type="paragraph" w:styleId="ListParagraph">
    <w:name w:val="List Paragraph"/>
    <w:basedOn w:val="Normal"/>
    <w:uiPriority w:val="34"/>
    <w:qFormat/>
    <w:rsid w:val="009D6E73"/>
    <w:pPr>
      <w:ind w:left="720"/>
    </w:pPr>
  </w:style>
  <w:style w:type="character" w:styleId="Hyperlink">
    <w:name w:val="Hyperlink"/>
    <w:rsid w:val="0010493E"/>
    <w:rPr>
      <w:color w:val="0563C1"/>
      <w:u w:val="single"/>
    </w:rPr>
  </w:style>
  <w:style w:type="character" w:styleId="UnresolvedMention">
    <w:name w:val="Unresolved Mention"/>
    <w:uiPriority w:val="99"/>
    <w:semiHidden/>
    <w:unhideWhenUsed/>
    <w:rsid w:val="0010493E"/>
    <w:rPr>
      <w:color w:val="605E5C"/>
      <w:shd w:val="clear" w:color="auto" w:fill="E1DFDD"/>
    </w:rPr>
  </w:style>
  <w:style w:type="character" w:styleId="FollowedHyperlink">
    <w:name w:val="FollowedHyperlink"/>
    <w:rsid w:val="00A506DE"/>
    <w:rPr>
      <w:color w:val="954F72"/>
      <w:u w:val="single"/>
    </w:rPr>
  </w:style>
  <w:style w:type="paragraph" w:customStyle="1" w:styleId="Default">
    <w:name w:val="Default"/>
    <w:rsid w:val="00A506DE"/>
    <w:pPr>
      <w:autoSpaceDE w:val="0"/>
      <w:autoSpaceDN w:val="0"/>
      <w:adjustRightInd w:val="0"/>
    </w:pPr>
    <w:rPr>
      <w:color w:val="000000"/>
      <w:sz w:val="24"/>
      <w:szCs w:val="24"/>
    </w:rPr>
  </w:style>
  <w:style w:type="paragraph" w:styleId="Header">
    <w:name w:val="header"/>
    <w:basedOn w:val="Normal"/>
    <w:link w:val="HeaderChar"/>
    <w:uiPriority w:val="99"/>
    <w:rsid w:val="003C0FE2"/>
    <w:pPr>
      <w:tabs>
        <w:tab w:val="center" w:pos="4680"/>
        <w:tab w:val="right" w:pos="9360"/>
      </w:tabs>
    </w:pPr>
  </w:style>
  <w:style w:type="character" w:customStyle="1" w:styleId="HeaderChar">
    <w:name w:val="Header Char"/>
    <w:link w:val="Header"/>
    <w:uiPriority w:val="99"/>
    <w:rsid w:val="003C0FE2"/>
    <w:rPr>
      <w:sz w:val="24"/>
      <w:szCs w:val="24"/>
    </w:rPr>
  </w:style>
  <w:style w:type="character" w:styleId="CommentReference">
    <w:name w:val="annotation reference"/>
    <w:rsid w:val="008D227F"/>
    <w:rPr>
      <w:sz w:val="16"/>
      <w:szCs w:val="16"/>
    </w:rPr>
  </w:style>
  <w:style w:type="paragraph" w:styleId="CommentText">
    <w:name w:val="annotation text"/>
    <w:basedOn w:val="Normal"/>
    <w:link w:val="CommentTextChar"/>
    <w:rsid w:val="008D227F"/>
    <w:rPr>
      <w:sz w:val="20"/>
      <w:szCs w:val="20"/>
    </w:rPr>
  </w:style>
  <w:style w:type="character" w:customStyle="1" w:styleId="CommentTextChar">
    <w:name w:val="Comment Text Char"/>
    <w:basedOn w:val="DefaultParagraphFont"/>
    <w:link w:val="CommentText"/>
    <w:rsid w:val="008D227F"/>
  </w:style>
  <w:style w:type="paragraph" w:styleId="CommentSubject">
    <w:name w:val="annotation subject"/>
    <w:basedOn w:val="CommentText"/>
    <w:next w:val="CommentText"/>
    <w:link w:val="CommentSubjectChar"/>
    <w:rsid w:val="008D227F"/>
    <w:rPr>
      <w:b/>
      <w:bCs/>
    </w:rPr>
  </w:style>
  <w:style w:type="character" w:customStyle="1" w:styleId="CommentSubjectChar">
    <w:name w:val="Comment Subject Char"/>
    <w:link w:val="CommentSubject"/>
    <w:rsid w:val="008D227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3937842">
      <w:bodyDiv w:val="1"/>
      <w:marLeft w:val="0"/>
      <w:marRight w:val="0"/>
      <w:marTop w:val="0"/>
      <w:marBottom w:val="0"/>
      <w:divBdr>
        <w:top w:val="none" w:sz="0" w:space="0" w:color="auto"/>
        <w:left w:val="none" w:sz="0" w:space="0" w:color="auto"/>
        <w:bottom w:val="none" w:sz="0" w:space="0" w:color="auto"/>
        <w:right w:val="none" w:sz="0" w:space="0" w:color="auto"/>
      </w:divBdr>
    </w:div>
    <w:div w:id="1264607699">
      <w:bodyDiv w:val="1"/>
      <w:marLeft w:val="0"/>
      <w:marRight w:val="0"/>
      <w:marTop w:val="0"/>
      <w:marBottom w:val="0"/>
      <w:divBdr>
        <w:top w:val="none" w:sz="0" w:space="0" w:color="auto"/>
        <w:left w:val="none" w:sz="0" w:space="0" w:color="auto"/>
        <w:bottom w:val="none" w:sz="0" w:space="0" w:color="auto"/>
        <w:right w:val="none" w:sz="0" w:space="0" w:color="auto"/>
      </w:divBdr>
      <w:divsChild>
        <w:div w:id="79911520">
          <w:marLeft w:val="0"/>
          <w:marRight w:val="0"/>
          <w:marTop w:val="0"/>
          <w:marBottom w:val="0"/>
          <w:divBdr>
            <w:top w:val="none" w:sz="0" w:space="0" w:color="auto"/>
            <w:left w:val="none" w:sz="0" w:space="0" w:color="auto"/>
            <w:bottom w:val="none" w:sz="0" w:space="0" w:color="auto"/>
            <w:right w:val="none" w:sz="0" w:space="0" w:color="auto"/>
          </w:divBdr>
        </w:div>
        <w:div w:id="146094746">
          <w:marLeft w:val="0"/>
          <w:marRight w:val="0"/>
          <w:marTop w:val="0"/>
          <w:marBottom w:val="0"/>
          <w:divBdr>
            <w:top w:val="none" w:sz="0" w:space="0" w:color="auto"/>
            <w:left w:val="none" w:sz="0" w:space="0" w:color="auto"/>
            <w:bottom w:val="none" w:sz="0" w:space="0" w:color="auto"/>
            <w:right w:val="none" w:sz="0" w:space="0" w:color="auto"/>
          </w:divBdr>
        </w:div>
        <w:div w:id="149491147">
          <w:marLeft w:val="0"/>
          <w:marRight w:val="0"/>
          <w:marTop w:val="0"/>
          <w:marBottom w:val="0"/>
          <w:divBdr>
            <w:top w:val="none" w:sz="0" w:space="0" w:color="auto"/>
            <w:left w:val="none" w:sz="0" w:space="0" w:color="auto"/>
            <w:bottom w:val="none" w:sz="0" w:space="0" w:color="auto"/>
            <w:right w:val="none" w:sz="0" w:space="0" w:color="auto"/>
          </w:divBdr>
        </w:div>
        <w:div w:id="182402205">
          <w:marLeft w:val="0"/>
          <w:marRight w:val="0"/>
          <w:marTop w:val="0"/>
          <w:marBottom w:val="0"/>
          <w:divBdr>
            <w:top w:val="none" w:sz="0" w:space="0" w:color="auto"/>
            <w:left w:val="none" w:sz="0" w:space="0" w:color="auto"/>
            <w:bottom w:val="none" w:sz="0" w:space="0" w:color="auto"/>
            <w:right w:val="none" w:sz="0" w:space="0" w:color="auto"/>
          </w:divBdr>
        </w:div>
        <w:div w:id="812908934">
          <w:marLeft w:val="0"/>
          <w:marRight w:val="0"/>
          <w:marTop w:val="0"/>
          <w:marBottom w:val="0"/>
          <w:divBdr>
            <w:top w:val="none" w:sz="0" w:space="0" w:color="auto"/>
            <w:left w:val="none" w:sz="0" w:space="0" w:color="auto"/>
            <w:bottom w:val="none" w:sz="0" w:space="0" w:color="auto"/>
            <w:right w:val="none" w:sz="0" w:space="0" w:color="auto"/>
          </w:divBdr>
        </w:div>
        <w:div w:id="933439673">
          <w:marLeft w:val="0"/>
          <w:marRight w:val="0"/>
          <w:marTop w:val="0"/>
          <w:marBottom w:val="0"/>
          <w:divBdr>
            <w:top w:val="none" w:sz="0" w:space="0" w:color="auto"/>
            <w:left w:val="none" w:sz="0" w:space="0" w:color="auto"/>
            <w:bottom w:val="none" w:sz="0" w:space="0" w:color="auto"/>
            <w:right w:val="none" w:sz="0" w:space="0" w:color="auto"/>
          </w:divBdr>
        </w:div>
        <w:div w:id="1047341194">
          <w:marLeft w:val="0"/>
          <w:marRight w:val="0"/>
          <w:marTop w:val="0"/>
          <w:marBottom w:val="0"/>
          <w:divBdr>
            <w:top w:val="none" w:sz="0" w:space="0" w:color="auto"/>
            <w:left w:val="none" w:sz="0" w:space="0" w:color="auto"/>
            <w:bottom w:val="none" w:sz="0" w:space="0" w:color="auto"/>
            <w:right w:val="none" w:sz="0" w:space="0" w:color="auto"/>
          </w:divBdr>
        </w:div>
        <w:div w:id="1132288032">
          <w:marLeft w:val="0"/>
          <w:marRight w:val="0"/>
          <w:marTop w:val="0"/>
          <w:marBottom w:val="0"/>
          <w:divBdr>
            <w:top w:val="none" w:sz="0" w:space="0" w:color="auto"/>
            <w:left w:val="none" w:sz="0" w:space="0" w:color="auto"/>
            <w:bottom w:val="none" w:sz="0" w:space="0" w:color="auto"/>
            <w:right w:val="none" w:sz="0" w:space="0" w:color="auto"/>
          </w:divBdr>
        </w:div>
        <w:div w:id="1326975170">
          <w:marLeft w:val="0"/>
          <w:marRight w:val="0"/>
          <w:marTop w:val="0"/>
          <w:marBottom w:val="0"/>
          <w:divBdr>
            <w:top w:val="none" w:sz="0" w:space="0" w:color="auto"/>
            <w:left w:val="none" w:sz="0" w:space="0" w:color="auto"/>
            <w:bottom w:val="none" w:sz="0" w:space="0" w:color="auto"/>
            <w:right w:val="none" w:sz="0" w:space="0" w:color="auto"/>
          </w:divBdr>
        </w:div>
        <w:div w:id="1352802270">
          <w:marLeft w:val="0"/>
          <w:marRight w:val="0"/>
          <w:marTop w:val="0"/>
          <w:marBottom w:val="0"/>
          <w:divBdr>
            <w:top w:val="none" w:sz="0" w:space="0" w:color="auto"/>
            <w:left w:val="none" w:sz="0" w:space="0" w:color="auto"/>
            <w:bottom w:val="none" w:sz="0" w:space="0" w:color="auto"/>
            <w:right w:val="none" w:sz="0" w:space="0" w:color="auto"/>
          </w:divBdr>
        </w:div>
        <w:div w:id="1593706274">
          <w:marLeft w:val="0"/>
          <w:marRight w:val="0"/>
          <w:marTop w:val="0"/>
          <w:marBottom w:val="0"/>
          <w:divBdr>
            <w:top w:val="none" w:sz="0" w:space="0" w:color="auto"/>
            <w:left w:val="none" w:sz="0" w:space="0" w:color="auto"/>
            <w:bottom w:val="none" w:sz="0" w:space="0" w:color="auto"/>
            <w:right w:val="none" w:sz="0" w:space="0" w:color="auto"/>
          </w:divBdr>
        </w:div>
        <w:div w:id="1863787555">
          <w:marLeft w:val="0"/>
          <w:marRight w:val="0"/>
          <w:marTop w:val="0"/>
          <w:marBottom w:val="0"/>
          <w:divBdr>
            <w:top w:val="none" w:sz="0" w:space="0" w:color="auto"/>
            <w:left w:val="none" w:sz="0" w:space="0" w:color="auto"/>
            <w:bottom w:val="none" w:sz="0" w:space="0" w:color="auto"/>
            <w:right w:val="none" w:sz="0" w:space="0" w:color="auto"/>
          </w:divBdr>
        </w:div>
        <w:div w:id="1949659624">
          <w:marLeft w:val="0"/>
          <w:marRight w:val="0"/>
          <w:marTop w:val="0"/>
          <w:marBottom w:val="0"/>
          <w:divBdr>
            <w:top w:val="none" w:sz="0" w:space="0" w:color="auto"/>
            <w:left w:val="none" w:sz="0" w:space="0" w:color="auto"/>
            <w:bottom w:val="none" w:sz="0" w:space="0" w:color="auto"/>
            <w:right w:val="none" w:sz="0" w:space="0" w:color="auto"/>
          </w:divBdr>
        </w:div>
        <w:div w:id="2001158477">
          <w:marLeft w:val="0"/>
          <w:marRight w:val="0"/>
          <w:marTop w:val="0"/>
          <w:marBottom w:val="0"/>
          <w:divBdr>
            <w:top w:val="none" w:sz="0" w:space="0" w:color="auto"/>
            <w:left w:val="none" w:sz="0" w:space="0" w:color="auto"/>
            <w:bottom w:val="none" w:sz="0" w:space="0" w:color="auto"/>
            <w:right w:val="none" w:sz="0" w:space="0" w:color="auto"/>
          </w:divBdr>
        </w:div>
      </w:divsChild>
    </w:div>
    <w:div w:id="1293438094">
      <w:bodyDiv w:val="1"/>
      <w:marLeft w:val="0"/>
      <w:marRight w:val="0"/>
      <w:marTop w:val="0"/>
      <w:marBottom w:val="0"/>
      <w:divBdr>
        <w:top w:val="none" w:sz="0" w:space="0" w:color="auto"/>
        <w:left w:val="none" w:sz="0" w:space="0" w:color="auto"/>
        <w:bottom w:val="none" w:sz="0" w:space="0" w:color="auto"/>
        <w:right w:val="none" w:sz="0" w:space="0" w:color="auto"/>
      </w:divBdr>
    </w:div>
    <w:div w:id="1331524368">
      <w:bodyDiv w:val="1"/>
      <w:marLeft w:val="0"/>
      <w:marRight w:val="0"/>
      <w:marTop w:val="0"/>
      <w:marBottom w:val="0"/>
      <w:divBdr>
        <w:top w:val="none" w:sz="0" w:space="0" w:color="auto"/>
        <w:left w:val="none" w:sz="0" w:space="0" w:color="auto"/>
        <w:bottom w:val="none" w:sz="0" w:space="0" w:color="auto"/>
        <w:right w:val="none" w:sz="0" w:space="0" w:color="auto"/>
      </w:divBdr>
    </w:div>
    <w:div w:id="1615483615">
      <w:bodyDiv w:val="1"/>
      <w:marLeft w:val="0"/>
      <w:marRight w:val="0"/>
      <w:marTop w:val="0"/>
      <w:marBottom w:val="0"/>
      <w:divBdr>
        <w:top w:val="none" w:sz="0" w:space="0" w:color="auto"/>
        <w:left w:val="none" w:sz="0" w:space="0" w:color="auto"/>
        <w:bottom w:val="none" w:sz="0" w:space="0" w:color="auto"/>
        <w:right w:val="none" w:sz="0" w:space="0" w:color="auto"/>
      </w:divBdr>
    </w:div>
    <w:div w:id="1619528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1150</Words>
  <Characters>6545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2020-11-27T14:03:00Z</dcterms:created>
  <dcterms:modified xsi:type="dcterms:W3CDTF">2020-11-27T14:03:00Z</dcterms:modified>
</cp:coreProperties>
</file>