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C8A" w:rsidP="007C6AE4" w:rsidRDefault="00C77387" w14:paraId="4A8F3598" w14:textId="77777777">
      <w:pPr>
        <w:jc w:val="center"/>
        <w:rPr>
          <w:rFonts w:eastAsia="Calibri"/>
        </w:rPr>
      </w:pPr>
      <w:r w:rsidRPr="00357C8A">
        <w:rPr>
          <w:rFonts w:eastAsia="Calibri"/>
        </w:rPr>
        <w:t xml:space="preserve">UNITED STATES FOOD </w:t>
      </w:r>
      <w:r>
        <w:rPr>
          <w:rFonts w:eastAsia="Calibri"/>
        </w:rPr>
        <w:t xml:space="preserve">&amp; </w:t>
      </w:r>
      <w:r w:rsidRPr="00357C8A">
        <w:rPr>
          <w:rFonts w:eastAsia="Calibri"/>
        </w:rPr>
        <w:t>DRUG ADMINISTRATION</w:t>
      </w:r>
    </w:p>
    <w:p w:rsidR="00357C8A" w:rsidP="00357C8A" w:rsidRDefault="00357C8A" w14:paraId="7307E474" w14:textId="77777777">
      <w:pPr>
        <w:jc w:val="center"/>
        <w:rPr>
          <w:rFonts w:eastAsia="Calibri"/>
        </w:rPr>
      </w:pPr>
    </w:p>
    <w:p w:rsidRPr="003B6AD6" w:rsidR="003B6AD6" w:rsidP="003B6AD6" w:rsidRDefault="003B6AD6" w14:paraId="10D426FC" w14:textId="77777777">
      <w:pPr>
        <w:jc w:val="center"/>
        <w:rPr>
          <w:rFonts w:eastAsia="Calibri"/>
        </w:rPr>
      </w:pPr>
      <w:bookmarkStart w:name="_Hlk36787222" w:id="0"/>
      <w:r w:rsidRPr="003B6AD6">
        <w:rPr>
          <w:rFonts w:eastAsia="Calibri"/>
        </w:rPr>
        <w:t>Infant Formula Recall Regulations</w:t>
      </w:r>
    </w:p>
    <w:bookmarkEnd w:id="0"/>
    <w:p w:rsidRPr="003B6AD6" w:rsidR="003B6AD6" w:rsidP="003B6AD6" w:rsidRDefault="003B6AD6" w14:paraId="35E85A4E" w14:textId="77777777">
      <w:pPr>
        <w:jc w:val="center"/>
        <w:rPr>
          <w:rFonts w:eastAsia="Calibri"/>
        </w:rPr>
      </w:pPr>
    </w:p>
    <w:p w:rsidRPr="00C77387" w:rsidR="00357C8A" w:rsidP="003B6AD6" w:rsidRDefault="003B6AD6" w14:paraId="2DDD2420" w14:textId="77777777">
      <w:pPr>
        <w:jc w:val="center"/>
        <w:rPr>
          <w:rFonts w:eastAsia="Calibri"/>
          <w:u w:val="single"/>
        </w:rPr>
      </w:pPr>
      <w:r w:rsidRPr="003B6AD6">
        <w:rPr>
          <w:rFonts w:eastAsia="Calibri"/>
        </w:rPr>
        <w:t xml:space="preserve"> </w:t>
      </w:r>
      <w:r w:rsidRPr="00C77387">
        <w:rPr>
          <w:rFonts w:eastAsia="Calibri"/>
          <w:u w:val="single"/>
        </w:rPr>
        <w:t>OMB Control No. 0910-0188</w:t>
      </w:r>
    </w:p>
    <w:p w:rsidR="00357C8A" w:rsidP="00357C8A" w:rsidRDefault="00357C8A" w14:paraId="17BFA589" w14:textId="77777777">
      <w:pPr>
        <w:jc w:val="center"/>
        <w:rPr>
          <w:rFonts w:eastAsia="Calibri"/>
        </w:rPr>
      </w:pPr>
    </w:p>
    <w:p w:rsidR="00821231" w:rsidP="00C77387" w:rsidRDefault="00821231" w14:paraId="544A9CC8" w14:textId="77777777">
      <w:pPr>
        <w:rPr>
          <w:rFonts w:eastAsia="Calibri"/>
        </w:rPr>
      </w:pPr>
    </w:p>
    <w:p w:rsidR="00357C8A" w:rsidP="00C77387" w:rsidRDefault="00357C8A" w14:paraId="2E3E3E4E" w14:textId="01FF9E6F">
      <w:pPr>
        <w:rPr>
          <w:rFonts w:eastAsia="Calibri"/>
          <w:b/>
        </w:rPr>
      </w:pPr>
      <w:r w:rsidRPr="00357C8A">
        <w:rPr>
          <w:rFonts w:eastAsia="Calibri"/>
        </w:rPr>
        <w:t>SUPPORTING STATEMENT</w:t>
      </w:r>
      <w:r w:rsidR="00C77387">
        <w:rPr>
          <w:rFonts w:eastAsia="Calibri"/>
        </w:rPr>
        <w:t xml:space="preserve"> – </w:t>
      </w:r>
      <w:r w:rsidRPr="00C77387" w:rsidR="00C77387">
        <w:rPr>
          <w:rFonts w:eastAsia="Calibri"/>
          <w:b/>
        </w:rPr>
        <w:t>Part A:  Justification</w:t>
      </w:r>
    </w:p>
    <w:p w:rsidRPr="00AD5AAC" w:rsidR="00AD5AAC" w:rsidP="00C77387" w:rsidRDefault="00AD5AAC" w14:paraId="0857C501" w14:textId="77777777">
      <w:pPr>
        <w:rPr>
          <w:rFonts w:eastAsia="Calibri"/>
          <w:b/>
        </w:rPr>
      </w:pPr>
    </w:p>
    <w:p w:rsidRPr="00357C8A" w:rsidR="000D79CC" w:rsidP="000D79CC" w:rsidRDefault="000D79CC" w14:paraId="24E8FF65" w14:textId="77777777">
      <w:pPr>
        <w:rPr>
          <w:rFonts w:eastAsia="Calibri"/>
        </w:rPr>
      </w:pPr>
    </w:p>
    <w:p w:rsidRPr="00357C8A" w:rsidR="00357C8A" w:rsidP="006705EA" w:rsidRDefault="00357C8A" w14:paraId="199A7CFE"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Pr="003B6AD6" w:rsidR="003B6AD6" w:rsidP="003B6AD6" w:rsidRDefault="00423272" w14:paraId="56B9D1B2" w14:textId="77777777">
      <w:pPr>
        <w:rPr>
          <w:rFonts w:eastAsia="Calibri"/>
        </w:rPr>
      </w:pPr>
      <w:r w:rsidRPr="005C71CA">
        <w:rPr>
          <w:rFonts w:eastAsia="Calibri"/>
        </w:rPr>
        <w:t>This information collection supports Food and Drug Administration (FDA, us or we) regulations</w:t>
      </w:r>
      <w:r w:rsidR="003B6AD6">
        <w:rPr>
          <w:rFonts w:eastAsia="Calibri"/>
        </w:rPr>
        <w:t xml:space="preserve">.  </w:t>
      </w:r>
      <w:r w:rsidRPr="003B6AD6" w:rsidR="003B6AD6">
        <w:rPr>
          <w:rFonts w:eastAsia="Calibri"/>
        </w:rPr>
        <w:t>Section 412(e) of the Federal Food, Drug, and Cosmetic Act (the FD&amp;C Act) (21 U.S.C. 350a(e)) provides that if the manufacturer of an infant formula has knowledge that reasonably supports the conclusion that an infant formula processed by that manufacturer has left its control and may not provide the nutrients required in section 412(i) of the FD&amp;C Act or is otherwise adulterated or misbranded, the manufacturer must promptly notify the Secretary of Health and Human Services (the Secretary).  If the Secretary determines that the infant formula presents a risk to human health, the manufacturer must immediately take all actions necessary to recall shipments of such infant formula from all wholesale and retail establishments, consistent with recall regulations and guidelines issued by the Secretary.  Section 412(f)(2) of the FD&amp;C Act states that the Secretary shall by regulation prescribe the scope and extent of recalls of infant formula necessary and appropriate for the degree of risk to human health presented by the formula subject to recall.  FDA’s infant formula recall regulations in part 107 (21 CFR part 107) implement these statutory provisions.</w:t>
      </w:r>
    </w:p>
    <w:p w:rsidRPr="003B6AD6" w:rsidR="003B6AD6" w:rsidP="003B6AD6" w:rsidRDefault="003B6AD6" w14:paraId="31AE8710" w14:textId="77777777">
      <w:pPr>
        <w:rPr>
          <w:rFonts w:eastAsia="Calibri"/>
        </w:rPr>
      </w:pPr>
    </w:p>
    <w:p w:rsidRPr="003B6AD6" w:rsidR="003B6AD6" w:rsidP="003B6AD6" w:rsidRDefault="003B6AD6" w14:paraId="0F802BC9" w14:textId="77777777">
      <w:pPr>
        <w:rPr>
          <w:rFonts w:eastAsia="Calibri"/>
        </w:rPr>
      </w:pPr>
      <w:r w:rsidRPr="003B6AD6">
        <w:rPr>
          <w:rFonts w:eastAsia="Calibri"/>
        </w:rPr>
        <w:t>Section 107.230 requires each recalling firm to conduct an infant formula recall with the following elements: (1) Evaluate the hazard to human health, (2) devise a written recall strategy, (3) promptly notify each affected direct-account (customer) about the recall, and (4) furnish the appropriate FDA district office with copies of these documents.  If the recalled formula presents a risk to human health, the recalling firm must also request that each establishment that sells the recalled formula post (at point of purchase) a notice of the recall and provide FDA with a copy of the notice.  Section 107.240 requires the recalling firm to conduct an infant formula recall with the following elements: (1) Notify the appropriate FDA district office of the recall by telephone within 24 hours, (2) submit a written report to that office within 14 days, and (3) submit a written status report at least every 14 days until the recall is terminated.  Before terminating a recall, the recalling firm is required to submit a recommendation for termination of the recall to the appropriate FDA district office and wait for written FDA concurrence (§</w:t>
      </w:r>
      <w:r w:rsidR="00076796">
        <w:rPr>
          <w:rFonts w:eastAsia="Calibri"/>
        </w:rPr>
        <w:t xml:space="preserve"> </w:t>
      </w:r>
      <w:r w:rsidRPr="003B6AD6">
        <w:rPr>
          <w:rFonts w:eastAsia="Calibri"/>
        </w:rPr>
        <w:t xml:space="preserve">107.250).  Where the recall strategy or implementation is determined to be deficient, </w:t>
      </w:r>
      <w:r w:rsidR="006C3905">
        <w:rPr>
          <w:rFonts w:eastAsia="Calibri"/>
        </w:rPr>
        <w:t>we</w:t>
      </w:r>
      <w:r w:rsidRPr="003B6AD6" w:rsidR="006C3905">
        <w:rPr>
          <w:rFonts w:eastAsia="Calibri"/>
        </w:rPr>
        <w:t xml:space="preserve"> </w:t>
      </w:r>
      <w:r w:rsidRPr="003B6AD6">
        <w:rPr>
          <w:rFonts w:eastAsia="Calibri"/>
        </w:rPr>
        <w:t>may require the firm to change the extent of the recall, carry out additional effectiveness checks, and issue additional notifications (§</w:t>
      </w:r>
      <w:r w:rsidR="00076796">
        <w:rPr>
          <w:rFonts w:eastAsia="Calibri"/>
        </w:rPr>
        <w:t xml:space="preserve"> </w:t>
      </w:r>
      <w:r w:rsidRPr="003B6AD6">
        <w:rPr>
          <w:rFonts w:eastAsia="Calibri"/>
        </w:rPr>
        <w:t>107.260).  In addition, to facilitate location of the product being recalled, the recalling firm is required to maintain distribution records for at least 1 year after the expiration of the shelf life of the infant formula (§</w:t>
      </w:r>
      <w:r w:rsidR="00076796">
        <w:rPr>
          <w:rFonts w:eastAsia="Calibri"/>
        </w:rPr>
        <w:t xml:space="preserve"> </w:t>
      </w:r>
      <w:r w:rsidRPr="003B6AD6">
        <w:rPr>
          <w:rFonts w:eastAsia="Calibri"/>
        </w:rPr>
        <w:t>107.280).</w:t>
      </w:r>
    </w:p>
    <w:p w:rsidRPr="003B6AD6" w:rsidR="003B6AD6" w:rsidP="003B6AD6" w:rsidRDefault="003B6AD6" w14:paraId="431C6F9F" w14:textId="77777777">
      <w:pPr>
        <w:rPr>
          <w:rFonts w:eastAsia="Calibri"/>
        </w:rPr>
      </w:pPr>
    </w:p>
    <w:p w:rsidR="00357C8A" w:rsidP="00467175" w:rsidRDefault="003B6AD6" w14:paraId="34F30A0B" w14:textId="0320612D">
      <w:pPr>
        <w:rPr>
          <w:rFonts w:eastAsia="Calibri"/>
        </w:rPr>
      </w:pPr>
      <w:r w:rsidRPr="003B6AD6">
        <w:rPr>
          <w:rFonts w:eastAsia="Calibri"/>
        </w:rPr>
        <w:t xml:space="preserve">We therefore request </w:t>
      </w:r>
      <w:r>
        <w:rPr>
          <w:rFonts w:eastAsia="Calibri"/>
        </w:rPr>
        <w:t xml:space="preserve">extension of </w:t>
      </w:r>
      <w:r w:rsidRPr="003B6AD6">
        <w:rPr>
          <w:rFonts w:eastAsia="Calibri"/>
        </w:rPr>
        <w:t xml:space="preserve">OMB approval of the information collection requirements contained in </w:t>
      </w:r>
      <w:r w:rsidR="00B03F33">
        <w:rPr>
          <w:rFonts w:eastAsia="Calibri"/>
        </w:rPr>
        <w:t xml:space="preserve">21 CFR </w:t>
      </w:r>
      <w:r w:rsidRPr="003B6AD6">
        <w:rPr>
          <w:rFonts w:eastAsia="Calibri"/>
        </w:rPr>
        <w:t>part 107</w:t>
      </w:r>
      <w:r>
        <w:rPr>
          <w:rFonts w:eastAsia="Calibri"/>
        </w:rPr>
        <w:t xml:space="preserve"> as discussed in this supporting statement.</w:t>
      </w:r>
    </w:p>
    <w:p w:rsidR="00467175" w:rsidP="00467175" w:rsidRDefault="00467175" w14:paraId="0C3CA4A3" w14:textId="77777777">
      <w:pPr>
        <w:rPr>
          <w:rFonts w:eastAsia="Calibri"/>
        </w:rPr>
      </w:pPr>
      <w:bookmarkStart w:name="_GoBack" w:id="1"/>
      <w:bookmarkEnd w:id="1"/>
    </w:p>
    <w:p w:rsidRPr="004B6A67" w:rsidR="003B6AD6" w:rsidP="003B6AD6" w:rsidRDefault="003B6AD6" w14:paraId="6AD51552" w14:textId="77777777">
      <w:pPr>
        <w:rPr>
          <w:rFonts w:eastAsia="Calibri"/>
          <w:color w:val="000000"/>
        </w:rPr>
      </w:pPr>
    </w:p>
    <w:p w:rsidRPr="00357C8A" w:rsidR="00357C8A" w:rsidP="006705EA" w:rsidRDefault="00357C8A" w14:paraId="0B9FD604"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3B6AD6" w:rsidP="0022425B" w:rsidRDefault="003B6AD6" w14:paraId="0DE2083C" w14:textId="77777777">
      <w:pPr>
        <w:spacing w:after="200"/>
        <w:rPr>
          <w:rFonts w:eastAsia="Calibri"/>
        </w:rPr>
      </w:pPr>
      <w:r w:rsidRPr="003B6AD6">
        <w:rPr>
          <w:rFonts w:eastAsia="Calibri"/>
        </w:rPr>
        <w:t xml:space="preserve">The reporting, third-party disclosure, and recordkeeping requirements described previously are designed to enable FDA to monitor the effectiveness of infant formula recalls in order to protect babies from infant formula that may be unsafe because of contamination or nutritional inadequacy or otherwise adulterated or misbranded.  </w:t>
      </w:r>
      <w:r w:rsidR="00076796">
        <w:rPr>
          <w:rFonts w:eastAsia="Calibri"/>
        </w:rPr>
        <w:t>We</w:t>
      </w:r>
      <w:r w:rsidRPr="003B6AD6" w:rsidR="00076796">
        <w:rPr>
          <w:rFonts w:eastAsia="Calibri"/>
        </w:rPr>
        <w:t xml:space="preserve"> </w:t>
      </w:r>
      <w:r w:rsidRPr="003B6AD6">
        <w:rPr>
          <w:rFonts w:eastAsia="Calibri"/>
        </w:rPr>
        <w:t>use the information collected under these regulations to help ensure that such products are quickly and efficiently removed from the market.</w:t>
      </w:r>
    </w:p>
    <w:p w:rsidRPr="004B6A67" w:rsidR="00357C8A" w:rsidP="0022425B" w:rsidRDefault="003F7DC2" w14:paraId="3362A2CA" w14:textId="77777777">
      <w:pPr>
        <w:spacing w:after="200"/>
        <w:rPr>
          <w:rFonts w:eastAsia="Calibri"/>
          <w:color w:val="000000"/>
        </w:rPr>
      </w:pPr>
      <w:r w:rsidRPr="003F7DC2">
        <w:rPr>
          <w:rFonts w:eastAsia="Calibri"/>
          <w:i/>
        </w:rPr>
        <w:t>Description of Respondents</w:t>
      </w:r>
      <w:r w:rsidRPr="002B1332">
        <w:rPr>
          <w:rFonts w:eastAsia="Calibri"/>
        </w:rPr>
        <w:t>:</w:t>
      </w:r>
      <w:r w:rsidRPr="003F7DC2">
        <w:rPr>
          <w:rFonts w:eastAsia="Calibri"/>
        </w:rPr>
        <w:t xml:space="preserve">  Respondents to this collection of information are manufacturers of infant formula who are for-profit businesses in the private sector.</w:t>
      </w:r>
    </w:p>
    <w:p w:rsidRPr="00357C8A" w:rsidR="00357C8A" w:rsidP="006705EA" w:rsidRDefault="00357C8A" w14:paraId="6A0BF3AD"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Pr="004B6A67" w:rsidR="00357C8A" w:rsidP="0022425B" w:rsidRDefault="003F7DC2" w14:paraId="67901AF2" w14:textId="77777777">
      <w:pPr>
        <w:spacing w:after="200"/>
        <w:rPr>
          <w:rFonts w:eastAsia="Calibri"/>
          <w:color w:val="000000"/>
        </w:rPr>
      </w:pPr>
      <w:r w:rsidRPr="003F7DC2">
        <w:rPr>
          <w:rFonts w:eastAsia="Calibri"/>
        </w:rPr>
        <w:t xml:space="preserve">Section 107.240 requires that infant formula manufacturers notify the appropriate district office by telephone and by written confirmation.  Therefore, </w:t>
      </w:r>
      <w:r w:rsidR="007C6AE4">
        <w:rPr>
          <w:rFonts w:eastAsia="Calibri"/>
        </w:rPr>
        <w:t>we</w:t>
      </w:r>
      <w:r w:rsidRPr="003F7DC2" w:rsidR="007C6AE4">
        <w:rPr>
          <w:rFonts w:eastAsia="Calibri"/>
        </w:rPr>
        <w:t xml:space="preserve"> </w:t>
      </w:r>
      <w:r w:rsidRPr="003F7DC2">
        <w:rPr>
          <w:rFonts w:eastAsia="Calibri"/>
        </w:rPr>
        <w:t>estimate that none (0%) of the written reports to FDA will be submitted electronically in the next three years.  Regarding the third-party disclosure required by §§</w:t>
      </w:r>
      <w:r w:rsidR="007C6AE4">
        <w:rPr>
          <w:rFonts w:eastAsia="Calibri"/>
        </w:rPr>
        <w:t xml:space="preserve"> </w:t>
      </w:r>
      <w:r w:rsidRPr="003F7DC2">
        <w:rPr>
          <w:rFonts w:eastAsia="Calibri"/>
        </w:rPr>
        <w:t xml:space="preserve">107.230 and 107.260, companies are free to use whatever forms of technology may best assist them in making direct-account (customer) notifications.  Thus, </w:t>
      </w:r>
      <w:r w:rsidR="007C6AE4">
        <w:rPr>
          <w:rFonts w:eastAsia="Calibri"/>
        </w:rPr>
        <w:t>we</w:t>
      </w:r>
      <w:r w:rsidRPr="003F7DC2">
        <w:rPr>
          <w:rFonts w:eastAsia="Calibri"/>
        </w:rPr>
        <w:t xml:space="preserve"> estimate that all (100%) of the direct-account (customer) notifications will be made electronically.  </w:t>
      </w:r>
    </w:p>
    <w:p w:rsidRPr="00357C8A" w:rsidR="00357C8A" w:rsidP="006705EA" w:rsidRDefault="00357C8A" w14:paraId="1E66B3B9"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Pr="004B6A67" w:rsidR="00F507A7" w:rsidP="0053380B" w:rsidRDefault="0053380B" w14:paraId="650972B5" w14:textId="77777777">
      <w:pPr>
        <w:spacing w:after="200"/>
        <w:rPr>
          <w:rFonts w:eastAsia="Calibri"/>
          <w:b/>
          <w:color w:val="000000"/>
        </w:rPr>
      </w:pPr>
      <w:r w:rsidRPr="005C71CA">
        <w:t>We are unaware of duplicative information collection.</w:t>
      </w:r>
      <w:r w:rsidRPr="003F7DC2" w:rsidR="003F7DC2">
        <w:t xml:space="preserve"> </w:t>
      </w:r>
      <w:r w:rsidR="00F507A7">
        <w:t xml:space="preserve"> </w:t>
      </w:r>
      <w:r w:rsidR="00076796">
        <w:t>We are</w:t>
      </w:r>
      <w:r w:rsidRPr="003F7DC2" w:rsidR="003F7DC2">
        <w:t xml:space="preserve"> the only Federal agency with the authority to conduct infant formula recalls.  Thus, </w:t>
      </w:r>
      <w:r w:rsidR="00076796">
        <w:t>we are</w:t>
      </w:r>
      <w:r w:rsidRPr="003F7DC2" w:rsidR="003F7DC2">
        <w:t xml:space="preserve"> the only Federal agency that collects this information.  In addition, there are no similar data that can be used or modified for this use.  Each recall of an infant formula product is unique.  The information needed to accomplish the recall is the exact shipping and distribution pattern for a specific lot or group of lots of a particular product.  Therefore, the information being submitted to the agency will be original for each submission.</w:t>
      </w:r>
    </w:p>
    <w:p w:rsidRPr="00357C8A" w:rsidR="00357C8A" w:rsidP="006705EA" w:rsidRDefault="00357C8A" w14:paraId="368273EE"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Pr="00357C8A" w:rsidR="00357C8A" w:rsidP="00357C8A" w:rsidRDefault="00076796" w14:paraId="45A633B3" w14:textId="77777777">
      <w:pPr>
        <w:spacing w:after="200"/>
        <w:rPr>
          <w:rFonts w:eastAsia="Calibri"/>
        </w:rPr>
      </w:pPr>
      <w:r>
        <w:rPr>
          <w:rFonts w:eastAsia="Calibri"/>
        </w:rPr>
        <w:t>We</w:t>
      </w:r>
      <w:r w:rsidRPr="00FA757B">
        <w:rPr>
          <w:rFonts w:eastAsia="Calibri"/>
        </w:rPr>
        <w:t xml:space="preserve"> </w:t>
      </w:r>
      <w:r w:rsidRPr="00FA757B" w:rsidR="00FA757B">
        <w:rPr>
          <w:rFonts w:eastAsia="Calibri"/>
        </w:rPr>
        <w:t>estimate that ten percent (10%) of respondents are small businesses.  The production of processed foods requires that producers take on a very high degree of responsibility, especially for infant formula products.  In the event of a recall, the safety of infants is involved</w:t>
      </w:r>
      <w:r>
        <w:rPr>
          <w:rFonts w:eastAsia="Calibri"/>
        </w:rPr>
        <w:t>,</w:t>
      </w:r>
      <w:r w:rsidRPr="00FA757B" w:rsidR="00FA757B">
        <w:rPr>
          <w:rFonts w:eastAsia="Calibri"/>
        </w:rPr>
        <w:t xml:space="preserve"> and the first priority is the removal of hazardous foods (infant formulas) from channels of commerce.  </w:t>
      </w:r>
      <w:r>
        <w:rPr>
          <w:rFonts w:eastAsia="Calibri"/>
        </w:rPr>
        <w:t>We</w:t>
      </w:r>
      <w:r w:rsidRPr="00FA757B">
        <w:rPr>
          <w:rFonts w:eastAsia="Calibri"/>
        </w:rPr>
        <w:t xml:space="preserve"> </w:t>
      </w:r>
      <w:r w:rsidRPr="00FA757B" w:rsidR="00FA757B">
        <w:rPr>
          <w:rFonts w:eastAsia="Calibri"/>
        </w:rPr>
        <w:t xml:space="preserve">will provide assistance to any firm in achieving this goal.  </w:t>
      </w:r>
      <w:r>
        <w:rPr>
          <w:rFonts w:eastAsia="Calibri"/>
        </w:rPr>
        <w:t>We</w:t>
      </w:r>
      <w:r w:rsidRPr="00FA757B">
        <w:rPr>
          <w:rFonts w:eastAsia="Calibri"/>
        </w:rPr>
        <w:t xml:space="preserve"> </w:t>
      </w:r>
      <w:r w:rsidRPr="00FA757B" w:rsidR="00FA757B">
        <w:rPr>
          <w:rFonts w:eastAsia="Calibri"/>
        </w:rPr>
        <w:t xml:space="preserve">aid small businesses in dealing with the requirements of the FD&amp;C Act through the agency’s Regional Small Business Representatives and through the scientific and administrative staffs within the agency.  </w:t>
      </w:r>
      <w:r w:rsidRPr="00513351" w:rsidR="00513351">
        <w:rPr>
          <w:rFonts w:eastAsia="Calibri"/>
        </w:rPr>
        <w:t>We also provide assistance via our Small Business Assistance webpage</w:t>
      </w:r>
      <w:r w:rsidRPr="00FA757B" w:rsidR="00FA757B">
        <w:rPr>
          <w:rFonts w:eastAsia="Calibri"/>
        </w:rPr>
        <w:t xml:space="preserve"> on the agency’s website at </w:t>
      </w:r>
      <w:hyperlink w:history="1" r:id="rId7">
        <w:r w:rsidRPr="00A66509" w:rsidR="00FA757B">
          <w:rPr>
            <w:rStyle w:val="Hyperlink"/>
            <w:rFonts w:eastAsia="Calibri"/>
          </w:rPr>
          <w:t>https://www.fda.gov/industry/sma</w:t>
        </w:r>
        <w:r w:rsidRPr="00A66509" w:rsidR="00FA757B">
          <w:rPr>
            <w:rStyle w:val="Hyperlink"/>
            <w:rFonts w:eastAsia="Calibri"/>
          </w:rPr>
          <w:t>l</w:t>
        </w:r>
        <w:r w:rsidRPr="00A66509" w:rsidR="00FA757B">
          <w:rPr>
            <w:rStyle w:val="Hyperlink"/>
            <w:rFonts w:eastAsia="Calibri"/>
          </w:rPr>
          <w:t>l-business-assistance</w:t>
        </w:r>
      </w:hyperlink>
      <w:r w:rsidRPr="00FA757B" w:rsidR="00FA757B">
        <w:rPr>
          <w:rFonts w:eastAsia="Calibri"/>
        </w:rPr>
        <w:t xml:space="preserve">.  </w:t>
      </w:r>
    </w:p>
    <w:p w:rsidRPr="00357C8A" w:rsidR="00357C8A" w:rsidP="006705EA" w:rsidRDefault="00AD5AAC" w14:paraId="141A2363" w14:textId="2A2D71A9">
      <w:pPr>
        <w:numPr>
          <w:ilvl w:val="0"/>
          <w:numId w:val="6"/>
        </w:numPr>
        <w:spacing w:after="200" w:line="276" w:lineRule="auto"/>
        <w:rPr>
          <w:rFonts w:eastAsia="Calibri"/>
          <w:u w:val="single"/>
        </w:rPr>
      </w:pPr>
      <w:r>
        <w:rPr>
          <w:rFonts w:eastAsia="Calibri"/>
          <w:u w:val="single"/>
        </w:rPr>
        <w:br w:type="page"/>
      </w:r>
      <w:r w:rsidRPr="00357C8A" w:rsidR="00357C8A">
        <w:rPr>
          <w:rFonts w:eastAsia="Calibri"/>
          <w:u w:val="single"/>
        </w:rPr>
        <w:lastRenderedPageBreak/>
        <w:t>Consequences of Collecting the Information Less Frequently</w:t>
      </w:r>
    </w:p>
    <w:p w:rsidRPr="00C61A3A" w:rsidR="00357C8A" w:rsidP="00357C8A" w:rsidRDefault="00FA757B" w14:paraId="49CC39C6" w14:textId="77777777">
      <w:pPr>
        <w:spacing w:after="200"/>
        <w:rPr>
          <w:rFonts w:eastAsia="Calibri"/>
          <w:color w:val="000000"/>
        </w:rPr>
      </w:pPr>
      <w:r w:rsidRPr="00FA757B">
        <w:rPr>
          <w:rFonts w:eastAsia="Calibri"/>
        </w:rPr>
        <w:t>Data collection occurs occasionally.  The information is only collected in the event of a recall.  If the information collection is not conducted, or conducted less frequently than is needed, FDA, in order to protect the public health, would be required to initiate seizure action or another type of regulatory action to remove these products from channels of commerce.</w:t>
      </w:r>
    </w:p>
    <w:p w:rsidRPr="00357C8A" w:rsidR="00357C8A" w:rsidP="006705EA" w:rsidRDefault="00357C8A" w14:paraId="3AD12C3C"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Pr="00357C8A" w:rsidR="00357C8A" w:rsidP="0022425B" w:rsidRDefault="00FA757B" w14:paraId="059AC255" w14:textId="77777777">
      <w:pPr>
        <w:spacing w:after="200"/>
        <w:rPr>
          <w:rFonts w:eastAsia="Calibri"/>
        </w:rPr>
      </w:pPr>
      <w:r w:rsidRPr="00FA757B">
        <w:rPr>
          <w:rFonts w:eastAsia="Calibri"/>
        </w:rPr>
        <w:t>Respondents are required to report more often than quarterly and to prepare a written response in less than 30 days.  In the event of a recall, §</w:t>
      </w:r>
      <w:r w:rsidR="00513351">
        <w:rPr>
          <w:rFonts w:eastAsia="Calibri"/>
        </w:rPr>
        <w:t xml:space="preserve"> </w:t>
      </w:r>
      <w:r w:rsidRPr="00FA757B">
        <w:rPr>
          <w:rFonts w:eastAsia="Calibri"/>
        </w:rPr>
        <w:t xml:space="preserve">107.240 requires the recalling firm to notify the appropriate FDA district office of the recall by telephone within 24 hours, to submit a written report to that office within 14 days, and to submit a written status report at least every 14 days until the recall is terminated.  This early notification allows the agency the opportunity to evaluate and comment on the recalling firm's strategy.  In addition, such notification eliminates needless regulatory actions which the agency might otherwise take against violative products in order to protect the public health.  For example, </w:t>
      </w:r>
      <w:r w:rsidR="00513351">
        <w:rPr>
          <w:rFonts w:eastAsia="Calibri"/>
        </w:rPr>
        <w:t>we</w:t>
      </w:r>
      <w:r w:rsidRPr="00FA757B" w:rsidR="00513351">
        <w:rPr>
          <w:rFonts w:eastAsia="Calibri"/>
        </w:rPr>
        <w:t xml:space="preserve"> </w:t>
      </w:r>
      <w:r w:rsidRPr="00FA757B">
        <w:rPr>
          <w:rFonts w:eastAsia="Calibri"/>
        </w:rPr>
        <w:t xml:space="preserve">would not normally initiate a seizure action against a violative infant formula if </w:t>
      </w:r>
      <w:r w:rsidR="00513351">
        <w:rPr>
          <w:rFonts w:eastAsia="Calibri"/>
        </w:rPr>
        <w:t>we</w:t>
      </w:r>
      <w:r w:rsidRPr="00FA757B" w:rsidR="00513351">
        <w:rPr>
          <w:rFonts w:eastAsia="Calibri"/>
        </w:rPr>
        <w:t xml:space="preserve"> </w:t>
      </w:r>
      <w:r w:rsidRPr="00FA757B">
        <w:rPr>
          <w:rFonts w:eastAsia="Calibri"/>
        </w:rPr>
        <w:t>knew that the shipment was being recalled by the responsible firm.  Frequent reporting is required to protect the health of the infant consumer because these products are used as the sole source of sustenance for this highly vulnerable population group.</w:t>
      </w:r>
    </w:p>
    <w:p w:rsidRPr="00357C8A" w:rsidR="00357C8A" w:rsidP="006705EA" w:rsidRDefault="00357C8A" w14:paraId="1D1DE3C3"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Pr="00C61A3A" w:rsidR="00357C8A" w:rsidP="00357C8A" w:rsidRDefault="00FA757B" w14:paraId="1EB7821D" w14:textId="77777777">
      <w:pPr>
        <w:spacing w:after="200"/>
        <w:rPr>
          <w:rFonts w:eastAsia="Calibri"/>
          <w:color w:val="000000"/>
        </w:rPr>
      </w:pPr>
      <w:r w:rsidRPr="00FA757B">
        <w:rPr>
          <w:rFonts w:eastAsia="Calibri"/>
        </w:rPr>
        <w:t xml:space="preserve">In accordance with 5 CFR 1320.8(d), </w:t>
      </w:r>
      <w:r w:rsidR="00513351">
        <w:rPr>
          <w:rFonts w:eastAsia="Calibri"/>
        </w:rPr>
        <w:t>we</w:t>
      </w:r>
      <w:r w:rsidRPr="00FA757B" w:rsidR="00513351">
        <w:rPr>
          <w:rFonts w:eastAsia="Calibri"/>
        </w:rPr>
        <w:t xml:space="preserve"> </w:t>
      </w:r>
      <w:r w:rsidRPr="00FA757B">
        <w:rPr>
          <w:rFonts w:eastAsia="Calibri"/>
        </w:rPr>
        <w:t xml:space="preserve">published a 60-day notice for public comment in the </w:t>
      </w:r>
      <w:r w:rsidRPr="002B1332">
        <w:rPr>
          <w:rFonts w:eastAsia="Calibri"/>
          <w:i/>
        </w:rPr>
        <w:t>Federal Register</w:t>
      </w:r>
      <w:r w:rsidRPr="00FA757B">
        <w:rPr>
          <w:rFonts w:eastAsia="Calibri"/>
        </w:rPr>
        <w:t xml:space="preserve"> of </w:t>
      </w:r>
      <w:r w:rsidR="009C7BF5">
        <w:rPr>
          <w:rFonts w:eastAsia="Calibri"/>
        </w:rPr>
        <w:t>April 27</w:t>
      </w:r>
      <w:r w:rsidRPr="00FA757B">
        <w:rPr>
          <w:rFonts w:eastAsia="Calibri"/>
        </w:rPr>
        <w:t>, 20</w:t>
      </w:r>
      <w:r>
        <w:rPr>
          <w:rFonts w:eastAsia="Calibri"/>
        </w:rPr>
        <w:t>20</w:t>
      </w:r>
      <w:r w:rsidRPr="00FA757B">
        <w:rPr>
          <w:rFonts w:eastAsia="Calibri"/>
        </w:rPr>
        <w:t xml:space="preserve"> (8</w:t>
      </w:r>
      <w:r>
        <w:rPr>
          <w:rFonts w:eastAsia="Calibri"/>
        </w:rPr>
        <w:t>5</w:t>
      </w:r>
      <w:r w:rsidRPr="00FA757B">
        <w:rPr>
          <w:rFonts w:eastAsia="Calibri"/>
        </w:rPr>
        <w:t xml:space="preserve"> FR </w:t>
      </w:r>
      <w:r w:rsidR="00F41E5A">
        <w:rPr>
          <w:rFonts w:eastAsia="Calibri"/>
        </w:rPr>
        <w:t>23367</w:t>
      </w:r>
      <w:r w:rsidRPr="00FA757B">
        <w:rPr>
          <w:rFonts w:eastAsia="Calibri"/>
        </w:rPr>
        <w:t xml:space="preserve">).  </w:t>
      </w:r>
      <w:r>
        <w:rPr>
          <w:rFonts w:eastAsia="Calibri"/>
        </w:rPr>
        <w:t>No</w:t>
      </w:r>
      <w:r w:rsidRPr="00FA757B">
        <w:rPr>
          <w:rFonts w:eastAsia="Calibri"/>
        </w:rPr>
        <w:t xml:space="preserve"> comment</w:t>
      </w:r>
      <w:r>
        <w:rPr>
          <w:rFonts w:eastAsia="Calibri"/>
        </w:rPr>
        <w:t>s</w:t>
      </w:r>
      <w:r w:rsidRPr="00FA757B">
        <w:rPr>
          <w:rFonts w:eastAsia="Calibri"/>
        </w:rPr>
        <w:t xml:space="preserve"> </w:t>
      </w:r>
      <w:r>
        <w:rPr>
          <w:rFonts w:eastAsia="Calibri"/>
        </w:rPr>
        <w:t>were received</w:t>
      </w:r>
      <w:r w:rsidRPr="00FA757B">
        <w:rPr>
          <w:rFonts w:eastAsia="Calibri"/>
        </w:rPr>
        <w:t>.</w:t>
      </w:r>
    </w:p>
    <w:p w:rsidRPr="00357C8A" w:rsidR="00357C8A" w:rsidP="006705EA" w:rsidRDefault="00357C8A" w14:paraId="010756F3"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Pr="00C61A3A" w:rsidR="00357C8A" w:rsidP="00357C8A" w:rsidRDefault="00792947" w14:paraId="119F558A" w14:textId="77777777">
      <w:pPr>
        <w:spacing w:after="200"/>
        <w:rPr>
          <w:rFonts w:eastAsia="Calibri"/>
          <w:color w:val="000000"/>
        </w:rPr>
      </w:pPr>
      <w:r w:rsidRPr="002074FE">
        <w:rPr>
          <w:rFonts w:eastAsia="Calibri"/>
        </w:rPr>
        <w:t>There are no incentives, payments</w:t>
      </w:r>
      <w:r w:rsidR="00513351">
        <w:rPr>
          <w:rFonts w:eastAsia="Calibri"/>
        </w:rPr>
        <w:t>,</w:t>
      </w:r>
      <w:r w:rsidRPr="002074FE">
        <w:rPr>
          <w:rFonts w:eastAsia="Calibri"/>
        </w:rPr>
        <w:t xml:space="preserve"> or gifts associated with this information collection.</w:t>
      </w:r>
    </w:p>
    <w:p w:rsidRPr="00357C8A" w:rsidR="00357C8A" w:rsidP="006705EA" w:rsidRDefault="00357C8A" w14:paraId="28A13786"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Pr="00DF39C5" w:rsidR="009C7BF5" w:rsidP="009C7BF5" w:rsidRDefault="00513351" w14:paraId="27EA72FB" w14:textId="63D11A1E">
      <w:pPr>
        <w:rPr>
          <w:rFonts w:eastAsia="Calibri"/>
          <w:i/>
        </w:rPr>
      </w:pPr>
      <w:r w:rsidRPr="002B1332">
        <w:rPr>
          <w:rFonts w:eastAsia="Calibri"/>
          <w:i/>
        </w:rPr>
        <w:t>Privacy Act</w:t>
      </w:r>
      <w:r w:rsidR="00FA060B">
        <w:rPr>
          <w:rFonts w:eastAsia="Calibri"/>
          <w:i/>
        </w:rPr>
        <w:t xml:space="preserve">:  </w:t>
      </w:r>
      <w:r w:rsidRPr="007C0941" w:rsidR="007C0941">
        <w:rPr>
          <w:rFonts w:eastAsia="Calibri"/>
        </w:rPr>
        <w:t xml:space="preserve">In preparing this supporting statement, </w:t>
      </w:r>
      <w:r w:rsidR="006F415F">
        <w:rPr>
          <w:rFonts w:eastAsia="Calibri"/>
        </w:rPr>
        <w:t xml:space="preserve">we </w:t>
      </w:r>
      <w:r w:rsidRPr="007C0941" w:rsidR="007C0941">
        <w:rPr>
          <w:rFonts w:eastAsia="Calibri"/>
        </w:rPr>
        <w:t xml:space="preserve">consulted with </w:t>
      </w:r>
      <w:r w:rsidR="006F415F">
        <w:rPr>
          <w:rFonts w:eastAsia="Calibri"/>
        </w:rPr>
        <w:t xml:space="preserve">our </w:t>
      </w:r>
      <w:r w:rsidRPr="007C0941" w:rsidR="007C0941">
        <w:rPr>
          <w:rFonts w:eastAsia="Calibri"/>
        </w:rPr>
        <w:t>FDA Privacy Office to ensure appropriate handling of</w:t>
      </w:r>
      <w:r w:rsidR="00665981">
        <w:rPr>
          <w:rFonts w:eastAsia="Calibri"/>
        </w:rPr>
        <w:t xml:space="preserve"> any</w:t>
      </w:r>
      <w:r w:rsidRPr="009C7BF5" w:rsidR="009C7BF5">
        <w:rPr>
          <w:rFonts w:eastAsia="Calibri"/>
        </w:rPr>
        <w:t xml:space="preserve"> personally identifiable information </w:t>
      </w:r>
      <w:r>
        <w:rPr>
          <w:rFonts w:eastAsia="Calibri"/>
        </w:rPr>
        <w:t xml:space="preserve">(PII) </w:t>
      </w:r>
      <w:r w:rsidRPr="009C7BF5" w:rsidR="009C7BF5">
        <w:rPr>
          <w:rFonts w:eastAsia="Calibri"/>
        </w:rPr>
        <w:t>or information of a personal nature</w:t>
      </w:r>
      <w:r w:rsidR="00665981">
        <w:rPr>
          <w:rFonts w:eastAsia="Calibri"/>
        </w:rPr>
        <w:t xml:space="preserve"> collected.  </w:t>
      </w:r>
      <w:r w:rsidR="00DF39C5">
        <w:rPr>
          <w:rFonts w:eastAsia="Calibri"/>
        </w:rPr>
        <w:t xml:space="preserve">In this collection, the </w:t>
      </w:r>
      <w:r w:rsidRPr="009C7BF5" w:rsidR="009C7BF5">
        <w:rPr>
          <w:rFonts w:eastAsia="Calibri"/>
        </w:rPr>
        <w:t xml:space="preserve">PII collected is for business contact purposes only and includes business name, business address, </w:t>
      </w:r>
      <w:r w:rsidR="007A5A5C">
        <w:rPr>
          <w:rFonts w:eastAsia="Calibri"/>
        </w:rPr>
        <w:t xml:space="preserve">and </w:t>
      </w:r>
      <w:r w:rsidRPr="009C7BF5" w:rsidR="009C7BF5">
        <w:rPr>
          <w:rFonts w:eastAsia="Calibri"/>
        </w:rPr>
        <w:t>business telephone numbers.</w:t>
      </w:r>
      <w:r w:rsidR="009C7BF5">
        <w:rPr>
          <w:rFonts w:eastAsia="Calibri"/>
        </w:rPr>
        <w:t xml:space="preserve"> </w:t>
      </w:r>
      <w:r w:rsidRPr="009C7BF5" w:rsidR="009C7BF5">
        <w:rPr>
          <w:rFonts w:eastAsia="Calibri"/>
        </w:rPr>
        <w:t xml:space="preserve"> The business contact information is maintained and stored at the vendor facility</w:t>
      </w:r>
      <w:r w:rsidR="00DF39C5">
        <w:rPr>
          <w:rFonts w:eastAsia="Calibri"/>
        </w:rPr>
        <w:t xml:space="preserve">.  </w:t>
      </w:r>
      <w:r w:rsidR="007A5A5C">
        <w:rPr>
          <w:rFonts w:eastAsia="Calibri"/>
        </w:rPr>
        <w:t>We</w:t>
      </w:r>
      <w:r w:rsidRPr="009C7BF5" w:rsidR="007A5A5C">
        <w:rPr>
          <w:rFonts w:eastAsia="Calibri"/>
        </w:rPr>
        <w:t xml:space="preserve"> </w:t>
      </w:r>
      <w:r w:rsidRPr="009C7BF5" w:rsidR="009C7BF5">
        <w:rPr>
          <w:rFonts w:eastAsia="Calibri"/>
        </w:rPr>
        <w:t>further determined that although PII is collected and stored at the vendor facility</w:t>
      </w:r>
      <w:r w:rsidR="007A5A5C">
        <w:rPr>
          <w:rFonts w:eastAsia="Calibri"/>
        </w:rPr>
        <w:t>,</w:t>
      </w:r>
      <w:r w:rsidRPr="009C7BF5" w:rsidR="009C7BF5">
        <w:rPr>
          <w:rFonts w:eastAsia="Calibri"/>
        </w:rPr>
        <w:t xml:space="preserve"> the collection is not subject to the Privacy Act of 1974</w:t>
      </w:r>
      <w:r w:rsidR="007A5A5C">
        <w:rPr>
          <w:rFonts w:eastAsia="Calibri"/>
        </w:rPr>
        <w:t>,</w:t>
      </w:r>
      <w:r w:rsidRPr="009C7BF5" w:rsidR="009C7BF5">
        <w:rPr>
          <w:rFonts w:eastAsia="Calibri"/>
        </w:rPr>
        <w:t xml:space="preserve"> and the particular notice and other requirements of the Act do not apply.</w:t>
      </w:r>
      <w:r w:rsidR="009C7BF5">
        <w:rPr>
          <w:rFonts w:eastAsia="Calibri"/>
        </w:rPr>
        <w:t xml:space="preserve"> </w:t>
      </w:r>
      <w:r w:rsidRPr="009C7BF5" w:rsidR="009C7BF5">
        <w:rPr>
          <w:rFonts w:eastAsia="Calibri"/>
        </w:rPr>
        <w:t xml:space="preserve"> Specifically, </w:t>
      </w:r>
      <w:r w:rsidR="007A5A5C">
        <w:rPr>
          <w:rFonts w:eastAsia="Calibri"/>
        </w:rPr>
        <w:t>we</w:t>
      </w:r>
      <w:r w:rsidRPr="009C7BF5" w:rsidR="007A5A5C">
        <w:rPr>
          <w:rFonts w:eastAsia="Calibri"/>
        </w:rPr>
        <w:t xml:space="preserve"> </w:t>
      </w:r>
      <w:r w:rsidRPr="009C7BF5" w:rsidR="009C7BF5">
        <w:rPr>
          <w:rFonts w:eastAsia="Calibri"/>
        </w:rPr>
        <w:t xml:space="preserve">(including vendors or service providers acting on behalf of FDA) do not use name or any other personal identifier to retrieve records from the information collected. </w:t>
      </w:r>
      <w:r w:rsidR="007A5A5C">
        <w:rPr>
          <w:rFonts w:eastAsia="Calibri"/>
        </w:rPr>
        <w:t xml:space="preserve"> We</w:t>
      </w:r>
      <w:r w:rsidRPr="009C7BF5" w:rsidR="009C7BF5">
        <w:rPr>
          <w:rFonts w:eastAsia="Calibri"/>
        </w:rPr>
        <w:t xml:space="preserve"> also minimized the PII to be collected to protect the privacy of the individuals.</w:t>
      </w:r>
    </w:p>
    <w:p w:rsidRPr="001075D3" w:rsidR="001075D3" w:rsidP="00F61D50" w:rsidRDefault="001075D3" w14:paraId="25C52D5A" w14:textId="77777777"/>
    <w:p w:rsidRPr="00357C8A" w:rsidR="00357C8A" w:rsidP="006705EA" w:rsidRDefault="00B03F33" w14:paraId="1869965C" w14:textId="15C9BEF7">
      <w:pPr>
        <w:numPr>
          <w:ilvl w:val="0"/>
          <w:numId w:val="6"/>
        </w:numPr>
        <w:spacing w:after="200" w:line="276" w:lineRule="auto"/>
        <w:rPr>
          <w:rFonts w:eastAsia="Calibri"/>
        </w:rPr>
      </w:pPr>
      <w:r>
        <w:rPr>
          <w:rFonts w:eastAsia="Calibri"/>
          <w:u w:val="single"/>
        </w:rPr>
        <w:br w:type="page"/>
      </w:r>
      <w:r w:rsidRPr="00357C8A" w:rsidR="00357C8A">
        <w:rPr>
          <w:rFonts w:eastAsia="Calibri"/>
          <w:u w:val="single"/>
        </w:rPr>
        <w:lastRenderedPageBreak/>
        <w:t>Justification for Sensitive Questions</w:t>
      </w:r>
    </w:p>
    <w:p w:rsidRPr="00C61A3A" w:rsidR="00357C8A" w:rsidP="0022425B" w:rsidRDefault="00F6232E" w14:paraId="25BA17E6" w14:textId="77777777">
      <w:pPr>
        <w:spacing w:after="200"/>
        <w:rPr>
          <w:rFonts w:eastAsia="Calibri"/>
          <w:color w:val="000000"/>
        </w:rPr>
      </w:pPr>
      <w:r w:rsidRPr="00F6232E">
        <w:rPr>
          <w:rFonts w:eastAsia="Calibri"/>
        </w:rPr>
        <w:t>This information collection does not involve any questions that are of a personally sensitive nature.</w:t>
      </w:r>
    </w:p>
    <w:p w:rsidRPr="00357C8A" w:rsidR="00357C8A" w:rsidP="006705EA" w:rsidRDefault="00357C8A" w14:paraId="6F33892D"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Pr="003A2E85" w:rsidR="00F6232E" w:rsidP="003A2E85" w:rsidRDefault="00357C8A" w14:paraId="3FB548E1" w14:textId="0834C0A1">
      <w:pPr>
        <w:spacing w:after="200"/>
        <w:ind w:left="360"/>
        <w:rPr>
          <w:rFonts w:eastAsia="Calibri"/>
          <w:i/>
        </w:rPr>
      </w:pPr>
      <w:r w:rsidRPr="003A2E85">
        <w:rPr>
          <w:rFonts w:eastAsia="Calibri"/>
          <w:i/>
        </w:rPr>
        <w:t>12a.  Annualized Hour Burden Estimate</w:t>
      </w:r>
      <w:r w:rsidR="003A2E85">
        <w:rPr>
          <w:rFonts w:eastAsia="Calibri"/>
          <w:i/>
        </w:rPr>
        <w:t>:</w:t>
      </w:r>
    </w:p>
    <w:tbl>
      <w:tblPr>
        <w:tblW w:w="4815"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49"/>
        <w:gridCol w:w="1509"/>
        <w:gridCol w:w="1507"/>
        <w:gridCol w:w="1155"/>
        <w:gridCol w:w="1420"/>
        <w:gridCol w:w="882"/>
      </w:tblGrid>
      <w:tr w:rsidRPr="002B1332" w:rsidR="00F6232E" w:rsidTr="00485A5A" w14:paraId="74DDF94B" w14:textId="77777777">
        <w:trPr>
          <w:cantSplit/>
          <w:trHeight w:val="20"/>
          <w:tblHeader/>
        </w:trPr>
        <w:tc>
          <w:tcPr>
            <w:tcW w:w="5000" w:type="pct"/>
            <w:gridSpan w:val="6"/>
            <w:tcBorders>
              <w:top w:val="nil"/>
              <w:left w:val="nil"/>
              <w:right w:val="nil"/>
            </w:tcBorders>
            <w:shd w:val="clear" w:color="auto" w:fill="auto"/>
          </w:tcPr>
          <w:p w:rsidRPr="002B1332" w:rsidR="00F6232E" w:rsidP="003A2E85" w:rsidRDefault="00F6232E" w14:paraId="28B9A439" w14:textId="77777777">
            <w:pPr>
              <w:jc w:val="center"/>
              <w:rPr>
                <w:sz w:val="20"/>
                <w:szCs w:val="20"/>
              </w:rPr>
            </w:pPr>
            <w:r w:rsidRPr="002B1332">
              <w:rPr>
                <w:sz w:val="20"/>
                <w:szCs w:val="20"/>
              </w:rPr>
              <w:t>Table 1.--Estimated Annual Reporting Burden</w:t>
            </w:r>
            <w:r w:rsidRPr="002B1332">
              <w:rPr>
                <w:sz w:val="20"/>
                <w:szCs w:val="20"/>
                <w:vertAlign w:val="superscript"/>
              </w:rPr>
              <w:t>1</w:t>
            </w:r>
          </w:p>
        </w:tc>
      </w:tr>
      <w:tr w:rsidRPr="002B1332" w:rsidR="00F6232E" w:rsidTr="00485A5A" w14:paraId="08460494" w14:textId="77777777">
        <w:trPr>
          <w:cantSplit/>
          <w:trHeight w:val="20"/>
          <w:tblHeader/>
        </w:trPr>
        <w:tc>
          <w:tcPr>
            <w:tcW w:w="1491" w:type="pct"/>
            <w:shd w:val="clear" w:color="auto" w:fill="auto"/>
          </w:tcPr>
          <w:p w:rsidRPr="002B1332" w:rsidR="00F6232E" w:rsidP="003A2E85" w:rsidRDefault="00F6232E" w14:paraId="02B1A33E" w14:textId="77777777">
            <w:pPr>
              <w:jc w:val="center"/>
              <w:rPr>
                <w:sz w:val="20"/>
                <w:szCs w:val="20"/>
              </w:rPr>
            </w:pPr>
            <w:r w:rsidRPr="002B1332">
              <w:rPr>
                <w:sz w:val="20"/>
                <w:szCs w:val="20"/>
              </w:rPr>
              <w:t xml:space="preserve">21 CFR Section; </w:t>
            </w:r>
            <w:r w:rsidR="00100C2E">
              <w:rPr>
                <w:sz w:val="20"/>
                <w:szCs w:val="20"/>
              </w:rPr>
              <w:t>A</w:t>
            </w:r>
            <w:r w:rsidRPr="002B1332">
              <w:rPr>
                <w:sz w:val="20"/>
                <w:szCs w:val="20"/>
              </w:rPr>
              <w:t>ctivity</w:t>
            </w:r>
          </w:p>
        </w:tc>
        <w:tc>
          <w:tcPr>
            <w:tcW w:w="818" w:type="pct"/>
            <w:shd w:val="clear" w:color="auto" w:fill="auto"/>
          </w:tcPr>
          <w:p w:rsidRPr="002B1332" w:rsidR="00F6232E" w:rsidP="003A2E85" w:rsidRDefault="00F6232E" w14:paraId="73D031B3" w14:textId="77777777">
            <w:pPr>
              <w:jc w:val="center"/>
              <w:rPr>
                <w:sz w:val="20"/>
                <w:szCs w:val="20"/>
              </w:rPr>
            </w:pPr>
            <w:r w:rsidRPr="002B1332">
              <w:rPr>
                <w:sz w:val="20"/>
                <w:szCs w:val="20"/>
              </w:rPr>
              <w:t>No. of Respondents</w:t>
            </w:r>
          </w:p>
        </w:tc>
        <w:tc>
          <w:tcPr>
            <w:tcW w:w="817" w:type="pct"/>
            <w:shd w:val="clear" w:color="auto" w:fill="auto"/>
          </w:tcPr>
          <w:p w:rsidRPr="002B1332" w:rsidR="00F6232E" w:rsidP="003A2E85" w:rsidRDefault="00F6232E" w14:paraId="150F985E" w14:textId="77777777">
            <w:pPr>
              <w:jc w:val="center"/>
              <w:rPr>
                <w:sz w:val="20"/>
                <w:szCs w:val="20"/>
              </w:rPr>
            </w:pPr>
            <w:r w:rsidRPr="002B1332">
              <w:rPr>
                <w:bCs/>
                <w:sz w:val="20"/>
                <w:szCs w:val="20"/>
              </w:rPr>
              <w:t>No. of Responses per Respondent</w:t>
            </w:r>
          </w:p>
        </w:tc>
        <w:tc>
          <w:tcPr>
            <w:tcW w:w="626" w:type="pct"/>
            <w:shd w:val="clear" w:color="auto" w:fill="auto"/>
          </w:tcPr>
          <w:p w:rsidRPr="002B1332" w:rsidR="00F6232E" w:rsidP="003A2E85" w:rsidRDefault="00F6232E" w14:paraId="12550DC4" w14:textId="77777777">
            <w:pPr>
              <w:jc w:val="center"/>
              <w:rPr>
                <w:sz w:val="20"/>
                <w:szCs w:val="20"/>
              </w:rPr>
            </w:pPr>
            <w:r w:rsidRPr="002B1332">
              <w:rPr>
                <w:sz w:val="20"/>
                <w:szCs w:val="20"/>
              </w:rPr>
              <w:t>Total Annual Responses</w:t>
            </w:r>
          </w:p>
        </w:tc>
        <w:tc>
          <w:tcPr>
            <w:tcW w:w="770" w:type="pct"/>
            <w:shd w:val="clear" w:color="auto" w:fill="auto"/>
          </w:tcPr>
          <w:p w:rsidRPr="002B1332" w:rsidR="00F6232E" w:rsidP="003A2E85" w:rsidRDefault="00F6232E" w14:paraId="63FDD3D8" w14:textId="77777777">
            <w:pPr>
              <w:jc w:val="center"/>
              <w:rPr>
                <w:sz w:val="20"/>
                <w:szCs w:val="20"/>
              </w:rPr>
            </w:pPr>
            <w:r w:rsidRPr="002B1332">
              <w:rPr>
                <w:bCs/>
                <w:sz w:val="20"/>
                <w:szCs w:val="20"/>
              </w:rPr>
              <w:t>Average Burden per Response</w:t>
            </w:r>
          </w:p>
        </w:tc>
        <w:tc>
          <w:tcPr>
            <w:tcW w:w="479" w:type="pct"/>
            <w:shd w:val="clear" w:color="auto" w:fill="auto"/>
          </w:tcPr>
          <w:p w:rsidRPr="002B1332" w:rsidR="00F6232E" w:rsidP="003A2E85" w:rsidRDefault="00F6232E" w14:paraId="1BB4F5CA" w14:textId="77777777">
            <w:pPr>
              <w:jc w:val="center"/>
              <w:rPr>
                <w:sz w:val="20"/>
                <w:szCs w:val="20"/>
              </w:rPr>
            </w:pPr>
            <w:r w:rsidRPr="002B1332">
              <w:rPr>
                <w:sz w:val="20"/>
                <w:szCs w:val="20"/>
              </w:rPr>
              <w:t>Total Hours</w:t>
            </w:r>
          </w:p>
        </w:tc>
      </w:tr>
      <w:tr w:rsidRPr="002B1332" w:rsidR="00F6232E" w:rsidTr="00485A5A" w14:paraId="3026177B" w14:textId="77777777">
        <w:trPr>
          <w:cantSplit/>
          <w:trHeight w:val="20"/>
        </w:trPr>
        <w:tc>
          <w:tcPr>
            <w:tcW w:w="1491" w:type="pct"/>
            <w:shd w:val="clear" w:color="auto" w:fill="auto"/>
          </w:tcPr>
          <w:p w:rsidRPr="002B1332" w:rsidR="00F6232E" w:rsidP="003A2E85" w:rsidRDefault="00F6232E" w14:paraId="012A4C1B" w14:textId="77777777">
            <w:pPr>
              <w:rPr>
                <w:sz w:val="20"/>
                <w:szCs w:val="20"/>
              </w:rPr>
            </w:pPr>
            <w:r w:rsidRPr="002B1332">
              <w:rPr>
                <w:sz w:val="20"/>
                <w:szCs w:val="20"/>
              </w:rPr>
              <w:t>107.230; Elements of infant formula recall</w:t>
            </w:r>
          </w:p>
        </w:tc>
        <w:tc>
          <w:tcPr>
            <w:tcW w:w="818" w:type="pct"/>
            <w:shd w:val="clear" w:color="auto" w:fill="auto"/>
          </w:tcPr>
          <w:p w:rsidRPr="002B1332" w:rsidR="00F6232E" w:rsidP="003A2E85" w:rsidRDefault="00F6232E" w14:paraId="4EB64CF9" w14:textId="77777777">
            <w:pPr>
              <w:jc w:val="right"/>
              <w:rPr>
                <w:sz w:val="20"/>
                <w:szCs w:val="20"/>
              </w:rPr>
            </w:pPr>
            <w:r w:rsidRPr="002B1332">
              <w:rPr>
                <w:sz w:val="20"/>
                <w:szCs w:val="20"/>
              </w:rPr>
              <w:t>2</w:t>
            </w:r>
          </w:p>
        </w:tc>
        <w:tc>
          <w:tcPr>
            <w:tcW w:w="817" w:type="pct"/>
            <w:shd w:val="clear" w:color="auto" w:fill="auto"/>
          </w:tcPr>
          <w:p w:rsidRPr="002B1332" w:rsidR="00F6232E" w:rsidP="003A2E85" w:rsidRDefault="00F6232E" w14:paraId="42B3C9E5" w14:textId="77777777">
            <w:pPr>
              <w:jc w:val="right"/>
              <w:rPr>
                <w:sz w:val="20"/>
                <w:szCs w:val="20"/>
              </w:rPr>
            </w:pPr>
            <w:r w:rsidRPr="002B1332">
              <w:rPr>
                <w:sz w:val="20"/>
                <w:szCs w:val="20"/>
              </w:rPr>
              <w:t>1</w:t>
            </w:r>
          </w:p>
        </w:tc>
        <w:tc>
          <w:tcPr>
            <w:tcW w:w="626" w:type="pct"/>
            <w:shd w:val="clear" w:color="auto" w:fill="auto"/>
          </w:tcPr>
          <w:p w:rsidRPr="002B1332" w:rsidR="00F6232E" w:rsidP="003A2E85" w:rsidRDefault="00F6232E" w14:paraId="0655288B" w14:textId="77777777">
            <w:pPr>
              <w:jc w:val="right"/>
              <w:rPr>
                <w:sz w:val="20"/>
                <w:szCs w:val="20"/>
              </w:rPr>
            </w:pPr>
            <w:r w:rsidRPr="002B1332">
              <w:rPr>
                <w:sz w:val="20"/>
                <w:szCs w:val="20"/>
              </w:rPr>
              <w:t>2</w:t>
            </w:r>
          </w:p>
        </w:tc>
        <w:tc>
          <w:tcPr>
            <w:tcW w:w="770" w:type="pct"/>
            <w:shd w:val="clear" w:color="auto" w:fill="auto"/>
          </w:tcPr>
          <w:p w:rsidRPr="002B1332" w:rsidR="00F6232E" w:rsidP="003A2E85" w:rsidRDefault="00F6232E" w14:paraId="0C010184" w14:textId="77777777">
            <w:pPr>
              <w:jc w:val="right"/>
              <w:rPr>
                <w:sz w:val="20"/>
                <w:szCs w:val="20"/>
              </w:rPr>
            </w:pPr>
            <w:r w:rsidRPr="002B1332">
              <w:rPr>
                <w:sz w:val="20"/>
                <w:szCs w:val="20"/>
              </w:rPr>
              <w:t>4,450</w:t>
            </w:r>
          </w:p>
        </w:tc>
        <w:tc>
          <w:tcPr>
            <w:tcW w:w="479" w:type="pct"/>
            <w:shd w:val="clear" w:color="auto" w:fill="auto"/>
          </w:tcPr>
          <w:p w:rsidRPr="002B1332" w:rsidR="00F6232E" w:rsidP="003A2E85" w:rsidRDefault="00F6232E" w14:paraId="1DA3CE17" w14:textId="77777777">
            <w:pPr>
              <w:jc w:val="right"/>
              <w:rPr>
                <w:sz w:val="20"/>
                <w:szCs w:val="20"/>
              </w:rPr>
            </w:pPr>
            <w:r w:rsidRPr="002B1332">
              <w:rPr>
                <w:sz w:val="20"/>
                <w:szCs w:val="20"/>
              </w:rPr>
              <w:t>8,900</w:t>
            </w:r>
          </w:p>
        </w:tc>
      </w:tr>
      <w:tr w:rsidRPr="002B1332" w:rsidR="00F6232E" w:rsidTr="00485A5A" w14:paraId="3EDCD1A7" w14:textId="77777777">
        <w:trPr>
          <w:cantSplit/>
          <w:trHeight w:val="20"/>
        </w:trPr>
        <w:tc>
          <w:tcPr>
            <w:tcW w:w="1491" w:type="pct"/>
            <w:shd w:val="clear" w:color="auto" w:fill="auto"/>
          </w:tcPr>
          <w:p w:rsidRPr="002B1332" w:rsidR="00F6232E" w:rsidP="003A2E85" w:rsidRDefault="00F6232E" w14:paraId="405F9C54" w14:textId="77777777">
            <w:pPr>
              <w:rPr>
                <w:sz w:val="20"/>
                <w:szCs w:val="20"/>
              </w:rPr>
            </w:pPr>
            <w:r w:rsidRPr="002B1332">
              <w:rPr>
                <w:sz w:val="20"/>
                <w:szCs w:val="20"/>
              </w:rPr>
              <w:t>107.240; Notification requirements</w:t>
            </w:r>
          </w:p>
        </w:tc>
        <w:tc>
          <w:tcPr>
            <w:tcW w:w="818" w:type="pct"/>
            <w:shd w:val="clear" w:color="auto" w:fill="auto"/>
          </w:tcPr>
          <w:p w:rsidRPr="002B1332" w:rsidR="00F6232E" w:rsidP="003A2E85" w:rsidRDefault="00F6232E" w14:paraId="2EFD29C5" w14:textId="77777777">
            <w:pPr>
              <w:jc w:val="right"/>
              <w:rPr>
                <w:sz w:val="20"/>
                <w:szCs w:val="20"/>
              </w:rPr>
            </w:pPr>
            <w:r w:rsidRPr="002B1332">
              <w:rPr>
                <w:sz w:val="20"/>
                <w:szCs w:val="20"/>
              </w:rPr>
              <w:t>2</w:t>
            </w:r>
          </w:p>
        </w:tc>
        <w:tc>
          <w:tcPr>
            <w:tcW w:w="817" w:type="pct"/>
            <w:shd w:val="clear" w:color="auto" w:fill="auto"/>
          </w:tcPr>
          <w:p w:rsidRPr="002B1332" w:rsidR="00F6232E" w:rsidP="003A2E85" w:rsidRDefault="00F6232E" w14:paraId="41382995" w14:textId="77777777">
            <w:pPr>
              <w:jc w:val="right"/>
              <w:rPr>
                <w:sz w:val="20"/>
                <w:szCs w:val="20"/>
              </w:rPr>
            </w:pPr>
            <w:r w:rsidRPr="002B1332">
              <w:rPr>
                <w:sz w:val="20"/>
                <w:szCs w:val="20"/>
              </w:rPr>
              <w:t>1</w:t>
            </w:r>
          </w:p>
        </w:tc>
        <w:tc>
          <w:tcPr>
            <w:tcW w:w="626" w:type="pct"/>
            <w:shd w:val="clear" w:color="auto" w:fill="auto"/>
          </w:tcPr>
          <w:p w:rsidRPr="002B1332" w:rsidR="00F6232E" w:rsidP="003A2E85" w:rsidRDefault="00F6232E" w14:paraId="22A009C1" w14:textId="77777777">
            <w:pPr>
              <w:jc w:val="right"/>
              <w:rPr>
                <w:sz w:val="20"/>
                <w:szCs w:val="20"/>
              </w:rPr>
            </w:pPr>
            <w:r w:rsidRPr="002B1332">
              <w:rPr>
                <w:sz w:val="20"/>
                <w:szCs w:val="20"/>
              </w:rPr>
              <w:t>2</w:t>
            </w:r>
          </w:p>
        </w:tc>
        <w:tc>
          <w:tcPr>
            <w:tcW w:w="770" w:type="pct"/>
            <w:shd w:val="clear" w:color="auto" w:fill="auto"/>
          </w:tcPr>
          <w:p w:rsidRPr="002B1332" w:rsidR="00F6232E" w:rsidP="003A2E85" w:rsidRDefault="00F6232E" w14:paraId="70A2F5AC" w14:textId="77777777">
            <w:pPr>
              <w:jc w:val="right"/>
              <w:rPr>
                <w:sz w:val="20"/>
                <w:szCs w:val="20"/>
              </w:rPr>
            </w:pPr>
            <w:r w:rsidRPr="002B1332">
              <w:rPr>
                <w:sz w:val="20"/>
                <w:szCs w:val="20"/>
              </w:rPr>
              <w:t>1,482</w:t>
            </w:r>
          </w:p>
        </w:tc>
        <w:tc>
          <w:tcPr>
            <w:tcW w:w="479" w:type="pct"/>
            <w:shd w:val="clear" w:color="auto" w:fill="auto"/>
          </w:tcPr>
          <w:p w:rsidRPr="002B1332" w:rsidR="00F6232E" w:rsidP="003A2E85" w:rsidRDefault="00F6232E" w14:paraId="36B7A90B" w14:textId="77777777">
            <w:pPr>
              <w:jc w:val="right"/>
              <w:rPr>
                <w:sz w:val="20"/>
                <w:szCs w:val="20"/>
              </w:rPr>
            </w:pPr>
            <w:r w:rsidRPr="002B1332">
              <w:rPr>
                <w:sz w:val="20"/>
                <w:szCs w:val="20"/>
              </w:rPr>
              <w:t>2,964</w:t>
            </w:r>
          </w:p>
        </w:tc>
      </w:tr>
      <w:tr w:rsidRPr="002B1332" w:rsidR="00F6232E" w:rsidTr="00485A5A" w14:paraId="3C467A8A" w14:textId="77777777">
        <w:trPr>
          <w:cantSplit/>
          <w:trHeight w:val="20"/>
        </w:trPr>
        <w:tc>
          <w:tcPr>
            <w:tcW w:w="1491" w:type="pct"/>
            <w:shd w:val="clear" w:color="auto" w:fill="auto"/>
          </w:tcPr>
          <w:p w:rsidRPr="002B1332" w:rsidR="00F6232E" w:rsidP="003A2E85" w:rsidRDefault="00F6232E" w14:paraId="3863D886" w14:textId="77777777">
            <w:pPr>
              <w:rPr>
                <w:sz w:val="20"/>
                <w:szCs w:val="20"/>
              </w:rPr>
            </w:pPr>
            <w:r w:rsidRPr="002B1332">
              <w:rPr>
                <w:sz w:val="20"/>
                <w:szCs w:val="20"/>
              </w:rPr>
              <w:t>107.250; Termination of infant formula recall</w:t>
            </w:r>
          </w:p>
        </w:tc>
        <w:tc>
          <w:tcPr>
            <w:tcW w:w="818" w:type="pct"/>
            <w:shd w:val="clear" w:color="auto" w:fill="auto"/>
          </w:tcPr>
          <w:p w:rsidRPr="002B1332" w:rsidR="00F6232E" w:rsidP="003A2E85" w:rsidRDefault="00F6232E" w14:paraId="697652E3" w14:textId="77777777">
            <w:pPr>
              <w:jc w:val="right"/>
              <w:rPr>
                <w:sz w:val="20"/>
                <w:szCs w:val="20"/>
              </w:rPr>
            </w:pPr>
            <w:r w:rsidRPr="002B1332">
              <w:rPr>
                <w:sz w:val="20"/>
                <w:szCs w:val="20"/>
              </w:rPr>
              <w:t>2</w:t>
            </w:r>
          </w:p>
        </w:tc>
        <w:tc>
          <w:tcPr>
            <w:tcW w:w="817" w:type="pct"/>
            <w:shd w:val="clear" w:color="auto" w:fill="auto"/>
          </w:tcPr>
          <w:p w:rsidRPr="002B1332" w:rsidR="00F6232E" w:rsidP="003A2E85" w:rsidRDefault="00F6232E" w14:paraId="7B56AFDE" w14:textId="77777777">
            <w:pPr>
              <w:jc w:val="right"/>
              <w:rPr>
                <w:sz w:val="20"/>
                <w:szCs w:val="20"/>
              </w:rPr>
            </w:pPr>
            <w:r w:rsidRPr="002B1332">
              <w:rPr>
                <w:sz w:val="20"/>
                <w:szCs w:val="20"/>
              </w:rPr>
              <w:t>1</w:t>
            </w:r>
          </w:p>
        </w:tc>
        <w:tc>
          <w:tcPr>
            <w:tcW w:w="626" w:type="pct"/>
            <w:shd w:val="clear" w:color="auto" w:fill="auto"/>
          </w:tcPr>
          <w:p w:rsidRPr="002B1332" w:rsidR="00F6232E" w:rsidP="003A2E85" w:rsidRDefault="00F6232E" w14:paraId="47A5DCF2" w14:textId="77777777">
            <w:pPr>
              <w:jc w:val="right"/>
              <w:rPr>
                <w:sz w:val="20"/>
                <w:szCs w:val="20"/>
              </w:rPr>
            </w:pPr>
            <w:r w:rsidRPr="002B1332">
              <w:rPr>
                <w:sz w:val="20"/>
                <w:szCs w:val="20"/>
              </w:rPr>
              <w:t>2</w:t>
            </w:r>
          </w:p>
        </w:tc>
        <w:tc>
          <w:tcPr>
            <w:tcW w:w="770" w:type="pct"/>
            <w:shd w:val="clear" w:color="auto" w:fill="auto"/>
          </w:tcPr>
          <w:p w:rsidRPr="002B1332" w:rsidR="00F6232E" w:rsidP="003A2E85" w:rsidRDefault="00F6232E" w14:paraId="411A0F26" w14:textId="77777777">
            <w:pPr>
              <w:jc w:val="right"/>
              <w:rPr>
                <w:sz w:val="20"/>
                <w:szCs w:val="20"/>
              </w:rPr>
            </w:pPr>
            <w:r w:rsidRPr="002B1332">
              <w:rPr>
                <w:sz w:val="20"/>
                <w:szCs w:val="20"/>
              </w:rPr>
              <w:t>120</w:t>
            </w:r>
          </w:p>
        </w:tc>
        <w:tc>
          <w:tcPr>
            <w:tcW w:w="479" w:type="pct"/>
            <w:shd w:val="clear" w:color="auto" w:fill="auto"/>
          </w:tcPr>
          <w:p w:rsidRPr="002B1332" w:rsidR="00F6232E" w:rsidP="003A2E85" w:rsidRDefault="00F6232E" w14:paraId="1FC3F97A" w14:textId="77777777">
            <w:pPr>
              <w:jc w:val="right"/>
              <w:rPr>
                <w:sz w:val="20"/>
                <w:szCs w:val="20"/>
              </w:rPr>
            </w:pPr>
            <w:r w:rsidRPr="002B1332">
              <w:rPr>
                <w:sz w:val="20"/>
                <w:szCs w:val="20"/>
              </w:rPr>
              <w:t>240</w:t>
            </w:r>
          </w:p>
        </w:tc>
      </w:tr>
      <w:tr w:rsidRPr="002B1332" w:rsidR="00F6232E" w:rsidTr="00485A5A" w14:paraId="3F1D0983" w14:textId="77777777">
        <w:trPr>
          <w:cantSplit/>
          <w:trHeight w:val="20"/>
        </w:trPr>
        <w:tc>
          <w:tcPr>
            <w:tcW w:w="1491" w:type="pct"/>
            <w:shd w:val="clear" w:color="auto" w:fill="auto"/>
          </w:tcPr>
          <w:p w:rsidRPr="002B1332" w:rsidR="00F6232E" w:rsidP="003A2E85" w:rsidRDefault="00F6232E" w14:paraId="76D7C2F7" w14:textId="77777777">
            <w:pPr>
              <w:rPr>
                <w:sz w:val="20"/>
                <w:szCs w:val="20"/>
              </w:rPr>
            </w:pPr>
            <w:r w:rsidRPr="002B1332">
              <w:rPr>
                <w:sz w:val="20"/>
                <w:szCs w:val="20"/>
              </w:rPr>
              <w:t>107.260; Revision of an infant formula recall</w:t>
            </w:r>
          </w:p>
        </w:tc>
        <w:tc>
          <w:tcPr>
            <w:tcW w:w="818" w:type="pct"/>
            <w:shd w:val="clear" w:color="auto" w:fill="auto"/>
          </w:tcPr>
          <w:p w:rsidRPr="002B1332" w:rsidR="00F6232E" w:rsidP="003A2E85" w:rsidRDefault="00F6232E" w14:paraId="4E5F7ED5" w14:textId="77777777">
            <w:pPr>
              <w:jc w:val="right"/>
              <w:rPr>
                <w:sz w:val="20"/>
                <w:szCs w:val="20"/>
              </w:rPr>
            </w:pPr>
            <w:r w:rsidRPr="002B1332">
              <w:rPr>
                <w:sz w:val="20"/>
                <w:szCs w:val="20"/>
              </w:rPr>
              <w:t>1</w:t>
            </w:r>
          </w:p>
        </w:tc>
        <w:tc>
          <w:tcPr>
            <w:tcW w:w="817" w:type="pct"/>
            <w:shd w:val="clear" w:color="auto" w:fill="auto"/>
          </w:tcPr>
          <w:p w:rsidRPr="002B1332" w:rsidR="00F6232E" w:rsidP="003A2E85" w:rsidRDefault="00F6232E" w14:paraId="40918A05" w14:textId="77777777">
            <w:pPr>
              <w:jc w:val="right"/>
              <w:rPr>
                <w:sz w:val="20"/>
                <w:szCs w:val="20"/>
              </w:rPr>
            </w:pPr>
            <w:r w:rsidRPr="002B1332">
              <w:rPr>
                <w:sz w:val="20"/>
                <w:szCs w:val="20"/>
              </w:rPr>
              <w:t>1</w:t>
            </w:r>
          </w:p>
        </w:tc>
        <w:tc>
          <w:tcPr>
            <w:tcW w:w="626" w:type="pct"/>
            <w:shd w:val="clear" w:color="auto" w:fill="auto"/>
          </w:tcPr>
          <w:p w:rsidRPr="002B1332" w:rsidR="00F6232E" w:rsidP="003A2E85" w:rsidRDefault="00F6232E" w14:paraId="2A68B716" w14:textId="77777777">
            <w:pPr>
              <w:jc w:val="right"/>
              <w:rPr>
                <w:sz w:val="20"/>
                <w:szCs w:val="20"/>
              </w:rPr>
            </w:pPr>
            <w:r w:rsidRPr="002B1332">
              <w:rPr>
                <w:sz w:val="20"/>
                <w:szCs w:val="20"/>
              </w:rPr>
              <w:t>1</w:t>
            </w:r>
          </w:p>
        </w:tc>
        <w:tc>
          <w:tcPr>
            <w:tcW w:w="770" w:type="pct"/>
            <w:shd w:val="clear" w:color="auto" w:fill="auto"/>
          </w:tcPr>
          <w:p w:rsidRPr="002B1332" w:rsidR="00F6232E" w:rsidP="003A2E85" w:rsidRDefault="00F6232E" w14:paraId="0E449598" w14:textId="77777777">
            <w:pPr>
              <w:jc w:val="right"/>
              <w:rPr>
                <w:sz w:val="20"/>
                <w:szCs w:val="20"/>
              </w:rPr>
            </w:pPr>
            <w:r w:rsidRPr="002B1332">
              <w:rPr>
                <w:sz w:val="20"/>
                <w:szCs w:val="20"/>
              </w:rPr>
              <w:t>625</w:t>
            </w:r>
          </w:p>
        </w:tc>
        <w:tc>
          <w:tcPr>
            <w:tcW w:w="479" w:type="pct"/>
            <w:shd w:val="clear" w:color="auto" w:fill="auto"/>
          </w:tcPr>
          <w:p w:rsidRPr="002B1332" w:rsidR="00F6232E" w:rsidP="003A2E85" w:rsidRDefault="00F6232E" w14:paraId="782BB072" w14:textId="77777777">
            <w:pPr>
              <w:jc w:val="right"/>
              <w:rPr>
                <w:sz w:val="20"/>
                <w:szCs w:val="20"/>
              </w:rPr>
            </w:pPr>
            <w:r w:rsidRPr="002B1332">
              <w:rPr>
                <w:sz w:val="20"/>
                <w:szCs w:val="20"/>
              </w:rPr>
              <w:t>625</w:t>
            </w:r>
          </w:p>
        </w:tc>
      </w:tr>
      <w:tr w:rsidRPr="002B1332" w:rsidR="00F6232E" w:rsidTr="00485A5A" w14:paraId="61227C1E" w14:textId="77777777">
        <w:trPr>
          <w:cantSplit/>
          <w:trHeight w:val="20"/>
        </w:trPr>
        <w:tc>
          <w:tcPr>
            <w:tcW w:w="4521" w:type="pct"/>
            <w:gridSpan w:val="5"/>
            <w:shd w:val="clear" w:color="auto" w:fill="auto"/>
          </w:tcPr>
          <w:p w:rsidRPr="002B1332" w:rsidR="00F6232E" w:rsidP="003A2E85" w:rsidRDefault="00F6232E" w14:paraId="5802C96B" w14:textId="77777777">
            <w:pPr>
              <w:rPr>
                <w:sz w:val="20"/>
                <w:szCs w:val="20"/>
              </w:rPr>
            </w:pPr>
            <w:r w:rsidRPr="002B1332">
              <w:rPr>
                <w:sz w:val="20"/>
                <w:szCs w:val="20"/>
              </w:rPr>
              <w:t>Total</w:t>
            </w:r>
          </w:p>
        </w:tc>
        <w:tc>
          <w:tcPr>
            <w:tcW w:w="479" w:type="pct"/>
            <w:shd w:val="clear" w:color="auto" w:fill="auto"/>
          </w:tcPr>
          <w:p w:rsidRPr="002B1332" w:rsidR="00F6232E" w:rsidP="003A2E85" w:rsidRDefault="00F6232E" w14:paraId="7DF5FE1C" w14:textId="77777777">
            <w:pPr>
              <w:jc w:val="right"/>
              <w:rPr>
                <w:sz w:val="20"/>
                <w:szCs w:val="20"/>
              </w:rPr>
            </w:pPr>
            <w:r w:rsidRPr="002B1332">
              <w:rPr>
                <w:sz w:val="20"/>
                <w:szCs w:val="20"/>
              </w:rPr>
              <w:t>12,729</w:t>
            </w:r>
          </w:p>
        </w:tc>
      </w:tr>
    </w:tbl>
    <w:p w:rsidRPr="00F6232E" w:rsidR="00F6232E" w:rsidP="003A2E85" w:rsidRDefault="00485A5A" w14:paraId="03008629" w14:textId="3A6A7028">
      <w:pPr>
        <w:rPr>
          <w:sz w:val="18"/>
          <w:szCs w:val="18"/>
        </w:rPr>
      </w:pPr>
      <w:r>
        <w:rPr>
          <w:sz w:val="18"/>
          <w:szCs w:val="18"/>
          <w:vertAlign w:val="superscript"/>
        </w:rPr>
        <w:t xml:space="preserve">  </w:t>
      </w:r>
      <w:r w:rsidRPr="00F6232E" w:rsidR="00F6232E">
        <w:rPr>
          <w:sz w:val="18"/>
          <w:szCs w:val="18"/>
          <w:vertAlign w:val="superscript"/>
        </w:rPr>
        <w:t>1</w:t>
      </w:r>
      <w:r w:rsidRPr="00F6232E" w:rsidR="00F6232E">
        <w:rPr>
          <w:sz w:val="18"/>
          <w:szCs w:val="18"/>
        </w:rPr>
        <w:t xml:space="preserve"> There are no capital costs or operating and maintenance costs associated with this collection of information.</w:t>
      </w:r>
    </w:p>
    <w:p w:rsidRPr="00F6232E" w:rsidR="00F6232E" w:rsidP="00F6232E" w:rsidRDefault="00F6232E" w14:paraId="46277EA7" w14:textId="77777777">
      <w:pPr>
        <w:ind w:left="720"/>
      </w:pPr>
    </w:p>
    <w:p w:rsidRPr="00F6232E" w:rsidR="00F6232E" w:rsidP="003A2E85" w:rsidRDefault="00F6232E" w14:paraId="7432A981" w14:textId="77777777">
      <w:r w:rsidRPr="00F6232E">
        <w:t xml:space="preserve">The reporting and third-party disclosure burden estimates are based on FDA’s records, which show that there are six manufacturers of infant formula and that there have been, on average, two infant formula recalls per year for the past 3 years.  </w:t>
      </w:r>
    </w:p>
    <w:p w:rsidRPr="00F6232E" w:rsidR="00F6232E" w:rsidP="003A2E85" w:rsidRDefault="00F6232E" w14:paraId="569DACBA" w14:textId="77777777"/>
    <w:p w:rsidRPr="00F6232E" w:rsidR="00F6232E" w:rsidP="003A2E85" w:rsidRDefault="00F6232E" w14:paraId="79F846F0" w14:textId="77777777">
      <w:r w:rsidRPr="00F6232E">
        <w:t>Under 5 CFR 1320.3(b)(2), the time, effort, and financial resources necessary to comply with a collection of information are excluded from the burden estimate if the reporting, recordkeeping, or disclosure activities needed to comply are usual and customary because they would occur in the normal course of activities.  No burden has been estimated for the recordkeeping requirement in § 107.280 because these records are maintained as a usual and customary part of normal business activities.  Manufacturers keep infant formula distribution records for the prescribed period as a matter of routine business practice.</w:t>
      </w:r>
    </w:p>
    <w:p w:rsidRPr="00F6232E" w:rsidR="00F6232E" w:rsidP="00F6232E" w:rsidRDefault="00F6232E" w14:paraId="44C6708E" w14:textId="77777777">
      <w:pPr>
        <w:rPr>
          <w:szCs w:val="20"/>
        </w:rPr>
      </w:pPr>
    </w:p>
    <w:tbl>
      <w:tblPr>
        <w:tblW w:w="488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00"/>
        <w:gridCol w:w="1543"/>
        <w:gridCol w:w="1620"/>
        <w:gridCol w:w="1349"/>
        <w:gridCol w:w="1261"/>
        <w:gridCol w:w="1081"/>
      </w:tblGrid>
      <w:tr w:rsidRPr="002B1332" w:rsidR="00F6232E" w:rsidTr="003A2E85" w14:paraId="170C9E1A" w14:textId="77777777">
        <w:trPr>
          <w:cantSplit/>
          <w:trHeight w:val="251"/>
          <w:tblHeader/>
        </w:trPr>
        <w:tc>
          <w:tcPr>
            <w:tcW w:w="5000" w:type="pct"/>
            <w:gridSpan w:val="6"/>
            <w:tcBorders>
              <w:top w:val="nil"/>
              <w:left w:val="nil"/>
              <w:right w:val="nil"/>
            </w:tcBorders>
          </w:tcPr>
          <w:p w:rsidRPr="002B1332" w:rsidR="00F6232E" w:rsidP="00F6232E" w:rsidRDefault="00F6232E" w14:paraId="0BD8CBBC" w14:textId="77777777">
            <w:pPr>
              <w:contextualSpacing/>
              <w:jc w:val="center"/>
              <w:rPr>
                <w:sz w:val="20"/>
                <w:szCs w:val="20"/>
              </w:rPr>
            </w:pPr>
            <w:r w:rsidRPr="002B1332">
              <w:rPr>
                <w:sz w:val="20"/>
                <w:szCs w:val="20"/>
              </w:rPr>
              <w:t xml:space="preserve">Table </w:t>
            </w:r>
            <w:r w:rsidRPr="002B1332" w:rsidR="002E344E">
              <w:rPr>
                <w:sz w:val="20"/>
                <w:szCs w:val="20"/>
              </w:rPr>
              <w:t>2.--</w:t>
            </w:r>
            <w:r w:rsidRPr="002B1332">
              <w:rPr>
                <w:sz w:val="20"/>
                <w:szCs w:val="20"/>
              </w:rPr>
              <w:t>Estimated Annual Third-Party Disclosure Burden</w:t>
            </w:r>
            <w:r w:rsidRPr="002B1332">
              <w:rPr>
                <w:sz w:val="20"/>
                <w:szCs w:val="20"/>
                <w:vertAlign w:val="superscript"/>
              </w:rPr>
              <w:t>1</w:t>
            </w:r>
          </w:p>
        </w:tc>
      </w:tr>
      <w:tr w:rsidRPr="002B1332" w:rsidR="00F6232E" w:rsidTr="003A2E85" w14:paraId="186B3958" w14:textId="77777777">
        <w:trPr>
          <w:cantSplit/>
          <w:trHeight w:val="782"/>
          <w:tblHeader/>
        </w:trPr>
        <w:tc>
          <w:tcPr>
            <w:tcW w:w="1336" w:type="pct"/>
          </w:tcPr>
          <w:p w:rsidRPr="002B1332" w:rsidR="00F6232E" w:rsidP="00F6232E" w:rsidRDefault="00F6232E" w14:paraId="5A1A04C4" w14:textId="77777777">
            <w:pPr>
              <w:contextualSpacing/>
              <w:jc w:val="center"/>
              <w:rPr>
                <w:sz w:val="20"/>
                <w:szCs w:val="20"/>
              </w:rPr>
            </w:pPr>
            <w:r w:rsidRPr="002B1332">
              <w:rPr>
                <w:sz w:val="20"/>
                <w:szCs w:val="20"/>
              </w:rPr>
              <w:t xml:space="preserve">21 CFR Section; </w:t>
            </w:r>
            <w:r w:rsidR="000F5934">
              <w:rPr>
                <w:sz w:val="20"/>
                <w:szCs w:val="20"/>
              </w:rPr>
              <w:t>A</w:t>
            </w:r>
            <w:r w:rsidRPr="002B1332">
              <w:rPr>
                <w:sz w:val="20"/>
                <w:szCs w:val="20"/>
              </w:rPr>
              <w:t>ctivity</w:t>
            </w:r>
          </w:p>
        </w:tc>
        <w:tc>
          <w:tcPr>
            <w:tcW w:w="825" w:type="pct"/>
          </w:tcPr>
          <w:p w:rsidRPr="002B1332" w:rsidR="00F6232E" w:rsidP="00F6232E" w:rsidRDefault="00F6232E" w14:paraId="3335AB52" w14:textId="77777777">
            <w:pPr>
              <w:contextualSpacing/>
              <w:jc w:val="center"/>
              <w:rPr>
                <w:sz w:val="20"/>
                <w:szCs w:val="20"/>
              </w:rPr>
            </w:pPr>
            <w:r w:rsidRPr="002B1332">
              <w:rPr>
                <w:sz w:val="20"/>
                <w:szCs w:val="20"/>
              </w:rPr>
              <w:t>No. of Respondents</w:t>
            </w:r>
          </w:p>
        </w:tc>
        <w:tc>
          <w:tcPr>
            <w:tcW w:w="866" w:type="pct"/>
          </w:tcPr>
          <w:p w:rsidRPr="002B1332" w:rsidR="00F6232E" w:rsidP="00F6232E" w:rsidRDefault="00F6232E" w14:paraId="2CFA33A5" w14:textId="77777777">
            <w:pPr>
              <w:contextualSpacing/>
              <w:jc w:val="center"/>
              <w:rPr>
                <w:sz w:val="20"/>
                <w:szCs w:val="20"/>
              </w:rPr>
            </w:pPr>
            <w:r w:rsidRPr="002B1332">
              <w:rPr>
                <w:bCs/>
                <w:sz w:val="20"/>
                <w:szCs w:val="20"/>
              </w:rPr>
              <w:t>No. of Disclosures per Respondent</w:t>
            </w:r>
          </w:p>
        </w:tc>
        <w:tc>
          <w:tcPr>
            <w:tcW w:w="721" w:type="pct"/>
          </w:tcPr>
          <w:p w:rsidRPr="002B1332" w:rsidR="00F6232E" w:rsidP="00F6232E" w:rsidRDefault="00F6232E" w14:paraId="159C0607" w14:textId="77777777">
            <w:pPr>
              <w:contextualSpacing/>
              <w:jc w:val="center"/>
              <w:rPr>
                <w:sz w:val="20"/>
                <w:szCs w:val="20"/>
              </w:rPr>
            </w:pPr>
            <w:r w:rsidRPr="002B1332">
              <w:rPr>
                <w:sz w:val="20"/>
                <w:szCs w:val="20"/>
              </w:rPr>
              <w:t>Total Annual Disclosures</w:t>
            </w:r>
          </w:p>
        </w:tc>
        <w:tc>
          <w:tcPr>
            <w:tcW w:w="674" w:type="pct"/>
          </w:tcPr>
          <w:p w:rsidRPr="002B1332" w:rsidR="00F6232E" w:rsidP="00F6232E" w:rsidRDefault="00F6232E" w14:paraId="1DA00027" w14:textId="77777777">
            <w:pPr>
              <w:contextualSpacing/>
              <w:jc w:val="center"/>
              <w:rPr>
                <w:sz w:val="20"/>
                <w:szCs w:val="20"/>
              </w:rPr>
            </w:pPr>
            <w:r w:rsidRPr="002B1332">
              <w:rPr>
                <w:bCs/>
                <w:sz w:val="20"/>
                <w:szCs w:val="20"/>
              </w:rPr>
              <w:t>Average Burden per Disclosure</w:t>
            </w:r>
          </w:p>
        </w:tc>
        <w:tc>
          <w:tcPr>
            <w:tcW w:w="578" w:type="pct"/>
          </w:tcPr>
          <w:p w:rsidRPr="002B1332" w:rsidR="00F6232E" w:rsidP="00F6232E" w:rsidRDefault="00F6232E" w14:paraId="1E32A832" w14:textId="77777777">
            <w:pPr>
              <w:contextualSpacing/>
              <w:jc w:val="center"/>
              <w:rPr>
                <w:sz w:val="20"/>
                <w:szCs w:val="20"/>
              </w:rPr>
            </w:pPr>
            <w:r w:rsidRPr="002B1332">
              <w:rPr>
                <w:sz w:val="20"/>
                <w:szCs w:val="20"/>
              </w:rPr>
              <w:t>Total Hours</w:t>
            </w:r>
          </w:p>
        </w:tc>
      </w:tr>
      <w:tr w:rsidRPr="002B1332" w:rsidR="00F6232E" w:rsidTr="003A2E85" w14:paraId="5B46DDCD" w14:textId="77777777">
        <w:trPr>
          <w:cantSplit/>
          <w:trHeight w:val="530"/>
        </w:trPr>
        <w:tc>
          <w:tcPr>
            <w:tcW w:w="1336" w:type="pct"/>
          </w:tcPr>
          <w:p w:rsidRPr="002B1332" w:rsidR="00F6232E" w:rsidP="00F6232E" w:rsidRDefault="00F6232E" w14:paraId="64839AC4" w14:textId="77777777">
            <w:pPr>
              <w:contextualSpacing/>
              <w:rPr>
                <w:sz w:val="20"/>
                <w:szCs w:val="20"/>
              </w:rPr>
            </w:pPr>
            <w:r w:rsidRPr="002B1332">
              <w:rPr>
                <w:sz w:val="20"/>
                <w:szCs w:val="20"/>
              </w:rPr>
              <w:t>107.230; Elements of infant formula recall</w:t>
            </w:r>
          </w:p>
        </w:tc>
        <w:tc>
          <w:tcPr>
            <w:tcW w:w="825" w:type="pct"/>
          </w:tcPr>
          <w:p w:rsidRPr="002B1332" w:rsidR="00F6232E" w:rsidP="00F6232E" w:rsidRDefault="00F6232E" w14:paraId="27D53B14" w14:textId="77777777">
            <w:pPr>
              <w:contextualSpacing/>
              <w:jc w:val="right"/>
              <w:rPr>
                <w:sz w:val="20"/>
                <w:szCs w:val="20"/>
              </w:rPr>
            </w:pPr>
            <w:r w:rsidRPr="002B1332">
              <w:rPr>
                <w:sz w:val="20"/>
                <w:szCs w:val="20"/>
              </w:rPr>
              <w:t>2</w:t>
            </w:r>
          </w:p>
        </w:tc>
        <w:tc>
          <w:tcPr>
            <w:tcW w:w="866" w:type="pct"/>
          </w:tcPr>
          <w:p w:rsidRPr="002B1332" w:rsidR="00F6232E" w:rsidP="00F6232E" w:rsidRDefault="00F6232E" w14:paraId="3A483AFE" w14:textId="77777777">
            <w:pPr>
              <w:contextualSpacing/>
              <w:jc w:val="right"/>
              <w:rPr>
                <w:sz w:val="20"/>
                <w:szCs w:val="20"/>
              </w:rPr>
            </w:pPr>
            <w:r w:rsidRPr="002B1332">
              <w:rPr>
                <w:sz w:val="20"/>
                <w:szCs w:val="20"/>
              </w:rPr>
              <w:t>1</w:t>
            </w:r>
          </w:p>
        </w:tc>
        <w:tc>
          <w:tcPr>
            <w:tcW w:w="721" w:type="pct"/>
          </w:tcPr>
          <w:p w:rsidRPr="002B1332" w:rsidR="00F6232E" w:rsidP="00F6232E" w:rsidRDefault="00F6232E" w14:paraId="000BFC1E" w14:textId="77777777">
            <w:pPr>
              <w:contextualSpacing/>
              <w:jc w:val="right"/>
              <w:rPr>
                <w:sz w:val="20"/>
                <w:szCs w:val="20"/>
              </w:rPr>
            </w:pPr>
            <w:r w:rsidRPr="002B1332">
              <w:rPr>
                <w:sz w:val="20"/>
                <w:szCs w:val="20"/>
              </w:rPr>
              <w:t>2</w:t>
            </w:r>
          </w:p>
        </w:tc>
        <w:tc>
          <w:tcPr>
            <w:tcW w:w="674" w:type="pct"/>
          </w:tcPr>
          <w:p w:rsidRPr="002B1332" w:rsidR="00F6232E" w:rsidP="00F6232E" w:rsidRDefault="00F6232E" w14:paraId="66D3B634" w14:textId="77777777">
            <w:pPr>
              <w:contextualSpacing/>
              <w:jc w:val="right"/>
              <w:rPr>
                <w:sz w:val="20"/>
                <w:szCs w:val="20"/>
              </w:rPr>
            </w:pPr>
            <w:r w:rsidRPr="002B1332">
              <w:rPr>
                <w:sz w:val="20"/>
                <w:szCs w:val="20"/>
              </w:rPr>
              <w:t>50</w:t>
            </w:r>
          </w:p>
        </w:tc>
        <w:tc>
          <w:tcPr>
            <w:tcW w:w="578" w:type="pct"/>
          </w:tcPr>
          <w:p w:rsidRPr="002B1332" w:rsidR="00F6232E" w:rsidP="00F6232E" w:rsidRDefault="00F6232E" w14:paraId="6301E8A5" w14:textId="77777777">
            <w:pPr>
              <w:contextualSpacing/>
              <w:jc w:val="right"/>
              <w:rPr>
                <w:sz w:val="20"/>
                <w:szCs w:val="20"/>
              </w:rPr>
            </w:pPr>
            <w:r w:rsidRPr="002B1332">
              <w:rPr>
                <w:sz w:val="20"/>
                <w:szCs w:val="20"/>
              </w:rPr>
              <w:t>100</w:t>
            </w:r>
          </w:p>
        </w:tc>
      </w:tr>
      <w:tr w:rsidRPr="002B1332" w:rsidR="00F6232E" w:rsidTr="003A2E85" w14:paraId="0B3D099C" w14:textId="77777777">
        <w:trPr>
          <w:cantSplit/>
          <w:trHeight w:val="530"/>
        </w:trPr>
        <w:tc>
          <w:tcPr>
            <w:tcW w:w="1336" w:type="pct"/>
          </w:tcPr>
          <w:p w:rsidRPr="002B1332" w:rsidR="00F6232E" w:rsidP="00F6232E" w:rsidRDefault="00F6232E" w14:paraId="48B7F5D6" w14:textId="77777777">
            <w:pPr>
              <w:contextualSpacing/>
              <w:rPr>
                <w:sz w:val="20"/>
                <w:szCs w:val="20"/>
              </w:rPr>
            </w:pPr>
            <w:r w:rsidRPr="002B1332">
              <w:rPr>
                <w:sz w:val="20"/>
                <w:szCs w:val="20"/>
              </w:rPr>
              <w:t>107.260; Revision of an infant formula recall</w:t>
            </w:r>
          </w:p>
        </w:tc>
        <w:tc>
          <w:tcPr>
            <w:tcW w:w="825" w:type="pct"/>
          </w:tcPr>
          <w:p w:rsidRPr="002B1332" w:rsidR="00F6232E" w:rsidP="00F6232E" w:rsidRDefault="00F6232E" w14:paraId="545EEFF4" w14:textId="77777777">
            <w:pPr>
              <w:contextualSpacing/>
              <w:jc w:val="right"/>
              <w:rPr>
                <w:sz w:val="20"/>
                <w:szCs w:val="20"/>
              </w:rPr>
            </w:pPr>
            <w:r w:rsidRPr="002B1332">
              <w:rPr>
                <w:sz w:val="20"/>
                <w:szCs w:val="20"/>
              </w:rPr>
              <w:t>1</w:t>
            </w:r>
          </w:p>
        </w:tc>
        <w:tc>
          <w:tcPr>
            <w:tcW w:w="866" w:type="pct"/>
          </w:tcPr>
          <w:p w:rsidRPr="002B1332" w:rsidR="00F6232E" w:rsidP="00F6232E" w:rsidRDefault="00F6232E" w14:paraId="59283BFB" w14:textId="77777777">
            <w:pPr>
              <w:contextualSpacing/>
              <w:jc w:val="right"/>
              <w:rPr>
                <w:sz w:val="20"/>
                <w:szCs w:val="20"/>
              </w:rPr>
            </w:pPr>
            <w:r w:rsidRPr="002B1332">
              <w:rPr>
                <w:sz w:val="20"/>
                <w:szCs w:val="20"/>
              </w:rPr>
              <w:t>1</w:t>
            </w:r>
          </w:p>
        </w:tc>
        <w:tc>
          <w:tcPr>
            <w:tcW w:w="721" w:type="pct"/>
          </w:tcPr>
          <w:p w:rsidRPr="002B1332" w:rsidR="00F6232E" w:rsidP="00F6232E" w:rsidRDefault="00F6232E" w14:paraId="7791EBF0" w14:textId="77777777">
            <w:pPr>
              <w:contextualSpacing/>
              <w:jc w:val="right"/>
              <w:rPr>
                <w:sz w:val="20"/>
                <w:szCs w:val="20"/>
              </w:rPr>
            </w:pPr>
            <w:r w:rsidRPr="002B1332">
              <w:rPr>
                <w:sz w:val="20"/>
                <w:szCs w:val="20"/>
              </w:rPr>
              <w:t>1</w:t>
            </w:r>
          </w:p>
        </w:tc>
        <w:tc>
          <w:tcPr>
            <w:tcW w:w="674" w:type="pct"/>
          </w:tcPr>
          <w:p w:rsidRPr="002B1332" w:rsidR="00F6232E" w:rsidP="00F6232E" w:rsidRDefault="00F6232E" w14:paraId="34155BA3" w14:textId="77777777">
            <w:pPr>
              <w:contextualSpacing/>
              <w:jc w:val="right"/>
              <w:rPr>
                <w:sz w:val="20"/>
                <w:szCs w:val="20"/>
              </w:rPr>
            </w:pPr>
            <w:r w:rsidRPr="002B1332">
              <w:rPr>
                <w:sz w:val="20"/>
                <w:szCs w:val="20"/>
              </w:rPr>
              <w:t>25</w:t>
            </w:r>
          </w:p>
        </w:tc>
        <w:tc>
          <w:tcPr>
            <w:tcW w:w="578" w:type="pct"/>
          </w:tcPr>
          <w:p w:rsidRPr="002B1332" w:rsidR="00F6232E" w:rsidP="00F6232E" w:rsidRDefault="00F6232E" w14:paraId="32694306" w14:textId="77777777">
            <w:pPr>
              <w:contextualSpacing/>
              <w:jc w:val="right"/>
              <w:rPr>
                <w:sz w:val="20"/>
                <w:szCs w:val="20"/>
              </w:rPr>
            </w:pPr>
            <w:r w:rsidRPr="002B1332">
              <w:rPr>
                <w:sz w:val="20"/>
                <w:szCs w:val="20"/>
              </w:rPr>
              <w:t>25</w:t>
            </w:r>
          </w:p>
        </w:tc>
      </w:tr>
      <w:tr w:rsidRPr="002B1332" w:rsidR="00F6232E" w:rsidTr="003A2E85" w14:paraId="2F1D8267" w14:textId="77777777">
        <w:trPr>
          <w:cantSplit/>
        </w:trPr>
        <w:tc>
          <w:tcPr>
            <w:tcW w:w="4422" w:type="pct"/>
            <w:gridSpan w:val="5"/>
          </w:tcPr>
          <w:p w:rsidRPr="002B1332" w:rsidR="00F6232E" w:rsidP="00F6232E" w:rsidRDefault="00F6232E" w14:paraId="3FA663A3" w14:textId="77777777">
            <w:pPr>
              <w:contextualSpacing/>
              <w:rPr>
                <w:sz w:val="20"/>
                <w:szCs w:val="20"/>
              </w:rPr>
            </w:pPr>
            <w:r w:rsidRPr="002B1332">
              <w:rPr>
                <w:sz w:val="20"/>
                <w:szCs w:val="20"/>
              </w:rPr>
              <w:t>Total</w:t>
            </w:r>
          </w:p>
        </w:tc>
        <w:tc>
          <w:tcPr>
            <w:tcW w:w="578" w:type="pct"/>
          </w:tcPr>
          <w:p w:rsidRPr="002B1332" w:rsidR="00F6232E" w:rsidP="00F6232E" w:rsidRDefault="00F6232E" w14:paraId="6D49465E" w14:textId="77777777">
            <w:pPr>
              <w:contextualSpacing/>
              <w:jc w:val="right"/>
              <w:rPr>
                <w:sz w:val="20"/>
                <w:szCs w:val="20"/>
              </w:rPr>
            </w:pPr>
            <w:r w:rsidRPr="002B1332">
              <w:rPr>
                <w:sz w:val="20"/>
                <w:szCs w:val="20"/>
              </w:rPr>
              <w:t>125</w:t>
            </w:r>
          </w:p>
        </w:tc>
      </w:tr>
    </w:tbl>
    <w:p w:rsidRPr="00F6232E" w:rsidR="00F6232E" w:rsidP="00F6232E" w:rsidRDefault="00F6232E" w14:paraId="1A2085CF" w14:textId="77777777">
      <w:pPr>
        <w:rPr>
          <w:sz w:val="18"/>
          <w:szCs w:val="18"/>
        </w:rPr>
      </w:pPr>
      <w:r w:rsidRPr="00F6232E">
        <w:rPr>
          <w:sz w:val="18"/>
          <w:szCs w:val="18"/>
          <w:vertAlign w:val="superscript"/>
        </w:rPr>
        <w:tab/>
        <w:t>1</w:t>
      </w:r>
      <w:r w:rsidRPr="00F6232E">
        <w:rPr>
          <w:sz w:val="18"/>
          <w:szCs w:val="18"/>
        </w:rPr>
        <w:t xml:space="preserve"> There are no capital costs or operating and maintenance costs associated with this collection of information.</w:t>
      </w:r>
    </w:p>
    <w:p w:rsidR="009C7BF5" w:rsidP="002B1332" w:rsidRDefault="009C7BF5" w14:paraId="6CBA0840" w14:textId="77777777">
      <w:pPr>
        <w:rPr>
          <w:rFonts w:eastAsia="Calibri"/>
        </w:rPr>
      </w:pPr>
    </w:p>
    <w:p w:rsidR="0029070E" w:rsidP="003A2E85" w:rsidRDefault="003A2E85" w14:paraId="288DBBB5" w14:textId="77777777">
      <w:pPr>
        <w:spacing w:after="200"/>
        <w:rPr>
          <w:rFonts w:eastAsia="Calibri"/>
        </w:rPr>
      </w:pPr>
      <w:r>
        <w:rPr>
          <w:rFonts w:eastAsia="Calibri"/>
        </w:rPr>
        <w:tab/>
      </w:r>
    </w:p>
    <w:p w:rsidRPr="003A2E85" w:rsidR="00357C8A" w:rsidP="003A2E85" w:rsidRDefault="0029070E" w14:paraId="37DB65FA" w14:textId="658031B3">
      <w:pPr>
        <w:spacing w:after="200"/>
        <w:rPr>
          <w:rFonts w:eastAsia="Calibri"/>
          <w:i/>
        </w:rPr>
      </w:pPr>
      <w:r>
        <w:rPr>
          <w:rFonts w:eastAsia="Calibri"/>
        </w:rPr>
        <w:br w:type="page"/>
      </w:r>
      <w:r>
        <w:rPr>
          <w:rFonts w:eastAsia="Calibri"/>
        </w:rPr>
        <w:lastRenderedPageBreak/>
        <w:tab/>
      </w:r>
      <w:r w:rsidRPr="003A2E85" w:rsidR="00357C8A">
        <w:rPr>
          <w:rFonts w:eastAsia="Calibri"/>
          <w:i/>
        </w:rPr>
        <w:t>12b.  Annualized Cost Burden Estimate</w:t>
      </w:r>
    </w:p>
    <w:p w:rsidR="002E344E" w:rsidP="003A2E85" w:rsidRDefault="003A2E85" w14:paraId="76E402DB" w14:textId="6882B2F3">
      <w:pPr>
        <w:pStyle w:val="BodyText2"/>
      </w:pPr>
      <w:r>
        <w:tab/>
      </w:r>
      <w:r w:rsidRPr="000B0A4C" w:rsidR="002E344E">
        <w:t>The annual hour cost burden to respondents is approximately $</w:t>
      </w:r>
      <w:r w:rsidRPr="00F52D3F" w:rsidR="00F52D3F">
        <w:t>1,643,769.52</w:t>
      </w:r>
      <w:r w:rsidRPr="000B0A4C" w:rsidR="002E344E">
        <w:t xml:space="preserve"> per year.  </w:t>
      </w:r>
      <w:r w:rsidR="000F5934">
        <w:t>We</w:t>
      </w:r>
      <w:r w:rsidRPr="000B0A4C" w:rsidR="000F5934">
        <w:t xml:space="preserve"> </w:t>
      </w:r>
      <w:r w:rsidRPr="000B0A4C" w:rsidR="002E344E">
        <w:t xml:space="preserve">estimate that the average hourly wage for the employee preparing and submitting the request for certification would be equivalent to a GS-14/Step-4 level in the locality pay area of Washington-Baltimore in </w:t>
      </w:r>
      <w:r w:rsidR="002E344E">
        <w:t>2020, approximately $63.94</w:t>
      </w:r>
      <w:r w:rsidRPr="000B0A4C" w:rsidR="002E344E">
        <w:t xml:space="preserve">/hour.  Doubling this wage to account for overhead costs, </w:t>
      </w:r>
      <w:r w:rsidR="00F52D3F">
        <w:t>we</w:t>
      </w:r>
      <w:r w:rsidRPr="000B0A4C" w:rsidR="00F52D3F">
        <w:t xml:space="preserve"> </w:t>
      </w:r>
      <w:r w:rsidRPr="000B0A4C" w:rsidR="002E344E">
        <w:t>estimate the average hourly cost to respondents to be $</w:t>
      </w:r>
      <w:r w:rsidR="00F52D3F">
        <w:t>127</w:t>
      </w:r>
      <w:r w:rsidR="002E344E">
        <w:t>.88</w:t>
      </w:r>
      <w:r w:rsidRPr="000B0A4C" w:rsidR="002E344E">
        <w:t>/hour.  Thus, the overall estimated cost incurred by the respondents is $1,</w:t>
      </w:r>
      <w:r w:rsidR="002E344E">
        <w:t>6</w:t>
      </w:r>
      <w:r w:rsidR="00F52D3F">
        <w:t>43,769</w:t>
      </w:r>
      <w:r w:rsidRPr="000B0A4C" w:rsidR="002E344E">
        <w:t>.</w:t>
      </w:r>
      <w:r w:rsidR="002E344E">
        <w:t>52</w:t>
      </w:r>
      <w:r w:rsidRPr="000B0A4C" w:rsidR="002E344E">
        <w:t xml:space="preserve"> (12,854 burden hours x $1</w:t>
      </w:r>
      <w:r w:rsidR="002E344E">
        <w:t>2</w:t>
      </w:r>
      <w:r w:rsidR="00F52D3F">
        <w:t>7</w:t>
      </w:r>
      <w:r w:rsidRPr="000B0A4C" w:rsidR="002E344E">
        <w:t>.</w:t>
      </w:r>
      <w:r w:rsidR="002E344E">
        <w:t>88</w:t>
      </w:r>
      <w:r w:rsidRPr="000B0A4C" w:rsidR="002E344E">
        <w:t>/hour).</w:t>
      </w:r>
    </w:p>
    <w:p w:rsidR="002F11B8" w:rsidP="00F61D50" w:rsidRDefault="002F11B8" w14:paraId="244E8000" w14:textId="77777777">
      <w:pPr>
        <w:pStyle w:val="BodyText2"/>
        <w:ind w:left="360"/>
      </w:pPr>
    </w:p>
    <w:p w:rsidRPr="002B1332" w:rsidR="002E344E" w:rsidP="002B1332" w:rsidRDefault="00F52D3F" w14:paraId="72913DF7" w14:textId="3FEF0E8E">
      <w:pPr>
        <w:pStyle w:val="BodyText2"/>
        <w:ind w:left="720"/>
        <w:jc w:val="center"/>
        <w:rPr>
          <w:sz w:val="20"/>
        </w:rPr>
      </w:pPr>
      <w:r w:rsidRPr="002B1332">
        <w:rPr>
          <w:sz w:val="20"/>
        </w:rPr>
        <w:t>Table 3.--Estimated Annual Cost Burden</w:t>
      </w:r>
    </w:p>
    <w:tbl>
      <w:tblPr>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90"/>
        <w:gridCol w:w="1800"/>
        <w:gridCol w:w="2394"/>
        <w:gridCol w:w="1926"/>
      </w:tblGrid>
      <w:tr w:rsidRPr="002B1332" w:rsidR="002E344E" w:rsidTr="009A70A1" w14:paraId="25076C56" w14:textId="77777777">
        <w:tc>
          <w:tcPr>
            <w:tcW w:w="2790" w:type="dxa"/>
            <w:shd w:val="clear" w:color="auto" w:fill="auto"/>
          </w:tcPr>
          <w:p w:rsidRPr="002B1332" w:rsidR="002E344E" w:rsidP="002B1332" w:rsidRDefault="002E344E" w14:paraId="49030EE3" w14:textId="77777777">
            <w:pPr>
              <w:jc w:val="center"/>
              <w:rPr>
                <w:sz w:val="20"/>
                <w:szCs w:val="20"/>
              </w:rPr>
            </w:pPr>
            <w:r w:rsidRPr="002B1332">
              <w:rPr>
                <w:sz w:val="20"/>
                <w:szCs w:val="20"/>
              </w:rPr>
              <w:t>Type of Respondent</w:t>
            </w:r>
          </w:p>
        </w:tc>
        <w:tc>
          <w:tcPr>
            <w:tcW w:w="1800" w:type="dxa"/>
            <w:shd w:val="clear" w:color="auto" w:fill="auto"/>
          </w:tcPr>
          <w:p w:rsidRPr="002B1332" w:rsidR="002E344E" w:rsidP="002B1332" w:rsidRDefault="002E344E" w14:paraId="155EF282" w14:textId="77777777">
            <w:pPr>
              <w:jc w:val="center"/>
              <w:rPr>
                <w:sz w:val="20"/>
                <w:szCs w:val="20"/>
              </w:rPr>
            </w:pPr>
            <w:r w:rsidRPr="002B1332">
              <w:rPr>
                <w:sz w:val="20"/>
                <w:szCs w:val="20"/>
              </w:rPr>
              <w:t>Total Burden Hours</w:t>
            </w:r>
          </w:p>
        </w:tc>
        <w:tc>
          <w:tcPr>
            <w:tcW w:w="2394" w:type="dxa"/>
            <w:shd w:val="clear" w:color="auto" w:fill="auto"/>
          </w:tcPr>
          <w:p w:rsidRPr="002B1332" w:rsidR="002E344E" w:rsidP="002B1332" w:rsidRDefault="002E344E" w14:paraId="768A291C" w14:textId="77777777">
            <w:pPr>
              <w:jc w:val="center"/>
              <w:rPr>
                <w:sz w:val="20"/>
                <w:szCs w:val="20"/>
              </w:rPr>
            </w:pPr>
            <w:r w:rsidRPr="002B1332">
              <w:rPr>
                <w:sz w:val="20"/>
                <w:szCs w:val="20"/>
              </w:rPr>
              <w:t>Hourly Wage Rate</w:t>
            </w:r>
          </w:p>
        </w:tc>
        <w:tc>
          <w:tcPr>
            <w:tcW w:w="1926" w:type="dxa"/>
            <w:shd w:val="clear" w:color="auto" w:fill="auto"/>
          </w:tcPr>
          <w:p w:rsidRPr="002B1332" w:rsidR="002E344E" w:rsidP="002B1332" w:rsidRDefault="002E344E" w14:paraId="2D5806BE" w14:textId="77777777">
            <w:pPr>
              <w:jc w:val="center"/>
              <w:rPr>
                <w:sz w:val="20"/>
                <w:szCs w:val="20"/>
              </w:rPr>
            </w:pPr>
            <w:r w:rsidRPr="002B1332">
              <w:rPr>
                <w:sz w:val="20"/>
                <w:szCs w:val="20"/>
              </w:rPr>
              <w:t>Total Respondent Costs</w:t>
            </w:r>
          </w:p>
        </w:tc>
      </w:tr>
      <w:tr w:rsidRPr="002B1332" w:rsidR="002E344E" w:rsidTr="009A70A1" w14:paraId="5DB2F150" w14:textId="77777777">
        <w:tc>
          <w:tcPr>
            <w:tcW w:w="2790" w:type="dxa"/>
            <w:shd w:val="clear" w:color="auto" w:fill="auto"/>
          </w:tcPr>
          <w:p w:rsidRPr="002B1332" w:rsidR="002E344E" w:rsidP="00C61A3A" w:rsidRDefault="002E344E" w14:paraId="28D3D365" w14:textId="77777777">
            <w:pPr>
              <w:rPr>
                <w:sz w:val="20"/>
                <w:szCs w:val="20"/>
              </w:rPr>
            </w:pPr>
            <w:r w:rsidRPr="002B1332">
              <w:rPr>
                <w:sz w:val="20"/>
                <w:szCs w:val="20"/>
              </w:rPr>
              <w:t>Reporting</w:t>
            </w:r>
          </w:p>
        </w:tc>
        <w:tc>
          <w:tcPr>
            <w:tcW w:w="1800" w:type="dxa"/>
            <w:shd w:val="clear" w:color="auto" w:fill="auto"/>
          </w:tcPr>
          <w:p w:rsidRPr="002B1332" w:rsidR="002E344E" w:rsidP="00C61A3A" w:rsidRDefault="002E344E" w14:paraId="61618D5A" w14:textId="77777777">
            <w:pPr>
              <w:jc w:val="right"/>
              <w:rPr>
                <w:sz w:val="20"/>
                <w:szCs w:val="20"/>
              </w:rPr>
            </w:pPr>
            <w:r w:rsidRPr="002B1332">
              <w:rPr>
                <w:sz w:val="20"/>
                <w:szCs w:val="20"/>
              </w:rPr>
              <w:t>12,729</w:t>
            </w:r>
          </w:p>
        </w:tc>
        <w:tc>
          <w:tcPr>
            <w:tcW w:w="2394" w:type="dxa"/>
            <w:shd w:val="clear" w:color="auto" w:fill="auto"/>
          </w:tcPr>
          <w:p w:rsidRPr="002B1332" w:rsidR="002E344E" w:rsidP="00C61A3A" w:rsidRDefault="002E344E" w14:paraId="7678905B" w14:textId="77777777">
            <w:pPr>
              <w:jc w:val="right"/>
              <w:rPr>
                <w:sz w:val="20"/>
                <w:szCs w:val="20"/>
              </w:rPr>
            </w:pPr>
            <w:r w:rsidRPr="002B1332">
              <w:rPr>
                <w:sz w:val="20"/>
                <w:szCs w:val="20"/>
              </w:rPr>
              <w:t>$1</w:t>
            </w:r>
            <w:r w:rsidRPr="002B1332" w:rsidR="00503D34">
              <w:rPr>
                <w:sz w:val="20"/>
                <w:szCs w:val="20"/>
              </w:rPr>
              <w:t>2</w:t>
            </w:r>
            <w:r w:rsidRPr="002B1332" w:rsidR="00F52D3F">
              <w:rPr>
                <w:sz w:val="20"/>
                <w:szCs w:val="20"/>
              </w:rPr>
              <w:t>7</w:t>
            </w:r>
            <w:r w:rsidRPr="002B1332">
              <w:rPr>
                <w:sz w:val="20"/>
                <w:szCs w:val="20"/>
              </w:rPr>
              <w:t>.</w:t>
            </w:r>
            <w:r w:rsidRPr="002B1332" w:rsidR="00503D34">
              <w:rPr>
                <w:sz w:val="20"/>
                <w:szCs w:val="20"/>
              </w:rPr>
              <w:t>8</w:t>
            </w:r>
            <w:r w:rsidRPr="002B1332">
              <w:rPr>
                <w:sz w:val="20"/>
                <w:szCs w:val="20"/>
              </w:rPr>
              <w:t>8</w:t>
            </w:r>
          </w:p>
        </w:tc>
        <w:tc>
          <w:tcPr>
            <w:tcW w:w="1926" w:type="dxa"/>
            <w:shd w:val="clear" w:color="auto" w:fill="auto"/>
          </w:tcPr>
          <w:p w:rsidRPr="002B1332" w:rsidR="002E344E" w:rsidP="00C61A3A" w:rsidRDefault="002E344E" w14:paraId="0A46EB06" w14:textId="77777777">
            <w:pPr>
              <w:jc w:val="right"/>
              <w:rPr>
                <w:sz w:val="20"/>
                <w:szCs w:val="20"/>
              </w:rPr>
            </w:pPr>
            <w:r w:rsidRPr="002B1332">
              <w:rPr>
                <w:sz w:val="20"/>
                <w:szCs w:val="20"/>
              </w:rPr>
              <w:t>$1,</w:t>
            </w:r>
            <w:r w:rsidRPr="002B1332" w:rsidR="00503D34">
              <w:rPr>
                <w:sz w:val="20"/>
                <w:szCs w:val="20"/>
              </w:rPr>
              <w:t>6</w:t>
            </w:r>
            <w:r w:rsidRPr="002B1332" w:rsidR="00B16DF2">
              <w:rPr>
                <w:sz w:val="20"/>
                <w:szCs w:val="20"/>
              </w:rPr>
              <w:t>27,784</w:t>
            </w:r>
            <w:r w:rsidRPr="002B1332">
              <w:rPr>
                <w:sz w:val="20"/>
                <w:szCs w:val="20"/>
              </w:rPr>
              <w:t>.</w:t>
            </w:r>
            <w:r w:rsidRPr="002B1332" w:rsidR="00503D34">
              <w:rPr>
                <w:sz w:val="20"/>
                <w:szCs w:val="20"/>
              </w:rPr>
              <w:t>5</w:t>
            </w:r>
            <w:r w:rsidRPr="002B1332">
              <w:rPr>
                <w:sz w:val="20"/>
                <w:szCs w:val="20"/>
              </w:rPr>
              <w:t>2</w:t>
            </w:r>
          </w:p>
        </w:tc>
      </w:tr>
      <w:tr w:rsidRPr="002B1332" w:rsidR="002E344E" w:rsidTr="009A70A1" w14:paraId="7DB1EBB4" w14:textId="77777777">
        <w:tc>
          <w:tcPr>
            <w:tcW w:w="2790" w:type="dxa"/>
            <w:shd w:val="clear" w:color="auto" w:fill="auto"/>
          </w:tcPr>
          <w:p w:rsidRPr="002B1332" w:rsidR="002E344E" w:rsidP="00C61A3A" w:rsidRDefault="002E344E" w14:paraId="34E06361" w14:textId="77777777">
            <w:pPr>
              <w:rPr>
                <w:sz w:val="20"/>
                <w:szCs w:val="20"/>
              </w:rPr>
            </w:pPr>
            <w:r w:rsidRPr="002B1332">
              <w:rPr>
                <w:sz w:val="20"/>
                <w:szCs w:val="20"/>
              </w:rPr>
              <w:t>3</w:t>
            </w:r>
            <w:r w:rsidRPr="002B1332">
              <w:rPr>
                <w:sz w:val="20"/>
                <w:szCs w:val="20"/>
                <w:vertAlign w:val="superscript"/>
              </w:rPr>
              <w:t>rd</w:t>
            </w:r>
            <w:r w:rsidRPr="002B1332">
              <w:rPr>
                <w:sz w:val="20"/>
                <w:szCs w:val="20"/>
              </w:rPr>
              <w:t>-Party Disclosure</w:t>
            </w:r>
          </w:p>
        </w:tc>
        <w:tc>
          <w:tcPr>
            <w:tcW w:w="1800" w:type="dxa"/>
            <w:shd w:val="clear" w:color="auto" w:fill="auto"/>
          </w:tcPr>
          <w:p w:rsidRPr="002B1332" w:rsidR="002E344E" w:rsidP="00C61A3A" w:rsidRDefault="002E344E" w14:paraId="1F51477F" w14:textId="77777777">
            <w:pPr>
              <w:jc w:val="right"/>
              <w:rPr>
                <w:sz w:val="20"/>
                <w:szCs w:val="20"/>
              </w:rPr>
            </w:pPr>
            <w:r w:rsidRPr="002B1332">
              <w:rPr>
                <w:sz w:val="20"/>
                <w:szCs w:val="20"/>
              </w:rPr>
              <w:t>125</w:t>
            </w:r>
          </w:p>
        </w:tc>
        <w:tc>
          <w:tcPr>
            <w:tcW w:w="2394" w:type="dxa"/>
            <w:shd w:val="clear" w:color="auto" w:fill="auto"/>
          </w:tcPr>
          <w:p w:rsidRPr="002B1332" w:rsidR="002E344E" w:rsidP="00C61A3A" w:rsidRDefault="002E344E" w14:paraId="0C30A304" w14:textId="77777777">
            <w:pPr>
              <w:jc w:val="right"/>
              <w:rPr>
                <w:sz w:val="20"/>
                <w:szCs w:val="20"/>
              </w:rPr>
            </w:pPr>
            <w:r w:rsidRPr="002B1332">
              <w:rPr>
                <w:sz w:val="20"/>
                <w:szCs w:val="20"/>
              </w:rPr>
              <w:t>$1</w:t>
            </w:r>
            <w:r w:rsidRPr="002B1332" w:rsidR="00503D34">
              <w:rPr>
                <w:sz w:val="20"/>
                <w:szCs w:val="20"/>
              </w:rPr>
              <w:t>2</w:t>
            </w:r>
            <w:r w:rsidRPr="002B1332" w:rsidR="00F52D3F">
              <w:rPr>
                <w:sz w:val="20"/>
                <w:szCs w:val="20"/>
              </w:rPr>
              <w:t>7</w:t>
            </w:r>
            <w:r w:rsidRPr="002B1332">
              <w:rPr>
                <w:sz w:val="20"/>
                <w:szCs w:val="20"/>
              </w:rPr>
              <w:t>.</w:t>
            </w:r>
            <w:r w:rsidRPr="002B1332" w:rsidR="00503D34">
              <w:rPr>
                <w:sz w:val="20"/>
                <w:szCs w:val="20"/>
              </w:rPr>
              <w:t>8</w:t>
            </w:r>
            <w:r w:rsidRPr="002B1332">
              <w:rPr>
                <w:sz w:val="20"/>
                <w:szCs w:val="20"/>
              </w:rPr>
              <w:t>8</w:t>
            </w:r>
          </w:p>
        </w:tc>
        <w:tc>
          <w:tcPr>
            <w:tcW w:w="1926" w:type="dxa"/>
            <w:shd w:val="clear" w:color="auto" w:fill="auto"/>
          </w:tcPr>
          <w:p w:rsidRPr="002B1332" w:rsidR="002E344E" w:rsidP="00C61A3A" w:rsidRDefault="002E344E" w14:paraId="40EA75B1" w14:textId="77777777">
            <w:pPr>
              <w:jc w:val="right"/>
              <w:rPr>
                <w:sz w:val="20"/>
                <w:szCs w:val="20"/>
              </w:rPr>
            </w:pPr>
            <w:r w:rsidRPr="002B1332">
              <w:rPr>
                <w:sz w:val="20"/>
                <w:szCs w:val="20"/>
              </w:rPr>
              <w:t>$1</w:t>
            </w:r>
            <w:r w:rsidRPr="002B1332" w:rsidR="00B16DF2">
              <w:rPr>
                <w:sz w:val="20"/>
                <w:szCs w:val="20"/>
              </w:rPr>
              <w:t>5,985</w:t>
            </w:r>
            <w:r w:rsidRPr="002B1332" w:rsidR="00503D34">
              <w:rPr>
                <w:sz w:val="20"/>
                <w:szCs w:val="20"/>
              </w:rPr>
              <w:t>.00</w:t>
            </w:r>
          </w:p>
        </w:tc>
      </w:tr>
      <w:tr w:rsidRPr="002B1332" w:rsidR="002E344E" w:rsidTr="009A70A1" w14:paraId="5441CDC3" w14:textId="77777777">
        <w:tc>
          <w:tcPr>
            <w:tcW w:w="6984" w:type="dxa"/>
            <w:gridSpan w:val="3"/>
            <w:shd w:val="clear" w:color="auto" w:fill="auto"/>
          </w:tcPr>
          <w:p w:rsidRPr="002B1332" w:rsidR="002E344E" w:rsidP="00C61A3A" w:rsidRDefault="002E344E" w14:paraId="2DAC4184" w14:textId="77777777">
            <w:pPr>
              <w:rPr>
                <w:sz w:val="20"/>
                <w:szCs w:val="20"/>
              </w:rPr>
            </w:pPr>
            <w:r w:rsidRPr="002B1332">
              <w:rPr>
                <w:sz w:val="20"/>
                <w:szCs w:val="20"/>
              </w:rPr>
              <w:t>Total</w:t>
            </w:r>
          </w:p>
        </w:tc>
        <w:tc>
          <w:tcPr>
            <w:tcW w:w="1926" w:type="dxa"/>
            <w:shd w:val="clear" w:color="auto" w:fill="auto"/>
          </w:tcPr>
          <w:p w:rsidRPr="002B1332" w:rsidR="002E344E" w:rsidP="00C61A3A" w:rsidRDefault="002E344E" w14:paraId="445A38CC" w14:textId="77777777">
            <w:pPr>
              <w:jc w:val="right"/>
              <w:rPr>
                <w:sz w:val="20"/>
                <w:szCs w:val="20"/>
              </w:rPr>
            </w:pPr>
            <w:r w:rsidRPr="002B1332">
              <w:rPr>
                <w:sz w:val="20"/>
                <w:szCs w:val="20"/>
              </w:rPr>
              <w:t>$1,</w:t>
            </w:r>
            <w:r w:rsidRPr="002B1332" w:rsidR="00503D34">
              <w:rPr>
                <w:sz w:val="20"/>
                <w:szCs w:val="20"/>
              </w:rPr>
              <w:t>6</w:t>
            </w:r>
            <w:r w:rsidRPr="002B1332" w:rsidR="00B16DF2">
              <w:rPr>
                <w:sz w:val="20"/>
                <w:szCs w:val="20"/>
              </w:rPr>
              <w:t>43,769</w:t>
            </w:r>
            <w:r w:rsidRPr="002B1332">
              <w:rPr>
                <w:sz w:val="20"/>
                <w:szCs w:val="20"/>
              </w:rPr>
              <w:t>.</w:t>
            </w:r>
            <w:r w:rsidRPr="002B1332" w:rsidR="00503D34">
              <w:rPr>
                <w:sz w:val="20"/>
                <w:szCs w:val="20"/>
              </w:rPr>
              <w:t>5</w:t>
            </w:r>
            <w:r w:rsidRPr="002B1332">
              <w:rPr>
                <w:sz w:val="20"/>
                <w:szCs w:val="20"/>
              </w:rPr>
              <w:t>2</w:t>
            </w:r>
          </w:p>
        </w:tc>
      </w:tr>
    </w:tbl>
    <w:p w:rsidRPr="00C61A3A" w:rsidR="00503D34" w:rsidP="0022425B" w:rsidRDefault="00503D34" w14:paraId="7B7FA201" w14:textId="77777777">
      <w:pPr>
        <w:ind w:left="360"/>
        <w:rPr>
          <w:rFonts w:eastAsia="Calibri"/>
          <w:color w:val="000000"/>
        </w:rPr>
      </w:pPr>
    </w:p>
    <w:p w:rsidRPr="00357C8A" w:rsidR="00357C8A" w:rsidP="006705EA" w:rsidRDefault="00357C8A" w14:paraId="6A76FD57"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P="0022425B" w:rsidRDefault="00503D34" w14:paraId="71E1F1E8" w14:textId="77777777">
      <w:pPr>
        <w:spacing w:after="200" w:line="276" w:lineRule="auto"/>
        <w:rPr>
          <w:rFonts w:eastAsia="Calibri"/>
          <w:u w:val="single"/>
        </w:rPr>
      </w:pPr>
      <w:r w:rsidRPr="00503D34">
        <w:rPr>
          <w:rFonts w:eastAsia="Calibri"/>
        </w:rPr>
        <w:t>There are no capital, start-up, operating, or maintenance costs associated with this collection.</w:t>
      </w:r>
    </w:p>
    <w:p w:rsidRPr="00357C8A" w:rsidR="00357C8A" w:rsidP="006705EA" w:rsidRDefault="00357C8A" w14:paraId="040A426D"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Pr="00357C8A" w:rsidR="00357C8A" w:rsidP="00357C8A" w:rsidRDefault="00503D34" w14:paraId="18A30DDE" w14:textId="77777777">
      <w:pPr>
        <w:spacing w:after="200"/>
        <w:rPr>
          <w:rFonts w:eastAsia="Calibri"/>
        </w:rPr>
      </w:pPr>
      <w:r w:rsidRPr="00503D34">
        <w:rPr>
          <w:rFonts w:eastAsia="Calibri"/>
        </w:rPr>
        <w:t>The estimated cost to the Federal government to respond to the current level of infant formula recalls is approximately $</w:t>
      </w:r>
      <w:r>
        <w:rPr>
          <w:rFonts w:eastAsia="Calibri"/>
        </w:rPr>
        <w:t>338</w:t>
      </w:r>
      <w:r w:rsidRPr="00503D34">
        <w:rPr>
          <w:rFonts w:eastAsia="Calibri"/>
        </w:rPr>
        <w:t>,</w:t>
      </w:r>
      <w:r>
        <w:rPr>
          <w:rFonts w:eastAsia="Calibri"/>
        </w:rPr>
        <w:t>790</w:t>
      </w:r>
      <w:r w:rsidRPr="00503D34">
        <w:rPr>
          <w:rFonts w:eastAsia="Calibri"/>
        </w:rPr>
        <w:t xml:space="preserve">.  This is based on the salaries of five (5) FTEs at an average salary of GS-13/Step 4 level in the locality pay area of Washington-Baltimore in </w:t>
      </w:r>
      <w:r>
        <w:rPr>
          <w:rFonts w:eastAsia="Calibri"/>
        </w:rPr>
        <w:t>2020</w:t>
      </w:r>
      <w:r w:rsidRPr="00503D34">
        <w:rPr>
          <w:rFonts w:eastAsia="Calibri"/>
        </w:rPr>
        <w:t xml:space="preserve"> ($1</w:t>
      </w:r>
      <w:r>
        <w:rPr>
          <w:rFonts w:eastAsia="Calibri"/>
        </w:rPr>
        <w:t>12</w:t>
      </w:r>
      <w:r w:rsidRPr="00503D34">
        <w:rPr>
          <w:rFonts w:eastAsia="Calibri"/>
        </w:rPr>
        <w:t>,</w:t>
      </w:r>
      <w:r>
        <w:rPr>
          <w:rFonts w:eastAsia="Calibri"/>
        </w:rPr>
        <w:t>930</w:t>
      </w:r>
      <w:r w:rsidRPr="00503D34">
        <w:rPr>
          <w:rFonts w:eastAsia="Calibri"/>
        </w:rPr>
        <w:t>/year), who each spend an estimated 3/10 of their time on infant formula recalls (5 FTE x $</w:t>
      </w:r>
      <w:r>
        <w:rPr>
          <w:rFonts w:eastAsia="Calibri"/>
        </w:rPr>
        <w:t>112</w:t>
      </w:r>
      <w:r w:rsidRPr="00503D34">
        <w:rPr>
          <w:rFonts w:eastAsia="Calibri"/>
        </w:rPr>
        <w:t>,</w:t>
      </w:r>
      <w:r>
        <w:rPr>
          <w:rFonts w:eastAsia="Calibri"/>
        </w:rPr>
        <w:t>930</w:t>
      </w:r>
      <w:r w:rsidRPr="00503D34">
        <w:rPr>
          <w:rFonts w:eastAsia="Calibri"/>
        </w:rPr>
        <w:t>/yr x 0.3 = $</w:t>
      </w:r>
      <w:r>
        <w:rPr>
          <w:rFonts w:eastAsia="Calibri"/>
        </w:rPr>
        <w:t>169</w:t>
      </w:r>
      <w:r w:rsidRPr="00503D34">
        <w:rPr>
          <w:rFonts w:eastAsia="Calibri"/>
        </w:rPr>
        <w:t>,</w:t>
      </w:r>
      <w:r>
        <w:rPr>
          <w:rFonts w:eastAsia="Calibri"/>
        </w:rPr>
        <w:t>395</w:t>
      </w:r>
      <w:r w:rsidRPr="00503D34">
        <w:rPr>
          <w:rFonts w:eastAsia="Calibri"/>
        </w:rPr>
        <w:t>).  To account for overhead, this cost is increased by 100 percent, making the estimated cost to the Federal government $</w:t>
      </w:r>
      <w:r>
        <w:rPr>
          <w:rFonts w:eastAsia="Calibri"/>
        </w:rPr>
        <w:t>338</w:t>
      </w:r>
      <w:r w:rsidRPr="00503D34">
        <w:rPr>
          <w:rFonts w:eastAsia="Calibri"/>
        </w:rPr>
        <w:t>,</w:t>
      </w:r>
      <w:r>
        <w:rPr>
          <w:rFonts w:eastAsia="Calibri"/>
        </w:rPr>
        <w:t>790</w:t>
      </w:r>
      <w:r w:rsidRPr="00503D34">
        <w:rPr>
          <w:rFonts w:eastAsia="Calibri"/>
        </w:rPr>
        <w:t xml:space="preserve">. </w:t>
      </w:r>
    </w:p>
    <w:p w:rsidR="00357C8A" w:rsidP="006705EA" w:rsidRDefault="00357C8A" w14:paraId="4257AEF4" w14:textId="77777777">
      <w:pPr>
        <w:numPr>
          <w:ilvl w:val="0"/>
          <w:numId w:val="6"/>
        </w:numPr>
        <w:spacing w:after="200" w:line="276" w:lineRule="auto"/>
        <w:rPr>
          <w:rFonts w:eastAsia="Calibri"/>
          <w:u w:val="single"/>
        </w:rPr>
      </w:pPr>
      <w:r w:rsidRPr="00357C8A">
        <w:rPr>
          <w:rFonts w:eastAsia="Calibri"/>
          <w:u w:val="single"/>
        </w:rPr>
        <w:t>Explanation for Program Changes or Adjustments</w:t>
      </w:r>
    </w:p>
    <w:p w:rsidRPr="004B6A67" w:rsidR="00357C8A" w:rsidP="00357C8A" w:rsidRDefault="003B6AD6" w14:paraId="38DF8E0C" w14:textId="77777777">
      <w:pPr>
        <w:spacing w:after="200"/>
        <w:rPr>
          <w:rFonts w:eastAsia="Calibri"/>
          <w:color w:val="000000"/>
        </w:rPr>
      </w:pPr>
      <w:r w:rsidRPr="003B6AD6">
        <w:rPr>
          <w:rFonts w:eastAsia="Calibri"/>
        </w:rPr>
        <w:t>Based on a review of the information collection since our last request for OMB approval, we have made no adjustments to our burden estimate.</w:t>
      </w:r>
    </w:p>
    <w:p w:rsidRPr="00357C8A" w:rsidR="00357C8A" w:rsidP="006705EA" w:rsidRDefault="00357C8A" w14:paraId="7359402B"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Pr="00C61A3A" w:rsidR="00357C8A" w:rsidP="00357C8A" w:rsidRDefault="00503D34" w14:paraId="41FF9B58" w14:textId="77777777">
      <w:pPr>
        <w:spacing w:after="200"/>
        <w:rPr>
          <w:rFonts w:eastAsia="Calibri"/>
          <w:color w:val="000000"/>
        </w:rPr>
      </w:pPr>
      <w:r w:rsidRPr="00503D34">
        <w:rPr>
          <w:rFonts w:eastAsia="Calibri"/>
        </w:rPr>
        <w:t>Once a recall of infant formula has been determined to be necessary, the firm is required to notify each of its affected accounts of the recall and instruct each consignee to report whether or not they are in possession of the recalled infant formula and include a means to do so.  If necessary, a public warning is to be given.</w:t>
      </w:r>
    </w:p>
    <w:p w:rsidRPr="00357C8A" w:rsidR="00357C8A" w:rsidP="006705EA" w:rsidRDefault="00357C8A" w14:paraId="05F76433"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Pr="00C61A3A" w:rsidR="00357C8A" w:rsidP="00357C8A" w:rsidRDefault="0019653E" w14:paraId="7ECBBB36" w14:textId="77777777">
      <w:pPr>
        <w:spacing w:after="200"/>
        <w:rPr>
          <w:rFonts w:eastAsia="Calibri"/>
          <w:color w:val="000000"/>
        </w:rPr>
      </w:pPr>
      <w:r w:rsidRPr="0019653E">
        <w:rPr>
          <w:rFonts w:eastAsia="Calibri"/>
        </w:rPr>
        <w:t>We are not seeking approval to not display the expiration date for OMB approval of this information collection.</w:t>
      </w:r>
    </w:p>
    <w:p w:rsidRPr="00357C8A" w:rsidR="00357C8A" w:rsidP="006705EA" w:rsidRDefault="00357C8A" w14:paraId="68D9F9C8"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Pr="00C20690" w:rsidR="00544138" w:rsidP="00C20690" w:rsidRDefault="007E59A8" w14:paraId="0D504E8B" w14:textId="77777777">
      <w:pPr>
        <w:spacing w:after="200"/>
        <w:rPr>
          <w:rFonts w:eastAsia="Calibri"/>
        </w:rPr>
      </w:pPr>
      <w:r w:rsidRPr="007E59A8">
        <w:rPr>
          <w:rFonts w:eastAsia="Calibri"/>
        </w:rPr>
        <w:t>There are no exceptions to the certification</w:t>
      </w:r>
      <w:r w:rsidR="0019653E">
        <w:rPr>
          <w:rFonts w:eastAsia="Calibri"/>
        </w:rPr>
        <w:t>.</w:t>
      </w:r>
    </w:p>
    <w:sectPr w:rsidRPr="00C20690" w:rsidR="00544138" w:rsidSect="00821231">
      <w:footerReference w:type="even" r:id="rId8"/>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9FA77" w14:textId="77777777" w:rsidR="00F31238" w:rsidRDefault="00F31238">
      <w:r>
        <w:separator/>
      </w:r>
    </w:p>
  </w:endnote>
  <w:endnote w:type="continuationSeparator" w:id="0">
    <w:p w14:paraId="19430F71" w14:textId="77777777" w:rsidR="00F31238" w:rsidRDefault="00F31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14143"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A1A081" w14:textId="77777777"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FB628"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14:paraId="250C1026" w14:textId="77777777" w:rsidR="00E63DE5" w:rsidRDefault="00E63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E7C3D" w14:textId="77777777" w:rsidR="00F31238" w:rsidRDefault="00F31238">
      <w:r>
        <w:separator/>
      </w:r>
    </w:p>
  </w:footnote>
  <w:footnote w:type="continuationSeparator" w:id="0">
    <w:p w14:paraId="1FAEE8B3" w14:textId="77777777" w:rsidR="00F31238" w:rsidRDefault="00F312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567B5"/>
    <w:multiLevelType w:val="hybridMultilevel"/>
    <w:tmpl w:val="9116875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B65BAA"/>
    <w:multiLevelType w:val="hybridMultilevel"/>
    <w:tmpl w:val="A5E84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507DAF"/>
    <w:multiLevelType w:val="hybridMultilevel"/>
    <w:tmpl w:val="5F744CAC"/>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BEE557C"/>
    <w:multiLevelType w:val="hybridMultilevel"/>
    <w:tmpl w:val="B024C99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1C66BF9"/>
    <w:multiLevelType w:val="hybridMultilevel"/>
    <w:tmpl w:val="04687716"/>
    <w:lvl w:ilvl="0" w:tplc="D3B6806E">
      <w:start w:val="1"/>
      <w:numFmt w:val="bullet"/>
      <w:lvlText w:val=""/>
      <w:lvlJc w:val="left"/>
      <w:pPr>
        <w:ind w:left="720" w:hanging="360"/>
      </w:pPr>
      <w:rPr>
        <w:rFonts w:ascii="Symbol" w:hAnsi="Symbol" w:hint="default"/>
      </w:rPr>
    </w:lvl>
    <w:lvl w:ilvl="1" w:tplc="D3B6806E">
      <w:start w:val="1"/>
      <w:numFmt w:val="bullet"/>
      <w:lvlText w:val=""/>
      <w:lvlJc w:val="left"/>
      <w:pPr>
        <w:ind w:left="1440" w:hanging="360"/>
      </w:pPr>
      <w:rPr>
        <w:rFonts w:ascii="Symbol" w:hAnsi="Symbol" w:hint="default"/>
      </w:rPr>
    </w:lvl>
    <w:lvl w:ilvl="2" w:tplc="D3B6806E">
      <w:start w:val="1"/>
      <w:numFmt w:val="bullet"/>
      <w:lvlText w:val=""/>
      <w:lvlJc w:val="left"/>
      <w:pPr>
        <w:ind w:left="2160" w:hanging="360"/>
      </w:pPr>
      <w:rPr>
        <w:rFonts w:ascii="Symbol" w:hAnsi="Symbol" w:hint="default"/>
      </w:rPr>
    </w:lvl>
    <w:lvl w:ilvl="3" w:tplc="D3B6806E">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C55C4D"/>
    <w:multiLevelType w:val="hybridMultilevel"/>
    <w:tmpl w:val="8F8A4D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04B3A7E"/>
    <w:multiLevelType w:val="hybridMultilevel"/>
    <w:tmpl w:val="F09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5A208E"/>
    <w:multiLevelType w:val="hybridMultilevel"/>
    <w:tmpl w:val="4AA4E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7"/>
  </w:num>
  <w:num w:numId="6">
    <w:abstractNumId w:val="0"/>
  </w:num>
  <w:num w:numId="7">
    <w:abstractNumId w:val="2"/>
    <w:lvlOverride w:ilvl="0"/>
    <w:lvlOverride w:ilvl="1"/>
    <w:lvlOverride w:ilvl="2"/>
    <w:lvlOverride w:ilvl="3"/>
    <w:lvlOverride w:ilvl="4"/>
    <w:lvlOverride w:ilvl="5"/>
    <w:lvlOverride w:ilvl="6"/>
    <w:lvlOverride w:ilvl="7"/>
    <w:lvlOverride w:ilvl="8"/>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7538"/>
    <w:rsid w:val="00031A2C"/>
    <w:rsid w:val="00042B93"/>
    <w:rsid w:val="00043C7F"/>
    <w:rsid w:val="000467A8"/>
    <w:rsid w:val="0006570F"/>
    <w:rsid w:val="00075DE8"/>
    <w:rsid w:val="00076796"/>
    <w:rsid w:val="00087439"/>
    <w:rsid w:val="000C1260"/>
    <w:rsid w:val="000C560C"/>
    <w:rsid w:val="000D080B"/>
    <w:rsid w:val="000D48FD"/>
    <w:rsid w:val="000D79CC"/>
    <w:rsid w:val="000E1C64"/>
    <w:rsid w:val="000F5934"/>
    <w:rsid w:val="000F7119"/>
    <w:rsid w:val="00100739"/>
    <w:rsid w:val="00100C2E"/>
    <w:rsid w:val="0010493E"/>
    <w:rsid w:val="001075D3"/>
    <w:rsid w:val="00107885"/>
    <w:rsid w:val="00114FC4"/>
    <w:rsid w:val="0012329C"/>
    <w:rsid w:val="00134FA7"/>
    <w:rsid w:val="00137950"/>
    <w:rsid w:val="00152F29"/>
    <w:rsid w:val="00174D54"/>
    <w:rsid w:val="0017702C"/>
    <w:rsid w:val="00185270"/>
    <w:rsid w:val="0019653E"/>
    <w:rsid w:val="001A3B5A"/>
    <w:rsid w:val="001B7CE9"/>
    <w:rsid w:val="001D495A"/>
    <w:rsid w:val="001E244C"/>
    <w:rsid w:val="001F1437"/>
    <w:rsid w:val="00206799"/>
    <w:rsid w:val="002074FE"/>
    <w:rsid w:val="0022425B"/>
    <w:rsid w:val="002259EF"/>
    <w:rsid w:val="00242ED1"/>
    <w:rsid w:val="002444BB"/>
    <w:rsid w:val="00254069"/>
    <w:rsid w:val="00270748"/>
    <w:rsid w:val="002734E5"/>
    <w:rsid w:val="002746DB"/>
    <w:rsid w:val="00280CAF"/>
    <w:rsid w:val="00282F09"/>
    <w:rsid w:val="0029070E"/>
    <w:rsid w:val="00291810"/>
    <w:rsid w:val="00294D62"/>
    <w:rsid w:val="00297532"/>
    <w:rsid w:val="00297FFD"/>
    <w:rsid w:val="002A1210"/>
    <w:rsid w:val="002A47D2"/>
    <w:rsid w:val="002A7FB5"/>
    <w:rsid w:val="002B1332"/>
    <w:rsid w:val="002B2074"/>
    <w:rsid w:val="002D14D8"/>
    <w:rsid w:val="002D4799"/>
    <w:rsid w:val="002E344E"/>
    <w:rsid w:val="002E3FA4"/>
    <w:rsid w:val="002E53A5"/>
    <w:rsid w:val="002E64B8"/>
    <w:rsid w:val="002E6834"/>
    <w:rsid w:val="002F11B8"/>
    <w:rsid w:val="003113FF"/>
    <w:rsid w:val="00312622"/>
    <w:rsid w:val="0032277F"/>
    <w:rsid w:val="00323964"/>
    <w:rsid w:val="00336B69"/>
    <w:rsid w:val="0034302B"/>
    <w:rsid w:val="00350523"/>
    <w:rsid w:val="0035189D"/>
    <w:rsid w:val="00355B62"/>
    <w:rsid w:val="00357C8A"/>
    <w:rsid w:val="003740BC"/>
    <w:rsid w:val="0037456B"/>
    <w:rsid w:val="003801A3"/>
    <w:rsid w:val="00383D90"/>
    <w:rsid w:val="003870AE"/>
    <w:rsid w:val="003A1A27"/>
    <w:rsid w:val="003A2E85"/>
    <w:rsid w:val="003A50CC"/>
    <w:rsid w:val="003B42B3"/>
    <w:rsid w:val="003B6384"/>
    <w:rsid w:val="003B6AD6"/>
    <w:rsid w:val="003C0FE2"/>
    <w:rsid w:val="003C4EBB"/>
    <w:rsid w:val="003D1531"/>
    <w:rsid w:val="003E4EC6"/>
    <w:rsid w:val="003E527E"/>
    <w:rsid w:val="003E553E"/>
    <w:rsid w:val="003E7078"/>
    <w:rsid w:val="003F3DF5"/>
    <w:rsid w:val="003F73B8"/>
    <w:rsid w:val="003F7DC2"/>
    <w:rsid w:val="0040297E"/>
    <w:rsid w:val="00411D11"/>
    <w:rsid w:val="00414494"/>
    <w:rsid w:val="00415E23"/>
    <w:rsid w:val="0041670D"/>
    <w:rsid w:val="00423272"/>
    <w:rsid w:val="00424061"/>
    <w:rsid w:val="00440092"/>
    <w:rsid w:val="00442A3C"/>
    <w:rsid w:val="00443969"/>
    <w:rsid w:val="00447D74"/>
    <w:rsid w:val="00450A74"/>
    <w:rsid w:val="004546BF"/>
    <w:rsid w:val="00465350"/>
    <w:rsid w:val="00467175"/>
    <w:rsid w:val="00476B91"/>
    <w:rsid w:val="004846BF"/>
    <w:rsid w:val="00485A5A"/>
    <w:rsid w:val="00494912"/>
    <w:rsid w:val="004A5323"/>
    <w:rsid w:val="004A5A99"/>
    <w:rsid w:val="004B6A67"/>
    <w:rsid w:val="004C6979"/>
    <w:rsid w:val="004D13A2"/>
    <w:rsid w:val="004D3E7A"/>
    <w:rsid w:val="004F594B"/>
    <w:rsid w:val="004F61E1"/>
    <w:rsid w:val="00503D34"/>
    <w:rsid w:val="00513351"/>
    <w:rsid w:val="00515FFC"/>
    <w:rsid w:val="00517ED8"/>
    <w:rsid w:val="0053380B"/>
    <w:rsid w:val="00543194"/>
    <w:rsid w:val="00544138"/>
    <w:rsid w:val="00554E34"/>
    <w:rsid w:val="00584583"/>
    <w:rsid w:val="00590E90"/>
    <w:rsid w:val="00590EEB"/>
    <w:rsid w:val="005A4099"/>
    <w:rsid w:val="005C3173"/>
    <w:rsid w:val="005C38B2"/>
    <w:rsid w:val="005C5029"/>
    <w:rsid w:val="005C55C2"/>
    <w:rsid w:val="005C71CA"/>
    <w:rsid w:val="005C745C"/>
    <w:rsid w:val="005D4DF5"/>
    <w:rsid w:val="005E42BA"/>
    <w:rsid w:val="00611D6B"/>
    <w:rsid w:val="006326EC"/>
    <w:rsid w:val="00663A42"/>
    <w:rsid w:val="006641C7"/>
    <w:rsid w:val="00665981"/>
    <w:rsid w:val="006705EA"/>
    <w:rsid w:val="00670BE2"/>
    <w:rsid w:val="006916D9"/>
    <w:rsid w:val="006A0E05"/>
    <w:rsid w:val="006A26C6"/>
    <w:rsid w:val="006A465A"/>
    <w:rsid w:val="006A7D5D"/>
    <w:rsid w:val="006C3905"/>
    <w:rsid w:val="006D0C12"/>
    <w:rsid w:val="006D5D57"/>
    <w:rsid w:val="006E2538"/>
    <w:rsid w:val="006E302F"/>
    <w:rsid w:val="006F415F"/>
    <w:rsid w:val="006F4D6D"/>
    <w:rsid w:val="00705086"/>
    <w:rsid w:val="00722001"/>
    <w:rsid w:val="00751E66"/>
    <w:rsid w:val="00754497"/>
    <w:rsid w:val="00766D79"/>
    <w:rsid w:val="00787C39"/>
    <w:rsid w:val="00792947"/>
    <w:rsid w:val="00795DF3"/>
    <w:rsid w:val="007A373C"/>
    <w:rsid w:val="007A5A5C"/>
    <w:rsid w:val="007B225C"/>
    <w:rsid w:val="007C0941"/>
    <w:rsid w:val="007C6AE4"/>
    <w:rsid w:val="007C75B1"/>
    <w:rsid w:val="007D3DFC"/>
    <w:rsid w:val="007E2F07"/>
    <w:rsid w:val="007E59A8"/>
    <w:rsid w:val="0080776D"/>
    <w:rsid w:val="00810145"/>
    <w:rsid w:val="008108FA"/>
    <w:rsid w:val="00810FF1"/>
    <w:rsid w:val="00821231"/>
    <w:rsid w:val="00822336"/>
    <w:rsid w:val="00823DFA"/>
    <w:rsid w:val="00842DB7"/>
    <w:rsid w:val="00843752"/>
    <w:rsid w:val="0084479F"/>
    <w:rsid w:val="0085725E"/>
    <w:rsid w:val="00873D4F"/>
    <w:rsid w:val="0087509F"/>
    <w:rsid w:val="00885B09"/>
    <w:rsid w:val="00892400"/>
    <w:rsid w:val="008A209D"/>
    <w:rsid w:val="008A22BB"/>
    <w:rsid w:val="008A4963"/>
    <w:rsid w:val="008B035D"/>
    <w:rsid w:val="008B0E29"/>
    <w:rsid w:val="008B0EFA"/>
    <w:rsid w:val="008B30AB"/>
    <w:rsid w:val="008C3BB8"/>
    <w:rsid w:val="008C4B65"/>
    <w:rsid w:val="008E5F55"/>
    <w:rsid w:val="009009E7"/>
    <w:rsid w:val="00905DEF"/>
    <w:rsid w:val="00906056"/>
    <w:rsid w:val="009122AE"/>
    <w:rsid w:val="00913B43"/>
    <w:rsid w:val="00930203"/>
    <w:rsid w:val="009311D2"/>
    <w:rsid w:val="009311E6"/>
    <w:rsid w:val="00931275"/>
    <w:rsid w:val="00936AC7"/>
    <w:rsid w:val="00953B64"/>
    <w:rsid w:val="009646A7"/>
    <w:rsid w:val="00970A88"/>
    <w:rsid w:val="009818A1"/>
    <w:rsid w:val="009A1674"/>
    <w:rsid w:val="009A70A1"/>
    <w:rsid w:val="009B38BE"/>
    <w:rsid w:val="009B4DF2"/>
    <w:rsid w:val="009C684F"/>
    <w:rsid w:val="009C7BF5"/>
    <w:rsid w:val="009D074C"/>
    <w:rsid w:val="009D6E73"/>
    <w:rsid w:val="009F1F1D"/>
    <w:rsid w:val="009F29F2"/>
    <w:rsid w:val="009F2B4F"/>
    <w:rsid w:val="009F3C63"/>
    <w:rsid w:val="009F66B5"/>
    <w:rsid w:val="00A02F10"/>
    <w:rsid w:val="00A16221"/>
    <w:rsid w:val="00A20A7D"/>
    <w:rsid w:val="00A35D42"/>
    <w:rsid w:val="00A46CCF"/>
    <w:rsid w:val="00A506DE"/>
    <w:rsid w:val="00A53451"/>
    <w:rsid w:val="00A66509"/>
    <w:rsid w:val="00A70426"/>
    <w:rsid w:val="00A707CC"/>
    <w:rsid w:val="00A71410"/>
    <w:rsid w:val="00A91E9A"/>
    <w:rsid w:val="00A93ED9"/>
    <w:rsid w:val="00A96221"/>
    <w:rsid w:val="00AC2DBB"/>
    <w:rsid w:val="00AC6A99"/>
    <w:rsid w:val="00AD5AAC"/>
    <w:rsid w:val="00AD6048"/>
    <w:rsid w:val="00B03F33"/>
    <w:rsid w:val="00B055EF"/>
    <w:rsid w:val="00B06B5B"/>
    <w:rsid w:val="00B16DF2"/>
    <w:rsid w:val="00B23769"/>
    <w:rsid w:val="00B41789"/>
    <w:rsid w:val="00B81808"/>
    <w:rsid w:val="00B86DFA"/>
    <w:rsid w:val="00B936D0"/>
    <w:rsid w:val="00BA0A9B"/>
    <w:rsid w:val="00BB15FB"/>
    <w:rsid w:val="00BD3D5B"/>
    <w:rsid w:val="00BE1076"/>
    <w:rsid w:val="00BE3600"/>
    <w:rsid w:val="00C01F6F"/>
    <w:rsid w:val="00C041EA"/>
    <w:rsid w:val="00C13BBD"/>
    <w:rsid w:val="00C149AB"/>
    <w:rsid w:val="00C16929"/>
    <w:rsid w:val="00C20690"/>
    <w:rsid w:val="00C36020"/>
    <w:rsid w:val="00C40694"/>
    <w:rsid w:val="00C479BF"/>
    <w:rsid w:val="00C5124B"/>
    <w:rsid w:val="00C61A3A"/>
    <w:rsid w:val="00C70542"/>
    <w:rsid w:val="00C75CBF"/>
    <w:rsid w:val="00C77387"/>
    <w:rsid w:val="00CC2894"/>
    <w:rsid w:val="00CD77C3"/>
    <w:rsid w:val="00CE112C"/>
    <w:rsid w:val="00CF55D4"/>
    <w:rsid w:val="00D608DA"/>
    <w:rsid w:val="00D730BF"/>
    <w:rsid w:val="00D74363"/>
    <w:rsid w:val="00D852F4"/>
    <w:rsid w:val="00D905B9"/>
    <w:rsid w:val="00DB1110"/>
    <w:rsid w:val="00DB3730"/>
    <w:rsid w:val="00DC371B"/>
    <w:rsid w:val="00DC3788"/>
    <w:rsid w:val="00DC76C7"/>
    <w:rsid w:val="00DD09F5"/>
    <w:rsid w:val="00DD0E02"/>
    <w:rsid w:val="00DD4201"/>
    <w:rsid w:val="00DD5E9F"/>
    <w:rsid w:val="00DE5711"/>
    <w:rsid w:val="00DF39C5"/>
    <w:rsid w:val="00E00EA0"/>
    <w:rsid w:val="00E021CB"/>
    <w:rsid w:val="00E033A3"/>
    <w:rsid w:val="00E1284D"/>
    <w:rsid w:val="00E138F1"/>
    <w:rsid w:val="00E2309D"/>
    <w:rsid w:val="00E26758"/>
    <w:rsid w:val="00E4357B"/>
    <w:rsid w:val="00E443A7"/>
    <w:rsid w:val="00E45904"/>
    <w:rsid w:val="00E63DE5"/>
    <w:rsid w:val="00E647AF"/>
    <w:rsid w:val="00E647C7"/>
    <w:rsid w:val="00E65A37"/>
    <w:rsid w:val="00E65EF7"/>
    <w:rsid w:val="00E7751C"/>
    <w:rsid w:val="00E77B48"/>
    <w:rsid w:val="00E828BF"/>
    <w:rsid w:val="00E857FB"/>
    <w:rsid w:val="00E91799"/>
    <w:rsid w:val="00E97DF8"/>
    <w:rsid w:val="00EA21FE"/>
    <w:rsid w:val="00EA34E3"/>
    <w:rsid w:val="00EB7538"/>
    <w:rsid w:val="00EC1868"/>
    <w:rsid w:val="00ED2B67"/>
    <w:rsid w:val="00EE6468"/>
    <w:rsid w:val="00F1299B"/>
    <w:rsid w:val="00F207A4"/>
    <w:rsid w:val="00F25173"/>
    <w:rsid w:val="00F31238"/>
    <w:rsid w:val="00F355AC"/>
    <w:rsid w:val="00F40CF7"/>
    <w:rsid w:val="00F41E5A"/>
    <w:rsid w:val="00F44194"/>
    <w:rsid w:val="00F507A7"/>
    <w:rsid w:val="00F52D3F"/>
    <w:rsid w:val="00F61D50"/>
    <w:rsid w:val="00F6232E"/>
    <w:rsid w:val="00F71A5A"/>
    <w:rsid w:val="00F73A1A"/>
    <w:rsid w:val="00F769E0"/>
    <w:rsid w:val="00FA060B"/>
    <w:rsid w:val="00FA4A46"/>
    <w:rsid w:val="00FA757B"/>
    <w:rsid w:val="00FA75FE"/>
    <w:rsid w:val="00FB1032"/>
    <w:rsid w:val="00FB39BC"/>
    <w:rsid w:val="00FB6A53"/>
    <w:rsid w:val="00FC11CA"/>
    <w:rsid w:val="00FC6BDE"/>
    <w:rsid w:val="00FF6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0662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styleId="CommentReference">
    <w:name w:val="annotation reference"/>
    <w:rsid w:val="007A5A5C"/>
    <w:rPr>
      <w:sz w:val="16"/>
      <w:szCs w:val="16"/>
    </w:rPr>
  </w:style>
  <w:style w:type="paragraph" w:styleId="CommentText">
    <w:name w:val="annotation text"/>
    <w:basedOn w:val="Normal"/>
    <w:link w:val="CommentTextChar"/>
    <w:rsid w:val="007A5A5C"/>
    <w:rPr>
      <w:sz w:val="20"/>
      <w:szCs w:val="20"/>
    </w:rPr>
  </w:style>
  <w:style w:type="character" w:customStyle="1" w:styleId="CommentTextChar">
    <w:name w:val="Comment Text Char"/>
    <w:basedOn w:val="DefaultParagraphFont"/>
    <w:link w:val="CommentText"/>
    <w:rsid w:val="007A5A5C"/>
  </w:style>
  <w:style w:type="paragraph" w:styleId="CommentSubject">
    <w:name w:val="annotation subject"/>
    <w:basedOn w:val="CommentText"/>
    <w:next w:val="CommentText"/>
    <w:link w:val="CommentSubjectChar"/>
    <w:rsid w:val="007A5A5C"/>
    <w:rPr>
      <w:b/>
      <w:bCs/>
    </w:rPr>
  </w:style>
  <w:style w:type="character" w:customStyle="1" w:styleId="CommentSubjectChar">
    <w:name w:val="Comment Subject Char"/>
    <w:link w:val="CommentSubject"/>
    <w:rsid w:val="007A5A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937842">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331524368">
      <w:bodyDiv w:val="1"/>
      <w:marLeft w:val="0"/>
      <w:marRight w:val="0"/>
      <w:marTop w:val="0"/>
      <w:marBottom w:val="0"/>
      <w:divBdr>
        <w:top w:val="none" w:sz="0" w:space="0" w:color="auto"/>
        <w:left w:val="none" w:sz="0" w:space="0" w:color="auto"/>
        <w:bottom w:val="none" w:sz="0" w:space="0" w:color="auto"/>
        <w:right w:val="none" w:sz="0" w:space="0" w:color="auto"/>
      </w:divBdr>
    </w:div>
    <w:div w:id="1615483615">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da.gov/industry/small-business-assist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2044</Words>
  <Characters>11653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13670</CharactersWithSpaces>
  <SharedDoc>false</SharedDoc>
  <HLinks>
    <vt:vector size="6" baseType="variant">
      <vt:variant>
        <vt:i4>7209008</vt:i4>
      </vt:variant>
      <vt:variant>
        <vt:i4>0</vt:i4>
      </vt:variant>
      <vt:variant>
        <vt:i4>0</vt:i4>
      </vt:variant>
      <vt:variant>
        <vt:i4>5</vt:i4>
      </vt:variant>
      <vt:variant>
        <vt:lpwstr>https://www.fda.gov/industry/small-business-assistance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2020-11-26T21:12:00Z</dcterms:created>
  <dcterms:modified xsi:type="dcterms:W3CDTF">2020-11-26T21:12:00Z</dcterms:modified>
</cp:coreProperties>
</file>