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21D" w:rsidR="008931FB" w:rsidP="007A62CE" w:rsidRDefault="008931FB" w14:paraId="7B0C1665" w14:textId="61D2E3A4">
      <w:pPr>
        <w:jc w:val="center"/>
        <w:rPr>
          <w:color w:val="000000" w:themeColor="text1"/>
        </w:rPr>
      </w:pPr>
      <w:bookmarkStart w:name="_GoBack" w:id="0"/>
      <w:bookmarkEnd w:id="0"/>
      <w:r w:rsidRPr="0078221D">
        <w:rPr>
          <w:color w:val="000000" w:themeColor="text1"/>
        </w:rPr>
        <w:t>United States Food and Drug Administration</w:t>
      </w:r>
    </w:p>
    <w:p w:rsidR="008931FB" w:rsidP="007A62CE" w:rsidRDefault="008931FB" w14:paraId="30303BC8" w14:textId="77777777">
      <w:pPr>
        <w:jc w:val="center"/>
      </w:pPr>
    </w:p>
    <w:p w:rsidRPr="009A1674" w:rsidR="007A62CE" w:rsidP="007A62CE" w:rsidRDefault="007A62CE" w14:paraId="273A4A73" w14:textId="7B3B74AF">
      <w:pPr>
        <w:jc w:val="center"/>
      </w:pPr>
      <w:r w:rsidRPr="00C26879">
        <w:t>Healthcare Provider Perception of Boxed Warning Survey</w:t>
      </w:r>
    </w:p>
    <w:p w:rsidRPr="009A1674" w:rsidR="007A62CE" w:rsidP="007A62CE" w:rsidRDefault="007A62CE" w14:paraId="0246EC9B" w14:textId="77777777">
      <w:pPr>
        <w:jc w:val="center"/>
      </w:pPr>
    </w:p>
    <w:p w:rsidRPr="009A1674" w:rsidR="007A62CE" w:rsidP="007A62CE" w:rsidRDefault="007A62CE" w14:paraId="75EFAD14" w14:textId="0BFDC564">
      <w:pPr>
        <w:jc w:val="center"/>
      </w:pPr>
      <w:r>
        <w:t xml:space="preserve">OMB Control No. </w:t>
      </w:r>
      <w:r w:rsidRPr="009A1674">
        <w:t>0910-NEW</w:t>
      </w:r>
      <w:r w:rsidRPr="009A1674">
        <w:br/>
      </w:r>
    </w:p>
    <w:p w:rsidR="00A14AE9" w:rsidP="00F16457" w:rsidRDefault="00A14AE9" w14:paraId="50EF722B" w14:textId="77777777">
      <w:pPr>
        <w:rPr>
          <w:bCs/>
        </w:rPr>
      </w:pPr>
    </w:p>
    <w:p w:rsidR="00A14AE9" w:rsidP="00F16457" w:rsidRDefault="00A14AE9" w14:paraId="0CFBC593" w14:textId="77777777">
      <w:pPr>
        <w:rPr>
          <w:bCs/>
        </w:rPr>
      </w:pPr>
    </w:p>
    <w:p w:rsidRPr="00091579" w:rsidR="00A14AE9" w:rsidP="00F16457" w:rsidRDefault="00ED2FED" w14:paraId="31D745BC" w14:textId="26C8E9E6">
      <w:pPr>
        <w:rPr>
          <w:b/>
          <w:bCs/>
        </w:rPr>
      </w:pPr>
      <w:r w:rsidRPr="00091579">
        <w:rPr>
          <w:b/>
          <w:bCs/>
        </w:rPr>
        <w:t>Part B Statistical Methods</w:t>
      </w:r>
    </w:p>
    <w:p w:rsidRPr="00E1628E" w:rsidR="00880FB7" w:rsidP="00E1628E" w:rsidRDefault="00A14AE9" w14:paraId="69C98237" w14:textId="2985D4F4">
      <w:pPr>
        <w:numPr>
          <w:ilvl w:val="0"/>
          <w:numId w:val="1"/>
        </w:numPr>
        <w:spacing w:before="100" w:beforeAutospacing="1" w:after="100" w:afterAutospacing="1"/>
        <w:rPr>
          <w:u w:val="single"/>
        </w:rPr>
      </w:pPr>
      <w:r w:rsidRPr="00E00EA0">
        <w:rPr>
          <w:u w:val="single"/>
        </w:rPr>
        <w:t>Respondent Universe and Sampling Methods</w:t>
      </w:r>
    </w:p>
    <w:p w:rsidRPr="007E5AD4" w:rsidR="007E5AD4" w:rsidP="007E5AD4" w:rsidRDefault="007E5AD4" w14:paraId="76A705D9" w14:textId="23C1E916">
      <w:pPr>
        <w:ind w:left="720"/>
        <w:jc w:val="both"/>
        <w:rPr>
          <w:b/>
        </w:rPr>
      </w:pPr>
      <w:r w:rsidRPr="007E5AD4">
        <w:rPr>
          <w:b/>
        </w:rPr>
        <w:t xml:space="preserve">Research </w:t>
      </w:r>
      <w:r w:rsidR="00A95404">
        <w:rPr>
          <w:b/>
        </w:rPr>
        <w:t>G</w:t>
      </w:r>
      <w:r w:rsidRPr="007E5AD4">
        <w:rPr>
          <w:b/>
        </w:rPr>
        <w:t>oals</w:t>
      </w:r>
    </w:p>
    <w:p w:rsidR="007E5AD4" w:rsidP="007E5AD4" w:rsidRDefault="007E5AD4" w14:paraId="2E9A368E" w14:textId="6D2BB695">
      <w:pPr>
        <w:ind w:left="720"/>
        <w:jc w:val="both"/>
      </w:pPr>
    </w:p>
    <w:p w:rsidR="007E5AD4" w:rsidP="007E5AD4" w:rsidRDefault="007E5AD4" w14:paraId="785F835B" w14:textId="02C8975A">
      <w:pPr>
        <w:pStyle w:val="ListParagraph"/>
      </w:pPr>
      <w:r>
        <w:t>Part A of the supporting statement described the rationale for conducting the study. The overall goal of the study is to better understand h</w:t>
      </w:r>
      <w:r w:rsidRPr="00571024">
        <w:t xml:space="preserve">ow </w:t>
      </w:r>
      <w:r>
        <w:t xml:space="preserve">HCPs </w:t>
      </w:r>
      <w:r w:rsidR="0073468F">
        <w:t xml:space="preserve">perceive and information included in </w:t>
      </w:r>
      <w:r w:rsidR="00C57BD4">
        <w:t>a product’s</w:t>
      </w:r>
      <w:r>
        <w:t xml:space="preserve"> </w:t>
      </w:r>
      <w:r w:rsidRPr="00571024">
        <w:t xml:space="preserve">boxed warning </w:t>
      </w:r>
      <w:r>
        <w:t xml:space="preserve">when making decisions about prescribing treatments. </w:t>
      </w:r>
    </w:p>
    <w:p w:rsidRPr="00571024" w:rsidR="007E5AD4" w:rsidP="007E5AD4" w:rsidRDefault="007E5AD4" w14:paraId="033F28CF" w14:textId="77777777">
      <w:pPr>
        <w:ind w:left="720"/>
      </w:pPr>
    </w:p>
    <w:p w:rsidR="0073468F" w:rsidP="0073468F" w:rsidRDefault="0073468F" w14:paraId="7F45E0BA" w14:textId="218A4214">
      <w:pPr>
        <w:ind w:left="720"/>
        <w:jc w:val="both"/>
      </w:pPr>
      <w:bookmarkStart w:name="_Hlk36142636" w:id="1"/>
      <w:r>
        <w:t>The general research questions in this data collection are as follows:</w:t>
      </w:r>
    </w:p>
    <w:p w:rsidR="008931FB" w:rsidP="0073468F" w:rsidRDefault="008931FB" w14:paraId="5015CE4F" w14:textId="77777777">
      <w:pPr>
        <w:ind w:left="720"/>
        <w:jc w:val="both"/>
      </w:pPr>
    </w:p>
    <w:p w:rsidR="0073468F" w:rsidP="0073468F" w:rsidRDefault="0073468F" w14:paraId="36CB2D7E" w14:textId="77777777">
      <w:pPr>
        <w:pStyle w:val="ListParagraph"/>
        <w:numPr>
          <w:ilvl w:val="1"/>
          <w:numId w:val="1"/>
        </w:numPr>
        <w:jc w:val="both"/>
      </w:pPr>
      <w:r>
        <w:t>What awareness, knowledge, and beliefs do HCPs have regarding boxed warning information for a prescription drug or class of drugs?</w:t>
      </w:r>
    </w:p>
    <w:p w:rsidR="0073468F" w:rsidP="00D4466F" w:rsidRDefault="0073468F" w14:paraId="2B9D003C" w14:textId="77777777">
      <w:pPr>
        <w:pStyle w:val="ListParagraph"/>
        <w:numPr>
          <w:ilvl w:val="1"/>
          <w:numId w:val="1"/>
        </w:numPr>
      </w:pPr>
      <w:r>
        <w:t>When making prescribing decisions, how do HCPs consider boxed warning information about a potential treatment? How does boxed warning information factor into their assessments of a drug’s potential benefits and risks to their patients?</w:t>
      </w:r>
    </w:p>
    <w:p w:rsidR="0073468F" w:rsidP="0073468F" w:rsidRDefault="0073468F" w14:paraId="411EBFE2" w14:textId="77777777">
      <w:pPr>
        <w:pStyle w:val="ListParagraph"/>
        <w:numPr>
          <w:ilvl w:val="1"/>
          <w:numId w:val="1"/>
        </w:numPr>
        <w:jc w:val="both"/>
      </w:pPr>
      <w:r>
        <w:t xml:space="preserve">How do HCPs communicate with their patients about boxed warning information? </w:t>
      </w:r>
    </w:p>
    <w:p w:rsidR="0073468F" w:rsidP="0073468F" w:rsidRDefault="0073468F" w14:paraId="53B422E2" w14:textId="77777777">
      <w:pPr>
        <w:pStyle w:val="ListParagraph"/>
        <w:numPr>
          <w:ilvl w:val="1"/>
          <w:numId w:val="1"/>
        </w:numPr>
        <w:jc w:val="both"/>
      </w:pPr>
      <w:r>
        <w:t>What factors (e.g., experience treating a condition) are associated with HCPs’ awareness, knowledge, and beliefs about boxed warning information?</w:t>
      </w:r>
    </w:p>
    <w:bookmarkEnd w:id="1"/>
    <w:p w:rsidR="007E5AD4" w:rsidP="007E5AD4" w:rsidRDefault="007E5AD4" w14:paraId="41085988" w14:textId="4A1F318F">
      <w:pPr>
        <w:ind w:left="720"/>
        <w:jc w:val="both"/>
      </w:pPr>
    </w:p>
    <w:p w:rsidR="0073468F" w:rsidP="00D4466F" w:rsidRDefault="0073468F" w14:paraId="5F0F508C" w14:textId="4A5CC312">
      <w:pPr>
        <w:ind w:left="720"/>
      </w:pPr>
      <w:bookmarkStart w:name="_Hlk36147297" w:id="2"/>
      <w:r>
        <w:t xml:space="preserve">To explore a range of potential perceptions and uses of boxed warning information that may exist under different contexts, this study will include two medical product scenarios involving an FDA-approved medication or class of medications that include boxed warning information. The two scenarios are: </w:t>
      </w:r>
      <w:r w:rsidR="008931FB">
        <w:t>(</w:t>
      </w:r>
      <w:r>
        <w:t xml:space="preserve">a) fixed-dose combination direct acting antiviral </w:t>
      </w:r>
      <w:r w:rsidR="00FB60E9">
        <w:t xml:space="preserve">(DAA) </w:t>
      </w:r>
      <w:r>
        <w:t>medications indicated for the treatment of chronic hepatitis C virus (</w:t>
      </w:r>
      <w:r w:rsidR="00FB60E9">
        <w:t xml:space="preserve">HCV; </w:t>
      </w:r>
      <w:r>
        <w:t xml:space="preserve">referred to as the </w:t>
      </w:r>
      <w:r w:rsidRPr="0073468F">
        <w:rPr>
          <w:i/>
        </w:rPr>
        <w:t>DAA</w:t>
      </w:r>
      <w:r>
        <w:t xml:space="preserve"> scenario); and </w:t>
      </w:r>
      <w:r w:rsidR="008931FB">
        <w:t>(</w:t>
      </w:r>
      <w:r>
        <w:t xml:space="preserve">b) estrogen vaginal tablets indicated for the treatment of vulvar vaginal atrophy </w:t>
      </w:r>
      <w:r w:rsidR="00BF7BD6">
        <w:t xml:space="preserve">(VVA) </w:t>
      </w:r>
      <w:r>
        <w:t xml:space="preserve">associated with menopause (referred to as the </w:t>
      </w:r>
      <w:r w:rsidRPr="0073468F">
        <w:rPr>
          <w:i/>
        </w:rPr>
        <w:t>estrogen</w:t>
      </w:r>
      <w:r>
        <w:t xml:space="preserve"> scenario) The scenarios will include pertinent prescribing information from the FDA-approved labeling for these medications. </w:t>
      </w:r>
    </w:p>
    <w:bookmarkEnd w:id="2"/>
    <w:p w:rsidR="0073468F" w:rsidP="007E5AD4" w:rsidRDefault="0073468F" w14:paraId="6C31022A" w14:textId="77777777">
      <w:pPr>
        <w:ind w:left="720"/>
        <w:jc w:val="both"/>
      </w:pPr>
    </w:p>
    <w:p w:rsidR="007E5AD4" w:rsidP="007E5AD4" w:rsidRDefault="007E5AD4" w14:paraId="1567C527" w14:textId="1039ED81">
      <w:pPr>
        <w:ind w:left="720"/>
        <w:jc w:val="both"/>
        <w:rPr>
          <w:b/>
        </w:rPr>
      </w:pPr>
      <w:r w:rsidRPr="007E5AD4">
        <w:rPr>
          <w:b/>
        </w:rPr>
        <w:t>Sampling Frame</w:t>
      </w:r>
    </w:p>
    <w:p w:rsidRPr="007E5AD4" w:rsidR="007E5AD4" w:rsidP="007E5AD4" w:rsidRDefault="007E5AD4" w14:paraId="19592131" w14:textId="77777777">
      <w:pPr>
        <w:ind w:left="720"/>
        <w:jc w:val="both"/>
        <w:rPr>
          <w:b/>
        </w:rPr>
      </w:pPr>
    </w:p>
    <w:p w:rsidR="007E5AD4" w:rsidP="00D4466F" w:rsidRDefault="00E1628E" w14:paraId="32C3E98A" w14:textId="6D4D372D">
      <w:pPr>
        <w:ind w:left="720"/>
        <w:rPr>
          <w:color w:val="000000" w:themeColor="text1"/>
        </w:rPr>
      </w:pPr>
      <w:bookmarkStart w:name="_Hlk29459186" w:id="3"/>
      <w:r>
        <w:t>We will</w:t>
      </w:r>
      <w:r w:rsidRPr="003355E0">
        <w:t xml:space="preserve"> </w:t>
      </w:r>
      <w:r w:rsidR="007E5AD4">
        <w:t xml:space="preserve">use </w:t>
      </w:r>
      <w:r w:rsidRPr="003355E0">
        <w:t>SurveyHealthcare</w:t>
      </w:r>
      <w:r w:rsidR="00C5658B">
        <w:t>Globus</w:t>
      </w:r>
      <w:r w:rsidRPr="003355E0">
        <w:t xml:space="preserve"> (</w:t>
      </w:r>
      <w:r w:rsidR="00C5658B">
        <w:t>SHG</w:t>
      </w:r>
      <w:r w:rsidRPr="003355E0">
        <w:t>)</w:t>
      </w:r>
      <w:r w:rsidR="00DD440D">
        <w:t xml:space="preserve"> </w:t>
      </w:r>
      <w:r w:rsidR="00C72657">
        <w:t xml:space="preserve">U.S. healthcare professionals </w:t>
      </w:r>
      <w:r w:rsidR="00DD440D">
        <w:t>online</w:t>
      </w:r>
      <w:r w:rsidR="00C72657">
        <w:t xml:space="preserve"> panel</w:t>
      </w:r>
      <w:r w:rsidRPr="003355E0">
        <w:t xml:space="preserve"> as the </w:t>
      </w:r>
      <w:r>
        <w:t>frame for sample selection</w:t>
      </w:r>
      <w:r w:rsidRPr="003355E0">
        <w:t xml:space="preserve">. The </w:t>
      </w:r>
      <w:r w:rsidR="00C5658B">
        <w:t>SHG</w:t>
      </w:r>
      <w:r w:rsidRPr="003355E0">
        <w:t xml:space="preserve"> U.S. panel comprises </w:t>
      </w:r>
      <w:r>
        <w:t xml:space="preserve">more than </w:t>
      </w:r>
      <w:r w:rsidRPr="003355E0">
        <w:t xml:space="preserve">640,000 </w:t>
      </w:r>
      <w:r w:rsidRPr="003355E0">
        <w:lastRenderedPageBreak/>
        <w:t xml:space="preserve">HCPs, including over 540,000 </w:t>
      </w:r>
      <w:r>
        <w:t xml:space="preserve">physicians with </w:t>
      </w:r>
      <w:r w:rsidRPr="003355E0">
        <w:t>MD/DO</w:t>
      </w:r>
      <w:r>
        <w:t xml:space="preserve"> degree</w:t>
      </w:r>
      <w:r w:rsidRPr="003355E0">
        <w:t xml:space="preserve">s, 100% of whom have </w:t>
      </w:r>
      <w:r w:rsidRPr="003355E0">
        <w:rPr>
          <w:color w:val="000000" w:themeColor="text1"/>
        </w:rPr>
        <w:t xml:space="preserve">prescribing authority. </w:t>
      </w:r>
      <w:r w:rsidR="00C5658B">
        <w:rPr>
          <w:color w:val="000000" w:themeColor="text1"/>
        </w:rPr>
        <w:t>SHG</w:t>
      </w:r>
      <w:r>
        <w:rPr>
          <w:color w:val="000000" w:themeColor="text1"/>
        </w:rPr>
        <w:t xml:space="preserve"> </w:t>
      </w:r>
      <w:r w:rsidR="00F522F0">
        <w:rPr>
          <w:color w:val="000000" w:themeColor="text1"/>
        </w:rPr>
        <w:t xml:space="preserve">regularly updates and </w:t>
      </w:r>
      <w:r>
        <w:rPr>
          <w:color w:val="000000" w:themeColor="text1"/>
        </w:rPr>
        <w:t>validates panel members’</w:t>
      </w:r>
      <w:r w:rsidR="00C72657">
        <w:rPr>
          <w:color w:val="000000" w:themeColor="text1"/>
        </w:rPr>
        <w:t xml:space="preserve"> </w:t>
      </w:r>
      <w:r w:rsidRPr="003355E0">
        <w:rPr>
          <w:color w:val="000000" w:themeColor="text1"/>
        </w:rPr>
        <w:t xml:space="preserve">credentials </w:t>
      </w:r>
      <w:r>
        <w:rPr>
          <w:color w:val="000000" w:themeColor="text1"/>
        </w:rPr>
        <w:t xml:space="preserve">through </w:t>
      </w:r>
      <w:r w:rsidRPr="003355E0">
        <w:rPr>
          <w:color w:val="000000" w:themeColor="text1"/>
        </w:rPr>
        <w:t xml:space="preserve">the American Medical Association (AMA) and National Provider Identifier (NPI) databases for </w:t>
      </w:r>
      <w:r>
        <w:rPr>
          <w:color w:val="000000" w:themeColor="text1"/>
        </w:rPr>
        <w:t xml:space="preserve">their </w:t>
      </w:r>
      <w:r w:rsidRPr="003355E0">
        <w:rPr>
          <w:color w:val="000000" w:themeColor="text1"/>
        </w:rPr>
        <w:t xml:space="preserve">ability to practice medicine, inclusive of prescribing authority. </w:t>
      </w:r>
      <w:r w:rsidR="00F522F0">
        <w:rPr>
          <w:color w:val="000000" w:themeColor="text1"/>
        </w:rPr>
        <w:t>Additional v</w:t>
      </w:r>
      <w:r w:rsidRPr="003355E0">
        <w:rPr>
          <w:color w:val="000000" w:themeColor="text1"/>
        </w:rPr>
        <w:t>erification sources include</w:t>
      </w:r>
      <w:r w:rsidRPr="003355E0">
        <w:t xml:space="preserve"> </w:t>
      </w:r>
      <w:r w:rsidRPr="003355E0">
        <w:rPr>
          <w:color w:val="000000" w:themeColor="text1"/>
        </w:rPr>
        <w:t xml:space="preserve">state license records, </w:t>
      </w:r>
      <w:r w:rsidR="00F522F0">
        <w:rPr>
          <w:color w:val="000000" w:themeColor="text1"/>
        </w:rPr>
        <w:t xml:space="preserve">hospital </w:t>
      </w:r>
      <w:r w:rsidRPr="003355E0">
        <w:rPr>
          <w:color w:val="000000" w:themeColor="text1"/>
        </w:rPr>
        <w:t>directories, publicly available</w:t>
      </w:r>
      <w:r>
        <w:rPr>
          <w:color w:val="000000" w:themeColor="text1"/>
        </w:rPr>
        <w:t xml:space="preserve"> and</w:t>
      </w:r>
      <w:r w:rsidRPr="003355E0">
        <w:rPr>
          <w:color w:val="000000" w:themeColor="text1"/>
        </w:rPr>
        <w:t xml:space="preserve"> verified healthcare portals, as well as the AMA database for physicians. In addition, </w:t>
      </w:r>
      <w:r w:rsidR="00C5658B">
        <w:rPr>
          <w:color w:val="000000" w:themeColor="text1"/>
        </w:rPr>
        <w:t>SHG</w:t>
      </w:r>
      <w:r w:rsidRPr="003355E0">
        <w:rPr>
          <w:color w:val="000000" w:themeColor="text1"/>
        </w:rPr>
        <w:t xml:space="preserve"> requests and collects copies of medical credentials and calls enrollees to verify them. </w:t>
      </w:r>
    </w:p>
    <w:p w:rsidR="007E5AD4" w:rsidP="00E1628E" w:rsidRDefault="007E5AD4" w14:paraId="0C0719F1" w14:textId="11BD61DF">
      <w:pPr>
        <w:ind w:left="720"/>
        <w:jc w:val="both"/>
        <w:rPr>
          <w:color w:val="000000" w:themeColor="text1"/>
        </w:rPr>
      </w:pPr>
    </w:p>
    <w:p w:rsidR="007E5AD4" w:rsidP="00D4466F" w:rsidRDefault="007E5AD4" w14:paraId="29606AA0" w14:textId="37845899">
      <w:pPr>
        <w:ind w:left="720"/>
        <w:rPr>
          <w:color w:val="000000" w:themeColor="text1"/>
        </w:rPr>
      </w:pPr>
      <w:r>
        <w:rPr>
          <w:color w:val="000000" w:themeColor="text1"/>
        </w:rPr>
        <w:t xml:space="preserve">The </w:t>
      </w:r>
      <w:r w:rsidR="00C5658B">
        <w:rPr>
          <w:color w:val="000000" w:themeColor="text1"/>
        </w:rPr>
        <w:t>SHG</w:t>
      </w:r>
      <w:r>
        <w:rPr>
          <w:color w:val="000000" w:themeColor="text1"/>
        </w:rPr>
        <w:t xml:space="preserve"> panel also includes</w:t>
      </w:r>
      <w:r w:rsidRPr="007E5AD4">
        <w:rPr>
          <w:color w:val="000000" w:themeColor="text1"/>
        </w:rPr>
        <w:t xml:space="preserve"> </w:t>
      </w:r>
      <w:r w:rsidRPr="007E72BB">
        <w:rPr>
          <w:color w:val="000000" w:themeColor="text1"/>
        </w:rPr>
        <w:t xml:space="preserve">nurses and other allied professionals, some with and some without prescribing authority. </w:t>
      </w:r>
      <w:r>
        <w:rPr>
          <w:color w:val="000000" w:themeColor="text1"/>
        </w:rPr>
        <w:t xml:space="preserve">Because prescribing authority differs depending on state law, </w:t>
      </w:r>
      <w:r w:rsidR="00C5658B">
        <w:rPr>
          <w:color w:val="000000" w:themeColor="text1"/>
        </w:rPr>
        <w:t>SHG</w:t>
      </w:r>
      <w:r w:rsidRPr="007E72BB">
        <w:rPr>
          <w:color w:val="000000" w:themeColor="text1"/>
        </w:rPr>
        <w:t xml:space="preserve"> does not maintain data on which of these HCPs have prescribing authority, Therefore, the study will depend on self-reported prescribing authority from the screener to determine eligibility for the subgroups of nurse practitioners and physician assistants.</w:t>
      </w:r>
    </w:p>
    <w:p w:rsidR="007E5AD4" w:rsidP="00E1628E" w:rsidRDefault="007E5AD4" w14:paraId="468EBAA3" w14:textId="77777777">
      <w:pPr>
        <w:ind w:left="720"/>
        <w:jc w:val="both"/>
        <w:rPr>
          <w:color w:val="000000" w:themeColor="text1"/>
        </w:rPr>
      </w:pPr>
    </w:p>
    <w:p w:rsidRPr="003355E0" w:rsidR="00DD440D" w:rsidP="00D4466F" w:rsidRDefault="00E1628E" w14:paraId="604B1ECE" w14:textId="3800A101">
      <w:pPr>
        <w:ind w:left="720"/>
      </w:pPr>
      <w:r w:rsidRPr="00880FB7">
        <w:rPr>
          <w:color w:val="000000" w:themeColor="text1"/>
        </w:rPr>
        <w:t xml:space="preserve">Overall, the </w:t>
      </w:r>
      <w:r w:rsidR="00C5658B">
        <w:rPr>
          <w:color w:val="000000" w:themeColor="text1"/>
        </w:rPr>
        <w:t>SHG</w:t>
      </w:r>
      <w:r w:rsidRPr="00880FB7">
        <w:rPr>
          <w:color w:val="000000" w:themeColor="text1"/>
        </w:rPr>
        <w:t xml:space="preserve"> offers a </w:t>
      </w:r>
      <w:r w:rsidR="007E5AD4">
        <w:rPr>
          <w:color w:val="000000" w:themeColor="text1"/>
        </w:rPr>
        <w:t xml:space="preserve">higher </w:t>
      </w:r>
      <w:r w:rsidRPr="00880FB7">
        <w:rPr>
          <w:color w:val="000000" w:themeColor="text1"/>
        </w:rPr>
        <w:t xml:space="preserve">coverage of healthcare professionals compared to more traditional </w:t>
      </w:r>
      <w:r w:rsidR="00EA1A05">
        <w:rPr>
          <w:color w:val="000000" w:themeColor="text1"/>
        </w:rPr>
        <w:t xml:space="preserve">general population </w:t>
      </w:r>
      <w:r w:rsidRPr="00880FB7">
        <w:rPr>
          <w:color w:val="000000" w:themeColor="text1"/>
        </w:rPr>
        <w:t>internet panels</w:t>
      </w:r>
      <w:r w:rsidRPr="00DD440D">
        <w:rPr>
          <w:color w:val="000000" w:themeColor="text1"/>
        </w:rPr>
        <w:t>.</w:t>
      </w:r>
      <w:r w:rsidRPr="00DD440D" w:rsidR="00DD440D">
        <w:t xml:space="preserve"> </w:t>
      </w:r>
      <w:r w:rsidR="00C5658B">
        <w:t>SHG</w:t>
      </w:r>
      <w:r w:rsidR="007944DE">
        <w:t xml:space="preserve"> </w:t>
      </w:r>
      <w:r w:rsidR="00EA1A05">
        <w:t xml:space="preserve">specializes in healthcare-related research recruitment </w:t>
      </w:r>
      <w:r w:rsidR="00B655C8">
        <w:t xml:space="preserve">and </w:t>
      </w:r>
      <w:r w:rsidRPr="007944DE" w:rsidR="007944DE">
        <w:t>has one of the largest medical market research communities</w:t>
      </w:r>
      <w:r w:rsidRPr="009E530A" w:rsidR="009E530A">
        <w:t xml:space="preserve"> </w:t>
      </w:r>
      <w:r w:rsidR="007944DE">
        <w:t xml:space="preserve">and </w:t>
      </w:r>
      <w:r w:rsidRPr="009E530A" w:rsidR="009E530A">
        <w:t>samples from a population of over 2 million physicians and allied healthcare professionals.</w:t>
      </w:r>
    </w:p>
    <w:bookmarkEnd w:id="3"/>
    <w:p w:rsidR="00E1628E" w:rsidP="0073468F" w:rsidRDefault="00E1628E" w14:paraId="075F03F9" w14:textId="77777777">
      <w:pPr>
        <w:rPr>
          <w:color w:val="000000" w:themeColor="text1"/>
        </w:rPr>
      </w:pPr>
    </w:p>
    <w:p w:rsidRPr="007E5AD4" w:rsidR="007E5AD4" w:rsidP="00880FB7" w:rsidRDefault="007E5AD4" w14:paraId="69C1775E" w14:textId="0B2D835A">
      <w:pPr>
        <w:ind w:left="720"/>
        <w:rPr>
          <w:b/>
          <w:color w:val="000000" w:themeColor="text1"/>
        </w:rPr>
      </w:pPr>
      <w:r w:rsidRPr="007E5AD4">
        <w:rPr>
          <w:b/>
          <w:color w:val="000000" w:themeColor="text1"/>
        </w:rPr>
        <w:t xml:space="preserve">Survey </w:t>
      </w:r>
      <w:r w:rsidR="00A95404">
        <w:rPr>
          <w:b/>
          <w:color w:val="000000" w:themeColor="text1"/>
        </w:rPr>
        <w:t>P</w:t>
      </w:r>
      <w:r w:rsidRPr="007E5AD4">
        <w:rPr>
          <w:b/>
          <w:color w:val="000000" w:themeColor="text1"/>
        </w:rPr>
        <w:t xml:space="preserve">opulation </w:t>
      </w:r>
    </w:p>
    <w:p w:rsidR="007E5AD4" w:rsidP="00880FB7" w:rsidRDefault="007E5AD4" w14:paraId="48BFF476" w14:textId="77777777">
      <w:pPr>
        <w:ind w:left="720"/>
        <w:rPr>
          <w:color w:val="000000" w:themeColor="text1"/>
        </w:rPr>
      </w:pPr>
    </w:p>
    <w:p w:rsidR="00880FB7" w:rsidP="00880FB7" w:rsidRDefault="00E1628E" w14:paraId="670044FC" w14:textId="659F5598">
      <w:pPr>
        <w:ind w:left="720"/>
        <w:rPr>
          <w:color w:val="000000" w:themeColor="text1"/>
        </w:rPr>
      </w:pPr>
      <w:r w:rsidRPr="00880FB7">
        <w:rPr>
          <w:color w:val="000000" w:themeColor="text1"/>
        </w:rPr>
        <w:t>Th</w:t>
      </w:r>
      <w:r>
        <w:rPr>
          <w:color w:val="000000" w:themeColor="text1"/>
        </w:rPr>
        <w:t>e proposed</w:t>
      </w:r>
      <w:r w:rsidRPr="00880FB7">
        <w:rPr>
          <w:color w:val="000000" w:themeColor="text1"/>
        </w:rPr>
        <w:t xml:space="preserve"> data collection will include a </w:t>
      </w:r>
      <w:r w:rsidR="00BF7BD6">
        <w:rPr>
          <w:color w:val="000000" w:themeColor="text1"/>
        </w:rPr>
        <w:t>diverse</w:t>
      </w:r>
      <w:r w:rsidRPr="00880FB7">
        <w:rPr>
          <w:color w:val="000000" w:themeColor="text1"/>
        </w:rPr>
        <w:t xml:space="preserve"> sample of HCPs</w:t>
      </w:r>
      <w:r w:rsidR="00AF4E13">
        <w:rPr>
          <w:color w:val="000000" w:themeColor="text1"/>
        </w:rPr>
        <w:t xml:space="preserve"> reflective of </w:t>
      </w:r>
      <w:r w:rsidR="007E5651">
        <w:rPr>
          <w:color w:val="000000" w:themeColor="text1"/>
        </w:rPr>
        <w:t>a national population of U.S. HCPs</w:t>
      </w:r>
      <w:r w:rsidRPr="00880FB7">
        <w:rPr>
          <w:color w:val="000000" w:themeColor="text1"/>
        </w:rPr>
        <w:t xml:space="preserve">. </w:t>
      </w:r>
      <w:r w:rsidR="007E5651">
        <w:rPr>
          <w:color w:val="000000" w:themeColor="text1"/>
        </w:rPr>
        <w:t>The following</w:t>
      </w:r>
      <w:r w:rsidRPr="00880FB7">
        <w:rPr>
          <w:color w:val="000000" w:themeColor="text1"/>
        </w:rPr>
        <w:t xml:space="preserve"> HCP groups </w:t>
      </w:r>
      <w:r w:rsidR="007E5651">
        <w:rPr>
          <w:color w:val="000000" w:themeColor="text1"/>
        </w:rPr>
        <w:t>have been selected</w:t>
      </w:r>
      <w:r w:rsidRPr="00880FB7">
        <w:rPr>
          <w:color w:val="000000" w:themeColor="text1"/>
        </w:rPr>
        <w:t xml:space="preserve"> inclusion in the study: physicians (primary care and specialists), nurse practitioners</w:t>
      </w:r>
      <w:r w:rsidR="00B329F2">
        <w:rPr>
          <w:color w:val="000000" w:themeColor="text1"/>
        </w:rPr>
        <w:t xml:space="preserve"> (NP)</w:t>
      </w:r>
      <w:r w:rsidRPr="00880FB7">
        <w:rPr>
          <w:color w:val="000000" w:themeColor="text1"/>
        </w:rPr>
        <w:t>, and physician assistants</w:t>
      </w:r>
      <w:r w:rsidR="00B329F2">
        <w:rPr>
          <w:color w:val="000000" w:themeColor="text1"/>
        </w:rPr>
        <w:t xml:space="preserve"> (PA)</w:t>
      </w:r>
      <w:r w:rsidRPr="00880FB7">
        <w:rPr>
          <w:color w:val="000000" w:themeColor="text1"/>
        </w:rPr>
        <w:t xml:space="preserve"> (Table 1). Eligible physician</w:t>
      </w:r>
      <w:r w:rsidR="0057114E">
        <w:rPr>
          <w:color w:val="000000" w:themeColor="text1"/>
        </w:rPr>
        <w:t>s</w:t>
      </w:r>
      <w:r w:rsidRPr="00880FB7">
        <w:rPr>
          <w:color w:val="000000" w:themeColor="text1"/>
        </w:rPr>
        <w:t xml:space="preserve"> include individuals with Doctor of Medicine (MD) or Doctor of Osteopathic Medicine (DO) degrees</w:t>
      </w:r>
      <w:r>
        <w:rPr>
          <w:color w:val="000000" w:themeColor="text1"/>
        </w:rPr>
        <w:t xml:space="preserve">. </w:t>
      </w:r>
      <w:r w:rsidRPr="00880FB7" w:rsidR="00880FB7">
        <w:rPr>
          <w:color w:val="000000" w:themeColor="text1"/>
        </w:rPr>
        <w:t>To be eligible for this study, GPs must conduct direct patient care at least 50% of the time, and specialists must conduct direct patient care at least 20% of the time. All participants must write at least 3</w:t>
      </w:r>
      <w:r w:rsidR="007E72BB">
        <w:rPr>
          <w:color w:val="000000" w:themeColor="text1"/>
        </w:rPr>
        <w:t>0</w:t>
      </w:r>
      <w:r w:rsidRPr="00880FB7" w:rsidR="00880FB7">
        <w:rPr>
          <w:color w:val="000000" w:themeColor="text1"/>
        </w:rPr>
        <w:t xml:space="preserve"> prescriptions per week, report office-based or hospital-based practice as their major professional activity and have treated either </w:t>
      </w:r>
      <w:r w:rsidR="00D43843">
        <w:rPr>
          <w:color w:val="000000" w:themeColor="text1"/>
        </w:rPr>
        <w:t>VVA</w:t>
      </w:r>
      <w:r w:rsidRPr="00880FB7" w:rsidR="00880FB7">
        <w:rPr>
          <w:color w:val="000000" w:themeColor="text1"/>
        </w:rPr>
        <w:t xml:space="preserve"> or chronic </w:t>
      </w:r>
      <w:r w:rsidR="00FB60E9">
        <w:rPr>
          <w:color w:val="000000" w:themeColor="text1"/>
        </w:rPr>
        <w:t>HCV</w:t>
      </w:r>
      <w:r w:rsidRPr="00880FB7" w:rsidR="00880FB7">
        <w:rPr>
          <w:color w:val="000000" w:themeColor="text1"/>
        </w:rPr>
        <w:t xml:space="preserve">. Specialists will be directed to the survey that corresponds with their specialty—OB/GYNs and geriatricians will see the </w:t>
      </w:r>
      <w:r w:rsidR="00D43843">
        <w:rPr>
          <w:color w:val="000000" w:themeColor="text1"/>
        </w:rPr>
        <w:t>estrogen</w:t>
      </w:r>
      <w:r w:rsidRPr="00880FB7" w:rsidR="00D43843">
        <w:rPr>
          <w:color w:val="000000" w:themeColor="text1"/>
        </w:rPr>
        <w:t xml:space="preserve"> </w:t>
      </w:r>
      <w:r w:rsidRPr="00880FB7" w:rsidR="00880FB7">
        <w:rPr>
          <w:color w:val="000000" w:themeColor="text1"/>
        </w:rPr>
        <w:t>survey whereas gastroenterologists, hepatologists, and infectious disease specialists will see the DAA survey. GPs will qualify for one or both surveys based on their experience treating the relevant conditions. GPs who qualify for both surveys will be randomly assigned to either survey, following their completion of the screener.</w:t>
      </w:r>
    </w:p>
    <w:p w:rsidR="006A091E" w:rsidP="00880FB7" w:rsidRDefault="006A091E" w14:paraId="2CA382E2" w14:textId="17E0E9B4">
      <w:pPr>
        <w:ind w:left="720"/>
        <w:rPr>
          <w:color w:val="000000" w:themeColor="text1"/>
        </w:rPr>
      </w:pPr>
    </w:p>
    <w:p w:rsidR="006A091E" w:rsidP="00880FB7" w:rsidRDefault="006A091E" w14:paraId="2A724A73" w14:textId="7D9EF01F">
      <w:pPr>
        <w:ind w:left="720"/>
        <w:rPr>
          <w:color w:val="000000" w:themeColor="text1"/>
        </w:rPr>
      </w:pPr>
    </w:p>
    <w:p w:rsidR="006A091E" w:rsidP="00880FB7" w:rsidRDefault="006A091E" w14:paraId="556EC700" w14:textId="15D54104">
      <w:pPr>
        <w:ind w:left="720"/>
        <w:rPr>
          <w:color w:val="000000" w:themeColor="text1"/>
        </w:rPr>
      </w:pPr>
    </w:p>
    <w:p w:rsidR="006A091E" w:rsidP="00880FB7" w:rsidRDefault="006A091E" w14:paraId="312BED27" w14:textId="7D35BB91">
      <w:pPr>
        <w:ind w:left="720"/>
        <w:rPr>
          <w:color w:val="000000" w:themeColor="text1"/>
        </w:rPr>
      </w:pPr>
    </w:p>
    <w:p w:rsidR="006A091E" w:rsidP="00880FB7" w:rsidRDefault="006A091E" w14:paraId="1169B80B" w14:textId="1FC635F8">
      <w:pPr>
        <w:ind w:left="720"/>
        <w:rPr>
          <w:color w:val="000000" w:themeColor="text1"/>
        </w:rPr>
      </w:pPr>
    </w:p>
    <w:p w:rsidR="006A091E" w:rsidP="00880FB7" w:rsidRDefault="006A091E" w14:paraId="121138DF" w14:textId="39BF8B51">
      <w:pPr>
        <w:ind w:left="720"/>
        <w:rPr>
          <w:color w:val="000000" w:themeColor="text1"/>
        </w:rPr>
      </w:pPr>
    </w:p>
    <w:p w:rsidR="006A091E" w:rsidP="00880FB7" w:rsidRDefault="006A091E" w14:paraId="04508722" w14:textId="205CDBA0">
      <w:pPr>
        <w:ind w:left="720"/>
        <w:rPr>
          <w:color w:val="000000" w:themeColor="text1"/>
        </w:rPr>
      </w:pPr>
    </w:p>
    <w:p w:rsidR="006A091E" w:rsidP="00880FB7" w:rsidRDefault="006A091E" w14:paraId="25624C6A" w14:textId="471A3654">
      <w:pPr>
        <w:ind w:left="720"/>
        <w:rPr>
          <w:color w:val="000000" w:themeColor="text1"/>
        </w:rPr>
      </w:pPr>
    </w:p>
    <w:p w:rsidRPr="00ED7506" w:rsidR="007E72BB" w:rsidP="00D4466F" w:rsidRDefault="007E72BB" w14:paraId="543ED9F5" w14:textId="0BBB929E">
      <w:pPr>
        <w:jc w:val="both"/>
        <w:rPr>
          <w:i/>
          <w:color w:val="000000" w:themeColor="text1"/>
        </w:rPr>
      </w:pPr>
      <w:r w:rsidRPr="00B75894">
        <w:rPr>
          <w:i/>
          <w:color w:val="000000" w:themeColor="text1"/>
        </w:rPr>
        <w:lastRenderedPageBreak/>
        <w:t>Table 1</w:t>
      </w:r>
      <w:r w:rsidRPr="00ED7506">
        <w:rPr>
          <w:color w:val="000000" w:themeColor="text1"/>
        </w:rPr>
        <w:t>.</w:t>
      </w:r>
      <w:r w:rsidR="006706AE">
        <w:rPr>
          <w:color w:val="000000" w:themeColor="text1"/>
        </w:rPr>
        <w:t xml:space="preserve"> </w:t>
      </w:r>
      <w:r w:rsidRPr="00ED7506">
        <w:rPr>
          <w:i/>
          <w:color w:val="000000" w:themeColor="text1"/>
        </w:rPr>
        <w:t xml:space="preserve">Panel Representation of </w:t>
      </w:r>
      <w:r w:rsidR="009D3AF2">
        <w:rPr>
          <w:i/>
          <w:color w:val="000000" w:themeColor="text1"/>
        </w:rPr>
        <w:t>HCP</w:t>
      </w:r>
      <w:r w:rsidRPr="00ED7506" w:rsidR="009D3AF2">
        <w:rPr>
          <w:i/>
          <w:color w:val="000000" w:themeColor="text1"/>
        </w:rPr>
        <w:t xml:space="preserve"> </w:t>
      </w:r>
      <w:r w:rsidRPr="00ED7506">
        <w:rPr>
          <w:i/>
          <w:color w:val="000000" w:themeColor="text1"/>
        </w:rPr>
        <w:t>Population</w:t>
      </w:r>
    </w:p>
    <w:tbl>
      <w:tblPr>
        <w:tblStyle w:val="TableGrid"/>
        <w:tblW w:w="0" w:type="auto"/>
        <w:tblInd w:w="288" w:type="dxa"/>
        <w:tblLook w:val="04A0" w:firstRow="1" w:lastRow="0" w:firstColumn="1" w:lastColumn="0" w:noHBand="0" w:noVBand="1"/>
      </w:tblPr>
      <w:tblGrid>
        <w:gridCol w:w="2832"/>
        <w:gridCol w:w="2310"/>
        <w:gridCol w:w="2153"/>
        <w:gridCol w:w="1767"/>
      </w:tblGrid>
      <w:tr w:rsidRPr="003355E0" w:rsidR="007E72BB" w:rsidTr="007E72BB" w14:paraId="14CD2830" w14:textId="77777777">
        <w:tc>
          <w:tcPr>
            <w:tcW w:w="2832" w:type="dxa"/>
            <w:shd w:val="clear" w:color="auto" w:fill="F26322"/>
          </w:tcPr>
          <w:p w:rsidRPr="003355E0" w:rsidR="007E72BB" w:rsidP="00185433" w:rsidRDefault="007E72BB" w14:paraId="0A3C785B" w14:textId="77777777">
            <w:pPr>
              <w:spacing w:after="200" w:line="276" w:lineRule="auto"/>
              <w:ind w:left="72"/>
              <w:rPr>
                <w:rFonts w:cs="Arial"/>
                <w:b/>
                <w:color w:val="FFFFFF" w:themeColor="background1"/>
                <w:szCs w:val="22"/>
              </w:rPr>
            </w:pPr>
            <w:r w:rsidRPr="003355E0">
              <w:rPr>
                <w:rFonts w:cs="Arial"/>
                <w:b/>
                <w:color w:val="FFFFFF" w:themeColor="background1"/>
                <w:szCs w:val="22"/>
              </w:rPr>
              <w:t>Specialty</w:t>
            </w:r>
          </w:p>
        </w:tc>
        <w:tc>
          <w:tcPr>
            <w:tcW w:w="2310" w:type="dxa"/>
            <w:shd w:val="clear" w:color="auto" w:fill="F26322"/>
          </w:tcPr>
          <w:p w:rsidRPr="003355E0" w:rsidR="007E72BB" w:rsidP="00185433" w:rsidRDefault="007E72BB" w14:paraId="4CE1E132" w14:textId="1D561DA2">
            <w:pPr>
              <w:spacing w:after="200" w:line="276" w:lineRule="auto"/>
              <w:ind w:left="78"/>
              <w:jc w:val="center"/>
              <w:rPr>
                <w:rFonts w:cs="Arial"/>
                <w:b/>
                <w:color w:val="FFFFFF" w:themeColor="background1"/>
                <w:szCs w:val="22"/>
              </w:rPr>
            </w:pPr>
            <w:r w:rsidRPr="003355E0">
              <w:rPr>
                <w:rFonts w:cs="Arial"/>
                <w:b/>
                <w:color w:val="FFFFFF" w:themeColor="background1"/>
                <w:szCs w:val="22"/>
              </w:rPr>
              <w:t>Universe (</w:t>
            </w:r>
            <w:r w:rsidR="00D43843">
              <w:rPr>
                <w:rFonts w:cs="Arial"/>
                <w:b/>
                <w:color w:val="FFFFFF" w:themeColor="background1"/>
                <w:szCs w:val="22"/>
              </w:rPr>
              <w:t xml:space="preserve">U.S. </w:t>
            </w:r>
            <w:r w:rsidRPr="003355E0">
              <w:rPr>
                <w:rFonts w:cs="Arial"/>
                <w:b/>
                <w:color w:val="FFFFFF" w:themeColor="background1"/>
                <w:szCs w:val="22"/>
              </w:rPr>
              <w:t>Population)</w:t>
            </w:r>
          </w:p>
        </w:tc>
        <w:tc>
          <w:tcPr>
            <w:tcW w:w="2153" w:type="dxa"/>
            <w:shd w:val="clear" w:color="auto" w:fill="F26322"/>
          </w:tcPr>
          <w:p w:rsidRPr="003355E0" w:rsidR="007E72BB" w:rsidP="00185433" w:rsidRDefault="007E72BB" w14:paraId="10892677" w14:textId="77777777">
            <w:pPr>
              <w:spacing w:after="200" w:line="276" w:lineRule="auto"/>
              <w:ind w:left="135"/>
              <w:rPr>
                <w:rFonts w:cs="Arial"/>
                <w:b/>
                <w:color w:val="FFFFFF" w:themeColor="background1"/>
                <w:szCs w:val="22"/>
              </w:rPr>
            </w:pPr>
            <w:r w:rsidRPr="003355E0">
              <w:rPr>
                <w:rFonts w:cs="Arial"/>
                <w:b/>
                <w:color w:val="FFFFFF" w:themeColor="background1"/>
                <w:szCs w:val="22"/>
              </w:rPr>
              <w:t>% of Panel Reach</w:t>
            </w:r>
            <w:r>
              <w:rPr>
                <w:rStyle w:val="FootnoteReference"/>
                <w:rFonts w:cs="Arial"/>
                <w:b/>
                <w:color w:val="FFFFFF" w:themeColor="background1"/>
                <w:szCs w:val="22"/>
              </w:rPr>
              <w:footnoteReference w:id="2"/>
            </w:r>
          </w:p>
        </w:tc>
        <w:tc>
          <w:tcPr>
            <w:tcW w:w="1767" w:type="dxa"/>
            <w:shd w:val="clear" w:color="auto" w:fill="F26322"/>
          </w:tcPr>
          <w:p w:rsidRPr="003355E0" w:rsidR="007E72BB" w:rsidP="00185433" w:rsidRDefault="007E72BB" w14:paraId="78955AE6" w14:textId="77777777">
            <w:pPr>
              <w:spacing w:after="200" w:line="276" w:lineRule="auto"/>
              <w:ind w:left="63"/>
              <w:jc w:val="center"/>
              <w:rPr>
                <w:rFonts w:cs="Arial"/>
                <w:b/>
                <w:color w:val="FFFFFF" w:themeColor="background1"/>
                <w:szCs w:val="22"/>
              </w:rPr>
            </w:pPr>
            <w:r w:rsidRPr="003355E0">
              <w:rPr>
                <w:rFonts w:cs="Arial"/>
                <w:b/>
                <w:color w:val="FFFFFF" w:themeColor="background1"/>
                <w:szCs w:val="22"/>
              </w:rPr>
              <w:t>Panel Size</w:t>
            </w:r>
          </w:p>
        </w:tc>
      </w:tr>
      <w:tr w:rsidRPr="003355E0" w:rsidR="007E72BB" w:rsidTr="007E72BB" w14:paraId="0AB04750" w14:textId="77777777">
        <w:tc>
          <w:tcPr>
            <w:tcW w:w="2832" w:type="dxa"/>
          </w:tcPr>
          <w:p w:rsidRPr="003355E0" w:rsidR="007E72BB" w:rsidP="00185433" w:rsidRDefault="007E72BB" w14:paraId="1D8B6C04" w14:textId="77777777">
            <w:pPr>
              <w:spacing w:after="200" w:line="276" w:lineRule="auto"/>
              <w:ind w:left="72"/>
              <w:rPr>
                <w:rFonts w:cs="Arial"/>
                <w:szCs w:val="22"/>
              </w:rPr>
            </w:pPr>
            <w:r w:rsidRPr="003355E0">
              <w:rPr>
                <w:rFonts w:cs="Arial"/>
                <w:szCs w:val="22"/>
              </w:rPr>
              <w:t>General/Family Practitioners</w:t>
            </w:r>
          </w:p>
        </w:tc>
        <w:tc>
          <w:tcPr>
            <w:tcW w:w="2310" w:type="dxa"/>
          </w:tcPr>
          <w:p w:rsidRPr="003355E0" w:rsidR="007E72BB" w:rsidP="00185433" w:rsidRDefault="007E72BB" w14:paraId="08BBA03C" w14:textId="77777777">
            <w:pPr>
              <w:spacing w:after="200" w:line="276" w:lineRule="auto"/>
              <w:ind w:left="72"/>
              <w:jc w:val="center"/>
              <w:rPr>
                <w:rFonts w:cs="Arial"/>
                <w:szCs w:val="22"/>
              </w:rPr>
            </w:pPr>
            <w:r w:rsidRPr="003355E0">
              <w:rPr>
                <w:rFonts w:cs="Arial"/>
                <w:szCs w:val="22"/>
              </w:rPr>
              <w:t>300,161</w:t>
            </w:r>
          </w:p>
        </w:tc>
        <w:tc>
          <w:tcPr>
            <w:tcW w:w="2153" w:type="dxa"/>
          </w:tcPr>
          <w:p w:rsidRPr="003355E0" w:rsidR="007E72BB" w:rsidP="00185433" w:rsidRDefault="007E72BB" w14:paraId="20FEDBEA" w14:textId="77777777">
            <w:pPr>
              <w:spacing w:after="200" w:line="276" w:lineRule="auto"/>
              <w:ind w:left="157"/>
              <w:jc w:val="center"/>
              <w:rPr>
                <w:rFonts w:cs="Arial"/>
                <w:szCs w:val="22"/>
              </w:rPr>
            </w:pPr>
            <w:r w:rsidRPr="003355E0">
              <w:rPr>
                <w:rFonts w:cs="Arial"/>
                <w:szCs w:val="22"/>
              </w:rPr>
              <w:t>28%</w:t>
            </w:r>
          </w:p>
        </w:tc>
        <w:tc>
          <w:tcPr>
            <w:tcW w:w="1767" w:type="dxa"/>
          </w:tcPr>
          <w:p w:rsidRPr="003355E0" w:rsidR="007E72BB" w:rsidP="00185433" w:rsidRDefault="007E72BB" w14:paraId="6C4769BC" w14:textId="77777777">
            <w:pPr>
              <w:spacing w:after="200" w:line="276" w:lineRule="auto"/>
              <w:ind w:left="157"/>
              <w:jc w:val="center"/>
              <w:rPr>
                <w:rFonts w:cs="Arial"/>
                <w:szCs w:val="22"/>
              </w:rPr>
            </w:pPr>
            <w:r w:rsidRPr="003355E0">
              <w:rPr>
                <w:rFonts w:cs="Arial"/>
                <w:szCs w:val="22"/>
              </w:rPr>
              <w:t>~84,845</w:t>
            </w:r>
          </w:p>
        </w:tc>
      </w:tr>
      <w:tr w:rsidRPr="003355E0" w:rsidR="007E72BB" w:rsidTr="007E72BB" w14:paraId="33BEB499" w14:textId="77777777">
        <w:tc>
          <w:tcPr>
            <w:tcW w:w="2832" w:type="dxa"/>
          </w:tcPr>
          <w:p w:rsidRPr="003355E0" w:rsidR="007E72BB" w:rsidP="00185433" w:rsidRDefault="007E72BB" w14:paraId="27AC7ED6" w14:textId="77777777">
            <w:pPr>
              <w:spacing w:after="200" w:line="276" w:lineRule="auto"/>
              <w:ind w:left="72"/>
              <w:rPr>
                <w:rFonts w:cs="Arial"/>
                <w:szCs w:val="22"/>
              </w:rPr>
            </w:pPr>
            <w:r w:rsidRPr="003355E0">
              <w:rPr>
                <w:rFonts w:cs="Arial"/>
                <w:szCs w:val="22"/>
              </w:rPr>
              <w:t>Internal Medicine</w:t>
            </w:r>
          </w:p>
        </w:tc>
        <w:tc>
          <w:tcPr>
            <w:tcW w:w="2310" w:type="dxa"/>
          </w:tcPr>
          <w:p w:rsidRPr="003355E0" w:rsidR="007E72BB" w:rsidP="00185433" w:rsidRDefault="007E72BB" w14:paraId="1F8AA91E" w14:textId="77777777">
            <w:pPr>
              <w:spacing w:after="200" w:line="276" w:lineRule="auto"/>
              <w:ind w:left="72"/>
              <w:jc w:val="center"/>
              <w:rPr>
                <w:rFonts w:cs="Arial"/>
                <w:szCs w:val="22"/>
              </w:rPr>
            </w:pPr>
            <w:r w:rsidRPr="003355E0">
              <w:rPr>
                <w:rFonts w:cs="Arial"/>
                <w:szCs w:val="22"/>
              </w:rPr>
              <w:t>186,936</w:t>
            </w:r>
          </w:p>
        </w:tc>
        <w:tc>
          <w:tcPr>
            <w:tcW w:w="2153" w:type="dxa"/>
          </w:tcPr>
          <w:p w:rsidRPr="003355E0" w:rsidR="007E72BB" w:rsidP="00185433" w:rsidRDefault="007E72BB" w14:paraId="2586A16B" w14:textId="77777777">
            <w:pPr>
              <w:spacing w:after="200" w:line="276" w:lineRule="auto"/>
              <w:ind w:left="157"/>
              <w:jc w:val="center"/>
              <w:rPr>
                <w:rFonts w:cs="Arial"/>
                <w:szCs w:val="22"/>
              </w:rPr>
            </w:pPr>
            <w:r w:rsidRPr="003355E0">
              <w:rPr>
                <w:rFonts w:cs="Arial"/>
                <w:szCs w:val="22"/>
              </w:rPr>
              <w:t>57%</w:t>
            </w:r>
          </w:p>
        </w:tc>
        <w:tc>
          <w:tcPr>
            <w:tcW w:w="1767" w:type="dxa"/>
          </w:tcPr>
          <w:p w:rsidRPr="003355E0" w:rsidR="007E72BB" w:rsidP="00185433" w:rsidRDefault="007E72BB" w14:paraId="38EB3E38" w14:textId="77777777">
            <w:pPr>
              <w:spacing w:after="200" w:line="276" w:lineRule="auto"/>
              <w:ind w:left="157"/>
              <w:jc w:val="center"/>
              <w:rPr>
                <w:rFonts w:cs="Arial"/>
                <w:szCs w:val="22"/>
              </w:rPr>
            </w:pPr>
            <w:r w:rsidRPr="003355E0">
              <w:rPr>
                <w:rFonts w:cs="Arial"/>
                <w:szCs w:val="22"/>
              </w:rPr>
              <w:t>~106,553</w:t>
            </w:r>
          </w:p>
        </w:tc>
      </w:tr>
      <w:tr w:rsidRPr="003355E0" w:rsidR="007E72BB" w:rsidTr="007E72BB" w14:paraId="50E5BBFA" w14:textId="77777777">
        <w:tc>
          <w:tcPr>
            <w:tcW w:w="2832" w:type="dxa"/>
          </w:tcPr>
          <w:p w:rsidRPr="003355E0" w:rsidR="007E72BB" w:rsidP="00185433" w:rsidRDefault="007E72BB" w14:paraId="36232BA6" w14:textId="77777777">
            <w:pPr>
              <w:spacing w:after="200" w:line="276" w:lineRule="auto"/>
              <w:ind w:left="72"/>
              <w:rPr>
                <w:rFonts w:cs="Arial"/>
                <w:szCs w:val="22"/>
              </w:rPr>
            </w:pPr>
            <w:r w:rsidRPr="003355E0">
              <w:rPr>
                <w:rFonts w:cs="Arial"/>
                <w:szCs w:val="22"/>
              </w:rPr>
              <w:t xml:space="preserve">Nurse Practitioners </w:t>
            </w:r>
            <w:r>
              <w:rPr>
                <w:rFonts w:cs="Arial"/>
                <w:szCs w:val="22"/>
              </w:rPr>
              <w:t>and</w:t>
            </w:r>
            <w:r w:rsidRPr="003355E0">
              <w:rPr>
                <w:rFonts w:cs="Arial"/>
                <w:szCs w:val="22"/>
              </w:rPr>
              <w:t xml:space="preserve"> Physician Assistants</w:t>
            </w:r>
          </w:p>
        </w:tc>
        <w:tc>
          <w:tcPr>
            <w:tcW w:w="2310" w:type="dxa"/>
          </w:tcPr>
          <w:p w:rsidRPr="003355E0" w:rsidR="007E72BB" w:rsidP="00185433" w:rsidRDefault="007E72BB" w14:paraId="7E4E3F84" w14:textId="77777777">
            <w:pPr>
              <w:spacing w:after="200" w:line="276" w:lineRule="auto"/>
              <w:ind w:left="72"/>
              <w:jc w:val="center"/>
              <w:rPr>
                <w:rFonts w:cs="Arial"/>
                <w:szCs w:val="22"/>
              </w:rPr>
            </w:pPr>
            <w:r w:rsidRPr="003355E0">
              <w:rPr>
                <w:rFonts w:cs="Arial"/>
                <w:szCs w:val="22"/>
              </w:rPr>
              <w:t>~371,000</w:t>
            </w:r>
          </w:p>
        </w:tc>
        <w:tc>
          <w:tcPr>
            <w:tcW w:w="2153" w:type="dxa"/>
          </w:tcPr>
          <w:p w:rsidRPr="003355E0" w:rsidR="007E72BB" w:rsidP="00185433" w:rsidRDefault="007E72BB" w14:paraId="1AE79E58" w14:textId="77777777">
            <w:pPr>
              <w:spacing w:after="200" w:line="276" w:lineRule="auto"/>
              <w:ind w:left="157"/>
              <w:jc w:val="center"/>
              <w:rPr>
                <w:rFonts w:cs="Arial"/>
                <w:szCs w:val="22"/>
              </w:rPr>
            </w:pPr>
            <w:r w:rsidRPr="003355E0">
              <w:rPr>
                <w:rFonts w:cs="Arial"/>
                <w:szCs w:val="22"/>
              </w:rPr>
              <w:t>39%</w:t>
            </w:r>
          </w:p>
        </w:tc>
        <w:tc>
          <w:tcPr>
            <w:tcW w:w="1767" w:type="dxa"/>
          </w:tcPr>
          <w:p w:rsidRPr="003355E0" w:rsidR="007E72BB" w:rsidP="00185433" w:rsidRDefault="007E72BB" w14:paraId="42B26551" w14:textId="77777777">
            <w:pPr>
              <w:spacing w:after="200" w:line="276" w:lineRule="auto"/>
              <w:ind w:left="157"/>
              <w:jc w:val="center"/>
              <w:rPr>
                <w:rFonts w:cs="Arial"/>
                <w:szCs w:val="22"/>
              </w:rPr>
            </w:pPr>
            <w:r w:rsidRPr="003355E0">
              <w:rPr>
                <w:rFonts w:cs="Arial"/>
                <w:szCs w:val="22"/>
              </w:rPr>
              <w:t>~146,000</w:t>
            </w:r>
          </w:p>
        </w:tc>
      </w:tr>
      <w:tr w:rsidRPr="003355E0" w:rsidR="007E72BB" w:rsidTr="007E72BB" w14:paraId="654A0DD6" w14:textId="77777777">
        <w:tc>
          <w:tcPr>
            <w:tcW w:w="2832" w:type="dxa"/>
          </w:tcPr>
          <w:p w:rsidRPr="003355E0" w:rsidR="007E72BB" w:rsidP="00185433" w:rsidRDefault="007E72BB" w14:paraId="186940B6" w14:textId="77777777">
            <w:pPr>
              <w:spacing w:after="200" w:line="276" w:lineRule="auto"/>
              <w:ind w:left="72"/>
              <w:rPr>
                <w:rFonts w:cs="Arial"/>
                <w:szCs w:val="22"/>
              </w:rPr>
            </w:pPr>
            <w:r w:rsidRPr="003355E0">
              <w:rPr>
                <w:rFonts w:cs="Arial"/>
                <w:szCs w:val="22"/>
              </w:rPr>
              <w:t>Infectious Diseases</w:t>
            </w:r>
          </w:p>
        </w:tc>
        <w:tc>
          <w:tcPr>
            <w:tcW w:w="2310" w:type="dxa"/>
          </w:tcPr>
          <w:p w:rsidRPr="003355E0" w:rsidR="007E72BB" w:rsidP="00185433" w:rsidRDefault="007E72BB" w14:paraId="18E44642" w14:textId="77777777">
            <w:pPr>
              <w:spacing w:after="200" w:line="276" w:lineRule="auto"/>
              <w:ind w:left="72"/>
              <w:jc w:val="center"/>
              <w:rPr>
                <w:rFonts w:cs="Arial"/>
                <w:szCs w:val="22"/>
              </w:rPr>
            </w:pPr>
            <w:r w:rsidRPr="003355E0">
              <w:rPr>
                <w:rFonts w:cs="Arial"/>
                <w:szCs w:val="22"/>
              </w:rPr>
              <w:t>8,280</w:t>
            </w:r>
          </w:p>
        </w:tc>
        <w:tc>
          <w:tcPr>
            <w:tcW w:w="2153" w:type="dxa"/>
          </w:tcPr>
          <w:p w:rsidRPr="003355E0" w:rsidR="007E72BB" w:rsidP="00185433" w:rsidRDefault="007E72BB" w14:paraId="0868180A" w14:textId="77777777">
            <w:pPr>
              <w:spacing w:after="200" w:line="276" w:lineRule="auto"/>
              <w:ind w:left="157"/>
              <w:jc w:val="center"/>
              <w:rPr>
                <w:rFonts w:cs="Arial"/>
                <w:szCs w:val="22"/>
              </w:rPr>
            </w:pPr>
            <w:r w:rsidRPr="003355E0">
              <w:rPr>
                <w:rFonts w:cs="Arial"/>
                <w:szCs w:val="22"/>
              </w:rPr>
              <w:t>34%</w:t>
            </w:r>
          </w:p>
        </w:tc>
        <w:tc>
          <w:tcPr>
            <w:tcW w:w="1767" w:type="dxa"/>
          </w:tcPr>
          <w:p w:rsidRPr="003355E0" w:rsidR="007E72BB" w:rsidP="00185433" w:rsidRDefault="007E72BB" w14:paraId="1C6EE4BE" w14:textId="77777777">
            <w:pPr>
              <w:spacing w:after="200" w:line="276" w:lineRule="auto"/>
              <w:ind w:left="157"/>
              <w:jc w:val="center"/>
              <w:rPr>
                <w:rFonts w:cs="Arial"/>
                <w:szCs w:val="22"/>
              </w:rPr>
            </w:pPr>
            <w:r w:rsidRPr="003355E0">
              <w:rPr>
                <w:rFonts w:cs="Arial"/>
                <w:szCs w:val="22"/>
              </w:rPr>
              <w:t>~2,815</w:t>
            </w:r>
          </w:p>
        </w:tc>
      </w:tr>
      <w:tr w:rsidRPr="003355E0" w:rsidR="007E72BB" w:rsidTr="007E72BB" w14:paraId="2956F0DA" w14:textId="77777777">
        <w:tc>
          <w:tcPr>
            <w:tcW w:w="2832" w:type="dxa"/>
          </w:tcPr>
          <w:p w:rsidRPr="003355E0" w:rsidR="007E72BB" w:rsidP="00185433" w:rsidRDefault="007E72BB" w14:paraId="6501A926" w14:textId="161886D8">
            <w:pPr>
              <w:spacing w:after="200" w:line="276" w:lineRule="auto"/>
              <w:ind w:left="72"/>
              <w:rPr>
                <w:rFonts w:cs="Arial"/>
                <w:szCs w:val="22"/>
              </w:rPr>
            </w:pPr>
            <w:r w:rsidRPr="0096450F">
              <w:rPr>
                <w:rFonts w:cs="Arial"/>
                <w:szCs w:val="22"/>
              </w:rPr>
              <w:t>Gastroenterology and Hepatology</w:t>
            </w:r>
            <w:r w:rsidRPr="0096450F" w:rsidR="005E031E">
              <w:rPr>
                <w:rFonts w:cs="Arial"/>
                <w:szCs w:val="22"/>
              </w:rPr>
              <w:t>*</w:t>
            </w:r>
          </w:p>
        </w:tc>
        <w:tc>
          <w:tcPr>
            <w:tcW w:w="2310" w:type="dxa"/>
          </w:tcPr>
          <w:p w:rsidRPr="003355E0" w:rsidR="007E72BB" w:rsidP="00185433" w:rsidRDefault="007E72BB" w14:paraId="0BC311EA" w14:textId="77777777">
            <w:pPr>
              <w:spacing w:after="200" w:line="276" w:lineRule="auto"/>
              <w:ind w:left="72"/>
              <w:jc w:val="center"/>
              <w:rPr>
                <w:rFonts w:cs="Arial"/>
                <w:szCs w:val="22"/>
              </w:rPr>
            </w:pPr>
            <w:r w:rsidRPr="003355E0">
              <w:rPr>
                <w:rFonts w:cs="Arial"/>
                <w:szCs w:val="22"/>
              </w:rPr>
              <w:t>14,695</w:t>
            </w:r>
          </w:p>
        </w:tc>
        <w:tc>
          <w:tcPr>
            <w:tcW w:w="2153" w:type="dxa"/>
          </w:tcPr>
          <w:p w:rsidRPr="003355E0" w:rsidR="007E72BB" w:rsidP="00185433" w:rsidRDefault="007E72BB" w14:paraId="55930231" w14:textId="77777777">
            <w:pPr>
              <w:spacing w:after="200" w:line="276" w:lineRule="auto"/>
              <w:ind w:left="157"/>
              <w:jc w:val="center"/>
              <w:rPr>
                <w:rFonts w:cs="Arial"/>
                <w:szCs w:val="22"/>
              </w:rPr>
            </w:pPr>
            <w:r w:rsidRPr="003355E0">
              <w:rPr>
                <w:rFonts w:cs="Arial"/>
                <w:szCs w:val="22"/>
              </w:rPr>
              <w:t>44%</w:t>
            </w:r>
          </w:p>
        </w:tc>
        <w:tc>
          <w:tcPr>
            <w:tcW w:w="1767" w:type="dxa"/>
          </w:tcPr>
          <w:p w:rsidRPr="003355E0" w:rsidR="007E72BB" w:rsidP="00185433" w:rsidRDefault="007E72BB" w14:paraId="03C7F6E2" w14:textId="77777777">
            <w:pPr>
              <w:spacing w:after="200" w:line="276" w:lineRule="auto"/>
              <w:ind w:left="157"/>
              <w:jc w:val="center"/>
              <w:rPr>
                <w:rFonts w:cs="Arial"/>
                <w:szCs w:val="22"/>
              </w:rPr>
            </w:pPr>
            <w:r w:rsidRPr="003355E0">
              <w:rPr>
                <w:rFonts w:cs="Arial"/>
                <w:szCs w:val="22"/>
              </w:rPr>
              <w:t>~6,466</w:t>
            </w:r>
          </w:p>
        </w:tc>
      </w:tr>
      <w:tr w:rsidRPr="003355E0" w:rsidR="007E72BB" w:rsidTr="007E72BB" w14:paraId="7812B3CC" w14:textId="77777777">
        <w:tc>
          <w:tcPr>
            <w:tcW w:w="2832" w:type="dxa"/>
          </w:tcPr>
          <w:p w:rsidRPr="003355E0" w:rsidR="007E72BB" w:rsidP="00185433" w:rsidRDefault="007E72BB" w14:paraId="5A83DA37" w14:textId="77777777">
            <w:pPr>
              <w:spacing w:after="200" w:line="276" w:lineRule="auto"/>
              <w:ind w:left="72"/>
              <w:rPr>
                <w:rFonts w:cs="Arial"/>
                <w:szCs w:val="22"/>
              </w:rPr>
            </w:pPr>
            <w:r w:rsidRPr="003355E0">
              <w:rPr>
                <w:rFonts w:cs="Arial"/>
                <w:szCs w:val="22"/>
              </w:rPr>
              <w:t>OB/GYNs</w:t>
            </w:r>
          </w:p>
        </w:tc>
        <w:tc>
          <w:tcPr>
            <w:tcW w:w="2310" w:type="dxa"/>
          </w:tcPr>
          <w:p w:rsidRPr="003355E0" w:rsidR="007E72BB" w:rsidP="00185433" w:rsidRDefault="007E72BB" w14:paraId="0F574C72" w14:textId="77777777">
            <w:pPr>
              <w:spacing w:after="200" w:line="276" w:lineRule="auto"/>
              <w:ind w:left="72"/>
              <w:jc w:val="center"/>
              <w:rPr>
                <w:rFonts w:cs="Arial"/>
                <w:szCs w:val="22"/>
              </w:rPr>
            </w:pPr>
            <w:r w:rsidRPr="003355E0">
              <w:rPr>
                <w:rFonts w:cs="Arial"/>
                <w:szCs w:val="22"/>
              </w:rPr>
              <w:t>45,909</w:t>
            </w:r>
          </w:p>
        </w:tc>
        <w:tc>
          <w:tcPr>
            <w:tcW w:w="2153" w:type="dxa"/>
          </w:tcPr>
          <w:p w:rsidRPr="003355E0" w:rsidR="007E72BB" w:rsidP="00185433" w:rsidRDefault="007E72BB" w14:paraId="231C6A70" w14:textId="77777777">
            <w:pPr>
              <w:spacing w:after="200" w:line="276" w:lineRule="auto"/>
              <w:ind w:left="157"/>
              <w:jc w:val="center"/>
              <w:rPr>
                <w:rFonts w:cs="Arial"/>
                <w:szCs w:val="22"/>
              </w:rPr>
            </w:pPr>
            <w:r w:rsidRPr="003355E0">
              <w:rPr>
                <w:rFonts w:cs="Arial"/>
                <w:szCs w:val="22"/>
              </w:rPr>
              <w:t>63%</w:t>
            </w:r>
          </w:p>
        </w:tc>
        <w:tc>
          <w:tcPr>
            <w:tcW w:w="1767" w:type="dxa"/>
          </w:tcPr>
          <w:p w:rsidRPr="003355E0" w:rsidR="007E72BB" w:rsidP="00185433" w:rsidRDefault="007E72BB" w14:paraId="142C06EF" w14:textId="77777777">
            <w:pPr>
              <w:spacing w:after="200" w:line="276" w:lineRule="auto"/>
              <w:ind w:left="157"/>
              <w:jc w:val="center"/>
              <w:rPr>
                <w:rFonts w:cs="Arial"/>
                <w:szCs w:val="22"/>
              </w:rPr>
            </w:pPr>
            <w:r w:rsidRPr="003355E0">
              <w:rPr>
                <w:rFonts w:cs="Arial"/>
                <w:szCs w:val="22"/>
              </w:rPr>
              <w:t>~28,923</w:t>
            </w:r>
          </w:p>
        </w:tc>
      </w:tr>
      <w:tr w:rsidRPr="003355E0" w:rsidR="007E72BB" w:rsidTr="007E72BB" w14:paraId="2F40A8F9" w14:textId="77777777">
        <w:tc>
          <w:tcPr>
            <w:tcW w:w="2832" w:type="dxa"/>
          </w:tcPr>
          <w:p w:rsidRPr="003355E0" w:rsidR="007E72BB" w:rsidP="00185433" w:rsidRDefault="007E72BB" w14:paraId="00888310" w14:textId="77777777">
            <w:pPr>
              <w:spacing w:after="200" w:line="276" w:lineRule="auto"/>
              <w:ind w:left="72"/>
              <w:rPr>
                <w:rFonts w:cs="Arial"/>
                <w:szCs w:val="22"/>
              </w:rPr>
            </w:pPr>
            <w:r w:rsidRPr="003355E0">
              <w:rPr>
                <w:rFonts w:cs="Arial"/>
                <w:szCs w:val="22"/>
              </w:rPr>
              <w:t>Geriatricians</w:t>
            </w:r>
          </w:p>
        </w:tc>
        <w:tc>
          <w:tcPr>
            <w:tcW w:w="2310" w:type="dxa"/>
          </w:tcPr>
          <w:p w:rsidRPr="003355E0" w:rsidR="007E72BB" w:rsidP="00185433" w:rsidRDefault="007E72BB" w14:paraId="1018AA4C" w14:textId="77777777">
            <w:pPr>
              <w:spacing w:after="200" w:line="276" w:lineRule="auto"/>
              <w:ind w:left="78"/>
              <w:jc w:val="center"/>
              <w:rPr>
                <w:rFonts w:cs="Arial"/>
                <w:szCs w:val="22"/>
              </w:rPr>
            </w:pPr>
            <w:r w:rsidRPr="003355E0">
              <w:rPr>
                <w:rFonts w:cs="Arial"/>
                <w:szCs w:val="22"/>
              </w:rPr>
              <w:t>6,061</w:t>
            </w:r>
          </w:p>
        </w:tc>
        <w:tc>
          <w:tcPr>
            <w:tcW w:w="2153" w:type="dxa"/>
          </w:tcPr>
          <w:p w:rsidRPr="003355E0" w:rsidR="007E72BB" w:rsidP="00185433" w:rsidRDefault="007E72BB" w14:paraId="1D49E2E8" w14:textId="77777777">
            <w:pPr>
              <w:spacing w:after="200" w:line="276" w:lineRule="auto"/>
              <w:ind w:left="135"/>
              <w:jc w:val="center"/>
              <w:rPr>
                <w:rFonts w:cs="Arial"/>
                <w:szCs w:val="22"/>
              </w:rPr>
            </w:pPr>
            <w:r w:rsidRPr="003355E0">
              <w:rPr>
                <w:rFonts w:cs="Arial"/>
                <w:szCs w:val="22"/>
              </w:rPr>
              <w:t>42%</w:t>
            </w:r>
          </w:p>
        </w:tc>
        <w:tc>
          <w:tcPr>
            <w:tcW w:w="1767" w:type="dxa"/>
          </w:tcPr>
          <w:p w:rsidRPr="003355E0" w:rsidR="007E72BB" w:rsidP="00185433" w:rsidRDefault="007E72BB" w14:paraId="36928D3A" w14:textId="77777777">
            <w:pPr>
              <w:spacing w:after="200" w:line="276" w:lineRule="auto"/>
              <w:ind w:left="63"/>
              <w:jc w:val="center"/>
              <w:rPr>
                <w:rFonts w:cs="Arial"/>
                <w:szCs w:val="22"/>
              </w:rPr>
            </w:pPr>
            <w:r w:rsidRPr="003355E0">
              <w:rPr>
                <w:rFonts w:cs="Arial"/>
                <w:szCs w:val="22"/>
              </w:rPr>
              <w:t>~2,546</w:t>
            </w:r>
          </w:p>
        </w:tc>
      </w:tr>
    </w:tbl>
    <w:p w:rsidRPr="008615BC" w:rsidR="005E031E" w:rsidP="005E031E" w:rsidRDefault="005E031E" w14:paraId="45F9DC7E" w14:textId="77777777">
      <w:pPr>
        <w:jc w:val="both"/>
        <w:rPr>
          <w:sz w:val="18"/>
          <w:szCs w:val="18"/>
        </w:rPr>
      </w:pPr>
      <w:r w:rsidRPr="008615BC">
        <w:rPr>
          <w:sz w:val="18"/>
          <w:szCs w:val="18"/>
        </w:rPr>
        <w:t xml:space="preserve">*SHG does not track specific numbers of hepatologists within its panel book, but estimates that 20% of gastroenterologists would identify hepatology as a subspecialty (through the screener), which means the available panel sample size for hepatologists would be approximately </w:t>
      </w:r>
      <w:r w:rsidRPr="008615BC">
        <w:rPr>
          <w:i/>
          <w:sz w:val="18"/>
          <w:szCs w:val="18"/>
        </w:rPr>
        <w:t xml:space="preserve">n = </w:t>
      </w:r>
      <w:r w:rsidRPr="008615BC">
        <w:rPr>
          <w:sz w:val="18"/>
          <w:szCs w:val="18"/>
        </w:rPr>
        <w:t>1,293. Based on the limited number of panelists, we will recruit self-identified gastroenterologists in addition to hepatologists and focusing on behavioral screener criterion (i.e., experience treating chronic HCV).</w:t>
      </w:r>
    </w:p>
    <w:p w:rsidR="00571024" w:rsidP="00B76017" w:rsidRDefault="00571024" w14:paraId="5FFB7B00" w14:textId="77777777">
      <w:pPr>
        <w:jc w:val="both"/>
      </w:pPr>
    </w:p>
    <w:p w:rsidR="007E5AD4" w:rsidP="007E5AD4" w:rsidRDefault="007E5AD4" w14:paraId="2408EE14" w14:textId="7D854BAB">
      <w:pPr>
        <w:ind w:left="720"/>
      </w:pPr>
      <w:r w:rsidRPr="00006713">
        <w:t xml:space="preserve">Using a prequalification screener, sampled HCPs in </w:t>
      </w:r>
      <w:r w:rsidR="00C5658B">
        <w:t>SHG</w:t>
      </w:r>
      <w:r w:rsidR="00BF7BD6">
        <w:t>’</w:t>
      </w:r>
      <w:r>
        <w:t>s</w:t>
      </w:r>
      <w:r w:rsidRPr="00006713">
        <w:t xml:space="preserve"> network will be screened to determine their eligibility for the study. (See </w:t>
      </w:r>
      <w:r>
        <w:t>Appendix</w:t>
      </w:r>
      <w:r w:rsidRPr="00006713">
        <w:t xml:space="preserve"> B for </w:t>
      </w:r>
      <w:r>
        <w:t>screener.</w:t>
      </w:r>
      <w:r w:rsidRPr="00006713">
        <w:t xml:space="preserve">) </w:t>
      </w:r>
      <w:r w:rsidR="00BF7BD6">
        <w:t>A</w:t>
      </w:r>
      <w:r w:rsidRPr="00006713" w:rsidR="00BF7BD6">
        <w:t xml:space="preserve"> </w:t>
      </w:r>
      <w:r w:rsidRPr="00006713">
        <w:t xml:space="preserve">pretest will be conducted prior to the main study to test data collection process. </w:t>
      </w:r>
    </w:p>
    <w:p w:rsidR="00C72657" w:rsidP="007E5AD4" w:rsidRDefault="00C72657" w14:paraId="24BF0038" w14:textId="4E7834F7">
      <w:pPr>
        <w:ind w:left="720"/>
      </w:pPr>
    </w:p>
    <w:p w:rsidR="00C72657" w:rsidP="007E5AD4" w:rsidRDefault="00C5658B" w14:paraId="7494D2A6" w14:textId="7DB4D3DB">
      <w:pPr>
        <w:ind w:left="720"/>
      </w:pPr>
      <w:r>
        <w:t>SHG</w:t>
      </w:r>
      <w:r w:rsidRPr="00DD440D" w:rsidR="00C72657">
        <w:t xml:space="preserve"> employs quality control processes to help ensure the identity of survey respondents, for example, using IP address information to verify panelists and flag respondents whose IP information is outside of the expected location.</w:t>
      </w:r>
    </w:p>
    <w:p w:rsidR="007E5AD4" w:rsidP="00571024" w:rsidRDefault="007E5AD4" w14:paraId="5C939005" w14:textId="77777777">
      <w:pPr>
        <w:ind w:left="720"/>
        <w:jc w:val="both"/>
        <w:rPr>
          <w:highlight w:val="yellow"/>
        </w:rPr>
      </w:pPr>
    </w:p>
    <w:p w:rsidRPr="00091579" w:rsidR="00C72657" w:rsidP="00C806C6" w:rsidRDefault="005A32CA" w14:paraId="2E22983E" w14:textId="7805496D">
      <w:pPr>
        <w:rPr>
          <w:b/>
          <w:color w:val="000000" w:themeColor="text1"/>
        </w:rPr>
      </w:pPr>
      <w:r>
        <w:rPr>
          <w:color w:val="000000" w:themeColor="text1"/>
        </w:rPr>
        <w:tab/>
      </w:r>
      <w:r w:rsidRPr="00091579">
        <w:rPr>
          <w:b/>
          <w:color w:val="000000" w:themeColor="text1"/>
        </w:rPr>
        <w:t>Sample Size</w:t>
      </w:r>
    </w:p>
    <w:p w:rsidR="005A32CA" w:rsidP="00C806C6" w:rsidRDefault="005A32CA" w14:paraId="7DDEE297" w14:textId="6AA7AEC4">
      <w:pPr>
        <w:rPr>
          <w:color w:val="000000" w:themeColor="text1"/>
        </w:rPr>
      </w:pPr>
    </w:p>
    <w:p w:rsidR="005A32CA" w:rsidP="007A62CE" w:rsidRDefault="005A32CA" w14:paraId="3DE89568" w14:textId="650939E6">
      <w:pPr>
        <w:ind w:left="720"/>
        <w:rPr>
          <w:color w:val="000000" w:themeColor="text1"/>
        </w:rPr>
      </w:pPr>
      <w:r>
        <w:rPr>
          <w:color w:val="000000" w:themeColor="text1"/>
        </w:rPr>
        <w:t xml:space="preserve">The </w:t>
      </w:r>
      <w:r w:rsidR="007A62CE">
        <w:rPr>
          <w:color w:val="000000" w:themeColor="text1"/>
        </w:rPr>
        <w:t xml:space="preserve">sample size for the pretest is </w:t>
      </w:r>
      <w:r w:rsidRPr="00D43843" w:rsidR="00860A39">
        <w:rPr>
          <w:i/>
          <w:iCs/>
          <w:color w:val="000000" w:themeColor="text1"/>
        </w:rPr>
        <w:t>n</w:t>
      </w:r>
      <w:r w:rsidR="007A62CE">
        <w:rPr>
          <w:color w:val="000000" w:themeColor="text1"/>
        </w:rPr>
        <w:t>=</w:t>
      </w:r>
      <w:r w:rsidR="007E5651">
        <w:rPr>
          <w:color w:val="000000" w:themeColor="text1"/>
        </w:rPr>
        <w:t>50</w:t>
      </w:r>
      <w:r w:rsidR="007A62CE">
        <w:rPr>
          <w:color w:val="000000" w:themeColor="text1"/>
        </w:rPr>
        <w:t xml:space="preserve"> and the main study is </w:t>
      </w:r>
      <w:r w:rsidRPr="00D43843" w:rsidR="00860A39">
        <w:rPr>
          <w:i/>
          <w:iCs/>
          <w:color w:val="000000" w:themeColor="text1"/>
        </w:rPr>
        <w:t>n</w:t>
      </w:r>
      <w:r w:rsidR="007A62CE">
        <w:rPr>
          <w:color w:val="000000" w:themeColor="text1"/>
        </w:rPr>
        <w:t>=1156, divided into the follow subgroups</w:t>
      </w:r>
      <w:r w:rsidR="00490F28">
        <w:rPr>
          <w:color w:val="000000" w:themeColor="text1"/>
        </w:rPr>
        <w:t xml:space="preserve"> (Table 2)</w:t>
      </w:r>
      <w:r w:rsidR="007A62CE">
        <w:rPr>
          <w:color w:val="000000" w:themeColor="text1"/>
        </w:rPr>
        <w:t xml:space="preserve">. </w:t>
      </w:r>
      <w:r w:rsidRPr="00006713" w:rsidR="007A62CE">
        <w:t>The pretest sample (</w:t>
      </w:r>
      <w:r w:rsidRPr="00D43843" w:rsidR="007A62CE">
        <w:rPr>
          <w:i/>
          <w:iCs/>
        </w:rPr>
        <w:t>n</w:t>
      </w:r>
      <w:r w:rsidRPr="00006713" w:rsidR="007A62CE">
        <w:t>=</w:t>
      </w:r>
      <w:r w:rsidR="007E5651">
        <w:t>50</w:t>
      </w:r>
      <w:r w:rsidRPr="00006713" w:rsidR="007A62CE">
        <w:t xml:space="preserve">) will not overlap with </w:t>
      </w:r>
      <w:r w:rsidR="007A62CE">
        <w:t xml:space="preserve">the </w:t>
      </w:r>
      <w:r w:rsidRPr="00006713" w:rsidR="007A62CE">
        <w:t>main study sample (</w:t>
      </w:r>
      <w:r w:rsidRPr="00D43843" w:rsidR="007A62CE">
        <w:rPr>
          <w:i/>
          <w:iCs/>
        </w:rPr>
        <w:t>n</w:t>
      </w:r>
      <w:r w:rsidRPr="00006713" w:rsidR="007A62CE">
        <w:t>=</w:t>
      </w:r>
      <w:r w:rsidR="007A62CE">
        <w:t>1156</w:t>
      </w:r>
      <w:r w:rsidRPr="00006713" w:rsidR="007A62CE">
        <w:t>).</w:t>
      </w:r>
    </w:p>
    <w:p w:rsidR="00490F28" w:rsidRDefault="00490F28" w14:paraId="1331CE52" w14:textId="77777777">
      <w:pPr>
        <w:rPr>
          <w:color w:val="000000" w:themeColor="text1"/>
        </w:rPr>
      </w:pPr>
      <w:r>
        <w:rPr>
          <w:color w:val="000000" w:themeColor="text1"/>
        </w:rPr>
        <w:br w:type="page"/>
      </w:r>
    </w:p>
    <w:p w:rsidRPr="00490F28" w:rsidR="00490F28" w:rsidP="00C806C6" w:rsidRDefault="00490F28" w14:paraId="78C4EB2A" w14:textId="77777777">
      <w:pPr>
        <w:rPr>
          <w:i/>
          <w:color w:val="000000" w:themeColor="text1"/>
        </w:rPr>
      </w:pPr>
      <w:r>
        <w:rPr>
          <w:color w:val="000000" w:themeColor="text1"/>
        </w:rPr>
        <w:lastRenderedPageBreak/>
        <w:t xml:space="preserve">Table 2 </w:t>
      </w:r>
      <w:r>
        <w:rPr>
          <w:i/>
          <w:color w:val="000000" w:themeColor="text1"/>
        </w:rPr>
        <w:t>Survey sample breakdown</w:t>
      </w:r>
    </w:p>
    <w:tbl>
      <w:tblPr>
        <w:tblStyle w:val="TableGrid"/>
        <w:tblW w:w="0" w:type="auto"/>
        <w:tblInd w:w="532" w:type="dxa"/>
        <w:tblLook w:val="04A0" w:firstRow="1" w:lastRow="0" w:firstColumn="1" w:lastColumn="0" w:noHBand="0" w:noVBand="1"/>
      </w:tblPr>
      <w:tblGrid>
        <w:gridCol w:w="4824"/>
        <w:gridCol w:w="2070"/>
        <w:gridCol w:w="1924"/>
      </w:tblGrid>
      <w:tr w:rsidRPr="00ED21CA" w:rsidR="007A62CE" w:rsidTr="000B3789" w14:paraId="5F1FC14B" w14:textId="77777777">
        <w:tc>
          <w:tcPr>
            <w:tcW w:w="4968" w:type="dxa"/>
            <w:shd w:val="clear" w:color="auto" w:fill="F26322"/>
            <w:vAlign w:val="center"/>
          </w:tcPr>
          <w:p w:rsidRPr="00ED21CA" w:rsidR="007A62CE" w:rsidP="000B3789" w:rsidRDefault="007A62CE" w14:paraId="65640F10" w14:textId="77777777">
            <w:pPr>
              <w:spacing w:line="276" w:lineRule="auto"/>
              <w:rPr>
                <w:b/>
                <w:color w:val="FFFFFF" w:themeColor="background1"/>
              </w:rPr>
            </w:pPr>
            <w:r w:rsidRPr="00ED21CA">
              <w:rPr>
                <w:b/>
                <w:color w:val="FFFFFF" w:themeColor="background1"/>
              </w:rPr>
              <w:t>Population</w:t>
            </w:r>
          </w:p>
        </w:tc>
        <w:tc>
          <w:tcPr>
            <w:tcW w:w="1935" w:type="dxa"/>
            <w:shd w:val="clear" w:color="auto" w:fill="F26322"/>
          </w:tcPr>
          <w:p w:rsidRPr="00ED21CA" w:rsidR="007A62CE" w:rsidP="000B3789" w:rsidRDefault="007A62CE" w14:paraId="4AA2D126" w14:textId="77777777">
            <w:pPr>
              <w:jc w:val="center"/>
              <w:rPr>
                <w:b/>
                <w:color w:val="FFFFFF" w:themeColor="background1"/>
              </w:rPr>
            </w:pPr>
            <w:r w:rsidRPr="00ED21CA">
              <w:rPr>
                <w:b/>
                <w:color w:val="FFFFFF" w:themeColor="background1"/>
              </w:rPr>
              <w:t>Survey 1:</w:t>
            </w:r>
          </w:p>
          <w:p w:rsidRPr="00ED21CA" w:rsidR="007A62CE" w:rsidP="000B3789" w:rsidRDefault="007A62CE" w14:paraId="633E6DB4" w14:textId="77777777">
            <w:pPr>
              <w:jc w:val="center"/>
              <w:rPr>
                <w:b/>
                <w:color w:val="FFFFFF" w:themeColor="background1"/>
              </w:rPr>
            </w:pPr>
            <w:r w:rsidRPr="00ED21CA">
              <w:rPr>
                <w:b/>
                <w:color w:val="FFFFFF" w:themeColor="background1"/>
              </w:rPr>
              <w:t>Atrophic Vaginitis/Vagifem</w:t>
            </w:r>
          </w:p>
        </w:tc>
        <w:tc>
          <w:tcPr>
            <w:tcW w:w="1935" w:type="dxa"/>
            <w:shd w:val="clear" w:color="auto" w:fill="F26322"/>
          </w:tcPr>
          <w:p w:rsidRPr="00ED21CA" w:rsidR="007A62CE" w:rsidP="000B3789" w:rsidRDefault="007A62CE" w14:paraId="6D03767E" w14:textId="77777777">
            <w:pPr>
              <w:jc w:val="center"/>
              <w:rPr>
                <w:b/>
                <w:color w:val="FFFFFF" w:themeColor="background1"/>
              </w:rPr>
            </w:pPr>
            <w:r w:rsidRPr="00ED21CA">
              <w:rPr>
                <w:b/>
                <w:color w:val="FFFFFF" w:themeColor="background1"/>
              </w:rPr>
              <w:t>Survey 2:</w:t>
            </w:r>
          </w:p>
          <w:p w:rsidRPr="00ED21CA" w:rsidR="007A62CE" w:rsidP="000B3789" w:rsidRDefault="007A62CE" w14:paraId="38E5B363" w14:textId="77777777">
            <w:pPr>
              <w:jc w:val="center"/>
              <w:rPr>
                <w:b/>
                <w:color w:val="FFFFFF" w:themeColor="background1"/>
              </w:rPr>
            </w:pPr>
            <w:r w:rsidRPr="00ED21CA">
              <w:rPr>
                <w:b/>
                <w:color w:val="FFFFFF" w:themeColor="background1"/>
              </w:rPr>
              <w:t>Hepatitis C Infection/DAAs</w:t>
            </w:r>
          </w:p>
        </w:tc>
      </w:tr>
      <w:tr w:rsidRPr="00ED21CA" w:rsidR="007A62CE" w:rsidTr="000B3789" w14:paraId="3C7B368A" w14:textId="77777777">
        <w:trPr>
          <w:trHeight w:val="513"/>
        </w:trPr>
        <w:tc>
          <w:tcPr>
            <w:tcW w:w="4968" w:type="dxa"/>
            <w:vAlign w:val="center"/>
          </w:tcPr>
          <w:p w:rsidRPr="00ED21CA" w:rsidR="007A62CE" w:rsidP="000B3789" w:rsidRDefault="007A62CE" w14:paraId="60473C67" w14:textId="77777777">
            <w:pPr>
              <w:spacing w:after="200" w:line="276" w:lineRule="auto"/>
            </w:pPr>
            <w:r w:rsidRPr="00ED21CA">
              <w:t>GPs (PCPs, Internists, Family Medicine, NPs, PAs)</w:t>
            </w:r>
          </w:p>
        </w:tc>
        <w:tc>
          <w:tcPr>
            <w:tcW w:w="1935" w:type="dxa"/>
            <w:vAlign w:val="center"/>
          </w:tcPr>
          <w:p w:rsidRPr="00ED21CA" w:rsidR="007A62CE" w:rsidP="000B3789" w:rsidRDefault="007A62CE" w14:paraId="27E51350" w14:textId="77777777">
            <w:pPr>
              <w:jc w:val="center"/>
            </w:pPr>
            <w:r w:rsidRPr="00ED21CA">
              <w:t>347</w:t>
            </w:r>
          </w:p>
        </w:tc>
        <w:tc>
          <w:tcPr>
            <w:tcW w:w="1935" w:type="dxa"/>
            <w:vAlign w:val="center"/>
          </w:tcPr>
          <w:p w:rsidRPr="00ED21CA" w:rsidR="007A62CE" w:rsidP="000B3789" w:rsidRDefault="007A62CE" w14:paraId="1A229A03" w14:textId="77777777">
            <w:pPr>
              <w:jc w:val="center"/>
            </w:pPr>
            <w:r w:rsidRPr="00ED21CA">
              <w:t>347</w:t>
            </w:r>
          </w:p>
        </w:tc>
      </w:tr>
      <w:tr w:rsidRPr="00ED21CA" w:rsidR="007A62CE" w:rsidTr="000B3789" w14:paraId="55A637AD" w14:textId="77777777">
        <w:trPr>
          <w:trHeight w:val="513"/>
        </w:trPr>
        <w:tc>
          <w:tcPr>
            <w:tcW w:w="4968" w:type="dxa"/>
            <w:vAlign w:val="center"/>
          </w:tcPr>
          <w:p w:rsidRPr="00ED21CA" w:rsidR="007A62CE" w:rsidP="000B3789" w:rsidRDefault="007A62CE" w14:paraId="5DE8109E" w14:textId="77777777">
            <w:pPr>
              <w:spacing w:after="200" w:line="276" w:lineRule="auto"/>
            </w:pPr>
            <w:r w:rsidRPr="00ED21CA">
              <w:t>OB/GYNs and Geriatricians</w:t>
            </w:r>
          </w:p>
        </w:tc>
        <w:tc>
          <w:tcPr>
            <w:tcW w:w="1935" w:type="dxa"/>
            <w:vAlign w:val="center"/>
          </w:tcPr>
          <w:p w:rsidRPr="00ED21CA" w:rsidR="007A62CE" w:rsidP="000B3789" w:rsidRDefault="007A62CE" w14:paraId="2AD257FD" w14:textId="77777777">
            <w:pPr>
              <w:jc w:val="center"/>
            </w:pPr>
            <w:r w:rsidRPr="00ED21CA">
              <w:t>231</w:t>
            </w:r>
          </w:p>
        </w:tc>
        <w:tc>
          <w:tcPr>
            <w:tcW w:w="1935" w:type="dxa"/>
            <w:vAlign w:val="center"/>
          </w:tcPr>
          <w:p w:rsidRPr="00ED21CA" w:rsidR="007A62CE" w:rsidP="000B3789" w:rsidRDefault="007A62CE" w14:paraId="62864F89" w14:textId="77777777">
            <w:pPr>
              <w:jc w:val="center"/>
            </w:pPr>
            <w:r w:rsidRPr="00ED21CA">
              <w:t>0</w:t>
            </w:r>
          </w:p>
        </w:tc>
      </w:tr>
      <w:tr w:rsidRPr="00ED21CA" w:rsidR="007A62CE" w:rsidTr="000B3789" w14:paraId="7EBF9EBE" w14:textId="77777777">
        <w:trPr>
          <w:trHeight w:val="513"/>
        </w:trPr>
        <w:tc>
          <w:tcPr>
            <w:tcW w:w="4968" w:type="dxa"/>
            <w:vAlign w:val="center"/>
          </w:tcPr>
          <w:p w:rsidRPr="00ED21CA" w:rsidR="007A62CE" w:rsidP="000B3789" w:rsidRDefault="007A62CE" w14:paraId="64B2B9D1" w14:textId="77777777">
            <w:pPr>
              <w:spacing w:after="200" w:line="276" w:lineRule="auto"/>
            </w:pPr>
            <w:r w:rsidRPr="00ED21CA">
              <w:t>Gastroenterologists/Hepatologists and Infectious Disease Specialists</w:t>
            </w:r>
          </w:p>
        </w:tc>
        <w:tc>
          <w:tcPr>
            <w:tcW w:w="1935" w:type="dxa"/>
            <w:vAlign w:val="center"/>
          </w:tcPr>
          <w:p w:rsidRPr="00ED21CA" w:rsidR="007A62CE" w:rsidP="000B3789" w:rsidRDefault="007A62CE" w14:paraId="378F7C30" w14:textId="77777777">
            <w:pPr>
              <w:jc w:val="center"/>
            </w:pPr>
            <w:r w:rsidRPr="00ED21CA">
              <w:t>0</w:t>
            </w:r>
          </w:p>
        </w:tc>
        <w:tc>
          <w:tcPr>
            <w:tcW w:w="1935" w:type="dxa"/>
            <w:vAlign w:val="center"/>
          </w:tcPr>
          <w:p w:rsidRPr="00ED21CA" w:rsidR="007A62CE" w:rsidP="000B3789" w:rsidRDefault="007A62CE" w14:paraId="169C218B" w14:textId="77777777">
            <w:pPr>
              <w:jc w:val="center"/>
            </w:pPr>
            <w:r w:rsidRPr="00ED21CA">
              <w:t>231</w:t>
            </w:r>
          </w:p>
        </w:tc>
      </w:tr>
      <w:tr w:rsidRPr="00ED21CA" w:rsidR="007A62CE" w:rsidTr="000B3789" w14:paraId="617E47B3" w14:textId="77777777">
        <w:trPr>
          <w:trHeight w:val="513"/>
        </w:trPr>
        <w:tc>
          <w:tcPr>
            <w:tcW w:w="4968" w:type="dxa"/>
            <w:shd w:val="clear" w:color="auto" w:fill="DDDEDD"/>
          </w:tcPr>
          <w:p w:rsidRPr="00ED21CA" w:rsidR="007A62CE" w:rsidP="000B3789" w:rsidRDefault="007A62CE" w14:paraId="1839E9A5" w14:textId="77777777">
            <w:r w:rsidRPr="00ED21CA">
              <w:t>TOTAL</w:t>
            </w:r>
          </w:p>
        </w:tc>
        <w:tc>
          <w:tcPr>
            <w:tcW w:w="1935" w:type="dxa"/>
            <w:shd w:val="clear" w:color="auto" w:fill="DDDEDD"/>
          </w:tcPr>
          <w:p w:rsidRPr="00ED21CA" w:rsidR="007A62CE" w:rsidP="000B3789" w:rsidRDefault="007A62CE" w14:paraId="00C513EB" w14:textId="77777777">
            <w:pPr>
              <w:jc w:val="center"/>
            </w:pPr>
            <w:r w:rsidRPr="00ED21CA">
              <w:t>578</w:t>
            </w:r>
          </w:p>
        </w:tc>
        <w:tc>
          <w:tcPr>
            <w:tcW w:w="1935" w:type="dxa"/>
            <w:shd w:val="clear" w:color="auto" w:fill="DDDEDD"/>
          </w:tcPr>
          <w:p w:rsidRPr="00ED21CA" w:rsidR="007A62CE" w:rsidP="000B3789" w:rsidRDefault="007A62CE" w14:paraId="2399E1F5" w14:textId="77777777">
            <w:pPr>
              <w:jc w:val="center"/>
            </w:pPr>
            <w:r w:rsidRPr="00ED21CA">
              <w:t>578</w:t>
            </w:r>
          </w:p>
        </w:tc>
      </w:tr>
    </w:tbl>
    <w:p w:rsidR="000279A8" w:rsidP="007A62CE" w:rsidRDefault="000279A8" w14:paraId="357EA01F" w14:textId="77777777">
      <w:pPr>
        <w:rPr>
          <w:b/>
        </w:rPr>
      </w:pPr>
    </w:p>
    <w:p w:rsidR="000279A8" w:rsidP="00D4466F" w:rsidRDefault="000279A8" w14:paraId="3FEF970A" w14:textId="77777777">
      <w:pPr>
        <w:ind w:left="720"/>
        <w:rPr>
          <w:b/>
        </w:rPr>
      </w:pPr>
    </w:p>
    <w:p w:rsidRPr="000279A8" w:rsidR="000279A8" w:rsidP="000279A8" w:rsidRDefault="000279A8" w14:paraId="040957AF" w14:textId="11AD49A9">
      <w:pPr>
        <w:ind w:left="720"/>
        <w:rPr>
          <w:b/>
        </w:rPr>
      </w:pPr>
      <w:r w:rsidRPr="000279A8">
        <w:rPr>
          <w:b/>
        </w:rPr>
        <w:t>Power</w:t>
      </w:r>
    </w:p>
    <w:p w:rsidRPr="000279A8" w:rsidR="000279A8" w:rsidP="000279A8" w:rsidRDefault="000279A8" w14:paraId="75757E02" w14:textId="77777777">
      <w:pPr>
        <w:pStyle w:val="ListParagraph"/>
        <w:ind w:left="1440"/>
        <w:rPr>
          <w:b/>
        </w:rPr>
      </w:pPr>
    </w:p>
    <w:p w:rsidRPr="000279A8" w:rsidR="000279A8" w:rsidP="000279A8" w:rsidRDefault="000279A8" w14:paraId="376FFDBA" w14:textId="1D072A08">
      <w:pPr>
        <w:pStyle w:val="ListParagraph"/>
        <w:rPr>
          <w:b/>
          <w:color w:val="9BBB59" w:themeColor="accent3"/>
        </w:rPr>
      </w:pPr>
      <w:r w:rsidRPr="00586020">
        <w:t xml:space="preserve">Power analysis is not applicable for this data collection as there are no experimental manipulations. </w:t>
      </w:r>
      <w:r w:rsidRPr="000279A8">
        <w:rPr>
          <w:rFonts w:eastAsia="Calibri"/>
        </w:rPr>
        <w:t xml:space="preserve">Rather than conducting typical power analyses, we arrived at </w:t>
      </w:r>
      <w:r w:rsidRPr="000279A8" w:rsidR="00860A39">
        <w:rPr>
          <w:rFonts w:eastAsia="Calibri"/>
        </w:rPr>
        <w:t>th</w:t>
      </w:r>
      <w:r w:rsidR="00860A39">
        <w:rPr>
          <w:rFonts w:eastAsia="Calibri"/>
        </w:rPr>
        <w:t>e</w:t>
      </w:r>
      <w:r w:rsidRPr="000279A8" w:rsidR="00860A39">
        <w:rPr>
          <w:rFonts w:eastAsia="Calibri"/>
        </w:rPr>
        <w:t xml:space="preserve"> </w:t>
      </w:r>
      <w:r w:rsidRPr="000279A8">
        <w:rPr>
          <w:rFonts w:eastAsia="Calibri"/>
        </w:rPr>
        <w:t xml:space="preserve">sample sizes based on a target margin of error (MOE) under a probability-based sampling scenario, using the formula below. </w:t>
      </w:r>
    </w:p>
    <w:p w:rsidRPr="000279A8" w:rsidR="000279A8" w:rsidP="000279A8" w:rsidRDefault="000279A8" w14:paraId="5E658ABB" w14:textId="77777777">
      <w:pPr>
        <w:pStyle w:val="ListParagraph"/>
        <w:rPr>
          <w:rFonts w:eastAsiaTheme="minorEastAsia"/>
        </w:rPr>
      </w:pPr>
      <m:oMathPara>
        <m:oMath>
          <m:r>
            <w:rPr>
              <w:rFonts w:ascii="Cambria Math" w:hAnsi="Cambria Math" w:eastAsiaTheme="minorEastAsia"/>
            </w:rPr>
            <m:t>n=</m:t>
          </m:r>
          <m:sSup>
            <m:sSupPr>
              <m:ctrlPr>
                <w:rPr>
                  <w:rFonts w:ascii="Cambria Math" w:hAnsi="Cambria Math" w:eastAsiaTheme="minorEastAsia"/>
                  <w:i/>
                </w:rPr>
              </m:ctrlPr>
            </m:sSupPr>
            <m:e>
              <m:d>
                <m:dPr>
                  <m:ctrlPr>
                    <w:rPr>
                      <w:rFonts w:ascii="Cambria Math" w:hAnsi="Cambria Math" w:eastAsiaTheme="minorEastAsia"/>
                      <w:i/>
                    </w:rPr>
                  </m:ctrlPr>
                </m:dPr>
                <m:e>
                  <m:f>
                    <m:fPr>
                      <m:ctrlPr>
                        <w:rPr>
                          <w:rFonts w:ascii="Cambria Math" w:hAnsi="Cambria Math" w:eastAsiaTheme="minorEastAsia"/>
                          <w:i/>
                        </w:rPr>
                      </m:ctrlPr>
                    </m:fPr>
                    <m:num>
                      <m:sSub>
                        <m:sSubPr>
                          <m:ctrlPr>
                            <w:rPr>
                              <w:rFonts w:ascii="Cambria Math" w:hAnsi="Cambria Math"/>
                              <w:i/>
                            </w:rPr>
                          </m:ctrlPr>
                        </m:sSubPr>
                        <m:e>
                          <m:r>
                            <w:rPr>
                              <w:rFonts w:ascii="Cambria Math" w:hAnsi="Cambria Math"/>
                            </w:rPr>
                            <m:t>z</m:t>
                          </m:r>
                        </m:e>
                        <m:sub>
                          <m:r>
                            <w:rPr>
                              <w:rFonts w:ascii="Cambria Math" w:hAnsi="Cambria Math"/>
                            </w:rPr>
                            <m:t>1-</m:t>
                          </m:r>
                          <m:f>
                            <m:fPr>
                              <m:ctrlPr>
                                <w:rPr>
                                  <w:rFonts w:ascii="Cambria Math" w:hAnsi="Cambria Math"/>
                                  <w:i/>
                                </w:rPr>
                              </m:ctrlPr>
                            </m:fPr>
                            <m:num>
                              <m:r>
                                <w:rPr>
                                  <w:rFonts w:ascii="Cambria Math" w:hAnsi="Cambria Math"/>
                                </w:rPr>
                                <m:t>α</m:t>
                              </m:r>
                            </m:num>
                            <m:den>
                              <m:r>
                                <w:rPr>
                                  <w:rFonts w:ascii="Cambria Math" w:hAnsi="Cambria Math"/>
                                </w:rPr>
                                <m:t>2</m:t>
                              </m:r>
                            </m:den>
                          </m:f>
                        </m:sub>
                      </m:sSub>
                      <m:ctrlPr>
                        <w:rPr>
                          <w:rFonts w:ascii="Cambria Math" w:hAnsi="Cambria Math"/>
                          <w:i/>
                        </w:rPr>
                      </m:ctrlPr>
                    </m:num>
                    <m:den>
                      <m:r>
                        <w:rPr>
                          <w:rFonts w:ascii="Cambria Math" w:hAnsi="Cambria Math"/>
                        </w:rPr>
                        <m:t>MOE</m:t>
                      </m:r>
                    </m:den>
                  </m:f>
                </m:e>
              </m:d>
            </m:e>
            <m:sup>
              <m:r>
                <w:rPr>
                  <w:rFonts w:ascii="Cambria Math" w:hAnsi="Cambria Math" w:eastAsiaTheme="minorEastAsia"/>
                </w:rPr>
                <m:t>2</m:t>
              </m:r>
            </m:sup>
          </m:sSup>
          <m:r>
            <w:rPr>
              <w:rFonts w:ascii="Cambria Math" w:hAnsi="Cambria Math" w:eastAsiaTheme="minorEastAsia"/>
            </w:rPr>
            <m:t>p</m:t>
          </m:r>
          <m:d>
            <m:dPr>
              <m:ctrlPr>
                <w:rPr>
                  <w:rFonts w:ascii="Cambria Math" w:hAnsi="Cambria Math" w:eastAsiaTheme="minorEastAsia"/>
                  <w:i/>
                </w:rPr>
              </m:ctrlPr>
            </m:dPr>
            <m:e>
              <m:r>
                <w:rPr>
                  <w:rFonts w:ascii="Cambria Math" w:hAnsi="Cambria Math" w:eastAsiaTheme="minorEastAsia"/>
                </w:rPr>
                <m:t>1-p</m:t>
              </m:r>
            </m:e>
          </m:d>
          <m:r>
            <w:rPr>
              <w:rFonts w:ascii="Cambria Math" w:hAnsi="Cambria Math" w:eastAsiaTheme="minorEastAsia"/>
            </w:rPr>
            <m:t>UWE</m:t>
          </m:r>
        </m:oMath>
      </m:oMathPara>
    </w:p>
    <w:tbl>
      <w:tblPr>
        <w:tblStyle w:val="TableGrid"/>
        <w:tblW w:w="0" w:type="auto"/>
        <w:jc w:val="center"/>
        <w:tblLook w:val="04A0" w:firstRow="1" w:lastRow="0" w:firstColumn="1" w:lastColumn="0" w:noHBand="0" w:noVBand="1"/>
      </w:tblPr>
      <w:tblGrid>
        <w:gridCol w:w="916"/>
        <w:gridCol w:w="6787"/>
      </w:tblGrid>
      <w:tr w:rsidR="000279A8" w:rsidTr="000B3789" w14:paraId="4B636FA7"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788810AE" w14:textId="77777777">
            <w:pPr>
              <w:keepNext/>
              <w:rPr>
                <w:sz w:val="20"/>
              </w:rPr>
            </w:pPr>
            <w:r>
              <w:rPr>
                <w:rFonts w:eastAsiaTheme="minorEastAsia"/>
              </w:rPr>
              <w:br w:type="page"/>
            </w:r>
            <w:r>
              <w:rPr>
                <w:sz w:val="20"/>
              </w:rPr>
              <w:t>Notation</w:t>
            </w:r>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16F4E0DE" w14:textId="77777777">
            <w:pPr>
              <w:keepNext/>
              <w:rPr>
                <w:sz w:val="20"/>
              </w:rPr>
            </w:pPr>
            <w:r>
              <w:rPr>
                <w:sz w:val="20"/>
              </w:rPr>
              <w:t>Description</w:t>
            </w:r>
          </w:p>
        </w:tc>
      </w:tr>
      <w:tr w:rsidR="000279A8" w:rsidTr="000B3789" w14:paraId="19F153E5"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40BF2CB0" w14:textId="77777777">
            <w:pPr>
              <w:keepNext/>
              <w:rPr>
                <w:sz w:val="20"/>
              </w:rPr>
            </w:pPr>
            <m:oMathPara>
              <m:oMath>
                <m:r>
                  <w:rPr>
                    <w:rFonts w:ascii="Cambria Math" w:hAnsi="Cambria Math"/>
                    <w:sz w:val="20"/>
                  </w:rPr>
                  <m:t>n</m:t>
                </m:r>
              </m:oMath>
            </m:oMathPara>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01223FAC" w14:textId="77777777">
            <w:pPr>
              <w:keepNext/>
              <w:rPr>
                <w:sz w:val="20"/>
              </w:rPr>
            </w:pPr>
            <w:r>
              <w:rPr>
                <w:sz w:val="20"/>
              </w:rPr>
              <w:t>Total number of survey completes</w:t>
            </w:r>
          </w:p>
        </w:tc>
      </w:tr>
      <w:tr w:rsidR="000279A8" w:rsidTr="000B3789" w14:paraId="01ED8FFC"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5A2C4AB0" w14:textId="77777777">
            <w:pPr>
              <w:keepNext/>
              <w:rPr>
                <w:sz w:val="20"/>
              </w:rPr>
            </w:pPr>
            <m:oMathPara>
              <m:oMath>
                <m:r>
                  <w:rPr>
                    <w:rFonts w:ascii="Cambria Math" w:hAnsi="Cambria Math"/>
                    <w:sz w:val="20"/>
                  </w:rPr>
                  <m:t>p</m:t>
                </m:r>
              </m:oMath>
            </m:oMathPara>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703A26C0" w14:textId="77777777">
            <w:pPr>
              <w:keepNext/>
              <w:rPr>
                <w:sz w:val="20"/>
              </w:rPr>
            </w:pPr>
            <w:r>
              <w:rPr>
                <w:sz w:val="20"/>
              </w:rPr>
              <w:t>Estimate of a proportion; assume 0.5 for a conservative variance estimate</w:t>
            </w:r>
          </w:p>
        </w:tc>
      </w:tr>
      <w:tr w:rsidR="000279A8" w:rsidTr="000B3789" w14:paraId="0B440F68"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11B97052" w14:textId="77777777">
            <w:pPr>
              <w:keepNext/>
              <w:rPr>
                <w:sz w:val="20"/>
              </w:rPr>
            </w:pPr>
            <m:oMathPara>
              <m:oMath>
                <m:r>
                  <w:rPr>
                    <w:rFonts w:ascii="Cambria Math" w:hAnsi="Cambria Math"/>
                    <w:sz w:val="20"/>
                  </w:rPr>
                  <m:t>MOE</m:t>
                </m:r>
              </m:oMath>
            </m:oMathPara>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1216AEFE" w14:textId="77777777">
            <w:pPr>
              <w:keepNext/>
              <w:rPr>
                <w:sz w:val="20"/>
              </w:rPr>
            </w:pPr>
            <w:r>
              <w:rPr>
                <w:sz w:val="20"/>
              </w:rPr>
              <w:t>Margin of error</w:t>
            </w:r>
          </w:p>
        </w:tc>
      </w:tr>
      <w:tr w:rsidR="000279A8" w:rsidTr="000B3789" w14:paraId="3C05A6F3"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D4466F" w14:paraId="4D0FC70C" w14:textId="77777777">
            <w:pPr>
              <w:keepNext/>
              <w:rPr>
                <w:rFonts w:eastAsia="Calibri"/>
                <w:sz w:val="20"/>
              </w:rPr>
            </w:pPr>
            <m:oMathPara>
              <m:oMath>
                <m:sSub>
                  <m:sSubPr>
                    <m:ctrlPr>
                      <w:rPr>
                        <w:rFonts w:ascii="Cambria Math" w:hAnsi="Cambria Math"/>
                        <w:i/>
                      </w:rPr>
                    </m:ctrlPr>
                  </m:sSubPr>
                  <m:e>
                    <m:r>
                      <w:rPr>
                        <w:rFonts w:ascii="Cambria Math" w:hAnsi="Cambria Math"/>
                        <w:sz w:val="20"/>
                      </w:rPr>
                      <m:t>z</m:t>
                    </m:r>
                  </m:e>
                  <m:sub>
                    <m:r>
                      <w:rPr>
                        <w:rFonts w:ascii="Cambria Math" w:hAnsi="Cambria Math"/>
                        <w:sz w:val="20"/>
                      </w:rPr>
                      <m:t>1-</m:t>
                    </m:r>
                    <m:f>
                      <m:fPr>
                        <m:ctrlPr>
                          <w:rPr>
                            <w:rFonts w:ascii="Cambria Math" w:hAnsi="Cambria Math"/>
                            <w:i/>
                          </w:rPr>
                        </m:ctrlPr>
                      </m:fPr>
                      <m:num>
                        <m:r>
                          <w:rPr>
                            <w:rFonts w:ascii="Cambria Math" w:hAnsi="Cambria Math"/>
                            <w:sz w:val="20"/>
                          </w:rPr>
                          <m:t>α</m:t>
                        </m:r>
                      </m:num>
                      <m:den>
                        <m:r>
                          <w:rPr>
                            <w:rFonts w:ascii="Cambria Math" w:hAnsi="Cambria Math"/>
                            <w:sz w:val="20"/>
                          </w:rPr>
                          <m:t>2</m:t>
                        </m:r>
                      </m:den>
                    </m:f>
                  </m:sub>
                </m:sSub>
              </m:oMath>
            </m:oMathPara>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7153EF06" w14:textId="77777777">
            <w:pPr>
              <w:keepNext/>
              <w:rPr>
                <w:sz w:val="20"/>
              </w:rPr>
            </w:pPr>
            <w:r>
              <w:rPr>
                <w:sz w:val="20"/>
              </w:rPr>
              <w:t>Quantile from the standard normal distribution; assume a confidence level of 95%</w:t>
            </w:r>
          </w:p>
        </w:tc>
      </w:tr>
      <w:tr w:rsidR="000279A8" w:rsidTr="000B3789" w14:paraId="21D5C287" w14:textId="77777777">
        <w:trPr>
          <w:jc w:val="center"/>
        </w:trPr>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3FE2962A" w14:textId="77777777">
            <w:pPr>
              <w:keepNext/>
              <w:rPr>
                <w:rFonts w:eastAsia="Calibri"/>
                <w:sz w:val="20"/>
              </w:rPr>
            </w:pPr>
            <m:oMathPara>
              <m:oMath>
                <m:r>
                  <w:rPr>
                    <w:rFonts w:ascii="Cambria Math" w:hAnsi="Cambria Math" w:eastAsia="Calibri"/>
                    <w:sz w:val="20"/>
                  </w:rPr>
                  <m:t>UWE</m:t>
                </m:r>
              </m:oMath>
            </m:oMathPara>
          </w:p>
        </w:tc>
        <w:tc>
          <w:tcPr>
            <w:tcW w:w="0" w:type="auto"/>
            <w:tcBorders>
              <w:top w:val="single" w:color="auto" w:sz="4" w:space="0"/>
              <w:left w:val="single" w:color="auto" w:sz="4" w:space="0"/>
              <w:bottom w:val="single" w:color="auto" w:sz="4" w:space="0"/>
              <w:right w:val="single" w:color="auto" w:sz="4" w:space="0"/>
            </w:tcBorders>
            <w:hideMark/>
          </w:tcPr>
          <w:p w:rsidR="000279A8" w:rsidP="000B3789" w:rsidRDefault="000279A8" w14:paraId="72A79395" w14:textId="77777777">
            <w:pPr>
              <w:keepNext/>
              <w:rPr>
                <w:sz w:val="20"/>
              </w:rPr>
            </w:pPr>
            <w:r>
              <w:rPr>
                <w:sz w:val="20"/>
              </w:rPr>
              <w:t>Kish’s unequal weighting effect</w:t>
            </w:r>
            <w:r>
              <w:rPr>
                <w:sz w:val="20"/>
                <w:vertAlign w:val="superscript"/>
              </w:rPr>
              <w:footnoteReference w:id="3"/>
            </w:r>
          </w:p>
        </w:tc>
      </w:tr>
    </w:tbl>
    <w:p w:rsidR="000279A8" w:rsidP="000279A8" w:rsidRDefault="000279A8" w14:paraId="12ABC769" w14:textId="77777777">
      <w:pPr>
        <w:jc w:val="both"/>
      </w:pPr>
    </w:p>
    <w:p w:rsidRPr="000279A8" w:rsidR="000279A8" w:rsidP="00D4466F" w:rsidRDefault="000279A8" w14:paraId="79C7F8FC" w14:textId="428466A4">
      <w:pPr>
        <w:ind w:left="720"/>
      </w:pPr>
      <w:r>
        <w:t xml:space="preserve">For the physician population, we assumed a 5% MOE with an unequal weighting effect (UWE) of 1.5, which means that 578 completed surveys </w:t>
      </w:r>
      <w:r w:rsidR="00080F38">
        <w:t xml:space="preserve">would </w:t>
      </w:r>
      <w:r>
        <w:t>be needed for each of the two surveys (</w:t>
      </w:r>
      <w:r w:rsidRPr="000279A8">
        <w:rPr>
          <w:i/>
        </w:rPr>
        <w:t xml:space="preserve">n </w:t>
      </w:r>
      <w:r>
        <w:t>= 1,156)</w:t>
      </w:r>
      <w:r w:rsidR="00080F38">
        <w:t xml:space="preserve"> in a probability-based context</w:t>
      </w:r>
      <w:r>
        <w:t>. Note that the term “margin of error” typically invokes design-based principles of inference, which are not directly relevant in this particular survey context since it entails the use of nonprobability data, and implicitly relies on model-based assumptions. However, in the absence of well-established and accepted principles of sample design for nonprobability surveys, we have borrowed upon this terminology as to inform the sample size calculations, while recognizing that the term “margin of error”</w:t>
      </w:r>
      <w:r w:rsidRPr="000279A8">
        <w:rPr>
          <w:rFonts w:eastAsiaTheme="minorEastAsia"/>
        </w:rPr>
        <w:t xml:space="preserve"> is not, strictly speaking, appropriate in this context.</w:t>
      </w:r>
      <w:r w:rsidR="00860A39">
        <w:rPr>
          <w:rFonts w:eastAsiaTheme="minorEastAsia"/>
        </w:rPr>
        <w:t xml:space="preserve"> </w:t>
      </w:r>
      <w:r w:rsidR="004464C9">
        <w:rPr>
          <w:rFonts w:eastAsiaTheme="minorEastAsia"/>
        </w:rPr>
        <w:t>We also note that</w:t>
      </w:r>
      <w:r w:rsidR="00080F38">
        <w:rPr>
          <w:rFonts w:eastAsiaTheme="minorEastAsia"/>
        </w:rPr>
        <w:t xml:space="preserve"> the term “unequal weighting effect” is not directly applicable in this study, since inferences will be unweighted. However, we have incorporated </w:t>
      </w:r>
      <w:r w:rsidR="005B571F">
        <w:rPr>
          <w:rFonts w:eastAsiaTheme="minorEastAsia"/>
        </w:rPr>
        <w:t xml:space="preserve">the </w:t>
      </w:r>
      <w:r w:rsidR="005B571F">
        <w:rPr>
          <w:rFonts w:eastAsiaTheme="minorEastAsia"/>
        </w:rPr>
        <w:lastRenderedPageBreak/>
        <w:t>UWE</w:t>
      </w:r>
      <w:r w:rsidR="00080F38">
        <w:rPr>
          <w:rFonts w:eastAsiaTheme="minorEastAsia"/>
        </w:rPr>
        <w:t xml:space="preserve"> in the above calculation to mitigate against </w:t>
      </w:r>
      <w:r w:rsidR="00B5370E">
        <w:rPr>
          <w:rFonts w:eastAsiaTheme="minorEastAsia"/>
        </w:rPr>
        <w:t>inflation in variances that could arise due to inefficiencies in the sample.</w:t>
      </w:r>
      <w:r w:rsidR="00080F38">
        <w:rPr>
          <w:rFonts w:eastAsiaTheme="minorEastAsia"/>
        </w:rPr>
        <w:t xml:space="preserve"> </w:t>
      </w:r>
    </w:p>
    <w:p w:rsidR="000279A8" w:rsidP="000279A8" w:rsidRDefault="000279A8" w14:paraId="4803F9BF" w14:textId="63D6F990">
      <w:pPr>
        <w:pStyle w:val="BodyTextIndent2"/>
        <w:spacing w:after="0" w:line="240" w:lineRule="auto"/>
        <w:ind w:left="720"/>
      </w:pPr>
    </w:p>
    <w:p w:rsidR="005A32CA" w:rsidP="004464C9" w:rsidRDefault="004A0BAA" w14:paraId="08FF5285" w14:textId="04BCCD70">
      <w:pPr>
        <w:ind w:left="720"/>
      </w:pPr>
      <w:r>
        <w:t xml:space="preserve">For each of the two survey cohorts (VAA and HCV), we have set a </w:t>
      </w:r>
      <w:r w:rsidRPr="000279A8" w:rsidR="005A32CA">
        <w:t xml:space="preserve">quota for relative proportions of GPs </w:t>
      </w:r>
      <w:r w:rsidR="005A32CA">
        <w:t>(</w:t>
      </w:r>
      <w:r w:rsidR="004F0EB7">
        <w:t>60</w:t>
      </w:r>
      <w:r w:rsidR="005A32CA">
        <w:t xml:space="preserve">%) </w:t>
      </w:r>
      <w:r w:rsidRPr="000279A8" w:rsidR="005A32CA">
        <w:t xml:space="preserve">and specialists </w:t>
      </w:r>
      <w:r w:rsidR="005A32CA">
        <w:t>(</w:t>
      </w:r>
      <w:r w:rsidR="004F0EB7">
        <w:t>4</w:t>
      </w:r>
      <w:r w:rsidR="005A32CA">
        <w:t>0%)</w:t>
      </w:r>
      <w:r>
        <w:t xml:space="preserve">. We arrived at these quotas </w:t>
      </w:r>
      <w:r w:rsidRPr="000279A8" w:rsidR="005A32CA">
        <w:t xml:space="preserve">based on </w:t>
      </w:r>
      <w:r w:rsidR="005A32CA">
        <w:t xml:space="preserve">balancing </w:t>
      </w:r>
      <w:r w:rsidR="00633629">
        <w:t>several</w:t>
      </w:r>
      <w:r w:rsidR="00240B3E">
        <w:t xml:space="preserve"> </w:t>
      </w:r>
      <w:r w:rsidRPr="000279A8" w:rsidR="005A32CA">
        <w:t>considerations</w:t>
      </w:r>
      <w:r w:rsidR="009E6B1B">
        <w:t xml:space="preserve"> specific to both prescribing scenarios (VAA and HCV)</w:t>
      </w:r>
      <w:r w:rsidRPr="000279A8" w:rsidR="005A32CA">
        <w:t>:</w:t>
      </w:r>
    </w:p>
    <w:p w:rsidRPr="000279A8" w:rsidR="00B055AE" w:rsidP="005A32CA" w:rsidRDefault="00B055AE" w14:paraId="5043BAC5" w14:textId="77777777">
      <w:pPr>
        <w:ind w:left="720"/>
        <w:rPr>
          <w:szCs w:val="22"/>
        </w:rPr>
      </w:pPr>
    </w:p>
    <w:p w:rsidR="009E6B1B" w:rsidP="006C096B" w:rsidRDefault="00B055AE" w14:paraId="25B36278" w14:textId="783881EA">
      <w:pPr>
        <w:pStyle w:val="ListParagraph"/>
        <w:numPr>
          <w:ilvl w:val="0"/>
          <w:numId w:val="8"/>
        </w:numPr>
        <w:spacing w:after="200"/>
        <w:contextualSpacing/>
      </w:pPr>
      <w:r>
        <w:t>The size of</w:t>
      </w:r>
      <w:r w:rsidR="004A0BAA">
        <w:t xml:space="preserve"> </w:t>
      </w:r>
      <w:r>
        <w:t xml:space="preserve">GP universe population is much larger </w:t>
      </w:r>
      <w:r w:rsidR="004A0BAA">
        <w:t xml:space="preserve">compared to specialists in the U.S. </w:t>
      </w:r>
      <w:r>
        <w:t>(See Table 1)</w:t>
      </w:r>
      <w:r w:rsidR="006C096B">
        <w:t>. However, s</w:t>
      </w:r>
      <w:r w:rsidR="009E6B1B">
        <w:t>pecialists prescribe at a greater volume than general practitioners.</w:t>
      </w:r>
      <w:r w:rsidR="004464C9">
        <w:rPr>
          <w:rStyle w:val="FootnoteReference"/>
        </w:rPr>
        <w:footnoteReference w:id="4"/>
      </w:r>
      <w:r w:rsidR="009E6B1B">
        <w:t xml:space="preserve"> According to an internal FDA analysis, approximately 40% of the total number of prescriptions for estrogen vaginal tablets written in the U.S. in 2017 were prescribed by general practitioners of the type included in our general practitioner cohort for the estrogen scenario. Approximately 55% of total prescriptions for estrogen vaginal tablets were prescribed by the specialists included in our specialist cohort.  The remaining 5% of prescriptions were written by a variety of other types of specialties. The prescribing volumes for the hepatitis C DAAs had similar</w:t>
      </w:r>
      <w:r w:rsidR="006C096B">
        <w:t xml:space="preserve"> </w:t>
      </w:r>
      <w:r w:rsidR="009E6B1B">
        <w:t xml:space="preserve">percentages. </w:t>
      </w:r>
    </w:p>
    <w:p w:rsidR="006C096B" w:rsidP="006C096B" w:rsidRDefault="006C096B" w14:paraId="19300116" w14:textId="442D27C0">
      <w:pPr>
        <w:pStyle w:val="ListParagraph"/>
        <w:numPr>
          <w:ilvl w:val="0"/>
          <w:numId w:val="8"/>
        </w:numPr>
        <w:spacing w:after="200"/>
        <w:contextualSpacing/>
      </w:pPr>
      <w:r>
        <w:t>Balancing</w:t>
      </w:r>
      <w:r w:rsidR="00FE3421">
        <w:t xml:space="preserve"> </w:t>
      </w:r>
      <w:r w:rsidR="009E6B1B">
        <w:t xml:space="preserve">subgroup </w:t>
      </w:r>
      <w:r w:rsidR="00FE3421">
        <w:t xml:space="preserve">precision and overall precision. </w:t>
      </w:r>
      <w:r w:rsidR="009E6B1B">
        <w:t>O</w:t>
      </w:r>
      <w:r w:rsidR="004F0EB7">
        <w:t>verrepresent</w:t>
      </w:r>
      <w:r w:rsidR="009E6B1B">
        <w:t>ing</w:t>
      </w:r>
      <w:r w:rsidR="004F0EB7">
        <w:t xml:space="preserve"> </w:t>
      </w:r>
      <w:r w:rsidR="009E6B1B">
        <w:t>a subgroup</w:t>
      </w:r>
      <w:r w:rsidR="00F21971">
        <w:t xml:space="preserve"> </w:t>
      </w:r>
      <w:r>
        <w:t xml:space="preserve">(in this case, specialists) that has a small universe population </w:t>
      </w:r>
      <w:r w:rsidR="004F0EB7">
        <w:t xml:space="preserve">relative to the </w:t>
      </w:r>
      <w:r>
        <w:t xml:space="preserve">total universe </w:t>
      </w:r>
      <w:r w:rsidR="004F0EB7">
        <w:t>population share</w:t>
      </w:r>
      <w:r w:rsidR="009E6B1B">
        <w:t xml:space="preserve"> improves </w:t>
      </w:r>
      <w:r w:rsidR="004F0EB7">
        <w:t xml:space="preserve">domain precision for that </w:t>
      </w:r>
      <w:r w:rsidR="009E6B1B">
        <w:t>sub</w:t>
      </w:r>
      <w:r w:rsidR="004F0EB7">
        <w:t xml:space="preserve">group at a cost to overall precision.  </w:t>
      </w:r>
    </w:p>
    <w:p w:rsidR="005A32CA" w:rsidP="005A32CA" w:rsidRDefault="005A32CA" w14:paraId="214902DB" w14:textId="51B2672E">
      <w:pPr>
        <w:pStyle w:val="ListParagraph"/>
        <w:numPr>
          <w:ilvl w:val="0"/>
          <w:numId w:val="8"/>
        </w:numPr>
        <w:spacing w:after="200"/>
        <w:contextualSpacing/>
      </w:pPr>
      <w:r w:rsidRPr="000279A8">
        <w:t xml:space="preserve">Availability of sufficient sample from </w:t>
      </w:r>
      <w:r>
        <w:t>within the research panel</w:t>
      </w:r>
      <w:r w:rsidRPr="000279A8">
        <w:t>, as there are smaller populations of specialists compared to GPs.</w:t>
      </w:r>
      <w:r w:rsidR="00A95404">
        <w:t xml:space="preserve"> </w:t>
      </w:r>
    </w:p>
    <w:p w:rsidR="004464C9" w:rsidP="00ED21CA" w:rsidRDefault="006C096B" w14:paraId="6A346599" w14:textId="3E8A2AAA">
      <w:pPr>
        <w:ind w:left="720"/>
      </w:pPr>
      <w:r>
        <w:t>Considering all of these factors together, we concluded that the survey sample should include more GPs than specialists, with enough representation from both groups to ensure sufficient specificity of survey estimates.</w:t>
      </w:r>
      <w:r w:rsidRPr="00677075">
        <w:t xml:space="preserve"> </w:t>
      </w:r>
      <w:r w:rsidR="004464C9">
        <w:t>W</w:t>
      </w:r>
      <w:r>
        <w:t xml:space="preserve">e determined that a 60% (general practitioner) /40% (specialist) split was an appropriate balance for each cohort (VVA and HCV). Overrepresenting the specialist subgroups above should allow for reasonable precision for all subgroups without introducing too great a reduction in overall precision should one group be overrepresented to a moderate extent. </w:t>
      </w:r>
    </w:p>
    <w:p w:rsidR="00ED21CA" w:rsidP="00ED21CA" w:rsidRDefault="00ED21CA" w14:paraId="55939140" w14:textId="77777777">
      <w:pPr>
        <w:ind w:left="720"/>
      </w:pPr>
    </w:p>
    <w:p w:rsidRPr="000279A8" w:rsidR="000279A8" w:rsidP="000279A8" w:rsidRDefault="000279A8" w14:paraId="5225826C" w14:textId="0D8DBAD0">
      <w:pPr>
        <w:pStyle w:val="BodyTextIndent2"/>
        <w:spacing w:after="0" w:line="240" w:lineRule="auto"/>
        <w:ind w:left="720"/>
        <w:rPr>
          <w:b/>
        </w:rPr>
      </w:pPr>
      <w:r w:rsidRPr="000279A8">
        <w:rPr>
          <w:b/>
        </w:rPr>
        <w:t>Weighting</w:t>
      </w:r>
    </w:p>
    <w:p w:rsidR="000279A8" w:rsidP="000279A8" w:rsidRDefault="000279A8" w14:paraId="1144863F" w14:textId="77777777">
      <w:pPr>
        <w:pStyle w:val="BodyTextIndent2"/>
        <w:spacing w:after="0" w:line="240" w:lineRule="auto"/>
        <w:ind w:left="720"/>
      </w:pPr>
    </w:p>
    <w:p w:rsidR="00AE04B4" w:rsidP="00B055AE" w:rsidRDefault="000279A8" w14:paraId="5A9D05B7" w14:textId="6F9C062B">
      <w:pPr>
        <w:pStyle w:val="BodyTextIndent2"/>
        <w:spacing w:after="0" w:line="240" w:lineRule="auto"/>
        <w:ind w:left="720"/>
      </w:pPr>
      <w:r>
        <w:t>All analysis will be conducted on unweighted data. Weighting is best suited when</w:t>
      </w:r>
      <w:r w:rsidR="007D7036">
        <w:t xml:space="preserve">: </w:t>
      </w:r>
      <w:r w:rsidR="006A091E">
        <w:t>(</w:t>
      </w:r>
      <w:r w:rsidR="007D7036">
        <w:t>a)</w:t>
      </w:r>
      <w:r>
        <w:t xml:space="preserve"> statements about the generalizability of the analysis to the national population</w:t>
      </w:r>
      <w:r w:rsidR="00F21971">
        <w:t xml:space="preserve"> of healthcare providers</w:t>
      </w:r>
      <w:r>
        <w:t xml:space="preserve"> </w:t>
      </w:r>
      <w:r w:rsidR="00F21971">
        <w:t>is</w:t>
      </w:r>
      <w:r>
        <w:t xml:space="preserve"> desired</w:t>
      </w:r>
      <w:r w:rsidR="006A091E">
        <w:t>;</w:t>
      </w:r>
      <w:r>
        <w:t xml:space="preserve"> and </w:t>
      </w:r>
      <w:r w:rsidR="006A091E">
        <w:t>(</w:t>
      </w:r>
      <w:r w:rsidR="007D7036">
        <w:t xml:space="preserve">b) </w:t>
      </w:r>
      <w:r>
        <w:t>when appropriate benchmarks can be obtained and determined.</w:t>
      </w:r>
      <w:r w:rsidR="007D7036">
        <w:t xml:space="preserve"> Neither conditions apply in this case. T</w:t>
      </w:r>
      <w:r>
        <w:t xml:space="preserve">his study does not attempt to generalize its findings </w:t>
      </w:r>
      <w:r w:rsidR="00F21971">
        <w:t>applicable to the</w:t>
      </w:r>
      <w:r>
        <w:t xml:space="preserve"> broader U.S. population of HCPs. Rather, the intent is to understand the perceptions, attitudes and behaviors of a set of prescribers who prescribe medications to treat the specific condition for each scenario, Hepatitis C Virus and </w:t>
      </w:r>
      <w:r w:rsidR="00D43843">
        <w:t>VVA</w:t>
      </w:r>
      <w:r>
        <w:t xml:space="preserve">, respectively. </w:t>
      </w:r>
      <w:r w:rsidR="005F64F8">
        <w:t>As a subset of the broader population of HCPs with prescribing authority, t</w:t>
      </w:r>
      <w:r>
        <w:t xml:space="preserve">his set of prescribers is defined by their prescribing behavior. </w:t>
      </w:r>
      <w:r w:rsidR="00F21971">
        <w:t>We are not aware of any</w:t>
      </w:r>
      <w:r w:rsidRPr="00625BD8">
        <w:t xml:space="preserve"> </w:t>
      </w:r>
      <w:r w:rsidR="00F21971">
        <w:t>well-defined</w:t>
      </w:r>
      <w:r w:rsidRPr="00625BD8">
        <w:t xml:space="preserve"> external benchmarks for </w:t>
      </w:r>
      <w:r w:rsidR="00F21971">
        <w:t>a</w:t>
      </w:r>
      <w:r w:rsidR="00B055AE">
        <w:t xml:space="preserve"> survey population defined </w:t>
      </w:r>
      <w:r w:rsidR="00F21971">
        <w:t xml:space="preserve">by </w:t>
      </w:r>
      <w:r w:rsidR="00F21971">
        <w:lastRenderedPageBreak/>
        <w:t>whether they</w:t>
      </w:r>
      <w:r w:rsidRPr="00625BD8">
        <w:t xml:space="preserve"> </w:t>
      </w:r>
      <w:r w:rsidR="00B055AE">
        <w:t>prescribe medicines for</w:t>
      </w:r>
      <w:r w:rsidRPr="00625BD8" w:rsidR="00B055AE">
        <w:t xml:space="preserve"> </w:t>
      </w:r>
      <w:r w:rsidRPr="00625BD8">
        <w:t xml:space="preserve">HCV </w:t>
      </w:r>
      <w:r w:rsidR="00B055AE">
        <w:t>and</w:t>
      </w:r>
      <w:r w:rsidRPr="00625BD8" w:rsidR="00B055AE">
        <w:t xml:space="preserve"> </w:t>
      </w:r>
      <w:r w:rsidR="00A142FA">
        <w:t>VVA</w:t>
      </w:r>
      <w:r w:rsidR="00B055AE">
        <w:t xml:space="preserve"> respectively</w:t>
      </w:r>
      <w:r w:rsidR="007D7036">
        <w:t xml:space="preserve">. </w:t>
      </w:r>
      <w:r w:rsidR="00B055AE">
        <w:t>In this case, applying</w:t>
      </w:r>
      <w:r w:rsidR="007D7036">
        <w:t xml:space="preserve"> weights </w:t>
      </w:r>
      <w:r w:rsidR="00B055AE">
        <w:t>calibrated</w:t>
      </w:r>
      <w:r w:rsidR="00F21971">
        <w:t xml:space="preserve"> instead</w:t>
      </w:r>
      <w:r w:rsidR="00B055AE">
        <w:t xml:space="preserve"> to</w:t>
      </w:r>
      <w:r w:rsidR="007D7036">
        <w:t xml:space="preserve"> benchmark</w:t>
      </w:r>
      <w:r w:rsidR="00B055AE">
        <w:t>s</w:t>
      </w:r>
      <w:r w:rsidR="007D7036">
        <w:t xml:space="preserve"> for a broader population</w:t>
      </w:r>
      <w:r w:rsidR="00B055AE">
        <w:t xml:space="preserve"> (all general practitioners)</w:t>
      </w:r>
      <w:r w:rsidR="007D7036">
        <w:t xml:space="preserve"> to this particular survey population </w:t>
      </w:r>
      <w:r w:rsidR="00B055AE">
        <w:t xml:space="preserve">would be difficult to interpret and </w:t>
      </w:r>
      <w:r w:rsidRPr="00625BD8">
        <w:t>may increase</w:t>
      </w:r>
      <w:r w:rsidR="005F64F8">
        <w:t>,</w:t>
      </w:r>
      <w:r w:rsidRPr="00625BD8">
        <w:t xml:space="preserve"> rather than reduce</w:t>
      </w:r>
      <w:r w:rsidR="005F64F8">
        <w:t>,</w:t>
      </w:r>
      <w:r w:rsidRPr="00625BD8">
        <w:t xml:space="preserve"> </w:t>
      </w:r>
      <w:r w:rsidR="00406883">
        <w:t xml:space="preserve">the </w:t>
      </w:r>
      <w:r w:rsidRPr="00625BD8">
        <w:t>bias</w:t>
      </w:r>
      <w:r w:rsidR="00406883">
        <w:t xml:space="preserve"> of estimates</w:t>
      </w:r>
      <w:r w:rsidR="00B055AE">
        <w:t xml:space="preserve">. </w:t>
      </w:r>
    </w:p>
    <w:p w:rsidR="00AE04B4" w:rsidP="00AE04B4" w:rsidRDefault="00AE04B4" w14:paraId="5715FEBD" w14:textId="77777777">
      <w:pPr>
        <w:pStyle w:val="BodyTextIndent2"/>
        <w:spacing w:after="0" w:line="240" w:lineRule="auto"/>
        <w:ind w:left="720"/>
      </w:pPr>
    </w:p>
    <w:p w:rsidR="004464C9" w:rsidP="004464C9" w:rsidRDefault="007D7036" w14:paraId="74F6CE87" w14:textId="27654556">
      <w:pPr>
        <w:pStyle w:val="BodyTextIndent2"/>
        <w:spacing w:after="0" w:line="240" w:lineRule="auto"/>
        <w:ind w:left="720"/>
      </w:pPr>
      <w:r>
        <w:t xml:space="preserve">We believe an appropriate and </w:t>
      </w:r>
      <w:r w:rsidR="00F34C21">
        <w:t xml:space="preserve">more efficient means of adjusting for potential selection bias </w:t>
      </w:r>
      <w:r>
        <w:t>is by including</w:t>
      </w:r>
      <w:r w:rsidR="00F34C21">
        <w:t xml:space="preserve"> potential confounders as covariates in </w:t>
      </w:r>
      <w:r w:rsidR="004464C9">
        <w:t xml:space="preserve">our analysis </w:t>
      </w:r>
      <w:r w:rsidRPr="004464C9" w:rsidR="004464C9">
        <w:t xml:space="preserve">(see </w:t>
      </w:r>
      <w:r w:rsidRPr="00F21971" w:rsidR="004464C9">
        <w:t>Nonresponse Bias Analysis)</w:t>
      </w:r>
      <w:r w:rsidR="004464C9">
        <w:t>.</w:t>
      </w:r>
    </w:p>
    <w:p w:rsidRPr="000C501E" w:rsidR="007E72BB" w:rsidP="000C501E" w:rsidRDefault="00A14AE9" w14:paraId="33BF4EA4" w14:textId="219246DA">
      <w:pPr>
        <w:numPr>
          <w:ilvl w:val="0"/>
          <w:numId w:val="1"/>
        </w:numPr>
        <w:spacing w:before="100" w:beforeAutospacing="1" w:after="100" w:afterAutospacing="1"/>
        <w:rPr>
          <w:u w:val="single"/>
        </w:rPr>
      </w:pPr>
      <w:r w:rsidRPr="00E00EA0">
        <w:rPr>
          <w:u w:val="single"/>
        </w:rPr>
        <w:t>Procedures for the Collection of Information</w:t>
      </w:r>
    </w:p>
    <w:p w:rsidRPr="00EC4035" w:rsidR="007E5651" w:rsidP="007E5651" w:rsidRDefault="007E5651" w14:paraId="3CDF2E54" w14:textId="55D19476">
      <w:pPr>
        <w:pStyle w:val="L1-FlLSp12"/>
        <w:spacing w:line="240" w:lineRule="auto"/>
        <w:ind w:left="720"/>
        <w:rPr>
          <w:rFonts w:ascii="Times New Roman" w:hAnsi="Times New Roman"/>
          <w:b/>
          <w:highlight w:val="yellow"/>
        </w:rPr>
      </w:pPr>
      <w:r w:rsidRPr="00EC4035">
        <w:rPr>
          <w:rFonts w:ascii="Times New Roman" w:hAnsi="Times New Roman"/>
        </w:rPr>
        <w:t xml:space="preserve">For both the pretest and main study, </w:t>
      </w:r>
      <w:r>
        <w:rPr>
          <w:rFonts w:ascii="Times New Roman" w:hAnsi="Times New Roman"/>
        </w:rPr>
        <w:t>the online panel vender SHG</w:t>
      </w:r>
      <w:r w:rsidRPr="00EC4035">
        <w:rPr>
          <w:rFonts w:ascii="Times New Roman" w:hAnsi="Times New Roman"/>
        </w:rPr>
        <w:t xml:space="preserve"> will initially send a recruitment email (Appendix A) that links to a prequalifying screener (Appendix B) to identify eligible HCPs. The screener will include questions about the amount of time spent seeing patients, demographic questions (age, race/ethnicity, and gender) and question to confirm the respondent’s specialty</w:t>
      </w:r>
      <w:r>
        <w:rPr>
          <w:rFonts w:ascii="Times New Roman" w:hAnsi="Times New Roman"/>
        </w:rPr>
        <w:t xml:space="preserve"> and experience treating the relevant scenario condition</w:t>
      </w:r>
      <w:r w:rsidRPr="00EC4035">
        <w:rPr>
          <w:rFonts w:ascii="Times New Roman" w:hAnsi="Times New Roman"/>
        </w:rPr>
        <w:t xml:space="preserve">. All respondents that meet eligibility requirements will be invited to participate in the survey within 24 hours of completing the screener. </w:t>
      </w:r>
      <w:r w:rsidR="00490F28">
        <w:rPr>
          <w:rFonts w:ascii="Times New Roman" w:hAnsi="Times New Roman"/>
        </w:rPr>
        <w:t xml:space="preserve">In accordance with their screening criteria met, respondents </w:t>
      </w:r>
      <w:r w:rsidRPr="00490F28" w:rsidR="00490F28">
        <w:rPr>
          <w:rFonts w:ascii="Times New Roman" w:hAnsi="Times New Roman"/>
        </w:rPr>
        <w:t>will be assigned to one of two nearly identical survey instruments</w:t>
      </w:r>
      <w:r w:rsidR="00490F28">
        <w:rPr>
          <w:rFonts w:ascii="Times New Roman" w:hAnsi="Times New Roman"/>
        </w:rPr>
        <w:t xml:space="preserve"> (Appendix C)</w:t>
      </w:r>
      <w:r w:rsidRPr="00EC4035" w:rsidR="00490F28">
        <w:rPr>
          <w:rFonts w:ascii="Times New Roman" w:hAnsi="Times New Roman"/>
        </w:rPr>
        <w:t xml:space="preserve"> </w:t>
      </w:r>
      <w:r w:rsidRPr="00490F28" w:rsidR="00490F28">
        <w:rPr>
          <w:rFonts w:ascii="Times New Roman" w:hAnsi="Times New Roman"/>
        </w:rPr>
        <w:t xml:space="preserve">that correspond to the two prescribing scenarios. </w:t>
      </w:r>
      <w:r w:rsidRPr="00EC4035">
        <w:rPr>
          <w:rFonts w:ascii="Times New Roman" w:hAnsi="Times New Roman"/>
        </w:rPr>
        <w:t>Respondents will be paid incentives for completing the survey.</w:t>
      </w:r>
    </w:p>
    <w:p w:rsidR="007E5651" w:rsidP="00A57AF7" w:rsidRDefault="007E5651" w14:paraId="798D4D66" w14:textId="77777777">
      <w:pPr>
        <w:spacing w:line="276" w:lineRule="auto"/>
        <w:ind w:left="720"/>
        <w:rPr>
          <w:b/>
        </w:rPr>
      </w:pPr>
    </w:p>
    <w:p w:rsidR="00A57AF7" w:rsidP="00A57AF7" w:rsidRDefault="00A57AF7" w14:paraId="0AD4030F" w14:textId="05892641">
      <w:pPr>
        <w:spacing w:line="276" w:lineRule="auto"/>
        <w:ind w:left="720"/>
        <w:rPr>
          <w:b/>
        </w:rPr>
      </w:pPr>
      <w:r w:rsidRPr="008B019A">
        <w:rPr>
          <w:b/>
        </w:rPr>
        <w:t>Analysis Plan</w:t>
      </w:r>
    </w:p>
    <w:p w:rsidRPr="002A6AB0" w:rsidR="00A57AF7" w:rsidP="00A57AF7" w:rsidRDefault="00A57AF7" w14:paraId="02861445" w14:textId="77777777">
      <w:pPr>
        <w:spacing w:line="276" w:lineRule="auto"/>
        <w:ind w:left="720"/>
        <w:rPr>
          <w:b/>
        </w:rPr>
      </w:pPr>
    </w:p>
    <w:p w:rsidR="008136C6" w:rsidP="00A57AF7" w:rsidRDefault="008136C6" w14:paraId="395E3210" w14:textId="46769177">
      <w:pPr>
        <w:pStyle w:val="L1-FlLSp12"/>
        <w:spacing w:line="240" w:lineRule="auto"/>
        <w:ind w:left="720"/>
        <w:rPr>
          <w:rFonts w:ascii="Times New Roman" w:hAnsi="Times New Roman"/>
          <w:color w:val="9BBB59" w:themeColor="accent3"/>
        </w:rPr>
      </w:pPr>
      <w:bookmarkStart w:name="_Hlk36142073" w:id="4"/>
      <w:r w:rsidRPr="00ED2FED">
        <w:rPr>
          <w:rFonts w:ascii="Times New Roman" w:hAnsi="Times New Roman" w:eastAsia="Calibri"/>
        </w:rPr>
        <w:t xml:space="preserve">We will </w:t>
      </w:r>
      <w:r w:rsidR="000B3789">
        <w:rPr>
          <w:rFonts w:ascii="Times New Roman" w:hAnsi="Times New Roman" w:eastAsia="Calibri"/>
        </w:rPr>
        <w:t>compute</w:t>
      </w:r>
      <w:r w:rsidRPr="00ED2FED" w:rsidR="000B3789">
        <w:rPr>
          <w:rFonts w:ascii="Times New Roman" w:hAnsi="Times New Roman" w:eastAsia="Calibri"/>
        </w:rPr>
        <w:t xml:space="preserve"> </w:t>
      </w:r>
      <w:r w:rsidRPr="00ED2FED">
        <w:rPr>
          <w:rFonts w:ascii="Times New Roman" w:hAnsi="Times New Roman" w:eastAsia="Calibri"/>
        </w:rPr>
        <w:t xml:space="preserve">frequencies for all survey questions (see Appendix C for a listing of the questionnaire items). Means and standard deviations will be provided for scale items. </w:t>
      </w:r>
      <w:r w:rsidR="00EE0F84">
        <w:rPr>
          <w:rFonts w:ascii="Times New Roman" w:hAnsi="Times New Roman" w:eastAsia="Calibri"/>
        </w:rPr>
        <w:t>To compare responses between different subgroups of interest, w</w:t>
      </w:r>
      <w:r w:rsidRPr="00ED2FED">
        <w:rPr>
          <w:rFonts w:ascii="Times New Roman" w:hAnsi="Times New Roman" w:eastAsia="Calibri"/>
        </w:rPr>
        <w:t xml:space="preserve">e will carry through chi-square tests for categorical variables (using t-tests to compare frequencies of specific priority response options), and ordinal logistic regression for ordinal variables. </w:t>
      </w:r>
      <w:r w:rsidR="00DB1300">
        <w:rPr>
          <w:rFonts w:ascii="Times New Roman" w:hAnsi="Times New Roman" w:eastAsia="Calibri"/>
        </w:rPr>
        <w:t xml:space="preserve">Chi-square and ordinal logistic regression tests will test the null hypothesis that subgroup membership is independent of responses to each question. </w:t>
      </w:r>
      <w:r w:rsidR="003947A8">
        <w:rPr>
          <w:rFonts w:ascii="Times New Roman" w:hAnsi="Times New Roman" w:eastAsia="Calibri"/>
        </w:rPr>
        <w:t xml:space="preserve">To assess relationships among key variables of interest, we will conduct correlation and regression tests that test the null hypothesis of the correlation/regression coefficient not being significantly different from 0. </w:t>
      </w:r>
      <w:r w:rsidRPr="00ED2FED" w:rsidR="00B5103B">
        <w:rPr>
          <w:rFonts w:ascii="Times New Roman" w:hAnsi="Times New Roman" w:eastAsia="Calibri"/>
        </w:rPr>
        <w:t>A</w:t>
      </w:r>
      <w:r w:rsidRPr="00ED2FED">
        <w:rPr>
          <w:rFonts w:ascii="Times New Roman" w:hAnsi="Times New Roman" w:eastAsia="Calibri"/>
        </w:rPr>
        <w:t>nalyses will be conducted using Stata statistical software.</w:t>
      </w:r>
      <w:r w:rsidRPr="00ED2FED" w:rsidR="00586020">
        <w:rPr>
          <w:rFonts w:ascii="Times New Roman" w:hAnsi="Times New Roman" w:eastAsia="Calibri"/>
        </w:rPr>
        <w:t xml:space="preserve"> For hypothesis testing for subgroup comparisons and correlations, a 95% confidence level and p &lt; 0.05 will be used </w:t>
      </w:r>
      <w:r w:rsidR="00E25EBC">
        <w:rPr>
          <w:rFonts w:ascii="Times New Roman" w:hAnsi="Times New Roman" w:eastAsia="Calibri"/>
        </w:rPr>
        <w:t xml:space="preserve">as a standard </w:t>
      </w:r>
      <w:r w:rsidRPr="00ED2FED" w:rsidR="00586020">
        <w:rPr>
          <w:rFonts w:ascii="Times New Roman" w:hAnsi="Times New Roman" w:eastAsia="Calibri"/>
        </w:rPr>
        <w:t>for statistical significance.</w:t>
      </w:r>
      <w:r w:rsidR="00605B79">
        <w:rPr>
          <w:rFonts w:ascii="Times New Roman" w:hAnsi="Times New Roman" w:eastAsia="Calibri"/>
        </w:rPr>
        <w:t xml:space="preserve"> </w:t>
      </w:r>
      <w:r w:rsidRPr="00605B79" w:rsidR="00605B79">
        <w:rPr>
          <w:rFonts w:ascii="Times New Roman" w:hAnsi="Times New Roman" w:eastAsia="Calibri"/>
        </w:rPr>
        <w:t>These will enable us to answer the key research questions relating to descriptive assessment of HCPs’ prescription decision-making, as well as how the key variables of prescribing scenario and participant variables (GPs vs. specialists) are related to outcome variables such as understanding of boxed warning risks, assessment of drug efficacy, and likelihood of prescribing.</w:t>
      </w:r>
      <w:r w:rsidRPr="00F00617" w:rsidR="00F00617">
        <w:rPr>
          <w:rFonts w:ascii="Times New Roman" w:hAnsi="Times New Roman" w:eastAsia="Calibri"/>
        </w:rPr>
        <w:t xml:space="preserve"> </w:t>
      </w:r>
    </w:p>
    <w:bookmarkEnd w:id="4"/>
    <w:p w:rsidRPr="00A57AF7" w:rsidR="00571024" w:rsidP="000C501E" w:rsidRDefault="00571024" w14:paraId="235CDDCD" w14:textId="32B18B05">
      <w:pPr>
        <w:rPr>
          <w:color w:val="9BBB59" w:themeColor="accent3"/>
        </w:rPr>
      </w:pPr>
    </w:p>
    <w:p w:rsidRPr="00ED2FED" w:rsidR="00571024" w:rsidP="00ED2FED" w:rsidRDefault="00ED2FED" w14:paraId="51249E86" w14:textId="49C1246E">
      <w:pPr>
        <w:ind w:left="720"/>
        <w:rPr>
          <w:b/>
        </w:rPr>
      </w:pPr>
      <w:r w:rsidRPr="00ED2FED">
        <w:rPr>
          <w:b/>
        </w:rPr>
        <w:t xml:space="preserve">Analysis of </w:t>
      </w:r>
      <w:r w:rsidR="00A95404">
        <w:rPr>
          <w:b/>
        </w:rPr>
        <w:t>O</w:t>
      </w:r>
      <w:r w:rsidRPr="00ED2FED">
        <w:rPr>
          <w:b/>
        </w:rPr>
        <w:t xml:space="preserve">pen-ended </w:t>
      </w:r>
      <w:r w:rsidR="00A95404">
        <w:rPr>
          <w:b/>
        </w:rPr>
        <w:t>Q</w:t>
      </w:r>
      <w:r w:rsidRPr="00ED2FED">
        <w:rPr>
          <w:b/>
        </w:rPr>
        <w:t>uestions</w:t>
      </w:r>
    </w:p>
    <w:p w:rsidR="00454EF8" w:rsidP="00CC66C2" w:rsidRDefault="00454EF8" w14:paraId="6724B6A1" w14:textId="067F3D7F">
      <w:pPr>
        <w:rPr>
          <w:rFonts w:ascii="Franklin Gothic Book" w:hAnsi="Franklin Gothic Book" w:eastAsia="Calibri"/>
        </w:rPr>
      </w:pPr>
      <w:bookmarkStart w:name="_Hlk25553014" w:id="5"/>
    </w:p>
    <w:p w:rsidRPr="000C501E" w:rsidR="00ED2FED" w:rsidP="006A091E" w:rsidRDefault="00E938AC" w14:paraId="38B0132B" w14:textId="2DFF0F9C">
      <w:pPr>
        <w:keepNext/>
        <w:ind w:left="720"/>
        <w:rPr>
          <w:rFonts w:eastAsia="Calibri"/>
          <w:color w:val="000000" w:themeColor="text1"/>
        </w:rPr>
      </w:pPr>
      <w:bookmarkStart w:name="_Hlk36142188" w:id="6"/>
      <w:r w:rsidRPr="00295527">
        <w:rPr>
          <w:rFonts w:eastAsia="Calibri"/>
          <w:color w:val="000000" w:themeColor="text1"/>
        </w:rPr>
        <w:t xml:space="preserve">Responses to </w:t>
      </w:r>
      <w:r w:rsidRPr="00295527" w:rsidR="00454EF8">
        <w:rPr>
          <w:rFonts w:eastAsia="Calibri"/>
          <w:color w:val="000000" w:themeColor="text1"/>
        </w:rPr>
        <w:t xml:space="preserve">open-ended </w:t>
      </w:r>
      <w:r w:rsidRPr="00295527">
        <w:rPr>
          <w:rFonts w:eastAsia="Calibri"/>
          <w:color w:val="000000" w:themeColor="text1"/>
        </w:rPr>
        <w:t xml:space="preserve">questions </w:t>
      </w:r>
      <w:r w:rsidRPr="00295527" w:rsidR="00454EF8">
        <w:rPr>
          <w:rFonts w:eastAsia="Calibri"/>
          <w:color w:val="000000" w:themeColor="text1"/>
        </w:rPr>
        <w:t>will be coded by trained research staff</w:t>
      </w:r>
      <w:r w:rsidRPr="00295527">
        <w:rPr>
          <w:rFonts w:eastAsia="Calibri"/>
          <w:color w:val="000000" w:themeColor="text1"/>
        </w:rPr>
        <w:t>. We will develop the coding schema using the responses from the pretest surveys (</w:t>
      </w:r>
      <w:r w:rsidRPr="00295527">
        <w:rPr>
          <w:rFonts w:eastAsia="Calibri"/>
          <w:i/>
          <w:iCs/>
          <w:color w:val="000000" w:themeColor="text1"/>
        </w:rPr>
        <w:t>n</w:t>
      </w:r>
      <w:r w:rsidRPr="00295527">
        <w:rPr>
          <w:rFonts w:eastAsia="Calibri"/>
          <w:color w:val="000000" w:themeColor="text1"/>
        </w:rPr>
        <w:t>=</w:t>
      </w:r>
      <w:r w:rsidR="005505F6">
        <w:rPr>
          <w:rFonts w:eastAsia="Calibri"/>
          <w:color w:val="000000" w:themeColor="text1"/>
        </w:rPr>
        <w:t>50</w:t>
      </w:r>
      <w:r w:rsidRPr="00295527">
        <w:rPr>
          <w:rFonts w:eastAsia="Calibri"/>
          <w:color w:val="000000" w:themeColor="text1"/>
        </w:rPr>
        <w:t>)</w:t>
      </w:r>
      <w:r w:rsidRPr="00295527" w:rsidR="00EE0F84">
        <w:rPr>
          <w:rFonts w:eastAsia="Calibri"/>
          <w:color w:val="000000" w:themeColor="text1"/>
        </w:rPr>
        <w:t xml:space="preserve"> as well as a sample of responses from the main survey</w:t>
      </w:r>
      <w:r w:rsidRPr="00295527">
        <w:rPr>
          <w:rFonts w:eastAsia="Calibri"/>
          <w:color w:val="000000" w:themeColor="text1"/>
        </w:rPr>
        <w:t xml:space="preserve">. </w:t>
      </w:r>
      <w:r w:rsidRPr="00295527" w:rsidR="00454EF8">
        <w:rPr>
          <w:rFonts w:eastAsia="Calibri"/>
          <w:color w:val="000000" w:themeColor="text1"/>
        </w:rPr>
        <w:t xml:space="preserve">At least two coders first complete at least </w:t>
      </w:r>
      <w:r w:rsidRPr="00295527" w:rsidR="00454EF8">
        <w:rPr>
          <w:rFonts w:eastAsia="Calibri"/>
          <w:color w:val="000000" w:themeColor="text1"/>
        </w:rPr>
        <w:lastRenderedPageBreak/>
        <w:t xml:space="preserve">10% of the responses—if an intercoder reliability of .75 (kappa) is obtained, then the remaining responses are divided among the coders. </w:t>
      </w:r>
      <w:bookmarkStart w:name="_Hlk25553131" w:id="7"/>
      <w:bookmarkEnd w:id="5"/>
      <w:r w:rsidRPr="00295527" w:rsidR="00206E7E">
        <w:rPr>
          <w:color w:val="000000" w:themeColor="text1"/>
        </w:rPr>
        <w:t xml:space="preserve">Any differences between coders will be discussed and adjudicated by a third reviewer. All coded responses will be transformed into </w:t>
      </w:r>
      <w:r w:rsidRPr="00295527" w:rsidR="00EE0F84">
        <w:rPr>
          <w:color w:val="000000" w:themeColor="text1"/>
        </w:rPr>
        <w:t xml:space="preserve">categorical </w:t>
      </w:r>
      <w:r w:rsidRPr="00295527" w:rsidR="00206E7E">
        <w:rPr>
          <w:color w:val="000000" w:themeColor="text1"/>
        </w:rPr>
        <w:t>numeric proxy measures for analysis.</w:t>
      </w:r>
      <w:bookmarkEnd w:id="6"/>
      <w:bookmarkEnd w:id="7"/>
    </w:p>
    <w:p w:rsidRPr="00600BCC" w:rsidR="00600BCC" w:rsidP="00E938AC" w:rsidRDefault="00A14AE9" w14:paraId="1BD08DF1" w14:textId="119D19C8">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0270D1" w:rsidP="00BF1DC9" w:rsidRDefault="000270D1" w14:paraId="1F98147A" w14:textId="47DBDC56">
      <w:pPr>
        <w:ind w:left="720"/>
        <w:contextualSpacing/>
      </w:pPr>
      <w:r>
        <w:t>Because this study utilizes a non-probability sampling approach and a web-based panel, we will calculate a participation rate rather than a response rate</w:t>
      </w:r>
      <w:r w:rsidR="00BF1DC9">
        <w:t>, in accordance with</w:t>
      </w:r>
      <w:r w:rsidRPr="00BF1DC9" w:rsidR="00BF1DC9">
        <w:t xml:space="preserve"> </w:t>
      </w:r>
      <w:r w:rsidRPr="00D52D7E" w:rsidR="00BF1DC9">
        <w:t>AAPOR’s Standard Definitions (2016)</w:t>
      </w:r>
      <w:r w:rsidRPr="00D52D7E" w:rsidR="00BF1DC9">
        <w:rPr>
          <w:rStyle w:val="FootnoteReference"/>
        </w:rPr>
        <w:footnoteReference w:id="5"/>
      </w:r>
      <w:r>
        <w:t xml:space="preserve">. </w:t>
      </w:r>
      <w:r w:rsidR="00192089">
        <w:t>For each survey</w:t>
      </w:r>
      <w:r w:rsidRPr="00D52D7E" w:rsidR="00192089">
        <w:t xml:space="preserve">, we </w:t>
      </w:r>
      <w:r w:rsidR="00192089">
        <w:t xml:space="preserve">will </w:t>
      </w:r>
      <w:r w:rsidRPr="00D52D7E" w:rsidR="00192089">
        <w:t xml:space="preserve">calculate a </w:t>
      </w:r>
      <w:r w:rsidR="00192089">
        <w:t xml:space="preserve">participation </w:t>
      </w:r>
      <w:r w:rsidRPr="00D52D7E" w:rsidR="00192089">
        <w:t xml:space="preserve">rate as the number of individuals who provide usable data divided by the </w:t>
      </w:r>
      <w:r w:rsidR="00192089">
        <w:t xml:space="preserve">estimated </w:t>
      </w:r>
      <w:r w:rsidRPr="00D52D7E" w:rsidR="00192089">
        <w:t xml:space="preserve">number of panelists who </w:t>
      </w:r>
      <w:r w:rsidR="00192089">
        <w:t xml:space="preserve">were </w:t>
      </w:r>
      <w:r w:rsidRPr="00D52D7E" w:rsidR="00192089">
        <w:t>invited to take the survey</w:t>
      </w:r>
      <w:r w:rsidR="00BF1DC9">
        <w:t xml:space="preserve">. </w:t>
      </w:r>
    </w:p>
    <w:p w:rsidR="00192089" w:rsidP="00192089" w:rsidRDefault="00192089" w14:paraId="115CB804" w14:textId="77777777">
      <w:pPr>
        <w:pStyle w:val="ListParagraph"/>
        <w:contextualSpacing/>
      </w:pPr>
    </w:p>
    <w:p w:rsidR="00600BCC" w:rsidP="00F21971" w:rsidRDefault="00600BCC" w14:paraId="2AE20946" w14:textId="6EAD0FAB">
      <w:pPr>
        <w:pStyle w:val="ListParagraph"/>
        <w:contextualSpacing/>
      </w:pPr>
      <w:r>
        <w:rPr>
          <w:color w:val="000000"/>
        </w:rPr>
        <w:t>To help ensure that the participation rate is as high as possible</w:t>
      </w:r>
      <w:r>
        <w:t>, FDA and the contractor will</w:t>
      </w:r>
      <w:r w:rsidRPr="005C7016">
        <w:t>:</w:t>
      </w:r>
    </w:p>
    <w:p w:rsidR="00600BCC" w:rsidP="00600BCC" w:rsidRDefault="00600BCC" w14:paraId="3C8A8800" w14:textId="77777777">
      <w:pPr>
        <w:ind w:firstLine="630"/>
        <w:contextualSpacing/>
      </w:pPr>
    </w:p>
    <w:p w:rsidR="00600BCC" w:rsidP="00600BCC" w:rsidRDefault="00600BCC" w14:paraId="299047B9" w14:textId="7F451441">
      <w:pPr>
        <w:pStyle w:val="ListParagraph"/>
        <w:numPr>
          <w:ilvl w:val="0"/>
          <w:numId w:val="7"/>
        </w:numPr>
        <w:tabs>
          <w:tab w:val="left" w:pos="1080"/>
        </w:tabs>
        <w:ind w:left="1080" w:hanging="360"/>
        <w:contextualSpacing/>
      </w:pPr>
      <w:r w:rsidRPr="005C7016">
        <w:t>Design a</w:t>
      </w:r>
      <w:r>
        <w:t xml:space="preserve"> </w:t>
      </w:r>
      <w:r w:rsidRPr="005C7016">
        <w:t>protocol</w:t>
      </w:r>
      <w:r w:rsidR="00F00617">
        <w:t xml:space="preserve"> and</w:t>
      </w:r>
      <w:r w:rsidR="006D39AE">
        <w:t xml:space="preserve"> cognitively-tested</w:t>
      </w:r>
      <w:r w:rsidR="00F00617">
        <w:t xml:space="preserve"> survey instrument</w:t>
      </w:r>
      <w:r w:rsidRPr="005C7016">
        <w:t xml:space="preserve"> that minimizes burden (</w:t>
      </w:r>
      <w:r>
        <w:t>reasonable</w:t>
      </w:r>
      <w:r w:rsidRPr="005C7016">
        <w:t xml:space="preserve"> in length, clearly written, and with appealing graphics)</w:t>
      </w:r>
      <w:r>
        <w:t>.</w:t>
      </w:r>
      <w:r w:rsidRPr="005C7016">
        <w:t xml:space="preserve"> </w:t>
      </w:r>
    </w:p>
    <w:p w:rsidR="00600BCC" w:rsidP="00600BCC" w:rsidRDefault="00600BCC" w14:paraId="1F1C4C97" w14:textId="77777777">
      <w:pPr>
        <w:tabs>
          <w:tab w:val="left" w:pos="1080"/>
        </w:tabs>
      </w:pPr>
    </w:p>
    <w:p w:rsidR="00600BCC" w:rsidP="00600BCC" w:rsidRDefault="00600BCC" w14:paraId="1BB3022B" w14:textId="308AD396">
      <w:pPr>
        <w:pStyle w:val="ListParagraph"/>
        <w:numPr>
          <w:ilvl w:val="0"/>
          <w:numId w:val="7"/>
        </w:numPr>
        <w:tabs>
          <w:tab w:val="left" w:pos="1080"/>
        </w:tabs>
        <w:ind w:left="1080" w:hanging="360"/>
        <w:contextualSpacing/>
      </w:pPr>
      <w:r>
        <w:t xml:space="preserve">Use incentive rates that </w:t>
      </w:r>
      <w:r w:rsidR="00E25EBC">
        <w:t>are as close to</w:t>
      </w:r>
      <w:r>
        <w:t xml:space="preserve"> industry standards</w:t>
      </w:r>
      <w:r w:rsidR="00E25EBC">
        <w:t xml:space="preserve"> as possible</w:t>
      </w:r>
      <w:r>
        <w:t>.</w:t>
      </w:r>
      <w:r w:rsidRPr="00863625">
        <w:t xml:space="preserve"> </w:t>
      </w:r>
      <w:r>
        <w:t>In addition to offsetting respondent burden, u</w:t>
      </w:r>
      <w:r w:rsidRPr="007D4D0E">
        <w:t xml:space="preserve">sing market-rate incentives </w:t>
      </w:r>
      <w:r>
        <w:t xml:space="preserve">tends to increase </w:t>
      </w:r>
      <w:r w:rsidR="00EE22BD">
        <w:t>participation</w:t>
      </w:r>
      <w:r>
        <w:t xml:space="preserve"> rates</w:t>
      </w:r>
      <w:r w:rsidR="00EE22BD">
        <w:t>.</w:t>
      </w:r>
      <w:r w:rsidR="006F607C">
        <w:rPr>
          <w:rStyle w:val="FootnoteReference"/>
        </w:rPr>
        <w:footnoteReference w:id="6"/>
      </w:r>
      <w:r>
        <w:t xml:space="preserve"> </w:t>
      </w:r>
    </w:p>
    <w:p w:rsidR="00600BCC" w:rsidP="00600BCC" w:rsidRDefault="00600BCC" w14:paraId="3D66DFC6" w14:textId="77777777">
      <w:pPr>
        <w:pStyle w:val="ListParagraph"/>
      </w:pPr>
    </w:p>
    <w:p w:rsidR="00600BCC" w:rsidP="00600BCC" w:rsidRDefault="00600BCC" w14:paraId="2EA37297" w14:textId="17478483">
      <w:pPr>
        <w:pStyle w:val="ListParagraph"/>
        <w:numPr>
          <w:ilvl w:val="0"/>
          <w:numId w:val="7"/>
        </w:numPr>
        <w:tabs>
          <w:tab w:val="left" w:pos="1080"/>
        </w:tabs>
        <w:ind w:left="1080" w:hanging="360"/>
        <w:contextualSpacing/>
      </w:pPr>
      <w:r>
        <w:t xml:space="preserve">Use government sponsorship on the survey invite to increase response rate. </w:t>
      </w:r>
      <w:r w:rsidRPr="00852366">
        <w:t>An experiment conducted by FDA and RTI</w:t>
      </w:r>
      <w:r>
        <w:rPr>
          <w:rStyle w:val="FootnoteReference"/>
        </w:rPr>
        <w:footnoteReference w:id="7"/>
      </w:r>
      <w:r w:rsidRPr="00852366">
        <w:t xml:space="preserve"> found that among endocrinologists, response rates were 6 percentage points higher when FDA was disclosed as the sponsor in the survey invitation than when no sponsor was listed.</w:t>
      </w:r>
      <w:r>
        <w:t xml:space="preserve"> </w:t>
      </w:r>
      <w:r w:rsidR="004464C9">
        <w:t>A</w:t>
      </w:r>
      <w:r w:rsidRPr="00B651B5">
        <w:t xml:space="preserve">ll </w:t>
      </w:r>
      <w:r>
        <w:t xml:space="preserve">study </w:t>
      </w:r>
      <w:r w:rsidRPr="00B651B5">
        <w:t xml:space="preserve">materials </w:t>
      </w:r>
      <w:r>
        <w:t xml:space="preserve">will </w:t>
      </w:r>
      <w:r w:rsidRPr="00B651B5">
        <w:t xml:space="preserve">reference the </w:t>
      </w:r>
      <w:r w:rsidR="000C501E">
        <w:t>U.S. Food and Drug Administration</w:t>
      </w:r>
      <w:r>
        <w:t xml:space="preserve">. </w:t>
      </w:r>
    </w:p>
    <w:p w:rsidR="00F00617" w:rsidP="00A95404" w:rsidRDefault="00F00617" w14:paraId="0030FB38" w14:textId="77777777">
      <w:pPr>
        <w:pStyle w:val="ListParagraph"/>
      </w:pPr>
    </w:p>
    <w:p w:rsidR="00F00617" w:rsidP="00600BCC" w:rsidRDefault="00F00617" w14:paraId="39A16874" w14:textId="5C61ED75">
      <w:pPr>
        <w:pStyle w:val="ListParagraph"/>
        <w:numPr>
          <w:ilvl w:val="0"/>
          <w:numId w:val="7"/>
        </w:numPr>
        <w:tabs>
          <w:tab w:val="left" w:pos="1080"/>
        </w:tabs>
        <w:ind w:left="1080" w:hanging="360"/>
        <w:contextualSpacing/>
      </w:pPr>
      <w:r>
        <w:t xml:space="preserve">Use multiple </w:t>
      </w:r>
      <w:r w:rsidR="002907F2">
        <w:t xml:space="preserve">email </w:t>
      </w:r>
      <w:r>
        <w:t>reminder invitations to increase opportunities for invited panelists to participate, including more custom personal reminders for specific targets of interest, based on observed participation rates</w:t>
      </w:r>
      <w:r w:rsidR="00E25EBC">
        <w:t xml:space="preserve"> while in the field</w:t>
      </w:r>
      <w:r>
        <w:t>.</w:t>
      </w:r>
    </w:p>
    <w:p w:rsidR="004A77F8" w:rsidP="00E938AC" w:rsidRDefault="004A77F8" w14:paraId="1810FFD3" w14:textId="28020912">
      <w:pPr>
        <w:pStyle w:val="BodyTextIndent2"/>
        <w:spacing w:after="0" w:line="240" w:lineRule="auto"/>
        <w:ind w:left="0"/>
        <w:rPr>
          <w:color w:val="FF0000"/>
        </w:rPr>
      </w:pPr>
    </w:p>
    <w:p w:rsidR="00934BC7" w:rsidP="00A14AE9" w:rsidRDefault="00CD2042" w14:paraId="177D0108" w14:textId="4874FD8E">
      <w:pPr>
        <w:pStyle w:val="BodyTextIndent2"/>
        <w:spacing w:after="0" w:line="240" w:lineRule="auto"/>
        <w:ind w:left="720"/>
      </w:pPr>
      <w:bookmarkStart w:name="_Hlk25553481" w:id="8"/>
      <w:r w:rsidRPr="00625BD8">
        <w:rPr>
          <w:b/>
        </w:rPr>
        <w:t>Non</w:t>
      </w:r>
      <w:r w:rsidR="00765B29">
        <w:rPr>
          <w:b/>
        </w:rPr>
        <w:t>r</w:t>
      </w:r>
      <w:r w:rsidRPr="00625BD8">
        <w:rPr>
          <w:b/>
        </w:rPr>
        <w:t>esponse Bias Analysis</w:t>
      </w:r>
    </w:p>
    <w:p w:rsidR="00934BC7" w:rsidP="00A14AE9" w:rsidRDefault="00934BC7" w14:paraId="79CA1149" w14:textId="77777777">
      <w:pPr>
        <w:pStyle w:val="BodyTextIndent2"/>
        <w:spacing w:after="0" w:line="240" w:lineRule="auto"/>
        <w:ind w:left="720"/>
      </w:pPr>
    </w:p>
    <w:p w:rsidR="00ED21CA" w:rsidP="00ED21CA" w:rsidRDefault="00CD2042" w14:paraId="5C952503" w14:textId="77777777">
      <w:pPr>
        <w:pStyle w:val="BodyTextIndent2"/>
        <w:spacing w:after="0" w:line="240" w:lineRule="auto"/>
        <w:ind w:left="720"/>
      </w:pPr>
      <w:r w:rsidRPr="00CD2042">
        <w:t xml:space="preserve">Given the use of a nonprobability </w:t>
      </w:r>
      <w:r w:rsidR="00932E28">
        <w:t>panel</w:t>
      </w:r>
      <w:r w:rsidRPr="00CD2042">
        <w:t xml:space="preserve">, </w:t>
      </w:r>
      <w:r w:rsidR="00932E28">
        <w:t xml:space="preserve">for each of the two surveys, </w:t>
      </w:r>
      <w:r w:rsidRPr="00CD2042">
        <w:t xml:space="preserve">we </w:t>
      </w:r>
      <w:r>
        <w:t>will apply</w:t>
      </w:r>
      <w:r w:rsidRPr="00CD2042">
        <w:t xml:space="preserve"> benchmarking methods </w:t>
      </w:r>
      <w:r>
        <w:t>to ass</w:t>
      </w:r>
      <w:r w:rsidR="00625BD8">
        <w:t>ess</w:t>
      </w:r>
      <w:r w:rsidRPr="00CD2042">
        <w:t xml:space="preserve"> how the demographics of respondents differ from </w:t>
      </w:r>
      <w:r>
        <w:t>identified</w:t>
      </w:r>
      <w:r w:rsidRPr="00CD2042">
        <w:t xml:space="preserve"> external benchmarks</w:t>
      </w:r>
      <w:r>
        <w:t xml:space="preserve">. </w:t>
      </w:r>
      <w:r w:rsidR="00932E28">
        <w:t xml:space="preserve">For physicians, these benchmarks will be based on </w:t>
      </w:r>
      <w:r w:rsidRPr="00CD2042" w:rsidR="00625BD8">
        <w:t xml:space="preserve">comprehensive statistics </w:t>
      </w:r>
      <w:r w:rsidR="00932E28">
        <w:t xml:space="preserve">from </w:t>
      </w:r>
      <w:r w:rsidRPr="00CD2042">
        <w:t>the American Medical Association (AMA) Physician Masterfile</w:t>
      </w:r>
      <w:r w:rsidR="00455F0A">
        <w:t xml:space="preserve">; analogous sources will be selected for NPs and PAs based on availability, </w:t>
      </w:r>
      <w:r w:rsidR="00455F0A">
        <w:lastRenderedPageBreak/>
        <w:t>quality, and relevance.</w:t>
      </w:r>
      <w:r w:rsidRPr="00CD2042">
        <w:t xml:space="preserve"> </w:t>
      </w:r>
      <w:r w:rsidRPr="00CD2042" w:rsidR="00625BD8">
        <w:t xml:space="preserve">We will ensure that the </w:t>
      </w:r>
      <w:r w:rsidR="00625BD8">
        <w:t xml:space="preserve">benchmark </w:t>
      </w:r>
      <w:r w:rsidR="00684089">
        <w:t xml:space="preserve">analyses </w:t>
      </w:r>
      <w:r w:rsidRPr="00CD2042" w:rsidR="00625BD8">
        <w:t>reflect comparable populations, to the extent possible</w:t>
      </w:r>
      <w:r w:rsidR="00625BD8">
        <w:t xml:space="preserve"> (e.g., sample </w:t>
      </w:r>
      <w:r w:rsidR="00684089">
        <w:t xml:space="preserve">physicians </w:t>
      </w:r>
      <w:r w:rsidR="009D64AF">
        <w:t xml:space="preserve">[regardless of prescribing activities] </w:t>
      </w:r>
      <w:r w:rsidR="00625BD8">
        <w:t xml:space="preserve">compared to AMA </w:t>
      </w:r>
      <w:r w:rsidR="00684089">
        <w:t>physicians</w:t>
      </w:r>
      <w:r w:rsidR="00625BD8">
        <w:t>).</w:t>
      </w:r>
    </w:p>
    <w:p w:rsidR="00ED21CA" w:rsidP="00ED21CA" w:rsidRDefault="00ED21CA" w14:paraId="53E5A088" w14:textId="77777777">
      <w:pPr>
        <w:pStyle w:val="BodyTextIndent2"/>
        <w:spacing w:after="0" w:line="240" w:lineRule="auto"/>
        <w:ind w:left="720"/>
      </w:pPr>
    </w:p>
    <w:p w:rsidR="008E5F41" w:rsidP="00ED21CA" w:rsidRDefault="00806A43" w14:paraId="53AA2E77" w14:textId="60B9D322">
      <w:pPr>
        <w:pStyle w:val="BodyTextIndent2"/>
        <w:spacing w:after="0" w:line="240" w:lineRule="auto"/>
        <w:ind w:left="720"/>
      </w:pPr>
      <w:r>
        <w:t>We anticipate that this</w:t>
      </w:r>
      <w:r w:rsidR="008E5F41">
        <w:t xml:space="preserve"> analysis will reflect the most important sources of potential selection bias, since it will reflect potential selection bias arising from panel recruitment and retention as well as from study-specific sampling and screener nonresponse.</w:t>
      </w:r>
      <w:r w:rsidR="00EC6AE5">
        <w:t xml:space="preserve"> H</w:t>
      </w:r>
      <w:r w:rsidR="008E5F41">
        <w:t xml:space="preserve">owever, </w:t>
      </w:r>
      <w:r w:rsidR="00BF0B5A">
        <w:t>a</w:t>
      </w:r>
      <w:r w:rsidR="00C365DF">
        <w:t>n</w:t>
      </w:r>
      <w:r w:rsidR="00BF0B5A">
        <w:t xml:space="preserve"> HCP </w:t>
      </w:r>
      <w:r w:rsidR="008E5F41">
        <w:t xml:space="preserve">who completes the screener </w:t>
      </w:r>
      <w:r w:rsidR="00BF0B5A">
        <w:t xml:space="preserve">and qualifies for the study </w:t>
      </w:r>
      <w:r w:rsidR="008E5F41">
        <w:t xml:space="preserve">may still fail to complete the entire survey. Therefore, the second analysis analyzes the likelihood </w:t>
      </w:r>
      <w:r w:rsidR="00684089">
        <w:t xml:space="preserve">of completing </w:t>
      </w:r>
      <w:r w:rsidR="008E5F41">
        <w:t>the survey, conditional upon screener completion and eligibility. This entails estimating a logistic regression model to predict survey completion as a function of demographic information collected during the screener. This model will be restricted to individuals who completed the screener and meet all screening eligibility criteria.</w:t>
      </w:r>
    </w:p>
    <w:p w:rsidR="00625BD8" w:rsidP="00896F6A" w:rsidRDefault="00625BD8" w14:paraId="6B6C4604" w14:textId="33C6F5AC">
      <w:pPr>
        <w:pStyle w:val="BodyTextIndent2"/>
        <w:spacing w:after="0" w:line="240" w:lineRule="auto"/>
      </w:pPr>
    </w:p>
    <w:p w:rsidRPr="00ED2FED" w:rsidR="00ED2FED" w:rsidP="00A14AE9" w:rsidRDefault="00ED2FED" w14:paraId="0BCEFAFB" w14:textId="1B8325AF">
      <w:pPr>
        <w:pStyle w:val="BodyTextIndent2"/>
        <w:spacing w:after="0" w:line="240" w:lineRule="auto"/>
        <w:ind w:left="720"/>
        <w:rPr>
          <w:b/>
        </w:rPr>
      </w:pPr>
      <w:r w:rsidRPr="00ED2FED">
        <w:rPr>
          <w:b/>
        </w:rPr>
        <w:t>Item Nonresponse</w:t>
      </w:r>
    </w:p>
    <w:p w:rsidR="00ED2FED" w:rsidP="00A14AE9" w:rsidRDefault="00ED2FED" w14:paraId="0D420C01" w14:textId="3AFF5BD0">
      <w:pPr>
        <w:pStyle w:val="BodyTextIndent2"/>
        <w:spacing w:after="0" w:line="240" w:lineRule="auto"/>
        <w:ind w:left="720"/>
      </w:pPr>
    </w:p>
    <w:p w:rsidR="007763BF" w:rsidP="007763BF" w:rsidRDefault="007E1245" w14:paraId="705DC36E" w14:textId="11495D27">
      <w:pPr>
        <w:pStyle w:val="BodyTextIndent2"/>
        <w:spacing w:after="0" w:line="240" w:lineRule="auto"/>
        <w:ind w:left="720"/>
      </w:pPr>
      <w:r>
        <w:t xml:space="preserve">We expect low levels of item-missing data </w:t>
      </w:r>
      <w:r w:rsidR="00765B29">
        <w:t xml:space="preserve">in this survey, due to the methodologies employed </w:t>
      </w:r>
      <w:r w:rsidR="00684089">
        <w:t>and the</w:t>
      </w:r>
      <w:r w:rsidR="00765B29">
        <w:t xml:space="preserve"> data completeness criteria </w:t>
      </w:r>
      <w:r w:rsidR="007763BF">
        <w:t>that will be imposed</w:t>
      </w:r>
      <w:r w:rsidR="00765B29">
        <w:t xml:space="preserve">. </w:t>
      </w:r>
      <w:r w:rsidR="007763BF">
        <w:t xml:space="preserve">For each </w:t>
      </w:r>
      <w:r w:rsidR="00896F6A">
        <w:t>survey respondent</w:t>
      </w:r>
      <w:r w:rsidR="007763BF">
        <w:t>, we will compute the proportion of the survey that was completed, while accounting for skip logic.</w:t>
      </w:r>
      <w:r w:rsidRPr="007763BF" w:rsidR="007763BF">
        <w:t xml:space="preserve"> </w:t>
      </w:r>
      <w:r w:rsidR="007763BF">
        <w:t xml:space="preserve">We plan to classify eligible units as complete respondents only if they complete </w:t>
      </w:r>
      <w:r w:rsidR="005768E6">
        <w:t>at least 75</w:t>
      </w:r>
      <w:r w:rsidR="007763BF">
        <w:t xml:space="preserve">% of the survey. </w:t>
      </w:r>
    </w:p>
    <w:p w:rsidR="00765B29" w:rsidP="00A14AE9" w:rsidRDefault="00765B29" w14:paraId="717212C0" w14:textId="09959871">
      <w:pPr>
        <w:pStyle w:val="BodyTextIndent2"/>
        <w:spacing w:after="0" w:line="240" w:lineRule="auto"/>
        <w:ind w:left="720"/>
      </w:pPr>
    </w:p>
    <w:p w:rsidR="00B14813" w:rsidP="00806A43" w:rsidRDefault="007763BF" w14:paraId="35FA2807" w14:textId="2575FBEC">
      <w:pPr>
        <w:pStyle w:val="BodyTextIndent2"/>
        <w:spacing w:after="0" w:line="240" w:lineRule="auto"/>
        <w:ind w:left="720"/>
      </w:pPr>
      <w:r>
        <w:t>After classifying sample members based on survey eligibility and completion, we will analyze item nonresponse for respondents</w:t>
      </w:r>
      <w:r w:rsidR="00806A43">
        <w:t xml:space="preserve"> and tabulate i</w:t>
      </w:r>
      <w:r>
        <w:t xml:space="preserve">tem nonresponse rates for every </w:t>
      </w:r>
      <w:r w:rsidR="00806A43">
        <w:t>question</w:t>
      </w:r>
      <w:r>
        <w:t>. Additional examination will be employed for questionnaire items that register unusually high item nonresponse rates</w:t>
      </w:r>
      <w:r w:rsidR="005768E6">
        <w:t xml:space="preserve"> (e.g., &gt; </w:t>
      </w:r>
      <w:r w:rsidR="00456259">
        <w:t>5</w:t>
      </w:r>
      <w:r w:rsidR="005768E6">
        <w:t>%)</w:t>
      </w:r>
      <w:r w:rsidR="006C4780">
        <w:t xml:space="preserve">. </w:t>
      </w:r>
      <w:r w:rsidR="00B14813">
        <w:t>The specific actions we will take in response to item nonresponse will depend on the amount of missing data, the practical importance of the specific analysis, and the potential mechanisms associated with the missing data</w:t>
      </w:r>
      <w:r w:rsidR="00E423CC">
        <w:t xml:space="preserve">, following practices established by </w:t>
      </w:r>
      <w:r w:rsidRPr="007E1245" w:rsidR="007E1245">
        <w:t>Little &amp; Rubin (2002)</w:t>
      </w:r>
      <w:r w:rsidR="00E423CC">
        <w:t>.</w:t>
      </w:r>
      <w:r w:rsidRPr="00E423CC" w:rsidR="00E423CC">
        <w:rPr>
          <w:rStyle w:val="FootnoteReference"/>
        </w:rPr>
        <w:t xml:space="preserve"> </w:t>
      </w:r>
      <w:r w:rsidRPr="00F96467" w:rsidR="00E423CC">
        <w:rPr>
          <w:rStyle w:val="FootnoteReference"/>
        </w:rPr>
        <w:footnoteReference w:id="8"/>
      </w:r>
      <w:r w:rsidR="00B14813">
        <w:t xml:space="preserve"> </w:t>
      </w:r>
    </w:p>
    <w:bookmarkEnd w:id="8"/>
    <w:p w:rsidRPr="00E00EA0" w:rsidR="00A14AE9" w:rsidP="00A14AE9" w:rsidRDefault="00A14AE9" w14:paraId="482D28D4" w14:textId="77777777">
      <w:pPr>
        <w:numPr>
          <w:ilvl w:val="0"/>
          <w:numId w:val="1"/>
        </w:numPr>
        <w:spacing w:before="100" w:beforeAutospacing="1" w:after="100" w:afterAutospacing="1"/>
        <w:rPr>
          <w:u w:val="single"/>
        </w:rPr>
      </w:pPr>
      <w:r w:rsidRPr="00E00EA0">
        <w:rPr>
          <w:u w:val="single"/>
        </w:rPr>
        <w:t>Test of Procedures or Methods to be Undertaken</w:t>
      </w:r>
    </w:p>
    <w:p w:rsidRPr="00E938AC" w:rsidR="00B5103B" w:rsidP="00E938AC" w:rsidRDefault="00B5103B" w14:paraId="19F1DB2C" w14:textId="7122D127">
      <w:pPr>
        <w:ind w:left="720"/>
        <w:rPr>
          <w:color w:val="000000" w:themeColor="text1"/>
        </w:rPr>
      </w:pPr>
      <w:r w:rsidRPr="00E938AC">
        <w:rPr>
          <w:color w:val="000000" w:themeColor="text1"/>
        </w:rPr>
        <w:t>We conducted five cognitive interviews</w:t>
      </w:r>
      <w:r w:rsidRPr="00E938AC" w:rsidR="00E938AC">
        <w:rPr>
          <w:color w:val="000000" w:themeColor="text1"/>
        </w:rPr>
        <w:t xml:space="preserve"> with healthcare providers</w:t>
      </w:r>
      <w:r w:rsidRPr="00E938AC">
        <w:rPr>
          <w:color w:val="000000" w:themeColor="text1"/>
        </w:rPr>
        <w:t xml:space="preserve"> to assess questionnaire flow and wording</w:t>
      </w:r>
      <w:r w:rsidRPr="00E938AC" w:rsidR="00E938AC">
        <w:rPr>
          <w:color w:val="000000" w:themeColor="text1"/>
        </w:rPr>
        <w:t xml:space="preserve"> and received written </w:t>
      </w:r>
      <w:r w:rsidR="00D87A46">
        <w:rPr>
          <w:color w:val="000000" w:themeColor="text1"/>
        </w:rPr>
        <w:t xml:space="preserve">pre-test </w:t>
      </w:r>
      <w:r w:rsidRPr="00E938AC" w:rsidR="00E938AC">
        <w:rPr>
          <w:color w:val="000000" w:themeColor="text1"/>
        </w:rPr>
        <w:t>feedback from an additional three healthcare provide</w:t>
      </w:r>
      <w:r w:rsidR="002907F2">
        <w:rPr>
          <w:color w:val="000000" w:themeColor="text1"/>
        </w:rPr>
        <w:t>r</w:t>
      </w:r>
      <w:r w:rsidRPr="00E938AC" w:rsidR="00E938AC">
        <w:rPr>
          <w:color w:val="000000" w:themeColor="text1"/>
        </w:rPr>
        <w:t>s</w:t>
      </w:r>
      <w:r w:rsidRPr="00E938AC">
        <w:rPr>
          <w:color w:val="000000" w:themeColor="text1"/>
        </w:rPr>
        <w:t xml:space="preserve">. Before proceeding with the main survey, we will conduct a pre-test survey with a sample of </w:t>
      </w:r>
      <w:r w:rsidR="00F44849">
        <w:rPr>
          <w:color w:val="000000" w:themeColor="text1"/>
        </w:rPr>
        <w:t>50</w:t>
      </w:r>
      <w:r w:rsidRPr="00E938AC" w:rsidR="00F44849">
        <w:rPr>
          <w:color w:val="000000" w:themeColor="text1"/>
        </w:rPr>
        <w:t xml:space="preserve"> </w:t>
      </w:r>
      <w:r w:rsidRPr="00E938AC">
        <w:rPr>
          <w:color w:val="000000" w:themeColor="text1"/>
        </w:rPr>
        <w:t xml:space="preserve">respondents from the </w:t>
      </w:r>
      <w:r w:rsidRPr="00E938AC" w:rsidR="00E938AC">
        <w:rPr>
          <w:color w:val="000000" w:themeColor="text1"/>
        </w:rPr>
        <w:t xml:space="preserve">web </w:t>
      </w:r>
      <w:r w:rsidRPr="00E938AC">
        <w:rPr>
          <w:color w:val="000000" w:themeColor="text1"/>
        </w:rPr>
        <w:t>panel</w:t>
      </w:r>
      <w:r w:rsidRPr="00E938AC" w:rsidR="00E938AC">
        <w:rPr>
          <w:color w:val="000000" w:themeColor="text1"/>
        </w:rPr>
        <w:t xml:space="preserve"> to ensure that the main study will run smoothly</w:t>
      </w:r>
      <w:r w:rsidRPr="00E938AC">
        <w:rPr>
          <w:color w:val="000000" w:themeColor="text1"/>
        </w:rPr>
        <w:t xml:space="preserve">.  </w:t>
      </w:r>
    </w:p>
    <w:p w:rsidRPr="00E00EA0" w:rsidR="00A14AE9" w:rsidP="00A14AE9" w:rsidRDefault="00A14AE9" w14:paraId="55DAF53B" w14:textId="77777777">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Pr="00E423CC" w:rsidR="00251800" w:rsidP="00E423CC" w:rsidRDefault="00A57AF7" w14:paraId="3EE26141" w14:textId="3A4E4335">
      <w:pPr>
        <w:pStyle w:val="ListParagraph"/>
        <w:spacing w:before="100" w:beforeAutospacing="1" w:after="100" w:afterAutospacing="1"/>
        <w:contextualSpacing/>
        <w:rPr>
          <w:b/>
        </w:rPr>
      </w:pPr>
      <w:r w:rsidRPr="000F1691">
        <w:t xml:space="preserve">The contractor, </w:t>
      </w:r>
      <w:r>
        <w:t>Fors Marsh Group</w:t>
      </w:r>
      <w:r w:rsidRPr="000F1691">
        <w:t>,</w:t>
      </w:r>
      <w:r>
        <w:t xml:space="preserve"> will collect </w:t>
      </w:r>
      <w:r w:rsidRPr="00D43843">
        <w:t xml:space="preserve">and analyze the data on behalf of FDA as a task order under Contract HHSF223201510001B. </w:t>
      </w:r>
      <w:r w:rsidRPr="00D43843" w:rsidR="00B5103B">
        <w:t>Elise Bui</w:t>
      </w:r>
      <w:r w:rsidRPr="00D43843">
        <w:t xml:space="preserve">, Ph.D., </w:t>
      </w:r>
      <w:r w:rsidRPr="00D43843" w:rsidR="002907F2">
        <w:t>571-444-1131</w:t>
      </w:r>
      <w:r w:rsidRPr="00D43843">
        <w:rPr>
          <w:noProof/>
        </w:rPr>
        <w:t>,</w:t>
      </w:r>
      <w:r w:rsidRPr="00423C0D">
        <w:rPr>
          <w:noProof/>
        </w:rPr>
        <w:t xml:space="preserve"> </w:t>
      </w:r>
      <w:r w:rsidRPr="00423C0D">
        <w:t>is the Project Director for this project</w:t>
      </w:r>
      <w:r w:rsidRPr="00423C0D">
        <w:rPr>
          <w:noProof/>
        </w:rPr>
        <w:t xml:space="preserve">. </w:t>
      </w:r>
      <w:r w:rsidRPr="000F1691">
        <w:rPr>
          <w:noProof/>
        </w:rPr>
        <w:t>Data</w:t>
      </w:r>
      <w:r w:rsidRPr="00A57AF7">
        <w:rPr>
          <w:noProof/>
          <w:color w:val="000080"/>
        </w:rPr>
        <w:t xml:space="preserve"> </w:t>
      </w:r>
      <w:r w:rsidRPr="000F1691">
        <w:t>analysis will be overseen by</w:t>
      </w:r>
      <w:r>
        <w:t xml:space="preserve"> the Office of </w:t>
      </w:r>
      <w:r>
        <w:lastRenderedPageBreak/>
        <w:t>Program and Strategic Analysis, Office of Strategic Programs, CDER, FDA, and coordinated by Sara Eggers, Ph.D., 301-796-4904.</w:t>
      </w:r>
    </w:p>
    <w:sectPr w:rsidRPr="00E423CC" w:rsidR="002518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008D" w14:textId="77777777" w:rsidR="00E50C0A" w:rsidRDefault="00E50C0A" w:rsidP="007E72BB">
      <w:r>
        <w:separator/>
      </w:r>
    </w:p>
  </w:endnote>
  <w:endnote w:type="continuationSeparator" w:id="0">
    <w:p w14:paraId="6BB3D867" w14:textId="77777777" w:rsidR="00E50C0A" w:rsidRDefault="00E50C0A" w:rsidP="007E72BB">
      <w:r>
        <w:continuationSeparator/>
      </w:r>
    </w:p>
  </w:endnote>
  <w:endnote w:type="continuationNotice" w:id="1">
    <w:p w14:paraId="79901BD9" w14:textId="77777777" w:rsidR="00357022" w:rsidRDefault="00357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034D" w14:textId="77777777" w:rsidR="00357022" w:rsidRDefault="0035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B375B" w14:textId="77777777" w:rsidR="00E50C0A" w:rsidRDefault="00E50C0A" w:rsidP="007E72BB">
      <w:r>
        <w:separator/>
      </w:r>
    </w:p>
  </w:footnote>
  <w:footnote w:type="continuationSeparator" w:id="0">
    <w:p w14:paraId="364A8314" w14:textId="77777777" w:rsidR="00E50C0A" w:rsidRDefault="00E50C0A" w:rsidP="007E72BB">
      <w:r>
        <w:continuationSeparator/>
      </w:r>
    </w:p>
  </w:footnote>
  <w:footnote w:type="continuationNotice" w:id="1">
    <w:p w14:paraId="0537EDD1" w14:textId="77777777" w:rsidR="00357022" w:rsidRDefault="00357022"/>
  </w:footnote>
  <w:footnote w:id="2">
    <w:p w14:paraId="1C454030" w14:textId="77777777" w:rsidR="00CB1305" w:rsidRDefault="00CB1305" w:rsidP="007E72BB">
      <w:pPr>
        <w:pStyle w:val="FootnoteText"/>
      </w:pPr>
      <w:r w:rsidRPr="002D34D1">
        <w:rPr>
          <w:rStyle w:val="FootnoteReference"/>
          <w:rFonts w:asciiTheme="majorHAnsi" w:hAnsiTheme="majorHAnsi"/>
        </w:rPr>
        <w:footnoteRef/>
      </w:r>
      <w:r w:rsidRPr="002D34D1">
        <w:rPr>
          <w:rFonts w:asciiTheme="majorHAnsi" w:hAnsiTheme="majorHAnsi"/>
        </w:rPr>
        <w:t xml:space="preserve"> </w:t>
      </w:r>
      <w:r w:rsidRPr="00C0319C">
        <w:rPr>
          <w:rFonts w:asciiTheme="majorHAnsi" w:hAnsiTheme="majorHAnsi"/>
        </w:rPr>
        <w:t>Percentage of universe/population represented by panel membership</w:t>
      </w:r>
      <w:r>
        <w:rPr>
          <w:rFonts w:asciiTheme="majorHAnsi" w:hAnsiTheme="majorHAnsi"/>
        </w:rPr>
        <w:t>.</w:t>
      </w:r>
    </w:p>
  </w:footnote>
  <w:footnote w:id="3">
    <w:p w14:paraId="07A7C99F" w14:textId="77777777" w:rsidR="00CB1305" w:rsidRDefault="00CB1305" w:rsidP="000279A8">
      <w:pPr>
        <w:pStyle w:val="FootnoteText"/>
        <w:rPr>
          <w:rFonts w:asciiTheme="majorHAnsi" w:eastAsiaTheme="minorHAnsi" w:hAnsiTheme="majorHAnsi"/>
          <w:sz w:val="16"/>
          <w:szCs w:val="16"/>
        </w:rPr>
      </w:pPr>
      <w:r>
        <w:rPr>
          <w:rStyle w:val="FootnoteReference"/>
          <w:rFonts w:asciiTheme="majorHAnsi" w:hAnsiTheme="majorHAnsi"/>
          <w:sz w:val="16"/>
          <w:szCs w:val="16"/>
        </w:rPr>
        <w:footnoteRef/>
      </w:r>
      <w:r>
        <w:rPr>
          <w:rFonts w:asciiTheme="majorHAnsi" w:hAnsiTheme="majorHAnsi"/>
          <w:sz w:val="16"/>
          <w:szCs w:val="16"/>
        </w:rPr>
        <w:t xml:space="preserve"> Normally, we adjust the sample size by an estimated correction factor (1 + </w:t>
      </w:r>
      <w:r>
        <w:rPr>
          <w:rFonts w:asciiTheme="majorHAnsi" w:hAnsiTheme="majorHAnsi"/>
          <w:i/>
          <w:sz w:val="16"/>
          <w:szCs w:val="16"/>
        </w:rPr>
        <w:t>L</w:t>
      </w:r>
      <w:r>
        <w:rPr>
          <w:rFonts w:asciiTheme="majorHAnsi" w:hAnsiTheme="majorHAnsi"/>
          <w:sz w:val="16"/>
          <w:szCs w:val="16"/>
        </w:rPr>
        <w:t xml:space="preserve">) for weighting variability and its effect on precision, in which </w:t>
      </w:r>
      <m:oMath>
        <m:r>
          <w:rPr>
            <w:rFonts w:ascii="Cambria Math" w:hAnsi="Cambria Math"/>
            <w:sz w:val="16"/>
            <w:szCs w:val="16"/>
          </w:rPr>
          <m:t>L=</m:t>
        </m:r>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-1</m:t>
            </m:r>
          </m:sup>
        </m:sSup>
        <m:nary>
          <m:naryPr>
            <m:chr m:val="∑"/>
            <m:limLoc m:val="undOvr"/>
            <m:supHide m:val="1"/>
            <m:ctrlPr>
              <w:rPr>
                <w:rFonts w:ascii="Cambria Math" w:hAnsi="Cambria Math"/>
                <w:i/>
                <w:sz w:val="16"/>
                <w:szCs w:val="16"/>
              </w:rPr>
            </m:ctrlPr>
          </m:naryPr>
          <m:sub>
            <m:r>
              <w:rPr>
                <w:rFonts w:ascii="Cambria Math" w:hAnsi="Cambria Math"/>
                <w:sz w:val="16"/>
                <w:szCs w:val="16"/>
              </w:rPr>
              <m:t>s</m:t>
            </m:r>
          </m:sub>
          <m:sup/>
          <m:e>
            <m:f>
              <m:fPr>
                <m:ctrlPr>
                  <w:rPr>
                    <w:rFonts w:ascii="Cambria Math" w:hAnsi="Cambria Math"/>
                    <w:i/>
                    <w:sz w:val="16"/>
                    <w:szCs w:val="16"/>
                  </w:rPr>
                </m:ctrlPr>
              </m:fPr>
              <m:num>
                <m:sSup>
                  <m:sSupPr>
                    <m:ctrlPr>
                      <w:rPr>
                        <w:rFonts w:ascii="Cambria Math" w:hAnsi="Cambria Math"/>
                        <w:i/>
                        <w:sz w:val="16"/>
                        <w:szCs w:val="16"/>
                      </w:rPr>
                    </m:ctrlPr>
                  </m:sSupPr>
                  <m:e>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w</m:t>
                            </m:r>
                          </m:e>
                          <m:sub>
                            <m:r>
                              <w:rPr>
                                <w:rFonts w:ascii="Cambria Math" w:hAnsi="Cambria Math"/>
                                <w:sz w:val="16"/>
                                <w:szCs w:val="16"/>
                              </w:rPr>
                              <m:t>i</m:t>
                            </m:r>
                          </m:sub>
                        </m:sSub>
                        <m:r>
                          <w:rPr>
                            <w:rFonts w:ascii="Cambria Math" w:hAnsi="Cambria Math"/>
                            <w:sz w:val="16"/>
                            <w:szCs w:val="16"/>
                          </w:rPr>
                          <m:t>-</m:t>
                        </m:r>
                        <m:acc>
                          <m:accPr>
                            <m:chr m:val="̅"/>
                            <m:ctrlPr>
                              <w:rPr>
                                <w:rFonts w:ascii="Cambria Math" w:hAnsi="Cambria Math"/>
                                <w:i/>
                                <w:color w:val="000000"/>
                                <w:sz w:val="16"/>
                                <w:szCs w:val="16"/>
                              </w:rPr>
                            </m:ctrlPr>
                          </m:accPr>
                          <m:e>
                            <m:r>
                              <w:rPr>
                                <w:rFonts w:ascii="Cambria Math" w:hAnsi="Cambria Math"/>
                                <w:sz w:val="16"/>
                                <w:szCs w:val="16"/>
                              </w:rPr>
                              <m:t>w</m:t>
                            </m:r>
                          </m:e>
                        </m:acc>
                      </m:e>
                    </m:d>
                  </m:e>
                  <m:sup>
                    <m:r>
                      <w:rPr>
                        <w:rFonts w:ascii="Cambria Math" w:hAnsi="Cambria Math"/>
                        <w:sz w:val="16"/>
                        <w:szCs w:val="16"/>
                      </w:rPr>
                      <m:t>2</m:t>
                    </m:r>
                  </m:sup>
                </m:sSup>
              </m:num>
              <m:den>
                <m:sSup>
                  <m:sSupPr>
                    <m:ctrlPr>
                      <w:rPr>
                        <w:rFonts w:ascii="Cambria Math" w:hAnsi="Cambria Math"/>
                        <w:i/>
                        <w:sz w:val="16"/>
                        <w:szCs w:val="16"/>
                      </w:rPr>
                    </m:ctrlPr>
                  </m:sSupPr>
                  <m:e>
                    <m:acc>
                      <m:accPr>
                        <m:chr m:val="̅"/>
                        <m:ctrlPr>
                          <w:rPr>
                            <w:rFonts w:ascii="Cambria Math" w:hAnsi="Cambria Math"/>
                            <w:i/>
                            <w:sz w:val="16"/>
                            <w:szCs w:val="16"/>
                          </w:rPr>
                        </m:ctrlPr>
                      </m:accPr>
                      <m:e>
                        <m:r>
                          <w:rPr>
                            <w:rFonts w:ascii="Cambria Math" w:hAnsi="Cambria Math"/>
                            <w:sz w:val="16"/>
                            <w:szCs w:val="16"/>
                          </w:rPr>
                          <m:t>w</m:t>
                        </m:r>
                      </m:e>
                    </m:acc>
                  </m:e>
                  <m:sup>
                    <m:r>
                      <w:rPr>
                        <w:rFonts w:ascii="Cambria Math" w:hAnsi="Cambria Math"/>
                        <w:sz w:val="16"/>
                        <w:szCs w:val="16"/>
                      </w:rPr>
                      <m:t>2</m:t>
                    </m:r>
                  </m:sup>
                </m:sSup>
              </m:den>
            </m:f>
          </m:e>
        </m:nary>
      </m:oMath>
      <w:r>
        <w:rPr>
          <w:rFonts w:asciiTheme="majorHAnsi" w:hAnsiTheme="majorHAnsi"/>
          <w:color w:val="000000"/>
          <w:sz w:val="16"/>
          <w:szCs w:val="16"/>
        </w:rPr>
        <w:t xml:space="preserve"> and is the squared coefficient of variation of the sample weight </w:t>
      </w:r>
      <m:oMath>
        <m:sSub>
          <m:sSubPr>
            <m:ctrlPr>
              <w:rPr>
                <w:rFonts w:ascii="Cambria Math" w:hAnsi="Cambria Math"/>
                <w:i/>
                <w:color w:val="000000"/>
                <w:sz w:val="16"/>
                <w:szCs w:val="16"/>
              </w:rPr>
            </m:ctrlPr>
          </m:sSubPr>
          <m:e>
            <m:r>
              <w:rPr>
                <w:rFonts w:ascii="Cambria Math" w:hAnsi="Cambria Math"/>
                <w:color w:val="000000"/>
                <w:sz w:val="16"/>
                <w:szCs w:val="16"/>
              </w:rPr>
              <m:t>w</m:t>
            </m:r>
          </m:e>
          <m:sub>
            <m:r>
              <w:rPr>
                <w:rFonts w:ascii="Cambria Math" w:hAnsi="Cambria Math"/>
                <w:color w:val="000000"/>
                <w:sz w:val="16"/>
                <w:szCs w:val="16"/>
              </w:rPr>
              <m:t>i</m:t>
            </m:r>
          </m:sub>
        </m:sSub>
      </m:oMath>
      <w:r>
        <w:rPr>
          <w:rFonts w:asciiTheme="majorHAnsi" w:hAnsiTheme="majorHAnsi"/>
          <w:sz w:val="16"/>
          <w:szCs w:val="16"/>
        </w:rPr>
        <w:t xml:space="preserve">. This 1 + </w:t>
      </w:r>
      <w:r>
        <w:rPr>
          <w:rFonts w:asciiTheme="majorHAnsi" w:hAnsiTheme="majorHAnsi"/>
          <w:i/>
          <w:sz w:val="16"/>
          <w:szCs w:val="16"/>
        </w:rPr>
        <w:t>L</w:t>
      </w:r>
      <w:r>
        <w:rPr>
          <w:rFonts w:asciiTheme="majorHAnsi" w:hAnsiTheme="majorHAnsi"/>
          <w:sz w:val="16"/>
          <w:szCs w:val="16"/>
        </w:rPr>
        <w:t>, termed the relative loss due to weighting by Kish (1992) and commonly referred to as the unequal weighting effect (UWE), is a reasonable approximation for the design effect (DEFF) when the weights are unrelated to the outcome of interest (e.g., see Spencer, 2000).</w:t>
      </w:r>
    </w:p>
  </w:footnote>
  <w:footnote w:id="4">
    <w:p w14:paraId="71A27CC3" w14:textId="680739A0" w:rsidR="004464C9" w:rsidRDefault="004464C9">
      <w:pPr>
        <w:pStyle w:val="FootnoteText"/>
      </w:pPr>
      <w:r w:rsidRPr="00F21971">
        <w:rPr>
          <w:rStyle w:val="FootnoteReference"/>
          <w:sz w:val="18"/>
        </w:rPr>
        <w:footnoteRef/>
      </w:r>
      <w:r w:rsidRPr="00F21971">
        <w:rPr>
          <w:sz w:val="18"/>
        </w:rPr>
        <w:t xml:space="preserve"> We recognize that prescribing volume reflects a different unit of analysis than our survey population (i.e., number of prescriptions rather than number of prescribers.) </w:t>
      </w:r>
      <w:r w:rsidRPr="004464C9">
        <w:t xml:space="preserve"> </w:t>
      </w:r>
    </w:p>
  </w:footnote>
  <w:footnote w:id="5">
    <w:p w14:paraId="20860677" w14:textId="77777777" w:rsidR="00BF1DC9" w:rsidRPr="00A3640E" w:rsidRDefault="00BF1DC9" w:rsidP="00BF1DC9">
      <w:pPr>
        <w:pStyle w:val="FootnoteText"/>
      </w:pPr>
      <w:r w:rsidRPr="00A3640E">
        <w:rPr>
          <w:rStyle w:val="FootnoteReference"/>
        </w:rPr>
        <w:footnoteRef/>
      </w:r>
      <w:r w:rsidRPr="00A3640E">
        <w:t xml:space="preserve"> The American Association for Public Opinion Research. 2016. Standard definitions: Final dispositions of case codes and outcome rates for surveys. 9th edition. AAPOR.</w:t>
      </w:r>
    </w:p>
  </w:footnote>
  <w:footnote w:id="6">
    <w:p w14:paraId="58E3EB98" w14:textId="6B5BB409" w:rsidR="006F607C" w:rsidRPr="006F607C" w:rsidRDefault="006F607C" w:rsidP="006F607C">
      <w:pPr>
        <w:pStyle w:val="FootnoteText"/>
        <w:rPr>
          <w:rFonts w:eastAsia="Calibri"/>
          <w:sz w:val="21"/>
          <w:szCs w:val="21"/>
        </w:rPr>
      </w:pPr>
      <w:r>
        <w:rPr>
          <w:rStyle w:val="FootnoteReference"/>
        </w:rPr>
        <w:footnoteRef/>
      </w:r>
      <w:r>
        <w:t>Dykema, J., Stevenson, J., Day, B., Sellers, SL, Bonham VL (2011).</w:t>
      </w:r>
      <w:r>
        <w:rPr>
          <w:rFonts w:eastAsia="Calibri"/>
          <w:sz w:val="21"/>
          <w:szCs w:val="21"/>
        </w:rPr>
        <w:t xml:space="preserve"> </w:t>
      </w:r>
      <w:r w:rsidRPr="006F607C">
        <w:rPr>
          <w:rFonts w:eastAsia="Calibri"/>
          <w:sz w:val="21"/>
          <w:szCs w:val="21"/>
        </w:rPr>
        <w:t>Effects of Incentives and Prenotification on Response Rates and</w:t>
      </w:r>
      <w:r>
        <w:rPr>
          <w:rFonts w:eastAsia="Calibri"/>
          <w:sz w:val="21"/>
          <w:szCs w:val="21"/>
        </w:rPr>
        <w:t xml:space="preserve"> </w:t>
      </w:r>
      <w:r w:rsidRPr="006F607C">
        <w:rPr>
          <w:rFonts w:eastAsia="Calibri"/>
          <w:sz w:val="21"/>
          <w:szCs w:val="21"/>
        </w:rPr>
        <w:t>Costs in a National Web Survey of Physicians</w:t>
      </w:r>
      <w:r>
        <w:rPr>
          <w:rFonts w:eastAsia="Calibri"/>
          <w:sz w:val="21"/>
          <w:szCs w:val="21"/>
        </w:rPr>
        <w:t>.</w:t>
      </w:r>
      <w:r w:rsidRPr="006F607C">
        <w:rPr>
          <w:rFonts w:eastAsia="Calibri"/>
          <w:sz w:val="21"/>
          <w:szCs w:val="21"/>
        </w:rPr>
        <w:t xml:space="preserve"> </w:t>
      </w:r>
      <w:r w:rsidRPr="006F607C">
        <w:rPr>
          <w:rFonts w:eastAsia="Calibri"/>
          <w:i/>
          <w:sz w:val="21"/>
          <w:szCs w:val="21"/>
        </w:rPr>
        <w:t>Eval Health Prof</w:t>
      </w:r>
      <w:r>
        <w:rPr>
          <w:rFonts w:eastAsia="Calibri"/>
        </w:rPr>
        <w:t>, 34(4): 434–447.</w:t>
      </w:r>
    </w:p>
  </w:footnote>
  <w:footnote w:id="7">
    <w:p w14:paraId="4F6FE585" w14:textId="464FF41A" w:rsidR="00CB1305" w:rsidRDefault="00CB1305" w:rsidP="00600BCC">
      <w:pPr>
        <w:pStyle w:val="FootnoteText"/>
      </w:pPr>
      <w:r>
        <w:rPr>
          <w:rStyle w:val="FootnoteReference"/>
        </w:rPr>
        <w:footnoteRef/>
      </w:r>
      <w:r>
        <w:t xml:space="preserve"> Aikin, KJ</w:t>
      </w:r>
      <w:r w:rsidR="006F607C">
        <w:t xml:space="preserve">, </w:t>
      </w:r>
      <w:r>
        <w:t>Betts, K</w:t>
      </w:r>
      <w:r w:rsidR="006F607C">
        <w:t>,</w:t>
      </w:r>
      <w:r>
        <w:t xml:space="preserve"> Boudewyns, V</w:t>
      </w:r>
      <w:r w:rsidR="006F607C">
        <w:t>,</w:t>
      </w:r>
      <w:r>
        <w:t xml:space="preserve"> Stine, A</w:t>
      </w:r>
      <w:r w:rsidR="006F607C">
        <w:t>,</w:t>
      </w:r>
      <w:r>
        <w:t xml:space="preserve"> Southwell, B. (2016). Physician responsiveness to survey incentives and sponsorship in prescription drug advertising research. </w:t>
      </w:r>
      <w:r>
        <w:rPr>
          <w:i/>
        </w:rPr>
        <w:t>Annals of Behavioral Medicine, 50</w:t>
      </w:r>
      <w:r>
        <w:t xml:space="preserve">(Suppl.), s251. </w:t>
      </w:r>
    </w:p>
  </w:footnote>
  <w:footnote w:id="8">
    <w:p w14:paraId="453AD3CD" w14:textId="0E8BC0F3" w:rsidR="00E423CC" w:rsidRPr="006E591B" w:rsidRDefault="00E423CC" w:rsidP="00E423CC">
      <w:pPr>
        <w:tabs>
          <w:tab w:val="left" w:pos="1080"/>
          <w:tab w:val="left" w:pos="6240"/>
        </w:tabs>
        <w:rPr>
          <w:color w:val="222222"/>
          <w:sz w:val="20"/>
          <w:szCs w:val="20"/>
          <w:shd w:val="clear" w:color="auto" w:fill="FFFFFF"/>
        </w:rPr>
      </w:pPr>
      <w:r w:rsidRPr="006E591B">
        <w:rPr>
          <w:rStyle w:val="FootnoteReference"/>
          <w:sz w:val="20"/>
          <w:szCs w:val="20"/>
        </w:rPr>
        <w:footnoteRef/>
      </w:r>
      <w:r w:rsidRPr="006E591B">
        <w:rPr>
          <w:sz w:val="20"/>
          <w:szCs w:val="20"/>
        </w:rPr>
        <w:t xml:space="preserve"> </w:t>
      </w:r>
      <w:r w:rsidRPr="006E591B">
        <w:rPr>
          <w:color w:val="222222"/>
          <w:sz w:val="20"/>
          <w:szCs w:val="20"/>
          <w:shd w:val="clear" w:color="auto" w:fill="FFFFFF"/>
        </w:rPr>
        <w:t>Little, R. J., &amp; Rubin, D. (2002). Statistical analysis with missing data.</w:t>
      </w:r>
      <w:r w:rsidR="00ED21CA">
        <w:rPr>
          <w:color w:val="222222"/>
          <w:sz w:val="20"/>
          <w:szCs w:val="20"/>
          <w:shd w:val="clear" w:color="auto" w:fill="FFFFFF"/>
        </w:rPr>
        <w:t xml:space="preserve"> 2</w:t>
      </w:r>
      <w:r w:rsidR="00ED21CA" w:rsidRPr="00ED21CA">
        <w:rPr>
          <w:color w:val="222222"/>
          <w:sz w:val="20"/>
          <w:szCs w:val="20"/>
          <w:shd w:val="clear" w:color="auto" w:fill="FFFFFF"/>
          <w:vertAlign w:val="superscript"/>
        </w:rPr>
        <w:t>nd</w:t>
      </w:r>
      <w:r w:rsidR="00ED21CA">
        <w:rPr>
          <w:color w:val="222222"/>
          <w:sz w:val="20"/>
          <w:szCs w:val="20"/>
          <w:shd w:val="clear" w:color="auto" w:fill="FFFFFF"/>
        </w:rPr>
        <w:t xml:space="preserve"> Edition, John Wiley and Sons, 389 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AF69" w14:textId="77777777" w:rsidR="00357022" w:rsidRDefault="00357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DC28C5"/>
    <w:multiLevelType w:val="hybridMultilevel"/>
    <w:tmpl w:val="F7FAE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8477D"/>
    <w:multiLevelType w:val="hybridMultilevel"/>
    <w:tmpl w:val="4E3CB6CA"/>
    <w:lvl w:ilvl="0" w:tplc="EB8E4BBC">
      <w:start w:val="1"/>
      <w:numFmt w:val="decimal"/>
      <w:lvlText w:val="%1."/>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A97385B"/>
    <w:multiLevelType w:val="multilevel"/>
    <w:tmpl w:val="47EECE88"/>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3126AC"/>
    <w:multiLevelType w:val="hybridMultilevel"/>
    <w:tmpl w:val="27766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A7632C"/>
    <w:multiLevelType w:val="hybridMultilevel"/>
    <w:tmpl w:val="AD8E9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8"/>
  </w:num>
  <w:num w:numId="4">
    <w:abstractNumId w:val="9"/>
  </w:num>
  <w:num w:numId="5">
    <w:abstractNumId w:val="4"/>
  </w:num>
  <w:num w:numId="6">
    <w:abstractNumId w:val="7"/>
  </w:num>
  <w:num w:numId="7">
    <w:abstractNumId w:val="5"/>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57"/>
    <w:rsid w:val="00024D1E"/>
    <w:rsid w:val="000270D1"/>
    <w:rsid w:val="000279A8"/>
    <w:rsid w:val="00080F38"/>
    <w:rsid w:val="00091579"/>
    <w:rsid w:val="000A4A08"/>
    <w:rsid w:val="000B3789"/>
    <w:rsid w:val="000C501E"/>
    <w:rsid w:val="000C5AF1"/>
    <w:rsid w:val="000C76E5"/>
    <w:rsid w:val="000D0A00"/>
    <w:rsid w:val="000E195D"/>
    <w:rsid w:val="00113C7E"/>
    <w:rsid w:val="001622B2"/>
    <w:rsid w:val="00185433"/>
    <w:rsid w:val="00192089"/>
    <w:rsid w:val="001A309A"/>
    <w:rsid w:val="001B617D"/>
    <w:rsid w:val="001B71EE"/>
    <w:rsid w:val="001B799B"/>
    <w:rsid w:val="001D25A1"/>
    <w:rsid w:val="001D7D8A"/>
    <w:rsid w:val="00202C84"/>
    <w:rsid w:val="00206E7E"/>
    <w:rsid w:val="00221778"/>
    <w:rsid w:val="00226D97"/>
    <w:rsid w:val="00240B3E"/>
    <w:rsid w:val="00251800"/>
    <w:rsid w:val="0026161C"/>
    <w:rsid w:val="00274958"/>
    <w:rsid w:val="00286850"/>
    <w:rsid w:val="002907F2"/>
    <w:rsid w:val="00295527"/>
    <w:rsid w:val="002E4F5A"/>
    <w:rsid w:val="00300FA1"/>
    <w:rsid w:val="00302764"/>
    <w:rsid w:val="00303BA2"/>
    <w:rsid w:val="00306784"/>
    <w:rsid w:val="003136B7"/>
    <w:rsid w:val="00332B25"/>
    <w:rsid w:val="00357022"/>
    <w:rsid w:val="00365D11"/>
    <w:rsid w:val="003947A8"/>
    <w:rsid w:val="003C348B"/>
    <w:rsid w:val="003C518A"/>
    <w:rsid w:val="003E777C"/>
    <w:rsid w:val="00406883"/>
    <w:rsid w:val="004233F0"/>
    <w:rsid w:val="004464C9"/>
    <w:rsid w:val="00454EF8"/>
    <w:rsid w:val="00455F0A"/>
    <w:rsid w:val="00456259"/>
    <w:rsid w:val="004733F5"/>
    <w:rsid w:val="00483DD6"/>
    <w:rsid w:val="00490F28"/>
    <w:rsid w:val="004A0BAA"/>
    <w:rsid w:val="004A77F8"/>
    <w:rsid w:val="004D70ED"/>
    <w:rsid w:val="004E4937"/>
    <w:rsid w:val="004F0EB7"/>
    <w:rsid w:val="00502DCC"/>
    <w:rsid w:val="00504F68"/>
    <w:rsid w:val="00514882"/>
    <w:rsid w:val="00520841"/>
    <w:rsid w:val="00531FF4"/>
    <w:rsid w:val="005505F6"/>
    <w:rsid w:val="00571024"/>
    <w:rsid w:val="0057114E"/>
    <w:rsid w:val="00572746"/>
    <w:rsid w:val="005767B9"/>
    <w:rsid w:val="005768E6"/>
    <w:rsid w:val="00586020"/>
    <w:rsid w:val="00586FA8"/>
    <w:rsid w:val="00593393"/>
    <w:rsid w:val="005A32CA"/>
    <w:rsid w:val="005B4C96"/>
    <w:rsid w:val="005B571F"/>
    <w:rsid w:val="005E031E"/>
    <w:rsid w:val="005F2402"/>
    <w:rsid w:val="005F64F8"/>
    <w:rsid w:val="00600BCC"/>
    <w:rsid w:val="00605B79"/>
    <w:rsid w:val="00625BD8"/>
    <w:rsid w:val="00627BDD"/>
    <w:rsid w:val="00633629"/>
    <w:rsid w:val="0064245B"/>
    <w:rsid w:val="00657B7A"/>
    <w:rsid w:val="006706AE"/>
    <w:rsid w:val="00677075"/>
    <w:rsid w:val="00684089"/>
    <w:rsid w:val="006840B4"/>
    <w:rsid w:val="00685794"/>
    <w:rsid w:val="006A091E"/>
    <w:rsid w:val="006C096B"/>
    <w:rsid w:val="006C4780"/>
    <w:rsid w:val="006D39AE"/>
    <w:rsid w:val="006F607C"/>
    <w:rsid w:val="00701653"/>
    <w:rsid w:val="0073468F"/>
    <w:rsid w:val="00765B29"/>
    <w:rsid w:val="007763BF"/>
    <w:rsid w:val="0078221D"/>
    <w:rsid w:val="007944DE"/>
    <w:rsid w:val="00794932"/>
    <w:rsid w:val="00794D9F"/>
    <w:rsid w:val="007A173D"/>
    <w:rsid w:val="007A62CE"/>
    <w:rsid w:val="007C3DC9"/>
    <w:rsid w:val="007D4535"/>
    <w:rsid w:val="007D7036"/>
    <w:rsid w:val="007E1245"/>
    <w:rsid w:val="007E5651"/>
    <w:rsid w:val="007E5AD4"/>
    <w:rsid w:val="007E6A65"/>
    <w:rsid w:val="007E72BB"/>
    <w:rsid w:val="007F24D3"/>
    <w:rsid w:val="00806A43"/>
    <w:rsid w:val="008136C6"/>
    <w:rsid w:val="008524CD"/>
    <w:rsid w:val="00860A39"/>
    <w:rsid w:val="00880FB7"/>
    <w:rsid w:val="008837E5"/>
    <w:rsid w:val="008931FB"/>
    <w:rsid w:val="00896F6A"/>
    <w:rsid w:val="008B7A3D"/>
    <w:rsid w:val="008C77D7"/>
    <w:rsid w:val="008E593C"/>
    <w:rsid w:val="008E5F41"/>
    <w:rsid w:val="00902386"/>
    <w:rsid w:val="00905DC3"/>
    <w:rsid w:val="0091724D"/>
    <w:rsid w:val="00932E28"/>
    <w:rsid w:val="00934BC7"/>
    <w:rsid w:val="00936122"/>
    <w:rsid w:val="0096450F"/>
    <w:rsid w:val="00977184"/>
    <w:rsid w:val="00991B09"/>
    <w:rsid w:val="009A4576"/>
    <w:rsid w:val="009C0A36"/>
    <w:rsid w:val="009D3AF2"/>
    <w:rsid w:val="009D4488"/>
    <w:rsid w:val="009D64AF"/>
    <w:rsid w:val="009E3EDD"/>
    <w:rsid w:val="009E530A"/>
    <w:rsid w:val="009E6B1B"/>
    <w:rsid w:val="009E725A"/>
    <w:rsid w:val="009F48F4"/>
    <w:rsid w:val="00A079C4"/>
    <w:rsid w:val="00A142FA"/>
    <w:rsid w:val="00A14AE9"/>
    <w:rsid w:val="00A176F1"/>
    <w:rsid w:val="00A200D3"/>
    <w:rsid w:val="00A21F46"/>
    <w:rsid w:val="00A515FA"/>
    <w:rsid w:val="00A5243D"/>
    <w:rsid w:val="00A57AF7"/>
    <w:rsid w:val="00A70D6F"/>
    <w:rsid w:val="00A84689"/>
    <w:rsid w:val="00A90353"/>
    <w:rsid w:val="00A95404"/>
    <w:rsid w:val="00AC734C"/>
    <w:rsid w:val="00AE04B4"/>
    <w:rsid w:val="00AE4636"/>
    <w:rsid w:val="00AF4850"/>
    <w:rsid w:val="00AF4E13"/>
    <w:rsid w:val="00B055AE"/>
    <w:rsid w:val="00B14813"/>
    <w:rsid w:val="00B22F1F"/>
    <w:rsid w:val="00B30958"/>
    <w:rsid w:val="00B31398"/>
    <w:rsid w:val="00B329F2"/>
    <w:rsid w:val="00B35C4B"/>
    <w:rsid w:val="00B47619"/>
    <w:rsid w:val="00B5103B"/>
    <w:rsid w:val="00B5370E"/>
    <w:rsid w:val="00B655C8"/>
    <w:rsid w:val="00B73292"/>
    <w:rsid w:val="00B76017"/>
    <w:rsid w:val="00B87CC8"/>
    <w:rsid w:val="00BA29B3"/>
    <w:rsid w:val="00BF0B5A"/>
    <w:rsid w:val="00BF1DC9"/>
    <w:rsid w:val="00BF41D5"/>
    <w:rsid w:val="00BF527C"/>
    <w:rsid w:val="00BF7BD6"/>
    <w:rsid w:val="00C04B9E"/>
    <w:rsid w:val="00C142A2"/>
    <w:rsid w:val="00C316BE"/>
    <w:rsid w:val="00C365DF"/>
    <w:rsid w:val="00C51387"/>
    <w:rsid w:val="00C5658B"/>
    <w:rsid w:val="00C57BD4"/>
    <w:rsid w:val="00C72657"/>
    <w:rsid w:val="00C806C6"/>
    <w:rsid w:val="00C8142C"/>
    <w:rsid w:val="00C82036"/>
    <w:rsid w:val="00C95AD6"/>
    <w:rsid w:val="00CA0B89"/>
    <w:rsid w:val="00CA1562"/>
    <w:rsid w:val="00CB1305"/>
    <w:rsid w:val="00CC66C2"/>
    <w:rsid w:val="00CC7CA0"/>
    <w:rsid w:val="00CD2042"/>
    <w:rsid w:val="00CE2B82"/>
    <w:rsid w:val="00D433C8"/>
    <w:rsid w:val="00D43843"/>
    <w:rsid w:val="00D4466F"/>
    <w:rsid w:val="00D52D7E"/>
    <w:rsid w:val="00D770B8"/>
    <w:rsid w:val="00D87A46"/>
    <w:rsid w:val="00DB1300"/>
    <w:rsid w:val="00DB5A7A"/>
    <w:rsid w:val="00DD440D"/>
    <w:rsid w:val="00E1628E"/>
    <w:rsid w:val="00E25EBC"/>
    <w:rsid w:val="00E27218"/>
    <w:rsid w:val="00E3762F"/>
    <w:rsid w:val="00E423CC"/>
    <w:rsid w:val="00E50C0A"/>
    <w:rsid w:val="00E85863"/>
    <w:rsid w:val="00E938AC"/>
    <w:rsid w:val="00EA1A05"/>
    <w:rsid w:val="00EB6DCC"/>
    <w:rsid w:val="00EC6AE5"/>
    <w:rsid w:val="00EC6CAE"/>
    <w:rsid w:val="00ED16D7"/>
    <w:rsid w:val="00ED21CA"/>
    <w:rsid w:val="00ED2FED"/>
    <w:rsid w:val="00EE0F84"/>
    <w:rsid w:val="00EE22BD"/>
    <w:rsid w:val="00F00617"/>
    <w:rsid w:val="00F16457"/>
    <w:rsid w:val="00F21971"/>
    <w:rsid w:val="00F3397D"/>
    <w:rsid w:val="00F34C21"/>
    <w:rsid w:val="00F41972"/>
    <w:rsid w:val="00F44849"/>
    <w:rsid w:val="00F47FA8"/>
    <w:rsid w:val="00F522F0"/>
    <w:rsid w:val="00F53230"/>
    <w:rsid w:val="00F76CE7"/>
    <w:rsid w:val="00F77983"/>
    <w:rsid w:val="00F87164"/>
    <w:rsid w:val="00F91374"/>
    <w:rsid w:val="00F965A6"/>
    <w:rsid w:val="00FB60E9"/>
    <w:rsid w:val="00FE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E755"/>
  <w15:chartTrackingRefBased/>
  <w15:docId w15:val="{F983557B-E0E1-4589-949A-3ACE848D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457"/>
    <w:rPr>
      <w:rFonts w:ascii="Times New Roman" w:eastAsia="Times New Roman" w:hAnsi="Times New Roman"/>
      <w:sz w:val="24"/>
      <w:szCs w:val="24"/>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semiHidden/>
    <w:unhideWhenUsed/>
    <w:qFormat/>
    <w:rsid w:val="00CA0B8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ind w:left="678" w:hanging="574"/>
    </w:pPr>
    <w:rPr>
      <w:rFonts w:ascii="Courier New" w:hAnsi="Courier New" w:cs="Courier New"/>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aliases w:val="CH Bullets (square),3,POCG Table Text,Bulleted List Level 1,DAI 2,3 heading,Call Out Bullets,List-Bullets,List Paragraph1,Normal Bullet,Bullets,DODEA_Bullet List Box,CH_List Paragraph,Bullets (VALU),lp1,List Paragraph Bullet"/>
    <w:basedOn w:val="Normal"/>
    <w:link w:val="ListParagraphChar"/>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aliases w:val="F1,Tablenote Text"/>
    <w:basedOn w:val="Normal"/>
    <w:link w:val="FootnoteTextChar"/>
    <w:uiPriority w:val="99"/>
    <w:unhideWhenUsed/>
    <w:rsid w:val="007D4535"/>
    <w:rPr>
      <w:sz w:val="20"/>
      <w:szCs w:val="20"/>
    </w:rPr>
  </w:style>
  <w:style w:type="character" w:customStyle="1" w:styleId="FootnoteTextChar">
    <w:name w:val="Footnote Text Char"/>
    <w:aliases w:val="F1 Char,Tablenote Text Char"/>
    <w:basedOn w:val="DefaultParagraphFont"/>
    <w:link w:val="FootnoteText"/>
    <w:uiPriority w:val="99"/>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iPriority w:val="99"/>
    <w:unhideWhenUsed/>
    <w:rsid w:val="007D4535"/>
    <w:rPr>
      <w:vertAlign w:val="superscript"/>
    </w:rPr>
  </w:style>
  <w:style w:type="character" w:styleId="CommentReference">
    <w:name w:val="annotation reference"/>
    <w:uiPriority w:val="99"/>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aliases w:val="Value Add Box,pptablecells right columns,Deloitte Table Grid,Table Definitions Grid,Table Definitions Grid1,Smart Text Table,htable,SAP New Branding Table Style"/>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14AE9"/>
    <w:pPr>
      <w:spacing w:after="120" w:line="480" w:lineRule="auto"/>
      <w:ind w:left="360"/>
    </w:pPr>
  </w:style>
  <w:style w:type="character" w:customStyle="1" w:styleId="BodyTextIndent2Char">
    <w:name w:val="Body Text Indent 2 Char"/>
    <w:basedOn w:val="DefaultParagraphFont"/>
    <w:link w:val="BodyTextIndent2"/>
    <w:rsid w:val="00A14AE9"/>
    <w:rPr>
      <w:rFonts w:ascii="Times New Roman" w:eastAsia="Times New Roman" w:hAnsi="Times New Roman"/>
      <w:sz w:val="24"/>
      <w:szCs w:val="24"/>
    </w:rPr>
  </w:style>
  <w:style w:type="paragraph" w:customStyle="1" w:styleId="L1-FlLSp12">
    <w:name w:val="L1-FlL Sp&amp;1/2"/>
    <w:basedOn w:val="Normal"/>
    <w:link w:val="L1-FlLSp12Char"/>
    <w:rsid w:val="007E72BB"/>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7E72BB"/>
    <w:rPr>
      <w:rFonts w:ascii="Garamond" w:eastAsia="Times New Roman" w:hAnsi="Garamond"/>
      <w:sz w:val="24"/>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qFormat/>
    <w:locked/>
    <w:rsid w:val="00C72657"/>
    <w:rPr>
      <w:rFonts w:ascii="Times New Roman" w:eastAsia="Times New Roman" w:hAnsi="Times New Roman"/>
      <w:sz w:val="24"/>
      <w:szCs w:val="24"/>
    </w:rPr>
  </w:style>
  <w:style w:type="paragraph" w:styleId="Revision">
    <w:name w:val="Revision"/>
    <w:hidden/>
    <w:uiPriority w:val="99"/>
    <w:semiHidden/>
    <w:rsid w:val="00F76CE7"/>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CA0B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5728">
      <w:bodyDiv w:val="1"/>
      <w:marLeft w:val="0"/>
      <w:marRight w:val="0"/>
      <w:marTop w:val="0"/>
      <w:marBottom w:val="0"/>
      <w:divBdr>
        <w:top w:val="none" w:sz="0" w:space="0" w:color="auto"/>
        <w:left w:val="none" w:sz="0" w:space="0" w:color="auto"/>
        <w:bottom w:val="none" w:sz="0" w:space="0" w:color="auto"/>
        <w:right w:val="none" w:sz="0" w:space="0" w:color="auto"/>
      </w:divBdr>
    </w:div>
    <w:div w:id="1490635797">
      <w:bodyDiv w:val="1"/>
      <w:marLeft w:val="0"/>
      <w:marRight w:val="0"/>
      <w:marTop w:val="0"/>
      <w:marBottom w:val="0"/>
      <w:divBdr>
        <w:top w:val="none" w:sz="0" w:space="0" w:color="auto"/>
        <w:left w:val="none" w:sz="0" w:space="0" w:color="auto"/>
        <w:bottom w:val="none" w:sz="0" w:space="0" w:color="auto"/>
        <w:right w:val="none" w:sz="0" w:space="0" w:color="auto"/>
      </w:divBdr>
      <w:divsChild>
        <w:div w:id="163865186">
          <w:marLeft w:val="547"/>
          <w:marRight w:val="0"/>
          <w:marTop w:val="144"/>
          <w:marBottom w:val="0"/>
          <w:divBdr>
            <w:top w:val="none" w:sz="0" w:space="0" w:color="auto"/>
            <w:left w:val="none" w:sz="0" w:space="0" w:color="auto"/>
            <w:bottom w:val="none" w:sz="0" w:space="0" w:color="auto"/>
            <w:right w:val="none" w:sz="0" w:space="0" w:color="auto"/>
          </w:divBdr>
        </w:div>
        <w:div w:id="2060125715">
          <w:marLeft w:val="547"/>
          <w:marRight w:val="0"/>
          <w:marTop w:val="144"/>
          <w:marBottom w:val="0"/>
          <w:divBdr>
            <w:top w:val="none" w:sz="0" w:space="0" w:color="auto"/>
            <w:left w:val="none" w:sz="0" w:space="0" w:color="auto"/>
            <w:bottom w:val="none" w:sz="0" w:space="0" w:color="auto"/>
            <w:right w:val="none" w:sz="0" w:space="0" w:color="auto"/>
          </w:divBdr>
        </w:div>
        <w:div w:id="793672566">
          <w:marLeft w:val="547"/>
          <w:marRight w:val="0"/>
          <w:marTop w:val="144"/>
          <w:marBottom w:val="0"/>
          <w:divBdr>
            <w:top w:val="none" w:sz="0" w:space="0" w:color="auto"/>
            <w:left w:val="none" w:sz="0" w:space="0" w:color="auto"/>
            <w:bottom w:val="none" w:sz="0" w:space="0" w:color="auto"/>
            <w:right w:val="none" w:sz="0" w:space="0" w:color="auto"/>
          </w:divBdr>
        </w:div>
        <w:div w:id="561213217">
          <w:marLeft w:val="547"/>
          <w:marRight w:val="0"/>
          <w:marTop w:val="144"/>
          <w:marBottom w:val="0"/>
          <w:divBdr>
            <w:top w:val="none" w:sz="0" w:space="0" w:color="auto"/>
            <w:left w:val="none" w:sz="0" w:space="0" w:color="auto"/>
            <w:bottom w:val="none" w:sz="0" w:space="0" w:color="auto"/>
            <w:right w:val="none" w:sz="0" w:space="0" w:color="auto"/>
          </w:divBdr>
        </w:div>
        <w:div w:id="652804939">
          <w:marLeft w:val="547"/>
          <w:marRight w:val="0"/>
          <w:marTop w:val="144"/>
          <w:marBottom w:val="0"/>
          <w:divBdr>
            <w:top w:val="none" w:sz="0" w:space="0" w:color="auto"/>
            <w:left w:val="none" w:sz="0" w:space="0" w:color="auto"/>
            <w:bottom w:val="none" w:sz="0" w:space="0" w:color="auto"/>
            <w:right w:val="none" w:sz="0" w:space="0" w:color="auto"/>
          </w:divBdr>
        </w:div>
        <w:div w:id="1891840663">
          <w:marLeft w:val="547"/>
          <w:marRight w:val="0"/>
          <w:marTop w:val="144"/>
          <w:marBottom w:val="0"/>
          <w:divBdr>
            <w:top w:val="none" w:sz="0" w:space="0" w:color="auto"/>
            <w:left w:val="none" w:sz="0" w:space="0" w:color="auto"/>
            <w:bottom w:val="none" w:sz="0" w:space="0" w:color="auto"/>
            <w:right w:val="none" w:sz="0" w:space="0" w:color="auto"/>
          </w:divBdr>
        </w:div>
        <w:div w:id="1658147014">
          <w:marLeft w:val="547"/>
          <w:marRight w:val="0"/>
          <w:marTop w:val="144"/>
          <w:marBottom w:val="0"/>
          <w:divBdr>
            <w:top w:val="none" w:sz="0" w:space="0" w:color="auto"/>
            <w:left w:val="none" w:sz="0" w:space="0" w:color="auto"/>
            <w:bottom w:val="none" w:sz="0" w:space="0" w:color="auto"/>
            <w:right w:val="none" w:sz="0" w:space="0" w:color="auto"/>
          </w:divBdr>
        </w:div>
      </w:divsChild>
    </w:div>
    <w:div w:id="2101028169">
      <w:bodyDiv w:val="1"/>
      <w:marLeft w:val="0"/>
      <w:marRight w:val="0"/>
      <w:marTop w:val="0"/>
      <w:marBottom w:val="0"/>
      <w:divBdr>
        <w:top w:val="none" w:sz="0" w:space="0" w:color="auto"/>
        <w:left w:val="none" w:sz="0" w:space="0" w:color="auto"/>
        <w:bottom w:val="none" w:sz="0" w:space="0" w:color="auto"/>
        <w:right w:val="none" w:sz="0" w:space="0" w:color="auto"/>
      </w:divBdr>
    </w:div>
    <w:div w:id="2130466494">
      <w:bodyDiv w:val="1"/>
      <w:marLeft w:val="0"/>
      <w:marRight w:val="0"/>
      <w:marTop w:val="0"/>
      <w:marBottom w:val="0"/>
      <w:divBdr>
        <w:top w:val="none" w:sz="0" w:space="0" w:color="auto"/>
        <w:left w:val="none" w:sz="0" w:space="0" w:color="auto"/>
        <w:bottom w:val="none" w:sz="0" w:space="0" w:color="auto"/>
        <w:right w:val="none" w:sz="0" w:space="0" w:color="auto"/>
      </w:divBdr>
      <w:divsChild>
        <w:div w:id="1502431390">
          <w:marLeft w:val="0"/>
          <w:marRight w:val="0"/>
          <w:marTop w:val="0"/>
          <w:marBottom w:val="0"/>
          <w:divBdr>
            <w:top w:val="none" w:sz="0" w:space="0" w:color="auto"/>
            <w:left w:val="none" w:sz="0" w:space="0" w:color="auto"/>
            <w:bottom w:val="none" w:sz="0" w:space="0" w:color="auto"/>
            <w:right w:val="none" w:sz="0" w:space="0" w:color="auto"/>
          </w:divBdr>
          <w:divsChild>
            <w:div w:id="1116170903">
              <w:marLeft w:val="0"/>
              <w:marRight w:val="0"/>
              <w:marTop w:val="0"/>
              <w:marBottom w:val="0"/>
              <w:divBdr>
                <w:top w:val="none" w:sz="0" w:space="0" w:color="auto"/>
                <w:left w:val="none" w:sz="0" w:space="0" w:color="auto"/>
                <w:bottom w:val="none" w:sz="0" w:space="0" w:color="auto"/>
                <w:right w:val="none" w:sz="0" w:space="0" w:color="auto"/>
              </w:divBdr>
              <w:divsChild>
                <w:div w:id="353773432">
                  <w:marLeft w:val="0"/>
                  <w:marRight w:val="0"/>
                  <w:marTop w:val="0"/>
                  <w:marBottom w:val="0"/>
                  <w:divBdr>
                    <w:top w:val="none" w:sz="0" w:space="0" w:color="auto"/>
                    <w:left w:val="none" w:sz="0" w:space="0" w:color="auto"/>
                    <w:bottom w:val="none" w:sz="0" w:space="0" w:color="auto"/>
                    <w:right w:val="none" w:sz="0" w:space="0" w:color="auto"/>
                  </w:divBdr>
                  <w:divsChild>
                    <w:div w:id="624696826">
                      <w:marLeft w:val="0"/>
                      <w:marRight w:val="0"/>
                      <w:marTop w:val="0"/>
                      <w:marBottom w:val="0"/>
                      <w:divBdr>
                        <w:top w:val="none" w:sz="0" w:space="0" w:color="auto"/>
                        <w:left w:val="none" w:sz="0" w:space="0" w:color="auto"/>
                        <w:bottom w:val="none" w:sz="0" w:space="0" w:color="auto"/>
                        <w:right w:val="none" w:sz="0" w:space="0" w:color="auto"/>
                      </w:divBdr>
                      <w:divsChild>
                        <w:div w:id="1778483036">
                          <w:marLeft w:val="0"/>
                          <w:marRight w:val="0"/>
                          <w:marTop w:val="0"/>
                          <w:marBottom w:val="0"/>
                          <w:divBdr>
                            <w:top w:val="none" w:sz="0" w:space="0" w:color="auto"/>
                            <w:left w:val="none" w:sz="0" w:space="0" w:color="auto"/>
                            <w:bottom w:val="none" w:sz="0" w:space="0" w:color="auto"/>
                            <w:right w:val="none" w:sz="0" w:space="0" w:color="auto"/>
                          </w:divBdr>
                          <w:divsChild>
                            <w:div w:id="1081754331">
                              <w:marLeft w:val="0"/>
                              <w:marRight w:val="0"/>
                              <w:marTop w:val="0"/>
                              <w:marBottom w:val="0"/>
                              <w:divBdr>
                                <w:top w:val="none" w:sz="0" w:space="0" w:color="auto"/>
                                <w:left w:val="none" w:sz="0" w:space="0" w:color="auto"/>
                                <w:bottom w:val="none" w:sz="0" w:space="0" w:color="auto"/>
                                <w:right w:val="none" w:sz="0" w:space="0" w:color="auto"/>
                              </w:divBdr>
                              <w:divsChild>
                                <w:div w:id="539901091">
                                  <w:marLeft w:val="0"/>
                                  <w:marRight w:val="0"/>
                                  <w:marTop w:val="0"/>
                                  <w:marBottom w:val="0"/>
                                  <w:divBdr>
                                    <w:top w:val="none" w:sz="0" w:space="0" w:color="auto"/>
                                    <w:left w:val="none" w:sz="0" w:space="0" w:color="auto"/>
                                    <w:bottom w:val="none" w:sz="0" w:space="0" w:color="auto"/>
                                    <w:right w:val="none" w:sz="0" w:space="0" w:color="auto"/>
                                  </w:divBdr>
                                  <w:divsChild>
                                    <w:div w:id="1807042109">
                                      <w:marLeft w:val="0"/>
                                      <w:marRight w:val="0"/>
                                      <w:marTop w:val="0"/>
                                      <w:marBottom w:val="0"/>
                                      <w:divBdr>
                                        <w:top w:val="none" w:sz="0" w:space="0" w:color="auto"/>
                                        <w:left w:val="none" w:sz="0" w:space="0" w:color="auto"/>
                                        <w:bottom w:val="none" w:sz="0" w:space="0" w:color="auto"/>
                                        <w:right w:val="none" w:sz="0" w:space="0" w:color="auto"/>
                                      </w:divBdr>
                                      <w:divsChild>
                                        <w:div w:id="496071227">
                                          <w:marLeft w:val="0"/>
                                          <w:marRight w:val="0"/>
                                          <w:marTop w:val="0"/>
                                          <w:marBottom w:val="0"/>
                                          <w:divBdr>
                                            <w:top w:val="none" w:sz="0" w:space="0" w:color="auto"/>
                                            <w:left w:val="none" w:sz="0" w:space="0" w:color="auto"/>
                                            <w:bottom w:val="none" w:sz="0" w:space="0" w:color="auto"/>
                                            <w:right w:val="none" w:sz="0" w:space="0" w:color="auto"/>
                                          </w:divBdr>
                                          <w:divsChild>
                                            <w:div w:id="403649620">
                                              <w:marLeft w:val="0"/>
                                              <w:marRight w:val="0"/>
                                              <w:marTop w:val="0"/>
                                              <w:marBottom w:val="0"/>
                                              <w:divBdr>
                                                <w:top w:val="none" w:sz="0" w:space="0" w:color="auto"/>
                                                <w:left w:val="none" w:sz="0" w:space="0" w:color="auto"/>
                                                <w:bottom w:val="none" w:sz="0" w:space="0" w:color="auto"/>
                                                <w:right w:val="none" w:sz="0" w:space="0" w:color="auto"/>
                                              </w:divBdr>
                                              <w:divsChild>
                                                <w:div w:id="804086448">
                                                  <w:marLeft w:val="0"/>
                                                  <w:marRight w:val="0"/>
                                                  <w:marTop w:val="0"/>
                                                  <w:marBottom w:val="0"/>
                                                  <w:divBdr>
                                                    <w:top w:val="none" w:sz="0" w:space="0" w:color="auto"/>
                                                    <w:left w:val="none" w:sz="0" w:space="0" w:color="auto"/>
                                                    <w:bottom w:val="none" w:sz="0" w:space="0" w:color="auto"/>
                                                    <w:right w:val="none" w:sz="0" w:space="0" w:color="auto"/>
                                                  </w:divBdr>
                                                  <w:divsChild>
                                                    <w:div w:id="1188980061">
                                                      <w:marLeft w:val="0"/>
                                                      <w:marRight w:val="0"/>
                                                      <w:marTop w:val="0"/>
                                                      <w:marBottom w:val="0"/>
                                                      <w:divBdr>
                                                        <w:top w:val="none" w:sz="0" w:space="0" w:color="auto"/>
                                                        <w:left w:val="none" w:sz="0" w:space="0" w:color="auto"/>
                                                        <w:bottom w:val="none" w:sz="0" w:space="0" w:color="auto"/>
                                                        <w:right w:val="none" w:sz="0" w:space="0" w:color="auto"/>
                                                      </w:divBdr>
                                                    </w:div>
                                                    <w:div w:id="1223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C06B7-396D-47C5-BF56-052344A7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Ila Mizrachi</cp:lastModifiedBy>
  <cp:revision>2</cp:revision>
  <dcterms:created xsi:type="dcterms:W3CDTF">2020-07-02T17:30:00Z</dcterms:created>
  <dcterms:modified xsi:type="dcterms:W3CDTF">2020-07-02T17:30:00Z</dcterms:modified>
</cp:coreProperties>
</file>