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022" w:rsidP="006B0A0A" w:rsidRDefault="00157022">
      <w:pPr>
        <w:jc w:val="center"/>
      </w:pPr>
      <w:r>
        <w:t>United States Food and Drug Administration</w:t>
      </w:r>
    </w:p>
    <w:p w:rsidR="00157022" w:rsidP="006B0A0A" w:rsidRDefault="00157022">
      <w:pPr>
        <w:jc w:val="center"/>
      </w:pPr>
    </w:p>
    <w:p w:rsidR="006B0A0A" w:rsidP="006B0A0A" w:rsidRDefault="00A60AFE">
      <w:pPr>
        <w:jc w:val="center"/>
      </w:pPr>
      <w:r>
        <w:t xml:space="preserve">Electronic Submission Process for Voluntary </w:t>
      </w:r>
      <w:r w:rsidR="00CF39E2">
        <w:t xml:space="preserve">Allegations </w:t>
      </w:r>
    </w:p>
    <w:p w:rsidR="00B23769" w:rsidP="006B0A0A" w:rsidRDefault="00A60AFE">
      <w:pPr>
        <w:jc w:val="center"/>
      </w:pPr>
      <w:r>
        <w:t>to the Center for Devices and Radiological Health</w:t>
      </w:r>
    </w:p>
    <w:p w:rsidRPr="009A1674" w:rsidR="00157022" w:rsidP="006B0A0A" w:rsidRDefault="00157022">
      <w:pPr>
        <w:jc w:val="center"/>
      </w:pPr>
    </w:p>
    <w:p w:rsidR="00EB7538" w:rsidP="00B23769" w:rsidRDefault="00157022">
      <w:pPr>
        <w:jc w:val="center"/>
      </w:pPr>
      <w:r>
        <w:t xml:space="preserve">OMB Control No. </w:t>
      </w:r>
      <w:r w:rsidR="00B554D5">
        <w:t>0910-0769</w:t>
      </w:r>
    </w:p>
    <w:p w:rsidRPr="009A1674" w:rsidR="00157022" w:rsidP="00B23769" w:rsidRDefault="00157022">
      <w:pPr>
        <w:jc w:val="center"/>
      </w:pPr>
    </w:p>
    <w:p w:rsidRPr="009A1674" w:rsidR="00EB7538" w:rsidP="00B23769" w:rsidRDefault="00EB7538">
      <w:pPr>
        <w:jc w:val="center"/>
      </w:pPr>
      <w:r w:rsidRPr="009A1674">
        <w:t>SUPPORTING STATEMENT</w:t>
      </w:r>
    </w:p>
    <w:p w:rsidR="00810FF1" w:rsidP="00B23769" w:rsidRDefault="00810FF1">
      <w:pPr>
        <w:jc w:val="center"/>
        <w:rPr>
          <w:b/>
        </w:rPr>
      </w:pPr>
    </w:p>
    <w:p w:rsidRPr="00810FF1" w:rsidR="00810FF1" w:rsidP="00810FF1" w:rsidRDefault="00810FF1">
      <w:r>
        <w:rPr>
          <w:b/>
        </w:rPr>
        <w:t xml:space="preserve">Terms of Clearance: </w:t>
      </w:r>
      <w:r w:rsidR="00A60AFE">
        <w:rPr>
          <w:b/>
        </w:rPr>
        <w:t>“None”</w:t>
      </w:r>
    </w:p>
    <w:p w:rsidRPr="00BB2BD9" w:rsidR="00EB7538" w:rsidP="00EB7538" w:rsidRDefault="00157022">
      <w:pPr>
        <w:pStyle w:val="NormalWeb"/>
        <w:rPr>
          <w:color w:val="808080"/>
        </w:rPr>
      </w:pPr>
      <w:r>
        <w:rPr>
          <w:b/>
          <w:bCs/>
        </w:rPr>
        <w:t xml:space="preserve">Part </w:t>
      </w:r>
      <w:r w:rsidR="00EB7538">
        <w:rPr>
          <w:b/>
          <w:bCs/>
        </w:rPr>
        <w:t>A. Justification</w:t>
      </w:r>
    </w:p>
    <w:p w:rsidRPr="00FC32F5" w:rsidR="008B30AB" w:rsidP="008B30AB" w:rsidRDefault="00EB7538">
      <w:pPr>
        <w:numPr>
          <w:ilvl w:val="0"/>
          <w:numId w:val="1"/>
        </w:numPr>
        <w:spacing w:before="100" w:beforeAutospacing="1" w:after="100" w:afterAutospacing="1"/>
        <w:rPr>
          <w:u w:val="single"/>
        </w:rPr>
      </w:pPr>
      <w:r w:rsidRPr="00FC32F5">
        <w:rPr>
          <w:u w:val="single"/>
        </w:rPr>
        <w:t>Circumstances Making the Collection of Information Necessary</w:t>
      </w:r>
    </w:p>
    <w:p w:rsidRPr="00FC32F5" w:rsidR="00D608DA" w:rsidP="00D608DA" w:rsidRDefault="00D608DA">
      <w:pPr>
        <w:spacing w:before="100" w:beforeAutospacing="1" w:after="100" w:afterAutospacing="1"/>
        <w:ind w:left="720"/>
      </w:pPr>
      <w:r w:rsidRPr="00FC32F5">
        <w:t xml:space="preserve">Section 301 of the Public Health Service Act (24 U.S.C. </w:t>
      </w:r>
      <w:r w:rsidRPr="00FC32F5" w:rsidR="00114FC4">
        <w:t xml:space="preserve">241) </w:t>
      </w:r>
      <w:r w:rsidR="004675EA">
        <w:t xml:space="preserve">is </w:t>
      </w:r>
      <w:r w:rsidRPr="00FC32F5" w:rsidR="00114FC4">
        <w:t>the authorizing statute.</w:t>
      </w:r>
    </w:p>
    <w:p w:rsidR="00BB2BD9" w:rsidP="009311D2" w:rsidRDefault="00BB2BD9">
      <w:pPr>
        <w:ind w:left="720"/>
      </w:pPr>
      <w:r>
        <w:t xml:space="preserve">Historically the Center for Devices and Radiological Health (CDRH) has received </w:t>
      </w:r>
      <w:r w:rsidR="00CF39E2">
        <w:t xml:space="preserve">allegations </w:t>
      </w:r>
      <w:r>
        <w:t>about medical devices via phone calls, emails</w:t>
      </w:r>
      <w:r w:rsidR="00B554D5">
        <w:t>,</w:t>
      </w:r>
      <w:r>
        <w:t xml:space="preserve"> and even conversationa</w:t>
      </w:r>
      <w:r w:rsidR="00B53C45">
        <w:t>lly during formal and informal meetings and conferences</w:t>
      </w:r>
      <w:r>
        <w:t>. All device complaints are voluntary; there are no regula</w:t>
      </w:r>
      <w:r w:rsidR="00964912">
        <w:t xml:space="preserve">tory requirements for </w:t>
      </w:r>
      <w:r w:rsidR="00CF39E2">
        <w:t>submitting allegations</w:t>
      </w:r>
      <w:r w:rsidR="00964912">
        <w:t>.</w:t>
      </w:r>
    </w:p>
    <w:p w:rsidR="00964912" w:rsidP="009311D2" w:rsidRDefault="00964912">
      <w:pPr>
        <w:ind w:left="720"/>
      </w:pPr>
    </w:p>
    <w:p w:rsidR="00BB2BD9" w:rsidP="009311D2" w:rsidRDefault="00BB2BD9">
      <w:pPr>
        <w:ind w:left="720"/>
      </w:pPr>
      <w:r>
        <w:t>CDRH</w:t>
      </w:r>
      <w:r w:rsidR="001E27C7">
        <w:t xml:space="preserve"> </w:t>
      </w:r>
      <w:r w:rsidR="00B554D5">
        <w:t xml:space="preserve">has </w:t>
      </w:r>
      <w:r w:rsidR="001E27C7">
        <w:t>establish</w:t>
      </w:r>
      <w:r w:rsidR="00B554D5">
        <w:t>ed</w:t>
      </w:r>
      <w:r w:rsidR="001E27C7">
        <w:t xml:space="preserve"> an </w:t>
      </w:r>
      <w:r>
        <w:t xml:space="preserve">electronic process for </w:t>
      </w:r>
      <w:r w:rsidR="00964912">
        <w:t>submitting</w:t>
      </w:r>
      <w:r>
        <w:t xml:space="preserve"> </w:t>
      </w:r>
      <w:r w:rsidR="00CF39E2">
        <w:t xml:space="preserve">allegations </w:t>
      </w:r>
      <w:r w:rsidR="00527C89">
        <w:t>for two reasons: (1)</w:t>
      </w:r>
      <w:r>
        <w:t xml:space="preserve"> to </w:t>
      </w:r>
      <w:r w:rsidR="0013125D">
        <w:t>improve the</w:t>
      </w:r>
      <w:r w:rsidR="00964912">
        <w:t xml:space="preserve"> </w:t>
      </w:r>
      <w:r w:rsidR="00254EB0">
        <w:t xml:space="preserve">consistency </w:t>
      </w:r>
      <w:r w:rsidR="0013125D">
        <w:t>and quality of</w:t>
      </w:r>
      <w:r w:rsidR="00254EB0">
        <w:t xml:space="preserve"> </w:t>
      </w:r>
      <w:r w:rsidR="0013125D">
        <w:t xml:space="preserve">complaint </w:t>
      </w:r>
      <w:r w:rsidR="00254EB0">
        <w:t>data received</w:t>
      </w:r>
      <w:r w:rsidR="000D2D17">
        <w:t>;</w:t>
      </w:r>
      <w:r w:rsidR="00527C89">
        <w:t xml:space="preserve"> (2) to </w:t>
      </w:r>
      <w:r w:rsidR="001E27C7">
        <w:t xml:space="preserve">enhance the </w:t>
      </w:r>
      <w:r w:rsidR="000D2D17">
        <w:t xml:space="preserve">reporter’s ability to convey </w:t>
      </w:r>
      <w:r w:rsidR="00CF39E2">
        <w:t xml:space="preserve">allegations </w:t>
      </w:r>
      <w:r w:rsidR="00E93CA5">
        <w:t>and concerns to CDRH; and (3) facilitate</w:t>
      </w:r>
      <w:r w:rsidR="00BC4A92">
        <w:t xml:space="preserve"> CDRH’s ability to detect and intervene to mitigate significant device issues in a timely fashion.</w:t>
      </w:r>
    </w:p>
    <w:p w:rsidR="00E610D9" w:rsidP="009311D2" w:rsidRDefault="00E610D9">
      <w:pPr>
        <w:ind w:left="720"/>
      </w:pPr>
    </w:p>
    <w:p w:rsidRPr="00BB2BD9" w:rsidR="00E610D9" w:rsidP="009311D2" w:rsidRDefault="003D57B3">
      <w:pPr>
        <w:ind w:left="720"/>
        <w:rPr>
          <w:i/>
        </w:rPr>
      </w:pPr>
      <w:r>
        <w:t xml:space="preserve">There is no statutory or regulatory requirement for the submission of medical device </w:t>
      </w:r>
      <w:r w:rsidR="00CF39E2">
        <w:t>allegations</w:t>
      </w:r>
      <w:r>
        <w:t>. Thus, n</w:t>
      </w:r>
      <w:r w:rsidR="00E610D9">
        <w:t xml:space="preserve">o </w:t>
      </w:r>
      <w:r>
        <w:t xml:space="preserve">data collection </w:t>
      </w:r>
      <w:r w:rsidR="00E610D9">
        <w:t xml:space="preserve">form has been established for medical device </w:t>
      </w:r>
      <w:r w:rsidR="00CF39E2">
        <w:t>allegations</w:t>
      </w:r>
      <w:r w:rsidR="00E610D9">
        <w:t xml:space="preserve">. The electronic submission </w:t>
      </w:r>
      <w:r w:rsidR="00EB64FD">
        <w:t>structure defines</w:t>
      </w:r>
      <w:r w:rsidR="00F43F17">
        <w:t xml:space="preserve"> a few</w:t>
      </w:r>
      <w:r w:rsidR="00E610D9">
        <w:t xml:space="preserve"> “mandatory” fields </w:t>
      </w:r>
      <w:r w:rsidR="00F43F17">
        <w:t xml:space="preserve">so that </w:t>
      </w:r>
      <w:r w:rsidR="00E610D9">
        <w:t xml:space="preserve">CDRH </w:t>
      </w:r>
      <w:r w:rsidR="00F43F17">
        <w:t xml:space="preserve">could </w:t>
      </w:r>
      <w:r w:rsidR="00E610D9">
        <w:t xml:space="preserve">follow-up with the </w:t>
      </w:r>
      <w:r w:rsidR="00CF39E2">
        <w:t xml:space="preserve">allegations </w:t>
      </w:r>
      <w:r w:rsidR="00796F27">
        <w:t xml:space="preserve">reporter when necessary </w:t>
      </w:r>
      <w:r w:rsidR="00E610D9">
        <w:t xml:space="preserve">to </w:t>
      </w:r>
      <w:r>
        <w:t xml:space="preserve">more </w:t>
      </w:r>
      <w:r w:rsidR="00E610D9">
        <w:t xml:space="preserve">fully understand the nature of the health risks associated with the submitted </w:t>
      </w:r>
      <w:r w:rsidR="00CF39E2">
        <w:t>allegations</w:t>
      </w:r>
      <w:r w:rsidR="00E610D9">
        <w:t>.</w:t>
      </w:r>
    </w:p>
    <w:p w:rsidRPr="006B0A0A" w:rsidR="00544138" w:rsidP="006B0A0A" w:rsidRDefault="00EB7538">
      <w:pPr>
        <w:numPr>
          <w:ilvl w:val="0"/>
          <w:numId w:val="1"/>
        </w:numPr>
        <w:spacing w:before="100" w:beforeAutospacing="1" w:after="100" w:afterAutospacing="1"/>
        <w:rPr>
          <w:u w:val="single"/>
        </w:rPr>
      </w:pPr>
      <w:bookmarkStart w:name="_GoBack" w:id="0"/>
      <w:bookmarkEnd w:id="0"/>
      <w:r w:rsidRPr="002746DB">
        <w:rPr>
          <w:u w:val="single"/>
        </w:rPr>
        <w:t xml:space="preserve">Purpose and Use of the Information Collection </w:t>
      </w:r>
    </w:p>
    <w:p w:rsidRPr="00FC32F5" w:rsidR="00CC2894" w:rsidP="00F207A4" w:rsidRDefault="00833967">
      <w:pPr>
        <w:ind w:left="720"/>
      </w:pPr>
      <w:r>
        <w:t>Respondents to this information are i</w:t>
      </w:r>
      <w:r w:rsidRPr="00FC32F5" w:rsidR="00584583">
        <w:t>ndividuals or households</w:t>
      </w:r>
      <w:r w:rsidRPr="00FC32F5" w:rsidR="00FC32F5">
        <w:t xml:space="preserve">, </w:t>
      </w:r>
      <w:r>
        <w:t>p</w:t>
      </w:r>
      <w:r w:rsidRPr="00FC32F5" w:rsidR="00584583">
        <w:t xml:space="preserve">rivate </w:t>
      </w:r>
      <w:r>
        <w:t>s</w:t>
      </w:r>
      <w:r w:rsidRPr="00FC32F5" w:rsidR="00584583">
        <w:t>ector</w:t>
      </w:r>
      <w:r>
        <w:rPr>
          <w:iCs/>
        </w:rPr>
        <w:t xml:space="preserve"> </w:t>
      </w:r>
      <w:r w:rsidRPr="00FC32F5" w:rsidR="00FC32F5">
        <w:rPr>
          <w:iCs/>
        </w:rPr>
        <w:t>business</w:t>
      </w:r>
      <w:r>
        <w:rPr>
          <w:iCs/>
        </w:rPr>
        <w:t>es</w:t>
      </w:r>
      <w:r w:rsidRPr="00FC32F5" w:rsidR="00FC32F5">
        <w:rPr>
          <w:iCs/>
        </w:rPr>
        <w:t xml:space="preserve"> or other for-profit, not-for-profit institution</w:t>
      </w:r>
      <w:r>
        <w:rPr>
          <w:iCs/>
        </w:rPr>
        <w:t>s</w:t>
      </w:r>
      <w:r w:rsidRPr="00FC32F5" w:rsidR="00584583">
        <w:t xml:space="preserve">, State, </w:t>
      </w:r>
      <w:r>
        <w:t>l</w:t>
      </w:r>
      <w:r w:rsidRPr="00FC32F5" w:rsidR="00584583">
        <w:t xml:space="preserve">ocal or </w:t>
      </w:r>
      <w:r>
        <w:t>t</w:t>
      </w:r>
      <w:r w:rsidRPr="00FC32F5" w:rsidR="00584583">
        <w:t xml:space="preserve">ribal </w:t>
      </w:r>
      <w:r>
        <w:t>g</w:t>
      </w:r>
      <w:r w:rsidRPr="00FC32F5" w:rsidR="00584583">
        <w:t xml:space="preserve">overnments, </w:t>
      </w:r>
      <w:r w:rsidRPr="00FC32F5" w:rsidR="00FC32F5">
        <w:t xml:space="preserve">and </w:t>
      </w:r>
      <w:r w:rsidRPr="00FC32F5" w:rsidR="00584583">
        <w:t xml:space="preserve">Federal </w:t>
      </w:r>
      <w:r>
        <w:t>g</w:t>
      </w:r>
      <w:r w:rsidRPr="00FC32F5" w:rsidR="00584583">
        <w:t xml:space="preserve">overnment.  </w:t>
      </w:r>
    </w:p>
    <w:p w:rsidRPr="00FC32F5" w:rsidR="003F3228" w:rsidP="00F207A4" w:rsidRDefault="003F3228">
      <w:pPr>
        <w:ind w:left="720"/>
        <w:rPr>
          <w:i/>
        </w:rPr>
      </w:pPr>
    </w:p>
    <w:p w:rsidRPr="003F3228" w:rsidR="003F3228" w:rsidP="00F207A4" w:rsidRDefault="003F3228">
      <w:pPr>
        <w:ind w:left="720"/>
      </w:pPr>
      <w:r>
        <w:t xml:space="preserve">CDRH uses </w:t>
      </w:r>
      <w:r w:rsidR="00CF39E2">
        <w:t xml:space="preserve">allegations </w:t>
      </w:r>
      <w:r w:rsidR="0036454A">
        <w:t xml:space="preserve">as potential signals of emerging </w:t>
      </w:r>
      <w:r>
        <w:t xml:space="preserve">risks associated with medical devices and radiological health products. </w:t>
      </w:r>
      <w:r w:rsidR="00CF39E2">
        <w:t xml:space="preserve">Allegations </w:t>
      </w:r>
      <w:r>
        <w:t xml:space="preserve">are </w:t>
      </w:r>
      <w:r w:rsidR="00252026">
        <w:t xml:space="preserve">evaluated and given a risk assessment score which helps define how to best make use of the information provided. Individual or clusters of </w:t>
      </w:r>
      <w:r w:rsidR="00CF39E2">
        <w:t xml:space="preserve">allegations </w:t>
      </w:r>
      <w:r w:rsidR="00252026">
        <w:t>have</w:t>
      </w:r>
      <w:r>
        <w:t xml:space="preserve"> be</w:t>
      </w:r>
      <w:r w:rsidR="008F34C1">
        <w:t>en</w:t>
      </w:r>
      <w:r>
        <w:t xml:space="preserve"> used to support regulatory action directed towards product manufactures, importers or distributors, and </w:t>
      </w:r>
      <w:r w:rsidR="008F34C1">
        <w:t>have</w:t>
      </w:r>
      <w:r w:rsidR="006B7E1D">
        <w:t xml:space="preserve"> </w:t>
      </w:r>
      <w:r w:rsidR="008F34C1">
        <w:t>clarified</w:t>
      </w:r>
      <w:r>
        <w:t xml:space="preserve"> the need for educational outreach to users.</w:t>
      </w:r>
      <w:r w:rsidR="009710FF">
        <w:t xml:space="preserve"> For example, </w:t>
      </w:r>
      <w:r w:rsidR="00CF39E2">
        <w:t xml:space="preserve">allegations </w:t>
      </w:r>
      <w:r w:rsidR="009710FF">
        <w:t xml:space="preserve">about recalled devices being offered for sale on eBay led to </w:t>
      </w:r>
      <w:r w:rsidR="004F6858">
        <w:t>CDRH</w:t>
      </w:r>
      <w:r w:rsidR="009710FF">
        <w:t xml:space="preserve"> collaboration with the management of eBay USA </w:t>
      </w:r>
      <w:r w:rsidR="009710FF">
        <w:lastRenderedPageBreak/>
        <w:t xml:space="preserve">to </w:t>
      </w:r>
      <w:r w:rsidR="004F6858">
        <w:t>identify and</w:t>
      </w:r>
      <w:r w:rsidR="009710FF">
        <w:t xml:space="preserve"> remove postings </w:t>
      </w:r>
      <w:r w:rsidR="004F6858">
        <w:t xml:space="preserve">for sale </w:t>
      </w:r>
      <w:r w:rsidR="009710FF">
        <w:t xml:space="preserve">of </w:t>
      </w:r>
      <w:r w:rsidR="004F6858">
        <w:t xml:space="preserve">recalled </w:t>
      </w:r>
      <w:r w:rsidR="009710FF">
        <w:t xml:space="preserve">devices </w:t>
      </w:r>
      <w:r w:rsidR="004F6858">
        <w:t>that</w:t>
      </w:r>
      <w:r w:rsidR="009710FF">
        <w:t xml:space="preserve"> should </w:t>
      </w:r>
      <w:r w:rsidR="004F6858">
        <w:t>no longer be made available for sale or distribution in the U</w:t>
      </w:r>
      <w:r w:rsidR="00833967">
        <w:t xml:space="preserve">nited </w:t>
      </w:r>
      <w:r w:rsidR="004F6858">
        <w:t>S</w:t>
      </w:r>
      <w:r w:rsidR="00833967">
        <w:t>tates</w:t>
      </w:r>
      <w:r w:rsidR="004F6858">
        <w:t>.</w:t>
      </w:r>
    </w:p>
    <w:p w:rsidRPr="004C6979" w:rsidR="002746DB" w:rsidP="00EB7538" w:rsidRDefault="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Pr="008F34C1" w:rsidR="005C55C2" w:rsidP="00F207A4" w:rsidRDefault="008F34C1">
      <w:pPr>
        <w:ind w:left="720"/>
      </w:pPr>
      <w:r>
        <w:t>Since</w:t>
      </w:r>
      <w:r w:rsidR="00A71554">
        <w:t>, prior to the electronic submission process,</w:t>
      </w:r>
      <w:r>
        <w:t xml:space="preserve"> there </w:t>
      </w:r>
      <w:r w:rsidR="00A71554">
        <w:t>was</w:t>
      </w:r>
      <w:r>
        <w:t xml:space="preserve"> no existing standard process for submitting </w:t>
      </w:r>
      <w:r w:rsidR="00CF39E2">
        <w:t>allegations</w:t>
      </w:r>
      <w:r w:rsidR="00A71554">
        <w:t>,</w:t>
      </w:r>
      <w:r w:rsidR="00CF39E2">
        <w:t xml:space="preserve"> </w:t>
      </w:r>
      <w:r>
        <w:t xml:space="preserve">reporters </w:t>
      </w:r>
      <w:r w:rsidR="00A71554">
        <w:t>were</w:t>
      </w:r>
      <w:r>
        <w:t xml:space="preserve"> often at a loss of who to contact, where to send communications, and what information to provide. By having a standard electronic process we reduce the time associated with trying to find the right contact and learning how to submit a complaint. The electronic process also enable</w:t>
      </w:r>
      <w:r w:rsidR="00A71554">
        <w:t>s</w:t>
      </w:r>
      <w:r>
        <w:t xml:space="preserve"> reporters to skip through details that don’t apply, and enable</w:t>
      </w:r>
      <w:r w:rsidR="00A71554">
        <w:t>s</w:t>
      </w:r>
      <w:r>
        <w:t xml:space="preserve"> reporters to review the submission before transmi</w:t>
      </w:r>
      <w:r w:rsidR="0078612A">
        <w:t xml:space="preserve">tting. There </w:t>
      </w:r>
      <w:r w:rsidR="00A71554">
        <w:t>is</w:t>
      </w:r>
      <w:r w:rsidR="0078612A">
        <w:t xml:space="preserve"> no cost to </w:t>
      </w:r>
      <w:r w:rsidR="00B80BC8">
        <w:t>reporters using the electronic submission process</w:t>
      </w:r>
      <w:r w:rsidR="0078612A">
        <w:t>.</w:t>
      </w:r>
    </w:p>
    <w:p w:rsidRPr="008F34C1" w:rsidR="008F34C1" w:rsidP="00F207A4" w:rsidRDefault="008F34C1">
      <w:pPr>
        <w:ind w:left="720"/>
        <w:rPr>
          <w:color w:val="808080"/>
        </w:rPr>
      </w:pPr>
    </w:p>
    <w:p w:rsidRPr="00B80BC8" w:rsidR="00B80BC8" w:rsidP="00F207A4" w:rsidRDefault="00B80BC8">
      <w:pPr>
        <w:ind w:left="720"/>
      </w:pPr>
      <w:r>
        <w:t xml:space="preserve">FDA estimates that approximately 95% of </w:t>
      </w:r>
      <w:r w:rsidR="00823D4A">
        <w:t xml:space="preserve">future </w:t>
      </w:r>
      <w:r>
        <w:t>reporters will use electronic means to submit t</w:t>
      </w:r>
      <w:r w:rsidR="00823D4A">
        <w:t xml:space="preserve">heir </w:t>
      </w:r>
      <w:r w:rsidR="00AA057A">
        <w:t xml:space="preserve">allegation </w:t>
      </w:r>
      <w:r w:rsidR="00823D4A">
        <w:t>to CDRH.</w:t>
      </w:r>
    </w:p>
    <w:p w:rsidRPr="002746DB" w:rsidR="002746DB" w:rsidP="00EB7538" w:rsidRDefault="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CB2CCA" w:rsidP="00CB2CCA" w:rsidRDefault="00CB2CCA">
      <w:pPr>
        <w:ind w:left="720"/>
      </w:pPr>
      <w:r>
        <w:t xml:space="preserve">Review of FDA guidance documents, websites and FR notices confirms that the electronic submission of </w:t>
      </w:r>
      <w:r w:rsidR="00AA057A">
        <w:t xml:space="preserve">allegations </w:t>
      </w:r>
      <w:r>
        <w:t xml:space="preserve">to CDRH represents a unique opportunity for reporters. </w:t>
      </w:r>
      <w:r w:rsidR="00CF39E2">
        <w:t xml:space="preserve">Allegations </w:t>
      </w:r>
      <w:r>
        <w:t>are reports of actual or potential violations of law or regulation. No other program or process exists for the collection of this type of information.</w:t>
      </w:r>
    </w:p>
    <w:p w:rsidRPr="002526A4" w:rsidR="00A13BAE" w:rsidP="00FC32F5" w:rsidRDefault="00EB7538">
      <w:pPr>
        <w:numPr>
          <w:ilvl w:val="0"/>
          <w:numId w:val="1"/>
        </w:numPr>
        <w:spacing w:before="100" w:beforeAutospacing="1" w:after="100" w:afterAutospacing="1"/>
        <w:rPr>
          <w:u w:val="single"/>
        </w:rPr>
      </w:pPr>
      <w:r w:rsidRPr="002526A4">
        <w:rPr>
          <w:u w:val="single"/>
        </w:rPr>
        <w:t>Impact on Small Businesses or Other Small Entities</w:t>
      </w:r>
    </w:p>
    <w:p w:rsidRPr="00A13BAE" w:rsidR="00A13BAE" w:rsidP="00F207A4" w:rsidRDefault="00A13BAE">
      <w:pPr>
        <w:pStyle w:val="BodyText2"/>
        <w:ind w:left="720"/>
      </w:pPr>
      <w:r>
        <w:t>This data collection would not impact small businesses other than when an individual employee of a small business wanted to voluntarily share a</w:t>
      </w:r>
      <w:r w:rsidR="00CF39E2">
        <w:t>n allegation</w:t>
      </w:r>
      <w:r>
        <w:t xml:space="preserve"> with CDRH. The </w:t>
      </w:r>
      <w:r w:rsidR="00CF39E2">
        <w:t>allegation</w:t>
      </w:r>
      <w:r>
        <w:t xml:space="preserve"> submission process will enable reporters to provide whatever information is available and allow reporters to skip over </w:t>
      </w:r>
      <w:r w:rsidR="009409AC">
        <w:t>elements (or fields)</w:t>
      </w:r>
      <w:r>
        <w:t xml:space="preserve"> for which information is not known.</w:t>
      </w:r>
    </w:p>
    <w:p w:rsidRPr="004C6979" w:rsidR="00CD77C3" w:rsidP="00EB7538" w:rsidRDefault="00EB7538">
      <w:pPr>
        <w:numPr>
          <w:ilvl w:val="0"/>
          <w:numId w:val="1"/>
        </w:numPr>
        <w:spacing w:before="100" w:beforeAutospacing="1" w:after="100" w:afterAutospacing="1"/>
        <w:rPr>
          <w:u w:val="single"/>
        </w:rPr>
      </w:pPr>
      <w:r w:rsidRPr="004C6979">
        <w:rPr>
          <w:u w:val="single"/>
        </w:rPr>
        <w:t>Consequences of Collecting the Information Less Frequently</w:t>
      </w:r>
    </w:p>
    <w:p w:rsidR="004C7AC3" w:rsidP="008D189D" w:rsidRDefault="004C7AC3">
      <w:pPr>
        <w:ind w:left="720"/>
      </w:pPr>
      <w:r>
        <w:t>Because a</w:t>
      </w:r>
      <w:r w:rsidR="00AA057A">
        <w:t xml:space="preserve">n allegation </w:t>
      </w:r>
      <w:r>
        <w:t xml:space="preserve">relates to a specific device and specific situation, it would be most accurate to say that </w:t>
      </w:r>
      <w:r w:rsidR="00CF39E2">
        <w:t xml:space="preserve">allegation </w:t>
      </w:r>
      <w:r>
        <w:t xml:space="preserve">submission represents a </w:t>
      </w:r>
      <w:r w:rsidR="002A75F0">
        <w:t>one</w:t>
      </w:r>
      <w:r w:rsidR="00A71554">
        <w:t>-</w:t>
      </w:r>
      <w:r w:rsidR="002A75F0">
        <w:t>time</w:t>
      </w:r>
      <w:r>
        <w:t xml:space="preserve"> collection.</w:t>
      </w:r>
    </w:p>
    <w:p w:rsidRPr="008D189D" w:rsidR="004C7AC3" w:rsidP="008D189D" w:rsidRDefault="00EB7538">
      <w:pPr>
        <w:numPr>
          <w:ilvl w:val="0"/>
          <w:numId w:val="1"/>
        </w:numPr>
        <w:spacing w:before="100" w:beforeAutospacing="1" w:after="100" w:afterAutospacing="1"/>
        <w:rPr>
          <w:u w:val="single"/>
        </w:rPr>
      </w:pPr>
      <w:r w:rsidRPr="004C6979">
        <w:rPr>
          <w:u w:val="single"/>
        </w:rPr>
        <w:t>Special Circumstances Relating to the Guidelines of 5 CFR 1320.5</w:t>
      </w:r>
    </w:p>
    <w:p w:rsidRPr="004C7AC3" w:rsidR="004C7AC3" w:rsidP="006B0A0A" w:rsidRDefault="004C7AC3">
      <w:pPr>
        <w:ind w:left="720"/>
      </w:pPr>
      <w:r w:rsidRPr="004C7AC3">
        <w:t xml:space="preserve">There are no special circumstances for </w:t>
      </w:r>
      <w:r w:rsidR="00A71554">
        <w:t>this collection of information.</w:t>
      </w:r>
    </w:p>
    <w:p w:rsidR="00CD77C3" w:rsidP="00EB7538" w:rsidRDefault="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705086" w:rsidP="00705086" w:rsidRDefault="00B80EEB">
      <w:pPr>
        <w:ind w:left="720"/>
      </w:pPr>
      <w:r>
        <w:t xml:space="preserve">In accordance with 5 CFR 1320.8(d), FDA published a 60-day notice for public comment in the FEDERAL REGISTER of </w:t>
      </w:r>
      <w:r w:rsidR="004F2329">
        <w:t>February 10</w:t>
      </w:r>
      <w:r w:rsidRPr="00683377" w:rsidR="00683377">
        <w:t>, 20</w:t>
      </w:r>
      <w:r w:rsidR="004F2329">
        <w:t>20</w:t>
      </w:r>
      <w:r w:rsidRPr="00683377" w:rsidR="00683377">
        <w:rPr>
          <w:rStyle w:val="italics1"/>
        </w:rPr>
        <w:t xml:space="preserve"> </w:t>
      </w:r>
      <w:r w:rsidR="00DB7813">
        <w:t>(</w:t>
      </w:r>
      <w:r w:rsidRPr="004F2329" w:rsidR="004F2329">
        <w:t>85 FR 7562</w:t>
      </w:r>
      <w:r w:rsidR="00DB7813">
        <w:t xml:space="preserve">). </w:t>
      </w:r>
      <w:r w:rsidR="004F2329">
        <w:t xml:space="preserve">Two </w:t>
      </w:r>
      <w:r w:rsidR="00DB7813">
        <w:t xml:space="preserve">comments were received. </w:t>
      </w:r>
    </w:p>
    <w:p w:rsidR="00157022" w:rsidP="00705086" w:rsidRDefault="00157022">
      <w:pPr>
        <w:ind w:left="720"/>
      </w:pPr>
    </w:p>
    <w:p w:rsidR="00C16686" w:rsidP="00705086" w:rsidRDefault="004F2329">
      <w:pPr>
        <w:ind w:left="720"/>
      </w:pPr>
      <w:r>
        <w:t>The first comment was n</w:t>
      </w:r>
      <w:r w:rsidR="00E72EBD">
        <w:t xml:space="preserve">ot relevant to the information collection. </w:t>
      </w:r>
    </w:p>
    <w:p w:rsidR="00C16686" w:rsidP="00705086" w:rsidRDefault="00C16686">
      <w:pPr>
        <w:ind w:left="720"/>
      </w:pPr>
    </w:p>
    <w:p w:rsidR="00E72EBD" w:rsidP="00705086" w:rsidRDefault="004F2329">
      <w:pPr>
        <w:ind w:left="720"/>
      </w:pPr>
      <w:r>
        <w:t xml:space="preserve">The second comment stated </w:t>
      </w:r>
      <w:r w:rsidR="00272CAF">
        <w:t xml:space="preserve">that the </w:t>
      </w:r>
      <w:r w:rsidRPr="004F2329">
        <w:t xml:space="preserve">rule does not state </w:t>
      </w:r>
      <w:r w:rsidR="00272CAF">
        <w:t>whether people submitting allegations of regulatory misconduct are required to</w:t>
      </w:r>
      <w:r w:rsidRPr="004F2329">
        <w:t xml:space="preserve"> </w:t>
      </w:r>
      <w:r w:rsidR="00272CAF">
        <w:t xml:space="preserve">redact their contact information. </w:t>
      </w:r>
    </w:p>
    <w:p w:rsidR="00140184" w:rsidP="00F22D2B" w:rsidRDefault="00D14752">
      <w:pPr>
        <w:spacing w:before="100" w:beforeAutospacing="1" w:after="100" w:afterAutospacing="1"/>
        <w:ind w:left="720"/>
      </w:pPr>
      <w:r>
        <w:t xml:space="preserve">We disagree with the comment. </w:t>
      </w:r>
      <w:r w:rsidRPr="00D14752">
        <w:t xml:space="preserve">Anyone may file a complaint reporting an allegation of regulatory misconduct. The FDA encourages people submitting allegations to include supporting information and contact information in case additional information is needed for the FDA to understand the allegation and act on the report; </w:t>
      </w:r>
      <w:r w:rsidRPr="00D14752" w:rsidR="009B24A4">
        <w:t>however,</w:t>
      </w:r>
      <w:r w:rsidRPr="00D14752">
        <w:t xml:space="preserve"> you can choose to submit a report anonymously. The FDA will not share your identity or contact information with anyone outside the FDA unless required to do so by law, regulation, or court order</w:t>
      </w:r>
      <w:r>
        <w:t xml:space="preserve">. </w:t>
      </w:r>
    </w:p>
    <w:p w:rsidRPr="004C6979" w:rsidR="00CD77C3" w:rsidP="00140184" w:rsidRDefault="00EB7538">
      <w:pPr>
        <w:numPr>
          <w:ilvl w:val="0"/>
          <w:numId w:val="1"/>
        </w:numPr>
        <w:spacing w:before="100" w:beforeAutospacing="1" w:after="100" w:afterAutospacing="1"/>
        <w:rPr>
          <w:u w:val="single"/>
        </w:rPr>
      </w:pPr>
      <w:r w:rsidRPr="004C6979">
        <w:rPr>
          <w:u w:val="single"/>
        </w:rPr>
        <w:t>Explanation of Any Payment or Gift to Respondents</w:t>
      </w:r>
    </w:p>
    <w:p w:rsidRPr="0056271E" w:rsidR="0056271E" w:rsidP="00DD09F5" w:rsidRDefault="0056271E">
      <w:pPr>
        <w:ind w:left="720"/>
      </w:pPr>
      <w:r>
        <w:t>There</w:t>
      </w:r>
      <w:r w:rsidR="00157022">
        <w:t xml:space="preserve"> are no incentives, payments or gifts associated with this information collection.</w:t>
      </w:r>
    </w:p>
    <w:p w:rsidRPr="004C6979" w:rsidR="00CD77C3" w:rsidP="00EB7538" w:rsidRDefault="00EB7538">
      <w:pPr>
        <w:numPr>
          <w:ilvl w:val="0"/>
          <w:numId w:val="1"/>
        </w:numPr>
        <w:spacing w:before="100" w:beforeAutospacing="1" w:after="100" w:afterAutospacing="1"/>
        <w:rPr>
          <w:u w:val="single"/>
        </w:rPr>
      </w:pPr>
      <w:r w:rsidRPr="004C6979">
        <w:rPr>
          <w:u w:val="single"/>
        </w:rPr>
        <w:t>Assurance of Confidentiality Provided to Respondents</w:t>
      </w:r>
    </w:p>
    <w:p w:rsidR="00972820" w:rsidP="00972820" w:rsidRDefault="00972820">
      <w:pPr>
        <w:pStyle w:val="BodyText2"/>
        <w:ind w:left="720"/>
      </w:pPr>
      <w:r>
        <w:t xml:space="preserve">This ICR collects personally identifiable information (PII).  PII is collected in the context of the subject individuals’ professional capacity and the FDA-related work they perform for their employer (e.g. point of contact).  The PII submitted via online portal is name, work address, work email address. </w:t>
      </w:r>
    </w:p>
    <w:p w:rsidR="00837A0D" w:rsidP="00972820" w:rsidRDefault="00837A0D">
      <w:pPr>
        <w:pStyle w:val="BodyText2"/>
        <w:ind w:left="720"/>
      </w:pPr>
    </w:p>
    <w:p w:rsidR="00972820" w:rsidP="00972820" w:rsidRDefault="00972820">
      <w:pPr>
        <w:pStyle w:val="BodyText2"/>
        <w:ind w:left="720"/>
      </w:pPr>
      <w:r>
        <w:t xml:space="preserve">FDA further determined that although PII is collected the collection is not subject to the Privacy Act of 1974 and the particular notice and other requirements of the Act do not apply.  Specifically, FDA does not use name or any other personal identifier to routinely retrieve records from the information collected. </w:t>
      </w:r>
    </w:p>
    <w:p w:rsidR="00837A0D" w:rsidP="00972820" w:rsidRDefault="00837A0D">
      <w:pPr>
        <w:pStyle w:val="BodyText2"/>
        <w:ind w:left="720"/>
      </w:pPr>
    </w:p>
    <w:p w:rsidR="00972820" w:rsidP="00972820" w:rsidRDefault="00972820">
      <w:pPr>
        <w:pStyle w:val="BodyText2"/>
        <w:ind w:left="720"/>
      </w:pPr>
      <w:r>
        <w:t xml:space="preserve">In preparing this Supporting Statement, FDA staff consulted with the FDA Privacy Office to ensure appropriate handling of information collected.  FDA minimized the PII to be collected to protect the privacy of the individuals. </w:t>
      </w:r>
    </w:p>
    <w:p w:rsidR="00837A0D" w:rsidP="00972820" w:rsidRDefault="00837A0D">
      <w:pPr>
        <w:pStyle w:val="BodyText2"/>
        <w:ind w:left="720"/>
      </w:pPr>
    </w:p>
    <w:p w:rsidR="00972820" w:rsidP="00972820" w:rsidRDefault="00972820">
      <w:pPr>
        <w:pStyle w:val="BodyText2"/>
        <w:ind w:left="720"/>
      </w:pPr>
      <w:r>
        <w:t>FDA does assure that information about the reporter will be maintained in compliance with the FOIA. The submission process will enable reporters to submit anonymously if desired. Reports are maintained electronically within FDA equipment and databases and kept secure per established Agency document management and security processes.</w:t>
      </w:r>
    </w:p>
    <w:p w:rsidR="005E1562" w:rsidP="001C25E0" w:rsidRDefault="00972820">
      <w:pPr>
        <w:spacing w:before="100" w:beforeAutospacing="1" w:after="100" w:afterAutospacing="1"/>
        <w:ind w:firstLine="720"/>
        <w:rPr>
          <w:u w:val="single"/>
        </w:rPr>
      </w:pPr>
      <w:r>
        <w:t>This process would not require use of an IRB.</w:t>
      </w:r>
    </w:p>
    <w:p w:rsidRPr="005E1562" w:rsidR="004C6979" w:rsidP="005E1562" w:rsidRDefault="005E1562">
      <w:pPr>
        <w:numPr>
          <w:ilvl w:val="0"/>
          <w:numId w:val="1"/>
        </w:numPr>
        <w:spacing w:before="100" w:beforeAutospacing="1" w:after="100" w:afterAutospacing="1"/>
        <w:rPr>
          <w:u w:val="single"/>
        </w:rPr>
      </w:pPr>
      <w:r>
        <w:rPr>
          <w:u w:val="single"/>
        </w:rPr>
        <w:t>J</w:t>
      </w:r>
      <w:r w:rsidRPr="005E1562" w:rsidR="00EB7538">
        <w:rPr>
          <w:u w:val="single"/>
        </w:rPr>
        <w:t>ustification for Sensitive Questions</w:t>
      </w:r>
    </w:p>
    <w:p w:rsidRPr="006234C7" w:rsidR="006234C7" w:rsidP="008D189D" w:rsidRDefault="006234C7">
      <w:pPr>
        <w:pStyle w:val="BodyText2"/>
        <w:ind w:left="720"/>
      </w:pPr>
      <w:r>
        <w:t xml:space="preserve">The electronic submission of </w:t>
      </w:r>
      <w:r w:rsidR="00A71554">
        <w:t xml:space="preserve">an </w:t>
      </w:r>
      <w:r w:rsidR="00CF39E2">
        <w:t xml:space="preserve">allegation </w:t>
      </w:r>
      <w:r>
        <w:t xml:space="preserve">does not generally involve the collection of any sensitive information. </w:t>
      </w:r>
      <w:r w:rsidR="00CF39E2">
        <w:t>Allegation</w:t>
      </w:r>
      <w:r w:rsidR="00AA057A">
        <w:t>s</w:t>
      </w:r>
      <w:r w:rsidR="00CF39E2">
        <w:t xml:space="preserve"> </w:t>
      </w:r>
      <w:r w:rsidR="00AD1FEA">
        <w:t>received by FDA are not routinely made public, though may be required to be released and would be managed per the FOIA.</w:t>
      </w:r>
    </w:p>
    <w:p w:rsidRPr="004C6979" w:rsidR="004C6979" w:rsidP="00EB7538" w:rsidRDefault="00EB7538">
      <w:pPr>
        <w:numPr>
          <w:ilvl w:val="0"/>
          <w:numId w:val="1"/>
        </w:numPr>
        <w:spacing w:before="100" w:beforeAutospacing="1" w:after="100" w:afterAutospacing="1"/>
        <w:rPr>
          <w:u w:val="single"/>
        </w:rPr>
      </w:pPr>
      <w:r w:rsidRPr="004C6979">
        <w:rPr>
          <w:u w:val="single"/>
        </w:rPr>
        <w:lastRenderedPageBreak/>
        <w:t>Estimates of Annualized Burden Hours and Costs</w:t>
      </w:r>
    </w:p>
    <w:p w:rsidR="006309B3" w:rsidP="006309B3" w:rsidRDefault="008B0E29">
      <w:pPr>
        <w:ind w:left="720"/>
        <w:rPr>
          <w:u w:val="single"/>
        </w:rPr>
      </w:pPr>
      <w:r w:rsidRPr="00A863B1">
        <w:t xml:space="preserve">12 a. </w:t>
      </w:r>
      <w:r w:rsidR="00411D11">
        <w:rPr>
          <w:u w:val="single"/>
        </w:rPr>
        <w:t xml:space="preserve">Annualized </w:t>
      </w:r>
      <w:r w:rsidR="004C6979">
        <w:rPr>
          <w:u w:val="single"/>
        </w:rPr>
        <w:t>Hour Burden Estimate</w:t>
      </w:r>
    </w:p>
    <w:p w:rsidR="0039066F" w:rsidP="00963034" w:rsidRDefault="0039066F">
      <w:pPr>
        <w:contextualSpacing/>
        <w:jc w:val="center"/>
        <w:rPr>
          <w:sz w:val="20"/>
          <w:szCs w:val="20"/>
        </w:rPr>
      </w:pPr>
    </w:p>
    <w:p w:rsidRPr="002250E0" w:rsidR="006309B3" w:rsidP="00963034" w:rsidRDefault="0064056D">
      <w:pPr>
        <w:contextualSpacing/>
        <w:jc w:val="center"/>
      </w:pPr>
      <w:r w:rsidRPr="00A863B1">
        <w:t>Table 1.--Estimated Annual Reporting Burden</w:t>
      </w:r>
    </w:p>
    <w:p w:rsidR="00874A58" w:rsidP="006309B3" w:rsidRDefault="00874A58">
      <w:pPr>
        <w:contextualSpacing/>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250E0" w:rsidTr="002250E0">
        <w:tc>
          <w:tcPr>
            <w:tcW w:w="1558" w:type="dxa"/>
          </w:tcPr>
          <w:p w:rsidRPr="00A863B1" w:rsidR="002250E0" w:rsidP="00A863B1" w:rsidRDefault="002250E0">
            <w:pPr>
              <w:contextualSpacing/>
              <w:jc w:val="center"/>
              <w:rPr>
                <w:sz w:val="20"/>
                <w:szCs w:val="20"/>
              </w:rPr>
            </w:pPr>
            <w:r w:rsidRPr="00A863B1">
              <w:rPr>
                <w:sz w:val="20"/>
                <w:szCs w:val="20"/>
              </w:rPr>
              <w:t>Activity</w:t>
            </w:r>
          </w:p>
        </w:tc>
        <w:tc>
          <w:tcPr>
            <w:tcW w:w="1558" w:type="dxa"/>
          </w:tcPr>
          <w:p w:rsidRPr="00A863B1" w:rsidR="002250E0" w:rsidP="00A863B1" w:rsidRDefault="002250E0">
            <w:pPr>
              <w:contextualSpacing/>
              <w:jc w:val="center"/>
              <w:rPr>
                <w:sz w:val="20"/>
                <w:szCs w:val="20"/>
              </w:rPr>
            </w:pPr>
            <w:r w:rsidRPr="00A863B1">
              <w:rPr>
                <w:sz w:val="20"/>
                <w:szCs w:val="20"/>
              </w:rPr>
              <w:t>No. of Respondents</w:t>
            </w:r>
          </w:p>
        </w:tc>
        <w:tc>
          <w:tcPr>
            <w:tcW w:w="1558" w:type="dxa"/>
          </w:tcPr>
          <w:p w:rsidRPr="00A863B1" w:rsidR="002250E0" w:rsidP="00A863B1" w:rsidRDefault="002250E0">
            <w:pPr>
              <w:contextualSpacing/>
              <w:jc w:val="center"/>
              <w:rPr>
                <w:sz w:val="20"/>
                <w:szCs w:val="20"/>
              </w:rPr>
            </w:pPr>
            <w:r w:rsidRPr="00A863B1">
              <w:rPr>
                <w:sz w:val="20"/>
                <w:szCs w:val="20"/>
              </w:rPr>
              <w:t>Number of Responses per Respondent</w:t>
            </w:r>
          </w:p>
        </w:tc>
        <w:tc>
          <w:tcPr>
            <w:tcW w:w="1558" w:type="dxa"/>
          </w:tcPr>
          <w:p w:rsidRPr="00A863B1" w:rsidR="002250E0" w:rsidP="00A863B1" w:rsidRDefault="002250E0">
            <w:pPr>
              <w:contextualSpacing/>
              <w:jc w:val="center"/>
              <w:rPr>
                <w:sz w:val="20"/>
                <w:szCs w:val="20"/>
              </w:rPr>
            </w:pPr>
            <w:r w:rsidRPr="00A863B1">
              <w:rPr>
                <w:sz w:val="20"/>
                <w:szCs w:val="20"/>
              </w:rPr>
              <w:t>Total Annual Responses</w:t>
            </w:r>
          </w:p>
        </w:tc>
        <w:tc>
          <w:tcPr>
            <w:tcW w:w="1559" w:type="dxa"/>
          </w:tcPr>
          <w:p w:rsidRPr="00A863B1" w:rsidR="002250E0" w:rsidP="00A863B1" w:rsidRDefault="002250E0">
            <w:pPr>
              <w:contextualSpacing/>
              <w:jc w:val="center"/>
              <w:rPr>
                <w:sz w:val="20"/>
                <w:szCs w:val="20"/>
              </w:rPr>
            </w:pPr>
            <w:r w:rsidRPr="00A863B1">
              <w:rPr>
                <w:sz w:val="20"/>
                <w:szCs w:val="20"/>
              </w:rPr>
              <w:t>Average Burden per Response</w:t>
            </w:r>
          </w:p>
        </w:tc>
        <w:tc>
          <w:tcPr>
            <w:tcW w:w="1559" w:type="dxa"/>
          </w:tcPr>
          <w:p w:rsidRPr="00A863B1" w:rsidR="002250E0" w:rsidP="00A863B1" w:rsidRDefault="002250E0">
            <w:pPr>
              <w:contextualSpacing/>
              <w:jc w:val="center"/>
              <w:rPr>
                <w:sz w:val="20"/>
                <w:szCs w:val="20"/>
              </w:rPr>
            </w:pPr>
            <w:r w:rsidRPr="00A863B1">
              <w:rPr>
                <w:sz w:val="20"/>
                <w:szCs w:val="20"/>
              </w:rPr>
              <w:t>Total Hours</w:t>
            </w:r>
          </w:p>
        </w:tc>
      </w:tr>
      <w:tr w:rsidR="002250E0" w:rsidTr="002250E0">
        <w:tc>
          <w:tcPr>
            <w:tcW w:w="1558" w:type="dxa"/>
          </w:tcPr>
          <w:p w:rsidRPr="00A863B1" w:rsidR="002250E0" w:rsidP="00A863B1" w:rsidRDefault="002250E0">
            <w:pPr>
              <w:contextualSpacing/>
              <w:jc w:val="center"/>
              <w:rPr>
                <w:sz w:val="20"/>
                <w:szCs w:val="20"/>
              </w:rPr>
            </w:pPr>
            <w:r>
              <w:rPr>
                <w:sz w:val="20"/>
                <w:szCs w:val="20"/>
              </w:rPr>
              <w:t>Electronic submission of voluntary allegations to CDRH</w:t>
            </w:r>
          </w:p>
        </w:tc>
        <w:tc>
          <w:tcPr>
            <w:tcW w:w="1558" w:type="dxa"/>
          </w:tcPr>
          <w:p w:rsidR="002250E0" w:rsidP="00A863B1" w:rsidRDefault="002250E0">
            <w:pPr>
              <w:contextualSpacing/>
              <w:jc w:val="center"/>
            </w:pPr>
            <w:r>
              <w:t>1,600</w:t>
            </w:r>
          </w:p>
        </w:tc>
        <w:tc>
          <w:tcPr>
            <w:tcW w:w="1558" w:type="dxa"/>
          </w:tcPr>
          <w:p w:rsidR="002250E0" w:rsidP="00A863B1" w:rsidRDefault="002250E0">
            <w:pPr>
              <w:contextualSpacing/>
              <w:jc w:val="center"/>
            </w:pPr>
            <w:r>
              <w:t>1</w:t>
            </w:r>
          </w:p>
        </w:tc>
        <w:tc>
          <w:tcPr>
            <w:tcW w:w="1558" w:type="dxa"/>
          </w:tcPr>
          <w:p w:rsidR="002250E0" w:rsidP="00A863B1" w:rsidRDefault="002250E0">
            <w:pPr>
              <w:contextualSpacing/>
              <w:jc w:val="center"/>
            </w:pPr>
            <w:r>
              <w:t>1,600</w:t>
            </w:r>
          </w:p>
        </w:tc>
        <w:tc>
          <w:tcPr>
            <w:tcW w:w="1559" w:type="dxa"/>
          </w:tcPr>
          <w:p w:rsidR="002250E0" w:rsidP="002250E0" w:rsidRDefault="002250E0">
            <w:pPr>
              <w:contextualSpacing/>
              <w:jc w:val="center"/>
            </w:pPr>
            <w:r>
              <w:t xml:space="preserve">0.25 </w:t>
            </w:r>
          </w:p>
          <w:p w:rsidR="002250E0" w:rsidP="00A863B1" w:rsidRDefault="002250E0">
            <w:pPr>
              <w:contextualSpacing/>
              <w:jc w:val="center"/>
            </w:pPr>
            <w:r>
              <w:t>(15 minutes)</w:t>
            </w:r>
          </w:p>
        </w:tc>
        <w:tc>
          <w:tcPr>
            <w:tcW w:w="1559" w:type="dxa"/>
          </w:tcPr>
          <w:p w:rsidR="002250E0" w:rsidP="00A863B1" w:rsidRDefault="002250E0">
            <w:pPr>
              <w:contextualSpacing/>
              <w:jc w:val="center"/>
            </w:pPr>
            <w:r>
              <w:t>400</w:t>
            </w:r>
          </w:p>
        </w:tc>
      </w:tr>
    </w:tbl>
    <w:p w:rsidR="00874A58" w:rsidP="006309B3" w:rsidRDefault="00874A58">
      <w:pPr>
        <w:contextualSpacing/>
      </w:pPr>
    </w:p>
    <w:p w:rsidR="00874A58" w:rsidP="006309B3" w:rsidRDefault="00874A58">
      <w:pPr>
        <w:contextualSpacing/>
      </w:pPr>
    </w:p>
    <w:p w:rsidR="00A93ED9" w:rsidP="004A734C" w:rsidRDefault="00A93ED9">
      <w:pPr>
        <w:pStyle w:val="BodyText2"/>
        <w:ind w:left="360" w:firstLine="360"/>
      </w:pPr>
      <w:r w:rsidRPr="00C75CBF">
        <w:t xml:space="preserve">12b. </w:t>
      </w:r>
      <w:r w:rsidRPr="00C75CBF" w:rsidR="00411D11">
        <w:rPr>
          <w:u w:val="single"/>
        </w:rPr>
        <w:t>Annualized Cost Burden Estimate</w:t>
      </w:r>
    </w:p>
    <w:p w:rsidR="00977744" w:rsidP="001D495A" w:rsidRDefault="00977744">
      <w:pPr>
        <w:pStyle w:val="BodyText2"/>
        <w:ind w:left="720"/>
        <w:rPr>
          <w:color w:val="808080"/>
        </w:rPr>
      </w:pPr>
    </w:p>
    <w:p w:rsidRPr="00977744" w:rsidR="00977744" w:rsidP="004E55AE" w:rsidRDefault="00977744">
      <w:pPr>
        <w:pStyle w:val="BodyText2"/>
        <w:ind w:left="720"/>
      </w:pPr>
      <w:r>
        <w:t>The electronic submission of a</w:t>
      </w:r>
      <w:r w:rsidR="00CF39E2">
        <w:t xml:space="preserve">n allegation </w:t>
      </w:r>
      <w:r>
        <w:t xml:space="preserve">to CDRH is a voluntary action; no professional cost can be assigned to this </w:t>
      </w:r>
      <w:r w:rsidR="0090175D">
        <w:t>activity</w:t>
      </w:r>
      <w:r>
        <w:t>.</w:t>
      </w:r>
      <w:r w:rsidR="004E55AE">
        <w:t xml:space="preserve"> </w:t>
      </w:r>
    </w:p>
    <w:p w:rsidRPr="008D189D" w:rsidR="00350523" w:rsidP="008D189D" w:rsidRDefault="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w:t>
      </w:r>
      <w:r w:rsidR="00C0294D">
        <w:rPr>
          <w:u w:val="single"/>
        </w:rPr>
        <w:t>/</w:t>
      </w:r>
      <w:r w:rsidR="00350523">
        <w:rPr>
          <w:u w:val="single"/>
        </w:rPr>
        <w:t>Recordkeepers</w:t>
      </w:r>
      <w:r w:rsidR="00C0294D">
        <w:rPr>
          <w:u w:val="single"/>
        </w:rPr>
        <w:t xml:space="preserve"> or </w:t>
      </w:r>
      <w:r w:rsidR="00350523">
        <w:rPr>
          <w:u w:val="single"/>
        </w:rPr>
        <w:t>Capital Costs</w:t>
      </w:r>
    </w:p>
    <w:p w:rsidR="00350523" w:rsidP="003E553E" w:rsidRDefault="00350523">
      <w:pPr>
        <w:ind w:left="720"/>
      </w:pPr>
      <w:r>
        <w:t xml:space="preserve">There </w:t>
      </w:r>
      <w:r w:rsidR="006B0A0A">
        <w:t>is no capital</w:t>
      </w:r>
      <w:r>
        <w:t>, start-up, operating or maintenance costs associated with this information collection.</w:t>
      </w:r>
    </w:p>
    <w:p w:rsidRPr="004C6979" w:rsidR="004C6979" w:rsidP="00A71554" w:rsidRDefault="00EB7538">
      <w:pPr>
        <w:keepNext/>
        <w:numPr>
          <w:ilvl w:val="0"/>
          <w:numId w:val="1"/>
        </w:numPr>
        <w:spacing w:before="100" w:beforeAutospacing="1" w:after="100" w:afterAutospacing="1"/>
        <w:rPr>
          <w:u w:val="single"/>
        </w:rPr>
      </w:pPr>
      <w:r w:rsidRPr="004C6979">
        <w:rPr>
          <w:u w:val="single"/>
        </w:rPr>
        <w:t>Annualized Cost to the Federal Government</w:t>
      </w:r>
    </w:p>
    <w:p w:rsidR="000F372C" w:rsidP="000F372C" w:rsidRDefault="000F372C">
      <w:pPr>
        <w:pStyle w:val="BodyText2"/>
        <w:ind w:left="720"/>
      </w:pPr>
      <w:r w:rsidRPr="00C647A4">
        <w:t xml:space="preserve">FDA estimates that a total of </w:t>
      </w:r>
      <w:r>
        <w:t>3</w:t>
      </w:r>
      <w:r w:rsidRPr="00C647A4">
        <w:t xml:space="preserve"> full time equivalent (FTE) positions are </w:t>
      </w:r>
      <w:r>
        <w:t>needed for the collection of information</w:t>
      </w:r>
      <w:r w:rsidRPr="00C647A4">
        <w:t>.</w:t>
      </w:r>
      <w:r>
        <w:t xml:space="preserve"> </w:t>
      </w:r>
      <w:r w:rsidRPr="00A87A70">
        <w:t>Based on a</w:t>
      </w:r>
      <w:r>
        <w:t xml:space="preserve"> </w:t>
      </w:r>
      <w:r w:rsidRPr="00A87A70">
        <w:t>cost of $</w:t>
      </w:r>
      <w:r>
        <w:t>270,305</w:t>
      </w:r>
      <w:r w:rsidRPr="00A87A70">
        <w:t xml:space="preserve"> per position (which is the agency’s </w:t>
      </w:r>
      <w:r>
        <w:t xml:space="preserve">projected </w:t>
      </w:r>
      <w:r w:rsidRPr="00A87A70">
        <w:t>average cost of an FTE including benefits</w:t>
      </w:r>
      <w:r>
        <w:t>*</w:t>
      </w:r>
      <w:r w:rsidRPr="00A87A70">
        <w:t>), the estimated annual Federal cost is $</w:t>
      </w:r>
      <w:r>
        <w:t>810,915</w:t>
      </w:r>
      <w:r w:rsidRPr="00A87A70">
        <w:t>.</w:t>
      </w:r>
    </w:p>
    <w:p w:rsidR="000F372C" w:rsidP="000F372C" w:rsidRDefault="000F372C">
      <w:pPr>
        <w:pStyle w:val="BodyText2"/>
        <w:ind w:left="720"/>
      </w:pPr>
    </w:p>
    <w:p w:rsidR="004C6979" w:rsidP="000F372C" w:rsidRDefault="000F372C">
      <w:pPr>
        <w:ind w:left="720"/>
      </w:pPr>
      <w:r w:rsidRPr="0036706C">
        <w:rPr>
          <w:szCs w:val="22"/>
        </w:rPr>
        <w:t>*Based on the Food and Drug Administration fully loaded FTE cost model (domestic) for FY 2018, as provided by agency economists.</w:t>
      </w:r>
      <w:r w:rsidR="00903D03">
        <w:t xml:space="preserve"> </w:t>
      </w:r>
    </w:p>
    <w:p w:rsidRPr="004C6979" w:rsidR="004C6979" w:rsidP="00EB7538" w:rsidRDefault="00EB7538">
      <w:pPr>
        <w:numPr>
          <w:ilvl w:val="0"/>
          <w:numId w:val="1"/>
        </w:numPr>
        <w:spacing w:before="100" w:beforeAutospacing="1" w:after="100" w:afterAutospacing="1"/>
        <w:rPr>
          <w:u w:val="single"/>
        </w:rPr>
      </w:pPr>
      <w:r w:rsidRPr="004C6979">
        <w:rPr>
          <w:u w:val="single"/>
        </w:rPr>
        <w:t>Explanation for Program Changes or Adjustments</w:t>
      </w:r>
    </w:p>
    <w:p w:rsidR="007F4152" w:rsidP="001C25E0" w:rsidRDefault="007F4152">
      <w:pPr>
        <w:pStyle w:val="BodyTextIndent"/>
        <w:ind w:left="720"/>
      </w:pPr>
      <w:r w:rsidRPr="007F4152">
        <w:t xml:space="preserve">Our estimated burden for the information collection reflects an overall increase of 225 hours and a corresponding increase of 900 responses/records.  We attribute this adjustment to an increase in the number of submissions we received over the last few years.  </w:t>
      </w:r>
    </w:p>
    <w:p w:rsidRPr="004C6979" w:rsidR="004C6979" w:rsidP="00EB7538" w:rsidRDefault="00EB7538">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P="003C4EBB" w:rsidRDefault="00B95243">
      <w:pPr>
        <w:ind w:left="720"/>
      </w:pPr>
      <w:r>
        <w:t>T</w:t>
      </w:r>
      <w:r w:rsidR="006A7D5D">
        <w:t xml:space="preserve">hese information collection requirements </w:t>
      </w:r>
      <w:r>
        <w:t xml:space="preserve">will not be </w:t>
      </w:r>
      <w:r w:rsidR="006A7D5D">
        <w:t xml:space="preserve">published, tabulated or </w:t>
      </w:r>
      <w:r w:rsidR="00C536CD">
        <w:t>m</w:t>
      </w:r>
      <w:r w:rsidR="006A7D5D">
        <w:t>anipulated (i.e., the results are summarized, segmented, or altered)</w:t>
      </w:r>
      <w:r>
        <w:t>.</w:t>
      </w:r>
    </w:p>
    <w:p w:rsidRPr="004C6979" w:rsidR="004C6979" w:rsidP="00EB7538" w:rsidRDefault="00EB7538">
      <w:pPr>
        <w:numPr>
          <w:ilvl w:val="0"/>
          <w:numId w:val="1"/>
        </w:numPr>
        <w:spacing w:before="100" w:beforeAutospacing="1" w:after="100" w:afterAutospacing="1"/>
        <w:rPr>
          <w:u w:val="single"/>
        </w:rPr>
      </w:pPr>
      <w:r w:rsidRPr="004C6979">
        <w:rPr>
          <w:u w:val="single"/>
        </w:rPr>
        <w:lastRenderedPageBreak/>
        <w:t>Reason(s) Display of OMB Expiration Date is Inappropriate</w:t>
      </w:r>
    </w:p>
    <w:p w:rsidR="004C6979" w:rsidP="00D730BF" w:rsidRDefault="00B95243">
      <w:pPr>
        <w:ind w:left="720"/>
      </w:pPr>
      <w:r>
        <w:t xml:space="preserve">FDA is not </w:t>
      </w:r>
      <w:r w:rsidR="00754497">
        <w:t xml:space="preserve">seeking approval </w:t>
      </w:r>
      <w:r>
        <w:t xml:space="preserve">to not </w:t>
      </w:r>
      <w:r w:rsidR="004C6979">
        <w:t xml:space="preserve">display the expiration date </w:t>
      </w:r>
      <w:r w:rsidR="00754497">
        <w:t>of</w:t>
      </w:r>
      <w:r w:rsidR="004C6979">
        <w:t xml:space="preserve"> OMB </w:t>
      </w:r>
      <w:r w:rsidR="00754497">
        <w:t>approval</w:t>
      </w:r>
      <w:r>
        <w:t>.</w:t>
      </w:r>
    </w:p>
    <w:p w:rsidR="00EB7538" w:rsidP="00EB7538" w:rsidRDefault="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Pr="00130F40" w:rsidR="002746DB" w:rsidP="00130F40" w:rsidRDefault="00B95243">
      <w:pPr>
        <w:spacing w:before="100" w:beforeAutospacing="1" w:after="100" w:afterAutospacing="1"/>
        <w:ind w:left="720"/>
      </w:pPr>
      <w:r>
        <w:t xml:space="preserve">There are no </w:t>
      </w:r>
      <w:r w:rsidR="00754497">
        <w:t>exception</w:t>
      </w:r>
      <w:r>
        <w:t>s</w:t>
      </w:r>
      <w:r w:rsidR="00754497">
        <w:t xml:space="preserve"> to the certification. </w:t>
      </w:r>
    </w:p>
    <w:sectPr w:rsidRPr="00130F40" w:rsidR="002746DB" w:rsidSect="00EB7538">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288" w:rsidRDefault="00265288">
      <w:r>
        <w:separator/>
      </w:r>
    </w:p>
  </w:endnote>
  <w:endnote w:type="continuationSeparator" w:id="0">
    <w:p w:rsidR="00265288" w:rsidRDefault="0026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A0A" w:rsidRDefault="006B0A0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A0A" w:rsidRDefault="006B0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A0A" w:rsidRDefault="006B0A0A"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5557">
      <w:rPr>
        <w:rStyle w:val="PageNumber"/>
        <w:noProof/>
      </w:rPr>
      <w:t>1</w:t>
    </w:r>
    <w:r>
      <w:rPr>
        <w:rStyle w:val="PageNumber"/>
      </w:rPr>
      <w:fldChar w:fldCharType="end"/>
    </w:r>
  </w:p>
  <w:p w:rsidR="006B0A0A" w:rsidRDefault="006B0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288" w:rsidRDefault="00265288">
      <w:r>
        <w:separator/>
      </w:r>
    </w:p>
  </w:footnote>
  <w:footnote w:type="continuationSeparator" w:id="0">
    <w:p w:rsidR="00265288" w:rsidRDefault="00265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FD5"/>
    <w:rsid w:val="00021890"/>
    <w:rsid w:val="000269AD"/>
    <w:rsid w:val="00041737"/>
    <w:rsid w:val="00056333"/>
    <w:rsid w:val="0006570F"/>
    <w:rsid w:val="0006711F"/>
    <w:rsid w:val="0008054B"/>
    <w:rsid w:val="000835B5"/>
    <w:rsid w:val="0008793F"/>
    <w:rsid w:val="000A2BF9"/>
    <w:rsid w:val="000B6EC9"/>
    <w:rsid w:val="000D13BA"/>
    <w:rsid w:val="000D2D17"/>
    <w:rsid w:val="000D48FD"/>
    <w:rsid w:val="000D53C2"/>
    <w:rsid w:val="000E1C64"/>
    <w:rsid w:val="000F021D"/>
    <w:rsid w:val="000F372C"/>
    <w:rsid w:val="00100739"/>
    <w:rsid w:val="00107885"/>
    <w:rsid w:val="00114FC4"/>
    <w:rsid w:val="001156C9"/>
    <w:rsid w:val="0012329C"/>
    <w:rsid w:val="00130F40"/>
    <w:rsid w:val="0013125D"/>
    <w:rsid w:val="00134FA7"/>
    <w:rsid w:val="00137950"/>
    <w:rsid w:val="00140184"/>
    <w:rsid w:val="00152F29"/>
    <w:rsid w:val="00157022"/>
    <w:rsid w:val="00164F30"/>
    <w:rsid w:val="00185270"/>
    <w:rsid w:val="00190AF5"/>
    <w:rsid w:val="00190C4F"/>
    <w:rsid w:val="001A3B5A"/>
    <w:rsid w:val="001B4A47"/>
    <w:rsid w:val="001B7CE9"/>
    <w:rsid w:val="001C17E1"/>
    <w:rsid w:val="001C25E0"/>
    <w:rsid w:val="001D495A"/>
    <w:rsid w:val="001D56A0"/>
    <w:rsid w:val="001E27C7"/>
    <w:rsid w:val="002129B7"/>
    <w:rsid w:val="002250E0"/>
    <w:rsid w:val="002259EF"/>
    <w:rsid w:val="00242ED1"/>
    <w:rsid w:val="00252026"/>
    <w:rsid w:val="002526A4"/>
    <w:rsid w:val="00253EBB"/>
    <w:rsid w:val="00254069"/>
    <w:rsid w:val="00254EB0"/>
    <w:rsid w:val="00255EE8"/>
    <w:rsid w:val="00265288"/>
    <w:rsid w:val="00272CAF"/>
    <w:rsid w:val="002734E5"/>
    <w:rsid w:val="002746DB"/>
    <w:rsid w:val="00280CAF"/>
    <w:rsid w:val="00282F09"/>
    <w:rsid w:val="0029025A"/>
    <w:rsid w:val="00294C23"/>
    <w:rsid w:val="0029584A"/>
    <w:rsid w:val="002A75F0"/>
    <w:rsid w:val="002C5557"/>
    <w:rsid w:val="002D14D8"/>
    <w:rsid w:val="002D4799"/>
    <w:rsid w:val="002E3FA4"/>
    <w:rsid w:val="00321C52"/>
    <w:rsid w:val="0032277F"/>
    <w:rsid w:val="00340394"/>
    <w:rsid w:val="00340653"/>
    <w:rsid w:val="00350523"/>
    <w:rsid w:val="0036454A"/>
    <w:rsid w:val="003647D2"/>
    <w:rsid w:val="00364B4F"/>
    <w:rsid w:val="003740BC"/>
    <w:rsid w:val="003801A3"/>
    <w:rsid w:val="00383D90"/>
    <w:rsid w:val="0039066F"/>
    <w:rsid w:val="003A4452"/>
    <w:rsid w:val="003B42B3"/>
    <w:rsid w:val="003B6384"/>
    <w:rsid w:val="003C4EBB"/>
    <w:rsid w:val="003D1531"/>
    <w:rsid w:val="003D57B3"/>
    <w:rsid w:val="003E4EC6"/>
    <w:rsid w:val="003E527E"/>
    <w:rsid w:val="003E553E"/>
    <w:rsid w:val="003E7078"/>
    <w:rsid w:val="003F3228"/>
    <w:rsid w:val="003F3288"/>
    <w:rsid w:val="003F3DF5"/>
    <w:rsid w:val="003F710F"/>
    <w:rsid w:val="00411D11"/>
    <w:rsid w:val="00415E23"/>
    <w:rsid w:val="00424061"/>
    <w:rsid w:val="004274FF"/>
    <w:rsid w:val="00436770"/>
    <w:rsid w:val="004422C2"/>
    <w:rsid w:val="00443969"/>
    <w:rsid w:val="004478F6"/>
    <w:rsid w:val="00447D74"/>
    <w:rsid w:val="00450A74"/>
    <w:rsid w:val="00465350"/>
    <w:rsid w:val="004675EA"/>
    <w:rsid w:val="00480A2D"/>
    <w:rsid w:val="00481675"/>
    <w:rsid w:val="004846BF"/>
    <w:rsid w:val="00496B24"/>
    <w:rsid w:val="004A734C"/>
    <w:rsid w:val="004C6979"/>
    <w:rsid w:val="004C7AC3"/>
    <w:rsid w:val="004D3E7A"/>
    <w:rsid w:val="004D6932"/>
    <w:rsid w:val="004D7E1E"/>
    <w:rsid w:val="004E55AE"/>
    <w:rsid w:val="004F2329"/>
    <w:rsid w:val="004F6858"/>
    <w:rsid w:val="00506F04"/>
    <w:rsid w:val="00516A9B"/>
    <w:rsid w:val="00527C89"/>
    <w:rsid w:val="00544138"/>
    <w:rsid w:val="0056271E"/>
    <w:rsid w:val="00570744"/>
    <w:rsid w:val="00574809"/>
    <w:rsid w:val="00584583"/>
    <w:rsid w:val="005A4099"/>
    <w:rsid w:val="005B1F15"/>
    <w:rsid w:val="005C31E3"/>
    <w:rsid w:val="005C38B2"/>
    <w:rsid w:val="005C5029"/>
    <w:rsid w:val="005C55C2"/>
    <w:rsid w:val="005D4DF5"/>
    <w:rsid w:val="005E1562"/>
    <w:rsid w:val="005E251F"/>
    <w:rsid w:val="00611D6B"/>
    <w:rsid w:val="006234C7"/>
    <w:rsid w:val="006309B3"/>
    <w:rsid w:val="0064056D"/>
    <w:rsid w:val="0066670D"/>
    <w:rsid w:val="00671B9F"/>
    <w:rsid w:val="00683377"/>
    <w:rsid w:val="00697D92"/>
    <w:rsid w:val="006A26C6"/>
    <w:rsid w:val="006A7D5D"/>
    <w:rsid w:val="006B0A0A"/>
    <w:rsid w:val="006B3145"/>
    <w:rsid w:val="006B7E1D"/>
    <w:rsid w:val="006C0C73"/>
    <w:rsid w:val="006E1921"/>
    <w:rsid w:val="006F4D6D"/>
    <w:rsid w:val="007019B4"/>
    <w:rsid w:val="00705086"/>
    <w:rsid w:val="00710B1E"/>
    <w:rsid w:val="00744BC7"/>
    <w:rsid w:val="00754497"/>
    <w:rsid w:val="00756720"/>
    <w:rsid w:val="0078612A"/>
    <w:rsid w:val="00787C39"/>
    <w:rsid w:val="00790735"/>
    <w:rsid w:val="0079491C"/>
    <w:rsid w:val="00795DF3"/>
    <w:rsid w:val="00796F27"/>
    <w:rsid w:val="007A373C"/>
    <w:rsid w:val="007B1132"/>
    <w:rsid w:val="007B225C"/>
    <w:rsid w:val="007C75B1"/>
    <w:rsid w:val="007D3DFC"/>
    <w:rsid w:val="007D609A"/>
    <w:rsid w:val="007E7B26"/>
    <w:rsid w:val="007F4152"/>
    <w:rsid w:val="007F4920"/>
    <w:rsid w:val="007F49DE"/>
    <w:rsid w:val="0080776D"/>
    <w:rsid w:val="00810145"/>
    <w:rsid w:val="008108FA"/>
    <w:rsid w:val="00810FF1"/>
    <w:rsid w:val="00822336"/>
    <w:rsid w:val="00823D4A"/>
    <w:rsid w:val="00823DFA"/>
    <w:rsid w:val="00833967"/>
    <w:rsid w:val="00837A0D"/>
    <w:rsid w:val="00843752"/>
    <w:rsid w:val="00874A58"/>
    <w:rsid w:val="00885641"/>
    <w:rsid w:val="00885B09"/>
    <w:rsid w:val="008869F3"/>
    <w:rsid w:val="00892400"/>
    <w:rsid w:val="008A209D"/>
    <w:rsid w:val="008B0E29"/>
    <w:rsid w:val="008B0EFA"/>
    <w:rsid w:val="008B30AB"/>
    <w:rsid w:val="008D189D"/>
    <w:rsid w:val="008F34C1"/>
    <w:rsid w:val="0090175D"/>
    <w:rsid w:val="00903D03"/>
    <w:rsid w:val="00905DEF"/>
    <w:rsid w:val="00913B43"/>
    <w:rsid w:val="009158C6"/>
    <w:rsid w:val="00930203"/>
    <w:rsid w:val="009311D2"/>
    <w:rsid w:val="00931275"/>
    <w:rsid w:val="00936AC7"/>
    <w:rsid w:val="009409AC"/>
    <w:rsid w:val="00963034"/>
    <w:rsid w:val="00964912"/>
    <w:rsid w:val="009710FF"/>
    <w:rsid w:val="00972820"/>
    <w:rsid w:val="00977744"/>
    <w:rsid w:val="009A1674"/>
    <w:rsid w:val="009B24A4"/>
    <w:rsid w:val="009C684F"/>
    <w:rsid w:val="009D074C"/>
    <w:rsid w:val="009F2B4F"/>
    <w:rsid w:val="009F66B5"/>
    <w:rsid w:val="00A107F2"/>
    <w:rsid w:val="00A13BAE"/>
    <w:rsid w:val="00A20A7D"/>
    <w:rsid w:val="00A35D42"/>
    <w:rsid w:val="00A46815"/>
    <w:rsid w:val="00A46CCF"/>
    <w:rsid w:val="00A60AFE"/>
    <w:rsid w:val="00A70426"/>
    <w:rsid w:val="00A71554"/>
    <w:rsid w:val="00A863B1"/>
    <w:rsid w:val="00A91E9A"/>
    <w:rsid w:val="00A93ED9"/>
    <w:rsid w:val="00AA057A"/>
    <w:rsid w:val="00AC6A99"/>
    <w:rsid w:val="00AD1FEA"/>
    <w:rsid w:val="00AD4B20"/>
    <w:rsid w:val="00AE6EE9"/>
    <w:rsid w:val="00B0162B"/>
    <w:rsid w:val="00B055EF"/>
    <w:rsid w:val="00B23769"/>
    <w:rsid w:val="00B37B3B"/>
    <w:rsid w:val="00B53C45"/>
    <w:rsid w:val="00B554D5"/>
    <w:rsid w:val="00B577FB"/>
    <w:rsid w:val="00B6516B"/>
    <w:rsid w:val="00B80BC8"/>
    <w:rsid w:val="00B80EEB"/>
    <w:rsid w:val="00B86DFA"/>
    <w:rsid w:val="00B936D0"/>
    <w:rsid w:val="00B95243"/>
    <w:rsid w:val="00BB2BD9"/>
    <w:rsid w:val="00BC4A92"/>
    <w:rsid w:val="00BE3600"/>
    <w:rsid w:val="00C01F6F"/>
    <w:rsid w:val="00C0294D"/>
    <w:rsid w:val="00C12333"/>
    <w:rsid w:val="00C12DDA"/>
    <w:rsid w:val="00C149AB"/>
    <w:rsid w:val="00C16686"/>
    <w:rsid w:val="00C40694"/>
    <w:rsid w:val="00C52BD5"/>
    <w:rsid w:val="00C536CD"/>
    <w:rsid w:val="00C70542"/>
    <w:rsid w:val="00C752E2"/>
    <w:rsid w:val="00C75CBF"/>
    <w:rsid w:val="00CB2CCA"/>
    <w:rsid w:val="00CC2894"/>
    <w:rsid w:val="00CC762E"/>
    <w:rsid w:val="00CD77C3"/>
    <w:rsid w:val="00CE112C"/>
    <w:rsid w:val="00CF39E2"/>
    <w:rsid w:val="00D12D70"/>
    <w:rsid w:val="00D14752"/>
    <w:rsid w:val="00D608DA"/>
    <w:rsid w:val="00D61D43"/>
    <w:rsid w:val="00D63F95"/>
    <w:rsid w:val="00D730BF"/>
    <w:rsid w:val="00DB7813"/>
    <w:rsid w:val="00DC76C7"/>
    <w:rsid w:val="00DD09F5"/>
    <w:rsid w:val="00DD4201"/>
    <w:rsid w:val="00DE5711"/>
    <w:rsid w:val="00E00EA0"/>
    <w:rsid w:val="00E20721"/>
    <w:rsid w:val="00E26758"/>
    <w:rsid w:val="00E4357B"/>
    <w:rsid w:val="00E4632F"/>
    <w:rsid w:val="00E57A25"/>
    <w:rsid w:val="00E610D9"/>
    <w:rsid w:val="00E63DE5"/>
    <w:rsid w:val="00E65A37"/>
    <w:rsid w:val="00E72EBD"/>
    <w:rsid w:val="00E77B48"/>
    <w:rsid w:val="00E91799"/>
    <w:rsid w:val="00E93CA5"/>
    <w:rsid w:val="00EA34E3"/>
    <w:rsid w:val="00EB64FD"/>
    <w:rsid w:val="00EB7538"/>
    <w:rsid w:val="00F207A4"/>
    <w:rsid w:val="00F22D2B"/>
    <w:rsid w:val="00F26440"/>
    <w:rsid w:val="00F27DE8"/>
    <w:rsid w:val="00F34A8B"/>
    <w:rsid w:val="00F355AC"/>
    <w:rsid w:val="00F43F17"/>
    <w:rsid w:val="00F71A5A"/>
    <w:rsid w:val="00F75596"/>
    <w:rsid w:val="00F769E0"/>
    <w:rsid w:val="00FC32F5"/>
    <w:rsid w:val="00FC6BDE"/>
    <w:rsid w:val="00FD64C3"/>
    <w:rsid w:val="00FF25B2"/>
    <w:rsid w:val="00FF4C14"/>
    <w:rsid w:val="00FF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67F05"/>
  <w15:chartTrackingRefBased/>
  <w15:docId w15:val="{14E75F06-A2B2-459C-B4BF-087B9AD9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EB64FD"/>
    <w:rPr>
      <w:color w:val="0000FF"/>
      <w:u w:val="single"/>
    </w:rPr>
  </w:style>
  <w:style w:type="character" w:styleId="CommentReference">
    <w:name w:val="annotation reference"/>
    <w:semiHidden/>
    <w:rsid w:val="00977744"/>
    <w:rPr>
      <w:sz w:val="16"/>
      <w:szCs w:val="16"/>
    </w:rPr>
  </w:style>
  <w:style w:type="paragraph" w:styleId="CommentText">
    <w:name w:val="annotation text"/>
    <w:basedOn w:val="Normal"/>
    <w:semiHidden/>
    <w:rsid w:val="00977744"/>
    <w:rPr>
      <w:sz w:val="20"/>
      <w:szCs w:val="20"/>
    </w:rPr>
  </w:style>
  <w:style w:type="paragraph" w:styleId="CommentSubject">
    <w:name w:val="annotation subject"/>
    <w:basedOn w:val="CommentText"/>
    <w:next w:val="CommentText"/>
    <w:semiHidden/>
    <w:rsid w:val="00977744"/>
    <w:rPr>
      <w:b/>
      <w:bCs/>
    </w:rPr>
  </w:style>
  <w:style w:type="character" w:customStyle="1" w:styleId="italics1">
    <w:name w:val="italics1"/>
    <w:rsid w:val="00683377"/>
    <w:rPr>
      <w:i/>
      <w:iCs/>
    </w:rPr>
  </w:style>
  <w:style w:type="character" w:customStyle="1" w:styleId="BodyText2Char">
    <w:name w:val="Body Text 2 Char"/>
    <w:link w:val="BodyText2"/>
    <w:rsid w:val="000F37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2813">
      <w:bodyDiv w:val="1"/>
      <w:marLeft w:val="0"/>
      <w:marRight w:val="0"/>
      <w:marTop w:val="0"/>
      <w:marBottom w:val="0"/>
      <w:divBdr>
        <w:top w:val="none" w:sz="0" w:space="0" w:color="auto"/>
        <w:left w:val="none" w:sz="0" w:space="0" w:color="auto"/>
        <w:bottom w:val="none" w:sz="0" w:space="0" w:color="auto"/>
        <w:right w:val="none" w:sz="0" w:space="0" w:color="auto"/>
      </w:divBdr>
      <w:divsChild>
        <w:div w:id="1497651386">
          <w:marLeft w:val="0"/>
          <w:marRight w:val="0"/>
          <w:marTop w:val="0"/>
          <w:marBottom w:val="0"/>
          <w:divBdr>
            <w:top w:val="none" w:sz="0" w:space="0" w:color="auto"/>
            <w:left w:val="none" w:sz="0" w:space="0" w:color="auto"/>
            <w:bottom w:val="none" w:sz="0" w:space="0" w:color="auto"/>
            <w:right w:val="none" w:sz="0" w:space="0" w:color="auto"/>
          </w:divBdr>
          <w:divsChild>
            <w:div w:id="1844122965">
              <w:marLeft w:val="0"/>
              <w:marRight w:val="0"/>
              <w:marTop w:val="0"/>
              <w:marBottom w:val="0"/>
              <w:divBdr>
                <w:top w:val="none" w:sz="0" w:space="0" w:color="auto"/>
                <w:left w:val="none" w:sz="0" w:space="0" w:color="auto"/>
                <w:bottom w:val="none" w:sz="0" w:space="0" w:color="auto"/>
                <w:right w:val="none" w:sz="0" w:space="0" w:color="auto"/>
              </w:divBdr>
              <w:divsChild>
                <w:div w:id="16095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1160">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1368</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dc:description/>
  <cp:lastModifiedBy>Mizrachi, Ila</cp:lastModifiedBy>
  <cp:revision>4</cp:revision>
  <cp:lastPrinted>2010-12-08T19:17:00Z</cp:lastPrinted>
  <dcterms:created xsi:type="dcterms:W3CDTF">2020-10-09T18:48:00Z</dcterms:created>
  <dcterms:modified xsi:type="dcterms:W3CDTF">2020-10-09T19:26:00Z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