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C41808" w:rsidR="005A0EFF" w:rsidP="00265BFD" w:rsidRDefault="00C41808" w14:paraId="6682AC48" w14:textId="725687E8">
      <w:pPr>
        <w:jc w:val="center"/>
      </w:pPr>
      <w:r w:rsidRPr="00C41808">
        <w:t>UNITED STATES FOOD AND DRUG ADMINISTRATION</w:t>
      </w:r>
    </w:p>
    <w:p w:rsidR="00662559" w:rsidP="00265BFD" w:rsidRDefault="00662559" w14:paraId="0B4A6894" w14:textId="77777777">
      <w:pPr>
        <w:jc w:val="center"/>
      </w:pPr>
    </w:p>
    <w:p w:rsidRPr="00B84FC2" w:rsidR="00EB7538" w:rsidP="00265BFD" w:rsidRDefault="00A75067" w14:paraId="566F00DB" w14:textId="3814A6A9">
      <w:pPr>
        <w:jc w:val="center"/>
      </w:pPr>
      <w:r w:rsidRPr="00B84FC2">
        <w:t>Section 804 Importation Program Proposals – 21 CFR part 251</w:t>
      </w:r>
    </w:p>
    <w:p w:rsidRPr="009A1674" w:rsidR="00B23769" w:rsidP="00B23769" w:rsidRDefault="00B23769" w14:paraId="7B80A57A" w14:textId="77777777">
      <w:pPr>
        <w:jc w:val="center"/>
      </w:pPr>
    </w:p>
    <w:p w:rsidRPr="00C41808" w:rsidR="00C41808" w:rsidP="00B23769" w:rsidRDefault="00093B84" w14:paraId="684FCCBD" w14:textId="2B959C88">
      <w:pPr>
        <w:jc w:val="center"/>
        <w:rPr>
          <w:u w:val="single"/>
        </w:rPr>
      </w:pPr>
      <w:r w:rsidRPr="00C41808">
        <w:rPr>
          <w:u w:val="single"/>
        </w:rPr>
        <w:t>OMB</w:t>
      </w:r>
      <w:r w:rsidR="00F6227E">
        <w:rPr>
          <w:u w:val="single"/>
        </w:rPr>
        <w:t xml:space="preserve"> Control No.</w:t>
      </w:r>
      <w:r w:rsidRPr="00C41808">
        <w:rPr>
          <w:u w:val="single"/>
        </w:rPr>
        <w:t xml:space="preserve"> </w:t>
      </w:r>
      <w:r w:rsidRPr="00C41808" w:rsidR="00EB7538">
        <w:rPr>
          <w:u w:val="single"/>
        </w:rPr>
        <w:t>0910-</w:t>
      </w:r>
      <w:r w:rsidRPr="00C41808" w:rsidR="002C2BFA">
        <w:rPr>
          <w:u w:val="single"/>
        </w:rPr>
        <w:t>0888</w:t>
      </w:r>
    </w:p>
    <w:p w:rsidRPr="009A1674" w:rsidR="00EB7538" w:rsidP="00B23769" w:rsidRDefault="00A35D42" w14:paraId="115923F2" w14:textId="5444E6C9">
      <w:pPr>
        <w:jc w:val="center"/>
      </w:pPr>
      <w:r w:rsidRPr="00A75067">
        <w:br/>
      </w:r>
      <w:r w:rsidRPr="00093B84" w:rsidR="00093B84">
        <w:t>RIN</w:t>
      </w:r>
      <w:r w:rsidR="00C41808">
        <w:t xml:space="preserve">: </w:t>
      </w:r>
      <w:r w:rsidRPr="00093B84" w:rsidR="00093B84">
        <w:t xml:space="preserve"> 0910-AI45</w:t>
      </w:r>
    </w:p>
    <w:p w:rsidR="00C41808" w:rsidP="00B23769" w:rsidRDefault="00C41808" w14:paraId="54B36D01" w14:textId="77777777">
      <w:pPr>
        <w:jc w:val="center"/>
      </w:pPr>
    </w:p>
    <w:p w:rsidRPr="009A1674" w:rsidR="00EB7538" w:rsidP="00C41808" w:rsidRDefault="00EB7538" w14:paraId="23C4C0AD" w14:textId="18609A26">
      <w:r w:rsidRPr="009A1674">
        <w:t>SUPPORTING STATEMENT</w:t>
      </w:r>
      <w:r w:rsidR="00C41808">
        <w:t xml:space="preserve"> – </w:t>
      </w:r>
      <w:r w:rsidRPr="00C41808" w:rsidR="00C41808">
        <w:rPr>
          <w:b/>
        </w:rPr>
        <w:t>Part A:  Justification</w:t>
      </w:r>
    </w:p>
    <w:p w:rsidR="00810FF1" w:rsidP="00B23769" w:rsidRDefault="00810FF1" w14:paraId="4E206472" w14:textId="77777777">
      <w:pPr>
        <w:jc w:val="center"/>
        <w:rPr>
          <w:b/>
        </w:rPr>
      </w:pPr>
    </w:p>
    <w:p w:rsidR="008B30AB" w:rsidP="008B30AB" w:rsidRDefault="00EB7538" w14:paraId="25DE3060" w14:textId="77777777">
      <w:pPr>
        <w:numPr>
          <w:ilvl w:val="0"/>
          <w:numId w:val="1"/>
        </w:numPr>
        <w:spacing w:before="100" w:beforeAutospacing="1" w:after="100" w:afterAutospacing="1"/>
        <w:rPr>
          <w:u w:val="single"/>
        </w:rPr>
      </w:pPr>
      <w:r w:rsidRPr="002746DB">
        <w:rPr>
          <w:u w:val="single"/>
        </w:rPr>
        <w:t>Circumstances Making the Collection of Information Necessary</w:t>
      </w:r>
    </w:p>
    <w:p w:rsidR="006E3D7D" w:rsidP="00F410A2" w:rsidRDefault="00F6227E" w14:paraId="06C2FD6E" w14:textId="19186C22">
      <w:pPr>
        <w:spacing w:before="100" w:beforeAutospacing="1" w:after="100" w:afterAutospacing="1"/>
        <w:ind w:left="720"/>
      </w:pPr>
      <w:r>
        <w:t xml:space="preserve">This information collection </w:t>
      </w:r>
      <w:r w:rsidR="006E3D7D">
        <w:t xml:space="preserve">enables the </w:t>
      </w:r>
      <w:r>
        <w:t xml:space="preserve">Food and Drug Administration (FDA, the agency, us or we) </w:t>
      </w:r>
      <w:r w:rsidR="006E3D7D">
        <w:t xml:space="preserve">to </w:t>
      </w:r>
      <w:r>
        <w:t xml:space="preserve">implement section 804 of the Federal Food, Drug, and Cosmetic Act (FD&amp;C Act).  </w:t>
      </w:r>
      <w:r w:rsidR="00E14A84">
        <w:t xml:space="preserve">Specifically, section </w:t>
      </w:r>
      <w:r w:rsidRPr="00E14A84" w:rsidR="00E14A84">
        <w:t>804(b) through (h) of the FD&amp;C Act (21 U.S.C. 384(b) through (h)</w:t>
      </w:r>
      <w:r w:rsidR="00E37795">
        <w:t>)</w:t>
      </w:r>
      <w:r w:rsidRPr="00E14A84" w:rsidR="00E14A84">
        <w:t xml:space="preserve"> allow</w:t>
      </w:r>
      <w:r w:rsidR="0072708D">
        <w:t>s</w:t>
      </w:r>
      <w:r w:rsidRPr="00E14A84" w:rsidR="00E14A84">
        <w:t xml:space="preserve"> importation of certain prescription drugs shipped from Canada</w:t>
      </w:r>
      <w:r w:rsidR="00257823">
        <w:t xml:space="preserve">, and we have promulgated governing regulations in </w:t>
      </w:r>
      <w:r>
        <w:t>21 CFR part 25</w:t>
      </w:r>
      <w:r w:rsidR="006E3D7D">
        <w:t>1</w:t>
      </w:r>
      <w:r w:rsidRPr="00EF382D" w:rsidR="00B77106">
        <w:t xml:space="preserve">.  </w:t>
      </w:r>
      <w:r w:rsidR="006E3D7D">
        <w:t xml:space="preserve">We are taking this action to </w:t>
      </w:r>
      <w:r w:rsidRPr="002C0D7E" w:rsidR="002C0D7E">
        <w:t>achieve a reduction in the cost of covered products to the American consumer while posing no additional risk to the public’s health and safety</w:t>
      </w:r>
      <w:r w:rsidRPr="00EF382D" w:rsidR="00B77106">
        <w:t>.</w:t>
      </w:r>
    </w:p>
    <w:p w:rsidRPr="006E3D7D" w:rsidR="006571D3" w:rsidP="00F410A2" w:rsidRDefault="006E3D7D" w14:paraId="15C20E62" w14:textId="740BCDD8">
      <w:pPr>
        <w:spacing w:before="100" w:beforeAutospacing="1" w:after="100" w:afterAutospacing="1"/>
        <w:ind w:left="720"/>
        <w:rPr>
          <w:highlight w:val="yellow"/>
        </w:rPr>
      </w:pPr>
      <w:r>
        <w:t>As explained in our final rule entitled, “</w:t>
      </w:r>
      <w:r w:rsidRPr="006E3D7D">
        <w:rPr>
          <w:i/>
        </w:rPr>
        <w:t>Importation of Prescription Drugs</w:t>
      </w:r>
      <w:r>
        <w:t xml:space="preserve">,” which published in the </w:t>
      </w:r>
      <w:r w:rsidRPr="006E3D7D">
        <w:rPr>
          <w:u w:val="single"/>
        </w:rPr>
        <w:t>Federal Register</w:t>
      </w:r>
      <w:r>
        <w:t xml:space="preserve"> o</w:t>
      </w:r>
      <w:r w:rsidR="00705E41">
        <w:t>n</w:t>
      </w:r>
      <w:r>
        <w:t xml:space="preserve"> October 1, 2020 (85 FR 62094), we intend to implement</w:t>
      </w:r>
      <w:r w:rsidR="002D5C52">
        <w:t xml:space="preserve"> this program</w:t>
      </w:r>
      <w:r w:rsidRPr="003D76F8" w:rsidR="003D76F8">
        <w:t xml:space="preserve"> through time-limited Section 804 Importation Programs (SIPs), which will be authorized by FDA and managed by States or Indian Tribes, or in certain circumstances by pharmacists or wholesale distributors (SIP Sponsors).  A SIP can be co-sponsored by a State, Indian Tribe, pharmacist, or wholesale distributor</w:t>
      </w:r>
      <w:r w:rsidR="003D76F8">
        <w:t xml:space="preserve">.  </w:t>
      </w:r>
      <w:r w:rsidRPr="009163C1" w:rsidR="009163C1">
        <w:t xml:space="preserve">An </w:t>
      </w:r>
      <w:r w:rsidR="00CB223D">
        <w:t>I</w:t>
      </w:r>
      <w:r w:rsidRPr="009163C1" w:rsidR="009163C1">
        <w:t xml:space="preserve">mporter that is a wholesale distributor or pharmacist licensed in the United States will buy </w:t>
      </w:r>
      <w:r w:rsidR="00F6292E">
        <w:t>eligible prescription</w:t>
      </w:r>
      <w:r w:rsidRPr="009163C1" w:rsidR="009163C1">
        <w:t xml:space="preserve"> drugs directly from a “</w:t>
      </w:r>
      <w:r w:rsidRPr="006E3D7D" w:rsidR="009163C1">
        <w:rPr>
          <w:i/>
        </w:rPr>
        <w:t>foreign seller</w:t>
      </w:r>
      <w:r w:rsidRPr="009163C1" w:rsidR="009163C1">
        <w:t xml:space="preserve">” </w:t>
      </w:r>
      <w:r w:rsidR="00CB223D">
        <w:t>in</w:t>
      </w:r>
      <w:r w:rsidRPr="009163C1" w:rsidR="009163C1">
        <w:t xml:space="preserve"> Canada </w:t>
      </w:r>
      <w:r w:rsidR="00F6292E">
        <w:t>which</w:t>
      </w:r>
      <w:r w:rsidRPr="009163C1" w:rsidR="009163C1">
        <w:t xml:space="preserve"> purchase</w:t>
      </w:r>
      <w:r w:rsidR="00F6292E">
        <w:t>s</w:t>
      </w:r>
      <w:r w:rsidRPr="009163C1" w:rsidR="009163C1">
        <w:t xml:space="preserve"> </w:t>
      </w:r>
      <w:r w:rsidR="00CB223D">
        <w:t>the</w:t>
      </w:r>
      <w:r w:rsidRPr="009163C1" w:rsidR="009163C1">
        <w:t xml:space="preserve"> drugs directly from the manufacturer.  </w:t>
      </w:r>
    </w:p>
    <w:p w:rsidR="00B84FC2" w:rsidP="00F410A2" w:rsidRDefault="006F7B42" w14:paraId="2E964074" w14:textId="202D42C9">
      <w:pPr>
        <w:spacing w:before="100" w:beforeAutospacing="1" w:after="100" w:afterAutospacing="1"/>
        <w:ind w:left="720"/>
      </w:pPr>
      <w:r w:rsidRPr="00F0064D">
        <w:t xml:space="preserve">A </w:t>
      </w:r>
      <w:r w:rsidRPr="00F0064D" w:rsidR="00D24F9A">
        <w:t xml:space="preserve">SIP sponsor </w:t>
      </w:r>
      <w:r w:rsidRPr="00F0064D">
        <w:t>will</w:t>
      </w:r>
      <w:r w:rsidRPr="00F0064D" w:rsidR="00D24F9A">
        <w:t xml:space="preserve"> submit a </w:t>
      </w:r>
      <w:r w:rsidRPr="00F0064D">
        <w:t xml:space="preserve">SIP </w:t>
      </w:r>
      <w:r w:rsidRPr="00F0064D" w:rsidR="00D24F9A">
        <w:t xml:space="preserve">proposal that includes, among other things, information about the SIP Sponsor and the SIP Sponsor’s importation plan.  In addition, SIP Sponsors must provide FDA with data and information on the </w:t>
      </w:r>
      <w:bookmarkStart w:name="_Hlk50665029" w:id="0"/>
      <w:r w:rsidRPr="00F0064D" w:rsidR="00D24F9A">
        <w:t xml:space="preserve">drugs the SIP imports </w:t>
      </w:r>
      <w:bookmarkEnd w:id="0"/>
      <w:r w:rsidRPr="00F0064D" w:rsidR="00D24F9A">
        <w:t>and on the SIP’s cost savings to the American consumer.  Importers have a number of responsibilities related to submitting a Pre-Import Request</w:t>
      </w:r>
      <w:r w:rsidRPr="00F0064D" w:rsidR="00B07A70">
        <w:t xml:space="preserve"> to FDA</w:t>
      </w:r>
      <w:r w:rsidRPr="00F0064D" w:rsidR="00D24F9A">
        <w:t>, screening eligible prescription drugs</w:t>
      </w:r>
      <w:r w:rsidR="008E5037">
        <w:t>, safety reporting,</w:t>
      </w:r>
      <w:r w:rsidRPr="00F0064D" w:rsidR="00D24F9A">
        <w:t xml:space="preserve"> and arranging for import</w:t>
      </w:r>
      <w:r w:rsidRPr="00F0064D" w:rsidR="00B84FC2">
        <w:t>ing</w:t>
      </w:r>
      <w:r w:rsidRPr="00F0064D" w:rsidR="00D24F9A">
        <w:t xml:space="preserve">, testing, and relabeling.  </w:t>
      </w:r>
      <w:r w:rsidRPr="00F0064D" w:rsidR="00B07A70">
        <w:t>M</w:t>
      </w:r>
      <w:r w:rsidRPr="00F0064D" w:rsidR="00D24F9A">
        <w:t xml:space="preserve">anufacturers </w:t>
      </w:r>
      <w:r w:rsidR="003D76F8">
        <w:t xml:space="preserve">will </w:t>
      </w:r>
      <w:r w:rsidRPr="00F0064D" w:rsidR="00D24F9A">
        <w:t xml:space="preserve">provide information needed </w:t>
      </w:r>
      <w:r w:rsidRPr="00F0064D" w:rsidR="00F0064D">
        <w:t xml:space="preserve">to ensure that the drugs are authentic, not degraded, and </w:t>
      </w:r>
      <w:r w:rsidR="003D76F8">
        <w:t>in compliance with</w:t>
      </w:r>
      <w:r w:rsidRPr="00F0064D" w:rsidR="00F0064D">
        <w:t xml:space="preserve"> established specifications and standards</w:t>
      </w:r>
      <w:r w:rsidRPr="00F0064D" w:rsidR="00D24F9A">
        <w:t>.</w:t>
      </w:r>
    </w:p>
    <w:p w:rsidR="006E3D7D" w:rsidP="00F410A2" w:rsidRDefault="006E3D7D" w14:paraId="0367D50B" w14:textId="131504EF">
      <w:pPr>
        <w:spacing w:before="100" w:beforeAutospacing="1" w:after="100" w:afterAutospacing="1"/>
        <w:ind w:left="720"/>
      </w:pPr>
      <w:r>
        <w:t>Regulations in 21 CFR part 251 establish procedures SIP sponsors must follow, including information collection provisions</w:t>
      </w:r>
      <w:r w:rsidR="00E32D8B">
        <w:t>,</w:t>
      </w:r>
      <w:r>
        <w:t xml:space="preserve"> regarding the format, content, timing of, and action on submissions.  Accordingly, we request OMB approval of the information collection provisions associated with section 804 of the FD&amp;C Act and our implementing regulations </w:t>
      </w:r>
      <w:r w:rsidR="000B4A4C">
        <w:t xml:space="preserve">in 21 CFR part 251, </w:t>
      </w:r>
      <w:r>
        <w:t>as discussed in this supporting statement.</w:t>
      </w:r>
    </w:p>
    <w:p w:rsidRPr="002746DB" w:rsidR="008B30AB" w:rsidP="008B30AB" w:rsidRDefault="00EB7538" w14:paraId="117475B4" w14:textId="77777777">
      <w:pPr>
        <w:numPr>
          <w:ilvl w:val="0"/>
          <w:numId w:val="1"/>
        </w:numPr>
        <w:spacing w:before="100" w:beforeAutospacing="1" w:after="100" w:afterAutospacing="1"/>
        <w:rPr>
          <w:u w:val="single"/>
        </w:rPr>
      </w:pPr>
      <w:r w:rsidRPr="002746DB">
        <w:rPr>
          <w:u w:val="single"/>
        </w:rPr>
        <w:lastRenderedPageBreak/>
        <w:t xml:space="preserve">Purpose and Use of the Information Collection </w:t>
      </w:r>
    </w:p>
    <w:p w:rsidR="00BA0068" w:rsidP="008E5037" w:rsidRDefault="00BA0068" w14:paraId="552FD7FC" w14:textId="6D1C4A2F">
      <w:pPr>
        <w:ind w:left="720"/>
      </w:pPr>
      <w:r>
        <w:t xml:space="preserve">The information collection provisions </w:t>
      </w:r>
      <w:r w:rsidR="002741AD">
        <w:t xml:space="preserve">are designed to facilitate programs for importation of </w:t>
      </w:r>
      <w:r w:rsidR="002547C7">
        <w:t xml:space="preserve">covered </w:t>
      </w:r>
      <w:r w:rsidR="002741AD">
        <w:t xml:space="preserve">products </w:t>
      </w:r>
      <w:r w:rsidR="00547A16">
        <w:t xml:space="preserve">that </w:t>
      </w:r>
      <w:r w:rsidR="002741AD">
        <w:t xml:space="preserve">pose no additional risk to the </w:t>
      </w:r>
      <w:r w:rsidR="00B84FC2">
        <w:t>U</w:t>
      </w:r>
      <w:r w:rsidR="00E45F1F">
        <w:t>.</w:t>
      </w:r>
      <w:r w:rsidR="00B84FC2">
        <w:t>S</w:t>
      </w:r>
      <w:r w:rsidR="00E45F1F">
        <w:t>.</w:t>
      </w:r>
      <w:r w:rsidR="00B84FC2">
        <w:t xml:space="preserve"> </w:t>
      </w:r>
      <w:r w:rsidR="002741AD">
        <w:t xml:space="preserve">public’s health and safety, and </w:t>
      </w:r>
      <w:r w:rsidR="002547C7">
        <w:t xml:space="preserve">are intended to </w:t>
      </w:r>
      <w:r w:rsidR="002741AD">
        <w:t xml:space="preserve">result in </w:t>
      </w:r>
      <w:r w:rsidR="002547C7">
        <w:t xml:space="preserve">a </w:t>
      </w:r>
      <w:r w:rsidR="002741AD">
        <w:t xml:space="preserve">reduction in the cost </w:t>
      </w:r>
      <w:r w:rsidR="002547C7">
        <w:t xml:space="preserve">to </w:t>
      </w:r>
      <w:r w:rsidR="002741AD">
        <w:t>American consumers.  The information collected</w:t>
      </w:r>
      <w:r w:rsidR="008E5037">
        <w:t>,</w:t>
      </w:r>
      <w:r>
        <w:t xml:space="preserve"> </w:t>
      </w:r>
      <w:r w:rsidR="00E45F1F">
        <w:t>will</w:t>
      </w:r>
      <w:r>
        <w:t xml:space="preserve"> be used to review SIP </w:t>
      </w:r>
      <w:r w:rsidR="008D1AFD">
        <w:t>P</w:t>
      </w:r>
      <w:r>
        <w:t>roposals and extension requests</w:t>
      </w:r>
      <w:r w:rsidR="00465A75">
        <w:t>, including</w:t>
      </w:r>
      <w:r w:rsidR="00B84FC2">
        <w:t xml:space="preserve"> to </w:t>
      </w:r>
      <w:r w:rsidR="00F7546B">
        <w:t>assess</w:t>
      </w:r>
      <w:r w:rsidR="00B84FC2">
        <w:t xml:space="preserve"> supply chain</w:t>
      </w:r>
      <w:r w:rsidR="00F7546B">
        <w:t>s</w:t>
      </w:r>
      <w:r>
        <w:t xml:space="preserve">.  </w:t>
      </w:r>
      <w:r w:rsidRPr="00BA0068">
        <w:t>Respondents include SIP Sponsors (State</w:t>
      </w:r>
      <w:r w:rsidR="008D1AFD">
        <w:t>s and Indian Tribes</w:t>
      </w:r>
      <w:r w:rsidRPr="00BA0068">
        <w:t xml:space="preserve">), Importers (pharmacists </w:t>
      </w:r>
      <w:r w:rsidR="008D1AFD">
        <w:t>and</w:t>
      </w:r>
      <w:r w:rsidRPr="00BA0068">
        <w:t xml:space="preserve"> wholesalers), and manufacturers of eligible prescription drugs.</w:t>
      </w:r>
      <w:r w:rsidR="008E5037">
        <w:t xml:space="preserve">  </w:t>
      </w:r>
      <w:r w:rsidR="002547C7">
        <w:t>I</w:t>
      </w:r>
      <w:r w:rsidRPr="008E5037" w:rsidR="008E5037">
        <w:t xml:space="preserve">nformation collected </w:t>
      </w:r>
      <w:r w:rsidR="002547C7">
        <w:t xml:space="preserve">also </w:t>
      </w:r>
      <w:r w:rsidRPr="008E5037" w:rsidR="008E5037">
        <w:t xml:space="preserve">identifies the section 804 serial identifier (SSI), unique to each package or homogenous case of product and links the SSI to manufacturing records and shipments intended for the Canadian market.  </w:t>
      </w:r>
    </w:p>
    <w:p w:rsidR="00BA0068" w:rsidP="00544138" w:rsidRDefault="00BA0068" w14:paraId="277DBF82" w14:textId="77777777">
      <w:pPr>
        <w:ind w:left="720"/>
      </w:pPr>
    </w:p>
    <w:p w:rsidR="00CC2894" w:rsidP="00F207A4" w:rsidRDefault="000625B2" w14:paraId="1E28935A" w14:textId="391FD5CD">
      <w:pPr>
        <w:ind w:left="720"/>
      </w:pPr>
      <w:r w:rsidRPr="00F308EF">
        <w:t xml:space="preserve">This information collection </w:t>
      </w:r>
      <w:r w:rsidR="008D1AFD">
        <w:t>will</w:t>
      </w:r>
      <w:r w:rsidRPr="00F308EF">
        <w:t xml:space="preserve"> be used by the</w:t>
      </w:r>
      <w:r w:rsidRPr="00F308EF" w:rsidR="00584583">
        <w:t xml:space="preserve"> Private Sector</w:t>
      </w:r>
      <w:r w:rsidRPr="00F308EF">
        <w:t xml:space="preserve"> (Importers and manufacturers)</w:t>
      </w:r>
      <w:r w:rsidR="009948D9">
        <w:t>,</w:t>
      </w:r>
      <w:r w:rsidR="00F308EF">
        <w:t xml:space="preserve"> </w:t>
      </w:r>
      <w:r w:rsidRPr="00F308EF" w:rsidR="00584583">
        <w:t>State</w:t>
      </w:r>
      <w:r w:rsidR="008D1AFD">
        <w:t xml:space="preserve"> and</w:t>
      </w:r>
      <w:r w:rsidRPr="00F308EF" w:rsidR="00584583">
        <w:t xml:space="preserve"> Tribal Governments</w:t>
      </w:r>
      <w:r w:rsidR="00653A4F">
        <w:t xml:space="preserve"> (SIP Sponsors)</w:t>
      </w:r>
      <w:r w:rsidR="009948D9">
        <w:t>,</w:t>
      </w:r>
      <w:r w:rsidRPr="00F308EF" w:rsidR="00584583">
        <w:t xml:space="preserve"> </w:t>
      </w:r>
      <w:r w:rsidRPr="00F308EF">
        <w:t xml:space="preserve">and the </w:t>
      </w:r>
      <w:r w:rsidRPr="00F308EF" w:rsidR="00584583">
        <w:t>Federal Government</w:t>
      </w:r>
      <w:r w:rsidR="002741AD">
        <w:t xml:space="preserve"> to </w:t>
      </w:r>
      <w:r w:rsidR="00C35C50">
        <w:t xml:space="preserve">maintain </w:t>
      </w:r>
      <w:r w:rsidR="002741AD">
        <w:t xml:space="preserve">the integrity of </w:t>
      </w:r>
      <w:r w:rsidR="00C35C50">
        <w:t>supply chain</w:t>
      </w:r>
      <w:r w:rsidR="00EF6241">
        <w:t>s,</w:t>
      </w:r>
      <w:r w:rsidR="00C35C50">
        <w:t xml:space="preserve"> </w:t>
      </w:r>
      <w:r w:rsidR="00EF6241">
        <w:t>protect the public from interruptions of supply or diversion of these prescription drugs, and</w:t>
      </w:r>
      <w:r w:rsidRPr="009948D9" w:rsidR="00EF6241">
        <w:t xml:space="preserve"> </w:t>
      </w:r>
      <w:r w:rsidRPr="009948D9" w:rsidR="009948D9">
        <w:t xml:space="preserve">ensure that the drugs are authentic, </w:t>
      </w:r>
      <w:r w:rsidR="008E5037">
        <w:t xml:space="preserve">are </w:t>
      </w:r>
      <w:r w:rsidRPr="009948D9" w:rsidR="009948D9">
        <w:t>not degraded, and meet established specifications and standards</w:t>
      </w:r>
      <w:r w:rsidRPr="00F308EF" w:rsidR="00584583">
        <w:t>.</w:t>
      </w:r>
    </w:p>
    <w:p w:rsidR="008E5037" w:rsidP="00F207A4" w:rsidRDefault="008E5037" w14:paraId="1559F9E9" w14:textId="37D50A5B">
      <w:pPr>
        <w:ind w:left="720"/>
      </w:pPr>
    </w:p>
    <w:p w:rsidRPr="00F308EF" w:rsidR="008E5037" w:rsidP="00F207A4" w:rsidRDefault="008E5037" w14:paraId="02FB0D12" w14:textId="590D1688">
      <w:pPr>
        <w:ind w:left="720"/>
      </w:pPr>
      <w:r w:rsidRPr="008E5037">
        <w:t xml:space="preserve">Post-importation requirements also include SIP </w:t>
      </w:r>
      <w:r>
        <w:t>S</w:t>
      </w:r>
      <w:r w:rsidRPr="008E5037">
        <w:t>ponsor</w:t>
      </w:r>
      <w:r>
        <w:t>s</w:t>
      </w:r>
      <w:r w:rsidRPr="008E5037">
        <w:t xml:space="preserve"> providing FDA with data and information about the execution of the SIP, including cost savings to the American consumer, return plans, and a written recall plan describing procedures to perform a recall of the products, if required, and specif</w:t>
      </w:r>
      <w:r>
        <w:t>y</w:t>
      </w:r>
      <w:r w:rsidRPr="008E5037">
        <w:t>ing who is held responsible for performing those return or recall procedures for protection of the American public.</w:t>
      </w:r>
    </w:p>
    <w:p w:rsidRPr="004C6979" w:rsidR="002746DB" w:rsidP="00EB7538" w:rsidRDefault="00EB7538" w14:paraId="15A9B538" w14:textId="77777777">
      <w:pPr>
        <w:numPr>
          <w:ilvl w:val="0"/>
          <w:numId w:val="1"/>
        </w:numPr>
        <w:spacing w:before="100" w:beforeAutospacing="1" w:after="100" w:afterAutospacing="1"/>
        <w:ind w:right="-1440"/>
        <w:rPr>
          <w:u w:val="single"/>
        </w:rPr>
      </w:pPr>
      <w:r w:rsidRPr="004C6979">
        <w:rPr>
          <w:u w:val="single"/>
        </w:rPr>
        <w:t xml:space="preserve">Use of Improved Information Technology and Burden Reduction </w:t>
      </w:r>
    </w:p>
    <w:p w:rsidR="00516F6A" w:rsidP="00876DAA" w:rsidRDefault="002547C7" w14:paraId="2A99F0CC" w14:textId="14A700DC">
      <w:pPr>
        <w:ind w:left="720"/>
      </w:pPr>
      <w:r>
        <w:t xml:space="preserve">We </w:t>
      </w:r>
      <w:r w:rsidRPr="002A1210" w:rsidR="006D5D57">
        <w:t xml:space="preserve">estimate </w:t>
      </w:r>
      <w:r w:rsidR="00BB23C3">
        <w:t>100</w:t>
      </w:r>
      <w:r w:rsidRPr="002A1210" w:rsidR="006D5D57">
        <w:t>% of respondents will use electronic means to fulfill the agency’s</w:t>
      </w:r>
      <w:r w:rsidR="006D5D57">
        <w:t xml:space="preserve"> requirement</w:t>
      </w:r>
      <w:r w:rsidR="00B0544F">
        <w:t>s</w:t>
      </w:r>
      <w:r w:rsidR="006D5D57">
        <w:t xml:space="preserve"> or request</w:t>
      </w:r>
      <w:r w:rsidR="00B0544F">
        <w:t>s</w:t>
      </w:r>
      <w:r w:rsidR="006D5D57">
        <w:t>.</w:t>
      </w:r>
      <w:r w:rsidR="00876DAA">
        <w:t xml:space="preserve">  </w:t>
      </w:r>
      <w:r>
        <w:t>Regulations require</w:t>
      </w:r>
      <w:r w:rsidR="00876DAA">
        <w:t xml:space="preserve"> that </w:t>
      </w:r>
      <w:r w:rsidRPr="00876DAA" w:rsidR="00876DAA">
        <w:t xml:space="preserve">a </w:t>
      </w:r>
      <w:r w:rsidR="00884869">
        <w:t>State or Indian Tribe</w:t>
      </w:r>
      <w:r w:rsidRPr="00876DAA" w:rsidR="00876DAA">
        <w:t xml:space="preserve"> seek</w:t>
      </w:r>
      <w:r>
        <w:t>ing</w:t>
      </w:r>
      <w:r w:rsidRPr="00876DAA" w:rsidR="00876DAA">
        <w:t xml:space="preserve"> to implement a SIP must</w:t>
      </w:r>
      <w:r w:rsidR="00C229D9">
        <w:t xml:space="preserve"> </w:t>
      </w:r>
      <w:r w:rsidRPr="00876DAA" w:rsidR="00876DAA">
        <w:t xml:space="preserve">submit a proposal </w:t>
      </w:r>
      <w:r w:rsidRPr="004B1A30" w:rsidR="004B1A30">
        <w:t>to FDA in electronic format via FDA’s Electronic Submissions Gateway (ESG) or to an alternative transmission point identified by FDA</w:t>
      </w:r>
      <w:r w:rsidRPr="00876DAA" w:rsidR="00876DAA">
        <w:t>.</w:t>
      </w:r>
      <w:r w:rsidR="00B0544F">
        <w:t xml:space="preserve"> </w:t>
      </w:r>
      <w:r w:rsidR="00312B2A">
        <w:t xml:space="preserve"> </w:t>
      </w:r>
      <w:r w:rsidR="00B0544F">
        <w:t>In addition,</w:t>
      </w:r>
      <w:r w:rsidR="00312B2A">
        <w:t xml:space="preserve"> an</w:t>
      </w:r>
      <w:r w:rsidR="00B0544F">
        <w:t xml:space="preserve"> </w:t>
      </w:r>
      <w:r w:rsidR="00C229D9">
        <w:t>I</w:t>
      </w:r>
      <w:r w:rsidR="00B0544F">
        <w:t xml:space="preserve">mporter will submit </w:t>
      </w:r>
      <w:r w:rsidR="002128B9">
        <w:t xml:space="preserve">electronically </w:t>
      </w:r>
      <w:r w:rsidR="00B0544F">
        <w:t>a pre-import request</w:t>
      </w:r>
      <w:r w:rsidR="00F7546B">
        <w:t xml:space="preserve"> to FDA</w:t>
      </w:r>
      <w:r w:rsidR="00B0544F">
        <w:t xml:space="preserve"> identifying information regarding the importation, relabeling of the Canadian products, and</w:t>
      </w:r>
      <w:r w:rsidR="009C5095">
        <w:t xml:space="preserve"> relevant information necessary to evaluate whether the</w:t>
      </w:r>
      <w:r w:rsidR="00073F03">
        <w:t xml:space="preserve"> </w:t>
      </w:r>
      <w:r w:rsidR="009C5095">
        <w:t xml:space="preserve">products meet </w:t>
      </w:r>
      <w:r w:rsidRPr="002128B9" w:rsidR="002128B9">
        <w:t>established specifications and standards</w:t>
      </w:r>
      <w:r w:rsidR="009C5095">
        <w:t>.</w:t>
      </w:r>
      <w:r w:rsidR="00B0544F">
        <w:t xml:space="preserve">   </w:t>
      </w:r>
      <w:r w:rsidRPr="00876DAA" w:rsidR="00876DAA">
        <w:t xml:space="preserve"> </w:t>
      </w:r>
    </w:p>
    <w:p w:rsidRPr="002746DB" w:rsidR="002746DB" w:rsidP="00EB7538" w:rsidRDefault="00EB7538" w14:paraId="6EB79893" w14:textId="77777777">
      <w:pPr>
        <w:numPr>
          <w:ilvl w:val="0"/>
          <w:numId w:val="1"/>
        </w:numPr>
        <w:spacing w:before="100" w:beforeAutospacing="1" w:after="100" w:afterAutospacing="1"/>
        <w:rPr>
          <w:u w:val="single"/>
        </w:rPr>
      </w:pPr>
      <w:r w:rsidRPr="002746DB">
        <w:rPr>
          <w:u w:val="single"/>
        </w:rPr>
        <w:t xml:space="preserve">Efforts to Identify Duplication and Use of Similar Information </w:t>
      </w:r>
    </w:p>
    <w:p w:rsidR="002746DB" w:rsidP="00F410A2" w:rsidRDefault="00F410A2" w14:paraId="146530C6" w14:textId="77777777">
      <w:pPr>
        <w:ind w:left="720"/>
      </w:pPr>
      <w:r w:rsidRPr="00F410A2">
        <w:t>We are unaware of any duplicative information collection</w:t>
      </w:r>
      <w:r w:rsidR="009C5095">
        <w:t>.</w:t>
      </w:r>
    </w:p>
    <w:p w:rsidRPr="004C6979" w:rsidR="002746DB" w:rsidP="00EB7538" w:rsidRDefault="00EB7538" w14:paraId="090CC8AA" w14:textId="77777777">
      <w:pPr>
        <w:numPr>
          <w:ilvl w:val="0"/>
          <w:numId w:val="1"/>
        </w:numPr>
        <w:spacing w:before="100" w:beforeAutospacing="1" w:after="100" w:afterAutospacing="1"/>
        <w:rPr>
          <w:u w:val="single"/>
        </w:rPr>
      </w:pPr>
      <w:r w:rsidRPr="004C6979">
        <w:rPr>
          <w:u w:val="single"/>
        </w:rPr>
        <w:t>Impact on Small Businesses or Other Small Entities</w:t>
      </w:r>
    </w:p>
    <w:p w:rsidR="00B84FC2" w:rsidP="00152143" w:rsidRDefault="00CC1530" w14:paraId="52251E65" w14:textId="353FC527">
      <w:pPr>
        <w:pStyle w:val="BodyText2"/>
        <w:ind w:left="720"/>
        <w:rPr>
          <w:color w:val="000000"/>
          <w:szCs w:val="24"/>
        </w:rPr>
      </w:pPr>
      <w:r>
        <w:t>The information collection</w:t>
      </w:r>
      <w:r w:rsidRPr="00AB19A0">
        <w:t xml:space="preserve"> will not have a significant economic impact on a substantial number of small </w:t>
      </w:r>
      <w:r>
        <w:t>entities or pose an</w:t>
      </w:r>
      <w:r w:rsidR="00BF7818">
        <w:t xml:space="preserve"> undue burden on small entities.  </w:t>
      </w:r>
      <w:r w:rsidR="00924BEE">
        <w:t>Agreements</w:t>
      </w:r>
      <w:r w:rsidRPr="00AB19A0" w:rsidR="00AB19A0">
        <w:t xml:space="preserve"> resulting from the rule are voluntary and will depend on the scope and scale of </w:t>
      </w:r>
      <w:r w:rsidR="00924BEE">
        <w:t>authorized</w:t>
      </w:r>
      <w:r w:rsidRPr="00AB19A0" w:rsidR="00AB19A0">
        <w:t xml:space="preserve"> and implemented SI</w:t>
      </w:r>
      <w:r w:rsidR="00924BEE">
        <w:t>Ps</w:t>
      </w:r>
      <w:r w:rsidRPr="00AB19A0" w:rsidR="00AB19A0">
        <w:t>, the details of which are unknown</w:t>
      </w:r>
      <w:r w:rsidR="00BF7818">
        <w:t>.</w:t>
      </w:r>
      <w:r w:rsidRPr="00B84FC2" w:rsidR="00B84FC2">
        <w:rPr>
          <w:color w:val="000000"/>
          <w:szCs w:val="24"/>
        </w:rPr>
        <w:t xml:space="preserve"> </w:t>
      </w:r>
    </w:p>
    <w:p w:rsidR="00B84FC2" w:rsidP="00152143" w:rsidRDefault="00B84FC2" w14:paraId="627D1E68" w14:textId="77777777">
      <w:pPr>
        <w:pStyle w:val="BodyText2"/>
        <w:ind w:left="720"/>
        <w:rPr>
          <w:color w:val="000000"/>
          <w:szCs w:val="24"/>
        </w:rPr>
      </w:pPr>
    </w:p>
    <w:p w:rsidR="00CD77C3" w:rsidP="00152143" w:rsidRDefault="00B84FC2" w14:paraId="4A7AE618" w14:textId="6588011C">
      <w:pPr>
        <w:pStyle w:val="BodyText2"/>
        <w:ind w:left="720"/>
      </w:pPr>
      <w:r>
        <w:rPr>
          <w:color w:val="000000"/>
          <w:szCs w:val="24"/>
        </w:rPr>
        <w:lastRenderedPageBreak/>
        <w:t>U</w:t>
      </w:r>
      <w:r w:rsidRPr="00FB1456">
        <w:rPr>
          <w:color w:val="000000"/>
          <w:szCs w:val="24"/>
        </w:rPr>
        <w:t>nder the Regulatory Flexibility Act, FDA analyzes regulatory options that would minimize any significant impact on small entities.  FDA also assists small businesses in complying with regulatory requirements.</w:t>
      </w:r>
    </w:p>
    <w:p w:rsidRPr="004C6979" w:rsidR="00CD77C3" w:rsidP="00EB7538" w:rsidRDefault="00EB7538" w14:paraId="67D9F35E" w14:textId="77777777">
      <w:pPr>
        <w:numPr>
          <w:ilvl w:val="0"/>
          <w:numId w:val="1"/>
        </w:numPr>
        <w:spacing w:before="100" w:beforeAutospacing="1" w:after="100" w:afterAutospacing="1"/>
        <w:rPr>
          <w:u w:val="single"/>
        </w:rPr>
      </w:pPr>
      <w:r w:rsidRPr="004C6979">
        <w:rPr>
          <w:u w:val="single"/>
        </w:rPr>
        <w:t>Consequences of Collecting the Information Less Frequently</w:t>
      </w:r>
    </w:p>
    <w:p w:rsidR="00CD77C3" w:rsidP="000360B9" w:rsidRDefault="00AC084E" w14:paraId="2F5A5662" w14:textId="77777777">
      <w:pPr>
        <w:ind w:left="720"/>
      </w:pPr>
      <w:r w:rsidRPr="002F61A9">
        <w:t>R</w:t>
      </w:r>
      <w:r w:rsidRPr="002F61A9" w:rsidR="003B6384">
        <w:t xml:space="preserve">espondents will respond to the </w:t>
      </w:r>
      <w:r w:rsidRPr="002F61A9" w:rsidR="00A96221">
        <w:t>information</w:t>
      </w:r>
      <w:r w:rsidRPr="002F61A9" w:rsidR="003B6384">
        <w:t xml:space="preserve"> collection</w:t>
      </w:r>
      <w:r w:rsidRPr="002F61A9">
        <w:t xml:space="preserve"> annually and quarterly</w:t>
      </w:r>
      <w:r w:rsidRPr="002F61A9" w:rsidR="003B6384">
        <w:t>.</w:t>
      </w:r>
      <w:r w:rsidR="000360B9">
        <w:t xml:space="preserve">  </w:t>
      </w:r>
      <w:r w:rsidRPr="00E4357B" w:rsidR="00242ED1">
        <w:t>There are no legal obstacles to reduce the burden.</w:t>
      </w:r>
    </w:p>
    <w:p w:rsidRPr="004C6979" w:rsidR="00CD77C3" w:rsidP="00662920" w:rsidRDefault="00EB7538" w14:paraId="37B0C365" w14:textId="77777777">
      <w:pPr>
        <w:keepNext/>
        <w:numPr>
          <w:ilvl w:val="0"/>
          <w:numId w:val="1"/>
        </w:numPr>
        <w:spacing w:before="100" w:beforeAutospacing="1" w:after="100" w:afterAutospacing="1"/>
        <w:rPr>
          <w:u w:val="single"/>
        </w:rPr>
      </w:pPr>
      <w:r w:rsidRPr="004C6979">
        <w:rPr>
          <w:u w:val="single"/>
        </w:rPr>
        <w:t>Special Circumstances Relating to the Guidelines of 5 CFR 1320.5</w:t>
      </w:r>
    </w:p>
    <w:p w:rsidR="008108FA" w:rsidP="008108FA" w:rsidRDefault="008108FA" w14:paraId="1344D2B6" w14:textId="77777777">
      <w:pPr>
        <w:ind w:left="720"/>
      </w:pPr>
      <w:r>
        <w:t>There are no special circumstances for this collection of information.</w:t>
      </w:r>
    </w:p>
    <w:p w:rsidR="00CD77C3" w:rsidP="00EB7538" w:rsidRDefault="00EB7538" w14:paraId="52543B80" w14:textId="77777777">
      <w:pPr>
        <w:numPr>
          <w:ilvl w:val="0"/>
          <w:numId w:val="1"/>
        </w:numPr>
        <w:spacing w:before="100" w:beforeAutospacing="1" w:after="100" w:afterAutospacing="1"/>
        <w:rPr>
          <w:u w:val="single"/>
        </w:rPr>
      </w:pPr>
      <w:r w:rsidRPr="004C6979">
        <w:rPr>
          <w:u w:val="single"/>
        </w:rPr>
        <w:t>Comments in Response to the Federal Register Notice and Efforts to Consult Outside the Agency</w:t>
      </w:r>
    </w:p>
    <w:p w:rsidR="00977048" w:rsidP="008F4B67" w:rsidRDefault="00705086" w14:paraId="0FA3B706" w14:textId="6950CFCF">
      <w:pPr>
        <w:ind w:left="720"/>
      </w:pPr>
      <w:r w:rsidRPr="00C615FA">
        <w:t>As required by section 3506(c)(2)(B) of the Paperwork Reduction Act of 1995 (PRA),</w:t>
      </w:r>
      <w:r w:rsidR="00F6227E">
        <w:t xml:space="preserve"> we </w:t>
      </w:r>
      <w:r w:rsidRPr="00265BFD">
        <w:t xml:space="preserve">published </w:t>
      </w:r>
      <w:r w:rsidR="00F6227E">
        <w:t xml:space="preserve">a proposed rule </w:t>
      </w:r>
      <w:r w:rsidRPr="00265BFD">
        <w:t xml:space="preserve">in the </w:t>
      </w:r>
      <w:r w:rsidRPr="00F6227E" w:rsidR="00977048">
        <w:rPr>
          <w:u w:val="single"/>
        </w:rPr>
        <w:t>Federal Register</w:t>
      </w:r>
      <w:r w:rsidRPr="00265BFD" w:rsidR="00977048">
        <w:t xml:space="preserve"> </w:t>
      </w:r>
      <w:r w:rsidRPr="00265BFD">
        <w:t xml:space="preserve">of </w:t>
      </w:r>
      <w:r w:rsidR="00626735">
        <w:t>December 23, 2019</w:t>
      </w:r>
      <w:r w:rsidRPr="00265BFD">
        <w:t xml:space="preserve"> (</w:t>
      </w:r>
      <w:r w:rsidRPr="00C615FA" w:rsidR="00C615FA">
        <w:t>84 FR 70796</w:t>
      </w:r>
      <w:r w:rsidRPr="00265BFD">
        <w:t>)</w:t>
      </w:r>
      <w:r w:rsidR="00F6227E">
        <w:t xml:space="preserve"> inviting public comment on the information collection.  A discussion of </w:t>
      </w:r>
      <w:r w:rsidR="002547C7">
        <w:t xml:space="preserve">all comments </w:t>
      </w:r>
      <w:r w:rsidR="00F6227E">
        <w:t xml:space="preserve">may be found in the </w:t>
      </w:r>
      <w:r w:rsidR="002547C7">
        <w:t>preamble of our final rule</w:t>
      </w:r>
      <w:r w:rsidR="00F6227E">
        <w:t xml:space="preserve"> (85 FR 62094), noting </w:t>
      </w:r>
      <w:r w:rsidR="002547C7">
        <w:t xml:space="preserve">that those below </w:t>
      </w:r>
      <w:r w:rsidR="001D6E2B">
        <w:t xml:space="preserve">were found </w:t>
      </w:r>
      <w:r w:rsidR="005E75CC">
        <w:t>relevant to the information collection</w:t>
      </w:r>
      <w:r w:rsidR="001D6E2B">
        <w:t>:</w:t>
      </w:r>
    </w:p>
    <w:p w:rsidR="009649FC" w:rsidP="008F4B67" w:rsidRDefault="009649FC" w14:paraId="132F2667" w14:textId="12E10055">
      <w:pPr>
        <w:ind w:left="720"/>
      </w:pPr>
    </w:p>
    <w:p w:rsidRPr="002547C7" w:rsidR="00B25E36" w:rsidP="002547C7" w:rsidRDefault="00B25E36" w14:paraId="10324589" w14:textId="77777777">
      <w:pPr>
        <w:ind w:left="720" w:right="720" w:firstLine="720"/>
        <w:rPr>
          <w:i/>
        </w:rPr>
      </w:pPr>
      <w:r w:rsidRPr="002547C7">
        <w:rPr>
          <w:i/>
        </w:rPr>
        <w:t>(Comment 62) Several comments ask FDA to limit requirements that they characterize as duplicative or redundant, citing adverse event reports, individual case safety reports (ICSRs), and recall requirements.  In addition, one comment suggests that patients might not know whom to contact regarding an adverse event or a question about medication.</w:t>
      </w:r>
    </w:p>
    <w:p w:rsidRPr="002547C7" w:rsidR="00B25E36" w:rsidP="002547C7" w:rsidRDefault="00B25E36" w14:paraId="73A24BCB" w14:textId="77777777">
      <w:pPr>
        <w:ind w:left="720" w:right="720" w:firstLine="720"/>
        <w:rPr>
          <w:i/>
        </w:rPr>
      </w:pPr>
      <w:r w:rsidRPr="002547C7">
        <w:rPr>
          <w:i/>
        </w:rPr>
        <w:t xml:space="preserve">(Response 62) FDA declines to make substantive changes in response to these comments.  We have made some minor revisions from the provisions in the NPRM for clarity.  For example, in one instance we have revised the wording to align with existing comparable requirements in 21 CFR 314.80 (under § 251.18(d)(9), an Importer must “develop” written procedures to meet their obligations under that subpart because this encompasses the requirement to “maintain” and “follow” such written procedures), but such clarifications do not change FDA’s interpretation of the scope of existing responsibilities under § 314.80 or other existing safety reporting requirements.  </w:t>
      </w:r>
    </w:p>
    <w:p w:rsidRPr="002547C7" w:rsidR="00B25E36" w:rsidP="001D6E2B" w:rsidRDefault="00B25E36" w14:paraId="1C0D0F9E" w14:textId="5C411542">
      <w:pPr>
        <w:ind w:left="720" w:right="720" w:firstLine="720"/>
        <w:rPr>
          <w:i/>
        </w:rPr>
      </w:pPr>
      <w:r w:rsidRPr="002547C7">
        <w:rPr>
          <w:i/>
        </w:rPr>
        <w:t xml:space="preserve">We do not believe the reporting requirements in the final rule are duplicative or redundant.  The rule requires an Importer to establish and maintain records and submit to FDA and the manufacturer reports of all adverse events associated with the use of the drug products it imports under section 804 of the FD&amp;C Act and this final rule.  An individual case safety report (ICSR) is a description of an adverse event related to an individual patient or subject.  The final rule outlines when and how an Importer must submit ICSRs for domestic adverse events, and follow up reports, to FDA and the manufacturer.  As described in the NPRM (84 FR 70796 at 70821), these reports will aid the manufacturer in its pharmacovigilance efforts, and it will provide FDA with information that may be relevant to its review of SIP </w:t>
      </w:r>
      <w:r w:rsidRPr="002547C7">
        <w:rPr>
          <w:i/>
        </w:rPr>
        <w:lastRenderedPageBreak/>
        <w:t>Proposals and Pre-Import Requests as well as to its oversight of drugs imported under section 804 of the FD&amp;C Act and section 804 in general.  In the event of a recall, Importers must, upon request by FDA, provide to FDA the transaction history, information, and statement, as those terms are defined in section 581(25), (26), and (27) of the FD&amp;C Act, for the recalled drugs.  We have clarified in the final rule that, in the event of a recall, Foreign Sellers must also provide certain transaction information to FDA upon request.</w:t>
      </w:r>
    </w:p>
    <w:p w:rsidRPr="002547C7" w:rsidR="00B25E36" w:rsidP="002547C7" w:rsidRDefault="00B25E36" w14:paraId="7AA60D25" w14:textId="77777777">
      <w:pPr>
        <w:ind w:left="720" w:right="720" w:firstLine="720"/>
        <w:rPr>
          <w:i/>
        </w:rPr>
      </w:pPr>
      <w:r w:rsidRPr="002547C7">
        <w:rPr>
          <w:i/>
        </w:rPr>
        <w:t>(Comment 64) Several comments request clarification regarding recall responsibilities.  One comment says that the timeframe for adverse event reporting could lead to significant delays in recalls.</w:t>
      </w:r>
    </w:p>
    <w:p w:rsidR="00A026B6" w:rsidP="002547C7" w:rsidRDefault="00B25E36" w14:paraId="08714C84" w14:textId="47D975BE">
      <w:pPr>
        <w:ind w:left="720" w:right="720" w:firstLine="720"/>
      </w:pPr>
      <w:r w:rsidRPr="002547C7">
        <w:rPr>
          <w:i/>
        </w:rPr>
        <w:t>(Response 64) The rule requires that each SIP proposal include a recall plan that explains how the SIP Sponsor will obtain additional recall or market withdrawal information, such as by obtaining recall information from an Importer, and how the SIP Sponsor will ensure that recall or market withdrawal information is shared among the SIP Sponsor, the Foreign Seller, the Importer, and FDA, and provided to the manufacturer.  In addition, the rule requires that each SIP must have a written recall plan that describes the procedures to perform a recall of the product and specifies who will be responsible for performing the procedures.  The recall plan must cover recalls mandated or requested by FDA and recalls initiated by the SIP Sponsor, as well as recalls in Canada or the United States initiated by a drug’s manufacturer that implicate a drug imported under a SIP, with which the Foreign Seller or Importer must cooperate.  If FDA or any participant in a SIP determines that a recall is warranted, the SIP Sponsor must effectuate the recall in accordance with its written recall plan.  We have revised the rule to clarify an Importer’s and a Foreign Seller’s responsibilities in a recall.  We do not believe that the timeframes for adverse event reporting, which are consistent with other FDA requirements for adverse event reporting, would lead to significant delays in effectuating a recall.</w:t>
      </w:r>
    </w:p>
    <w:p w:rsidR="001D6E2B" w:rsidP="002547C7" w:rsidRDefault="001D6E2B" w14:paraId="7C86E205" w14:textId="5D99DE83">
      <w:pPr>
        <w:ind w:left="720" w:right="720" w:firstLine="720"/>
      </w:pPr>
    </w:p>
    <w:p w:rsidRPr="001D6E2B" w:rsidR="001D6E2B" w:rsidP="001D6E2B" w:rsidRDefault="001D6E2B" w14:paraId="72FA3BCD" w14:textId="60871D45">
      <w:pPr>
        <w:ind w:left="720" w:right="720"/>
      </w:pPr>
      <w:r>
        <w:t>Although we have considered the comments and made the revisions discussed in our</w:t>
      </w:r>
      <w:r w:rsidR="009E688D">
        <w:t xml:space="preserve"> final rule</w:t>
      </w:r>
      <w:r>
        <w:t>, we have made no adjustments to our burden estimate.</w:t>
      </w:r>
      <w:r w:rsidR="00402384">
        <w:t xml:space="preserve">  However, we note an inadvertent typographical error in Table 1 upon publication.  We have included correct figures here.</w:t>
      </w:r>
    </w:p>
    <w:p w:rsidRPr="004C6979" w:rsidR="00CD77C3" w:rsidP="00E00EA0" w:rsidRDefault="00EB7538" w14:paraId="10982B07" w14:textId="77777777">
      <w:pPr>
        <w:numPr>
          <w:ilvl w:val="0"/>
          <w:numId w:val="1"/>
        </w:numPr>
        <w:spacing w:before="100" w:beforeAutospacing="1" w:after="100" w:afterAutospacing="1"/>
        <w:rPr>
          <w:u w:val="single"/>
        </w:rPr>
      </w:pPr>
      <w:r w:rsidRPr="004C6979">
        <w:rPr>
          <w:u w:val="single"/>
        </w:rPr>
        <w:t>Explanation of Any Payment or Gift to Respondents</w:t>
      </w:r>
    </w:p>
    <w:p w:rsidR="00CD77C3" w:rsidP="00BB6B94" w:rsidRDefault="00E218B1" w14:paraId="38B777AC" w14:textId="77777777">
      <w:pPr>
        <w:ind w:left="720"/>
      </w:pPr>
      <w:r>
        <w:t>Respondents will not receive any payments or gifts for participating in this information</w:t>
      </w:r>
      <w:r w:rsidR="00BB6B94">
        <w:t xml:space="preserve"> </w:t>
      </w:r>
      <w:r>
        <w:t>collection</w:t>
      </w:r>
      <w:r w:rsidR="00BB6B94">
        <w:t>.</w:t>
      </w:r>
    </w:p>
    <w:p w:rsidR="00CD77C3" w:rsidP="00EB7538" w:rsidRDefault="00EB7538" w14:paraId="7176C9F0" w14:textId="77777777">
      <w:pPr>
        <w:numPr>
          <w:ilvl w:val="0"/>
          <w:numId w:val="1"/>
        </w:numPr>
        <w:spacing w:before="100" w:beforeAutospacing="1" w:after="100" w:afterAutospacing="1"/>
        <w:rPr>
          <w:u w:val="single"/>
        </w:rPr>
      </w:pPr>
      <w:r w:rsidRPr="004C6979">
        <w:rPr>
          <w:u w:val="single"/>
        </w:rPr>
        <w:t>Assurance of Confidentiality Provided to Respondents</w:t>
      </w:r>
    </w:p>
    <w:p w:rsidRPr="00662920" w:rsidR="005E7D4A" w:rsidP="001D6E2B" w:rsidRDefault="001D6E2B" w14:paraId="752DEED3" w14:textId="6BEEC256">
      <w:pPr>
        <w:ind w:left="720"/>
      </w:pPr>
      <w:r w:rsidRPr="00662920">
        <w:t xml:space="preserve">In preparing this </w:t>
      </w:r>
      <w:r>
        <w:t>supporting statement, we consulted our</w:t>
      </w:r>
      <w:r w:rsidRPr="00662920">
        <w:t xml:space="preserve"> Privacy Office to identify potential risks to the privacy information that may be handled by or on behalf of FDA in the performance of this information collection.</w:t>
      </w:r>
      <w:r>
        <w:t xml:space="preserve">  Our analysis finds that </w:t>
      </w:r>
      <w:r w:rsidRPr="00662920" w:rsidR="005E7D4A">
        <w:t>personally identifiable information (PII) or information of a personal nature</w:t>
      </w:r>
      <w:r>
        <w:t xml:space="preserve"> is being collected</w:t>
      </w:r>
      <w:r w:rsidRPr="00662920" w:rsidR="005E7D4A">
        <w:t>.</w:t>
      </w:r>
      <w:r>
        <w:t xml:space="preserve">  </w:t>
      </w:r>
      <w:r w:rsidRPr="00662920" w:rsidR="005E7D4A">
        <w:t xml:space="preserve">The PII collected </w:t>
      </w:r>
      <w:r w:rsidR="00F20E5C">
        <w:t>includes</w:t>
      </w:r>
      <w:r w:rsidRPr="00662920" w:rsidR="005E7D4A">
        <w:t xml:space="preserve"> name</w:t>
      </w:r>
      <w:r w:rsidR="00F20E5C">
        <w:t>s</w:t>
      </w:r>
      <w:r w:rsidRPr="00662920" w:rsidR="005E7D4A">
        <w:t>, company name</w:t>
      </w:r>
      <w:r w:rsidR="00F20E5C">
        <w:t>s</w:t>
      </w:r>
      <w:r w:rsidRPr="00662920" w:rsidR="005E7D4A">
        <w:t>, address</w:t>
      </w:r>
      <w:r w:rsidR="00F20E5C">
        <w:t>es</w:t>
      </w:r>
      <w:r w:rsidRPr="00662920" w:rsidR="005E7D4A">
        <w:t>, email address</w:t>
      </w:r>
      <w:r w:rsidR="00F20E5C">
        <w:t>es</w:t>
      </w:r>
      <w:r w:rsidRPr="00662920" w:rsidR="005E7D4A">
        <w:t>, and telephone number</w:t>
      </w:r>
      <w:r w:rsidR="00F20E5C">
        <w:t>s</w:t>
      </w:r>
      <w:r w:rsidRPr="00662920" w:rsidR="005E7D4A">
        <w:t>.</w:t>
      </w:r>
      <w:r>
        <w:t xml:space="preserve">  </w:t>
      </w:r>
      <w:r w:rsidRPr="00662920" w:rsidR="005E7D4A">
        <w:t xml:space="preserve">PII is collected in the context of the subject individuals’ professional capacity and the FDA-related </w:t>
      </w:r>
      <w:r w:rsidRPr="00662920" w:rsidR="005E7D4A">
        <w:lastRenderedPageBreak/>
        <w:t>work they perform for their employer (e.g., point of contact at a regulated entity).</w:t>
      </w:r>
      <w:r>
        <w:t xml:space="preserve">  </w:t>
      </w:r>
      <w:r w:rsidRPr="00662920" w:rsidR="005E7D4A">
        <w:t xml:space="preserve">Information </w:t>
      </w:r>
      <w:r>
        <w:t xml:space="preserve">obtained </w:t>
      </w:r>
      <w:r w:rsidRPr="00662920" w:rsidR="005E7D4A">
        <w:t xml:space="preserve">from </w:t>
      </w:r>
      <w:r w:rsidR="00D116AA">
        <w:t>SIPs</w:t>
      </w:r>
      <w:r w:rsidRPr="00662920" w:rsidR="005E7D4A">
        <w:t xml:space="preserve"> would be authorized by FDA and overseen by </w:t>
      </w:r>
      <w:r w:rsidR="00AE21D9">
        <w:t>SIP Sponsors</w:t>
      </w:r>
      <w:r w:rsidRPr="00662920" w:rsidR="005E7D4A">
        <w:t xml:space="preserve"> that seek to import certain prescription drugs from Canada. </w:t>
      </w:r>
      <w:r w:rsidR="00AE21D9">
        <w:t xml:space="preserve"> </w:t>
      </w:r>
      <w:r w:rsidRPr="00662920" w:rsidR="005E7D4A">
        <w:t xml:space="preserve">SIP Sponsors must provide FDA with data and information on </w:t>
      </w:r>
      <w:r w:rsidR="00AE21D9">
        <w:t>drugs imported under the SIP</w:t>
      </w:r>
      <w:r w:rsidRPr="00662920" w:rsidR="005E7D4A">
        <w:t xml:space="preserve"> and on the SIP’s cost savings to the American consumer.   </w:t>
      </w:r>
    </w:p>
    <w:p w:rsidRPr="00662920" w:rsidR="005E7D4A" w:rsidP="00662920" w:rsidRDefault="005E7D4A" w14:paraId="7E30118E" w14:textId="77777777">
      <w:pPr>
        <w:ind w:left="720"/>
      </w:pPr>
    </w:p>
    <w:p w:rsidRPr="00662920" w:rsidR="005E7D4A" w:rsidP="00662920" w:rsidRDefault="001D6E2B" w14:paraId="10B4151D" w14:textId="0A5672AD">
      <w:pPr>
        <w:ind w:left="720"/>
      </w:pPr>
      <w:r>
        <w:t xml:space="preserve">We also </w:t>
      </w:r>
      <w:r w:rsidRPr="00662920" w:rsidR="005E7D4A">
        <w:t>determined that</w:t>
      </w:r>
      <w:r w:rsidR="00FF1178">
        <w:t>,</w:t>
      </w:r>
      <w:r w:rsidRPr="00662920" w:rsidR="005E7D4A">
        <w:t xml:space="preserve"> although PII is collected, this collection is not subject to the Privacy Act of 1974 and the particular notice and other requirements of the Act do not apply.</w:t>
      </w:r>
      <w:r w:rsidR="00FF1178">
        <w:t xml:space="preserve">  </w:t>
      </w:r>
      <w:r w:rsidRPr="00662920" w:rsidR="005E7D4A">
        <w:t xml:space="preserve">Specifically, </w:t>
      </w:r>
      <w:r w:rsidR="00FF1178">
        <w:t xml:space="preserve">we do </w:t>
      </w:r>
      <w:r w:rsidRPr="00662920" w:rsidR="005E7D4A">
        <w:t xml:space="preserve">not use name or any other personal identifier to routinely retrieve records from the information collected. </w:t>
      </w:r>
    </w:p>
    <w:p w:rsidRPr="004C6979" w:rsidR="004C6979" w:rsidP="00E31E75" w:rsidRDefault="00EB7538" w14:paraId="1B7446DB" w14:textId="77777777">
      <w:pPr>
        <w:keepNext/>
        <w:numPr>
          <w:ilvl w:val="0"/>
          <w:numId w:val="1"/>
        </w:numPr>
        <w:spacing w:before="100" w:beforeAutospacing="1" w:after="100" w:afterAutospacing="1"/>
        <w:rPr>
          <w:u w:val="single"/>
        </w:rPr>
      </w:pPr>
      <w:r w:rsidRPr="004C6979">
        <w:rPr>
          <w:u w:val="single"/>
        </w:rPr>
        <w:t>Justification for Sensitive Questions</w:t>
      </w:r>
    </w:p>
    <w:p w:rsidR="004C6979" w:rsidP="005C3192" w:rsidRDefault="005C3192" w14:paraId="56CF0D1C" w14:textId="77777777">
      <w:pPr>
        <w:pStyle w:val="BodyText2"/>
        <w:ind w:left="720"/>
      </w:pPr>
      <w:r>
        <w:t xml:space="preserve">The information collection does not include </w:t>
      </w:r>
      <w:r w:rsidRPr="005C3192">
        <w:t>questions of a sensitive nature</w:t>
      </w:r>
      <w:r>
        <w:t>.</w:t>
      </w:r>
    </w:p>
    <w:p w:rsidRPr="004C6979" w:rsidR="004C6979" w:rsidP="00FE2E32" w:rsidRDefault="00EB7538" w14:paraId="6036C4EF" w14:textId="77777777">
      <w:pPr>
        <w:keepNext/>
        <w:numPr>
          <w:ilvl w:val="0"/>
          <w:numId w:val="1"/>
        </w:numPr>
        <w:spacing w:before="100" w:beforeAutospacing="1" w:after="100" w:afterAutospacing="1"/>
        <w:rPr>
          <w:u w:val="single"/>
        </w:rPr>
      </w:pPr>
      <w:r w:rsidRPr="004C6979">
        <w:rPr>
          <w:u w:val="single"/>
        </w:rPr>
        <w:t>Estimates of Annualized Burden Hours and Costs</w:t>
      </w:r>
    </w:p>
    <w:p w:rsidRPr="00C41808" w:rsidR="005C3192" w:rsidP="00C41808" w:rsidRDefault="008B0E29" w14:paraId="03561C76" w14:textId="2E9426BE">
      <w:pPr>
        <w:ind w:left="720"/>
        <w:rPr>
          <w:i/>
        </w:rPr>
      </w:pPr>
      <w:r w:rsidRPr="00C41808">
        <w:rPr>
          <w:i/>
        </w:rPr>
        <w:t xml:space="preserve">12 a. </w:t>
      </w:r>
      <w:r w:rsidRPr="00C41808" w:rsidR="00411D11">
        <w:rPr>
          <w:i/>
        </w:rPr>
        <w:t xml:space="preserve">Annualized </w:t>
      </w:r>
      <w:r w:rsidRPr="00C41808" w:rsidR="004C6979">
        <w:rPr>
          <w:i/>
        </w:rPr>
        <w:t>Hour Burden Estimate</w:t>
      </w:r>
    </w:p>
    <w:p w:rsidRPr="008A3124" w:rsidR="008A3124" w:rsidP="00C45A83" w:rsidRDefault="008A3124" w14:paraId="0B6529C0" w14:textId="050E2598">
      <w:pPr>
        <w:spacing w:line="480" w:lineRule="auto"/>
        <w:ind w:firstLine="720"/>
        <w:contextualSpacing/>
        <w:rPr>
          <w:b/>
        </w:rPr>
      </w:pPr>
    </w:p>
    <w:tbl>
      <w:tblPr>
        <w:tblW w:w="4907" w:type="pct"/>
        <w:tblInd w:w="1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3061"/>
        <w:gridCol w:w="1531"/>
        <w:gridCol w:w="1530"/>
        <w:gridCol w:w="1170"/>
        <w:gridCol w:w="1259"/>
        <w:gridCol w:w="918"/>
      </w:tblGrid>
      <w:tr w:rsidRPr="00F033B8" w:rsidR="00C45A83" w:rsidTr="00C41808" w14:paraId="59F6E6EE" w14:textId="77777777">
        <w:trPr>
          <w:cantSplit/>
          <w:trHeight w:val="20"/>
          <w:tblHeader/>
        </w:trPr>
        <w:tc>
          <w:tcPr>
            <w:tcW w:w="5000" w:type="pct"/>
            <w:gridSpan w:val="6"/>
            <w:tcBorders>
              <w:top w:val="nil"/>
              <w:left w:val="nil"/>
              <w:right w:val="nil"/>
            </w:tcBorders>
            <w:shd w:val="clear" w:color="auto" w:fill="auto"/>
          </w:tcPr>
          <w:p w:rsidRPr="00F033B8" w:rsidR="00C45A83" w:rsidP="009C1D16" w:rsidRDefault="00C45A83" w14:paraId="42FF5F46" w14:textId="77777777">
            <w:pPr>
              <w:keepNext/>
            </w:pPr>
            <w:r w:rsidRPr="00F033B8">
              <w:t>Table 1.--Estimated Annual Reporting Burden</w:t>
            </w:r>
            <w:r w:rsidRPr="00F033B8">
              <w:rPr>
                <w:vertAlign w:val="superscript"/>
              </w:rPr>
              <w:t>1</w:t>
            </w:r>
          </w:p>
        </w:tc>
      </w:tr>
      <w:tr w:rsidRPr="00F033B8" w:rsidR="00C41808" w:rsidTr="00C41808" w14:paraId="32A636CF" w14:textId="77777777">
        <w:trPr>
          <w:cantSplit/>
          <w:trHeight w:val="20"/>
        </w:trPr>
        <w:tc>
          <w:tcPr>
            <w:tcW w:w="1616" w:type="pct"/>
            <w:shd w:val="clear" w:color="auto" w:fill="auto"/>
          </w:tcPr>
          <w:p w:rsidRPr="00C41808" w:rsidR="00C45A83" w:rsidP="00D042B5" w:rsidRDefault="00C45A83" w14:paraId="700624E1" w14:textId="77777777">
            <w:pPr>
              <w:keepNext/>
              <w:jc w:val="center"/>
              <w:rPr>
                <w:sz w:val="22"/>
                <w:szCs w:val="22"/>
              </w:rPr>
            </w:pPr>
            <w:r w:rsidRPr="00C41808">
              <w:rPr>
                <w:sz w:val="22"/>
                <w:szCs w:val="22"/>
              </w:rPr>
              <w:t>Type of Information Collection Activity/</w:t>
            </w:r>
            <w:r w:rsidRPr="00C41808">
              <w:rPr>
                <w:sz w:val="22"/>
                <w:szCs w:val="22"/>
              </w:rPr>
              <w:br/>
              <w:t xml:space="preserve">Respondent </w:t>
            </w:r>
          </w:p>
        </w:tc>
        <w:tc>
          <w:tcPr>
            <w:tcW w:w="808" w:type="pct"/>
            <w:shd w:val="clear" w:color="auto" w:fill="auto"/>
          </w:tcPr>
          <w:p w:rsidRPr="00C41808" w:rsidR="00C45A83" w:rsidP="009C1D16" w:rsidRDefault="00C45A83" w14:paraId="36C1C593" w14:textId="77777777">
            <w:pPr>
              <w:keepNext/>
              <w:jc w:val="center"/>
              <w:rPr>
                <w:sz w:val="22"/>
                <w:szCs w:val="22"/>
              </w:rPr>
            </w:pPr>
            <w:r w:rsidRPr="00C41808">
              <w:rPr>
                <w:sz w:val="22"/>
                <w:szCs w:val="22"/>
              </w:rPr>
              <w:t>No. of Respondents</w:t>
            </w:r>
          </w:p>
        </w:tc>
        <w:tc>
          <w:tcPr>
            <w:tcW w:w="808" w:type="pct"/>
            <w:shd w:val="clear" w:color="auto" w:fill="auto"/>
          </w:tcPr>
          <w:p w:rsidRPr="00C41808" w:rsidR="00C45A83" w:rsidP="009C1D16" w:rsidRDefault="00C45A83" w14:paraId="42C5595E" w14:textId="77777777">
            <w:pPr>
              <w:keepNext/>
              <w:jc w:val="center"/>
              <w:rPr>
                <w:sz w:val="22"/>
                <w:szCs w:val="22"/>
              </w:rPr>
            </w:pPr>
            <w:r w:rsidRPr="00C41808">
              <w:rPr>
                <w:bCs/>
                <w:sz w:val="22"/>
                <w:szCs w:val="22"/>
              </w:rPr>
              <w:t>No. of Responses per Respondent</w:t>
            </w:r>
          </w:p>
        </w:tc>
        <w:tc>
          <w:tcPr>
            <w:tcW w:w="618" w:type="pct"/>
            <w:shd w:val="clear" w:color="auto" w:fill="auto"/>
          </w:tcPr>
          <w:p w:rsidRPr="00C41808" w:rsidR="00C45A83" w:rsidP="009C1D16" w:rsidRDefault="00C45A83" w14:paraId="28023122" w14:textId="77777777">
            <w:pPr>
              <w:keepNext/>
              <w:jc w:val="center"/>
              <w:rPr>
                <w:sz w:val="22"/>
                <w:szCs w:val="22"/>
              </w:rPr>
            </w:pPr>
            <w:r w:rsidRPr="00C41808">
              <w:rPr>
                <w:sz w:val="22"/>
                <w:szCs w:val="22"/>
              </w:rPr>
              <w:t>Total Annual Responses</w:t>
            </w:r>
          </w:p>
        </w:tc>
        <w:tc>
          <w:tcPr>
            <w:tcW w:w="665" w:type="pct"/>
            <w:shd w:val="clear" w:color="auto" w:fill="auto"/>
          </w:tcPr>
          <w:p w:rsidRPr="00C41808" w:rsidR="00C45A83" w:rsidP="009C1D16" w:rsidRDefault="00C45A83" w14:paraId="7723B1DA" w14:textId="77777777">
            <w:pPr>
              <w:keepNext/>
              <w:jc w:val="center"/>
              <w:rPr>
                <w:sz w:val="22"/>
                <w:szCs w:val="22"/>
              </w:rPr>
            </w:pPr>
            <w:r w:rsidRPr="00C41808">
              <w:rPr>
                <w:bCs/>
                <w:sz w:val="22"/>
                <w:szCs w:val="22"/>
              </w:rPr>
              <w:t>Average Burden per Response</w:t>
            </w:r>
          </w:p>
        </w:tc>
        <w:tc>
          <w:tcPr>
            <w:tcW w:w="484" w:type="pct"/>
            <w:shd w:val="clear" w:color="auto" w:fill="auto"/>
          </w:tcPr>
          <w:p w:rsidRPr="00C41808" w:rsidR="00C45A83" w:rsidP="009C1D16" w:rsidRDefault="00C45A83" w14:paraId="2F6AE37E" w14:textId="77777777">
            <w:pPr>
              <w:keepNext/>
              <w:jc w:val="center"/>
              <w:rPr>
                <w:sz w:val="22"/>
                <w:szCs w:val="22"/>
              </w:rPr>
            </w:pPr>
            <w:r w:rsidRPr="00C41808">
              <w:rPr>
                <w:sz w:val="22"/>
                <w:szCs w:val="22"/>
              </w:rPr>
              <w:t>Total Hours</w:t>
            </w:r>
          </w:p>
        </w:tc>
      </w:tr>
      <w:tr w:rsidRPr="00F033B8" w:rsidR="00C41808" w:rsidTr="00C41808" w14:paraId="7678A61E" w14:textId="77777777">
        <w:trPr>
          <w:cantSplit/>
          <w:trHeight w:val="20"/>
        </w:trPr>
        <w:tc>
          <w:tcPr>
            <w:tcW w:w="1616" w:type="pct"/>
            <w:shd w:val="clear" w:color="auto" w:fill="auto"/>
          </w:tcPr>
          <w:p w:rsidR="00C45A83" w:rsidP="009C1D16" w:rsidRDefault="00C45A83" w14:paraId="2D917B77" w14:textId="77777777">
            <w:pPr>
              <w:keepNext/>
            </w:pPr>
            <w:r w:rsidRPr="00F033B8">
              <w:t>SIP Sponsor</w:t>
            </w:r>
          </w:p>
          <w:p w:rsidRPr="00F033B8" w:rsidR="00C45A83" w:rsidP="00D042B5" w:rsidRDefault="00C45A83" w14:paraId="413A5D05" w14:textId="0AF3F7B8">
            <w:pPr>
              <w:keepNext/>
            </w:pPr>
            <w:r>
              <w:t>251.3; 251.8; 251.14 - SIP Proposal Submission Requirements; 251.18 - Post Importation Requirements; 251</w:t>
            </w:r>
            <w:r w:rsidRPr="00B12B1F">
              <w:t>.19 - Report</w:t>
            </w:r>
            <w:r>
              <w:t>s</w:t>
            </w:r>
            <w:r w:rsidRPr="00B12B1F">
              <w:t xml:space="preserve"> to FDA</w:t>
            </w:r>
          </w:p>
        </w:tc>
        <w:tc>
          <w:tcPr>
            <w:tcW w:w="808" w:type="pct"/>
            <w:shd w:val="clear" w:color="auto" w:fill="auto"/>
          </w:tcPr>
          <w:p w:rsidRPr="00F033B8" w:rsidR="00C45A83" w:rsidP="009C1D16" w:rsidRDefault="00C45A83" w14:paraId="770F6C05" w14:textId="77777777">
            <w:pPr>
              <w:keepNext/>
              <w:jc w:val="right"/>
            </w:pPr>
            <w:r>
              <w:t>10</w:t>
            </w:r>
          </w:p>
        </w:tc>
        <w:tc>
          <w:tcPr>
            <w:tcW w:w="808" w:type="pct"/>
            <w:shd w:val="clear" w:color="auto" w:fill="auto"/>
          </w:tcPr>
          <w:p w:rsidRPr="00F033B8" w:rsidR="00C45A83" w:rsidP="009C1D16" w:rsidRDefault="00C45A83" w14:paraId="25AFE88A" w14:textId="77777777">
            <w:pPr>
              <w:keepNext/>
              <w:jc w:val="right"/>
            </w:pPr>
            <w:r w:rsidRPr="00F033B8">
              <w:t>1</w:t>
            </w:r>
          </w:p>
        </w:tc>
        <w:tc>
          <w:tcPr>
            <w:tcW w:w="618" w:type="pct"/>
            <w:shd w:val="clear" w:color="auto" w:fill="auto"/>
          </w:tcPr>
          <w:p w:rsidRPr="00F033B8" w:rsidR="00C45A83" w:rsidP="009C1D16" w:rsidRDefault="00C45A83" w14:paraId="6878BF30" w14:textId="77777777">
            <w:pPr>
              <w:keepNext/>
              <w:jc w:val="right"/>
            </w:pPr>
            <w:r>
              <w:t>10</w:t>
            </w:r>
          </w:p>
        </w:tc>
        <w:tc>
          <w:tcPr>
            <w:tcW w:w="665" w:type="pct"/>
            <w:shd w:val="clear" w:color="auto" w:fill="auto"/>
          </w:tcPr>
          <w:p w:rsidRPr="00F033B8" w:rsidR="00C45A83" w:rsidP="009C1D16" w:rsidRDefault="00402384" w14:paraId="7B4B7218" w14:textId="71F8CDCA">
            <w:pPr>
              <w:keepNext/>
              <w:jc w:val="right"/>
            </w:pPr>
            <w:r>
              <w:t>360</w:t>
            </w:r>
          </w:p>
        </w:tc>
        <w:tc>
          <w:tcPr>
            <w:tcW w:w="484" w:type="pct"/>
            <w:shd w:val="clear" w:color="auto" w:fill="auto"/>
          </w:tcPr>
          <w:p w:rsidRPr="00F033B8" w:rsidR="00C45A83" w:rsidP="009C1D16" w:rsidRDefault="00B25E36" w14:paraId="186504DF" w14:textId="3C54BB9B">
            <w:pPr>
              <w:keepNext/>
              <w:jc w:val="right"/>
            </w:pPr>
            <w:r>
              <w:t>3,</w:t>
            </w:r>
            <w:r w:rsidR="00402384">
              <w:t>600</w:t>
            </w:r>
          </w:p>
        </w:tc>
      </w:tr>
      <w:tr w:rsidRPr="00F033B8" w:rsidR="00C41808" w:rsidTr="00C41808" w14:paraId="38451AAE" w14:textId="77777777">
        <w:trPr>
          <w:cantSplit/>
          <w:trHeight w:val="20"/>
        </w:trPr>
        <w:tc>
          <w:tcPr>
            <w:tcW w:w="1616" w:type="pct"/>
            <w:shd w:val="clear" w:color="auto" w:fill="auto"/>
          </w:tcPr>
          <w:p w:rsidR="00C45A83" w:rsidP="009C1D16" w:rsidRDefault="00C45A83" w14:paraId="0D89B534" w14:textId="77777777">
            <w:pPr>
              <w:keepNext/>
            </w:pPr>
            <w:r w:rsidRPr="00F033B8">
              <w:t>Importer</w:t>
            </w:r>
          </w:p>
          <w:p w:rsidRPr="00F033B8" w:rsidR="00C45A83" w:rsidP="009C1D16" w:rsidRDefault="00C45A83" w14:paraId="76F9395E" w14:textId="77777777">
            <w:pPr>
              <w:keepNext/>
            </w:pPr>
            <w:r>
              <w:t>251.5; 251.12; 251.13; 251.17 - Pre-Import Request and Importation Requirements</w:t>
            </w:r>
          </w:p>
        </w:tc>
        <w:tc>
          <w:tcPr>
            <w:tcW w:w="808" w:type="pct"/>
            <w:shd w:val="clear" w:color="auto" w:fill="auto"/>
          </w:tcPr>
          <w:p w:rsidRPr="00F033B8" w:rsidR="00C45A83" w:rsidP="009C1D16" w:rsidRDefault="00C45A83" w14:paraId="521AD52A" w14:textId="77777777">
            <w:pPr>
              <w:keepNext/>
              <w:jc w:val="right"/>
            </w:pPr>
            <w:r>
              <w:t>10</w:t>
            </w:r>
          </w:p>
        </w:tc>
        <w:tc>
          <w:tcPr>
            <w:tcW w:w="808" w:type="pct"/>
            <w:shd w:val="clear" w:color="auto" w:fill="auto"/>
          </w:tcPr>
          <w:p w:rsidRPr="00F033B8" w:rsidR="00C45A83" w:rsidP="009C1D16" w:rsidRDefault="00C45A83" w14:paraId="6A709C93" w14:textId="77777777">
            <w:pPr>
              <w:keepNext/>
              <w:jc w:val="right"/>
            </w:pPr>
            <w:r w:rsidRPr="00F033B8">
              <w:t>1</w:t>
            </w:r>
          </w:p>
        </w:tc>
        <w:tc>
          <w:tcPr>
            <w:tcW w:w="618" w:type="pct"/>
            <w:shd w:val="clear" w:color="auto" w:fill="auto"/>
          </w:tcPr>
          <w:p w:rsidRPr="00F033B8" w:rsidR="00C45A83" w:rsidP="009C1D16" w:rsidRDefault="00C45A83" w14:paraId="7D3397F4" w14:textId="77777777">
            <w:pPr>
              <w:keepNext/>
              <w:jc w:val="right"/>
            </w:pPr>
            <w:r>
              <w:t>10</w:t>
            </w:r>
          </w:p>
        </w:tc>
        <w:tc>
          <w:tcPr>
            <w:tcW w:w="665" w:type="pct"/>
            <w:shd w:val="clear" w:color="auto" w:fill="auto"/>
          </w:tcPr>
          <w:p w:rsidRPr="00F033B8" w:rsidR="00C45A83" w:rsidP="009C1D16" w:rsidRDefault="00552E46" w14:paraId="3F5962B4" w14:textId="31F07B45">
            <w:pPr>
              <w:keepNext/>
              <w:jc w:val="right"/>
            </w:pPr>
            <w:r>
              <w:t>2</w:t>
            </w:r>
            <w:r w:rsidR="00402384">
              <w:t>4</w:t>
            </w:r>
          </w:p>
        </w:tc>
        <w:tc>
          <w:tcPr>
            <w:tcW w:w="484" w:type="pct"/>
            <w:shd w:val="clear" w:color="auto" w:fill="auto"/>
          </w:tcPr>
          <w:p w:rsidRPr="00F033B8" w:rsidR="00C45A83" w:rsidP="009C1D16" w:rsidRDefault="00C45A83" w14:paraId="632C5EFE" w14:textId="06F430D7">
            <w:pPr>
              <w:keepNext/>
              <w:jc w:val="right"/>
            </w:pPr>
            <w:r>
              <w:t>2</w:t>
            </w:r>
            <w:r w:rsidR="00402384">
              <w:t>40</w:t>
            </w:r>
          </w:p>
        </w:tc>
      </w:tr>
      <w:tr w:rsidRPr="00F033B8" w:rsidR="00C41808" w:rsidTr="00C41808" w14:paraId="1F51F029" w14:textId="77777777">
        <w:trPr>
          <w:cantSplit/>
          <w:trHeight w:val="20"/>
        </w:trPr>
        <w:tc>
          <w:tcPr>
            <w:tcW w:w="1616" w:type="pct"/>
            <w:shd w:val="clear" w:color="auto" w:fill="auto"/>
          </w:tcPr>
          <w:p w:rsidR="00C45A83" w:rsidP="009C1D16" w:rsidRDefault="00C45A83" w14:paraId="4E1D47F9" w14:textId="77777777">
            <w:pPr>
              <w:keepNext/>
            </w:pPr>
            <w:r w:rsidRPr="00F033B8">
              <w:t>Manufacturer</w:t>
            </w:r>
          </w:p>
          <w:p w:rsidRPr="00F033B8" w:rsidR="00C45A83" w:rsidP="009C1D16" w:rsidRDefault="00C45A83" w14:paraId="545EEF3A" w14:textId="14C2472A">
            <w:pPr>
              <w:keepNext/>
            </w:pPr>
            <w:r>
              <w:t>251.16 Lab Testing Requirements</w:t>
            </w:r>
            <w:r w:rsidR="00DD1591">
              <w:t xml:space="preserve">; </w:t>
            </w:r>
            <w:r w:rsidRPr="00DD1591" w:rsidR="00DD1591">
              <w:t>251.18 - Post Importation Requirements</w:t>
            </w:r>
          </w:p>
        </w:tc>
        <w:tc>
          <w:tcPr>
            <w:tcW w:w="808" w:type="pct"/>
            <w:shd w:val="clear" w:color="auto" w:fill="auto"/>
          </w:tcPr>
          <w:p w:rsidRPr="00F033B8" w:rsidR="00C45A83" w:rsidP="009C1D16" w:rsidRDefault="00C45A83" w14:paraId="590C60C1" w14:textId="77777777">
            <w:pPr>
              <w:keepNext/>
              <w:jc w:val="right"/>
            </w:pPr>
            <w:r>
              <w:t>20</w:t>
            </w:r>
          </w:p>
        </w:tc>
        <w:tc>
          <w:tcPr>
            <w:tcW w:w="808" w:type="pct"/>
            <w:shd w:val="clear" w:color="auto" w:fill="auto"/>
          </w:tcPr>
          <w:p w:rsidRPr="00F033B8" w:rsidR="00C45A83" w:rsidP="009C1D16" w:rsidRDefault="00C45A83" w14:paraId="4AE8C067" w14:textId="77777777">
            <w:pPr>
              <w:keepNext/>
              <w:jc w:val="right"/>
            </w:pPr>
            <w:r w:rsidRPr="00F033B8">
              <w:t>1</w:t>
            </w:r>
          </w:p>
        </w:tc>
        <w:tc>
          <w:tcPr>
            <w:tcW w:w="618" w:type="pct"/>
            <w:shd w:val="clear" w:color="auto" w:fill="auto"/>
          </w:tcPr>
          <w:p w:rsidRPr="00F033B8" w:rsidR="00C45A83" w:rsidP="009C1D16" w:rsidRDefault="00C45A83" w14:paraId="5E2A05A9" w14:textId="77777777">
            <w:pPr>
              <w:keepNext/>
              <w:jc w:val="right"/>
            </w:pPr>
            <w:r>
              <w:t>20</w:t>
            </w:r>
          </w:p>
        </w:tc>
        <w:tc>
          <w:tcPr>
            <w:tcW w:w="665" w:type="pct"/>
            <w:shd w:val="clear" w:color="auto" w:fill="auto"/>
          </w:tcPr>
          <w:p w:rsidRPr="00F033B8" w:rsidR="00C45A83" w:rsidP="009C1D16" w:rsidRDefault="00991AFF" w14:paraId="0D2800DC" w14:textId="65ACC35F">
            <w:pPr>
              <w:keepNext/>
              <w:jc w:val="right"/>
            </w:pPr>
            <w:r>
              <w:t>2</w:t>
            </w:r>
            <w:r w:rsidR="00402384">
              <w:t>4</w:t>
            </w:r>
          </w:p>
        </w:tc>
        <w:tc>
          <w:tcPr>
            <w:tcW w:w="484" w:type="pct"/>
            <w:shd w:val="clear" w:color="auto" w:fill="auto"/>
          </w:tcPr>
          <w:p w:rsidRPr="00F033B8" w:rsidR="00C45A83" w:rsidP="009C1D16" w:rsidRDefault="00FA5BA4" w14:paraId="52B5B0F1" w14:textId="2AC0C1F7">
            <w:pPr>
              <w:keepNext/>
              <w:jc w:val="right"/>
            </w:pPr>
            <w:r>
              <w:t>480</w:t>
            </w:r>
            <w:bookmarkStart w:name="_GoBack" w:id="1"/>
            <w:bookmarkEnd w:id="1"/>
          </w:p>
        </w:tc>
      </w:tr>
      <w:tr w:rsidRPr="00F033B8" w:rsidR="00C41808" w:rsidTr="00C41808" w14:paraId="42D130A3" w14:textId="77777777">
        <w:trPr>
          <w:cantSplit/>
          <w:trHeight w:val="20"/>
        </w:trPr>
        <w:tc>
          <w:tcPr>
            <w:tcW w:w="3232" w:type="pct"/>
            <w:gridSpan w:val="3"/>
            <w:shd w:val="clear" w:color="auto" w:fill="auto"/>
          </w:tcPr>
          <w:p w:rsidRPr="00F033B8" w:rsidR="00C45A83" w:rsidP="009C1D16" w:rsidRDefault="00C45A83" w14:paraId="257709DF" w14:textId="77777777">
            <w:pPr>
              <w:keepNext/>
            </w:pPr>
            <w:r w:rsidRPr="00F033B8">
              <w:t>Total</w:t>
            </w:r>
          </w:p>
        </w:tc>
        <w:tc>
          <w:tcPr>
            <w:tcW w:w="618" w:type="pct"/>
            <w:shd w:val="clear" w:color="auto" w:fill="auto"/>
          </w:tcPr>
          <w:p w:rsidRPr="00F033B8" w:rsidR="00C45A83" w:rsidP="009C1D16" w:rsidRDefault="00C45A83" w14:paraId="62C27398" w14:textId="77777777">
            <w:pPr>
              <w:keepNext/>
              <w:jc w:val="right"/>
            </w:pPr>
          </w:p>
        </w:tc>
        <w:tc>
          <w:tcPr>
            <w:tcW w:w="665" w:type="pct"/>
            <w:shd w:val="clear" w:color="auto" w:fill="auto"/>
          </w:tcPr>
          <w:p w:rsidRPr="00F033B8" w:rsidR="00C45A83" w:rsidP="009C1D16" w:rsidRDefault="00C45A83" w14:paraId="58D98847" w14:textId="77777777">
            <w:pPr>
              <w:keepNext/>
              <w:jc w:val="right"/>
            </w:pPr>
          </w:p>
        </w:tc>
        <w:tc>
          <w:tcPr>
            <w:tcW w:w="484" w:type="pct"/>
            <w:shd w:val="clear" w:color="auto" w:fill="auto"/>
          </w:tcPr>
          <w:p w:rsidRPr="00F033B8" w:rsidR="00C45A83" w:rsidP="009C1D16" w:rsidRDefault="003914E1" w14:paraId="2C4DE183" w14:textId="1C7EE7F3">
            <w:pPr>
              <w:keepNext/>
              <w:jc w:val="right"/>
            </w:pPr>
            <w:r>
              <w:t>4,320</w:t>
            </w:r>
          </w:p>
        </w:tc>
      </w:tr>
    </w:tbl>
    <w:p w:rsidRPr="00C41808" w:rsidR="00C45A83" w:rsidP="00C45A83" w:rsidRDefault="006D4E5E" w14:paraId="6E43B315" w14:textId="75CF4B72">
      <w:pPr>
        <w:rPr>
          <w:sz w:val="20"/>
          <w:szCs w:val="20"/>
        </w:rPr>
      </w:pPr>
      <w:r>
        <w:rPr>
          <w:sz w:val="20"/>
          <w:szCs w:val="20"/>
          <w:vertAlign w:val="superscript"/>
        </w:rPr>
        <w:t xml:space="preserve">        </w:t>
      </w:r>
      <w:r w:rsidRPr="00C41808" w:rsidR="00C45A83">
        <w:rPr>
          <w:sz w:val="20"/>
          <w:szCs w:val="20"/>
          <w:vertAlign w:val="superscript"/>
        </w:rPr>
        <w:t>1</w:t>
      </w:r>
      <w:r w:rsidRPr="00C41808" w:rsidR="00C45A83">
        <w:rPr>
          <w:sz w:val="20"/>
          <w:szCs w:val="20"/>
        </w:rPr>
        <w:t xml:space="preserve"> </w:t>
      </w:r>
      <w:r w:rsidRPr="00C41808" w:rsidR="00B25E36">
        <w:rPr>
          <w:sz w:val="20"/>
          <w:szCs w:val="20"/>
        </w:rPr>
        <w:t>There are no capital costs or operating and maintenance costs associated with this collection of information</w:t>
      </w:r>
      <w:r w:rsidRPr="00C41808" w:rsidR="00C45A83">
        <w:rPr>
          <w:sz w:val="20"/>
          <w:szCs w:val="20"/>
        </w:rPr>
        <w:t>.</w:t>
      </w:r>
    </w:p>
    <w:p w:rsidR="00C41808" w:rsidRDefault="00C41808" w14:paraId="36FC14E2" w14:textId="77777777">
      <w:r>
        <w:br w:type="page"/>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3240"/>
        <w:gridCol w:w="1530"/>
        <w:gridCol w:w="1439"/>
        <w:gridCol w:w="992"/>
        <w:gridCol w:w="1621"/>
        <w:gridCol w:w="826"/>
      </w:tblGrid>
      <w:tr w:rsidRPr="00F033B8" w:rsidR="00C45A83" w:rsidTr="009C1D16" w14:paraId="6C02B0BC" w14:textId="77777777">
        <w:trPr>
          <w:tblHeader/>
        </w:trPr>
        <w:tc>
          <w:tcPr>
            <w:tcW w:w="5000" w:type="pct"/>
            <w:gridSpan w:val="6"/>
            <w:tcBorders>
              <w:top w:val="nil"/>
              <w:left w:val="nil"/>
              <w:right w:val="nil"/>
            </w:tcBorders>
            <w:shd w:val="clear" w:color="auto" w:fill="auto"/>
          </w:tcPr>
          <w:p w:rsidRPr="00F033B8" w:rsidR="00C45A83" w:rsidP="009C1D16" w:rsidRDefault="00C45A83" w14:paraId="363A0C9D" w14:textId="4FBA3E7D">
            <w:pPr>
              <w:keepNext/>
              <w:jc w:val="center"/>
            </w:pPr>
            <w:r w:rsidRPr="00F033B8">
              <w:lastRenderedPageBreak/>
              <w:t>Table 2.--Estimated Annual Recordkeeping Burden</w:t>
            </w:r>
            <w:r w:rsidRPr="00F033B8">
              <w:rPr>
                <w:vertAlign w:val="superscript"/>
              </w:rPr>
              <w:t>1</w:t>
            </w:r>
          </w:p>
        </w:tc>
      </w:tr>
      <w:tr w:rsidRPr="00F033B8" w:rsidR="00C41808" w:rsidTr="00C41808" w14:paraId="5E875E3D" w14:textId="77777777">
        <w:trPr>
          <w:tblHeader/>
        </w:trPr>
        <w:tc>
          <w:tcPr>
            <w:tcW w:w="1679" w:type="pct"/>
            <w:shd w:val="clear" w:color="auto" w:fill="auto"/>
          </w:tcPr>
          <w:p w:rsidRPr="00C41808" w:rsidR="00C45A83" w:rsidP="009C1D16" w:rsidRDefault="00C45A83" w14:paraId="3E430400" w14:textId="77777777">
            <w:pPr>
              <w:keepNext/>
              <w:jc w:val="center"/>
              <w:rPr>
                <w:sz w:val="22"/>
                <w:szCs w:val="22"/>
              </w:rPr>
            </w:pPr>
            <w:r w:rsidRPr="00C41808">
              <w:rPr>
                <w:sz w:val="22"/>
                <w:szCs w:val="22"/>
              </w:rPr>
              <w:t>Type of Information Collection Activity/</w:t>
            </w:r>
            <w:r w:rsidRPr="00C41808">
              <w:rPr>
                <w:sz w:val="22"/>
                <w:szCs w:val="22"/>
              </w:rPr>
              <w:br/>
              <w:t>Respondent</w:t>
            </w:r>
          </w:p>
        </w:tc>
        <w:tc>
          <w:tcPr>
            <w:tcW w:w="793" w:type="pct"/>
            <w:shd w:val="clear" w:color="auto" w:fill="auto"/>
          </w:tcPr>
          <w:p w:rsidRPr="00C41808" w:rsidR="00C45A83" w:rsidP="009C1D16" w:rsidRDefault="00C45A83" w14:paraId="2BFD3677" w14:textId="77777777">
            <w:pPr>
              <w:keepNext/>
              <w:jc w:val="center"/>
              <w:rPr>
                <w:sz w:val="22"/>
                <w:szCs w:val="22"/>
              </w:rPr>
            </w:pPr>
            <w:r w:rsidRPr="00C41808">
              <w:rPr>
                <w:sz w:val="22"/>
                <w:szCs w:val="22"/>
              </w:rPr>
              <w:t>No. of Recordkeepers</w:t>
            </w:r>
          </w:p>
        </w:tc>
        <w:tc>
          <w:tcPr>
            <w:tcW w:w="746" w:type="pct"/>
            <w:shd w:val="clear" w:color="auto" w:fill="auto"/>
          </w:tcPr>
          <w:p w:rsidRPr="00C41808" w:rsidR="00C45A83" w:rsidP="009C1D16" w:rsidRDefault="00C45A83" w14:paraId="2C1F2B21" w14:textId="77777777">
            <w:pPr>
              <w:keepNext/>
              <w:jc w:val="center"/>
              <w:rPr>
                <w:sz w:val="22"/>
                <w:szCs w:val="22"/>
              </w:rPr>
            </w:pPr>
            <w:r w:rsidRPr="00C41808">
              <w:rPr>
                <w:bCs/>
                <w:sz w:val="22"/>
                <w:szCs w:val="22"/>
              </w:rPr>
              <w:t>No. of Records per Recordkeeper</w:t>
            </w:r>
          </w:p>
        </w:tc>
        <w:tc>
          <w:tcPr>
            <w:tcW w:w="514" w:type="pct"/>
            <w:shd w:val="clear" w:color="auto" w:fill="auto"/>
          </w:tcPr>
          <w:p w:rsidRPr="00C41808" w:rsidR="00C45A83" w:rsidP="009C1D16" w:rsidRDefault="00C45A83" w14:paraId="42C657CC" w14:textId="77777777">
            <w:pPr>
              <w:keepNext/>
              <w:jc w:val="center"/>
              <w:rPr>
                <w:sz w:val="22"/>
                <w:szCs w:val="22"/>
              </w:rPr>
            </w:pPr>
            <w:r w:rsidRPr="00C41808">
              <w:rPr>
                <w:sz w:val="22"/>
                <w:szCs w:val="22"/>
              </w:rPr>
              <w:t>Total Annual Records</w:t>
            </w:r>
          </w:p>
        </w:tc>
        <w:tc>
          <w:tcPr>
            <w:tcW w:w="840" w:type="pct"/>
            <w:shd w:val="clear" w:color="auto" w:fill="auto"/>
          </w:tcPr>
          <w:p w:rsidRPr="00C41808" w:rsidR="00C45A83" w:rsidP="009C1D16" w:rsidRDefault="00C45A83" w14:paraId="4E22F989" w14:textId="77777777">
            <w:pPr>
              <w:keepNext/>
              <w:jc w:val="center"/>
              <w:rPr>
                <w:sz w:val="22"/>
                <w:szCs w:val="22"/>
              </w:rPr>
            </w:pPr>
            <w:r w:rsidRPr="00C41808">
              <w:rPr>
                <w:bCs/>
                <w:sz w:val="22"/>
                <w:szCs w:val="22"/>
              </w:rPr>
              <w:t xml:space="preserve">Average Burden per Recordkeeping </w:t>
            </w:r>
          </w:p>
        </w:tc>
        <w:tc>
          <w:tcPr>
            <w:tcW w:w="428" w:type="pct"/>
            <w:shd w:val="clear" w:color="auto" w:fill="auto"/>
          </w:tcPr>
          <w:p w:rsidRPr="00C41808" w:rsidR="00C45A83" w:rsidP="009C1D16" w:rsidRDefault="00C45A83" w14:paraId="2ECBE11A" w14:textId="77777777">
            <w:pPr>
              <w:keepNext/>
              <w:jc w:val="center"/>
              <w:rPr>
                <w:sz w:val="22"/>
                <w:szCs w:val="22"/>
              </w:rPr>
            </w:pPr>
            <w:r w:rsidRPr="00C41808">
              <w:rPr>
                <w:sz w:val="22"/>
                <w:szCs w:val="22"/>
              </w:rPr>
              <w:t>Total Hours</w:t>
            </w:r>
          </w:p>
        </w:tc>
      </w:tr>
      <w:tr w:rsidRPr="00F033B8" w:rsidR="00C41808" w:rsidTr="00C41808" w14:paraId="7C80022B" w14:textId="77777777">
        <w:tc>
          <w:tcPr>
            <w:tcW w:w="1679" w:type="pct"/>
            <w:shd w:val="clear" w:color="auto" w:fill="auto"/>
          </w:tcPr>
          <w:p w:rsidR="00C45A83" w:rsidP="009C1D16" w:rsidRDefault="00C45A83" w14:paraId="0A37220E" w14:textId="77777777">
            <w:pPr>
              <w:keepNext/>
            </w:pPr>
            <w:r w:rsidRPr="00F033B8">
              <w:t>SIP sponsor</w:t>
            </w:r>
          </w:p>
          <w:p w:rsidRPr="00F033B8" w:rsidR="00C45A83" w:rsidP="009C1D16" w:rsidRDefault="00C45A83" w14:paraId="0022290A" w14:textId="77777777">
            <w:pPr>
              <w:keepNext/>
            </w:pPr>
            <w:r>
              <w:t>251</w:t>
            </w:r>
            <w:r w:rsidRPr="00BC4F74">
              <w:t xml:space="preserve">.8 </w:t>
            </w:r>
            <w:r>
              <w:t xml:space="preserve">- </w:t>
            </w:r>
            <w:r w:rsidRPr="00BC4F74">
              <w:t xml:space="preserve">Modification or Extension of </w:t>
            </w:r>
            <w:r>
              <w:t>A</w:t>
            </w:r>
            <w:r w:rsidRPr="00BC4F74">
              <w:t xml:space="preserve">uthorized </w:t>
            </w:r>
            <w:r>
              <w:t>I</w:t>
            </w:r>
            <w:r w:rsidRPr="00BC4F74">
              <w:t xml:space="preserve">mportation </w:t>
            </w:r>
            <w:r>
              <w:t>P</w:t>
            </w:r>
            <w:r w:rsidRPr="00BC4F74">
              <w:t>rograms</w:t>
            </w:r>
            <w:r w:rsidRPr="00BC4F74" w:rsidDel="00B12B1F">
              <w:t xml:space="preserve"> </w:t>
            </w:r>
          </w:p>
        </w:tc>
        <w:tc>
          <w:tcPr>
            <w:tcW w:w="793" w:type="pct"/>
            <w:shd w:val="clear" w:color="auto" w:fill="auto"/>
          </w:tcPr>
          <w:p w:rsidRPr="00F033B8" w:rsidR="00C45A83" w:rsidP="009C1D16" w:rsidRDefault="00C45A83" w14:paraId="398D0FB8" w14:textId="77777777">
            <w:pPr>
              <w:keepNext/>
              <w:jc w:val="right"/>
            </w:pPr>
            <w:r>
              <w:t>10</w:t>
            </w:r>
          </w:p>
        </w:tc>
        <w:tc>
          <w:tcPr>
            <w:tcW w:w="746" w:type="pct"/>
            <w:shd w:val="clear" w:color="auto" w:fill="auto"/>
          </w:tcPr>
          <w:p w:rsidRPr="00F033B8" w:rsidR="00C45A83" w:rsidP="009C1D16" w:rsidRDefault="00C45A83" w14:paraId="73A0CA54" w14:textId="77777777">
            <w:pPr>
              <w:keepNext/>
              <w:jc w:val="right"/>
            </w:pPr>
            <w:r w:rsidRPr="00F033B8">
              <w:t>1</w:t>
            </w:r>
          </w:p>
        </w:tc>
        <w:tc>
          <w:tcPr>
            <w:tcW w:w="514" w:type="pct"/>
            <w:shd w:val="clear" w:color="auto" w:fill="auto"/>
          </w:tcPr>
          <w:p w:rsidRPr="00F033B8" w:rsidR="00C45A83" w:rsidP="009C1D16" w:rsidRDefault="00C45A83" w14:paraId="7A7EE17D" w14:textId="77777777">
            <w:pPr>
              <w:keepNext/>
              <w:jc w:val="right"/>
            </w:pPr>
            <w:r>
              <w:t>10</w:t>
            </w:r>
          </w:p>
        </w:tc>
        <w:tc>
          <w:tcPr>
            <w:tcW w:w="840" w:type="pct"/>
            <w:shd w:val="clear" w:color="auto" w:fill="auto"/>
          </w:tcPr>
          <w:p w:rsidRPr="00F033B8" w:rsidR="00C45A83" w:rsidP="009C1D16" w:rsidRDefault="00C45A83" w14:paraId="709D64AE" w14:textId="77777777">
            <w:pPr>
              <w:keepNext/>
              <w:jc w:val="right"/>
            </w:pPr>
            <w:r w:rsidRPr="00F033B8">
              <w:t>52</w:t>
            </w:r>
          </w:p>
        </w:tc>
        <w:tc>
          <w:tcPr>
            <w:tcW w:w="428" w:type="pct"/>
            <w:shd w:val="clear" w:color="auto" w:fill="auto"/>
          </w:tcPr>
          <w:p w:rsidRPr="00F033B8" w:rsidR="00C45A83" w:rsidP="009C1D16" w:rsidRDefault="00C45A83" w14:paraId="612C532E" w14:textId="77777777">
            <w:pPr>
              <w:keepNext/>
              <w:jc w:val="right"/>
            </w:pPr>
            <w:r>
              <w:t>520</w:t>
            </w:r>
          </w:p>
        </w:tc>
      </w:tr>
      <w:tr w:rsidRPr="00F033B8" w:rsidR="00C41808" w:rsidTr="00C41808" w14:paraId="63195112" w14:textId="77777777">
        <w:tc>
          <w:tcPr>
            <w:tcW w:w="1679" w:type="pct"/>
            <w:shd w:val="clear" w:color="auto" w:fill="auto"/>
          </w:tcPr>
          <w:p w:rsidR="00C45A83" w:rsidP="009C1D16" w:rsidRDefault="00C45A83" w14:paraId="55E0327E" w14:textId="77777777">
            <w:pPr>
              <w:keepNext/>
            </w:pPr>
            <w:r w:rsidRPr="00F033B8">
              <w:t>Importer</w:t>
            </w:r>
          </w:p>
          <w:p w:rsidRPr="00F033B8" w:rsidR="00C45A83" w:rsidP="009C1D16" w:rsidRDefault="00C45A83" w14:paraId="14FDE3D1" w14:textId="77777777">
            <w:pPr>
              <w:keepNext/>
            </w:pPr>
            <w:r>
              <w:t xml:space="preserve">251.14(d) – </w:t>
            </w:r>
            <w:r w:rsidRPr="00726059">
              <w:t>Supply Chain Security Requirements</w:t>
            </w:r>
            <w:r>
              <w:t>; 251</w:t>
            </w:r>
            <w:r w:rsidRPr="00D90286">
              <w:t xml:space="preserve">.17 </w:t>
            </w:r>
            <w:r>
              <w:t xml:space="preserve">- </w:t>
            </w:r>
            <w:r w:rsidRPr="00D90286">
              <w:t>Importation Requirements</w:t>
            </w:r>
            <w:r>
              <w:t>; 251</w:t>
            </w:r>
            <w:r w:rsidRPr="0050033D">
              <w:t>.18 Post Importation Requirements</w:t>
            </w:r>
          </w:p>
        </w:tc>
        <w:tc>
          <w:tcPr>
            <w:tcW w:w="793" w:type="pct"/>
            <w:shd w:val="clear" w:color="auto" w:fill="auto"/>
          </w:tcPr>
          <w:p w:rsidRPr="00F033B8" w:rsidR="00C45A83" w:rsidP="009C1D16" w:rsidRDefault="00C45A83" w14:paraId="6B198CCF" w14:textId="77777777">
            <w:pPr>
              <w:keepNext/>
              <w:jc w:val="right"/>
            </w:pPr>
            <w:r>
              <w:t>10</w:t>
            </w:r>
          </w:p>
        </w:tc>
        <w:tc>
          <w:tcPr>
            <w:tcW w:w="746" w:type="pct"/>
            <w:shd w:val="clear" w:color="auto" w:fill="auto"/>
          </w:tcPr>
          <w:p w:rsidRPr="00F033B8" w:rsidR="00C45A83" w:rsidP="009C1D16" w:rsidRDefault="00C45A83" w14:paraId="4E3BD0C4" w14:textId="77777777">
            <w:pPr>
              <w:keepNext/>
              <w:jc w:val="right"/>
            </w:pPr>
            <w:r w:rsidRPr="00F033B8">
              <w:t>1</w:t>
            </w:r>
          </w:p>
        </w:tc>
        <w:tc>
          <w:tcPr>
            <w:tcW w:w="514" w:type="pct"/>
            <w:shd w:val="clear" w:color="auto" w:fill="auto"/>
          </w:tcPr>
          <w:p w:rsidRPr="00F033B8" w:rsidR="00C45A83" w:rsidP="009C1D16" w:rsidRDefault="00C45A83" w14:paraId="67C4DADF" w14:textId="77777777">
            <w:pPr>
              <w:keepNext/>
              <w:jc w:val="right"/>
            </w:pPr>
            <w:r>
              <w:t>10</w:t>
            </w:r>
          </w:p>
        </w:tc>
        <w:tc>
          <w:tcPr>
            <w:tcW w:w="840" w:type="pct"/>
            <w:shd w:val="clear" w:color="auto" w:fill="auto"/>
          </w:tcPr>
          <w:p w:rsidRPr="00F033B8" w:rsidR="00C45A83" w:rsidP="009C1D16" w:rsidRDefault="00C45A83" w14:paraId="060D9DE4" w14:textId="77777777">
            <w:pPr>
              <w:keepNext/>
              <w:jc w:val="right"/>
            </w:pPr>
            <w:r w:rsidRPr="00F033B8">
              <w:t>24</w:t>
            </w:r>
          </w:p>
        </w:tc>
        <w:tc>
          <w:tcPr>
            <w:tcW w:w="428" w:type="pct"/>
            <w:shd w:val="clear" w:color="auto" w:fill="auto"/>
          </w:tcPr>
          <w:p w:rsidRPr="00F033B8" w:rsidR="00C45A83" w:rsidP="009C1D16" w:rsidRDefault="00C45A83" w14:paraId="536EF77D" w14:textId="77777777">
            <w:pPr>
              <w:keepNext/>
              <w:jc w:val="right"/>
            </w:pPr>
            <w:r>
              <w:t>240</w:t>
            </w:r>
          </w:p>
        </w:tc>
      </w:tr>
      <w:tr w:rsidRPr="00F033B8" w:rsidR="00C41808" w:rsidTr="00C41808" w14:paraId="4EEA1C73" w14:textId="77777777">
        <w:tc>
          <w:tcPr>
            <w:tcW w:w="1679" w:type="pct"/>
            <w:shd w:val="clear" w:color="auto" w:fill="auto"/>
          </w:tcPr>
          <w:p w:rsidR="00C45A83" w:rsidP="009C1D16" w:rsidRDefault="00C45A83" w14:paraId="5D48177F" w14:textId="77777777">
            <w:pPr>
              <w:keepNext/>
            </w:pPr>
            <w:r w:rsidRPr="00F033B8">
              <w:t>Manufacturer</w:t>
            </w:r>
          </w:p>
          <w:p w:rsidRPr="00F033B8" w:rsidR="00C45A83" w:rsidP="009C1D16" w:rsidRDefault="00C45A83" w14:paraId="31BA5BEC" w14:textId="757CA425">
            <w:pPr>
              <w:keepNext/>
            </w:pPr>
            <w:r>
              <w:t xml:space="preserve">251.14(b) - </w:t>
            </w:r>
            <w:r w:rsidRPr="001D1CD4">
              <w:t>Supply Chain Security Requirements</w:t>
            </w:r>
            <w:r w:rsidR="00B066D1">
              <w:t xml:space="preserve">; </w:t>
            </w:r>
            <w:r w:rsidRPr="00B066D1" w:rsidR="00B066D1">
              <w:t>251.18 - Post Importation Requirements</w:t>
            </w:r>
          </w:p>
        </w:tc>
        <w:tc>
          <w:tcPr>
            <w:tcW w:w="793" w:type="pct"/>
            <w:shd w:val="clear" w:color="auto" w:fill="auto"/>
          </w:tcPr>
          <w:p w:rsidRPr="00F033B8" w:rsidR="00C45A83" w:rsidP="009C1D16" w:rsidRDefault="00C45A83" w14:paraId="55653F14" w14:textId="77777777">
            <w:pPr>
              <w:keepNext/>
              <w:jc w:val="right"/>
            </w:pPr>
            <w:r>
              <w:t>20</w:t>
            </w:r>
          </w:p>
        </w:tc>
        <w:tc>
          <w:tcPr>
            <w:tcW w:w="746" w:type="pct"/>
            <w:shd w:val="clear" w:color="auto" w:fill="auto"/>
          </w:tcPr>
          <w:p w:rsidRPr="00F033B8" w:rsidR="00C45A83" w:rsidP="009C1D16" w:rsidRDefault="00C45A83" w14:paraId="2831D402" w14:textId="77777777">
            <w:pPr>
              <w:keepNext/>
              <w:jc w:val="right"/>
            </w:pPr>
            <w:r w:rsidRPr="00F033B8">
              <w:t>1</w:t>
            </w:r>
          </w:p>
        </w:tc>
        <w:tc>
          <w:tcPr>
            <w:tcW w:w="514" w:type="pct"/>
            <w:shd w:val="clear" w:color="auto" w:fill="auto"/>
          </w:tcPr>
          <w:p w:rsidRPr="00F033B8" w:rsidR="00C45A83" w:rsidP="009C1D16" w:rsidRDefault="00C45A83" w14:paraId="1A9F203A" w14:textId="77777777">
            <w:pPr>
              <w:keepNext/>
              <w:jc w:val="right"/>
            </w:pPr>
            <w:r>
              <w:t>20</w:t>
            </w:r>
          </w:p>
        </w:tc>
        <w:tc>
          <w:tcPr>
            <w:tcW w:w="840" w:type="pct"/>
            <w:shd w:val="clear" w:color="auto" w:fill="auto"/>
          </w:tcPr>
          <w:p w:rsidRPr="00F033B8" w:rsidR="00C45A83" w:rsidP="009C1D16" w:rsidRDefault="00B25E36" w14:paraId="65A42031" w14:textId="22028762">
            <w:pPr>
              <w:keepNext/>
              <w:jc w:val="right"/>
            </w:pPr>
            <w:r>
              <w:t>24</w:t>
            </w:r>
          </w:p>
        </w:tc>
        <w:tc>
          <w:tcPr>
            <w:tcW w:w="428" w:type="pct"/>
            <w:shd w:val="clear" w:color="auto" w:fill="auto"/>
          </w:tcPr>
          <w:p w:rsidRPr="00F033B8" w:rsidR="00C45A83" w:rsidP="009C1D16" w:rsidRDefault="00B25E36" w14:paraId="6473F0CF" w14:textId="4A3D9640">
            <w:pPr>
              <w:keepNext/>
              <w:jc w:val="right"/>
            </w:pPr>
            <w:r>
              <w:t>480</w:t>
            </w:r>
          </w:p>
        </w:tc>
      </w:tr>
      <w:tr w:rsidRPr="00F033B8" w:rsidR="00C45A83" w:rsidTr="00C41808" w14:paraId="31640184" w14:textId="77777777">
        <w:tc>
          <w:tcPr>
            <w:tcW w:w="3218" w:type="pct"/>
            <w:gridSpan w:val="3"/>
            <w:shd w:val="clear" w:color="auto" w:fill="auto"/>
          </w:tcPr>
          <w:p w:rsidRPr="00F033B8" w:rsidR="00C45A83" w:rsidP="009C1D16" w:rsidRDefault="00C45A83" w14:paraId="06524D29" w14:textId="77777777">
            <w:pPr>
              <w:keepNext/>
            </w:pPr>
            <w:r w:rsidRPr="00F033B8">
              <w:t>Total</w:t>
            </w:r>
          </w:p>
        </w:tc>
        <w:tc>
          <w:tcPr>
            <w:tcW w:w="514" w:type="pct"/>
            <w:shd w:val="clear" w:color="auto" w:fill="auto"/>
          </w:tcPr>
          <w:p w:rsidRPr="00F033B8" w:rsidR="00C45A83" w:rsidP="009C1D16" w:rsidRDefault="00C45A83" w14:paraId="1E66C828" w14:textId="77777777">
            <w:pPr>
              <w:keepNext/>
              <w:jc w:val="right"/>
            </w:pPr>
          </w:p>
        </w:tc>
        <w:tc>
          <w:tcPr>
            <w:tcW w:w="840" w:type="pct"/>
            <w:shd w:val="clear" w:color="auto" w:fill="auto"/>
          </w:tcPr>
          <w:p w:rsidRPr="00F033B8" w:rsidR="00C45A83" w:rsidP="009C1D16" w:rsidRDefault="00C45A83" w14:paraId="68196B17" w14:textId="77777777">
            <w:pPr>
              <w:keepNext/>
              <w:jc w:val="right"/>
            </w:pPr>
          </w:p>
        </w:tc>
        <w:tc>
          <w:tcPr>
            <w:tcW w:w="428" w:type="pct"/>
            <w:shd w:val="clear" w:color="auto" w:fill="auto"/>
          </w:tcPr>
          <w:p w:rsidRPr="00F033B8" w:rsidR="00C45A83" w:rsidP="009C1D16" w:rsidRDefault="00C45A83" w14:paraId="322E32EA" w14:textId="618A9094">
            <w:pPr>
              <w:keepNext/>
              <w:jc w:val="right"/>
            </w:pPr>
            <w:r>
              <w:t>1</w:t>
            </w:r>
            <w:r w:rsidR="00B25E36">
              <w:t>,24</w:t>
            </w:r>
            <w:r>
              <w:t>0</w:t>
            </w:r>
          </w:p>
        </w:tc>
      </w:tr>
    </w:tbl>
    <w:p w:rsidRPr="00C41808" w:rsidR="00C45A83" w:rsidP="00C45A83" w:rsidRDefault="00C45A83" w14:paraId="649AFBDE" w14:textId="413BE7AA">
      <w:pPr>
        <w:rPr>
          <w:sz w:val="20"/>
          <w:szCs w:val="20"/>
        </w:rPr>
      </w:pPr>
      <w:r w:rsidRPr="00C41808">
        <w:rPr>
          <w:sz w:val="20"/>
          <w:szCs w:val="20"/>
          <w:vertAlign w:val="superscript"/>
        </w:rPr>
        <w:t>1</w:t>
      </w:r>
      <w:r w:rsidRPr="00C41808">
        <w:rPr>
          <w:sz w:val="20"/>
          <w:szCs w:val="20"/>
        </w:rPr>
        <w:t xml:space="preserve"> </w:t>
      </w:r>
      <w:r w:rsidRPr="00C41808" w:rsidR="00B25E36">
        <w:rPr>
          <w:sz w:val="20"/>
          <w:szCs w:val="20"/>
        </w:rPr>
        <w:t>There are no capital costs or operating and maintenance costs associated with this collection of information</w:t>
      </w:r>
      <w:r w:rsidRPr="00C41808">
        <w:rPr>
          <w:sz w:val="20"/>
          <w:szCs w:val="20"/>
        </w:rPr>
        <w:t>.</w:t>
      </w:r>
    </w:p>
    <w:p w:rsidRPr="00F033B8" w:rsidR="008A3124" w:rsidP="00C45A83" w:rsidRDefault="008A3124" w14:paraId="28BD6877" w14:textId="77777777"/>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239"/>
        <w:gridCol w:w="1351"/>
        <w:gridCol w:w="1629"/>
        <w:gridCol w:w="1243"/>
        <w:gridCol w:w="1401"/>
        <w:gridCol w:w="785"/>
      </w:tblGrid>
      <w:tr w:rsidRPr="00F033B8" w:rsidR="00C45A83" w:rsidTr="009C1D16" w14:paraId="68F395A8" w14:textId="77777777">
        <w:trPr>
          <w:cantSplit/>
          <w:tblHeader/>
        </w:trPr>
        <w:tc>
          <w:tcPr>
            <w:tcW w:w="5000" w:type="pct"/>
            <w:gridSpan w:val="6"/>
            <w:tcBorders>
              <w:top w:val="nil"/>
              <w:left w:val="nil"/>
              <w:right w:val="nil"/>
            </w:tcBorders>
          </w:tcPr>
          <w:p w:rsidRPr="00F033B8" w:rsidR="00C45A83" w:rsidP="009C1D16" w:rsidRDefault="00C45A83" w14:paraId="055D5787" w14:textId="77777777">
            <w:pPr>
              <w:keepNext/>
              <w:jc w:val="center"/>
            </w:pPr>
            <w:r w:rsidRPr="00F033B8">
              <w:t>Table 3.--Estimated Annual Third-Party Disclosure Burden</w:t>
            </w:r>
            <w:r w:rsidRPr="00F033B8">
              <w:rPr>
                <w:vertAlign w:val="superscript"/>
              </w:rPr>
              <w:t>1</w:t>
            </w:r>
          </w:p>
        </w:tc>
      </w:tr>
      <w:tr w:rsidRPr="00F033B8" w:rsidR="00C41808" w:rsidTr="00C41808" w14:paraId="2CC5EDEF" w14:textId="77777777">
        <w:trPr>
          <w:cantSplit/>
          <w:tblHeader/>
        </w:trPr>
        <w:tc>
          <w:tcPr>
            <w:tcW w:w="1679" w:type="pct"/>
          </w:tcPr>
          <w:p w:rsidRPr="00C41808" w:rsidR="00C45A83" w:rsidP="009C1D16" w:rsidRDefault="00C45A83" w14:paraId="63C13009" w14:textId="77777777">
            <w:pPr>
              <w:keepNext/>
              <w:jc w:val="center"/>
              <w:rPr>
                <w:sz w:val="22"/>
                <w:szCs w:val="22"/>
              </w:rPr>
            </w:pPr>
            <w:r w:rsidRPr="00C41808">
              <w:rPr>
                <w:sz w:val="22"/>
                <w:szCs w:val="22"/>
              </w:rPr>
              <w:t>Type of Information Collection Activity/</w:t>
            </w:r>
            <w:r w:rsidRPr="00C41808">
              <w:rPr>
                <w:sz w:val="22"/>
                <w:szCs w:val="22"/>
              </w:rPr>
              <w:br/>
              <w:t>Respondent</w:t>
            </w:r>
          </w:p>
        </w:tc>
        <w:tc>
          <w:tcPr>
            <w:tcW w:w="700" w:type="pct"/>
          </w:tcPr>
          <w:p w:rsidRPr="00C41808" w:rsidR="00C45A83" w:rsidP="009C1D16" w:rsidRDefault="00C45A83" w14:paraId="055CB997" w14:textId="77777777">
            <w:pPr>
              <w:keepNext/>
              <w:jc w:val="center"/>
              <w:rPr>
                <w:sz w:val="22"/>
                <w:szCs w:val="22"/>
              </w:rPr>
            </w:pPr>
            <w:r w:rsidRPr="00C41808">
              <w:rPr>
                <w:sz w:val="22"/>
                <w:szCs w:val="22"/>
              </w:rPr>
              <w:t>No. of Respondents</w:t>
            </w:r>
          </w:p>
        </w:tc>
        <w:tc>
          <w:tcPr>
            <w:tcW w:w="844" w:type="pct"/>
          </w:tcPr>
          <w:p w:rsidRPr="00C41808" w:rsidR="00C45A83" w:rsidP="009C1D16" w:rsidRDefault="00C45A83" w14:paraId="5148940C" w14:textId="77777777">
            <w:pPr>
              <w:keepNext/>
              <w:jc w:val="center"/>
              <w:rPr>
                <w:sz w:val="22"/>
                <w:szCs w:val="22"/>
              </w:rPr>
            </w:pPr>
            <w:r w:rsidRPr="00C41808">
              <w:rPr>
                <w:bCs/>
                <w:sz w:val="22"/>
                <w:szCs w:val="22"/>
              </w:rPr>
              <w:t>No. of Disclosures per Respondent</w:t>
            </w:r>
          </w:p>
        </w:tc>
        <w:tc>
          <w:tcPr>
            <w:tcW w:w="644" w:type="pct"/>
          </w:tcPr>
          <w:p w:rsidRPr="00C41808" w:rsidR="00C45A83" w:rsidP="009C1D16" w:rsidRDefault="00C45A83" w14:paraId="6864610E" w14:textId="77777777">
            <w:pPr>
              <w:keepNext/>
              <w:jc w:val="center"/>
              <w:rPr>
                <w:sz w:val="22"/>
                <w:szCs w:val="22"/>
              </w:rPr>
            </w:pPr>
            <w:r w:rsidRPr="00C41808">
              <w:rPr>
                <w:sz w:val="22"/>
                <w:szCs w:val="22"/>
              </w:rPr>
              <w:t>Total Annual Disclosures</w:t>
            </w:r>
          </w:p>
        </w:tc>
        <w:tc>
          <w:tcPr>
            <w:tcW w:w="726" w:type="pct"/>
          </w:tcPr>
          <w:p w:rsidRPr="00C41808" w:rsidR="00C45A83" w:rsidP="009C1D16" w:rsidRDefault="00C45A83" w14:paraId="6DEC47F9" w14:textId="77777777">
            <w:pPr>
              <w:keepNext/>
              <w:jc w:val="center"/>
              <w:rPr>
                <w:sz w:val="22"/>
                <w:szCs w:val="22"/>
              </w:rPr>
            </w:pPr>
            <w:r w:rsidRPr="00C41808">
              <w:rPr>
                <w:bCs/>
                <w:sz w:val="22"/>
                <w:szCs w:val="22"/>
              </w:rPr>
              <w:t>Average Burden per Disclosure</w:t>
            </w:r>
          </w:p>
        </w:tc>
        <w:tc>
          <w:tcPr>
            <w:tcW w:w="407" w:type="pct"/>
          </w:tcPr>
          <w:p w:rsidRPr="00C41808" w:rsidR="00C45A83" w:rsidP="009C1D16" w:rsidRDefault="00C45A83" w14:paraId="1C921F42" w14:textId="77777777">
            <w:pPr>
              <w:keepNext/>
              <w:jc w:val="center"/>
              <w:rPr>
                <w:sz w:val="22"/>
                <w:szCs w:val="22"/>
              </w:rPr>
            </w:pPr>
            <w:r w:rsidRPr="00C41808">
              <w:rPr>
                <w:sz w:val="22"/>
                <w:szCs w:val="22"/>
              </w:rPr>
              <w:t>Total Hours</w:t>
            </w:r>
          </w:p>
        </w:tc>
      </w:tr>
      <w:tr w:rsidRPr="00F033B8" w:rsidR="00C41808" w:rsidTr="00C41808" w14:paraId="20053E99" w14:textId="77777777">
        <w:trPr>
          <w:cantSplit/>
        </w:trPr>
        <w:tc>
          <w:tcPr>
            <w:tcW w:w="1679" w:type="pct"/>
          </w:tcPr>
          <w:p w:rsidR="00C45A83" w:rsidP="009C1D16" w:rsidRDefault="00C45A83" w14:paraId="4045C430" w14:textId="77777777">
            <w:pPr>
              <w:keepNext/>
            </w:pPr>
            <w:r w:rsidRPr="00F033B8">
              <w:t>Manufacturer</w:t>
            </w:r>
          </w:p>
          <w:p w:rsidRPr="00F033B8" w:rsidR="00C45A83" w:rsidP="009C1D16" w:rsidRDefault="0084281B" w14:paraId="4F844186" w14:textId="1DBD32A5">
            <w:pPr>
              <w:keepNext/>
            </w:pPr>
            <w:r w:rsidRPr="0084281B">
              <w:t xml:space="preserve">251.5 </w:t>
            </w:r>
            <w:r>
              <w:t xml:space="preserve">- </w:t>
            </w:r>
            <w:r w:rsidRPr="0084281B">
              <w:t>Pre-Import Request</w:t>
            </w:r>
            <w:r>
              <w:t xml:space="preserve">; </w:t>
            </w:r>
            <w:r w:rsidR="00C45A83">
              <w:t xml:space="preserve">251.14(b) - </w:t>
            </w:r>
            <w:r w:rsidRPr="004C1F41" w:rsidR="00C45A83">
              <w:t>Supply Chain Security Requirements</w:t>
            </w:r>
          </w:p>
        </w:tc>
        <w:tc>
          <w:tcPr>
            <w:tcW w:w="700" w:type="pct"/>
          </w:tcPr>
          <w:p w:rsidRPr="00F033B8" w:rsidR="00C45A83" w:rsidP="009C1D16" w:rsidRDefault="00C45A83" w14:paraId="1FD29496" w14:textId="77777777">
            <w:pPr>
              <w:keepNext/>
              <w:jc w:val="right"/>
            </w:pPr>
            <w:r>
              <w:t>20</w:t>
            </w:r>
          </w:p>
        </w:tc>
        <w:tc>
          <w:tcPr>
            <w:tcW w:w="844" w:type="pct"/>
          </w:tcPr>
          <w:p w:rsidRPr="00F033B8" w:rsidR="00C45A83" w:rsidP="009C1D16" w:rsidRDefault="00C45A83" w14:paraId="6C9B0F56" w14:textId="77777777">
            <w:pPr>
              <w:keepNext/>
              <w:jc w:val="right"/>
            </w:pPr>
            <w:r w:rsidRPr="00F033B8">
              <w:t>1</w:t>
            </w:r>
          </w:p>
        </w:tc>
        <w:tc>
          <w:tcPr>
            <w:tcW w:w="644" w:type="pct"/>
          </w:tcPr>
          <w:p w:rsidRPr="00F033B8" w:rsidR="00C45A83" w:rsidP="009C1D16" w:rsidRDefault="00C45A83" w14:paraId="13A85613" w14:textId="77777777">
            <w:pPr>
              <w:keepNext/>
              <w:jc w:val="right"/>
            </w:pPr>
            <w:r>
              <w:t>20</w:t>
            </w:r>
          </w:p>
        </w:tc>
        <w:tc>
          <w:tcPr>
            <w:tcW w:w="726" w:type="pct"/>
          </w:tcPr>
          <w:p w:rsidRPr="00F033B8" w:rsidR="00C45A83" w:rsidP="009C1D16" w:rsidRDefault="00C45A83" w14:paraId="3BFAC5E2" w14:textId="77777777">
            <w:pPr>
              <w:keepNext/>
              <w:jc w:val="right"/>
            </w:pPr>
            <w:r w:rsidRPr="00F033B8">
              <w:t>24</w:t>
            </w:r>
          </w:p>
        </w:tc>
        <w:tc>
          <w:tcPr>
            <w:tcW w:w="407" w:type="pct"/>
          </w:tcPr>
          <w:p w:rsidRPr="00F033B8" w:rsidR="00C45A83" w:rsidP="009C1D16" w:rsidRDefault="00C45A83" w14:paraId="1E8644AC" w14:textId="77777777">
            <w:pPr>
              <w:keepNext/>
              <w:jc w:val="right"/>
            </w:pPr>
            <w:r>
              <w:t>480</w:t>
            </w:r>
          </w:p>
        </w:tc>
      </w:tr>
    </w:tbl>
    <w:p w:rsidRPr="00C41808" w:rsidR="00C45A83" w:rsidP="00C45A83" w:rsidRDefault="00C45A83" w14:paraId="043F2B55" w14:textId="196C14BF">
      <w:pPr>
        <w:spacing w:after="200" w:line="276" w:lineRule="auto"/>
        <w:rPr>
          <w:sz w:val="20"/>
          <w:szCs w:val="20"/>
        </w:rPr>
      </w:pPr>
      <w:r w:rsidRPr="00C41808">
        <w:rPr>
          <w:sz w:val="20"/>
          <w:szCs w:val="20"/>
          <w:vertAlign w:val="superscript"/>
        </w:rPr>
        <w:t>1</w:t>
      </w:r>
      <w:r w:rsidRPr="00C41808">
        <w:rPr>
          <w:sz w:val="20"/>
          <w:szCs w:val="20"/>
        </w:rPr>
        <w:t xml:space="preserve"> </w:t>
      </w:r>
      <w:r w:rsidRPr="00C41808" w:rsidR="00B25E36">
        <w:rPr>
          <w:sz w:val="20"/>
          <w:szCs w:val="20"/>
        </w:rPr>
        <w:t>There are no capital costs or operating and maintenance costs associated with this collection of information</w:t>
      </w:r>
      <w:r w:rsidRPr="00C41808">
        <w:rPr>
          <w:sz w:val="20"/>
          <w:szCs w:val="20"/>
        </w:rPr>
        <w:t xml:space="preserve">. </w:t>
      </w:r>
    </w:p>
    <w:p w:rsidR="003740BC" w:rsidP="00A93ED9" w:rsidRDefault="003740BC" w14:paraId="066E14C1" w14:textId="77777777">
      <w:pPr>
        <w:pStyle w:val="BodyText2"/>
        <w:ind w:left="360"/>
      </w:pPr>
    </w:p>
    <w:p w:rsidRPr="00FF1178" w:rsidR="00A93ED9" w:rsidP="00FF1178" w:rsidRDefault="00A93ED9" w14:paraId="481EDE6B" w14:textId="77777777">
      <w:pPr>
        <w:pStyle w:val="BodyText2"/>
        <w:ind w:left="360" w:firstLine="450"/>
        <w:rPr>
          <w:i/>
        </w:rPr>
      </w:pPr>
      <w:r w:rsidRPr="00FF1178">
        <w:rPr>
          <w:i/>
        </w:rPr>
        <w:t xml:space="preserve">12b. </w:t>
      </w:r>
      <w:r w:rsidRPr="00FF1178" w:rsidR="00411D11">
        <w:rPr>
          <w:i/>
        </w:rPr>
        <w:t>Annualized Cost Burden Estimate</w:t>
      </w:r>
    </w:p>
    <w:p w:rsidR="00A93ED9" w:rsidP="001D495A" w:rsidRDefault="00A93ED9" w14:paraId="63479273" w14:textId="77777777">
      <w:pPr>
        <w:pStyle w:val="BodyText2"/>
        <w:ind w:left="720"/>
      </w:pPr>
    </w:p>
    <w:p w:rsidR="00D90C7A" w:rsidP="00FF1178" w:rsidRDefault="00C77445" w14:paraId="4BCA2EFA" w14:textId="4FD001C5">
      <w:pPr>
        <w:pStyle w:val="BodyText2"/>
        <w:ind w:left="810"/>
      </w:pPr>
      <w:r>
        <w:t xml:space="preserve">SIP sponsors </w:t>
      </w:r>
      <w:r w:rsidR="00FF1178">
        <w:t xml:space="preserve">may incur </w:t>
      </w:r>
      <w:r>
        <w:t>costs to prepare proposals, implement approved programs, and produce records and program reports.</w:t>
      </w:r>
    </w:p>
    <w:p w:rsidRPr="004C6979" w:rsidR="004C6979" w:rsidP="00EB7538" w:rsidRDefault="00EB7538" w14:paraId="0C23D185" w14:textId="77777777">
      <w:pPr>
        <w:numPr>
          <w:ilvl w:val="0"/>
          <w:numId w:val="1"/>
        </w:numPr>
        <w:spacing w:before="100" w:beforeAutospacing="1" w:after="100" w:afterAutospacing="1"/>
        <w:rPr>
          <w:u w:val="single"/>
        </w:rPr>
      </w:pPr>
      <w:r w:rsidRPr="004C6979">
        <w:rPr>
          <w:u w:val="single"/>
        </w:rPr>
        <w:t>Estimates of Other Total Annual Cost</w:t>
      </w:r>
      <w:r w:rsidR="007C75B1">
        <w:rPr>
          <w:u w:val="single"/>
        </w:rPr>
        <w:t>s</w:t>
      </w:r>
      <w:r w:rsidRPr="004C6979">
        <w:rPr>
          <w:u w:val="single"/>
        </w:rPr>
        <w:t xml:space="preserve"> to Respondents and</w:t>
      </w:r>
      <w:r w:rsidR="00350523">
        <w:rPr>
          <w:u w:val="single"/>
        </w:rPr>
        <w:t>/or Recordkeepers/Capital Costs</w:t>
      </w:r>
    </w:p>
    <w:p w:rsidR="00B46FA5" w:rsidP="003E553E" w:rsidRDefault="00F67924" w14:paraId="7BE452DF" w14:textId="750F447C">
      <w:pPr>
        <w:ind w:left="720"/>
      </w:pPr>
      <w:r>
        <w:t>We believe t</w:t>
      </w:r>
      <w:r w:rsidRPr="00F67924">
        <w:t>here are no capital costs or operating and maintenance costs associated with this collection of information</w:t>
      </w:r>
      <w:r w:rsidR="007F3D70">
        <w:t>.</w:t>
      </w:r>
    </w:p>
    <w:p w:rsidR="009D025F" w:rsidRDefault="009D025F" w14:paraId="7A59A11B" w14:textId="77777777">
      <w:pPr>
        <w:rPr>
          <w:u w:val="single"/>
        </w:rPr>
      </w:pPr>
      <w:r>
        <w:rPr>
          <w:u w:val="single"/>
        </w:rPr>
        <w:br w:type="page"/>
      </w:r>
    </w:p>
    <w:p w:rsidRPr="004C6979" w:rsidR="004C6979" w:rsidP="00EB7538" w:rsidRDefault="00EB7538" w14:paraId="349D2756" w14:textId="30C7C191">
      <w:pPr>
        <w:numPr>
          <w:ilvl w:val="0"/>
          <w:numId w:val="1"/>
        </w:numPr>
        <w:spacing w:before="100" w:beforeAutospacing="1" w:after="100" w:afterAutospacing="1"/>
        <w:rPr>
          <w:u w:val="single"/>
        </w:rPr>
      </w:pPr>
      <w:r w:rsidRPr="004C6979">
        <w:rPr>
          <w:u w:val="single"/>
        </w:rPr>
        <w:lastRenderedPageBreak/>
        <w:t>Annualized Cost to the Federal Government</w:t>
      </w:r>
    </w:p>
    <w:p w:rsidRPr="00265BFD" w:rsidR="00A70426" w:rsidP="00D90C7A" w:rsidRDefault="00FF1178" w14:paraId="0BFAD61A" w14:textId="346A48D0">
      <w:pPr>
        <w:ind w:left="720"/>
      </w:pPr>
      <w:r>
        <w:t>Costs for initial implementation will be absorbed through existing resource allocations.</w:t>
      </w:r>
      <w:r w:rsidR="000E5ADE">
        <w:t xml:space="preserve">  We will </w:t>
      </w:r>
      <w:r w:rsidR="00A25651">
        <w:t xml:space="preserve">consider </w:t>
      </w:r>
      <w:r w:rsidR="000E5ADE">
        <w:t xml:space="preserve">future </w:t>
      </w:r>
      <w:r w:rsidR="00B9415D">
        <w:t>allocations upon review of the information collection.</w:t>
      </w:r>
    </w:p>
    <w:p w:rsidRPr="004C6979" w:rsidR="004C6979" w:rsidP="00EB7538" w:rsidRDefault="00EB7538" w14:paraId="30F45E57" w14:textId="77777777">
      <w:pPr>
        <w:numPr>
          <w:ilvl w:val="0"/>
          <w:numId w:val="1"/>
        </w:numPr>
        <w:spacing w:before="100" w:beforeAutospacing="1" w:after="100" w:afterAutospacing="1"/>
        <w:rPr>
          <w:u w:val="single"/>
        </w:rPr>
      </w:pPr>
      <w:r w:rsidRPr="004C6979">
        <w:rPr>
          <w:u w:val="single"/>
        </w:rPr>
        <w:t>Explanation for Program Changes or Adjustments</w:t>
      </w:r>
    </w:p>
    <w:p w:rsidR="009F66B5" w:rsidP="00375E2C" w:rsidRDefault="00280CAF" w14:paraId="29D4009B" w14:textId="4C36E296">
      <w:pPr>
        <w:ind w:left="720"/>
      </w:pPr>
      <w:r>
        <w:t xml:space="preserve">This is a new </w:t>
      </w:r>
      <w:r w:rsidR="00FF1178">
        <w:t xml:space="preserve">information </w:t>
      </w:r>
      <w:r>
        <w:t>collection.</w:t>
      </w:r>
    </w:p>
    <w:p w:rsidRPr="00EE496C" w:rsidR="004C6979" w:rsidP="00EB7538" w:rsidRDefault="00EB7538" w14:paraId="4527FB59" w14:textId="77777777">
      <w:pPr>
        <w:numPr>
          <w:ilvl w:val="0"/>
          <w:numId w:val="1"/>
        </w:numPr>
        <w:spacing w:before="100" w:beforeAutospacing="1" w:after="100" w:afterAutospacing="1"/>
        <w:rPr>
          <w:u w:val="single"/>
        </w:rPr>
      </w:pPr>
      <w:r w:rsidRPr="00EE496C">
        <w:rPr>
          <w:u w:val="single"/>
        </w:rPr>
        <w:t>Plans for Tabulation and Publication and Project Time Schedule</w:t>
      </w:r>
    </w:p>
    <w:p w:rsidRPr="00EE496C" w:rsidR="003C4EBB" w:rsidP="00EE496C" w:rsidRDefault="00375E2C" w14:paraId="29E25249" w14:textId="21E7EB5B">
      <w:pPr>
        <w:ind w:left="720"/>
      </w:pPr>
      <w:r w:rsidRPr="00EE496C">
        <w:t>The agency has no plans for publication of information from this information collection</w:t>
      </w:r>
      <w:r w:rsidRPr="00EE496C" w:rsidR="00754497">
        <w:t>.</w:t>
      </w:r>
    </w:p>
    <w:p w:rsidRPr="00EE496C" w:rsidR="004C6979" w:rsidP="00EB7538" w:rsidRDefault="00EB7538" w14:paraId="6A7B82E6" w14:textId="77777777">
      <w:pPr>
        <w:numPr>
          <w:ilvl w:val="0"/>
          <w:numId w:val="1"/>
        </w:numPr>
        <w:spacing w:before="100" w:beforeAutospacing="1" w:after="100" w:afterAutospacing="1"/>
        <w:rPr>
          <w:u w:val="single"/>
        </w:rPr>
      </w:pPr>
      <w:r w:rsidRPr="00EE496C">
        <w:rPr>
          <w:u w:val="single"/>
        </w:rPr>
        <w:t>Reason(s) Display of OMB Expiration Date is Inappropriate</w:t>
      </w:r>
    </w:p>
    <w:p w:rsidRPr="00EE496C" w:rsidR="00B41789" w:rsidP="00D730BF" w:rsidRDefault="00B41789" w14:paraId="1F599D3B" w14:textId="77777777">
      <w:pPr>
        <w:ind w:left="720"/>
      </w:pPr>
      <w:r w:rsidRPr="00EE496C">
        <w:t>FDA will display the OMB expiration date as required by 5 CFR 1320.5.</w:t>
      </w:r>
    </w:p>
    <w:p w:rsidRPr="00EE496C" w:rsidR="00EB7538" w:rsidP="00EB7538" w:rsidRDefault="00EB7538" w14:paraId="4BF19495" w14:textId="77777777">
      <w:pPr>
        <w:numPr>
          <w:ilvl w:val="0"/>
          <w:numId w:val="1"/>
        </w:numPr>
        <w:spacing w:before="100" w:beforeAutospacing="1" w:after="100" w:afterAutospacing="1"/>
        <w:rPr>
          <w:u w:val="single"/>
        </w:rPr>
      </w:pPr>
      <w:r w:rsidRPr="00EE496C">
        <w:rPr>
          <w:u w:val="single"/>
        </w:rPr>
        <w:t>Exceptions to Certification for Paperwork Reduction Act Submissions</w:t>
      </w:r>
    </w:p>
    <w:p w:rsidRPr="00A75067" w:rsidR="002746DB" w:rsidP="00A75067" w:rsidRDefault="005567F1" w14:paraId="0DDE0228" w14:textId="77777777">
      <w:pPr>
        <w:spacing w:before="100" w:beforeAutospacing="1" w:after="100" w:afterAutospacing="1"/>
        <w:ind w:left="720"/>
      </w:pPr>
      <w:r w:rsidRPr="00EE496C">
        <w:t>T</w:t>
      </w:r>
      <w:r w:rsidRPr="00EE496C" w:rsidR="00754497">
        <w:t>here are no exceptions to the certification.</w:t>
      </w:r>
    </w:p>
    <w:sectPr w:rsidRPr="00A75067" w:rsidR="002746DB" w:rsidSect="00C41808">
      <w:footerReference w:type="even" r:id="rId8"/>
      <w:footerReference w:type="default" r:id="rId9"/>
      <w:pgSz w:w="12240" w:h="15840" w:code="1"/>
      <w:pgMar w:top="1440" w:right="1440" w:bottom="144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BE76A0" w14:textId="77777777" w:rsidR="001961B9" w:rsidRDefault="001961B9">
      <w:r>
        <w:separator/>
      </w:r>
    </w:p>
  </w:endnote>
  <w:endnote w:type="continuationSeparator" w:id="0">
    <w:p w14:paraId="44E15834" w14:textId="77777777" w:rsidR="001961B9" w:rsidRDefault="001961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32655D" w14:textId="77777777" w:rsidR="00E63DE5" w:rsidRDefault="00E63DE5" w:rsidP="003F3D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46790BB" w14:textId="77777777" w:rsidR="00E63DE5" w:rsidRDefault="00E63D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1FFA3E" w14:textId="77777777" w:rsidR="00E63DE5" w:rsidRDefault="00E63DE5" w:rsidP="003F3D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97FFD">
      <w:rPr>
        <w:rStyle w:val="PageNumber"/>
        <w:noProof/>
      </w:rPr>
      <w:t>7</w:t>
    </w:r>
    <w:r>
      <w:rPr>
        <w:rStyle w:val="PageNumber"/>
      </w:rPr>
      <w:fldChar w:fldCharType="end"/>
    </w:r>
  </w:p>
  <w:p w14:paraId="72D00C8A" w14:textId="77777777" w:rsidR="00E63DE5" w:rsidRDefault="00E63D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6214C5" w14:textId="77777777" w:rsidR="001961B9" w:rsidRDefault="001961B9">
      <w:r>
        <w:separator/>
      </w:r>
    </w:p>
  </w:footnote>
  <w:footnote w:type="continuationSeparator" w:id="0">
    <w:p w14:paraId="4A0D4234" w14:textId="77777777" w:rsidR="001961B9" w:rsidRDefault="001961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5F4DB8"/>
    <w:multiLevelType w:val="hybridMultilevel"/>
    <w:tmpl w:val="7EBEB4E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 w15:restartNumberingAfterBreak="0">
    <w:nsid w:val="08926DD0"/>
    <w:multiLevelType w:val="hybridMultilevel"/>
    <w:tmpl w:val="473049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B3A6ACE"/>
    <w:multiLevelType w:val="hybridMultilevel"/>
    <w:tmpl w:val="44EA2790"/>
    <w:lvl w:ilvl="0" w:tplc="17F0BFD2">
      <w:start w:val="1"/>
      <w:numFmt w:val="bullet"/>
      <w:lvlText w:val=""/>
      <w:lvlJc w:val="left"/>
      <w:pPr>
        <w:tabs>
          <w:tab w:val="num" w:pos="1440"/>
        </w:tabs>
        <w:ind w:left="1440" w:hanging="360"/>
      </w:pPr>
      <w:rPr>
        <w:rFonts w:ascii="Symbol" w:hAnsi="Symbol" w:hint="default"/>
        <w:color w:val="auto"/>
        <w:sz w:val="20"/>
        <w:szCs w:val="20"/>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14B91F04"/>
    <w:multiLevelType w:val="hybridMultilevel"/>
    <w:tmpl w:val="0764FE0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1E2515D4"/>
    <w:multiLevelType w:val="hybridMultilevel"/>
    <w:tmpl w:val="3A8806B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29CA6BBF"/>
    <w:multiLevelType w:val="hybridMultilevel"/>
    <w:tmpl w:val="B4AEF0E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2A3F6F8E"/>
    <w:multiLevelType w:val="hybridMultilevel"/>
    <w:tmpl w:val="F3F0DD98"/>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8" w15:restartNumberingAfterBreak="0">
    <w:nsid w:val="2E385D16"/>
    <w:multiLevelType w:val="hybridMultilevel"/>
    <w:tmpl w:val="06B4897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32133949"/>
    <w:multiLevelType w:val="hybridMultilevel"/>
    <w:tmpl w:val="EE1E777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329D65D6"/>
    <w:multiLevelType w:val="hybridMultilevel"/>
    <w:tmpl w:val="35AA028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360E004A"/>
    <w:multiLevelType w:val="hybridMultilevel"/>
    <w:tmpl w:val="78E44F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99D09AB"/>
    <w:multiLevelType w:val="multilevel"/>
    <w:tmpl w:val="247863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A727494"/>
    <w:multiLevelType w:val="hybridMultilevel"/>
    <w:tmpl w:val="33C2E12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3D9D7543"/>
    <w:multiLevelType w:val="hybridMultilevel"/>
    <w:tmpl w:val="C9F689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1AB03BC"/>
    <w:multiLevelType w:val="hybridMultilevel"/>
    <w:tmpl w:val="CB806EC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434F798B"/>
    <w:multiLevelType w:val="hybridMultilevel"/>
    <w:tmpl w:val="4D5AF6F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45912058"/>
    <w:multiLevelType w:val="hybridMultilevel"/>
    <w:tmpl w:val="063EBFB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4A97385B"/>
    <w:multiLevelType w:val="multilevel"/>
    <w:tmpl w:val="6870F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B0E2065"/>
    <w:multiLevelType w:val="hybridMultilevel"/>
    <w:tmpl w:val="FDFAF3D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0" w15:restartNumberingAfterBreak="0">
    <w:nsid w:val="4D422FFD"/>
    <w:multiLevelType w:val="hybridMultilevel"/>
    <w:tmpl w:val="69FEA0E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4D5C0C3F"/>
    <w:multiLevelType w:val="hybridMultilevel"/>
    <w:tmpl w:val="C9A0A82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50272BC2"/>
    <w:multiLevelType w:val="hybridMultilevel"/>
    <w:tmpl w:val="9B1C2E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503A1327"/>
    <w:multiLevelType w:val="hybridMultilevel"/>
    <w:tmpl w:val="D930ACD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4" w15:restartNumberingAfterBreak="0">
    <w:nsid w:val="50A4594D"/>
    <w:multiLevelType w:val="hybridMultilevel"/>
    <w:tmpl w:val="A8BA880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52B10A5B"/>
    <w:multiLevelType w:val="hybridMultilevel"/>
    <w:tmpl w:val="F4C6EC1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545632BB"/>
    <w:multiLevelType w:val="hybridMultilevel"/>
    <w:tmpl w:val="006C6F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5ADB58CB"/>
    <w:multiLevelType w:val="hybridMultilevel"/>
    <w:tmpl w:val="A57AC9B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5B9A63D6"/>
    <w:multiLevelType w:val="hybridMultilevel"/>
    <w:tmpl w:val="707CAA4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9" w15:restartNumberingAfterBreak="0">
    <w:nsid w:val="5D3632B9"/>
    <w:multiLevelType w:val="hybridMultilevel"/>
    <w:tmpl w:val="4552EA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65012B74"/>
    <w:multiLevelType w:val="hybridMultilevel"/>
    <w:tmpl w:val="56DCAA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658B58D1"/>
    <w:multiLevelType w:val="hybridMultilevel"/>
    <w:tmpl w:val="4204126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2" w15:restartNumberingAfterBreak="0">
    <w:nsid w:val="68DA5096"/>
    <w:multiLevelType w:val="hybridMultilevel"/>
    <w:tmpl w:val="AC744B66"/>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33" w15:restartNumberingAfterBreak="0">
    <w:nsid w:val="6E0202CD"/>
    <w:multiLevelType w:val="hybridMultilevel"/>
    <w:tmpl w:val="47528F5C"/>
    <w:lvl w:ilvl="0" w:tplc="9F3E7E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2FB651B"/>
    <w:multiLevelType w:val="hybridMultilevel"/>
    <w:tmpl w:val="0566598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5" w15:restartNumberingAfterBreak="0">
    <w:nsid w:val="73346864"/>
    <w:multiLevelType w:val="hybridMultilevel"/>
    <w:tmpl w:val="06C6322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6" w15:restartNumberingAfterBreak="0">
    <w:nsid w:val="739F61EA"/>
    <w:multiLevelType w:val="hybridMultilevel"/>
    <w:tmpl w:val="4344FD8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7" w15:restartNumberingAfterBreak="0">
    <w:nsid w:val="748555CD"/>
    <w:multiLevelType w:val="hybridMultilevel"/>
    <w:tmpl w:val="D14ABF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77567685"/>
    <w:multiLevelType w:val="hybridMultilevel"/>
    <w:tmpl w:val="1FEE564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9" w15:restartNumberingAfterBreak="0">
    <w:nsid w:val="77DC103B"/>
    <w:multiLevelType w:val="hybridMultilevel"/>
    <w:tmpl w:val="AB600B5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0" w15:restartNumberingAfterBreak="0">
    <w:nsid w:val="7FE538FE"/>
    <w:multiLevelType w:val="hybridMultilevel"/>
    <w:tmpl w:val="30D832A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12"/>
  </w:num>
  <w:num w:numId="2">
    <w:abstractNumId w:val="18"/>
  </w:num>
  <w:num w:numId="3">
    <w:abstractNumId w:val="0"/>
    <w:lvlOverride w:ilvl="0">
      <w:lvl w:ilvl="0">
        <w:numFmt w:val="bullet"/>
        <w:lvlText w:val=""/>
        <w:legacy w:legacy="1" w:legacySpace="0" w:legacyIndent="360"/>
        <w:lvlJc w:val="left"/>
        <w:pPr>
          <w:ind w:left="720" w:hanging="360"/>
        </w:pPr>
        <w:rPr>
          <w:rFonts w:ascii="Symbol" w:hAnsi="Symbol" w:hint="default"/>
        </w:rPr>
      </w:lvl>
    </w:lvlOverride>
  </w:num>
  <w:num w:numId="4">
    <w:abstractNumId w:val="24"/>
  </w:num>
  <w:num w:numId="5">
    <w:abstractNumId w:val="8"/>
  </w:num>
  <w:num w:numId="6">
    <w:abstractNumId w:val="27"/>
  </w:num>
  <w:num w:numId="7">
    <w:abstractNumId w:val="35"/>
  </w:num>
  <w:num w:numId="8">
    <w:abstractNumId w:val="5"/>
  </w:num>
  <w:num w:numId="9">
    <w:abstractNumId w:val="28"/>
  </w:num>
  <w:num w:numId="10">
    <w:abstractNumId w:val="23"/>
  </w:num>
  <w:num w:numId="11">
    <w:abstractNumId w:val="10"/>
  </w:num>
  <w:num w:numId="12">
    <w:abstractNumId w:val="39"/>
  </w:num>
  <w:num w:numId="13">
    <w:abstractNumId w:val="21"/>
  </w:num>
  <w:num w:numId="14">
    <w:abstractNumId w:val="9"/>
  </w:num>
  <w:num w:numId="15">
    <w:abstractNumId w:val="17"/>
  </w:num>
  <w:num w:numId="16">
    <w:abstractNumId w:val="16"/>
  </w:num>
  <w:num w:numId="17">
    <w:abstractNumId w:val="34"/>
  </w:num>
  <w:num w:numId="18">
    <w:abstractNumId w:val="38"/>
  </w:num>
  <w:num w:numId="19">
    <w:abstractNumId w:val="36"/>
  </w:num>
  <w:num w:numId="20">
    <w:abstractNumId w:val="20"/>
  </w:num>
  <w:num w:numId="21">
    <w:abstractNumId w:val="15"/>
  </w:num>
  <w:num w:numId="22">
    <w:abstractNumId w:val="4"/>
  </w:num>
  <w:num w:numId="23">
    <w:abstractNumId w:val="31"/>
  </w:num>
  <w:num w:numId="24">
    <w:abstractNumId w:val="25"/>
  </w:num>
  <w:num w:numId="25">
    <w:abstractNumId w:val="13"/>
  </w:num>
  <w:num w:numId="26">
    <w:abstractNumId w:val="7"/>
  </w:num>
  <w:num w:numId="27">
    <w:abstractNumId w:val="40"/>
  </w:num>
  <w:num w:numId="28">
    <w:abstractNumId w:val="32"/>
  </w:num>
  <w:num w:numId="29">
    <w:abstractNumId w:val="6"/>
  </w:num>
  <w:num w:numId="30">
    <w:abstractNumId w:val="19"/>
  </w:num>
  <w:num w:numId="31">
    <w:abstractNumId w:val="3"/>
  </w:num>
  <w:num w:numId="32">
    <w:abstractNumId w:val="1"/>
  </w:num>
  <w:num w:numId="33">
    <w:abstractNumId w:val="22"/>
  </w:num>
  <w:num w:numId="34">
    <w:abstractNumId w:val="37"/>
  </w:num>
  <w:num w:numId="35">
    <w:abstractNumId w:val="14"/>
  </w:num>
  <w:num w:numId="36">
    <w:abstractNumId w:val="29"/>
  </w:num>
  <w:num w:numId="37">
    <w:abstractNumId w:val="11"/>
  </w:num>
  <w:num w:numId="38">
    <w:abstractNumId w:val="26"/>
  </w:num>
  <w:num w:numId="39">
    <w:abstractNumId w:val="30"/>
  </w:num>
  <w:num w:numId="40">
    <w:abstractNumId w:val="2"/>
  </w:num>
  <w:num w:numId="41">
    <w:abstractNumId w:val="3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538"/>
    <w:rsid w:val="00031A2C"/>
    <w:rsid w:val="000360B9"/>
    <w:rsid w:val="00042868"/>
    <w:rsid w:val="000433A4"/>
    <w:rsid w:val="00043C7F"/>
    <w:rsid w:val="00050EA8"/>
    <w:rsid w:val="00053B79"/>
    <w:rsid w:val="00055E22"/>
    <w:rsid w:val="000625B2"/>
    <w:rsid w:val="0006570F"/>
    <w:rsid w:val="00073F03"/>
    <w:rsid w:val="00075DE8"/>
    <w:rsid w:val="00093B84"/>
    <w:rsid w:val="000A69DB"/>
    <w:rsid w:val="000B4A4C"/>
    <w:rsid w:val="000C560C"/>
    <w:rsid w:val="000D48FD"/>
    <w:rsid w:val="000E1C64"/>
    <w:rsid w:val="000E5ADE"/>
    <w:rsid w:val="000F7119"/>
    <w:rsid w:val="00100739"/>
    <w:rsid w:val="00107885"/>
    <w:rsid w:val="00114FC4"/>
    <w:rsid w:val="0012329C"/>
    <w:rsid w:val="00134992"/>
    <w:rsid w:val="00134FA7"/>
    <w:rsid w:val="00137950"/>
    <w:rsid w:val="00142C08"/>
    <w:rsid w:val="00152143"/>
    <w:rsid w:val="00152F29"/>
    <w:rsid w:val="00156248"/>
    <w:rsid w:val="001625FA"/>
    <w:rsid w:val="0017161D"/>
    <w:rsid w:val="00171B86"/>
    <w:rsid w:val="00174D54"/>
    <w:rsid w:val="00176F16"/>
    <w:rsid w:val="00185270"/>
    <w:rsid w:val="001869BF"/>
    <w:rsid w:val="001961B9"/>
    <w:rsid w:val="001A3B5A"/>
    <w:rsid w:val="001B1EF0"/>
    <w:rsid w:val="001B7CE9"/>
    <w:rsid w:val="001D2D8E"/>
    <w:rsid w:val="001D495A"/>
    <w:rsid w:val="001D6E2B"/>
    <w:rsid w:val="001E244C"/>
    <w:rsid w:val="001F1437"/>
    <w:rsid w:val="00211E04"/>
    <w:rsid w:val="002128B9"/>
    <w:rsid w:val="002259EF"/>
    <w:rsid w:val="00241096"/>
    <w:rsid w:val="00242ED1"/>
    <w:rsid w:val="002444BB"/>
    <w:rsid w:val="00246BB7"/>
    <w:rsid w:val="00254069"/>
    <w:rsid w:val="002547C7"/>
    <w:rsid w:val="00257823"/>
    <w:rsid w:val="00265BFD"/>
    <w:rsid w:val="00270748"/>
    <w:rsid w:val="002734E5"/>
    <w:rsid w:val="002741AD"/>
    <w:rsid w:val="002746DB"/>
    <w:rsid w:val="00280CAF"/>
    <w:rsid w:val="00282F09"/>
    <w:rsid w:val="00291810"/>
    <w:rsid w:val="00293830"/>
    <w:rsid w:val="00294D62"/>
    <w:rsid w:val="00297532"/>
    <w:rsid w:val="00297FFD"/>
    <w:rsid w:val="002A1210"/>
    <w:rsid w:val="002B2074"/>
    <w:rsid w:val="002C0D7E"/>
    <w:rsid w:val="002C1AED"/>
    <w:rsid w:val="002C2BFA"/>
    <w:rsid w:val="002D14D8"/>
    <w:rsid w:val="002D4799"/>
    <w:rsid w:val="002D5C52"/>
    <w:rsid w:val="002E3FA4"/>
    <w:rsid w:val="002E53A5"/>
    <w:rsid w:val="002F61A9"/>
    <w:rsid w:val="003113FF"/>
    <w:rsid w:val="00312B2A"/>
    <w:rsid w:val="0032224F"/>
    <w:rsid w:val="0032277F"/>
    <w:rsid w:val="00332763"/>
    <w:rsid w:val="00334E5F"/>
    <w:rsid w:val="00337A30"/>
    <w:rsid w:val="00350523"/>
    <w:rsid w:val="0035189D"/>
    <w:rsid w:val="00361336"/>
    <w:rsid w:val="003740BC"/>
    <w:rsid w:val="00375E2C"/>
    <w:rsid w:val="003801A3"/>
    <w:rsid w:val="00382F3C"/>
    <w:rsid w:val="00383D90"/>
    <w:rsid w:val="003914E1"/>
    <w:rsid w:val="003A1A27"/>
    <w:rsid w:val="003A50CC"/>
    <w:rsid w:val="003B42B3"/>
    <w:rsid w:val="003B6384"/>
    <w:rsid w:val="003C4EBB"/>
    <w:rsid w:val="003D1531"/>
    <w:rsid w:val="003D76F8"/>
    <w:rsid w:val="003E4EC6"/>
    <w:rsid w:val="003E527E"/>
    <w:rsid w:val="003E553E"/>
    <w:rsid w:val="003E7078"/>
    <w:rsid w:val="003F17F9"/>
    <w:rsid w:val="003F3DF5"/>
    <w:rsid w:val="00402384"/>
    <w:rsid w:val="00411D11"/>
    <w:rsid w:val="00412A24"/>
    <w:rsid w:val="00415E23"/>
    <w:rsid w:val="0041670D"/>
    <w:rsid w:val="00421EF9"/>
    <w:rsid w:val="00424061"/>
    <w:rsid w:val="00442A3C"/>
    <w:rsid w:val="00443969"/>
    <w:rsid w:val="00447D74"/>
    <w:rsid w:val="00450A74"/>
    <w:rsid w:val="004546BF"/>
    <w:rsid w:val="00465350"/>
    <w:rsid w:val="00465A75"/>
    <w:rsid w:val="00474593"/>
    <w:rsid w:val="004846BF"/>
    <w:rsid w:val="004B1A30"/>
    <w:rsid w:val="004C50D1"/>
    <w:rsid w:val="004C5B1A"/>
    <w:rsid w:val="004C6979"/>
    <w:rsid w:val="004D13A2"/>
    <w:rsid w:val="004D20F1"/>
    <w:rsid w:val="004D3E7A"/>
    <w:rsid w:val="004F594B"/>
    <w:rsid w:val="004F61E1"/>
    <w:rsid w:val="00500583"/>
    <w:rsid w:val="00512DD2"/>
    <w:rsid w:val="00516F6A"/>
    <w:rsid w:val="00523EDC"/>
    <w:rsid w:val="00544138"/>
    <w:rsid w:val="00547A16"/>
    <w:rsid w:val="00552E46"/>
    <w:rsid w:val="005567F1"/>
    <w:rsid w:val="00563542"/>
    <w:rsid w:val="00576252"/>
    <w:rsid w:val="00584583"/>
    <w:rsid w:val="00590EEB"/>
    <w:rsid w:val="005A0EFF"/>
    <w:rsid w:val="005A4099"/>
    <w:rsid w:val="005C2AC5"/>
    <w:rsid w:val="005C3192"/>
    <w:rsid w:val="005C38B2"/>
    <w:rsid w:val="005C5029"/>
    <w:rsid w:val="005C55C2"/>
    <w:rsid w:val="005C745C"/>
    <w:rsid w:val="005D4DF5"/>
    <w:rsid w:val="005E75CC"/>
    <w:rsid w:val="005E7D4A"/>
    <w:rsid w:val="00611D6B"/>
    <w:rsid w:val="006140D7"/>
    <w:rsid w:val="00617A03"/>
    <w:rsid w:val="00626735"/>
    <w:rsid w:val="00630050"/>
    <w:rsid w:val="006326EC"/>
    <w:rsid w:val="00641F22"/>
    <w:rsid w:val="00653A4F"/>
    <w:rsid w:val="006571D3"/>
    <w:rsid w:val="00662559"/>
    <w:rsid w:val="00662920"/>
    <w:rsid w:val="00663A42"/>
    <w:rsid w:val="006641C7"/>
    <w:rsid w:val="00670BE2"/>
    <w:rsid w:val="00676511"/>
    <w:rsid w:val="00685169"/>
    <w:rsid w:val="00687905"/>
    <w:rsid w:val="006941A1"/>
    <w:rsid w:val="006954D5"/>
    <w:rsid w:val="006A26C6"/>
    <w:rsid w:val="006A7D5D"/>
    <w:rsid w:val="006B6552"/>
    <w:rsid w:val="006C79FD"/>
    <w:rsid w:val="006D2213"/>
    <w:rsid w:val="006D4E5E"/>
    <w:rsid w:val="006D5D57"/>
    <w:rsid w:val="006E3D7D"/>
    <w:rsid w:val="006F4D6D"/>
    <w:rsid w:val="006F7B42"/>
    <w:rsid w:val="00705086"/>
    <w:rsid w:val="00705E41"/>
    <w:rsid w:val="0071211F"/>
    <w:rsid w:val="00712C4A"/>
    <w:rsid w:val="007269C5"/>
    <w:rsid w:val="0072708D"/>
    <w:rsid w:val="00751E66"/>
    <w:rsid w:val="00754497"/>
    <w:rsid w:val="00787ACD"/>
    <w:rsid w:val="00787C39"/>
    <w:rsid w:val="00795DF3"/>
    <w:rsid w:val="007A373C"/>
    <w:rsid w:val="007A4C5F"/>
    <w:rsid w:val="007B225C"/>
    <w:rsid w:val="007C75B1"/>
    <w:rsid w:val="007D3DFC"/>
    <w:rsid w:val="007E2F07"/>
    <w:rsid w:val="007F3D70"/>
    <w:rsid w:val="00802F66"/>
    <w:rsid w:val="0080776D"/>
    <w:rsid w:val="00810145"/>
    <w:rsid w:val="008108FA"/>
    <w:rsid w:val="00810FF1"/>
    <w:rsid w:val="00822336"/>
    <w:rsid w:val="00823DFA"/>
    <w:rsid w:val="00826E99"/>
    <w:rsid w:val="0084281B"/>
    <w:rsid w:val="00843752"/>
    <w:rsid w:val="0084479F"/>
    <w:rsid w:val="00851CDF"/>
    <w:rsid w:val="0085725E"/>
    <w:rsid w:val="00876DAA"/>
    <w:rsid w:val="00884869"/>
    <w:rsid w:val="00885B09"/>
    <w:rsid w:val="00891818"/>
    <w:rsid w:val="00892400"/>
    <w:rsid w:val="008A209D"/>
    <w:rsid w:val="008A22BB"/>
    <w:rsid w:val="008A3124"/>
    <w:rsid w:val="008A6DEE"/>
    <w:rsid w:val="008B0E29"/>
    <w:rsid w:val="008B0EFA"/>
    <w:rsid w:val="008B30AB"/>
    <w:rsid w:val="008C1A7B"/>
    <w:rsid w:val="008C476A"/>
    <w:rsid w:val="008D1AFD"/>
    <w:rsid w:val="008E5037"/>
    <w:rsid w:val="008E5F55"/>
    <w:rsid w:val="008F4B67"/>
    <w:rsid w:val="009027EA"/>
    <w:rsid w:val="00905DEF"/>
    <w:rsid w:val="00913B43"/>
    <w:rsid w:val="009163C1"/>
    <w:rsid w:val="00924BEE"/>
    <w:rsid w:val="0092643C"/>
    <w:rsid w:val="00930203"/>
    <w:rsid w:val="009311D2"/>
    <w:rsid w:val="009311E6"/>
    <w:rsid w:val="00931275"/>
    <w:rsid w:val="00936AC7"/>
    <w:rsid w:val="00953B64"/>
    <w:rsid w:val="009649FC"/>
    <w:rsid w:val="00970A88"/>
    <w:rsid w:val="00977048"/>
    <w:rsid w:val="00983B3D"/>
    <w:rsid w:val="00991AFF"/>
    <w:rsid w:val="009948D9"/>
    <w:rsid w:val="009A1674"/>
    <w:rsid w:val="009B2BB1"/>
    <w:rsid w:val="009C5095"/>
    <w:rsid w:val="009C684F"/>
    <w:rsid w:val="009D025F"/>
    <w:rsid w:val="009D074C"/>
    <w:rsid w:val="009D19BB"/>
    <w:rsid w:val="009E688D"/>
    <w:rsid w:val="009F1F1D"/>
    <w:rsid w:val="009F2B4F"/>
    <w:rsid w:val="009F3C63"/>
    <w:rsid w:val="009F66B5"/>
    <w:rsid w:val="00A00EA1"/>
    <w:rsid w:val="00A026B6"/>
    <w:rsid w:val="00A16221"/>
    <w:rsid w:val="00A163F6"/>
    <w:rsid w:val="00A20A7D"/>
    <w:rsid w:val="00A25651"/>
    <w:rsid w:val="00A2691C"/>
    <w:rsid w:val="00A27B46"/>
    <w:rsid w:val="00A35D42"/>
    <w:rsid w:val="00A46CCF"/>
    <w:rsid w:val="00A53451"/>
    <w:rsid w:val="00A6045C"/>
    <w:rsid w:val="00A70426"/>
    <w:rsid w:val="00A75067"/>
    <w:rsid w:val="00A91E9A"/>
    <w:rsid w:val="00A93626"/>
    <w:rsid w:val="00A93ED9"/>
    <w:rsid w:val="00A96221"/>
    <w:rsid w:val="00AA7AA7"/>
    <w:rsid w:val="00AB19A0"/>
    <w:rsid w:val="00AB4001"/>
    <w:rsid w:val="00AC084E"/>
    <w:rsid w:val="00AC6A99"/>
    <w:rsid w:val="00AE21D9"/>
    <w:rsid w:val="00AF1870"/>
    <w:rsid w:val="00B0544F"/>
    <w:rsid w:val="00B055EF"/>
    <w:rsid w:val="00B066D1"/>
    <w:rsid w:val="00B06B5B"/>
    <w:rsid w:val="00B07A70"/>
    <w:rsid w:val="00B23769"/>
    <w:rsid w:val="00B25E36"/>
    <w:rsid w:val="00B41789"/>
    <w:rsid w:val="00B46FA5"/>
    <w:rsid w:val="00B474D7"/>
    <w:rsid w:val="00B66C36"/>
    <w:rsid w:val="00B77106"/>
    <w:rsid w:val="00B81808"/>
    <w:rsid w:val="00B84FC2"/>
    <w:rsid w:val="00B86DFA"/>
    <w:rsid w:val="00B936D0"/>
    <w:rsid w:val="00B9415D"/>
    <w:rsid w:val="00BA0068"/>
    <w:rsid w:val="00BA2A3D"/>
    <w:rsid w:val="00BB23C3"/>
    <w:rsid w:val="00BB6B94"/>
    <w:rsid w:val="00BC4366"/>
    <w:rsid w:val="00BD3D5B"/>
    <w:rsid w:val="00BE3600"/>
    <w:rsid w:val="00BE638E"/>
    <w:rsid w:val="00BF7818"/>
    <w:rsid w:val="00C01F6F"/>
    <w:rsid w:val="00C041EA"/>
    <w:rsid w:val="00C12D1D"/>
    <w:rsid w:val="00C149AB"/>
    <w:rsid w:val="00C16929"/>
    <w:rsid w:val="00C229D9"/>
    <w:rsid w:val="00C35C50"/>
    <w:rsid w:val="00C36020"/>
    <w:rsid w:val="00C40694"/>
    <w:rsid w:val="00C41808"/>
    <w:rsid w:val="00C45A83"/>
    <w:rsid w:val="00C615FA"/>
    <w:rsid w:val="00C70542"/>
    <w:rsid w:val="00C735C8"/>
    <w:rsid w:val="00C75CBF"/>
    <w:rsid w:val="00C77445"/>
    <w:rsid w:val="00C81952"/>
    <w:rsid w:val="00C86465"/>
    <w:rsid w:val="00CA7BBF"/>
    <w:rsid w:val="00CB223D"/>
    <w:rsid w:val="00CC1530"/>
    <w:rsid w:val="00CC2894"/>
    <w:rsid w:val="00CD77C3"/>
    <w:rsid w:val="00CE112C"/>
    <w:rsid w:val="00CE271B"/>
    <w:rsid w:val="00CF55D4"/>
    <w:rsid w:val="00D042B5"/>
    <w:rsid w:val="00D116AA"/>
    <w:rsid w:val="00D20D6D"/>
    <w:rsid w:val="00D24F9A"/>
    <w:rsid w:val="00D45983"/>
    <w:rsid w:val="00D46346"/>
    <w:rsid w:val="00D53C86"/>
    <w:rsid w:val="00D5684C"/>
    <w:rsid w:val="00D608DA"/>
    <w:rsid w:val="00D730BF"/>
    <w:rsid w:val="00D7398E"/>
    <w:rsid w:val="00D90C7A"/>
    <w:rsid w:val="00D95D63"/>
    <w:rsid w:val="00DA1E72"/>
    <w:rsid w:val="00DB1110"/>
    <w:rsid w:val="00DB39C0"/>
    <w:rsid w:val="00DC0E0B"/>
    <w:rsid w:val="00DC3788"/>
    <w:rsid w:val="00DC76C7"/>
    <w:rsid w:val="00DD09F5"/>
    <w:rsid w:val="00DD1591"/>
    <w:rsid w:val="00DD4201"/>
    <w:rsid w:val="00DD5E9F"/>
    <w:rsid w:val="00DD67B9"/>
    <w:rsid w:val="00DE5711"/>
    <w:rsid w:val="00DE654B"/>
    <w:rsid w:val="00E00EA0"/>
    <w:rsid w:val="00E138F1"/>
    <w:rsid w:val="00E14A84"/>
    <w:rsid w:val="00E218B1"/>
    <w:rsid w:val="00E2309D"/>
    <w:rsid w:val="00E26758"/>
    <w:rsid w:val="00E31E75"/>
    <w:rsid w:val="00E32D8B"/>
    <w:rsid w:val="00E37795"/>
    <w:rsid w:val="00E4357B"/>
    <w:rsid w:val="00E443DF"/>
    <w:rsid w:val="00E45F1F"/>
    <w:rsid w:val="00E46EE1"/>
    <w:rsid w:val="00E63DE5"/>
    <w:rsid w:val="00E65A37"/>
    <w:rsid w:val="00E65EF7"/>
    <w:rsid w:val="00E761CB"/>
    <w:rsid w:val="00E77B48"/>
    <w:rsid w:val="00E857FB"/>
    <w:rsid w:val="00E91799"/>
    <w:rsid w:val="00EA21FE"/>
    <w:rsid w:val="00EA34E3"/>
    <w:rsid w:val="00EB7538"/>
    <w:rsid w:val="00EE496C"/>
    <w:rsid w:val="00EE5EFD"/>
    <w:rsid w:val="00EE6468"/>
    <w:rsid w:val="00EF382D"/>
    <w:rsid w:val="00EF6241"/>
    <w:rsid w:val="00F0064D"/>
    <w:rsid w:val="00F1299B"/>
    <w:rsid w:val="00F207A4"/>
    <w:rsid w:val="00F20E5C"/>
    <w:rsid w:val="00F22D8C"/>
    <w:rsid w:val="00F308EF"/>
    <w:rsid w:val="00F3503B"/>
    <w:rsid w:val="00F355AC"/>
    <w:rsid w:val="00F410A2"/>
    <w:rsid w:val="00F6227E"/>
    <w:rsid w:val="00F6292E"/>
    <w:rsid w:val="00F64328"/>
    <w:rsid w:val="00F67924"/>
    <w:rsid w:val="00F71A5A"/>
    <w:rsid w:val="00F7546B"/>
    <w:rsid w:val="00F769E0"/>
    <w:rsid w:val="00FA493F"/>
    <w:rsid w:val="00FA5BA4"/>
    <w:rsid w:val="00FA75FE"/>
    <w:rsid w:val="00FB07B5"/>
    <w:rsid w:val="00FB1032"/>
    <w:rsid w:val="00FC6BDE"/>
    <w:rsid w:val="00FD658B"/>
    <w:rsid w:val="00FE2E32"/>
    <w:rsid w:val="00FF1178"/>
    <w:rsid w:val="00FF44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5E79AF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46CC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z-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semiHidden/>
    <w:rsid w:val="00254069"/>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611D6B"/>
    <w:pPr>
      <w:tabs>
        <w:tab w:val="center" w:pos="4320"/>
        <w:tab w:val="right" w:pos="8640"/>
      </w:tabs>
    </w:pPr>
  </w:style>
  <w:style w:type="character" w:styleId="PageNumber">
    <w:name w:val="page number"/>
    <w:basedOn w:val="DefaultParagraphFont"/>
    <w:rsid w:val="00611D6B"/>
  </w:style>
  <w:style w:type="paragraph" w:styleId="ListParagraph">
    <w:name w:val="List Paragraph"/>
    <w:basedOn w:val="Normal"/>
    <w:uiPriority w:val="34"/>
    <w:qFormat/>
    <w:rsid w:val="005E7D4A"/>
    <w:pPr>
      <w:ind w:left="720"/>
      <w:contextualSpacing/>
    </w:pPr>
  </w:style>
  <w:style w:type="character" w:styleId="CommentReference">
    <w:name w:val="annotation reference"/>
    <w:basedOn w:val="DefaultParagraphFont"/>
    <w:rsid w:val="00D45983"/>
    <w:rPr>
      <w:sz w:val="16"/>
      <w:szCs w:val="16"/>
    </w:rPr>
  </w:style>
  <w:style w:type="paragraph" w:styleId="CommentText">
    <w:name w:val="annotation text"/>
    <w:basedOn w:val="Normal"/>
    <w:link w:val="CommentTextChar"/>
    <w:rsid w:val="00D45983"/>
    <w:rPr>
      <w:sz w:val="20"/>
      <w:szCs w:val="20"/>
    </w:rPr>
  </w:style>
  <w:style w:type="character" w:customStyle="1" w:styleId="CommentTextChar">
    <w:name w:val="Comment Text Char"/>
    <w:basedOn w:val="DefaultParagraphFont"/>
    <w:link w:val="CommentText"/>
    <w:rsid w:val="00D45983"/>
  </w:style>
  <w:style w:type="paragraph" w:styleId="CommentSubject">
    <w:name w:val="annotation subject"/>
    <w:basedOn w:val="CommentText"/>
    <w:next w:val="CommentText"/>
    <w:link w:val="CommentSubjectChar"/>
    <w:rsid w:val="00D45983"/>
    <w:rPr>
      <w:b/>
      <w:bCs/>
    </w:rPr>
  </w:style>
  <w:style w:type="character" w:customStyle="1" w:styleId="CommentSubjectChar">
    <w:name w:val="Comment Subject Char"/>
    <w:basedOn w:val="CommentTextChar"/>
    <w:link w:val="CommentSubject"/>
    <w:rsid w:val="00D45983"/>
    <w:rPr>
      <w:b/>
      <w:bCs/>
    </w:rPr>
  </w:style>
  <w:style w:type="paragraph" w:styleId="Header">
    <w:name w:val="header"/>
    <w:basedOn w:val="Normal"/>
    <w:link w:val="HeaderChar"/>
    <w:rsid w:val="001B1EF0"/>
    <w:pPr>
      <w:tabs>
        <w:tab w:val="center" w:pos="4680"/>
        <w:tab w:val="right" w:pos="9360"/>
      </w:tabs>
    </w:pPr>
  </w:style>
  <w:style w:type="character" w:customStyle="1" w:styleId="HeaderChar">
    <w:name w:val="Header Char"/>
    <w:basedOn w:val="DefaultParagraphFont"/>
    <w:link w:val="Header"/>
    <w:rsid w:val="001B1EF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4607699">
      <w:bodyDiv w:val="1"/>
      <w:marLeft w:val="0"/>
      <w:marRight w:val="0"/>
      <w:marTop w:val="0"/>
      <w:marBottom w:val="0"/>
      <w:divBdr>
        <w:top w:val="none" w:sz="0" w:space="0" w:color="auto"/>
        <w:left w:val="none" w:sz="0" w:space="0" w:color="auto"/>
        <w:bottom w:val="none" w:sz="0" w:space="0" w:color="auto"/>
        <w:right w:val="none" w:sz="0" w:space="0" w:color="auto"/>
      </w:divBdr>
      <w:divsChild>
        <w:div w:id="79911520">
          <w:marLeft w:val="0"/>
          <w:marRight w:val="0"/>
          <w:marTop w:val="0"/>
          <w:marBottom w:val="0"/>
          <w:divBdr>
            <w:top w:val="none" w:sz="0" w:space="0" w:color="auto"/>
            <w:left w:val="none" w:sz="0" w:space="0" w:color="auto"/>
            <w:bottom w:val="none" w:sz="0" w:space="0" w:color="auto"/>
            <w:right w:val="none" w:sz="0" w:space="0" w:color="auto"/>
          </w:divBdr>
        </w:div>
        <w:div w:id="146094746">
          <w:marLeft w:val="0"/>
          <w:marRight w:val="0"/>
          <w:marTop w:val="0"/>
          <w:marBottom w:val="0"/>
          <w:divBdr>
            <w:top w:val="none" w:sz="0" w:space="0" w:color="auto"/>
            <w:left w:val="none" w:sz="0" w:space="0" w:color="auto"/>
            <w:bottom w:val="none" w:sz="0" w:space="0" w:color="auto"/>
            <w:right w:val="none" w:sz="0" w:space="0" w:color="auto"/>
          </w:divBdr>
        </w:div>
        <w:div w:id="149491147">
          <w:marLeft w:val="0"/>
          <w:marRight w:val="0"/>
          <w:marTop w:val="0"/>
          <w:marBottom w:val="0"/>
          <w:divBdr>
            <w:top w:val="none" w:sz="0" w:space="0" w:color="auto"/>
            <w:left w:val="none" w:sz="0" w:space="0" w:color="auto"/>
            <w:bottom w:val="none" w:sz="0" w:space="0" w:color="auto"/>
            <w:right w:val="none" w:sz="0" w:space="0" w:color="auto"/>
          </w:divBdr>
        </w:div>
        <w:div w:id="182402205">
          <w:marLeft w:val="0"/>
          <w:marRight w:val="0"/>
          <w:marTop w:val="0"/>
          <w:marBottom w:val="0"/>
          <w:divBdr>
            <w:top w:val="none" w:sz="0" w:space="0" w:color="auto"/>
            <w:left w:val="none" w:sz="0" w:space="0" w:color="auto"/>
            <w:bottom w:val="none" w:sz="0" w:space="0" w:color="auto"/>
            <w:right w:val="none" w:sz="0" w:space="0" w:color="auto"/>
          </w:divBdr>
        </w:div>
        <w:div w:id="812908934">
          <w:marLeft w:val="0"/>
          <w:marRight w:val="0"/>
          <w:marTop w:val="0"/>
          <w:marBottom w:val="0"/>
          <w:divBdr>
            <w:top w:val="none" w:sz="0" w:space="0" w:color="auto"/>
            <w:left w:val="none" w:sz="0" w:space="0" w:color="auto"/>
            <w:bottom w:val="none" w:sz="0" w:space="0" w:color="auto"/>
            <w:right w:val="none" w:sz="0" w:space="0" w:color="auto"/>
          </w:divBdr>
        </w:div>
        <w:div w:id="933439673">
          <w:marLeft w:val="0"/>
          <w:marRight w:val="0"/>
          <w:marTop w:val="0"/>
          <w:marBottom w:val="0"/>
          <w:divBdr>
            <w:top w:val="none" w:sz="0" w:space="0" w:color="auto"/>
            <w:left w:val="none" w:sz="0" w:space="0" w:color="auto"/>
            <w:bottom w:val="none" w:sz="0" w:space="0" w:color="auto"/>
            <w:right w:val="none" w:sz="0" w:space="0" w:color="auto"/>
          </w:divBdr>
        </w:div>
        <w:div w:id="1047341194">
          <w:marLeft w:val="0"/>
          <w:marRight w:val="0"/>
          <w:marTop w:val="0"/>
          <w:marBottom w:val="0"/>
          <w:divBdr>
            <w:top w:val="none" w:sz="0" w:space="0" w:color="auto"/>
            <w:left w:val="none" w:sz="0" w:space="0" w:color="auto"/>
            <w:bottom w:val="none" w:sz="0" w:space="0" w:color="auto"/>
            <w:right w:val="none" w:sz="0" w:space="0" w:color="auto"/>
          </w:divBdr>
        </w:div>
        <w:div w:id="1132288032">
          <w:marLeft w:val="0"/>
          <w:marRight w:val="0"/>
          <w:marTop w:val="0"/>
          <w:marBottom w:val="0"/>
          <w:divBdr>
            <w:top w:val="none" w:sz="0" w:space="0" w:color="auto"/>
            <w:left w:val="none" w:sz="0" w:space="0" w:color="auto"/>
            <w:bottom w:val="none" w:sz="0" w:space="0" w:color="auto"/>
            <w:right w:val="none" w:sz="0" w:space="0" w:color="auto"/>
          </w:divBdr>
        </w:div>
        <w:div w:id="1326975170">
          <w:marLeft w:val="0"/>
          <w:marRight w:val="0"/>
          <w:marTop w:val="0"/>
          <w:marBottom w:val="0"/>
          <w:divBdr>
            <w:top w:val="none" w:sz="0" w:space="0" w:color="auto"/>
            <w:left w:val="none" w:sz="0" w:space="0" w:color="auto"/>
            <w:bottom w:val="none" w:sz="0" w:space="0" w:color="auto"/>
            <w:right w:val="none" w:sz="0" w:space="0" w:color="auto"/>
          </w:divBdr>
        </w:div>
        <w:div w:id="1352802270">
          <w:marLeft w:val="0"/>
          <w:marRight w:val="0"/>
          <w:marTop w:val="0"/>
          <w:marBottom w:val="0"/>
          <w:divBdr>
            <w:top w:val="none" w:sz="0" w:space="0" w:color="auto"/>
            <w:left w:val="none" w:sz="0" w:space="0" w:color="auto"/>
            <w:bottom w:val="none" w:sz="0" w:space="0" w:color="auto"/>
            <w:right w:val="none" w:sz="0" w:space="0" w:color="auto"/>
          </w:divBdr>
        </w:div>
        <w:div w:id="1593706274">
          <w:marLeft w:val="0"/>
          <w:marRight w:val="0"/>
          <w:marTop w:val="0"/>
          <w:marBottom w:val="0"/>
          <w:divBdr>
            <w:top w:val="none" w:sz="0" w:space="0" w:color="auto"/>
            <w:left w:val="none" w:sz="0" w:space="0" w:color="auto"/>
            <w:bottom w:val="none" w:sz="0" w:space="0" w:color="auto"/>
            <w:right w:val="none" w:sz="0" w:space="0" w:color="auto"/>
          </w:divBdr>
        </w:div>
        <w:div w:id="1863787555">
          <w:marLeft w:val="0"/>
          <w:marRight w:val="0"/>
          <w:marTop w:val="0"/>
          <w:marBottom w:val="0"/>
          <w:divBdr>
            <w:top w:val="none" w:sz="0" w:space="0" w:color="auto"/>
            <w:left w:val="none" w:sz="0" w:space="0" w:color="auto"/>
            <w:bottom w:val="none" w:sz="0" w:space="0" w:color="auto"/>
            <w:right w:val="none" w:sz="0" w:space="0" w:color="auto"/>
          </w:divBdr>
        </w:div>
        <w:div w:id="1949659624">
          <w:marLeft w:val="0"/>
          <w:marRight w:val="0"/>
          <w:marTop w:val="0"/>
          <w:marBottom w:val="0"/>
          <w:divBdr>
            <w:top w:val="none" w:sz="0" w:space="0" w:color="auto"/>
            <w:left w:val="none" w:sz="0" w:space="0" w:color="auto"/>
            <w:bottom w:val="none" w:sz="0" w:space="0" w:color="auto"/>
            <w:right w:val="none" w:sz="0" w:space="0" w:color="auto"/>
          </w:divBdr>
        </w:div>
        <w:div w:id="2001158477">
          <w:marLeft w:val="0"/>
          <w:marRight w:val="0"/>
          <w:marTop w:val="0"/>
          <w:marBottom w:val="0"/>
          <w:divBdr>
            <w:top w:val="none" w:sz="0" w:space="0" w:color="auto"/>
            <w:left w:val="none" w:sz="0" w:space="0" w:color="auto"/>
            <w:bottom w:val="none" w:sz="0" w:space="0" w:color="auto"/>
            <w:right w:val="none" w:sz="0" w:space="0" w:color="auto"/>
          </w:divBdr>
        </w:div>
      </w:divsChild>
    </w:div>
    <w:div w:id="1293438094">
      <w:bodyDiv w:val="1"/>
      <w:marLeft w:val="0"/>
      <w:marRight w:val="0"/>
      <w:marTop w:val="0"/>
      <w:marBottom w:val="0"/>
      <w:divBdr>
        <w:top w:val="none" w:sz="0" w:space="0" w:color="auto"/>
        <w:left w:val="none" w:sz="0" w:space="0" w:color="auto"/>
        <w:bottom w:val="none" w:sz="0" w:space="0" w:color="auto"/>
        <w:right w:val="none" w:sz="0" w:space="0" w:color="auto"/>
      </w:divBdr>
    </w:div>
    <w:div w:id="1619528457">
      <w:bodyDiv w:val="1"/>
      <w:marLeft w:val="0"/>
      <w:marRight w:val="0"/>
      <w:marTop w:val="0"/>
      <w:marBottom w:val="0"/>
      <w:divBdr>
        <w:top w:val="none" w:sz="0" w:space="0" w:color="auto"/>
        <w:left w:val="none" w:sz="0" w:space="0" w:color="auto"/>
        <w:bottom w:val="none" w:sz="0" w:space="0" w:color="auto"/>
        <w:right w:val="none" w:sz="0" w:space="0" w:color="auto"/>
      </w:divBdr>
    </w:div>
    <w:div w:id="1838155549">
      <w:bodyDiv w:val="1"/>
      <w:marLeft w:val="0"/>
      <w:marRight w:val="0"/>
      <w:marTop w:val="0"/>
      <w:marBottom w:val="0"/>
      <w:divBdr>
        <w:top w:val="none" w:sz="0" w:space="0" w:color="auto"/>
        <w:left w:val="none" w:sz="0" w:space="0" w:color="auto"/>
        <w:bottom w:val="none" w:sz="0" w:space="0" w:color="auto"/>
        <w:right w:val="none" w:sz="0" w:space="0" w:color="auto"/>
      </w:divBdr>
    </w:div>
    <w:div w:id="1921600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29E5B8-B699-4EFF-8CCC-D10A4D0195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2282</Words>
  <Characters>13014</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2020-10-01T20:38:00Z</dcterms:created>
  <dcterms:modified xsi:type="dcterms:W3CDTF">2020-10-01T20:38:00Z</dcterms:modified>
</cp:coreProperties>
</file>