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C8A" w:rsidP="004A6D72" w:rsidRDefault="00C6442D" w14:paraId="3E1C844D" w14:textId="77777777">
      <w:pPr>
        <w:jc w:val="center"/>
        <w:rPr>
          <w:rFonts w:eastAsia="Calibri"/>
        </w:rPr>
      </w:pPr>
      <w:r w:rsidRPr="00357C8A">
        <w:rPr>
          <w:rFonts w:eastAsia="Calibri"/>
        </w:rPr>
        <w:t>UNITED STATES FOOD AND DRUG ADMINISTRATION</w:t>
      </w:r>
    </w:p>
    <w:p w:rsidR="00357C8A" w:rsidP="00357C8A" w:rsidRDefault="00357C8A" w14:paraId="670C55F0" w14:textId="77777777">
      <w:pPr>
        <w:jc w:val="center"/>
        <w:rPr>
          <w:rFonts w:eastAsia="Calibri"/>
        </w:rPr>
      </w:pPr>
    </w:p>
    <w:p w:rsidRPr="00227E77" w:rsidR="00227E77" w:rsidP="00227E77" w:rsidRDefault="00227E77" w14:paraId="5F49BB77" w14:textId="77777777">
      <w:pPr>
        <w:jc w:val="center"/>
        <w:rPr>
          <w:rFonts w:eastAsia="Calibri"/>
        </w:rPr>
      </w:pPr>
      <w:bookmarkStart w:name="_Hlk37239402" w:id="0"/>
      <w:r w:rsidRPr="00227E77">
        <w:rPr>
          <w:rFonts w:eastAsia="Calibri"/>
        </w:rPr>
        <w:t>Channels of Trade Policy for Commodities With Residues of Pesticide Chemicals, for Which Tolerances Have Been Revoked, Suspended, or Modified by the Environmental Protection Agency Pursuant to Dietary Risk Considerations</w:t>
      </w:r>
    </w:p>
    <w:bookmarkEnd w:id="0"/>
    <w:p w:rsidRPr="00227E77" w:rsidR="00227E77" w:rsidP="00227E77" w:rsidRDefault="00227E77" w14:paraId="2AA9B7EC" w14:textId="77777777">
      <w:pPr>
        <w:jc w:val="center"/>
        <w:rPr>
          <w:rFonts w:eastAsia="Calibri"/>
        </w:rPr>
      </w:pPr>
    </w:p>
    <w:p w:rsidRPr="00C6442D" w:rsidR="00357C8A" w:rsidP="00227E77" w:rsidRDefault="00227E77" w14:paraId="4C019D98" w14:textId="77777777">
      <w:pPr>
        <w:jc w:val="center"/>
        <w:rPr>
          <w:rFonts w:eastAsia="Calibri"/>
          <w:u w:val="single"/>
        </w:rPr>
      </w:pPr>
      <w:r w:rsidRPr="00C6442D">
        <w:rPr>
          <w:rFonts w:eastAsia="Calibri"/>
          <w:u w:val="single"/>
        </w:rPr>
        <w:t>OMB Control No. 0910-0562</w:t>
      </w:r>
    </w:p>
    <w:p w:rsidR="00357C8A" w:rsidP="00357C8A" w:rsidRDefault="00357C8A" w14:paraId="7507A748" w14:textId="77777777">
      <w:pPr>
        <w:jc w:val="center"/>
        <w:rPr>
          <w:rFonts w:eastAsia="Calibri"/>
        </w:rPr>
      </w:pPr>
    </w:p>
    <w:p w:rsidR="00357C8A" w:rsidP="00C6442D" w:rsidRDefault="00357C8A" w14:paraId="41A977E8" w14:textId="77777777">
      <w:pPr>
        <w:rPr>
          <w:rFonts w:eastAsia="Calibri"/>
        </w:rPr>
      </w:pPr>
      <w:r w:rsidRPr="00357C8A">
        <w:rPr>
          <w:rFonts w:eastAsia="Calibri"/>
        </w:rPr>
        <w:t>SUPPORTING STATEMENT</w:t>
      </w:r>
      <w:r w:rsidR="00C6442D">
        <w:rPr>
          <w:rFonts w:eastAsia="Calibri"/>
        </w:rPr>
        <w:t xml:space="preserve"> – </w:t>
      </w:r>
      <w:r w:rsidRPr="00C6442D" w:rsidR="00C6442D">
        <w:rPr>
          <w:rFonts w:eastAsia="Calibri"/>
          <w:b/>
        </w:rPr>
        <w:t>Part A:  Justification</w:t>
      </w:r>
    </w:p>
    <w:p w:rsidRPr="00357C8A" w:rsidR="000D79CC" w:rsidP="000D79CC" w:rsidRDefault="000D79CC" w14:paraId="1D69D7C6" w14:textId="77777777">
      <w:pPr>
        <w:rPr>
          <w:rFonts w:eastAsia="Calibri"/>
        </w:rPr>
      </w:pPr>
    </w:p>
    <w:p w:rsidRPr="00357C8A" w:rsidR="00357C8A" w:rsidP="006705EA" w:rsidRDefault="00357C8A" w14:paraId="00878E44"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Pr="00227E77" w:rsidR="00227E77" w:rsidP="00227E77" w:rsidRDefault="009514C2" w14:paraId="6B69772E" w14:textId="77777777">
      <w:pPr>
        <w:spacing w:after="200"/>
        <w:rPr>
          <w:rFonts w:eastAsia="Calibri"/>
        </w:rPr>
      </w:pPr>
      <w:r w:rsidRPr="009514C2">
        <w:rPr>
          <w:rFonts w:eastAsia="Calibri"/>
        </w:rPr>
        <w:t>This information collection supports Food and Drug Administration (FDA, us or we) guidance</w:t>
      </w:r>
      <w:r w:rsidR="00C6442D">
        <w:rPr>
          <w:rFonts w:eastAsia="Calibri"/>
        </w:rPr>
        <w:t xml:space="preserve"> pertaining to pesticide tolerances in food.  </w:t>
      </w:r>
      <w:r w:rsidRPr="00227E77" w:rsidR="00227E77">
        <w:rPr>
          <w:rFonts w:eastAsia="Calibri"/>
        </w:rPr>
        <w:t xml:space="preserve">The Food Quality Protection Act of 1996 (FQPA), which amended the Federal Insecticide, Fungicide, and Rodenticide Act (FIFRA) and the Federal Food, Drug, and Cosmetic Act (the FD&amp;C Act), established a new safety standard for pesticide residues in food, with an emphasis on protecting the health of infants and children. </w:t>
      </w:r>
      <w:r w:rsidR="00227E77">
        <w:rPr>
          <w:rFonts w:eastAsia="Calibri"/>
        </w:rPr>
        <w:t xml:space="preserve"> </w:t>
      </w:r>
      <w:r w:rsidRPr="00227E77" w:rsidR="00227E77">
        <w:rPr>
          <w:rFonts w:eastAsia="Calibri"/>
        </w:rPr>
        <w:t>The Environmental Protection Agency (EPA) is responsible for regulating the use of pesticides (under FIFRA) and for establishing tolerances or exemptions from the requirement for tolerances for residues of pesticide chemicals in food commodities (under the FD&amp;C Act).</w:t>
      </w:r>
      <w:r w:rsidR="00C6442D">
        <w:rPr>
          <w:rFonts w:eastAsia="Calibri"/>
        </w:rPr>
        <w:t xml:space="preserve">  </w:t>
      </w:r>
      <w:r w:rsidRPr="00227E77" w:rsidR="00227E77">
        <w:rPr>
          <w:rFonts w:eastAsia="Calibri"/>
        </w:rPr>
        <w:t xml:space="preserve">EPA may, for various reasons, </w:t>
      </w:r>
      <w:r w:rsidRPr="00982A7E" w:rsidR="00227E77">
        <w:rPr>
          <w:rFonts w:eastAsia="Calibri"/>
          <w:i/>
        </w:rPr>
        <w:t>e.g.</w:t>
      </w:r>
      <w:r w:rsidRPr="00227E77" w:rsidR="00227E77">
        <w:rPr>
          <w:rFonts w:eastAsia="Calibri"/>
        </w:rPr>
        <w:t xml:space="preserve">, as part of a systematic review or in response to new information concerning the safety of a specific pesticide, reassess whether a tolerance for a pesticide residue continues to meet the safety standard in section 408 of the FD&amp;C Act (21 U.S.C. 346a). </w:t>
      </w:r>
      <w:r w:rsidR="00227E77">
        <w:rPr>
          <w:rFonts w:eastAsia="Calibri"/>
        </w:rPr>
        <w:t xml:space="preserve"> </w:t>
      </w:r>
      <w:r w:rsidRPr="00227E77" w:rsidR="00227E77">
        <w:rPr>
          <w:rFonts w:eastAsia="Calibri"/>
        </w:rPr>
        <w:t xml:space="preserve">When EPA determines that a pesticide's tolerance level does not meet the safety standard, the registration for the pesticide may be canceled under FIFRA for all or certain uses. </w:t>
      </w:r>
      <w:r w:rsidR="00227E77">
        <w:rPr>
          <w:rFonts w:eastAsia="Calibri"/>
        </w:rPr>
        <w:t xml:space="preserve"> </w:t>
      </w:r>
      <w:r w:rsidRPr="00227E77" w:rsidR="00227E77">
        <w:rPr>
          <w:rFonts w:eastAsia="Calibri"/>
        </w:rPr>
        <w:t>In addition, the tolerances for that pesticide may be lowered or revoked for the corresponding food commodities.</w:t>
      </w:r>
      <w:r w:rsidR="000C67B6">
        <w:rPr>
          <w:rFonts w:eastAsia="Calibri"/>
        </w:rPr>
        <w:t xml:space="preserve">  </w:t>
      </w:r>
      <w:r w:rsidRPr="00227E77" w:rsidR="00227E77">
        <w:rPr>
          <w:rFonts w:eastAsia="Calibri"/>
        </w:rPr>
        <w:t>Under section 408(l)(2) of the FD&amp;C Act, when the registration for a pesticide is canceled or modified due to, in whole or in part, dietary risks to humans posed by residues of that pesticide chemical on food, the effective date for the revocation of such tolerance (or exemption in some cases) must be no later than 180 days after the date such cancellation becomes effective or 180 days after the date on which the use of the canceled pesticide becomes unlawful under the terms of the cancellation, whichever is later.</w:t>
      </w:r>
    </w:p>
    <w:p w:rsidRPr="00227E77" w:rsidR="00227E77" w:rsidP="00227E77" w:rsidRDefault="00227E77" w14:paraId="480E0D8F" w14:textId="77777777">
      <w:pPr>
        <w:spacing w:after="200"/>
        <w:rPr>
          <w:rFonts w:eastAsia="Calibri"/>
        </w:rPr>
      </w:pPr>
      <w:r w:rsidRPr="00227E77">
        <w:rPr>
          <w:rFonts w:eastAsia="Calibri"/>
        </w:rPr>
        <w:t xml:space="preserve">When EPA takes such actions, food derived from a commodity that was lawfully treated with the pesticide may not have cleared the channels of trade by the time the revocation or new tolerance level takes effect. </w:t>
      </w:r>
      <w:r>
        <w:rPr>
          <w:rFonts w:eastAsia="Calibri"/>
        </w:rPr>
        <w:t xml:space="preserve"> </w:t>
      </w:r>
      <w:r w:rsidRPr="00227E77">
        <w:rPr>
          <w:rFonts w:eastAsia="Calibri"/>
        </w:rPr>
        <w:t xml:space="preserve">The food could be found by FDA, the agency that is responsible for monitoring pesticide residue levels and enforcing the pesticide tolerances in most foods </w:t>
      </w:r>
      <w:r w:rsidR="00662F25">
        <w:rPr>
          <w:rFonts w:eastAsia="Calibri"/>
        </w:rPr>
        <w:t>(</w:t>
      </w:r>
      <w:r w:rsidRPr="00227E77">
        <w:rPr>
          <w:rFonts w:eastAsia="Calibri"/>
        </w:rPr>
        <w:t xml:space="preserve">the U.S. Department of Agriculture has responsibility for monitoring residue levels and enforcing pesticide tolerances in </w:t>
      </w:r>
      <w:r w:rsidR="005C0435">
        <w:rPr>
          <w:rFonts w:eastAsia="Calibri"/>
        </w:rPr>
        <w:t xml:space="preserve">certain </w:t>
      </w:r>
      <w:r w:rsidRPr="00227E77">
        <w:rPr>
          <w:rFonts w:eastAsia="Calibri"/>
        </w:rPr>
        <w:t>egg products</w:t>
      </w:r>
      <w:r w:rsidR="00BE079C">
        <w:rPr>
          <w:rFonts w:eastAsia="Calibri"/>
        </w:rPr>
        <w:t xml:space="preserve">, </w:t>
      </w:r>
      <w:r w:rsidRPr="00BE079C" w:rsidR="00BE079C">
        <w:rPr>
          <w:rFonts w:eastAsia="Calibri"/>
          <w:i/>
        </w:rPr>
        <w:t>Siluriformes</w:t>
      </w:r>
      <w:r w:rsidRPr="00BE079C" w:rsidR="00BE079C">
        <w:rPr>
          <w:rFonts w:eastAsia="Calibri"/>
        </w:rPr>
        <w:t xml:space="preserve"> fish, including catfish,</w:t>
      </w:r>
      <w:r w:rsidRPr="00227E77">
        <w:rPr>
          <w:rFonts w:eastAsia="Calibri"/>
        </w:rPr>
        <w:t xml:space="preserve"> and most meat and poultry products), to contain a residue of that pesticide that does not comply with the revoked or lowered tolerance. </w:t>
      </w:r>
      <w:r w:rsidR="00B41666">
        <w:rPr>
          <w:rFonts w:eastAsia="Calibri"/>
        </w:rPr>
        <w:t xml:space="preserve"> </w:t>
      </w:r>
      <w:r w:rsidR="00662F25">
        <w:rPr>
          <w:rFonts w:eastAsia="Calibri"/>
        </w:rPr>
        <w:t>We</w:t>
      </w:r>
      <w:r w:rsidRPr="00227E77" w:rsidR="00662F25">
        <w:rPr>
          <w:rFonts w:eastAsia="Calibri"/>
        </w:rPr>
        <w:t xml:space="preserve"> </w:t>
      </w:r>
      <w:r w:rsidRPr="00227E77">
        <w:rPr>
          <w:rFonts w:eastAsia="Calibri"/>
        </w:rPr>
        <w:t xml:space="preserve">would normally deem such food to be in violation of the law by virtue of it bearing an illegal pesticide residue. </w:t>
      </w:r>
      <w:r w:rsidR="00B41666">
        <w:rPr>
          <w:rFonts w:eastAsia="Calibri"/>
        </w:rPr>
        <w:t xml:space="preserve"> </w:t>
      </w:r>
      <w:r w:rsidRPr="00227E77">
        <w:rPr>
          <w:rFonts w:eastAsia="Calibri"/>
        </w:rPr>
        <w:t xml:space="preserve">The food would be subject to FDA enforcement action as an “adulterated” food. </w:t>
      </w:r>
      <w:r w:rsidR="00B41666">
        <w:rPr>
          <w:rFonts w:eastAsia="Calibri"/>
        </w:rPr>
        <w:t xml:space="preserve"> </w:t>
      </w:r>
      <w:r w:rsidRPr="00227E77">
        <w:rPr>
          <w:rFonts w:eastAsia="Calibri"/>
        </w:rPr>
        <w:t xml:space="preserve">However, the channels of trade provision of the FD&amp;C Act addresses the circumstances under which a food is not unsafe solely due to the presence of a residue from a pesticide chemical for which the tolerance has been revoked, suspended, or modified by EPA. </w:t>
      </w:r>
      <w:r w:rsidR="00F6523C">
        <w:rPr>
          <w:rFonts w:eastAsia="Calibri"/>
        </w:rPr>
        <w:t xml:space="preserve"> </w:t>
      </w:r>
      <w:r w:rsidRPr="00227E77">
        <w:rPr>
          <w:rFonts w:eastAsia="Calibri"/>
        </w:rPr>
        <w:t>The channels of trade provision (section 408(l)(5) of the FD&amp;C Act) states that food containing a residue of such a</w:t>
      </w:r>
      <w:r w:rsidR="00F6523C">
        <w:rPr>
          <w:rFonts w:eastAsia="Calibri"/>
        </w:rPr>
        <w:t xml:space="preserve"> </w:t>
      </w:r>
      <w:r w:rsidRPr="00227E77">
        <w:rPr>
          <w:rFonts w:eastAsia="Calibri"/>
        </w:rPr>
        <w:t>pesticide shall not be deemed “adulterated” by virtue of the residue, if the residue is within the former tolerance, and the responsible party can demonstrate to FDA’s satisfaction that the residue is present as the result of an application of the pesticide at a time and in a manner which were lawful under FIFRA.</w:t>
      </w:r>
    </w:p>
    <w:p w:rsidRPr="00227E77" w:rsidR="00227E77" w:rsidP="00227E77" w:rsidRDefault="00227E77" w14:paraId="5E2AF0E7" w14:textId="77777777">
      <w:pPr>
        <w:spacing w:after="200"/>
        <w:rPr>
          <w:rFonts w:eastAsia="Calibri"/>
        </w:rPr>
      </w:pPr>
      <w:r w:rsidRPr="00227E77">
        <w:rPr>
          <w:rFonts w:eastAsia="Calibri"/>
        </w:rPr>
        <w:lastRenderedPageBreak/>
        <w:t xml:space="preserve">FDA’s </w:t>
      </w:r>
      <w:bookmarkStart w:name="_Hlk47616945" w:id="1"/>
      <w:r w:rsidRPr="00227E77">
        <w:rPr>
          <w:rFonts w:eastAsia="Calibri"/>
        </w:rPr>
        <w:t>guidance document entitled, “</w:t>
      </w:r>
      <w:r w:rsidRPr="00D92E69">
        <w:rPr>
          <w:rFonts w:eastAsia="Calibri"/>
          <w:i/>
        </w:rPr>
        <w:t>Channels of Trade Policy for Commodities With Residues of Pesticide Chemicals, for Which Tolerances Have Been Revoked, Suspended, or Modified by the Environmental Protection Agency Pursuant to Dietary Risk Considerations</w:t>
      </w:r>
      <w:r w:rsidRPr="00227E77">
        <w:rPr>
          <w:rFonts w:eastAsia="Calibri"/>
        </w:rPr>
        <w:t>”</w:t>
      </w:r>
      <w:bookmarkEnd w:id="1"/>
      <w:r w:rsidRPr="00227E77">
        <w:rPr>
          <w:rFonts w:eastAsia="Calibri"/>
        </w:rPr>
        <w:t xml:space="preserve"> represents the agency's current thinking on its planned enforcement approach to the channels of trade provision of the FD&amp;C Act and how that provision relates to FDA-regulated products with residues of pesticide chemicals for which tolerances have been revoked, suspended, or modified by EPA pursuant to dietary risk considerations. </w:t>
      </w:r>
      <w:r w:rsidR="00F6523C">
        <w:rPr>
          <w:rFonts w:eastAsia="Calibri"/>
        </w:rPr>
        <w:t xml:space="preserve"> </w:t>
      </w:r>
      <w:r w:rsidRPr="00227E77">
        <w:rPr>
          <w:rFonts w:eastAsia="Calibri"/>
        </w:rPr>
        <w:t xml:space="preserve">The guidance can be found at </w:t>
      </w:r>
      <w:hyperlink w:history="1" r:id="rId8">
        <w:r w:rsidRPr="009954D7" w:rsidR="00F6523C">
          <w:rPr>
            <w:rStyle w:val="Hyperlink"/>
            <w:rFonts w:eastAsia="Calibri"/>
          </w:rPr>
          <w:t>https</w:t>
        </w:r>
        <w:r w:rsidRPr="009954D7" w:rsidR="00F6523C">
          <w:rPr>
            <w:rStyle w:val="Hyperlink"/>
            <w:rFonts w:eastAsia="Calibri"/>
          </w:rPr>
          <w:t>:</w:t>
        </w:r>
        <w:r w:rsidRPr="009954D7" w:rsidR="00F6523C">
          <w:rPr>
            <w:rStyle w:val="Hyperlink"/>
            <w:rFonts w:eastAsia="Calibri"/>
          </w:rPr>
          <w:t>//www.fda.gov/regulatory-informat</w:t>
        </w:r>
        <w:r w:rsidRPr="009954D7" w:rsidR="00F6523C">
          <w:rPr>
            <w:rStyle w:val="Hyperlink"/>
            <w:rFonts w:eastAsia="Calibri"/>
          </w:rPr>
          <w:t>ion/search-fda-guidance-documents/guidance-industry-channels-trade-policy-com</w:t>
        </w:r>
        <w:r w:rsidRPr="009954D7" w:rsidR="00F6523C">
          <w:rPr>
            <w:rStyle w:val="Hyperlink"/>
            <w:rFonts w:eastAsia="Calibri"/>
          </w:rPr>
          <w:t>modities</w:t>
        </w:r>
        <w:r w:rsidRPr="009954D7" w:rsidR="00F6523C">
          <w:rPr>
            <w:rStyle w:val="Hyperlink"/>
            <w:rFonts w:eastAsia="Calibri"/>
          </w:rPr>
          <w:t>-</w:t>
        </w:r>
        <w:r w:rsidRPr="009954D7" w:rsidR="00F6523C">
          <w:rPr>
            <w:rStyle w:val="Hyperlink"/>
            <w:rFonts w:eastAsia="Calibri"/>
          </w:rPr>
          <w:t>residues-pesticid</w:t>
        </w:r>
        <w:r w:rsidRPr="009954D7" w:rsidR="00F6523C">
          <w:rPr>
            <w:rStyle w:val="Hyperlink"/>
            <w:rFonts w:eastAsia="Calibri"/>
          </w:rPr>
          <w:t>e</w:t>
        </w:r>
        <w:r w:rsidRPr="009954D7" w:rsidR="00F6523C">
          <w:rPr>
            <w:rStyle w:val="Hyperlink"/>
            <w:rFonts w:eastAsia="Calibri"/>
          </w:rPr>
          <w:t>-chemicals</w:t>
        </w:r>
      </w:hyperlink>
      <w:r w:rsidRPr="00227E77">
        <w:rPr>
          <w:rFonts w:eastAsia="Calibri"/>
        </w:rPr>
        <w:t>.</w:t>
      </w:r>
      <w:r w:rsidR="00C6442D">
        <w:rPr>
          <w:rFonts w:eastAsia="Calibri"/>
        </w:rPr>
        <w:t xml:space="preserve">  </w:t>
      </w:r>
      <w:r w:rsidR="00673354">
        <w:rPr>
          <w:rFonts w:eastAsia="Calibri"/>
        </w:rPr>
        <w:t>We</w:t>
      </w:r>
      <w:r w:rsidRPr="00227E77" w:rsidR="00673354">
        <w:rPr>
          <w:rFonts w:eastAsia="Calibri"/>
        </w:rPr>
        <w:t xml:space="preserve"> </w:t>
      </w:r>
      <w:r w:rsidRPr="00227E77">
        <w:rPr>
          <w:rFonts w:eastAsia="Calibri"/>
        </w:rPr>
        <w:t>anticipate that food bearing lawfully applied residues of pesticide chemicals that are the subject of future EPA action to revoke, suspend, or modify their tolerances, will remain in the channels of trade after the applicable tolerance is revoked, suspended, or modified.</w:t>
      </w:r>
      <w:r w:rsidR="00F6523C">
        <w:rPr>
          <w:rFonts w:eastAsia="Calibri"/>
        </w:rPr>
        <w:t xml:space="preserve">  </w:t>
      </w:r>
      <w:r w:rsidRPr="00227E77">
        <w:rPr>
          <w:rFonts w:eastAsia="Calibri"/>
        </w:rPr>
        <w:t xml:space="preserve">If </w:t>
      </w:r>
      <w:r w:rsidR="00673354">
        <w:rPr>
          <w:rFonts w:eastAsia="Calibri"/>
        </w:rPr>
        <w:t>we</w:t>
      </w:r>
      <w:r w:rsidRPr="00227E77" w:rsidR="00673354">
        <w:rPr>
          <w:rFonts w:eastAsia="Calibri"/>
        </w:rPr>
        <w:t xml:space="preserve"> </w:t>
      </w:r>
      <w:r w:rsidRPr="00227E77">
        <w:rPr>
          <w:rFonts w:eastAsia="Calibri"/>
        </w:rPr>
        <w:t xml:space="preserve">encounter food bearing a residue of a pesticide chemical for which the tolerance has been revoked, suspended, or modified, </w:t>
      </w:r>
      <w:r w:rsidR="00673354">
        <w:rPr>
          <w:rFonts w:eastAsia="Calibri"/>
        </w:rPr>
        <w:t>we</w:t>
      </w:r>
      <w:r w:rsidRPr="00227E77" w:rsidR="00673354">
        <w:rPr>
          <w:rFonts w:eastAsia="Calibri"/>
        </w:rPr>
        <w:t xml:space="preserve"> </w:t>
      </w:r>
      <w:r w:rsidRPr="00227E77">
        <w:rPr>
          <w:rFonts w:eastAsia="Calibri"/>
        </w:rPr>
        <w:t>intend to address the situation in accordance with provisions of the guidance.</w:t>
      </w:r>
    </w:p>
    <w:p w:rsidRPr="00227E77" w:rsidR="00227E77" w:rsidP="00227E77" w:rsidRDefault="00227E77" w14:paraId="3068B279" w14:textId="77777777">
      <w:pPr>
        <w:spacing w:after="200"/>
        <w:rPr>
          <w:rFonts w:eastAsia="Calibri"/>
        </w:rPr>
      </w:pPr>
      <w:r w:rsidRPr="00227E77">
        <w:rPr>
          <w:rFonts w:eastAsia="Calibri"/>
        </w:rPr>
        <w:t xml:space="preserve">In general, </w:t>
      </w:r>
      <w:r w:rsidR="00673354">
        <w:rPr>
          <w:rFonts w:eastAsia="Calibri"/>
        </w:rPr>
        <w:t>we</w:t>
      </w:r>
      <w:r w:rsidRPr="00227E77" w:rsidR="00673354">
        <w:rPr>
          <w:rFonts w:eastAsia="Calibri"/>
        </w:rPr>
        <w:t xml:space="preserve"> </w:t>
      </w:r>
      <w:r w:rsidRPr="00227E77">
        <w:rPr>
          <w:rFonts w:eastAsia="Calibri"/>
        </w:rPr>
        <w:t xml:space="preserve">anticipate that the party responsible for food found to contain pesticide chemical residues (within the former tolerance) after the tolerance for the pesticide chemical has been revoked, suspended, or modified will be able to demonstrate that such food was handled, </w:t>
      </w:r>
      <w:r w:rsidRPr="00982A7E">
        <w:rPr>
          <w:rFonts w:eastAsia="Calibri"/>
          <w:i/>
        </w:rPr>
        <w:t>e.g.</w:t>
      </w:r>
      <w:r w:rsidRPr="00227E77">
        <w:rPr>
          <w:rFonts w:eastAsia="Calibri"/>
        </w:rPr>
        <w:t xml:space="preserve">, packed or processed, during the acceptable timeframes cited in the guidance by providing appropriate documentation to the agency as discussed in the guidance document. </w:t>
      </w:r>
      <w:r w:rsidR="00F6523C">
        <w:rPr>
          <w:rFonts w:eastAsia="Calibri"/>
        </w:rPr>
        <w:t xml:space="preserve"> </w:t>
      </w:r>
      <w:r w:rsidR="00673354">
        <w:rPr>
          <w:rFonts w:eastAsia="Calibri"/>
        </w:rPr>
        <w:t>We are</w:t>
      </w:r>
      <w:r w:rsidRPr="00227E77">
        <w:rPr>
          <w:rFonts w:eastAsia="Calibri"/>
        </w:rPr>
        <w:t xml:space="preserve"> not suggesting that firms maintain an inflexible set of documents where anything less or different would likely be considered unacceptable.</w:t>
      </w:r>
      <w:r w:rsidR="00673354">
        <w:rPr>
          <w:rFonts w:eastAsia="Calibri"/>
        </w:rPr>
        <w:t xml:space="preserve">  </w:t>
      </w:r>
      <w:r w:rsidRPr="00227E77">
        <w:rPr>
          <w:rFonts w:eastAsia="Calibri"/>
        </w:rPr>
        <w:t xml:space="preserve">Rather, </w:t>
      </w:r>
      <w:r w:rsidR="00673354">
        <w:rPr>
          <w:rFonts w:eastAsia="Calibri"/>
        </w:rPr>
        <w:t>we are</w:t>
      </w:r>
      <w:r w:rsidRPr="00227E77">
        <w:rPr>
          <w:rFonts w:eastAsia="Calibri"/>
        </w:rPr>
        <w:t xml:space="preserve"> leaving it to each firm's discretion to maintain appropriate documentation to demonstrate that the food was so handled during the acceptable timeframes.</w:t>
      </w:r>
    </w:p>
    <w:p w:rsidRPr="00227E77" w:rsidR="00227E77" w:rsidP="00227E77" w:rsidRDefault="00227E77" w14:paraId="3B939CA8" w14:textId="77777777">
      <w:pPr>
        <w:spacing w:after="200"/>
        <w:rPr>
          <w:rFonts w:eastAsia="Calibri"/>
        </w:rPr>
      </w:pPr>
      <w:r w:rsidRPr="00227E77">
        <w:rPr>
          <w:rFonts w:eastAsia="Calibri"/>
        </w:rPr>
        <w:t xml:space="preserve">Examples of documentation which </w:t>
      </w:r>
      <w:r w:rsidR="00673354">
        <w:rPr>
          <w:rFonts w:eastAsia="Calibri"/>
        </w:rPr>
        <w:t>we</w:t>
      </w:r>
      <w:r w:rsidRPr="00227E77" w:rsidR="00673354">
        <w:rPr>
          <w:rFonts w:eastAsia="Calibri"/>
        </w:rPr>
        <w:t xml:space="preserve"> </w:t>
      </w:r>
      <w:r w:rsidRPr="00227E77">
        <w:rPr>
          <w:rFonts w:eastAsia="Calibri"/>
        </w:rPr>
        <w:t xml:space="preserve">anticipate will serve this purpose consist of documentation associated with packing codes, batch records, and inventory records. </w:t>
      </w:r>
      <w:r w:rsidR="00F6523C">
        <w:rPr>
          <w:rFonts w:eastAsia="Calibri"/>
        </w:rPr>
        <w:t xml:space="preserve"> </w:t>
      </w:r>
      <w:r w:rsidRPr="00227E77">
        <w:rPr>
          <w:rFonts w:eastAsia="Calibri"/>
        </w:rPr>
        <w:t>These are types of documents that many food processors routinely generate as part of their basic food-production operations.</w:t>
      </w:r>
    </w:p>
    <w:p w:rsidRPr="005357E8" w:rsidR="00357C8A" w:rsidP="009954D7" w:rsidRDefault="00F6523C" w14:paraId="28EDA490" w14:textId="77777777">
      <w:pPr>
        <w:spacing w:after="200"/>
        <w:rPr>
          <w:rFonts w:eastAsia="Calibri"/>
          <w:color w:val="000000"/>
        </w:rPr>
      </w:pPr>
      <w:r w:rsidRPr="00F6523C">
        <w:rPr>
          <w:rFonts w:eastAsia="Calibri"/>
        </w:rPr>
        <w:t xml:space="preserve">We therefore request extension of OMB approval of </w:t>
      </w:r>
      <w:r>
        <w:rPr>
          <w:rFonts w:eastAsia="Calibri"/>
        </w:rPr>
        <w:t xml:space="preserve">information collection </w:t>
      </w:r>
      <w:r w:rsidRPr="00F6523C">
        <w:rPr>
          <w:rFonts w:eastAsia="Calibri"/>
        </w:rPr>
        <w:t xml:space="preserve">provisions found in </w:t>
      </w:r>
      <w:r w:rsidR="00673354">
        <w:rPr>
          <w:rFonts w:eastAsia="Calibri"/>
        </w:rPr>
        <w:t xml:space="preserve">the </w:t>
      </w:r>
      <w:r w:rsidRPr="00673354" w:rsidR="00673354">
        <w:rPr>
          <w:rFonts w:eastAsia="Calibri"/>
        </w:rPr>
        <w:t>guidance entitled, “</w:t>
      </w:r>
      <w:r w:rsidRPr="00673354" w:rsidR="00673354">
        <w:rPr>
          <w:rFonts w:eastAsia="Calibri"/>
          <w:i/>
        </w:rPr>
        <w:t>Channels of Trade Policy for Commodities With Residues of Pesticide Chemicals, for Which Tolerances Have Been Revoked, Suspended, or Modified by the Environmental Protection Agency Pursuant to Dietary Risk Considerations</w:t>
      </w:r>
      <w:r w:rsidRPr="00673354" w:rsidR="00673354">
        <w:rPr>
          <w:rFonts w:eastAsia="Calibri"/>
        </w:rPr>
        <w:t>”</w:t>
      </w:r>
      <w:r w:rsidRPr="00F6523C">
        <w:rPr>
          <w:rFonts w:eastAsia="Calibri"/>
        </w:rPr>
        <w:t xml:space="preserve"> as discussed in this supporting statement.</w:t>
      </w:r>
      <w:r w:rsidR="009954D7">
        <w:rPr>
          <w:rFonts w:eastAsia="Calibri"/>
        </w:rPr>
        <w:t xml:space="preserve">  </w:t>
      </w:r>
    </w:p>
    <w:p w:rsidRPr="00357C8A" w:rsidR="00357C8A" w:rsidP="006705EA" w:rsidRDefault="00357C8A" w14:paraId="3FCEDF63"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Pr="009514C2" w:rsidR="009514C2" w:rsidP="009514C2" w:rsidRDefault="009514C2" w14:paraId="7E5C9FD8" w14:textId="77777777">
      <w:pPr>
        <w:spacing w:after="200"/>
        <w:rPr>
          <w:rFonts w:eastAsia="Calibri"/>
        </w:rPr>
      </w:pPr>
      <w:r w:rsidRPr="009514C2">
        <w:rPr>
          <w:rFonts w:eastAsia="Calibri"/>
        </w:rPr>
        <w:t xml:space="preserve">Information will be collected by field personnel during the course of or in follow-up inspections, investigations, or sample collections. </w:t>
      </w:r>
      <w:r>
        <w:rPr>
          <w:rFonts w:eastAsia="Calibri"/>
        </w:rPr>
        <w:t xml:space="preserve"> </w:t>
      </w:r>
      <w:r w:rsidRPr="009514C2">
        <w:rPr>
          <w:rFonts w:eastAsia="Calibri"/>
        </w:rPr>
        <w:t>The information collected is used to determine whether commodities found to contain pesticide residues after the tolerances for the same pesticides in those particular commodities have been revoked,</w:t>
      </w:r>
      <w:r>
        <w:rPr>
          <w:rFonts w:eastAsia="Calibri"/>
        </w:rPr>
        <w:t xml:space="preserve"> s</w:t>
      </w:r>
      <w:r w:rsidRPr="009514C2">
        <w:rPr>
          <w:rFonts w:eastAsia="Calibri"/>
        </w:rPr>
        <w:t>uspended, or modified are in compliance with the channels of trade provision of the FD&amp;C Act.</w:t>
      </w:r>
    </w:p>
    <w:p w:rsidRPr="005357E8" w:rsidR="00357C8A" w:rsidP="0022425B" w:rsidRDefault="009514C2" w14:paraId="426D1B3A" w14:textId="77777777">
      <w:pPr>
        <w:spacing w:after="200"/>
        <w:rPr>
          <w:rFonts w:eastAsia="Calibri"/>
          <w:color w:val="000000"/>
        </w:rPr>
      </w:pPr>
      <w:r w:rsidRPr="009954D7">
        <w:rPr>
          <w:rFonts w:eastAsia="Calibri"/>
          <w:i/>
        </w:rPr>
        <w:t>Description of Respondents</w:t>
      </w:r>
      <w:r w:rsidRPr="009514C2">
        <w:rPr>
          <w:rFonts w:eastAsia="Calibri"/>
        </w:rPr>
        <w:t xml:space="preserve">: </w:t>
      </w:r>
      <w:r w:rsidR="0019305B">
        <w:rPr>
          <w:rFonts w:eastAsia="Calibri"/>
        </w:rPr>
        <w:t xml:space="preserve"> </w:t>
      </w:r>
      <w:r w:rsidRPr="009514C2">
        <w:rPr>
          <w:rFonts w:eastAsia="Calibri"/>
        </w:rPr>
        <w:t>Respondents are typically from the private sector (</w:t>
      </w:r>
      <w:r w:rsidRPr="00982A7E">
        <w:rPr>
          <w:rFonts w:eastAsia="Calibri"/>
          <w:i/>
        </w:rPr>
        <w:t>e.g.</w:t>
      </w:r>
      <w:r w:rsidRPr="009514C2">
        <w:rPr>
          <w:rFonts w:eastAsia="Calibri"/>
        </w:rPr>
        <w:t>, for-profit businesses) engaged in the produce and food-processing industries that handle food products that may contain residues of pesticide chemicals after the tolerances for the pesticide chemicals have been revoked, suspended, or modified.</w:t>
      </w:r>
    </w:p>
    <w:p w:rsidRPr="00357C8A" w:rsidR="00357C8A" w:rsidP="006705EA" w:rsidRDefault="00C6442D" w14:paraId="6EBA605A" w14:textId="77777777">
      <w:pPr>
        <w:numPr>
          <w:ilvl w:val="0"/>
          <w:numId w:val="6"/>
        </w:numPr>
        <w:spacing w:after="200" w:line="276" w:lineRule="auto"/>
        <w:rPr>
          <w:rFonts w:eastAsia="Calibri"/>
          <w:u w:val="single"/>
        </w:rPr>
      </w:pPr>
      <w:r>
        <w:rPr>
          <w:rFonts w:eastAsia="Calibri"/>
        </w:rPr>
        <w:br w:type="page"/>
      </w:r>
      <w:r w:rsidRPr="00357C8A" w:rsidR="00357C8A">
        <w:rPr>
          <w:rFonts w:eastAsia="Calibri"/>
          <w:u w:val="single"/>
        </w:rPr>
        <w:lastRenderedPageBreak/>
        <w:t>Use of Improved Information Technology and Burden Reduction</w:t>
      </w:r>
    </w:p>
    <w:p w:rsidRPr="005357E8" w:rsidR="00357C8A" w:rsidP="0022425B" w:rsidRDefault="00C6442D" w14:paraId="7F0F4631" w14:textId="77777777">
      <w:pPr>
        <w:spacing w:after="200"/>
        <w:rPr>
          <w:rFonts w:eastAsia="Calibri"/>
          <w:color w:val="000000"/>
        </w:rPr>
      </w:pPr>
      <w:r>
        <w:rPr>
          <w:rFonts w:eastAsia="Calibri"/>
        </w:rPr>
        <w:t xml:space="preserve">We do </w:t>
      </w:r>
      <w:r w:rsidRPr="005A1DC0" w:rsidR="005A1DC0">
        <w:rPr>
          <w:rFonts w:eastAsia="Calibri"/>
        </w:rPr>
        <w:t>not specifically recommend the use of automated, electronic, mechanical, or other technological techniques or other forms of information technology for use by</w:t>
      </w:r>
      <w:r>
        <w:rPr>
          <w:rFonts w:eastAsia="Calibri"/>
        </w:rPr>
        <w:t xml:space="preserve"> respondents.  In accordance with applicable regulations, the records must be made available upon FDA request</w:t>
      </w:r>
      <w:r w:rsidRPr="005A1DC0" w:rsidR="005A1DC0">
        <w:rPr>
          <w:rFonts w:eastAsia="Calibri"/>
        </w:rPr>
        <w:t xml:space="preserve">. </w:t>
      </w:r>
      <w:r w:rsidR="005A1DC0">
        <w:rPr>
          <w:rFonts w:eastAsia="Calibri"/>
        </w:rPr>
        <w:t xml:space="preserve"> </w:t>
      </w:r>
      <w:r w:rsidR="0019305B">
        <w:rPr>
          <w:rFonts w:eastAsia="Calibri"/>
        </w:rPr>
        <w:t>We</w:t>
      </w:r>
      <w:r w:rsidRPr="005A1DC0" w:rsidR="0019305B">
        <w:rPr>
          <w:rFonts w:eastAsia="Calibri"/>
        </w:rPr>
        <w:t xml:space="preserve"> </w:t>
      </w:r>
      <w:r w:rsidRPr="005A1DC0" w:rsidR="005A1DC0">
        <w:rPr>
          <w:rFonts w:eastAsia="Calibri"/>
        </w:rPr>
        <w:t>estimate about 100% of the records will be maintained electronically in the next three years.</w:t>
      </w:r>
    </w:p>
    <w:p w:rsidRPr="00357C8A" w:rsidR="00357C8A" w:rsidP="006705EA" w:rsidRDefault="00357C8A" w14:paraId="0804BC6A"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5357E8" w:rsidR="000C1260" w:rsidP="0053380B" w:rsidRDefault="005A1DC0" w14:paraId="38BCF6AA" w14:textId="77777777">
      <w:pPr>
        <w:spacing w:after="200"/>
        <w:rPr>
          <w:rFonts w:eastAsia="Calibri"/>
          <w:color w:val="000000"/>
        </w:rPr>
      </w:pPr>
      <w:r w:rsidRPr="005A1DC0">
        <w:t>We are unaware of duplicative information collection.</w:t>
      </w:r>
    </w:p>
    <w:p w:rsidRPr="00357C8A" w:rsidR="00357C8A" w:rsidP="006705EA" w:rsidRDefault="00357C8A" w14:paraId="444FAE86"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357C8A" w:rsidR="00357C8A" w:rsidP="00357C8A" w:rsidRDefault="0019305B" w14:paraId="3FE7318E" w14:textId="77777777">
      <w:pPr>
        <w:spacing w:after="200"/>
        <w:rPr>
          <w:rFonts w:eastAsia="Calibri"/>
        </w:rPr>
      </w:pPr>
      <w:r>
        <w:rPr>
          <w:rFonts w:eastAsia="Calibri"/>
        </w:rPr>
        <w:t>We</w:t>
      </w:r>
      <w:r w:rsidRPr="005A1DC0">
        <w:rPr>
          <w:rFonts w:eastAsia="Calibri"/>
        </w:rPr>
        <w:t xml:space="preserve"> </w:t>
      </w:r>
      <w:r w:rsidRPr="005A1DC0" w:rsidR="005A1DC0">
        <w:rPr>
          <w:rFonts w:eastAsia="Calibri"/>
        </w:rPr>
        <w:t xml:space="preserve">estimate that 10% of respondents are small businesses who will use electronic means to fulfill the agency’s requirement. </w:t>
      </w:r>
      <w:r w:rsidR="00187BB6">
        <w:rPr>
          <w:rFonts w:eastAsia="Calibri"/>
        </w:rPr>
        <w:t xml:space="preserve"> </w:t>
      </w:r>
      <w:r w:rsidRPr="005A1DC0" w:rsidR="005A1DC0">
        <w:rPr>
          <w:rFonts w:eastAsia="Calibri"/>
        </w:rPr>
        <w:t xml:space="preserve">However, </w:t>
      </w:r>
      <w:r w:rsidR="00C6442D">
        <w:rPr>
          <w:rFonts w:eastAsia="Calibri"/>
        </w:rPr>
        <w:t xml:space="preserve">we do not believe the information collection poses undue burden on these </w:t>
      </w:r>
      <w:r w:rsidR="00661F00">
        <w:rPr>
          <w:rFonts w:eastAsia="Calibri"/>
        </w:rPr>
        <w:t>entities</w:t>
      </w:r>
      <w:r w:rsidR="00C6442D">
        <w:rPr>
          <w:rFonts w:eastAsia="Calibri"/>
        </w:rPr>
        <w:t xml:space="preserve">.  </w:t>
      </w:r>
      <w:r>
        <w:rPr>
          <w:rFonts w:eastAsia="Calibri"/>
        </w:rPr>
        <w:t>We</w:t>
      </w:r>
      <w:r w:rsidRPr="005A1DC0">
        <w:rPr>
          <w:rFonts w:eastAsia="Calibri"/>
        </w:rPr>
        <w:t xml:space="preserve"> </w:t>
      </w:r>
      <w:r w:rsidRPr="005A1DC0" w:rsidR="005A1DC0">
        <w:rPr>
          <w:rFonts w:eastAsia="Calibri"/>
        </w:rPr>
        <w:t xml:space="preserve">aid small businesses in complying with </w:t>
      </w:r>
      <w:r>
        <w:rPr>
          <w:rFonts w:eastAsia="Calibri"/>
        </w:rPr>
        <w:t>our</w:t>
      </w:r>
      <w:r w:rsidRPr="005A1DC0">
        <w:rPr>
          <w:rFonts w:eastAsia="Calibri"/>
        </w:rPr>
        <w:t xml:space="preserve"> </w:t>
      </w:r>
      <w:r w:rsidRPr="005A1DC0" w:rsidR="005A1DC0">
        <w:rPr>
          <w:rFonts w:eastAsia="Calibri"/>
        </w:rPr>
        <w:t xml:space="preserve">requirements through the agency’s Regional Small Business Representatives and through the scientific and administrative staffs within the agency. </w:t>
      </w:r>
      <w:r w:rsidR="00187BB6">
        <w:rPr>
          <w:rFonts w:eastAsia="Calibri"/>
        </w:rPr>
        <w:t xml:space="preserve"> </w:t>
      </w:r>
      <w:r w:rsidRPr="00187BB6" w:rsidR="00187BB6">
        <w:rPr>
          <w:rFonts w:eastAsia="Calibri"/>
        </w:rPr>
        <w:t xml:space="preserve">We </w:t>
      </w:r>
      <w:r>
        <w:rPr>
          <w:rFonts w:eastAsia="Calibri"/>
        </w:rPr>
        <w:t xml:space="preserve">also </w:t>
      </w:r>
      <w:r w:rsidRPr="00187BB6" w:rsidR="00187BB6">
        <w:rPr>
          <w:rFonts w:eastAsia="Calibri"/>
        </w:rPr>
        <w:t xml:space="preserve">provide </w:t>
      </w:r>
      <w:r w:rsidRPr="00187BB6">
        <w:rPr>
          <w:rFonts w:eastAsia="Calibri"/>
        </w:rPr>
        <w:t>assistance</w:t>
      </w:r>
      <w:r>
        <w:rPr>
          <w:rFonts w:eastAsia="Calibri"/>
        </w:rPr>
        <w:t xml:space="preserve"> via </w:t>
      </w:r>
      <w:r w:rsidR="00AA6384">
        <w:rPr>
          <w:rFonts w:eastAsia="Calibri"/>
        </w:rPr>
        <w:t xml:space="preserve">our </w:t>
      </w:r>
      <w:r w:rsidRPr="00187BB6" w:rsidR="00187BB6">
        <w:rPr>
          <w:rFonts w:eastAsia="Calibri"/>
        </w:rPr>
        <w:t xml:space="preserve">Small Business </w:t>
      </w:r>
      <w:r w:rsidR="00AA6384">
        <w:rPr>
          <w:rFonts w:eastAsia="Calibri"/>
        </w:rPr>
        <w:t xml:space="preserve">Assistance webpage </w:t>
      </w:r>
      <w:r w:rsidRPr="00187BB6" w:rsidR="00187BB6">
        <w:rPr>
          <w:rFonts w:eastAsia="Calibri"/>
        </w:rPr>
        <w:t xml:space="preserve">on the agency’s website at </w:t>
      </w:r>
      <w:hyperlink w:history="1" r:id="rId9">
        <w:r w:rsidRPr="00187BB6" w:rsidR="00187BB6">
          <w:rPr>
            <w:rStyle w:val="Hyperlink"/>
            <w:rFonts w:eastAsia="Calibri"/>
          </w:rPr>
          <w:t>https://www.fda.gov/in</w:t>
        </w:r>
        <w:r w:rsidRPr="00187BB6" w:rsidR="00187BB6">
          <w:rPr>
            <w:rStyle w:val="Hyperlink"/>
            <w:rFonts w:eastAsia="Calibri"/>
          </w:rPr>
          <w:t>d</w:t>
        </w:r>
        <w:r w:rsidRPr="00187BB6" w:rsidR="00187BB6">
          <w:rPr>
            <w:rStyle w:val="Hyperlink"/>
            <w:rFonts w:eastAsia="Calibri"/>
          </w:rPr>
          <w:t>ustry/small-business-assistance</w:t>
        </w:r>
      </w:hyperlink>
      <w:r w:rsidRPr="00187BB6" w:rsidR="00187BB6">
        <w:rPr>
          <w:rFonts w:eastAsia="Calibri"/>
        </w:rPr>
        <w:t>.</w:t>
      </w:r>
    </w:p>
    <w:p w:rsidRPr="00357C8A" w:rsidR="00357C8A" w:rsidP="006705EA" w:rsidRDefault="00357C8A" w14:paraId="2364FD7D"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357C8A" w:rsidR="00357C8A" w:rsidP="00357C8A" w:rsidRDefault="00C6442D" w14:paraId="745D6346" w14:textId="77777777">
      <w:pPr>
        <w:spacing w:after="200"/>
        <w:rPr>
          <w:rFonts w:eastAsia="Calibri"/>
          <w:color w:val="FF0000"/>
        </w:rPr>
      </w:pPr>
      <w:r>
        <w:rPr>
          <w:rFonts w:eastAsia="Calibri"/>
        </w:rPr>
        <w:t xml:space="preserve">The information </w:t>
      </w:r>
      <w:r w:rsidRPr="00187BB6" w:rsidR="00187BB6">
        <w:rPr>
          <w:rFonts w:eastAsia="Calibri"/>
        </w:rPr>
        <w:t xml:space="preserve">collection </w:t>
      </w:r>
      <w:r>
        <w:rPr>
          <w:rFonts w:eastAsia="Calibri"/>
        </w:rPr>
        <w:t xml:space="preserve">schedule </w:t>
      </w:r>
      <w:r w:rsidRPr="00187BB6" w:rsidR="00187BB6">
        <w:rPr>
          <w:rFonts w:eastAsia="Calibri"/>
        </w:rPr>
        <w:t xml:space="preserve">discussed in the guidance is consistent with </w:t>
      </w:r>
      <w:r w:rsidR="00AA6384">
        <w:rPr>
          <w:rFonts w:eastAsia="Calibri"/>
        </w:rPr>
        <w:t>s</w:t>
      </w:r>
      <w:r w:rsidRPr="00187BB6" w:rsidR="00187BB6">
        <w:rPr>
          <w:rFonts w:eastAsia="Calibri"/>
        </w:rPr>
        <w:t>ection 408(l)(5) of the FD&amp;C Act.</w:t>
      </w:r>
    </w:p>
    <w:p w:rsidRPr="00357C8A" w:rsidR="00357C8A" w:rsidP="006705EA" w:rsidRDefault="00357C8A" w14:paraId="3DB65D7B"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57C8A" w:rsidP="00187BB6" w:rsidRDefault="00187BB6" w14:paraId="182D04A3" w14:textId="77777777">
      <w:pPr>
        <w:spacing w:after="200"/>
        <w:rPr>
          <w:rFonts w:eastAsia="Calibri"/>
        </w:rPr>
      </w:pPr>
      <w:r w:rsidRPr="00187BB6">
        <w:rPr>
          <w:rFonts w:eastAsia="Calibri"/>
        </w:rPr>
        <w:t xml:space="preserve">Special circumstances in the collection of information may occur when a firm’s submission of appropriate documentation to the agency may contain trade secret and commercial confidential information. </w:t>
      </w:r>
      <w:r>
        <w:rPr>
          <w:rFonts w:eastAsia="Calibri"/>
        </w:rPr>
        <w:t xml:space="preserve"> </w:t>
      </w:r>
      <w:r w:rsidRPr="00187BB6">
        <w:rPr>
          <w:rFonts w:eastAsia="Calibri"/>
        </w:rPr>
        <w:t xml:space="preserve">This information is protected by FDA as discussed below in </w:t>
      </w:r>
      <w:r w:rsidR="00036446">
        <w:rPr>
          <w:rFonts w:eastAsia="Calibri"/>
        </w:rPr>
        <w:t>Item</w:t>
      </w:r>
      <w:r w:rsidRPr="00187BB6" w:rsidR="00036446">
        <w:rPr>
          <w:rFonts w:eastAsia="Calibri"/>
        </w:rPr>
        <w:t xml:space="preserve"> </w:t>
      </w:r>
      <w:r w:rsidRPr="00187BB6">
        <w:rPr>
          <w:rFonts w:eastAsia="Calibri"/>
        </w:rPr>
        <w:t xml:space="preserve">10. </w:t>
      </w:r>
      <w:r>
        <w:rPr>
          <w:rFonts w:eastAsia="Calibri"/>
        </w:rPr>
        <w:t xml:space="preserve"> </w:t>
      </w:r>
      <w:r w:rsidRPr="00187BB6">
        <w:rPr>
          <w:rFonts w:eastAsia="Calibri"/>
        </w:rPr>
        <w:t xml:space="preserve">In addition, if for some reason samples are collected from a firm on a more-than-quarterly basis and these samples are found to be potentially violative, the firm may wish to report information demonstrating compliance of such commodities with the channels of trade provision. </w:t>
      </w:r>
      <w:r>
        <w:rPr>
          <w:rFonts w:eastAsia="Calibri"/>
        </w:rPr>
        <w:t xml:space="preserve"> </w:t>
      </w:r>
      <w:r w:rsidRPr="00187BB6">
        <w:rPr>
          <w:rFonts w:eastAsia="Calibri"/>
        </w:rPr>
        <w:t xml:space="preserve">This would result in a firm reporting on more than a quarterly basis. </w:t>
      </w:r>
      <w:r>
        <w:rPr>
          <w:rFonts w:eastAsia="Calibri"/>
        </w:rPr>
        <w:t xml:space="preserve"> </w:t>
      </w:r>
      <w:r w:rsidRPr="00187BB6">
        <w:rPr>
          <w:rFonts w:eastAsia="Calibri"/>
        </w:rPr>
        <w:t>Also, chemical pesticide residues may remain in processed</w:t>
      </w:r>
      <w:r w:rsidR="0001672B">
        <w:rPr>
          <w:rFonts w:eastAsia="Calibri"/>
        </w:rPr>
        <w:t xml:space="preserve"> foods</w:t>
      </w:r>
      <w:r w:rsidRPr="00187BB6">
        <w:rPr>
          <w:rFonts w:eastAsia="Calibri"/>
        </w:rPr>
        <w:t xml:space="preserve"> (</w:t>
      </w:r>
      <w:r w:rsidRPr="00982A7E">
        <w:rPr>
          <w:rFonts w:eastAsia="Calibri"/>
          <w:i/>
        </w:rPr>
        <w:t>e.g.</w:t>
      </w:r>
      <w:r w:rsidRPr="00187BB6">
        <w:rPr>
          <w:rFonts w:eastAsia="Calibri"/>
        </w:rPr>
        <w:t>, frozen food</w:t>
      </w:r>
      <w:r>
        <w:rPr>
          <w:rFonts w:eastAsia="Calibri"/>
        </w:rPr>
        <w:t xml:space="preserve"> </w:t>
      </w:r>
      <w:r w:rsidRPr="00187BB6">
        <w:rPr>
          <w:rFonts w:eastAsia="Calibri"/>
        </w:rPr>
        <w:t xml:space="preserve">commodities) indefinitely. </w:t>
      </w:r>
      <w:r>
        <w:rPr>
          <w:rFonts w:eastAsia="Calibri"/>
        </w:rPr>
        <w:t xml:space="preserve"> </w:t>
      </w:r>
      <w:r w:rsidRPr="00187BB6">
        <w:rPr>
          <w:rFonts w:eastAsia="Calibri"/>
        </w:rPr>
        <w:t xml:space="preserve">Processed foods are expected to remain in the channels of trade up to four years after harvesting. </w:t>
      </w:r>
      <w:r>
        <w:rPr>
          <w:rFonts w:eastAsia="Calibri"/>
        </w:rPr>
        <w:t xml:space="preserve"> </w:t>
      </w:r>
      <w:r w:rsidRPr="00187BB6">
        <w:rPr>
          <w:rFonts w:eastAsia="Calibri"/>
        </w:rPr>
        <w:t>Firms dealing with processed foods may be asked to make a showing up to four years after the harvesting of the crop.</w:t>
      </w:r>
    </w:p>
    <w:p w:rsidRPr="00357C8A" w:rsidR="00357C8A" w:rsidP="006705EA" w:rsidRDefault="00357C8A" w14:paraId="1217A999"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Pr="005357E8" w:rsidR="00357C8A" w:rsidP="00357C8A" w:rsidRDefault="00187BB6" w14:paraId="30D217E4" w14:textId="77777777">
      <w:pPr>
        <w:spacing w:after="200"/>
        <w:rPr>
          <w:rFonts w:eastAsia="Calibri"/>
          <w:color w:val="000000"/>
        </w:rPr>
      </w:pPr>
      <w:r w:rsidRPr="00187BB6">
        <w:rPr>
          <w:rFonts w:eastAsia="Calibri"/>
        </w:rPr>
        <w:t xml:space="preserve">In accordance with 5 CFR 1320.8(d), </w:t>
      </w:r>
      <w:r w:rsidR="00511E5F">
        <w:rPr>
          <w:rFonts w:eastAsia="Calibri"/>
        </w:rPr>
        <w:t>we</w:t>
      </w:r>
      <w:r w:rsidRPr="00187BB6" w:rsidR="00511E5F">
        <w:rPr>
          <w:rFonts w:eastAsia="Calibri"/>
        </w:rPr>
        <w:t xml:space="preserve"> </w:t>
      </w:r>
      <w:r w:rsidRPr="00187BB6">
        <w:rPr>
          <w:rFonts w:eastAsia="Calibri"/>
        </w:rPr>
        <w:t>published a 60</w:t>
      </w:r>
      <w:r w:rsidR="00511E5F">
        <w:rPr>
          <w:rFonts w:eastAsia="Calibri"/>
        </w:rPr>
        <w:t>-</w:t>
      </w:r>
      <w:r w:rsidRPr="00187BB6">
        <w:rPr>
          <w:rFonts w:eastAsia="Calibri"/>
        </w:rPr>
        <w:t xml:space="preserve">day notice </w:t>
      </w:r>
      <w:r w:rsidR="005B0988">
        <w:rPr>
          <w:rFonts w:eastAsia="Calibri"/>
        </w:rPr>
        <w:t>requesting</w:t>
      </w:r>
      <w:r w:rsidRPr="00187BB6" w:rsidR="005B0988">
        <w:rPr>
          <w:rFonts w:eastAsia="Calibri"/>
        </w:rPr>
        <w:t xml:space="preserve"> </w:t>
      </w:r>
      <w:r w:rsidRPr="00187BB6">
        <w:rPr>
          <w:rFonts w:eastAsia="Calibri"/>
        </w:rPr>
        <w:t xml:space="preserve">public comment in the </w:t>
      </w:r>
      <w:r w:rsidRPr="00D92E69">
        <w:rPr>
          <w:rFonts w:eastAsia="Calibri"/>
          <w:i/>
        </w:rPr>
        <w:t>Federal Register</w:t>
      </w:r>
      <w:r w:rsidRPr="00187BB6">
        <w:rPr>
          <w:rFonts w:eastAsia="Calibri"/>
        </w:rPr>
        <w:t xml:space="preserve"> of </w:t>
      </w:r>
      <w:r w:rsidR="0050539E">
        <w:rPr>
          <w:rFonts w:eastAsia="Calibri"/>
        </w:rPr>
        <w:t>May</w:t>
      </w:r>
      <w:r w:rsidRPr="00187BB6" w:rsidR="0050539E">
        <w:rPr>
          <w:rFonts w:eastAsia="Calibri"/>
        </w:rPr>
        <w:t xml:space="preserve"> </w:t>
      </w:r>
      <w:r w:rsidR="0050539E">
        <w:rPr>
          <w:rFonts w:eastAsia="Calibri"/>
        </w:rPr>
        <w:t>13</w:t>
      </w:r>
      <w:r w:rsidRPr="00187BB6">
        <w:rPr>
          <w:rFonts w:eastAsia="Calibri"/>
        </w:rPr>
        <w:t>, 20</w:t>
      </w:r>
      <w:r>
        <w:rPr>
          <w:rFonts w:eastAsia="Calibri"/>
        </w:rPr>
        <w:t>20</w:t>
      </w:r>
      <w:r w:rsidRPr="00187BB6">
        <w:rPr>
          <w:rFonts w:eastAsia="Calibri"/>
        </w:rPr>
        <w:t xml:space="preserve"> (8</w:t>
      </w:r>
      <w:r>
        <w:rPr>
          <w:rFonts w:eastAsia="Calibri"/>
        </w:rPr>
        <w:t>5</w:t>
      </w:r>
      <w:r w:rsidRPr="00187BB6">
        <w:rPr>
          <w:rFonts w:eastAsia="Calibri"/>
        </w:rPr>
        <w:t xml:space="preserve"> FR </w:t>
      </w:r>
      <w:r w:rsidR="0050539E">
        <w:rPr>
          <w:rFonts w:eastAsia="Calibri"/>
        </w:rPr>
        <w:t>28639</w:t>
      </w:r>
      <w:r w:rsidRPr="00187BB6">
        <w:rPr>
          <w:rFonts w:eastAsia="Calibri"/>
        </w:rPr>
        <w:t xml:space="preserve">). </w:t>
      </w:r>
      <w:r w:rsidR="002A501D">
        <w:rPr>
          <w:rFonts w:eastAsia="Calibri"/>
        </w:rPr>
        <w:t xml:space="preserve"> </w:t>
      </w:r>
      <w:r w:rsidRPr="005B0988" w:rsidR="005B0988">
        <w:rPr>
          <w:rFonts w:eastAsia="Calibri"/>
        </w:rPr>
        <w:t>Four comments were received.  Three comments offer</w:t>
      </w:r>
      <w:r w:rsidR="00036446">
        <w:rPr>
          <w:rFonts w:eastAsia="Calibri"/>
        </w:rPr>
        <w:t>ed</w:t>
      </w:r>
      <w:r w:rsidRPr="005B0988" w:rsidR="005B0988">
        <w:rPr>
          <w:rFonts w:eastAsia="Calibri"/>
        </w:rPr>
        <w:t xml:space="preserve"> general support for the information collection and one comment was non</w:t>
      </w:r>
      <w:r w:rsidR="00036446">
        <w:rPr>
          <w:rFonts w:eastAsia="Calibri"/>
        </w:rPr>
        <w:t>-</w:t>
      </w:r>
      <w:r w:rsidRPr="005B0988" w:rsidR="005B0988">
        <w:rPr>
          <w:rFonts w:eastAsia="Calibri"/>
        </w:rPr>
        <w:t>responsive to the information collection topics solicited.  None of the comments suggested that we revise our burden estimate.</w:t>
      </w:r>
    </w:p>
    <w:p w:rsidRPr="00357C8A" w:rsidR="00357C8A" w:rsidP="006705EA" w:rsidRDefault="00357C8A" w14:paraId="06EB6058"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5357E8" w:rsidR="00357C8A" w:rsidP="00357C8A" w:rsidRDefault="00792947" w14:paraId="0EDBD3A2" w14:textId="77777777">
      <w:pPr>
        <w:spacing w:after="200"/>
        <w:rPr>
          <w:rFonts w:eastAsia="Calibri"/>
          <w:color w:val="000000"/>
        </w:rPr>
      </w:pPr>
      <w:r w:rsidRPr="002074FE">
        <w:rPr>
          <w:rFonts w:eastAsia="Calibri"/>
        </w:rPr>
        <w:t>There are no incentives, payments</w:t>
      </w:r>
      <w:r w:rsidR="00036446">
        <w:rPr>
          <w:rFonts w:eastAsia="Calibri"/>
        </w:rPr>
        <w:t>,</w:t>
      </w:r>
      <w:r w:rsidRPr="002074FE">
        <w:rPr>
          <w:rFonts w:eastAsia="Calibri"/>
        </w:rPr>
        <w:t xml:space="preserve"> or gifts associated with this information collection.</w:t>
      </w:r>
      <w:r w:rsidR="002A501D">
        <w:rPr>
          <w:rFonts w:eastAsia="Calibri"/>
        </w:rPr>
        <w:t xml:space="preserve"> </w:t>
      </w:r>
      <w:r w:rsidRPr="002A501D" w:rsidR="002A501D">
        <w:t xml:space="preserve"> </w:t>
      </w:r>
    </w:p>
    <w:p w:rsidRPr="00357C8A" w:rsidR="00357C8A" w:rsidP="006705EA" w:rsidRDefault="004E3469" w14:paraId="2252A227" w14:textId="5CD69DE9">
      <w:pPr>
        <w:numPr>
          <w:ilvl w:val="0"/>
          <w:numId w:val="6"/>
        </w:numPr>
        <w:spacing w:after="200" w:line="276" w:lineRule="auto"/>
        <w:rPr>
          <w:rFonts w:eastAsia="Calibri"/>
        </w:rPr>
      </w:pPr>
      <w:r>
        <w:rPr>
          <w:rFonts w:eastAsia="Calibri"/>
        </w:rPr>
        <w:br w:type="page"/>
      </w:r>
      <w:bookmarkStart w:name="_GoBack" w:id="2"/>
      <w:bookmarkEnd w:id="2"/>
      <w:r w:rsidRPr="00357C8A" w:rsidR="00357C8A">
        <w:rPr>
          <w:rFonts w:eastAsia="Calibri"/>
          <w:u w:val="single"/>
        </w:rPr>
        <w:lastRenderedPageBreak/>
        <w:t>Assurance of Confidentiality Provided to Respondents</w:t>
      </w:r>
    </w:p>
    <w:p w:rsidR="005B0988" w:rsidP="00082A1D" w:rsidRDefault="00C6442D" w14:paraId="572383C4" w14:textId="77777777">
      <w:pPr>
        <w:rPr>
          <w:rFonts w:eastAsia="Calibri"/>
        </w:rPr>
      </w:pPr>
      <w:r>
        <w:rPr>
          <w:rFonts w:eastAsia="Calibri"/>
        </w:rPr>
        <w:t xml:space="preserve">In preparing this supporting statement, we consulted with our Privacy Office to ensure appropriate handling of information collected.  </w:t>
      </w:r>
      <w:r w:rsidRPr="005B0988" w:rsidR="005B0988">
        <w:rPr>
          <w:rFonts w:eastAsia="Calibri"/>
        </w:rPr>
        <w:t xml:space="preserve">Firms whose food product(s) are found to contain apparently illegal pesticide residues may provide records to FDA to demonstrate compliance of the products(s) with the channels of trade provision of the FD&amp;C Act.  Any records that the agency may copy or take possession of in such event would be protected from disclosure under the Freedom of Information Act (FOIA) under sections 552(a) and (b) (5 U.S.C. 552(a) and (b)), and by </w:t>
      </w:r>
      <w:r w:rsidR="005B0988">
        <w:rPr>
          <w:rFonts w:eastAsia="Calibri"/>
        </w:rPr>
        <w:t>p</w:t>
      </w:r>
      <w:r w:rsidRPr="005B0988" w:rsidR="005B0988">
        <w:rPr>
          <w:rFonts w:eastAsia="Calibri"/>
        </w:rPr>
        <w:t>art 20 of the agency’s regulations (21 CFR part 20).</w:t>
      </w:r>
    </w:p>
    <w:p w:rsidR="005B0988" w:rsidP="00082A1D" w:rsidRDefault="005B0988" w14:paraId="0882C8A1" w14:textId="77777777">
      <w:pPr>
        <w:rPr>
          <w:rFonts w:eastAsia="Calibri"/>
        </w:rPr>
      </w:pPr>
    </w:p>
    <w:p w:rsidRPr="00D92E69" w:rsidR="005B0988" w:rsidP="00082A1D" w:rsidRDefault="005B0988" w14:paraId="1C577479" w14:textId="77777777">
      <w:pPr>
        <w:rPr>
          <w:rFonts w:eastAsia="Calibri"/>
          <w:i/>
        </w:rPr>
      </w:pPr>
      <w:r w:rsidRPr="00D92E69">
        <w:rPr>
          <w:rFonts w:eastAsia="Calibri"/>
          <w:i/>
        </w:rPr>
        <w:t>Privacy Act</w:t>
      </w:r>
    </w:p>
    <w:p w:rsidR="005B0988" w:rsidP="00082A1D" w:rsidRDefault="005B0988" w14:paraId="621C1155" w14:textId="77777777">
      <w:pPr>
        <w:rPr>
          <w:rFonts w:eastAsia="Calibri"/>
        </w:rPr>
      </w:pPr>
    </w:p>
    <w:p w:rsidRPr="00082A1D" w:rsidR="00082A1D" w:rsidP="00082A1D" w:rsidRDefault="00082A1D" w14:paraId="69D1DFBD" w14:textId="77777777">
      <w:pPr>
        <w:rPr>
          <w:rFonts w:eastAsia="Calibri"/>
        </w:rPr>
      </w:pPr>
      <w:r w:rsidRPr="00082A1D">
        <w:rPr>
          <w:rFonts w:eastAsia="Calibri"/>
        </w:rPr>
        <w:t xml:space="preserve">This information collection request (ICR) is collecting personally identifiable information (PII) or data of a personal nature. </w:t>
      </w:r>
      <w:r>
        <w:rPr>
          <w:rFonts w:eastAsia="Calibri"/>
        </w:rPr>
        <w:t xml:space="preserve"> </w:t>
      </w:r>
      <w:r w:rsidR="005B0988">
        <w:rPr>
          <w:rFonts w:eastAsia="Calibri"/>
        </w:rPr>
        <w:t xml:space="preserve">The </w:t>
      </w:r>
      <w:r w:rsidRPr="00082A1D">
        <w:rPr>
          <w:rFonts w:eastAsia="Calibri"/>
        </w:rPr>
        <w:t>PII collected is company point</w:t>
      </w:r>
      <w:r w:rsidR="005B0988">
        <w:rPr>
          <w:rFonts w:eastAsia="Calibri"/>
        </w:rPr>
        <w:t>-</w:t>
      </w:r>
      <w:r w:rsidRPr="00082A1D">
        <w:rPr>
          <w:rFonts w:eastAsia="Calibri"/>
        </w:rPr>
        <w:t>of</w:t>
      </w:r>
      <w:r w:rsidR="005B0988">
        <w:rPr>
          <w:rFonts w:eastAsia="Calibri"/>
        </w:rPr>
        <w:t>-</w:t>
      </w:r>
      <w:r w:rsidRPr="00082A1D">
        <w:rPr>
          <w:rFonts w:eastAsia="Calibri"/>
        </w:rPr>
        <w:t xml:space="preserve">contact information that is included with evidence provided by a company. </w:t>
      </w:r>
      <w:r>
        <w:rPr>
          <w:rFonts w:eastAsia="Calibri"/>
        </w:rPr>
        <w:t xml:space="preserve"> </w:t>
      </w:r>
      <w:r w:rsidRPr="00082A1D">
        <w:rPr>
          <w:rFonts w:eastAsia="Calibri"/>
        </w:rPr>
        <w:t xml:space="preserve">Information collected by FDA is to provide evidence from the firm to demonstrate that the pesticide residue found in its product is a result of legal application. </w:t>
      </w:r>
      <w:r>
        <w:rPr>
          <w:rFonts w:eastAsia="Calibri"/>
        </w:rPr>
        <w:t xml:space="preserve"> </w:t>
      </w:r>
      <w:r w:rsidR="005266BD">
        <w:rPr>
          <w:rFonts w:eastAsia="Calibri"/>
        </w:rPr>
        <w:t>Some examples of</w:t>
      </w:r>
      <w:r w:rsidRPr="00082A1D" w:rsidR="005266BD">
        <w:rPr>
          <w:rFonts w:eastAsia="Calibri"/>
        </w:rPr>
        <w:t xml:space="preserve"> </w:t>
      </w:r>
      <w:r w:rsidRPr="00082A1D">
        <w:rPr>
          <w:rFonts w:eastAsia="Calibri"/>
        </w:rPr>
        <w:t xml:space="preserve">types of documentation </w:t>
      </w:r>
      <w:r w:rsidR="005B0988">
        <w:rPr>
          <w:rFonts w:eastAsia="Calibri"/>
        </w:rPr>
        <w:t>we</w:t>
      </w:r>
      <w:r w:rsidRPr="00082A1D" w:rsidR="005B0988">
        <w:rPr>
          <w:rFonts w:eastAsia="Calibri"/>
        </w:rPr>
        <w:t xml:space="preserve"> </w:t>
      </w:r>
      <w:r w:rsidRPr="00082A1D">
        <w:rPr>
          <w:rFonts w:eastAsia="Calibri"/>
        </w:rPr>
        <w:t>may find acceptable for demonstrating that a food meets the requirements of the channels of trade provision include dated invoices, bills of sale, airway bills, and customs entry forms.</w:t>
      </w:r>
      <w:r w:rsidR="00A96780">
        <w:rPr>
          <w:rFonts w:eastAsia="Calibri"/>
        </w:rPr>
        <w:t xml:space="preserve">  Based on our assessment we have determined that the information collection is not </w:t>
      </w:r>
      <w:r w:rsidRPr="00082A1D">
        <w:rPr>
          <w:rFonts w:eastAsia="Calibri"/>
        </w:rPr>
        <w:t xml:space="preserve">subject to the Privacy Act of 1974 and the particular notice and other requirements of the Act do not apply. </w:t>
      </w:r>
      <w:r>
        <w:rPr>
          <w:rFonts w:eastAsia="Calibri"/>
        </w:rPr>
        <w:t xml:space="preserve"> </w:t>
      </w:r>
      <w:r w:rsidRPr="00082A1D">
        <w:rPr>
          <w:rFonts w:eastAsia="Calibri"/>
        </w:rPr>
        <w:t xml:space="preserve">Specifically, </w:t>
      </w:r>
      <w:r w:rsidR="005B0988">
        <w:rPr>
          <w:rFonts w:eastAsia="Calibri"/>
        </w:rPr>
        <w:t>we</w:t>
      </w:r>
      <w:r w:rsidRPr="00082A1D" w:rsidR="005B0988">
        <w:rPr>
          <w:rFonts w:eastAsia="Calibri"/>
        </w:rPr>
        <w:t xml:space="preserve"> </w:t>
      </w:r>
      <w:r w:rsidRPr="00082A1D">
        <w:rPr>
          <w:rFonts w:eastAsia="Calibri"/>
        </w:rPr>
        <w:t>do not use name or any other personal identifier to routinely retrieve records from the information collected.</w:t>
      </w:r>
    </w:p>
    <w:p w:rsidRPr="001075D3" w:rsidR="001075D3" w:rsidP="00D92E69" w:rsidRDefault="001075D3" w14:paraId="33814B26" w14:textId="77777777"/>
    <w:p w:rsidRPr="00357C8A" w:rsidR="00357C8A" w:rsidP="006705EA" w:rsidRDefault="00357C8A" w14:paraId="022CC374" w14:textId="77777777">
      <w:pPr>
        <w:numPr>
          <w:ilvl w:val="0"/>
          <w:numId w:val="6"/>
        </w:numPr>
        <w:spacing w:after="200" w:line="276" w:lineRule="auto"/>
        <w:rPr>
          <w:rFonts w:eastAsia="Calibri"/>
        </w:rPr>
      </w:pPr>
      <w:r w:rsidRPr="00357C8A">
        <w:rPr>
          <w:rFonts w:eastAsia="Calibri"/>
          <w:u w:val="single"/>
        </w:rPr>
        <w:t>Justification for Sensitive Questions</w:t>
      </w:r>
    </w:p>
    <w:p w:rsidRPr="002074FE" w:rsidR="00357C8A" w:rsidP="00DD0E02" w:rsidRDefault="00357C8A" w14:paraId="0A52FA08" w14:textId="77777777">
      <w:pPr>
        <w:spacing w:after="200"/>
        <w:rPr>
          <w:rFonts w:eastAsia="Calibri"/>
        </w:rPr>
      </w:pPr>
      <w:r w:rsidRPr="009954D7">
        <w:rPr>
          <w:rFonts w:eastAsia="Calibri"/>
        </w:rPr>
        <w:t>The collection of information does not involve sensitive questions.</w:t>
      </w:r>
      <w:r w:rsidRPr="009954D7" w:rsidR="002A501D">
        <w:rPr>
          <w:rFonts w:eastAsia="Calibri"/>
        </w:rPr>
        <w:t xml:space="preserve"> </w:t>
      </w:r>
      <w:r w:rsidRPr="002A501D" w:rsidR="002A501D">
        <w:t xml:space="preserve"> </w:t>
      </w:r>
    </w:p>
    <w:p w:rsidRPr="00357C8A" w:rsidR="00357C8A" w:rsidP="006705EA" w:rsidRDefault="00357C8A" w14:paraId="2C4EC3ED"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Pr="00A96780" w:rsidR="00357C8A" w:rsidP="0022425B" w:rsidRDefault="00357C8A" w14:paraId="64BF1C59" w14:textId="77777777">
      <w:pPr>
        <w:spacing w:after="200"/>
        <w:ind w:left="360"/>
        <w:rPr>
          <w:rFonts w:eastAsia="Calibri"/>
          <w:i/>
        </w:rPr>
      </w:pPr>
      <w:r w:rsidRPr="00A96780">
        <w:rPr>
          <w:rFonts w:eastAsia="Calibri"/>
          <w:i/>
        </w:rPr>
        <w:t>12a.  Annualized Hour Burden Estimate</w:t>
      </w:r>
    </w:p>
    <w:p w:rsidRPr="00D92E69" w:rsidR="00945D3E" w:rsidP="00D92E69" w:rsidRDefault="007539DB" w14:paraId="12AF7B4F" w14:textId="77777777">
      <w:pPr>
        <w:pStyle w:val="BodyText"/>
        <w:spacing w:after="0"/>
        <w:ind w:left="360" w:right="1958"/>
        <w:jc w:val="center"/>
        <w:rPr>
          <w:sz w:val="20"/>
          <w:szCs w:val="20"/>
          <w:vertAlign w:val="superscript"/>
        </w:rPr>
      </w:pPr>
      <w:r w:rsidRPr="00D92E69">
        <w:rPr>
          <w:sz w:val="20"/>
          <w:szCs w:val="20"/>
        </w:rPr>
        <w:t>Table 1</w:t>
      </w:r>
      <w:r w:rsidRPr="00D92E69" w:rsidR="005B0988">
        <w:rPr>
          <w:sz w:val="20"/>
          <w:szCs w:val="20"/>
        </w:rPr>
        <w:t>.--</w:t>
      </w:r>
      <w:r w:rsidRPr="00D92E69">
        <w:rPr>
          <w:sz w:val="20"/>
          <w:szCs w:val="20"/>
        </w:rPr>
        <w:t>Estimated Annual Reporting Burden</w:t>
      </w:r>
      <w:r w:rsidRPr="00D92E69">
        <w:rPr>
          <w:sz w:val="20"/>
          <w:szCs w:val="20"/>
          <w:vertAlign w:val="superscript"/>
        </w:rPr>
        <w:t>1</w:t>
      </w:r>
    </w:p>
    <w:tbl>
      <w:tblPr>
        <w:tblW w:w="95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060"/>
        <w:gridCol w:w="1530"/>
        <w:gridCol w:w="1440"/>
        <w:gridCol w:w="1260"/>
        <w:gridCol w:w="1170"/>
        <w:gridCol w:w="1080"/>
      </w:tblGrid>
      <w:tr w:rsidRPr="00945D3E" w:rsidR="00945D3E" w:rsidTr="00A96780" w14:paraId="79E0B202" w14:textId="77777777">
        <w:trPr>
          <w:trHeight w:val="759"/>
        </w:trPr>
        <w:tc>
          <w:tcPr>
            <w:tcW w:w="3060" w:type="dxa"/>
          </w:tcPr>
          <w:p w:rsidRPr="00945D3E" w:rsidR="00945D3E" w:rsidP="00A96780" w:rsidRDefault="00945D3E" w14:paraId="711A2FF5" w14:textId="77777777">
            <w:pPr>
              <w:widowControl w:val="0"/>
              <w:autoSpaceDE w:val="0"/>
              <w:autoSpaceDN w:val="0"/>
              <w:ind w:left="107"/>
              <w:jc w:val="center"/>
              <w:rPr>
                <w:sz w:val="20"/>
                <w:szCs w:val="20"/>
              </w:rPr>
            </w:pPr>
            <w:r w:rsidRPr="00945D3E">
              <w:rPr>
                <w:sz w:val="20"/>
                <w:szCs w:val="20"/>
              </w:rPr>
              <w:t>Activity</w:t>
            </w:r>
          </w:p>
        </w:tc>
        <w:tc>
          <w:tcPr>
            <w:tcW w:w="1530" w:type="dxa"/>
          </w:tcPr>
          <w:p w:rsidRPr="00945D3E" w:rsidR="00945D3E" w:rsidP="00A96780" w:rsidRDefault="00945D3E" w14:paraId="14AEB4EE" w14:textId="77777777">
            <w:pPr>
              <w:widowControl w:val="0"/>
              <w:autoSpaceDE w:val="0"/>
              <w:autoSpaceDN w:val="0"/>
              <w:ind w:left="107" w:right="80"/>
              <w:jc w:val="center"/>
              <w:rPr>
                <w:sz w:val="20"/>
                <w:szCs w:val="20"/>
              </w:rPr>
            </w:pPr>
            <w:r w:rsidRPr="00945D3E">
              <w:rPr>
                <w:sz w:val="20"/>
                <w:szCs w:val="20"/>
              </w:rPr>
              <w:t>No. of Respondents</w:t>
            </w:r>
          </w:p>
        </w:tc>
        <w:tc>
          <w:tcPr>
            <w:tcW w:w="1440" w:type="dxa"/>
          </w:tcPr>
          <w:p w:rsidRPr="00945D3E" w:rsidR="00945D3E" w:rsidP="00A96780" w:rsidRDefault="00945D3E" w14:paraId="0D5FC9BC" w14:textId="77777777">
            <w:pPr>
              <w:widowControl w:val="0"/>
              <w:autoSpaceDE w:val="0"/>
              <w:autoSpaceDN w:val="0"/>
              <w:ind w:left="107" w:right="128"/>
              <w:jc w:val="center"/>
              <w:rPr>
                <w:sz w:val="20"/>
                <w:szCs w:val="20"/>
              </w:rPr>
            </w:pPr>
            <w:r w:rsidRPr="00945D3E">
              <w:rPr>
                <w:sz w:val="20"/>
                <w:szCs w:val="20"/>
              </w:rPr>
              <w:t>No. of Responses per Respondent</w:t>
            </w:r>
          </w:p>
        </w:tc>
        <w:tc>
          <w:tcPr>
            <w:tcW w:w="1260" w:type="dxa"/>
          </w:tcPr>
          <w:p w:rsidRPr="00945D3E" w:rsidR="00945D3E" w:rsidP="00A96780" w:rsidRDefault="00945D3E" w14:paraId="2ECAD869" w14:textId="77777777">
            <w:pPr>
              <w:widowControl w:val="0"/>
              <w:autoSpaceDE w:val="0"/>
              <w:autoSpaceDN w:val="0"/>
              <w:ind w:left="107" w:right="226"/>
              <w:jc w:val="center"/>
              <w:rPr>
                <w:sz w:val="20"/>
                <w:szCs w:val="20"/>
              </w:rPr>
            </w:pPr>
            <w:r w:rsidRPr="00945D3E">
              <w:rPr>
                <w:sz w:val="20"/>
                <w:szCs w:val="20"/>
              </w:rPr>
              <w:t>Total Annual Responses</w:t>
            </w:r>
          </w:p>
        </w:tc>
        <w:tc>
          <w:tcPr>
            <w:tcW w:w="1170" w:type="dxa"/>
          </w:tcPr>
          <w:p w:rsidRPr="00945D3E" w:rsidR="00945D3E" w:rsidP="00A96780" w:rsidRDefault="00945D3E" w14:paraId="36DD06F1" w14:textId="77777777">
            <w:pPr>
              <w:widowControl w:val="0"/>
              <w:autoSpaceDE w:val="0"/>
              <w:autoSpaceDN w:val="0"/>
              <w:ind w:left="107" w:right="135"/>
              <w:jc w:val="center"/>
              <w:rPr>
                <w:sz w:val="20"/>
                <w:szCs w:val="20"/>
              </w:rPr>
            </w:pPr>
            <w:r w:rsidRPr="00945D3E">
              <w:rPr>
                <w:sz w:val="20"/>
                <w:szCs w:val="20"/>
              </w:rPr>
              <w:t>Average Burden per Response</w:t>
            </w:r>
          </w:p>
        </w:tc>
        <w:tc>
          <w:tcPr>
            <w:tcW w:w="1080" w:type="dxa"/>
          </w:tcPr>
          <w:p w:rsidRPr="00945D3E" w:rsidR="00945D3E" w:rsidP="00A96780" w:rsidRDefault="00945D3E" w14:paraId="58601A60" w14:textId="77777777">
            <w:pPr>
              <w:widowControl w:val="0"/>
              <w:autoSpaceDE w:val="0"/>
              <w:autoSpaceDN w:val="0"/>
              <w:ind w:left="107" w:right="408"/>
              <w:jc w:val="center"/>
              <w:rPr>
                <w:sz w:val="20"/>
                <w:szCs w:val="20"/>
              </w:rPr>
            </w:pPr>
            <w:r w:rsidRPr="00945D3E">
              <w:rPr>
                <w:sz w:val="20"/>
                <w:szCs w:val="20"/>
              </w:rPr>
              <w:t>Total Hours</w:t>
            </w:r>
          </w:p>
        </w:tc>
      </w:tr>
      <w:tr w:rsidRPr="00945D3E" w:rsidR="00945D3E" w:rsidTr="00A96780" w14:paraId="514739D9" w14:textId="77777777">
        <w:trPr>
          <w:trHeight w:val="323"/>
        </w:trPr>
        <w:tc>
          <w:tcPr>
            <w:tcW w:w="3060" w:type="dxa"/>
          </w:tcPr>
          <w:p w:rsidRPr="00945D3E" w:rsidR="00945D3E" w:rsidP="00A96780" w:rsidRDefault="00945D3E" w14:paraId="3C19EE76" w14:textId="77777777">
            <w:pPr>
              <w:widowControl w:val="0"/>
              <w:autoSpaceDE w:val="0"/>
              <w:autoSpaceDN w:val="0"/>
              <w:ind w:left="107"/>
              <w:rPr>
                <w:sz w:val="20"/>
                <w:szCs w:val="20"/>
              </w:rPr>
            </w:pPr>
            <w:r w:rsidRPr="00945D3E">
              <w:rPr>
                <w:sz w:val="20"/>
                <w:szCs w:val="20"/>
              </w:rPr>
              <w:t>Submission of</w:t>
            </w:r>
            <w:r w:rsidR="00A96780">
              <w:rPr>
                <w:sz w:val="20"/>
                <w:szCs w:val="20"/>
              </w:rPr>
              <w:t xml:space="preserve"> </w:t>
            </w:r>
            <w:r w:rsidRPr="00945D3E">
              <w:rPr>
                <w:sz w:val="20"/>
                <w:szCs w:val="20"/>
              </w:rPr>
              <w:t>documentation</w:t>
            </w:r>
            <w:r w:rsidR="00A96780">
              <w:rPr>
                <w:sz w:val="20"/>
                <w:szCs w:val="20"/>
              </w:rPr>
              <w:t xml:space="preserve"> in accordance w/Guidance</w:t>
            </w:r>
          </w:p>
        </w:tc>
        <w:tc>
          <w:tcPr>
            <w:tcW w:w="1530" w:type="dxa"/>
          </w:tcPr>
          <w:p w:rsidRPr="00945D3E" w:rsidR="00945D3E" w:rsidP="00A96780" w:rsidRDefault="00945D3E" w14:paraId="49DE08E5" w14:textId="77777777">
            <w:pPr>
              <w:widowControl w:val="0"/>
              <w:autoSpaceDE w:val="0"/>
              <w:autoSpaceDN w:val="0"/>
              <w:ind w:left="107"/>
              <w:jc w:val="right"/>
              <w:rPr>
                <w:sz w:val="20"/>
                <w:szCs w:val="20"/>
              </w:rPr>
            </w:pPr>
            <w:r w:rsidRPr="00945D3E">
              <w:rPr>
                <w:w w:val="99"/>
                <w:sz w:val="20"/>
                <w:szCs w:val="20"/>
              </w:rPr>
              <w:t>1</w:t>
            </w:r>
          </w:p>
        </w:tc>
        <w:tc>
          <w:tcPr>
            <w:tcW w:w="1440" w:type="dxa"/>
          </w:tcPr>
          <w:p w:rsidRPr="00945D3E" w:rsidR="00945D3E" w:rsidP="00A96780" w:rsidRDefault="00945D3E" w14:paraId="660825D6" w14:textId="77777777">
            <w:pPr>
              <w:widowControl w:val="0"/>
              <w:autoSpaceDE w:val="0"/>
              <w:autoSpaceDN w:val="0"/>
              <w:ind w:left="107"/>
              <w:jc w:val="right"/>
              <w:rPr>
                <w:sz w:val="20"/>
                <w:szCs w:val="20"/>
              </w:rPr>
            </w:pPr>
            <w:r w:rsidRPr="00945D3E">
              <w:rPr>
                <w:w w:val="99"/>
                <w:sz w:val="20"/>
                <w:szCs w:val="20"/>
              </w:rPr>
              <w:t>1</w:t>
            </w:r>
          </w:p>
        </w:tc>
        <w:tc>
          <w:tcPr>
            <w:tcW w:w="1260" w:type="dxa"/>
          </w:tcPr>
          <w:p w:rsidRPr="00945D3E" w:rsidR="00945D3E" w:rsidP="00A96780" w:rsidRDefault="00945D3E" w14:paraId="61A06B1E" w14:textId="77777777">
            <w:pPr>
              <w:widowControl w:val="0"/>
              <w:autoSpaceDE w:val="0"/>
              <w:autoSpaceDN w:val="0"/>
              <w:ind w:left="107"/>
              <w:jc w:val="right"/>
              <w:rPr>
                <w:sz w:val="20"/>
                <w:szCs w:val="20"/>
              </w:rPr>
            </w:pPr>
            <w:r w:rsidRPr="00945D3E">
              <w:rPr>
                <w:w w:val="99"/>
                <w:sz w:val="20"/>
                <w:szCs w:val="20"/>
              </w:rPr>
              <w:t>1</w:t>
            </w:r>
          </w:p>
        </w:tc>
        <w:tc>
          <w:tcPr>
            <w:tcW w:w="1170" w:type="dxa"/>
          </w:tcPr>
          <w:p w:rsidRPr="00945D3E" w:rsidR="00945D3E" w:rsidP="00A96780" w:rsidRDefault="00945D3E" w14:paraId="623A38B6" w14:textId="77777777">
            <w:pPr>
              <w:widowControl w:val="0"/>
              <w:autoSpaceDE w:val="0"/>
              <w:autoSpaceDN w:val="0"/>
              <w:ind w:left="107"/>
              <w:jc w:val="right"/>
              <w:rPr>
                <w:sz w:val="20"/>
                <w:szCs w:val="20"/>
              </w:rPr>
            </w:pPr>
            <w:r w:rsidRPr="00945D3E">
              <w:rPr>
                <w:w w:val="99"/>
                <w:sz w:val="20"/>
                <w:szCs w:val="20"/>
              </w:rPr>
              <w:t>3</w:t>
            </w:r>
          </w:p>
        </w:tc>
        <w:tc>
          <w:tcPr>
            <w:tcW w:w="1080" w:type="dxa"/>
          </w:tcPr>
          <w:p w:rsidRPr="00945D3E" w:rsidR="00945D3E" w:rsidP="00A96780" w:rsidRDefault="00945D3E" w14:paraId="6E9E7DA6" w14:textId="77777777">
            <w:pPr>
              <w:widowControl w:val="0"/>
              <w:autoSpaceDE w:val="0"/>
              <w:autoSpaceDN w:val="0"/>
              <w:ind w:left="107"/>
              <w:jc w:val="right"/>
              <w:rPr>
                <w:sz w:val="20"/>
                <w:szCs w:val="20"/>
              </w:rPr>
            </w:pPr>
            <w:r w:rsidRPr="00945D3E">
              <w:rPr>
                <w:w w:val="99"/>
                <w:sz w:val="20"/>
                <w:szCs w:val="20"/>
              </w:rPr>
              <w:t>3</w:t>
            </w:r>
          </w:p>
        </w:tc>
      </w:tr>
    </w:tbl>
    <w:p w:rsidR="007539DB" w:rsidP="009954D7" w:rsidRDefault="007539DB" w14:paraId="34830D14" w14:textId="77777777">
      <w:pPr>
        <w:pStyle w:val="BodyText"/>
        <w:spacing w:after="0"/>
      </w:pPr>
    </w:p>
    <w:p w:rsidR="007539DB" w:rsidP="00A96780" w:rsidRDefault="007539DB" w14:paraId="22998A8A" w14:textId="77777777">
      <w:pPr>
        <w:pStyle w:val="BodyText"/>
        <w:ind w:right="271"/>
      </w:pPr>
      <w:r>
        <w:t>We expect the total number of pesticide tolerances that are revoked, suspended, or modified by EPA pursuant to dietary risk considerations in the next three years to remain at a low level, as there have been no changes to the safety standard for pesticide residues in food since 1996.  Thus, we expect the number of submissions we receive pursuant to the guidance document will also remain at a</w:t>
      </w:r>
      <w:r>
        <w:rPr>
          <w:spacing w:val="-37"/>
        </w:rPr>
        <w:t xml:space="preserve"> </w:t>
      </w:r>
      <w:r>
        <w:t>low</w:t>
      </w:r>
      <w:r>
        <w:rPr>
          <w:spacing w:val="-4"/>
        </w:rPr>
        <w:t xml:space="preserve"> </w:t>
      </w:r>
      <w:r>
        <w:t>level.  However, to avoid counting this burden as zero, we have estimated the burden at one respondent making one submission a year for a total of one annual</w:t>
      </w:r>
      <w:r>
        <w:rPr>
          <w:spacing w:val="-20"/>
        </w:rPr>
        <w:t xml:space="preserve"> </w:t>
      </w:r>
      <w:r>
        <w:t>submission.</w:t>
      </w:r>
    </w:p>
    <w:p w:rsidR="007539DB" w:rsidP="00A96780" w:rsidRDefault="007539DB" w14:paraId="7764948A" w14:textId="77777777">
      <w:pPr>
        <w:pStyle w:val="BodyText"/>
        <w:spacing w:before="1"/>
        <w:ind w:right="364"/>
      </w:pPr>
      <w:r>
        <w:t xml:space="preserve">We base our estimate of the average burden per record on the assumption that the information requested in this guidance is readily available to the submitter.  </w:t>
      </w:r>
      <w:r w:rsidR="00565CAD">
        <w:t>T</w:t>
      </w:r>
      <w:r>
        <w:t>he submitter will need to gather information from appropriate persons in the submitter’s company and to prepare this information for submission to FDA.  The submitter almost always merely need</w:t>
      </w:r>
      <w:r w:rsidR="00565CAD">
        <w:t>s</w:t>
      </w:r>
      <w:r>
        <w:t xml:space="preserve"> to copy existing documentation.  </w:t>
      </w:r>
      <w:r w:rsidR="00565CAD">
        <w:t>T</w:t>
      </w:r>
      <w:r>
        <w:t>his effort should take no longer than 3 hours per submission.</w:t>
      </w:r>
    </w:p>
    <w:p w:rsidRPr="00D92E69" w:rsidR="007539DB" w:rsidP="007539DB" w:rsidRDefault="007539DB" w14:paraId="68A36C1D" w14:textId="77777777">
      <w:pPr>
        <w:pStyle w:val="BodyText"/>
        <w:spacing w:after="3"/>
        <w:ind w:left="2049"/>
        <w:rPr>
          <w:sz w:val="20"/>
          <w:szCs w:val="20"/>
        </w:rPr>
      </w:pPr>
      <w:r w:rsidRPr="00D92E69">
        <w:rPr>
          <w:sz w:val="20"/>
          <w:szCs w:val="20"/>
        </w:rPr>
        <w:lastRenderedPageBreak/>
        <w:t xml:space="preserve">Table </w:t>
      </w:r>
      <w:r w:rsidRPr="00D92E69" w:rsidR="00945D3E">
        <w:rPr>
          <w:sz w:val="20"/>
          <w:szCs w:val="20"/>
        </w:rPr>
        <w:t>2.--</w:t>
      </w:r>
      <w:r w:rsidRPr="00D92E69">
        <w:rPr>
          <w:sz w:val="20"/>
          <w:szCs w:val="20"/>
        </w:rPr>
        <w:t>Estimated Annual Recordkeeping Burden</w:t>
      </w:r>
      <w:r w:rsidRPr="00D92E69">
        <w:rPr>
          <w:sz w:val="20"/>
          <w:szCs w:val="20"/>
          <w:vertAlign w:val="superscript"/>
        </w:rPr>
        <w:t>1</w:t>
      </w:r>
    </w:p>
    <w:tbl>
      <w:tblPr>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68"/>
        <w:gridCol w:w="1530"/>
        <w:gridCol w:w="1530"/>
        <w:gridCol w:w="1029"/>
        <w:gridCol w:w="1258"/>
        <w:gridCol w:w="803"/>
      </w:tblGrid>
      <w:tr w:rsidR="007539DB" w:rsidTr="00A96780" w14:paraId="7A8C07D7" w14:textId="77777777">
        <w:trPr>
          <w:trHeight w:val="759"/>
        </w:trPr>
        <w:tc>
          <w:tcPr>
            <w:tcW w:w="2768" w:type="dxa"/>
          </w:tcPr>
          <w:p w:rsidRPr="009954D7" w:rsidR="007539DB" w:rsidP="00D92E69" w:rsidRDefault="007539DB" w14:paraId="607789A5" w14:textId="77777777">
            <w:pPr>
              <w:pStyle w:val="TableParagraph"/>
              <w:spacing w:line="250" w:lineRule="exact"/>
              <w:jc w:val="center"/>
              <w:rPr>
                <w:sz w:val="20"/>
                <w:szCs w:val="20"/>
              </w:rPr>
            </w:pPr>
            <w:r w:rsidRPr="009954D7">
              <w:rPr>
                <w:sz w:val="20"/>
                <w:szCs w:val="20"/>
              </w:rPr>
              <w:t>Activity</w:t>
            </w:r>
          </w:p>
        </w:tc>
        <w:tc>
          <w:tcPr>
            <w:tcW w:w="1530" w:type="dxa"/>
          </w:tcPr>
          <w:p w:rsidRPr="009954D7" w:rsidR="007539DB" w:rsidP="00D92E69" w:rsidRDefault="007539DB" w14:paraId="64E87B78" w14:textId="77777777">
            <w:pPr>
              <w:pStyle w:val="TableParagraph"/>
              <w:spacing w:line="240" w:lineRule="auto"/>
              <w:ind w:right="79"/>
              <w:jc w:val="center"/>
              <w:rPr>
                <w:sz w:val="20"/>
                <w:szCs w:val="20"/>
              </w:rPr>
            </w:pPr>
            <w:r w:rsidRPr="009954D7">
              <w:rPr>
                <w:sz w:val="20"/>
                <w:szCs w:val="20"/>
              </w:rPr>
              <w:t>No. of Recordkeepers</w:t>
            </w:r>
          </w:p>
        </w:tc>
        <w:tc>
          <w:tcPr>
            <w:tcW w:w="1530" w:type="dxa"/>
          </w:tcPr>
          <w:p w:rsidRPr="009954D7" w:rsidR="007539DB" w:rsidP="00D92E69" w:rsidRDefault="007539DB" w14:paraId="45D5A673" w14:textId="77777777">
            <w:pPr>
              <w:pStyle w:val="TableParagraph"/>
              <w:spacing w:line="254" w:lineRule="exact"/>
              <w:ind w:right="171"/>
              <w:jc w:val="center"/>
              <w:rPr>
                <w:sz w:val="20"/>
                <w:szCs w:val="20"/>
              </w:rPr>
            </w:pPr>
            <w:r w:rsidRPr="009954D7">
              <w:rPr>
                <w:sz w:val="20"/>
                <w:szCs w:val="20"/>
              </w:rPr>
              <w:t>No. of Records per Recordkeeper</w:t>
            </w:r>
          </w:p>
        </w:tc>
        <w:tc>
          <w:tcPr>
            <w:tcW w:w="1029" w:type="dxa"/>
          </w:tcPr>
          <w:p w:rsidRPr="009954D7" w:rsidR="007539DB" w:rsidP="00D92E69" w:rsidRDefault="007539DB" w14:paraId="305F6D49" w14:textId="77777777">
            <w:pPr>
              <w:pStyle w:val="TableParagraph"/>
              <w:spacing w:line="240" w:lineRule="auto"/>
              <w:ind w:right="226"/>
              <w:jc w:val="center"/>
              <w:rPr>
                <w:sz w:val="20"/>
                <w:szCs w:val="20"/>
              </w:rPr>
            </w:pPr>
            <w:r w:rsidRPr="009954D7">
              <w:rPr>
                <w:sz w:val="20"/>
                <w:szCs w:val="20"/>
              </w:rPr>
              <w:t>Total Annual Records</w:t>
            </w:r>
          </w:p>
        </w:tc>
        <w:tc>
          <w:tcPr>
            <w:tcW w:w="1258" w:type="dxa"/>
          </w:tcPr>
          <w:p w:rsidRPr="009954D7" w:rsidR="007539DB" w:rsidP="00D92E69" w:rsidRDefault="007539DB" w14:paraId="57F04563" w14:textId="77777777">
            <w:pPr>
              <w:pStyle w:val="TableParagraph"/>
              <w:spacing w:line="254" w:lineRule="exact"/>
              <w:ind w:right="137"/>
              <w:jc w:val="center"/>
              <w:rPr>
                <w:sz w:val="20"/>
                <w:szCs w:val="20"/>
              </w:rPr>
            </w:pPr>
            <w:r w:rsidRPr="009954D7">
              <w:rPr>
                <w:sz w:val="20"/>
                <w:szCs w:val="20"/>
              </w:rPr>
              <w:t>Average Burden per Record</w:t>
            </w:r>
          </w:p>
        </w:tc>
        <w:tc>
          <w:tcPr>
            <w:tcW w:w="803" w:type="dxa"/>
          </w:tcPr>
          <w:p w:rsidRPr="009954D7" w:rsidR="007539DB" w:rsidP="00D92E69" w:rsidRDefault="007539DB" w14:paraId="37A2C5D3" w14:textId="77777777">
            <w:pPr>
              <w:pStyle w:val="TableParagraph"/>
              <w:spacing w:line="240" w:lineRule="auto"/>
              <w:ind w:right="128"/>
              <w:jc w:val="center"/>
              <w:rPr>
                <w:sz w:val="20"/>
                <w:szCs w:val="20"/>
              </w:rPr>
            </w:pPr>
            <w:r w:rsidRPr="009954D7">
              <w:rPr>
                <w:sz w:val="20"/>
                <w:szCs w:val="20"/>
              </w:rPr>
              <w:t>Total Hours</w:t>
            </w:r>
          </w:p>
        </w:tc>
      </w:tr>
      <w:tr w:rsidR="007539DB" w:rsidTr="00A96780" w14:paraId="5672F6DE" w14:textId="77777777">
        <w:trPr>
          <w:trHeight w:val="341"/>
        </w:trPr>
        <w:tc>
          <w:tcPr>
            <w:tcW w:w="2768" w:type="dxa"/>
          </w:tcPr>
          <w:p w:rsidRPr="009954D7" w:rsidR="007539DB" w:rsidP="00A96780" w:rsidRDefault="007539DB" w14:paraId="6915BB4A" w14:textId="77777777">
            <w:pPr>
              <w:pStyle w:val="TableParagraph"/>
              <w:rPr>
                <w:sz w:val="20"/>
                <w:szCs w:val="20"/>
              </w:rPr>
            </w:pPr>
            <w:r w:rsidRPr="009954D7">
              <w:rPr>
                <w:sz w:val="20"/>
                <w:szCs w:val="20"/>
              </w:rPr>
              <w:t>Develo</w:t>
            </w:r>
            <w:r w:rsidR="00A96780">
              <w:rPr>
                <w:sz w:val="20"/>
                <w:szCs w:val="20"/>
              </w:rPr>
              <w:t xml:space="preserve">p </w:t>
            </w:r>
            <w:r w:rsidRPr="009954D7">
              <w:rPr>
                <w:sz w:val="20"/>
                <w:szCs w:val="20"/>
              </w:rPr>
              <w:t>documentation process</w:t>
            </w:r>
          </w:p>
        </w:tc>
        <w:tc>
          <w:tcPr>
            <w:tcW w:w="1530" w:type="dxa"/>
          </w:tcPr>
          <w:p w:rsidRPr="009954D7" w:rsidR="007539DB" w:rsidP="00D92E69" w:rsidRDefault="007539DB" w14:paraId="01BEED37" w14:textId="77777777">
            <w:pPr>
              <w:pStyle w:val="TableParagraph"/>
              <w:jc w:val="right"/>
              <w:rPr>
                <w:sz w:val="20"/>
                <w:szCs w:val="20"/>
              </w:rPr>
            </w:pPr>
            <w:r w:rsidRPr="009954D7">
              <w:rPr>
                <w:w w:val="99"/>
                <w:sz w:val="20"/>
                <w:szCs w:val="20"/>
              </w:rPr>
              <w:t>1</w:t>
            </w:r>
          </w:p>
        </w:tc>
        <w:tc>
          <w:tcPr>
            <w:tcW w:w="1530" w:type="dxa"/>
          </w:tcPr>
          <w:p w:rsidRPr="009954D7" w:rsidR="007539DB" w:rsidP="00D92E69" w:rsidRDefault="007539DB" w14:paraId="149EF69A" w14:textId="77777777">
            <w:pPr>
              <w:pStyle w:val="TableParagraph"/>
              <w:jc w:val="right"/>
              <w:rPr>
                <w:sz w:val="20"/>
                <w:szCs w:val="20"/>
              </w:rPr>
            </w:pPr>
            <w:r w:rsidRPr="009954D7">
              <w:rPr>
                <w:w w:val="99"/>
                <w:sz w:val="20"/>
                <w:szCs w:val="20"/>
              </w:rPr>
              <w:t>1</w:t>
            </w:r>
          </w:p>
        </w:tc>
        <w:tc>
          <w:tcPr>
            <w:tcW w:w="1029" w:type="dxa"/>
          </w:tcPr>
          <w:p w:rsidRPr="009954D7" w:rsidR="007539DB" w:rsidP="00D92E69" w:rsidRDefault="007539DB" w14:paraId="31673E73" w14:textId="77777777">
            <w:pPr>
              <w:pStyle w:val="TableParagraph"/>
              <w:jc w:val="right"/>
              <w:rPr>
                <w:sz w:val="20"/>
                <w:szCs w:val="20"/>
              </w:rPr>
            </w:pPr>
            <w:r w:rsidRPr="009954D7">
              <w:rPr>
                <w:w w:val="99"/>
                <w:sz w:val="20"/>
                <w:szCs w:val="20"/>
              </w:rPr>
              <w:t>1</w:t>
            </w:r>
          </w:p>
        </w:tc>
        <w:tc>
          <w:tcPr>
            <w:tcW w:w="1258" w:type="dxa"/>
          </w:tcPr>
          <w:p w:rsidRPr="009954D7" w:rsidR="007539DB" w:rsidP="00D92E69" w:rsidRDefault="007539DB" w14:paraId="60D39DB6" w14:textId="77777777">
            <w:pPr>
              <w:pStyle w:val="TableParagraph"/>
              <w:jc w:val="right"/>
              <w:rPr>
                <w:sz w:val="20"/>
                <w:szCs w:val="20"/>
              </w:rPr>
            </w:pPr>
            <w:r w:rsidRPr="009954D7">
              <w:rPr>
                <w:sz w:val="20"/>
                <w:szCs w:val="20"/>
              </w:rPr>
              <w:t>16</w:t>
            </w:r>
          </w:p>
        </w:tc>
        <w:tc>
          <w:tcPr>
            <w:tcW w:w="803" w:type="dxa"/>
          </w:tcPr>
          <w:p w:rsidRPr="009954D7" w:rsidR="007539DB" w:rsidP="00D92E69" w:rsidRDefault="007539DB" w14:paraId="31564A73" w14:textId="77777777">
            <w:pPr>
              <w:pStyle w:val="TableParagraph"/>
              <w:jc w:val="right"/>
              <w:rPr>
                <w:sz w:val="20"/>
                <w:szCs w:val="20"/>
              </w:rPr>
            </w:pPr>
            <w:r w:rsidRPr="009954D7">
              <w:rPr>
                <w:sz w:val="20"/>
                <w:szCs w:val="20"/>
              </w:rPr>
              <w:t>16</w:t>
            </w:r>
          </w:p>
        </w:tc>
      </w:tr>
    </w:tbl>
    <w:p w:rsidR="007539DB" w:rsidP="00D92E69" w:rsidRDefault="007539DB" w14:paraId="13757B5E" w14:textId="77777777">
      <w:pPr>
        <w:ind w:left="201"/>
      </w:pPr>
    </w:p>
    <w:p w:rsidR="00A96780" w:rsidP="00A96780" w:rsidRDefault="007539DB" w14:paraId="1D0A7B06" w14:textId="77777777">
      <w:pPr>
        <w:pStyle w:val="BodyText"/>
        <w:ind w:right="346"/>
      </w:pPr>
      <w:r>
        <w:t>In</w:t>
      </w:r>
      <w:r>
        <w:rPr>
          <w:spacing w:val="-4"/>
        </w:rPr>
        <w:t xml:space="preserve"> </w:t>
      </w:r>
      <w:r>
        <w:t>determining</w:t>
      </w:r>
      <w:r>
        <w:rPr>
          <w:spacing w:val="-5"/>
        </w:rPr>
        <w:t xml:space="preserve"> </w:t>
      </w:r>
      <w:r>
        <w:t>the</w:t>
      </w:r>
      <w:r>
        <w:rPr>
          <w:spacing w:val="-4"/>
        </w:rPr>
        <w:t xml:space="preserve"> </w:t>
      </w:r>
      <w:r>
        <w:t>estimated</w:t>
      </w:r>
      <w:r>
        <w:rPr>
          <w:spacing w:val="-4"/>
        </w:rPr>
        <w:t xml:space="preserve"> </w:t>
      </w:r>
      <w:r>
        <w:t>annual</w:t>
      </w:r>
      <w:r>
        <w:rPr>
          <w:spacing w:val="-8"/>
        </w:rPr>
        <w:t xml:space="preserve"> </w:t>
      </w:r>
      <w:r>
        <w:t>recordkeeping</w:t>
      </w:r>
      <w:r>
        <w:rPr>
          <w:spacing w:val="-6"/>
        </w:rPr>
        <w:t xml:space="preserve"> </w:t>
      </w:r>
      <w:r>
        <w:t>burden,</w:t>
      </w:r>
      <w:r>
        <w:rPr>
          <w:spacing w:val="-5"/>
        </w:rPr>
        <w:t xml:space="preserve"> </w:t>
      </w:r>
      <w:r>
        <w:t>we</w:t>
      </w:r>
      <w:r>
        <w:rPr>
          <w:spacing w:val="-5"/>
        </w:rPr>
        <w:t xml:space="preserve"> </w:t>
      </w:r>
      <w:r>
        <w:t>estimated</w:t>
      </w:r>
      <w:r>
        <w:rPr>
          <w:spacing w:val="-6"/>
        </w:rPr>
        <w:t xml:space="preserve"> </w:t>
      </w:r>
      <w:r>
        <w:t>that</w:t>
      </w:r>
      <w:r>
        <w:rPr>
          <w:spacing w:val="-5"/>
        </w:rPr>
        <w:t xml:space="preserve"> </w:t>
      </w:r>
      <w:r>
        <w:t>at</w:t>
      </w:r>
      <w:r>
        <w:rPr>
          <w:spacing w:val="-5"/>
        </w:rPr>
        <w:t xml:space="preserve"> </w:t>
      </w:r>
      <w:r>
        <w:t>least</w:t>
      </w:r>
      <w:r>
        <w:rPr>
          <w:spacing w:val="-4"/>
        </w:rPr>
        <w:t xml:space="preserve"> </w:t>
      </w:r>
      <w:r>
        <w:t>90% of firms maintain documentation, such as packing codes, batch records, and inventory records, as part of their basic food production or import operations.  Therefore, the recordkeeping burden was calculated as the time required for the 10% of firms that may not be currently maintaining this documentation to develop and maintain documentation, such as batch records and inventory records.  We have retained our prior estimate of 16 hours per record for the recordkeeping burden.  As shown in Table 1, we estimate that one respondent will make one submission per</w:t>
      </w:r>
      <w:r>
        <w:rPr>
          <w:spacing w:val="-19"/>
        </w:rPr>
        <w:t xml:space="preserve"> </w:t>
      </w:r>
      <w:r>
        <w:t>year.</w:t>
      </w:r>
    </w:p>
    <w:p w:rsidRPr="00A96780" w:rsidR="00357C8A" w:rsidP="00A96780" w:rsidRDefault="00A96780" w14:paraId="361E5FA9" w14:textId="77777777">
      <w:pPr>
        <w:pStyle w:val="BodyText"/>
        <w:ind w:right="346"/>
      </w:pPr>
      <w:r>
        <w:tab/>
      </w:r>
      <w:r w:rsidRPr="00A96780" w:rsidR="00357C8A">
        <w:rPr>
          <w:rFonts w:eastAsia="Calibri"/>
          <w:i/>
        </w:rPr>
        <w:t>12b.  Annualized Cost Burden Estimate</w:t>
      </w:r>
    </w:p>
    <w:p w:rsidR="00830309" w:rsidP="00A96780" w:rsidRDefault="00A96780" w14:paraId="46489F00" w14:textId="77777777">
      <w:pPr>
        <w:rPr>
          <w:rFonts w:eastAsia="Calibri"/>
        </w:rPr>
      </w:pPr>
      <w:r>
        <w:rPr>
          <w:rFonts w:eastAsia="Calibri"/>
        </w:rPr>
        <w:tab/>
      </w:r>
      <w:r w:rsidRPr="007539DB" w:rsidR="007539DB">
        <w:rPr>
          <w:rFonts w:eastAsia="Calibri"/>
        </w:rPr>
        <w:t>Gathering the information requested in the guidance and providing it to the agency may be done by an administrative support employee familiar with batch records and inventory records.</w:t>
      </w:r>
      <w:r w:rsidR="00830309">
        <w:rPr>
          <w:rFonts w:eastAsia="Calibri"/>
        </w:rPr>
        <w:t xml:space="preserve"> </w:t>
      </w:r>
      <w:r w:rsidRPr="007539DB" w:rsidR="007539DB">
        <w:rPr>
          <w:rFonts w:eastAsia="Calibri"/>
        </w:rPr>
        <w:t xml:space="preserve"> We estimate that the hourly wage for the employee would be $2</w:t>
      </w:r>
      <w:r w:rsidR="00830309">
        <w:rPr>
          <w:rFonts w:eastAsia="Calibri"/>
        </w:rPr>
        <w:t>5</w:t>
      </w:r>
      <w:r w:rsidRPr="007539DB" w:rsidR="007539DB">
        <w:rPr>
          <w:rFonts w:eastAsia="Calibri"/>
        </w:rPr>
        <w:t>.8</w:t>
      </w:r>
      <w:r w:rsidR="00830309">
        <w:rPr>
          <w:rFonts w:eastAsia="Calibri"/>
        </w:rPr>
        <w:t>3</w:t>
      </w:r>
      <w:r w:rsidRPr="007539DB" w:rsidR="007539DB">
        <w:rPr>
          <w:rFonts w:eastAsia="Calibri"/>
        </w:rPr>
        <w:t xml:space="preserve"> per hour (corresponding to that of a Federal government employee at the GS-8, step 1 rate for the Washington-Baltimore locality pay area for the year 20</w:t>
      </w:r>
      <w:r w:rsidR="00830309">
        <w:rPr>
          <w:rFonts w:eastAsia="Calibri"/>
        </w:rPr>
        <w:t>20</w:t>
      </w:r>
      <w:r w:rsidRPr="007539DB" w:rsidR="007539DB">
        <w:rPr>
          <w:rFonts w:eastAsia="Calibri"/>
        </w:rPr>
        <w:t xml:space="preserve">). </w:t>
      </w:r>
      <w:r w:rsidR="007539DB">
        <w:rPr>
          <w:rFonts w:eastAsia="Calibri"/>
        </w:rPr>
        <w:t xml:space="preserve"> </w:t>
      </w:r>
      <w:r w:rsidRPr="007539DB" w:rsidR="007539DB">
        <w:rPr>
          <w:rFonts w:eastAsia="Calibri"/>
        </w:rPr>
        <w:t>Based on that, and on the total of the burden hours calculated above (16 + 3 = 19), the annual cost to respondents is</w:t>
      </w:r>
      <w:r w:rsidR="007539DB">
        <w:rPr>
          <w:rFonts w:eastAsia="Calibri"/>
        </w:rPr>
        <w:t xml:space="preserve"> </w:t>
      </w:r>
      <w:r w:rsidRPr="007539DB" w:rsidR="007539DB">
        <w:rPr>
          <w:rFonts w:eastAsia="Calibri"/>
        </w:rPr>
        <w:t>$4</w:t>
      </w:r>
      <w:r w:rsidR="00830309">
        <w:rPr>
          <w:rFonts w:eastAsia="Calibri"/>
        </w:rPr>
        <w:t>90</w:t>
      </w:r>
      <w:r w:rsidRPr="007539DB" w:rsidR="007539DB">
        <w:rPr>
          <w:rFonts w:eastAsia="Calibri"/>
        </w:rPr>
        <w:t>.</w:t>
      </w:r>
      <w:r w:rsidR="00830309">
        <w:rPr>
          <w:rFonts w:eastAsia="Calibri"/>
        </w:rPr>
        <w:t>77</w:t>
      </w:r>
      <w:r w:rsidRPr="007539DB" w:rsidR="007539DB">
        <w:rPr>
          <w:rFonts w:eastAsia="Calibri"/>
        </w:rPr>
        <w:t xml:space="preserve"> (19 burden hours x $2</w:t>
      </w:r>
      <w:r w:rsidR="00830309">
        <w:rPr>
          <w:rFonts w:eastAsia="Calibri"/>
        </w:rPr>
        <w:t>5</w:t>
      </w:r>
      <w:r w:rsidRPr="007539DB" w:rsidR="007539DB">
        <w:rPr>
          <w:rFonts w:eastAsia="Calibri"/>
        </w:rPr>
        <w:t>.8</w:t>
      </w:r>
      <w:r w:rsidR="00830309">
        <w:rPr>
          <w:rFonts w:eastAsia="Calibri"/>
        </w:rPr>
        <w:t>3</w:t>
      </w:r>
      <w:r w:rsidR="0052232E">
        <w:rPr>
          <w:rFonts w:eastAsia="Calibri"/>
        </w:rPr>
        <w:t>/</w:t>
      </w:r>
      <w:r w:rsidRPr="007539DB" w:rsidR="007539DB">
        <w:rPr>
          <w:rFonts w:eastAsia="Calibri"/>
        </w:rPr>
        <w:t>hour).</w:t>
      </w:r>
      <w:r w:rsidR="00830309">
        <w:rPr>
          <w:rFonts w:eastAsia="Calibri"/>
        </w:rPr>
        <w:t xml:space="preserve">  </w:t>
      </w:r>
      <w:r w:rsidRPr="007539DB" w:rsidR="007539DB">
        <w:rPr>
          <w:rFonts w:eastAsia="Calibri"/>
        </w:rPr>
        <w:t>To account for overhead, this cost is increased by 100 percent, making the total estimated annualized cost to the respondents</w:t>
      </w:r>
      <w:r w:rsidR="00830309">
        <w:rPr>
          <w:rFonts w:eastAsia="Calibri"/>
        </w:rPr>
        <w:t xml:space="preserve"> </w:t>
      </w:r>
      <w:r w:rsidRPr="007539DB" w:rsidR="007539DB">
        <w:rPr>
          <w:rFonts w:eastAsia="Calibri"/>
        </w:rPr>
        <w:t>$9</w:t>
      </w:r>
      <w:r w:rsidR="00830309">
        <w:rPr>
          <w:rFonts w:eastAsia="Calibri"/>
        </w:rPr>
        <w:t>81</w:t>
      </w:r>
      <w:r w:rsidRPr="007539DB" w:rsidR="007539DB">
        <w:rPr>
          <w:rFonts w:eastAsia="Calibri"/>
        </w:rPr>
        <w:t>.</w:t>
      </w:r>
      <w:r w:rsidR="00830309">
        <w:rPr>
          <w:rFonts w:eastAsia="Calibri"/>
        </w:rPr>
        <w:t>54</w:t>
      </w:r>
      <w:r w:rsidRPr="007539DB" w:rsidR="007539DB">
        <w:rPr>
          <w:rFonts w:eastAsia="Calibri"/>
        </w:rPr>
        <w:t xml:space="preserve"> ($4</w:t>
      </w:r>
      <w:r w:rsidR="00830309">
        <w:rPr>
          <w:rFonts w:eastAsia="Calibri"/>
        </w:rPr>
        <w:t>90</w:t>
      </w:r>
      <w:r w:rsidRPr="007539DB" w:rsidR="007539DB">
        <w:rPr>
          <w:rFonts w:eastAsia="Calibri"/>
        </w:rPr>
        <w:t>.</w:t>
      </w:r>
      <w:r w:rsidR="00830309">
        <w:rPr>
          <w:rFonts w:eastAsia="Calibri"/>
        </w:rPr>
        <w:t>77</w:t>
      </w:r>
      <w:r w:rsidRPr="007539DB" w:rsidR="007539DB">
        <w:rPr>
          <w:rFonts w:eastAsia="Calibri"/>
        </w:rPr>
        <w:t xml:space="preserve"> x 2).</w:t>
      </w:r>
    </w:p>
    <w:p w:rsidR="00A67022" w:rsidP="007539DB" w:rsidRDefault="00A67022" w14:paraId="6B089D36" w14:textId="77777777">
      <w:pPr>
        <w:ind w:left="360"/>
        <w:rPr>
          <w:rFonts w:eastAsia="Calibri"/>
        </w:rPr>
      </w:pPr>
    </w:p>
    <w:p w:rsidRPr="00D92E69" w:rsidR="001B49BE" w:rsidP="00D92E69" w:rsidRDefault="001B49BE" w14:paraId="44841521" w14:textId="77777777">
      <w:pPr>
        <w:ind w:left="360"/>
        <w:jc w:val="center"/>
        <w:rPr>
          <w:rFonts w:eastAsia="Calibri"/>
          <w:sz w:val="20"/>
          <w:szCs w:val="20"/>
        </w:rPr>
      </w:pPr>
      <w:r w:rsidRPr="00D92E69">
        <w:rPr>
          <w:rFonts w:eastAsia="Calibri"/>
          <w:sz w:val="20"/>
          <w:szCs w:val="20"/>
        </w:rPr>
        <w:t>Table 3.--Estimated Annual Cost Burden</w:t>
      </w: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960"/>
        <w:gridCol w:w="1620"/>
        <w:gridCol w:w="1642"/>
        <w:gridCol w:w="1868"/>
      </w:tblGrid>
      <w:tr w:rsidR="00830309" w:rsidTr="00A96780" w14:paraId="5CD4A162" w14:textId="77777777">
        <w:trPr>
          <w:trHeight w:val="551"/>
        </w:trPr>
        <w:tc>
          <w:tcPr>
            <w:tcW w:w="3960" w:type="dxa"/>
          </w:tcPr>
          <w:p w:rsidRPr="00A67022" w:rsidR="00830309" w:rsidP="00A96780" w:rsidRDefault="00830309" w14:paraId="1A2B7E37" w14:textId="77777777">
            <w:pPr>
              <w:pStyle w:val="TableParagraph"/>
              <w:spacing w:line="240" w:lineRule="auto"/>
              <w:ind w:left="101"/>
              <w:jc w:val="center"/>
              <w:rPr>
                <w:sz w:val="20"/>
                <w:szCs w:val="20"/>
              </w:rPr>
            </w:pPr>
            <w:r w:rsidRPr="00A67022">
              <w:rPr>
                <w:sz w:val="20"/>
                <w:szCs w:val="20"/>
              </w:rPr>
              <w:t>Activity</w:t>
            </w:r>
          </w:p>
        </w:tc>
        <w:tc>
          <w:tcPr>
            <w:tcW w:w="1620" w:type="dxa"/>
          </w:tcPr>
          <w:p w:rsidRPr="00A67022" w:rsidR="00830309" w:rsidP="00A96780" w:rsidRDefault="00830309" w14:paraId="1195B4B0" w14:textId="77777777">
            <w:pPr>
              <w:pStyle w:val="TableParagraph"/>
              <w:spacing w:line="240" w:lineRule="auto"/>
              <w:ind w:left="101" w:right="480"/>
              <w:jc w:val="center"/>
              <w:rPr>
                <w:sz w:val="20"/>
                <w:szCs w:val="20"/>
              </w:rPr>
            </w:pPr>
            <w:r w:rsidRPr="00A67022">
              <w:rPr>
                <w:sz w:val="20"/>
                <w:szCs w:val="20"/>
              </w:rPr>
              <w:t>Total Burden Hours</w:t>
            </w:r>
          </w:p>
        </w:tc>
        <w:tc>
          <w:tcPr>
            <w:tcW w:w="1642" w:type="dxa"/>
          </w:tcPr>
          <w:p w:rsidRPr="00A67022" w:rsidR="00830309" w:rsidP="00A96780" w:rsidRDefault="00830309" w14:paraId="374179F6" w14:textId="77777777">
            <w:pPr>
              <w:pStyle w:val="TableParagraph"/>
              <w:spacing w:line="240" w:lineRule="auto"/>
              <w:ind w:left="101" w:right="543"/>
              <w:jc w:val="center"/>
              <w:rPr>
                <w:sz w:val="20"/>
                <w:szCs w:val="20"/>
              </w:rPr>
            </w:pPr>
            <w:r w:rsidRPr="00A67022">
              <w:rPr>
                <w:sz w:val="20"/>
                <w:szCs w:val="20"/>
              </w:rPr>
              <w:t>Hourly Wage Rate</w:t>
            </w:r>
          </w:p>
        </w:tc>
        <w:tc>
          <w:tcPr>
            <w:tcW w:w="1868" w:type="dxa"/>
          </w:tcPr>
          <w:p w:rsidRPr="00A67022" w:rsidR="00830309" w:rsidP="00A96780" w:rsidRDefault="00830309" w14:paraId="65F0AAC8" w14:textId="77777777">
            <w:pPr>
              <w:pStyle w:val="TableParagraph"/>
              <w:spacing w:line="240" w:lineRule="auto"/>
              <w:ind w:left="101" w:right="143"/>
              <w:jc w:val="center"/>
              <w:rPr>
                <w:sz w:val="20"/>
                <w:szCs w:val="20"/>
              </w:rPr>
            </w:pPr>
            <w:r w:rsidRPr="00A67022">
              <w:rPr>
                <w:sz w:val="20"/>
                <w:szCs w:val="20"/>
              </w:rPr>
              <w:t>Total Respondent Costs</w:t>
            </w:r>
          </w:p>
        </w:tc>
      </w:tr>
      <w:tr w:rsidR="00830309" w:rsidTr="00A96780" w14:paraId="3D3DA67D" w14:textId="77777777">
        <w:trPr>
          <w:trHeight w:val="341"/>
        </w:trPr>
        <w:tc>
          <w:tcPr>
            <w:tcW w:w="3960" w:type="dxa"/>
          </w:tcPr>
          <w:p w:rsidRPr="00A67022" w:rsidR="00830309" w:rsidP="00A96780" w:rsidRDefault="00830309" w14:paraId="64400790" w14:textId="77777777">
            <w:pPr>
              <w:pStyle w:val="TableParagraph"/>
              <w:spacing w:line="240" w:lineRule="auto"/>
              <w:ind w:left="101" w:right="183"/>
              <w:rPr>
                <w:sz w:val="20"/>
                <w:szCs w:val="20"/>
              </w:rPr>
            </w:pPr>
            <w:r w:rsidRPr="00A67022">
              <w:rPr>
                <w:sz w:val="20"/>
                <w:szCs w:val="20"/>
              </w:rPr>
              <w:t>Gathering information and providing to FDA</w:t>
            </w:r>
          </w:p>
        </w:tc>
        <w:tc>
          <w:tcPr>
            <w:tcW w:w="1620" w:type="dxa"/>
          </w:tcPr>
          <w:p w:rsidRPr="00A67022" w:rsidR="00830309" w:rsidP="00A96780" w:rsidRDefault="00830309" w14:paraId="076F0CC9" w14:textId="77777777">
            <w:pPr>
              <w:pStyle w:val="TableParagraph"/>
              <w:spacing w:line="240" w:lineRule="auto"/>
              <w:ind w:left="101"/>
              <w:jc w:val="right"/>
              <w:rPr>
                <w:sz w:val="20"/>
                <w:szCs w:val="20"/>
              </w:rPr>
            </w:pPr>
            <w:r w:rsidRPr="00A67022">
              <w:rPr>
                <w:sz w:val="20"/>
                <w:szCs w:val="20"/>
              </w:rPr>
              <w:t>19</w:t>
            </w:r>
          </w:p>
        </w:tc>
        <w:tc>
          <w:tcPr>
            <w:tcW w:w="1642" w:type="dxa"/>
          </w:tcPr>
          <w:p w:rsidRPr="00A67022" w:rsidR="00830309" w:rsidP="00A96780" w:rsidRDefault="00830309" w14:paraId="4A4A3CF5" w14:textId="77777777">
            <w:pPr>
              <w:pStyle w:val="TableParagraph"/>
              <w:spacing w:line="240" w:lineRule="auto"/>
              <w:ind w:left="101"/>
              <w:jc w:val="right"/>
              <w:rPr>
                <w:sz w:val="20"/>
                <w:szCs w:val="20"/>
              </w:rPr>
            </w:pPr>
            <w:r w:rsidRPr="00A67022">
              <w:rPr>
                <w:sz w:val="20"/>
                <w:szCs w:val="20"/>
              </w:rPr>
              <w:t>$</w:t>
            </w:r>
            <w:r>
              <w:rPr>
                <w:sz w:val="20"/>
                <w:szCs w:val="20"/>
              </w:rPr>
              <w:t>51</w:t>
            </w:r>
            <w:r w:rsidRPr="00A67022">
              <w:rPr>
                <w:sz w:val="20"/>
                <w:szCs w:val="20"/>
              </w:rPr>
              <w:t>.</w:t>
            </w:r>
            <w:r>
              <w:rPr>
                <w:sz w:val="20"/>
                <w:szCs w:val="20"/>
              </w:rPr>
              <w:t>66</w:t>
            </w:r>
          </w:p>
        </w:tc>
        <w:tc>
          <w:tcPr>
            <w:tcW w:w="1868" w:type="dxa"/>
          </w:tcPr>
          <w:p w:rsidRPr="00A67022" w:rsidR="00830309" w:rsidP="00A96780" w:rsidRDefault="00830309" w14:paraId="1D1156DA" w14:textId="77777777">
            <w:pPr>
              <w:pStyle w:val="TableParagraph"/>
              <w:spacing w:line="240" w:lineRule="auto"/>
              <w:ind w:left="101"/>
              <w:jc w:val="right"/>
              <w:rPr>
                <w:sz w:val="20"/>
                <w:szCs w:val="20"/>
              </w:rPr>
            </w:pPr>
            <w:r w:rsidRPr="00A67022">
              <w:rPr>
                <w:sz w:val="20"/>
                <w:szCs w:val="20"/>
              </w:rPr>
              <w:t>$9</w:t>
            </w:r>
            <w:r>
              <w:rPr>
                <w:sz w:val="20"/>
                <w:szCs w:val="20"/>
              </w:rPr>
              <w:t>81</w:t>
            </w:r>
            <w:r w:rsidRPr="00A67022">
              <w:rPr>
                <w:sz w:val="20"/>
                <w:szCs w:val="20"/>
              </w:rPr>
              <w:t>.</w:t>
            </w:r>
            <w:r>
              <w:rPr>
                <w:sz w:val="20"/>
                <w:szCs w:val="20"/>
              </w:rPr>
              <w:t>54</w:t>
            </w:r>
          </w:p>
        </w:tc>
      </w:tr>
    </w:tbl>
    <w:p w:rsidRPr="00357C8A" w:rsidR="00357C8A" w:rsidP="00357C8A" w:rsidRDefault="00357C8A" w14:paraId="0128D338" w14:textId="77777777">
      <w:pPr>
        <w:rPr>
          <w:rFonts w:eastAsia="Calibri"/>
        </w:rPr>
      </w:pPr>
    </w:p>
    <w:p w:rsidRPr="00357C8A" w:rsidR="00357C8A" w:rsidP="006705EA" w:rsidRDefault="00357C8A" w14:paraId="163BBB9A"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rsidRDefault="00830309" w14:paraId="0C98B587" w14:textId="77777777">
      <w:pPr>
        <w:spacing w:after="200" w:line="276" w:lineRule="auto"/>
        <w:rPr>
          <w:rFonts w:eastAsia="Calibri"/>
          <w:u w:val="single"/>
        </w:rPr>
      </w:pPr>
      <w:r w:rsidRPr="00830309">
        <w:rPr>
          <w:rFonts w:eastAsia="Calibri"/>
        </w:rPr>
        <w:t>There are no capital, start-up, operating or maintenance costs associated with this collection.</w:t>
      </w:r>
    </w:p>
    <w:p w:rsidRPr="00357C8A" w:rsidR="00357C8A" w:rsidP="006705EA" w:rsidRDefault="00357C8A" w14:paraId="5978ABF5"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Pr="00830309" w:rsidR="00517C01" w:rsidP="00830309" w:rsidRDefault="00A96780" w14:paraId="0569C923" w14:textId="77777777">
      <w:pPr>
        <w:rPr>
          <w:rFonts w:eastAsia="Calibri"/>
        </w:rPr>
      </w:pPr>
      <w:r>
        <w:rPr>
          <w:rFonts w:eastAsia="Calibri"/>
        </w:rPr>
        <w:t xml:space="preserve">Assuming the </w:t>
      </w:r>
      <w:r w:rsidRPr="00830309" w:rsidR="00830309">
        <w:rPr>
          <w:rFonts w:eastAsia="Calibri"/>
        </w:rPr>
        <w:t xml:space="preserve">hourly cost for review and evaluation </w:t>
      </w:r>
      <w:r>
        <w:rPr>
          <w:rFonts w:eastAsia="Calibri"/>
        </w:rPr>
        <w:t xml:space="preserve">of records </w:t>
      </w:r>
      <w:r w:rsidRPr="00830309" w:rsidR="00830309">
        <w:rPr>
          <w:rFonts w:eastAsia="Calibri"/>
        </w:rPr>
        <w:t>to be $4</w:t>
      </w:r>
      <w:r w:rsidR="00830309">
        <w:rPr>
          <w:rFonts w:eastAsia="Calibri"/>
        </w:rPr>
        <w:t>9</w:t>
      </w:r>
      <w:r w:rsidRPr="00830309" w:rsidR="00830309">
        <w:rPr>
          <w:rFonts w:eastAsia="Calibri"/>
        </w:rPr>
        <w:t>.</w:t>
      </w:r>
      <w:r w:rsidR="00830309">
        <w:rPr>
          <w:rFonts w:eastAsia="Calibri"/>
        </w:rPr>
        <w:t>19</w:t>
      </w:r>
      <w:r w:rsidRPr="00830309" w:rsidR="00830309">
        <w:rPr>
          <w:rFonts w:eastAsia="Calibri"/>
        </w:rPr>
        <w:t xml:space="preserve"> per hour</w:t>
      </w:r>
      <w:r>
        <w:rPr>
          <w:rFonts w:eastAsia="Calibri"/>
        </w:rPr>
        <w:t xml:space="preserve"> (OPM </w:t>
      </w:r>
      <w:r w:rsidRPr="00830309" w:rsidR="00830309">
        <w:rPr>
          <w:rFonts w:eastAsia="Calibri"/>
        </w:rPr>
        <w:t xml:space="preserve">GS-13/Step-1 </w:t>
      </w:r>
      <w:r>
        <w:rPr>
          <w:rFonts w:eastAsia="Calibri"/>
        </w:rPr>
        <w:t xml:space="preserve">pay </w:t>
      </w:r>
      <w:r w:rsidRPr="00830309" w:rsidR="00830309">
        <w:rPr>
          <w:rFonts w:eastAsia="Calibri"/>
        </w:rPr>
        <w:t>rate for the Washington-Baltimore locality pay area for the year 20</w:t>
      </w:r>
      <w:r w:rsidR="00830309">
        <w:rPr>
          <w:rFonts w:eastAsia="Calibri"/>
        </w:rPr>
        <w:t>20</w:t>
      </w:r>
      <w:r>
        <w:rPr>
          <w:rFonts w:eastAsia="Calibri"/>
        </w:rPr>
        <w:t>)</w:t>
      </w:r>
      <w:r w:rsidR="00661F00">
        <w:rPr>
          <w:rFonts w:eastAsia="Calibri"/>
        </w:rPr>
        <w:t xml:space="preserve"> and doubling the figure to account for overhead costs, we </w:t>
      </w:r>
      <w:r w:rsidRPr="00830309" w:rsidR="00830309">
        <w:rPr>
          <w:rFonts w:eastAsia="Calibri"/>
        </w:rPr>
        <w:t xml:space="preserve">estimate </w:t>
      </w:r>
      <w:r w:rsidR="00661F00">
        <w:rPr>
          <w:rFonts w:eastAsia="Calibri"/>
        </w:rPr>
        <w:t xml:space="preserve">annual </w:t>
      </w:r>
      <w:r w:rsidRPr="00830309" w:rsidR="00830309">
        <w:rPr>
          <w:rFonts w:eastAsia="Calibri"/>
        </w:rPr>
        <w:t>cost</w:t>
      </w:r>
      <w:r w:rsidR="00661F00">
        <w:rPr>
          <w:rFonts w:eastAsia="Calibri"/>
        </w:rPr>
        <w:t>s</w:t>
      </w:r>
      <w:r w:rsidRPr="00830309" w:rsidR="00830309">
        <w:rPr>
          <w:rFonts w:eastAsia="Calibri"/>
        </w:rPr>
        <w:t xml:space="preserve"> to the Federal government would be $4</w:t>
      </w:r>
      <w:r w:rsidR="00830309">
        <w:rPr>
          <w:rFonts w:eastAsia="Calibri"/>
        </w:rPr>
        <w:t>91</w:t>
      </w:r>
      <w:r w:rsidRPr="00830309" w:rsidR="00830309">
        <w:rPr>
          <w:rFonts w:eastAsia="Calibri"/>
        </w:rPr>
        <w:t>.</w:t>
      </w:r>
      <w:r w:rsidR="00830309">
        <w:rPr>
          <w:rFonts w:eastAsia="Calibri"/>
        </w:rPr>
        <w:t>9</w:t>
      </w:r>
      <w:r w:rsidRPr="00830309" w:rsidR="00830309">
        <w:rPr>
          <w:rFonts w:eastAsia="Calibri"/>
        </w:rPr>
        <w:t>0 ($9</w:t>
      </w:r>
      <w:r w:rsidR="00830309">
        <w:rPr>
          <w:rFonts w:eastAsia="Calibri"/>
        </w:rPr>
        <w:t>8</w:t>
      </w:r>
      <w:r w:rsidRPr="00830309" w:rsidR="00830309">
        <w:rPr>
          <w:rFonts w:eastAsia="Calibri"/>
        </w:rPr>
        <w:t>.</w:t>
      </w:r>
      <w:r w:rsidR="00830309">
        <w:rPr>
          <w:rFonts w:eastAsia="Calibri"/>
        </w:rPr>
        <w:t>3</w:t>
      </w:r>
      <w:r w:rsidRPr="00830309" w:rsidR="00830309">
        <w:rPr>
          <w:rFonts w:eastAsia="Calibri"/>
        </w:rPr>
        <w:t>8/hour x 5 hours).</w:t>
      </w:r>
    </w:p>
    <w:p w:rsidRPr="00357C8A" w:rsidR="00357C8A" w:rsidP="00D92E69" w:rsidRDefault="00357C8A" w14:paraId="4655E788" w14:textId="77777777">
      <w:pPr>
        <w:rPr>
          <w:rFonts w:eastAsia="Calibri"/>
        </w:rPr>
      </w:pPr>
    </w:p>
    <w:p w:rsidR="00357C8A" w:rsidP="006705EA" w:rsidRDefault="00357C8A" w14:paraId="68A01F80"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5357E8" w:rsidR="00357C8A" w:rsidP="00357C8A" w:rsidRDefault="009954D7" w14:paraId="61E55C32" w14:textId="77777777">
      <w:pPr>
        <w:spacing w:after="200"/>
        <w:rPr>
          <w:rFonts w:eastAsia="Calibri"/>
          <w:color w:val="000000"/>
        </w:rPr>
      </w:pPr>
      <w:r w:rsidRPr="009954D7">
        <w:rPr>
          <w:rFonts w:eastAsia="Calibri"/>
        </w:rPr>
        <w:t>Based on a review of the information collection since our last request for OMB approval, we have made no adjustments to our burden estimate.</w:t>
      </w:r>
    </w:p>
    <w:p w:rsidRPr="00357C8A" w:rsidR="00357C8A" w:rsidP="006705EA" w:rsidRDefault="00357C8A" w14:paraId="370EDD2E"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5357E8" w:rsidR="00357C8A" w:rsidP="00357C8A" w:rsidRDefault="009954D7" w14:paraId="50480095" w14:textId="77777777">
      <w:pPr>
        <w:spacing w:after="200"/>
        <w:rPr>
          <w:rFonts w:eastAsia="Calibri"/>
          <w:color w:val="000000"/>
        </w:rPr>
      </w:pPr>
      <w:r w:rsidRPr="009954D7">
        <w:t>The agency has no plans for publication of information from this information collection.</w:t>
      </w:r>
    </w:p>
    <w:p w:rsidRPr="00357C8A" w:rsidR="00357C8A" w:rsidP="006705EA" w:rsidRDefault="005A6BA3" w14:paraId="754B29EB" w14:textId="2DBD29A7">
      <w:pPr>
        <w:numPr>
          <w:ilvl w:val="0"/>
          <w:numId w:val="6"/>
        </w:numPr>
        <w:spacing w:after="200" w:line="276" w:lineRule="auto"/>
        <w:rPr>
          <w:rFonts w:eastAsia="Calibri"/>
          <w:u w:val="single"/>
        </w:rPr>
      </w:pPr>
      <w:r>
        <w:rPr>
          <w:rFonts w:eastAsia="Calibri"/>
        </w:rPr>
        <w:br w:type="page"/>
      </w:r>
      <w:r w:rsidRPr="00357C8A" w:rsidR="00357C8A">
        <w:rPr>
          <w:rFonts w:eastAsia="Calibri"/>
          <w:u w:val="single"/>
        </w:rPr>
        <w:lastRenderedPageBreak/>
        <w:t>Reason(s) Display of OMB Expiration Date is Inappropriate</w:t>
      </w:r>
    </w:p>
    <w:p w:rsidRPr="005357E8" w:rsidR="00357C8A" w:rsidP="00357C8A" w:rsidRDefault="009954D7" w14:paraId="5F941BBF" w14:textId="77777777">
      <w:pPr>
        <w:spacing w:after="200"/>
        <w:rPr>
          <w:rFonts w:eastAsia="Calibri"/>
          <w:color w:val="000000"/>
        </w:rPr>
      </w:pPr>
      <w:r w:rsidRPr="009954D7">
        <w:rPr>
          <w:rFonts w:eastAsia="Calibri"/>
        </w:rPr>
        <w:t>There are no reasons why display of the expiration date for OMB approval of the information collection would be inappropriate.</w:t>
      </w:r>
    </w:p>
    <w:p w:rsidRPr="00357C8A" w:rsidR="00357C8A" w:rsidP="006705EA" w:rsidRDefault="00357C8A" w14:paraId="4FF9667F"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9954D7" w:rsidRDefault="009954D7" w14:paraId="2DDDF67F" w14:textId="77777777">
      <w:pPr>
        <w:spacing w:after="200"/>
        <w:rPr>
          <w:rFonts w:eastAsia="Calibri"/>
        </w:rPr>
      </w:pPr>
      <w:r w:rsidRPr="009954D7">
        <w:rPr>
          <w:rFonts w:eastAsia="Calibri"/>
        </w:rPr>
        <w:t>There are no exceptions to the certification.</w:t>
      </w:r>
    </w:p>
    <w:sectPr w:rsidRPr="00C20690" w:rsidR="00544138" w:rsidSect="00B871BB">
      <w:footerReference w:type="even" r:id="rId10"/>
      <w:footerReference w:type="default" r:id="rId11"/>
      <w:pgSz w:w="12240" w:h="15840" w:code="1"/>
      <w:pgMar w:top="1008" w:right="1296"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3F60B" w14:textId="77777777" w:rsidR="0015066E" w:rsidRDefault="0015066E">
      <w:r>
        <w:separator/>
      </w:r>
    </w:p>
  </w:endnote>
  <w:endnote w:type="continuationSeparator" w:id="0">
    <w:p w14:paraId="2AB46992" w14:textId="77777777" w:rsidR="0015066E" w:rsidRDefault="00150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136AC"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9B3EC5"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3E63"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6C192C6F"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2B72B" w14:textId="77777777" w:rsidR="0015066E" w:rsidRDefault="0015066E">
      <w:r>
        <w:separator/>
      </w:r>
    </w:p>
  </w:footnote>
  <w:footnote w:type="continuationSeparator" w:id="0">
    <w:p w14:paraId="1CFF2813" w14:textId="77777777" w:rsidR="0015066E" w:rsidRDefault="00150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lvlOverride w:ilvl="0"/>
    <w:lvlOverride w:ilvl="1"/>
    <w:lvlOverride w:ilvl="2"/>
    <w:lvlOverride w:ilvl="3"/>
    <w:lvlOverride w:ilvl="4"/>
    <w:lvlOverride w:ilvl="5"/>
    <w:lvlOverride w:ilvl="6"/>
    <w:lvlOverride w:ilvl="7"/>
    <w:lvlOverride w:ilvl="8"/>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7538"/>
    <w:rsid w:val="0001672B"/>
    <w:rsid w:val="00031A2C"/>
    <w:rsid w:val="00033E31"/>
    <w:rsid w:val="00036446"/>
    <w:rsid w:val="00042B93"/>
    <w:rsid w:val="00043C7F"/>
    <w:rsid w:val="000467A8"/>
    <w:rsid w:val="0006570F"/>
    <w:rsid w:val="00075DE8"/>
    <w:rsid w:val="00082A1D"/>
    <w:rsid w:val="00087439"/>
    <w:rsid w:val="000C1260"/>
    <w:rsid w:val="000C560C"/>
    <w:rsid w:val="000C67B6"/>
    <w:rsid w:val="000D080B"/>
    <w:rsid w:val="000D48FD"/>
    <w:rsid w:val="000D79CC"/>
    <w:rsid w:val="000E1C64"/>
    <w:rsid w:val="000F7119"/>
    <w:rsid w:val="00100739"/>
    <w:rsid w:val="0010493E"/>
    <w:rsid w:val="001075D3"/>
    <w:rsid w:val="00107885"/>
    <w:rsid w:val="00114FC4"/>
    <w:rsid w:val="0012329C"/>
    <w:rsid w:val="00134FA7"/>
    <w:rsid w:val="00137950"/>
    <w:rsid w:val="0015066E"/>
    <w:rsid w:val="00152F29"/>
    <w:rsid w:val="00174D54"/>
    <w:rsid w:val="0017702C"/>
    <w:rsid w:val="00185270"/>
    <w:rsid w:val="00187BB6"/>
    <w:rsid w:val="00191DFB"/>
    <w:rsid w:val="0019305B"/>
    <w:rsid w:val="001A1EEE"/>
    <w:rsid w:val="001A3B5A"/>
    <w:rsid w:val="001B49BE"/>
    <w:rsid w:val="001B7CE9"/>
    <w:rsid w:val="001D495A"/>
    <w:rsid w:val="001E244C"/>
    <w:rsid w:val="001E4B06"/>
    <w:rsid w:val="001F1437"/>
    <w:rsid w:val="00206799"/>
    <w:rsid w:val="002074FE"/>
    <w:rsid w:val="0022425B"/>
    <w:rsid w:val="002259EF"/>
    <w:rsid w:val="00227E77"/>
    <w:rsid w:val="00242ED1"/>
    <w:rsid w:val="002444BB"/>
    <w:rsid w:val="00254069"/>
    <w:rsid w:val="00270405"/>
    <w:rsid w:val="00270748"/>
    <w:rsid w:val="002734E5"/>
    <w:rsid w:val="002746DB"/>
    <w:rsid w:val="00280CAF"/>
    <w:rsid w:val="00282F09"/>
    <w:rsid w:val="00291810"/>
    <w:rsid w:val="00294D62"/>
    <w:rsid w:val="00297532"/>
    <w:rsid w:val="00297FFD"/>
    <w:rsid w:val="002A1210"/>
    <w:rsid w:val="002A47D2"/>
    <w:rsid w:val="002A501D"/>
    <w:rsid w:val="002A7FB5"/>
    <w:rsid w:val="002B2074"/>
    <w:rsid w:val="002D14D8"/>
    <w:rsid w:val="002D4799"/>
    <w:rsid w:val="002E3FA4"/>
    <w:rsid w:val="002E53A5"/>
    <w:rsid w:val="002E64B8"/>
    <w:rsid w:val="002E6834"/>
    <w:rsid w:val="003113FF"/>
    <w:rsid w:val="00312622"/>
    <w:rsid w:val="003132F9"/>
    <w:rsid w:val="0032277F"/>
    <w:rsid w:val="00336B69"/>
    <w:rsid w:val="0034302B"/>
    <w:rsid w:val="00350523"/>
    <w:rsid w:val="0035189D"/>
    <w:rsid w:val="00355B62"/>
    <w:rsid w:val="00357C8A"/>
    <w:rsid w:val="003740BC"/>
    <w:rsid w:val="0037456B"/>
    <w:rsid w:val="003801A3"/>
    <w:rsid w:val="00383D90"/>
    <w:rsid w:val="003870AE"/>
    <w:rsid w:val="00387F24"/>
    <w:rsid w:val="003A1A27"/>
    <w:rsid w:val="003A50CC"/>
    <w:rsid w:val="003B42B3"/>
    <w:rsid w:val="003B6384"/>
    <w:rsid w:val="003C0FE2"/>
    <w:rsid w:val="003C4EBB"/>
    <w:rsid w:val="003D0A9C"/>
    <w:rsid w:val="003D1531"/>
    <w:rsid w:val="003E4EC6"/>
    <w:rsid w:val="003E527E"/>
    <w:rsid w:val="003E553E"/>
    <w:rsid w:val="003E7078"/>
    <w:rsid w:val="003F3DF5"/>
    <w:rsid w:val="003F73B8"/>
    <w:rsid w:val="0040297E"/>
    <w:rsid w:val="00411D11"/>
    <w:rsid w:val="0041426A"/>
    <w:rsid w:val="00414494"/>
    <w:rsid w:val="00415E23"/>
    <w:rsid w:val="0041670D"/>
    <w:rsid w:val="00423272"/>
    <w:rsid w:val="00424061"/>
    <w:rsid w:val="00440485"/>
    <w:rsid w:val="00442A3C"/>
    <w:rsid w:val="00443969"/>
    <w:rsid w:val="00447D74"/>
    <w:rsid w:val="00450A74"/>
    <w:rsid w:val="004546BF"/>
    <w:rsid w:val="00465350"/>
    <w:rsid w:val="00470351"/>
    <w:rsid w:val="00476B91"/>
    <w:rsid w:val="004846BF"/>
    <w:rsid w:val="00494912"/>
    <w:rsid w:val="004A5323"/>
    <w:rsid w:val="004A5A99"/>
    <w:rsid w:val="004A6D72"/>
    <w:rsid w:val="004C6979"/>
    <w:rsid w:val="004D13A2"/>
    <w:rsid w:val="004D3E7A"/>
    <w:rsid w:val="004E3469"/>
    <w:rsid w:val="004F594B"/>
    <w:rsid w:val="004F61E1"/>
    <w:rsid w:val="0050539E"/>
    <w:rsid w:val="00511E5F"/>
    <w:rsid w:val="00517C01"/>
    <w:rsid w:val="0052232E"/>
    <w:rsid w:val="005266BD"/>
    <w:rsid w:val="0053380B"/>
    <w:rsid w:val="005357E8"/>
    <w:rsid w:val="00543194"/>
    <w:rsid w:val="00544138"/>
    <w:rsid w:val="00554E34"/>
    <w:rsid w:val="00565CAD"/>
    <w:rsid w:val="00567AB6"/>
    <w:rsid w:val="00584583"/>
    <w:rsid w:val="00590E90"/>
    <w:rsid w:val="00590EEB"/>
    <w:rsid w:val="005A1DC0"/>
    <w:rsid w:val="005A4099"/>
    <w:rsid w:val="005A6BA3"/>
    <w:rsid w:val="005B0988"/>
    <w:rsid w:val="005C0435"/>
    <w:rsid w:val="005C38B2"/>
    <w:rsid w:val="005C5029"/>
    <w:rsid w:val="005C55C2"/>
    <w:rsid w:val="005C71CA"/>
    <w:rsid w:val="005C745C"/>
    <w:rsid w:val="005D4DF5"/>
    <w:rsid w:val="005E42BA"/>
    <w:rsid w:val="00611D6B"/>
    <w:rsid w:val="0062262C"/>
    <w:rsid w:val="006326EC"/>
    <w:rsid w:val="00645515"/>
    <w:rsid w:val="00661F00"/>
    <w:rsid w:val="00662F25"/>
    <w:rsid w:val="00663A42"/>
    <w:rsid w:val="006641C7"/>
    <w:rsid w:val="006705EA"/>
    <w:rsid w:val="00670BE2"/>
    <w:rsid w:val="00673354"/>
    <w:rsid w:val="006916D9"/>
    <w:rsid w:val="006A0E05"/>
    <w:rsid w:val="006A26C6"/>
    <w:rsid w:val="006A465A"/>
    <w:rsid w:val="006A7D5D"/>
    <w:rsid w:val="006D0C12"/>
    <w:rsid w:val="006D5D57"/>
    <w:rsid w:val="006E2538"/>
    <w:rsid w:val="006E302F"/>
    <w:rsid w:val="006F1B8B"/>
    <w:rsid w:val="006F4D6D"/>
    <w:rsid w:val="00705086"/>
    <w:rsid w:val="00722001"/>
    <w:rsid w:val="00751E66"/>
    <w:rsid w:val="007539DB"/>
    <w:rsid w:val="00754497"/>
    <w:rsid w:val="00787C39"/>
    <w:rsid w:val="0079081B"/>
    <w:rsid w:val="00792947"/>
    <w:rsid w:val="00795DF3"/>
    <w:rsid w:val="007A373C"/>
    <w:rsid w:val="007B225C"/>
    <w:rsid w:val="007C75B1"/>
    <w:rsid w:val="007D3DFC"/>
    <w:rsid w:val="007E2F07"/>
    <w:rsid w:val="007E59A8"/>
    <w:rsid w:val="007F089D"/>
    <w:rsid w:val="007F6853"/>
    <w:rsid w:val="0080776D"/>
    <w:rsid w:val="00810145"/>
    <w:rsid w:val="008108FA"/>
    <w:rsid w:val="00810FF1"/>
    <w:rsid w:val="00822336"/>
    <w:rsid w:val="00823DFA"/>
    <w:rsid w:val="00830309"/>
    <w:rsid w:val="00842DB7"/>
    <w:rsid w:val="00843752"/>
    <w:rsid w:val="0084479F"/>
    <w:rsid w:val="0085592B"/>
    <w:rsid w:val="0085725E"/>
    <w:rsid w:val="00873D4F"/>
    <w:rsid w:val="0087509F"/>
    <w:rsid w:val="00885B09"/>
    <w:rsid w:val="00892400"/>
    <w:rsid w:val="008A209D"/>
    <w:rsid w:val="008A22BB"/>
    <w:rsid w:val="008B035D"/>
    <w:rsid w:val="008B0E29"/>
    <w:rsid w:val="008B0EFA"/>
    <w:rsid w:val="008B30AB"/>
    <w:rsid w:val="008C3BB8"/>
    <w:rsid w:val="008C4B65"/>
    <w:rsid w:val="008E5F55"/>
    <w:rsid w:val="009009E7"/>
    <w:rsid w:val="00905DEF"/>
    <w:rsid w:val="00906056"/>
    <w:rsid w:val="009122AE"/>
    <w:rsid w:val="00913B43"/>
    <w:rsid w:val="00930203"/>
    <w:rsid w:val="009311D2"/>
    <w:rsid w:val="009311E6"/>
    <w:rsid w:val="00931275"/>
    <w:rsid w:val="00936AC7"/>
    <w:rsid w:val="00945D3E"/>
    <w:rsid w:val="009514C2"/>
    <w:rsid w:val="00953B64"/>
    <w:rsid w:val="009646A7"/>
    <w:rsid w:val="00970A88"/>
    <w:rsid w:val="009818A1"/>
    <w:rsid w:val="00982A7E"/>
    <w:rsid w:val="009954D7"/>
    <w:rsid w:val="009A1674"/>
    <w:rsid w:val="009B38BE"/>
    <w:rsid w:val="009B4DF2"/>
    <w:rsid w:val="009C684F"/>
    <w:rsid w:val="009D074C"/>
    <w:rsid w:val="009D6E73"/>
    <w:rsid w:val="009F1F1D"/>
    <w:rsid w:val="009F2B4F"/>
    <w:rsid w:val="009F3C63"/>
    <w:rsid w:val="009F66B5"/>
    <w:rsid w:val="009F7372"/>
    <w:rsid w:val="00A02F10"/>
    <w:rsid w:val="00A16221"/>
    <w:rsid w:val="00A20A7D"/>
    <w:rsid w:val="00A35D42"/>
    <w:rsid w:val="00A46CCF"/>
    <w:rsid w:val="00A506DE"/>
    <w:rsid w:val="00A53451"/>
    <w:rsid w:val="00A579EE"/>
    <w:rsid w:val="00A67022"/>
    <w:rsid w:val="00A70426"/>
    <w:rsid w:val="00A707CC"/>
    <w:rsid w:val="00A71410"/>
    <w:rsid w:val="00A91E9A"/>
    <w:rsid w:val="00A93ED9"/>
    <w:rsid w:val="00A96221"/>
    <w:rsid w:val="00A96780"/>
    <w:rsid w:val="00AA6384"/>
    <w:rsid w:val="00AC2DBB"/>
    <w:rsid w:val="00AC6A99"/>
    <w:rsid w:val="00AD6048"/>
    <w:rsid w:val="00B055EF"/>
    <w:rsid w:val="00B06B5B"/>
    <w:rsid w:val="00B23769"/>
    <w:rsid w:val="00B41666"/>
    <w:rsid w:val="00B41789"/>
    <w:rsid w:val="00B81808"/>
    <w:rsid w:val="00B86DFA"/>
    <w:rsid w:val="00B871BB"/>
    <w:rsid w:val="00B936D0"/>
    <w:rsid w:val="00BB15FB"/>
    <w:rsid w:val="00BB319E"/>
    <w:rsid w:val="00BD3D5B"/>
    <w:rsid w:val="00BE079C"/>
    <w:rsid w:val="00BE3600"/>
    <w:rsid w:val="00C01F6F"/>
    <w:rsid w:val="00C035B2"/>
    <w:rsid w:val="00C041EA"/>
    <w:rsid w:val="00C13BBD"/>
    <w:rsid w:val="00C149AB"/>
    <w:rsid w:val="00C16929"/>
    <w:rsid w:val="00C20690"/>
    <w:rsid w:val="00C36020"/>
    <w:rsid w:val="00C40694"/>
    <w:rsid w:val="00C479BF"/>
    <w:rsid w:val="00C5124B"/>
    <w:rsid w:val="00C6442D"/>
    <w:rsid w:val="00C70542"/>
    <w:rsid w:val="00C75CBF"/>
    <w:rsid w:val="00CC2894"/>
    <w:rsid w:val="00CD77C3"/>
    <w:rsid w:val="00CE112C"/>
    <w:rsid w:val="00CE523B"/>
    <w:rsid w:val="00CF55D4"/>
    <w:rsid w:val="00D342A2"/>
    <w:rsid w:val="00D608DA"/>
    <w:rsid w:val="00D730BF"/>
    <w:rsid w:val="00D852F4"/>
    <w:rsid w:val="00D92E69"/>
    <w:rsid w:val="00DB1110"/>
    <w:rsid w:val="00DB3730"/>
    <w:rsid w:val="00DC371B"/>
    <w:rsid w:val="00DC3788"/>
    <w:rsid w:val="00DC76C7"/>
    <w:rsid w:val="00DD09F5"/>
    <w:rsid w:val="00DD0E02"/>
    <w:rsid w:val="00DD4201"/>
    <w:rsid w:val="00DD5E9F"/>
    <w:rsid w:val="00DE5711"/>
    <w:rsid w:val="00E00EA0"/>
    <w:rsid w:val="00E021CB"/>
    <w:rsid w:val="00E102B8"/>
    <w:rsid w:val="00E138F1"/>
    <w:rsid w:val="00E2309D"/>
    <w:rsid w:val="00E26758"/>
    <w:rsid w:val="00E31D96"/>
    <w:rsid w:val="00E329A5"/>
    <w:rsid w:val="00E4357B"/>
    <w:rsid w:val="00E443A7"/>
    <w:rsid w:val="00E45904"/>
    <w:rsid w:val="00E63DE5"/>
    <w:rsid w:val="00E647AF"/>
    <w:rsid w:val="00E647C7"/>
    <w:rsid w:val="00E65A37"/>
    <w:rsid w:val="00E65EF7"/>
    <w:rsid w:val="00E77B48"/>
    <w:rsid w:val="00E857FB"/>
    <w:rsid w:val="00E91799"/>
    <w:rsid w:val="00E97DF8"/>
    <w:rsid w:val="00EA21FE"/>
    <w:rsid w:val="00EA34E3"/>
    <w:rsid w:val="00EB7538"/>
    <w:rsid w:val="00EC1868"/>
    <w:rsid w:val="00EC451C"/>
    <w:rsid w:val="00EE6468"/>
    <w:rsid w:val="00F1299B"/>
    <w:rsid w:val="00F207A4"/>
    <w:rsid w:val="00F25173"/>
    <w:rsid w:val="00F355AC"/>
    <w:rsid w:val="00F40CF7"/>
    <w:rsid w:val="00F44194"/>
    <w:rsid w:val="00F6523C"/>
    <w:rsid w:val="00F71A5A"/>
    <w:rsid w:val="00F73A1A"/>
    <w:rsid w:val="00F769E0"/>
    <w:rsid w:val="00F947B0"/>
    <w:rsid w:val="00FA31A9"/>
    <w:rsid w:val="00FA4A46"/>
    <w:rsid w:val="00FA75FE"/>
    <w:rsid w:val="00FB1032"/>
    <w:rsid w:val="00FB39BC"/>
    <w:rsid w:val="00FB6A53"/>
    <w:rsid w:val="00FC11CA"/>
    <w:rsid w:val="00FC6BDE"/>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0C5E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BodyText">
    <w:name w:val="Body Text"/>
    <w:basedOn w:val="Normal"/>
    <w:link w:val="BodyTextChar"/>
    <w:rsid w:val="007539DB"/>
    <w:pPr>
      <w:spacing w:after="120"/>
    </w:pPr>
  </w:style>
  <w:style w:type="character" w:customStyle="1" w:styleId="BodyTextChar">
    <w:name w:val="Body Text Char"/>
    <w:link w:val="BodyText"/>
    <w:rsid w:val="007539DB"/>
    <w:rPr>
      <w:sz w:val="24"/>
      <w:szCs w:val="24"/>
    </w:rPr>
  </w:style>
  <w:style w:type="paragraph" w:customStyle="1" w:styleId="TableParagraph">
    <w:name w:val="Table Paragraph"/>
    <w:basedOn w:val="Normal"/>
    <w:uiPriority w:val="1"/>
    <w:qFormat/>
    <w:rsid w:val="007539DB"/>
    <w:pPr>
      <w:widowControl w:val="0"/>
      <w:autoSpaceDE w:val="0"/>
      <w:autoSpaceDN w:val="0"/>
      <w:spacing w:line="247" w:lineRule="exact"/>
      <w:ind w:left="107"/>
    </w:pPr>
    <w:rPr>
      <w:sz w:val="22"/>
      <w:szCs w:val="22"/>
    </w:rPr>
  </w:style>
  <w:style w:type="character" w:styleId="CommentReference">
    <w:name w:val="annotation reference"/>
    <w:rsid w:val="006F1B8B"/>
    <w:rPr>
      <w:sz w:val="16"/>
      <w:szCs w:val="16"/>
    </w:rPr>
  </w:style>
  <w:style w:type="paragraph" w:styleId="CommentText">
    <w:name w:val="annotation text"/>
    <w:basedOn w:val="Normal"/>
    <w:link w:val="CommentTextChar"/>
    <w:rsid w:val="006F1B8B"/>
    <w:rPr>
      <w:sz w:val="20"/>
      <w:szCs w:val="20"/>
    </w:rPr>
  </w:style>
  <w:style w:type="character" w:customStyle="1" w:styleId="CommentTextChar">
    <w:name w:val="Comment Text Char"/>
    <w:basedOn w:val="DefaultParagraphFont"/>
    <w:link w:val="CommentText"/>
    <w:rsid w:val="006F1B8B"/>
  </w:style>
  <w:style w:type="paragraph" w:styleId="CommentSubject">
    <w:name w:val="annotation subject"/>
    <w:basedOn w:val="CommentText"/>
    <w:next w:val="CommentText"/>
    <w:link w:val="CommentSubjectChar"/>
    <w:rsid w:val="006F1B8B"/>
    <w:rPr>
      <w:b/>
      <w:bCs/>
    </w:rPr>
  </w:style>
  <w:style w:type="character" w:customStyle="1" w:styleId="CommentSubjectChar">
    <w:name w:val="Comment Subject Char"/>
    <w:link w:val="CommentSubject"/>
    <w:rsid w:val="006F1B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da.gov/regulatory-information/search-fda-guidance-documents/guidance-industry-channels-trade-policy-commodities-residues-pesticide-chemic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da.gov/industry/small-business-assist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2124-194E-4FC7-9972-73C04E686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2482</Words>
  <Characters>14152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16601</CharactersWithSpaces>
  <SharedDoc>false</SharedDoc>
  <HLinks>
    <vt:vector size="12" baseType="variant">
      <vt:variant>
        <vt:i4>7209008</vt:i4>
      </vt:variant>
      <vt:variant>
        <vt:i4>3</vt:i4>
      </vt:variant>
      <vt:variant>
        <vt:i4>0</vt:i4>
      </vt:variant>
      <vt:variant>
        <vt:i4>5</vt:i4>
      </vt:variant>
      <vt:variant>
        <vt:lpwstr>https://www.fda.gov/industry/small-business-assistance/</vt:lpwstr>
      </vt:variant>
      <vt:variant>
        <vt:lpwstr/>
      </vt:variant>
      <vt:variant>
        <vt:i4>1441808</vt:i4>
      </vt:variant>
      <vt:variant>
        <vt:i4>0</vt:i4>
      </vt:variant>
      <vt:variant>
        <vt:i4>0</vt:i4>
      </vt:variant>
      <vt:variant>
        <vt:i4>5</vt:i4>
      </vt:variant>
      <vt:variant>
        <vt:lpwstr>https://www.fda.gov/regulatory-information/search-fda-guidance-documents/guidance-industry-channels-trade-policy-commodities-residues-pesticide-chemicals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2020-10-25T16:08:00Z</dcterms:created>
  <dcterms:modified xsi:type="dcterms:W3CDTF">2020-10-25T16:10:00Z</dcterms:modified>
</cp:coreProperties>
</file>