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C3A" w:rsidP="00C51C3A" w:rsidRDefault="00A13B41" w14:paraId="7C153ADA" w14:textId="77777777">
      <w:pPr>
        <w:pStyle w:val="ListParagraph"/>
        <w:tabs>
          <w:tab w:val="num" w:pos="0"/>
        </w:tabs>
        <w:ind w:left="0"/>
        <w:jc w:val="center"/>
        <w:rPr>
          <w:b/>
          <w:bCs/>
        </w:rPr>
      </w:pPr>
      <w:r w:rsidRPr="00CC42A3">
        <w:rPr>
          <w:b/>
          <w:bCs/>
        </w:rPr>
        <w:t>SUPPORTING STATEMENT</w:t>
      </w:r>
    </w:p>
    <w:p w:rsidR="00DF66AB" w:rsidP="00C51C3A" w:rsidRDefault="00A13B41" w14:paraId="7C153ADB" w14:textId="77777777">
      <w:pPr>
        <w:pStyle w:val="ListParagraph"/>
        <w:tabs>
          <w:tab w:val="num" w:pos="0"/>
        </w:tabs>
        <w:ind w:left="0"/>
        <w:jc w:val="center"/>
        <w:rPr>
          <w:b/>
          <w:bCs/>
        </w:rPr>
      </w:pPr>
      <w:proofErr w:type="gramStart"/>
      <w:r w:rsidRPr="00CC42A3">
        <w:rPr>
          <w:b/>
          <w:bCs/>
        </w:rPr>
        <w:t>for</w:t>
      </w:r>
      <w:proofErr w:type="gramEnd"/>
      <w:r w:rsidRPr="00CC42A3">
        <w:rPr>
          <w:b/>
          <w:bCs/>
        </w:rPr>
        <w:t xml:space="preserve"> the Paperwork Reduction Act </w:t>
      </w:r>
      <w:r w:rsidRPr="00CC42A3" w:rsidR="008901F2">
        <w:rPr>
          <w:b/>
          <w:bCs/>
        </w:rPr>
        <w:t>Revised</w:t>
      </w:r>
      <w:r w:rsidRPr="00CC42A3">
        <w:rPr>
          <w:b/>
          <w:bCs/>
        </w:rPr>
        <w:t xml:space="preserve"> Information Collection Submission for </w:t>
      </w:r>
    </w:p>
    <w:p w:rsidRPr="00CC42A3" w:rsidR="00AD4C34" w:rsidP="00C51C3A" w:rsidRDefault="00715A83" w14:paraId="7C153ADC" w14:textId="035AFD0D">
      <w:pPr>
        <w:pStyle w:val="ListParagraph"/>
        <w:tabs>
          <w:tab w:val="num" w:pos="0"/>
        </w:tabs>
        <w:ind w:left="0"/>
        <w:jc w:val="center"/>
        <w:rPr>
          <w:b/>
          <w:bCs/>
        </w:rPr>
      </w:pPr>
      <w:r w:rsidRPr="00CC42A3">
        <w:rPr>
          <w:b/>
          <w:bCs/>
        </w:rPr>
        <w:t>Rule 17g-1</w:t>
      </w:r>
      <w:r w:rsidR="00D52626">
        <w:rPr>
          <w:b/>
          <w:bCs/>
        </w:rPr>
        <w:t xml:space="preserve"> and Form NRS</w:t>
      </w:r>
      <w:r w:rsidR="00B503E3">
        <w:rPr>
          <w:b/>
          <w:bCs/>
        </w:rPr>
        <w:t>R</w:t>
      </w:r>
      <w:r w:rsidR="00D52626">
        <w:rPr>
          <w:b/>
          <w:bCs/>
        </w:rPr>
        <w:t>O</w:t>
      </w:r>
    </w:p>
    <w:p w:rsidR="00AD4C34" w:rsidP="00AD4C34" w:rsidRDefault="00AD4C34" w14:paraId="7C153ADD" w14:textId="77777777">
      <w:pPr>
        <w:pStyle w:val="ListParagraph"/>
        <w:tabs>
          <w:tab w:val="num" w:pos="450"/>
        </w:tabs>
        <w:ind w:left="446" w:hanging="360"/>
        <w:rPr>
          <w:b/>
          <w:bCs/>
        </w:rPr>
      </w:pPr>
    </w:p>
    <w:p w:rsidRPr="00CC42A3" w:rsidR="00DF66AB" w:rsidP="00AD4C34" w:rsidRDefault="00DF66AB" w14:paraId="7C153ADE" w14:textId="77777777">
      <w:pPr>
        <w:pStyle w:val="ListParagraph"/>
        <w:tabs>
          <w:tab w:val="num" w:pos="450"/>
        </w:tabs>
        <w:ind w:left="446" w:hanging="360"/>
        <w:rPr>
          <w:b/>
          <w:bCs/>
        </w:rPr>
      </w:pPr>
    </w:p>
    <w:p w:rsidRPr="00CC42A3" w:rsidR="009E493C" w:rsidP="00DF66AB" w:rsidRDefault="009E493C" w14:paraId="7C153ADF" w14:textId="77777777">
      <w:pPr>
        <w:pStyle w:val="ListParagraph"/>
        <w:numPr>
          <w:ilvl w:val="0"/>
          <w:numId w:val="7"/>
        </w:numPr>
        <w:ind w:left="0" w:firstLine="4"/>
        <w:rPr>
          <w:b/>
          <w:bCs/>
        </w:rPr>
      </w:pPr>
      <w:r w:rsidRPr="00CC42A3">
        <w:rPr>
          <w:b/>
        </w:rPr>
        <w:t>JUSTIFICATION</w:t>
      </w:r>
    </w:p>
    <w:p w:rsidRPr="00CC42A3" w:rsidR="009E493C" w:rsidP="009E493C" w:rsidRDefault="009E493C" w14:paraId="7C153AE0" w14:textId="77777777">
      <w:pPr>
        <w:pStyle w:val="ListParagraph"/>
        <w:ind w:left="0"/>
        <w:rPr>
          <w:b/>
        </w:rPr>
      </w:pPr>
    </w:p>
    <w:p w:rsidRPr="00CC42A3" w:rsidR="009E493C" w:rsidP="00850692" w:rsidRDefault="009E493C" w14:paraId="7C153AE1" w14:textId="77777777">
      <w:pPr>
        <w:pStyle w:val="ListParagraph"/>
        <w:numPr>
          <w:ilvl w:val="0"/>
          <w:numId w:val="2"/>
        </w:numPr>
        <w:ind w:left="0" w:firstLine="0"/>
        <w:rPr>
          <w:b/>
        </w:rPr>
      </w:pPr>
      <w:r w:rsidRPr="00CC42A3">
        <w:rPr>
          <w:b/>
        </w:rPr>
        <w:t>Necessity of Information Collection</w:t>
      </w:r>
    </w:p>
    <w:p w:rsidRPr="00CC42A3" w:rsidR="008B7A65" w:rsidP="008B7A65" w:rsidRDefault="008B7A65" w14:paraId="7C153AE2" w14:textId="77777777">
      <w:pPr>
        <w:pStyle w:val="ListParagraph"/>
        <w:tabs>
          <w:tab w:val="left" w:pos="-720"/>
          <w:tab w:val="left" w:pos="286"/>
          <w:tab w:val="left" w:pos="403"/>
        </w:tabs>
        <w:suppressAutoHyphens/>
        <w:ind w:left="0"/>
      </w:pPr>
    </w:p>
    <w:p w:rsidRPr="00CC42A3" w:rsidR="006629D1" w:rsidP="006629D1" w:rsidRDefault="006629D1" w14:paraId="7C153AE3" w14:textId="77777777">
      <w:bookmarkStart w:name="OLE_LINK1" w:id="0"/>
      <w:bookmarkStart w:name="OLE_LINK2" w:id="1"/>
      <w:r w:rsidRPr="00CC42A3">
        <w:tab/>
        <w:t>The Credit Rating Agency Reform Act of 2006</w:t>
      </w:r>
      <w:r w:rsidRPr="00CC42A3">
        <w:rPr>
          <w:rStyle w:val="FootnoteReference"/>
        </w:rPr>
        <w:footnoteReference w:id="1"/>
      </w:r>
      <w:r w:rsidRPr="00CC42A3">
        <w:t xml:space="preserve"> (“Rating Agency Act”), enacted on September 29, 2006, defines the term “nationally recognized statistical rating organization,” or “NRSRO,” and provides authority for the Securities and Exchange Commission (“Commission”) to implement registration, recordkeeping, financial reporting, and oversight rules with respect to credit rating agencies</w:t>
      </w:r>
      <w:r w:rsidR="008365F5">
        <w:t xml:space="preserve"> registered with the Commission as NRSROs</w:t>
      </w:r>
      <w:r w:rsidRPr="00CC42A3">
        <w:t xml:space="preserve">. </w:t>
      </w:r>
      <w:r w:rsidR="00631225">
        <w:t xml:space="preserve"> </w:t>
      </w:r>
      <w:r w:rsidRPr="006B15CC" w:rsidR="00631225">
        <w:t>The Rating Agency Act added new Section 15E, “Registration of Nationally Recognized Statistical Rating Organizations,”</w:t>
      </w:r>
      <w:r w:rsidRPr="006B15CC" w:rsidR="00631225">
        <w:rPr>
          <w:rStyle w:val="FootnoteReference"/>
        </w:rPr>
        <w:footnoteReference w:id="2"/>
      </w:r>
      <w:r w:rsidRPr="006B15CC" w:rsidR="00631225">
        <w:t xml:space="preserve"> to the Securities Exchange Act of 1934 (“Exchange Act”).</w:t>
      </w:r>
      <w:r w:rsidR="00631225">
        <w:t xml:space="preserve"> </w:t>
      </w:r>
      <w:r w:rsidRPr="00CC42A3">
        <w:t xml:space="preserve"> In 2007, the Commission adopted rules to implement specific provisions of the Rating Agency Act, as well as other registration, recordkeeping, financial reporting and oversight rules.</w:t>
      </w:r>
      <w:r w:rsidRPr="00CC42A3">
        <w:rPr>
          <w:rStyle w:val="FootnoteReference"/>
        </w:rPr>
        <w:footnoteReference w:id="3"/>
      </w:r>
    </w:p>
    <w:p w:rsidRPr="00CC42A3" w:rsidR="006629D1" w:rsidP="006629D1" w:rsidRDefault="006629D1" w14:paraId="7C153AE4" w14:textId="77777777"/>
    <w:p w:rsidRPr="006B15CC" w:rsidR="00D72287" w:rsidP="00D72287" w:rsidRDefault="002A2D93" w14:paraId="7C153AE5" w14:textId="03C16DA0">
      <w:r w:rsidRPr="00CC42A3">
        <w:tab/>
      </w:r>
      <w:r w:rsidRPr="006B15CC" w:rsidR="00353748">
        <w:t>The Dodd-Frank Wall Street Reform and Consumer Protection Act</w:t>
      </w:r>
      <w:r w:rsidRPr="006B15CC" w:rsidR="00353748">
        <w:rPr>
          <w:rStyle w:val="FootnoteReference"/>
          <w:color w:val="000000"/>
        </w:rPr>
        <w:footnoteReference w:id="4"/>
      </w:r>
      <w:r w:rsidRPr="006B15CC" w:rsidR="00353748">
        <w:t xml:space="preserve"> (“Dodd-Frank Act”) </w:t>
      </w:r>
      <w:proofErr w:type="gramStart"/>
      <w:r w:rsidRPr="006B15CC" w:rsidR="00353748">
        <w:t>was</w:t>
      </w:r>
      <w:proofErr w:type="gramEnd"/>
      <w:r w:rsidRPr="006B15CC" w:rsidR="00353748">
        <w:t xml:space="preserve"> enacted on July 21, 2010.</w:t>
      </w:r>
      <w:r w:rsidR="00353748">
        <w:t xml:space="preserve">  </w:t>
      </w:r>
      <w:r w:rsidRPr="00CC42A3">
        <w:t>Title IX, Subtitle C of the Dodd-Frank Act,</w:t>
      </w:r>
      <w:r w:rsidRPr="00CC42A3">
        <w:rPr>
          <w:color w:val="000000"/>
        </w:rPr>
        <w:t xml:space="preserve"> </w:t>
      </w:r>
      <w:r w:rsidRPr="00CC42A3">
        <w:t>“Improvements to the Regulation of Credit Rating Agencies,” among other things, establishes new self-executing requirements applicable to NRSROs, requires certain studies,</w:t>
      </w:r>
      <w:r w:rsidRPr="00CC42A3">
        <w:rPr>
          <w:rStyle w:val="FootnoteReference"/>
        </w:rPr>
        <w:footnoteReference w:id="5"/>
      </w:r>
      <w:r w:rsidRPr="00CC42A3">
        <w:t xml:space="preserve"> and requires that the Commission adopt rules applicable to NRSROs</w:t>
      </w:r>
      <w:r w:rsidR="00631225">
        <w:t>, providers of due diligence services, and issuers and underwriters of asset-backed securities</w:t>
      </w:r>
      <w:r w:rsidRPr="00CC42A3">
        <w:t xml:space="preserve"> in a number of areas.</w:t>
      </w:r>
      <w:r w:rsidRPr="00CC42A3">
        <w:rPr>
          <w:rStyle w:val="FootnoteReference"/>
        </w:rPr>
        <w:footnoteReference w:id="6"/>
      </w:r>
      <w:r w:rsidRPr="00CC42A3">
        <w:t xml:space="preserve">  </w:t>
      </w:r>
      <w:r w:rsidRPr="00D72287" w:rsidR="00D72287">
        <w:t xml:space="preserve"> </w:t>
      </w:r>
      <w:r w:rsidR="00D72287">
        <w:t>On August 27, 2014, t</w:t>
      </w:r>
      <w:r w:rsidRPr="006B15CC" w:rsidR="00D72287">
        <w:t xml:space="preserve">he Commission </w:t>
      </w:r>
      <w:r w:rsidR="00D72287">
        <w:t>adopted</w:t>
      </w:r>
      <w:r w:rsidRPr="006B15CC" w:rsidR="00D72287">
        <w:t xml:space="preserve"> rules and rule amendments to implement certain of these provisions, including amendments to Rule 17g-</w:t>
      </w:r>
      <w:r w:rsidR="00EC7FBD">
        <w:t xml:space="preserve">1 and </w:t>
      </w:r>
      <w:r w:rsidRPr="004F32DE" w:rsidR="004F32DE">
        <w:t xml:space="preserve">the instructions for Exhibit 1 </w:t>
      </w:r>
      <w:r w:rsidR="004F32DE">
        <w:t xml:space="preserve">of </w:t>
      </w:r>
      <w:r w:rsidR="00EC7FBD">
        <w:t>Form NRSRO</w:t>
      </w:r>
      <w:r w:rsidR="00D72287">
        <w:t>, as discussed below</w:t>
      </w:r>
      <w:r w:rsidRPr="006B15CC" w:rsidR="00D72287">
        <w:t>.</w:t>
      </w:r>
      <w:r w:rsidRPr="006B15CC" w:rsidR="00D72287">
        <w:rPr>
          <w:rStyle w:val="FootnoteReference"/>
        </w:rPr>
        <w:footnoteReference w:id="7"/>
      </w:r>
      <w:r w:rsidRPr="004F32DE" w:rsidR="004F32DE">
        <w:t xml:space="preserve"> </w:t>
      </w:r>
      <w:r w:rsidRPr="004B3F39" w:rsidR="004F32DE">
        <w:t xml:space="preserve">The </w:t>
      </w:r>
      <w:r w:rsidR="004B3F39">
        <w:t xml:space="preserve">2014 </w:t>
      </w:r>
      <w:r w:rsidRPr="004B3F39" w:rsidR="004F32DE">
        <w:t xml:space="preserve">amendments to Rule 17g-1 </w:t>
      </w:r>
      <w:r w:rsidR="004B3F39">
        <w:t xml:space="preserve">and Form NRSRO instructions </w:t>
      </w:r>
      <w:r w:rsidRPr="004B3F39" w:rsidR="004F32DE">
        <w:t>require</w:t>
      </w:r>
      <w:r w:rsidRPr="004B3F39" w:rsidR="00815530">
        <w:t>d</w:t>
      </w:r>
      <w:r w:rsidRPr="004B3F39" w:rsidR="004F32DE">
        <w:t xml:space="preserve"> the Commission to update the </w:t>
      </w:r>
      <w:r w:rsidR="004B3F39">
        <w:t xml:space="preserve">collection of information </w:t>
      </w:r>
      <w:r w:rsidRPr="004B3F39" w:rsidR="004F32DE">
        <w:t>burden estimate</w:t>
      </w:r>
      <w:r w:rsidR="004B3F39">
        <w:t>s</w:t>
      </w:r>
      <w:r w:rsidRPr="004B3F39" w:rsidR="004F32DE">
        <w:t xml:space="preserve"> </w:t>
      </w:r>
      <w:r w:rsidR="004B3F39">
        <w:t>related to compliance with the amendments</w:t>
      </w:r>
      <w:r w:rsidRPr="004B3F39" w:rsidR="004F32DE">
        <w:t>.</w:t>
      </w:r>
      <w:r w:rsidR="00DC2CEE">
        <w:t xml:space="preserve"> </w:t>
      </w:r>
    </w:p>
    <w:p w:rsidRPr="00CC42A3" w:rsidR="002A2D93" w:rsidP="006629D1" w:rsidRDefault="002A2D93" w14:paraId="7C153AE6" w14:textId="77777777"/>
    <w:p w:rsidRPr="00CC42A3" w:rsidR="006629D1" w:rsidP="006629D1" w:rsidRDefault="006629D1" w14:paraId="7C153AE9" w14:textId="77777777">
      <w:pPr>
        <w:ind w:firstLine="720"/>
        <w:rPr>
          <w:iCs/>
        </w:rPr>
      </w:pPr>
      <w:r w:rsidRPr="00CC42A3">
        <w:lastRenderedPageBreak/>
        <w:t>Rule 17g-1</w:t>
      </w:r>
      <w:r w:rsidR="00D72287">
        <w:t xml:space="preserve"> (17 CFR 240.17g-1)</w:t>
      </w:r>
      <w:r w:rsidRPr="00CC42A3">
        <w:t xml:space="preserve"> and Form NRSRO </w:t>
      </w:r>
      <w:r w:rsidRPr="00EC7FBD" w:rsidR="00EC7FBD">
        <w:t>(17 CFR 249b.300)</w:t>
      </w:r>
      <w:r w:rsidR="00EC7FBD">
        <w:t xml:space="preserve"> </w:t>
      </w:r>
      <w:r w:rsidRPr="00CC42A3">
        <w:t>contain recordkeeping and disclosure requirements.</w:t>
      </w:r>
      <w:r w:rsidR="00D72287">
        <w:rPr>
          <w:rStyle w:val="FootnoteReference"/>
        </w:rPr>
        <w:footnoteReference w:id="8"/>
      </w:r>
      <w:r w:rsidRPr="00CC42A3">
        <w:t xml:space="preserve">  </w:t>
      </w:r>
      <w:r w:rsidRPr="00CC42A3">
        <w:rPr>
          <w:iCs/>
        </w:rPr>
        <w:t xml:space="preserve">The collection of information obligation imposed by Rule 17g-1 and Form NRSRO is mandatory.  Rule 17g-1 and Form NRSRO, however, apply only to credit rating agencies that are applying to register or are registered with the Commission as NRSROs, and registration is voluntary.  </w:t>
      </w:r>
    </w:p>
    <w:p w:rsidRPr="00CC42A3" w:rsidR="006629D1" w:rsidP="006629D1" w:rsidRDefault="006629D1" w14:paraId="7C153AEA" w14:textId="77777777"/>
    <w:p w:rsidRPr="00CC42A3" w:rsidR="006629D1" w:rsidP="006629D1" w:rsidRDefault="006629D1" w14:paraId="7C153AEB" w14:textId="77777777">
      <w:r w:rsidRPr="00CC42A3">
        <w:tab/>
      </w:r>
      <w:r w:rsidRPr="00CC42A3">
        <w:rPr>
          <w:iCs/>
        </w:rPr>
        <w:t>Rule 17g-1 requires a credit rating agency to furnish an initial application on Form NRSRO.</w:t>
      </w:r>
      <w:r w:rsidRPr="00CC42A3">
        <w:rPr>
          <w:rStyle w:val="FootnoteReference"/>
        </w:rPr>
        <w:t xml:space="preserve"> </w:t>
      </w:r>
      <w:r w:rsidRPr="00CC42A3">
        <w:rPr>
          <w:rStyle w:val="FootnoteReference"/>
        </w:rPr>
        <w:footnoteReference w:id="9"/>
      </w:r>
      <w:r w:rsidRPr="00CC42A3">
        <w:rPr>
          <w:iCs/>
        </w:rPr>
        <w:t xml:space="preserve">  The rule also </w:t>
      </w:r>
      <w:r w:rsidRPr="00CC42A3">
        <w:t xml:space="preserve">provides that if </w:t>
      </w:r>
      <w:r w:rsidR="00D72287">
        <w:t xml:space="preserve">the </w:t>
      </w:r>
      <w:r w:rsidRPr="00CC42A3">
        <w:t xml:space="preserve">information </w:t>
      </w:r>
      <w:r w:rsidR="00EC7FBD">
        <w:t>contained in</w:t>
      </w:r>
      <w:r w:rsidRPr="00CC42A3">
        <w:t xml:space="preserve"> the application becomes materially inaccurate before the Commission has granted or denied the application, the credit rating agency must promptly notify the Commission and amend the application with accurate and complete information by submitting an amended initial application on Form NRSRO.  Rule 17g-1 also provides that a credit rating agency could withdraw its application before the Commission takes final action on it by furnishing the Commission with a written notice of withdrawal executed by a duly authorized person.  Once the application has been approved, </w:t>
      </w:r>
      <w:r w:rsidR="00F56DE6">
        <w:t>s</w:t>
      </w:r>
      <w:r w:rsidRPr="00CC42A3">
        <w:t xml:space="preserve">ection </w:t>
      </w:r>
      <w:proofErr w:type="gramStart"/>
      <w:r w:rsidRPr="00CC42A3">
        <w:t>15E(</w:t>
      </w:r>
      <w:proofErr w:type="gramEnd"/>
      <w:r w:rsidRPr="00CC42A3">
        <w:t>b)(1) of the Exchange Act requires an NRSRO to promptly amend the application if any information or document provided as part of the application becomes materially inaccurate.</w:t>
      </w:r>
      <w:r w:rsidRPr="00CC42A3">
        <w:rPr>
          <w:rStyle w:val="FootnoteReference"/>
        </w:rPr>
        <w:footnoteReference w:id="10"/>
      </w:r>
      <w:r w:rsidRPr="00CC42A3">
        <w:t xml:space="preserve">  Rule 17g-1 provides that an NRSRO is required to furnish the amendment to the Commission on Form NRSRO.     </w:t>
      </w:r>
    </w:p>
    <w:p w:rsidRPr="00CC42A3" w:rsidR="006629D1" w:rsidP="006629D1" w:rsidRDefault="006629D1" w14:paraId="7C153AEC" w14:textId="77777777">
      <w:r w:rsidRPr="00CC42A3">
        <w:tab/>
        <w:t xml:space="preserve"> </w:t>
      </w:r>
    </w:p>
    <w:p w:rsidRPr="00CC42A3" w:rsidR="006629D1" w:rsidP="008901F2" w:rsidRDefault="006629D1" w14:paraId="7C153AED" w14:textId="77777777">
      <w:r w:rsidRPr="00CC42A3">
        <w:tab/>
        <w:t xml:space="preserve">A credit rating agency may apply to be registered for fewer than all five categories of credit ratings described in </w:t>
      </w:r>
      <w:r w:rsidR="00F56DE6">
        <w:t>s</w:t>
      </w:r>
      <w:r w:rsidRPr="00CC42A3">
        <w:t>ection 3(a</w:t>
      </w:r>
      <w:proofErr w:type="gramStart"/>
      <w:r w:rsidRPr="00CC42A3">
        <w:t>)(</w:t>
      </w:r>
      <w:proofErr w:type="gramEnd"/>
      <w:r w:rsidRPr="00CC42A3">
        <w:t>62)(B) of the Exchange Act.</w:t>
      </w:r>
      <w:r w:rsidRPr="00CC42A3">
        <w:rPr>
          <w:rStyle w:val="FootnoteReference"/>
        </w:rPr>
        <w:footnoteReference w:id="11"/>
      </w:r>
      <w:r w:rsidRPr="00CC42A3">
        <w:t xml:space="preserve">  Rule 17g-1 provides that an NRSRO registered for fewer than the five categories may apply to be registered with respect to an additional category by furnishing an amended Form NRSRO and indicating where appropriate on the Form the additional category for which it is applying to be registered. </w:t>
      </w:r>
    </w:p>
    <w:p w:rsidRPr="00CC42A3" w:rsidR="006629D1" w:rsidP="006629D1" w:rsidRDefault="006629D1" w14:paraId="7C153AEE" w14:textId="77777777"/>
    <w:p w:rsidRPr="00CC42A3" w:rsidR="006629D1" w:rsidP="006629D1" w:rsidRDefault="006629D1" w14:paraId="7C153AEF" w14:textId="7054DF8F">
      <w:pPr>
        <w:ind w:firstLine="720"/>
      </w:pPr>
      <w:r w:rsidRPr="00CC42A3">
        <w:t>Section 15E(b)(2) of the Exchange Act requires an NRSRO to furnish the Commission with an amendment to its registration not later than 90 days after the end of each calendar year in a form prescribed by Commission rule (the “annual certification”).</w:t>
      </w:r>
      <w:r w:rsidRPr="00CC42A3">
        <w:rPr>
          <w:rStyle w:val="FootnoteReference"/>
        </w:rPr>
        <w:footnoteReference w:id="12"/>
      </w:r>
      <w:r w:rsidRPr="00CC42A3">
        <w:t xml:space="preserve">  This section further provides that the amendment must (1) certify that the information and documents provided in the application for registration (except the Q</w:t>
      </w:r>
      <w:r w:rsidR="00824B92">
        <w:t xml:space="preserve">ualified </w:t>
      </w:r>
      <w:r w:rsidRPr="00CC42A3">
        <w:t>I</w:t>
      </w:r>
      <w:r w:rsidR="00824B92">
        <w:t xml:space="preserve">nstitutional </w:t>
      </w:r>
      <w:r w:rsidRPr="00CC42A3">
        <w:t>B</w:t>
      </w:r>
      <w:r w:rsidR="00824B92">
        <w:t>uyer</w:t>
      </w:r>
      <w:r w:rsidRPr="00CC42A3">
        <w:t xml:space="preserve"> certifications) continue to be accurate and (2) list any material change to the information and documents that occurred during </w:t>
      </w:r>
      <w:r w:rsidRPr="00CC42A3">
        <w:lastRenderedPageBreak/>
        <w:t>the previous calendar year.  Rule 17g-1 implements these statutory provisions by requiring an NRSRO to furnish the annual certification on Form NRSRO.</w:t>
      </w:r>
    </w:p>
    <w:p w:rsidRPr="00CC42A3" w:rsidR="006629D1" w:rsidP="006629D1" w:rsidRDefault="006629D1" w14:paraId="7C153AF0" w14:textId="77777777">
      <w:r w:rsidRPr="00CC42A3">
        <w:tab/>
      </w:r>
    </w:p>
    <w:p w:rsidRPr="00CC42A3" w:rsidR="006629D1" w:rsidP="006629D1" w:rsidRDefault="006629D1" w14:paraId="7C153AF1" w14:textId="77777777">
      <w:pPr>
        <w:ind w:firstLine="720"/>
      </w:pPr>
      <w:r w:rsidRPr="00CC42A3">
        <w:t xml:space="preserve">Finally, </w:t>
      </w:r>
      <w:r w:rsidR="00F56DE6">
        <w:t>s</w:t>
      </w:r>
      <w:r w:rsidRPr="00CC42A3">
        <w:t>ection 15E(e)(1) of the Exchange Act provides that an NRSRO may withdraw from registration, subject to terms and conditions the Commission may establish as necessary in the public interest or for the protection of investors, by furnishing the Commission with a written notice of withdrawal.</w:t>
      </w:r>
      <w:r w:rsidRPr="00CC42A3">
        <w:rPr>
          <w:rStyle w:val="FootnoteReference"/>
        </w:rPr>
        <w:footnoteReference w:id="13"/>
      </w:r>
      <w:r w:rsidRPr="00CC42A3">
        <w:t xml:space="preserve">  Rule 17g-1 provides that an NRSRO must furnish the Commission with a withdrawal of registration on Form NRSRO. </w:t>
      </w:r>
    </w:p>
    <w:p w:rsidRPr="00CC42A3" w:rsidR="009E493C" w:rsidP="009E493C" w:rsidRDefault="009E493C" w14:paraId="7C153AFF" w14:textId="77777777">
      <w:pPr>
        <w:pStyle w:val="ListParagraph"/>
        <w:tabs>
          <w:tab w:val="left" w:pos="-720"/>
          <w:tab w:val="left" w:pos="286"/>
          <w:tab w:val="left" w:pos="403"/>
        </w:tabs>
        <w:suppressAutoHyphens/>
        <w:ind w:left="0" w:hanging="360"/>
      </w:pPr>
    </w:p>
    <w:p w:rsidRPr="00CC42A3" w:rsidR="009E493C" w:rsidP="00850692" w:rsidRDefault="009E493C" w14:paraId="7C153B00" w14:textId="77777777">
      <w:pPr>
        <w:pStyle w:val="ListParagraph"/>
        <w:numPr>
          <w:ilvl w:val="0"/>
          <w:numId w:val="2"/>
        </w:numPr>
        <w:ind w:left="0" w:firstLine="0"/>
        <w:rPr>
          <w:b/>
        </w:rPr>
      </w:pPr>
      <w:r w:rsidRPr="00CC42A3">
        <w:rPr>
          <w:b/>
        </w:rPr>
        <w:t>Purpose and Use of the Information Collection</w:t>
      </w:r>
    </w:p>
    <w:p w:rsidRPr="00CC42A3" w:rsidR="00D01DDB" w:rsidP="009E493C" w:rsidRDefault="00D01DDB" w14:paraId="7C153B01" w14:textId="77777777">
      <w:pPr>
        <w:pStyle w:val="ListParagraph"/>
        <w:ind w:left="0"/>
      </w:pPr>
    </w:p>
    <w:p w:rsidR="007C7BB1" w:rsidP="00921608" w:rsidRDefault="007C7BB1" w14:paraId="7C153B04" w14:textId="2A6E03C8">
      <w:pPr>
        <w:pStyle w:val="BodyText"/>
        <w:spacing w:line="240" w:lineRule="auto"/>
        <w:ind w:firstLine="720"/>
        <w:rPr>
          <w:b w:val="0"/>
          <w:iCs/>
        </w:rPr>
      </w:pPr>
      <w:r w:rsidRPr="00CC42A3">
        <w:rPr>
          <w:b w:val="0"/>
          <w:iCs/>
          <w:smallCaps w:val="0"/>
        </w:rPr>
        <w:t xml:space="preserve">Rule 17g-1, Form NRSRO, and the Instructions for Form NRSRO create a registration program for NRSROs.  The collections of information in </w:t>
      </w:r>
      <w:r w:rsidR="00824B92">
        <w:rPr>
          <w:b w:val="0"/>
          <w:iCs/>
          <w:smallCaps w:val="0"/>
        </w:rPr>
        <w:t xml:space="preserve">Rule 17g-1 and Form NRSRO </w:t>
      </w:r>
      <w:r w:rsidRPr="00CC42A3">
        <w:rPr>
          <w:b w:val="0"/>
          <w:iCs/>
          <w:smallCaps w:val="0"/>
        </w:rPr>
        <w:t xml:space="preserve">are designed to allow the Commission to determine whether an entity should be registered as an NRSRO.  Further, they assist the Commission in effectively monitoring, through its examination function, whether an NRSRO is conducting its activities in accordance with </w:t>
      </w:r>
      <w:r w:rsidR="00720DB2">
        <w:rPr>
          <w:b w:val="0"/>
          <w:iCs/>
          <w:smallCaps w:val="0"/>
        </w:rPr>
        <w:t>s</w:t>
      </w:r>
      <w:r w:rsidRPr="00CC42A3">
        <w:rPr>
          <w:b w:val="0"/>
          <w:iCs/>
          <w:smallCaps w:val="0"/>
        </w:rPr>
        <w:t>ection 15E of the Exchange Act and Exchange Act rules</w:t>
      </w:r>
      <w:r w:rsidRPr="0002685F">
        <w:rPr>
          <w:b w:val="0"/>
          <w:iCs/>
        </w:rPr>
        <w:t xml:space="preserve">. </w:t>
      </w:r>
    </w:p>
    <w:p w:rsidR="0034210F" w:rsidP="0034210F" w:rsidRDefault="0034210F" w14:paraId="1DC49E07" w14:textId="77777777">
      <w:pPr>
        <w:rPr>
          <w:iCs/>
          <w:color w:val="000000"/>
        </w:rPr>
      </w:pPr>
    </w:p>
    <w:p w:rsidR="0034210F" w:rsidP="0034210F" w:rsidRDefault="0034210F" w14:paraId="7EC67006" w14:textId="33946386">
      <w:pPr>
        <w:ind w:firstLine="720"/>
      </w:pPr>
      <w:r w:rsidRPr="00385F82">
        <w:rPr>
          <w:iCs/>
          <w:color w:val="000000"/>
        </w:rPr>
        <w:t>Rule 17g-1</w:t>
      </w:r>
      <w:r w:rsidR="00824B92">
        <w:rPr>
          <w:iCs/>
          <w:color w:val="000000"/>
        </w:rPr>
        <w:t>,</w:t>
      </w:r>
      <w:r w:rsidRPr="00385F82">
        <w:rPr>
          <w:iCs/>
          <w:color w:val="000000"/>
        </w:rPr>
        <w:t xml:space="preserve"> </w:t>
      </w:r>
      <w:r w:rsidR="00824B92">
        <w:rPr>
          <w:iCs/>
          <w:color w:val="000000"/>
        </w:rPr>
        <w:t xml:space="preserve">which, among other things, </w:t>
      </w:r>
      <w:r w:rsidRPr="00385F82">
        <w:rPr>
          <w:iCs/>
          <w:color w:val="000000"/>
        </w:rPr>
        <w:t>require</w:t>
      </w:r>
      <w:r>
        <w:rPr>
          <w:iCs/>
          <w:color w:val="000000"/>
        </w:rPr>
        <w:t>s</w:t>
      </w:r>
      <w:r w:rsidRPr="00385F82">
        <w:rPr>
          <w:iCs/>
          <w:color w:val="000000"/>
        </w:rPr>
        <w:t xml:space="preserve"> an NRSRO to use the </w:t>
      </w:r>
      <w:r w:rsidRPr="004B3F39" w:rsidR="00F87063">
        <w:t>Electronic Data Gathering, Analysis and Retrieval System (“EDGAR”</w:t>
      </w:r>
      <w:r w:rsidRPr="00F87063" w:rsidR="00F87063">
        <w:t>)</w:t>
      </w:r>
      <w:r w:rsidRPr="00F87063">
        <w:rPr>
          <w:iCs/>
          <w:color w:val="000000"/>
        </w:rPr>
        <w:t xml:space="preserve"> system t</w:t>
      </w:r>
      <w:r w:rsidRPr="00385F82">
        <w:rPr>
          <w:iCs/>
          <w:color w:val="000000"/>
        </w:rPr>
        <w:t xml:space="preserve">o file Form NRSRO and Exhibits 1 </w:t>
      </w:r>
      <w:r w:rsidRPr="00385F82" w:rsidR="009222DF">
        <w:rPr>
          <w:iCs/>
          <w:color w:val="000000"/>
        </w:rPr>
        <w:t xml:space="preserve">through </w:t>
      </w:r>
      <w:r w:rsidR="009222DF">
        <w:rPr>
          <w:iCs/>
          <w:color w:val="000000"/>
        </w:rPr>
        <w:t>9</w:t>
      </w:r>
      <w:r w:rsidRPr="00385F82">
        <w:rPr>
          <w:iCs/>
          <w:color w:val="000000"/>
        </w:rPr>
        <w:t xml:space="preserve"> and to make the form and exhibits freely available on an easily accessible portion of the NRSRO’s corporate Internet website</w:t>
      </w:r>
      <w:r w:rsidR="009222DF">
        <w:rPr>
          <w:iCs/>
          <w:color w:val="000000"/>
        </w:rPr>
        <w:t>,</w:t>
      </w:r>
      <w:r w:rsidRPr="00385F82" w:rsidR="009222DF">
        <w:rPr>
          <w:iCs/>
          <w:color w:val="000000"/>
        </w:rPr>
        <w:t xml:space="preserve"> is</w:t>
      </w:r>
      <w:r w:rsidR="00824B92">
        <w:rPr>
          <w:iCs/>
          <w:color w:val="000000"/>
        </w:rPr>
        <w:t xml:space="preserve"> </w:t>
      </w:r>
      <w:r w:rsidRPr="00385F82">
        <w:rPr>
          <w:iCs/>
          <w:color w:val="000000"/>
        </w:rPr>
        <w:t>designed to make the information disclosed in the form and exhibits more readily accessible to investors and other users of credit ratings.   In addition, the filing of the Forms NRSRO and the exhibits on the EDGAR system will allow Commission examiners to more easily retrieve the submissions of a specific NRSRO to prepare for an examination.  Furthermore, having the forms filed and stored through the EDGAR system will assist the Commission from a records management perspective by establishing a more automated storage process and creating efficiencies in terms of reducing the volume of paper filings that must be manually processed and stored.</w:t>
      </w:r>
      <w:r w:rsidRPr="00880805">
        <w:t xml:space="preserve"> </w:t>
      </w:r>
    </w:p>
    <w:p w:rsidRPr="00CC42A3" w:rsidR="00921608" w:rsidP="0034210F" w:rsidRDefault="00921608" w14:paraId="7C153B05" w14:textId="77777777">
      <w:pPr>
        <w:pStyle w:val="BodyText"/>
        <w:spacing w:line="240" w:lineRule="auto"/>
        <w:rPr>
          <w:iCs/>
        </w:rPr>
      </w:pPr>
    </w:p>
    <w:p w:rsidRPr="00CC42A3" w:rsidR="007C7BB1" w:rsidP="007C7BB1" w:rsidRDefault="00921608" w14:paraId="7C153B06" w14:textId="77777777">
      <w:pPr>
        <w:rPr>
          <w:iCs/>
          <w:color w:val="000000"/>
        </w:rPr>
      </w:pPr>
      <w:r w:rsidRPr="00CC42A3">
        <w:rPr>
          <w:iCs/>
        </w:rPr>
        <w:tab/>
      </w:r>
      <w:r w:rsidRPr="00CC42A3" w:rsidR="007C7BB1">
        <w:rPr>
          <w:iCs/>
        </w:rPr>
        <w:t xml:space="preserve">These rules also are designed to assist users of credit ratings by requiring the disclosure of information with respect to an NRSRO that could be used to compare the credit ratings quality of different NRSROs.  The information may include: methods for determining credit ratings; organizational structure; policies for managing material, non-public information; information regarding conflicts of interest; policies for managing conflicts of interest; credit analyst experience; and management experience.  As noted in the Senate Report accompanying the </w:t>
      </w:r>
      <w:r w:rsidR="0002685F">
        <w:rPr>
          <w:iCs/>
        </w:rPr>
        <w:t xml:space="preserve">Rating Agency </w:t>
      </w:r>
      <w:r w:rsidRPr="00CC42A3" w:rsidR="007C7BB1">
        <w:rPr>
          <w:iCs/>
        </w:rPr>
        <w:t xml:space="preserve">Act, the information that NRSROs </w:t>
      </w:r>
      <w:r w:rsidR="00CD6BB6">
        <w:rPr>
          <w:iCs/>
        </w:rPr>
        <w:t xml:space="preserve">are required </w:t>
      </w:r>
      <w:r w:rsidRPr="00CC42A3" w:rsidR="007C7BB1">
        <w:rPr>
          <w:iCs/>
        </w:rPr>
        <w:t>to make public “will facilitate informed decisions by giving investors the opportunity to compare ratings quality of different firms.”</w:t>
      </w:r>
      <w:r w:rsidRPr="00CC42A3" w:rsidR="007C7BB1">
        <w:rPr>
          <w:rStyle w:val="FootnoteReference"/>
          <w:iCs/>
        </w:rPr>
        <w:footnoteReference w:id="14"/>
      </w:r>
      <w:r w:rsidRPr="00880805" w:rsidR="00880805">
        <w:t xml:space="preserve"> </w:t>
      </w:r>
    </w:p>
    <w:p w:rsidRPr="00CC42A3" w:rsidR="007C7BB1" w:rsidP="00700951" w:rsidRDefault="007C7BB1" w14:paraId="7C153B07" w14:textId="77777777">
      <w:pPr>
        <w:rPr>
          <w:iCs/>
          <w:color w:val="000000"/>
        </w:rPr>
      </w:pPr>
    </w:p>
    <w:bookmarkEnd w:id="0"/>
    <w:bookmarkEnd w:id="1"/>
    <w:p w:rsidRPr="00CC42A3" w:rsidR="009E493C" w:rsidP="00850692" w:rsidRDefault="009E493C" w14:paraId="7C153B14" w14:textId="77777777">
      <w:pPr>
        <w:pStyle w:val="ListParagraph"/>
        <w:numPr>
          <w:ilvl w:val="0"/>
          <w:numId w:val="2"/>
        </w:numPr>
        <w:ind w:left="0" w:firstLine="0"/>
        <w:rPr>
          <w:b/>
        </w:rPr>
      </w:pPr>
      <w:r w:rsidRPr="00CC42A3">
        <w:rPr>
          <w:b/>
        </w:rPr>
        <w:t>Consideration Given to Information Technology</w:t>
      </w:r>
    </w:p>
    <w:p w:rsidRPr="00CC42A3" w:rsidR="00E21B7E" w:rsidP="00700951" w:rsidRDefault="00E21B7E" w14:paraId="7C153B15" w14:textId="77777777">
      <w:pPr>
        <w:pStyle w:val="ListParagraph"/>
        <w:tabs>
          <w:tab w:val="left" w:pos="-720"/>
          <w:tab w:val="left" w:pos="720"/>
        </w:tabs>
        <w:suppressAutoHyphens/>
        <w:ind w:left="0"/>
      </w:pPr>
    </w:p>
    <w:p w:rsidRPr="00CC42A3" w:rsidR="00342007" w:rsidP="00340EBC" w:rsidRDefault="007C7BB1" w14:paraId="7C153B18" w14:textId="35494FFE">
      <w:pPr>
        <w:pStyle w:val="ListParagraph"/>
        <w:tabs>
          <w:tab w:val="left" w:pos="-720"/>
          <w:tab w:val="left" w:pos="720"/>
        </w:tabs>
        <w:suppressAutoHyphens/>
        <w:ind w:left="0"/>
      </w:pPr>
      <w:r w:rsidRPr="00CC42A3">
        <w:lastRenderedPageBreak/>
        <w:tab/>
        <w:t xml:space="preserve">Form NRSRO is designed to be downloadable from the Commission </w:t>
      </w:r>
      <w:r w:rsidR="0029281C">
        <w:t>website</w:t>
      </w:r>
      <w:r w:rsidRPr="00CC42A3">
        <w:t xml:space="preserve">, and information could be entered on the Form and stored electronically.  </w:t>
      </w:r>
      <w:r w:rsidRPr="00CC42A3" w:rsidR="00452237">
        <w:rPr>
          <w:color w:val="000000"/>
        </w:rPr>
        <w:t>Rule 17g-</w:t>
      </w:r>
      <w:r w:rsidR="00EB008D">
        <w:rPr>
          <w:color w:val="000000"/>
        </w:rPr>
        <w:t>1</w:t>
      </w:r>
      <w:r w:rsidRPr="00CC42A3" w:rsidR="00452237">
        <w:rPr>
          <w:color w:val="000000"/>
        </w:rPr>
        <w:t xml:space="preserve"> require</w:t>
      </w:r>
      <w:r w:rsidR="00CD6BB6">
        <w:rPr>
          <w:color w:val="000000"/>
        </w:rPr>
        <w:t>s</w:t>
      </w:r>
      <w:r w:rsidRPr="00CC42A3" w:rsidR="00452237">
        <w:rPr>
          <w:color w:val="000000"/>
        </w:rPr>
        <w:t xml:space="preserve"> an NRSRO to make Form NRSRO and Exhibits 1 through 9 freely available on an easily accessible portion of its corporate Internet website</w:t>
      </w:r>
      <w:r w:rsidRPr="00CC42A3" w:rsidR="00805E60">
        <w:rPr>
          <w:color w:val="000000"/>
        </w:rPr>
        <w:t xml:space="preserve"> (and in writing when requested)</w:t>
      </w:r>
      <w:r w:rsidRPr="00CC42A3" w:rsidR="00FF5B6C">
        <w:rPr>
          <w:color w:val="000000"/>
        </w:rPr>
        <w:t>, and</w:t>
      </w:r>
      <w:r w:rsidRPr="00CC42A3" w:rsidR="00452237">
        <w:rPr>
          <w:color w:val="000000"/>
        </w:rPr>
        <w:t xml:space="preserve"> require</w:t>
      </w:r>
      <w:r w:rsidR="004C733D">
        <w:rPr>
          <w:color w:val="000000"/>
        </w:rPr>
        <w:t>s</w:t>
      </w:r>
      <w:r w:rsidRPr="00CC42A3" w:rsidR="00452237">
        <w:rPr>
          <w:color w:val="000000"/>
        </w:rPr>
        <w:t xml:space="preserve"> NRSROs to use the Commission’s EDGAR system to electronically file Form NRSRO and Exhibits 1 through 9 </w:t>
      </w:r>
      <w:r w:rsidR="0029281C">
        <w:rPr>
          <w:color w:val="000000"/>
        </w:rPr>
        <w:t xml:space="preserve">as a PDF document </w:t>
      </w:r>
      <w:r w:rsidRPr="00CC42A3" w:rsidR="00452237">
        <w:rPr>
          <w:color w:val="000000"/>
        </w:rPr>
        <w:t xml:space="preserve">in the format required by the EDGAR Filer Manual.  Thus, </w:t>
      </w:r>
      <w:r w:rsidRPr="00CC42A3" w:rsidR="00FF5B6C">
        <w:rPr>
          <w:color w:val="000000"/>
        </w:rPr>
        <w:t>th</w:t>
      </w:r>
      <w:r w:rsidR="0034210F">
        <w:rPr>
          <w:color w:val="000000"/>
        </w:rPr>
        <w:t>is rule</w:t>
      </w:r>
      <w:r w:rsidRPr="00CC42A3" w:rsidR="00452237">
        <w:rPr>
          <w:color w:val="000000"/>
        </w:rPr>
        <w:t xml:space="preserve"> make</w:t>
      </w:r>
      <w:r w:rsidR="0034210F">
        <w:rPr>
          <w:color w:val="000000"/>
        </w:rPr>
        <w:t>s</w:t>
      </w:r>
      <w:r w:rsidRPr="00CC42A3" w:rsidR="00452237">
        <w:rPr>
          <w:color w:val="000000"/>
        </w:rPr>
        <w:t xml:space="preserve"> use of technology to </w:t>
      </w:r>
      <w:r w:rsidRPr="00CC42A3">
        <w:rPr>
          <w:color w:val="000000"/>
        </w:rPr>
        <w:t>facilitate access to and maintain information</w:t>
      </w:r>
      <w:r w:rsidRPr="00CC42A3" w:rsidR="00FF5B6C">
        <w:rPr>
          <w:color w:val="000000"/>
        </w:rPr>
        <w:t xml:space="preserve">.  With respect to </w:t>
      </w:r>
      <w:r w:rsidR="0034210F">
        <w:rPr>
          <w:color w:val="000000"/>
        </w:rPr>
        <w:t>the</w:t>
      </w:r>
      <w:r w:rsidRPr="00CC42A3" w:rsidR="00FF5B6C">
        <w:rPr>
          <w:color w:val="000000"/>
        </w:rPr>
        <w:t xml:space="preserve"> enhance</w:t>
      </w:r>
      <w:r w:rsidR="00B846B9">
        <w:rPr>
          <w:color w:val="000000"/>
        </w:rPr>
        <w:t>d</w:t>
      </w:r>
      <w:r w:rsidRPr="00CC42A3" w:rsidR="00FF5B6C">
        <w:rPr>
          <w:color w:val="000000"/>
        </w:rPr>
        <w:t xml:space="preserve"> performance statistics</w:t>
      </w:r>
      <w:r w:rsidR="0034210F">
        <w:rPr>
          <w:color w:val="000000"/>
        </w:rPr>
        <w:t xml:space="preserve"> required under Rule 17g-1</w:t>
      </w:r>
      <w:r w:rsidRPr="00CC42A3" w:rsidR="00FF5B6C">
        <w:rPr>
          <w:color w:val="000000"/>
        </w:rPr>
        <w:t xml:space="preserve">, </w:t>
      </w:r>
      <w:r w:rsidR="00EB008D">
        <w:rPr>
          <w:color w:val="000000"/>
        </w:rPr>
        <w:t xml:space="preserve">the  </w:t>
      </w:r>
      <w:r w:rsidR="00824B92">
        <w:rPr>
          <w:color w:val="000000"/>
        </w:rPr>
        <w:t>relevant</w:t>
      </w:r>
      <w:r w:rsidR="00EB008D">
        <w:rPr>
          <w:color w:val="000000"/>
        </w:rPr>
        <w:t xml:space="preserve"> paragraphs</w:t>
      </w:r>
      <w:r w:rsidRPr="00CC42A3" w:rsidR="00340EBC">
        <w:rPr>
          <w:color w:val="000000"/>
        </w:rPr>
        <w:t xml:space="preserve"> </w:t>
      </w:r>
      <w:r w:rsidR="00824B92">
        <w:rPr>
          <w:color w:val="000000"/>
        </w:rPr>
        <w:t xml:space="preserve">in the instructions to Form NRSRO </w:t>
      </w:r>
      <w:r w:rsidRPr="00CC42A3" w:rsidR="00340EBC">
        <w:rPr>
          <w:color w:val="000000"/>
        </w:rPr>
        <w:t xml:space="preserve">contain specific instructions with respect to, among other things, how required information should be presented in Exhibit </w:t>
      </w:r>
      <w:r w:rsidR="00824B92">
        <w:rPr>
          <w:color w:val="000000"/>
        </w:rPr>
        <w:t xml:space="preserve">1 </w:t>
      </w:r>
      <w:r w:rsidRPr="00CC42A3" w:rsidR="00340EBC">
        <w:rPr>
          <w:color w:val="000000"/>
        </w:rPr>
        <w:t xml:space="preserve">(including the order of presentation) and how transition and default rates should be produced using a single cohort approach.  The </w:t>
      </w:r>
      <w:r w:rsidR="00415219">
        <w:rPr>
          <w:color w:val="000000"/>
        </w:rPr>
        <w:t>Commission</w:t>
      </w:r>
      <w:r w:rsidRPr="00CC42A3" w:rsidR="00340EBC">
        <w:rPr>
          <w:color w:val="000000"/>
        </w:rPr>
        <w:t xml:space="preserve"> anticipates that information technology can be used to produce these enhanced performance statistics.</w:t>
      </w:r>
    </w:p>
    <w:p w:rsidRPr="00CC42A3" w:rsidR="00342007" w:rsidP="009E493C" w:rsidRDefault="00342007" w14:paraId="7C153B19" w14:textId="77777777">
      <w:pPr>
        <w:pStyle w:val="ListParagraph"/>
        <w:tabs>
          <w:tab w:val="left" w:pos="-720"/>
          <w:tab w:val="left" w:pos="720"/>
        </w:tabs>
        <w:suppressAutoHyphens/>
        <w:ind w:left="0" w:hanging="360"/>
      </w:pPr>
    </w:p>
    <w:p w:rsidRPr="00CC42A3" w:rsidR="009E493C" w:rsidP="00850692" w:rsidRDefault="009E493C" w14:paraId="7C153B1A" w14:textId="77777777">
      <w:pPr>
        <w:pStyle w:val="ListParagraph"/>
        <w:numPr>
          <w:ilvl w:val="0"/>
          <w:numId w:val="2"/>
        </w:numPr>
        <w:ind w:left="0" w:firstLine="0"/>
        <w:rPr>
          <w:b/>
        </w:rPr>
      </w:pPr>
      <w:r w:rsidRPr="00CC42A3">
        <w:rPr>
          <w:b/>
        </w:rPr>
        <w:t xml:space="preserve"> Duplication </w:t>
      </w:r>
    </w:p>
    <w:p w:rsidRPr="00CC42A3" w:rsidR="009A33B2" w:rsidP="009A33B2" w:rsidRDefault="009A33B2" w14:paraId="7C153B1B" w14:textId="77777777">
      <w:pPr>
        <w:pStyle w:val="ListParagraph"/>
        <w:tabs>
          <w:tab w:val="left" w:pos="-720"/>
          <w:tab w:val="left" w:pos="286"/>
          <w:tab w:val="left" w:pos="403"/>
        </w:tabs>
        <w:suppressAutoHyphens/>
        <w:ind w:left="0"/>
      </w:pPr>
    </w:p>
    <w:p w:rsidR="00415219" w:rsidP="00921608" w:rsidRDefault="009A33B2" w14:paraId="7C153B1C" w14:textId="209FAE7E">
      <w:pPr>
        <w:pStyle w:val="ListParagraph"/>
        <w:tabs>
          <w:tab w:val="left" w:pos="-720"/>
          <w:tab w:val="left" w:pos="286"/>
          <w:tab w:val="left" w:pos="403"/>
        </w:tabs>
        <w:suppressAutoHyphens/>
        <w:ind w:left="0" w:hanging="360"/>
      </w:pPr>
      <w:r w:rsidRPr="00CC42A3">
        <w:tab/>
      </w:r>
      <w:r w:rsidRPr="00CC42A3">
        <w:tab/>
      </w:r>
      <w:r w:rsidRPr="00CC42A3">
        <w:tab/>
      </w:r>
      <w:r w:rsidRPr="00CC42A3">
        <w:tab/>
      </w:r>
      <w:r w:rsidRPr="00CC42A3" w:rsidR="00921608">
        <w:t xml:space="preserve">The </w:t>
      </w:r>
      <w:r w:rsidR="00415219">
        <w:t>Commission</w:t>
      </w:r>
      <w:r w:rsidRPr="00CC42A3" w:rsidR="00921608">
        <w:t xml:space="preserve"> has not identified any duplication with respect to the information required by Rule 17g-1 and Form NRSRO.  </w:t>
      </w:r>
      <w:r w:rsidRPr="00CC42A3">
        <w:tab/>
      </w:r>
    </w:p>
    <w:p w:rsidRPr="00CC42A3" w:rsidR="009A33B2" w:rsidP="00921608" w:rsidRDefault="009A33B2" w14:paraId="7C153B1D" w14:textId="77777777">
      <w:pPr>
        <w:pStyle w:val="ListParagraph"/>
        <w:tabs>
          <w:tab w:val="left" w:pos="-720"/>
          <w:tab w:val="left" w:pos="286"/>
          <w:tab w:val="left" w:pos="403"/>
        </w:tabs>
        <w:suppressAutoHyphens/>
        <w:ind w:left="0" w:hanging="360"/>
      </w:pPr>
      <w:r w:rsidRPr="00CC42A3">
        <w:tab/>
      </w:r>
    </w:p>
    <w:p w:rsidRPr="00CC42A3" w:rsidR="009E493C" w:rsidP="00850692" w:rsidRDefault="009E493C" w14:paraId="7C153B1E" w14:textId="77777777">
      <w:pPr>
        <w:pStyle w:val="ListParagraph"/>
        <w:numPr>
          <w:ilvl w:val="0"/>
          <w:numId w:val="2"/>
        </w:numPr>
        <w:ind w:left="0" w:firstLine="0"/>
        <w:rPr>
          <w:b/>
        </w:rPr>
      </w:pPr>
      <w:r w:rsidRPr="00CC42A3">
        <w:rPr>
          <w:b/>
        </w:rPr>
        <w:t xml:space="preserve"> Effect on Small Entities</w:t>
      </w:r>
    </w:p>
    <w:p w:rsidRPr="00CC42A3" w:rsidR="009E493C" w:rsidP="00FB1A9E" w:rsidRDefault="009E493C" w14:paraId="7C153B1F"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F676AA" w:rsidP="00BC5363" w:rsidRDefault="00FB1A9E" w14:paraId="7C153B24" w14:textId="2F08530F">
      <w:r w:rsidRPr="00CC42A3">
        <w:tab/>
      </w:r>
      <w:r w:rsidR="0011031F">
        <w:t xml:space="preserve">Small entities are affected by Rule 17g-1 and Form NRSRO because all </w:t>
      </w:r>
      <w:r w:rsidR="009803DB">
        <w:t xml:space="preserve">applicants for registration and </w:t>
      </w:r>
      <w:r w:rsidR="0011031F">
        <w:t xml:space="preserve">NRSROs, regardless of size, are required to submit Form NRSRO to the Commission.  </w:t>
      </w:r>
      <w:r w:rsidR="0034210F">
        <w:t xml:space="preserve">Currently, there are 10 NRSROs and, based on their most recently filed annual reports pursuant to </w:t>
      </w:r>
      <w:r w:rsidR="0039111C">
        <w:t xml:space="preserve">Rule </w:t>
      </w:r>
      <w:r w:rsidR="0034210F">
        <w:t>17g-3, two NRSROs are small entities, as defined under Section 601(3) of the Regulatory Flexibility Act.</w:t>
      </w:r>
      <w:r w:rsidR="0034210F">
        <w:rPr>
          <w:rStyle w:val="FootnoteReference"/>
        </w:rPr>
        <w:footnoteReference w:id="15"/>
      </w:r>
      <w:r w:rsidR="0034210F">
        <w:t xml:space="preserve">  </w:t>
      </w:r>
    </w:p>
    <w:p w:rsidRPr="00CC42A3" w:rsidR="009E493C" w:rsidP="009E493C" w:rsidRDefault="009E493C" w14:paraId="7C153B25" w14:textId="77777777">
      <w:pPr>
        <w:ind w:hanging="360"/>
      </w:pPr>
    </w:p>
    <w:p w:rsidRPr="00CC42A3" w:rsidR="009E493C" w:rsidP="00850692" w:rsidRDefault="009E493C" w14:paraId="7C153B26" w14:textId="5953F360">
      <w:pPr>
        <w:pStyle w:val="ListParagraph"/>
        <w:numPr>
          <w:ilvl w:val="0"/>
          <w:numId w:val="2"/>
        </w:numPr>
        <w:ind w:left="0" w:firstLine="0"/>
        <w:rPr>
          <w:b/>
        </w:rPr>
      </w:pPr>
      <w:r w:rsidRPr="00CC42A3">
        <w:rPr>
          <w:b/>
        </w:rPr>
        <w:t>Consequences of Not Conducting Collection</w:t>
      </w:r>
      <w:r w:rsidR="00DE1384">
        <w:rPr>
          <w:b/>
        </w:rPr>
        <w:t xml:space="preserve"> or Conducting it Less Frequently</w:t>
      </w:r>
      <w:r w:rsidRPr="00CC42A3">
        <w:rPr>
          <w:b/>
        </w:rPr>
        <w:t xml:space="preserve"> </w:t>
      </w:r>
    </w:p>
    <w:p w:rsidRPr="00CC42A3" w:rsidR="00B55BEC" w:rsidP="00B55BEC" w:rsidRDefault="00B55BEC" w14:paraId="7C153B27"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Pr="00CC42A3" w:rsidR="00B55BEC" w:rsidP="00B55BEC" w:rsidRDefault="00B55BEC" w14:paraId="7C153B28" w14:textId="7EC6E92F">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CC42A3">
        <w:tab/>
      </w:r>
      <w:r w:rsidRPr="00CC42A3" w:rsidR="00C11FD6">
        <w:tab/>
      </w:r>
      <w:r w:rsidR="00F73ED1">
        <w:t>If the information</w:t>
      </w:r>
      <w:r w:rsidR="00D310D6">
        <w:t xml:space="preserve"> collection</w:t>
      </w:r>
      <w:r w:rsidR="00F73ED1">
        <w:t xml:space="preserve"> were not conducted</w:t>
      </w:r>
      <w:r w:rsidR="008F0A1D">
        <w:t>,</w:t>
      </w:r>
      <w:r w:rsidR="002E0D2E">
        <w:t xml:space="preserve"> or</w:t>
      </w:r>
      <w:r w:rsidR="00F73ED1">
        <w:t xml:space="preserve"> </w:t>
      </w:r>
      <w:r w:rsidR="008F0A1D">
        <w:t xml:space="preserve">not conducted </w:t>
      </w:r>
      <w:r w:rsidR="00F73ED1">
        <w:t>as frequently</w:t>
      </w:r>
      <w:r w:rsidR="00D3117E">
        <w:t xml:space="preserve">, </w:t>
      </w:r>
      <w:r w:rsidR="00F73ED1">
        <w:t>t</w:t>
      </w:r>
      <w:r w:rsidRPr="00F73ED1" w:rsidR="00F73ED1">
        <w:t xml:space="preserve">he Commission </w:t>
      </w:r>
      <w:r w:rsidR="00F73ED1">
        <w:t xml:space="preserve">would be unable to determine </w:t>
      </w:r>
      <w:r w:rsidRPr="00F73ED1" w:rsidR="00F73ED1">
        <w:t>whether an entity should be registered</w:t>
      </w:r>
      <w:r w:rsidR="002E0D2E">
        <w:t xml:space="preserve"> or remain registered</w:t>
      </w:r>
      <w:r w:rsidRPr="00F73ED1" w:rsidR="00F73ED1">
        <w:t xml:space="preserve"> as an NRSRO </w:t>
      </w:r>
      <w:r w:rsidR="00F73ED1">
        <w:t xml:space="preserve">under </w:t>
      </w:r>
      <w:r w:rsidRPr="00F73ED1" w:rsidR="00F73ED1">
        <w:t>section 15E</w:t>
      </w:r>
      <w:r w:rsidR="00F73ED1">
        <w:t xml:space="preserve"> of the Exchange Act</w:t>
      </w:r>
      <w:r w:rsidRPr="00F73ED1" w:rsidR="00F73ED1">
        <w:t>.  Further, the</w:t>
      </w:r>
      <w:r w:rsidR="00F73ED1">
        <w:t xml:space="preserve"> </w:t>
      </w:r>
      <w:r w:rsidRPr="00F73ED1" w:rsidR="00F73ED1">
        <w:t xml:space="preserve">Commission </w:t>
      </w:r>
      <w:r w:rsidR="00F73ED1">
        <w:t xml:space="preserve">would be unable to effectively </w:t>
      </w:r>
      <w:r w:rsidRPr="00F73ED1" w:rsidR="00F73ED1">
        <w:t>monitor</w:t>
      </w:r>
      <w:r w:rsidR="00F73ED1">
        <w:t xml:space="preserve"> </w:t>
      </w:r>
      <w:r w:rsidRPr="00F73ED1" w:rsidR="00F73ED1">
        <w:t>whether NRSRO</w:t>
      </w:r>
      <w:r w:rsidR="00D3117E">
        <w:t>s</w:t>
      </w:r>
      <w:r w:rsidRPr="00F73ED1" w:rsidR="00F73ED1">
        <w:t xml:space="preserve"> </w:t>
      </w:r>
      <w:r w:rsidR="00D3117E">
        <w:t>are</w:t>
      </w:r>
      <w:r w:rsidRPr="00F73ED1" w:rsidR="00F73ED1">
        <w:t xml:space="preserve"> conducting </w:t>
      </w:r>
      <w:r w:rsidR="00D3117E">
        <w:t xml:space="preserve">their </w:t>
      </w:r>
      <w:r w:rsidRPr="00F73ED1" w:rsidR="00F73ED1">
        <w:t>activities in accordance with section 15E of the Exchange Act and Exchange Act rules.</w:t>
      </w:r>
      <w:r w:rsidR="0064082A">
        <w:t xml:space="preserve"> </w:t>
      </w:r>
      <w:r w:rsidRPr="00F73ED1" w:rsidR="00F73ED1">
        <w:t xml:space="preserve"> </w:t>
      </w:r>
      <w:r w:rsidR="00F73ED1">
        <w:t xml:space="preserve">In addition, </w:t>
      </w:r>
      <w:r w:rsidRPr="00F73ED1" w:rsidR="00F73ED1">
        <w:t xml:space="preserve">users of credit ratings </w:t>
      </w:r>
      <w:r w:rsidR="00F73ED1">
        <w:t xml:space="preserve">would </w:t>
      </w:r>
      <w:r w:rsidR="004F32DE">
        <w:t>have less data available</w:t>
      </w:r>
      <w:r w:rsidR="00F73ED1">
        <w:t xml:space="preserve"> to </w:t>
      </w:r>
      <w:r w:rsidRPr="00F73ED1" w:rsidR="00F73ED1">
        <w:t>evaluate the accuracy of credit ratings and compare the performance of credit ratings by different NRSROs</w:t>
      </w:r>
      <w:r w:rsidR="00F73ED1">
        <w:t xml:space="preserve">. </w:t>
      </w:r>
    </w:p>
    <w:p w:rsidRPr="00CC42A3" w:rsidR="00B55BEC" w:rsidP="009E493C" w:rsidRDefault="00B55BEC" w14:paraId="7C153B29"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rsidRPr="00CC42A3" w:rsidR="009E493C" w:rsidP="00850692" w:rsidRDefault="009E493C" w14:paraId="7C153B2A" w14:textId="77777777">
      <w:pPr>
        <w:pStyle w:val="ListParagraph"/>
        <w:numPr>
          <w:ilvl w:val="0"/>
          <w:numId w:val="2"/>
        </w:numPr>
        <w:ind w:left="0" w:firstLine="0"/>
        <w:rPr>
          <w:b/>
        </w:rPr>
      </w:pPr>
      <w:r w:rsidRPr="00CC42A3">
        <w:rPr>
          <w:b/>
        </w:rPr>
        <w:t xml:space="preserve">Inconsistencies with Guidelines in 5 CFR </w:t>
      </w:r>
      <w:r w:rsidRPr="00CC42A3" w:rsidR="00914D09">
        <w:rPr>
          <w:b/>
        </w:rPr>
        <w:t>1320.</w:t>
      </w:r>
      <w:r w:rsidR="00914D09">
        <w:rPr>
          <w:b/>
        </w:rPr>
        <w:t>5</w:t>
      </w:r>
      <w:r w:rsidRPr="00CC42A3" w:rsidR="00914D09">
        <w:rPr>
          <w:b/>
        </w:rPr>
        <w:t>(d)</w:t>
      </w:r>
      <w:r w:rsidR="00914D09">
        <w:rPr>
          <w:b/>
        </w:rPr>
        <w:t>(2)</w:t>
      </w:r>
    </w:p>
    <w:p w:rsidRPr="00CC42A3" w:rsidR="00E94C96" w:rsidP="009E493C" w:rsidRDefault="00E94C96" w14:paraId="7C153B2B"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Pr="00CC42A3" w:rsidR="009E493C" w:rsidP="009E493C" w:rsidRDefault="00E94C96" w14:paraId="7C153B2C"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CC42A3">
        <w:tab/>
      </w:r>
      <w:r w:rsidRPr="00CC42A3">
        <w:tab/>
      </w:r>
      <w:r w:rsidR="0064082A">
        <w:t xml:space="preserve">There are no special circumstances. This collection is consistent </w:t>
      </w:r>
      <w:r w:rsidRPr="00CC42A3" w:rsidR="00B05C32">
        <w:t xml:space="preserve">with the guidelines set forth in 5 CFR </w:t>
      </w:r>
      <w:r w:rsidRPr="00CC42A3" w:rsidR="00914D09">
        <w:t>1320.</w:t>
      </w:r>
      <w:r w:rsidR="00914D09">
        <w:t>5</w:t>
      </w:r>
      <w:r w:rsidRPr="00CC42A3" w:rsidR="00914D09">
        <w:t>(d</w:t>
      </w:r>
      <w:proofErr w:type="gramStart"/>
      <w:r w:rsidRPr="00CC42A3" w:rsidR="00914D09">
        <w:t>)</w:t>
      </w:r>
      <w:r w:rsidR="00914D09">
        <w:t>(</w:t>
      </w:r>
      <w:proofErr w:type="gramEnd"/>
      <w:r w:rsidR="00914D09">
        <w:t>2)</w:t>
      </w:r>
      <w:r w:rsidRPr="00CC42A3" w:rsidR="00B05C32">
        <w:t>.</w:t>
      </w:r>
    </w:p>
    <w:p w:rsidRPr="00CC42A3" w:rsidR="00E94C96" w:rsidP="009E493C" w:rsidRDefault="00E94C96" w14:paraId="7C153B2D"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9E493C" w:rsidP="00850692" w:rsidRDefault="009E493C" w14:paraId="7C153B2E" w14:textId="77777777">
      <w:pPr>
        <w:pStyle w:val="ListParagraph"/>
        <w:numPr>
          <w:ilvl w:val="0"/>
          <w:numId w:val="2"/>
        </w:numPr>
        <w:ind w:left="0" w:firstLine="0"/>
        <w:rPr>
          <w:b/>
        </w:rPr>
      </w:pPr>
      <w:r w:rsidRPr="00CC42A3">
        <w:rPr>
          <w:b/>
        </w:rPr>
        <w:t>Consultations Outside the Agency</w:t>
      </w:r>
    </w:p>
    <w:p w:rsidR="00693EDA" w:rsidP="00693EDA" w:rsidRDefault="00693EDA" w14:paraId="343B1BCF" w14:textId="6425628F">
      <w:pPr>
        <w:keepNext/>
        <w:tabs>
          <w:tab w:val="left" w:pos="-720"/>
        </w:tabs>
        <w:suppressAutoHyphens/>
      </w:pPr>
      <w:r>
        <w:lastRenderedPageBreak/>
        <w:tab/>
      </w:r>
      <w:r w:rsidR="0034210F">
        <w:t>The required notice with a 60-day comment period soliciting comments on this collection of information was published</w:t>
      </w:r>
      <w:r w:rsidR="00647B79">
        <w:t xml:space="preserve"> </w:t>
      </w:r>
      <w:r w:rsidR="008F0A1D">
        <w:t xml:space="preserve">in the Federal Register </w:t>
      </w:r>
      <w:r w:rsidR="00647B79">
        <w:t xml:space="preserve">on </w:t>
      </w:r>
      <w:r w:rsidR="007B77DE">
        <w:t>July 22, 2020</w:t>
      </w:r>
      <w:r w:rsidR="0040190E">
        <w:t>.</w:t>
      </w:r>
      <w:r w:rsidR="002E0D2E">
        <w:rPr>
          <w:rStyle w:val="FootnoteReference"/>
        </w:rPr>
        <w:footnoteReference w:id="16"/>
      </w:r>
      <w:r w:rsidR="0034210F">
        <w:t xml:space="preserve">  </w:t>
      </w:r>
    </w:p>
    <w:p w:rsidR="0034210F" w:rsidP="00693EDA" w:rsidRDefault="00693EDA" w14:paraId="1DC206F8" w14:textId="0D86CC86">
      <w:pPr>
        <w:keepNext/>
        <w:tabs>
          <w:tab w:val="left" w:pos="-720"/>
        </w:tabs>
        <w:suppressAutoHyphens/>
      </w:pPr>
      <w:r>
        <w:tab/>
      </w:r>
      <w:r w:rsidRPr="0040190E">
        <w:rPr>
          <w:vertAlign w:val="superscript"/>
        </w:rPr>
        <w:t xml:space="preserve"> </w:t>
      </w:r>
    </w:p>
    <w:p w:rsidRPr="00CC42A3" w:rsidR="0034210F" w:rsidP="0034210F" w:rsidRDefault="0034210F" w14:paraId="180434B4" w14:textId="77777777">
      <w:pPr>
        <w:pStyle w:val="ListParagraph"/>
        <w:ind w:left="0"/>
        <w:rPr>
          <w:b/>
        </w:rPr>
      </w:pPr>
    </w:p>
    <w:p w:rsidRPr="00CC42A3" w:rsidR="009E493C" w:rsidP="00850692" w:rsidRDefault="009E493C" w14:paraId="7C153B40" w14:textId="77777777">
      <w:pPr>
        <w:pStyle w:val="ListParagraph"/>
        <w:numPr>
          <w:ilvl w:val="0"/>
          <w:numId w:val="2"/>
        </w:numPr>
        <w:ind w:left="0" w:firstLine="0"/>
        <w:rPr>
          <w:b/>
        </w:rPr>
      </w:pPr>
      <w:r w:rsidRPr="00CC42A3">
        <w:rPr>
          <w:b/>
        </w:rPr>
        <w:t>Payment or Gift</w:t>
      </w:r>
    </w:p>
    <w:p w:rsidRPr="00CC42A3" w:rsidR="00B71B11" w:rsidP="00B71B11" w:rsidRDefault="00B71B11" w14:paraId="7C153B41"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rsidRPr="00CC42A3" w:rsidR="009E493C" w:rsidP="00B71B11" w:rsidRDefault="00B71B11" w14:paraId="7C153B42"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CC42A3">
        <w:tab/>
      </w:r>
      <w:r w:rsidRPr="00CC42A3">
        <w:tab/>
      </w:r>
      <w:r w:rsidRPr="00CC42A3">
        <w:tab/>
      </w:r>
      <w:r w:rsidRPr="00CC42A3">
        <w:tab/>
        <w:t>The Commission did not provide any payment or gift to respondents in connection with the proposed rulemaking.</w:t>
      </w:r>
    </w:p>
    <w:p w:rsidRPr="00CC42A3" w:rsidR="009E493C" w:rsidP="009E493C" w:rsidRDefault="009E493C" w14:paraId="7C153B43" w14:textId="77777777">
      <w:pPr>
        <w:ind w:hanging="360"/>
      </w:pPr>
    </w:p>
    <w:p w:rsidRPr="00CC42A3" w:rsidR="009E493C" w:rsidP="00850692" w:rsidRDefault="009E493C" w14:paraId="7C153B44" w14:textId="77777777">
      <w:pPr>
        <w:pStyle w:val="ListParagraph"/>
        <w:numPr>
          <w:ilvl w:val="0"/>
          <w:numId w:val="2"/>
        </w:numPr>
        <w:ind w:left="0" w:firstLine="0"/>
        <w:rPr>
          <w:b/>
        </w:rPr>
      </w:pPr>
      <w:r w:rsidRPr="00CC42A3">
        <w:rPr>
          <w:b/>
        </w:rPr>
        <w:t xml:space="preserve"> Confidentiality </w:t>
      </w:r>
    </w:p>
    <w:p w:rsidRPr="00CC42A3" w:rsidR="00B71B11" w:rsidP="00B71B11" w:rsidRDefault="00B71B11" w14:paraId="7C153B45"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Pr="00CC42A3" w:rsidR="00B71B11" w:rsidP="009E493C" w:rsidRDefault="00B71B11" w14:paraId="7C153B46"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Pr="00CC42A3">
        <w:tab/>
      </w:r>
      <w:r w:rsidRPr="00CC42A3">
        <w:tab/>
      </w:r>
      <w:r w:rsidRPr="00CC42A3">
        <w:tab/>
        <w:t xml:space="preserve">The confidentiality of the information submitted to the Commission in the reports required under the </w:t>
      </w:r>
      <w:r w:rsidRPr="00CC42A3" w:rsidR="00DC2CEE">
        <w:t>rule is</w:t>
      </w:r>
      <w:r w:rsidRPr="00CC42A3">
        <w:t xml:space="preserve"> protected only to the extent permitted by FOIA.</w:t>
      </w:r>
    </w:p>
    <w:p w:rsidRPr="00CC42A3" w:rsidR="009E493C" w:rsidP="009E493C" w:rsidRDefault="009E493C" w14:paraId="7C153B47" w14:textId="77777777">
      <w:pPr>
        <w:ind w:hanging="360"/>
      </w:pPr>
    </w:p>
    <w:p w:rsidRPr="00CC42A3" w:rsidR="009E493C" w:rsidP="00850692" w:rsidRDefault="009E493C" w14:paraId="7C153B48" w14:textId="77777777">
      <w:pPr>
        <w:pStyle w:val="ListParagraph"/>
        <w:numPr>
          <w:ilvl w:val="0"/>
          <w:numId w:val="2"/>
        </w:numPr>
        <w:ind w:left="0" w:firstLine="0"/>
        <w:rPr>
          <w:b/>
        </w:rPr>
      </w:pPr>
      <w:r w:rsidRPr="00CC42A3">
        <w:rPr>
          <w:b/>
        </w:rPr>
        <w:t>Sensitive Questions</w:t>
      </w:r>
    </w:p>
    <w:p w:rsidRPr="00CC42A3" w:rsidR="009E493C" w:rsidP="009E493C" w:rsidRDefault="009E493C" w14:paraId="7C153B49" w14:textId="77777777">
      <w:pPr>
        <w:ind w:hanging="360"/>
      </w:pPr>
    </w:p>
    <w:p w:rsidR="00BC5363" w:rsidP="00C83B4C" w:rsidRDefault="00BC5363" w14:paraId="5D7207D9" w14:textId="438A1B3A">
      <w:pPr>
        <w:ind w:firstLine="720"/>
      </w:pPr>
      <w:r>
        <w:t>No information of a sensitive nature, including social security numbers, will be required under this collection of information.</w:t>
      </w:r>
    </w:p>
    <w:p w:rsidR="00C83B4C" w:rsidP="00C83B4C" w:rsidRDefault="00C83B4C" w14:paraId="6D735D2D" w14:textId="77777777">
      <w:pPr>
        <w:ind w:firstLine="720"/>
      </w:pPr>
    </w:p>
    <w:p w:rsidR="00BC5363" w:rsidP="00C83B4C" w:rsidRDefault="00BC5363" w14:paraId="7AA3E88B" w14:textId="7CF02928">
      <w:pPr>
        <w:ind w:firstLine="720"/>
      </w:pPr>
      <w:r>
        <w:t>The information collection collects basic Personally Identifiable Information (PII) that may include</w:t>
      </w:r>
      <w:r w:rsidRPr="00C83B4C">
        <w:rPr>
          <w:i/>
          <w:iCs/>
        </w:rPr>
        <w:t xml:space="preserve"> </w:t>
      </w:r>
      <w:r w:rsidRPr="00C83B4C">
        <w:rPr>
          <w:iCs/>
        </w:rPr>
        <w:t>name, job title, or work address</w:t>
      </w:r>
      <w:r w:rsidRPr="00C83B4C">
        <w:rPr>
          <w:i/>
          <w:iCs/>
        </w:rPr>
        <w:t xml:space="preserve">.  </w:t>
      </w:r>
      <w:r>
        <w:t xml:space="preserve">However, the agency has determined that the information collection does not constitute a system of record for purposes of the Privacy Act. Information is not retrieved by a personal identifier. </w:t>
      </w:r>
    </w:p>
    <w:p w:rsidR="00C83B4C" w:rsidP="00C83B4C" w:rsidRDefault="00C83B4C" w14:paraId="7DCA6DB2" w14:textId="77777777">
      <w:pPr>
        <w:ind w:firstLine="720"/>
      </w:pPr>
    </w:p>
    <w:p w:rsidR="00BC5363" w:rsidP="00C83B4C" w:rsidRDefault="00BC5363" w14:paraId="7D1D1F18" w14:textId="1045126B">
      <w:pPr>
        <w:ind w:firstLine="720"/>
      </w:pPr>
      <w:r>
        <w:t xml:space="preserve">In accordance with Section 208 of </w:t>
      </w:r>
      <w:r w:rsidRPr="00C83B4C">
        <w:rPr>
          <w:sz w:val="23"/>
          <w:szCs w:val="23"/>
        </w:rPr>
        <w:t>the E-Government Act of 2002, the agency has conducted a</w:t>
      </w:r>
      <w:r>
        <w:t xml:space="preserve"> Privacy Impact Assessment (PIA) of the EDGAR system, in connection with this collection of</w:t>
      </w:r>
      <w:r w:rsidRPr="00C83B4C">
        <w:rPr>
          <w:b/>
          <w:bCs/>
          <w:i/>
          <w:iCs/>
        </w:rPr>
        <w:t xml:space="preserve"> </w:t>
      </w:r>
      <w:r>
        <w:t xml:space="preserve">information. The EDGAR System PIA, published on </w:t>
      </w:r>
      <w:r w:rsidR="009222DF">
        <w:t>January 29, 2016</w:t>
      </w:r>
      <w:r>
        <w:t xml:space="preserve">, is provided as a supplemental document and is also available at </w:t>
      </w:r>
      <w:hyperlink w:history="1" r:id="rId12">
        <w:r>
          <w:rPr>
            <w:rStyle w:val="Hyperlink"/>
          </w:rPr>
          <w:t>https://www.sec.gov/privacy</w:t>
        </w:r>
      </w:hyperlink>
      <w:r>
        <w:t xml:space="preserve">. </w:t>
      </w:r>
    </w:p>
    <w:p w:rsidRPr="00CC42A3" w:rsidR="005D27E9" w:rsidP="005D27E9" w:rsidRDefault="005D27E9" w14:paraId="7C153B4B" w14:textId="77777777"/>
    <w:p w:rsidRPr="00CC42A3" w:rsidR="009E493C" w:rsidP="00850692" w:rsidRDefault="009E493C" w14:paraId="7C153B4C" w14:textId="77777777">
      <w:pPr>
        <w:pStyle w:val="ListParagraph"/>
        <w:numPr>
          <w:ilvl w:val="0"/>
          <w:numId w:val="2"/>
        </w:numPr>
        <w:ind w:left="0" w:firstLine="0"/>
        <w:rPr>
          <w:b/>
        </w:rPr>
      </w:pPr>
      <w:r w:rsidRPr="00CC42A3">
        <w:rPr>
          <w:b/>
        </w:rPr>
        <w:t>Burden of Information Collection</w:t>
      </w:r>
    </w:p>
    <w:p w:rsidR="009646D3" w:rsidP="009646D3" w:rsidRDefault="009646D3" w14:paraId="7C153B4D" w14:textId="77777777">
      <w:pPr>
        <w:pStyle w:val="DoubleSpace"/>
        <w:spacing w:line="240" w:lineRule="auto"/>
      </w:pPr>
    </w:p>
    <w:p w:rsidR="0034210F" w:rsidP="005F6AEF" w:rsidRDefault="00072B6D" w14:paraId="487FEDE4" w14:textId="0331F412">
      <w:pPr>
        <w:ind w:firstLine="720"/>
      </w:pPr>
      <w:r>
        <w:t xml:space="preserve">There are 9 </w:t>
      </w:r>
      <w:r w:rsidR="0034210F">
        <w:t>credit rating agencies registered with the C</w:t>
      </w:r>
      <w:r w:rsidRPr="00D14A3C" w:rsidR="0034210F">
        <w:t>ommission</w:t>
      </w:r>
      <w:r w:rsidR="0034210F">
        <w:t xml:space="preserve"> as NRSROs.  The Commission expects that these entities have already established the record keeping and </w:t>
      </w:r>
      <w:r w:rsidR="00424701">
        <w:t>disclosure</w:t>
      </w:r>
      <w:r w:rsidR="0034210F">
        <w:t xml:space="preserve"> policies and procedures required by Rule 17g-1 and Form NRSRO.  </w:t>
      </w:r>
    </w:p>
    <w:p w:rsidR="0034210F" w:rsidP="005F6AEF" w:rsidRDefault="0034210F" w14:paraId="2624B771" w14:textId="77777777">
      <w:pPr>
        <w:ind w:firstLine="720"/>
      </w:pPr>
    </w:p>
    <w:p w:rsidR="0034210F" w:rsidP="00C1597E" w:rsidRDefault="0034210F" w14:paraId="27149E8F" w14:textId="5A9D1DC8">
      <w:pPr>
        <w:ind w:firstLine="720"/>
      </w:pPr>
      <w:r>
        <w:t>Based on staff experience</w:t>
      </w:r>
      <w:r w:rsidR="000C101C">
        <w:t>,</w:t>
      </w:r>
      <w:r w:rsidR="008F25D0">
        <w:t xml:space="preserve"> and in response to </w:t>
      </w:r>
      <w:r w:rsidR="000C101C">
        <w:t xml:space="preserve">the </w:t>
      </w:r>
      <w:r w:rsidR="008F25D0">
        <w:t>comment received</w:t>
      </w:r>
      <w:r w:rsidR="009222DF">
        <w:t>,</w:t>
      </w:r>
      <w:r>
        <w:t xml:space="preserve"> </w:t>
      </w:r>
      <w:r w:rsidR="008F25D0">
        <w:t>the Commission estimate</w:t>
      </w:r>
      <w:r w:rsidR="00D601C5">
        <w:t>s</w:t>
      </w:r>
      <w:r w:rsidR="008F25D0">
        <w:t xml:space="preserve"> that </w:t>
      </w:r>
      <w:r>
        <w:t xml:space="preserve">NRSROs </w:t>
      </w:r>
      <w:r w:rsidR="008F25D0">
        <w:t>will</w:t>
      </w:r>
      <w:r>
        <w:t xml:space="preserve"> spend </w:t>
      </w:r>
      <w:r w:rsidR="00C5359A">
        <w:t xml:space="preserve">approximately </w:t>
      </w:r>
      <w:r w:rsidR="00C51617">
        <w:t>275</w:t>
      </w:r>
      <w:r>
        <w:t xml:space="preserve"> annual hours to make and retain the appropriate records, resulting in an industry-wide </w:t>
      </w:r>
      <w:r w:rsidR="00C1597E">
        <w:t xml:space="preserve">ongoing </w:t>
      </w:r>
      <w:r>
        <w:t>burden of</w:t>
      </w:r>
      <w:r w:rsidR="00072B6D">
        <w:t xml:space="preserve"> 2,475</w:t>
      </w:r>
      <w:r w:rsidR="00C51617">
        <w:t xml:space="preserve"> </w:t>
      </w:r>
      <w:r>
        <w:t>annual hours.</w:t>
      </w:r>
      <w:r w:rsidR="00072B6D">
        <w:rPr>
          <w:rStyle w:val="FootnoteReference"/>
        </w:rPr>
        <w:footnoteReference w:id="17"/>
      </w:r>
      <w:r w:rsidR="008F25D0">
        <w:t xml:space="preserve"> </w:t>
      </w:r>
      <w:r w:rsidR="000C101C">
        <w:t xml:space="preserve"> This estimate includes </w:t>
      </w:r>
      <w:r w:rsidRPr="004B3F39" w:rsidR="000C101C">
        <w:t xml:space="preserve">the annual hour burdens to submit Form NRSRO and the Rule 17g-3 annual reports to the Commission electronically on </w:t>
      </w:r>
      <w:r w:rsidR="00F87063">
        <w:t>EDGAR</w:t>
      </w:r>
      <w:r w:rsidRPr="004B3F39" w:rsidR="000C101C">
        <w:t xml:space="preserve"> as PDF documents</w:t>
      </w:r>
      <w:r w:rsidR="000C101C">
        <w:t>.</w:t>
      </w:r>
    </w:p>
    <w:p w:rsidR="009C7F7F" w:rsidRDefault="009C7F7F" w14:paraId="588C6A54" w14:textId="63DD64E8">
      <w:r>
        <w:br w:type="page"/>
      </w:r>
    </w:p>
    <w:tbl>
      <w:tblPr>
        <w:tblW w:w="11109" w:type="dxa"/>
        <w:tblInd w:w="-905" w:type="dxa"/>
        <w:tblLook w:val="04A0" w:firstRow="1" w:lastRow="0" w:firstColumn="1" w:lastColumn="0" w:noHBand="0" w:noVBand="1"/>
      </w:tblPr>
      <w:tblGrid>
        <w:gridCol w:w="620"/>
        <w:gridCol w:w="1895"/>
        <w:gridCol w:w="1285"/>
        <w:gridCol w:w="980"/>
        <w:gridCol w:w="767"/>
        <w:gridCol w:w="1040"/>
        <w:gridCol w:w="980"/>
        <w:gridCol w:w="840"/>
        <w:gridCol w:w="955"/>
        <w:gridCol w:w="980"/>
        <w:gridCol w:w="767"/>
      </w:tblGrid>
      <w:tr w:rsidRPr="009C7F7F" w:rsidR="009C7F7F" w:rsidTr="009C7F7F" w14:paraId="39B47439" w14:textId="77777777">
        <w:trPr>
          <w:trHeight w:val="290"/>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C7F7F" w:rsidR="009C7F7F" w:rsidP="009C7F7F" w:rsidRDefault="009C7F7F" w14:paraId="62132723" w14:textId="77777777">
            <w:pPr>
              <w:rPr>
                <w:rFonts w:ascii="Calibri" w:hAnsi="Calibri" w:cs="Calibri"/>
                <w:b/>
                <w:bCs/>
                <w:color w:val="000000"/>
                <w:sz w:val="22"/>
                <w:szCs w:val="22"/>
              </w:rPr>
            </w:pPr>
            <w:r w:rsidRPr="009C7F7F">
              <w:rPr>
                <w:rFonts w:ascii="Calibri" w:hAnsi="Calibri" w:cs="Calibri"/>
                <w:b/>
                <w:bCs/>
                <w:color w:val="000000"/>
                <w:sz w:val="22"/>
                <w:szCs w:val="22"/>
              </w:rPr>
              <w:lastRenderedPageBreak/>
              <w:t>IC</w:t>
            </w:r>
          </w:p>
        </w:tc>
        <w:tc>
          <w:tcPr>
            <w:tcW w:w="1895" w:type="dxa"/>
            <w:tcBorders>
              <w:top w:val="single" w:color="auto" w:sz="4" w:space="0"/>
              <w:left w:val="nil"/>
              <w:bottom w:val="single" w:color="auto" w:sz="4" w:space="0"/>
              <w:right w:val="single" w:color="auto" w:sz="8" w:space="0"/>
            </w:tcBorders>
            <w:shd w:val="clear" w:color="auto" w:fill="auto"/>
            <w:noWrap/>
            <w:vAlign w:val="bottom"/>
            <w:hideMark/>
          </w:tcPr>
          <w:p w:rsidRPr="009C7F7F" w:rsidR="009C7F7F" w:rsidP="009C7F7F" w:rsidRDefault="009C7F7F" w14:paraId="13D159D0" w14:textId="77777777">
            <w:pPr>
              <w:rPr>
                <w:rFonts w:ascii="Calibri" w:hAnsi="Calibri" w:cs="Calibri"/>
                <w:b/>
                <w:bCs/>
                <w:color w:val="000000"/>
                <w:sz w:val="22"/>
                <w:szCs w:val="22"/>
              </w:rPr>
            </w:pPr>
            <w:r w:rsidRPr="009C7F7F">
              <w:rPr>
                <w:rFonts w:ascii="Calibri" w:hAnsi="Calibri" w:cs="Calibri"/>
                <w:b/>
                <w:bCs/>
                <w:color w:val="000000"/>
                <w:sz w:val="22"/>
                <w:szCs w:val="22"/>
              </w:rPr>
              <w:t>IC Title</w:t>
            </w:r>
          </w:p>
        </w:tc>
        <w:tc>
          <w:tcPr>
            <w:tcW w:w="3032" w:type="dxa"/>
            <w:gridSpan w:val="3"/>
            <w:tcBorders>
              <w:top w:val="single" w:color="auto" w:sz="4" w:space="0"/>
              <w:left w:val="nil"/>
              <w:bottom w:val="single" w:color="auto" w:sz="4" w:space="0"/>
              <w:right w:val="nil"/>
            </w:tcBorders>
            <w:shd w:val="clear" w:color="auto" w:fill="auto"/>
            <w:noWrap/>
            <w:vAlign w:val="bottom"/>
            <w:hideMark/>
          </w:tcPr>
          <w:p w:rsidRPr="009C7F7F" w:rsidR="009C7F7F" w:rsidP="009C7F7F" w:rsidRDefault="009C7F7F" w14:paraId="616F29D9" w14:textId="77777777">
            <w:pPr>
              <w:jc w:val="center"/>
              <w:rPr>
                <w:rFonts w:ascii="Calibri" w:hAnsi="Calibri" w:cs="Calibri"/>
                <w:b/>
                <w:bCs/>
                <w:color w:val="000000"/>
                <w:sz w:val="22"/>
                <w:szCs w:val="22"/>
              </w:rPr>
            </w:pPr>
            <w:r w:rsidRPr="009C7F7F">
              <w:rPr>
                <w:rFonts w:ascii="Calibri" w:hAnsi="Calibri" w:cs="Calibri"/>
                <w:b/>
                <w:bCs/>
                <w:color w:val="000000"/>
                <w:sz w:val="22"/>
                <w:szCs w:val="22"/>
              </w:rPr>
              <w:t>Annual No. of Responses</w:t>
            </w:r>
          </w:p>
        </w:tc>
        <w:tc>
          <w:tcPr>
            <w:tcW w:w="2860"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9C7F7F" w:rsidR="009C7F7F" w:rsidP="009C7F7F" w:rsidRDefault="009C7F7F" w14:paraId="00A546E6" w14:textId="77777777">
            <w:pPr>
              <w:jc w:val="center"/>
              <w:rPr>
                <w:rFonts w:ascii="Calibri" w:hAnsi="Calibri" w:cs="Calibri"/>
                <w:b/>
                <w:bCs/>
                <w:color w:val="000000"/>
                <w:sz w:val="22"/>
                <w:szCs w:val="22"/>
              </w:rPr>
            </w:pPr>
            <w:r w:rsidRPr="009C7F7F">
              <w:rPr>
                <w:rFonts w:ascii="Calibri" w:hAnsi="Calibri" w:cs="Calibri"/>
                <w:b/>
                <w:bCs/>
                <w:color w:val="000000"/>
                <w:sz w:val="22"/>
                <w:szCs w:val="22"/>
              </w:rPr>
              <w:t>Annual Time Burden (Hrs.)</w:t>
            </w:r>
          </w:p>
        </w:tc>
        <w:tc>
          <w:tcPr>
            <w:tcW w:w="2702"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9C7F7F" w:rsidR="009C7F7F" w:rsidP="009C7F7F" w:rsidRDefault="009C7F7F" w14:paraId="5F9D8998" w14:textId="77777777">
            <w:pPr>
              <w:jc w:val="center"/>
              <w:rPr>
                <w:rFonts w:ascii="Calibri" w:hAnsi="Calibri" w:cs="Calibri"/>
                <w:b/>
                <w:bCs/>
                <w:color w:val="000000"/>
                <w:sz w:val="22"/>
                <w:szCs w:val="22"/>
              </w:rPr>
            </w:pPr>
            <w:r w:rsidRPr="009C7F7F">
              <w:rPr>
                <w:rFonts w:ascii="Calibri" w:hAnsi="Calibri" w:cs="Calibri"/>
                <w:b/>
                <w:bCs/>
                <w:color w:val="000000"/>
                <w:sz w:val="22"/>
                <w:szCs w:val="22"/>
              </w:rPr>
              <w:t>Burden Cost Burden ($)</w:t>
            </w:r>
          </w:p>
        </w:tc>
      </w:tr>
      <w:tr w:rsidRPr="009C7F7F" w:rsidR="009C7F7F" w:rsidTr="009C7F7F" w14:paraId="03A02877" w14:textId="77777777">
        <w:trPr>
          <w:trHeight w:val="480"/>
        </w:trPr>
        <w:tc>
          <w:tcPr>
            <w:tcW w:w="620" w:type="dxa"/>
            <w:tcBorders>
              <w:top w:val="nil"/>
              <w:left w:val="single" w:color="auto" w:sz="4" w:space="0"/>
              <w:bottom w:val="single" w:color="auto" w:sz="4" w:space="0"/>
              <w:right w:val="single" w:color="auto" w:sz="4" w:space="0"/>
            </w:tcBorders>
            <w:shd w:val="clear" w:color="auto" w:fill="auto"/>
            <w:vAlign w:val="center"/>
            <w:hideMark/>
          </w:tcPr>
          <w:p w:rsidRPr="009C7F7F" w:rsidR="009C7F7F" w:rsidP="009C7F7F" w:rsidRDefault="009C7F7F" w14:paraId="5ADB7224" w14:textId="77777777">
            <w:pPr>
              <w:jc w:val="center"/>
              <w:rPr>
                <w:rFonts w:ascii="Calibri" w:hAnsi="Calibri" w:cs="Calibri"/>
                <w:color w:val="000000"/>
                <w:sz w:val="18"/>
                <w:szCs w:val="18"/>
              </w:rPr>
            </w:pPr>
            <w:r w:rsidRPr="009C7F7F">
              <w:rPr>
                <w:rFonts w:ascii="Calibri" w:hAnsi="Calibri" w:cs="Calibri"/>
                <w:color w:val="000000"/>
                <w:sz w:val="18"/>
                <w:szCs w:val="18"/>
              </w:rPr>
              <w:t> </w:t>
            </w:r>
          </w:p>
        </w:tc>
        <w:tc>
          <w:tcPr>
            <w:tcW w:w="1895" w:type="dxa"/>
            <w:tcBorders>
              <w:top w:val="nil"/>
              <w:left w:val="nil"/>
              <w:bottom w:val="single" w:color="auto" w:sz="4" w:space="0"/>
              <w:right w:val="nil"/>
            </w:tcBorders>
            <w:shd w:val="clear" w:color="auto" w:fill="auto"/>
            <w:vAlign w:val="center"/>
            <w:hideMark/>
          </w:tcPr>
          <w:p w:rsidRPr="009C7F7F" w:rsidR="009C7F7F" w:rsidP="009C7F7F" w:rsidRDefault="009C7F7F" w14:paraId="2FB6BB33" w14:textId="77777777">
            <w:pPr>
              <w:rPr>
                <w:rFonts w:ascii="Calibri" w:hAnsi="Calibri" w:cs="Calibri"/>
                <w:color w:val="000000"/>
                <w:sz w:val="18"/>
                <w:szCs w:val="18"/>
              </w:rPr>
            </w:pPr>
            <w:r w:rsidRPr="009C7F7F">
              <w:rPr>
                <w:rFonts w:ascii="Calibri" w:hAnsi="Calibri" w:cs="Calibri"/>
                <w:color w:val="000000"/>
                <w:sz w:val="18"/>
                <w:szCs w:val="18"/>
              </w:rPr>
              <w:t> </w:t>
            </w:r>
          </w:p>
        </w:tc>
        <w:tc>
          <w:tcPr>
            <w:tcW w:w="1285" w:type="dxa"/>
            <w:tcBorders>
              <w:top w:val="nil"/>
              <w:left w:val="single" w:color="auto" w:sz="8" w:space="0"/>
              <w:bottom w:val="single" w:color="auto" w:sz="4" w:space="0"/>
              <w:right w:val="single" w:color="auto" w:sz="4" w:space="0"/>
            </w:tcBorders>
            <w:shd w:val="clear" w:color="auto" w:fill="auto"/>
            <w:vAlign w:val="center"/>
            <w:hideMark/>
          </w:tcPr>
          <w:p w:rsidRPr="009C7F7F" w:rsidR="009C7F7F" w:rsidP="009C7F7F" w:rsidRDefault="009C7F7F" w14:paraId="1038717E"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Previously approved</w:t>
            </w:r>
          </w:p>
        </w:tc>
        <w:tc>
          <w:tcPr>
            <w:tcW w:w="980" w:type="dxa"/>
            <w:tcBorders>
              <w:top w:val="nil"/>
              <w:left w:val="nil"/>
              <w:bottom w:val="single" w:color="auto" w:sz="4" w:space="0"/>
              <w:right w:val="single" w:color="auto" w:sz="4" w:space="0"/>
            </w:tcBorders>
            <w:shd w:val="clear" w:color="auto" w:fill="auto"/>
            <w:vAlign w:val="center"/>
            <w:hideMark/>
          </w:tcPr>
          <w:p w:rsidRPr="009C7F7F" w:rsidR="009C7F7F" w:rsidP="009C7F7F" w:rsidRDefault="009C7F7F" w14:paraId="606699B5"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Requested</w:t>
            </w:r>
          </w:p>
        </w:tc>
        <w:tc>
          <w:tcPr>
            <w:tcW w:w="767" w:type="dxa"/>
            <w:tcBorders>
              <w:top w:val="nil"/>
              <w:left w:val="nil"/>
              <w:bottom w:val="single" w:color="auto" w:sz="4" w:space="0"/>
              <w:right w:val="nil"/>
            </w:tcBorders>
            <w:shd w:val="clear" w:color="auto" w:fill="auto"/>
            <w:vAlign w:val="center"/>
            <w:hideMark/>
          </w:tcPr>
          <w:p w:rsidRPr="009C7F7F" w:rsidR="009C7F7F" w:rsidP="009C7F7F" w:rsidRDefault="009C7F7F" w14:paraId="5B2391AA"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Change</w:t>
            </w:r>
          </w:p>
        </w:tc>
        <w:tc>
          <w:tcPr>
            <w:tcW w:w="1040" w:type="dxa"/>
            <w:tcBorders>
              <w:top w:val="nil"/>
              <w:left w:val="single" w:color="auto" w:sz="8" w:space="0"/>
              <w:bottom w:val="single" w:color="auto" w:sz="4" w:space="0"/>
              <w:right w:val="single" w:color="auto" w:sz="4" w:space="0"/>
            </w:tcBorders>
            <w:shd w:val="clear" w:color="auto" w:fill="auto"/>
            <w:vAlign w:val="center"/>
            <w:hideMark/>
          </w:tcPr>
          <w:p w:rsidRPr="009C7F7F" w:rsidR="009C7F7F" w:rsidP="009C7F7F" w:rsidRDefault="009C7F7F" w14:paraId="7E980996"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Previously approved</w:t>
            </w:r>
          </w:p>
        </w:tc>
        <w:tc>
          <w:tcPr>
            <w:tcW w:w="980" w:type="dxa"/>
            <w:tcBorders>
              <w:top w:val="nil"/>
              <w:left w:val="nil"/>
              <w:bottom w:val="single" w:color="auto" w:sz="4" w:space="0"/>
              <w:right w:val="single" w:color="auto" w:sz="4" w:space="0"/>
            </w:tcBorders>
            <w:shd w:val="clear" w:color="auto" w:fill="auto"/>
            <w:vAlign w:val="center"/>
            <w:hideMark/>
          </w:tcPr>
          <w:p w:rsidRPr="009C7F7F" w:rsidR="009C7F7F" w:rsidP="009C7F7F" w:rsidRDefault="009C7F7F" w14:paraId="29B4AFBD"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Requested</w:t>
            </w:r>
          </w:p>
        </w:tc>
        <w:tc>
          <w:tcPr>
            <w:tcW w:w="840" w:type="dxa"/>
            <w:tcBorders>
              <w:top w:val="nil"/>
              <w:left w:val="nil"/>
              <w:bottom w:val="nil"/>
              <w:right w:val="nil"/>
            </w:tcBorders>
            <w:shd w:val="clear" w:color="auto" w:fill="auto"/>
            <w:vAlign w:val="center"/>
            <w:hideMark/>
          </w:tcPr>
          <w:p w:rsidRPr="009C7F7F" w:rsidR="009C7F7F" w:rsidP="009C7F7F" w:rsidRDefault="009C7F7F" w14:paraId="13C69D09"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Change</w:t>
            </w:r>
          </w:p>
        </w:tc>
        <w:tc>
          <w:tcPr>
            <w:tcW w:w="955" w:type="dxa"/>
            <w:tcBorders>
              <w:top w:val="nil"/>
              <w:left w:val="single" w:color="auto" w:sz="8" w:space="0"/>
              <w:bottom w:val="single" w:color="auto" w:sz="4" w:space="0"/>
              <w:right w:val="single" w:color="auto" w:sz="4" w:space="0"/>
            </w:tcBorders>
            <w:shd w:val="clear" w:color="auto" w:fill="auto"/>
            <w:vAlign w:val="center"/>
            <w:hideMark/>
          </w:tcPr>
          <w:p w:rsidRPr="009C7F7F" w:rsidR="009C7F7F" w:rsidP="009C7F7F" w:rsidRDefault="009C7F7F" w14:paraId="45831EA9"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Previously approved</w:t>
            </w:r>
          </w:p>
        </w:tc>
        <w:tc>
          <w:tcPr>
            <w:tcW w:w="980" w:type="dxa"/>
            <w:tcBorders>
              <w:top w:val="nil"/>
              <w:left w:val="nil"/>
              <w:bottom w:val="single" w:color="auto" w:sz="4" w:space="0"/>
              <w:right w:val="single" w:color="auto" w:sz="4" w:space="0"/>
            </w:tcBorders>
            <w:shd w:val="clear" w:color="auto" w:fill="auto"/>
            <w:vAlign w:val="center"/>
            <w:hideMark/>
          </w:tcPr>
          <w:p w:rsidRPr="009C7F7F" w:rsidR="009C7F7F" w:rsidP="009C7F7F" w:rsidRDefault="009C7F7F" w14:paraId="523C22AB"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Requested</w:t>
            </w:r>
          </w:p>
        </w:tc>
        <w:tc>
          <w:tcPr>
            <w:tcW w:w="767" w:type="dxa"/>
            <w:tcBorders>
              <w:top w:val="nil"/>
              <w:left w:val="nil"/>
              <w:bottom w:val="nil"/>
              <w:right w:val="single" w:color="auto" w:sz="4" w:space="0"/>
            </w:tcBorders>
            <w:shd w:val="clear" w:color="auto" w:fill="auto"/>
            <w:vAlign w:val="center"/>
            <w:hideMark/>
          </w:tcPr>
          <w:p w:rsidRPr="009C7F7F" w:rsidR="009C7F7F" w:rsidP="009C7F7F" w:rsidRDefault="009C7F7F" w14:paraId="680ADBD3" w14:textId="77777777">
            <w:pPr>
              <w:jc w:val="center"/>
              <w:rPr>
                <w:rFonts w:ascii="Calibri" w:hAnsi="Calibri" w:cs="Calibri"/>
                <w:i/>
                <w:iCs/>
                <w:color w:val="000000"/>
                <w:sz w:val="18"/>
                <w:szCs w:val="18"/>
              </w:rPr>
            </w:pPr>
            <w:r w:rsidRPr="009C7F7F">
              <w:rPr>
                <w:rFonts w:ascii="Calibri" w:hAnsi="Calibri" w:cs="Calibri"/>
                <w:i/>
                <w:iCs/>
                <w:color w:val="000000"/>
                <w:sz w:val="18"/>
                <w:szCs w:val="18"/>
              </w:rPr>
              <w:t>Change</w:t>
            </w:r>
          </w:p>
        </w:tc>
      </w:tr>
      <w:tr w:rsidRPr="009C7F7F" w:rsidR="009C7F7F" w:rsidTr="009C7F7F" w14:paraId="19F78255" w14:textId="77777777">
        <w:trPr>
          <w:trHeight w:val="58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9C7F7F" w:rsidR="009C7F7F" w:rsidP="009C7F7F" w:rsidRDefault="009C7F7F" w14:paraId="323D058B" w14:textId="77777777">
            <w:pPr>
              <w:rPr>
                <w:rFonts w:ascii="Calibri" w:hAnsi="Calibri" w:cs="Calibri"/>
                <w:color w:val="000000"/>
                <w:sz w:val="22"/>
                <w:szCs w:val="22"/>
              </w:rPr>
            </w:pPr>
            <w:r w:rsidRPr="009C7F7F">
              <w:rPr>
                <w:rFonts w:ascii="Calibri" w:hAnsi="Calibri" w:cs="Calibri"/>
                <w:color w:val="000000"/>
                <w:sz w:val="22"/>
                <w:szCs w:val="22"/>
              </w:rPr>
              <w:t>IC1</w:t>
            </w:r>
          </w:p>
        </w:tc>
        <w:tc>
          <w:tcPr>
            <w:tcW w:w="1895" w:type="dxa"/>
            <w:tcBorders>
              <w:top w:val="nil"/>
              <w:left w:val="nil"/>
              <w:bottom w:val="single" w:color="auto" w:sz="4" w:space="0"/>
              <w:right w:val="nil"/>
            </w:tcBorders>
            <w:shd w:val="clear" w:color="auto" w:fill="auto"/>
            <w:vAlign w:val="bottom"/>
            <w:hideMark/>
          </w:tcPr>
          <w:p w:rsidRPr="009C7F7F" w:rsidR="009C7F7F" w:rsidP="009C7F7F" w:rsidRDefault="009C7F7F" w14:paraId="6A0A74B1" w14:textId="77777777">
            <w:pPr>
              <w:rPr>
                <w:rFonts w:ascii="Calibri" w:hAnsi="Calibri" w:cs="Calibri"/>
                <w:color w:val="000000"/>
                <w:sz w:val="22"/>
                <w:szCs w:val="22"/>
              </w:rPr>
            </w:pPr>
            <w:r w:rsidRPr="009C7F7F">
              <w:rPr>
                <w:rFonts w:ascii="Calibri" w:hAnsi="Calibri" w:cs="Calibri"/>
                <w:color w:val="000000"/>
                <w:sz w:val="22"/>
                <w:szCs w:val="22"/>
              </w:rPr>
              <w:t>Form NRSRO - Annual Reporting</w:t>
            </w:r>
          </w:p>
        </w:tc>
        <w:tc>
          <w:tcPr>
            <w:tcW w:w="1285" w:type="dxa"/>
            <w:tcBorders>
              <w:top w:val="nil"/>
              <w:left w:val="single" w:color="auto" w:sz="8" w:space="0"/>
              <w:bottom w:val="single" w:color="auto" w:sz="4" w:space="0"/>
              <w:right w:val="single" w:color="auto" w:sz="4" w:space="0"/>
            </w:tcBorders>
            <w:shd w:val="clear" w:color="auto" w:fill="auto"/>
            <w:noWrap/>
            <w:vAlign w:val="bottom"/>
            <w:hideMark/>
          </w:tcPr>
          <w:p w:rsidRPr="009C7F7F" w:rsidR="009C7F7F" w:rsidP="009C7F7F" w:rsidRDefault="009C7F7F" w14:paraId="2E2BAA48" w14:textId="77777777">
            <w:pPr>
              <w:jc w:val="right"/>
              <w:rPr>
                <w:rFonts w:ascii="Calibri" w:hAnsi="Calibri" w:cs="Calibri"/>
                <w:color w:val="000000"/>
                <w:sz w:val="22"/>
                <w:szCs w:val="22"/>
              </w:rPr>
            </w:pPr>
            <w:r w:rsidRPr="009C7F7F">
              <w:rPr>
                <w:rFonts w:ascii="Calibri" w:hAnsi="Calibri" w:cs="Calibri"/>
                <w:color w:val="000000"/>
                <w:sz w:val="22"/>
                <w:szCs w:val="22"/>
              </w:rPr>
              <w:t>10</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5C3048EC" w14:textId="77777777">
            <w:pPr>
              <w:jc w:val="right"/>
              <w:rPr>
                <w:rFonts w:ascii="Calibri" w:hAnsi="Calibri" w:cs="Calibri"/>
                <w:color w:val="000000"/>
                <w:sz w:val="22"/>
                <w:szCs w:val="22"/>
              </w:rPr>
            </w:pPr>
            <w:r w:rsidRPr="009C7F7F">
              <w:rPr>
                <w:rFonts w:ascii="Calibri" w:hAnsi="Calibri" w:cs="Calibri"/>
                <w:color w:val="000000"/>
                <w:sz w:val="22"/>
                <w:szCs w:val="22"/>
              </w:rPr>
              <w:t>9</w:t>
            </w:r>
          </w:p>
        </w:tc>
        <w:tc>
          <w:tcPr>
            <w:tcW w:w="767" w:type="dxa"/>
            <w:tcBorders>
              <w:top w:val="nil"/>
              <w:left w:val="nil"/>
              <w:bottom w:val="single" w:color="auto" w:sz="4" w:space="0"/>
              <w:right w:val="single" w:color="auto" w:sz="8" w:space="0"/>
            </w:tcBorders>
            <w:shd w:val="clear" w:color="auto" w:fill="auto"/>
            <w:noWrap/>
            <w:vAlign w:val="bottom"/>
            <w:hideMark/>
          </w:tcPr>
          <w:p w:rsidRPr="009C7F7F" w:rsidR="009C7F7F" w:rsidP="009C7F7F" w:rsidRDefault="009C7F7F" w14:paraId="436A6B7D" w14:textId="77777777">
            <w:pPr>
              <w:jc w:val="right"/>
              <w:rPr>
                <w:rFonts w:ascii="Calibri" w:hAnsi="Calibri" w:cs="Calibri"/>
                <w:color w:val="000000"/>
                <w:sz w:val="22"/>
                <w:szCs w:val="22"/>
              </w:rPr>
            </w:pPr>
            <w:r w:rsidRPr="009C7F7F">
              <w:rPr>
                <w:rFonts w:ascii="Calibri" w:hAnsi="Calibri" w:cs="Calibri"/>
                <w:color w:val="000000"/>
                <w:sz w:val="22"/>
                <w:szCs w:val="22"/>
              </w:rPr>
              <w:t>-1</w:t>
            </w:r>
          </w:p>
        </w:tc>
        <w:tc>
          <w:tcPr>
            <w:tcW w:w="104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64AA6782" w14:textId="77777777">
            <w:pPr>
              <w:jc w:val="right"/>
              <w:rPr>
                <w:rFonts w:ascii="Calibri" w:hAnsi="Calibri" w:cs="Calibri"/>
                <w:color w:val="000000"/>
                <w:sz w:val="22"/>
                <w:szCs w:val="22"/>
              </w:rPr>
            </w:pPr>
            <w:r w:rsidRPr="009C7F7F">
              <w:rPr>
                <w:rFonts w:ascii="Calibri" w:hAnsi="Calibri" w:cs="Calibri"/>
                <w:color w:val="000000"/>
                <w:sz w:val="22"/>
                <w:szCs w:val="22"/>
              </w:rPr>
              <w:t>2750</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7851E2E7" w14:textId="77777777">
            <w:pPr>
              <w:jc w:val="right"/>
              <w:rPr>
                <w:rFonts w:ascii="Calibri" w:hAnsi="Calibri" w:cs="Calibri"/>
                <w:color w:val="000000"/>
                <w:sz w:val="22"/>
                <w:szCs w:val="22"/>
              </w:rPr>
            </w:pPr>
            <w:r w:rsidRPr="009C7F7F">
              <w:rPr>
                <w:rFonts w:ascii="Calibri" w:hAnsi="Calibri" w:cs="Calibri"/>
                <w:color w:val="000000"/>
                <w:sz w:val="22"/>
                <w:szCs w:val="22"/>
              </w:rPr>
              <w:t>2475</w:t>
            </w:r>
          </w:p>
        </w:tc>
        <w:tc>
          <w:tcPr>
            <w:tcW w:w="840" w:type="dxa"/>
            <w:tcBorders>
              <w:top w:val="single" w:color="auto" w:sz="4" w:space="0"/>
              <w:left w:val="nil"/>
              <w:bottom w:val="single" w:color="auto" w:sz="4" w:space="0"/>
              <w:right w:val="nil"/>
            </w:tcBorders>
            <w:shd w:val="clear" w:color="auto" w:fill="auto"/>
            <w:noWrap/>
            <w:vAlign w:val="bottom"/>
            <w:hideMark/>
          </w:tcPr>
          <w:p w:rsidRPr="009C7F7F" w:rsidR="009C7F7F" w:rsidP="009C7F7F" w:rsidRDefault="009C7F7F" w14:paraId="787AC1B5" w14:textId="77777777">
            <w:pPr>
              <w:jc w:val="right"/>
              <w:rPr>
                <w:rFonts w:ascii="Calibri" w:hAnsi="Calibri" w:cs="Calibri"/>
                <w:color w:val="000000"/>
                <w:sz w:val="22"/>
                <w:szCs w:val="22"/>
              </w:rPr>
            </w:pPr>
            <w:r w:rsidRPr="009C7F7F">
              <w:rPr>
                <w:rFonts w:ascii="Calibri" w:hAnsi="Calibri" w:cs="Calibri"/>
                <w:color w:val="000000"/>
                <w:sz w:val="22"/>
                <w:szCs w:val="22"/>
              </w:rPr>
              <w:t>-275</w:t>
            </w:r>
          </w:p>
        </w:tc>
        <w:tc>
          <w:tcPr>
            <w:tcW w:w="955" w:type="dxa"/>
            <w:tcBorders>
              <w:top w:val="nil"/>
              <w:left w:val="single" w:color="auto" w:sz="8" w:space="0"/>
              <w:bottom w:val="single" w:color="auto" w:sz="4" w:space="0"/>
              <w:right w:val="single" w:color="auto" w:sz="4" w:space="0"/>
            </w:tcBorders>
            <w:shd w:val="clear" w:color="auto" w:fill="auto"/>
            <w:noWrap/>
            <w:vAlign w:val="bottom"/>
            <w:hideMark/>
          </w:tcPr>
          <w:p w:rsidRPr="009C7F7F" w:rsidR="009C7F7F" w:rsidP="009C7F7F" w:rsidRDefault="009C7F7F" w14:paraId="18663E75" w14:textId="77777777">
            <w:pPr>
              <w:jc w:val="right"/>
              <w:rPr>
                <w:rFonts w:ascii="Calibri" w:hAnsi="Calibri" w:cs="Calibri"/>
                <w:color w:val="000000"/>
                <w:sz w:val="22"/>
                <w:szCs w:val="22"/>
              </w:rPr>
            </w:pPr>
            <w:r w:rsidRPr="009C7F7F">
              <w:rPr>
                <w:rFonts w:ascii="Calibri" w:hAnsi="Calibri" w:cs="Calibri"/>
                <w:color w:val="000000"/>
                <w:sz w:val="22"/>
                <w:szCs w:val="22"/>
              </w:rPr>
              <w:t>4000</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2576D22B" w14:textId="77777777">
            <w:pPr>
              <w:jc w:val="right"/>
              <w:rPr>
                <w:rFonts w:ascii="Calibri" w:hAnsi="Calibri" w:cs="Calibri"/>
                <w:color w:val="000000"/>
                <w:sz w:val="22"/>
                <w:szCs w:val="22"/>
              </w:rPr>
            </w:pPr>
            <w:r w:rsidRPr="009C7F7F">
              <w:rPr>
                <w:rFonts w:ascii="Calibri" w:hAnsi="Calibri" w:cs="Calibri"/>
                <w:color w:val="000000"/>
                <w:sz w:val="22"/>
                <w:szCs w:val="22"/>
              </w:rPr>
              <w:t>3600</w:t>
            </w:r>
          </w:p>
        </w:tc>
        <w:tc>
          <w:tcPr>
            <w:tcW w:w="767" w:type="dxa"/>
            <w:tcBorders>
              <w:top w:val="single" w:color="auto" w:sz="4" w:space="0"/>
              <w:left w:val="nil"/>
              <w:bottom w:val="single" w:color="auto" w:sz="4" w:space="0"/>
              <w:right w:val="single" w:color="auto" w:sz="4" w:space="0"/>
            </w:tcBorders>
            <w:shd w:val="clear" w:color="auto" w:fill="auto"/>
            <w:noWrap/>
            <w:vAlign w:val="bottom"/>
            <w:hideMark/>
          </w:tcPr>
          <w:p w:rsidRPr="009C7F7F" w:rsidR="009C7F7F" w:rsidP="009C7F7F" w:rsidRDefault="009C7F7F" w14:paraId="5A696FEB" w14:textId="77777777">
            <w:pPr>
              <w:jc w:val="right"/>
              <w:rPr>
                <w:rFonts w:ascii="Calibri" w:hAnsi="Calibri" w:cs="Calibri"/>
                <w:color w:val="000000"/>
                <w:sz w:val="22"/>
                <w:szCs w:val="22"/>
              </w:rPr>
            </w:pPr>
            <w:r w:rsidRPr="009C7F7F">
              <w:rPr>
                <w:rFonts w:ascii="Calibri" w:hAnsi="Calibri" w:cs="Calibri"/>
                <w:color w:val="000000"/>
                <w:sz w:val="22"/>
                <w:szCs w:val="22"/>
              </w:rPr>
              <w:t>-400</w:t>
            </w:r>
          </w:p>
        </w:tc>
      </w:tr>
      <w:tr w:rsidRPr="009C7F7F" w:rsidR="009C7F7F" w:rsidTr="009C7F7F" w14:paraId="09DB609E" w14:textId="77777777">
        <w:trPr>
          <w:trHeight w:val="59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9C7F7F" w:rsidR="009C7F7F" w:rsidP="009C7F7F" w:rsidRDefault="009C7F7F" w14:paraId="474FC94D" w14:textId="77777777">
            <w:pPr>
              <w:rPr>
                <w:rFonts w:ascii="Calibri" w:hAnsi="Calibri" w:cs="Calibri"/>
                <w:color w:val="000000"/>
                <w:sz w:val="22"/>
                <w:szCs w:val="22"/>
              </w:rPr>
            </w:pPr>
            <w:r w:rsidRPr="009C7F7F">
              <w:rPr>
                <w:rFonts w:ascii="Calibri" w:hAnsi="Calibri" w:cs="Calibri"/>
                <w:color w:val="000000"/>
                <w:sz w:val="22"/>
                <w:szCs w:val="22"/>
              </w:rPr>
              <w:t>IC2</w:t>
            </w:r>
          </w:p>
        </w:tc>
        <w:tc>
          <w:tcPr>
            <w:tcW w:w="1895" w:type="dxa"/>
            <w:tcBorders>
              <w:top w:val="nil"/>
              <w:left w:val="nil"/>
              <w:bottom w:val="single" w:color="auto" w:sz="4" w:space="0"/>
              <w:right w:val="nil"/>
            </w:tcBorders>
            <w:shd w:val="clear" w:color="auto" w:fill="auto"/>
            <w:vAlign w:val="bottom"/>
            <w:hideMark/>
          </w:tcPr>
          <w:p w:rsidRPr="009C7F7F" w:rsidR="009C7F7F" w:rsidP="009C7F7F" w:rsidRDefault="009C7F7F" w14:paraId="5AEA6151" w14:textId="77777777">
            <w:pPr>
              <w:rPr>
                <w:rFonts w:ascii="Calibri" w:hAnsi="Calibri" w:cs="Calibri"/>
                <w:color w:val="000000"/>
                <w:sz w:val="22"/>
                <w:szCs w:val="22"/>
              </w:rPr>
            </w:pPr>
            <w:r w:rsidRPr="009C7F7F">
              <w:rPr>
                <w:rFonts w:ascii="Calibri" w:hAnsi="Calibri" w:cs="Calibri"/>
                <w:color w:val="000000"/>
                <w:sz w:val="22"/>
                <w:szCs w:val="22"/>
              </w:rPr>
              <w:t>One-Time Initial Application</w:t>
            </w:r>
          </w:p>
        </w:tc>
        <w:tc>
          <w:tcPr>
            <w:tcW w:w="1285" w:type="dxa"/>
            <w:tcBorders>
              <w:top w:val="nil"/>
              <w:left w:val="single" w:color="auto" w:sz="8" w:space="0"/>
              <w:bottom w:val="single" w:color="auto" w:sz="4" w:space="0"/>
              <w:right w:val="single" w:color="auto" w:sz="4" w:space="0"/>
            </w:tcBorders>
            <w:shd w:val="clear" w:color="auto" w:fill="auto"/>
            <w:noWrap/>
            <w:vAlign w:val="bottom"/>
            <w:hideMark/>
          </w:tcPr>
          <w:p w:rsidRPr="009C7F7F" w:rsidR="009C7F7F" w:rsidP="009C7F7F" w:rsidRDefault="009C7F7F" w14:paraId="6CA4522A" w14:textId="77777777">
            <w:pPr>
              <w:jc w:val="right"/>
              <w:rPr>
                <w:rFonts w:ascii="Calibri" w:hAnsi="Calibri" w:cs="Calibri"/>
                <w:color w:val="000000"/>
                <w:sz w:val="22"/>
                <w:szCs w:val="22"/>
              </w:rPr>
            </w:pPr>
            <w:r w:rsidRPr="009C7F7F">
              <w:rPr>
                <w:rFonts w:ascii="Calibri" w:hAnsi="Calibri" w:cs="Calibri"/>
                <w:color w:val="000000"/>
                <w:sz w:val="22"/>
                <w:szCs w:val="22"/>
              </w:rPr>
              <w:t>1</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76F10B1E" w14:textId="77777777">
            <w:pPr>
              <w:jc w:val="right"/>
              <w:rPr>
                <w:rFonts w:ascii="Calibri" w:hAnsi="Calibri" w:cs="Calibri"/>
                <w:color w:val="000000"/>
                <w:sz w:val="22"/>
                <w:szCs w:val="22"/>
              </w:rPr>
            </w:pPr>
            <w:r w:rsidRPr="009C7F7F">
              <w:rPr>
                <w:rFonts w:ascii="Calibri" w:hAnsi="Calibri" w:cs="Calibri"/>
                <w:color w:val="000000"/>
                <w:sz w:val="22"/>
                <w:szCs w:val="22"/>
              </w:rPr>
              <w:t>1</w:t>
            </w:r>
          </w:p>
        </w:tc>
        <w:tc>
          <w:tcPr>
            <w:tcW w:w="767" w:type="dxa"/>
            <w:tcBorders>
              <w:top w:val="nil"/>
              <w:left w:val="nil"/>
              <w:bottom w:val="single" w:color="auto" w:sz="4" w:space="0"/>
              <w:right w:val="nil"/>
            </w:tcBorders>
            <w:shd w:val="clear" w:color="auto" w:fill="auto"/>
            <w:noWrap/>
            <w:vAlign w:val="bottom"/>
            <w:hideMark/>
          </w:tcPr>
          <w:p w:rsidRPr="009C7F7F" w:rsidR="009C7F7F" w:rsidP="009C7F7F" w:rsidRDefault="009C7F7F" w14:paraId="18447377" w14:textId="77777777">
            <w:pPr>
              <w:jc w:val="right"/>
              <w:rPr>
                <w:rFonts w:ascii="Calibri" w:hAnsi="Calibri" w:cs="Calibri"/>
                <w:color w:val="000000"/>
                <w:sz w:val="22"/>
                <w:szCs w:val="22"/>
              </w:rPr>
            </w:pPr>
            <w:r w:rsidRPr="009C7F7F">
              <w:rPr>
                <w:rFonts w:ascii="Calibri" w:hAnsi="Calibri" w:cs="Calibri"/>
                <w:color w:val="000000"/>
                <w:sz w:val="22"/>
                <w:szCs w:val="22"/>
              </w:rPr>
              <w:t>0</w:t>
            </w:r>
          </w:p>
        </w:tc>
        <w:tc>
          <w:tcPr>
            <w:tcW w:w="1040" w:type="dxa"/>
            <w:tcBorders>
              <w:top w:val="nil"/>
              <w:left w:val="single" w:color="auto" w:sz="8" w:space="0"/>
              <w:bottom w:val="single" w:color="auto" w:sz="4" w:space="0"/>
              <w:right w:val="single" w:color="auto" w:sz="4" w:space="0"/>
            </w:tcBorders>
            <w:shd w:val="clear" w:color="auto" w:fill="auto"/>
            <w:noWrap/>
            <w:vAlign w:val="bottom"/>
            <w:hideMark/>
          </w:tcPr>
          <w:p w:rsidRPr="009C7F7F" w:rsidR="009C7F7F" w:rsidP="009C7F7F" w:rsidRDefault="009C7F7F" w14:paraId="150E4F8F" w14:textId="77777777">
            <w:pPr>
              <w:jc w:val="right"/>
              <w:rPr>
                <w:rFonts w:ascii="Calibri" w:hAnsi="Calibri" w:cs="Calibri"/>
                <w:color w:val="000000"/>
                <w:sz w:val="22"/>
                <w:szCs w:val="22"/>
              </w:rPr>
            </w:pPr>
            <w:r w:rsidRPr="009C7F7F">
              <w:rPr>
                <w:rFonts w:ascii="Calibri" w:hAnsi="Calibri" w:cs="Calibri"/>
                <w:color w:val="000000"/>
                <w:sz w:val="22"/>
                <w:szCs w:val="22"/>
              </w:rPr>
              <w:t>0</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610EE4AF" w14:textId="77777777">
            <w:pPr>
              <w:jc w:val="right"/>
              <w:rPr>
                <w:rFonts w:ascii="Calibri" w:hAnsi="Calibri" w:cs="Calibri"/>
                <w:color w:val="000000"/>
                <w:sz w:val="22"/>
                <w:szCs w:val="22"/>
              </w:rPr>
            </w:pPr>
            <w:r w:rsidRPr="009C7F7F">
              <w:rPr>
                <w:rFonts w:ascii="Calibri" w:hAnsi="Calibri" w:cs="Calibri"/>
                <w:color w:val="000000"/>
                <w:sz w:val="22"/>
                <w:szCs w:val="22"/>
              </w:rPr>
              <w:t>0</w:t>
            </w:r>
          </w:p>
        </w:tc>
        <w:tc>
          <w:tcPr>
            <w:tcW w:w="840" w:type="dxa"/>
            <w:tcBorders>
              <w:top w:val="nil"/>
              <w:left w:val="nil"/>
              <w:bottom w:val="single" w:color="auto" w:sz="4" w:space="0"/>
              <w:right w:val="nil"/>
            </w:tcBorders>
            <w:shd w:val="clear" w:color="auto" w:fill="auto"/>
            <w:noWrap/>
            <w:vAlign w:val="bottom"/>
            <w:hideMark/>
          </w:tcPr>
          <w:p w:rsidRPr="009C7F7F" w:rsidR="009C7F7F" w:rsidP="009C7F7F" w:rsidRDefault="009C7F7F" w14:paraId="1367EF35" w14:textId="77777777">
            <w:pPr>
              <w:jc w:val="right"/>
              <w:rPr>
                <w:rFonts w:ascii="Calibri" w:hAnsi="Calibri" w:cs="Calibri"/>
                <w:color w:val="000000"/>
                <w:sz w:val="22"/>
                <w:szCs w:val="22"/>
              </w:rPr>
            </w:pPr>
            <w:r w:rsidRPr="009C7F7F">
              <w:rPr>
                <w:rFonts w:ascii="Calibri" w:hAnsi="Calibri" w:cs="Calibri"/>
                <w:color w:val="000000"/>
                <w:sz w:val="22"/>
                <w:szCs w:val="22"/>
              </w:rPr>
              <w:t>0</w:t>
            </w:r>
          </w:p>
        </w:tc>
        <w:tc>
          <w:tcPr>
            <w:tcW w:w="955" w:type="dxa"/>
            <w:tcBorders>
              <w:top w:val="nil"/>
              <w:left w:val="single" w:color="auto" w:sz="8" w:space="0"/>
              <w:bottom w:val="single" w:color="auto" w:sz="4" w:space="0"/>
              <w:right w:val="single" w:color="auto" w:sz="4" w:space="0"/>
            </w:tcBorders>
            <w:shd w:val="clear" w:color="auto" w:fill="auto"/>
            <w:noWrap/>
            <w:vAlign w:val="bottom"/>
            <w:hideMark/>
          </w:tcPr>
          <w:p w:rsidRPr="009C7F7F" w:rsidR="009C7F7F" w:rsidP="009C7F7F" w:rsidRDefault="009C7F7F" w14:paraId="155091BC" w14:textId="77777777">
            <w:pPr>
              <w:jc w:val="right"/>
              <w:rPr>
                <w:rFonts w:ascii="Calibri" w:hAnsi="Calibri" w:cs="Calibri"/>
                <w:color w:val="000000"/>
                <w:sz w:val="22"/>
                <w:szCs w:val="22"/>
              </w:rPr>
            </w:pPr>
            <w:r w:rsidRPr="009C7F7F">
              <w:rPr>
                <w:rFonts w:ascii="Calibri" w:hAnsi="Calibri" w:cs="Calibri"/>
                <w:color w:val="000000"/>
                <w:sz w:val="22"/>
                <w:szCs w:val="22"/>
              </w:rPr>
              <w:t>5333</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4EF385BB" w14:textId="77777777">
            <w:pPr>
              <w:jc w:val="right"/>
              <w:rPr>
                <w:rFonts w:ascii="Calibri" w:hAnsi="Calibri" w:cs="Calibri"/>
                <w:color w:val="000000"/>
                <w:sz w:val="22"/>
                <w:szCs w:val="22"/>
              </w:rPr>
            </w:pPr>
            <w:r w:rsidRPr="009C7F7F">
              <w:rPr>
                <w:rFonts w:ascii="Calibri" w:hAnsi="Calibri" w:cs="Calibri"/>
                <w:color w:val="000000"/>
                <w:sz w:val="22"/>
                <w:szCs w:val="22"/>
              </w:rPr>
              <w:t>5333</w:t>
            </w:r>
          </w:p>
        </w:tc>
        <w:tc>
          <w:tcPr>
            <w:tcW w:w="767"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6F5E25C1" w14:textId="77777777">
            <w:pPr>
              <w:jc w:val="right"/>
              <w:rPr>
                <w:rFonts w:ascii="Calibri" w:hAnsi="Calibri" w:cs="Calibri"/>
                <w:color w:val="000000"/>
                <w:sz w:val="22"/>
                <w:szCs w:val="22"/>
              </w:rPr>
            </w:pPr>
            <w:r w:rsidRPr="009C7F7F">
              <w:rPr>
                <w:rFonts w:ascii="Calibri" w:hAnsi="Calibri" w:cs="Calibri"/>
                <w:color w:val="000000"/>
                <w:sz w:val="22"/>
                <w:szCs w:val="22"/>
              </w:rPr>
              <w:t>0</w:t>
            </w:r>
          </w:p>
        </w:tc>
      </w:tr>
      <w:tr w:rsidRPr="009C7F7F" w:rsidR="009C7F7F" w:rsidTr="009C7F7F" w14:paraId="7EFBC122" w14:textId="77777777">
        <w:trPr>
          <w:trHeight w:val="290"/>
        </w:trPr>
        <w:tc>
          <w:tcPr>
            <w:tcW w:w="2515" w:type="dxa"/>
            <w:gridSpan w:val="2"/>
            <w:tcBorders>
              <w:top w:val="single" w:color="auto" w:sz="8" w:space="0"/>
              <w:left w:val="single" w:color="auto" w:sz="4" w:space="0"/>
              <w:bottom w:val="single" w:color="auto" w:sz="4" w:space="0"/>
              <w:right w:val="single" w:color="000000" w:sz="8" w:space="0"/>
            </w:tcBorders>
            <w:shd w:val="clear" w:color="auto" w:fill="auto"/>
            <w:noWrap/>
            <w:vAlign w:val="bottom"/>
            <w:hideMark/>
          </w:tcPr>
          <w:p w:rsidRPr="009C7F7F" w:rsidR="009C7F7F" w:rsidP="009C7F7F" w:rsidRDefault="009C7F7F" w14:paraId="4016387C" w14:textId="77777777">
            <w:pPr>
              <w:rPr>
                <w:rFonts w:ascii="Calibri" w:hAnsi="Calibri" w:cs="Calibri"/>
                <w:b/>
                <w:bCs/>
                <w:color w:val="000000"/>
                <w:sz w:val="22"/>
                <w:szCs w:val="22"/>
              </w:rPr>
            </w:pPr>
            <w:r w:rsidRPr="009C7F7F">
              <w:rPr>
                <w:rFonts w:ascii="Calibri" w:hAnsi="Calibri" w:cs="Calibri"/>
                <w:b/>
                <w:bCs/>
                <w:color w:val="000000"/>
                <w:sz w:val="22"/>
                <w:szCs w:val="22"/>
              </w:rPr>
              <w:t>Total for all ICs</w:t>
            </w:r>
          </w:p>
        </w:tc>
        <w:tc>
          <w:tcPr>
            <w:tcW w:w="1285"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2F81B188" w14:textId="77777777">
            <w:pPr>
              <w:jc w:val="right"/>
              <w:rPr>
                <w:rFonts w:ascii="Calibri" w:hAnsi="Calibri" w:cs="Calibri"/>
                <w:color w:val="000000"/>
                <w:sz w:val="22"/>
                <w:szCs w:val="22"/>
              </w:rPr>
            </w:pPr>
            <w:r w:rsidRPr="009C7F7F">
              <w:rPr>
                <w:rFonts w:ascii="Calibri" w:hAnsi="Calibri" w:cs="Calibri"/>
                <w:color w:val="000000"/>
                <w:sz w:val="22"/>
                <w:szCs w:val="22"/>
              </w:rPr>
              <w:t>20</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1D8488FF" w14:textId="77777777">
            <w:pPr>
              <w:jc w:val="right"/>
              <w:rPr>
                <w:rFonts w:ascii="Calibri" w:hAnsi="Calibri" w:cs="Calibri"/>
                <w:color w:val="000000"/>
                <w:sz w:val="22"/>
                <w:szCs w:val="22"/>
              </w:rPr>
            </w:pPr>
            <w:r w:rsidRPr="009C7F7F">
              <w:rPr>
                <w:rFonts w:ascii="Calibri" w:hAnsi="Calibri" w:cs="Calibri"/>
                <w:color w:val="000000"/>
                <w:sz w:val="22"/>
                <w:szCs w:val="22"/>
              </w:rPr>
              <w:t>18</w:t>
            </w:r>
          </w:p>
        </w:tc>
        <w:tc>
          <w:tcPr>
            <w:tcW w:w="767" w:type="dxa"/>
            <w:tcBorders>
              <w:top w:val="nil"/>
              <w:left w:val="nil"/>
              <w:bottom w:val="single" w:color="auto" w:sz="4" w:space="0"/>
              <w:right w:val="single" w:color="auto" w:sz="8" w:space="0"/>
            </w:tcBorders>
            <w:shd w:val="clear" w:color="auto" w:fill="auto"/>
            <w:noWrap/>
            <w:vAlign w:val="bottom"/>
            <w:hideMark/>
          </w:tcPr>
          <w:p w:rsidRPr="009C7F7F" w:rsidR="009C7F7F" w:rsidP="009C7F7F" w:rsidRDefault="009C7F7F" w14:paraId="00886945" w14:textId="77777777">
            <w:pPr>
              <w:jc w:val="right"/>
              <w:rPr>
                <w:rFonts w:ascii="Calibri" w:hAnsi="Calibri" w:cs="Calibri"/>
                <w:color w:val="000000"/>
                <w:sz w:val="22"/>
                <w:szCs w:val="22"/>
              </w:rPr>
            </w:pPr>
            <w:r w:rsidRPr="009C7F7F">
              <w:rPr>
                <w:rFonts w:ascii="Calibri" w:hAnsi="Calibri" w:cs="Calibri"/>
                <w:color w:val="000000"/>
                <w:sz w:val="22"/>
                <w:szCs w:val="22"/>
              </w:rPr>
              <w:t>-2</w:t>
            </w:r>
          </w:p>
        </w:tc>
        <w:tc>
          <w:tcPr>
            <w:tcW w:w="104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0C3B2C40" w14:textId="77777777">
            <w:pPr>
              <w:jc w:val="right"/>
              <w:rPr>
                <w:rFonts w:ascii="Calibri" w:hAnsi="Calibri" w:cs="Calibri"/>
                <w:color w:val="000000"/>
                <w:sz w:val="22"/>
                <w:szCs w:val="22"/>
              </w:rPr>
            </w:pPr>
            <w:r w:rsidRPr="009C7F7F">
              <w:rPr>
                <w:rFonts w:ascii="Calibri" w:hAnsi="Calibri" w:cs="Calibri"/>
                <w:color w:val="000000"/>
                <w:sz w:val="22"/>
                <w:szCs w:val="22"/>
              </w:rPr>
              <w:t>2750</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551D3EDC" w14:textId="77777777">
            <w:pPr>
              <w:jc w:val="right"/>
              <w:rPr>
                <w:rFonts w:ascii="Calibri" w:hAnsi="Calibri" w:cs="Calibri"/>
                <w:color w:val="000000"/>
                <w:sz w:val="22"/>
                <w:szCs w:val="22"/>
              </w:rPr>
            </w:pPr>
            <w:r w:rsidRPr="009C7F7F">
              <w:rPr>
                <w:rFonts w:ascii="Calibri" w:hAnsi="Calibri" w:cs="Calibri"/>
                <w:color w:val="000000"/>
                <w:sz w:val="22"/>
                <w:szCs w:val="22"/>
              </w:rPr>
              <w:t>2475</w:t>
            </w:r>
          </w:p>
        </w:tc>
        <w:tc>
          <w:tcPr>
            <w:tcW w:w="840" w:type="dxa"/>
            <w:tcBorders>
              <w:top w:val="nil"/>
              <w:left w:val="nil"/>
              <w:bottom w:val="single" w:color="auto" w:sz="4" w:space="0"/>
              <w:right w:val="nil"/>
            </w:tcBorders>
            <w:shd w:val="clear" w:color="auto" w:fill="auto"/>
            <w:noWrap/>
            <w:vAlign w:val="bottom"/>
            <w:hideMark/>
          </w:tcPr>
          <w:p w:rsidRPr="009C7F7F" w:rsidR="009C7F7F" w:rsidP="009C7F7F" w:rsidRDefault="009C7F7F" w14:paraId="5E015852" w14:textId="77777777">
            <w:pPr>
              <w:jc w:val="right"/>
              <w:rPr>
                <w:rFonts w:ascii="Calibri" w:hAnsi="Calibri" w:cs="Calibri"/>
                <w:color w:val="000000"/>
                <w:sz w:val="22"/>
                <w:szCs w:val="22"/>
              </w:rPr>
            </w:pPr>
            <w:r w:rsidRPr="009C7F7F">
              <w:rPr>
                <w:rFonts w:ascii="Calibri" w:hAnsi="Calibri" w:cs="Calibri"/>
                <w:color w:val="000000"/>
                <w:sz w:val="22"/>
                <w:szCs w:val="22"/>
              </w:rPr>
              <w:t>-275</w:t>
            </w:r>
          </w:p>
        </w:tc>
        <w:tc>
          <w:tcPr>
            <w:tcW w:w="955" w:type="dxa"/>
            <w:tcBorders>
              <w:top w:val="nil"/>
              <w:left w:val="single" w:color="auto" w:sz="8" w:space="0"/>
              <w:bottom w:val="single" w:color="auto" w:sz="4" w:space="0"/>
              <w:right w:val="single" w:color="auto" w:sz="4" w:space="0"/>
            </w:tcBorders>
            <w:shd w:val="clear" w:color="auto" w:fill="auto"/>
            <w:noWrap/>
            <w:vAlign w:val="bottom"/>
            <w:hideMark/>
          </w:tcPr>
          <w:p w:rsidRPr="009C7F7F" w:rsidR="009C7F7F" w:rsidP="009C7F7F" w:rsidRDefault="009C7F7F" w14:paraId="74A63494" w14:textId="77777777">
            <w:pPr>
              <w:jc w:val="right"/>
              <w:rPr>
                <w:rFonts w:ascii="Calibri" w:hAnsi="Calibri" w:cs="Calibri"/>
                <w:color w:val="000000"/>
                <w:sz w:val="22"/>
                <w:szCs w:val="22"/>
              </w:rPr>
            </w:pPr>
            <w:r w:rsidRPr="009C7F7F">
              <w:rPr>
                <w:rFonts w:ascii="Calibri" w:hAnsi="Calibri" w:cs="Calibri"/>
                <w:color w:val="000000"/>
                <w:sz w:val="22"/>
                <w:szCs w:val="22"/>
              </w:rPr>
              <w:t>9333</w:t>
            </w:r>
          </w:p>
        </w:tc>
        <w:tc>
          <w:tcPr>
            <w:tcW w:w="980"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273BF619" w14:textId="77777777">
            <w:pPr>
              <w:jc w:val="right"/>
              <w:rPr>
                <w:rFonts w:ascii="Calibri" w:hAnsi="Calibri" w:cs="Calibri"/>
                <w:color w:val="000000"/>
                <w:sz w:val="22"/>
                <w:szCs w:val="22"/>
              </w:rPr>
            </w:pPr>
            <w:r w:rsidRPr="009C7F7F">
              <w:rPr>
                <w:rFonts w:ascii="Calibri" w:hAnsi="Calibri" w:cs="Calibri"/>
                <w:color w:val="000000"/>
                <w:sz w:val="22"/>
                <w:szCs w:val="22"/>
              </w:rPr>
              <w:t>8933</w:t>
            </w:r>
          </w:p>
        </w:tc>
        <w:tc>
          <w:tcPr>
            <w:tcW w:w="767" w:type="dxa"/>
            <w:tcBorders>
              <w:top w:val="nil"/>
              <w:left w:val="nil"/>
              <w:bottom w:val="single" w:color="auto" w:sz="4" w:space="0"/>
              <w:right w:val="single" w:color="auto" w:sz="4" w:space="0"/>
            </w:tcBorders>
            <w:shd w:val="clear" w:color="auto" w:fill="auto"/>
            <w:noWrap/>
            <w:vAlign w:val="bottom"/>
            <w:hideMark/>
          </w:tcPr>
          <w:p w:rsidRPr="009C7F7F" w:rsidR="009C7F7F" w:rsidP="009C7F7F" w:rsidRDefault="009C7F7F" w14:paraId="425CD8F3" w14:textId="77777777">
            <w:pPr>
              <w:jc w:val="right"/>
              <w:rPr>
                <w:rFonts w:ascii="Calibri" w:hAnsi="Calibri" w:cs="Calibri"/>
                <w:color w:val="000000"/>
                <w:sz w:val="22"/>
                <w:szCs w:val="22"/>
              </w:rPr>
            </w:pPr>
            <w:r w:rsidRPr="009C7F7F">
              <w:rPr>
                <w:rFonts w:ascii="Calibri" w:hAnsi="Calibri" w:cs="Calibri"/>
                <w:color w:val="000000"/>
                <w:sz w:val="22"/>
                <w:szCs w:val="22"/>
              </w:rPr>
              <w:t>-400</w:t>
            </w:r>
          </w:p>
        </w:tc>
      </w:tr>
    </w:tbl>
    <w:p w:rsidR="009C7F7F" w:rsidP="00C1597E" w:rsidRDefault="009C7F7F" w14:paraId="3F74FF88" w14:textId="77777777">
      <w:pPr>
        <w:ind w:firstLine="720"/>
      </w:pPr>
    </w:p>
    <w:p w:rsidRPr="00CC42A3" w:rsidR="004F18B6" w:rsidP="00114221" w:rsidRDefault="004F18B6" w14:paraId="7C153B93" w14:textId="77777777">
      <w:pPr>
        <w:rPr>
          <w:color w:val="000000"/>
        </w:rPr>
      </w:pPr>
      <w:bookmarkStart w:name="_GoBack" w:id="2"/>
      <w:bookmarkEnd w:id="2"/>
    </w:p>
    <w:p w:rsidRPr="00CC42A3" w:rsidR="009E493C" w:rsidP="00CD7934" w:rsidRDefault="009E493C" w14:paraId="7C153B94" w14:textId="77777777">
      <w:pPr>
        <w:pStyle w:val="ListParagraph"/>
        <w:numPr>
          <w:ilvl w:val="0"/>
          <w:numId w:val="2"/>
        </w:numPr>
        <w:ind w:left="0" w:firstLine="0"/>
        <w:rPr>
          <w:b/>
        </w:rPr>
      </w:pPr>
      <w:r w:rsidRPr="00CC42A3">
        <w:rPr>
          <w:b/>
        </w:rPr>
        <w:t>Costs to Respondents</w:t>
      </w:r>
    </w:p>
    <w:p w:rsidRPr="00CC42A3" w:rsidR="0025498D" w:rsidP="0025498D" w:rsidRDefault="0025498D" w14:paraId="7C153B97" w14:textId="77777777">
      <w:pPr>
        <w:rPr>
          <w:iCs/>
          <w:color w:val="000000"/>
        </w:rPr>
      </w:pPr>
    </w:p>
    <w:p w:rsidR="007C71E4" w:rsidP="005F6AEF" w:rsidRDefault="00556FDB" w14:paraId="3C060389" w14:textId="585B5997">
      <w:pPr>
        <w:pStyle w:val="DoubleSpace"/>
        <w:spacing w:line="240" w:lineRule="auto"/>
        <w:ind w:firstLine="720"/>
      </w:pPr>
      <w:r w:rsidRPr="00CC42A3">
        <w:t>The Commission anticipates that an NRSRO likely will engage outside counsel to assist it in the process of completing and submitting a</w:t>
      </w:r>
      <w:r w:rsidR="00604F45">
        <w:t>n initial</w:t>
      </w:r>
      <w:r w:rsidRPr="00CC42A3">
        <w:t xml:space="preserve"> Form NRSRO.  The amount of time an outside attorney will spend on this work will depend on the size and complexity of the NRSRO.  </w:t>
      </w:r>
      <w:r w:rsidRPr="00CC42A3" w:rsidR="00D71E06">
        <w:t xml:space="preserve">The Commission </w:t>
      </w:r>
      <w:r w:rsidR="00D71E06">
        <w:t xml:space="preserve">previously </w:t>
      </w:r>
      <w:r w:rsidRPr="00CC42A3" w:rsidR="00D71E06">
        <w:t>estimate</w:t>
      </w:r>
      <w:r w:rsidR="00D71E06">
        <w:t>d</w:t>
      </w:r>
      <w:r w:rsidRPr="00CC42A3" w:rsidR="00D71E06">
        <w:t xml:space="preserve"> that, on average, an outside counsel will spend approximately 40 hours assisting an NRSRO in preparing its </w:t>
      </w:r>
      <w:r w:rsidR="00D71E06">
        <w:t xml:space="preserve">initial </w:t>
      </w:r>
      <w:r w:rsidRPr="00CC42A3" w:rsidR="00D71E06">
        <w:t>application for registration, for a one-time aggregate burden to the industry of 400 hours.  The Commission further estimate</w:t>
      </w:r>
      <w:r w:rsidR="00D71E06">
        <w:t>d</w:t>
      </w:r>
      <w:r w:rsidRPr="00CC42A3" w:rsidR="00D71E06">
        <w:t xml:space="preserve"> that this work will be split between a partner and an associate, with an associate performing a majority of the work.  The Commission estimates that the average hourly cost for an outside counsel will be approximately $400 per hour.  </w:t>
      </w:r>
      <w:r w:rsidRPr="00CC42A3" w:rsidR="00445A1B">
        <w:t>The Commission therefore estimates that the average one-time cost to an NRSRO will be $16,000</w:t>
      </w:r>
      <w:r w:rsidRPr="009222DF" w:rsidR="00445A1B">
        <w:rPr>
          <w:rStyle w:val="FootnoteReference"/>
          <w:rFonts w:ascii="Times New Roman" w:hAnsi="Times New Roman"/>
          <w:iCs/>
        </w:rPr>
        <w:footnoteReference w:id="18"/>
      </w:r>
      <w:r w:rsidRPr="009222DF" w:rsidR="00F66F81">
        <w:rPr>
          <w:rFonts w:ascii="Times New Roman" w:hAnsi="Times New Roman"/>
        </w:rPr>
        <w:t xml:space="preserve"> f</w:t>
      </w:r>
      <w:r w:rsidR="00F66F81">
        <w:t xml:space="preserve">or </w:t>
      </w:r>
      <w:r w:rsidR="00326FBA">
        <w:t xml:space="preserve">an </w:t>
      </w:r>
      <w:r w:rsidR="00F66F81">
        <w:t>initial application.</w:t>
      </w:r>
      <w:r w:rsidR="002879A5">
        <w:rPr>
          <w:rStyle w:val="FootnoteReference"/>
        </w:rPr>
        <w:footnoteReference w:id="19"/>
      </w:r>
      <w:r w:rsidRPr="00CC42A3" w:rsidR="00445A1B">
        <w:t xml:space="preserve"> </w:t>
      </w:r>
    </w:p>
    <w:p w:rsidR="007C71E4" w:rsidP="005F6AEF" w:rsidRDefault="007C71E4" w14:paraId="35C28B10" w14:textId="77777777">
      <w:pPr>
        <w:pStyle w:val="DoubleSpace"/>
        <w:spacing w:line="240" w:lineRule="auto"/>
        <w:ind w:firstLine="720"/>
      </w:pPr>
    </w:p>
    <w:p w:rsidR="0025498D" w:rsidP="005F6AEF" w:rsidRDefault="00B004C4" w14:paraId="7C153B9B" w14:textId="3DE055AA">
      <w:pPr>
        <w:pStyle w:val="DoubleSpace"/>
        <w:spacing w:line="240" w:lineRule="auto"/>
        <w:ind w:firstLine="720"/>
      </w:pPr>
      <w:r>
        <w:t xml:space="preserve">In addition, </w:t>
      </w:r>
      <w:r w:rsidR="007C71E4">
        <w:t>the Commission previously estimated an ongoing industry wide annual cost of approximately $</w:t>
      </w:r>
      <w:r w:rsidR="008F1370">
        <w:t>3,600</w:t>
      </w:r>
      <w:r w:rsidR="007C71E4">
        <w:t xml:space="preserve"> to cover postage and handling fees for NRSROs responding to individuals that requested copies of Exhibit 1 of Form NRS</w:t>
      </w:r>
      <w:r w:rsidRPr="009222DF" w:rsidR="007C71E4">
        <w:rPr>
          <w:rFonts w:ascii="Times New Roman" w:hAnsi="Times New Roman"/>
        </w:rPr>
        <w:t>RO.</w:t>
      </w:r>
      <w:r w:rsidRPr="009222DF" w:rsidR="00326FBA">
        <w:rPr>
          <w:rStyle w:val="FootnoteReference"/>
          <w:rFonts w:ascii="Times New Roman" w:hAnsi="Times New Roman"/>
        </w:rPr>
        <w:footnoteReference w:id="20"/>
      </w:r>
      <w:r w:rsidRPr="009222DF" w:rsidR="007C71E4">
        <w:rPr>
          <w:rFonts w:ascii="Times New Roman" w:hAnsi="Times New Roman"/>
        </w:rPr>
        <w:t xml:space="preserve"> </w:t>
      </w:r>
      <w:r w:rsidR="00382BEB">
        <w:t>Based on staff experience</w:t>
      </w:r>
      <w:r w:rsidR="007C71E4">
        <w:t>,</w:t>
      </w:r>
      <w:r w:rsidR="00642871">
        <w:t xml:space="preserve"> </w:t>
      </w:r>
      <w:r w:rsidR="00D310D6">
        <w:t>t</w:t>
      </w:r>
      <w:r w:rsidR="007C71E4">
        <w:t>he Commission estimates</w:t>
      </w:r>
      <w:r w:rsidR="00D71E06">
        <w:t xml:space="preserve"> a</w:t>
      </w:r>
      <w:r w:rsidR="00642871">
        <w:t>n</w:t>
      </w:r>
      <w:r w:rsidR="007C71E4">
        <w:t xml:space="preserve"> ongoing industry cost resulting fr</w:t>
      </w:r>
      <w:r w:rsidR="00D71E06">
        <w:t>om compliance with Rule 17g-1 of</w:t>
      </w:r>
      <w:r w:rsidR="007C71E4">
        <w:t xml:space="preserve"> </w:t>
      </w:r>
      <w:r w:rsidR="00D71E06">
        <w:t>$</w:t>
      </w:r>
      <w:r w:rsidR="008F1370">
        <w:t>3,600</w:t>
      </w:r>
      <w:r w:rsidR="00ED5814">
        <w:t xml:space="preserve"> annually</w:t>
      </w:r>
      <w:r w:rsidR="007C71E4">
        <w:t xml:space="preserve">. </w:t>
      </w:r>
    </w:p>
    <w:p w:rsidRPr="00CC42A3" w:rsidR="004F18B6" w:rsidP="009222DF" w:rsidRDefault="004F18B6" w14:paraId="7C153B9F" w14:textId="77777777">
      <w:pPr>
        <w:pStyle w:val="DoubleSpace"/>
        <w:spacing w:line="240" w:lineRule="auto"/>
        <w:rPr>
          <w:b/>
        </w:rPr>
      </w:pPr>
    </w:p>
    <w:p w:rsidRPr="00CC42A3" w:rsidR="009E493C" w:rsidP="00CD7934" w:rsidRDefault="009E493C" w14:paraId="7C153BA0" w14:textId="77777777">
      <w:pPr>
        <w:pStyle w:val="ListParagraph"/>
        <w:numPr>
          <w:ilvl w:val="0"/>
          <w:numId w:val="2"/>
        </w:numPr>
        <w:ind w:left="0" w:firstLine="0"/>
        <w:rPr>
          <w:b/>
        </w:rPr>
      </w:pPr>
      <w:r w:rsidRPr="00CC42A3">
        <w:rPr>
          <w:b/>
        </w:rPr>
        <w:t>Costs to Federal Government</w:t>
      </w:r>
    </w:p>
    <w:p w:rsidRPr="00CC42A3" w:rsidR="00F8146C" w:rsidP="00F8146C" w:rsidRDefault="00F8146C" w14:paraId="7C153BA1"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Pr="009222DF" w:rsidR="009E493C" w:rsidP="00F8146C" w:rsidRDefault="00F8146C" w14:paraId="7C153BA2" w14:textId="61D0B16B">
      <w:pPr>
        <w:tabs>
          <w:tab w:val="left" w:pos="-4466"/>
          <w:tab w:val="left" w:pos="-3460"/>
          <w:tab w:val="left" w:pos="-3343"/>
          <w:tab w:val="left" w:pos="332"/>
          <w:tab w:val="left" w:pos="449"/>
          <w:tab w:val="left" w:pos="810"/>
          <w:tab w:val="left" w:pos="990"/>
          <w:tab w:val="left" w:pos="1588"/>
          <w:tab w:val="left" w:pos="1706"/>
          <w:tab w:val="left" w:pos="4078"/>
          <w:tab w:val="left" w:pos="4196"/>
          <w:tab w:val="left" w:pos="4490"/>
          <w:tab w:val="left" w:pos="4607"/>
          <w:tab w:val="left" w:pos="5908"/>
          <w:tab w:val="left" w:pos="6026"/>
        </w:tabs>
        <w:suppressAutoHyphens/>
        <w:rPr>
          <w:spacing w:val="-3"/>
        </w:rPr>
      </w:pPr>
      <w:r w:rsidRPr="00CC42A3">
        <w:tab/>
      </w:r>
      <w:r w:rsidRPr="00CC42A3" w:rsidR="00B336A0">
        <w:tab/>
      </w:r>
      <w:r w:rsidR="005F6AEF">
        <w:rPr>
          <w:spacing w:val="-3"/>
        </w:rPr>
        <w:t xml:space="preserve">The Commission does not anticipate any additional costs to the Federal Government that </w:t>
      </w:r>
      <w:r w:rsidR="00F51E4D">
        <w:rPr>
          <w:spacing w:val="-3"/>
        </w:rPr>
        <w:t xml:space="preserve">would </w:t>
      </w:r>
      <w:r w:rsidR="005F6AEF">
        <w:rPr>
          <w:spacing w:val="-3"/>
        </w:rPr>
        <w:t>result from the rule</w:t>
      </w:r>
      <w:r w:rsidRPr="00743D8F" w:rsidR="005F6AEF">
        <w:rPr>
          <w:spacing w:val="-3"/>
        </w:rPr>
        <w:t>.</w:t>
      </w:r>
    </w:p>
    <w:p w:rsidRPr="00CC42A3" w:rsidR="009E493C" w:rsidP="009E493C" w:rsidRDefault="009E493C" w14:paraId="7C153BA3" w14:textId="77777777">
      <w:pPr>
        <w:pStyle w:val="ListParagraph"/>
        <w:ind w:left="0" w:hanging="360"/>
        <w:rPr>
          <w:b/>
        </w:rPr>
      </w:pPr>
    </w:p>
    <w:p w:rsidRPr="00CC42A3" w:rsidR="009E493C" w:rsidP="00CD7934" w:rsidRDefault="009E493C" w14:paraId="7C153BA4" w14:textId="77777777">
      <w:pPr>
        <w:pStyle w:val="ListParagraph"/>
        <w:numPr>
          <w:ilvl w:val="0"/>
          <w:numId w:val="2"/>
        </w:numPr>
        <w:ind w:left="0" w:firstLine="0"/>
        <w:rPr>
          <w:b/>
        </w:rPr>
      </w:pPr>
      <w:r w:rsidRPr="00CC42A3">
        <w:rPr>
          <w:b/>
        </w:rPr>
        <w:t>Changes in Burden</w:t>
      </w:r>
    </w:p>
    <w:p w:rsidRPr="00CC42A3" w:rsidR="00B336A0" w:rsidP="009E493C" w:rsidRDefault="00B336A0" w14:paraId="7C153BA5" w14:textId="77777777"/>
    <w:p w:rsidRPr="00CC42A3" w:rsidR="005F6AEF" w:rsidP="00445A1B" w:rsidRDefault="005F6AEF" w14:paraId="3C604360" w14:textId="432F20B6">
      <w:pPr>
        <w:ind w:firstLine="720"/>
      </w:pPr>
      <w:r>
        <w:t>The estimated burden on respon</w:t>
      </w:r>
      <w:r w:rsidR="00D356EA">
        <w:t>dents</w:t>
      </w:r>
      <w:r>
        <w:t xml:space="preserve"> is calculated based on the </w:t>
      </w:r>
      <w:r w:rsidR="00072B6D">
        <w:t>9</w:t>
      </w:r>
      <w:r w:rsidR="009879D5">
        <w:t xml:space="preserve"> </w:t>
      </w:r>
      <w:r>
        <w:t>credit rating agencies currently registered as NRSROs under Section 15E of the Exchange Act</w:t>
      </w:r>
      <w:r w:rsidR="00072B6D">
        <w:t>, compared to the 10 previously registered</w:t>
      </w:r>
      <w:r>
        <w:t xml:space="preserve">.  </w:t>
      </w:r>
    </w:p>
    <w:p w:rsidRPr="00CC42A3" w:rsidR="009E493C" w:rsidP="009E493C" w:rsidRDefault="009E493C" w14:paraId="7C153BA7" w14:textId="77777777">
      <w:pPr>
        <w:ind w:hanging="360"/>
        <w:rPr>
          <w:b/>
        </w:rPr>
      </w:pPr>
    </w:p>
    <w:p w:rsidRPr="00CC42A3" w:rsidR="009E493C" w:rsidP="00CD7934" w:rsidRDefault="009E493C" w14:paraId="7C153BA8" w14:textId="77777777">
      <w:pPr>
        <w:pStyle w:val="ListParagraph"/>
        <w:numPr>
          <w:ilvl w:val="0"/>
          <w:numId w:val="2"/>
        </w:numPr>
        <w:ind w:left="0" w:firstLine="0"/>
        <w:rPr>
          <w:b/>
        </w:rPr>
      </w:pPr>
      <w:r w:rsidRPr="00CC42A3">
        <w:rPr>
          <w:b/>
        </w:rPr>
        <w:t>Information Collection Planned for Statistical Purposes</w:t>
      </w:r>
    </w:p>
    <w:p w:rsidRPr="00CC42A3" w:rsidR="00757E05" w:rsidP="009E493C" w:rsidRDefault="00757E05" w14:paraId="7C153BA9"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Pr="00CC42A3" w:rsidR="00B336A0" w:rsidP="009E493C" w:rsidRDefault="00B336A0" w14:paraId="7C153BAA"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rsidRPr="00CC42A3">
        <w:tab/>
      </w:r>
      <w:r w:rsidRPr="00CC42A3">
        <w:tab/>
      </w:r>
      <w:r w:rsidRPr="00CC42A3">
        <w:tab/>
      </w:r>
      <w:r w:rsidRPr="00CC42A3">
        <w:tab/>
      </w:r>
      <w:r w:rsidR="007832E2">
        <w:t xml:space="preserve"> Not applicable. The information collection is not for statistical purposes. </w:t>
      </w:r>
    </w:p>
    <w:p w:rsidRPr="00CC42A3" w:rsidR="00B336A0" w:rsidP="009E493C" w:rsidRDefault="00B336A0" w14:paraId="7C153BAB"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Pr="00CC42A3" w:rsidR="00B336A0" w:rsidP="00CD7934" w:rsidRDefault="006664BE" w14:paraId="7C153BAC" w14:textId="77777777">
      <w:pPr>
        <w:pStyle w:val="ListParagraph"/>
        <w:numPr>
          <w:ilvl w:val="0"/>
          <w:numId w:val="2"/>
        </w:numPr>
        <w:ind w:left="0" w:firstLine="0"/>
        <w:rPr>
          <w:b/>
        </w:rPr>
      </w:pPr>
      <w:r>
        <w:rPr>
          <w:b/>
        </w:rPr>
        <w:t>Approval to Omit OMB Expiration</w:t>
      </w:r>
      <w:r w:rsidRPr="00CC42A3" w:rsidR="009E493C">
        <w:rPr>
          <w:b/>
        </w:rPr>
        <w:t xml:space="preserve"> Date</w:t>
      </w:r>
    </w:p>
    <w:p w:rsidRPr="00CC42A3" w:rsidR="00B336A0" w:rsidP="00B336A0" w:rsidRDefault="00B336A0" w14:paraId="7C153BAD" w14:textId="77777777">
      <w:pPr>
        <w:pStyle w:val="ListParagraph"/>
        <w:ind w:left="0"/>
        <w:rPr>
          <w:b/>
        </w:rPr>
      </w:pPr>
    </w:p>
    <w:p w:rsidRPr="00CC42A3" w:rsidR="009E493C" w:rsidP="00757E05" w:rsidRDefault="00481099" w14:paraId="7C153BAE" w14:textId="27592986">
      <w:pPr>
        <w:pStyle w:val="ListParagraph"/>
        <w:ind w:left="0" w:firstLine="720"/>
      </w:pPr>
      <w:r>
        <w:t xml:space="preserve">We request authorization to omit the expiration date on the electronic version of the form, although the OMB control number will be displayed.  Including the expiration date on the electronic version of the form will result in increased costs, because the need to make changes to the form may not follow the </w:t>
      </w:r>
      <w:r w:rsidR="00F63E37">
        <w:t xml:space="preserve">application’s </w:t>
      </w:r>
      <w:r>
        <w:t>scheduled version release dates.</w:t>
      </w:r>
    </w:p>
    <w:p w:rsidRPr="00CC42A3" w:rsidR="00342007" w:rsidP="009E493C" w:rsidRDefault="00342007" w14:paraId="7C153BAF"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p>
    <w:p w:rsidRPr="00CC42A3" w:rsidR="009E493C" w:rsidP="00CD7934" w:rsidRDefault="009E493C" w14:paraId="7C153BB0" w14:textId="77777777">
      <w:pPr>
        <w:pStyle w:val="ListParagraph"/>
        <w:numPr>
          <w:ilvl w:val="0"/>
          <w:numId w:val="2"/>
        </w:numPr>
        <w:ind w:left="0" w:firstLine="0"/>
        <w:rPr>
          <w:b/>
        </w:rPr>
      </w:pPr>
      <w:r w:rsidRPr="00CC42A3">
        <w:rPr>
          <w:b/>
        </w:rPr>
        <w:t>Exceptions to Certification for Paperwork Reduction Act Submissions</w:t>
      </w:r>
    </w:p>
    <w:p w:rsidRPr="00CC42A3" w:rsidR="00B336A0" w:rsidP="00B336A0" w:rsidRDefault="00B336A0" w14:paraId="7C153BB1" w14:textId="77777777">
      <w:pPr>
        <w:tabs>
          <w:tab w:val="left" w:pos="-720"/>
          <w:tab w:val="left" w:pos="286"/>
          <w:tab w:val="left" w:pos="403"/>
        </w:tabs>
        <w:suppressAutoHyphens/>
      </w:pPr>
    </w:p>
    <w:p w:rsidRPr="00CC42A3" w:rsidR="007269B7" w:rsidP="005D7A7D" w:rsidRDefault="00B336A0" w14:paraId="7C153BB2" w14:textId="77777777">
      <w:pPr>
        <w:tabs>
          <w:tab w:val="left" w:pos="-720"/>
          <w:tab w:val="left" w:pos="286"/>
          <w:tab w:val="left" w:pos="403"/>
        </w:tabs>
        <w:suppressAutoHyphens/>
        <w:ind w:hanging="360"/>
      </w:pPr>
      <w:r w:rsidRPr="00CC42A3">
        <w:tab/>
      </w:r>
      <w:r w:rsidRPr="00CC42A3" w:rsidR="00FF5B9E">
        <w:tab/>
      </w:r>
      <w:r w:rsidRPr="00CC42A3" w:rsidR="00FF5B9E">
        <w:tab/>
      </w:r>
      <w:r w:rsidRPr="00CC42A3" w:rsidR="00FF5B9E">
        <w:tab/>
        <w:t>Not applicable because no exceptions to certification</w:t>
      </w:r>
      <w:r w:rsidRPr="00CC42A3" w:rsidR="00BA2E85">
        <w:t xml:space="preserve"> are</w:t>
      </w:r>
      <w:r w:rsidRPr="00CC42A3" w:rsidR="00FF5B9E">
        <w:t xml:space="preserve"> contained in the rule.</w:t>
      </w:r>
    </w:p>
    <w:p w:rsidRPr="00CC42A3" w:rsidR="007269B7" w:rsidP="007269B7" w:rsidRDefault="007269B7" w14:paraId="7C153BB3" w14:textId="77777777">
      <w:pPr>
        <w:tabs>
          <w:tab w:val="left" w:pos="-720"/>
          <w:tab w:val="left" w:pos="286"/>
          <w:tab w:val="left" w:pos="403"/>
        </w:tabs>
        <w:suppressAutoHyphens/>
        <w:ind w:hanging="360"/>
        <w:rPr>
          <w:b/>
        </w:rPr>
      </w:pPr>
    </w:p>
    <w:p w:rsidRPr="00CC42A3" w:rsidR="009E493C" w:rsidP="001258EB" w:rsidRDefault="001258EB" w14:paraId="7C153BB4" w14:textId="77777777">
      <w:pPr>
        <w:pStyle w:val="ListParagraph"/>
        <w:numPr>
          <w:ilvl w:val="0"/>
          <w:numId w:val="7"/>
        </w:numPr>
        <w:tabs>
          <w:tab w:val="left" w:pos="-720"/>
          <w:tab w:val="left" w:pos="180"/>
          <w:tab w:val="left" w:pos="286"/>
        </w:tabs>
        <w:suppressAutoHyphens/>
        <w:ind w:left="0" w:firstLine="0"/>
        <w:rPr>
          <w:b/>
        </w:rPr>
      </w:pPr>
      <w:r>
        <w:rPr>
          <w:b/>
          <w:caps/>
        </w:rPr>
        <w:tab/>
      </w:r>
      <w:r w:rsidRPr="00CC42A3" w:rsidR="009E493C">
        <w:rPr>
          <w:b/>
          <w:caps/>
        </w:rPr>
        <w:t>Collections of Information Employing Statistical Methods</w:t>
      </w:r>
    </w:p>
    <w:p w:rsidRPr="00CC42A3" w:rsidR="009E493C" w:rsidP="009E493C" w:rsidRDefault="009E493C" w14:paraId="7C153BB5"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
        </w:rPr>
      </w:pPr>
    </w:p>
    <w:p w:rsidR="00075C7E" w:rsidP="007269B7" w:rsidRDefault="009E493C" w14:paraId="7C153BB6"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Pr="00CC42A3" w:rsidR="00B336A0">
        <w:tab/>
      </w:r>
      <w:r w:rsidRPr="00CC42A3" w:rsidR="00B336A0">
        <w:tab/>
      </w:r>
      <w:r w:rsidRPr="00CC42A3" w:rsidR="00B336A0">
        <w:tab/>
      </w:r>
      <w:r w:rsidRPr="00CC42A3">
        <w:t>This collection does n</w:t>
      </w:r>
      <w:r w:rsidRPr="00CC42A3" w:rsidR="00B336A0">
        <w:t>ot involve statistical methods</w:t>
      </w:r>
      <w:r w:rsidRPr="00CC42A3" w:rsidR="007269B7">
        <w:t xml:space="preserve"> </w:t>
      </w:r>
      <w:r w:rsidRPr="00CC42A3">
        <w:t>or analyze the information for the agency.</w:t>
      </w:r>
    </w:p>
    <w:sectPr w:rsidR="00075C7E" w:rsidSect="00732596">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6C039" w14:textId="77777777" w:rsidR="006C3FBC" w:rsidRDefault="006C3FBC" w:rsidP="00A13B41">
      <w:r>
        <w:separator/>
      </w:r>
    </w:p>
  </w:endnote>
  <w:endnote w:type="continuationSeparator" w:id="0">
    <w:p w14:paraId="6BEF176B" w14:textId="77777777" w:rsidR="006C3FBC" w:rsidRDefault="006C3FBC"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3BBB" w14:textId="77777777" w:rsidR="00C86EA5" w:rsidRDefault="00C86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53BBC" w14:textId="77777777" w:rsidR="00C86EA5" w:rsidRDefault="00C8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3BBD" w14:textId="57C5021A" w:rsidR="00C86EA5" w:rsidRDefault="00C86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7F7F">
      <w:rPr>
        <w:rStyle w:val="PageNumber"/>
        <w:noProof/>
      </w:rPr>
      <w:t>7</w:t>
    </w:r>
    <w:r>
      <w:rPr>
        <w:rStyle w:val="PageNumber"/>
      </w:rPr>
      <w:fldChar w:fldCharType="end"/>
    </w:r>
  </w:p>
  <w:p w14:paraId="7C153BBE" w14:textId="77777777" w:rsidR="00C86EA5" w:rsidRDefault="00C8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92DEB" w14:textId="77777777" w:rsidR="006C3FBC" w:rsidRDefault="006C3FBC" w:rsidP="00A13B41">
      <w:r>
        <w:separator/>
      </w:r>
    </w:p>
  </w:footnote>
  <w:footnote w:type="continuationSeparator" w:id="0">
    <w:p w14:paraId="5AAC28E7" w14:textId="77777777" w:rsidR="006C3FBC" w:rsidRDefault="006C3FBC" w:rsidP="00A13B41">
      <w:r>
        <w:continuationSeparator/>
      </w:r>
    </w:p>
  </w:footnote>
  <w:footnote w:id="1">
    <w:p w14:paraId="7C153BBF" w14:textId="77777777" w:rsidR="00C86EA5" w:rsidRDefault="00C86EA5" w:rsidP="00445A1B">
      <w:pPr>
        <w:pStyle w:val="FootnoteText"/>
        <w:tabs>
          <w:tab w:val="left" w:pos="720"/>
        </w:tabs>
        <w:ind w:left="720" w:hanging="720"/>
      </w:pPr>
      <w:r w:rsidRPr="00CC42A3">
        <w:rPr>
          <w:rStyle w:val="FootnoteReference"/>
        </w:rPr>
        <w:footnoteRef/>
      </w:r>
      <w:r w:rsidRPr="00CC42A3">
        <w:t xml:space="preserve"> </w:t>
      </w:r>
      <w:r w:rsidRPr="00CC42A3">
        <w:tab/>
        <w:t>Pub. L. No. 109-291</w:t>
      </w:r>
      <w:r>
        <w:t xml:space="preserve"> </w:t>
      </w:r>
      <w:r w:rsidRPr="00CC42A3">
        <w:t>(2006).</w:t>
      </w:r>
    </w:p>
    <w:p w14:paraId="54CD9C5C" w14:textId="77777777" w:rsidR="00C86EA5" w:rsidRPr="00CC42A3" w:rsidRDefault="00C86EA5" w:rsidP="00445A1B">
      <w:pPr>
        <w:pStyle w:val="FootnoteText"/>
        <w:tabs>
          <w:tab w:val="left" w:pos="720"/>
        </w:tabs>
        <w:ind w:left="720" w:hanging="720"/>
      </w:pPr>
    </w:p>
  </w:footnote>
  <w:footnote w:id="2">
    <w:p w14:paraId="01F534E9" w14:textId="77777777" w:rsidR="00C86EA5" w:rsidRPr="00DF00B5" w:rsidRDefault="00C86EA5" w:rsidP="00445A1B">
      <w:pPr>
        <w:pStyle w:val="FootnoteText"/>
        <w:ind w:left="720" w:hanging="720"/>
      </w:pPr>
      <w:r w:rsidRPr="00472468">
        <w:rPr>
          <w:vertAlign w:val="superscript"/>
        </w:rPr>
        <w:footnoteRef/>
      </w:r>
      <w:r w:rsidRPr="00DF00B5">
        <w:t xml:space="preserve"> </w:t>
      </w:r>
      <w:r w:rsidRPr="00DF00B5">
        <w:tab/>
        <w:t>15 U.S.C. 78o-7.</w:t>
      </w:r>
    </w:p>
    <w:p w14:paraId="36FB911B" w14:textId="77777777" w:rsidR="00C86EA5" w:rsidRPr="00DF00B5" w:rsidRDefault="00C86EA5" w:rsidP="00445A1B">
      <w:pPr>
        <w:pStyle w:val="FootnoteText"/>
        <w:ind w:left="720" w:hanging="720"/>
      </w:pPr>
    </w:p>
  </w:footnote>
  <w:footnote w:id="3">
    <w:p w14:paraId="6BFA9712" w14:textId="77777777" w:rsidR="00C86EA5" w:rsidRDefault="00C86EA5" w:rsidP="00445A1B">
      <w:pPr>
        <w:pStyle w:val="FootnoteText"/>
        <w:tabs>
          <w:tab w:val="left" w:pos="720"/>
        </w:tabs>
        <w:ind w:left="720" w:hanging="720"/>
      </w:pPr>
      <w:r w:rsidRPr="00CC42A3">
        <w:rPr>
          <w:rStyle w:val="FootnoteReference"/>
        </w:rPr>
        <w:footnoteRef/>
      </w:r>
      <w:r w:rsidRPr="00CC42A3">
        <w:t xml:space="preserve"> </w:t>
      </w:r>
      <w:r w:rsidRPr="00CC42A3">
        <w:tab/>
      </w:r>
      <w:r w:rsidRPr="00511466">
        <w:rPr>
          <w:u w:val="single"/>
        </w:rPr>
        <w:t>Oversight of Credit Rating Agencies Registered as Nationally Recognized Statistical Rating Organizations</w:t>
      </w:r>
      <w:r>
        <w:t xml:space="preserve">, </w:t>
      </w:r>
      <w:r w:rsidRPr="00CC42A3">
        <w:t>Exchange Act</w:t>
      </w:r>
      <w:r>
        <w:t xml:space="preserve"> </w:t>
      </w:r>
      <w:r w:rsidRPr="00CC42A3">
        <w:t>Release No. 55857 (June 5, 2007), 72 FR 33564 (June 18, 2007).</w:t>
      </w:r>
    </w:p>
    <w:p w14:paraId="07826B5A" w14:textId="77777777" w:rsidR="00C86EA5" w:rsidRPr="00CC42A3" w:rsidRDefault="00C86EA5" w:rsidP="00445A1B">
      <w:pPr>
        <w:pStyle w:val="FootnoteText"/>
        <w:tabs>
          <w:tab w:val="left" w:pos="720"/>
        </w:tabs>
        <w:ind w:left="720" w:hanging="720"/>
      </w:pPr>
    </w:p>
  </w:footnote>
  <w:footnote w:id="4">
    <w:p w14:paraId="315D1F0F" w14:textId="77777777" w:rsidR="00C86EA5" w:rsidRPr="00DF00B5" w:rsidRDefault="00C86EA5" w:rsidP="00445A1B">
      <w:pPr>
        <w:pStyle w:val="FootnoteText"/>
        <w:ind w:left="720" w:hanging="720"/>
      </w:pPr>
      <w:r w:rsidRPr="00472468">
        <w:rPr>
          <w:vertAlign w:val="superscript"/>
        </w:rPr>
        <w:footnoteRef/>
      </w:r>
      <w:r w:rsidRPr="00472468">
        <w:rPr>
          <w:vertAlign w:val="superscript"/>
        </w:rPr>
        <w:t xml:space="preserve"> </w:t>
      </w:r>
      <w:r w:rsidRPr="00DF00B5">
        <w:tab/>
        <w:t>Pub. L. No. 111-203, 124 Stat. 1376, H.R. 4173 (2010).</w:t>
      </w:r>
    </w:p>
    <w:p w14:paraId="5C7D413D" w14:textId="77777777" w:rsidR="00C86EA5" w:rsidRPr="00DF00B5" w:rsidRDefault="00C86EA5" w:rsidP="00445A1B">
      <w:pPr>
        <w:pStyle w:val="FootnoteText"/>
        <w:ind w:left="720" w:hanging="720"/>
      </w:pPr>
    </w:p>
  </w:footnote>
  <w:footnote w:id="5">
    <w:p w14:paraId="4C3CA33E" w14:textId="77777777" w:rsidR="00C86EA5" w:rsidRDefault="00C86EA5" w:rsidP="00445A1B">
      <w:pPr>
        <w:pStyle w:val="FootnoteText"/>
        <w:tabs>
          <w:tab w:val="left" w:pos="720"/>
        </w:tabs>
      </w:pPr>
      <w:r w:rsidRPr="00CC42A3">
        <w:rPr>
          <w:rStyle w:val="FootnoteReference"/>
        </w:rPr>
        <w:footnoteRef/>
      </w:r>
      <w:r w:rsidRPr="00CC42A3">
        <w:t xml:space="preserve"> </w:t>
      </w:r>
      <w:r w:rsidRPr="00CC42A3">
        <w:tab/>
      </w:r>
      <w:r w:rsidRPr="00CC42A3">
        <w:rPr>
          <w:u w:val="single"/>
        </w:rPr>
        <w:t>See</w:t>
      </w:r>
      <w:r w:rsidRPr="00CC42A3">
        <w:t xml:space="preserve"> Pub. L. No. 111-203 §§ 939, 939D-939F.  </w:t>
      </w:r>
    </w:p>
    <w:p w14:paraId="4D4F5272" w14:textId="77777777" w:rsidR="00C86EA5" w:rsidRPr="00CC42A3" w:rsidRDefault="00C86EA5" w:rsidP="00445A1B">
      <w:pPr>
        <w:pStyle w:val="FootnoteText"/>
        <w:tabs>
          <w:tab w:val="left" w:pos="720"/>
        </w:tabs>
      </w:pPr>
    </w:p>
  </w:footnote>
  <w:footnote w:id="6">
    <w:p w14:paraId="771ABFD8" w14:textId="77777777" w:rsidR="00C86EA5" w:rsidRDefault="00C86EA5" w:rsidP="00445A1B">
      <w:pPr>
        <w:ind w:left="720" w:hanging="720"/>
        <w:rPr>
          <w:sz w:val="20"/>
          <w:szCs w:val="20"/>
        </w:rPr>
      </w:pPr>
      <w:r w:rsidRPr="00CC42A3">
        <w:rPr>
          <w:rStyle w:val="FootnoteReference"/>
          <w:sz w:val="20"/>
          <w:szCs w:val="20"/>
        </w:rPr>
        <w:footnoteRef/>
      </w:r>
      <w:r w:rsidRPr="00CC42A3">
        <w:rPr>
          <w:sz w:val="20"/>
          <w:szCs w:val="20"/>
        </w:rPr>
        <w:t xml:space="preserve"> </w:t>
      </w:r>
      <w:r w:rsidRPr="00CC42A3">
        <w:rPr>
          <w:sz w:val="20"/>
          <w:szCs w:val="20"/>
        </w:rPr>
        <w:tab/>
      </w:r>
      <w:r w:rsidRPr="00CC42A3">
        <w:rPr>
          <w:sz w:val="20"/>
          <w:szCs w:val="20"/>
          <w:u w:val="single"/>
        </w:rPr>
        <w:t>See</w:t>
      </w:r>
      <w:r w:rsidRPr="00CC42A3">
        <w:rPr>
          <w:sz w:val="20"/>
          <w:szCs w:val="20"/>
        </w:rPr>
        <w:t xml:space="preserve"> Pub. L. No. 111-203 §§ 931-939H; </w:t>
      </w:r>
      <w:r w:rsidRPr="00CC42A3">
        <w:rPr>
          <w:sz w:val="20"/>
          <w:szCs w:val="20"/>
          <w:u w:val="single"/>
        </w:rPr>
        <w:t>see also</w:t>
      </w:r>
      <w:r w:rsidRPr="00CC42A3">
        <w:rPr>
          <w:sz w:val="20"/>
          <w:szCs w:val="20"/>
        </w:rPr>
        <w:t xml:space="preserve"> Pub. L. No. 111-203 § 943.  </w:t>
      </w:r>
    </w:p>
    <w:p w14:paraId="583EB8E7" w14:textId="77777777" w:rsidR="00C86EA5" w:rsidRPr="00CC42A3" w:rsidRDefault="00C86EA5" w:rsidP="00445A1B">
      <w:pPr>
        <w:ind w:left="720" w:hanging="720"/>
        <w:rPr>
          <w:sz w:val="20"/>
          <w:szCs w:val="20"/>
        </w:rPr>
      </w:pPr>
    </w:p>
  </w:footnote>
  <w:footnote w:id="7">
    <w:p w14:paraId="7948646F" w14:textId="77777777" w:rsidR="00C86EA5" w:rsidRPr="00DF00B5" w:rsidRDefault="00C86EA5" w:rsidP="00445A1B">
      <w:pPr>
        <w:pStyle w:val="FootnoteText"/>
        <w:ind w:left="720" w:hanging="720"/>
      </w:pPr>
      <w:r w:rsidRPr="00472468">
        <w:rPr>
          <w:vertAlign w:val="superscript"/>
        </w:rPr>
        <w:footnoteRef/>
      </w:r>
      <w:r w:rsidRPr="00DF00B5">
        <w:t xml:space="preserve"> </w:t>
      </w:r>
      <w:r w:rsidRPr="00DF00B5">
        <w:tab/>
      </w:r>
      <w:r w:rsidRPr="003F0EF7">
        <w:rPr>
          <w:u w:val="single"/>
        </w:rPr>
        <w:t>Nationally Recognized Statistical Rating Organizations</w:t>
      </w:r>
      <w:r w:rsidRPr="00DF00B5">
        <w:t>,</w:t>
      </w:r>
      <w:r>
        <w:t xml:space="preserve"> </w:t>
      </w:r>
      <w:r w:rsidRPr="00DF00B5">
        <w:t xml:space="preserve">Exchange Act Release No. </w:t>
      </w:r>
      <w:r>
        <w:t>72936</w:t>
      </w:r>
      <w:r w:rsidRPr="00DF00B5">
        <w:t xml:space="preserve"> (August 27, 2014).</w:t>
      </w:r>
    </w:p>
    <w:p w14:paraId="6941F374" w14:textId="77777777" w:rsidR="00C86EA5" w:rsidRPr="00DF00B5" w:rsidRDefault="00C86EA5" w:rsidP="00445A1B">
      <w:pPr>
        <w:pStyle w:val="FootnoteText"/>
        <w:rPr>
          <w:sz w:val="22"/>
          <w:szCs w:val="22"/>
        </w:rPr>
      </w:pPr>
    </w:p>
  </w:footnote>
  <w:footnote w:id="8">
    <w:p w14:paraId="2225902B" w14:textId="77777777" w:rsidR="00C86EA5" w:rsidRDefault="00C86EA5" w:rsidP="00445A1B">
      <w:pPr>
        <w:pStyle w:val="FootnoteText"/>
      </w:pPr>
      <w:r>
        <w:rPr>
          <w:rStyle w:val="FootnoteReference"/>
        </w:rPr>
        <w:footnoteRef/>
      </w:r>
      <w:r>
        <w:t xml:space="preserve"> </w:t>
      </w:r>
      <w:r>
        <w:tab/>
        <w:t xml:space="preserve">The Office of Management and Budget (“OMB”) control number for Rule 17g-1 is </w:t>
      </w:r>
      <w:r w:rsidRPr="00B56B04">
        <w:t>3235-0625</w:t>
      </w:r>
      <w:r>
        <w:t>.</w:t>
      </w:r>
    </w:p>
    <w:p w14:paraId="16189219" w14:textId="77777777" w:rsidR="00C86EA5" w:rsidRDefault="00C86EA5" w:rsidP="00445A1B">
      <w:pPr>
        <w:pStyle w:val="FootnoteText"/>
      </w:pPr>
    </w:p>
  </w:footnote>
  <w:footnote w:id="9">
    <w:p w14:paraId="47A97FB4" w14:textId="77777777" w:rsidR="00C86EA5" w:rsidRDefault="00C86EA5" w:rsidP="00445A1B">
      <w:pPr>
        <w:pStyle w:val="FootnoteText"/>
        <w:tabs>
          <w:tab w:val="left" w:pos="720"/>
        </w:tabs>
        <w:ind w:left="720" w:hanging="720"/>
      </w:pPr>
      <w:r w:rsidRPr="00CC42A3">
        <w:rPr>
          <w:rStyle w:val="FootnoteReference"/>
        </w:rPr>
        <w:footnoteRef/>
      </w:r>
      <w:r w:rsidRPr="00CC42A3">
        <w:t xml:space="preserve"> </w:t>
      </w:r>
      <w:r w:rsidRPr="00CC42A3">
        <w:tab/>
        <w:t xml:space="preserve">This provision was implemented under the Commission’s authority in </w:t>
      </w:r>
      <w:r>
        <w:t>s</w:t>
      </w:r>
      <w:r w:rsidRPr="00CC42A3">
        <w:t xml:space="preserve">ection </w:t>
      </w:r>
      <w:proofErr w:type="gramStart"/>
      <w:r w:rsidRPr="00CC42A3">
        <w:t>15E(</w:t>
      </w:r>
      <w:proofErr w:type="gramEnd"/>
      <w:r w:rsidRPr="00CC42A3">
        <w:t xml:space="preserve">a)(1)(A) of the Exchange Act to prescribe the form of the application (15 U.S.C. 78o-7(a)(1)(A)); </w:t>
      </w:r>
      <w:r w:rsidRPr="00CC42A3">
        <w:rPr>
          <w:u w:val="single"/>
        </w:rPr>
        <w:t>see also</w:t>
      </w:r>
      <w:r w:rsidRPr="00CC42A3">
        <w:t xml:space="preserve"> </w:t>
      </w:r>
      <w:r w:rsidRPr="004D425F">
        <w:t>Oversight of Credit Rating Agencies Registered as Nationally Recognized Statistical Rating Organizations</w:t>
      </w:r>
      <w:r w:rsidRPr="00CC42A3">
        <w:t>, 72 FR 33564 (June 18, 2007).</w:t>
      </w:r>
    </w:p>
    <w:p w14:paraId="4C950630" w14:textId="77777777" w:rsidR="00C86EA5" w:rsidRPr="00CC42A3" w:rsidRDefault="00C86EA5" w:rsidP="00445A1B">
      <w:pPr>
        <w:pStyle w:val="FootnoteText"/>
        <w:tabs>
          <w:tab w:val="left" w:pos="720"/>
        </w:tabs>
        <w:ind w:left="720" w:hanging="720"/>
      </w:pPr>
    </w:p>
  </w:footnote>
  <w:footnote w:id="10">
    <w:p w14:paraId="0C1B4B90" w14:textId="77777777" w:rsidR="00C86EA5" w:rsidRDefault="00C86EA5" w:rsidP="00445A1B">
      <w:pPr>
        <w:pStyle w:val="FootnoteText"/>
        <w:tabs>
          <w:tab w:val="left" w:pos="720"/>
        </w:tabs>
        <w:ind w:left="720" w:hanging="720"/>
      </w:pPr>
      <w:r w:rsidRPr="00CC42A3">
        <w:rPr>
          <w:rStyle w:val="FootnoteReference"/>
        </w:rPr>
        <w:footnoteRef/>
      </w:r>
      <w:r w:rsidRPr="00CC42A3">
        <w:t xml:space="preserve"> </w:t>
      </w:r>
      <w:r w:rsidRPr="00CC42A3">
        <w:tab/>
        <w:t>15 U.S.C. 78o-7(b</w:t>
      </w:r>
      <w:proofErr w:type="gramStart"/>
      <w:r w:rsidRPr="00CC42A3">
        <w:t>)(</w:t>
      </w:r>
      <w:proofErr w:type="gramEnd"/>
      <w:r w:rsidRPr="00CC42A3">
        <w:t>1).</w:t>
      </w:r>
    </w:p>
    <w:p w14:paraId="0E2E8AEA" w14:textId="77777777" w:rsidR="00C86EA5" w:rsidRPr="00CC42A3" w:rsidRDefault="00C86EA5" w:rsidP="00445A1B">
      <w:pPr>
        <w:pStyle w:val="FootnoteText"/>
        <w:tabs>
          <w:tab w:val="left" w:pos="720"/>
        </w:tabs>
        <w:ind w:left="720" w:hanging="720"/>
      </w:pPr>
    </w:p>
  </w:footnote>
  <w:footnote w:id="11">
    <w:p w14:paraId="2A93DDF2" w14:textId="77777777" w:rsidR="00C86EA5" w:rsidRDefault="00C86EA5" w:rsidP="00445A1B">
      <w:pPr>
        <w:pStyle w:val="FootnoteText"/>
        <w:tabs>
          <w:tab w:val="left" w:pos="720"/>
        </w:tabs>
        <w:ind w:left="720" w:hanging="720"/>
      </w:pPr>
      <w:r w:rsidRPr="00CC42A3">
        <w:rPr>
          <w:rStyle w:val="FootnoteReference"/>
        </w:rPr>
        <w:footnoteRef/>
      </w:r>
      <w:r w:rsidRPr="00CC42A3">
        <w:t xml:space="preserve"> </w:t>
      </w:r>
      <w:r w:rsidRPr="00CC42A3">
        <w:tab/>
        <w:t xml:space="preserve">Section 15E(a)(1)(B)(vii) of the Exchange Act (15 U.S.C. 78o-7(a)(1)(B)(vii)) provides that a credit rating agency must submit information with its application regarding the categories of credit ratings described in </w:t>
      </w:r>
      <w:r>
        <w:t>s</w:t>
      </w:r>
      <w:r w:rsidRPr="00CC42A3">
        <w:t>ection 3(a)(62)(B) of the Exchange Act (15 U.S.C. 78c(a)(62)(B)) for which it “intends to apply for registration.”</w:t>
      </w:r>
    </w:p>
    <w:p w14:paraId="05B64377" w14:textId="77777777" w:rsidR="00C86EA5" w:rsidRPr="00CC42A3" w:rsidRDefault="00C86EA5" w:rsidP="00445A1B">
      <w:pPr>
        <w:pStyle w:val="FootnoteText"/>
        <w:tabs>
          <w:tab w:val="left" w:pos="720"/>
        </w:tabs>
        <w:ind w:left="720" w:hanging="720"/>
      </w:pPr>
    </w:p>
  </w:footnote>
  <w:footnote w:id="12">
    <w:p w14:paraId="3C46E8B3" w14:textId="77777777" w:rsidR="00C86EA5" w:rsidRDefault="00C86EA5" w:rsidP="00445A1B">
      <w:pPr>
        <w:pStyle w:val="FootnoteText"/>
        <w:tabs>
          <w:tab w:val="left" w:pos="720"/>
        </w:tabs>
        <w:ind w:left="720" w:hanging="720"/>
      </w:pPr>
      <w:r w:rsidRPr="00CC42A3">
        <w:rPr>
          <w:rStyle w:val="FootnoteReference"/>
        </w:rPr>
        <w:footnoteRef/>
      </w:r>
      <w:r w:rsidRPr="00CC42A3">
        <w:t xml:space="preserve"> </w:t>
      </w:r>
      <w:r w:rsidRPr="00CC42A3">
        <w:tab/>
        <w:t>15 U.S.C. 78o-7(b</w:t>
      </w:r>
      <w:proofErr w:type="gramStart"/>
      <w:r w:rsidRPr="00CC42A3">
        <w:t>)(</w:t>
      </w:r>
      <w:proofErr w:type="gramEnd"/>
      <w:r w:rsidRPr="00CC42A3">
        <w:t>2).</w:t>
      </w:r>
    </w:p>
    <w:p w14:paraId="0759E4E9" w14:textId="77777777" w:rsidR="00C86EA5" w:rsidRPr="00CC42A3" w:rsidRDefault="00C86EA5" w:rsidP="00445A1B">
      <w:pPr>
        <w:pStyle w:val="FootnoteText"/>
        <w:tabs>
          <w:tab w:val="left" w:pos="720"/>
        </w:tabs>
        <w:ind w:left="720" w:hanging="720"/>
      </w:pPr>
    </w:p>
  </w:footnote>
  <w:footnote w:id="13">
    <w:p w14:paraId="1EAF75DE" w14:textId="77777777" w:rsidR="00C86EA5" w:rsidRDefault="00C86EA5" w:rsidP="00445A1B">
      <w:pPr>
        <w:pStyle w:val="FootnoteText"/>
        <w:tabs>
          <w:tab w:val="left" w:pos="720"/>
        </w:tabs>
        <w:ind w:left="720" w:hanging="720"/>
      </w:pPr>
      <w:r w:rsidRPr="00CC42A3">
        <w:rPr>
          <w:rStyle w:val="FootnoteReference"/>
        </w:rPr>
        <w:footnoteRef/>
      </w:r>
      <w:r w:rsidRPr="00CC42A3">
        <w:t xml:space="preserve"> </w:t>
      </w:r>
      <w:r w:rsidRPr="00CC42A3">
        <w:tab/>
        <w:t>15 U.S.C. 78o-7(e</w:t>
      </w:r>
      <w:proofErr w:type="gramStart"/>
      <w:r w:rsidRPr="00CC42A3">
        <w:t>)(</w:t>
      </w:r>
      <w:proofErr w:type="gramEnd"/>
      <w:r w:rsidRPr="00CC42A3">
        <w:t>1).</w:t>
      </w:r>
    </w:p>
    <w:p w14:paraId="4C499A78" w14:textId="77777777" w:rsidR="00C86EA5" w:rsidRPr="00CC42A3" w:rsidRDefault="00C86EA5" w:rsidP="00445A1B">
      <w:pPr>
        <w:pStyle w:val="FootnoteText"/>
        <w:tabs>
          <w:tab w:val="left" w:pos="720"/>
        </w:tabs>
        <w:ind w:left="720" w:hanging="720"/>
      </w:pPr>
    </w:p>
  </w:footnote>
  <w:footnote w:id="14">
    <w:p w14:paraId="3EB7B8BF" w14:textId="77777777" w:rsidR="00C86EA5" w:rsidRPr="00CC42A3" w:rsidRDefault="00C86EA5" w:rsidP="00445A1B">
      <w:pPr>
        <w:pStyle w:val="FootnoteText"/>
        <w:tabs>
          <w:tab w:val="left" w:pos="720"/>
        </w:tabs>
        <w:ind w:left="720" w:hanging="720"/>
      </w:pPr>
      <w:r w:rsidRPr="00CC42A3">
        <w:rPr>
          <w:rStyle w:val="FootnoteReference"/>
        </w:rPr>
        <w:footnoteRef/>
      </w:r>
      <w:r w:rsidRPr="00CC42A3">
        <w:t xml:space="preserve"> </w:t>
      </w:r>
      <w:r w:rsidRPr="00CC42A3">
        <w:tab/>
      </w:r>
      <w:r w:rsidRPr="00CC42A3">
        <w:rPr>
          <w:u w:val="single"/>
        </w:rPr>
        <w:t>See</w:t>
      </w:r>
      <w:r w:rsidRPr="00CC42A3">
        <w:t xml:space="preserve"> </w:t>
      </w:r>
      <w:r w:rsidRPr="00CC42A3">
        <w:rPr>
          <w:u w:val="single"/>
        </w:rPr>
        <w:t>Report of the Senate Committee on Banking, Housing, and Urban Affairs to Accompany S. 3850</w:t>
      </w:r>
      <w:r w:rsidRPr="00CC42A3">
        <w:t>, Rating Agency Act, S. Report No. 109-326, 109</w:t>
      </w:r>
      <w:r w:rsidRPr="00CC42A3">
        <w:rPr>
          <w:vertAlign w:val="superscript"/>
        </w:rPr>
        <w:t>th</w:t>
      </w:r>
      <w:r w:rsidRPr="00CC42A3">
        <w:t xml:space="preserve"> Cong., 2d Sess. (Sept. 6, 2006).</w:t>
      </w:r>
    </w:p>
  </w:footnote>
  <w:footnote w:id="15">
    <w:p w14:paraId="29375858" w14:textId="435D38D3" w:rsidR="0034210F" w:rsidRDefault="0034210F" w:rsidP="00445A1B">
      <w:pPr>
        <w:pStyle w:val="FootnoteText"/>
      </w:pPr>
      <w:r>
        <w:rPr>
          <w:rStyle w:val="FootnoteReference"/>
        </w:rPr>
        <w:footnoteRef/>
      </w:r>
      <w:r>
        <w:t xml:space="preserve"> </w:t>
      </w:r>
      <w:r>
        <w:tab/>
        <w:t>Release No. 34-72936</w:t>
      </w:r>
      <w:r w:rsidR="0041702B">
        <w:t xml:space="preserve"> </w:t>
      </w:r>
      <w:r>
        <w:t>(Aug. 27, 2014), 79 FR 55078</w:t>
      </w:r>
      <w:r w:rsidR="0041702B">
        <w:t>, 55256</w:t>
      </w:r>
      <w:r>
        <w:t xml:space="preserve"> (Sept. 15, 2014).  </w:t>
      </w:r>
    </w:p>
  </w:footnote>
  <w:footnote w:id="16">
    <w:p w14:paraId="0538EAFA" w14:textId="67A52955" w:rsidR="002E0D2E" w:rsidRPr="002E0D2E" w:rsidRDefault="002E0D2E">
      <w:pPr>
        <w:pStyle w:val="FootnoteText"/>
      </w:pPr>
      <w:r>
        <w:rPr>
          <w:rStyle w:val="FootnoteReference"/>
        </w:rPr>
        <w:footnoteRef/>
      </w:r>
      <w:r>
        <w:t xml:space="preserve"> </w:t>
      </w:r>
      <w:r>
        <w:tab/>
      </w:r>
      <w:r>
        <w:rPr>
          <w:u w:val="single"/>
        </w:rPr>
        <w:t>See</w:t>
      </w:r>
      <w:r w:rsidRPr="009222DF">
        <w:t xml:space="preserve"> </w:t>
      </w:r>
      <w:r w:rsidR="007B77DE">
        <w:t>85</w:t>
      </w:r>
      <w:r>
        <w:t xml:space="preserve"> FR </w:t>
      </w:r>
      <w:r w:rsidR="001A4570">
        <w:t>4433</w:t>
      </w:r>
      <w:r w:rsidR="007B77DE">
        <w:t>7</w:t>
      </w:r>
      <w:r>
        <w:t xml:space="preserve"> (</w:t>
      </w:r>
      <w:r w:rsidR="007B77DE">
        <w:t>July 22, 2020</w:t>
      </w:r>
      <w:r>
        <w:t>).</w:t>
      </w:r>
    </w:p>
  </w:footnote>
  <w:footnote w:id="17">
    <w:p w14:paraId="78DCC2EE" w14:textId="72BA7CED" w:rsidR="00072B6D" w:rsidRDefault="00072B6D">
      <w:pPr>
        <w:pStyle w:val="FootnoteText"/>
      </w:pPr>
      <w:r>
        <w:rPr>
          <w:rStyle w:val="FootnoteReference"/>
        </w:rPr>
        <w:footnoteRef/>
      </w:r>
      <w:r>
        <w:t xml:space="preserve"> </w:t>
      </w:r>
      <w:r>
        <w:tab/>
        <w:t>275 hours x 9 respondents = 2,475 hours.</w:t>
      </w:r>
    </w:p>
  </w:footnote>
  <w:footnote w:id="18">
    <w:p w14:paraId="6EF46B82" w14:textId="3AADBEC0" w:rsidR="00445A1B" w:rsidRPr="00CC42A3" w:rsidRDefault="00445A1B" w:rsidP="0040190E">
      <w:pPr>
        <w:pStyle w:val="FootnoteText"/>
      </w:pPr>
      <w:r w:rsidRPr="00CC42A3">
        <w:rPr>
          <w:rStyle w:val="FootnoteReference"/>
        </w:rPr>
        <w:footnoteRef/>
      </w:r>
      <w:r w:rsidRPr="00CC42A3">
        <w:t xml:space="preserve"> </w:t>
      </w:r>
      <w:r w:rsidRPr="00CC42A3">
        <w:tab/>
        <w:t>$400 per hour x 40 hours = $16,000.</w:t>
      </w:r>
    </w:p>
  </w:footnote>
  <w:footnote w:id="19">
    <w:p w14:paraId="0FABC3B2" w14:textId="69F9A900" w:rsidR="002879A5" w:rsidRDefault="002879A5">
      <w:pPr>
        <w:pStyle w:val="FootnoteText"/>
      </w:pPr>
      <w:r>
        <w:rPr>
          <w:rStyle w:val="FootnoteReference"/>
        </w:rPr>
        <w:footnoteRef/>
      </w:r>
      <w:r>
        <w:t xml:space="preserve"> </w:t>
      </w:r>
      <w:r>
        <w:tab/>
        <w:t xml:space="preserve">Release No. 34-55857 (June 5, 2007), </w:t>
      </w:r>
      <w:r w:rsidRPr="005264D5">
        <w:t>72 FR 33564 (June 18, 2007).</w:t>
      </w:r>
    </w:p>
  </w:footnote>
  <w:footnote w:id="20">
    <w:p w14:paraId="61D952C7" w14:textId="77777777" w:rsidR="00326FBA" w:rsidRDefault="00326FBA" w:rsidP="00326FBA">
      <w:pPr>
        <w:pStyle w:val="FootnoteText"/>
      </w:pPr>
      <w:r>
        <w:rPr>
          <w:rStyle w:val="FootnoteReference"/>
        </w:rPr>
        <w:footnoteRef/>
      </w:r>
      <w:r>
        <w:t xml:space="preserve"> </w:t>
      </w:r>
      <w:r>
        <w:tab/>
        <w:t xml:space="preserve">Release No. 34-72936 (Aug. 27, 2014), 79 FR 55078, 55235 (Sept. 15,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D778" w14:textId="6EA3874C" w:rsidR="004B3F39" w:rsidRPr="004B3F39" w:rsidRDefault="004B3F39" w:rsidP="004B3F39">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457546"/>
    <w:multiLevelType w:val="hybridMultilevel"/>
    <w:tmpl w:val="9530C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3"/>
  </w:num>
  <w:num w:numId="4">
    <w:abstractNumId w:val="0"/>
  </w:num>
  <w:num w:numId="5">
    <w:abstractNumId w:val="5"/>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41"/>
    <w:rsid w:val="0000618E"/>
    <w:rsid w:val="000139A2"/>
    <w:rsid w:val="0002685F"/>
    <w:rsid w:val="0003118B"/>
    <w:rsid w:val="00036933"/>
    <w:rsid w:val="00036DF7"/>
    <w:rsid w:val="000476DD"/>
    <w:rsid w:val="00055029"/>
    <w:rsid w:val="00070B54"/>
    <w:rsid w:val="00071BC4"/>
    <w:rsid w:val="00072B6D"/>
    <w:rsid w:val="00075C7E"/>
    <w:rsid w:val="00082D73"/>
    <w:rsid w:val="00087960"/>
    <w:rsid w:val="000B64A7"/>
    <w:rsid w:val="000C101C"/>
    <w:rsid w:val="000C5B13"/>
    <w:rsid w:val="000E106B"/>
    <w:rsid w:val="000E131D"/>
    <w:rsid w:val="000E4CF6"/>
    <w:rsid w:val="000E704D"/>
    <w:rsid w:val="000F5330"/>
    <w:rsid w:val="000F54FD"/>
    <w:rsid w:val="000F61DC"/>
    <w:rsid w:val="0011031F"/>
    <w:rsid w:val="00111283"/>
    <w:rsid w:val="00114221"/>
    <w:rsid w:val="001258EB"/>
    <w:rsid w:val="00151D00"/>
    <w:rsid w:val="001541C2"/>
    <w:rsid w:val="00164555"/>
    <w:rsid w:val="00166F00"/>
    <w:rsid w:val="00167EFD"/>
    <w:rsid w:val="00172439"/>
    <w:rsid w:val="00176941"/>
    <w:rsid w:val="001800B2"/>
    <w:rsid w:val="001831AB"/>
    <w:rsid w:val="00185607"/>
    <w:rsid w:val="001A4570"/>
    <w:rsid w:val="001C67FD"/>
    <w:rsid w:val="001D29C9"/>
    <w:rsid w:val="001D3E7A"/>
    <w:rsid w:val="001F0047"/>
    <w:rsid w:val="001F5164"/>
    <w:rsid w:val="00200FDB"/>
    <w:rsid w:val="00202EDB"/>
    <w:rsid w:val="00204164"/>
    <w:rsid w:val="002105E9"/>
    <w:rsid w:val="00210D48"/>
    <w:rsid w:val="002164A0"/>
    <w:rsid w:val="002204B6"/>
    <w:rsid w:val="00222BFB"/>
    <w:rsid w:val="00245140"/>
    <w:rsid w:val="002504AF"/>
    <w:rsid w:val="00250B34"/>
    <w:rsid w:val="0025498D"/>
    <w:rsid w:val="00267157"/>
    <w:rsid w:val="00271C24"/>
    <w:rsid w:val="002767C9"/>
    <w:rsid w:val="002867C9"/>
    <w:rsid w:val="002879A5"/>
    <w:rsid w:val="0029281C"/>
    <w:rsid w:val="002A2D93"/>
    <w:rsid w:val="002C21FB"/>
    <w:rsid w:val="002D6C79"/>
    <w:rsid w:val="002E0B2B"/>
    <w:rsid w:val="002E0D2E"/>
    <w:rsid w:val="002F53DD"/>
    <w:rsid w:val="003108EF"/>
    <w:rsid w:val="00314A77"/>
    <w:rsid w:val="00326FBA"/>
    <w:rsid w:val="00333049"/>
    <w:rsid w:val="0033370E"/>
    <w:rsid w:val="00340EBC"/>
    <w:rsid w:val="00342007"/>
    <w:rsid w:val="0034210F"/>
    <w:rsid w:val="003429FC"/>
    <w:rsid w:val="00344A07"/>
    <w:rsid w:val="003520B0"/>
    <w:rsid w:val="00353748"/>
    <w:rsid w:val="003549D2"/>
    <w:rsid w:val="00360104"/>
    <w:rsid w:val="003656A5"/>
    <w:rsid w:val="00366B81"/>
    <w:rsid w:val="00367B67"/>
    <w:rsid w:val="00375467"/>
    <w:rsid w:val="00382BEB"/>
    <w:rsid w:val="00385F82"/>
    <w:rsid w:val="0039111C"/>
    <w:rsid w:val="003929D7"/>
    <w:rsid w:val="00395F42"/>
    <w:rsid w:val="003A27D1"/>
    <w:rsid w:val="003A69C5"/>
    <w:rsid w:val="003E16D3"/>
    <w:rsid w:val="003E34BE"/>
    <w:rsid w:val="003E3514"/>
    <w:rsid w:val="003E46F5"/>
    <w:rsid w:val="003E5A98"/>
    <w:rsid w:val="003E71AB"/>
    <w:rsid w:val="003F1B20"/>
    <w:rsid w:val="003F3762"/>
    <w:rsid w:val="003F569A"/>
    <w:rsid w:val="0040190E"/>
    <w:rsid w:val="00401E47"/>
    <w:rsid w:val="00410272"/>
    <w:rsid w:val="00415219"/>
    <w:rsid w:val="0041702B"/>
    <w:rsid w:val="00424701"/>
    <w:rsid w:val="00432044"/>
    <w:rsid w:val="00432611"/>
    <w:rsid w:val="00433BC1"/>
    <w:rsid w:val="00440A5B"/>
    <w:rsid w:val="00442678"/>
    <w:rsid w:val="004429E1"/>
    <w:rsid w:val="00443A89"/>
    <w:rsid w:val="004452CE"/>
    <w:rsid w:val="00445A1B"/>
    <w:rsid w:val="00452237"/>
    <w:rsid w:val="00452848"/>
    <w:rsid w:val="0046655C"/>
    <w:rsid w:val="00472375"/>
    <w:rsid w:val="00481099"/>
    <w:rsid w:val="00481C14"/>
    <w:rsid w:val="0048711F"/>
    <w:rsid w:val="004A7F8F"/>
    <w:rsid w:val="004B3F39"/>
    <w:rsid w:val="004C50AD"/>
    <w:rsid w:val="004C733D"/>
    <w:rsid w:val="004D3E08"/>
    <w:rsid w:val="004D425F"/>
    <w:rsid w:val="004E36C8"/>
    <w:rsid w:val="004E4EED"/>
    <w:rsid w:val="004F0B37"/>
    <w:rsid w:val="004F18B6"/>
    <w:rsid w:val="004F32DE"/>
    <w:rsid w:val="0050422C"/>
    <w:rsid w:val="00506A4F"/>
    <w:rsid w:val="00511466"/>
    <w:rsid w:val="00515889"/>
    <w:rsid w:val="00533FF4"/>
    <w:rsid w:val="00534968"/>
    <w:rsid w:val="005377A9"/>
    <w:rsid w:val="00541178"/>
    <w:rsid w:val="00541A42"/>
    <w:rsid w:val="0054266D"/>
    <w:rsid w:val="00546831"/>
    <w:rsid w:val="00556AB1"/>
    <w:rsid w:val="00556FDB"/>
    <w:rsid w:val="00560531"/>
    <w:rsid w:val="0056092B"/>
    <w:rsid w:val="00561F4E"/>
    <w:rsid w:val="00576C6A"/>
    <w:rsid w:val="00577AA1"/>
    <w:rsid w:val="0058259F"/>
    <w:rsid w:val="0058473F"/>
    <w:rsid w:val="00594001"/>
    <w:rsid w:val="005B5663"/>
    <w:rsid w:val="005C3943"/>
    <w:rsid w:val="005C4D0E"/>
    <w:rsid w:val="005C7DA3"/>
    <w:rsid w:val="005D27E9"/>
    <w:rsid w:val="005D4825"/>
    <w:rsid w:val="005D7A7D"/>
    <w:rsid w:val="005E4D2E"/>
    <w:rsid w:val="005F2C11"/>
    <w:rsid w:val="005F55F4"/>
    <w:rsid w:val="005F583D"/>
    <w:rsid w:val="005F6AEF"/>
    <w:rsid w:val="00604F45"/>
    <w:rsid w:val="006152A0"/>
    <w:rsid w:val="00616D30"/>
    <w:rsid w:val="006240F3"/>
    <w:rsid w:val="00626572"/>
    <w:rsid w:val="0062665B"/>
    <w:rsid w:val="00631225"/>
    <w:rsid w:val="0064082A"/>
    <w:rsid w:val="00642871"/>
    <w:rsid w:val="00647B79"/>
    <w:rsid w:val="00654AC8"/>
    <w:rsid w:val="00660921"/>
    <w:rsid w:val="006629D1"/>
    <w:rsid w:val="006664BE"/>
    <w:rsid w:val="00681ED2"/>
    <w:rsid w:val="00693EDA"/>
    <w:rsid w:val="006A2E2C"/>
    <w:rsid w:val="006C3FBC"/>
    <w:rsid w:val="006D4E3D"/>
    <w:rsid w:val="006F78A7"/>
    <w:rsid w:val="00700951"/>
    <w:rsid w:val="007153BE"/>
    <w:rsid w:val="00715A83"/>
    <w:rsid w:val="00720DB2"/>
    <w:rsid w:val="00722306"/>
    <w:rsid w:val="007269B7"/>
    <w:rsid w:val="007275A7"/>
    <w:rsid w:val="00732596"/>
    <w:rsid w:val="00735BBF"/>
    <w:rsid w:val="00743530"/>
    <w:rsid w:val="00752224"/>
    <w:rsid w:val="0075679B"/>
    <w:rsid w:val="00757E05"/>
    <w:rsid w:val="007621A7"/>
    <w:rsid w:val="0076768E"/>
    <w:rsid w:val="0077452A"/>
    <w:rsid w:val="00777AB3"/>
    <w:rsid w:val="007832E2"/>
    <w:rsid w:val="00791DB0"/>
    <w:rsid w:val="007954B1"/>
    <w:rsid w:val="007A2ADD"/>
    <w:rsid w:val="007A2DFD"/>
    <w:rsid w:val="007A6381"/>
    <w:rsid w:val="007A67F8"/>
    <w:rsid w:val="007B2524"/>
    <w:rsid w:val="007B6645"/>
    <w:rsid w:val="007B77DE"/>
    <w:rsid w:val="007C2262"/>
    <w:rsid w:val="007C2B84"/>
    <w:rsid w:val="007C35F2"/>
    <w:rsid w:val="007C71E4"/>
    <w:rsid w:val="007C7BB1"/>
    <w:rsid w:val="007D1032"/>
    <w:rsid w:val="007D1773"/>
    <w:rsid w:val="007D381A"/>
    <w:rsid w:val="007E4CAC"/>
    <w:rsid w:val="007E6333"/>
    <w:rsid w:val="007E7735"/>
    <w:rsid w:val="007F14C1"/>
    <w:rsid w:val="008049D9"/>
    <w:rsid w:val="00805E60"/>
    <w:rsid w:val="00807DAA"/>
    <w:rsid w:val="0081208D"/>
    <w:rsid w:val="00814FA8"/>
    <w:rsid w:val="00815530"/>
    <w:rsid w:val="008213D6"/>
    <w:rsid w:val="008231A3"/>
    <w:rsid w:val="00824B92"/>
    <w:rsid w:val="00831AA5"/>
    <w:rsid w:val="008365F5"/>
    <w:rsid w:val="008406B6"/>
    <w:rsid w:val="0084699D"/>
    <w:rsid w:val="008479B3"/>
    <w:rsid w:val="00850692"/>
    <w:rsid w:val="008547E7"/>
    <w:rsid w:val="0085493E"/>
    <w:rsid w:val="008554A7"/>
    <w:rsid w:val="00871205"/>
    <w:rsid w:val="00873A49"/>
    <w:rsid w:val="00874820"/>
    <w:rsid w:val="00880805"/>
    <w:rsid w:val="00881627"/>
    <w:rsid w:val="00886D3B"/>
    <w:rsid w:val="008901F2"/>
    <w:rsid w:val="008951F9"/>
    <w:rsid w:val="008A6C0E"/>
    <w:rsid w:val="008B09E4"/>
    <w:rsid w:val="008B3854"/>
    <w:rsid w:val="008B7A65"/>
    <w:rsid w:val="008C62C5"/>
    <w:rsid w:val="008D0BCA"/>
    <w:rsid w:val="008D0FB0"/>
    <w:rsid w:val="008E5D79"/>
    <w:rsid w:val="008F0A1D"/>
    <w:rsid w:val="008F1370"/>
    <w:rsid w:val="008F1E4E"/>
    <w:rsid w:val="008F25D0"/>
    <w:rsid w:val="008F3CB5"/>
    <w:rsid w:val="008F3DB0"/>
    <w:rsid w:val="008F44E7"/>
    <w:rsid w:val="0090795D"/>
    <w:rsid w:val="00914D09"/>
    <w:rsid w:val="00917FCD"/>
    <w:rsid w:val="00921608"/>
    <w:rsid w:val="009222DF"/>
    <w:rsid w:val="009231B8"/>
    <w:rsid w:val="0093305E"/>
    <w:rsid w:val="0094609F"/>
    <w:rsid w:val="00951A4E"/>
    <w:rsid w:val="00953124"/>
    <w:rsid w:val="0095681B"/>
    <w:rsid w:val="00963C0D"/>
    <w:rsid w:val="009646D3"/>
    <w:rsid w:val="009763E8"/>
    <w:rsid w:val="00976EFA"/>
    <w:rsid w:val="009803DB"/>
    <w:rsid w:val="00983585"/>
    <w:rsid w:val="009837C2"/>
    <w:rsid w:val="00984323"/>
    <w:rsid w:val="00986000"/>
    <w:rsid w:val="00986D64"/>
    <w:rsid w:val="009879D5"/>
    <w:rsid w:val="00991CDE"/>
    <w:rsid w:val="00997D80"/>
    <w:rsid w:val="009A33B2"/>
    <w:rsid w:val="009B10A9"/>
    <w:rsid w:val="009B4A60"/>
    <w:rsid w:val="009C7F7F"/>
    <w:rsid w:val="009E3CBB"/>
    <w:rsid w:val="009E493C"/>
    <w:rsid w:val="00A0480B"/>
    <w:rsid w:val="00A07200"/>
    <w:rsid w:val="00A10447"/>
    <w:rsid w:val="00A10BB6"/>
    <w:rsid w:val="00A13B41"/>
    <w:rsid w:val="00A145F6"/>
    <w:rsid w:val="00A208A3"/>
    <w:rsid w:val="00A237C1"/>
    <w:rsid w:val="00A334DB"/>
    <w:rsid w:val="00A36859"/>
    <w:rsid w:val="00A41098"/>
    <w:rsid w:val="00A5481C"/>
    <w:rsid w:val="00A55628"/>
    <w:rsid w:val="00A57D61"/>
    <w:rsid w:val="00A70FD4"/>
    <w:rsid w:val="00A752B9"/>
    <w:rsid w:val="00A77B85"/>
    <w:rsid w:val="00A8199B"/>
    <w:rsid w:val="00AA5DB0"/>
    <w:rsid w:val="00AA6121"/>
    <w:rsid w:val="00AB49B8"/>
    <w:rsid w:val="00AC196E"/>
    <w:rsid w:val="00AC6847"/>
    <w:rsid w:val="00AD19FD"/>
    <w:rsid w:val="00AD4C34"/>
    <w:rsid w:val="00AE2CD8"/>
    <w:rsid w:val="00B004C4"/>
    <w:rsid w:val="00B01046"/>
    <w:rsid w:val="00B05C32"/>
    <w:rsid w:val="00B111F8"/>
    <w:rsid w:val="00B13CDA"/>
    <w:rsid w:val="00B25B2E"/>
    <w:rsid w:val="00B30FE6"/>
    <w:rsid w:val="00B336A0"/>
    <w:rsid w:val="00B4068E"/>
    <w:rsid w:val="00B421EA"/>
    <w:rsid w:val="00B43F04"/>
    <w:rsid w:val="00B503E3"/>
    <w:rsid w:val="00B52DE8"/>
    <w:rsid w:val="00B55BEC"/>
    <w:rsid w:val="00B56B04"/>
    <w:rsid w:val="00B602E1"/>
    <w:rsid w:val="00B65245"/>
    <w:rsid w:val="00B71B11"/>
    <w:rsid w:val="00B73663"/>
    <w:rsid w:val="00B77F35"/>
    <w:rsid w:val="00B80E21"/>
    <w:rsid w:val="00B846B9"/>
    <w:rsid w:val="00B85ED6"/>
    <w:rsid w:val="00B86537"/>
    <w:rsid w:val="00B86B23"/>
    <w:rsid w:val="00B90A7B"/>
    <w:rsid w:val="00B957FB"/>
    <w:rsid w:val="00B973B7"/>
    <w:rsid w:val="00BA2E85"/>
    <w:rsid w:val="00BA52AF"/>
    <w:rsid w:val="00BA7CDF"/>
    <w:rsid w:val="00BB211E"/>
    <w:rsid w:val="00BB675B"/>
    <w:rsid w:val="00BB7D43"/>
    <w:rsid w:val="00BC5363"/>
    <w:rsid w:val="00BD2A15"/>
    <w:rsid w:val="00BE2F68"/>
    <w:rsid w:val="00C07DBC"/>
    <w:rsid w:val="00C10BEE"/>
    <w:rsid w:val="00C11FD6"/>
    <w:rsid w:val="00C150C3"/>
    <w:rsid w:val="00C1597E"/>
    <w:rsid w:val="00C27048"/>
    <w:rsid w:val="00C40A8D"/>
    <w:rsid w:val="00C40AF0"/>
    <w:rsid w:val="00C45537"/>
    <w:rsid w:val="00C51617"/>
    <w:rsid w:val="00C51C3A"/>
    <w:rsid w:val="00C51DE0"/>
    <w:rsid w:val="00C52CC2"/>
    <w:rsid w:val="00C5359A"/>
    <w:rsid w:val="00C55648"/>
    <w:rsid w:val="00C63D2D"/>
    <w:rsid w:val="00C75A09"/>
    <w:rsid w:val="00C80628"/>
    <w:rsid w:val="00C81711"/>
    <w:rsid w:val="00C81C69"/>
    <w:rsid w:val="00C82F28"/>
    <w:rsid w:val="00C83B4C"/>
    <w:rsid w:val="00C85091"/>
    <w:rsid w:val="00C86B96"/>
    <w:rsid w:val="00C86EA5"/>
    <w:rsid w:val="00C95D88"/>
    <w:rsid w:val="00CB34ED"/>
    <w:rsid w:val="00CB5863"/>
    <w:rsid w:val="00CC3F43"/>
    <w:rsid w:val="00CC42A3"/>
    <w:rsid w:val="00CC530D"/>
    <w:rsid w:val="00CD65D5"/>
    <w:rsid w:val="00CD6BB6"/>
    <w:rsid w:val="00CD7934"/>
    <w:rsid w:val="00CE1293"/>
    <w:rsid w:val="00CE21DE"/>
    <w:rsid w:val="00CE2A98"/>
    <w:rsid w:val="00CF0A89"/>
    <w:rsid w:val="00D01008"/>
    <w:rsid w:val="00D01DDB"/>
    <w:rsid w:val="00D04F86"/>
    <w:rsid w:val="00D141C9"/>
    <w:rsid w:val="00D310D6"/>
    <w:rsid w:val="00D3117E"/>
    <w:rsid w:val="00D3195B"/>
    <w:rsid w:val="00D32FBD"/>
    <w:rsid w:val="00D356EA"/>
    <w:rsid w:val="00D52626"/>
    <w:rsid w:val="00D54B91"/>
    <w:rsid w:val="00D601C5"/>
    <w:rsid w:val="00D6321B"/>
    <w:rsid w:val="00D637E5"/>
    <w:rsid w:val="00D70900"/>
    <w:rsid w:val="00D71E06"/>
    <w:rsid w:val="00D72287"/>
    <w:rsid w:val="00D736D8"/>
    <w:rsid w:val="00D82025"/>
    <w:rsid w:val="00D82A44"/>
    <w:rsid w:val="00D90A2D"/>
    <w:rsid w:val="00D90D61"/>
    <w:rsid w:val="00D924C1"/>
    <w:rsid w:val="00D97620"/>
    <w:rsid w:val="00DA0F45"/>
    <w:rsid w:val="00DA746B"/>
    <w:rsid w:val="00DB485B"/>
    <w:rsid w:val="00DC2CEE"/>
    <w:rsid w:val="00DC3D4D"/>
    <w:rsid w:val="00DC3E8C"/>
    <w:rsid w:val="00DC5AE3"/>
    <w:rsid w:val="00DD5D36"/>
    <w:rsid w:val="00DE1384"/>
    <w:rsid w:val="00DE17C3"/>
    <w:rsid w:val="00DE1F8B"/>
    <w:rsid w:val="00DE2465"/>
    <w:rsid w:val="00DE2834"/>
    <w:rsid w:val="00DE5F9D"/>
    <w:rsid w:val="00DF2B3F"/>
    <w:rsid w:val="00DF3A97"/>
    <w:rsid w:val="00DF4DE2"/>
    <w:rsid w:val="00DF66AB"/>
    <w:rsid w:val="00E053A5"/>
    <w:rsid w:val="00E1393A"/>
    <w:rsid w:val="00E15244"/>
    <w:rsid w:val="00E21B7E"/>
    <w:rsid w:val="00E3680D"/>
    <w:rsid w:val="00E408A8"/>
    <w:rsid w:val="00E43FB6"/>
    <w:rsid w:val="00E451A4"/>
    <w:rsid w:val="00E5253A"/>
    <w:rsid w:val="00E53D34"/>
    <w:rsid w:val="00E77A33"/>
    <w:rsid w:val="00E814D7"/>
    <w:rsid w:val="00E9449E"/>
    <w:rsid w:val="00E94C96"/>
    <w:rsid w:val="00E96E9B"/>
    <w:rsid w:val="00EA29A2"/>
    <w:rsid w:val="00EB008D"/>
    <w:rsid w:val="00EB26D0"/>
    <w:rsid w:val="00EB59A6"/>
    <w:rsid w:val="00EC5A14"/>
    <w:rsid w:val="00EC7980"/>
    <w:rsid w:val="00EC7FBD"/>
    <w:rsid w:val="00ED3F69"/>
    <w:rsid w:val="00ED5814"/>
    <w:rsid w:val="00ED65BB"/>
    <w:rsid w:val="00EE3B13"/>
    <w:rsid w:val="00EE6936"/>
    <w:rsid w:val="00EF149B"/>
    <w:rsid w:val="00EF2AB5"/>
    <w:rsid w:val="00F04BC0"/>
    <w:rsid w:val="00F253CD"/>
    <w:rsid w:val="00F30BD2"/>
    <w:rsid w:val="00F35DA7"/>
    <w:rsid w:val="00F45F75"/>
    <w:rsid w:val="00F46146"/>
    <w:rsid w:val="00F51E4D"/>
    <w:rsid w:val="00F5486F"/>
    <w:rsid w:val="00F56DE6"/>
    <w:rsid w:val="00F63E37"/>
    <w:rsid w:val="00F66F81"/>
    <w:rsid w:val="00F676AA"/>
    <w:rsid w:val="00F715C1"/>
    <w:rsid w:val="00F71E68"/>
    <w:rsid w:val="00F73C75"/>
    <w:rsid w:val="00F73ED1"/>
    <w:rsid w:val="00F755B5"/>
    <w:rsid w:val="00F8146C"/>
    <w:rsid w:val="00F86C12"/>
    <w:rsid w:val="00F87063"/>
    <w:rsid w:val="00F92599"/>
    <w:rsid w:val="00F9322F"/>
    <w:rsid w:val="00F97012"/>
    <w:rsid w:val="00F97EC8"/>
    <w:rsid w:val="00FA67F2"/>
    <w:rsid w:val="00FB1888"/>
    <w:rsid w:val="00FB1A9E"/>
    <w:rsid w:val="00FB5331"/>
    <w:rsid w:val="00FC14C5"/>
    <w:rsid w:val="00FC2694"/>
    <w:rsid w:val="00FE5075"/>
    <w:rsid w:val="00FF231F"/>
    <w:rsid w:val="00FF5B6C"/>
    <w:rsid w:val="00FF5B9E"/>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153ADA"/>
  <w15:docId w15:val="{3025EDF1-7D7D-41A4-91BF-FED0E5F2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uiPriority w:val="99"/>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nhideWhenUsed/>
    <w:rsid w:val="007C35F2"/>
    <w:rPr>
      <w:sz w:val="16"/>
      <w:szCs w:val="16"/>
    </w:rPr>
  </w:style>
  <w:style w:type="paragraph" w:styleId="CommentText">
    <w:name w:val="annotation text"/>
    <w:basedOn w:val="Normal"/>
    <w:link w:val="CommentTextChar"/>
    <w:unhideWhenUsed/>
    <w:rsid w:val="007C35F2"/>
    <w:rPr>
      <w:sz w:val="20"/>
      <w:szCs w:val="20"/>
    </w:rPr>
  </w:style>
  <w:style w:type="character" w:customStyle="1" w:styleId="CommentTextChar">
    <w:name w:val="Comment Text Char"/>
    <w:basedOn w:val="DefaultParagraphFont"/>
    <w:link w:val="CommentText"/>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9024">
      <w:bodyDiv w:val="1"/>
      <w:marLeft w:val="0"/>
      <w:marRight w:val="0"/>
      <w:marTop w:val="0"/>
      <w:marBottom w:val="0"/>
      <w:divBdr>
        <w:top w:val="none" w:sz="0" w:space="0" w:color="auto"/>
        <w:left w:val="none" w:sz="0" w:space="0" w:color="auto"/>
        <w:bottom w:val="none" w:sz="0" w:space="0" w:color="auto"/>
        <w:right w:val="none" w:sz="0" w:space="0" w:color="auto"/>
      </w:divBdr>
    </w:div>
    <w:div w:id="1539777099">
      <w:bodyDiv w:val="1"/>
      <w:marLeft w:val="0"/>
      <w:marRight w:val="0"/>
      <w:marTop w:val="0"/>
      <w:marBottom w:val="0"/>
      <w:divBdr>
        <w:top w:val="none" w:sz="0" w:space="0" w:color="auto"/>
        <w:left w:val="none" w:sz="0" w:space="0" w:color="auto"/>
        <w:bottom w:val="none" w:sz="0" w:space="0" w:color="auto"/>
        <w:right w:val="none" w:sz="0" w:space="0" w:color="auto"/>
      </w:divBdr>
    </w:div>
    <w:div w:id="20339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ec.gov/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CCB7-E09E-493D-A9A9-D702599F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E6A76F-5155-46C3-A3A4-E38BEE675109}">
  <ds:schemaRefs>
    <ds:schemaRef ds:uri="http://schemas.microsoft.com/sharepoint/v3/contenttype/forms"/>
  </ds:schemaRefs>
</ds:datastoreItem>
</file>

<file path=customXml/itemProps3.xml><?xml version="1.0" encoding="utf-8"?>
<ds:datastoreItem xmlns:ds="http://schemas.openxmlformats.org/officeDocument/2006/customXml" ds:itemID="{1F7C55A6-24F0-46CF-BF1C-3AB09AB8C7CD}">
  <ds:schemaRefs>
    <ds:schemaRef ds:uri="http://schemas.microsoft.com/sharepoint/events"/>
  </ds:schemaRefs>
</ds:datastoreItem>
</file>

<file path=customXml/itemProps4.xml><?xml version="1.0" encoding="utf-8"?>
<ds:datastoreItem xmlns:ds="http://schemas.openxmlformats.org/officeDocument/2006/customXml" ds:itemID="{F26382D6-95E6-4EAD-AFB8-73808C47FD27}">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5.xml><?xml version="1.0" encoding="utf-8"?>
<ds:datastoreItem xmlns:ds="http://schemas.openxmlformats.org/officeDocument/2006/customXml" ds:itemID="{0FACC5A1-33B7-4F39-8BEB-164A6BC3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14732</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bhaml</dc:creator>
  <cp:lastModifiedBy>Clague, Leah</cp:lastModifiedBy>
  <cp:revision>8</cp:revision>
  <cp:lastPrinted>2017-09-18T15:51:00Z</cp:lastPrinted>
  <dcterms:created xsi:type="dcterms:W3CDTF">2020-09-09T14:57:00Z</dcterms:created>
  <dcterms:modified xsi:type="dcterms:W3CDTF">2020-09-30T15:24:00Z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y fmtid="{D5CDD505-2E9C-101B-9397-08002B2CF9AE}" pid="6" name="ContentTypeId">
    <vt:lpwstr>0x0101008CE57A305FE3344E8586358791CCFB2000F6A1F1ACD4F9BD4CB5CD562D39E5E4D2</vt:lpwstr>
  </property>
  <property fmtid="{D5CDD505-2E9C-101B-9397-08002B2CF9AE}" pid="7" name="_dlc_DocIdItemGuid">
    <vt:lpwstr>77436af9-68b0-4a03-bef4-179da155fd9f</vt:lpwstr>
  </property>
  <property fmtid="{D5CDD505-2E9C-101B-9397-08002B2CF9AE}" pid="8" name="_dlc_DocId">
    <vt:lpwstr>KKE47E4U7XZ3-2108-10507</vt:lpwstr>
  </property>
  <property fmtid="{D5CDD505-2E9C-101B-9397-08002B2CF9AE}" pid="9" name="_dlc_DocIdUrl">
    <vt:lpwstr>https://sharepointapps/sites/oit_pra/pra/_layouts/DocIdRedir.aspx?ID=KKE47E4U7XZ3-2108-10507, KKE47E4U7XZ3-2108-10507</vt:lpwstr>
  </property>
  <property fmtid="{D5CDD505-2E9C-101B-9397-08002B2CF9AE}" pid="10" name="Previously Modified By">
    <vt:lpwstr/>
  </property>
  <property fmtid="{D5CDD505-2E9C-101B-9397-08002B2CF9AE}" pid="11" name="Order">
    <vt:r8>154200</vt:r8>
  </property>
  <property fmtid="{D5CDD505-2E9C-101B-9397-08002B2CF9AE}" pid="12" name="ShowRepairView">
    <vt:lpwstr/>
  </property>
  <property fmtid="{D5CDD505-2E9C-101B-9397-08002B2CF9AE}" pid="13" name="xd_ProgID">
    <vt:lpwstr/>
  </property>
  <property fmtid="{D5CDD505-2E9C-101B-9397-08002B2CF9AE}" pid="14" name="_CopySource">
    <vt:lpwstr>https://collaboration/sites/OIT/pra/ICR Documents/3235-0625-[1408974541348]/Rule 17g-1 and Form NRSO Supporting Statement (Final).docx</vt:lpwstr>
  </property>
  <property fmtid="{D5CDD505-2E9C-101B-9397-08002B2CF9AE}" pid="15" name="TemplateUrl">
    <vt:lpwstr/>
  </property>
  <property fmtid="{D5CDD505-2E9C-101B-9397-08002B2CF9AE}" pid="16" name="ShowCombineView">
    <vt:lpwstr/>
  </property>
</Properties>
</file>