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7A" w:rsidP="008E7D7A" w:rsidRDefault="00873E76">
      <w:pPr>
        <w:jc w:val="center"/>
        <w:rPr>
          <w:b/>
          <w:sz w:val="24"/>
          <w:szCs w:val="24"/>
        </w:rPr>
      </w:pPr>
      <w:r w:rsidRPr="00873E76">
        <w:rPr>
          <w:b/>
          <w:sz w:val="24"/>
          <w:szCs w:val="24"/>
        </w:rPr>
        <w:t>SUPPORTING STATEMENT</w:t>
      </w:r>
    </w:p>
    <w:p w:rsidRPr="00873E76" w:rsidR="008768DE" w:rsidP="008E7D7A" w:rsidRDefault="00873E76">
      <w:pPr>
        <w:jc w:val="center"/>
        <w:rPr>
          <w:b/>
          <w:sz w:val="24"/>
          <w:szCs w:val="24"/>
        </w:rPr>
      </w:pPr>
      <w:proofErr w:type="gramStart"/>
      <w:r w:rsidRPr="00873E76">
        <w:rPr>
          <w:b/>
          <w:sz w:val="24"/>
          <w:szCs w:val="24"/>
        </w:rPr>
        <w:t>for</w:t>
      </w:r>
      <w:proofErr w:type="gramEnd"/>
      <w:r w:rsidRPr="00873E76">
        <w:rPr>
          <w:b/>
          <w:sz w:val="24"/>
          <w:szCs w:val="24"/>
        </w:rPr>
        <w:t xml:space="preserve"> the Paperwork Reduction Act Information Collection Submission for</w:t>
      </w:r>
      <w:r w:rsidR="008E7D7A">
        <w:rPr>
          <w:b/>
          <w:sz w:val="24"/>
          <w:szCs w:val="24"/>
        </w:rPr>
        <w:t xml:space="preserve"> </w:t>
      </w:r>
      <w:r w:rsidRPr="00873E76" w:rsidR="008768DE">
        <w:rPr>
          <w:b/>
          <w:sz w:val="24"/>
          <w:szCs w:val="24"/>
        </w:rPr>
        <w:t>Rule 17g-</w:t>
      </w:r>
      <w:r w:rsidRPr="00873E76" w:rsidR="00787432">
        <w:rPr>
          <w:b/>
          <w:sz w:val="24"/>
          <w:szCs w:val="24"/>
        </w:rPr>
        <w:t>2</w:t>
      </w:r>
      <w:r w:rsidR="008E7D7A">
        <w:rPr>
          <w:sz w:val="24"/>
          <w:szCs w:val="24"/>
        </w:rPr>
        <w:t>--</w:t>
      </w:r>
      <w:bookmarkStart w:name="OLE_LINK2" w:id="0"/>
      <w:bookmarkStart w:name="OLE_LINK3" w:id="1"/>
      <w:bookmarkStart w:name="OLE_LINK4" w:id="2"/>
      <w:r w:rsidRPr="008E7D7A" w:rsidR="001706C9">
        <w:rPr>
          <w:b/>
          <w:i/>
          <w:iCs/>
          <w:sz w:val="24"/>
          <w:szCs w:val="24"/>
        </w:rPr>
        <w:t xml:space="preserve">Records to be </w:t>
      </w:r>
      <w:r w:rsidRPr="008E7D7A" w:rsidR="00E40068">
        <w:rPr>
          <w:b/>
          <w:i/>
          <w:iCs/>
          <w:sz w:val="24"/>
          <w:szCs w:val="24"/>
        </w:rPr>
        <w:t>M</w:t>
      </w:r>
      <w:r w:rsidRPr="008E7D7A" w:rsidR="001706C9">
        <w:rPr>
          <w:b/>
          <w:i/>
          <w:iCs/>
          <w:sz w:val="24"/>
          <w:szCs w:val="24"/>
        </w:rPr>
        <w:t xml:space="preserve">ade and </w:t>
      </w:r>
      <w:r w:rsidRPr="008E7D7A" w:rsidR="00E40068">
        <w:rPr>
          <w:b/>
          <w:i/>
          <w:iCs/>
          <w:sz w:val="24"/>
          <w:szCs w:val="24"/>
        </w:rPr>
        <w:t>R</w:t>
      </w:r>
      <w:r w:rsidRPr="008E7D7A" w:rsidR="001706C9">
        <w:rPr>
          <w:b/>
          <w:i/>
          <w:iCs/>
          <w:sz w:val="24"/>
          <w:szCs w:val="24"/>
        </w:rPr>
        <w:t xml:space="preserve">etained by </w:t>
      </w:r>
      <w:r w:rsidRPr="008E7D7A" w:rsidR="00E40068">
        <w:rPr>
          <w:b/>
          <w:i/>
          <w:iCs/>
          <w:sz w:val="24"/>
          <w:szCs w:val="24"/>
        </w:rPr>
        <w:t>N</w:t>
      </w:r>
      <w:r w:rsidRPr="008E7D7A" w:rsidR="001706C9">
        <w:rPr>
          <w:b/>
          <w:i/>
          <w:iCs/>
          <w:sz w:val="24"/>
          <w:szCs w:val="24"/>
        </w:rPr>
        <w:t>ational</w:t>
      </w:r>
      <w:r w:rsidRPr="008E7D7A" w:rsidR="00443C3D">
        <w:rPr>
          <w:b/>
          <w:i/>
          <w:iCs/>
          <w:sz w:val="24"/>
          <w:szCs w:val="24"/>
        </w:rPr>
        <w:t>ly</w:t>
      </w:r>
      <w:r w:rsidRPr="008E7D7A" w:rsidR="001706C9">
        <w:rPr>
          <w:b/>
          <w:i/>
          <w:iCs/>
          <w:sz w:val="24"/>
          <w:szCs w:val="24"/>
        </w:rPr>
        <w:t xml:space="preserve"> </w:t>
      </w:r>
      <w:r w:rsidRPr="008E7D7A" w:rsidR="00E40068">
        <w:rPr>
          <w:b/>
          <w:i/>
          <w:iCs/>
          <w:sz w:val="24"/>
          <w:szCs w:val="24"/>
        </w:rPr>
        <w:t>R</w:t>
      </w:r>
      <w:r w:rsidRPr="008E7D7A" w:rsidR="001706C9">
        <w:rPr>
          <w:b/>
          <w:i/>
          <w:iCs/>
          <w:sz w:val="24"/>
          <w:szCs w:val="24"/>
        </w:rPr>
        <w:t xml:space="preserve">ecognized </w:t>
      </w:r>
      <w:r w:rsidRPr="008E7D7A" w:rsidR="00E40068">
        <w:rPr>
          <w:b/>
          <w:i/>
          <w:iCs/>
          <w:sz w:val="24"/>
          <w:szCs w:val="24"/>
        </w:rPr>
        <w:t>S</w:t>
      </w:r>
      <w:r w:rsidRPr="008E7D7A" w:rsidR="001706C9">
        <w:rPr>
          <w:b/>
          <w:i/>
          <w:iCs/>
          <w:sz w:val="24"/>
          <w:szCs w:val="24"/>
        </w:rPr>
        <w:t xml:space="preserve">tatistical </w:t>
      </w:r>
      <w:r w:rsidRPr="008E7D7A" w:rsidR="00E40068">
        <w:rPr>
          <w:b/>
          <w:i/>
          <w:iCs/>
          <w:sz w:val="24"/>
          <w:szCs w:val="24"/>
        </w:rPr>
        <w:t>R</w:t>
      </w:r>
      <w:r w:rsidRPr="008E7D7A" w:rsidR="001706C9">
        <w:rPr>
          <w:b/>
          <w:i/>
          <w:iCs/>
          <w:sz w:val="24"/>
          <w:szCs w:val="24"/>
        </w:rPr>
        <w:t xml:space="preserve">ating </w:t>
      </w:r>
      <w:r w:rsidRPr="008E7D7A" w:rsidR="00E40068">
        <w:rPr>
          <w:b/>
          <w:i/>
          <w:iCs/>
          <w:sz w:val="24"/>
          <w:szCs w:val="24"/>
        </w:rPr>
        <w:t>O</w:t>
      </w:r>
      <w:r w:rsidRPr="008E7D7A" w:rsidR="001706C9">
        <w:rPr>
          <w:b/>
          <w:i/>
          <w:iCs/>
          <w:sz w:val="24"/>
          <w:szCs w:val="24"/>
        </w:rPr>
        <w:t>rganizations</w:t>
      </w:r>
    </w:p>
    <w:bookmarkEnd w:id="0"/>
    <w:bookmarkEnd w:id="1"/>
    <w:bookmarkEnd w:id="2"/>
    <w:p w:rsidR="008768DE" w:rsidP="00743D8F" w:rsidRDefault="008768DE">
      <w:pPr>
        <w:tabs>
          <w:tab w:val="center" w:pos="4680"/>
        </w:tabs>
        <w:suppressAutoHyphens/>
        <w:rPr>
          <w:sz w:val="24"/>
          <w:szCs w:val="24"/>
          <w:u w:val="single"/>
        </w:rPr>
      </w:pPr>
    </w:p>
    <w:p w:rsidR="000C788C" w:rsidP="00743D8F" w:rsidRDefault="000C788C">
      <w:pPr>
        <w:tabs>
          <w:tab w:val="center" w:pos="4680"/>
        </w:tabs>
        <w:suppressAutoHyphens/>
        <w:rPr>
          <w:sz w:val="24"/>
          <w:szCs w:val="24"/>
          <w:u w:val="single"/>
        </w:rPr>
      </w:pPr>
    </w:p>
    <w:p w:rsidRPr="002C2560" w:rsidR="008768DE" w:rsidP="00743D8F" w:rsidRDefault="008768DE">
      <w:pPr>
        <w:keepNext/>
        <w:tabs>
          <w:tab w:val="left" w:pos="-720"/>
          <w:tab w:val="left" w:pos="0"/>
        </w:tabs>
        <w:suppressAutoHyphens/>
        <w:ind w:left="720" w:hanging="720"/>
        <w:rPr>
          <w:b/>
          <w:sz w:val="24"/>
          <w:szCs w:val="24"/>
        </w:rPr>
      </w:pPr>
      <w:r w:rsidRPr="002C2560">
        <w:rPr>
          <w:b/>
          <w:sz w:val="24"/>
          <w:szCs w:val="24"/>
        </w:rPr>
        <w:t>A.</w:t>
      </w:r>
      <w:r w:rsidRPr="002C2560">
        <w:rPr>
          <w:b/>
          <w:sz w:val="24"/>
          <w:szCs w:val="24"/>
        </w:rPr>
        <w:tab/>
        <w:t>J</w:t>
      </w:r>
      <w:r w:rsidRPr="002C2560" w:rsidR="00873E76">
        <w:rPr>
          <w:b/>
          <w:sz w:val="24"/>
          <w:szCs w:val="24"/>
        </w:rPr>
        <w:t>USTIFICATION</w:t>
      </w:r>
    </w:p>
    <w:p w:rsidRPr="00743D8F" w:rsidR="008768DE" w:rsidP="00743D8F" w:rsidRDefault="008768DE">
      <w:pPr>
        <w:keepNext/>
        <w:tabs>
          <w:tab w:val="left" w:pos="-720"/>
        </w:tabs>
        <w:suppressAutoHyphens/>
        <w:rPr>
          <w:sz w:val="24"/>
          <w:szCs w:val="24"/>
        </w:rPr>
      </w:pPr>
    </w:p>
    <w:p w:rsidRPr="00956D8C" w:rsidR="008768DE" w:rsidP="00743D8F" w:rsidRDefault="008768DE">
      <w:pPr>
        <w:keepNext/>
        <w:tabs>
          <w:tab w:val="left" w:pos="-720"/>
          <w:tab w:val="left" w:pos="0"/>
        </w:tabs>
        <w:suppressAutoHyphens/>
        <w:rPr>
          <w:b/>
          <w:sz w:val="24"/>
          <w:szCs w:val="24"/>
        </w:rPr>
      </w:pPr>
      <w:r w:rsidRPr="00956D8C">
        <w:rPr>
          <w:b/>
          <w:sz w:val="24"/>
          <w:szCs w:val="24"/>
        </w:rPr>
        <w:t>1.</w:t>
      </w:r>
      <w:r w:rsidRPr="00956D8C">
        <w:rPr>
          <w:b/>
          <w:sz w:val="24"/>
          <w:szCs w:val="24"/>
        </w:rPr>
        <w:tab/>
        <w:t>Ne</w:t>
      </w:r>
      <w:r w:rsidRPr="00956D8C" w:rsidR="00873E76">
        <w:rPr>
          <w:b/>
          <w:sz w:val="24"/>
          <w:szCs w:val="24"/>
        </w:rPr>
        <w:t xml:space="preserve">cessity of </w:t>
      </w:r>
      <w:r w:rsidRPr="00956D8C">
        <w:rPr>
          <w:b/>
          <w:sz w:val="24"/>
          <w:szCs w:val="24"/>
        </w:rPr>
        <w:t>Information Collection</w:t>
      </w:r>
    </w:p>
    <w:p w:rsidRPr="00743D8F" w:rsidR="008768DE" w:rsidP="00743D8F" w:rsidRDefault="008768DE">
      <w:pPr>
        <w:keepNext/>
        <w:tabs>
          <w:tab w:val="left" w:pos="-720"/>
        </w:tabs>
        <w:suppressAutoHyphens/>
        <w:rPr>
          <w:sz w:val="24"/>
          <w:szCs w:val="24"/>
        </w:rPr>
      </w:pPr>
    </w:p>
    <w:p w:rsidRPr="00743D8F" w:rsidR="00FB2D3D" w:rsidP="00743D8F" w:rsidRDefault="008768DE">
      <w:pPr>
        <w:rPr>
          <w:sz w:val="24"/>
          <w:szCs w:val="24"/>
        </w:rPr>
      </w:pPr>
      <w:r w:rsidRPr="00743D8F">
        <w:rPr>
          <w:sz w:val="24"/>
          <w:szCs w:val="24"/>
        </w:rPr>
        <w:tab/>
        <w:t>The Credit Rating Agency Reform Act of 2006</w:t>
      </w:r>
      <w:r w:rsidRPr="00743D8F" w:rsidR="000C3833">
        <w:rPr>
          <w:rStyle w:val="FootnoteReference"/>
          <w:sz w:val="24"/>
          <w:szCs w:val="24"/>
        </w:rPr>
        <w:footnoteReference w:id="1"/>
      </w:r>
      <w:r w:rsidRPr="00743D8F">
        <w:rPr>
          <w:sz w:val="24"/>
          <w:szCs w:val="24"/>
        </w:rPr>
        <w:t xml:space="preserve"> (“</w:t>
      </w:r>
      <w:r w:rsidRPr="00743D8F" w:rsidR="009A5B42">
        <w:rPr>
          <w:sz w:val="24"/>
          <w:szCs w:val="24"/>
        </w:rPr>
        <w:t xml:space="preserve">Rating Agency </w:t>
      </w:r>
      <w:r w:rsidRPr="00743D8F">
        <w:rPr>
          <w:sz w:val="24"/>
          <w:szCs w:val="24"/>
        </w:rPr>
        <w:t xml:space="preserve">Act”), enacted on September 29, 2006, defines the term “nationally recognized statistical </w:t>
      </w:r>
      <w:r w:rsidR="00D02136">
        <w:rPr>
          <w:sz w:val="24"/>
          <w:szCs w:val="24"/>
        </w:rPr>
        <w:t>rating organization,” or “NRSRO</w:t>
      </w:r>
      <w:r w:rsidR="000B65C0">
        <w:rPr>
          <w:sz w:val="24"/>
          <w:szCs w:val="24"/>
        </w:rPr>
        <w:t>,</w:t>
      </w:r>
      <w:r w:rsidRPr="00743D8F">
        <w:rPr>
          <w:sz w:val="24"/>
          <w:szCs w:val="24"/>
        </w:rPr>
        <w:t xml:space="preserve">” </w:t>
      </w:r>
      <w:r w:rsidR="00D02136">
        <w:rPr>
          <w:sz w:val="24"/>
          <w:szCs w:val="24"/>
        </w:rPr>
        <w:t xml:space="preserve">and </w:t>
      </w:r>
      <w:r w:rsidRPr="00743D8F">
        <w:rPr>
          <w:sz w:val="24"/>
          <w:szCs w:val="24"/>
        </w:rPr>
        <w:t>provides authority for the Securities and Exchange Commission (“Commission”) to implement registration, recordkeeping, financial reporting, and oversight rules with respect to registered credit rating agencies</w:t>
      </w:r>
      <w:r w:rsidRPr="00743D8F" w:rsidR="000C3833">
        <w:rPr>
          <w:sz w:val="24"/>
          <w:szCs w:val="24"/>
        </w:rPr>
        <w:t>.</w:t>
      </w:r>
    </w:p>
    <w:p w:rsidRPr="00743D8F" w:rsidR="00044F77" w:rsidP="00743D8F" w:rsidRDefault="00044F77">
      <w:pPr>
        <w:rPr>
          <w:sz w:val="24"/>
          <w:szCs w:val="24"/>
        </w:rPr>
      </w:pPr>
    </w:p>
    <w:p w:rsidRPr="00F82A51" w:rsidR="00763A47" w:rsidP="00763A47" w:rsidRDefault="00763A47">
      <w:pPr>
        <w:rPr>
          <w:sz w:val="24"/>
          <w:szCs w:val="24"/>
        </w:rPr>
      </w:pPr>
      <w:r>
        <w:tab/>
      </w:r>
      <w:r w:rsidRPr="00F82A51" w:rsidR="00F82A51">
        <w:rPr>
          <w:sz w:val="24"/>
          <w:szCs w:val="24"/>
        </w:rPr>
        <w:t xml:space="preserve">Title IX, Subtitle C of the Dodd-Frank </w:t>
      </w:r>
      <w:r w:rsidR="000B65C0">
        <w:rPr>
          <w:sz w:val="24"/>
          <w:szCs w:val="24"/>
        </w:rPr>
        <w:t xml:space="preserve">Wall Street Reform and Consumer Protection </w:t>
      </w:r>
      <w:r w:rsidRPr="00F82A51" w:rsidR="00F82A51">
        <w:rPr>
          <w:sz w:val="24"/>
          <w:szCs w:val="24"/>
        </w:rPr>
        <w:t>Act</w:t>
      </w:r>
      <w:r w:rsidR="000B65C0">
        <w:rPr>
          <w:sz w:val="24"/>
          <w:szCs w:val="24"/>
        </w:rPr>
        <w:t xml:space="preserve"> (“Dodd-Frank Act”)</w:t>
      </w:r>
      <w:r w:rsidRPr="00F82A51" w:rsidR="00F82A51">
        <w:rPr>
          <w:sz w:val="24"/>
          <w:szCs w:val="24"/>
        </w:rPr>
        <w:t>,</w:t>
      </w:r>
      <w:r w:rsidRPr="00F82A51" w:rsidR="00F82A51">
        <w:rPr>
          <w:rStyle w:val="FootnoteReference"/>
          <w:color w:val="000000"/>
          <w:sz w:val="24"/>
          <w:szCs w:val="24"/>
        </w:rPr>
        <w:footnoteReference w:id="2"/>
      </w:r>
      <w:r w:rsidRPr="00F82A51" w:rsidR="00F82A51">
        <w:rPr>
          <w:color w:val="000000"/>
          <w:sz w:val="24"/>
          <w:szCs w:val="24"/>
        </w:rPr>
        <w:t xml:space="preserve"> </w:t>
      </w:r>
      <w:r w:rsidRPr="00F82A51" w:rsidR="00F82A51">
        <w:rPr>
          <w:sz w:val="24"/>
          <w:szCs w:val="24"/>
        </w:rPr>
        <w:t>“Improvements to the Regulation of Credit Rating Agencies,” among other things, establishes new self-executing requirements applicable to NRSROs, requires certain studies,</w:t>
      </w:r>
      <w:r w:rsidRPr="00F82A51" w:rsidR="00F82A51">
        <w:rPr>
          <w:rStyle w:val="FootnoteReference"/>
          <w:sz w:val="24"/>
          <w:szCs w:val="24"/>
        </w:rPr>
        <w:footnoteReference w:id="3"/>
      </w:r>
      <w:r w:rsidRPr="00F82A51" w:rsidR="00F82A51">
        <w:rPr>
          <w:sz w:val="24"/>
          <w:szCs w:val="24"/>
        </w:rPr>
        <w:t xml:space="preserve"> and requires that the Commission adopt rules applicable to NRSROs in a number of areas.</w:t>
      </w:r>
      <w:r w:rsidRPr="00F82A51" w:rsidR="00F82A51">
        <w:rPr>
          <w:rStyle w:val="FootnoteReference"/>
          <w:sz w:val="24"/>
          <w:szCs w:val="24"/>
        </w:rPr>
        <w:footnoteReference w:id="4"/>
      </w:r>
      <w:r w:rsidRPr="00F82A51" w:rsidR="00F82A51">
        <w:rPr>
          <w:sz w:val="24"/>
          <w:szCs w:val="24"/>
        </w:rPr>
        <w:t xml:space="preserve">  The NRSRO provisions in the Dodd-Frank Act augment the Rating Agency Act, which established a registration and oversight program for NRSROs through self-executing provisions added to the </w:t>
      </w:r>
      <w:r w:rsidR="00E54769">
        <w:rPr>
          <w:sz w:val="24"/>
          <w:szCs w:val="24"/>
        </w:rPr>
        <w:t xml:space="preserve">Securities </w:t>
      </w:r>
      <w:r w:rsidRPr="00F82A51" w:rsidR="00F82A51">
        <w:rPr>
          <w:sz w:val="24"/>
          <w:szCs w:val="24"/>
        </w:rPr>
        <w:t xml:space="preserve">Exchange Act </w:t>
      </w:r>
      <w:r w:rsidR="00E54769">
        <w:rPr>
          <w:sz w:val="24"/>
          <w:szCs w:val="24"/>
        </w:rPr>
        <w:t xml:space="preserve">of 1934 (“Exchange Act”) </w:t>
      </w:r>
      <w:r w:rsidRPr="00F82A51" w:rsidR="00F82A51">
        <w:rPr>
          <w:sz w:val="24"/>
          <w:szCs w:val="24"/>
        </w:rPr>
        <w:t>and implementing rules adopted by the Commission under the Exchange Act as amended by the Rating Agency Act.</w:t>
      </w:r>
      <w:r w:rsidRPr="00F82A51" w:rsidR="00F82A51">
        <w:rPr>
          <w:rStyle w:val="FootnoteReference"/>
          <w:sz w:val="24"/>
          <w:szCs w:val="24"/>
        </w:rPr>
        <w:footnoteReference w:id="5"/>
      </w:r>
      <w:r w:rsidRPr="00F82A51" w:rsidR="00F82A51">
        <w:rPr>
          <w:sz w:val="24"/>
          <w:szCs w:val="24"/>
        </w:rPr>
        <w:t xml:space="preserve">  Title IX, Subtitle C of the Dodd-Frank Act also provides that the Commission shall prescribe the format of a certification that providers of third-party due diligence services would need to provide to each NRSRO producing a credit rating for an asset-backed security to which the due diligence services relate.</w:t>
      </w:r>
      <w:r w:rsidRPr="00F82A51" w:rsidR="00F82A51">
        <w:rPr>
          <w:rStyle w:val="FootnoteReference"/>
          <w:sz w:val="24"/>
          <w:szCs w:val="24"/>
        </w:rPr>
        <w:footnoteReference w:id="6"/>
      </w:r>
      <w:r w:rsidRPr="00F82A51" w:rsidR="00F82A51">
        <w:rPr>
          <w:sz w:val="24"/>
          <w:szCs w:val="24"/>
        </w:rPr>
        <w:t xml:space="preserve">  Finally, Title IX, Subtitle C of the Dodd-Frank Act establishes a new requirement for issuers and underwriters of asset-backed securities to make publicly available the findings and conclusions of any third-party due diligence report obtained by the issuer or underwriter.</w:t>
      </w:r>
      <w:r w:rsidRPr="00F82A51" w:rsidR="00F82A51">
        <w:rPr>
          <w:rStyle w:val="FootnoteReference"/>
          <w:sz w:val="24"/>
          <w:szCs w:val="24"/>
        </w:rPr>
        <w:footnoteReference w:id="7"/>
      </w:r>
      <w:r w:rsidRPr="00F82A51">
        <w:rPr>
          <w:sz w:val="24"/>
          <w:szCs w:val="24"/>
        </w:rPr>
        <w:t xml:space="preserve">  </w:t>
      </w:r>
    </w:p>
    <w:p w:rsidRPr="00F82A51" w:rsidR="00763A47" w:rsidP="00763A47" w:rsidRDefault="00763A47">
      <w:pPr>
        <w:rPr>
          <w:sz w:val="24"/>
          <w:szCs w:val="24"/>
        </w:rPr>
      </w:pPr>
    </w:p>
    <w:p w:rsidRPr="00161B9F" w:rsidR="00763A47" w:rsidP="00763A47" w:rsidRDefault="00763A47">
      <w:pPr>
        <w:rPr>
          <w:iCs/>
          <w:sz w:val="24"/>
          <w:szCs w:val="24"/>
        </w:rPr>
      </w:pPr>
      <w:r>
        <w:rPr>
          <w:sz w:val="24"/>
          <w:szCs w:val="24"/>
        </w:rPr>
        <w:lastRenderedPageBreak/>
        <w:tab/>
        <w:t>Rule 17g-2</w:t>
      </w:r>
      <w:r w:rsidRPr="00161B9F">
        <w:rPr>
          <w:sz w:val="24"/>
          <w:szCs w:val="24"/>
        </w:rPr>
        <w:t xml:space="preserve"> </w:t>
      </w:r>
      <w:r>
        <w:rPr>
          <w:sz w:val="24"/>
          <w:szCs w:val="24"/>
        </w:rPr>
        <w:t>contain</w:t>
      </w:r>
      <w:r w:rsidR="007660FC">
        <w:rPr>
          <w:sz w:val="24"/>
          <w:szCs w:val="24"/>
        </w:rPr>
        <w:t>s</w:t>
      </w:r>
      <w:r w:rsidRPr="00161B9F">
        <w:rPr>
          <w:sz w:val="24"/>
          <w:szCs w:val="24"/>
        </w:rPr>
        <w:t xml:space="preserve"> </w:t>
      </w:r>
      <w:r w:rsidR="00511674">
        <w:rPr>
          <w:sz w:val="24"/>
          <w:szCs w:val="24"/>
        </w:rPr>
        <w:t>recordkeeping</w:t>
      </w:r>
      <w:r>
        <w:rPr>
          <w:sz w:val="24"/>
          <w:szCs w:val="24"/>
        </w:rPr>
        <w:t xml:space="preserve"> and disclosure</w:t>
      </w:r>
      <w:r w:rsidRPr="00161B9F">
        <w:rPr>
          <w:sz w:val="24"/>
          <w:szCs w:val="24"/>
        </w:rPr>
        <w:t xml:space="preserve"> requirements.</w:t>
      </w:r>
      <w:r w:rsidR="001604E2">
        <w:rPr>
          <w:rStyle w:val="FootnoteReference"/>
          <w:sz w:val="24"/>
          <w:szCs w:val="24"/>
        </w:rPr>
        <w:footnoteReference w:id="8"/>
      </w:r>
      <w:r w:rsidRPr="00161B9F">
        <w:rPr>
          <w:sz w:val="24"/>
          <w:szCs w:val="24"/>
        </w:rPr>
        <w:t xml:space="preserve">  </w:t>
      </w:r>
      <w:r w:rsidRPr="00161B9F">
        <w:rPr>
          <w:iCs/>
          <w:sz w:val="24"/>
          <w:szCs w:val="24"/>
        </w:rPr>
        <w:t xml:space="preserve">The collection of information obligations imposed by the rule </w:t>
      </w:r>
      <w:r w:rsidR="006F03B2">
        <w:rPr>
          <w:iCs/>
          <w:sz w:val="24"/>
          <w:szCs w:val="24"/>
        </w:rPr>
        <w:t xml:space="preserve">are </w:t>
      </w:r>
      <w:r w:rsidRPr="00161B9F">
        <w:rPr>
          <w:iCs/>
          <w:sz w:val="24"/>
          <w:szCs w:val="24"/>
        </w:rPr>
        <w:t xml:space="preserve">mandatory.  </w:t>
      </w:r>
      <w:r>
        <w:rPr>
          <w:iCs/>
          <w:sz w:val="24"/>
          <w:szCs w:val="24"/>
        </w:rPr>
        <w:t xml:space="preserve">The </w:t>
      </w:r>
      <w:r w:rsidR="007660FC">
        <w:rPr>
          <w:iCs/>
          <w:sz w:val="24"/>
          <w:szCs w:val="24"/>
        </w:rPr>
        <w:t>requirements of</w:t>
      </w:r>
      <w:r>
        <w:rPr>
          <w:iCs/>
          <w:sz w:val="24"/>
          <w:szCs w:val="24"/>
        </w:rPr>
        <w:t xml:space="preserve"> Rule 17g-2</w:t>
      </w:r>
      <w:r w:rsidRPr="00161B9F">
        <w:rPr>
          <w:iCs/>
          <w:sz w:val="24"/>
          <w:szCs w:val="24"/>
        </w:rPr>
        <w:t>, however, apply only to credit rating agencies that are applying to register or are registered with the Commission as NRSROs, and registration is voluntary.</w:t>
      </w:r>
      <w:r w:rsidR="001604E2">
        <w:rPr>
          <w:sz w:val="24"/>
          <w:szCs w:val="24"/>
        </w:rPr>
        <w:t xml:space="preserve">  On August 27, 2014, the Commission a</w:t>
      </w:r>
      <w:r w:rsidR="009D651C">
        <w:rPr>
          <w:sz w:val="24"/>
          <w:szCs w:val="24"/>
        </w:rPr>
        <w:t>dopted amendments to Rule 17g-2</w:t>
      </w:r>
      <w:r w:rsidR="001604E2">
        <w:rPr>
          <w:sz w:val="24"/>
          <w:szCs w:val="24"/>
        </w:rPr>
        <w:t xml:space="preserve">.  </w:t>
      </w:r>
    </w:p>
    <w:p w:rsidRPr="00743D8F" w:rsidR="000C3833" w:rsidP="00743D8F" w:rsidRDefault="000C3833">
      <w:pPr>
        <w:rPr>
          <w:sz w:val="24"/>
          <w:szCs w:val="24"/>
        </w:rPr>
      </w:pPr>
    </w:p>
    <w:p w:rsidRPr="00743D8F" w:rsidR="00743D8F" w:rsidP="00743D8F" w:rsidRDefault="00743D8F">
      <w:pPr>
        <w:ind w:firstLine="720"/>
        <w:rPr>
          <w:sz w:val="24"/>
          <w:szCs w:val="24"/>
        </w:rPr>
      </w:pPr>
      <w:r w:rsidRPr="00743D8F">
        <w:rPr>
          <w:sz w:val="24"/>
          <w:szCs w:val="24"/>
        </w:rPr>
        <w:t xml:space="preserve">The </w:t>
      </w:r>
      <w:r>
        <w:rPr>
          <w:sz w:val="24"/>
          <w:szCs w:val="24"/>
        </w:rPr>
        <w:t xml:space="preserve">Rating Agency </w:t>
      </w:r>
      <w:r w:rsidRPr="00743D8F">
        <w:rPr>
          <w:sz w:val="24"/>
          <w:szCs w:val="24"/>
        </w:rPr>
        <w:t>Act amend</w:t>
      </w:r>
      <w:r w:rsidR="00443C3D">
        <w:rPr>
          <w:sz w:val="24"/>
          <w:szCs w:val="24"/>
        </w:rPr>
        <w:t>ed</w:t>
      </w:r>
      <w:r w:rsidRPr="00743D8F">
        <w:rPr>
          <w:sz w:val="24"/>
          <w:szCs w:val="24"/>
        </w:rPr>
        <w:t xml:space="preserve"> </w:t>
      </w:r>
      <w:r w:rsidR="0060799F">
        <w:rPr>
          <w:sz w:val="24"/>
          <w:szCs w:val="24"/>
        </w:rPr>
        <w:t>s</w:t>
      </w:r>
      <w:r w:rsidRPr="00743D8F">
        <w:rPr>
          <w:sz w:val="24"/>
          <w:szCs w:val="24"/>
        </w:rPr>
        <w:t>ection 17(a</w:t>
      </w:r>
      <w:proofErr w:type="gramStart"/>
      <w:r w:rsidRPr="00743D8F">
        <w:rPr>
          <w:sz w:val="24"/>
          <w:szCs w:val="24"/>
        </w:rPr>
        <w:t>)(</w:t>
      </w:r>
      <w:proofErr w:type="gramEnd"/>
      <w:r w:rsidRPr="00743D8F">
        <w:rPr>
          <w:sz w:val="24"/>
          <w:szCs w:val="24"/>
        </w:rPr>
        <w:t>1) of the Exchange Act</w:t>
      </w:r>
      <w:r w:rsidR="00A13BB6">
        <w:rPr>
          <w:sz w:val="24"/>
          <w:szCs w:val="24"/>
        </w:rPr>
        <w:t xml:space="preserve"> </w:t>
      </w:r>
      <w:r w:rsidRPr="00743D8F">
        <w:rPr>
          <w:sz w:val="24"/>
          <w:szCs w:val="24"/>
        </w:rPr>
        <w:t>to add NRSROs to the list of entities required to make and keep such records, and make and disseminate such reports, as the Commission prescribes by rule as necessary or appropriate in the public interest, for the protection of investors, or otherwise in furtherance of the Exchange Act.</w:t>
      </w:r>
      <w:r w:rsidRPr="00743D8F">
        <w:rPr>
          <w:rStyle w:val="FootnoteReference"/>
          <w:sz w:val="24"/>
          <w:szCs w:val="24"/>
        </w:rPr>
        <w:footnoteReference w:id="9"/>
      </w:r>
      <w:r w:rsidRPr="00743D8F">
        <w:rPr>
          <w:sz w:val="24"/>
          <w:szCs w:val="24"/>
        </w:rPr>
        <w:t xml:space="preserve">  The inclusion of NRSROs on the list also provides the Commission with authority under </w:t>
      </w:r>
      <w:r w:rsidR="0060799F">
        <w:rPr>
          <w:sz w:val="24"/>
          <w:szCs w:val="24"/>
        </w:rPr>
        <w:t>s</w:t>
      </w:r>
      <w:r w:rsidRPr="00743D8F">
        <w:rPr>
          <w:sz w:val="24"/>
          <w:szCs w:val="24"/>
        </w:rPr>
        <w:t>ection 17(b</w:t>
      </w:r>
      <w:proofErr w:type="gramStart"/>
      <w:r w:rsidRPr="00743D8F">
        <w:rPr>
          <w:sz w:val="24"/>
          <w:szCs w:val="24"/>
        </w:rPr>
        <w:t>)(</w:t>
      </w:r>
      <w:proofErr w:type="gramEnd"/>
      <w:r w:rsidRPr="00743D8F">
        <w:rPr>
          <w:sz w:val="24"/>
          <w:szCs w:val="24"/>
        </w:rPr>
        <w:t>1) of the Exchange Act to examine all the records of an NRSRO.</w:t>
      </w:r>
      <w:r w:rsidRPr="00743D8F">
        <w:rPr>
          <w:rStyle w:val="FootnoteReference"/>
          <w:sz w:val="24"/>
          <w:szCs w:val="24"/>
        </w:rPr>
        <w:footnoteReference w:id="10"/>
      </w:r>
      <w:r w:rsidRPr="00743D8F">
        <w:rPr>
          <w:sz w:val="24"/>
          <w:szCs w:val="24"/>
        </w:rPr>
        <w:t xml:space="preserve">  </w:t>
      </w:r>
    </w:p>
    <w:p w:rsidR="00743D8F" w:rsidP="00743D8F" w:rsidRDefault="00743D8F">
      <w:pPr>
        <w:ind w:firstLine="720"/>
        <w:rPr>
          <w:sz w:val="24"/>
          <w:szCs w:val="24"/>
        </w:rPr>
      </w:pPr>
    </w:p>
    <w:p w:rsidR="008845BB" w:rsidP="00873E76" w:rsidRDefault="00743D8F">
      <w:pPr>
        <w:ind w:firstLine="720"/>
        <w:rPr>
          <w:sz w:val="24"/>
          <w:szCs w:val="24"/>
        </w:rPr>
      </w:pPr>
      <w:r w:rsidRPr="00743D8F">
        <w:rPr>
          <w:sz w:val="24"/>
          <w:szCs w:val="24"/>
        </w:rPr>
        <w:t>Rule 17g-2, “Records to be made and retained by nationally recognized statistical rating organizations,” implement</w:t>
      </w:r>
      <w:r w:rsidR="0034552B">
        <w:rPr>
          <w:sz w:val="24"/>
          <w:szCs w:val="24"/>
        </w:rPr>
        <w:t>s</w:t>
      </w:r>
      <w:r w:rsidRPr="00743D8F">
        <w:rPr>
          <w:sz w:val="24"/>
          <w:szCs w:val="24"/>
        </w:rPr>
        <w:t xml:space="preserve"> the Commission’s recordkeeping rulemaking authority under </w:t>
      </w:r>
      <w:r w:rsidR="0060799F">
        <w:rPr>
          <w:sz w:val="24"/>
          <w:szCs w:val="24"/>
        </w:rPr>
        <w:t>s</w:t>
      </w:r>
      <w:r w:rsidRPr="00743D8F">
        <w:rPr>
          <w:sz w:val="24"/>
          <w:szCs w:val="24"/>
        </w:rPr>
        <w:t>ection 17(a) of the Exchange Act.</w:t>
      </w:r>
      <w:r w:rsidRPr="00743D8F">
        <w:rPr>
          <w:rStyle w:val="FootnoteReference"/>
          <w:sz w:val="24"/>
          <w:szCs w:val="24"/>
        </w:rPr>
        <w:footnoteReference w:id="11"/>
      </w:r>
      <w:r w:rsidRPr="00743D8F">
        <w:rPr>
          <w:sz w:val="24"/>
          <w:szCs w:val="24"/>
        </w:rPr>
        <w:t xml:space="preserve">  The rule require</w:t>
      </w:r>
      <w:r w:rsidR="0034552B">
        <w:rPr>
          <w:sz w:val="24"/>
          <w:szCs w:val="24"/>
        </w:rPr>
        <w:t>s</w:t>
      </w:r>
      <w:r w:rsidRPr="00743D8F">
        <w:rPr>
          <w:sz w:val="24"/>
          <w:szCs w:val="24"/>
        </w:rPr>
        <w:t xml:space="preserve"> an NRSRO to make and retain certain records relating to its business and to retain certain other business records, if such records are made.  The rule also prescribe</w:t>
      </w:r>
      <w:r w:rsidR="0034552B">
        <w:rPr>
          <w:sz w:val="24"/>
          <w:szCs w:val="24"/>
        </w:rPr>
        <w:t>s</w:t>
      </w:r>
      <w:r w:rsidRPr="00743D8F">
        <w:rPr>
          <w:sz w:val="24"/>
          <w:szCs w:val="24"/>
        </w:rPr>
        <w:t xml:space="preserve"> the time periods and manner in which all these records must be retained.</w:t>
      </w:r>
      <w:r w:rsidR="00D02136">
        <w:rPr>
          <w:sz w:val="24"/>
          <w:szCs w:val="24"/>
        </w:rPr>
        <w:t xml:space="preserve"> </w:t>
      </w:r>
    </w:p>
    <w:p w:rsidR="0038269A" w:rsidP="00873E76" w:rsidRDefault="0038269A">
      <w:pPr>
        <w:ind w:firstLine="720"/>
        <w:rPr>
          <w:sz w:val="24"/>
          <w:szCs w:val="24"/>
        </w:rPr>
      </w:pPr>
    </w:p>
    <w:p w:rsidR="0038269A" w:rsidP="0038269A" w:rsidRDefault="0038269A">
      <w:pPr>
        <w:ind w:firstLine="720"/>
        <w:rPr>
          <w:sz w:val="24"/>
          <w:szCs w:val="24"/>
        </w:rPr>
      </w:pPr>
      <w:r>
        <w:rPr>
          <w:sz w:val="24"/>
          <w:szCs w:val="24"/>
        </w:rPr>
        <w:t>The requirements of Rule 17g-2</w:t>
      </w:r>
      <w:r w:rsidRPr="00743D8F">
        <w:rPr>
          <w:sz w:val="24"/>
          <w:szCs w:val="24"/>
        </w:rPr>
        <w:t xml:space="preserve"> </w:t>
      </w:r>
      <w:r>
        <w:rPr>
          <w:sz w:val="24"/>
          <w:szCs w:val="24"/>
        </w:rPr>
        <w:t>are</w:t>
      </w:r>
      <w:r w:rsidRPr="00743D8F">
        <w:rPr>
          <w:sz w:val="24"/>
          <w:szCs w:val="24"/>
        </w:rPr>
        <w:t xml:space="preserve"> designed to ensure that an NRSRO makes and retains records that assist the Commission in monitoring, through its examination authority, whether an NRSRO </w:t>
      </w:r>
      <w:r>
        <w:rPr>
          <w:sz w:val="24"/>
          <w:szCs w:val="24"/>
        </w:rPr>
        <w:t>continues to meet the requirements for registration as an NRSRO and whether the NRSRO is complying with applicable laws and regulations</w:t>
      </w:r>
      <w:r w:rsidRPr="00743D8F">
        <w:rPr>
          <w:sz w:val="24"/>
          <w:szCs w:val="24"/>
        </w:rPr>
        <w:t>.</w:t>
      </w:r>
    </w:p>
    <w:p w:rsidR="008845BB" w:rsidP="009D651C" w:rsidRDefault="008845BB">
      <w:pPr>
        <w:rPr>
          <w:i/>
          <w:sz w:val="24"/>
          <w:szCs w:val="24"/>
        </w:rPr>
      </w:pPr>
    </w:p>
    <w:p w:rsidR="008845BB" w:rsidP="00873E76" w:rsidRDefault="009D651C">
      <w:pPr>
        <w:ind w:firstLine="720"/>
        <w:rPr>
          <w:sz w:val="24"/>
          <w:szCs w:val="24"/>
        </w:rPr>
      </w:pPr>
      <w:r>
        <w:rPr>
          <w:iCs/>
          <w:sz w:val="24"/>
          <w:szCs w:val="24"/>
        </w:rPr>
        <w:t>The Commission previously</w:t>
      </w:r>
      <w:r w:rsidRPr="003F08B3" w:rsidR="003F08B3">
        <w:rPr>
          <w:iCs/>
          <w:sz w:val="24"/>
          <w:szCs w:val="24"/>
        </w:rPr>
        <w:t xml:space="preserve"> repeal</w:t>
      </w:r>
      <w:r>
        <w:rPr>
          <w:iCs/>
          <w:sz w:val="24"/>
          <w:szCs w:val="24"/>
        </w:rPr>
        <w:t>ed</w:t>
      </w:r>
      <w:r w:rsidRPr="003F08B3" w:rsidR="003F08B3">
        <w:rPr>
          <w:iCs/>
          <w:sz w:val="24"/>
          <w:szCs w:val="24"/>
        </w:rPr>
        <w:t xml:space="preserve"> paragraph (d</w:t>
      </w:r>
      <w:proofErr w:type="gramStart"/>
      <w:r>
        <w:rPr>
          <w:iCs/>
          <w:sz w:val="24"/>
          <w:szCs w:val="24"/>
        </w:rPr>
        <w:t>)(</w:t>
      </w:r>
      <w:proofErr w:type="gramEnd"/>
      <w:r>
        <w:rPr>
          <w:iCs/>
          <w:sz w:val="24"/>
          <w:szCs w:val="24"/>
        </w:rPr>
        <w:t xml:space="preserve">2) of Rule 17g-2 and re-codified </w:t>
      </w:r>
      <w:r w:rsidRPr="003F08B3" w:rsidR="003F08B3">
        <w:rPr>
          <w:iCs/>
          <w:sz w:val="24"/>
          <w:szCs w:val="24"/>
        </w:rPr>
        <w:t>and enhanc</w:t>
      </w:r>
      <w:r>
        <w:rPr>
          <w:iCs/>
          <w:sz w:val="24"/>
          <w:szCs w:val="24"/>
        </w:rPr>
        <w:t>ed</w:t>
      </w:r>
      <w:r w:rsidRPr="003F08B3" w:rsidR="003F08B3">
        <w:rPr>
          <w:iCs/>
          <w:sz w:val="24"/>
          <w:szCs w:val="24"/>
        </w:rPr>
        <w:t xml:space="preserve"> the requirements in paragraph (d)(3) of Rule 17g-2 in new Rule 17g-7. </w:t>
      </w:r>
      <w:r>
        <w:rPr>
          <w:sz w:val="24"/>
          <w:szCs w:val="24"/>
        </w:rPr>
        <w:t>The Commission</w:t>
      </w:r>
      <w:r w:rsidR="003826D2">
        <w:rPr>
          <w:sz w:val="24"/>
          <w:szCs w:val="24"/>
        </w:rPr>
        <w:t xml:space="preserve"> also</w:t>
      </w:r>
      <w:r>
        <w:rPr>
          <w:sz w:val="24"/>
          <w:szCs w:val="24"/>
        </w:rPr>
        <w:t xml:space="preserve"> </w:t>
      </w:r>
      <w:r w:rsidR="008845BB">
        <w:rPr>
          <w:sz w:val="24"/>
          <w:szCs w:val="24"/>
        </w:rPr>
        <w:t>add</w:t>
      </w:r>
      <w:r>
        <w:rPr>
          <w:sz w:val="24"/>
          <w:szCs w:val="24"/>
        </w:rPr>
        <w:t>ed</w:t>
      </w:r>
      <w:r w:rsidR="008845BB">
        <w:rPr>
          <w:sz w:val="24"/>
          <w:szCs w:val="24"/>
        </w:rPr>
        <w:t xml:space="preserve"> paragraph (a)(9) to Rule 17g-2 to identify the policies and procedures an NRSRO is required to establish, maintain, and enforce pursuant to </w:t>
      </w:r>
      <w:r w:rsidR="0060799F">
        <w:rPr>
          <w:sz w:val="24"/>
          <w:szCs w:val="24"/>
        </w:rPr>
        <w:t>s</w:t>
      </w:r>
      <w:r w:rsidR="008845BB">
        <w:rPr>
          <w:sz w:val="24"/>
          <w:szCs w:val="24"/>
        </w:rPr>
        <w:t xml:space="preserve">ection 15E(h)(4)(A) of the Exchange Act and paragraph (c) of </w:t>
      </w:r>
      <w:r w:rsidR="001530E3">
        <w:rPr>
          <w:sz w:val="24"/>
          <w:szCs w:val="24"/>
        </w:rPr>
        <w:t xml:space="preserve">new </w:t>
      </w:r>
      <w:r w:rsidR="008845BB">
        <w:rPr>
          <w:sz w:val="24"/>
          <w:szCs w:val="24"/>
        </w:rPr>
        <w:t xml:space="preserve">Rule 17g-8 as a record that must be </w:t>
      </w:r>
      <w:r w:rsidR="004D0B63">
        <w:rPr>
          <w:sz w:val="24"/>
          <w:szCs w:val="24"/>
        </w:rPr>
        <w:t>made</w:t>
      </w:r>
      <w:r w:rsidR="008845BB">
        <w:rPr>
          <w:sz w:val="24"/>
          <w:szCs w:val="24"/>
        </w:rPr>
        <w:t xml:space="preserve"> and retained.</w:t>
      </w:r>
      <w:r w:rsidR="005C43AB">
        <w:rPr>
          <w:rStyle w:val="FootnoteReference"/>
          <w:sz w:val="24"/>
          <w:szCs w:val="24"/>
        </w:rPr>
        <w:footnoteReference w:id="12"/>
      </w:r>
      <w:r w:rsidR="008845BB">
        <w:rPr>
          <w:sz w:val="24"/>
          <w:szCs w:val="24"/>
        </w:rPr>
        <w:t xml:space="preserve"> </w:t>
      </w:r>
      <w:r>
        <w:rPr>
          <w:sz w:val="24"/>
          <w:szCs w:val="24"/>
        </w:rPr>
        <w:t xml:space="preserve"> In addition, the Commission </w:t>
      </w:r>
      <w:r w:rsidR="008845BB">
        <w:rPr>
          <w:sz w:val="24"/>
          <w:szCs w:val="24"/>
        </w:rPr>
        <w:t>add</w:t>
      </w:r>
      <w:r>
        <w:rPr>
          <w:sz w:val="24"/>
          <w:szCs w:val="24"/>
        </w:rPr>
        <w:t>ed</w:t>
      </w:r>
      <w:r w:rsidR="008845BB">
        <w:rPr>
          <w:sz w:val="24"/>
          <w:szCs w:val="24"/>
        </w:rPr>
        <w:t xml:space="preserve"> paragraphs to Rule 17g-2 to identif</w:t>
      </w:r>
      <w:r>
        <w:rPr>
          <w:sz w:val="24"/>
          <w:szCs w:val="24"/>
        </w:rPr>
        <w:t>y records that must be retained.</w:t>
      </w:r>
    </w:p>
    <w:p w:rsidR="008845BB" w:rsidP="00873E76" w:rsidRDefault="008845BB">
      <w:pPr>
        <w:ind w:firstLine="720"/>
        <w:rPr>
          <w:sz w:val="24"/>
          <w:szCs w:val="24"/>
        </w:rPr>
      </w:pPr>
    </w:p>
    <w:p w:rsidRPr="008845BB" w:rsidR="00B4789B" w:rsidP="00873E76" w:rsidRDefault="009D651C">
      <w:pPr>
        <w:ind w:firstLine="720"/>
        <w:rPr>
          <w:sz w:val="24"/>
          <w:szCs w:val="24"/>
        </w:rPr>
      </w:pPr>
      <w:r>
        <w:rPr>
          <w:sz w:val="24"/>
          <w:szCs w:val="24"/>
        </w:rPr>
        <w:t>In</w:t>
      </w:r>
      <w:r w:rsidR="00EB5479">
        <w:rPr>
          <w:sz w:val="24"/>
          <w:szCs w:val="24"/>
        </w:rPr>
        <w:t xml:space="preserve"> </w:t>
      </w:r>
      <w:r>
        <w:rPr>
          <w:sz w:val="24"/>
          <w:szCs w:val="24"/>
        </w:rPr>
        <w:t>p</w:t>
      </w:r>
      <w:r w:rsidR="00B4789B">
        <w:rPr>
          <w:sz w:val="24"/>
          <w:szCs w:val="24"/>
        </w:rPr>
        <w:t xml:space="preserve">aragraph (c) of Rule 17g-2 to </w:t>
      </w:r>
      <w:r w:rsidR="002B3531">
        <w:rPr>
          <w:sz w:val="24"/>
          <w:szCs w:val="24"/>
        </w:rPr>
        <w:t xml:space="preserve">provide that records identified in paragraphs (a)(9), (b)(12), (b)(13), (b)(14), and (b)(15) of Rule 17g-2 must be retained until three years after </w:t>
      </w:r>
      <w:r w:rsidR="00EB5479">
        <w:rPr>
          <w:sz w:val="24"/>
          <w:szCs w:val="24"/>
        </w:rPr>
        <w:t xml:space="preserve">the date </w:t>
      </w:r>
      <w:r w:rsidR="002B3531">
        <w:rPr>
          <w:sz w:val="24"/>
          <w:szCs w:val="24"/>
        </w:rPr>
        <w:t xml:space="preserve">the record is replaced with an updated record, instead of three years after the record </w:t>
      </w:r>
      <w:r w:rsidR="00234DE4">
        <w:rPr>
          <w:sz w:val="24"/>
          <w:szCs w:val="24"/>
        </w:rPr>
        <w:t xml:space="preserve">is </w:t>
      </w:r>
      <w:r w:rsidR="002B3531">
        <w:rPr>
          <w:sz w:val="24"/>
          <w:szCs w:val="24"/>
        </w:rPr>
        <w:t>made or received, which is the retention period for other records identified in paragraphs (a) and (b) of Rule 17g-2.</w:t>
      </w:r>
      <w:r w:rsidR="005C43AB">
        <w:rPr>
          <w:rStyle w:val="FootnoteReference"/>
          <w:sz w:val="24"/>
          <w:szCs w:val="24"/>
        </w:rPr>
        <w:footnoteReference w:id="13"/>
      </w:r>
      <w:r w:rsidRPr="00946597" w:rsidR="00946597">
        <w:t xml:space="preserve"> </w:t>
      </w:r>
    </w:p>
    <w:p w:rsidR="0038269A" w:rsidP="00743D8F" w:rsidRDefault="0038269A">
      <w:pPr>
        <w:ind w:left="1440" w:hanging="720"/>
        <w:rPr>
          <w:sz w:val="24"/>
          <w:szCs w:val="24"/>
        </w:rPr>
      </w:pPr>
    </w:p>
    <w:p w:rsidRPr="00956D8C" w:rsidR="00D144C0" w:rsidP="0038269A" w:rsidRDefault="00BE6E3E">
      <w:pPr>
        <w:ind w:left="720" w:hanging="720"/>
        <w:rPr>
          <w:b/>
          <w:sz w:val="24"/>
          <w:szCs w:val="24"/>
        </w:rPr>
      </w:pPr>
      <w:r w:rsidRPr="00956D8C">
        <w:rPr>
          <w:b/>
          <w:sz w:val="24"/>
          <w:szCs w:val="24"/>
        </w:rPr>
        <w:t>2.</w:t>
      </w:r>
      <w:r w:rsidRPr="00956D8C">
        <w:rPr>
          <w:b/>
          <w:sz w:val="24"/>
          <w:szCs w:val="24"/>
        </w:rPr>
        <w:tab/>
        <w:t xml:space="preserve">Purpose </w:t>
      </w:r>
      <w:r w:rsidRPr="00956D8C" w:rsidR="0038269A">
        <w:rPr>
          <w:b/>
          <w:sz w:val="24"/>
          <w:szCs w:val="24"/>
        </w:rPr>
        <w:t>and Use of the</w:t>
      </w:r>
      <w:r w:rsidRPr="00956D8C">
        <w:rPr>
          <w:b/>
          <w:sz w:val="24"/>
          <w:szCs w:val="24"/>
        </w:rPr>
        <w:t xml:space="preserve"> Information Collection</w:t>
      </w:r>
      <w:r w:rsidRPr="00956D8C" w:rsidR="00D144C0">
        <w:rPr>
          <w:b/>
          <w:sz w:val="24"/>
          <w:szCs w:val="24"/>
        </w:rPr>
        <w:t xml:space="preserve"> </w:t>
      </w:r>
    </w:p>
    <w:p w:rsidRPr="00727CE2" w:rsidR="00727CE2" w:rsidP="00743D8F" w:rsidRDefault="00727CE2">
      <w:pPr>
        <w:pStyle w:val="BodyText"/>
        <w:ind w:firstLine="720"/>
        <w:jc w:val="left"/>
        <w:rPr>
          <w:i/>
          <w:iCs/>
          <w:u w:val="single"/>
        </w:rPr>
      </w:pPr>
    </w:p>
    <w:p w:rsidR="009369BE" w:rsidP="00743D8F" w:rsidRDefault="001C5745">
      <w:pPr>
        <w:pStyle w:val="BodyText"/>
        <w:ind w:firstLine="720"/>
        <w:jc w:val="left"/>
        <w:rPr>
          <w:iCs/>
        </w:rPr>
      </w:pPr>
      <w:r w:rsidRPr="00743D8F">
        <w:rPr>
          <w:iCs/>
        </w:rPr>
        <w:t xml:space="preserve">The collections of information in </w:t>
      </w:r>
      <w:r w:rsidR="00301300">
        <w:rPr>
          <w:iCs/>
        </w:rPr>
        <w:t>Rule 17g-2</w:t>
      </w:r>
      <w:r w:rsidRPr="00743D8F">
        <w:rPr>
          <w:iCs/>
        </w:rPr>
        <w:t xml:space="preserve"> are designed to allow the Commission to determine whether an NRSRO</w:t>
      </w:r>
      <w:r w:rsidR="00301300">
        <w:rPr>
          <w:iCs/>
        </w:rPr>
        <w:t xml:space="preserve"> continues to meet the requirements for registration and </w:t>
      </w:r>
      <w:r w:rsidR="00486095">
        <w:rPr>
          <w:iCs/>
        </w:rPr>
        <w:t>is</w:t>
      </w:r>
      <w:r w:rsidR="00301300">
        <w:rPr>
          <w:iCs/>
        </w:rPr>
        <w:t xml:space="preserve"> complying with applicable laws and regulations</w:t>
      </w:r>
      <w:r w:rsidRPr="00743D8F">
        <w:rPr>
          <w:iCs/>
        </w:rPr>
        <w:t xml:space="preserve">.  </w:t>
      </w:r>
      <w:r w:rsidR="00443C3D">
        <w:rPr>
          <w:iCs/>
        </w:rPr>
        <w:t>In particular, the collections of information in</w:t>
      </w:r>
      <w:r w:rsidR="00D02136">
        <w:rPr>
          <w:iCs/>
        </w:rPr>
        <w:t xml:space="preserve"> </w:t>
      </w:r>
      <w:r w:rsidR="00443C3D">
        <w:rPr>
          <w:iCs/>
        </w:rPr>
        <w:t xml:space="preserve">Rule 17g-2 </w:t>
      </w:r>
      <w:r w:rsidR="00486095">
        <w:rPr>
          <w:iCs/>
        </w:rPr>
        <w:t>will</w:t>
      </w:r>
      <w:r w:rsidRPr="00743D8F">
        <w:rPr>
          <w:iCs/>
        </w:rPr>
        <w:t xml:space="preserve"> assist the Commission in effectively monitoring, through its examination function, whether an NRSRO is conducting its activities in accordance with </w:t>
      </w:r>
      <w:r w:rsidR="0060799F">
        <w:rPr>
          <w:iCs/>
        </w:rPr>
        <w:t>s</w:t>
      </w:r>
      <w:r w:rsidRPr="00743D8F">
        <w:rPr>
          <w:iCs/>
        </w:rPr>
        <w:t>ection 15E</w:t>
      </w:r>
      <w:r w:rsidR="009D4935">
        <w:rPr>
          <w:iCs/>
        </w:rPr>
        <w:t xml:space="preserve"> </w:t>
      </w:r>
      <w:r w:rsidR="003D2944">
        <w:rPr>
          <w:iCs/>
        </w:rPr>
        <w:t xml:space="preserve">of the </w:t>
      </w:r>
      <w:r w:rsidRPr="00743D8F" w:rsidR="009D4935">
        <w:t>Exchange Act</w:t>
      </w:r>
      <w:r w:rsidR="009D4935">
        <w:t>,</w:t>
      </w:r>
      <w:r w:rsidRPr="00743D8F" w:rsidR="009D4935">
        <w:rPr>
          <w:rStyle w:val="FootnoteReference"/>
        </w:rPr>
        <w:footnoteReference w:id="14"/>
      </w:r>
      <w:r w:rsidRPr="00743D8F" w:rsidR="009D4935">
        <w:t xml:space="preserve"> </w:t>
      </w:r>
      <w:r w:rsidRPr="00743D8F">
        <w:rPr>
          <w:iCs/>
        </w:rPr>
        <w:t xml:space="preserve">and </w:t>
      </w:r>
      <w:r w:rsidR="0048779B">
        <w:rPr>
          <w:iCs/>
        </w:rPr>
        <w:t xml:space="preserve">applicable </w:t>
      </w:r>
      <w:r w:rsidRPr="00743D8F">
        <w:rPr>
          <w:iCs/>
        </w:rPr>
        <w:t>Exchange Act rules</w:t>
      </w:r>
      <w:r w:rsidR="00301300">
        <w:rPr>
          <w:iCs/>
        </w:rPr>
        <w:t xml:space="preserve"> under the Rating Agency Act</w:t>
      </w:r>
      <w:r w:rsidRPr="00743D8F">
        <w:rPr>
          <w:iCs/>
        </w:rPr>
        <w:t xml:space="preserve">.  </w:t>
      </w:r>
    </w:p>
    <w:p w:rsidR="00904A53" w:rsidP="00743D8F" w:rsidRDefault="00904A53">
      <w:pPr>
        <w:pStyle w:val="BodyText"/>
        <w:ind w:firstLine="720"/>
        <w:jc w:val="left"/>
        <w:rPr>
          <w:iCs/>
        </w:rPr>
      </w:pPr>
    </w:p>
    <w:p w:rsidRPr="00904A53" w:rsidR="00904A53" w:rsidP="00743D8F" w:rsidRDefault="007B4E57">
      <w:pPr>
        <w:pStyle w:val="BodyText"/>
        <w:ind w:firstLine="720"/>
        <w:jc w:val="left"/>
        <w:rPr>
          <w:iCs/>
        </w:rPr>
      </w:pPr>
      <w:r w:rsidRPr="007B4E57">
        <w:rPr>
          <w:iCs/>
        </w:rPr>
        <w:t>The requirement to make and retain a record of the policies and procedures identified in paragraph (a)(9) of Rule 17g-2 will promote better understanding of the policies and procedures among individuals within the NRSRO and, therefore, promote compliance with such policies and procedures.  The requir</w:t>
      </w:r>
      <w:r w:rsidR="00D76424">
        <w:rPr>
          <w:iCs/>
        </w:rPr>
        <w:t>ement that the internal control</w:t>
      </w:r>
      <w:r w:rsidRPr="007B4E57">
        <w:rPr>
          <w:iCs/>
        </w:rPr>
        <w:t xml:space="preserve"> structure, policies and procedures, and standards identified in paragraphs (a)(9), (b)(12), (b)(13), (b)(14), and (b)(15), respectively, be retained will subject these records to the various retention and production requirements of paragraphs (c), (d), (e), and (f) of Rule 17g-2.  </w:t>
      </w:r>
      <w:r>
        <w:rPr>
          <w:iCs/>
        </w:rPr>
        <w:t>T</w:t>
      </w:r>
      <w:r w:rsidRPr="007B4E57">
        <w:rPr>
          <w:iCs/>
        </w:rPr>
        <w:t>he Commission staff will use these records to examine an NRSRO’s compliance with the provisions of the securities laws requiring the NRSRO to establish, maintain, enforce, and document these controls, policies, procedures, and standards.  The amendment to paragraph (c) of Rule 17g-2 requiring that these records must be retained until three years after the date the record is replaced with an updated record, rather than three years after the record is made or received, will help the Commission better perform its oversight function.  For example, if the three-year retention period in Rule 17g-2 began to run when the record is made, an NRSRO could discard the record that is replaced with an updated record if that update occurred more than three years after the replaced record was made.  This could prevent the Commission from reviewing whether the NRSRO adhered to its previous internal control structure, policies and procedures, or standards.</w:t>
      </w:r>
    </w:p>
    <w:p w:rsidRPr="00743D8F" w:rsidR="009369BE" w:rsidP="00743D8F" w:rsidRDefault="009369BE">
      <w:pPr>
        <w:pStyle w:val="BodyText"/>
        <w:ind w:firstLine="720"/>
        <w:jc w:val="left"/>
        <w:rPr>
          <w:iCs/>
        </w:rPr>
      </w:pPr>
    </w:p>
    <w:p w:rsidRPr="00956D8C" w:rsidR="003E276C" w:rsidP="00956D8C" w:rsidRDefault="009369BE">
      <w:pPr>
        <w:keepNext/>
        <w:tabs>
          <w:tab w:val="left" w:pos="-720"/>
          <w:tab w:val="left" w:pos="720"/>
        </w:tabs>
        <w:suppressAutoHyphens/>
        <w:ind w:left="720" w:hanging="720"/>
        <w:rPr>
          <w:b/>
          <w:sz w:val="24"/>
          <w:szCs w:val="24"/>
        </w:rPr>
      </w:pPr>
      <w:r w:rsidRPr="00956D8C">
        <w:rPr>
          <w:b/>
          <w:sz w:val="24"/>
          <w:szCs w:val="24"/>
        </w:rPr>
        <w:t>3.</w:t>
      </w:r>
      <w:r w:rsidRPr="00956D8C">
        <w:rPr>
          <w:b/>
          <w:sz w:val="24"/>
          <w:szCs w:val="24"/>
        </w:rPr>
        <w:tab/>
      </w:r>
      <w:r w:rsidRPr="00956D8C" w:rsidR="00956D8C">
        <w:rPr>
          <w:b/>
          <w:sz w:val="24"/>
          <w:szCs w:val="24"/>
        </w:rPr>
        <w:t>Consideration Gi</w:t>
      </w:r>
      <w:r w:rsidR="00956D8C">
        <w:rPr>
          <w:b/>
          <w:sz w:val="24"/>
          <w:szCs w:val="24"/>
        </w:rPr>
        <w:t>ven to Information Technology</w:t>
      </w:r>
    </w:p>
    <w:p w:rsidRPr="00743D8F" w:rsidR="003E276C" w:rsidP="00743D8F" w:rsidRDefault="003E276C">
      <w:pPr>
        <w:keepNext/>
        <w:tabs>
          <w:tab w:val="left" w:pos="-720"/>
        </w:tabs>
        <w:suppressAutoHyphens/>
        <w:rPr>
          <w:sz w:val="24"/>
          <w:szCs w:val="24"/>
        </w:rPr>
      </w:pPr>
    </w:p>
    <w:p w:rsidR="003E276C" w:rsidP="00743D8F" w:rsidRDefault="001706C9">
      <w:pPr>
        <w:pStyle w:val="BodyText"/>
        <w:ind w:firstLine="720"/>
        <w:jc w:val="left"/>
        <w:rPr>
          <w:rFonts w:ascii="CG Times" w:hAnsi="CG Times"/>
        </w:rPr>
      </w:pPr>
      <w:r w:rsidRPr="00743D8F">
        <w:t xml:space="preserve">The records that </w:t>
      </w:r>
      <w:r w:rsidR="00EF2DCC">
        <w:t xml:space="preserve">the amendments to </w:t>
      </w:r>
      <w:r w:rsidRPr="00743D8F">
        <w:t>Rule 17g-2 require NRSROs to make and retain could be made and retained electronically.</w:t>
      </w:r>
      <w:r w:rsidRPr="00BE7158" w:rsidR="00BE7158">
        <w:rPr>
          <w:rFonts w:ascii="CG Times" w:hAnsi="CG Times"/>
        </w:rPr>
        <w:t xml:space="preserve"> </w:t>
      </w:r>
      <w:r w:rsidR="00FD4A88">
        <w:rPr>
          <w:rFonts w:ascii="CG Times" w:hAnsi="CG Times"/>
        </w:rPr>
        <w:t xml:space="preserve"> </w:t>
      </w:r>
      <w:r w:rsidRPr="008B4570" w:rsidR="00BE7158">
        <w:rPr>
          <w:rFonts w:ascii="CG Times" w:hAnsi="CG Times"/>
        </w:rPr>
        <w:t xml:space="preserve">The Commission believes that improvements in telecommunications and data processing technology may reduce any burdens </w:t>
      </w:r>
      <w:r w:rsidRPr="008B4570" w:rsidR="009970EB">
        <w:rPr>
          <w:rFonts w:ascii="CG Times" w:hAnsi="CG Times"/>
        </w:rPr>
        <w:t xml:space="preserve">associated with </w:t>
      </w:r>
      <w:r w:rsidRPr="008B4570" w:rsidR="00DD5E10">
        <w:rPr>
          <w:rFonts w:ascii="CG Times" w:hAnsi="CG Times"/>
        </w:rPr>
        <w:t xml:space="preserve">the amendments to </w:t>
      </w:r>
      <w:r w:rsidRPr="008B4570" w:rsidR="0048779B">
        <w:rPr>
          <w:rFonts w:ascii="CG Times" w:hAnsi="CG Times"/>
        </w:rPr>
        <w:t>R</w:t>
      </w:r>
      <w:r w:rsidRPr="008B4570" w:rsidR="009970EB">
        <w:rPr>
          <w:rFonts w:ascii="CG Times" w:hAnsi="CG Times"/>
        </w:rPr>
        <w:t>ule 17g-2</w:t>
      </w:r>
      <w:r w:rsidRPr="008B4570" w:rsidR="00BE7158">
        <w:rPr>
          <w:rFonts w:ascii="CG Times" w:hAnsi="CG Times"/>
        </w:rPr>
        <w:t>.</w:t>
      </w:r>
      <w:r w:rsidR="00BE7158">
        <w:rPr>
          <w:rFonts w:ascii="CG Times" w:hAnsi="CG Times"/>
        </w:rPr>
        <w:t xml:space="preserve">  </w:t>
      </w:r>
      <w:r w:rsidR="009970EB">
        <w:rPr>
          <w:rFonts w:ascii="CG Times" w:hAnsi="CG Times"/>
        </w:rPr>
        <w:t>NRSROs</w:t>
      </w:r>
      <w:r w:rsidRPr="00F86993" w:rsidR="00BE7158">
        <w:rPr>
          <w:rFonts w:ascii="CG Times" w:hAnsi="CG Times"/>
        </w:rPr>
        <w:t xml:space="preserve"> </w:t>
      </w:r>
      <w:r w:rsidR="00BE7158">
        <w:rPr>
          <w:rFonts w:ascii="CG Times" w:hAnsi="CG Times"/>
        </w:rPr>
        <w:t>are not prevented by Rule 17</w:t>
      </w:r>
      <w:r w:rsidR="009970EB">
        <w:rPr>
          <w:rFonts w:ascii="CG Times" w:hAnsi="CG Times"/>
        </w:rPr>
        <w:t>g-2</w:t>
      </w:r>
      <w:r w:rsidR="00BE7158">
        <w:rPr>
          <w:rFonts w:ascii="CG Times" w:hAnsi="CG Times"/>
        </w:rPr>
        <w:t xml:space="preserve"> </w:t>
      </w:r>
      <w:r w:rsidRPr="00F86993" w:rsidR="00BE7158">
        <w:rPr>
          <w:rFonts w:ascii="CG Times" w:hAnsi="CG Times"/>
        </w:rPr>
        <w:t xml:space="preserve">from using computers or other mechanical devices to generate </w:t>
      </w:r>
      <w:r w:rsidR="00BE7158">
        <w:rPr>
          <w:rFonts w:ascii="CG Times" w:hAnsi="CG Times"/>
        </w:rPr>
        <w:t xml:space="preserve">the records required under the </w:t>
      </w:r>
      <w:r w:rsidR="0034552B">
        <w:rPr>
          <w:rFonts w:ascii="CG Times" w:hAnsi="CG Times"/>
        </w:rPr>
        <w:t>r</w:t>
      </w:r>
      <w:r w:rsidR="00BE7158">
        <w:rPr>
          <w:rFonts w:ascii="CG Times" w:hAnsi="CG Times"/>
        </w:rPr>
        <w:t>ule</w:t>
      </w:r>
      <w:r w:rsidRPr="00F86993" w:rsidR="00BE7158">
        <w:rPr>
          <w:rFonts w:ascii="CG Times" w:hAnsi="CG Times"/>
        </w:rPr>
        <w:t xml:space="preserve">.  </w:t>
      </w:r>
    </w:p>
    <w:p w:rsidR="00486095" w:rsidP="00743D8F" w:rsidRDefault="00486095">
      <w:pPr>
        <w:pStyle w:val="BodyText"/>
        <w:ind w:firstLine="720"/>
        <w:jc w:val="left"/>
        <w:rPr>
          <w:rFonts w:ascii="CG Times" w:hAnsi="CG Times"/>
        </w:rPr>
      </w:pPr>
    </w:p>
    <w:p w:rsidRPr="00956D8C" w:rsidR="003E276C" w:rsidP="00743D8F" w:rsidRDefault="003E276C">
      <w:pPr>
        <w:keepNext/>
        <w:tabs>
          <w:tab w:val="left" w:pos="-720"/>
          <w:tab w:val="left" w:pos="0"/>
          <w:tab w:val="left" w:pos="720"/>
        </w:tabs>
        <w:suppressAutoHyphens/>
        <w:ind w:left="1440" w:hanging="1440"/>
        <w:rPr>
          <w:b/>
          <w:sz w:val="24"/>
          <w:szCs w:val="24"/>
        </w:rPr>
      </w:pPr>
      <w:r w:rsidRPr="00956D8C">
        <w:rPr>
          <w:b/>
          <w:sz w:val="24"/>
          <w:szCs w:val="24"/>
        </w:rPr>
        <w:t>4.</w:t>
      </w:r>
      <w:r w:rsidRPr="00956D8C">
        <w:rPr>
          <w:b/>
          <w:sz w:val="24"/>
          <w:szCs w:val="24"/>
        </w:rPr>
        <w:tab/>
        <w:t>Duplication</w:t>
      </w:r>
    </w:p>
    <w:p w:rsidRPr="00743D8F" w:rsidR="003E276C" w:rsidP="00743D8F" w:rsidRDefault="003E276C">
      <w:pPr>
        <w:keepNext/>
        <w:tabs>
          <w:tab w:val="left" w:pos="-720"/>
        </w:tabs>
        <w:suppressAutoHyphens/>
        <w:rPr>
          <w:sz w:val="24"/>
          <w:szCs w:val="24"/>
        </w:rPr>
      </w:pPr>
    </w:p>
    <w:p w:rsidRPr="00743D8F" w:rsidR="003E276C" w:rsidP="00486095" w:rsidRDefault="003E276C">
      <w:pPr>
        <w:tabs>
          <w:tab w:val="left" w:pos="-720"/>
        </w:tabs>
        <w:suppressAutoHyphens/>
        <w:rPr>
          <w:sz w:val="24"/>
          <w:szCs w:val="24"/>
        </w:rPr>
      </w:pPr>
      <w:r w:rsidRPr="00743D8F">
        <w:rPr>
          <w:sz w:val="24"/>
          <w:szCs w:val="24"/>
        </w:rPr>
        <w:tab/>
      </w:r>
      <w:r w:rsidR="00956D8C">
        <w:rPr>
          <w:sz w:val="24"/>
          <w:szCs w:val="24"/>
        </w:rPr>
        <w:t>The Commission has not identified any duplication with respect to the information required by Rule 17g-2.</w:t>
      </w:r>
    </w:p>
    <w:p w:rsidRPr="00743D8F" w:rsidR="003E276C" w:rsidP="00743D8F" w:rsidRDefault="003E276C">
      <w:pPr>
        <w:tabs>
          <w:tab w:val="left" w:pos="-720"/>
        </w:tabs>
        <w:suppressAutoHyphens/>
        <w:rPr>
          <w:sz w:val="24"/>
          <w:szCs w:val="24"/>
        </w:rPr>
      </w:pPr>
    </w:p>
    <w:p w:rsidRPr="00571BF4" w:rsidR="003E276C" w:rsidP="00571BF4" w:rsidRDefault="003E276C">
      <w:pPr>
        <w:keepNext/>
        <w:tabs>
          <w:tab w:val="left" w:pos="-720"/>
          <w:tab w:val="left" w:pos="0"/>
          <w:tab w:val="left" w:pos="720"/>
        </w:tabs>
        <w:suppressAutoHyphens/>
        <w:ind w:left="720" w:hanging="1440"/>
        <w:rPr>
          <w:b/>
          <w:sz w:val="24"/>
          <w:szCs w:val="24"/>
        </w:rPr>
      </w:pPr>
      <w:r w:rsidRPr="00743D8F">
        <w:rPr>
          <w:sz w:val="24"/>
          <w:szCs w:val="24"/>
        </w:rPr>
        <w:lastRenderedPageBreak/>
        <w:tab/>
      </w:r>
      <w:r w:rsidRPr="00571BF4">
        <w:rPr>
          <w:b/>
          <w:sz w:val="24"/>
          <w:szCs w:val="24"/>
        </w:rPr>
        <w:t>5.</w:t>
      </w:r>
      <w:r w:rsidRPr="00571BF4">
        <w:rPr>
          <w:b/>
          <w:sz w:val="24"/>
          <w:szCs w:val="24"/>
        </w:rPr>
        <w:tab/>
        <w:t>Effect on Small Entities</w:t>
      </w:r>
    </w:p>
    <w:p w:rsidRPr="00743D8F" w:rsidR="003E276C" w:rsidP="00743D8F" w:rsidRDefault="003E276C">
      <w:pPr>
        <w:keepNext/>
        <w:tabs>
          <w:tab w:val="left" w:pos="-720"/>
        </w:tabs>
        <w:suppressAutoHyphens/>
        <w:rPr>
          <w:sz w:val="24"/>
          <w:szCs w:val="24"/>
        </w:rPr>
      </w:pPr>
    </w:p>
    <w:p w:rsidR="003E276C" w:rsidP="00743D8F" w:rsidRDefault="003E276C">
      <w:pPr>
        <w:tabs>
          <w:tab w:val="left" w:pos="-720"/>
        </w:tabs>
        <w:suppressAutoHyphens/>
        <w:rPr>
          <w:sz w:val="24"/>
          <w:szCs w:val="24"/>
        </w:rPr>
      </w:pPr>
      <w:r w:rsidRPr="00743D8F">
        <w:rPr>
          <w:sz w:val="24"/>
          <w:szCs w:val="24"/>
        </w:rPr>
        <w:tab/>
        <w:t xml:space="preserve">Small entities may be </w:t>
      </w:r>
      <w:r w:rsidRPr="00743D8F" w:rsidR="00B9764F">
        <w:rPr>
          <w:sz w:val="24"/>
          <w:szCs w:val="24"/>
        </w:rPr>
        <w:t>a</w:t>
      </w:r>
      <w:r w:rsidRPr="00743D8F">
        <w:rPr>
          <w:sz w:val="24"/>
          <w:szCs w:val="24"/>
        </w:rPr>
        <w:t xml:space="preserve">ffected by the rule </w:t>
      </w:r>
      <w:r w:rsidR="00DD5E10">
        <w:rPr>
          <w:sz w:val="24"/>
          <w:szCs w:val="24"/>
        </w:rPr>
        <w:t xml:space="preserve">amendments </w:t>
      </w:r>
      <w:r w:rsidRPr="00743D8F" w:rsidR="009369BE">
        <w:rPr>
          <w:sz w:val="24"/>
          <w:szCs w:val="24"/>
        </w:rPr>
        <w:t>because</w:t>
      </w:r>
      <w:r w:rsidRPr="00743D8F">
        <w:rPr>
          <w:sz w:val="24"/>
          <w:szCs w:val="24"/>
        </w:rPr>
        <w:t xml:space="preserve"> all </w:t>
      </w:r>
      <w:r w:rsidRPr="00743D8F" w:rsidR="00B9764F">
        <w:rPr>
          <w:sz w:val="24"/>
          <w:szCs w:val="24"/>
        </w:rPr>
        <w:t>credit rating agencies,</w:t>
      </w:r>
      <w:r w:rsidRPr="00743D8F">
        <w:rPr>
          <w:sz w:val="24"/>
          <w:szCs w:val="24"/>
        </w:rPr>
        <w:t xml:space="preserve"> regardless of size</w:t>
      </w:r>
      <w:r w:rsidRPr="00743D8F" w:rsidR="00B9764F">
        <w:rPr>
          <w:sz w:val="24"/>
          <w:szCs w:val="24"/>
        </w:rPr>
        <w:t xml:space="preserve">, that </w:t>
      </w:r>
      <w:r w:rsidRPr="00743D8F" w:rsidR="001706C9">
        <w:rPr>
          <w:sz w:val="24"/>
          <w:szCs w:val="24"/>
        </w:rPr>
        <w:t>are registered as NRSROs</w:t>
      </w:r>
      <w:r w:rsidR="0034552B">
        <w:rPr>
          <w:sz w:val="24"/>
          <w:szCs w:val="24"/>
        </w:rPr>
        <w:t xml:space="preserve"> </w:t>
      </w:r>
      <w:r w:rsidR="003D3C46">
        <w:rPr>
          <w:sz w:val="24"/>
          <w:szCs w:val="24"/>
        </w:rPr>
        <w:t>w</w:t>
      </w:r>
      <w:r w:rsidR="00486095">
        <w:rPr>
          <w:sz w:val="24"/>
          <w:szCs w:val="24"/>
        </w:rPr>
        <w:t>ill</w:t>
      </w:r>
      <w:r w:rsidRPr="00743D8F" w:rsidR="00C60448">
        <w:rPr>
          <w:sz w:val="24"/>
          <w:szCs w:val="24"/>
        </w:rPr>
        <w:t xml:space="preserve"> be required to </w:t>
      </w:r>
      <w:r w:rsidRPr="00743D8F" w:rsidR="001706C9">
        <w:rPr>
          <w:sz w:val="24"/>
          <w:szCs w:val="24"/>
        </w:rPr>
        <w:t xml:space="preserve">make and retain records </w:t>
      </w:r>
      <w:r w:rsidRPr="00743D8F" w:rsidR="00B9764F">
        <w:rPr>
          <w:sz w:val="24"/>
          <w:szCs w:val="24"/>
        </w:rPr>
        <w:t xml:space="preserve">in accordance with </w:t>
      </w:r>
      <w:r w:rsidR="00486095">
        <w:rPr>
          <w:sz w:val="24"/>
          <w:szCs w:val="24"/>
        </w:rPr>
        <w:t>Rule 17g-2</w:t>
      </w:r>
      <w:r w:rsidRPr="00743D8F" w:rsidR="00B9764F">
        <w:rPr>
          <w:sz w:val="24"/>
          <w:szCs w:val="24"/>
        </w:rPr>
        <w:t>.</w:t>
      </w:r>
      <w:r w:rsidR="00571BF4">
        <w:rPr>
          <w:sz w:val="24"/>
          <w:szCs w:val="24"/>
        </w:rPr>
        <w:t xml:space="preserve">  The Commission solicited comment </w:t>
      </w:r>
      <w:r w:rsidR="004F105C">
        <w:rPr>
          <w:sz w:val="24"/>
          <w:szCs w:val="24"/>
        </w:rPr>
        <w:t xml:space="preserve">in the proposing release </w:t>
      </w:r>
      <w:r w:rsidR="00571BF4">
        <w:rPr>
          <w:sz w:val="24"/>
          <w:szCs w:val="24"/>
        </w:rPr>
        <w:t>on whether there are ways to minimize the burden of the collection of information requirements on those who are to respond.</w:t>
      </w:r>
      <w:r w:rsidR="00D65447">
        <w:rPr>
          <w:rStyle w:val="FootnoteReference"/>
          <w:sz w:val="24"/>
          <w:szCs w:val="24"/>
        </w:rPr>
        <w:footnoteReference w:id="15"/>
      </w:r>
      <w:r w:rsidRPr="00C92122" w:rsidR="00C92122">
        <w:rPr>
          <w:sz w:val="24"/>
          <w:szCs w:val="24"/>
        </w:rPr>
        <w:t xml:space="preserve"> </w:t>
      </w:r>
      <w:r w:rsidR="00C92122">
        <w:rPr>
          <w:sz w:val="24"/>
          <w:szCs w:val="24"/>
        </w:rPr>
        <w:t xml:space="preserve"> </w:t>
      </w:r>
      <w:r w:rsidRPr="0060799F" w:rsidR="00C92122">
        <w:rPr>
          <w:sz w:val="24"/>
          <w:szCs w:val="24"/>
        </w:rPr>
        <w:t>With respect to paragraph (b</w:t>
      </w:r>
      <w:proofErr w:type="gramStart"/>
      <w:r w:rsidRPr="0060799F" w:rsidR="00C92122">
        <w:rPr>
          <w:sz w:val="24"/>
          <w:szCs w:val="24"/>
        </w:rPr>
        <w:t>)(</w:t>
      </w:r>
      <w:proofErr w:type="gramEnd"/>
      <w:r w:rsidRPr="0060799F" w:rsidR="00C92122">
        <w:rPr>
          <w:sz w:val="24"/>
          <w:szCs w:val="24"/>
        </w:rPr>
        <w:t>12) of Rule 17g-2, one commenter stated that the requirement to document internal controls is burdensome, particularly for smaller NRSROs, and argued that an NRSRO should be allowed to establish its own documenta</w:t>
      </w:r>
      <w:r w:rsidR="00C92122">
        <w:rPr>
          <w:sz w:val="24"/>
          <w:szCs w:val="24"/>
        </w:rPr>
        <w:t>tion policies and procedures.</w:t>
      </w:r>
      <w:r w:rsidR="00C92122">
        <w:rPr>
          <w:rStyle w:val="FootnoteReference"/>
          <w:sz w:val="24"/>
          <w:szCs w:val="24"/>
        </w:rPr>
        <w:footnoteReference w:id="16"/>
      </w:r>
      <w:r w:rsidR="00C92122">
        <w:rPr>
          <w:sz w:val="24"/>
          <w:szCs w:val="24"/>
        </w:rPr>
        <w:t xml:space="preserve">  </w:t>
      </w:r>
      <w:r w:rsidRPr="0060799F" w:rsidR="00C92122">
        <w:rPr>
          <w:sz w:val="24"/>
          <w:szCs w:val="24"/>
        </w:rPr>
        <w:t>However, the Commission is not imposing docume</w:t>
      </w:r>
      <w:r w:rsidR="00C92122">
        <w:rPr>
          <w:sz w:val="24"/>
          <w:szCs w:val="24"/>
        </w:rPr>
        <w:t>ntation requirements.  Rather, s</w:t>
      </w:r>
      <w:r w:rsidRPr="0060799F" w:rsidR="00C92122">
        <w:rPr>
          <w:sz w:val="24"/>
          <w:szCs w:val="24"/>
        </w:rPr>
        <w:t>ection 15E(c</w:t>
      </w:r>
      <w:proofErr w:type="gramStart"/>
      <w:r w:rsidRPr="0060799F" w:rsidR="00C92122">
        <w:rPr>
          <w:sz w:val="24"/>
          <w:szCs w:val="24"/>
        </w:rPr>
        <w:t>)(</w:t>
      </w:r>
      <w:proofErr w:type="gramEnd"/>
      <w:r w:rsidRPr="0060799F" w:rsidR="00C92122">
        <w:rPr>
          <w:sz w:val="24"/>
          <w:szCs w:val="24"/>
        </w:rPr>
        <w:t>3)(A) of the Exchange Act requires an NRSRO, among other things, to document its internal control structure.</w:t>
      </w:r>
      <w:r w:rsidR="00C92122">
        <w:rPr>
          <w:rStyle w:val="FootnoteReference"/>
          <w:sz w:val="24"/>
          <w:szCs w:val="24"/>
        </w:rPr>
        <w:footnoteReference w:id="17"/>
      </w:r>
    </w:p>
    <w:p w:rsidRPr="00743D8F" w:rsidR="00955EB4" w:rsidP="00743D8F" w:rsidRDefault="00955EB4">
      <w:pPr>
        <w:tabs>
          <w:tab w:val="left" w:pos="-720"/>
        </w:tabs>
        <w:suppressAutoHyphens/>
        <w:rPr>
          <w:sz w:val="24"/>
          <w:szCs w:val="24"/>
        </w:rPr>
      </w:pPr>
    </w:p>
    <w:p w:rsidRPr="00571BF4" w:rsidR="003E276C" w:rsidP="00571BF4" w:rsidRDefault="003E276C">
      <w:pPr>
        <w:keepNext/>
        <w:tabs>
          <w:tab w:val="left" w:pos="-720"/>
          <w:tab w:val="left" w:pos="0"/>
          <w:tab w:val="left" w:pos="720"/>
        </w:tabs>
        <w:suppressAutoHyphens/>
        <w:ind w:left="720" w:hanging="720"/>
        <w:rPr>
          <w:b/>
          <w:sz w:val="24"/>
          <w:szCs w:val="24"/>
        </w:rPr>
      </w:pPr>
      <w:r w:rsidRPr="00571BF4">
        <w:rPr>
          <w:b/>
          <w:sz w:val="24"/>
          <w:szCs w:val="24"/>
        </w:rPr>
        <w:t>6.</w:t>
      </w:r>
      <w:r w:rsidRPr="00571BF4">
        <w:rPr>
          <w:b/>
          <w:sz w:val="24"/>
          <w:szCs w:val="24"/>
        </w:rPr>
        <w:tab/>
        <w:t xml:space="preserve">Consequences of </w:t>
      </w:r>
      <w:r w:rsidR="000E14C7">
        <w:rPr>
          <w:b/>
          <w:sz w:val="24"/>
          <w:szCs w:val="24"/>
        </w:rPr>
        <w:t>Not Conducting</w:t>
      </w:r>
      <w:r w:rsidRPr="00571BF4">
        <w:rPr>
          <w:b/>
          <w:sz w:val="24"/>
          <w:szCs w:val="24"/>
        </w:rPr>
        <w:t xml:space="preserve"> Collection</w:t>
      </w:r>
    </w:p>
    <w:p w:rsidRPr="00743D8F" w:rsidR="003E276C" w:rsidP="00743D8F" w:rsidRDefault="003E276C">
      <w:pPr>
        <w:keepNext/>
        <w:tabs>
          <w:tab w:val="left" w:pos="-720"/>
        </w:tabs>
        <w:suppressAutoHyphens/>
        <w:rPr>
          <w:sz w:val="24"/>
          <w:szCs w:val="24"/>
        </w:rPr>
      </w:pPr>
    </w:p>
    <w:p w:rsidR="003E276C" w:rsidP="00743D8F" w:rsidRDefault="003E276C">
      <w:pPr>
        <w:pStyle w:val="BodyText"/>
        <w:jc w:val="left"/>
      </w:pPr>
      <w:r w:rsidRPr="00743D8F">
        <w:tab/>
      </w:r>
      <w:r w:rsidRPr="00743D8F" w:rsidR="00F43086">
        <w:t>Up</w:t>
      </w:r>
      <w:r w:rsidR="00C5604C">
        <w:t>-</w:t>
      </w:r>
      <w:r w:rsidRPr="00743D8F" w:rsidR="00F43086">
        <w:t>to</w:t>
      </w:r>
      <w:r w:rsidR="00C5604C">
        <w:t>-</w:t>
      </w:r>
      <w:r w:rsidRPr="00743D8F" w:rsidR="00F43086">
        <w:t>date records are essential for the Commission to monitor whether an NRSRO continues to meet the requirements for registration</w:t>
      </w:r>
      <w:r w:rsidR="003B5ECA">
        <w:t xml:space="preserve"> as an NRSRO</w:t>
      </w:r>
      <w:r w:rsidRPr="00743D8F" w:rsidR="00F43086">
        <w:t>.</w:t>
      </w:r>
      <w:r w:rsidR="0000370E">
        <w:t xml:space="preserve"> </w:t>
      </w:r>
      <w:r w:rsidRPr="00BE7158" w:rsidR="00BE7158">
        <w:t xml:space="preserve"> </w:t>
      </w:r>
      <w:r w:rsidRPr="00F86993" w:rsidR="00BE7158">
        <w:t xml:space="preserve">If </w:t>
      </w:r>
      <w:r w:rsidR="009970EB">
        <w:t xml:space="preserve">an NRSRO </w:t>
      </w:r>
      <w:r w:rsidR="00DA7F6A">
        <w:t>did not</w:t>
      </w:r>
      <w:r w:rsidR="00BE7158">
        <w:t xml:space="preserve"> make these records</w:t>
      </w:r>
      <w:r w:rsidRPr="00F86993" w:rsidR="00BE7158">
        <w:t xml:space="preserve">, or </w:t>
      </w:r>
      <w:r w:rsidR="009970EB">
        <w:t xml:space="preserve">if </w:t>
      </w:r>
      <w:r w:rsidR="00BE7158">
        <w:t>it ma</w:t>
      </w:r>
      <w:r w:rsidR="00DA7F6A">
        <w:t>de</w:t>
      </w:r>
      <w:r w:rsidR="00BE7158">
        <w:t xml:space="preserve"> these records</w:t>
      </w:r>
      <w:r w:rsidRPr="00F86993" w:rsidR="00BE7158">
        <w:t xml:space="preserve"> less frequently, the </w:t>
      </w:r>
      <w:r w:rsidR="00DA7F6A">
        <w:t>goals of the Rating Agency Act--including enhancing the information used by investors to make investment decisions--</w:t>
      </w:r>
      <w:r w:rsidR="00DD5E10">
        <w:t>w</w:t>
      </w:r>
      <w:r w:rsidR="00486095">
        <w:t>ill</w:t>
      </w:r>
      <w:r w:rsidR="00DA7F6A">
        <w:t xml:space="preserve"> be diminished</w:t>
      </w:r>
      <w:r w:rsidRPr="00F86993" w:rsidR="00BE7158">
        <w:t>.</w:t>
      </w:r>
      <w:r w:rsidR="00BE7158">
        <w:t xml:space="preserve">  </w:t>
      </w:r>
    </w:p>
    <w:p w:rsidRPr="00743D8F" w:rsidR="007660FC" w:rsidP="00743D8F" w:rsidRDefault="007660FC">
      <w:pPr>
        <w:pStyle w:val="BodyText"/>
        <w:jc w:val="left"/>
      </w:pPr>
    </w:p>
    <w:p w:rsidRPr="009E69E9" w:rsidR="003E276C" w:rsidP="009E69E9" w:rsidRDefault="003E276C">
      <w:pPr>
        <w:keepNext/>
        <w:tabs>
          <w:tab w:val="left" w:pos="-720"/>
          <w:tab w:val="left" w:pos="0"/>
          <w:tab w:val="left" w:pos="720"/>
        </w:tabs>
        <w:suppressAutoHyphens/>
        <w:ind w:left="720" w:hanging="720"/>
        <w:rPr>
          <w:b/>
          <w:sz w:val="24"/>
          <w:szCs w:val="24"/>
        </w:rPr>
      </w:pPr>
      <w:r w:rsidRPr="009E69E9">
        <w:rPr>
          <w:b/>
          <w:sz w:val="24"/>
          <w:szCs w:val="24"/>
        </w:rPr>
        <w:t>7.</w:t>
      </w:r>
      <w:r w:rsidRPr="009E69E9">
        <w:rPr>
          <w:b/>
          <w:sz w:val="24"/>
          <w:szCs w:val="24"/>
        </w:rPr>
        <w:tab/>
        <w:t xml:space="preserve">Inconsistencies </w:t>
      </w:r>
      <w:r w:rsidR="000E65F5">
        <w:rPr>
          <w:b/>
          <w:sz w:val="24"/>
          <w:szCs w:val="24"/>
        </w:rPr>
        <w:t>w</w:t>
      </w:r>
      <w:r w:rsidRPr="009E69E9">
        <w:rPr>
          <w:b/>
          <w:sz w:val="24"/>
          <w:szCs w:val="24"/>
        </w:rPr>
        <w:t xml:space="preserve">ith Guidelines </w:t>
      </w:r>
      <w:r w:rsidR="009E69E9">
        <w:rPr>
          <w:b/>
          <w:sz w:val="24"/>
          <w:szCs w:val="24"/>
        </w:rPr>
        <w:t>i</w:t>
      </w:r>
      <w:r w:rsidRPr="009E69E9">
        <w:rPr>
          <w:b/>
          <w:sz w:val="24"/>
          <w:szCs w:val="24"/>
        </w:rPr>
        <w:t>n 5 CFR 1320.</w:t>
      </w:r>
      <w:r w:rsidR="009E69E9">
        <w:rPr>
          <w:b/>
          <w:sz w:val="24"/>
          <w:szCs w:val="24"/>
        </w:rPr>
        <w:t>8</w:t>
      </w:r>
      <w:r w:rsidRPr="009E69E9">
        <w:rPr>
          <w:b/>
          <w:sz w:val="24"/>
          <w:szCs w:val="24"/>
        </w:rPr>
        <w:t>(d)</w:t>
      </w:r>
    </w:p>
    <w:p w:rsidRPr="00743D8F" w:rsidR="003E276C" w:rsidP="00743D8F" w:rsidRDefault="003E276C">
      <w:pPr>
        <w:keepNext/>
        <w:tabs>
          <w:tab w:val="left" w:pos="-720"/>
        </w:tabs>
        <w:suppressAutoHyphens/>
        <w:rPr>
          <w:sz w:val="24"/>
          <w:szCs w:val="24"/>
        </w:rPr>
      </w:pPr>
    </w:p>
    <w:p w:rsidRPr="00743D8F" w:rsidR="003E276C" w:rsidP="00743D8F" w:rsidRDefault="003E276C">
      <w:pPr>
        <w:tabs>
          <w:tab w:val="left" w:pos="-720"/>
        </w:tabs>
        <w:suppressAutoHyphens/>
        <w:rPr>
          <w:sz w:val="24"/>
          <w:szCs w:val="24"/>
        </w:rPr>
      </w:pPr>
      <w:r w:rsidRPr="00743D8F">
        <w:rPr>
          <w:sz w:val="24"/>
          <w:szCs w:val="24"/>
        </w:rPr>
        <w:tab/>
      </w:r>
      <w:r w:rsidRPr="000E65F5" w:rsidR="000E65F5">
        <w:rPr>
          <w:sz w:val="24"/>
          <w:szCs w:val="24"/>
        </w:rPr>
        <w:t>There are no special circumstances.  This collection is consistent with 5 CFR 1320.8(d).</w:t>
      </w:r>
    </w:p>
    <w:p w:rsidRPr="00743D8F" w:rsidR="003E276C" w:rsidP="00743D8F" w:rsidRDefault="003E276C">
      <w:pPr>
        <w:tabs>
          <w:tab w:val="left" w:pos="-720"/>
          <w:tab w:val="left" w:pos="0"/>
          <w:tab w:val="left" w:pos="720"/>
        </w:tabs>
        <w:suppressAutoHyphens/>
        <w:ind w:left="1440" w:hanging="1440"/>
        <w:rPr>
          <w:sz w:val="24"/>
          <w:szCs w:val="24"/>
        </w:rPr>
      </w:pPr>
    </w:p>
    <w:p w:rsidRPr="006055CD" w:rsidR="003E276C" w:rsidP="006055CD" w:rsidRDefault="003E276C">
      <w:pPr>
        <w:keepNext/>
        <w:tabs>
          <w:tab w:val="left" w:pos="-720"/>
          <w:tab w:val="left" w:pos="0"/>
          <w:tab w:val="left" w:pos="720"/>
        </w:tabs>
        <w:suppressAutoHyphens/>
        <w:ind w:left="720" w:hanging="720"/>
        <w:rPr>
          <w:b/>
          <w:sz w:val="24"/>
          <w:szCs w:val="24"/>
        </w:rPr>
      </w:pPr>
      <w:r w:rsidRPr="006055CD">
        <w:rPr>
          <w:b/>
          <w:sz w:val="24"/>
          <w:szCs w:val="24"/>
        </w:rPr>
        <w:t>8.</w:t>
      </w:r>
      <w:r w:rsidRPr="006055CD">
        <w:rPr>
          <w:b/>
          <w:sz w:val="24"/>
          <w:szCs w:val="24"/>
        </w:rPr>
        <w:tab/>
      </w:r>
      <w:r w:rsidRPr="00B9584C">
        <w:rPr>
          <w:b/>
          <w:sz w:val="24"/>
          <w:szCs w:val="24"/>
        </w:rPr>
        <w:t xml:space="preserve">Consultations </w:t>
      </w:r>
      <w:proofErr w:type="gramStart"/>
      <w:r w:rsidRPr="00B9584C">
        <w:rPr>
          <w:b/>
          <w:sz w:val="24"/>
          <w:szCs w:val="24"/>
        </w:rPr>
        <w:t>Outside</w:t>
      </w:r>
      <w:proofErr w:type="gramEnd"/>
      <w:r w:rsidRPr="00B9584C">
        <w:rPr>
          <w:b/>
          <w:sz w:val="24"/>
          <w:szCs w:val="24"/>
        </w:rPr>
        <w:t xml:space="preserve"> the Agency</w:t>
      </w:r>
    </w:p>
    <w:p w:rsidRPr="00743D8F" w:rsidR="003E276C" w:rsidP="00743D8F" w:rsidRDefault="003E276C">
      <w:pPr>
        <w:keepNext/>
        <w:tabs>
          <w:tab w:val="left" w:pos="-720"/>
        </w:tabs>
        <w:suppressAutoHyphens/>
        <w:rPr>
          <w:sz w:val="24"/>
          <w:szCs w:val="24"/>
        </w:rPr>
      </w:pPr>
    </w:p>
    <w:p w:rsidRPr="00B43D42" w:rsidR="00411BC3" w:rsidP="00411BC3" w:rsidRDefault="003E276C">
      <w:pPr>
        <w:keepNext/>
        <w:tabs>
          <w:tab w:val="left" w:pos="-720"/>
        </w:tabs>
        <w:suppressAutoHyphens/>
        <w:rPr>
          <w:sz w:val="24"/>
          <w:szCs w:val="24"/>
        </w:rPr>
      </w:pPr>
      <w:r w:rsidRPr="009D651C">
        <w:rPr>
          <w:sz w:val="24"/>
          <w:szCs w:val="24"/>
        </w:rPr>
        <w:tab/>
      </w:r>
      <w:r w:rsidRPr="007D0435" w:rsidR="009D651C">
        <w:rPr>
          <w:sz w:val="24"/>
          <w:szCs w:val="24"/>
        </w:rPr>
        <w:t xml:space="preserve">The required notice with a 60-day comment period soliciting comments on this collection of information was published in the Federal Register </w:t>
      </w:r>
      <w:r w:rsidRPr="007D0435" w:rsidR="007D0435">
        <w:rPr>
          <w:sz w:val="24"/>
          <w:szCs w:val="24"/>
        </w:rPr>
        <w:t>on July</w:t>
      </w:r>
      <w:r w:rsidRPr="007D0435" w:rsidR="009D651C">
        <w:rPr>
          <w:sz w:val="24"/>
          <w:szCs w:val="24"/>
        </w:rPr>
        <w:t xml:space="preserve"> 2</w:t>
      </w:r>
      <w:r w:rsidRPr="007D0435" w:rsidR="007D0435">
        <w:rPr>
          <w:sz w:val="24"/>
          <w:szCs w:val="24"/>
        </w:rPr>
        <w:t>2</w:t>
      </w:r>
      <w:r w:rsidRPr="007D0435" w:rsidR="009D651C">
        <w:rPr>
          <w:sz w:val="24"/>
          <w:szCs w:val="24"/>
        </w:rPr>
        <w:t>, 20</w:t>
      </w:r>
      <w:r w:rsidRPr="007D0435" w:rsidR="007D0435">
        <w:rPr>
          <w:sz w:val="24"/>
          <w:szCs w:val="24"/>
        </w:rPr>
        <w:t>2</w:t>
      </w:r>
      <w:r w:rsidR="007D0435">
        <w:rPr>
          <w:sz w:val="24"/>
          <w:szCs w:val="24"/>
        </w:rPr>
        <w:t>0</w:t>
      </w:r>
      <w:r w:rsidR="009D651C">
        <w:t>.</w:t>
      </w:r>
      <w:r w:rsidR="009D651C">
        <w:rPr>
          <w:rStyle w:val="FootnoteReference"/>
        </w:rPr>
        <w:footnoteReference w:id="18"/>
      </w:r>
      <w:r w:rsidR="009D651C">
        <w:t xml:space="preserve"> </w:t>
      </w:r>
      <w:r w:rsidRPr="009D651C" w:rsidR="009D651C">
        <w:rPr>
          <w:sz w:val="24"/>
          <w:szCs w:val="24"/>
        </w:rPr>
        <w:t xml:space="preserve"> No comments were received. </w:t>
      </w:r>
    </w:p>
    <w:p w:rsidRPr="00743D8F" w:rsidR="003E276C" w:rsidP="00743D8F" w:rsidRDefault="003E276C">
      <w:pPr>
        <w:tabs>
          <w:tab w:val="left" w:pos="-720"/>
        </w:tabs>
        <w:suppressAutoHyphens/>
        <w:rPr>
          <w:sz w:val="24"/>
          <w:szCs w:val="24"/>
        </w:rPr>
      </w:pPr>
    </w:p>
    <w:p w:rsidRPr="00F528F2" w:rsidR="003E276C" w:rsidP="00F528F2" w:rsidRDefault="003E276C">
      <w:pPr>
        <w:keepNext/>
        <w:tabs>
          <w:tab w:val="left" w:pos="-720"/>
          <w:tab w:val="left" w:pos="0"/>
          <w:tab w:val="left" w:pos="720"/>
        </w:tabs>
        <w:suppressAutoHyphens/>
        <w:ind w:left="720" w:hanging="720"/>
        <w:rPr>
          <w:b/>
          <w:sz w:val="24"/>
          <w:szCs w:val="24"/>
        </w:rPr>
      </w:pPr>
      <w:r w:rsidRPr="00F528F2">
        <w:rPr>
          <w:b/>
          <w:sz w:val="24"/>
          <w:szCs w:val="24"/>
        </w:rPr>
        <w:t>9.</w:t>
      </w:r>
      <w:r w:rsidRPr="00F528F2">
        <w:rPr>
          <w:b/>
          <w:sz w:val="24"/>
          <w:szCs w:val="24"/>
        </w:rPr>
        <w:tab/>
        <w:t>Payment or Gift</w:t>
      </w:r>
    </w:p>
    <w:p w:rsidRPr="00743D8F" w:rsidR="003E276C" w:rsidP="00743D8F" w:rsidRDefault="003E276C">
      <w:pPr>
        <w:keepNext/>
        <w:tabs>
          <w:tab w:val="left" w:pos="-720"/>
        </w:tabs>
        <w:suppressAutoHyphens/>
        <w:rPr>
          <w:sz w:val="24"/>
          <w:szCs w:val="24"/>
        </w:rPr>
      </w:pPr>
    </w:p>
    <w:p w:rsidR="003E276C" w:rsidP="00743D8F" w:rsidRDefault="00094DFD">
      <w:pPr>
        <w:tabs>
          <w:tab w:val="left" w:pos="-720"/>
        </w:tabs>
        <w:suppressAutoHyphens/>
        <w:rPr>
          <w:sz w:val="24"/>
          <w:szCs w:val="24"/>
        </w:rPr>
      </w:pPr>
      <w:r>
        <w:rPr>
          <w:sz w:val="24"/>
          <w:szCs w:val="24"/>
        </w:rPr>
        <w:tab/>
        <w:t>The Commission did not provide any payment or gift to respondents in connection with the rulemaking.</w:t>
      </w:r>
    </w:p>
    <w:p w:rsidRPr="00743D8F" w:rsidR="00094DFD" w:rsidP="00743D8F" w:rsidRDefault="00094DFD">
      <w:pPr>
        <w:tabs>
          <w:tab w:val="left" w:pos="-720"/>
        </w:tabs>
        <w:suppressAutoHyphens/>
        <w:rPr>
          <w:sz w:val="24"/>
          <w:szCs w:val="24"/>
        </w:rPr>
      </w:pPr>
    </w:p>
    <w:p w:rsidRPr="00094DFD" w:rsidR="003E276C" w:rsidP="00094DFD" w:rsidRDefault="003E276C">
      <w:pPr>
        <w:keepNext/>
        <w:tabs>
          <w:tab w:val="left" w:pos="-720"/>
          <w:tab w:val="left" w:pos="0"/>
          <w:tab w:val="left" w:pos="720"/>
        </w:tabs>
        <w:suppressAutoHyphens/>
        <w:ind w:left="720" w:hanging="720"/>
        <w:rPr>
          <w:b/>
          <w:sz w:val="24"/>
          <w:szCs w:val="24"/>
        </w:rPr>
      </w:pPr>
      <w:r w:rsidRPr="00094DFD">
        <w:rPr>
          <w:b/>
          <w:sz w:val="24"/>
          <w:szCs w:val="24"/>
        </w:rPr>
        <w:lastRenderedPageBreak/>
        <w:t>10.</w:t>
      </w:r>
      <w:r w:rsidRPr="00094DFD">
        <w:rPr>
          <w:b/>
          <w:sz w:val="24"/>
          <w:szCs w:val="24"/>
        </w:rPr>
        <w:tab/>
        <w:t>Confidentiality</w:t>
      </w:r>
    </w:p>
    <w:p w:rsidRPr="00743D8F" w:rsidR="003E276C" w:rsidP="00743D8F" w:rsidRDefault="003E276C">
      <w:pPr>
        <w:keepNext/>
        <w:tabs>
          <w:tab w:val="left" w:pos="-720"/>
        </w:tabs>
        <w:suppressAutoHyphens/>
        <w:rPr>
          <w:sz w:val="24"/>
          <w:szCs w:val="24"/>
        </w:rPr>
      </w:pPr>
    </w:p>
    <w:p w:rsidR="009B2366" w:rsidP="009B2366" w:rsidRDefault="003E276C">
      <w:pPr>
        <w:pStyle w:val="BodyText"/>
        <w:jc w:val="left"/>
      </w:pPr>
      <w:r w:rsidRPr="00743D8F">
        <w:tab/>
      </w:r>
      <w:r w:rsidRPr="00BC5DDA" w:rsidR="00BC5DDA">
        <w:t>The records that an NRSRO</w:t>
      </w:r>
      <w:r w:rsidR="00BC5DDA">
        <w:t xml:space="preserve"> must make and retain </w:t>
      </w:r>
      <w:r w:rsidRPr="00BC5DDA" w:rsidR="00BC5DDA">
        <w:t>under the amendments to Rule 17g-2 will be made available to the Commission and its representatives as required in connection with examinations, investigations, and enforcement proceedings.</w:t>
      </w:r>
      <w:r w:rsidR="00BC5DDA">
        <w:t xml:space="preserve">  </w:t>
      </w:r>
      <w:r w:rsidR="00094DFD">
        <w:t>The confidentiality of the information submitted to the Commission under the rule will be protected only to the extent permitted by FOIA.</w:t>
      </w:r>
      <w:r w:rsidRPr="00F86993" w:rsidR="009B2366">
        <w:t xml:space="preserve">  </w:t>
      </w:r>
    </w:p>
    <w:p w:rsidRPr="00F86993" w:rsidR="009A6408" w:rsidP="009B2366" w:rsidRDefault="009A6408">
      <w:pPr>
        <w:pStyle w:val="BodyText"/>
        <w:jc w:val="left"/>
      </w:pPr>
    </w:p>
    <w:p w:rsidRPr="00F82A51" w:rsidR="003E276C" w:rsidP="00BA298B" w:rsidRDefault="003E276C">
      <w:pPr>
        <w:pStyle w:val="BodyText"/>
        <w:jc w:val="left"/>
        <w:rPr>
          <w:b/>
        </w:rPr>
      </w:pPr>
      <w:r w:rsidRPr="00743D8F">
        <w:t xml:space="preserve"> </w:t>
      </w:r>
      <w:r w:rsidRPr="00F82A51">
        <w:rPr>
          <w:b/>
        </w:rPr>
        <w:t>11.</w:t>
      </w:r>
      <w:r w:rsidRPr="00F82A51">
        <w:rPr>
          <w:b/>
        </w:rPr>
        <w:tab/>
        <w:t>Sensitive Questions</w:t>
      </w:r>
    </w:p>
    <w:p w:rsidRPr="00743D8F" w:rsidR="003E276C" w:rsidP="00743D8F" w:rsidRDefault="003E276C">
      <w:pPr>
        <w:keepNext/>
        <w:tabs>
          <w:tab w:val="left" w:pos="-720"/>
        </w:tabs>
        <w:suppressAutoHyphens/>
        <w:rPr>
          <w:sz w:val="24"/>
          <w:szCs w:val="24"/>
        </w:rPr>
      </w:pPr>
    </w:p>
    <w:p w:rsidR="003E276C" w:rsidP="00743D8F" w:rsidRDefault="00F82A51">
      <w:pPr>
        <w:tabs>
          <w:tab w:val="left" w:pos="-720"/>
        </w:tabs>
        <w:suppressAutoHyphens/>
        <w:rPr>
          <w:sz w:val="24"/>
          <w:szCs w:val="24"/>
        </w:rPr>
      </w:pPr>
      <w:r>
        <w:rPr>
          <w:sz w:val="24"/>
          <w:szCs w:val="24"/>
        </w:rPr>
        <w:tab/>
      </w:r>
      <w:r w:rsidR="00594B90">
        <w:rPr>
          <w:sz w:val="24"/>
          <w:szCs w:val="24"/>
        </w:rPr>
        <w:t>No inquiries of a sensitive nature were made</w:t>
      </w:r>
      <w:r w:rsidR="00923BF3">
        <w:rPr>
          <w:sz w:val="24"/>
          <w:szCs w:val="24"/>
        </w:rPr>
        <w:t>.</w:t>
      </w:r>
      <w:r w:rsidR="00594B90">
        <w:rPr>
          <w:sz w:val="24"/>
          <w:szCs w:val="24"/>
        </w:rPr>
        <w:t xml:space="preserve"> This information collection does not collect any personal identifiable information.</w:t>
      </w:r>
    </w:p>
    <w:p w:rsidRPr="00743D8F" w:rsidR="0034552B" w:rsidP="00743D8F" w:rsidRDefault="0034552B">
      <w:pPr>
        <w:tabs>
          <w:tab w:val="left" w:pos="-720"/>
        </w:tabs>
        <w:suppressAutoHyphens/>
        <w:rPr>
          <w:sz w:val="24"/>
          <w:szCs w:val="24"/>
        </w:rPr>
      </w:pPr>
    </w:p>
    <w:p w:rsidRPr="00D14684" w:rsidR="003E276C" w:rsidP="00D14684" w:rsidRDefault="003E276C">
      <w:pPr>
        <w:keepNext/>
        <w:tabs>
          <w:tab w:val="left" w:pos="-720"/>
          <w:tab w:val="left" w:pos="0"/>
          <w:tab w:val="left" w:pos="720"/>
        </w:tabs>
        <w:suppressAutoHyphens/>
        <w:ind w:left="720" w:hanging="720"/>
        <w:rPr>
          <w:b/>
          <w:sz w:val="24"/>
          <w:szCs w:val="24"/>
        </w:rPr>
      </w:pPr>
      <w:r w:rsidRPr="00D14684">
        <w:rPr>
          <w:b/>
          <w:sz w:val="24"/>
          <w:szCs w:val="24"/>
        </w:rPr>
        <w:t>12.</w:t>
      </w:r>
      <w:r w:rsidRPr="00D14684">
        <w:rPr>
          <w:b/>
          <w:sz w:val="24"/>
          <w:szCs w:val="24"/>
        </w:rPr>
        <w:tab/>
      </w:r>
      <w:r w:rsidRPr="00637CF6" w:rsidR="000E14C7">
        <w:rPr>
          <w:b/>
          <w:sz w:val="24"/>
          <w:szCs w:val="24"/>
        </w:rPr>
        <w:t>Burden of Information Collection</w:t>
      </w:r>
    </w:p>
    <w:p w:rsidR="002E1756" w:rsidP="00E40068" w:rsidRDefault="002E1756">
      <w:pPr>
        <w:rPr>
          <w:sz w:val="24"/>
          <w:szCs w:val="24"/>
        </w:rPr>
      </w:pPr>
      <w:r>
        <w:rPr>
          <w:sz w:val="24"/>
          <w:szCs w:val="24"/>
        </w:rPr>
        <w:tab/>
      </w:r>
    </w:p>
    <w:p w:rsidR="00FD295E" w:rsidP="00FD295E" w:rsidRDefault="009A6408">
      <w:pPr>
        <w:pStyle w:val="BodyText"/>
        <w:ind w:firstLine="720"/>
        <w:jc w:val="left"/>
        <w:rPr>
          <w:iCs/>
        </w:rPr>
      </w:pPr>
      <w:r>
        <w:t>T</w:t>
      </w:r>
      <w:r w:rsidR="00FD295E">
        <w:t xml:space="preserve">he </w:t>
      </w:r>
      <w:r w:rsidR="00FD295E">
        <w:rPr>
          <w:iCs/>
        </w:rPr>
        <w:t>C</w:t>
      </w:r>
      <w:r w:rsidRPr="00D14A3C" w:rsidR="00FD295E">
        <w:rPr>
          <w:iCs/>
        </w:rPr>
        <w:t xml:space="preserve">ommission </w:t>
      </w:r>
      <w:r w:rsidR="002C25D5">
        <w:rPr>
          <w:iCs/>
        </w:rPr>
        <w:t xml:space="preserve">previously </w:t>
      </w:r>
      <w:r w:rsidRPr="00D14A3C" w:rsidR="00FD295E">
        <w:rPr>
          <w:iCs/>
        </w:rPr>
        <w:t>es</w:t>
      </w:r>
      <w:r w:rsidR="00DA3719">
        <w:rPr>
          <w:iCs/>
        </w:rPr>
        <w:t>timate</w:t>
      </w:r>
      <w:r w:rsidR="002C25D5">
        <w:rPr>
          <w:iCs/>
        </w:rPr>
        <w:t>d</w:t>
      </w:r>
      <w:r w:rsidRPr="00D14A3C" w:rsidR="00FD295E">
        <w:rPr>
          <w:iCs/>
        </w:rPr>
        <w:t xml:space="preserve"> that an NRSRO w</w:t>
      </w:r>
      <w:r w:rsidR="00FD295E">
        <w:rPr>
          <w:iCs/>
        </w:rPr>
        <w:t>ill</w:t>
      </w:r>
      <w:r w:rsidRPr="00D14A3C" w:rsidR="00FD295E">
        <w:rPr>
          <w:iCs/>
        </w:rPr>
        <w:t xml:space="preserve"> spend an average of 2</w:t>
      </w:r>
      <w:r w:rsidR="009D651C">
        <w:rPr>
          <w:iCs/>
        </w:rPr>
        <w:t>3</w:t>
      </w:r>
      <w:r w:rsidRPr="00D14A3C" w:rsidR="00FD295E">
        <w:rPr>
          <w:iCs/>
        </w:rPr>
        <w:t>9 hours per year</w:t>
      </w:r>
      <w:r w:rsidRPr="00D14A3C" w:rsidR="00FD295E">
        <w:rPr>
          <w:rStyle w:val="FootnoteReference"/>
          <w:iCs/>
        </w:rPr>
        <w:footnoteReference w:id="19"/>
      </w:r>
      <w:r w:rsidRPr="00D14A3C" w:rsidR="00FD295E">
        <w:rPr>
          <w:iCs/>
        </w:rPr>
        <w:t xml:space="preserve"> to make and </w:t>
      </w:r>
      <w:r w:rsidR="00914871">
        <w:rPr>
          <w:iCs/>
        </w:rPr>
        <w:t>retain records under Rule 17g-2</w:t>
      </w:r>
      <w:r w:rsidRPr="00D14A3C" w:rsidR="00FD295E">
        <w:rPr>
          <w:iCs/>
        </w:rPr>
        <w:t xml:space="preserve">, for a total </w:t>
      </w:r>
      <w:r w:rsidR="00FD295E">
        <w:rPr>
          <w:iCs/>
        </w:rPr>
        <w:t>ongoing</w:t>
      </w:r>
      <w:r w:rsidRPr="00D14A3C" w:rsidR="00FD295E">
        <w:rPr>
          <w:iCs/>
        </w:rPr>
        <w:t xml:space="preserve"> hour burden under Rule 17g-2 of </w:t>
      </w:r>
      <w:r w:rsidR="00FD295E">
        <w:rPr>
          <w:iCs/>
        </w:rPr>
        <w:t>2,</w:t>
      </w:r>
      <w:r w:rsidR="009D651C">
        <w:rPr>
          <w:iCs/>
        </w:rPr>
        <w:t>3</w:t>
      </w:r>
      <w:r w:rsidR="00FD295E">
        <w:rPr>
          <w:iCs/>
        </w:rPr>
        <w:t>90</w:t>
      </w:r>
      <w:r w:rsidRPr="00D14A3C" w:rsidR="00FD295E">
        <w:rPr>
          <w:iCs/>
        </w:rPr>
        <w:t xml:space="preserve"> </w:t>
      </w:r>
      <w:r w:rsidR="00B820E6">
        <w:rPr>
          <w:iCs/>
        </w:rPr>
        <w:t xml:space="preserve">annual </w:t>
      </w:r>
      <w:r w:rsidRPr="00D14A3C" w:rsidR="00FD295E">
        <w:rPr>
          <w:iCs/>
        </w:rPr>
        <w:t>hours.</w:t>
      </w:r>
      <w:r w:rsidRPr="00D14A3C" w:rsidR="00FD295E">
        <w:rPr>
          <w:rStyle w:val="FootnoteReference"/>
          <w:iCs/>
        </w:rPr>
        <w:footnoteReference w:id="20"/>
      </w:r>
      <w:r w:rsidRPr="00D14A3C" w:rsidR="00FD295E">
        <w:rPr>
          <w:iCs/>
        </w:rPr>
        <w:t xml:space="preserve">  </w:t>
      </w:r>
      <w:r w:rsidR="00FD295E">
        <w:rPr>
          <w:iCs/>
        </w:rPr>
        <w:t xml:space="preserve">The Commission considers </w:t>
      </w:r>
      <w:r>
        <w:rPr>
          <w:iCs/>
        </w:rPr>
        <w:t>this</w:t>
      </w:r>
      <w:r w:rsidR="00957CC1">
        <w:rPr>
          <w:iCs/>
        </w:rPr>
        <w:t xml:space="preserve"> burden to be </w:t>
      </w:r>
      <w:r>
        <w:rPr>
          <w:iCs/>
        </w:rPr>
        <w:t xml:space="preserve">a </w:t>
      </w:r>
      <w:r w:rsidR="00957CC1">
        <w:rPr>
          <w:iCs/>
        </w:rPr>
        <w:t>record</w:t>
      </w:r>
      <w:r w:rsidR="00FD295E">
        <w:rPr>
          <w:iCs/>
        </w:rPr>
        <w:t>keeping burden.</w:t>
      </w:r>
    </w:p>
    <w:p w:rsidR="00FD295E" w:rsidP="00FD295E" w:rsidRDefault="00FD295E">
      <w:pPr>
        <w:pStyle w:val="BodyText"/>
        <w:ind w:firstLine="720"/>
        <w:jc w:val="left"/>
        <w:rPr>
          <w:iCs/>
        </w:rPr>
      </w:pPr>
    </w:p>
    <w:p w:rsidR="009D651C" w:rsidP="00FD295E" w:rsidRDefault="009D651C">
      <w:pPr>
        <w:pStyle w:val="BodyText"/>
        <w:ind w:firstLine="720"/>
        <w:jc w:val="left"/>
        <w:rPr>
          <w:iCs/>
        </w:rPr>
      </w:pPr>
      <w:r>
        <w:rPr>
          <w:iCs/>
        </w:rPr>
        <w:t>No changes have been made to the estimated burden, except that there are now nine re</w:t>
      </w:r>
      <w:r w:rsidR="005B3987">
        <w:rPr>
          <w:iCs/>
        </w:rPr>
        <w:t xml:space="preserve">gistered entities, so the </w:t>
      </w:r>
      <w:r>
        <w:rPr>
          <w:iCs/>
        </w:rPr>
        <w:t xml:space="preserve">ongoing </w:t>
      </w:r>
      <w:r w:rsidR="005B3987">
        <w:rPr>
          <w:iCs/>
        </w:rPr>
        <w:t xml:space="preserve">total industry </w:t>
      </w:r>
      <w:r>
        <w:rPr>
          <w:iCs/>
        </w:rPr>
        <w:t>hour burden under Rule 17g-2, is 2,151 hours.</w:t>
      </w:r>
      <w:r>
        <w:rPr>
          <w:rStyle w:val="FootnoteReference"/>
          <w:iCs/>
        </w:rPr>
        <w:footnoteReference w:id="21"/>
      </w:r>
      <w:r>
        <w:rPr>
          <w:iCs/>
        </w:rPr>
        <w:t xml:space="preserve"> </w:t>
      </w:r>
    </w:p>
    <w:p w:rsidR="00327B5E" w:rsidP="00FD295E" w:rsidRDefault="00327B5E">
      <w:pPr>
        <w:pStyle w:val="BodyText"/>
        <w:ind w:firstLine="720"/>
        <w:jc w:val="left"/>
        <w:rPr>
          <w:iCs/>
        </w:rPr>
      </w:pPr>
    </w:p>
    <w:tbl>
      <w:tblPr>
        <w:tblW w:w="5000" w:type="pct"/>
        <w:tblCellSpacing w:w="22" w:type="dxa"/>
        <w:tblCellMar>
          <w:left w:w="0" w:type="dxa"/>
          <w:right w:w="0" w:type="dxa"/>
        </w:tblCellMar>
        <w:tblLook w:val="04A0" w:firstRow="1" w:lastRow="0" w:firstColumn="1" w:lastColumn="0" w:noHBand="0" w:noVBand="1"/>
      </w:tblPr>
      <w:tblGrid>
        <w:gridCol w:w="9271"/>
        <w:gridCol w:w="89"/>
      </w:tblGrid>
      <w:tr w:rsidR="00327B5E" w:rsidTr="009B6CDD">
        <w:trPr>
          <w:gridAfter w:val="1"/>
          <w:wAfter w:w="2" w:type="pct"/>
          <w:tblCellSpacing w:w="22" w:type="dxa"/>
        </w:trPr>
        <w:tc>
          <w:tcPr>
            <w:tcW w:w="4929" w:type="pct"/>
            <w:tcMar>
              <w:top w:w="15" w:type="dxa"/>
              <w:left w:w="15" w:type="dxa"/>
              <w:bottom w:w="15" w:type="dxa"/>
              <w:right w:w="15" w:type="dxa"/>
            </w:tcMar>
            <w:vAlign w:val="center"/>
          </w:tcPr>
          <w:tbl>
            <w:tblPr>
              <w:tblW w:w="9161" w:type="dxa"/>
              <w:tblLook w:val="04A0" w:firstRow="1" w:lastRow="0" w:firstColumn="1" w:lastColumn="0" w:noHBand="0" w:noVBand="1"/>
            </w:tblPr>
            <w:tblGrid>
              <w:gridCol w:w="501"/>
              <w:gridCol w:w="1917"/>
              <w:gridCol w:w="664"/>
              <w:gridCol w:w="654"/>
              <w:gridCol w:w="738"/>
              <w:gridCol w:w="829"/>
              <w:gridCol w:w="808"/>
              <w:gridCol w:w="687"/>
              <w:gridCol w:w="748"/>
              <w:gridCol w:w="839"/>
              <w:gridCol w:w="758"/>
            </w:tblGrid>
            <w:tr w:rsidRPr="009B6CDD" w:rsidR="009B6CDD" w:rsidTr="009B6CDD">
              <w:trPr>
                <w:trHeight w:val="290"/>
              </w:trPr>
              <w:tc>
                <w:tcPr>
                  <w:tcW w:w="49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b/>
                      <w:bCs/>
                      <w:color w:val="000000"/>
                      <w:sz w:val="22"/>
                      <w:szCs w:val="22"/>
                    </w:rPr>
                  </w:pPr>
                  <w:r w:rsidRPr="009B6CDD">
                    <w:rPr>
                      <w:rFonts w:ascii="Calibri" w:hAnsi="Calibri" w:cs="Calibri"/>
                      <w:b/>
                      <w:bCs/>
                      <w:color w:val="000000"/>
                      <w:sz w:val="22"/>
                      <w:szCs w:val="22"/>
                    </w:rPr>
                    <w:t>IC</w:t>
                  </w:r>
                </w:p>
              </w:tc>
              <w:tc>
                <w:tcPr>
                  <w:tcW w:w="1923" w:type="dxa"/>
                  <w:tcBorders>
                    <w:top w:val="single" w:color="auto" w:sz="4" w:space="0"/>
                    <w:left w:val="nil"/>
                    <w:bottom w:val="single" w:color="auto" w:sz="4" w:space="0"/>
                    <w:right w:val="single" w:color="auto" w:sz="8" w:space="0"/>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b/>
                      <w:bCs/>
                      <w:color w:val="000000"/>
                      <w:sz w:val="22"/>
                      <w:szCs w:val="22"/>
                    </w:rPr>
                  </w:pPr>
                  <w:r w:rsidRPr="009B6CDD">
                    <w:rPr>
                      <w:rFonts w:ascii="Calibri" w:hAnsi="Calibri" w:cs="Calibri"/>
                      <w:b/>
                      <w:bCs/>
                      <w:color w:val="000000"/>
                      <w:sz w:val="22"/>
                      <w:szCs w:val="22"/>
                    </w:rPr>
                    <w:t>IC Title</w:t>
                  </w:r>
                </w:p>
              </w:tc>
              <w:tc>
                <w:tcPr>
                  <w:tcW w:w="2060" w:type="dxa"/>
                  <w:gridSpan w:val="3"/>
                  <w:tcBorders>
                    <w:top w:val="single" w:color="auto" w:sz="4" w:space="0"/>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jc w:val="center"/>
                    <w:textAlignment w:val="auto"/>
                    <w:rPr>
                      <w:rFonts w:ascii="Calibri" w:hAnsi="Calibri" w:cs="Calibri"/>
                      <w:b/>
                      <w:bCs/>
                      <w:color w:val="000000"/>
                      <w:sz w:val="22"/>
                      <w:szCs w:val="22"/>
                    </w:rPr>
                  </w:pPr>
                  <w:r w:rsidRPr="009B6CDD">
                    <w:rPr>
                      <w:rFonts w:ascii="Calibri" w:hAnsi="Calibri" w:cs="Calibri"/>
                      <w:b/>
                      <w:bCs/>
                      <w:color w:val="000000"/>
                      <w:sz w:val="22"/>
                      <w:szCs w:val="22"/>
                    </w:rPr>
                    <w:t>Annual No. of Responses</w:t>
                  </w:r>
                </w:p>
              </w:tc>
              <w:tc>
                <w:tcPr>
                  <w:tcW w:w="2330"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center"/>
                    <w:textAlignment w:val="auto"/>
                    <w:rPr>
                      <w:rFonts w:ascii="Calibri" w:hAnsi="Calibri" w:cs="Calibri"/>
                      <w:b/>
                      <w:bCs/>
                      <w:color w:val="000000"/>
                      <w:sz w:val="22"/>
                      <w:szCs w:val="22"/>
                    </w:rPr>
                  </w:pPr>
                  <w:r w:rsidRPr="009B6CDD">
                    <w:rPr>
                      <w:rFonts w:ascii="Calibri" w:hAnsi="Calibri" w:cs="Calibri"/>
                      <w:b/>
                      <w:bCs/>
                      <w:color w:val="000000"/>
                      <w:sz w:val="22"/>
                      <w:szCs w:val="22"/>
                    </w:rPr>
                    <w:t>Annual Time Burden (Hrs.)</w:t>
                  </w:r>
                </w:p>
              </w:tc>
              <w:tc>
                <w:tcPr>
                  <w:tcW w:w="2351"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center"/>
                    <w:textAlignment w:val="auto"/>
                    <w:rPr>
                      <w:rFonts w:ascii="Calibri" w:hAnsi="Calibri" w:cs="Calibri"/>
                      <w:b/>
                      <w:bCs/>
                      <w:color w:val="000000"/>
                      <w:sz w:val="22"/>
                      <w:szCs w:val="22"/>
                    </w:rPr>
                  </w:pPr>
                  <w:r w:rsidRPr="009B6CDD">
                    <w:rPr>
                      <w:rFonts w:ascii="Calibri" w:hAnsi="Calibri" w:cs="Calibri"/>
                      <w:b/>
                      <w:bCs/>
                      <w:color w:val="000000"/>
                      <w:sz w:val="22"/>
                      <w:szCs w:val="22"/>
                    </w:rPr>
                    <w:t>Burden Cost Burden ($)</w:t>
                  </w:r>
                </w:p>
              </w:tc>
            </w:tr>
            <w:tr w:rsidRPr="009B6CDD" w:rsidR="009B6CDD" w:rsidTr="009B6CDD">
              <w:trPr>
                <w:cantSplit/>
                <w:trHeight w:val="1134"/>
              </w:trPr>
              <w:tc>
                <w:tcPr>
                  <w:tcW w:w="497" w:type="dxa"/>
                  <w:tcBorders>
                    <w:top w:val="nil"/>
                    <w:left w:val="single" w:color="auto" w:sz="4" w:space="0"/>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color w:val="000000"/>
                      <w:sz w:val="18"/>
                      <w:szCs w:val="18"/>
                    </w:rPr>
                  </w:pPr>
                  <w:r w:rsidRPr="009B6CDD">
                    <w:rPr>
                      <w:rFonts w:ascii="Calibri" w:hAnsi="Calibri" w:cs="Calibri"/>
                      <w:color w:val="000000"/>
                      <w:sz w:val="18"/>
                      <w:szCs w:val="18"/>
                    </w:rPr>
                    <w:t> </w:t>
                  </w:r>
                </w:p>
              </w:tc>
              <w:tc>
                <w:tcPr>
                  <w:tcW w:w="1923" w:type="dxa"/>
                  <w:tcBorders>
                    <w:top w:val="nil"/>
                    <w:left w:val="nil"/>
                    <w:bottom w:val="single" w:color="auto" w:sz="4" w:space="0"/>
                    <w:right w:val="nil"/>
                  </w:tcBorders>
                  <w:shd w:val="clear" w:color="auto" w:fill="auto"/>
                  <w:textDirection w:val="btLr"/>
                  <w:vAlign w:val="center"/>
                  <w:hideMark/>
                </w:tcPr>
                <w:p w:rsidRPr="009B6CDD" w:rsidR="009B6CDD" w:rsidP="009B6CDD" w:rsidRDefault="009B6CDD">
                  <w:pPr>
                    <w:overflowPunct/>
                    <w:autoSpaceDE/>
                    <w:autoSpaceDN/>
                    <w:adjustRightInd/>
                    <w:ind w:left="113" w:right="113"/>
                    <w:textAlignment w:val="auto"/>
                    <w:rPr>
                      <w:rFonts w:ascii="Calibri" w:hAnsi="Calibri" w:cs="Calibri"/>
                      <w:color w:val="000000"/>
                      <w:sz w:val="18"/>
                      <w:szCs w:val="18"/>
                    </w:rPr>
                  </w:pPr>
                  <w:r w:rsidRPr="009B6CDD">
                    <w:rPr>
                      <w:rFonts w:ascii="Calibri" w:hAnsi="Calibri" w:cs="Calibri"/>
                      <w:color w:val="000000"/>
                      <w:sz w:val="18"/>
                      <w:szCs w:val="18"/>
                    </w:rPr>
                    <w:t> </w:t>
                  </w:r>
                </w:p>
              </w:tc>
              <w:tc>
                <w:tcPr>
                  <w:tcW w:w="665" w:type="dxa"/>
                  <w:tcBorders>
                    <w:top w:val="nil"/>
                    <w:left w:val="single" w:color="auto" w:sz="8" w:space="0"/>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Previously approved</w:t>
                  </w:r>
                </w:p>
              </w:tc>
              <w:tc>
                <w:tcPr>
                  <w:tcW w:w="655" w:type="dxa"/>
                  <w:tcBorders>
                    <w:top w:val="nil"/>
                    <w:left w:val="nil"/>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Requested</w:t>
                  </w:r>
                </w:p>
              </w:tc>
              <w:tc>
                <w:tcPr>
                  <w:tcW w:w="740" w:type="dxa"/>
                  <w:tcBorders>
                    <w:top w:val="nil"/>
                    <w:left w:val="nil"/>
                    <w:bottom w:val="single" w:color="auto" w:sz="4" w:space="0"/>
                    <w:right w:val="nil"/>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Change</w:t>
                  </w:r>
                </w:p>
              </w:tc>
              <w:tc>
                <w:tcPr>
                  <w:tcW w:w="831" w:type="dxa"/>
                  <w:tcBorders>
                    <w:top w:val="nil"/>
                    <w:left w:val="single" w:color="auto" w:sz="8" w:space="0"/>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Previously approved</w:t>
                  </w:r>
                </w:p>
              </w:tc>
              <w:tc>
                <w:tcPr>
                  <w:tcW w:w="810" w:type="dxa"/>
                  <w:tcBorders>
                    <w:top w:val="nil"/>
                    <w:left w:val="nil"/>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Requested</w:t>
                  </w:r>
                </w:p>
              </w:tc>
              <w:tc>
                <w:tcPr>
                  <w:tcW w:w="689" w:type="dxa"/>
                  <w:tcBorders>
                    <w:top w:val="nil"/>
                    <w:left w:val="nil"/>
                    <w:bottom w:val="nil"/>
                    <w:right w:val="nil"/>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Change</w:t>
                  </w:r>
                </w:p>
              </w:tc>
              <w:tc>
                <w:tcPr>
                  <w:tcW w:w="750" w:type="dxa"/>
                  <w:tcBorders>
                    <w:top w:val="nil"/>
                    <w:left w:val="single" w:color="auto" w:sz="8" w:space="0"/>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Previously approved</w:t>
                  </w:r>
                </w:p>
              </w:tc>
              <w:tc>
                <w:tcPr>
                  <w:tcW w:w="841" w:type="dxa"/>
                  <w:tcBorders>
                    <w:top w:val="nil"/>
                    <w:left w:val="nil"/>
                    <w:bottom w:val="single" w:color="auto" w:sz="4" w:space="0"/>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Requested</w:t>
                  </w:r>
                </w:p>
              </w:tc>
              <w:tc>
                <w:tcPr>
                  <w:tcW w:w="760" w:type="dxa"/>
                  <w:tcBorders>
                    <w:top w:val="nil"/>
                    <w:left w:val="nil"/>
                    <w:bottom w:val="nil"/>
                    <w:right w:val="single" w:color="auto" w:sz="4" w:space="0"/>
                  </w:tcBorders>
                  <w:shd w:val="clear" w:color="auto" w:fill="auto"/>
                  <w:textDirection w:val="btLr"/>
                  <w:vAlign w:val="center"/>
                  <w:hideMark/>
                </w:tcPr>
                <w:p w:rsidRPr="009B6CDD" w:rsidR="009B6CDD" w:rsidP="009B6CDD" w:rsidRDefault="009B6CDD">
                  <w:pPr>
                    <w:overflowPunct/>
                    <w:autoSpaceDE/>
                    <w:autoSpaceDN/>
                    <w:adjustRightInd/>
                    <w:ind w:left="113" w:right="113"/>
                    <w:jc w:val="center"/>
                    <w:textAlignment w:val="auto"/>
                    <w:rPr>
                      <w:rFonts w:ascii="Calibri" w:hAnsi="Calibri" w:cs="Calibri"/>
                      <w:i/>
                      <w:iCs/>
                      <w:color w:val="000000"/>
                      <w:sz w:val="18"/>
                      <w:szCs w:val="18"/>
                    </w:rPr>
                  </w:pPr>
                  <w:r w:rsidRPr="009B6CDD">
                    <w:rPr>
                      <w:rFonts w:ascii="Calibri" w:hAnsi="Calibri" w:cs="Calibri"/>
                      <w:i/>
                      <w:iCs/>
                      <w:color w:val="000000"/>
                      <w:sz w:val="18"/>
                      <w:szCs w:val="18"/>
                    </w:rPr>
                    <w:t>Change</w:t>
                  </w:r>
                </w:p>
              </w:tc>
            </w:tr>
            <w:tr w:rsidRPr="009B6CDD" w:rsidR="009B6CDD" w:rsidTr="009B6CDD">
              <w:trPr>
                <w:trHeight w:val="290"/>
              </w:trPr>
              <w:tc>
                <w:tcPr>
                  <w:tcW w:w="497" w:type="dxa"/>
                  <w:tcBorders>
                    <w:top w:val="nil"/>
                    <w:left w:val="single" w:color="auto" w:sz="4"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IC1</w:t>
                  </w:r>
                </w:p>
              </w:tc>
              <w:tc>
                <w:tcPr>
                  <w:tcW w:w="1923" w:type="dxa"/>
                  <w:tcBorders>
                    <w:top w:val="nil"/>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Ongoing Recordkeeping</w:t>
                  </w:r>
                </w:p>
              </w:tc>
              <w:tc>
                <w:tcPr>
                  <w:tcW w:w="665" w:type="dxa"/>
                  <w:tcBorders>
                    <w:top w:val="nil"/>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10</w:t>
                  </w:r>
                </w:p>
              </w:tc>
              <w:tc>
                <w:tcPr>
                  <w:tcW w:w="655"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9</w:t>
                  </w:r>
                </w:p>
              </w:tc>
              <w:tc>
                <w:tcPr>
                  <w:tcW w:w="740" w:type="dxa"/>
                  <w:tcBorders>
                    <w:top w:val="nil"/>
                    <w:left w:val="nil"/>
                    <w:bottom w:val="single" w:color="auto" w:sz="4" w:space="0"/>
                    <w:right w:val="single" w:color="auto" w:sz="8"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-1</w:t>
                  </w:r>
                </w:p>
              </w:tc>
              <w:tc>
                <w:tcPr>
                  <w:tcW w:w="831"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2340</w:t>
                  </w:r>
                </w:p>
              </w:tc>
              <w:tc>
                <w:tcPr>
                  <w:tcW w:w="810"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2106</w:t>
                  </w:r>
                </w:p>
              </w:tc>
              <w:tc>
                <w:tcPr>
                  <w:tcW w:w="689" w:type="dxa"/>
                  <w:tcBorders>
                    <w:top w:val="single" w:color="auto" w:sz="4" w:space="0"/>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-234</w:t>
                  </w:r>
                </w:p>
              </w:tc>
              <w:tc>
                <w:tcPr>
                  <w:tcW w:w="750" w:type="dxa"/>
                  <w:tcBorders>
                    <w:top w:val="nil"/>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841"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760" w:type="dxa"/>
                  <w:tcBorders>
                    <w:top w:val="single" w:color="auto" w:sz="4" w:space="0"/>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r>
            <w:tr w:rsidRPr="009B6CDD" w:rsidR="009B6CDD" w:rsidTr="009B6CDD">
              <w:trPr>
                <w:trHeight w:val="300"/>
              </w:trPr>
              <w:tc>
                <w:tcPr>
                  <w:tcW w:w="497" w:type="dxa"/>
                  <w:tcBorders>
                    <w:top w:val="nil"/>
                    <w:left w:val="single" w:color="auto" w:sz="4"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IC2</w:t>
                  </w:r>
                </w:p>
              </w:tc>
              <w:tc>
                <w:tcPr>
                  <w:tcW w:w="1923" w:type="dxa"/>
                  <w:tcBorders>
                    <w:top w:val="nil"/>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color w:val="000000"/>
                      <w:sz w:val="22"/>
                      <w:szCs w:val="22"/>
                    </w:rPr>
                  </w:pPr>
                  <w:r w:rsidRPr="009B6CDD">
                    <w:rPr>
                      <w:rFonts w:ascii="Calibri" w:hAnsi="Calibri" w:cs="Calibri"/>
                      <w:color w:val="000000"/>
                      <w:sz w:val="22"/>
                      <w:szCs w:val="22"/>
                    </w:rPr>
                    <w:t>Retaining Updated Records</w:t>
                  </w:r>
                </w:p>
              </w:tc>
              <w:tc>
                <w:tcPr>
                  <w:tcW w:w="665" w:type="dxa"/>
                  <w:tcBorders>
                    <w:top w:val="nil"/>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10</w:t>
                  </w:r>
                </w:p>
              </w:tc>
              <w:tc>
                <w:tcPr>
                  <w:tcW w:w="655"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9</w:t>
                  </w:r>
                </w:p>
              </w:tc>
              <w:tc>
                <w:tcPr>
                  <w:tcW w:w="740" w:type="dxa"/>
                  <w:tcBorders>
                    <w:top w:val="nil"/>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-1</w:t>
                  </w:r>
                </w:p>
              </w:tc>
              <w:tc>
                <w:tcPr>
                  <w:tcW w:w="831" w:type="dxa"/>
                  <w:tcBorders>
                    <w:top w:val="nil"/>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50</w:t>
                  </w:r>
                </w:p>
              </w:tc>
              <w:tc>
                <w:tcPr>
                  <w:tcW w:w="810"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45</w:t>
                  </w:r>
                </w:p>
              </w:tc>
              <w:tc>
                <w:tcPr>
                  <w:tcW w:w="689" w:type="dxa"/>
                  <w:tcBorders>
                    <w:top w:val="nil"/>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-5</w:t>
                  </w:r>
                </w:p>
              </w:tc>
              <w:tc>
                <w:tcPr>
                  <w:tcW w:w="750" w:type="dxa"/>
                  <w:tcBorders>
                    <w:top w:val="nil"/>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841"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760"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r>
            <w:tr w:rsidRPr="009B6CDD" w:rsidR="009B6CDD" w:rsidTr="009B6CDD">
              <w:trPr>
                <w:trHeight w:val="290"/>
              </w:trPr>
              <w:tc>
                <w:tcPr>
                  <w:tcW w:w="2420" w:type="dxa"/>
                  <w:gridSpan w:val="2"/>
                  <w:tcBorders>
                    <w:top w:val="single" w:color="auto" w:sz="8" w:space="0"/>
                    <w:left w:val="single" w:color="auto" w:sz="4" w:space="0"/>
                    <w:bottom w:val="single" w:color="auto" w:sz="4" w:space="0"/>
                    <w:right w:val="single" w:color="000000" w:sz="8" w:space="0"/>
                  </w:tcBorders>
                  <w:shd w:val="clear" w:color="auto" w:fill="auto"/>
                  <w:noWrap/>
                  <w:vAlign w:val="bottom"/>
                  <w:hideMark/>
                </w:tcPr>
                <w:p w:rsidRPr="009B6CDD" w:rsidR="009B6CDD" w:rsidP="009B6CDD" w:rsidRDefault="009B6CDD">
                  <w:pPr>
                    <w:overflowPunct/>
                    <w:autoSpaceDE/>
                    <w:autoSpaceDN/>
                    <w:adjustRightInd/>
                    <w:textAlignment w:val="auto"/>
                    <w:rPr>
                      <w:rFonts w:ascii="Calibri" w:hAnsi="Calibri" w:cs="Calibri"/>
                      <w:b/>
                      <w:bCs/>
                      <w:color w:val="000000"/>
                      <w:sz w:val="22"/>
                      <w:szCs w:val="22"/>
                    </w:rPr>
                  </w:pPr>
                  <w:r w:rsidRPr="009B6CDD">
                    <w:rPr>
                      <w:rFonts w:ascii="Calibri" w:hAnsi="Calibri" w:cs="Calibri"/>
                      <w:b/>
                      <w:bCs/>
                      <w:color w:val="000000"/>
                      <w:sz w:val="22"/>
                      <w:szCs w:val="22"/>
                    </w:rPr>
                    <w:t>Total for all ICs</w:t>
                  </w:r>
                </w:p>
              </w:tc>
              <w:tc>
                <w:tcPr>
                  <w:tcW w:w="665"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20</w:t>
                  </w:r>
                </w:p>
              </w:tc>
              <w:tc>
                <w:tcPr>
                  <w:tcW w:w="655"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18</w:t>
                  </w:r>
                </w:p>
              </w:tc>
              <w:tc>
                <w:tcPr>
                  <w:tcW w:w="740" w:type="dxa"/>
                  <w:tcBorders>
                    <w:top w:val="single" w:color="auto" w:sz="8" w:space="0"/>
                    <w:left w:val="nil"/>
                    <w:bottom w:val="single" w:color="auto" w:sz="4" w:space="0"/>
                    <w:right w:val="single" w:color="auto" w:sz="8"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w:t>
                  </w:r>
                </w:p>
              </w:tc>
              <w:tc>
                <w:tcPr>
                  <w:tcW w:w="831" w:type="dxa"/>
                  <w:tcBorders>
                    <w:top w:val="single" w:color="auto" w:sz="8" w:space="0"/>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2390</w:t>
                  </w:r>
                </w:p>
              </w:tc>
              <w:tc>
                <w:tcPr>
                  <w:tcW w:w="810"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2151</w:t>
                  </w:r>
                </w:p>
              </w:tc>
              <w:tc>
                <w:tcPr>
                  <w:tcW w:w="689" w:type="dxa"/>
                  <w:tcBorders>
                    <w:top w:val="nil"/>
                    <w:left w:val="nil"/>
                    <w:bottom w:val="single" w:color="auto" w:sz="4" w:space="0"/>
                    <w:right w:val="nil"/>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-239</w:t>
                  </w:r>
                </w:p>
              </w:tc>
              <w:tc>
                <w:tcPr>
                  <w:tcW w:w="75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841" w:type="dxa"/>
                  <w:tcBorders>
                    <w:top w:val="nil"/>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c>
                <w:tcPr>
                  <w:tcW w:w="760" w:type="dxa"/>
                  <w:tcBorders>
                    <w:top w:val="single" w:color="auto" w:sz="8" w:space="0"/>
                    <w:left w:val="nil"/>
                    <w:bottom w:val="single" w:color="auto" w:sz="4" w:space="0"/>
                    <w:right w:val="single" w:color="auto" w:sz="4" w:space="0"/>
                  </w:tcBorders>
                  <w:shd w:val="clear" w:color="auto" w:fill="auto"/>
                  <w:noWrap/>
                  <w:vAlign w:val="bottom"/>
                  <w:hideMark/>
                </w:tcPr>
                <w:p w:rsidRPr="009B6CDD" w:rsidR="009B6CDD" w:rsidP="009B6CDD" w:rsidRDefault="009B6CDD">
                  <w:pPr>
                    <w:overflowPunct/>
                    <w:autoSpaceDE/>
                    <w:autoSpaceDN/>
                    <w:adjustRightInd/>
                    <w:jc w:val="right"/>
                    <w:textAlignment w:val="auto"/>
                    <w:rPr>
                      <w:rFonts w:ascii="Calibri" w:hAnsi="Calibri" w:cs="Calibri"/>
                      <w:color w:val="000000"/>
                      <w:sz w:val="22"/>
                      <w:szCs w:val="22"/>
                    </w:rPr>
                  </w:pPr>
                  <w:r w:rsidRPr="009B6CDD">
                    <w:rPr>
                      <w:rFonts w:ascii="Calibri" w:hAnsi="Calibri" w:cs="Calibri"/>
                      <w:color w:val="000000"/>
                      <w:sz w:val="22"/>
                      <w:szCs w:val="22"/>
                    </w:rPr>
                    <w:t>0</w:t>
                  </w:r>
                </w:p>
              </w:tc>
            </w:tr>
          </w:tbl>
          <w:p w:rsidR="00327B5E" w:rsidRDefault="00327B5E"/>
        </w:tc>
      </w:tr>
      <w:tr w:rsidR="00327B5E" w:rsidTr="00327B5E">
        <w:trPr>
          <w:tblCellSpacing w:w="22" w:type="dxa"/>
        </w:trPr>
        <w:tc>
          <w:tcPr>
            <w:tcW w:w="4954" w:type="pct"/>
            <w:gridSpan w:val="2"/>
            <w:tcMar>
              <w:top w:w="15" w:type="dxa"/>
              <w:left w:w="15" w:type="dxa"/>
              <w:bottom w:w="15" w:type="dxa"/>
              <w:right w:w="15" w:type="dxa"/>
            </w:tcMar>
            <w:vAlign w:val="center"/>
          </w:tcPr>
          <w:p w:rsidR="00327B5E" w:rsidRDefault="00327B5E"/>
        </w:tc>
      </w:tr>
    </w:tbl>
    <w:p w:rsidR="0091510F" w:rsidP="00B70EAC" w:rsidRDefault="0091510F">
      <w:pPr>
        <w:rPr>
          <w:sz w:val="24"/>
          <w:szCs w:val="24"/>
        </w:rPr>
      </w:pPr>
    </w:p>
    <w:p w:rsidR="009B6CDD" w:rsidRDefault="009B6CDD">
      <w:pPr>
        <w:overflowPunct/>
        <w:autoSpaceDE/>
        <w:autoSpaceDN/>
        <w:adjustRightInd/>
        <w:textAlignment w:val="auto"/>
        <w:rPr>
          <w:b/>
          <w:sz w:val="24"/>
          <w:szCs w:val="24"/>
        </w:rPr>
      </w:pPr>
      <w:r>
        <w:rPr>
          <w:b/>
          <w:sz w:val="24"/>
          <w:szCs w:val="24"/>
        </w:rPr>
        <w:br w:type="page"/>
      </w:r>
      <w:bookmarkStart w:name="_GoBack" w:id="3"/>
      <w:bookmarkEnd w:id="3"/>
    </w:p>
    <w:p w:rsidRPr="004920E5" w:rsidR="003E276C" w:rsidP="00743D8F" w:rsidRDefault="003E276C">
      <w:pPr>
        <w:tabs>
          <w:tab w:val="left" w:pos="-180"/>
        </w:tabs>
        <w:rPr>
          <w:b/>
          <w:sz w:val="24"/>
          <w:szCs w:val="24"/>
        </w:rPr>
      </w:pPr>
      <w:r w:rsidRPr="004920E5">
        <w:rPr>
          <w:b/>
          <w:sz w:val="24"/>
          <w:szCs w:val="24"/>
        </w:rPr>
        <w:lastRenderedPageBreak/>
        <w:t>13.</w:t>
      </w:r>
      <w:r w:rsidRPr="004920E5">
        <w:rPr>
          <w:b/>
          <w:sz w:val="24"/>
          <w:szCs w:val="24"/>
        </w:rPr>
        <w:tab/>
      </w:r>
      <w:r w:rsidRPr="00C20A3E" w:rsidR="004920E5">
        <w:rPr>
          <w:b/>
          <w:sz w:val="24"/>
          <w:szCs w:val="24"/>
        </w:rPr>
        <w:t>Costs to Respondents</w:t>
      </w:r>
      <w:r w:rsidRPr="004920E5">
        <w:rPr>
          <w:b/>
          <w:sz w:val="24"/>
          <w:szCs w:val="24"/>
        </w:rPr>
        <w:t xml:space="preserve"> </w:t>
      </w:r>
    </w:p>
    <w:p w:rsidRPr="00743D8F" w:rsidR="003E276C" w:rsidP="00743D8F" w:rsidRDefault="003E276C">
      <w:pPr>
        <w:keepNext/>
        <w:tabs>
          <w:tab w:val="left" w:pos="-720"/>
        </w:tabs>
        <w:suppressAutoHyphens/>
        <w:rPr>
          <w:sz w:val="24"/>
          <w:szCs w:val="24"/>
        </w:rPr>
      </w:pPr>
    </w:p>
    <w:p w:rsidRPr="000040C5" w:rsidR="00DA1B64" w:rsidP="002E2637" w:rsidRDefault="00DA1B64">
      <w:pPr>
        <w:pStyle w:val="BodyText"/>
        <w:jc w:val="left"/>
        <w:rPr>
          <w:iCs/>
        </w:rPr>
      </w:pPr>
      <w:r>
        <w:rPr>
          <w:spacing w:val="-3"/>
        </w:rPr>
        <w:tab/>
      </w:r>
      <w:r w:rsidR="002E2637">
        <w:rPr>
          <w:spacing w:val="-3"/>
        </w:rPr>
        <w:t>The Commission does not anticipate any additional costs to respondents that result from the rule.</w:t>
      </w:r>
    </w:p>
    <w:p w:rsidRPr="00743D8F" w:rsidR="00DB44AD" w:rsidP="00F52103" w:rsidRDefault="00DB44AD">
      <w:pPr>
        <w:pStyle w:val="FootnoteText"/>
        <w:rPr>
          <w:spacing w:val="-3"/>
          <w:sz w:val="24"/>
          <w:szCs w:val="24"/>
        </w:rPr>
      </w:pPr>
    </w:p>
    <w:p w:rsidRPr="004920E5" w:rsidR="003E276C" w:rsidP="00743D8F" w:rsidRDefault="003E276C">
      <w:pPr>
        <w:keepNext/>
        <w:tabs>
          <w:tab w:val="left" w:pos="-720"/>
        </w:tabs>
        <w:suppressAutoHyphens/>
        <w:rPr>
          <w:b/>
          <w:sz w:val="24"/>
          <w:szCs w:val="24"/>
        </w:rPr>
      </w:pPr>
      <w:r w:rsidRPr="004920E5">
        <w:rPr>
          <w:b/>
          <w:sz w:val="24"/>
          <w:szCs w:val="24"/>
        </w:rPr>
        <w:t>14.</w:t>
      </w:r>
      <w:r w:rsidRPr="004920E5">
        <w:rPr>
          <w:b/>
          <w:sz w:val="24"/>
          <w:szCs w:val="24"/>
        </w:rPr>
        <w:tab/>
        <w:t>Cost</w:t>
      </w:r>
      <w:r w:rsidR="000040C5">
        <w:rPr>
          <w:b/>
          <w:sz w:val="24"/>
          <w:szCs w:val="24"/>
        </w:rPr>
        <w:t>s</w:t>
      </w:r>
      <w:r w:rsidRPr="004920E5">
        <w:rPr>
          <w:b/>
          <w:sz w:val="24"/>
          <w:szCs w:val="24"/>
        </w:rPr>
        <w:t xml:space="preserve"> to Federal Government</w:t>
      </w:r>
    </w:p>
    <w:p w:rsidRPr="00743D8F" w:rsidR="003E276C" w:rsidP="00743D8F" w:rsidRDefault="003E276C">
      <w:pPr>
        <w:keepNext/>
        <w:tabs>
          <w:tab w:val="left" w:pos="-720"/>
        </w:tabs>
        <w:suppressAutoHyphens/>
        <w:rPr>
          <w:sz w:val="24"/>
          <w:szCs w:val="24"/>
        </w:rPr>
      </w:pPr>
    </w:p>
    <w:p w:rsidRPr="00743D8F" w:rsidR="003E276C" w:rsidP="00743D8F" w:rsidRDefault="003E276C">
      <w:pPr>
        <w:tabs>
          <w:tab w:val="left" w:pos="-720"/>
        </w:tabs>
        <w:suppressAutoHyphens/>
        <w:ind w:right="-576"/>
        <w:rPr>
          <w:spacing w:val="-3"/>
          <w:sz w:val="24"/>
          <w:szCs w:val="24"/>
        </w:rPr>
      </w:pPr>
      <w:r w:rsidRPr="00743D8F">
        <w:rPr>
          <w:spacing w:val="-3"/>
          <w:sz w:val="24"/>
          <w:szCs w:val="24"/>
        </w:rPr>
        <w:tab/>
      </w:r>
      <w:r w:rsidR="000040C5">
        <w:rPr>
          <w:spacing w:val="-3"/>
          <w:sz w:val="24"/>
          <w:szCs w:val="24"/>
        </w:rPr>
        <w:t xml:space="preserve">The Commission does not anticipate any </w:t>
      </w:r>
      <w:r w:rsidR="00BE0E2A">
        <w:rPr>
          <w:spacing w:val="-3"/>
          <w:sz w:val="24"/>
          <w:szCs w:val="24"/>
        </w:rPr>
        <w:t xml:space="preserve">additional </w:t>
      </w:r>
      <w:r w:rsidR="000040C5">
        <w:rPr>
          <w:spacing w:val="-3"/>
          <w:sz w:val="24"/>
          <w:szCs w:val="24"/>
        </w:rPr>
        <w:t>costs to the Federal Government that result from the rule</w:t>
      </w:r>
      <w:r w:rsidRPr="00743D8F">
        <w:rPr>
          <w:spacing w:val="-3"/>
          <w:sz w:val="24"/>
          <w:szCs w:val="24"/>
        </w:rPr>
        <w:t>.</w:t>
      </w:r>
    </w:p>
    <w:p w:rsidRPr="00743D8F" w:rsidR="003E276C" w:rsidP="00743D8F" w:rsidRDefault="003E276C">
      <w:pPr>
        <w:tabs>
          <w:tab w:val="left" w:pos="-720"/>
        </w:tabs>
        <w:suppressAutoHyphens/>
        <w:rPr>
          <w:sz w:val="24"/>
          <w:szCs w:val="24"/>
        </w:rPr>
      </w:pPr>
    </w:p>
    <w:p w:rsidRPr="004920E5" w:rsidR="003E276C" w:rsidP="00743D8F" w:rsidRDefault="003E276C">
      <w:pPr>
        <w:keepNext/>
        <w:tabs>
          <w:tab w:val="left" w:pos="-720"/>
          <w:tab w:val="left" w:pos="0"/>
          <w:tab w:val="left" w:pos="720"/>
        </w:tabs>
        <w:suppressAutoHyphens/>
        <w:ind w:left="1440" w:hanging="1440"/>
        <w:rPr>
          <w:b/>
          <w:sz w:val="24"/>
          <w:szCs w:val="24"/>
        </w:rPr>
      </w:pPr>
      <w:r w:rsidRPr="004920E5">
        <w:rPr>
          <w:b/>
          <w:sz w:val="24"/>
          <w:szCs w:val="24"/>
        </w:rPr>
        <w:t>15.</w:t>
      </w:r>
      <w:r w:rsidRPr="004920E5">
        <w:rPr>
          <w:b/>
          <w:sz w:val="24"/>
          <w:szCs w:val="24"/>
        </w:rPr>
        <w:tab/>
      </w:r>
      <w:r w:rsidRPr="0050626B">
        <w:rPr>
          <w:b/>
          <w:sz w:val="24"/>
          <w:szCs w:val="24"/>
        </w:rPr>
        <w:t>Changes in Burden</w:t>
      </w:r>
    </w:p>
    <w:p w:rsidRPr="00743D8F" w:rsidR="003E276C" w:rsidP="00743D8F" w:rsidRDefault="003E276C">
      <w:pPr>
        <w:keepNext/>
        <w:tabs>
          <w:tab w:val="left" w:pos="-720"/>
        </w:tabs>
        <w:suppressAutoHyphens/>
        <w:rPr>
          <w:sz w:val="24"/>
          <w:szCs w:val="24"/>
        </w:rPr>
      </w:pPr>
    </w:p>
    <w:p w:rsidR="00F3362E" w:rsidP="00F3362E" w:rsidRDefault="00CD506D">
      <w:pPr>
        <w:pStyle w:val="BodyText"/>
        <w:ind w:firstLine="720"/>
        <w:jc w:val="left"/>
        <w:rPr>
          <w:iCs/>
        </w:rPr>
      </w:pPr>
      <w:r>
        <w:rPr>
          <w:iCs/>
        </w:rPr>
        <w:t xml:space="preserve">The </w:t>
      </w:r>
      <w:r w:rsidRPr="00E01743">
        <w:rPr>
          <w:iCs/>
        </w:rPr>
        <w:t>change</w:t>
      </w:r>
      <w:r w:rsidR="009D651C">
        <w:rPr>
          <w:iCs/>
        </w:rPr>
        <w:t xml:space="preserve"> in burden is the result of a decrease in the number of registered entities from 10 to nine. </w:t>
      </w:r>
    </w:p>
    <w:p w:rsidRPr="00743D8F" w:rsidR="003E276C" w:rsidP="00743D8F" w:rsidRDefault="003E276C">
      <w:pPr>
        <w:tabs>
          <w:tab w:val="left" w:pos="-720"/>
        </w:tabs>
        <w:suppressAutoHyphens/>
        <w:rPr>
          <w:sz w:val="24"/>
          <w:szCs w:val="24"/>
        </w:rPr>
      </w:pPr>
    </w:p>
    <w:p w:rsidRPr="004920E5" w:rsidR="003E276C" w:rsidP="004920E5" w:rsidRDefault="003E276C">
      <w:pPr>
        <w:keepNext/>
        <w:tabs>
          <w:tab w:val="left" w:pos="-720"/>
          <w:tab w:val="left" w:pos="0"/>
          <w:tab w:val="left" w:pos="720"/>
        </w:tabs>
        <w:suppressAutoHyphens/>
        <w:rPr>
          <w:b/>
          <w:sz w:val="24"/>
          <w:szCs w:val="24"/>
        </w:rPr>
      </w:pPr>
      <w:r w:rsidRPr="004920E5">
        <w:rPr>
          <w:b/>
          <w:sz w:val="24"/>
          <w:szCs w:val="24"/>
        </w:rPr>
        <w:t>16.</w:t>
      </w:r>
      <w:r w:rsidRPr="004920E5">
        <w:rPr>
          <w:b/>
          <w:sz w:val="24"/>
          <w:szCs w:val="24"/>
        </w:rPr>
        <w:tab/>
        <w:t>Information Collection Planned for Statistical Purposes</w:t>
      </w:r>
    </w:p>
    <w:p w:rsidRPr="00743D8F" w:rsidR="003E276C" w:rsidP="00743D8F" w:rsidRDefault="003E276C">
      <w:pPr>
        <w:keepNext/>
        <w:tabs>
          <w:tab w:val="left" w:pos="-720"/>
        </w:tabs>
        <w:suppressAutoHyphens/>
        <w:rPr>
          <w:sz w:val="24"/>
          <w:szCs w:val="24"/>
        </w:rPr>
      </w:pPr>
    </w:p>
    <w:p w:rsidRPr="00743D8F" w:rsidR="003E276C" w:rsidP="00743D8F" w:rsidRDefault="003E276C">
      <w:pPr>
        <w:tabs>
          <w:tab w:val="left" w:pos="-720"/>
        </w:tabs>
        <w:suppressAutoHyphens/>
        <w:rPr>
          <w:sz w:val="24"/>
          <w:szCs w:val="24"/>
        </w:rPr>
      </w:pPr>
      <w:r w:rsidRPr="00743D8F">
        <w:rPr>
          <w:sz w:val="24"/>
          <w:szCs w:val="24"/>
        </w:rPr>
        <w:tab/>
        <w:t xml:space="preserve">Not applicable.  </w:t>
      </w:r>
      <w:r w:rsidR="00BE0E2A">
        <w:rPr>
          <w:sz w:val="24"/>
          <w:szCs w:val="24"/>
        </w:rPr>
        <w:t>The information collected</w:t>
      </w:r>
      <w:r w:rsidRPr="002D20E5" w:rsidR="002D20E5">
        <w:rPr>
          <w:sz w:val="24"/>
          <w:szCs w:val="24"/>
        </w:rPr>
        <w:t xml:space="preserve"> is not used for statistical purposes.</w:t>
      </w:r>
    </w:p>
    <w:p w:rsidRPr="00743D8F" w:rsidR="003E276C" w:rsidP="00743D8F" w:rsidRDefault="003E276C">
      <w:pPr>
        <w:tabs>
          <w:tab w:val="left" w:pos="-720"/>
          <w:tab w:val="left" w:pos="0"/>
          <w:tab w:val="left" w:pos="720"/>
        </w:tabs>
        <w:suppressAutoHyphens/>
        <w:ind w:left="1440" w:hanging="1440"/>
        <w:rPr>
          <w:sz w:val="24"/>
          <w:szCs w:val="24"/>
        </w:rPr>
      </w:pPr>
    </w:p>
    <w:p w:rsidRPr="00D73F90" w:rsidR="003E276C" w:rsidP="00D73F90" w:rsidRDefault="003E276C">
      <w:pPr>
        <w:keepNext/>
        <w:tabs>
          <w:tab w:val="left" w:pos="-720"/>
          <w:tab w:val="left" w:pos="0"/>
          <w:tab w:val="left" w:pos="720"/>
          <w:tab w:val="left" w:pos="1530"/>
        </w:tabs>
        <w:suppressAutoHyphens/>
        <w:rPr>
          <w:b/>
          <w:sz w:val="24"/>
          <w:szCs w:val="24"/>
        </w:rPr>
      </w:pPr>
      <w:r w:rsidRPr="00D73F90">
        <w:rPr>
          <w:b/>
          <w:sz w:val="24"/>
          <w:szCs w:val="24"/>
        </w:rPr>
        <w:t>17.</w:t>
      </w:r>
      <w:r w:rsidRPr="00D73F90">
        <w:rPr>
          <w:b/>
          <w:sz w:val="24"/>
          <w:szCs w:val="24"/>
        </w:rPr>
        <w:tab/>
      </w:r>
      <w:r w:rsidR="00D73F90">
        <w:rPr>
          <w:b/>
          <w:sz w:val="24"/>
          <w:szCs w:val="24"/>
        </w:rPr>
        <w:t>Display of OMB Approval Date</w:t>
      </w:r>
    </w:p>
    <w:p w:rsidRPr="00743D8F" w:rsidR="003E276C" w:rsidP="00743D8F" w:rsidRDefault="003E276C">
      <w:pPr>
        <w:keepNext/>
        <w:tabs>
          <w:tab w:val="left" w:pos="-720"/>
        </w:tabs>
        <w:suppressAutoHyphens/>
        <w:rPr>
          <w:sz w:val="24"/>
          <w:szCs w:val="24"/>
        </w:rPr>
      </w:pPr>
    </w:p>
    <w:p w:rsidRPr="00743D8F" w:rsidR="003E276C" w:rsidP="00743D8F" w:rsidRDefault="00D73F90">
      <w:pPr>
        <w:tabs>
          <w:tab w:val="left" w:pos="-720"/>
        </w:tabs>
        <w:suppressAutoHyphens/>
        <w:rPr>
          <w:sz w:val="24"/>
          <w:szCs w:val="24"/>
        </w:rPr>
      </w:pPr>
      <w:r>
        <w:rPr>
          <w:sz w:val="24"/>
          <w:szCs w:val="24"/>
        </w:rPr>
        <w:tab/>
        <w:t>The Commission is not seeking approval to not display the expiration date for OMB approval.</w:t>
      </w:r>
    </w:p>
    <w:p w:rsidRPr="00743D8F" w:rsidR="003E276C" w:rsidP="00743D8F" w:rsidRDefault="003E276C">
      <w:pPr>
        <w:tabs>
          <w:tab w:val="left" w:pos="-720"/>
        </w:tabs>
        <w:suppressAutoHyphens/>
        <w:rPr>
          <w:sz w:val="24"/>
          <w:szCs w:val="24"/>
        </w:rPr>
      </w:pPr>
    </w:p>
    <w:p w:rsidRPr="00D73F90" w:rsidR="003E276C" w:rsidP="00743D8F" w:rsidRDefault="003E276C">
      <w:pPr>
        <w:keepNext/>
        <w:tabs>
          <w:tab w:val="left" w:pos="-720"/>
          <w:tab w:val="left" w:pos="0"/>
          <w:tab w:val="left" w:pos="720"/>
        </w:tabs>
        <w:suppressAutoHyphens/>
        <w:ind w:left="1440" w:hanging="1440"/>
        <w:rPr>
          <w:b/>
          <w:sz w:val="24"/>
          <w:szCs w:val="24"/>
        </w:rPr>
      </w:pPr>
      <w:r w:rsidRPr="00D73F90">
        <w:rPr>
          <w:b/>
          <w:sz w:val="24"/>
          <w:szCs w:val="24"/>
        </w:rPr>
        <w:t>18.</w:t>
      </w:r>
      <w:r w:rsidRPr="00D73F90">
        <w:rPr>
          <w:b/>
          <w:sz w:val="24"/>
          <w:szCs w:val="24"/>
        </w:rPr>
        <w:tab/>
        <w:t>Exceptions to Certification</w:t>
      </w:r>
      <w:r w:rsidR="00D73F90">
        <w:rPr>
          <w:b/>
          <w:sz w:val="24"/>
          <w:szCs w:val="24"/>
        </w:rPr>
        <w:t xml:space="preserve"> for Paperwork Reduction Act Submissions</w:t>
      </w:r>
    </w:p>
    <w:p w:rsidRPr="00743D8F" w:rsidR="003E276C" w:rsidP="00743D8F" w:rsidRDefault="003E276C">
      <w:pPr>
        <w:keepNext/>
        <w:tabs>
          <w:tab w:val="left" w:pos="-720"/>
        </w:tabs>
        <w:suppressAutoHyphens/>
        <w:rPr>
          <w:sz w:val="24"/>
          <w:szCs w:val="24"/>
        </w:rPr>
      </w:pPr>
    </w:p>
    <w:p w:rsidRPr="00743D8F" w:rsidR="003E276C" w:rsidP="00743D8F" w:rsidRDefault="003E276C">
      <w:pPr>
        <w:tabs>
          <w:tab w:val="left" w:pos="-720"/>
        </w:tabs>
        <w:suppressAutoHyphens/>
        <w:rPr>
          <w:sz w:val="24"/>
          <w:szCs w:val="24"/>
        </w:rPr>
      </w:pPr>
      <w:r w:rsidRPr="00743D8F">
        <w:rPr>
          <w:sz w:val="24"/>
          <w:szCs w:val="24"/>
        </w:rPr>
        <w:tab/>
      </w:r>
      <w:r w:rsidRPr="002D20E5" w:rsidR="002D20E5">
        <w:rPr>
          <w:sz w:val="24"/>
          <w:szCs w:val="24"/>
        </w:rPr>
        <w:t>This collection complies with the requirements in 5 CFR 1320.9.</w:t>
      </w:r>
    </w:p>
    <w:p w:rsidRPr="00743D8F" w:rsidR="003E276C" w:rsidP="00743D8F" w:rsidRDefault="003E276C">
      <w:pPr>
        <w:tabs>
          <w:tab w:val="left" w:pos="-720"/>
        </w:tabs>
        <w:suppressAutoHyphens/>
        <w:rPr>
          <w:sz w:val="24"/>
          <w:szCs w:val="24"/>
        </w:rPr>
      </w:pPr>
    </w:p>
    <w:p w:rsidRPr="00D73F90" w:rsidR="003E276C" w:rsidP="00743D8F" w:rsidRDefault="003E276C">
      <w:pPr>
        <w:keepNext/>
        <w:tabs>
          <w:tab w:val="left" w:pos="-720"/>
          <w:tab w:val="left" w:pos="0"/>
        </w:tabs>
        <w:suppressAutoHyphens/>
        <w:ind w:left="720" w:hanging="720"/>
        <w:rPr>
          <w:b/>
          <w:sz w:val="24"/>
          <w:szCs w:val="24"/>
        </w:rPr>
      </w:pPr>
      <w:r w:rsidRPr="00D73F90">
        <w:rPr>
          <w:b/>
          <w:sz w:val="24"/>
          <w:szCs w:val="24"/>
        </w:rPr>
        <w:t>B.</w:t>
      </w:r>
      <w:r w:rsidRPr="00D73F90">
        <w:rPr>
          <w:b/>
          <w:sz w:val="24"/>
          <w:szCs w:val="24"/>
        </w:rPr>
        <w:tab/>
      </w:r>
      <w:r w:rsidR="00D73F90">
        <w:rPr>
          <w:b/>
          <w:sz w:val="24"/>
          <w:szCs w:val="24"/>
        </w:rPr>
        <w:t>COLLECTIONS OF INFORMATION EMPLOYING STATISTICAL METHODS</w:t>
      </w:r>
    </w:p>
    <w:p w:rsidRPr="00743D8F" w:rsidR="003E276C" w:rsidP="00743D8F" w:rsidRDefault="003E276C">
      <w:pPr>
        <w:keepNext/>
        <w:tabs>
          <w:tab w:val="left" w:pos="-720"/>
        </w:tabs>
        <w:suppressAutoHyphens/>
        <w:rPr>
          <w:sz w:val="24"/>
          <w:szCs w:val="24"/>
        </w:rPr>
      </w:pPr>
    </w:p>
    <w:p w:rsidRPr="00743D8F" w:rsidR="003E276C" w:rsidP="00743D8F" w:rsidRDefault="003E276C">
      <w:pPr>
        <w:tabs>
          <w:tab w:val="left" w:pos="-720"/>
        </w:tabs>
        <w:suppressAutoHyphens/>
        <w:rPr>
          <w:sz w:val="24"/>
          <w:szCs w:val="24"/>
        </w:rPr>
      </w:pPr>
      <w:r w:rsidRPr="00743D8F">
        <w:rPr>
          <w:sz w:val="24"/>
          <w:szCs w:val="24"/>
        </w:rPr>
        <w:tab/>
        <w:t xml:space="preserve">The collection of information </w:t>
      </w:r>
      <w:r w:rsidR="00D73F90">
        <w:rPr>
          <w:sz w:val="24"/>
          <w:szCs w:val="24"/>
        </w:rPr>
        <w:t>does not involve statistical methods or analyze the information for the agency</w:t>
      </w:r>
      <w:r w:rsidRPr="00743D8F">
        <w:rPr>
          <w:sz w:val="24"/>
          <w:szCs w:val="24"/>
        </w:rPr>
        <w:t>.</w:t>
      </w:r>
    </w:p>
    <w:p w:rsidRPr="00743D8F" w:rsidR="003E276C" w:rsidP="00743D8F" w:rsidRDefault="003E276C">
      <w:pPr>
        <w:rPr>
          <w:sz w:val="24"/>
          <w:szCs w:val="24"/>
        </w:rPr>
      </w:pPr>
    </w:p>
    <w:sectPr w:rsidRPr="00743D8F" w:rsidR="003E276C" w:rsidSect="000B601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D37" w:rsidRDefault="00675D37">
      <w:r>
        <w:separator/>
      </w:r>
    </w:p>
  </w:endnote>
  <w:endnote w:type="continuationSeparator" w:id="0">
    <w:p w:rsidR="00675D37" w:rsidRDefault="0067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F5" w:rsidRDefault="005136F5" w:rsidP="00D24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36F5" w:rsidRDefault="00513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F5" w:rsidRPr="00E20F23" w:rsidRDefault="005136F5" w:rsidP="00D2448F">
    <w:pPr>
      <w:pStyle w:val="Footer"/>
      <w:framePr w:wrap="around" w:vAnchor="text" w:hAnchor="margin" w:xAlign="center" w:y="1"/>
      <w:rPr>
        <w:rStyle w:val="PageNumber"/>
        <w:sz w:val="24"/>
        <w:szCs w:val="24"/>
      </w:rPr>
    </w:pPr>
    <w:r w:rsidRPr="00E20F23">
      <w:rPr>
        <w:rStyle w:val="PageNumber"/>
        <w:sz w:val="24"/>
        <w:szCs w:val="24"/>
      </w:rPr>
      <w:fldChar w:fldCharType="begin"/>
    </w:r>
    <w:r w:rsidRPr="00E20F23">
      <w:rPr>
        <w:rStyle w:val="PageNumber"/>
        <w:sz w:val="24"/>
        <w:szCs w:val="24"/>
      </w:rPr>
      <w:instrText xml:space="preserve">PAGE  </w:instrText>
    </w:r>
    <w:r w:rsidRPr="00E20F23">
      <w:rPr>
        <w:rStyle w:val="PageNumber"/>
        <w:sz w:val="24"/>
        <w:szCs w:val="24"/>
      </w:rPr>
      <w:fldChar w:fldCharType="separate"/>
    </w:r>
    <w:r w:rsidR="009B6CDD">
      <w:rPr>
        <w:rStyle w:val="PageNumber"/>
        <w:noProof/>
        <w:sz w:val="24"/>
        <w:szCs w:val="24"/>
      </w:rPr>
      <w:t>4</w:t>
    </w:r>
    <w:r w:rsidRPr="00E20F23">
      <w:rPr>
        <w:rStyle w:val="PageNumber"/>
        <w:sz w:val="24"/>
        <w:szCs w:val="24"/>
      </w:rPr>
      <w:fldChar w:fldCharType="end"/>
    </w:r>
  </w:p>
  <w:p w:rsidR="005136F5" w:rsidRDefault="0051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D37" w:rsidRDefault="00675D37">
      <w:r>
        <w:separator/>
      </w:r>
    </w:p>
  </w:footnote>
  <w:footnote w:type="continuationSeparator" w:id="0">
    <w:p w:rsidR="00675D37" w:rsidRDefault="00675D37">
      <w:r>
        <w:continuationSeparator/>
      </w:r>
    </w:p>
  </w:footnote>
  <w:footnote w:id="1">
    <w:p w:rsidR="005136F5" w:rsidRPr="00FD295E" w:rsidRDefault="005136F5" w:rsidP="001706C9">
      <w:pPr>
        <w:pStyle w:val="FootnoteText"/>
      </w:pPr>
      <w:r w:rsidRPr="00FD295E">
        <w:rPr>
          <w:rStyle w:val="FootnoteReference"/>
        </w:rPr>
        <w:footnoteRef/>
      </w:r>
      <w:r w:rsidRPr="00FD295E">
        <w:t xml:space="preserve"> </w:t>
      </w:r>
      <w:r w:rsidRPr="00FD295E">
        <w:tab/>
        <w:t>Pub. L. No. 109-291 (2006).</w:t>
      </w:r>
    </w:p>
    <w:p w:rsidR="005136F5" w:rsidRPr="00FD295E" w:rsidRDefault="005136F5" w:rsidP="001706C9">
      <w:pPr>
        <w:pStyle w:val="FootnoteText"/>
      </w:pPr>
    </w:p>
  </w:footnote>
  <w:footnote w:id="2">
    <w:p w:rsidR="005136F5" w:rsidRPr="00FD295E" w:rsidRDefault="005136F5" w:rsidP="00F82A51">
      <w:pPr>
        <w:pStyle w:val="FootnoteText"/>
        <w:ind w:left="720" w:hanging="720"/>
      </w:pPr>
      <w:r w:rsidRPr="00FD295E">
        <w:rPr>
          <w:rStyle w:val="FootnoteReference"/>
        </w:rPr>
        <w:footnoteRef/>
      </w:r>
      <w:r w:rsidRPr="00FD295E">
        <w:t xml:space="preserve"> </w:t>
      </w:r>
      <w:r w:rsidRPr="00FD295E">
        <w:tab/>
        <w:t>Pub. L. No. 111-203, 124 Stat. 1376, H.R. 4173 (July 21, 2010).</w:t>
      </w:r>
    </w:p>
    <w:p w:rsidR="005136F5" w:rsidRPr="00FD295E" w:rsidRDefault="005136F5" w:rsidP="00F82A51">
      <w:pPr>
        <w:pStyle w:val="FootnoteText"/>
        <w:ind w:left="720" w:hanging="720"/>
      </w:pPr>
    </w:p>
  </w:footnote>
  <w:footnote w:id="3">
    <w:p w:rsidR="005136F5" w:rsidRPr="00FD295E" w:rsidRDefault="005136F5" w:rsidP="00F82A51">
      <w:pPr>
        <w:pStyle w:val="FootnoteText"/>
        <w:tabs>
          <w:tab w:val="left" w:pos="720"/>
        </w:tabs>
      </w:pPr>
      <w:r w:rsidRPr="00FD295E">
        <w:rPr>
          <w:rStyle w:val="FootnoteReference"/>
        </w:rPr>
        <w:footnoteRef/>
      </w:r>
      <w:r w:rsidRPr="00FD295E">
        <w:t xml:space="preserve"> </w:t>
      </w:r>
      <w:r w:rsidRPr="00FD295E">
        <w:tab/>
      </w:r>
      <w:r w:rsidRPr="00FD295E">
        <w:rPr>
          <w:u w:val="single"/>
        </w:rPr>
        <w:t>See</w:t>
      </w:r>
      <w:r w:rsidRPr="00FD295E">
        <w:t xml:space="preserve"> Pub. L. No. 111-203 §§ 939, 939D-939F.  </w:t>
      </w:r>
    </w:p>
    <w:p w:rsidR="005136F5" w:rsidRPr="00FD295E" w:rsidRDefault="005136F5" w:rsidP="00F82A51">
      <w:pPr>
        <w:pStyle w:val="FootnoteText"/>
        <w:tabs>
          <w:tab w:val="left" w:pos="720"/>
        </w:tabs>
      </w:pPr>
    </w:p>
  </w:footnote>
  <w:footnote w:id="4">
    <w:p w:rsidR="005136F5" w:rsidRPr="00FD295E" w:rsidRDefault="005136F5" w:rsidP="00F82A51">
      <w:pPr>
        <w:ind w:left="720" w:hanging="720"/>
      </w:pPr>
      <w:r w:rsidRPr="00FD295E">
        <w:rPr>
          <w:rStyle w:val="FootnoteReference"/>
        </w:rPr>
        <w:footnoteRef/>
      </w:r>
      <w:r w:rsidRPr="00FD295E">
        <w:t xml:space="preserve"> </w:t>
      </w:r>
      <w:r w:rsidRPr="00FD295E">
        <w:tab/>
      </w:r>
      <w:r w:rsidRPr="00FD295E">
        <w:rPr>
          <w:u w:val="single"/>
        </w:rPr>
        <w:t>See</w:t>
      </w:r>
      <w:r w:rsidRPr="00FD295E">
        <w:t xml:space="preserve"> Pub. L. No. 111-203 §§ 931-939H; </w:t>
      </w:r>
      <w:r w:rsidRPr="00FD295E">
        <w:rPr>
          <w:u w:val="single"/>
        </w:rPr>
        <w:t>see also</w:t>
      </w:r>
      <w:r w:rsidRPr="00FD295E">
        <w:t xml:space="preserve"> Pub. L. No. 111-203 § 943. </w:t>
      </w:r>
    </w:p>
    <w:p w:rsidR="005136F5" w:rsidRPr="00FD295E" w:rsidRDefault="005136F5" w:rsidP="00F82A51">
      <w:pPr>
        <w:ind w:left="720" w:hanging="720"/>
      </w:pPr>
    </w:p>
  </w:footnote>
  <w:footnote w:id="5">
    <w:p w:rsidR="005136F5" w:rsidRPr="00FD295E" w:rsidRDefault="005136F5" w:rsidP="00F82A51">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Pub. L. No. 109-291.  </w:t>
      </w:r>
    </w:p>
    <w:p w:rsidR="005136F5" w:rsidRPr="00FD295E" w:rsidRDefault="005136F5" w:rsidP="00F82A51">
      <w:pPr>
        <w:pStyle w:val="FootnoteText"/>
      </w:pPr>
    </w:p>
  </w:footnote>
  <w:footnote w:id="6">
    <w:p w:rsidR="005136F5" w:rsidRPr="00FD295E" w:rsidRDefault="005136F5" w:rsidP="00F82A51">
      <w:pPr>
        <w:pStyle w:val="FootnoteText"/>
        <w:ind w:left="720" w:hanging="720"/>
      </w:pPr>
      <w:r w:rsidRPr="00FD295E">
        <w:rPr>
          <w:rStyle w:val="FootnoteReference"/>
        </w:rPr>
        <w:footnoteRef/>
      </w:r>
      <w:r w:rsidRPr="00FD295E">
        <w:t xml:space="preserve"> </w:t>
      </w:r>
      <w:r w:rsidRPr="00FD295E">
        <w:tab/>
      </w:r>
      <w:r w:rsidRPr="00FD295E">
        <w:rPr>
          <w:u w:val="single"/>
        </w:rPr>
        <w:t>See</w:t>
      </w:r>
      <w:r w:rsidRPr="00FD295E">
        <w:t xml:space="preserve"> Pub. L. No. 111-203 § 932(a</w:t>
      </w:r>
      <w:proofErr w:type="gramStart"/>
      <w:r w:rsidRPr="00FD295E">
        <w:t>)(</w:t>
      </w:r>
      <w:proofErr w:type="gramEnd"/>
      <w:r w:rsidRPr="00FD295E">
        <w:t>8) adding new paragraph (s)(4)(C) to section 15E of the Exchange Act.  15 U.S.C. 78o-7(s</w:t>
      </w:r>
      <w:proofErr w:type="gramStart"/>
      <w:r w:rsidRPr="00FD295E">
        <w:t>)(</w:t>
      </w:r>
      <w:proofErr w:type="gramEnd"/>
      <w:r w:rsidRPr="00FD295E">
        <w:t>4)(C).</w:t>
      </w:r>
    </w:p>
    <w:p w:rsidR="005136F5" w:rsidRPr="00FD295E" w:rsidRDefault="005136F5" w:rsidP="00F82A51">
      <w:pPr>
        <w:pStyle w:val="FootnoteText"/>
        <w:ind w:left="720" w:hanging="720"/>
      </w:pPr>
    </w:p>
  </w:footnote>
  <w:footnote w:id="7">
    <w:p w:rsidR="005136F5" w:rsidRPr="00FD295E" w:rsidRDefault="005136F5" w:rsidP="00F82A51">
      <w:pPr>
        <w:pStyle w:val="FootnoteText"/>
        <w:ind w:left="720" w:hanging="720"/>
      </w:pPr>
      <w:r w:rsidRPr="00FD295E">
        <w:rPr>
          <w:rStyle w:val="FootnoteReference"/>
        </w:rPr>
        <w:footnoteRef/>
      </w:r>
      <w:r w:rsidRPr="00FD295E">
        <w:t xml:space="preserve"> </w:t>
      </w:r>
      <w:r w:rsidRPr="00FD295E">
        <w:tab/>
      </w:r>
      <w:r w:rsidRPr="00FD295E">
        <w:rPr>
          <w:u w:val="single"/>
        </w:rPr>
        <w:t>See</w:t>
      </w:r>
      <w:r w:rsidRPr="00FD295E">
        <w:t xml:space="preserve"> Pub. L. No. 111-203 § 932(a</w:t>
      </w:r>
      <w:proofErr w:type="gramStart"/>
      <w:r w:rsidRPr="00FD295E">
        <w:t>)(</w:t>
      </w:r>
      <w:proofErr w:type="gramEnd"/>
      <w:r w:rsidRPr="00FD295E">
        <w:t>8) adding new paragraph (s)(4)(A) to section 15E of the Exchange Act.  15 U.S.C. 78o-7(s</w:t>
      </w:r>
      <w:proofErr w:type="gramStart"/>
      <w:r w:rsidRPr="00FD295E">
        <w:t>)(</w:t>
      </w:r>
      <w:proofErr w:type="gramEnd"/>
      <w:r w:rsidRPr="00FD295E">
        <w:t>4)(A).</w:t>
      </w:r>
    </w:p>
  </w:footnote>
  <w:footnote w:id="8">
    <w:p w:rsidR="005136F5" w:rsidRPr="00FD295E" w:rsidRDefault="005136F5">
      <w:pPr>
        <w:pStyle w:val="FootnoteText"/>
      </w:pPr>
      <w:r w:rsidRPr="00FD295E">
        <w:rPr>
          <w:rStyle w:val="FootnoteReference"/>
        </w:rPr>
        <w:footnoteRef/>
      </w:r>
      <w:r w:rsidRPr="00FD295E">
        <w:t xml:space="preserve"> </w:t>
      </w:r>
      <w:r w:rsidRPr="00FD295E">
        <w:tab/>
        <w:t>The Office of Management and Budget (“OMB”) Control Number for Rule 17g-2 is 3235-0628.</w:t>
      </w:r>
    </w:p>
    <w:p w:rsidR="005136F5" w:rsidRPr="00FD295E" w:rsidRDefault="005136F5">
      <w:pPr>
        <w:pStyle w:val="FootnoteText"/>
      </w:pPr>
    </w:p>
  </w:footnote>
  <w:footnote w:id="9">
    <w:p w:rsidR="005136F5" w:rsidRPr="00FD295E" w:rsidRDefault="005136F5" w:rsidP="00743D8F">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section 5 of the Exchange Act and 15 U.S.C. </w:t>
      </w:r>
      <w:proofErr w:type="gramStart"/>
      <w:r w:rsidRPr="00FD295E">
        <w:t>78q(</w:t>
      </w:r>
      <w:proofErr w:type="gramEnd"/>
      <w:r w:rsidRPr="00FD295E">
        <w:t>a)(1).</w:t>
      </w:r>
    </w:p>
    <w:p w:rsidR="005136F5" w:rsidRPr="00FD295E" w:rsidRDefault="005136F5" w:rsidP="00743D8F">
      <w:pPr>
        <w:pStyle w:val="FootnoteText"/>
      </w:pPr>
    </w:p>
  </w:footnote>
  <w:footnote w:id="10">
    <w:p w:rsidR="005136F5" w:rsidRPr="00FD295E" w:rsidRDefault="005136F5" w:rsidP="00743D8F">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15 U.S.C. </w:t>
      </w:r>
      <w:proofErr w:type="gramStart"/>
      <w:r w:rsidRPr="00FD295E">
        <w:t>78q(</w:t>
      </w:r>
      <w:proofErr w:type="gramEnd"/>
      <w:r w:rsidRPr="00FD295E">
        <w:t>b)(1).</w:t>
      </w:r>
    </w:p>
    <w:p w:rsidR="005136F5" w:rsidRPr="00FD295E" w:rsidRDefault="005136F5" w:rsidP="00743D8F">
      <w:pPr>
        <w:pStyle w:val="FootnoteText"/>
      </w:pPr>
    </w:p>
  </w:footnote>
  <w:footnote w:id="11">
    <w:p w:rsidR="005136F5" w:rsidRPr="00FD295E" w:rsidRDefault="005136F5" w:rsidP="00CB0166">
      <w:pPr>
        <w:pStyle w:val="FootnoteText"/>
        <w:ind w:left="720" w:hanging="720"/>
      </w:pPr>
      <w:r w:rsidRPr="00FD295E">
        <w:rPr>
          <w:rStyle w:val="FootnoteReference"/>
        </w:rPr>
        <w:footnoteRef/>
      </w:r>
      <w:r w:rsidRPr="00FD295E">
        <w:t xml:space="preserve"> </w:t>
      </w:r>
      <w:r w:rsidRPr="00FD295E">
        <w:tab/>
        <w:t>15 U.S.C. 78q.</w:t>
      </w:r>
    </w:p>
    <w:p w:rsidR="005136F5" w:rsidRPr="00FD295E" w:rsidRDefault="005136F5" w:rsidP="009B04EF">
      <w:pPr>
        <w:pStyle w:val="FootnoteText"/>
        <w:ind w:left="720" w:hanging="720"/>
      </w:pPr>
    </w:p>
  </w:footnote>
  <w:footnote w:id="12">
    <w:p w:rsidR="005136F5" w:rsidRPr="00FD295E" w:rsidRDefault="005136F5">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17 CFR 240.17g-2(a</w:t>
      </w:r>
      <w:proofErr w:type="gramStart"/>
      <w:r w:rsidRPr="00FD295E">
        <w:t>)(</w:t>
      </w:r>
      <w:proofErr w:type="gramEnd"/>
      <w:r w:rsidRPr="00FD295E">
        <w:t>9).</w:t>
      </w:r>
    </w:p>
  </w:footnote>
  <w:footnote w:id="13">
    <w:p w:rsidR="005136F5" w:rsidRPr="00FD295E" w:rsidRDefault="005136F5">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17 CFR 240.17g-2(c).</w:t>
      </w:r>
    </w:p>
    <w:p w:rsidR="005136F5" w:rsidRPr="00FD295E" w:rsidRDefault="005136F5">
      <w:pPr>
        <w:pStyle w:val="FootnoteText"/>
      </w:pPr>
    </w:p>
  </w:footnote>
  <w:footnote w:id="14">
    <w:p w:rsidR="005136F5" w:rsidRPr="00FD295E" w:rsidRDefault="005136F5" w:rsidP="009D4935">
      <w:pPr>
        <w:pStyle w:val="FootnoteText"/>
      </w:pPr>
      <w:r w:rsidRPr="00FD295E">
        <w:rPr>
          <w:rStyle w:val="FootnoteReference"/>
        </w:rPr>
        <w:footnoteRef/>
      </w:r>
      <w:r w:rsidRPr="00FD295E">
        <w:t xml:space="preserve"> </w:t>
      </w:r>
      <w:r w:rsidRPr="00FD295E">
        <w:tab/>
        <w:t xml:space="preserve">15 U.S.C. 78o-7. </w:t>
      </w:r>
    </w:p>
  </w:footnote>
  <w:footnote w:id="15">
    <w:p w:rsidR="005136F5" w:rsidRPr="00FD295E" w:rsidRDefault="005136F5">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w:t>
      </w:r>
      <w:r w:rsidRPr="00FD295E">
        <w:rPr>
          <w:u w:val="single"/>
        </w:rPr>
        <w:t>Nationally Recognized Statistical Rating Organizations</w:t>
      </w:r>
      <w:r w:rsidRPr="00FD295E">
        <w:t xml:space="preserve">, Exchange Act Release No. 64514 (May 18, </w:t>
      </w:r>
      <w:r w:rsidRPr="00FD295E">
        <w:tab/>
        <w:t>2011), 76 FR 33511 (June 8, 2011).</w:t>
      </w:r>
    </w:p>
    <w:p w:rsidR="005136F5" w:rsidRPr="00FD295E" w:rsidRDefault="005136F5">
      <w:pPr>
        <w:pStyle w:val="FootnoteText"/>
      </w:pPr>
    </w:p>
  </w:footnote>
  <w:footnote w:id="16">
    <w:p w:rsidR="005136F5" w:rsidRPr="00FD295E" w:rsidRDefault="005136F5" w:rsidP="00C92122">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letter from Larry G. </w:t>
      </w:r>
      <w:proofErr w:type="spellStart"/>
      <w:r w:rsidRPr="00FD295E">
        <w:t>Mayewski</w:t>
      </w:r>
      <w:proofErr w:type="spellEnd"/>
      <w:r w:rsidRPr="00FD295E">
        <w:t xml:space="preserve">, Executive Vice President, A.M. Best Company, to the Securities and </w:t>
      </w:r>
      <w:r w:rsidRPr="00FD295E">
        <w:tab/>
        <w:t xml:space="preserve">Exchange </w:t>
      </w:r>
      <w:proofErr w:type="spellStart"/>
      <w:r w:rsidRPr="00FD295E">
        <w:t>Comm’n</w:t>
      </w:r>
      <w:proofErr w:type="spellEnd"/>
      <w:r w:rsidRPr="00FD295E">
        <w:t xml:space="preserve"> (Aug. 8, 2011) (“A.M. Best Letter”), </w:t>
      </w:r>
      <w:r w:rsidRPr="00FD295E">
        <w:rPr>
          <w:u w:val="single"/>
        </w:rPr>
        <w:t>available at</w:t>
      </w:r>
      <w:r w:rsidRPr="00FD295E">
        <w:t xml:space="preserve"> </w:t>
      </w:r>
      <w:hyperlink r:id="rId1" w:history="1">
        <w:r w:rsidRPr="00FD295E">
          <w:rPr>
            <w:rStyle w:val="Hyperlink"/>
          </w:rPr>
          <w:t>http://www.sec.gov/comments/s7-18-</w:t>
        </w:r>
        <w:r w:rsidRPr="00FD295E">
          <w:rPr>
            <w:rStyle w:val="Hyperlink"/>
            <w:u w:val="none"/>
          </w:rPr>
          <w:tab/>
        </w:r>
        <w:r w:rsidRPr="00FD295E">
          <w:rPr>
            <w:rStyle w:val="Hyperlink"/>
          </w:rPr>
          <w:t>11/s71811-39.pdf</w:t>
        </w:r>
      </w:hyperlink>
      <w:r w:rsidRPr="00FD295E">
        <w:t>.</w:t>
      </w:r>
    </w:p>
  </w:footnote>
  <w:footnote w:id="17">
    <w:p w:rsidR="005136F5" w:rsidRDefault="005136F5" w:rsidP="00C92122">
      <w:pPr>
        <w:pStyle w:val="FootnoteText"/>
      </w:pPr>
      <w:r w:rsidRPr="00FD295E">
        <w:rPr>
          <w:rStyle w:val="FootnoteReference"/>
        </w:rPr>
        <w:footnoteRef/>
      </w:r>
      <w:r w:rsidRPr="00FD295E">
        <w:t xml:space="preserve"> </w:t>
      </w:r>
      <w:r w:rsidRPr="00FD295E">
        <w:tab/>
      </w:r>
      <w:r w:rsidRPr="00FD295E">
        <w:rPr>
          <w:u w:val="single"/>
        </w:rPr>
        <w:t>See</w:t>
      </w:r>
      <w:r w:rsidRPr="00FD295E">
        <w:t xml:space="preserve"> 15 U.S.C. 78o-7(c</w:t>
      </w:r>
      <w:proofErr w:type="gramStart"/>
      <w:r w:rsidRPr="00FD295E">
        <w:t>)(</w:t>
      </w:r>
      <w:proofErr w:type="gramEnd"/>
      <w:r w:rsidRPr="00FD295E">
        <w:t>3)(A).</w:t>
      </w:r>
    </w:p>
    <w:p w:rsidR="005136F5" w:rsidRPr="00FD295E" w:rsidRDefault="005136F5" w:rsidP="00C92122">
      <w:pPr>
        <w:pStyle w:val="FootnoteText"/>
      </w:pPr>
    </w:p>
  </w:footnote>
  <w:footnote w:id="18">
    <w:p w:rsidR="009D651C" w:rsidRPr="002E0D2E" w:rsidRDefault="009D651C" w:rsidP="009D651C">
      <w:pPr>
        <w:pStyle w:val="FootnoteText"/>
      </w:pPr>
      <w:r>
        <w:rPr>
          <w:rStyle w:val="FootnoteReference"/>
        </w:rPr>
        <w:footnoteRef/>
      </w:r>
      <w:r>
        <w:t xml:space="preserve"> </w:t>
      </w:r>
      <w:r>
        <w:tab/>
      </w:r>
      <w:r>
        <w:rPr>
          <w:u w:val="single"/>
        </w:rPr>
        <w:t>See</w:t>
      </w:r>
      <w:r w:rsidRPr="009222DF">
        <w:t xml:space="preserve"> </w:t>
      </w:r>
      <w:r w:rsidR="007D0435">
        <w:rPr>
          <w:rFonts w:ascii="Verdana" w:hAnsi="Verdana"/>
          <w:color w:val="000000"/>
          <w:sz w:val="16"/>
          <w:szCs w:val="16"/>
        </w:rPr>
        <w:t>85 FR 44347</w:t>
      </w:r>
      <w:r w:rsidR="007D0435">
        <w:t xml:space="preserve"> (July</w:t>
      </w:r>
      <w:r>
        <w:t xml:space="preserve"> 2</w:t>
      </w:r>
      <w:r w:rsidR="007D0435">
        <w:t>2</w:t>
      </w:r>
      <w:r>
        <w:t>, 20</w:t>
      </w:r>
      <w:r w:rsidR="007D0435">
        <w:t>20</w:t>
      </w:r>
      <w:r>
        <w:t>).</w:t>
      </w:r>
    </w:p>
  </w:footnote>
  <w:footnote w:id="19">
    <w:p w:rsidR="005136F5" w:rsidRDefault="005136F5" w:rsidP="00FD295E">
      <w:pPr>
        <w:pStyle w:val="FootnoteText"/>
        <w:ind w:left="720" w:hanging="720"/>
      </w:pPr>
      <w:r w:rsidRPr="00FD295E">
        <w:rPr>
          <w:rStyle w:val="FootnoteReference"/>
        </w:rPr>
        <w:footnoteRef/>
      </w:r>
      <w:r w:rsidRPr="00FD295E">
        <w:t xml:space="preserve"> </w:t>
      </w:r>
      <w:r w:rsidRPr="00FD295E">
        <w:tab/>
      </w:r>
      <w:r w:rsidRPr="00FD295E">
        <w:rPr>
          <w:u w:val="single"/>
        </w:rPr>
        <w:t>See</w:t>
      </w:r>
      <w:r w:rsidRPr="00FD295E">
        <w:t xml:space="preserve"> Release </w:t>
      </w:r>
      <w:r>
        <w:t xml:space="preserve">No. </w:t>
      </w:r>
      <w:r w:rsidRPr="00FD295E">
        <w:t xml:space="preserve">59342, </w:t>
      </w:r>
      <w:r w:rsidRPr="00FD295E">
        <w:rPr>
          <w:u w:val="single"/>
        </w:rPr>
        <w:t>supra</w:t>
      </w:r>
      <w:r w:rsidRPr="00FD295E">
        <w:t xml:space="preserve"> note</w:t>
      </w:r>
      <w:r>
        <w:t xml:space="preserve"> 25</w:t>
      </w:r>
      <w:r w:rsidRPr="00FD295E">
        <w:t xml:space="preserve">.  </w:t>
      </w:r>
    </w:p>
    <w:p w:rsidR="005136F5" w:rsidRPr="00FD295E" w:rsidRDefault="005136F5" w:rsidP="00FD295E">
      <w:pPr>
        <w:pStyle w:val="FootnoteText"/>
        <w:ind w:left="720" w:hanging="720"/>
      </w:pPr>
    </w:p>
  </w:footnote>
  <w:footnote w:id="20">
    <w:p w:rsidR="005136F5" w:rsidRDefault="005136F5" w:rsidP="00FD295E">
      <w:pPr>
        <w:pStyle w:val="FootnoteText"/>
        <w:ind w:left="720" w:hanging="720"/>
      </w:pPr>
      <w:r w:rsidRPr="00FD295E">
        <w:rPr>
          <w:rStyle w:val="FootnoteReference"/>
        </w:rPr>
        <w:footnoteRef/>
      </w:r>
      <w:r w:rsidR="009D651C">
        <w:t xml:space="preserve"> </w:t>
      </w:r>
      <w:r w:rsidR="009D651C">
        <w:tab/>
        <w:t>23</w:t>
      </w:r>
      <w:r w:rsidRPr="00FD295E">
        <w:t>9 hours x 10 respondents = 2,790 hours.</w:t>
      </w:r>
    </w:p>
    <w:p w:rsidR="005136F5" w:rsidRPr="00FD295E" w:rsidRDefault="005136F5" w:rsidP="00FD295E">
      <w:pPr>
        <w:pStyle w:val="FootnoteText"/>
        <w:ind w:left="720" w:hanging="720"/>
      </w:pPr>
    </w:p>
  </w:footnote>
  <w:footnote w:id="21">
    <w:p w:rsidR="009D651C" w:rsidRDefault="009D651C">
      <w:pPr>
        <w:pStyle w:val="FootnoteText"/>
      </w:pPr>
      <w:r>
        <w:rPr>
          <w:rStyle w:val="FootnoteReference"/>
        </w:rPr>
        <w:footnoteRef/>
      </w:r>
      <w:r>
        <w:t xml:space="preserve"> </w:t>
      </w:r>
      <w:r>
        <w:tab/>
        <w:t>239 hours x 9 respondents = 2,151 hours.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DE"/>
    <w:rsid w:val="00001159"/>
    <w:rsid w:val="0000370E"/>
    <w:rsid w:val="00003800"/>
    <w:rsid w:val="000040C5"/>
    <w:rsid w:val="000047FC"/>
    <w:rsid w:val="000164A0"/>
    <w:rsid w:val="00021046"/>
    <w:rsid w:val="00021D50"/>
    <w:rsid w:val="00033617"/>
    <w:rsid w:val="00036969"/>
    <w:rsid w:val="00040F4C"/>
    <w:rsid w:val="0004165E"/>
    <w:rsid w:val="00042080"/>
    <w:rsid w:val="00044F77"/>
    <w:rsid w:val="000464EE"/>
    <w:rsid w:val="00054005"/>
    <w:rsid w:val="00060832"/>
    <w:rsid w:val="0006159A"/>
    <w:rsid w:val="00070C4E"/>
    <w:rsid w:val="00073F57"/>
    <w:rsid w:val="0007522F"/>
    <w:rsid w:val="00077C78"/>
    <w:rsid w:val="000918B9"/>
    <w:rsid w:val="0009238F"/>
    <w:rsid w:val="00093385"/>
    <w:rsid w:val="00094DFD"/>
    <w:rsid w:val="000970F5"/>
    <w:rsid w:val="000B24E4"/>
    <w:rsid w:val="000B601F"/>
    <w:rsid w:val="000B65C0"/>
    <w:rsid w:val="000B6BC8"/>
    <w:rsid w:val="000C29B8"/>
    <w:rsid w:val="000C3833"/>
    <w:rsid w:val="000C788C"/>
    <w:rsid w:val="000E0CD0"/>
    <w:rsid w:val="000E0FEF"/>
    <w:rsid w:val="000E14C7"/>
    <w:rsid w:val="000E3A45"/>
    <w:rsid w:val="000E65F5"/>
    <w:rsid w:val="000F32D7"/>
    <w:rsid w:val="00100BC9"/>
    <w:rsid w:val="00100BDB"/>
    <w:rsid w:val="001059B9"/>
    <w:rsid w:val="00105B56"/>
    <w:rsid w:val="001073DD"/>
    <w:rsid w:val="00107DCA"/>
    <w:rsid w:val="00107DE8"/>
    <w:rsid w:val="00113D20"/>
    <w:rsid w:val="00114A7C"/>
    <w:rsid w:val="00121697"/>
    <w:rsid w:val="001220F5"/>
    <w:rsid w:val="00125671"/>
    <w:rsid w:val="0012771E"/>
    <w:rsid w:val="00131ECA"/>
    <w:rsid w:val="001456E7"/>
    <w:rsid w:val="0014788B"/>
    <w:rsid w:val="00151BE5"/>
    <w:rsid w:val="00151E10"/>
    <w:rsid w:val="001530E3"/>
    <w:rsid w:val="00154380"/>
    <w:rsid w:val="00156EEC"/>
    <w:rsid w:val="001604E2"/>
    <w:rsid w:val="00165C83"/>
    <w:rsid w:val="001706C9"/>
    <w:rsid w:val="00170E5D"/>
    <w:rsid w:val="001745C9"/>
    <w:rsid w:val="00174B68"/>
    <w:rsid w:val="00176CFB"/>
    <w:rsid w:val="00182344"/>
    <w:rsid w:val="00186D89"/>
    <w:rsid w:val="001908A4"/>
    <w:rsid w:val="00193B67"/>
    <w:rsid w:val="001A3FE6"/>
    <w:rsid w:val="001A5DD0"/>
    <w:rsid w:val="001B0DF9"/>
    <w:rsid w:val="001B2FE5"/>
    <w:rsid w:val="001B5AC8"/>
    <w:rsid w:val="001C0711"/>
    <w:rsid w:val="001C1939"/>
    <w:rsid w:val="001C5745"/>
    <w:rsid w:val="001C7601"/>
    <w:rsid w:val="001D5242"/>
    <w:rsid w:val="001D61B5"/>
    <w:rsid w:val="001E3DBE"/>
    <w:rsid w:val="001E649F"/>
    <w:rsid w:val="001E72AA"/>
    <w:rsid w:val="00205AB3"/>
    <w:rsid w:val="002104A3"/>
    <w:rsid w:val="00214025"/>
    <w:rsid w:val="00214E58"/>
    <w:rsid w:val="00223831"/>
    <w:rsid w:val="002342E3"/>
    <w:rsid w:val="00234DE4"/>
    <w:rsid w:val="002358E2"/>
    <w:rsid w:val="002368B7"/>
    <w:rsid w:val="00237964"/>
    <w:rsid w:val="00244B3E"/>
    <w:rsid w:val="002454AA"/>
    <w:rsid w:val="002459EF"/>
    <w:rsid w:val="002652A9"/>
    <w:rsid w:val="0027091E"/>
    <w:rsid w:val="00275BFC"/>
    <w:rsid w:val="002774F8"/>
    <w:rsid w:val="00286F99"/>
    <w:rsid w:val="00291F51"/>
    <w:rsid w:val="002A2156"/>
    <w:rsid w:val="002A3F6F"/>
    <w:rsid w:val="002B053A"/>
    <w:rsid w:val="002B3531"/>
    <w:rsid w:val="002B43BD"/>
    <w:rsid w:val="002C2560"/>
    <w:rsid w:val="002C25D5"/>
    <w:rsid w:val="002D20E5"/>
    <w:rsid w:val="002D375D"/>
    <w:rsid w:val="002D4AC5"/>
    <w:rsid w:val="002E0EBD"/>
    <w:rsid w:val="002E1756"/>
    <w:rsid w:val="002E2637"/>
    <w:rsid w:val="002E2ACD"/>
    <w:rsid w:val="002E3D53"/>
    <w:rsid w:val="002E5DDB"/>
    <w:rsid w:val="002F1EAC"/>
    <w:rsid w:val="002F2020"/>
    <w:rsid w:val="00300A71"/>
    <w:rsid w:val="00301300"/>
    <w:rsid w:val="00301953"/>
    <w:rsid w:val="00302524"/>
    <w:rsid w:val="00303939"/>
    <w:rsid w:val="00310065"/>
    <w:rsid w:val="003112AC"/>
    <w:rsid w:val="00317AB4"/>
    <w:rsid w:val="00317E81"/>
    <w:rsid w:val="00327A02"/>
    <w:rsid w:val="00327B5E"/>
    <w:rsid w:val="00341B92"/>
    <w:rsid w:val="00342C7E"/>
    <w:rsid w:val="0034552B"/>
    <w:rsid w:val="003517CF"/>
    <w:rsid w:val="00361DF7"/>
    <w:rsid w:val="003644A6"/>
    <w:rsid w:val="00366133"/>
    <w:rsid w:val="00371E87"/>
    <w:rsid w:val="00374599"/>
    <w:rsid w:val="003752F6"/>
    <w:rsid w:val="00377425"/>
    <w:rsid w:val="003803F7"/>
    <w:rsid w:val="00381DE4"/>
    <w:rsid w:val="0038269A"/>
    <w:rsid w:val="003826D2"/>
    <w:rsid w:val="00387BD4"/>
    <w:rsid w:val="003A6372"/>
    <w:rsid w:val="003A6A84"/>
    <w:rsid w:val="003B386D"/>
    <w:rsid w:val="003B5DCE"/>
    <w:rsid w:val="003B5ECA"/>
    <w:rsid w:val="003C0209"/>
    <w:rsid w:val="003C485D"/>
    <w:rsid w:val="003D1A7A"/>
    <w:rsid w:val="003D2944"/>
    <w:rsid w:val="003D3B52"/>
    <w:rsid w:val="003D3C46"/>
    <w:rsid w:val="003D4650"/>
    <w:rsid w:val="003E276C"/>
    <w:rsid w:val="003E2B42"/>
    <w:rsid w:val="003F08B3"/>
    <w:rsid w:val="003F1255"/>
    <w:rsid w:val="003F2F6A"/>
    <w:rsid w:val="00400F80"/>
    <w:rsid w:val="004022C7"/>
    <w:rsid w:val="004068C9"/>
    <w:rsid w:val="00411BC3"/>
    <w:rsid w:val="00413BB7"/>
    <w:rsid w:val="00413E7E"/>
    <w:rsid w:val="00415D11"/>
    <w:rsid w:val="00415EEF"/>
    <w:rsid w:val="00421C7A"/>
    <w:rsid w:val="00427069"/>
    <w:rsid w:val="00433648"/>
    <w:rsid w:val="00437CEA"/>
    <w:rsid w:val="00443573"/>
    <w:rsid w:val="00443C3D"/>
    <w:rsid w:val="00444820"/>
    <w:rsid w:val="00455943"/>
    <w:rsid w:val="004625F5"/>
    <w:rsid w:val="00463D14"/>
    <w:rsid w:val="00476374"/>
    <w:rsid w:val="00481FB0"/>
    <w:rsid w:val="00486095"/>
    <w:rsid w:val="00486A28"/>
    <w:rsid w:val="0048779B"/>
    <w:rsid w:val="00492092"/>
    <w:rsid w:val="004920E5"/>
    <w:rsid w:val="0049258C"/>
    <w:rsid w:val="004926C0"/>
    <w:rsid w:val="004945BB"/>
    <w:rsid w:val="00497E27"/>
    <w:rsid w:val="004B00D5"/>
    <w:rsid w:val="004B5040"/>
    <w:rsid w:val="004B6C92"/>
    <w:rsid w:val="004C2748"/>
    <w:rsid w:val="004D0B63"/>
    <w:rsid w:val="004E265D"/>
    <w:rsid w:val="004E30A7"/>
    <w:rsid w:val="004E75A1"/>
    <w:rsid w:val="004F105C"/>
    <w:rsid w:val="004F269F"/>
    <w:rsid w:val="004F57A8"/>
    <w:rsid w:val="0050626B"/>
    <w:rsid w:val="005069F1"/>
    <w:rsid w:val="00511674"/>
    <w:rsid w:val="00511847"/>
    <w:rsid w:val="005136F5"/>
    <w:rsid w:val="00514178"/>
    <w:rsid w:val="005153D6"/>
    <w:rsid w:val="00522148"/>
    <w:rsid w:val="0052429C"/>
    <w:rsid w:val="00525E87"/>
    <w:rsid w:val="00543C8E"/>
    <w:rsid w:val="00543D70"/>
    <w:rsid w:val="0055094A"/>
    <w:rsid w:val="00561831"/>
    <w:rsid w:val="00565870"/>
    <w:rsid w:val="00571BF4"/>
    <w:rsid w:val="00574C81"/>
    <w:rsid w:val="00575539"/>
    <w:rsid w:val="00575806"/>
    <w:rsid w:val="00587ABC"/>
    <w:rsid w:val="00592EDF"/>
    <w:rsid w:val="00594833"/>
    <w:rsid w:val="00594B90"/>
    <w:rsid w:val="00597792"/>
    <w:rsid w:val="005A0C87"/>
    <w:rsid w:val="005A3DAC"/>
    <w:rsid w:val="005A57BA"/>
    <w:rsid w:val="005A6538"/>
    <w:rsid w:val="005B3987"/>
    <w:rsid w:val="005B526D"/>
    <w:rsid w:val="005C0608"/>
    <w:rsid w:val="005C3509"/>
    <w:rsid w:val="005C43AB"/>
    <w:rsid w:val="005D0E95"/>
    <w:rsid w:val="005D2A63"/>
    <w:rsid w:val="005D5F2B"/>
    <w:rsid w:val="005D6EA5"/>
    <w:rsid w:val="005E74A0"/>
    <w:rsid w:val="005F0FCA"/>
    <w:rsid w:val="005F2229"/>
    <w:rsid w:val="005F3507"/>
    <w:rsid w:val="005F5C82"/>
    <w:rsid w:val="006005C2"/>
    <w:rsid w:val="00600E54"/>
    <w:rsid w:val="00602EBB"/>
    <w:rsid w:val="00603CCA"/>
    <w:rsid w:val="006055CD"/>
    <w:rsid w:val="00605C2C"/>
    <w:rsid w:val="00607215"/>
    <w:rsid w:val="006076F5"/>
    <w:rsid w:val="0060783D"/>
    <w:rsid w:val="006078B7"/>
    <w:rsid w:val="0060799F"/>
    <w:rsid w:val="00610B5C"/>
    <w:rsid w:val="00614C39"/>
    <w:rsid w:val="006200C7"/>
    <w:rsid w:val="0062538F"/>
    <w:rsid w:val="00634244"/>
    <w:rsid w:val="006350E8"/>
    <w:rsid w:val="00637CF6"/>
    <w:rsid w:val="00642E10"/>
    <w:rsid w:val="0065057A"/>
    <w:rsid w:val="00651102"/>
    <w:rsid w:val="006519C3"/>
    <w:rsid w:val="006522F6"/>
    <w:rsid w:val="0065252F"/>
    <w:rsid w:val="0065368E"/>
    <w:rsid w:val="006543CD"/>
    <w:rsid w:val="006635C7"/>
    <w:rsid w:val="0066668B"/>
    <w:rsid w:val="00675D37"/>
    <w:rsid w:val="00677043"/>
    <w:rsid w:val="006957F0"/>
    <w:rsid w:val="006A0FDA"/>
    <w:rsid w:val="006A31AF"/>
    <w:rsid w:val="006A6B64"/>
    <w:rsid w:val="006B0C46"/>
    <w:rsid w:val="006B1F5F"/>
    <w:rsid w:val="006B687F"/>
    <w:rsid w:val="006B788C"/>
    <w:rsid w:val="006C14BE"/>
    <w:rsid w:val="006C1D7A"/>
    <w:rsid w:val="006C2197"/>
    <w:rsid w:val="006C29EE"/>
    <w:rsid w:val="006C5539"/>
    <w:rsid w:val="006C62DE"/>
    <w:rsid w:val="006D0052"/>
    <w:rsid w:val="006D0C7F"/>
    <w:rsid w:val="006D7A99"/>
    <w:rsid w:val="006E4EBD"/>
    <w:rsid w:val="006F03B2"/>
    <w:rsid w:val="00701BA4"/>
    <w:rsid w:val="007049CE"/>
    <w:rsid w:val="00704D8F"/>
    <w:rsid w:val="00704FDB"/>
    <w:rsid w:val="00710F64"/>
    <w:rsid w:val="00711FA0"/>
    <w:rsid w:val="007228B4"/>
    <w:rsid w:val="00727CE2"/>
    <w:rsid w:val="007304F6"/>
    <w:rsid w:val="007366B9"/>
    <w:rsid w:val="00743D8F"/>
    <w:rsid w:val="0074500C"/>
    <w:rsid w:val="00751F7D"/>
    <w:rsid w:val="00756343"/>
    <w:rsid w:val="00757DD9"/>
    <w:rsid w:val="00762C21"/>
    <w:rsid w:val="00762F52"/>
    <w:rsid w:val="00763A47"/>
    <w:rsid w:val="00763FA8"/>
    <w:rsid w:val="0076420F"/>
    <w:rsid w:val="007660FC"/>
    <w:rsid w:val="00771EAE"/>
    <w:rsid w:val="0077371F"/>
    <w:rsid w:val="00774772"/>
    <w:rsid w:val="007804B1"/>
    <w:rsid w:val="00782E07"/>
    <w:rsid w:val="007834BC"/>
    <w:rsid w:val="0078426E"/>
    <w:rsid w:val="00786921"/>
    <w:rsid w:val="00787432"/>
    <w:rsid w:val="007875A4"/>
    <w:rsid w:val="00787C7F"/>
    <w:rsid w:val="00791120"/>
    <w:rsid w:val="0079556E"/>
    <w:rsid w:val="0079579E"/>
    <w:rsid w:val="007A01E7"/>
    <w:rsid w:val="007A4BFD"/>
    <w:rsid w:val="007A5B2F"/>
    <w:rsid w:val="007B4E57"/>
    <w:rsid w:val="007B525D"/>
    <w:rsid w:val="007C1690"/>
    <w:rsid w:val="007C1AFA"/>
    <w:rsid w:val="007D026F"/>
    <w:rsid w:val="007D0435"/>
    <w:rsid w:val="007D5126"/>
    <w:rsid w:val="007E1B5D"/>
    <w:rsid w:val="007F6EA7"/>
    <w:rsid w:val="00800E90"/>
    <w:rsid w:val="008013E8"/>
    <w:rsid w:val="008102DD"/>
    <w:rsid w:val="00812E12"/>
    <w:rsid w:val="00813006"/>
    <w:rsid w:val="00813E94"/>
    <w:rsid w:val="00815981"/>
    <w:rsid w:val="00823ECA"/>
    <w:rsid w:val="00831749"/>
    <w:rsid w:val="00833F92"/>
    <w:rsid w:val="0084475A"/>
    <w:rsid w:val="0084610C"/>
    <w:rsid w:val="00847756"/>
    <w:rsid w:val="00852321"/>
    <w:rsid w:val="00852F80"/>
    <w:rsid w:val="00861444"/>
    <w:rsid w:val="00864900"/>
    <w:rsid w:val="0087387A"/>
    <w:rsid w:val="00873E76"/>
    <w:rsid w:val="008750BA"/>
    <w:rsid w:val="00875770"/>
    <w:rsid w:val="008768DE"/>
    <w:rsid w:val="00876F65"/>
    <w:rsid w:val="00877D3F"/>
    <w:rsid w:val="00880676"/>
    <w:rsid w:val="00881A12"/>
    <w:rsid w:val="008845BB"/>
    <w:rsid w:val="0088483A"/>
    <w:rsid w:val="00890C17"/>
    <w:rsid w:val="0089619B"/>
    <w:rsid w:val="008974BA"/>
    <w:rsid w:val="008A7740"/>
    <w:rsid w:val="008B1195"/>
    <w:rsid w:val="008B1340"/>
    <w:rsid w:val="008B4570"/>
    <w:rsid w:val="008D0C1F"/>
    <w:rsid w:val="008D7D43"/>
    <w:rsid w:val="008E2CDC"/>
    <w:rsid w:val="008E33B8"/>
    <w:rsid w:val="008E66A4"/>
    <w:rsid w:val="008E7D7A"/>
    <w:rsid w:val="008F07F6"/>
    <w:rsid w:val="008F1E38"/>
    <w:rsid w:val="008F30C9"/>
    <w:rsid w:val="008F4D71"/>
    <w:rsid w:val="008F59B8"/>
    <w:rsid w:val="00901008"/>
    <w:rsid w:val="00902B0D"/>
    <w:rsid w:val="00904A53"/>
    <w:rsid w:val="00906252"/>
    <w:rsid w:val="00907F24"/>
    <w:rsid w:val="00910F47"/>
    <w:rsid w:val="00913364"/>
    <w:rsid w:val="00914871"/>
    <w:rsid w:val="0091510F"/>
    <w:rsid w:val="00923BF3"/>
    <w:rsid w:val="00926E0C"/>
    <w:rsid w:val="0093232A"/>
    <w:rsid w:val="0093316B"/>
    <w:rsid w:val="0093539F"/>
    <w:rsid w:val="009353D0"/>
    <w:rsid w:val="00935B72"/>
    <w:rsid w:val="00936931"/>
    <w:rsid w:val="009369BE"/>
    <w:rsid w:val="00941D8B"/>
    <w:rsid w:val="00945919"/>
    <w:rsid w:val="00946597"/>
    <w:rsid w:val="00953D4E"/>
    <w:rsid w:val="00953F00"/>
    <w:rsid w:val="00955EB4"/>
    <w:rsid w:val="00956D8C"/>
    <w:rsid w:val="00957CC1"/>
    <w:rsid w:val="00962C90"/>
    <w:rsid w:val="00992FF1"/>
    <w:rsid w:val="009970EB"/>
    <w:rsid w:val="009A316C"/>
    <w:rsid w:val="009A5B42"/>
    <w:rsid w:val="009A6408"/>
    <w:rsid w:val="009A689B"/>
    <w:rsid w:val="009A6EC5"/>
    <w:rsid w:val="009B04EF"/>
    <w:rsid w:val="009B0B55"/>
    <w:rsid w:val="009B2366"/>
    <w:rsid w:val="009B2613"/>
    <w:rsid w:val="009B31DF"/>
    <w:rsid w:val="009B51B0"/>
    <w:rsid w:val="009B6CDD"/>
    <w:rsid w:val="009B7CD6"/>
    <w:rsid w:val="009C0457"/>
    <w:rsid w:val="009C6897"/>
    <w:rsid w:val="009D4935"/>
    <w:rsid w:val="009D651C"/>
    <w:rsid w:val="009E2438"/>
    <w:rsid w:val="009E3689"/>
    <w:rsid w:val="009E69E9"/>
    <w:rsid w:val="009E702D"/>
    <w:rsid w:val="009E761C"/>
    <w:rsid w:val="009F52BE"/>
    <w:rsid w:val="009F7109"/>
    <w:rsid w:val="00A03848"/>
    <w:rsid w:val="00A04771"/>
    <w:rsid w:val="00A13BB6"/>
    <w:rsid w:val="00A22528"/>
    <w:rsid w:val="00A370B8"/>
    <w:rsid w:val="00A3765B"/>
    <w:rsid w:val="00A46900"/>
    <w:rsid w:val="00A46C52"/>
    <w:rsid w:val="00A47EBF"/>
    <w:rsid w:val="00A51E1C"/>
    <w:rsid w:val="00A64B52"/>
    <w:rsid w:val="00A70B06"/>
    <w:rsid w:val="00A7391F"/>
    <w:rsid w:val="00A92316"/>
    <w:rsid w:val="00A93664"/>
    <w:rsid w:val="00A9485D"/>
    <w:rsid w:val="00AA06F8"/>
    <w:rsid w:val="00AB342B"/>
    <w:rsid w:val="00AB6CDF"/>
    <w:rsid w:val="00AB79C0"/>
    <w:rsid w:val="00AC773A"/>
    <w:rsid w:val="00AD51EB"/>
    <w:rsid w:val="00AD626B"/>
    <w:rsid w:val="00AE3BE8"/>
    <w:rsid w:val="00AE4553"/>
    <w:rsid w:val="00AF4CEB"/>
    <w:rsid w:val="00AF5909"/>
    <w:rsid w:val="00AF59EB"/>
    <w:rsid w:val="00AF7658"/>
    <w:rsid w:val="00B04295"/>
    <w:rsid w:val="00B05789"/>
    <w:rsid w:val="00B05AD6"/>
    <w:rsid w:val="00B07694"/>
    <w:rsid w:val="00B11848"/>
    <w:rsid w:val="00B12E46"/>
    <w:rsid w:val="00B13CBE"/>
    <w:rsid w:val="00B43D42"/>
    <w:rsid w:val="00B45363"/>
    <w:rsid w:val="00B4789B"/>
    <w:rsid w:val="00B53DEB"/>
    <w:rsid w:val="00B550A3"/>
    <w:rsid w:val="00B64CFB"/>
    <w:rsid w:val="00B64FC1"/>
    <w:rsid w:val="00B70EAC"/>
    <w:rsid w:val="00B809C5"/>
    <w:rsid w:val="00B80F86"/>
    <w:rsid w:val="00B820E6"/>
    <w:rsid w:val="00B86961"/>
    <w:rsid w:val="00B94622"/>
    <w:rsid w:val="00B9584C"/>
    <w:rsid w:val="00B9764F"/>
    <w:rsid w:val="00BA298B"/>
    <w:rsid w:val="00BA4D3C"/>
    <w:rsid w:val="00BB4F25"/>
    <w:rsid w:val="00BB5042"/>
    <w:rsid w:val="00BC21B2"/>
    <w:rsid w:val="00BC2287"/>
    <w:rsid w:val="00BC5DDA"/>
    <w:rsid w:val="00BD020C"/>
    <w:rsid w:val="00BD6565"/>
    <w:rsid w:val="00BE0E2A"/>
    <w:rsid w:val="00BE1676"/>
    <w:rsid w:val="00BE3CDF"/>
    <w:rsid w:val="00BE6E3E"/>
    <w:rsid w:val="00BE7158"/>
    <w:rsid w:val="00C012D2"/>
    <w:rsid w:val="00C01917"/>
    <w:rsid w:val="00C20A3E"/>
    <w:rsid w:val="00C23329"/>
    <w:rsid w:val="00C24AED"/>
    <w:rsid w:val="00C278E0"/>
    <w:rsid w:val="00C333E8"/>
    <w:rsid w:val="00C338CE"/>
    <w:rsid w:val="00C33F74"/>
    <w:rsid w:val="00C41C3E"/>
    <w:rsid w:val="00C546EC"/>
    <w:rsid w:val="00C5604C"/>
    <w:rsid w:val="00C60448"/>
    <w:rsid w:val="00C64DDE"/>
    <w:rsid w:val="00C80BC5"/>
    <w:rsid w:val="00C80E5C"/>
    <w:rsid w:val="00C82D57"/>
    <w:rsid w:val="00C8661A"/>
    <w:rsid w:val="00C87BB1"/>
    <w:rsid w:val="00C92122"/>
    <w:rsid w:val="00C95FD7"/>
    <w:rsid w:val="00C962BF"/>
    <w:rsid w:val="00C97C7C"/>
    <w:rsid w:val="00CA40A1"/>
    <w:rsid w:val="00CB0166"/>
    <w:rsid w:val="00CB19E7"/>
    <w:rsid w:val="00CB7969"/>
    <w:rsid w:val="00CD01DE"/>
    <w:rsid w:val="00CD06FC"/>
    <w:rsid w:val="00CD506D"/>
    <w:rsid w:val="00CD58D9"/>
    <w:rsid w:val="00CE19A3"/>
    <w:rsid w:val="00CE432D"/>
    <w:rsid w:val="00CF017E"/>
    <w:rsid w:val="00CF388F"/>
    <w:rsid w:val="00CF3A94"/>
    <w:rsid w:val="00D00175"/>
    <w:rsid w:val="00D00ADC"/>
    <w:rsid w:val="00D02136"/>
    <w:rsid w:val="00D03CE6"/>
    <w:rsid w:val="00D046D2"/>
    <w:rsid w:val="00D10A36"/>
    <w:rsid w:val="00D12CE6"/>
    <w:rsid w:val="00D143EC"/>
    <w:rsid w:val="00D144C0"/>
    <w:rsid w:val="00D14684"/>
    <w:rsid w:val="00D154EE"/>
    <w:rsid w:val="00D207E1"/>
    <w:rsid w:val="00D20821"/>
    <w:rsid w:val="00D2448F"/>
    <w:rsid w:val="00D32549"/>
    <w:rsid w:val="00D334D4"/>
    <w:rsid w:val="00D43528"/>
    <w:rsid w:val="00D46B66"/>
    <w:rsid w:val="00D516BD"/>
    <w:rsid w:val="00D54CA2"/>
    <w:rsid w:val="00D65447"/>
    <w:rsid w:val="00D67539"/>
    <w:rsid w:val="00D73F90"/>
    <w:rsid w:val="00D76424"/>
    <w:rsid w:val="00D77FF1"/>
    <w:rsid w:val="00D85CBA"/>
    <w:rsid w:val="00D87F95"/>
    <w:rsid w:val="00DA1B64"/>
    <w:rsid w:val="00DA3719"/>
    <w:rsid w:val="00DA4844"/>
    <w:rsid w:val="00DA7F6A"/>
    <w:rsid w:val="00DB3CE1"/>
    <w:rsid w:val="00DB44AD"/>
    <w:rsid w:val="00DC2599"/>
    <w:rsid w:val="00DC3E64"/>
    <w:rsid w:val="00DD1DB6"/>
    <w:rsid w:val="00DD40A1"/>
    <w:rsid w:val="00DD518E"/>
    <w:rsid w:val="00DD5E10"/>
    <w:rsid w:val="00DE5AD5"/>
    <w:rsid w:val="00DF08B5"/>
    <w:rsid w:val="00DF3FD2"/>
    <w:rsid w:val="00E01743"/>
    <w:rsid w:val="00E019A8"/>
    <w:rsid w:val="00E03CBB"/>
    <w:rsid w:val="00E13A72"/>
    <w:rsid w:val="00E13AA0"/>
    <w:rsid w:val="00E20F23"/>
    <w:rsid w:val="00E25566"/>
    <w:rsid w:val="00E40068"/>
    <w:rsid w:val="00E44150"/>
    <w:rsid w:val="00E44CEF"/>
    <w:rsid w:val="00E45ECF"/>
    <w:rsid w:val="00E46481"/>
    <w:rsid w:val="00E46DD3"/>
    <w:rsid w:val="00E47FEC"/>
    <w:rsid w:val="00E54769"/>
    <w:rsid w:val="00E54E60"/>
    <w:rsid w:val="00E55D76"/>
    <w:rsid w:val="00E56BC3"/>
    <w:rsid w:val="00E57439"/>
    <w:rsid w:val="00E6100A"/>
    <w:rsid w:val="00E6429C"/>
    <w:rsid w:val="00E645D3"/>
    <w:rsid w:val="00E6652C"/>
    <w:rsid w:val="00E727A4"/>
    <w:rsid w:val="00E73C60"/>
    <w:rsid w:val="00E77BC9"/>
    <w:rsid w:val="00E80A77"/>
    <w:rsid w:val="00E81734"/>
    <w:rsid w:val="00E86440"/>
    <w:rsid w:val="00E86AB0"/>
    <w:rsid w:val="00E90A0B"/>
    <w:rsid w:val="00EA612F"/>
    <w:rsid w:val="00EB1772"/>
    <w:rsid w:val="00EB5479"/>
    <w:rsid w:val="00EB75DE"/>
    <w:rsid w:val="00ED1408"/>
    <w:rsid w:val="00ED572E"/>
    <w:rsid w:val="00EE04C2"/>
    <w:rsid w:val="00EE566A"/>
    <w:rsid w:val="00EE5AF4"/>
    <w:rsid w:val="00EE5F44"/>
    <w:rsid w:val="00EE6C01"/>
    <w:rsid w:val="00EE7741"/>
    <w:rsid w:val="00EE78B2"/>
    <w:rsid w:val="00EF2DCC"/>
    <w:rsid w:val="00EF4140"/>
    <w:rsid w:val="00F01243"/>
    <w:rsid w:val="00F01F28"/>
    <w:rsid w:val="00F07841"/>
    <w:rsid w:val="00F167C3"/>
    <w:rsid w:val="00F177C0"/>
    <w:rsid w:val="00F251CA"/>
    <w:rsid w:val="00F27D2E"/>
    <w:rsid w:val="00F3362E"/>
    <w:rsid w:val="00F3637C"/>
    <w:rsid w:val="00F43086"/>
    <w:rsid w:val="00F435DF"/>
    <w:rsid w:val="00F47A96"/>
    <w:rsid w:val="00F52103"/>
    <w:rsid w:val="00F528F2"/>
    <w:rsid w:val="00F550C8"/>
    <w:rsid w:val="00F5574A"/>
    <w:rsid w:val="00F574CF"/>
    <w:rsid w:val="00F577A7"/>
    <w:rsid w:val="00F66AAD"/>
    <w:rsid w:val="00F72F5F"/>
    <w:rsid w:val="00F7536F"/>
    <w:rsid w:val="00F80698"/>
    <w:rsid w:val="00F82A51"/>
    <w:rsid w:val="00F85FF5"/>
    <w:rsid w:val="00F906C2"/>
    <w:rsid w:val="00F9377D"/>
    <w:rsid w:val="00F9387F"/>
    <w:rsid w:val="00FA055B"/>
    <w:rsid w:val="00FB0454"/>
    <w:rsid w:val="00FB1FCD"/>
    <w:rsid w:val="00FB2D3D"/>
    <w:rsid w:val="00FB6C02"/>
    <w:rsid w:val="00FC039A"/>
    <w:rsid w:val="00FC07B0"/>
    <w:rsid w:val="00FC25C9"/>
    <w:rsid w:val="00FD295E"/>
    <w:rsid w:val="00FD298E"/>
    <w:rsid w:val="00FD33B3"/>
    <w:rsid w:val="00FD4A88"/>
    <w:rsid w:val="00FD4D36"/>
    <w:rsid w:val="00FD72E4"/>
    <w:rsid w:val="00FE1DC6"/>
    <w:rsid w:val="00FE2F92"/>
    <w:rsid w:val="00FE68BB"/>
    <w:rsid w:val="00FF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9D0225"/>
  <w15:chartTrackingRefBased/>
  <w15:docId w15:val="{50FC0D7B-0D8F-4052-B964-D2D5AB5D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DE"/>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0C3833"/>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uiPriority w:val="99"/>
    <w:rsid w:val="000C3833"/>
    <w:rPr>
      <w:vertAlign w:val="superscript"/>
    </w:rPr>
  </w:style>
  <w:style w:type="paragraph" w:styleId="BodyText">
    <w:name w:val="Body Text"/>
    <w:basedOn w:val="Normal"/>
    <w:rsid w:val="00044F77"/>
    <w:pPr>
      <w:overflowPunct/>
      <w:autoSpaceDE/>
      <w:autoSpaceDN/>
      <w:adjustRightInd/>
      <w:jc w:val="both"/>
      <w:textAlignment w:val="auto"/>
    </w:pPr>
    <w:rPr>
      <w:sz w:val="24"/>
      <w:szCs w:val="24"/>
    </w:rPr>
  </w:style>
  <w:style w:type="character" w:customStyle="1" w:styleId="DeltaViewInsertion">
    <w:name w:val="DeltaView Insertion"/>
    <w:rsid w:val="00B43D42"/>
    <w:rPr>
      <w:color w:val="0000FF"/>
      <w:spacing w:val="0"/>
      <w:u w:val="double"/>
    </w:rPr>
  </w:style>
  <w:style w:type="paragraph" w:styleId="Footer">
    <w:name w:val="footer"/>
    <w:basedOn w:val="Normal"/>
    <w:rsid w:val="00E44CEF"/>
    <w:pPr>
      <w:tabs>
        <w:tab w:val="center" w:pos="4320"/>
        <w:tab w:val="right" w:pos="8640"/>
      </w:tabs>
    </w:pPr>
  </w:style>
  <w:style w:type="character" w:styleId="PageNumber">
    <w:name w:val="page number"/>
    <w:basedOn w:val="DefaultParagraphFont"/>
    <w:rsid w:val="00E44CEF"/>
  </w:style>
  <w:style w:type="paragraph" w:styleId="BalloonText">
    <w:name w:val="Balloon Text"/>
    <w:basedOn w:val="Normal"/>
    <w:semiHidden/>
    <w:rsid w:val="0000370E"/>
    <w:rPr>
      <w:rFonts w:ascii="Tahoma" w:hAnsi="Tahoma" w:cs="Tahoma"/>
      <w:sz w:val="16"/>
      <w:szCs w:val="16"/>
    </w:rPr>
  </w:style>
  <w:style w:type="paragraph" w:styleId="Header">
    <w:name w:val="header"/>
    <w:basedOn w:val="Normal"/>
    <w:rsid w:val="00E20F23"/>
    <w:pPr>
      <w:tabs>
        <w:tab w:val="center" w:pos="4320"/>
        <w:tab w:val="right" w:pos="8640"/>
      </w:tabs>
    </w:pPr>
  </w:style>
  <w:style w:type="character" w:styleId="Hyperlink">
    <w:name w:val="Hyperlink"/>
    <w:rsid w:val="00525E87"/>
    <w:rPr>
      <w:color w:val="0000FF"/>
      <w:u w:val="single"/>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locked/>
    <w:rsid w:val="00F82A51"/>
  </w:style>
  <w:style w:type="paragraph" w:styleId="Revision">
    <w:name w:val="Revision"/>
    <w:hidden/>
    <w:uiPriority w:val="99"/>
    <w:semiHidden/>
    <w:rsid w:val="00CB19E7"/>
  </w:style>
  <w:style w:type="character" w:styleId="FollowedHyperlink">
    <w:name w:val="FollowedHyperlink"/>
    <w:rsid w:val="009B2613"/>
    <w:rPr>
      <w:color w:val="800080"/>
      <w:u w:val="single"/>
    </w:rPr>
  </w:style>
  <w:style w:type="character" w:styleId="CommentReference">
    <w:name w:val="annotation reference"/>
    <w:rsid w:val="006F03B2"/>
    <w:rPr>
      <w:sz w:val="16"/>
      <w:szCs w:val="16"/>
    </w:rPr>
  </w:style>
  <w:style w:type="paragraph" w:styleId="CommentText">
    <w:name w:val="annotation text"/>
    <w:basedOn w:val="Normal"/>
    <w:link w:val="CommentTextChar"/>
    <w:rsid w:val="006F03B2"/>
  </w:style>
  <w:style w:type="character" w:customStyle="1" w:styleId="CommentTextChar">
    <w:name w:val="Comment Text Char"/>
    <w:basedOn w:val="DefaultParagraphFont"/>
    <w:link w:val="CommentText"/>
    <w:rsid w:val="006F03B2"/>
  </w:style>
  <w:style w:type="paragraph" w:styleId="CommentSubject">
    <w:name w:val="annotation subject"/>
    <w:basedOn w:val="CommentText"/>
    <w:next w:val="CommentText"/>
    <w:link w:val="CommentSubjectChar"/>
    <w:rsid w:val="006F03B2"/>
    <w:rPr>
      <w:b/>
      <w:bCs/>
    </w:rPr>
  </w:style>
  <w:style w:type="character" w:customStyle="1" w:styleId="CommentSubjectChar">
    <w:name w:val="Comment Subject Char"/>
    <w:link w:val="CommentSubject"/>
    <w:rsid w:val="006F0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6834">
      <w:bodyDiv w:val="1"/>
      <w:marLeft w:val="0"/>
      <w:marRight w:val="0"/>
      <w:marTop w:val="0"/>
      <w:marBottom w:val="0"/>
      <w:divBdr>
        <w:top w:val="none" w:sz="0" w:space="0" w:color="auto"/>
        <w:left w:val="none" w:sz="0" w:space="0" w:color="auto"/>
        <w:bottom w:val="none" w:sz="0" w:space="0" w:color="auto"/>
        <w:right w:val="none" w:sz="0" w:space="0" w:color="auto"/>
      </w:divBdr>
    </w:div>
    <w:div w:id="1056513653">
      <w:bodyDiv w:val="1"/>
      <w:marLeft w:val="0"/>
      <w:marRight w:val="0"/>
      <w:marTop w:val="0"/>
      <w:marBottom w:val="0"/>
      <w:divBdr>
        <w:top w:val="none" w:sz="0" w:space="0" w:color="auto"/>
        <w:left w:val="none" w:sz="0" w:space="0" w:color="auto"/>
        <w:bottom w:val="none" w:sz="0" w:space="0" w:color="auto"/>
        <w:right w:val="none" w:sz="0" w:space="0" w:color="auto"/>
      </w:divBdr>
    </w:div>
    <w:div w:id="19676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comments/s7-18-%0911/s71811-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47EF663CF85F42BF6F175B66334B35" ma:contentTypeVersion="0" ma:contentTypeDescription="Create a new document." ma:contentTypeScope="" ma:versionID="cda76ff98646d007cf1f9ebae6b6dd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26A6-EBF8-4F77-A247-3E8E8AF18088}">
  <ds:schemaRefs>
    <ds:schemaRef ds:uri="http://schemas.microsoft.com/office/2006/metadata/longProperties"/>
  </ds:schemaRefs>
</ds:datastoreItem>
</file>

<file path=customXml/itemProps2.xml><?xml version="1.0" encoding="utf-8"?>
<ds:datastoreItem xmlns:ds="http://schemas.openxmlformats.org/officeDocument/2006/customXml" ds:itemID="{F34C52B1-65E2-450E-B66B-F1FD41FCFF4E}">
  <ds:schemaRefs>
    <ds:schemaRef ds:uri="http://schemas.microsoft.com/sharepoint/v3/contenttype/forms"/>
  </ds:schemaRefs>
</ds:datastoreItem>
</file>

<file path=customXml/itemProps3.xml><?xml version="1.0" encoding="utf-8"?>
<ds:datastoreItem xmlns:ds="http://schemas.openxmlformats.org/officeDocument/2006/customXml" ds:itemID="{DD6092E9-63B6-475C-9978-B2065B350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13D230-7FB7-4EB6-82AC-C7693B9967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4C3183C1-717C-4518-B933-51FFB825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1761</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Rule 17g-1: Application for registration as a nationally recognized statistical rating organization</vt:lpstr>
    </vt:vector>
  </TitlesOfParts>
  <Company>SEC</Company>
  <LinksUpToDate>false</LinksUpToDate>
  <CharactersWithSpaces>11620</CharactersWithSpaces>
  <SharedDoc>false</SharedDoc>
  <HLinks>
    <vt:vector size="6" baseType="variant">
      <vt:variant>
        <vt:i4>7405691</vt:i4>
      </vt:variant>
      <vt:variant>
        <vt:i4>0</vt:i4>
      </vt:variant>
      <vt:variant>
        <vt:i4>0</vt:i4>
      </vt:variant>
      <vt:variant>
        <vt:i4>5</vt:i4>
      </vt:variant>
      <vt:variant>
        <vt:lpwstr>http://www.sec.gov/comments/s7-18-11/s71811-39.pdf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17g-1: Application for registration as a nationally recognized statistical rating organization</dc:title>
  <dc:subject/>
  <dc:creator>wellsr</dc:creator>
  <cp:keywords/>
  <cp:lastModifiedBy>Clague, Leah</cp:lastModifiedBy>
  <cp:revision>3</cp:revision>
  <cp:lastPrinted>2014-09-08T21:46:00Z</cp:lastPrinted>
  <dcterms:created xsi:type="dcterms:W3CDTF">2020-09-30T14:18:00Z</dcterms:created>
  <dcterms:modified xsi:type="dcterms:W3CDTF">2020-09-30T15:18:00Z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0x0101008CE57A305FE3344E8586358791CCFB2000F6A1F1ACD4F9BD4CB5CD562D39E5E4D2</vt:lpwstr>
  </property>
  <property fmtid="{D5CDD505-2E9C-101B-9397-08002B2CF9AE}" pid="3" name="_dlc_DocId">
    <vt:lpwstr>KKE47E4U7XZ3-2069-4501</vt:lpwstr>
  </property>
  <property fmtid="{D5CDD505-2E9C-101B-9397-08002B2CF9AE}" pid="4" name="_dlc_DocIdItemGuid">
    <vt:lpwstr>a1618b57-56e8-45ea-9043-8721a4ba4fa2</vt:lpwstr>
  </property>
  <property fmtid="{D5CDD505-2E9C-101B-9397-08002B2CF9AE}" pid="5" name="_dlc_DocIdUrl">
    <vt:lpwstr>https://collaboration/sites/OIT/pra/_layouts/DocIdRedir.aspx?ID=KKE47E4U7XZ3-2069-4501, KKE47E4U7XZ3-2069-4501</vt:lpwstr>
  </property>
  <property fmtid="{D5CDD505-2E9C-101B-9397-08002B2CF9AE}" pid="6" name="ShowRepairView">
    <vt:lpwstr/>
  </property>
  <property fmtid="{D5CDD505-2E9C-101B-9397-08002B2CF9AE}" pid="7" name="TemplateUrl">
    <vt:lpwstr/>
  </property>
  <property fmtid="{D5CDD505-2E9C-101B-9397-08002B2CF9AE}" pid="8" name="xd_ProgID">
    <vt:lpwstr/>
  </property>
  <property fmtid="{D5CDD505-2E9C-101B-9397-08002B2CF9AE}" pid="9" name="ShowCombineView">
    <vt:lpwstr/>
  </property>
  <property fmtid="{D5CDD505-2E9C-101B-9397-08002B2CF9AE}" pid="10" name="_CopySource">
    <vt:lpwstr>https://collaboration/sites/OIT/pra/ICR Documents/3235-0628-[1408974463270]/Rule 17g-2 Supporting Statement (Final).doc</vt:lpwstr>
  </property>
  <property fmtid="{D5CDD505-2E9C-101B-9397-08002B2CF9AE}" pid="11" name="Order">
    <vt:lpwstr>154000.000000000</vt:lpwstr>
  </property>
</Properties>
</file>