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557A" w:rsidR="00321C69" w:rsidP="000C5A87" w:rsidRDefault="00721EB2" w14:paraId="5AE203A1" w14:textId="77777777">
      <w:pPr>
        <w:tabs>
          <w:tab w:val="center" w:pos="4680"/>
        </w:tabs>
        <w:jc w:val="center"/>
        <w:rPr>
          <w:rFonts w:ascii="Calibri" w:hAnsi="Calibri"/>
          <w:b/>
          <w:bCs/>
          <w:sz w:val="22"/>
          <w:szCs w:val="22"/>
        </w:rPr>
      </w:pPr>
      <w:r w:rsidRPr="008B557A">
        <w:rPr>
          <w:rFonts w:ascii="Calibri" w:hAnsi="Calibri"/>
          <w:b/>
          <w:bCs/>
          <w:sz w:val="22"/>
          <w:szCs w:val="22"/>
        </w:rPr>
        <w:t>SUPPORTING STATEMENT</w:t>
      </w:r>
    </w:p>
    <w:p w:rsidRPr="008C5CCD" w:rsidR="00A3302F" w:rsidP="00A3302F" w:rsidRDefault="00A3302F" w14:paraId="2BB225A2" w14:textId="77777777">
      <w:pPr>
        <w:tabs>
          <w:tab w:val="center" w:pos="4680"/>
        </w:tabs>
        <w:jc w:val="center"/>
        <w:rPr>
          <w:rFonts w:ascii="Calibri" w:hAnsi="Calibri"/>
          <w:sz w:val="22"/>
          <w:szCs w:val="22"/>
        </w:rPr>
      </w:pPr>
      <w:r w:rsidRPr="008C5CCD">
        <w:rPr>
          <w:rFonts w:ascii="Calibri" w:hAnsi="Calibri"/>
          <w:sz w:val="22"/>
          <w:szCs w:val="22"/>
        </w:rPr>
        <w:t>Internal Revenue Service</w:t>
      </w:r>
    </w:p>
    <w:p w:rsidRPr="008C5CCD" w:rsidR="00D96EFD" w:rsidP="00321C69" w:rsidRDefault="00C75C1A" w14:paraId="6C5A9223" w14:textId="77777777">
      <w:pPr>
        <w:jc w:val="center"/>
        <w:rPr>
          <w:rFonts w:ascii="Calibri" w:hAnsi="Calibri"/>
          <w:sz w:val="22"/>
          <w:szCs w:val="22"/>
        </w:rPr>
      </w:pPr>
      <w:r w:rsidRPr="008C5CCD">
        <w:rPr>
          <w:rFonts w:ascii="Calibri" w:hAnsi="Calibri"/>
          <w:sz w:val="22"/>
          <w:szCs w:val="22"/>
        </w:rPr>
        <w:t>Affo</w:t>
      </w:r>
      <w:r w:rsidRPr="008C5CCD" w:rsidR="002D7029">
        <w:rPr>
          <w:rFonts w:ascii="Calibri" w:hAnsi="Calibri"/>
          <w:sz w:val="22"/>
          <w:szCs w:val="22"/>
        </w:rPr>
        <w:t>rdable Care Act Notice Relating to Rescissions</w:t>
      </w:r>
    </w:p>
    <w:p w:rsidRPr="008C5CCD" w:rsidR="00721EB2" w:rsidP="00321C69" w:rsidRDefault="00321C69" w14:paraId="69A54432" w14:textId="77777777">
      <w:pPr>
        <w:jc w:val="center"/>
        <w:rPr>
          <w:rFonts w:ascii="Calibri" w:hAnsi="Calibri"/>
          <w:sz w:val="22"/>
          <w:szCs w:val="22"/>
        </w:rPr>
      </w:pPr>
      <w:r w:rsidRPr="008C5CCD">
        <w:rPr>
          <w:rFonts w:ascii="Calibri" w:hAnsi="Calibri"/>
          <w:sz w:val="22"/>
          <w:szCs w:val="22"/>
        </w:rPr>
        <w:t>OMB</w:t>
      </w:r>
      <w:r w:rsidR="008C5CCD">
        <w:rPr>
          <w:rFonts w:ascii="Calibri" w:hAnsi="Calibri"/>
          <w:sz w:val="22"/>
          <w:szCs w:val="22"/>
        </w:rPr>
        <w:t xml:space="preserve"> </w:t>
      </w:r>
      <w:r w:rsidR="00F42931">
        <w:rPr>
          <w:rFonts w:ascii="Calibri" w:hAnsi="Calibri"/>
          <w:sz w:val="22"/>
          <w:szCs w:val="22"/>
        </w:rPr>
        <w:t>Control No.</w:t>
      </w:r>
      <w:r w:rsidRPr="008C5CCD">
        <w:rPr>
          <w:rFonts w:ascii="Calibri" w:hAnsi="Calibri"/>
          <w:sz w:val="22"/>
          <w:szCs w:val="22"/>
        </w:rPr>
        <w:t xml:space="preserve"> 1545-</w:t>
      </w:r>
      <w:r w:rsidRPr="008C5CCD" w:rsidR="002D7029">
        <w:rPr>
          <w:rFonts w:ascii="Calibri" w:hAnsi="Calibri"/>
          <w:sz w:val="22"/>
          <w:szCs w:val="22"/>
        </w:rPr>
        <w:t>2180</w:t>
      </w:r>
    </w:p>
    <w:p w:rsidRPr="008B557A" w:rsidR="00721EB2" w:rsidRDefault="00721EB2" w14:paraId="04361932" w14:textId="77777777">
      <w:pPr>
        <w:rPr>
          <w:rFonts w:ascii="Calibri" w:hAnsi="Calibri"/>
          <w:b/>
          <w:bCs/>
          <w:sz w:val="22"/>
          <w:szCs w:val="22"/>
        </w:rPr>
      </w:pPr>
    </w:p>
    <w:p w:rsidRPr="008B557A" w:rsidR="00721EB2" w:rsidRDefault="00721EB2" w14:paraId="2A713D47"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CIRCUMSTANCES NECESSITATING COLLECTION OF INFORMATION</w:t>
      </w:r>
    </w:p>
    <w:p w:rsidRPr="008B557A" w:rsidR="00721EB2" w:rsidRDefault="00721EB2" w14:paraId="5548836A" w14:textId="77777777">
      <w:pPr>
        <w:rPr>
          <w:rFonts w:ascii="Calibri" w:hAnsi="Calibri"/>
          <w:b/>
          <w:sz w:val="22"/>
          <w:szCs w:val="22"/>
        </w:rPr>
      </w:pPr>
    </w:p>
    <w:p w:rsidRPr="008B557A" w:rsidR="005760DF" w:rsidP="005760DF" w:rsidRDefault="005760DF" w14:paraId="59E6634E" w14:textId="77777777">
      <w:pPr>
        <w:ind w:left="720"/>
        <w:rPr>
          <w:rFonts w:ascii="Calibri" w:hAnsi="Calibri"/>
          <w:sz w:val="22"/>
          <w:szCs w:val="22"/>
        </w:rPr>
      </w:pPr>
      <w:r w:rsidRPr="008B557A">
        <w:rPr>
          <w:rFonts w:ascii="Calibri" w:hAnsi="Calibri"/>
          <w:sz w:val="22"/>
          <w:szCs w:val="22"/>
        </w:rPr>
        <w:t xml:space="preserve">Treasury Decision 9744 contains final regulations regarding grandfathered health plans, preexisting condition exclusions, lifetime and annual dollar limits on benefits, rescissions, coverage of dependent children to age 26, internal claims and appeal and external review processes, and patient protections under the Affordable Care Act. </w:t>
      </w:r>
    </w:p>
    <w:p w:rsidRPr="008B557A" w:rsidR="005760DF" w:rsidP="005760DF" w:rsidRDefault="005760DF" w14:paraId="767C9374" w14:textId="77777777">
      <w:pPr>
        <w:ind w:left="720"/>
        <w:rPr>
          <w:rFonts w:ascii="Calibri" w:hAnsi="Calibri"/>
          <w:sz w:val="22"/>
          <w:szCs w:val="22"/>
        </w:rPr>
      </w:pPr>
    </w:p>
    <w:p w:rsidRPr="008B557A" w:rsidR="00721EB2" w:rsidP="005760DF" w:rsidRDefault="005760DF" w14:paraId="2431CD77" w14:textId="77777777">
      <w:pPr>
        <w:ind w:left="720"/>
        <w:rPr>
          <w:rFonts w:ascii="Calibri" w:hAnsi="Calibri"/>
          <w:sz w:val="22"/>
          <w:szCs w:val="22"/>
        </w:rPr>
      </w:pPr>
      <w:r w:rsidRPr="008B557A">
        <w:rPr>
          <w:rFonts w:ascii="Calibri" w:hAnsi="Calibri"/>
          <w:sz w:val="22"/>
          <w:szCs w:val="22"/>
        </w:rPr>
        <w:t>The Public Health Service Act (PHS) Act section 2712, as added by the Affordable Care Act, provides that a group health plan or health insurance issuer offering group or individual health insurance coverage must not rescind coverage unless a covered individual commits fraud or makes an intentional misrepresentation of material fact. This standard applies to all rescissions, whether in the group or individual insurance market, or self-insured coverage.  The collections under this approval number relate to standards for rescission, including that the rules of PHS Act section 2712 apply whether the coverage is rescinded for an individual or a group.</w:t>
      </w:r>
      <w:r w:rsidRPr="008B557A" w:rsidR="00BA15C0">
        <w:rPr>
          <w:rFonts w:ascii="Calibri" w:hAnsi="Calibri"/>
          <w:sz w:val="22"/>
          <w:szCs w:val="22"/>
        </w:rPr>
        <w:t xml:space="preserve">  </w:t>
      </w:r>
    </w:p>
    <w:p w:rsidRPr="008B557A" w:rsidR="00721EB2" w:rsidRDefault="00721EB2" w14:paraId="25A41FAE" w14:textId="77777777">
      <w:pPr>
        <w:rPr>
          <w:rFonts w:ascii="Calibri" w:hAnsi="Calibri"/>
          <w:sz w:val="22"/>
          <w:szCs w:val="22"/>
        </w:rPr>
      </w:pPr>
      <w:r w:rsidRPr="008B557A">
        <w:rPr>
          <w:rFonts w:ascii="Calibri" w:hAnsi="Calibri"/>
          <w:sz w:val="22"/>
          <w:szCs w:val="22"/>
        </w:rPr>
        <w:t xml:space="preserve">         </w:t>
      </w:r>
    </w:p>
    <w:p w:rsidRPr="008B557A" w:rsidR="00721EB2" w:rsidRDefault="00721EB2" w14:paraId="24601AB3"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USE OF DATA</w:t>
      </w:r>
      <w:r w:rsidRPr="008B557A">
        <w:rPr>
          <w:rFonts w:ascii="Calibri" w:hAnsi="Calibri"/>
          <w:b/>
          <w:sz w:val="22"/>
          <w:szCs w:val="22"/>
        </w:rPr>
        <w:t xml:space="preserve">              </w:t>
      </w:r>
    </w:p>
    <w:p w:rsidRPr="008B557A" w:rsidR="00721EB2" w:rsidRDefault="00721EB2" w14:paraId="15ECF941" w14:textId="77777777">
      <w:pPr>
        <w:rPr>
          <w:rFonts w:ascii="Calibri" w:hAnsi="Calibri"/>
          <w:sz w:val="22"/>
          <w:szCs w:val="22"/>
        </w:rPr>
      </w:pPr>
    </w:p>
    <w:p w:rsidRPr="008B557A" w:rsidR="001F4C31" w:rsidP="008B07F5" w:rsidRDefault="005760DF" w14:paraId="3F22FD3E" w14:textId="738159A7">
      <w:pPr>
        <w:ind w:left="720"/>
        <w:rPr>
          <w:rFonts w:ascii="Calibri" w:hAnsi="Calibri"/>
          <w:sz w:val="22"/>
          <w:szCs w:val="22"/>
        </w:rPr>
      </w:pPr>
      <w:r w:rsidRPr="008B557A">
        <w:rPr>
          <w:rFonts w:ascii="Calibri" w:hAnsi="Calibri"/>
          <w:sz w:val="22"/>
          <w:szCs w:val="22"/>
        </w:rPr>
        <w:t>This is a third</w:t>
      </w:r>
      <w:r w:rsidR="00277D28">
        <w:rPr>
          <w:rFonts w:ascii="Calibri" w:hAnsi="Calibri"/>
          <w:sz w:val="22"/>
          <w:szCs w:val="22"/>
        </w:rPr>
        <w:t>-</w:t>
      </w:r>
      <w:r w:rsidRPr="008B557A">
        <w:rPr>
          <w:rFonts w:ascii="Calibri" w:hAnsi="Calibri"/>
          <w:sz w:val="22"/>
          <w:szCs w:val="22"/>
        </w:rPr>
        <w:t>party disclosure requirement required under PHS Act 2712.  Individuals whose coverage is about to be rescinded may need to arrange for other coverage, make decisions about whether they wish to appeal the plan's or issuer's decision to rescind their coverage, or make arrangements to defer the receipt of medical care that is either optional or not needed immediately. Individuals receiving the disclosure may make an informed decision on these matters rather than being caught off-guard</w:t>
      </w:r>
      <w:r w:rsidRPr="008B557A" w:rsidR="00721EB2">
        <w:rPr>
          <w:rFonts w:ascii="Calibri" w:hAnsi="Calibri"/>
          <w:sz w:val="22"/>
          <w:szCs w:val="22"/>
        </w:rPr>
        <w:t xml:space="preserve">.  </w:t>
      </w:r>
    </w:p>
    <w:p w:rsidRPr="008B557A" w:rsidR="001F4C31" w:rsidP="008B07F5" w:rsidRDefault="001F4C31" w14:paraId="3C5A0A11" w14:textId="77777777">
      <w:pPr>
        <w:ind w:left="720"/>
        <w:rPr>
          <w:rFonts w:ascii="Calibri" w:hAnsi="Calibri"/>
          <w:sz w:val="22"/>
          <w:szCs w:val="22"/>
        </w:rPr>
        <w:sectPr w:rsidRPr="008B557A" w:rsidR="001F4C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Pr="008B557A" w:rsidR="0026031B" w:rsidP="0026031B" w:rsidRDefault="0026031B" w14:paraId="65410025" w14:textId="77777777">
      <w:pPr>
        <w:pStyle w:val="Level1"/>
        <w:numPr>
          <w:ilvl w:val="0"/>
          <w:numId w:val="0"/>
        </w:numPr>
        <w:tabs>
          <w:tab w:val="left" w:pos="-1440"/>
        </w:tabs>
        <w:rPr>
          <w:rFonts w:ascii="Calibri" w:hAnsi="Calibri"/>
          <w:b/>
          <w:sz w:val="22"/>
          <w:szCs w:val="22"/>
          <w:u w:val="single"/>
        </w:rPr>
      </w:pPr>
    </w:p>
    <w:p w:rsidRPr="008B557A" w:rsidR="00721EB2" w:rsidP="0026031B" w:rsidRDefault="00721EB2" w14:paraId="09AF80B5" w14:textId="77777777">
      <w:pPr>
        <w:pStyle w:val="Level1"/>
        <w:tabs>
          <w:tab w:val="left" w:pos="-1440"/>
        </w:tabs>
        <w:rPr>
          <w:rFonts w:ascii="Calibri" w:hAnsi="Calibri"/>
          <w:b/>
          <w:sz w:val="22"/>
          <w:szCs w:val="22"/>
        </w:rPr>
      </w:pPr>
      <w:r w:rsidRPr="008B557A">
        <w:rPr>
          <w:rFonts w:ascii="Calibri" w:hAnsi="Calibri"/>
          <w:b/>
          <w:sz w:val="22"/>
          <w:szCs w:val="22"/>
          <w:u w:val="single"/>
        </w:rPr>
        <w:t>USE OF IMPROVED INFORMATION TECHNOLOGY TO REDUCE BURDEN</w:t>
      </w:r>
    </w:p>
    <w:p w:rsidRPr="008B557A" w:rsidR="00721EB2" w:rsidRDefault="00721EB2" w14:paraId="2CE95D7F" w14:textId="77777777">
      <w:pPr>
        <w:rPr>
          <w:rFonts w:ascii="Calibri" w:hAnsi="Calibri"/>
          <w:b/>
          <w:sz w:val="22"/>
          <w:szCs w:val="22"/>
        </w:rPr>
      </w:pPr>
    </w:p>
    <w:p w:rsidRPr="008B557A" w:rsidR="00721EB2" w:rsidRDefault="008C2BBB" w14:paraId="0FB49E64" w14:textId="77777777">
      <w:pPr>
        <w:ind w:left="720"/>
        <w:rPr>
          <w:rFonts w:ascii="Calibri" w:hAnsi="Calibri"/>
          <w:sz w:val="22"/>
          <w:szCs w:val="22"/>
        </w:rPr>
      </w:pPr>
      <w:r w:rsidRPr="008B557A">
        <w:rPr>
          <w:rFonts w:ascii="Calibri" w:hAnsi="Calibri"/>
          <w:sz w:val="22"/>
          <w:szCs w:val="22"/>
        </w:rPr>
        <w:t>Plans and issuers may satisfy this disclosure requirement by electronic means if they comply with applicable electronic disclosure requirements</w:t>
      </w:r>
      <w:r w:rsidRPr="008B557A" w:rsidR="00721EB2">
        <w:rPr>
          <w:rFonts w:ascii="Calibri" w:hAnsi="Calibri"/>
          <w:sz w:val="22"/>
          <w:szCs w:val="22"/>
        </w:rPr>
        <w:t>.</w:t>
      </w:r>
    </w:p>
    <w:p w:rsidRPr="008B557A" w:rsidR="00321C69" w:rsidRDefault="00721EB2" w14:paraId="1F2D2039" w14:textId="77777777">
      <w:pPr>
        <w:rPr>
          <w:rFonts w:ascii="Calibri" w:hAnsi="Calibri"/>
          <w:sz w:val="22"/>
          <w:szCs w:val="22"/>
        </w:rPr>
      </w:pPr>
      <w:r w:rsidRPr="008B557A">
        <w:rPr>
          <w:rFonts w:ascii="Calibri" w:hAnsi="Calibri"/>
          <w:sz w:val="22"/>
          <w:szCs w:val="22"/>
        </w:rPr>
        <w:t xml:space="preserve">                                                                 </w:t>
      </w:r>
    </w:p>
    <w:p w:rsidRPr="008B557A" w:rsidR="00721EB2" w:rsidRDefault="00721EB2" w14:paraId="2139DF89"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EFFORTS TO IDENTIFY DUPLICATION</w:t>
      </w:r>
    </w:p>
    <w:p w:rsidRPr="008B557A" w:rsidR="00721EB2" w:rsidRDefault="00721EB2" w14:paraId="4441406B" w14:textId="77777777">
      <w:pPr>
        <w:rPr>
          <w:rFonts w:ascii="Calibri" w:hAnsi="Calibri"/>
          <w:sz w:val="22"/>
          <w:szCs w:val="22"/>
        </w:rPr>
      </w:pPr>
    </w:p>
    <w:p w:rsidRPr="008B557A" w:rsidR="00721EB2" w:rsidRDefault="00A3302F" w14:paraId="165124D0" w14:textId="77777777">
      <w:pPr>
        <w:ind w:left="720"/>
        <w:rPr>
          <w:rFonts w:ascii="Calibri" w:hAnsi="Calibri"/>
          <w:sz w:val="22"/>
          <w:szCs w:val="22"/>
        </w:rPr>
      </w:pPr>
      <w:r w:rsidRPr="008B557A">
        <w:rPr>
          <w:rFonts w:ascii="Calibri" w:hAnsi="Calibri"/>
          <w:sz w:val="22"/>
          <w:szCs w:val="22"/>
        </w:rPr>
        <w:t>The information obtained through this collection is unique and is not already available for use or adaptation from another source</w:t>
      </w:r>
      <w:r w:rsidRPr="008B557A" w:rsidR="00721EB2">
        <w:rPr>
          <w:rFonts w:ascii="Calibri" w:hAnsi="Calibri"/>
          <w:sz w:val="22"/>
          <w:szCs w:val="22"/>
        </w:rPr>
        <w:t xml:space="preserve">.  </w:t>
      </w:r>
    </w:p>
    <w:p w:rsidRPr="008B557A" w:rsidR="00721EB2" w:rsidRDefault="00721EB2" w14:paraId="41FDEE2B" w14:textId="77777777">
      <w:pPr>
        <w:rPr>
          <w:rFonts w:ascii="Calibri" w:hAnsi="Calibri"/>
          <w:sz w:val="22"/>
          <w:szCs w:val="22"/>
        </w:rPr>
      </w:pPr>
    </w:p>
    <w:p w:rsidRPr="008B557A" w:rsidR="00721EB2" w:rsidRDefault="00721EB2" w14:paraId="45A6C0B6"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METHODS TO MINIMIZE BURDEN ON SMALL BUSINESSES OR OTHER</w:t>
      </w:r>
      <w:r w:rsidR="0057275E">
        <w:rPr>
          <w:rFonts w:ascii="Calibri" w:hAnsi="Calibri"/>
          <w:b/>
          <w:sz w:val="22"/>
          <w:szCs w:val="22"/>
          <w:u w:val="single"/>
        </w:rPr>
        <w:t xml:space="preserve"> </w:t>
      </w:r>
      <w:r w:rsidRPr="008B557A">
        <w:rPr>
          <w:rFonts w:ascii="Calibri" w:hAnsi="Calibri"/>
          <w:b/>
          <w:sz w:val="22"/>
          <w:szCs w:val="22"/>
          <w:u w:val="single"/>
        </w:rPr>
        <w:t>SMALL ENTITIES</w:t>
      </w:r>
    </w:p>
    <w:p w:rsidRPr="008B557A" w:rsidR="00721EB2" w:rsidRDefault="00721EB2" w14:paraId="293BDED6" w14:textId="77777777">
      <w:pPr>
        <w:rPr>
          <w:rFonts w:ascii="Calibri" w:hAnsi="Calibri"/>
          <w:b/>
          <w:sz w:val="22"/>
          <w:szCs w:val="22"/>
        </w:rPr>
      </w:pPr>
    </w:p>
    <w:p w:rsidRPr="008B557A" w:rsidR="00721EB2" w:rsidRDefault="0065166D" w14:paraId="78E06D9D" w14:textId="4CB8B1AE">
      <w:pPr>
        <w:ind w:left="720"/>
        <w:rPr>
          <w:rFonts w:ascii="Calibri" w:hAnsi="Calibri"/>
          <w:sz w:val="22"/>
          <w:szCs w:val="22"/>
        </w:rPr>
      </w:pPr>
      <w:r w:rsidRPr="008B557A">
        <w:rPr>
          <w:rFonts w:ascii="Calibri" w:hAnsi="Calibri"/>
          <w:sz w:val="22"/>
          <w:szCs w:val="22"/>
        </w:rPr>
        <w:t xml:space="preserve">There </w:t>
      </w:r>
      <w:r w:rsidR="00540F40">
        <w:rPr>
          <w:rFonts w:ascii="Calibri" w:hAnsi="Calibri"/>
          <w:sz w:val="22"/>
          <w:szCs w:val="22"/>
        </w:rPr>
        <w:t xml:space="preserve">is no </w:t>
      </w:r>
      <w:r w:rsidR="00920C98">
        <w:rPr>
          <w:rFonts w:ascii="Calibri" w:hAnsi="Calibri"/>
          <w:sz w:val="22"/>
          <w:szCs w:val="22"/>
        </w:rPr>
        <w:t xml:space="preserve">burden </w:t>
      </w:r>
      <w:r w:rsidRPr="008B557A" w:rsidR="00920C98">
        <w:rPr>
          <w:rFonts w:ascii="Calibri" w:hAnsi="Calibri"/>
          <w:sz w:val="22"/>
          <w:szCs w:val="22"/>
        </w:rPr>
        <w:t>on</w:t>
      </w:r>
      <w:bookmarkStart w:name="_GoBack" w:id="0"/>
      <w:bookmarkEnd w:id="0"/>
      <w:r w:rsidR="00540F40">
        <w:rPr>
          <w:rFonts w:ascii="Calibri" w:hAnsi="Calibri"/>
          <w:sz w:val="22"/>
          <w:szCs w:val="22"/>
        </w:rPr>
        <w:t xml:space="preserve"> </w:t>
      </w:r>
      <w:r w:rsidRPr="008B557A">
        <w:rPr>
          <w:rFonts w:ascii="Calibri" w:hAnsi="Calibri"/>
          <w:sz w:val="22"/>
          <w:szCs w:val="22"/>
        </w:rPr>
        <w:t xml:space="preserve">small </w:t>
      </w:r>
      <w:r w:rsidR="00540F40">
        <w:rPr>
          <w:rFonts w:ascii="Calibri" w:hAnsi="Calibri"/>
          <w:sz w:val="22"/>
          <w:szCs w:val="22"/>
        </w:rPr>
        <w:t xml:space="preserve">businesses or </w:t>
      </w:r>
      <w:r w:rsidRPr="008B557A">
        <w:rPr>
          <w:rFonts w:ascii="Calibri" w:hAnsi="Calibri"/>
          <w:sz w:val="22"/>
          <w:szCs w:val="22"/>
        </w:rPr>
        <w:t xml:space="preserve">entities </w:t>
      </w:r>
      <w:r w:rsidR="00540F40">
        <w:rPr>
          <w:rFonts w:ascii="Calibri" w:hAnsi="Calibri"/>
          <w:sz w:val="22"/>
          <w:szCs w:val="22"/>
        </w:rPr>
        <w:t>by this collection due to the inapplicability of the authorizing statute to this type of entity.</w:t>
      </w:r>
    </w:p>
    <w:p w:rsidRPr="008B557A" w:rsidR="00AF4952" w:rsidRDefault="00AF4952" w14:paraId="54DA10E0" w14:textId="77777777">
      <w:pPr>
        <w:rPr>
          <w:rFonts w:ascii="Calibri" w:hAnsi="Calibri"/>
          <w:sz w:val="22"/>
          <w:szCs w:val="22"/>
        </w:rPr>
      </w:pPr>
    </w:p>
    <w:p w:rsidRPr="008B557A" w:rsidR="00721EB2" w:rsidRDefault="00721EB2" w14:paraId="4CC6507E"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CONSEQUENCES OF LESS FREQUENT COLLECTION ON FEDERAL PROGRAMS OR POLICY ACTIVITIES</w:t>
      </w:r>
    </w:p>
    <w:p w:rsidRPr="008B557A" w:rsidR="00721EB2" w:rsidRDefault="00721EB2" w14:paraId="6F0AD9EC" w14:textId="77777777">
      <w:pPr>
        <w:rPr>
          <w:rFonts w:ascii="Calibri" w:hAnsi="Calibri"/>
          <w:sz w:val="22"/>
          <w:szCs w:val="22"/>
        </w:rPr>
      </w:pPr>
    </w:p>
    <w:p w:rsidRPr="008B557A" w:rsidR="00721EB2" w:rsidRDefault="0065166D" w14:paraId="0E571F02" w14:textId="77777777">
      <w:pPr>
        <w:ind w:left="720"/>
        <w:rPr>
          <w:rFonts w:ascii="Calibri" w:hAnsi="Calibri"/>
          <w:sz w:val="22"/>
          <w:szCs w:val="22"/>
        </w:rPr>
      </w:pPr>
      <w:r w:rsidRPr="008B557A">
        <w:rPr>
          <w:rFonts w:ascii="Calibri" w:hAnsi="Calibri"/>
          <w:sz w:val="22"/>
          <w:szCs w:val="22"/>
        </w:rPr>
        <w:t xml:space="preserve">Failure to collect the information will prevent taxpayers from properly complying and/or reporting with the requirements outlined in section </w:t>
      </w:r>
      <w:r w:rsidRPr="008B557A" w:rsidR="00A102AA">
        <w:rPr>
          <w:rFonts w:ascii="Calibri" w:hAnsi="Calibri"/>
          <w:sz w:val="22"/>
          <w:szCs w:val="22"/>
        </w:rPr>
        <w:t>9833</w:t>
      </w:r>
      <w:r w:rsidRPr="008B557A">
        <w:rPr>
          <w:rFonts w:ascii="Calibri" w:hAnsi="Calibri"/>
          <w:sz w:val="22"/>
          <w:szCs w:val="22"/>
        </w:rPr>
        <w:t xml:space="preserve"> of the Code</w:t>
      </w:r>
      <w:r w:rsidRPr="008B557A" w:rsidR="00721EB2">
        <w:rPr>
          <w:rFonts w:ascii="Calibri" w:hAnsi="Calibri"/>
          <w:sz w:val="22"/>
          <w:szCs w:val="22"/>
        </w:rPr>
        <w:t>.</w:t>
      </w:r>
    </w:p>
    <w:p w:rsidRPr="008B557A" w:rsidR="00721EB2" w:rsidRDefault="00721EB2" w14:paraId="3F4D5556" w14:textId="77777777">
      <w:pPr>
        <w:rPr>
          <w:rFonts w:ascii="Calibri" w:hAnsi="Calibri"/>
          <w:sz w:val="22"/>
          <w:szCs w:val="22"/>
        </w:rPr>
      </w:pPr>
    </w:p>
    <w:p w:rsidRPr="008B557A" w:rsidR="00721EB2" w:rsidRDefault="00721EB2" w14:paraId="14CF9445"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SPECIAL CIRCUMSTANCES REQUIRING DATA COLLECTION TO BE</w:t>
      </w:r>
      <w:r w:rsidR="004A763E">
        <w:rPr>
          <w:rFonts w:ascii="Calibri" w:hAnsi="Calibri"/>
          <w:b/>
          <w:sz w:val="22"/>
          <w:szCs w:val="22"/>
          <w:u w:val="single"/>
        </w:rPr>
        <w:t xml:space="preserve"> </w:t>
      </w:r>
      <w:r w:rsidRPr="008B557A">
        <w:rPr>
          <w:rFonts w:ascii="Calibri" w:hAnsi="Calibri"/>
          <w:b/>
          <w:sz w:val="22"/>
          <w:szCs w:val="22"/>
          <w:u w:val="single"/>
        </w:rPr>
        <w:t>INCONSISTENT WITH GUIDELINES IN 5 CFR 1320.5(d)(2)</w:t>
      </w:r>
    </w:p>
    <w:p w:rsidRPr="008B557A" w:rsidR="00721EB2" w:rsidRDefault="00721EB2" w14:paraId="7A77CE3D" w14:textId="77777777">
      <w:pPr>
        <w:rPr>
          <w:rFonts w:ascii="Calibri" w:hAnsi="Calibri"/>
          <w:sz w:val="22"/>
          <w:szCs w:val="22"/>
        </w:rPr>
      </w:pPr>
    </w:p>
    <w:p w:rsidRPr="008B557A" w:rsidR="00721EB2" w:rsidRDefault="0065166D" w14:paraId="612FFCAF" w14:textId="77777777">
      <w:pPr>
        <w:ind w:left="720"/>
        <w:rPr>
          <w:rFonts w:ascii="Calibri" w:hAnsi="Calibri"/>
          <w:sz w:val="22"/>
          <w:szCs w:val="22"/>
        </w:rPr>
      </w:pPr>
      <w:r w:rsidRPr="008B557A">
        <w:rPr>
          <w:rFonts w:ascii="Calibri" w:hAnsi="Calibri"/>
          <w:sz w:val="22"/>
          <w:szCs w:val="22"/>
        </w:rPr>
        <w:t>There are no special circumstances requiring data collection to be inconsistent with Guidelines in 5 CFR 1320.5(d)(2)</w:t>
      </w:r>
      <w:r w:rsidRPr="008B557A" w:rsidR="00721EB2">
        <w:rPr>
          <w:rFonts w:ascii="Calibri" w:hAnsi="Calibri"/>
          <w:sz w:val="22"/>
          <w:szCs w:val="22"/>
        </w:rPr>
        <w:t>.</w:t>
      </w:r>
    </w:p>
    <w:p w:rsidRPr="008B557A" w:rsidR="00721EB2" w:rsidRDefault="00721EB2" w14:paraId="08FDAF9A" w14:textId="77777777">
      <w:pPr>
        <w:rPr>
          <w:rFonts w:ascii="Calibri" w:hAnsi="Calibri"/>
          <w:sz w:val="22"/>
          <w:szCs w:val="22"/>
        </w:rPr>
      </w:pPr>
    </w:p>
    <w:p w:rsidRPr="008B557A" w:rsidR="00721EB2" w:rsidRDefault="00721EB2" w14:paraId="07465B40"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CONSULTATION WITH INDIVIDUALS OUTSIDE OF THE AGENCY ON</w:t>
      </w:r>
      <w:r w:rsidR="004A763E">
        <w:rPr>
          <w:rFonts w:ascii="Calibri" w:hAnsi="Calibri"/>
          <w:b/>
          <w:sz w:val="22"/>
          <w:szCs w:val="22"/>
          <w:u w:val="single"/>
        </w:rPr>
        <w:t xml:space="preserve"> </w:t>
      </w:r>
      <w:r w:rsidRPr="008B557A">
        <w:rPr>
          <w:rFonts w:ascii="Calibri" w:hAnsi="Calibri"/>
          <w:b/>
          <w:sz w:val="22"/>
          <w:szCs w:val="22"/>
          <w:u w:val="single"/>
        </w:rPr>
        <w:t>AVAILABILITY OF DATA, FREQUENCY OF COLLECTION, CLARITY OF INSTRUCTIONS AND FORMS, AND DATA ELEMENTS</w:t>
      </w:r>
    </w:p>
    <w:p w:rsidRPr="008B557A" w:rsidR="00721EB2" w:rsidRDefault="00721EB2" w14:paraId="3127517C" w14:textId="77777777">
      <w:pPr>
        <w:rPr>
          <w:rFonts w:ascii="Calibri" w:hAnsi="Calibri"/>
          <w:sz w:val="22"/>
          <w:szCs w:val="22"/>
        </w:rPr>
      </w:pPr>
    </w:p>
    <w:p w:rsidRPr="008B557A" w:rsidR="00721EB2" w:rsidP="0026249C" w:rsidRDefault="00A102AA" w14:paraId="4C6DD478" w14:textId="77777777">
      <w:pPr>
        <w:widowControl/>
        <w:ind w:left="720"/>
        <w:rPr>
          <w:rFonts w:ascii="Calibri" w:hAnsi="Calibri"/>
          <w:sz w:val="22"/>
          <w:szCs w:val="22"/>
        </w:rPr>
      </w:pPr>
      <w:r w:rsidRPr="008B557A">
        <w:rPr>
          <w:rFonts w:ascii="Calibri" w:hAnsi="Calibri"/>
          <w:color w:val="231F20"/>
          <w:sz w:val="22"/>
          <w:szCs w:val="22"/>
        </w:rPr>
        <w:t>The Departments of Labor (DOL),</w:t>
      </w:r>
      <w:r w:rsidRPr="008B557A" w:rsidR="0026249C">
        <w:rPr>
          <w:rFonts w:ascii="Calibri" w:hAnsi="Calibri"/>
          <w:color w:val="231F20"/>
          <w:sz w:val="22"/>
          <w:szCs w:val="22"/>
        </w:rPr>
        <w:t xml:space="preserve"> </w:t>
      </w:r>
      <w:r w:rsidRPr="008B557A">
        <w:rPr>
          <w:rFonts w:ascii="Calibri" w:hAnsi="Calibri"/>
          <w:color w:val="231F20"/>
          <w:sz w:val="22"/>
          <w:szCs w:val="22"/>
        </w:rPr>
        <w:t>Health and Human Services (HHS) and</w:t>
      </w:r>
      <w:r w:rsidRPr="008B557A" w:rsidR="0026249C">
        <w:rPr>
          <w:rFonts w:ascii="Calibri" w:hAnsi="Calibri"/>
          <w:color w:val="231F20"/>
          <w:sz w:val="22"/>
          <w:szCs w:val="22"/>
        </w:rPr>
        <w:t xml:space="preserve"> </w:t>
      </w:r>
      <w:r w:rsidRPr="008B557A">
        <w:rPr>
          <w:rFonts w:ascii="Calibri" w:hAnsi="Calibri"/>
          <w:color w:val="231F20"/>
          <w:sz w:val="22"/>
          <w:szCs w:val="22"/>
        </w:rPr>
        <w:t>the Treasury (collectively, the Departments)</w:t>
      </w:r>
      <w:r w:rsidRPr="008B557A" w:rsidR="0026249C">
        <w:rPr>
          <w:rFonts w:ascii="Calibri" w:hAnsi="Calibri"/>
          <w:color w:val="231F20"/>
          <w:sz w:val="22"/>
          <w:szCs w:val="22"/>
        </w:rPr>
        <w:t xml:space="preserve"> </w:t>
      </w:r>
      <w:r w:rsidRPr="008B557A">
        <w:rPr>
          <w:rFonts w:ascii="Calibri" w:hAnsi="Calibri"/>
          <w:color w:val="231F20"/>
          <w:sz w:val="22"/>
          <w:szCs w:val="22"/>
        </w:rPr>
        <w:t>have issued regulations implementing</w:t>
      </w:r>
      <w:r w:rsidRPr="008B557A" w:rsidR="0026249C">
        <w:rPr>
          <w:rFonts w:ascii="Calibri" w:hAnsi="Calibri"/>
          <w:color w:val="231F20"/>
          <w:sz w:val="22"/>
          <w:szCs w:val="22"/>
        </w:rPr>
        <w:t xml:space="preserve"> </w:t>
      </w:r>
      <w:r w:rsidRPr="008B557A">
        <w:rPr>
          <w:rFonts w:ascii="Calibri" w:hAnsi="Calibri"/>
          <w:color w:val="231F20"/>
          <w:sz w:val="22"/>
          <w:szCs w:val="22"/>
        </w:rPr>
        <w:t>the revised PHS Act sections</w:t>
      </w:r>
      <w:r w:rsidRPr="008B557A" w:rsidR="0026249C">
        <w:rPr>
          <w:rFonts w:ascii="Calibri" w:hAnsi="Calibri"/>
          <w:color w:val="231F20"/>
          <w:sz w:val="22"/>
          <w:szCs w:val="22"/>
        </w:rPr>
        <w:t xml:space="preserve"> </w:t>
      </w:r>
      <w:r w:rsidRPr="008B557A">
        <w:rPr>
          <w:rFonts w:ascii="Calibri" w:hAnsi="Calibri"/>
          <w:color w:val="231F20"/>
          <w:sz w:val="22"/>
          <w:szCs w:val="22"/>
        </w:rPr>
        <w:t>2701 through 2719A in several phases.</w:t>
      </w:r>
      <w:r w:rsidRPr="008B557A" w:rsidR="0026249C">
        <w:rPr>
          <w:rFonts w:ascii="Calibri" w:hAnsi="Calibri"/>
          <w:color w:val="231F20"/>
          <w:sz w:val="22"/>
          <w:szCs w:val="22"/>
        </w:rPr>
        <w:t xml:space="preserve">  </w:t>
      </w:r>
      <w:r w:rsidRPr="008B557A">
        <w:rPr>
          <w:rFonts w:ascii="Calibri" w:hAnsi="Calibri"/>
          <w:color w:val="231F20"/>
          <w:sz w:val="22"/>
          <w:szCs w:val="22"/>
        </w:rPr>
        <w:t>Throughout 2010, the Departments issued</w:t>
      </w:r>
      <w:r w:rsidRPr="008B557A" w:rsidR="0026249C">
        <w:rPr>
          <w:rFonts w:ascii="Calibri" w:hAnsi="Calibri"/>
          <w:color w:val="231F20"/>
          <w:sz w:val="22"/>
          <w:szCs w:val="22"/>
        </w:rPr>
        <w:t xml:space="preserve"> </w:t>
      </w:r>
      <w:r w:rsidRPr="008B557A">
        <w:rPr>
          <w:rFonts w:ascii="Calibri" w:hAnsi="Calibri"/>
          <w:color w:val="231F20"/>
          <w:sz w:val="22"/>
          <w:szCs w:val="22"/>
        </w:rPr>
        <w:t>interim final regulations (or temporary</w:t>
      </w:r>
      <w:r w:rsidRPr="008B557A" w:rsidR="0026249C">
        <w:rPr>
          <w:rFonts w:ascii="Calibri" w:hAnsi="Calibri"/>
          <w:color w:val="231F20"/>
          <w:sz w:val="22"/>
          <w:szCs w:val="22"/>
        </w:rPr>
        <w:t xml:space="preserve"> </w:t>
      </w:r>
      <w:r w:rsidRPr="008B557A">
        <w:rPr>
          <w:rFonts w:ascii="Calibri" w:hAnsi="Calibri"/>
          <w:color w:val="231F20"/>
          <w:sz w:val="22"/>
          <w:szCs w:val="22"/>
        </w:rPr>
        <w:t>and proposed regulations)</w:t>
      </w:r>
      <w:r w:rsidRPr="008B557A" w:rsidR="0026249C">
        <w:rPr>
          <w:rFonts w:ascii="Calibri" w:hAnsi="Calibri"/>
          <w:color w:val="231F20"/>
          <w:sz w:val="22"/>
          <w:szCs w:val="22"/>
        </w:rPr>
        <w:t>,</w:t>
      </w:r>
      <w:r w:rsidRPr="008B557A">
        <w:rPr>
          <w:rFonts w:ascii="Calibri" w:hAnsi="Calibri"/>
          <w:color w:val="231F20"/>
          <w:sz w:val="22"/>
          <w:szCs w:val="22"/>
        </w:rPr>
        <w:t xml:space="preserve"> with requests</w:t>
      </w:r>
      <w:r w:rsidRPr="008B557A" w:rsidR="0026249C">
        <w:rPr>
          <w:rFonts w:ascii="Calibri" w:hAnsi="Calibri"/>
          <w:color w:val="231F20"/>
          <w:sz w:val="22"/>
          <w:szCs w:val="22"/>
        </w:rPr>
        <w:t xml:space="preserve"> </w:t>
      </w:r>
      <w:r w:rsidRPr="008B557A">
        <w:rPr>
          <w:rFonts w:ascii="Calibri" w:hAnsi="Calibri"/>
          <w:color w:val="231F20"/>
          <w:sz w:val="22"/>
          <w:szCs w:val="22"/>
        </w:rPr>
        <w:t>for comment, implementing Affordable</w:t>
      </w:r>
      <w:r w:rsidRPr="008B557A" w:rsidR="0026249C">
        <w:rPr>
          <w:rFonts w:ascii="Calibri" w:hAnsi="Calibri"/>
          <w:color w:val="231F20"/>
          <w:sz w:val="22"/>
          <w:szCs w:val="22"/>
        </w:rPr>
        <w:t xml:space="preserve"> </w:t>
      </w:r>
      <w:r w:rsidRPr="008B557A">
        <w:rPr>
          <w:rFonts w:ascii="Calibri" w:hAnsi="Calibri"/>
          <w:color w:val="231F20"/>
          <w:sz w:val="22"/>
          <w:szCs w:val="22"/>
        </w:rPr>
        <w:t>Care Act section 1251 (preservation of</w:t>
      </w:r>
      <w:r w:rsidRPr="008B557A" w:rsidR="0026249C">
        <w:rPr>
          <w:rFonts w:ascii="Calibri" w:hAnsi="Calibri"/>
          <w:color w:val="231F20"/>
          <w:sz w:val="22"/>
          <w:szCs w:val="22"/>
        </w:rPr>
        <w:t xml:space="preserve"> </w:t>
      </w:r>
      <w:r w:rsidRPr="008B557A">
        <w:rPr>
          <w:rFonts w:ascii="Calibri" w:hAnsi="Calibri"/>
          <w:color w:val="231F20"/>
          <w:sz w:val="22"/>
          <w:szCs w:val="22"/>
        </w:rPr>
        <w:t>right to maintain existing coverage), and</w:t>
      </w:r>
      <w:r w:rsidRPr="008B557A" w:rsidR="0026249C">
        <w:rPr>
          <w:rFonts w:ascii="Calibri" w:hAnsi="Calibri"/>
          <w:color w:val="231F20"/>
          <w:sz w:val="22"/>
          <w:szCs w:val="22"/>
        </w:rPr>
        <w:t xml:space="preserve"> </w:t>
      </w:r>
      <w:r w:rsidRPr="008B557A">
        <w:rPr>
          <w:rFonts w:ascii="Calibri" w:hAnsi="Calibri"/>
          <w:color w:val="231F20"/>
          <w:sz w:val="22"/>
          <w:szCs w:val="22"/>
        </w:rPr>
        <w:t>PHS Act sections 2704 (prohibition of</w:t>
      </w:r>
      <w:r w:rsidRPr="008B557A" w:rsidR="0026249C">
        <w:rPr>
          <w:rFonts w:ascii="Calibri" w:hAnsi="Calibri"/>
          <w:color w:val="231F20"/>
          <w:sz w:val="22"/>
          <w:szCs w:val="22"/>
        </w:rPr>
        <w:t xml:space="preserve"> </w:t>
      </w:r>
      <w:r w:rsidRPr="008B557A">
        <w:rPr>
          <w:rFonts w:ascii="Calibri" w:hAnsi="Calibri"/>
          <w:color w:val="231F20"/>
          <w:sz w:val="22"/>
          <w:szCs w:val="22"/>
        </w:rPr>
        <w:t>preexisting condition exclusions), 2711</w:t>
      </w:r>
      <w:r w:rsidRPr="008B557A" w:rsidR="0026249C">
        <w:rPr>
          <w:rFonts w:ascii="Calibri" w:hAnsi="Calibri"/>
          <w:color w:val="231F20"/>
          <w:sz w:val="22"/>
          <w:szCs w:val="22"/>
        </w:rPr>
        <w:t xml:space="preserve"> </w:t>
      </w:r>
      <w:r w:rsidRPr="008B557A">
        <w:rPr>
          <w:rFonts w:ascii="Calibri" w:hAnsi="Calibri"/>
          <w:color w:val="231F20"/>
          <w:sz w:val="22"/>
          <w:szCs w:val="22"/>
        </w:rPr>
        <w:t>(prohibition on lifetime or annual limits),</w:t>
      </w:r>
      <w:r w:rsidRPr="008B557A" w:rsidR="0026249C">
        <w:rPr>
          <w:rFonts w:ascii="Calibri" w:hAnsi="Calibri"/>
          <w:color w:val="231F20"/>
          <w:sz w:val="22"/>
          <w:szCs w:val="22"/>
        </w:rPr>
        <w:t xml:space="preserve"> </w:t>
      </w:r>
      <w:r w:rsidRPr="008B557A">
        <w:rPr>
          <w:rFonts w:ascii="Calibri" w:hAnsi="Calibri"/>
          <w:color w:val="231F20"/>
          <w:sz w:val="22"/>
          <w:szCs w:val="22"/>
        </w:rPr>
        <w:t>2712 (prohibition on rescissions), 2714</w:t>
      </w:r>
      <w:r w:rsidRPr="008B557A" w:rsidR="0026249C">
        <w:rPr>
          <w:rFonts w:ascii="Calibri" w:hAnsi="Calibri"/>
          <w:color w:val="231F20"/>
          <w:sz w:val="22"/>
          <w:szCs w:val="22"/>
        </w:rPr>
        <w:t xml:space="preserve"> </w:t>
      </w:r>
      <w:r w:rsidRPr="008B557A">
        <w:rPr>
          <w:rFonts w:ascii="Calibri" w:hAnsi="Calibri"/>
          <w:color w:val="231F20"/>
          <w:sz w:val="22"/>
          <w:szCs w:val="22"/>
        </w:rPr>
        <w:t>(extension of dependent coverage), 2719</w:t>
      </w:r>
      <w:r w:rsidRPr="008B557A" w:rsidR="0026249C">
        <w:rPr>
          <w:rFonts w:ascii="Calibri" w:hAnsi="Calibri"/>
          <w:color w:val="231F20"/>
          <w:sz w:val="22"/>
          <w:szCs w:val="22"/>
        </w:rPr>
        <w:t xml:space="preserve"> </w:t>
      </w:r>
      <w:r w:rsidRPr="008B557A">
        <w:rPr>
          <w:rFonts w:ascii="Calibri" w:hAnsi="Calibri"/>
          <w:color w:val="231F20"/>
          <w:sz w:val="22"/>
          <w:szCs w:val="22"/>
        </w:rPr>
        <w:t>(internal claims and appeals and external</w:t>
      </w:r>
      <w:r w:rsidRPr="008B557A" w:rsidR="0026249C">
        <w:rPr>
          <w:rFonts w:ascii="Calibri" w:hAnsi="Calibri"/>
          <w:color w:val="231F20"/>
          <w:sz w:val="22"/>
          <w:szCs w:val="22"/>
        </w:rPr>
        <w:t xml:space="preserve"> </w:t>
      </w:r>
      <w:r w:rsidRPr="008B557A">
        <w:rPr>
          <w:rFonts w:ascii="Calibri" w:hAnsi="Calibri"/>
          <w:color w:val="231F20"/>
          <w:sz w:val="22"/>
          <w:szCs w:val="22"/>
        </w:rPr>
        <w:t>review process), and 2719A (patient protections)</w:t>
      </w:r>
      <w:r w:rsidRPr="008B557A" w:rsidR="0026249C">
        <w:rPr>
          <w:rFonts w:ascii="Calibri" w:hAnsi="Calibri"/>
          <w:color w:val="231F20"/>
          <w:sz w:val="22"/>
          <w:szCs w:val="22"/>
        </w:rPr>
        <w:t xml:space="preserve"> </w:t>
      </w:r>
      <w:r w:rsidRPr="008B557A">
        <w:rPr>
          <w:rFonts w:ascii="Calibri" w:hAnsi="Calibri"/>
          <w:color w:val="231F20"/>
          <w:sz w:val="22"/>
          <w:szCs w:val="22"/>
        </w:rPr>
        <w:t>(collectively, the 2010 interim</w:t>
      </w:r>
      <w:r w:rsidRPr="008B557A" w:rsidR="0026249C">
        <w:rPr>
          <w:rFonts w:ascii="Calibri" w:hAnsi="Calibri"/>
          <w:color w:val="231F20"/>
          <w:sz w:val="22"/>
          <w:szCs w:val="22"/>
        </w:rPr>
        <w:t xml:space="preserve"> </w:t>
      </w:r>
      <w:r w:rsidRPr="008B557A">
        <w:rPr>
          <w:rFonts w:ascii="Calibri" w:hAnsi="Calibri"/>
          <w:color w:val="231F20"/>
          <w:sz w:val="22"/>
          <w:szCs w:val="22"/>
        </w:rPr>
        <w:t xml:space="preserve">final regulations). </w:t>
      </w:r>
      <w:r w:rsidRPr="008B557A" w:rsidR="0026249C">
        <w:rPr>
          <w:rFonts w:ascii="Calibri" w:hAnsi="Calibri"/>
          <w:color w:val="231F20"/>
          <w:sz w:val="22"/>
          <w:szCs w:val="22"/>
        </w:rPr>
        <w:t>A</w:t>
      </w:r>
      <w:r w:rsidRPr="008B557A">
        <w:rPr>
          <w:rFonts w:ascii="Calibri" w:hAnsi="Calibri"/>
          <w:color w:val="231F20"/>
          <w:sz w:val="22"/>
          <w:szCs w:val="22"/>
        </w:rPr>
        <w:t>fter consideration of comments</w:t>
      </w:r>
      <w:r w:rsidRPr="008B557A" w:rsidR="0026249C">
        <w:rPr>
          <w:rFonts w:ascii="Calibri" w:hAnsi="Calibri"/>
          <w:color w:val="231F20"/>
          <w:sz w:val="22"/>
          <w:szCs w:val="22"/>
        </w:rPr>
        <w:t xml:space="preserve"> </w:t>
      </w:r>
      <w:r w:rsidRPr="008B557A">
        <w:rPr>
          <w:rFonts w:ascii="Calibri" w:hAnsi="Calibri"/>
          <w:color w:val="231F20"/>
          <w:sz w:val="22"/>
          <w:szCs w:val="22"/>
        </w:rPr>
        <w:t>in response to the 2010 interim</w:t>
      </w:r>
      <w:r w:rsidRPr="008B557A" w:rsidR="0026249C">
        <w:rPr>
          <w:rFonts w:ascii="Calibri" w:hAnsi="Calibri"/>
          <w:color w:val="231F20"/>
          <w:sz w:val="22"/>
          <w:szCs w:val="22"/>
        </w:rPr>
        <w:t xml:space="preserve"> </w:t>
      </w:r>
      <w:r w:rsidRPr="008B557A">
        <w:rPr>
          <w:rFonts w:ascii="Calibri" w:hAnsi="Calibri"/>
          <w:color w:val="231F20"/>
          <w:sz w:val="22"/>
          <w:szCs w:val="22"/>
        </w:rPr>
        <w:t>final regulations, the Departments issu</w:t>
      </w:r>
      <w:r w:rsidRPr="008B557A" w:rsidR="0026249C">
        <w:rPr>
          <w:rFonts w:ascii="Calibri" w:hAnsi="Calibri"/>
          <w:color w:val="231F20"/>
          <w:sz w:val="22"/>
          <w:szCs w:val="22"/>
        </w:rPr>
        <w:t xml:space="preserve">ed </w:t>
      </w:r>
      <w:r w:rsidRPr="008B557A">
        <w:rPr>
          <w:rFonts w:ascii="Calibri" w:hAnsi="Calibri"/>
          <w:color w:val="231F20"/>
          <w:sz w:val="22"/>
          <w:szCs w:val="22"/>
        </w:rPr>
        <w:t>these final regulations</w:t>
      </w:r>
      <w:r w:rsidRPr="008B557A" w:rsidR="0026249C">
        <w:rPr>
          <w:rFonts w:ascii="Calibri" w:hAnsi="Calibri"/>
          <w:color w:val="231F20"/>
          <w:sz w:val="22"/>
          <w:szCs w:val="22"/>
        </w:rPr>
        <w:t xml:space="preserve">, outlined in TD 9744, July 14, 2015, (80 F.R. 40661).  </w:t>
      </w:r>
    </w:p>
    <w:p w:rsidRPr="008B557A" w:rsidR="00721EB2" w:rsidRDefault="00721EB2" w14:paraId="2C7CD1F1" w14:textId="77777777">
      <w:pPr>
        <w:rPr>
          <w:rFonts w:ascii="Calibri" w:hAnsi="Calibri"/>
          <w:sz w:val="22"/>
          <w:szCs w:val="22"/>
        </w:rPr>
      </w:pPr>
    </w:p>
    <w:p w:rsidR="00721EB2" w:rsidP="00352ED3" w:rsidRDefault="00721EB2" w14:paraId="4B8ED5EE" w14:textId="77777777">
      <w:pPr>
        <w:ind w:left="720"/>
        <w:rPr>
          <w:rFonts w:ascii="Calibri" w:hAnsi="Calibri"/>
          <w:b/>
          <w:sz w:val="22"/>
          <w:szCs w:val="22"/>
        </w:rPr>
      </w:pPr>
      <w:r w:rsidRPr="008B557A">
        <w:rPr>
          <w:rFonts w:ascii="Calibri" w:hAnsi="Calibri"/>
          <w:sz w:val="22"/>
          <w:szCs w:val="22"/>
        </w:rPr>
        <w:t>We received no comments during the comment period in response to the</w:t>
      </w:r>
      <w:r w:rsidRPr="008B557A">
        <w:rPr>
          <w:rFonts w:ascii="Calibri" w:hAnsi="Calibri"/>
          <w:b/>
          <w:bCs/>
          <w:sz w:val="22"/>
          <w:szCs w:val="22"/>
        </w:rPr>
        <w:t xml:space="preserve"> </w:t>
      </w:r>
      <w:r w:rsidRPr="00F42931">
        <w:rPr>
          <w:rFonts w:ascii="Calibri" w:hAnsi="Calibri"/>
          <w:i/>
          <w:iCs/>
          <w:sz w:val="22"/>
          <w:szCs w:val="22"/>
        </w:rPr>
        <w:t xml:space="preserve">Federal Register </w:t>
      </w:r>
      <w:r w:rsidR="00C64E3C">
        <w:rPr>
          <w:rFonts w:ascii="Calibri" w:hAnsi="Calibri"/>
          <w:sz w:val="22"/>
          <w:szCs w:val="22"/>
        </w:rPr>
        <w:t>n</w:t>
      </w:r>
      <w:r w:rsidRPr="008B557A">
        <w:rPr>
          <w:rFonts w:ascii="Calibri" w:hAnsi="Calibri"/>
          <w:sz w:val="22"/>
          <w:szCs w:val="22"/>
        </w:rPr>
        <w:t xml:space="preserve">otice </w:t>
      </w:r>
      <w:r w:rsidRPr="008B557A" w:rsidR="0026031B">
        <w:rPr>
          <w:rFonts w:ascii="Calibri" w:hAnsi="Calibri"/>
          <w:sz w:val="22"/>
          <w:szCs w:val="22"/>
        </w:rPr>
        <w:t xml:space="preserve">dated </w:t>
      </w:r>
      <w:r w:rsidR="00F42931">
        <w:rPr>
          <w:rFonts w:ascii="Calibri" w:hAnsi="Calibri"/>
          <w:sz w:val="22"/>
          <w:szCs w:val="22"/>
        </w:rPr>
        <w:t>August 26, 2020,</w:t>
      </w:r>
      <w:r w:rsidRPr="008B557A" w:rsidR="00D5785F">
        <w:rPr>
          <w:rFonts w:ascii="Calibri" w:hAnsi="Calibri"/>
          <w:sz w:val="22"/>
          <w:szCs w:val="22"/>
        </w:rPr>
        <w:t xml:space="preserve"> (</w:t>
      </w:r>
      <w:r w:rsidRPr="008B557A" w:rsidR="00352ED3">
        <w:rPr>
          <w:rFonts w:ascii="Calibri" w:hAnsi="Calibri"/>
          <w:sz w:val="22"/>
          <w:szCs w:val="22"/>
        </w:rPr>
        <w:t>8</w:t>
      </w:r>
      <w:r w:rsidR="00C64E3C">
        <w:rPr>
          <w:rFonts w:ascii="Calibri" w:hAnsi="Calibri"/>
          <w:sz w:val="22"/>
          <w:szCs w:val="22"/>
        </w:rPr>
        <w:t>5</w:t>
      </w:r>
      <w:r w:rsidRPr="008B557A" w:rsidR="00557814">
        <w:rPr>
          <w:rFonts w:ascii="Calibri" w:hAnsi="Calibri"/>
          <w:sz w:val="22"/>
          <w:szCs w:val="22"/>
        </w:rPr>
        <w:t xml:space="preserve"> FR </w:t>
      </w:r>
      <w:r w:rsidR="00F42931">
        <w:rPr>
          <w:rFonts w:ascii="Calibri" w:hAnsi="Calibri"/>
          <w:sz w:val="22"/>
          <w:szCs w:val="22"/>
        </w:rPr>
        <w:t>5</w:t>
      </w:r>
      <w:r w:rsidRPr="008B557A" w:rsidR="00A3302F">
        <w:rPr>
          <w:rFonts w:ascii="Calibri" w:hAnsi="Calibri"/>
          <w:sz w:val="22"/>
          <w:szCs w:val="22"/>
        </w:rPr>
        <w:t>2</w:t>
      </w:r>
      <w:r w:rsidR="00F42931">
        <w:rPr>
          <w:rFonts w:ascii="Calibri" w:hAnsi="Calibri"/>
          <w:sz w:val="22"/>
          <w:szCs w:val="22"/>
        </w:rPr>
        <w:t>659</w:t>
      </w:r>
      <w:r w:rsidRPr="008B557A" w:rsidR="00D5785F">
        <w:rPr>
          <w:rFonts w:ascii="Calibri" w:hAnsi="Calibri"/>
          <w:sz w:val="22"/>
          <w:szCs w:val="22"/>
        </w:rPr>
        <w:t>).</w:t>
      </w:r>
      <w:r w:rsidRPr="008B557A" w:rsidR="00557814">
        <w:rPr>
          <w:rFonts w:ascii="Calibri" w:hAnsi="Calibri"/>
          <w:b/>
          <w:sz w:val="22"/>
          <w:szCs w:val="22"/>
        </w:rPr>
        <w:t xml:space="preserve"> </w:t>
      </w:r>
    </w:p>
    <w:p w:rsidRPr="008B557A" w:rsidR="00721EB2" w:rsidRDefault="00721EB2" w14:paraId="41B1DAF6" w14:textId="77777777">
      <w:pPr>
        <w:rPr>
          <w:rFonts w:ascii="Calibri" w:hAnsi="Calibri"/>
          <w:sz w:val="22"/>
          <w:szCs w:val="22"/>
        </w:rPr>
      </w:pPr>
    </w:p>
    <w:p w:rsidRPr="008B557A" w:rsidR="00721EB2" w:rsidRDefault="00721EB2" w14:paraId="5F29DE7D"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EXPLANATION OF DECISION TO PROVIDE ANY PAYMENT OR GIFT TO</w:t>
      </w:r>
      <w:r w:rsidRPr="008B557A">
        <w:rPr>
          <w:rFonts w:ascii="Calibri" w:hAnsi="Calibri"/>
          <w:b/>
          <w:sz w:val="22"/>
          <w:szCs w:val="22"/>
        </w:rPr>
        <w:t xml:space="preserve">   </w:t>
      </w:r>
      <w:r w:rsidRPr="008B557A">
        <w:rPr>
          <w:rFonts w:ascii="Calibri" w:hAnsi="Calibri"/>
          <w:b/>
          <w:sz w:val="22"/>
          <w:szCs w:val="22"/>
          <w:u w:val="single"/>
        </w:rPr>
        <w:t>RESPONDENTS</w:t>
      </w:r>
    </w:p>
    <w:p w:rsidRPr="008B557A" w:rsidR="00721EB2" w:rsidRDefault="00721EB2" w14:paraId="64495A6B" w14:textId="77777777">
      <w:pPr>
        <w:rPr>
          <w:rFonts w:ascii="Calibri" w:hAnsi="Calibri"/>
          <w:b/>
          <w:sz w:val="22"/>
          <w:szCs w:val="22"/>
        </w:rPr>
      </w:pPr>
    </w:p>
    <w:p w:rsidRPr="008B557A" w:rsidR="00321C69" w:rsidP="00266ABE" w:rsidRDefault="0065166D" w14:paraId="6D1EA21F" w14:textId="77777777">
      <w:pPr>
        <w:ind w:left="720"/>
        <w:rPr>
          <w:rFonts w:ascii="Calibri" w:hAnsi="Calibri"/>
          <w:sz w:val="22"/>
          <w:szCs w:val="22"/>
        </w:rPr>
      </w:pPr>
      <w:r w:rsidRPr="008B557A">
        <w:rPr>
          <w:rFonts w:ascii="Calibri" w:hAnsi="Calibri"/>
          <w:sz w:val="22"/>
          <w:szCs w:val="22"/>
        </w:rPr>
        <w:t>No payment or gift has been provided to any respondents</w:t>
      </w:r>
      <w:r w:rsidRPr="008B557A" w:rsidR="00721EB2">
        <w:rPr>
          <w:rFonts w:ascii="Calibri" w:hAnsi="Calibri"/>
          <w:sz w:val="22"/>
          <w:szCs w:val="22"/>
        </w:rPr>
        <w:t>.</w:t>
      </w:r>
    </w:p>
    <w:p w:rsidRPr="008B557A" w:rsidR="00321C69" w:rsidRDefault="00321C69" w14:paraId="4B3E64A4" w14:textId="77777777">
      <w:pPr>
        <w:rPr>
          <w:rFonts w:ascii="Calibri" w:hAnsi="Calibri"/>
          <w:sz w:val="22"/>
          <w:szCs w:val="22"/>
        </w:rPr>
      </w:pPr>
    </w:p>
    <w:p w:rsidRPr="008B557A" w:rsidR="00721EB2" w:rsidRDefault="00721EB2" w14:paraId="33A7B847"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ASSURANCE OF CONFIDENTIALITY OF RESPONSES</w:t>
      </w:r>
    </w:p>
    <w:p w:rsidRPr="008B557A" w:rsidR="00721EB2" w:rsidRDefault="00721EB2" w14:paraId="44554752" w14:textId="77777777">
      <w:pPr>
        <w:rPr>
          <w:rFonts w:ascii="Calibri" w:hAnsi="Calibri"/>
          <w:b/>
          <w:sz w:val="22"/>
          <w:szCs w:val="22"/>
        </w:rPr>
      </w:pPr>
    </w:p>
    <w:p w:rsidRPr="008B557A" w:rsidR="00721EB2" w:rsidRDefault="00721EB2" w14:paraId="169DF23A" w14:textId="77777777">
      <w:pPr>
        <w:ind w:left="720"/>
        <w:rPr>
          <w:rFonts w:ascii="Calibri" w:hAnsi="Calibri"/>
          <w:sz w:val="22"/>
          <w:szCs w:val="22"/>
        </w:rPr>
      </w:pPr>
      <w:r w:rsidRPr="008B557A">
        <w:rPr>
          <w:rFonts w:ascii="Calibri" w:hAnsi="Calibri"/>
          <w:sz w:val="22"/>
          <w:szCs w:val="22"/>
        </w:rPr>
        <w:t>Generally, tax returns and tax return information are confidential as required by 26 USC 6103.</w:t>
      </w:r>
    </w:p>
    <w:p w:rsidRPr="008B557A" w:rsidR="00721EB2" w:rsidRDefault="00721EB2" w14:paraId="446261F4" w14:textId="77777777">
      <w:pPr>
        <w:rPr>
          <w:rFonts w:ascii="Calibri" w:hAnsi="Calibri"/>
          <w:sz w:val="22"/>
          <w:szCs w:val="22"/>
        </w:rPr>
      </w:pPr>
    </w:p>
    <w:p w:rsidRPr="008B557A" w:rsidR="00721EB2" w:rsidRDefault="00721EB2" w14:paraId="0D54A10A" w14:textId="77777777">
      <w:pPr>
        <w:pStyle w:val="Level1"/>
        <w:tabs>
          <w:tab w:val="left" w:pos="-1440"/>
          <w:tab w:val="num" w:pos="720"/>
        </w:tabs>
        <w:rPr>
          <w:rFonts w:ascii="Calibri" w:hAnsi="Calibri"/>
          <w:b/>
          <w:sz w:val="22"/>
          <w:szCs w:val="22"/>
          <w:u w:val="single"/>
        </w:rPr>
      </w:pPr>
      <w:r w:rsidRPr="008B557A">
        <w:rPr>
          <w:rFonts w:ascii="Calibri" w:hAnsi="Calibri"/>
          <w:b/>
          <w:sz w:val="22"/>
          <w:szCs w:val="22"/>
          <w:u w:val="single"/>
        </w:rPr>
        <w:t>JUSTIFICATION OF SENSITIVE QUESTIONS</w:t>
      </w:r>
    </w:p>
    <w:p w:rsidRPr="008B557A" w:rsidR="00721EB2" w:rsidRDefault="00721EB2" w14:paraId="02B2B67B" w14:textId="77777777">
      <w:pPr>
        <w:rPr>
          <w:rFonts w:ascii="Calibri" w:hAnsi="Calibri"/>
          <w:b/>
          <w:sz w:val="22"/>
          <w:szCs w:val="22"/>
          <w:u w:val="single"/>
        </w:rPr>
      </w:pPr>
    </w:p>
    <w:p w:rsidRPr="008B557A" w:rsidR="00905C1B" w:rsidP="00905C1B" w:rsidRDefault="00905C1B" w14:paraId="1D0F48DA" w14:textId="77777777">
      <w:pPr>
        <w:ind w:left="720"/>
        <w:rPr>
          <w:rFonts w:ascii="Calibri" w:hAnsi="Calibri"/>
          <w:sz w:val="22"/>
          <w:szCs w:val="22"/>
        </w:rPr>
      </w:pPr>
      <w:r w:rsidRPr="008B557A">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 </w:t>
      </w:r>
      <w:hyperlink w:history="1" r:id="rId13">
        <w:r w:rsidRPr="00307B18" w:rsidR="001F43ED">
          <w:rPr>
            <w:rStyle w:val="Hyperlink"/>
            <w:rFonts w:ascii="Calibri" w:hAnsi="Calibri"/>
            <w:sz w:val="22"/>
            <w:szCs w:val="22"/>
          </w:rPr>
          <w:t>http://www.IRS.gov/privacy/PIAs/Pages/default.aspx</w:t>
        </w:r>
      </w:hyperlink>
      <w:r w:rsidRPr="008B557A">
        <w:rPr>
          <w:rFonts w:ascii="Calibri" w:hAnsi="Calibri"/>
          <w:sz w:val="22"/>
          <w:szCs w:val="22"/>
        </w:rPr>
        <w:t xml:space="preserve">.  </w:t>
      </w:r>
    </w:p>
    <w:p w:rsidRPr="008B557A" w:rsidR="00905C1B" w:rsidP="00905C1B" w:rsidRDefault="00905C1B" w14:paraId="6E6AA790" w14:textId="77777777">
      <w:pPr>
        <w:ind w:left="720"/>
        <w:rPr>
          <w:rFonts w:ascii="Calibri" w:hAnsi="Calibri"/>
          <w:sz w:val="22"/>
          <w:szCs w:val="22"/>
        </w:rPr>
      </w:pPr>
    </w:p>
    <w:p w:rsidRPr="008B557A" w:rsidR="00721EB2" w:rsidP="00905C1B" w:rsidRDefault="00905C1B" w14:paraId="0CAB4463" w14:textId="77777777">
      <w:pPr>
        <w:ind w:left="720"/>
        <w:rPr>
          <w:rFonts w:ascii="Calibri" w:hAnsi="Calibri"/>
          <w:sz w:val="22"/>
          <w:szCs w:val="22"/>
        </w:rPr>
      </w:pPr>
      <w:r w:rsidRPr="008B557A">
        <w:rPr>
          <w:rFonts w:ascii="Calibri" w:hAnsi="Calibri"/>
          <w:sz w:val="22"/>
          <w:szCs w:val="22"/>
        </w:rPr>
        <w:lastRenderedPageBreak/>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8B557A" w:rsidR="00721EB2">
        <w:rPr>
          <w:rFonts w:ascii="Calibri" w:hAnsi="Calibri"/>
          <w:sz w:val="22"/>
          <w:szCs w:val="22"/>
        </w:rPr>
        <w:t>.</w:t>
      </w:r>
    </w:p>
    <w:p w:rsidR="00721EB2" w:rsidRDefault="00721EB2" w14:paraId="216B5439" w14:textId="77777777">
      <w:pPr>
        <w:rPr>
          <w:rFonts w:ascii="Calibri" w:hAnsi="Calibri"/>
          <w:sz w:val="22"/>
          <w:szCs w:val="22"/>
        </w:rPr>
      </w:pPr>
    </w:p>
    <w:p w:rsidRPr="008B557A" w:rsidR="004A763E" w:rsidRDefault="004A763E" w14:paraId="2D8AC269" w14:textId="77777777">
      <w:pPr>
        <w:rPr>
          <w:rFonts w:ascii="Calibri" w:hAnsi="Calibri"/>
          <w:sz w:val="22"/>
          <w:szCs w:val="22"/>
        </w:rPr>
      </w:pPr>
    </w:p>
    <w:p w:rsidRPr="008B557A" w:rsidR="00721EB2" w:rsidRDefault="00721EB2" w14:paraId="3F50F65C" w14:textId="77777777">
      <w:pPr>
        <w:pStyle w:val="Level1"/>
        <w:tabs>
          <w:tab w:val="left" w:pos="-1440"/>
          <w:tab w:val="num" w:pos="720"/>
        </w:tabs>
        <w:rPr>
          <w:rFonts w:ascii="Calibri" w:hAnsi="Calibri"/>
          <w:b/>
          <w:sz w:val="22"/>
          <w:szCs w:val="22"/>
          <w:u w:val="single"/>
        </w:rPr>
      </w:pPr>
      <w:r w:rsidRPr="008B557A">
        <w:rPr>
          <w:rFonts w:ascii="Calibri" w:hAnsi="Calibri"/>
          <w:b/>
          <w:sz w:val="22"/>
          <w:szCs w:val="22"/>
          <w:u w:val="single"/>
        </w:rPr>
        <w:t>ESTIMATED BURDEN OF INFORMATION COLLECTION</w:t>
      </w:r>
    </w:p>
    <w:p w:rsidRPr="008B557A" w:rsidR="00721EB2" w:rsidRDefault="00721EB2" w14:paraId="2007F473" w14:textId="77777777">
      <w:pPr>
        <w:rPr>
          <w:rFonts w:ascii="Calibri" w:hAnsi="Calibri"/>
          <w:sz w:val="22"/>
          <w:szCs w:val="22"/>
          <w:u w:val="single"/>
        </w:rPr>
      </w:pPr>
    </w:p>
    <w:p w:rsidR="007F0673" w:rsidP="00321C69" w:rsidRDefault="007F0673" w14:paraId="6C39AF20" w14:textId="77777777">
      <w:pPr>
        <w:ind w:left="720"/>
        <w:rPr>
          <w:rFonts w:ascii="Calibri" w:hAnsi="Calibri"/>
          <w:sz w:val="22"/>
          <w:szCs w:val="22"/>
        </w:rPr>
      </w:pPr>
      <w:r>
        <w:rPr>
          <w:rFonts w:ascii="Calibri" w:hAnsi="Calibri"/>
          <w:sz w:val="22"/>
          <w:szCs w:val="22"/>
        </w:rPr>
        <w:t>The burden associated with the information collection is reported as shared burden between Internal Revenue Service (IRS) and Department of Labor (DOL).  The burden is computed by a DOL Economist and each agency reports half of the burden associated with T.D. 9744.  The paragraph below addressed the IRS portion of the burden and the table itemizes the burden associated with collections from both agencies.</w:t>
      </w:r>
    </w:p>
    <w:p w:rsidR="007F0673" w:rsidP="00321C69" w:rsidRDefault="007F0673" w14:paraId="7C00462C" w14:textId="77777777">
      <w:pPr>
        <w:ind w:left="720"/>
        <w:rPr>
          <w:rFonts w:ascii="Calibri" w:hAnsi="Calibri"/>
          <w:sz w:val="22"/>
          <w:szCs w:val="22"/>
        </w:rPr>
      </w:pPr>
    </w:p>
    <w:p w:rsidRPr="008B557A" w:rsidR="00721EB2" w:rsidP="00321C69" w:rsidRDefault="00671CCD" w14:paraId="31910763" w14:textId="77777777">
      <w:pPr>
        <w:ind w:left="720"/>
        <w:rPr>
          <w:rFonts w:ascii="Calibri" w:hAnsi="Calibri"/>
          <w:sz w:val="22"/>
          <w:szCs w:val="22"/>
        </w:rPr>
      </w:pPr>
      <w:r w:rsidRPr="00671CCD">
        <w:rPr>
          <w:rFonts w:ascii="Calibri" w:hAnsi="Calibri"/>
          <w:sz w:val="22"/>
          <w:szCs w:val="22"/>
        </w:rPr>
        <w:t xml:space="preserve">The Department assumes that rescissions are rare in the group market and that small group health plans primarily are affected by rescissions. The Department is not aware of a data source on the number of </w:t>
      </w:r>
      <w:proofErr w:type="gramStart"/>
      <w:r w:rsidRPr="00671CCD">
        <w:rPr>
          <w:rFonts w:ascii="Calibri" w:hAnsi="Calibri"/>
          <w:sz w:val="22"/>
          <w:szCs w:val="22"/>
        </w:rPr>
        <w:t>group</w:t>
      </w:r>
      <w:proofErr w:type="gramEnd"/>
      <w:r w:rsidRPr="00671CCD">
        <w:rPr>
          <w:rFonts w:ascii="Calibri" w:hAnsi="Calibri"/>
          <w:sz w:val="22"/>
          <w:szCs w:val="22"/>
        </w:rPr>
        <w:t xml:space="preserve"> plans whose policy is rescinded; therefore, the Departments assume that 100 group health plan policies are rescinded in a year, and these plans are the respondents for the ICR.  The Department estimates that there is an average of 15.33 participants in small, insured group health plans.  </w:t>
      </w:r>
    </w:p>
    <w:p w:rsidR="004A763E" w:rsidP="0065166D" w:rsidRDefault="004A763E" w14:paraId="23D52F1E" w14:textId="77777777">
      <w:pPr>
        <w:pStyle w:val="SupportingStatementSTANDARD"/>
        <w:rPr>
          <w:rFonts w:ascii="Calibri" w:hAnsi="Calibri"/>
          <w:sz w:val="22"/>
          <w:szCs w:val="22"/>
        </w:rPr>
      </w:pPr>
    </w:p>
    <w:tbl>
      <w:tblPr>
        <w:tblW w:w="7587"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0"/>
        <w:gridCol w:w="1800"/>
        <w:gridCol w:w="1377"/>
        <w:gridCol w:w="1080"/>
        <w:gridCol w:w="1170"/>
        <w:gridCol w:w="1170"/>
      </w:tblGrid>
      <w:tr w:rsidRPr="00C94E69" w:rsidR="00CC30BA" w:rsidTr="00CC30BA" w14:paraId="3F06324D" w14:textId="77777777">
        <w:tc>
          <w:tcPr>
            <w:tcW w:w="990" w:type="dxa"/>
            <w:vAlign w:val="bottom"/>
          </w:tcPr>
          <w:p w:rsidRPr="00C94E69" w:rsidR="00CC30BA" w:rsidP="004A763E" w:rsidRDefault="00CC30BA" w14:paraId="447D56AF" w14:textId="77777777">
            <w:pPr>
              <w:keepNext/>
              <w:keepLines/>
              <w:numPr>
                <w:ilvl w:val="12"/>
                <w:numId w:val="0"/>
              </w:numPr>
              <w:jc w:val="center"/>
              <w:rPr>
                <w:rFonts w:ascii="Arial Narrow" w:hAnsi="Arial Narrow"/>
                <w:b/>
                <w:sz w:val="18"/>
                <w:szCs w:val="18"/>
              </w:rPr>
            </w:pPr>
            <w:r>
              <w:rPr>
                <w:rFonts w:ascii="Arial Narrow" w:hAnsi="Arial Narrow"/>
                <w:b/>
                <w:sz w:val="18"/>
                <w:szCs w:val="18"/>
              </w:rPr>
              <w:t>OMB Collection</w:t>
            </w:r>
          </w:p>
        </w:tc>
        <w:tc>
          <w:tcPr>
            <w:tcW w:w="1800" w:type="dxa"/>
            <w:shd w:val="clear" w:color="auto" w:fill="auto"/>
            <w:vAlign w:val="bottom"/>
          </w:tcPr>
          <w:p w:rsidRPr="00C94E69" w:rsidR="00CC30BA" w:rsidP="00A20123" w:rsidRDefault="00CC30BA" w14:paraId="177347A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377" w:type="dxa"/>
            <w:vAlign w:val="bottom"/>
          </w:tcPr>
          <w:p w:rsidRPr="00C94E69" w:rsidR="00CC30BA" w:rsidP="00A20123" w:rsidRDefault="00CC30BA" w14:paraId="3C9171F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080" w:type="dxa"/>
            <w:shd w:val="clear" w:color="auto" w:fill="auto"/>
            <w:vAlign w:val="bottom"/>
          </w:tcPr>
          <w:p w:rsidRPr="00C94E69" w:rsidR="00CC30BA" w:rsidP="00A20123" w:rsidRDefault="00CC30BA" w14:paraId="32CEF55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CC30BA" w:rsidP="00A20123" w:rsidRDefault="00CC30BA" w14:paraId="48A5E85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CC30BA" w:rsidP="00A20123" w:rsidRDefault="00CC30BA" w14:paraId="1FCE0E4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CC30BA" w:rsidTr="00CC30BA" w14:paraId="071BB61E" w14:textId="77777777">
        <w:tc>
          <w:tcPr>
            <w:tcW w:w="990" w:type="dxa"/>
          </w:tcPr>
          <w:p w:rsidR="00CC30BA" w:rsidP="004A763E" w:rsidRDefault="00CC30BA" w14:paraId="6BC48784" w14:textId="77777777">
            <w:pPr>
              <w:keepNext/>
              <w:keepLines/>
              <w:numPr>
                <w:ilvl w:val="12"/>
                <w:numId w:val="0"/>
              </w:numPr>
              <w:jc w:val="center"/>
              <w:rPr>
                <w:rFonts w:ascii="Arial Narrow" w:hAnsi="Arial Narrow"/>
                <w:sz w:val="18"/>
                <w:szCs w:val="18"/>
              </w:rPr>
            </w:pPr>
            <w:r>
              <w:rPr>
                <w:rFonts w:ascii="Arial Narrow" w:hAnsi="Arial Narrow"/>
                <w:sz w:val="18"/>
                <w:szCs w:val="18"/>
              </w:rPr>
              <w:t>IRS</w:t>
            </w:r>
          </w:p>
          <w:p w:rsidR="00CC30BA" w:rsidP="004A763E" w:rsidRDefault="00CC30BA" w14:paraId="6D8FC118" w14:textId="77777777">
            <w:pPr>
              <w:keepNext/>
              <w:keepLines/>
              <w:numPr>
                <w:ilvl w:val="12"/>
                <w:numId w:val="0"/>
              </w:numPr>
              <w:jc w:val="center"/>
              <w:rPr>
                <w:rFonts w:ascii="Arial Narrow" w:hAnsi="Arial Narrow"/>
                <w:sz w:val="18"/>
                <w:szCs w:val="18"/>
              </w:rPr>
            </w:pPr>
            <w:r>
              <w:rPr>
                <w:rFonts w:ascii="Arial Narrow" w:hAnsi="Arial Narrow"/>
                <w:sz w:val="18"/>
                <w:szCs w:val="18"/>
              </w:rPr>
              <w:t>1545-2180</w:t>
            </w:r>
          </w:p>
        </w:tc>
        <w:tc>
          <w:tcPr>
            <w:tcW w:w="1800" w:type="dxa"/>
            <w:shd w:val="clear" w:color="auto" w:fill="auto"/>
            <w:vAlign w:val="bottom"/>
          </w:tcPr>
          <w:p w:rsidRPr="00C94E69" w:rsidR="00CC30BA" w:rsidP="00A20123" w:rsidRDefault="00CC30BA" w14:paraId="3EEFB685" w14:textId="77777777">
            <w:pPr>
              <w:keepNext/>
              <w:keepLines/>
              <w:numPr>
                <w:ilvl w:val="12"/>
                <w:numId w:val="0"/>
              </w:numPr>
              <w:jc w:val="center"/>
              <w:rPr>
                <w:rFonts w:ascii="Arial Narrow" w:hAnsi="Arial Narrow"/>
                <w:sz w:val="18"/>
                <w:szCs w:val="18"/>
              </w:rPr>
            </w:pPr>
            <w:r>
              <w:rPr>
                <w:rFonts w:ascii="Arial Narrow" w:hAnsi="Arial Narrow"/>
                <w:sz w:val="18"/>
                <w:szCs w:val="18"/>
              </w:rPr>
              <w:t>T.D. 9744</w:t>
            </w:r>
          </w:p>
        </w:tc>
        <w:tc>
          <w:tcPr>
            <w:tcW w:w="1377" w:type="dxa"/>
            <w:vAlign w:val="bottom"/>
          </w:tcPr>
          <w:p w:rsidRPr="00C94E69" w:rsidR="00CC30BA" w:rsidP="00A20123" w:rsidRDefault="00CC30BA" w14:paraId="0D39EF73" w14:textId="77777777">
            <w:pPr>
              <w:keepNext/>
              <w:keepLines/>
              <w:numPr>
                <w:ilvl w:val="12"/>
                <w:numId w:val="0"/>
              </w:numPr>
              <w:jc w:val="center"/>
              <w:rPr>
                <w:rFonts w:ascii="Arial Narrow" w:hAnsi="Arial Narrow"/>
                <w:sz w:val="18"/>
                <w:szCs w:val="18"/>
              </w:rPr>
            </w:pPr>
            <w:r>
              <w:rPr>
                <w:rFonts w:ascii="Arial Narrow" w:hAnsi="Arial Narrow"/>
                <w:sz w:val="18"/>
                <w:szCs w:val="18"/>
              </w:rPr>
              <w:t>ACA Rescission</w:t>
            </w:r>
          </w:p>
        </w:tc>
        <w:tc>
          <w:tcPr>
            <w:tcW w:w="1080" w:type="dxa"/>
            <w:shd w:val="clear" w:color="auto" w:fill="auto"/>
            <w:vAlign w:val="bottom"/>
          </w:tcPr>
          <w:p w:rsidRPr="00C94E69" w:rsidR="00CC30BA" w:rsidP="00A20123" w:rsidRDefault="00CC30BA" w14:paraId="02A3CE2C" w14:textId="77777777">
            <w:pPr>
              <w:keepNext/>
              <w:keepLines/>
              <w:numPr>
                <w:ilvl w:val="12"/>
                <w:numId w:val="0"/>
              </w:numPr>
              <w:jc w:val="center"/>
              <w:rPr>
                <w:rFonts w:ascii="Arial Narrow" w:hAnsi="Arial Narrow"/>
                <w:sz w:val="18"/>
                <w:szCs w:val="18"/>
              </w:rPr>
            </w:pPr>
            <w:r>
              <w:rPr>
                <w:rFonts w:ascii="Arial Narrow" w:hAnsi="Arial Narrow"/>
                <w:sz w:val="18"/>
                <w:szCs w:val="18"/>
              </w:rPr>
              <w:t>1533</w:t>
            </w:r>
          </w:p>
        </w:tc>
        <w:tc>
          <w:tcPr>
            <w:tcW w:w="1170" w:type="dxa"/>
            <w:vAlign w:val="bottom"/>
          </w:tcPr>
          <w:p w:rsidRPr="00C94E69" w:rsidR="00CC30BA" w:rsidP="00A20123" w:rsidRDefault="00CC30BA" w14:paraId="612914B8" w14:textId="77777777">
            <w:pPr>
              <w:keepNext/>
              <w:keepLines/>
              <w:numPr>
                <w:ilvl w:val="12"/>
                <w:numId w:val="0"/>
              </w:numPr>
              <w:jc w:val="center"/>
              <w:rPr>
                <w:rFonts w:ascii="Arial Narrow" w:hAnsi="Arial Narrow"/>
                <w:sz w:val="18"/>
                <w:szCs w:val="18"/>
              </w:rPr>
            </w:pPr>
            <w:r>
              <w:rPr>
                <w:rFonts w:ascii="Arial Narrow" w:hAnsi="Arial Narrow"/>
                <w:sz w:val="18"/>
                <w:szCs w:val="18"/>
              </w:rPr>
              <w:t>.0130</w:t>
            </w:r>
          </w:p>
        </w:tc>
        <w:tc>
          <w:tcPr>
            <w:tcW w:w="1170" w:type="dxa"/>
            <w:shd w:val="clear" w:color="auto" w:fill="auto"/>
            <w:vAlign w:val="bottom"/>
          </w:tcPr>
          <w:p w:rsidRPr="00C94E69" w:rsidR="00CC30BA" w:rsidP="00A20123" w:rsidRDefault="00CC30BA" w14:paraId="000CD388" w14:textId="77777777">
            <w:pPr>
              <w:keepNext/>
              <w:keepLines/>
              <w:numPr>
                <w:ilvl w:val="12"/>
                <w:numId w:val="0"/>
              </w:numPr>
              <w:jc w:val="center"/>
              <w:rPr>
                <w:rFonts w:ascii="Arial Narrow" w:hAnsi="Arial Narrow"/>
                <w:sz w:val="18"/>
                <w:szCs w:val="18"/>
              </w:rPr>
            </w:pPr>
            <w:r>
              <w:rPr>
                <w:rFonts w:ascii="Arial Narrow" w:hAnsi="Arial Narrow"/>
                <w:sz w:val="18"/>
                <w:szCs w:val="18"/>
              </w:rPr>
              <w:t>20</w:t>
            </w:r>
          </w:p>
        </w:tc>
      </w:tr>
      <w:tr w:rsidRPr="007F0673" w:rsidR="00CC30BA" w:rsidTr="00CC30BA" w14:paraId="169F3DCD" w14:textId="77777777">
        <w:tc>
          <w:tcPr>
            <w:tcW w:w="990" w:type="dxa"/>
          </w:tcPr>
          <w:p w:rsidRPr="007F0673" w:rsidR="00CC30BA" w:rsidP="00A20123" w:rsidRDefault="00CC30BA" w14:paraId="4D2648BB" w14:textId="77777777">
            <w:pPr>
              <w:keepNext/>
              <w:keepLines/>
              <w:numPr>
                <w:ilvl w:val="12"/>
                <w:numId w:val="0"/>
              </w:numPr>
              <w:jc w:val="center"/>
              <w:rPr>
                <w:rFonts w:ascii="Arial Narrow" w:hAnsi="Arial Narrow"/>
                <w:b/>
                <w:sz w:val="18"/>
                <w:szCs w:val="18"/>
              </w:rPr>
            </w:pPr>
          </w:p>
        </w:tc>
        <w:tc>
          <w:tcPr>
            <w:tcW w:w="1800" w:type="dxa"/>
            <w:shd w:val="clear" w:color="auto" w:fill="auto"/>
            <w:vAlign w:val="bottom"/>
          </w:tcPr>
          <w:p w:rsidRPr="007F0673" w:rsidR="00CC30BA" w:rsidP="00A20123" w:rsidRDefault="00CC30BA" w14:paraId="50C11F65" w14:textId="77777777">
            <w:pPr>
              <w:keepNext/>
              <w:keepLines/>
              <w:numPr>
                <w:ilvl w:val="12"/>
                <w:numId w:val="0"/>
              </w:numPr>
              <w:jc w:val="center"/>
              <w:rPr>
                <w:rFonts w:ascii="Arial Narrow" w:hAnsi="Arial Narrow"/>
                <w:b/>
                <w:sz w:val="18"/>
                <w:szCs w:val="18"/>
              </w:rPr>
            </w:pPr>
            <w:r w:rsidRPr="007F0673">
              <w:rPr>
                <w:rFonts w:ascii="Arial Narrow" w:hAnsi="Arial Narrow"/>
                <w:b/>
                <w:sz w:val="18"/>
                <w:szCs w:val="18"/>
              </w:rPr>
              <w:t>IRS TOTAL</w:t>
            </w:r>
          </w:p>
        </w:tc>
        <w:tc>
          <w:tcPr>
            <w:tcW w:w="1377" w:type="dxa"/>
            <w:vAlign w:val="bottom"/>
          </w:tcPr>
          <w:p w:rsidRPr="007F0673" w:rsidR="00CC30BA" w:rsidP="00A20123" w:rsidRDefault="00CC30BA" w14:paraId="1BDE37D1" w14:textId="77777777">
            <w:pPr>
              <w:keepNext/>
              <w:keepLines/>
              <w:numPr>
                <w:ilvl w:val="12"/>
                <w:numId w:val="0"/>
              </w:numPr>
              <w:jc w:val="center"/>
              <w:rPr>
                <w:rFonts w:ascii="Arial Narrow" w:hAnsi="Arial Narrow"/>
                <w:b/>
                <w:sz w:val="18"/>
                <w:szCs w:val="18"/>
              </w:rPr>
            </w:pPr>
          </w:p>
        </w:tc>
        <w:tc>
          <w:tcPr>
            <w:tcW w:w="1080" w:type="dxa"/>
            <w:shd w:val="clear" w:color="auto" w:fill="auto"/>
            <w:vAlign w:val="bottom"/>
          </w:tcPr>
          <w:p w:rsidRPr="007F0673" w:rsidR="00CC30BA" w:rsidP="00A20123" w:rsidRDefault="00CC30BA" w14:paraId="37100366" w14:textId="77777777">
            <w:pPr>
              <w:keepNext/>
              <w:keepLines/>
              <w:numPr>
                <w:ilvl w:val="12"/>
                <w:numId w:val="0"/>
              </w:numPr>
              <w:jc w:val="center"/>
              <w:rPr>
                <w:rFonts w:ascii="Arial Narrow" w:hAnsi="Arial Narrow"/>
                <w:b/>
                <w:sz w:val="18"/>
                <w:szCs w:val="18"/>
              </w:rPr>
            </w:pPr>
            <w:r w:rsidRPr="007F0673">
              <w:rPr>
                <w:rFonts w:ascii="Arial Narrow" w:hAnsi="Arial Narrow"/>
                <w:b/>
                <w:sz w:val="18"/>
                <w:szCs w:val="18"/>
              </w:rPr>
              <w:t>1533</w:t>
            </w:r>
          </w:p>
        </w:tc>
        <w:tc>
          <w:tcPr>
            <w:tcW w:w="1170" w:type="dxa"/>
            <w:vAlign w:val="bottom"/>
          </w:tcPr>
          <w:p w:rsidRPr="007F0673" w:rsidR="00CC30BA" w:rsidP="00A20123" w:rsidRDefault="00CC30BA" w14:paraId="7C5F3BEA" w14:textId="77777777">
            <w:pPr>
              <w:keepNext/>
              <w:keepLines/>
              <w:numPr>
                <w:ilvl w:val="12"/>
                <w:numId w:val="0"/>
              </w:numPr>
              <w:jc w:val="center"/>
              <w:rPr>
                <w:rFonts w:ascii="Arial Narrow" w:hAnsi="Arial Narrow"/>
                <w:b/>
                <w:sz w:val="18"/>
                <w:szCs w:val="18"/>
              </w:rPr>
            </w:pPr>
            <w:r w:rsidRPr="007F0673">
              <w:rPr>
                <w:rFonts w:ascii="Arial Narrow" w:hAnsi="Arial Narrow"/>
                <w:b/>
                <w:sz w:val="18"/>
                <w:szCs w:val="18"/>
              </w:rPr>
              <w:t>.0130</w:t>
            </w:r>
          </w:p>
        </w:tc>
        <w:tc>
          <w:tcPr>
            <w:tcW w:w="1170" w:type="dxa"/>
            <w:shd w:val="clear" w:color="auto" w:fill="auto"/>
            <w:vAlign w:val="bottom"/>
          </w:tcPr>
          <w:p w:rsidRPr="007F0673" w:rsidR="00CC30BA" w:rsidP="00A20123" w:rsidRDefault="00CC30BA" w14:paraId="6C8A745E" w14:textId="77777777">
            <w:pPr>
              <w:keepNext/>
              <w:keepLines/>
              <w:numPr>
                <w:ilvl w:val="12"/>
                <w:numId w:val="0"/>
              </w:numPr>
              <w:jc w:val="center"/>
              <w:rPr>
                <w:rFonts w:ascii="Arial Narrow" w:hAnsi="Arial Narrow"/>
                <w:b/>
                <w:sz w:val="18"/>
                <w:szCs w:val="18"/>
              </w:rPr>
            </w:pPr>
            <w:r w:rsidRPr="007F0673">
              <w:rPr>
                <w:rFonts w:ascii="Arial Narrow" w:hAnsi="Arial Narrow"/>
                <w:b/>
                <w:sz w:val="18"/>
                <w:szCs w:val="18"/>
              </w:rPr>
              <w:t>20</w:t>
            </w:r>
          </w:p>
        </w:tc>
      </w:tr>
    </w:tbl>
    <w:p w:rsidRPr="008B557A" w:rsidR="004A763E" w:rsidP="0065166D" w:rsidRDefault="004A763E" w14:paraId="76129A7D" w14:textId="77777777">
      <w:pPr>
        <w:pStyle w:val="SupportingStatementSTANDARD"/>
        <w:rPr>
          <w:rFonts w:ascii="Calibri" w:hAnsi="Calibri"/>
          <w:sz w:val="22"/>
          <w:szCs w:val="22"/>
        </w:rPr>
      </w:pPr>
    </w:p>
    <w:p w:rsidRPr="008B557A" w:rsidR="0065166D" w:rsidP="0065166D" w:rsidRDefault="0065166D" w14:paraId="42BDB661" w14:textId="77777777">
      <w:pPr>
        <w:pStyle w:val="SupportingStatementSTANDARD"/>
        <w:tabs>
          <w:tab w:val="clear" w:pos="720"/>
        </w:tabs>
        <w:ind w:firstLine="0"/>
        <w:rPr>
          <w:rFonts w:ascii="Calibri" w:hAnsi="Calibri"/>
          <w:sz w:val="22"/>
          <w:szCs w:val="22"/>
        </w:rPr>
      </w:pPr>
      <w:r w:rsidRPr="008B557A">
        <w:rPr>
          <w:rFonts w:ascii="Calibri" w:hAnsi="Calibri"/>
          <w:sz w:val="22"/>
          <w:szCs w:val="22"/>
        </w:rPr>
        <w:t>Please continue to assign OMB number 1545-</w:t>
      </w:r>
      <w:r w:rsidRPr="008B557A" w:rsidR="001767D6">
        <w:rPr>
          <w:rFonts w:ascii="Calibri" w:hAnsi="Calibri"/>
          <w:sz w:val="22"/>
          <w:szCs w:val="22"/>
        </w:rPr>
        <w:t>2180</w:t>
      </w:r>
      <w:r w:rsidRPr="008B557A">
        <w:rPr>
          <w:rFonts w:ascii="Calibri" w:hAnsi="Calibri"/>
          <w:sz w:val="22"/>
          <w:szCs w:val="22"/>
        </w:rPr>
        <w:t xml:space="preserve"> to th</w:t>
      </w:r>
      <w:r w:rsidR="004F54E4">
        <w:rPr>
          <w:rFonts w:ascii="Calibri" w:hAnsi="Calibri"/>
          <w:sz w:val="22"/>
          <w:szCs w:val="22"/>
        </w:rPr>
        <w:t>i</w:t>
      </w:r>
      <w:r w:rsidRPr="008B557A">
        <w:rPr>
          <w:rFonts w:ascii="Calibri" w:hAnsi="Calibri"/>
          <w:sz w:val="22"/>
          <w:szCs w:val="22"/>
        </w:rPr>
        <w:t>s regulation.</w:t>
      </w:r>
    </w:p>
    <w:p w:rsidRPr="008B557A" w:rsidR="0065166D" w:rsidP="0065166D" w:rsidRDefault="001767D6" w14:paraId="030A8294" w14:textId="77777777">
      <w:pPr>
        <w:pStyle w:val="SupportingStatementSTANDARD"/>
        <w:tabs>
          <w:tab w:val="clear" w:pos="720"/>
        </w:tabs>
        <w:ind w:firstLine="0"/>
        <w:rPr>
          <w:rFonts w:ascii="Calibri" w:hAnsi="Calibri"/>
          <w:sz w:val="22"/>
          <w:szCs w:val="22"/>
        </w:rPr>
      </w:pPr>
      <w:r w:rsidRPr="008B557A">
        <w:rPr>
          <w:rFonts w:ascii="Calibri" w:hAnsi="Calibri"/>
          <w:sz w:val="22"/>
          <w:szCs w:val="22"/>
        </w:rPr>
        <w:t>54.9815-2712</w:t>
      </w:r>
    </w:p>
    <w:p w:rsidRPr="008B557A" w:rsidR="0065166D" w:rsidP="00D5785F" w:rsidRDefault="0065166D" w14:paraId="45402B5A" w14:textId="77777777">
      <w:pPr>
        <w:pStyle w:val="Level1"/>
        <w:numPr>
          <w:ilvl w:val="0"/>
          <w:numId w:val="0"/>
        </w:numPr>
        <w:tabs>
          <w:tab w:val="left" w:pos="-1440"/>
        </w:tabs>
        <w:rPr>
          <w:rFonts w:ascii="Calibri" w:hAnsi="Calibri"/>
          <w:b/>
          <w:sz w:val="22"/>
          <w:szCs w:val="22"/>
          <w:u w:val="single"/>
        </w:rPr>
      </w:pPr>
    </w:p>
    <w:p w:rsidRPr="008B557A" w:rsidR="00721EB2" w:rsidP="00D5785F" w:rsidRDefault="00721EB2" w14:paraId="49CBEF64" w14:textId="77777777">
      <w:pPr>
        <w:pStyle w:val="Level1"/>
        <w:tabs>
          <w:tab w:val="left" w:pos="-1440"/>
        </w:tabs>
        <w:rPr>
          <w:rFonts w:ascii="Calibri" w:hAnsi="Calibri"/>
          <w:b/>
          <w:sz w:val="22"/>
          <w:szCs w:val="22"/>
        </w:rPr>
      </w:pPr>
      <w:r w:rsidRPr="008B557A">
        <w:rPr>
          <w:rFonts w:ascii="Calibri" w:hAnsi="Calibri"/>
          <w:b/>
          <w:sz w:val="22"/>
          <w:szCs w:val="22"/>
          <w:u w:val="single"/>
        </w:rPr>
        <w:t>ESTIMATED TOTAL ANNUAL COST BURDEN TO RESPONDENTS</w:t>
      </w:r>
    </w:p>
    <w:p w:rsidR="00721EB2" w:rsidRDefault="00721EB2" w14:paraId="2FABBC0D" w14:textId="77777777">
      <w:pPr>
        <w:rPr>
          <w:rFonts w:ascii="Calibri" w:hAnsi="Calibri"/>
          <w:sz w:val="22"/>
          <w:szCs w:val="22"/>
        </w:rPr>
      </w:pPr>
    </w:p>
    <w:p w:rsidRPr="008B557A" w:rsidR="00CC30BA" w:rsidP="00CC30BA" w:rsidRDefault="00CC30BA" w14:paraId="6A5A07B3" w14:textId="77777777">
      <w:pPr>
        <w:ind w:left="720"/>
        <w:rPr>
          <w:rFonts w:ascii="Calibri" w:hAnsi="Calibri"/>
          <w:sz w:val="22"/>
          <w:szCs w:val="22"/>
        </w:rPr>
      </w:pPr>
      <w:r w:rsidRPr="00671CCD">
        <w:rPr>
          <w:rFonts w:ascii="Calibri" w:hAnsi="Calibri"/>
          <w:sz w:val="22"/>
          <w:szCs w:val="22"/>
        </w:rPr>
        <w:t xml:space="preserve">Based on the foregoing, the Department estimates that approximately 1,500 policies are rescinded during a year, which would result in 1,500 advance rescission notices (responses) being sent to affected participants with 38 percent transmitted electronically and 62 percent mailed. </w:t>
      </w:r>
      <w:r w:rsidRPr="00CC30BA">
        <w:rPr>
          <w:rFonts w:ascii="Calibri" w:hAnsi="Calibri"/>
          <w:sz w:val="22"/>
          <w:szCs w:val="22"/>
        </w:rPr>
        <w:t>The Department estimates that the cost burden associated with distributing the 950 paper notices will be approximately $500 (1,500*62%*($0.49+ $0.05)).</w:t>
      </w:r>
      <w:r w:rsidRPr="00CC30BA">
        <w:rPr>
          <w:color w:val="000000"/>
        </w:rPr>
        <w:t xml:space="preserve"> </w:t>
      </w:r>
      <w:r w:rsidRPr="00CC30BA">
        <w:rPr>
          <w:rFonts w:ascii="Calibri" w:hAnsi="Calibri"/>
          <w:sz w:val="22"/>
          <w:szCs w:val="22"/>
        </w:rPr>
        <w:t>The Department of Labor shares the cost burden of this information collection equally with the Department of Treasury; therefore, the cost burden allocated to the Department of Labor is $250.</w:t>
      </w:r>
    </w:p>
    <w:p w:rsidRPr="008B557A" w:rsidR="00721EB2" w:rsidRDefault="00721EB2" w14:paraId="1AE65B16" w14:textId="77777777">
      <w:pPr>
        <w:rPr>
          <w:rFonts w:ascii="Calibri" w:hAnsi="Calibri"/>
          <w:sz w:val="22"/>
          <w:szCs w:val="22"/>
        </w:rPr>
      </w:pPr>
    </w:p>
    <w:p w:rsidRPr="008B557A" w:rsidR="00721EB2" w:rsidRDefault="00721EB2" w14:paraId="1241148A"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ESTIMATED ANNUALIZED COST TO THE FEDERAL GOVERNMENT</w:t>
      </w:r>
    </w:p>
    <w:p w:rsidRPr="008B557A" w:rsidR="00721EB2" w:rsidRDefault="00721EB2" w14:paraId="65BDB8CA" w14:textId="77777777">
      <w:pPr>
        <w:rPr>
          <w:rFonts w:ascii="Calibri" w:hAnsi="Calibri"/>
          <w:b/>
          <w:sz w:val="22"/>
          <w:szCs w:val="22"/>
        </w:rPr>
      </w:pPr>
    </w:p>
    <w:p w:rsidRPr="008B557A" w:rsidR="00721EB2" w:rsidRDefault="0065166D" w14:paraId="3A67023D" w14:textId="77777777">
      <w:pPr>
        <w:ind w:left="720"/>
        <w:rPr>
          <w:rFonts w:ascii="Calibri" w:hAnsi="Calibri"/>
          <w:sz w:val="22"/>
          <w:szCs w:val="22"/>
        </w:rPr>
      </w:pPr>
      <w:r w:rsidRPr="008B557A">
        <w:rPr>
          <w:rFonts w:ascii="Calibri" w:hAnsi="Calibri"/>
          <w:sz w:val="22"/>
          <w:szCs w:val="22"/>
        </w:rPr>
        <w:t>There is no estimated annualized cost to the federal government</w:t>
      </w:r>
      <w:r w:rsidRPr="008B557A" w:rsidR="00721EB2">
        <w:rPr>
          <w:rFonts w:ascii="Calibri" w:hAnsi="Calibri"/>
          <w:sz w:val="22"/>
          <w:szCs w:val="22"/>
        </w:rPr>
        <w:t>.</w:t>
      </w:r>
    </w:p>
    <w:p w:rsidRPr="008B557A" w:rsidR="00721EB2" w:rsidRDefault="00721EB2" w14:paraId="1CCDA45F" w14:textId="77777777">
      <w:pPr>
        <w:rPr>
          <w:rFonts w:ascii="Calibri" w:hAnsi="Calibri"/>
          <w:sz w:val="22"/>
          <w:szCs w:val="22"/>
        </w:rPr>
      </w:pPr>
    </w:p>
    <w:p w:rsidRPr="008B557A" w:rsidR="00721EB2" w:rsidRDefault="00721EB2" w14:paraId="18278B8F"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REASONS FOR CHANGE IN BURDEN</w:t>
      </w:r>
    </w:p>
    <w:p w:rsidR="00721EB2" w:rsidRDefault="00721EB2" w14:paraId="4021A585" w14:textId="77777777">
      <w:pPr>
        <w:rPr>
          <w:rFonts w:ascii="Calibri" w:hAnsi="Calibri"/>
          <w:b/>
          <w:sz w:val="22"/>
          <w:szCs w:val="22"/>
        </w:rPr>
      </w:pPr>
    </w:p>
    <w:p w:rsidRPr="008B557A" w:rsidR="00A10CB1" w:rsidP="00A10CB1" w:rsidRDefault="001B0CD9" w14:paraId="65D7BE79" w14:textId="77777777">
      <w:pPr>
        <w:ind w:left="720"/>
        <w:rPr>
          <w:rFonts w:ascii="Calibri" w:hAnsi="Calibri"/>
          <w:sz w:val="22"/>
          <w:szCs w:val="22"/>
        </w:rPr>
      </w:pPr>
      <w:r w:rsidRPr="001B0CD9">
        <w:rPr>
          <w:rFonts w:ascii="Calibri" w:hAnsi="Calibri"/>
          <w:sz w:val="22"/>
          <w:szCs w:val="22"/>
        </w:rPr>
        <w:lastRenderedPageBreak/>
        <w:t>The</w:t>
      </w:r>
      <w:r w:rsidR="00760F27">
        <w:rPr>
          <w:rFonts w:ascii="Calibri" w:hAnsi="Calibri"/>
          <w:sz w:val="22"/>
          <w:szCs w:val="22"/>
        </w:rPr>
        <w:t xml:space="preserve">re is no change in estimates previously approved by OMB. </w:t>
      </w:r>
      <w:r w:rsidRPr="008B557A" w:rsidR="00A10CB1">
        <w:rPr>
          <w:rFonts w:ascii="Calibri" w:hAnsi="Calibri"/>
          <w:sz w:val="22"/>
          <w:szCs w:val="22"/>
        </w:rPr>
        <w:t>We are making this submission to renew the OMB approval.</w:t>
      </w:r>
    </w:p>
    <w:p w:rsidRPr="001B0CD9" w:rsidR="001B0CD9" w:rsidP="001B0CD9" w:rsidRDefault="001B0CD9" w14:paraId="20B31C06" w14:textId="77777777">
      <w:pPr>
        <w:ind w:left="720"/>
        <w:rPr>
          <w:rFonts w:ascii="Calibri" w:hAnsi="Calibri"/>
          <w:sz w:val="22"/>
          <w:szCs w:val="22"/>
        </w:rPr>
      </w:pPr>
    </w:p>
    <w:p w:rsidR="00093FAA" w:rsidRDefault="00721EB2" w14:paraId="1246D385" w14:textId="77777777">
      <w:pPr>
        <w:ind w:left="720"/>
        <w:rPr>
          <w:rFonts w:ascii="Calibri" w:hAnsi="Calibri"/>
          <w:sz w:val="22"/>
          <w:szCs w:val="22"/>
        </w:rPr>
      </w:pPr>
      <w:r w:rsidRPr="008B557A">
        <w:rPr>
          <w:rFonts w:ascii="Calibri" w:hAnsi="Calibri"/>
          <w:sz w:val="22"/>
          <w:szCs w:val="22"/>
        </w:rPr>
        <w:t xml:space="preserve">  </w:t>
      </w:r>
    </w:p>
    <w:p w:rsidRPr="008B557A" w:rsidR="001B0CD9" w:rsidRDefault="001B0CD9" w14:paraId="422D57C7" w14:textId="77777777">
      <w:pPr>
        <w:ind w:left="720"/>
        <w:rPr>
          <w:rFonts w:ascii="Calibri" w:hAnsi="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1B0CD9" w:rsidR="001B0CD9" w:rsidTr="001B0CD9" w14:paraId="2E1A3B88"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1B0CD9" w:rsidR="001B0CD9" w:rsidP="001B0CD9" w:rsidRDefault="001B0CD9" w14:paraId="608D4B8D" w14:textId="77777777">
            <w:pPr>
              <w:widowControl/>
              <w:autoSpaceDE/>
              <w:autoSpaceDN/>
              <w:adjustRightInd/>
              <w:jc w:val="center"/>
              <w:rPr>
                <w:rFonts w:ascii="Arial Narrow" w:hAnsi="Arial Narrow" w:cs="Arial"/>
                <w:b/>
                <w:bCs/>
                <w:color w:val="000000"/>
                <w:sz w:val="18"/>
                <w:szCs w:val="18"/>
              </w:rPr>
            </w:pPr>
            <w:r w:rsidRPr="001B0CD9">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B0CD9" w:rsidR="001B0CD9" w:rsidP="001B0CD9" w:rsidRDefault="001B0CD9" w14:paraId="27984D65" w14:textId="77777777">
            <w:pPr>
              <w:widowControl/>
              <w:autoSpaceDE/>
              <w:autoSpaceDN/>
              <w:adjustRightInd/>
              <w:jc w:val="center"/>
              <w:rPr>
                <w:rFonts w:ascii="Arial Narrow" w:hAnsi="Arial Narrow" w:cs="Arial"/>
                <w:b/>
                <w:bCs/>
                <w:color w:val="000000"/>
                <w:sz w:val="18"/>
                <w:szCs w:val="18"/>
              </w:rPr>
            </w:pPr>
            <w:r w:rsidRPr="001B0CD9">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B0CD9" w:rsidR="001B0CD9" w:rsidP="001B0CD9" w:rsidRDefault="001B0CD9" w14:paraId="18DDE81F" w14:textId="77777777">
            <w:pPr>
              <w:widowControl/>
              <w:autoSpaceDE/>
              <w:autoSpaceDN/>
              <w:adjustRightInd/>
              <w:jc w:val="center"/>
              <w:rPr>
                <w:rFonts w:ascii="Arial Narrow" w:hAnsi="Arial Narrow" w:cs="Arial"/>
                <w:b/>
                <w:bCs/>
                <w:color w:val="000000"/>
                <w:sz w:val="18"/>
                <w:szCs w:val="18"/>
              </w:rPr>
            </w:pPr>
            <w:r w:rsidRPr="001B0CD9">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B0CD9" w:rsidR="001B0CD9" w:rsidP="001B0CD9" w:rsidRDefault="001B0CD9" w14:paraId="141EAB3B" w14:textId="77777777">
            <w:pPr>
              <w:widowControl/>
              <w:autoSpaceDE/>
              <w:autoSpaceDN/>
              <w:adjustRightInd/>
              <w:jc w:val="center"/>
              <w:rPr>
                <w:rFonts w:ascii="Arial Narrow" w:hAnsi="Arial Narrow" w:cs="Arial"/>
                <w:b/>
                <w:bCs/>
                <w:color w:val="000000"/>
                <w:sz w:val="18"/>
                <w:szCs w:val="18"/>
              </w:rPr>
            </w:pPr>
            <w:r w:rsidRPr="001B0CD9">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B0CD9" w:rsidR="001B0CD9" w:rsidP="001B0CD9" w:rsidRDefault="001B0CD9" w14:paraId="779BB239" w14:textId="77777777">
            <w:pPr>
              <w:widowControl/>
              <w:autoSpaceDE/>
              <w:autoSpaceDN/>
              <w:adjustRightInd/>
              <w:jc w:val="center"/>
              <w:rPr>
                <w:rFonts w:ascii="Arial Narrow" w:hAnsi="Arial Narrow" w:cs="Arial"/>
                <w:b/>
                <w:bCs/>
                <w:color w:val="000000"/>
                <w:sz w:val="18"/>
                <w:szCs w:val="18"/>
              </w:rPr>
            </w:pPr>
            <w:r w:rsidRPr="001B0CD9">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B0CD9" w:rsidR="001B0CD9" w:rsidP="001B0CD9" w:rsidRDefault="001B0CD9" w14:paraId="2B1132F6" w14:textId="77777777">
            <w:pPr>
              <w:widowControl/>
              <w:autoSpaceDE/>
              <w:autoSpaceDN/>
              <w:adjustRightInd/>
              <w:jc w:val="center"/>
              <w:rPr>
                <w:rFonts w:ascii="Arial Narrow" w:hAnsi="Arial Narrow" w:cs="Arial"/>
                <w:b/>
                <w:bCs/>
                <w:color w:val="000000"/>
                <w:sz w:val="18"/>
                <w:szCs w:val="18"/>
              </w:rPr>
            </w:pPr>
            <w:r w:rsidRPr="001B0CD9">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B0CD9" w:rsidR="001B0CD9" w:rsidP="001B0CD9" w:rsidRDefault="001B0CD9" w14:paraId="4DDCE3C1" w14:textId="77777777">
            <w:pPr>
              <w:widowControl/>
              <w:autoSpaceDE/>
              <w:autoSpaceDN/>
              <w:adjustRightInd/>
              <w:jc w:val="center"/>
              <w:rPr>
                <w:rFonts w:ascii="Arial Narrow" w:hAnsi="Arial Narrow" w:cs="Arial"/>
                <w:b/>
                <w:bCs/>
                <w:color w:val="000000"/>
                <w:sz w:val="18"/>
                <w:szCs w:val="18"/>
              </w:rPr>
            </w:pPr>
            <w:r w:rsidRPr="001B0CD9">
              <w:rPr>
                <w:rFonts w:ascii="Arial Narrow" w:hAnsi="Arial Narrow" w:cs="Arial"/>
                <w:b/>
                <w:bCs/>
                <w:color w:val="000000"/>
                <w:sz w:val="18"/>
                <w:szCs w:val="18"/>
              </w:rPr>
              <w:t>Previously Approved</w:t>
            </w:r>
          </w:p>
        </w:tc>
      </w:tr>
      <w:tr w:rsidRPr="001B0CD9" w:rsidR="001B0CD9" w:rsidTr="001B0CD9" w14:paraId="0488C317" w14:textId="77777777">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3F6A90C5"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7640B087"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1,533</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2AC11884"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4CD641F7"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52AD7B8B"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xml:space="preserve">  </w:t>
            </w:r>
            <w:r w:rsidR="00A10CB1">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64696307"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3A08F416"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xml:space="preserve">  </w:t>
            </w:r>
            <w:r w:rsidR="00A10CB1">
              <w:rPr>
                <w:rFonts w:ascii="Arial Narrow" w:hAnsi="Arial Narrow" w:cs="Arial"/>
                <w:color w:val="000000"/>
                <w:sz w:val="18"/>
                <w:szCs w:val="18"/>
              </w:rPr>
              <w:t>1,533</w:t>
            </w:r>
          </w:p>
        </w:tc>
      </w:tr>
      <w:tr w:rsidRPr="001B0CD9" w:rsidR="001B0CD9" w:rsidTr="001B0CD9" w14:paraId="1B0DF1C8" w14:textId="77777777">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0DB10DB2"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5C670BF3"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20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78426282"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25CA1162"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5409B5B1"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xml:space="preserve">  </w:t>
            </w:r>
            <w:r w:rsidR="00A10CB1">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138C2005"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01B515B2"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2</w:t>
            </w:r>
            <w:r w:rsidR="00A10CB1">
              <w:rPr>
                <w:rFonts w:ascii="Arial Narrow" w:hAnsi="Arial Narrow" w:cs="Arial"/>
                <w:color w:val="000000"/>
                <w:sz w:val="18"/>
                <w:szCs w:val="18"/>
              </w:rPr>
              <w:t>0</w:t>
            </w:r>
          </w:p>
        </w:tc>
      </w:tr>
      <w:tr w:rsidRPr="001B0CD9" w:rsidR="001B0CD9" w:rsidTr="001B0CD9" w14:paraId="56E99252" w14:textId="77777777">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01014E45"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2A24518F"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250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4E59A009"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5F5D4A61"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18FB49F3"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7B50B987"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B0CD9" w:rsidR="001B0CD9" w:rsidP="001B0CD9" w:rsidRDefault="001B0CD9" w14:paraId="62EA7078" w14:textId="77777777">
            <w:pPr>
              <w:widowControl/>
              <w:autoSpaceDE/>
              <w:autoSpaceDN/>
              <w:adjustRightInd/>
              <w:rPr>
                <w:rFonts w:ascii="Arial Narrow" w:hAnsi="Arial Narrow" w:cs="Arial"/>
                <w:color w:val="000000"/>
                <w:sz w:val="18"/>
                <w:szCs w:val="18"/>
              </w:rPr>
            </w:pPr>
            <w:r w:rsidRPr="001B0CD9">
              <w:rPr>
                <w:rFonts w:ascii="Arial Narrow" w:hAnsi="Arial Narrow" w:cs="Arial"/>
                <w:color w:val="000000"/>
                <w:sz w:val="18"/>
                <w:szCs w:val="18"/>
              </w:rPr>
              <w:t xml:space="preserve">  </w:t>
            </w:r>
            <w:r w:rsidR="00A10CB1">
              <w:rPr>
                <w:rFonts w:ascii="Arial Narrow" w:hAnsi="Arial Narrow" w:cs="Arial"/>
                <w:color w:val="000000"/>
                <w:sz w:val="18"/>
                <w:szCs w:val="18"/>
              </w:rPr>
              <w:t>25</w:t>
            </w:r>
            <w:r w:rsidRPr="001B0CD9">
              <w:rPr>
                <w:rFonts w:ascii="Arial Narrow" w:hAnsi="Arial Narrow" w:cs="Arial"/>
                <w:color w:val="000000"/>
                <w:sz w:val="18"/>
                <w:szCs w:val="18"/>
              </w:rPr>
              <w:t>0</w:t>
            </w:r>
          </w:p>
        </w:tc>
      </w:tr>
    </w:tbl>
    <w:p w:rsidRPr="008B557A" w:rsidR="00093FAA" w:rsidRDefault="00093FAA" w14:paraId="599F2EC0" w14:textId="77777777">
      <w:pPr>
        <w:ind w:left="720"/>
        <w:rPr>
          <w:rFonts w:ascii="Calibri" w:hAnsi="Calibri"/>
          <w:sz w:val="22"/>
          <w:szCs w:val="22"/>
        </w:rPr>
      </w:pPr>
    </w:p>
    <w:p w:rsidRPr="008B557A" w:rsidR="00721EB2" w:rsidRDefault="00721EB2" w14:paraId="4AD16938" w14:textId="77777777">
      <w:pPr>
        <w:rPr>
          <w:rFonts w:ascii="Calibri" w:hAnsi="Calibri"/>
          <w:sz w:val="22"/>
          <w:szCs w:val="22"/>
        </w:rPr>
      </w:pPr>
    </w:p>
    <w:p w:rsidRPr="008B557A" w:rsidR="00721EB2" w:rsidRDefault="00721EB2" w14:paraId="5EBE71A4"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PLANS FOR TABULATION, STATISTICAL ANALYSIS AND PUBLICATION</w:t>
      </w:r>
    </w:p>
    <w:p w:rsidRPr="008B557A" w:rsidR="00721EB2" w:rsidRDefault="00721EB2" w14:paraId="4B1A9AC9" w14:textId="77777777">
      <w:pPr>
        <w:rPr>
          <w:rFonts w:ascii="Calibri" w:hAnsi="Calibri"/>
          <w:b/>
          <w:sz w:val="22"/>
          <w:szCs w:val="22"/>
        </w:rPr>
      </w:pPr>
    </w:p>
    <w:p w:rsidRPr="008B557A" w:rsidR="00721EB2" w:rsidRDefault="0065166D" w14:paraId="56B0F4AC" w14:textId="77777777">
      <w:pPr>
        <w:ind w:left="720"/>
        <w:rPr>
          <w:rFonts w:ascii="Calibri" w:hAnsi="Calibri"/>
          <w:sz w:val="22"/>
          <w:szCs w:val="22"/>
        </w:rPr>
      </w:pPr>
      <w:r w:rsidRPr="008B557A">
        <w:rPr>
          <w:rFonts w:ascii="Calibri" w:hAnsi="Calibri"/>
          <w:sz w:val="22"/>
          <w:szCs w:val="22"/>
        </w:rPr>
        <w:t>There are no plans for tabulation, statistical analysis and publication</w:t>
      </w:r>
      <w:r w:rsidRPr="008B557A" w:rsidR="00721EB2">
        <w:rPr>
          <w:rFonts w:ascii="Calibri" w:hAnsi="Calibri"/>
          <w:sz w:val="22"/>
          <w:szCs w:val="22"/>
        </w:rPr>
        <w:t>.</w:t>
      </w:r>
    </w:p>
    <w:p w:rsidRPr="008B557A" w:rsidR="00721EB2" w:rsidRDefault="00721EB2" w14:paraId="5DA75AA7" w14:textId="77777777">
      <w:pPr>
        <w:rPr>
          <w:rFonts w:ascii="Calibri" w:hAnsi="Calibri"/>
          <w:sz w:val="22"/>
          <w:szCs w:val="22"/>
        </w:rPr>
      </w:pPr>
    </w:p>
    <w:p w:rsidRPr="008B557A" w:rsidR="00721EB2" w:rsidRDefault="00721EB2" w14:paraId="784D8F48"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REASONS WHY DISPLAYING THE OMB EXPIRATION DATE IS</w:t>
      </w:r>
      <w:r w:rsidR="001B0CD9">
        <w:rPr>
          <w:rFonts w:ascii="Calibri" w:hAnsi="Calibri"/>
          <w:b/>
          <w:sz w:val="22"/>
          <w:szCs w:val="22"/>
          <w:u w:val="single"/>
        </w:rPr>
        <w:t xml:space="preserve"> I</w:t>
      </w:r>
      <w:r w:rsidRPr="008B557A">
        <w:rPr>
          <w:rFonts w:ascii="Calibri" w:hAnsi="Calibri"/>
          <w:b/>
          <w:sz w:val="22"/>
          <w:szCs w:val="22"/>
          <w:u w:val="single"/>
        </w:rPr>
        <w:t>NAPPROPRIATE</w:t>
      </w:r>
    </w:p>
    <w:p w:rsidRPr="008B557A" w:rsidR="00721EB2" w:rsidRDefault="00721EB2" w14:paraId="527EBC75" w14:textId="77777777">
      <w:pPr>
        <w:rPr>
          <w:rFonts w:ascii="Calibri" w:hAnsi="Calibri"/>
          <w:sz w:val="22"/>
          <w:szCs w:val="22"/>
        </w:rPr>
      </w:pPr>
    </w:p>
    <w:p w:rsidRPr="008B557A" w:rsidR="00721EB2" w:rsidRDefault="00721EB2" w14:paraId="6310C5B8" w14:textId="77777777">
      <w:pPr>
        <w:ind w:left="720"/>
        <w:rPr>
          <w:rFonts w:ascii="Calibri" w:hAnsi="Calibri"/>
          <w:sz w:val="22"/>
          <w:szCs w:val="22"/>
        </w:rPr>
      </w:pPr>
      <w:r w:rsidRPr="008B557A">
        <w:rPr>
          <w:rFonts w:ascii="Calibri" w:hAnsi="Calibri"/>
          <w:sz w:val="22"/>
          <w:szCs w:val="22"/>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8B557A" w:rsidR="00721EB2" w:rsidRDefault="00721EB2" w14:paraId="157E0F4B" w14:textId="77777777">
      <w:pPr>
        <w:rPr>
          <w:rFonts w:ascii="Calibri" w:hAnsi="Calibri"/>
          <w:sz w:val="22"/>
          <w:szCs w:val="22"/>
        </w:rPr>
      </w:pPr>
    </w:p>
    <w:p w:rsidRPr="008B557A" w:rsidR="00721EB2" w:rsidRDefault="00721EB2" w14:paraId="201D75DB" w14:textId="77777777">
      <w:pPr>
        <w:pStyle w:val="Level1"/>
        <w:tabs>
          <w:tab w:val="left" w:pos="-1440"/>
          <w:tab w:val="num" w:pos="720"/>
        </w:tabs>
        <w:rPr>
          <w:rFonts w:ascii="Calibri" w:hAnsi="Calibri"/>
          <w:b/>
          <w:sz w:val="22"/>
          <w:szCs w:val="22"/>
        </w:rPr>
      </w:pPr>
      <w:r w:rsidRPr="008B557A">
        <w:rPr>
          <w:rFonts w:ascii="Calibri" w:hAnsi="Calibri"/>
          <w:b/>
          <w:sz w:val="22"/>
          <w:szCs w:val="22"/>
          <w:u w:val="single"/>
        </w:rPr>
        <w:t>EXCEPTIONS TO THE CERTIFICATION STATEMENT</w:t>
      </w:r>
    </w:p>
    <w:p w:rsidRPr="008B557A" w:rsidR="00721EB2" w:rsidRDefault="00721EB2" w14:paraId="253F2295" w14:textId="77777777">
      <w:pPr>
        <w:rPr>
          <w:rFonts w:ascii="Calibri" w:hAnsi="Calibri"/>
          <w:sz w:val="22"/>
          <w:szCs w:val="22"/>
        </w:rPr>
      </w:pPr>
    </w:p>
    <w:p w:rsidRPr="008B557A" w:rsidR="00721EB2" w:rsidRDefault="0065166D" w14:paraId="021E87AC" w14:textId="77777777">
      <w:pPr>
        <w:ind w:left="720"/>
        <w:rPr>
          <w:rFonts w:ascii="Calibri" w:hAnsi="Calibri"/>
          <w:sz w:val="22"/>
          <w:szCs w:val="22"/>
        </w:rPr>
      </w:pPr>
      <w:r w:rsidRPr="008B557A">
        <w:rPr>
          <w:rFonts w:ascii="Calibri" w:hAnsi="Calibri"/>
          <w:sz w:val="22"/>
          <w:szCs w:val="22"/>
        </w:rPr>
        <w:t>There are no exceptions to the certification statement</w:t>
      </w:r>
      <w:r w:rsidRPr="008B557A" w:rsidR="00721EB2">
        <w:rPr>
          <w:rFonts w:ascii="Calibri" w:hAnsi="Calibri"/>
          <w:sz w:val="22"/>
          <w:szCs w:val="22"/>
        </w:rPr>
        <w:t>.</w:t>
      </w:r>
    </w:p>
    <w:p w:rsidRPr="008B557A" w:rsidR="00721EB2" w:rsidRDefault="00721EB2" w14:paraId="68478748" w14:textId="77777777">
      <w:pPr>
        <w:rPr>
          <w:rFonts w:ascii="Calibri" w:hAnsi="Calibri"/>
          <w:sz w:val="22"/>
          <w:szCs w:val="22"/>
        </w:rPr>
      </w:pPr>
    </w:p>
    <w:p w:rsidRPr="008B557A" w:rsidR="00721EB2" w:rsidRDefault="00721EB2" w14:paraId="1B1DBF09" w14:textId="77777777">
      <w:pPr>
        <w:rPr>
          <w:rFonts w:ascii="Calibri" w:hAnsi="Calibri"/>
          <w:sz w:val="22"/>
          <w:szCs w:val="22"/>
        </w:rPr>
      </w:pPr>
      <w:r w:rsidRPr="008B557A">
        <w:rPr>
          <w:rFonts w:ascii="Calibri" w:hAnsi="Calibri"/>
          <w:b/>
          <w:sz w:val="22"/>
          <w:szCs w:val="22"/>
          <w:u w:val="single"/>
        </w:rPr>
        <w:t>Note</w:t>
      </w:r>
      <w:r w:rsidRPr="008B557A">
        <w:rPr>
          <w:rFonts w:ascii="Calibri" w:hAnsi="Calibri"/>
          <w:sz w:val="22"/>
          <w:szCs w:val="22"/>
          <w:u w:val="single"/>
        </w:rPr>
        <w:t>:</w:t>
      </w:r>
      <w:r w:rsidRPr="008B557A">
        <w:rPr>
          <w:rFonts w:ascii="Calibri" w:hAnsi="Calibri"/>
          <w:sz w:val="22"/>
          <w:szCs w:val="22"/>
        </w:rPr>
        <w:t xml:space="preserve">   The following paragraph applies to all of the collections of information in this submission:</w:t>
      </w:r>
    </w:p>
    <w:p w:rsidRPr="008B557A" w:rsidR="00721EB2" w:rsidRDefault="00721EB2" w14:paraId="5F3679A2" w14:textId="77777777">
      <w:pPr>
        <w:rPr>
          <w:rFonts w:ascii="Calibri" w:hAnsi="Calibri"/>
          <w:sz w:val="22"/>
          <w:szCs w:val="22"/>
        </w:rPr>
      </w:pPr>
    </w:p>
    <w:p w:rsidRPr="008B557A" w:rsidR="00721EB2" w:rsidP="0065166D" w:rsidRDefault="00721EB2" w14:paraId="47E532FD" w14:textId="77777777">
      <w:pPr>
        <w:ind w:firstLine="720"/>
        <w:rPr>
          <w:rFonts w:ascii="Calibri" w:hAnsi="Calibri"/>
          <w:sz w:val="22"/>
          <w:szCs w:val="22"/>
        </w:rPr>
      </w:pPr>
      <w:r w:rsidRPr="008B557A">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8B557A" w:rsidR="00721EB2" w:rsidSect="00721EB2">
      <w:headerReference w:type="defaul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E6427" w14:textId="77777777" w:rsidR="001B1F6C" w:rsidRDefault="001B1F6C">
      <w:r>
        <w:separator/>
      </w:r>
    </w:p>
  </w:endnote>
  <w:endnote w:type="continuationSeparator" w:id="0">
    <w:p w14:paraId="24F64411" w14:textId="77777777" w:rsidR="001B1F6C" w:rsidRDefault="001B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91B2" w14:textId="77777777" w:rsidR="004E17B9" w:rsidRDefault="004E1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1E6C" w14:textId="77777777" w:rsidR="004E17B9" w:rsidRDefault="004E1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548A" w14:textId="77777777" w:rsidR="004E17B9" w:rsidRDefault="004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3242D" w14:textId="77777777" w:rsidR="001B1F6C" w:rsidRDefault="001B1F6C">
      <w:r>
        <w:separator/>
      </w:r>
    </w:p>
  </w:footnote>
  <w:footnote w:type="continuationSeparator" w:id="0">
    <w:p w14:paraId="6E94CAB1" w14:textId="77777777" w:rsidR="001B1F6C" w:rsidRDefault="001B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F400B" w14:textId="77777777" w:rsidR="004E17B9" w:rsidRDefault="004E1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17CD" w14:textId="77777777" w:rsidR="004E17B9" w:rsidRDefault="004E1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9879" w14:textId="77777777" w:rsidR="004E17B9" w:rsidRDefault="004E17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F8177" w14:textId="77777777" w:rsidR="003531A4" w:rsidRDefault="003531A4">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CC30BA">
      <w:rPr>
        <w:rFonts w:cs="Courier"/>
        <w:b/>
        <w:bCs/>
        <w:noProof/>
      </w:rPr>
      <w:t>2</w:t>
    </w:r>
    <w:r>
      <w:rPr>
        <w:rFonts w:cs="Courier"/>
        <w:b/>
        <w:bCs/>
      </w:rPr>
      <w:fldChar w:fldCharType="end"/>
    </w:r>
  </w:p>
  <w:p w14:paraId="1F165FB7" w14:textId="77777777" w:rsidR="003531A4" w:rsidRDefault="003531A4"/>
  <w:p w14:paraId="3862ACC6" w14:textId="77777777" w:rsidR="003531A4" w:rsidRDefault="003531A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B2"/>
    <w:rsid w:val="000166A1"/>
    <w:rsid w:val="00093FAA"/>
    <w:rsid w:val="000C5A87"/>
    <w:rsid w:val="000F02E8"/>
    <w:rsid w:val="000F45A4"/>
    <w:rsid w:val="00143CD9"/>
    <w:rsid w:val="001767D6"/>
    <w:rsid w:val="001B0CD9"/>
    <w:rsid w:val="001B1F6C"/>
    <w:rsid w:val="001E1B94"/>
    <w:rsid w:val="001F43ED"/>
    <w:rsid w:val="001F4C31"/>
    <w:rsid w:val="002063B0"/>
    <w:rsid w:val="00241B79"/>
    <w:rsid w:val="0025191D"/>
    <w:rsid w:val="0026031B"/>
    <w:rsid w:val="0026249C"/>
    <w:rsid w:val="00266ABE"/>
    <w:rsid w:val="00277D28"/>
    <w:rsid w:val="002B70CA"/>
    <w:rsid w:val="002D7029"/>
    <w:rsid w:val="00311BA0"/>
    <w:rsid w:val="00321C69"/>
    <w:rsid w:val="00352ED3"/>
    <w:rsid w:val="003531A4"/>
    <w:rsid w:val="00395DBD"/>
    <w:rsid w:val="003E7F8E"/>
    <w:rsid w:val="00433B37"/>
    <w:rsid w:val="00437DDC"/>
    <w:rsid w:val="004905E2"/>
    <w:rsid w:val="004A763E"/>
    <w:rsid w:val="004D3A67"/>
    <w:rsid w:val="004E17B9"/>
    <w:rsid w:val="004F54E4"/>
    <w:rsid w:val="004F6B01"/>
    <w:rsid w:val="00540F40"/>
    <w:rsid w:val="00557814"/>
    <w:rsid w:val="00566426"/>
    <w:rsid w:val="0057275E"/>
    <w:rsid w:val="005760DF"/>
    <w:rsid w:val="005B2C34"/>
    <w:rsid w:val="005C1E39"/>
    <w:rsid w:val="005C628F"/>
    <w:rsid w:val="005D2ED7"/>
    <w:rsid w:val="005D79B9"/>
    <w:rsid w:val="005E56B8"/>
    <w:rsid w:val="00601E19"/>
    <w:rsid w:val="00606FDF"/>
    <w:rsid w:val="006316D6"/>
    <w:rsid w:val="0065166D"/>
    <w:rsid w:val="00671CCD"/>
    <w:rsid w:val="00695051"/>
    <w:rsid w:val="00721EB2"/>
    <w:rsid w:val="00760F27"/>
    <w:rsid w:val="007A3A2C"/>
    <w:rsid w:val="007D0E0A"/>
    <w:rsid w:val="007F0673"/>
    <w:rsid w:val="008739D6"/>
    <w:rsid w:val="00892B37"/>
    <w:rsid w:val="008979C3"/>
    <w:rsid w:val="008B07F5"/>
    <w:rsid w:val="008B557A"/>
    <w:rsid w:val="008C2BBB"/>
    <w:rsid w:val="008C5CCD"/>
    <w:rsid w:val="00905C1B"/>
    <w:rsid w:val="00920C98"/>
    <w:rsid w:val="00934761"/>
    <w:rsid w:val="00963358"/>
    <w:rsid w:val="00A102AA"/>
    <w:rsid w:val="00A10CB1"/>
    <w:rsid w:val="00A20123"/>
    <w:rsid w:val="00A329D8"/>
    <w:rsid w:val="00A3302F"/>
    <w:rsid w:val="00A41C21"/>
    <w:rsid w:val="00A9081B"/>
    <w:rsid w:val="00AA316B"/>
    <w:rsid w:val="00AD023C"/>
    <w:rsid w:val="00AF4952"/>
    <w:rsid w:val="00B26D22"/>
    <w:rsid w:val="00B33FB6"/>
    <w:rsid w:val="00B645EA"/>
    <w:rsid w:val="00BA15C0"/>
    <w:rsid w:val="00C16ADD"/>
    <w:rsid w:val="00C334E8"/>
    <w:rsid w:val="00C64E3C"/>
    <w:rsid w:val="00C75C1A"/>
    <w:rsid w:val="00C97005"/>
    <w:rsid w:val="00CC1FDA"/>
    <w:rsid w:val="00CC30BA"/>
    <w:rsid w:val="00CD6722"/>
    <w:rsid w:val="00D147F5"/>
    <w:rsid w:val="00D5785F"/>
    <w:rsid w:val="00D96EFD"/>
    <w:rsid w:val="00E148AF"/>
    <w:rsid w:val="00E16B8C"/>
    <w:rsid w:val="00E60728"/>
    <w:rsid w:val="00E9119A"/>
    <w:rsid w:val="00EF43E8"/>
    <w:rsid w:val="00F10D7C"/>
    <w:rsid w:val="00F27102"/>
    <w:rsid w:val="00F42931"/>
    <w:rsid w:val="00F436F6"/>
    <w:rsid w:val="00F81AC2"/>
    <w:rsid w:val="00FD0320"/>
    <w:rsid w:val="00FE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5E4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Hyperlink">
    <w:name w:val="Hyperlink"/>
    <w:rsid w:val="00905C1B"/>
    <w:rPr>
      <w:color w:val="0000FF"/>
      <w:u w:val="single"/>
    </w:rPr>
  </w:style>
  <w:style w:type="paragraph" w:styleId="FootnoteText">
    <w:name w:val="footnote text"/>
    <w:basedOn w:val="Normal"/>
    <w:link w:val="FootnoteTextChar1"/>
    <w:uiPriority w:val="99"/>
    <w:rsid w:val="004F54E4"/>
    <w:rPr>
      <w:rFonts w:ascii="Times New Roman" w:hAnsi="Times New Roman"/>
      <w:b/>
      <w:bCs/>
      <w:sz w:val="16"/>
      <w:szCs w:val="20"/>
    </w:rPr>
  </w:style>
  <w:style w:type="character" w:customStyle="1" w:styleId="FootnoteTextChar">
    <w:name w:val="Footnote Text Char"/>
    <w:rsid w:val="004F54E4"/>
    <w:rPr>
      <w:rFonts w:ascii="Courier" w:hAnsi="Courier"/>
    </w:rPr>
  </w:style>
  <w:style w:type="character" w:customStyle="1" w:styleId="FootnoteTextChar1">
    <w:name w:val="Footnote Text Char1"/>
    <w:link w:val="FootnoteText"/>
    <w:rsid w:val="004F54E4"/>
    <w:rPr>
      <w:b/>
      <w:bCs/>
      <w:sz w:val="16"/>
    </w:rPr>
  </w:style>
  <w:style w:type="paragraph" w:styleId="Header">
    <w:name w:val="header"/>
    <w:basedOn w:val="Normal"/>
    <w:link w:val="HeaderChar"/>
    <w:rsid w:val="004E17B9"/>
    <w:pPr>
      <w:tabs>
        <w:tab w:val="center" w:pos="4680"/>
        <w:tab w:val="right" w:pos="9360"/>
      </w:tabs>
    </w:pPr>
  </w:style>
  <w:style w:type="character" w:customStyle="1" w:styleId="HeaderChar">
    <w:name w:val="Header Char"/>
    <w:link w:val="Header"/>
    <w:rsid w:val="004E17B9"/>
    <w:rPr>
      <w:rFonts w:ascii="Courier" w:hAnsi="Courier"/>
      <w:sz w:val="24"/>
      <w:szCs w:val="24"/>
    </w:rPr>
  </w:style>
  <w:style w:type="paragraph" w:styleId="Footer">
    <w:name w:val="footer"/>
    <w:basedOn w:val="Normal"/>
    <w:link w:val="FooterChar"/>
    <w:rsid w:val="004E17B9"/>
    <w:pPr>
      <w:tabs>
        <w:tab w:val="center" w:pos="4680"/>
        <w:tab w:val="right" w:pos="9360"/>
      </w:tabs>
    </w:pPr>
  </w:style>
  <w:style w:type="character" w:customStyle="1" w:styleId="FooterChar">
    <w:name w:val="Footer Char"/>
    <w:link w:val="Footer"/>
    <w:rsid w:val="004E17B9"/>
    <w:rPr>
      <w:rFonts w:ascii="Courier" w:hAnsi="Courier"/>
      <w:sz w:val="24"/>
      <w:szCs w:val="24"/>
    </w:rPr>
  </w:style>
  <w:style w:type="character" w:styleId="UnresolvedMention">
    <w:name w:val="Unresolved Mention"/>
    <w:uiPriority w:val="99"/>
    <w:semiHidden/>
    <w:unhideWhenUsed/>
    <w:rsid w:val="001F43ED"/>
    <w:rPr>
      <w:color w:val="605E5C"/>
      <w:shd w:val="clear" w:color="auto" w:fill="E1DFDD"/>
    </w:rPr>
  </w:style>
  <w:style w:type="paragraph" w:styleId="BalloonText">
    <w:name w:val="Balloon Text"/>
    <w:basedOn w:val="Normal"/>
    <w:link w:val="BalloonTextChar"/>
    <w:rsid w:val="00540F40"/>
    <w:rPr>
      <w:rFonts w:ascii="Segoe UI" w:hAnsi="Segoe UI" w:cs="Segoe UI"/>
      <w:sz w:val="18"/>
      <w:szCs w:val="18"/>
    </w:rPr>
  </w:style>
  <w:style w:type="character" w:customStyle="1" w:styleId="BalloonTextChar">
    <w:name w:val="Balloon Text Char"/>
    <w:basedOn w:val="DefaultParagraphFont"/>
    <w:link w:val="BalloonText"/>
    <w:rsid w:val="00540F40"/>
    <w:rPr>
      <w:rFonts w:ascii="Segoe UI" w:hAnsi="Segoe UI" w:cs="Segoe UI"/>
      <w:sz w:val="18"/>
      <w:szCs w:val="18"/>
    </w:rPr>
  </w:style>
  <w:style w:type="character" w:styleId="CommentReference">
    <w:name w:val="annotation reference"/>
    <w:basedOn w:val="DefaultParagraphFont"/>
    <w:rsid w:val="000F45A4"/>
    <w:rPr>
      <w:sz w:val="16"/>
      <w:szCs w:val="16"/>
    </w:rPr>
  </w:style>
  <w:style w:type="paragraph" w:styleId="CommentText">
    <w:name w:val="annotation text"/>
    <w:basedOn w:val="Normal"/>
    <w:link w:val="CommentTextChar"/>
    <w:rsid w:val="000F45A4"/>
    <w:rPr>
      <w:sz w:val="20"/>
      <w:szCs w:val="20"/>
    </w:rPr>
  </w:style>
  <w:style w:type="character" w:customStyle="1" w:styleId="CommentTextChar">
    <w:name w:val="Comment Text Char"/>
    <w:basedOn w:val="DefaultParagraphFont"/>
    <w:link w:val="CommentText"/>
    <w:rsid w:val="000F45A4"/>
    <w:rPr>
      <w:rFonts w:ascii="Courier" w:hAnsi="Courier"/>
    </w:rPr>
  </w:style>
  <w:style w:type="paragraph" w:styleId="CommentSubject">
    <w:name w:val="annotation subject"/>
    <w:basedOn w:val="CommentText"/>
    <w:next w:val="CommentText"/>
    <w:link w:val="CommentSubjectChar"/>
    <w:rsid w:val="000F45A4"/>
    <w:rPr>
      <w:b/>
      <w:bCs/>
    </w:rPr>
  </w:style>
  <w:style w:type="character" w:customStyle="1" w:styleId="CommentSubjectChar">
    <w:name w:val="Comment Subject Char"/>
    <w:basedOn w:val="CommentTextChar"/>
    <w:link w:val="CommentSubject"/>
    <w:rsid w:val="000F45A4"/>
    <w:rPr>
      <w:rFonts w:ascii="Courier" w:hAnsi="Courier"/>
      <w:b/>
      <w:bCs/>
    </w:rPr>
  </w:style>
  <w:style w:type="paragraph" w:styleId="Revision">
    <w:name w:val="Revision"/>
    <w:hidden/>
    <w:uiPriority w:val="99"/>
    <w:semiHidden/>
    <w:rsid w:val="00277D2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884244">
      <w:bodyDiv w:val="1"/>
      <w:marLeft w:val="0"/>
      <w:marRight w:val="0"/>
      <w:marTop w:val="0"/>
      <w:marBottom w:val="0"/>
      <w:divBdr>
        <w:top w:val="none" w:sz="0" w:space="0" w:color="auto"/>
        <w:left w:val="none" w:sz="0" w:space="0" w:color="auto"/>
        <w:bottom w:val="none" w:sz="0" w:space="0" w:color="auto"/>
        <w:right w:val="none" w:sz="0" w:space="0" w:color="auto"/>
      </w:divBdr>
      <w:divsChild>
        <w:div w:id="1201161988">
          <w:marLeft w:val="0"/>
          <w:marRight w:val="0"/>
          <w:marTop w:val="0"/>
          <w:marBottom w:val="0"/>
          <w:divBdr>
            <w:top w:val="none" w:sz="0" w:space="0" w:color="auto"/>
            <w:left w:val="none" w:sz="0" w:space="0" w:color="auto"/>
            <w:bottom w:val="none" w:sz="0" w:space="0" w:color="auto"/>
            <w:right w:val="none" w:sz="0" w:space="0" w:color="auto"/>
          </w:divBdr>
          <w:divsChild>
            <w:div w:id="288897293">
              <w:marLeft w:val="0"/>
              <w:marRight w:val="0"/>
              <w:marTop w:val="0"/>
              <w:marBottom w:val="0"/>
              <w:divBdr>
                <w:top w:val="single" w:sz="6" w:space="11" w:color="FCFCFC"/>
                <w:left w:val="single" w:sz="6" w:space="11" w:color="ECECEC"/>
                <w:bottom w:val="single" w:sz="6" w:space="4" w:color="ECECEC"/>
                <w:right w:val="single" w:sz="6" w:space="11" w:color="ECECEC"/>
              </w:divBdr>
              <w:divsChild>
                <w:div w:id="1605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RS.gov/privacy/PIAs/Pages/default.asp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Links>
    <vt:vector size="6" baseType="variant">
      <vt:variant>
        <vt:i4>7929960</vt:i4>
      </vt:variant>
      <vt:variant>
        <vt:i4>0</vt:i4>
      </vt:variant>
      <vt:variant>
        <vt:i4>0</vt:i4>
      </vt:variant>
      <vt:variant>
        <vt:i4>5</vt:i4>
      </vt:variant>
      <vt:variant>
        <vt:lpwstr>http://www.irs.gov/privacy/PIAs/Pages/default.aspx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2020-10-29T01:09:00Z</dcterms:created>
  <dcterms:modified xsi:type="dcterms:W3CDTF">2020-10-29T01:09:00Z</dcterms:modified>
</cp:coreProperties>
</file>