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31F4" w:rsidR="00C37CD8" w:rsidP="00C705A3" w:rsidRDefault="00C37CD8">
      <w:pPr>
        <w:rPr>
          <w:rFonts w:ascii="Arial" w:hAnsi="Arial" w:cs="Arial"/>
          <w:b/>
          <w:bCs/>
          <w:i/>
          <w:iCs/>
          <w:color w:val="33CCCC"/>
          <w:sz w:val="22"/>
          <w:szCs w:val="22"/>
          <w:u w:val="single"/>
        </w:rPr>
      </w:pPr>
    </w:p>
    <w:p w:rsidRPr="00730632" w:rsidR="003A5DE5" w:rsidP="00466B49" w:rsidRDefault="003A5DE5">
      <w:pPr>
        <w:ind w:left="-360" w:right="-360"/>
        <w:jc w:val="center"/>
        <w:rPr>
          <w:rFonts w:ascii="Arial" w:hAnsi="Arial" w:cs="Arial"/>
          <w:b/>
          <w:bCs/>
          <w:sz w:val="22"/>
          <w:szCs w:val="22"/>
          <w:u w:val="single"/>
        </w:rPr>
      </w:pPr>
      <w:r w:rsidRPr="00730632">
        <w:rPr>
          <w:rFonts w:ascii="Arial" w:hAnsi="Arial" w:cs="Arial"/>
          <w:b/>
          <w:bCs/>
          <w:sz w:val="22"/>
          <w:szCs w:val="22"/>
          <w:u w:val="single"/>
        </w:rPr>
        <w:t xml:space="preserve">Supporting Statement </w:t>
      </w:r>
    </w:p>
    <w:p w:rsidRPr="00730632" w:rsidR="00C705A3" w:rsidP="00466B49" w:rsidRDefault="00C705A3">
      <w:pPr>
        <w:ind w:left="-360" w:right="-360"/>
        <w:jc w:val="center"/>
        <w:rPr>
          <w:rFonts w:ascii="Arial" w:hAnsi="Arial" w:cs="Arial"/>
          <w:b/>
          <w:bCs/>
          <w:sz w:val="22"/>
          <w:szCs w:val="22"/>
          <w:u w:val="single"/>
        </w:rPr>
      </w:pPr>
      <w:r w:rsidRPr="00730632">
        <w:rPr>
          <w:rFonts w:ascii="Arial" w:hAnsi="Arial" w:cs="Arial"/>
          <w:b/>
          <w:bCs/>
          <w:sz w:val="22"/>
          <w:szCs w:val="22"/>
          <w:u w:val="single"/>
        </w:rPr>
        <w:t>U.S. Department of the Treasury</w:t>
      </w:r>
    </w:p>
    <w:p w:rsidRPr="00730632" w:rsidR="00C705A3" w:rsidP="00466B49" w:rsidRDefault="00C705A3">
      <w:pPr>
        <w:ind w:left="-360" w:right="-360"/>
        <w:jc w:val="center"/>
        <w:rPr>
          <w:rFonts w:ascii="Arial" w:hAnsi="Arial" w:cs="Arial"/>
          <w:b/>
          <w:bCs/>
          <w:sz w:val="22"/>
          <w:szCs w:val="22"/>
          <w:u w:val="single"/>
        </w:rPr>
      </w:pPr>
      <w:r w:rsidRPr="00730632">
        <w:rPr>
          <w:rFonts w:ascii="Arial" w:hAnsi="Arial" w:cs="Arial"/>
          <w:b/>
          <w:bCs/>
          <w:sz w:val="22"/>
          <w:szCs w:val="22"/>
          <w:u w:val="single"/>
        </w:rPr>
        <w:t>Office of Cybersecurity and Critical Infrastructure Protection</w:t>
      </w:r>
    </w:p>
    <w:p w:rsidRPr="00730632" w:rsidR="00C705A3" w:rsidP="00466B49" w:rsidRDefault="00C705A3">
      <w:pPr>
        <w:ind w:left="-360" w:right="-360"/>
        <w:jc w:val="center"/>
        <w:rPr>
          <w:rFonts w:ascii="Arial" w:hAnsi="Arial" w:cs="Arial"/>
          <w:b/>
          <w:bCs/>
          <w:sz w:val="22"/>
          <w:szCs w:val="22"/>
          <w:u w:val="single"/>
        </w:rPr>
      </w:pPr>
      <w:r w:rsidRPr="00730632">
        <w:rPr>
          <w:rFonts w:ascii="Arial" w:hAnsi="Arial" w:cs="Arial"/>
          <w:b/>
          <w:bCs/>
          <w:sz w:val="22"/>
          <w:szCs w:val="22"/>
          <w:u w:val="single"/>
        </w:rPr>
        <w:t>Financial Sector Information Collection</w:t>
      </w:r>
    </w:p>
    <w:p w:rsidRPr="00730632" w:rsidR="00C37CD8" w:rsidP="00466B49" w:rsidRDefault="00C37CD8">
      <w:pPr>
        <w:ind w:left="-360" w:right="-360"/>
        <w:jc w:val="center"/>
        <w:rPr>
          <w:rFonts w:ascii="Arial" w:hAnsi="Arial" w:cs="Arial"/>
          <w:color w:val="3366FF"/>
          <w:sz w:val="22"/>
          <w:szCs w:val="22"/>
          <w:u w:val="single"/>
        </w:rPr>
      </w:pPr>
      <w:proofErr w:type="gramStart"/>
      <w:r w:rsidRPr="00730632">
        <w:rPr>
          <w:rFonts w:ascii="Arial" w:hAnsi="Arial" w:cs="Arial"/>
          <w:b/>
          <w:bCs/>
          <w:sz w:val="22"/>
          <w:szCs w:val="22"/>
          <w:u w:val="single"/>
        </w:rPr>
        <w:t xml:space="preserve">OMB </w:t>
      </w:r>
      <w:r w:rsidR="000E376F">
        <w:rPr>
          <w:rFonts w:ascii="Arial" w:hAnsi="Arial" w:cs="Arial"/>
          <w:b/>
          <w:bCs/>
          <w:sz w:val="22"/>
          <w:szCs w:val="22"/>
          <w:u w:val="single"/>
        </w:rPr>
        <w:t xml:space="preserve"> 1505</w:t>
      </w:r>
      <w:proofErr w:type="gramEnd"/>
      <w:r w:rsidR="000E376F">
        <w:rPr>
          <w:rFonts w:ascii="Arial" w:hAnsi="Arial" w:cs="Arial"/>
          <w:b/>
          <w:bCs/>
          <w:sz w:val="22"/>
          <w:szCs w:val="22"/>
          <w:u w:val="single"/>
        </w:rPr>
        <w:t>-0265</w:t>
      </w:r>
    </w:p>
    <w:p w:rsidRPr="003917E5" w:rsidR="008C325F" w:rsidP="00466B49" w:rsidRDefault="003917E5">
      <w:pPr>
        <w:ind w:left="-360" w:right="-360"/>
        <w:jc w:val="center"/>
        <w:rPr>
          <w:rFonts w:ascii="Arial" w:hAnsi="Arial" w:cs="Arial"/>
          <w:sz w:val="22"/>
          <w:szCs w:val="22"/>
        </w:rPr>
      </w:pPr>
      <w:r w:rsidRPr="003917E5">
        <w:rPr>
          <w:rFonts w:ascii="Arial" w:hAnsi="Arial" w:cs="Arial"/>
          <w:sz w:val="22"/>
          <w:szCs w:val="22"/>
        </w:rPr>
        <w:t>Survey</w:t>
      </w:r>
      <w:r w:rsidR="00553941">
        <w:rPr>
          <w:rFonts w:ascii="Arial" w:hAnsi="Arial" w:cs="Arial"/>
          <w:sz w:val="22"/>
          <w:szCs w:val="22"/>
        </w:rPr>
        <w:t xml:space="preserve"> to Identify and Analyze the Operations Dependenc</w:t>
      </w:r>
      <w:r w:rsidR="000E376F">
        <w:rPr>
          <w:rFonts w:ascii="Arial" w:hAnsi="Arial" w:cs="Arial"/>
          <w:sz w:val="22"/>
          <w:szCs w:val="22"/>
        </w:rPr>
        <w:t>i</w:t>
      </w:r>
      <w:r w:rsidR="00553941">
        <w:rPr>
          <w:rFonts w:ascii="Arial" w:hAnsi="Arial" w:cs="Arial"/>
          <w:sz w:val="22"/>
          <w:szCs w:val="22"/>
        </w:rPr>
        <w:t>es of Financial Services Sector Critical Functions</w:t>
      </w:r>
    </w:p>
    <w:p w:rsidRPr="00730632" w:rsidR="00EC10FF" w:rsidP="00BC5EF3"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008112BA" w:rsidP="00BC5EF3" w:rsidRDefault="00EC10FF">
      <w:pPr>
        <w:numPr>
          <w:ilvl w:val="0"/>
          <w:numId w:val="20"/>
        </w:numPr>
        <w:tabs>
          <w:tab w:val="clear" w:pos="720"/>
          <w:tab w:val="left" w:pos="540"/>
        </w:tabs>
        <w:ind w:left="0" w:firstLine="0"/>
        <w:rPr>
          <w:rFonts w:ascii="Arial" w:hAnsi="Arial" w:cs="Arial"/>
          <w:b/>
          <w:bCs/>
          <w:sz w:val="22"/>
          <w:szCs w:val="22"/>
        </w:rPr>
      </w:pPr>
      <w:r w:rsidRPr="00730632">
        <w:rPr>
          <w:rFonts w:ascii="Arial" w:hAnsi="Arial" w:cs="Arial"/>
          <w:b/>
          <w:bCs/>
          <w:sz w:val="22"/>
          <w:szCs w:val="22"/>
        </w:rPr>
        <w:t>Justification</w:t>
      </w:r>
    </w:p>
    <w:p w:rsidR="0074289D" w:rsidP="0074289D" w:rsidRDefault="0074289D">
      <w:pPr>
        <w:tabs>
          <w:tab w:val="left" w:pos="540"/>
        </w:tabs>
        <w:rPr>
          <w:rFonts w:ascii="Arial" w:hAnsi="Arial" w:cs="Arial"/>
          <w:b/>
          <w:bCs/>
          <w:sz w:val="22"/>
          <w:szCs w:val="22"/>
        </w:rPr>
      </w:pPr>
    </w:p>
    <w:p w:rsidRPr="00730632" w:rsidR="008112BA" w:rsidP="00BC5EF3" w:rsidRDefault="008112BA">
      <w:pPr>
        <w:tabs>
          <w:tab w:val="left" w:pos="540"/>
        </w:tabs>
        <w:rPr>
          <w:rFonts w:ascii="Arial" w:hAnsi="Arial" w:cs="Arial"/>
          <w:b/>
          <w:bCs/>
          <w:sz w:val="22"/>
          <w:szCs w:val="22"/>
        </w:rPr>
      </w:pPr>
    </w:p>
    <w:p w:rsidRPr="00730632" w:rsidR="00432C2B" w:rsidP="00BC5EF3" w:rsidRDefault="00432C2B">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730632">
        <w:rPr>
          <w:rFonts w:ascii="Arial" w:hAnsi="Arial" w:cs="Arial"/>
          <w:sz w:val="22"/>
          <w:szCs w:val="22"/>
        </w:rPr>
        <w:t>Circumstances Making the Collection of Information Necessary.</w:t>
      </w:r>
    </w:p>
    <w:p w:rsidRPr="00730632" w:rsidR="00A62B1F" w:rsidP="00794C48" w:rsidRDefault="008C78A8">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b w:val="0"/>
          <w:bCs w:val="0"/>
          <w:sz w:val="22"/>
          <w:szCs w:val="22"/>
        </w:rPr>
      </w:pPr>
      <w:r w:rsidRPr="00730632">
        <w:rPr>
          <w:rFonts w:ascii="Arial" w:hAnsi="Arial" w:cs="Arial"/>
          <w:b w:val="0"/>
          <w:bCs w:val="0"/>
          <w:color w:val="FF0000"/>
          <w:sz w:val="22"/>
          <w:szCs w:val="22"/>
        </w:rPr>
        <w:tab/>
      </w:r>
      <w:r w:rsidRPr="00730632" w:rsidR="00A62B1F">
        <w:rPr>
          <w:rFonts w:ascii="Arial" w:hAnsi="Arial" w:cs="Arial"/>
          <w:b w:val="0"/>
          <w:bCs w:val="0"/>
          <w:sz w:val="22"/>
          <w:szCs w:val="22"/>
        </w:rPr>
        <w:t>Pursuant to Executive Order 13636</w:t>
      </w:r>
      <w:r w:rsidRPr="00730632" w:rsidR="002E738F">
        <w:rPr>
          <w:rFonts w:ascii="Arial" w:hAnsi="Arial" w:cs="Arial"/>
          <w:b w:val="0"/>
          <w:bCs w:val="0"/>
          <w:sz w:val="22"/>
          <w:szCs w:val="22"/>
        </w:rPr>
        <w:t xml:space="preserve"> (EO13636)</w:t>
      </w:r>
      <w:r w:rsidRPr="00730632" w:rsidR="00A62B1F">
        <w:rPr>
          <w:rFonts w:ascii="Arial" w:hAnsi="Arial" w:cs="Arial"/>
          <w:b w:val="0"/>
          <w:bCs w:val="0"/>
          <w:sz w:val="22"/>
          <w:szCs w:val="22"/>
        </w:rPr>
        <w:t xml:space="preserve"> </w:t>
      </w:r>
      <w:r w:rsidRPr="00730632" w:rsidR="00A62B1F">
        <w:rPr>
          <w:rFonts w:ascii="Arial" w:hAnsi="Arial" w:cs="Arial"/>
          <w:b w:val="0"/>
          <w:i/>
          <w:sz w:val="22"/>
          <w:szCs w:val="22"/>
        </w:rPr>
        <w:t>Improving Critical Infrastructure Cybersecurity</w:t>
      </w:r>
      <w:r w:rsidRPr="00730632" w:rsidR="00A62B1F">
        <w:rPr>
          <w:rFonts w:ascii="Arial" w:hAnsi="Arial" w:cs="Arial"/>
          <w:b w:val="0"/>
          <w:sz w:val="22"/>
          <w:szCs w:val="22"/>
        </w:rPr>
        <w:t xml:space="preserve"> and Presidential </w:t>
      </w:r>
      <w:r w:rsidRPr="00730632" w:rsidR="002E738F">
        <w:rPr>
          <w:rFonts w:ascii="Arial" w:hAnsi="Arial" w:cs="Arial"/>
          <w:b w:val="0"/>
          <w:sz w:val="22"/>
          <w:szCs w:val="22"/>
        </w:rPr>
        <w:t xml:space="preserve">Policy Directive 21 (PPD 21) </w:t>
      </w:r>
      <w:r w:rsidRPr="00730632" w:rsidR="002E738F">
        <w:rPr>
          <w:rFonts w:ascii="Arial" w:hAnsi="Arial" w:cs="Arial"/>
          <w:b w:val="0"/>
          <w:i/>
          <w:sz w:val="22"/>
          <w:szCs w:val="22"/>
        </w:rPr>
        <w:t>Critical Infrastructure Security and Resilience</w:t>
      </w:r>
      <w:r w:rsidRPr="00730632" w:rsidR="002E738F">
        <w:rPr>
          <w:rFonts w:ascii="Arial" w:hAnsi="Arial" w:cs="Arial"/>
          <w:b w:val="0"/>
          <w:sz w:val="22"/>
          <w:szCs w:val="22"/>
        </w:rPr>
        <w:t>, Treasury serves as the Sector-Specific Agency (SSA) for the financial services sector.</w:t>
      </w:r>
      <w:r w:rsidRPr="00730632" w:rsidR="00794C48">
        <w:rPr>
          <w:rFonts w:ascii="Arial" w:hAnsi="Arial" w:cs="Arial"/>
          <w:b w:val="0"/>
          <w:bCs w:val="0"/>
          <w:sz w:val="22"/>
          <w:szCs w:val="22"/>
        </w:rPr>
        <w:t xml:space="preserve"> Within Treasury, the Office of Cybersecurity and Critical Infrastructure Protection (OCCIP)</w:t>
      </w:r>
      <w:r w:rsidRPr="00730632" w:rsidR="000846A2">
        <w:rPr>
          <w:rFonts w:ascii="Arial" w:hAnsi="Arial" w:cs="Arial"/>
          <w:b w:val="0"/>
          <w:bCs w:val="0"/>
          <w:sz w:val="22"/>
          <w:szCs w:val="22"/>
        </w:rPr>
        <w:t xml:space="preserve"> executes</w:t>
      </w:r>
      <w:r w:rsidRPr="00730632" w:rsidR="00794C48">
        <w:rPr>
          <w:rFonts w:ascii="Arial" w:hAnsi="Arial" w:cs="Arial"/>
          <w:b w:val="0"/>
          <w:bCs w:val="0"/>
          <w:sz w:val="22"/>
          <w:szCs w:val="22"/>
        </w:rPr>
        <w:t xml:space="preserve"> the Department’s SSA responsibilities as part of its mission to enhance the security and resilience of the financial services sector’s critical infrastructure. Further, OCCIP supports the implementation of the National Cyber Strategy as it pertains to financial services cybersecurity. </w:t>
      </w:r>
    </w:p>
    <w:p w:rsidRPr="00730632" w:rsidR="000846A2" w:rsidP="00A15F9D" w:rsidRDefault="000846A2">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b w:val="0"/>
          <w:bCs w:val="0"/>
          <w:sz w:val="22"/>
          <w:szCs w:val="22"/>
        </w:rPr>
      </w:pPr>
      <w:r w:rsidRPr="00730632">
        <w:rPr>
          <w:rFonts w:ascii="Arial" w:hAnsi="Arial" w:cs="Arial"/>
          <w:b w:val="0"/>
          <w:bCs w:val="0"/>
          <w:sz w:val="22"/>
          <w:szCs w:val="22"/>
        </w:rPr>
        <w:tab/>
        <w:t>To enable Treasury to fulfill its SSA duties,</w:t>
      </w:r>
      <w:r w:rsidR="002616C9">
        <w:rPr>
          <w:rFonts w:ascii="Arial" w:hAnsi="Arial" w:cs="Arial"/>
          <w:b w:val="0"/>
          <w:bCs w:val="0"/>
          <w:sz w:val="22"/>
          <w:szCs w:val="22"/>
        </w:rPr>
        <w:t xml:space="preserve"> and given increased cybersecurity risks related to COVID-19 pandemic response,</w:t>
      </w:r>
      <w:r w:rsidRPr="00730632">
        <w:rPr>
          <w:rFonts w:ascii="Arial" w:hAnsi="Arial" w:cs="Arial"/>
          <w:b w:val="0"/>
          <w:bCs w:val="0"/>
          <w:sz w:val="22"/>
          <w:szCs w:val="22"/>
        </w:rPr>
        <w:t xml:space="preserve"> OCCIP seeks to collect and analyze information on cyber threats and vulnerabilities to better understand the cybersecurity risk to the U.S. financial services sector </w:t>
      </w:r>
      <w:r w:rsidRPr="00730632" w:rsidR="00525D70">
        <w:rPr>
          <w:rFonts w:ascii="Arial" w:hAnsi="Arial" w:cs="Arial"/>
          <w:b w:val="0"/>
          <w:bCs w:val="0"/>
          <w:sz w:val="22"/>
          <w:szCs w:val="22"/>
        </w:rPr>
        <w:t>operations and</w:t>
      </w:r>
      <w:r w:rsidRPr="00730632">
        <w:rPr>
          <w:rFonts w:ascii="Arial" w:hAnsi="Arial" w:cs="Arial"/>
          <w:b w:val="0"/>
          <w:bCs w:val="0"/>
          <w:sz w:val="22"/>
          <w:szCs w:val="22"/>
        </w:rPr>
        <w:t xml:space="preserve"> critical infrastructure. </w:t>
      </w:r>
      <w:r w:rsidR="002616C9">
        <w:rPr>
          <w:rFonts w:ascii="Arial" w:hAnsi="Arial" w:cs="Arial"/>
          <w:b w:val="0"/>
          <w:bCs w:val="0"/>
          <w:sz w:val="22"/>
          <w:szCs w:val="22"/>
        </w:rPr>
        <w:t xml:space="preserve">OCCIP intends to solicit this information from approximately 50 respondents representing the largest systemically important financial institutions and financial market utilities, which collectively form the backbone of U.S. financial service critical infrastructure. OCCIP is requesting information related to each respondent’s critical functions and processes, including various business lines and </w:t>
      </w:r>
      <w:proofErr w:type="spellStart"/>
      <w:r w:rsidR="002616C9">
        <w:rPr>
          <w:rFonts w:ascii="Arial" w:hAnsi="Arial" w:cs="Arial"/>
          <w:b w:val="0"/>
          <w:bCs w:val="0"/>
          <w:sz w:val="22"/>
          <w:szCs w:val="22"/>
        </w:rPr>
        <w:t>intrasector</w:t>
      </w:r>
      <w:proofErr w:type="spellEnd"/>
      <w:r w:rsidR="002616C9">
        <w:rPr>
          <w:rFonts w:ascii="Arial" w:hAnsi="Arial" w:cs="Arial"/>
          <w:b w:val="0"/>
          <w:bCs w:val="0"/>
          <w:sz w:val="22"/>
          <w:szCs w:val="22"/>
        </w:rPr>
        <w:t xml:space="preserve"> relationships. </w:t>
      </w:r>
      <w:r w:rsidRPr="00730632">
        <w:rPr>
          <w:rFonts w:ascii="Arial" w:hAnsi="Arial" w:cs="Arial"/>
          <w:b w:val="0"/>
          <w:bCs w:val="0"/>
          <w:sz w:val="22"/>
          <w:szCs w:val="22"/>
        </w:rPr>
        <w:t xml:space="preserve">This </w:t>
      </w:r>
      <w:r w:rsidRPr="00730632" w:rsidR="00A15F9D">
        <w:rPr>
          <w:rFonts w:ascii="Arial" w:hAnsi="Arial" w:cs="Arial"/>
          <w:b w:val="0"/>
          <w:sz w:val="22"/>
          <w:szCs w:val="22"/>
        </w:rPr>
        <w:t>information collection</w:t>
      </w:r>
      <w:r w:rsidRPr="00730632">
        <w:rPr>
          <w:rFonts w:ascii="Arial" w:hAnsi="Arial" w:cs="Arial"/>
          <w:b w:val="0"/>
          <w:bCs w:val="0"/>
          <w:sz w:val="22"/>
          <w:szCs w:val="22"/>
        </w:rPr>
        <w:t xml:space="preserve"> will support OCCIP’s effort</w:t>
      </w:r>
      <w:r w:rsidRPr="00730632" w:rsidR="00525D70">
        <w:rPr>
          <w:rFonts w:ascii="Arial" w:hAnsi="Arial" w:cs="Arial"/>
          <w:b w:val="0"/>
          <w:bCs w:val="0"/>
          <w:sz w:val="22"/>
          <w:szCs w:val="22"/>
        </w:rPr>
        <w:t xml:space="preserve">s to enhance the security and resilience of the financial services sector, and to work collaboratively with industry and interagency partners to mitigate cybersecurity risks that could impact financial services sector operations. </w:t>
      </w:r>
    </w:p>
    <w:p w:rsidRPr="00730632" w:rsidR="00432C2B" w:rsidP="000356B0" w:rsidRDefault="00432C2B">
      <w:pPr>
        <w:pStyle w:val="BodyTextIndent2"/>
        <w:numPr>
          <w:ilvl w:val="0"/>
          <w:numId w:val="10"/>
        </w:numPr>
        <w:tabs>
          <w:tab w:val="clear" w:pos="0"/>
          <w:tab w:val="clear" w:pos="36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540"/>
        </w:tabs>
        <w:spacing w:before="120" w:after="120"/>
        <w:ind w:left="540" w:hanging="540"/>
        <w:rPr>
          <w:rFonts w:ascii="Arial" w:hAnsi="Arial" w:cs="Arial"/>
          <w:sz w:val="22"/>
          <w:szCs w:val="22"/>
        </w:rPr>
      </w:pPr>
      <w:r w:rsidRPr="00730632">
        <w:rPr>
          <w:rFonts w:ascii="Arial" w:hAnsi="Arial" w:cs="Arial"/>
          <w:sz w:val="22"/>
          <w:szCs w:val="22"/>
        </w:rPr>
        <w:t>Purpose and Use of the Information Collection.</w:t>
      </w:r>
    </w:p>
    <w:p w:rsidRPr="003A0075" w:rsidR="003A0075" w:rsidP="003A0075" w:rsidRDefault="003A0075">
      <w:pPr>
        <w:pStyle w:val="smindent"/>
        <w:tabs>
          <w:tab w:val="left" w:pos="540"/>
        </w:tabs>
        <w:spacing w:before="120" w:after="120"/>
        <w:ind w:left="540"/>
        <w:rPr>
          <w:rFonts w:ascii="Arial" w:hAnsi="Arial" w:cs="Arial"/>
          <w:bCs/>
          <w:sz w:val="22"/>
          <w:szCs w:val="22"/>
        </w:rPr>
      </w:pPr>
      <w:r w:rsidRPr="003A0075">
        <w:rPr>
          <w:rFonts w:ascii="Arial" w:hAnsi="Arial" w:cs="Arial"/>
          <w:bCs/>
          <w:color w:val="auto"/>
          <w:sz w:val="22"/>
          <w:szCs w:val="22"/>
        </w:rPr>
        <w:t>OCCIP will use this information to support Treasury’s SSA responsibilities to reduce operational risk to U.S. financial services sector critical infrastructure and preserve economic stability. This information will increase Treasury’s overall understanding of financial services sector operations and the associated cybersecurity risks that may negatively impact those operations. Treasury will use this information in the development and coordination of cyber incident response protocols and recovery planning, as well as to improve OCCIP’s risk analysis and management initiatives</w:t>
      </w:r>
      <w:r w:rsidR="007C629C">
        <w:rPr>
          <w:rFonts w:ascii="Arial" w:hAnsi="Arial" w:cs="Arial"/>
          <w:bCs/>
          <w:color w:val="auto"/>
          <w:sz w:val="22"/>
          <w:szCs w:val="22"/>
        </w:rPr>
        <w:t>, including the SECURE program.</w:t>
      </w:r>
    </w:p>
    <w:p w:rsidRPr="0074289D" w:rsidR="0074289D" w:rsidP="002616C9" w:rsidRDefault="0074289D">
      <w:pPr>
        <w:pStyle w:val="smindent"/>
        <w:tabs>
          <w:tab w:val="left" w:pos="540"/>
        </w:tabs>
        <w:spacing w:before="120" w:after="120"/>
        <w:ind w:left="540"/>
        <w:rPr>
          <w:rFonts w:ascii="Arial" w:hAnsi="Arial" w:cs="Arial"/>
          <w:bCs/>
          <w:sz w:val="22"/>
          <w:szCs w:val="22"/>
        </w:rPr>
      </w:pPr>
      <w:r w:rsidRPr="0074289D">
        <w:rPr>
          <w:rFonts w:ascii="Arial" w:hAnsi="Arial" w:cs="Arial"/>
          <w:bCs/>
          <w:sz w:val="22"/>
          <w:szCs w:val="22"/>
        </w:rPr>
        <w:t>To achieve its mission an</w:t>
      </w:r>
      <w:r w:rsidR="002616C9">
        <w:rPr>
          <w:rFonts w:ascii="Arial" w:hAnsi="Arial" w:cs="Arial"/>
          <w:bCs/>
          <w:sz w:val="22"/>
          <w:szCs w:val="22"/>
        </w:rPr>
        <w:t xml:space="preserve">d fulfill its duties as the financial services sector </w:t>
      </w:r>
      <w:r w:rsidRPr="0074289D">
        <w:rPr>
          <w:rFonts w:ascii="Arial" w:hAnsi="Arial" w:cs="Arial"/>
          <w:bCs/>
          <w:sz w:val="22"/>
          <w:szCs w:val="22"/>
        </w:rPr>
        <w:t xml:space="preserve">SSA, OCCIP has developed the SECURE program to analyze the cyber and operational risks to and resilience of </w:t>
      </w:r>
      <w:r w:rsidR="002616C9">
        <w:rPr>
          <w:rFonts w:ascii="Arial" w:hAnsi="Arial" w:cs="Arial"/>
          <w:bCs/>
          <w:sz w:val="22"/>
          <w:szCs w:val="22"/>
        </w:rPr>
        <w:t>U.S. financial services</w:t>
      </w:r>
      <w:r w:rsidRPr="0074289D">
        <w:rPr>
          <w:rFonts w:ascii="Arial" w:hAnsi="Arial" w:cs="Arial"/>
          <w:bCs/>
          <w:sz w:val="22"/>
          <w:szCs w:val="22"/>
        </w:rPr>
        <w:t xml:space="preserve"> critical infrastructure. SECURE will apply methodological approaches to identify and understand the key financial services sector architecture (e.g., critical functions, key institutions) and related cross-sector infrastructure </w:t>
      </w:r>
      <w:r w:rsidRPr="0074289D">
        <w:rPr>
          <w:rFonts w:ascii="Arial" w:hAnsi="Arial" w:cs="Arial"/>
          <w:bCs/>
          <w:sz w:val="22"/>
          <w:szCs w:val="22"/>
        </w:rPr>
        <w:lastRenderedPageBreak/>
        <w:t xml:space="preserve">(e.g., energy, telecommunications).  This approach will enable targeted follow-on activities aimed at reducing sector systemic risk.   </w:t>
      </w:r>
    </w:p>
    <w:p w:rsidRPr="00E1501C" w:rsidR="0074289D" w:rsidP="00E1501C" w:rsidRDefault="002616C9">
      <w:pPr>
        <w:pStyle w:val="smindent"/>
        <w:tabs>
          <w:tab w:val="left" w:pos="540"/>
        </w:tabs>
        <w:spacing w:before="120" w:after="120"/>
        <w:ind w:left="540"/>
        <w:rPr>
          <w:rFonts w:ascii="Arial" w:hAnsi="Arial" w:cs="Arial"/>
          <w:bCs/>
          <w:sz w:val="22"/>
          <w:szCs w:val="22"/>
        </w:rPr>
      </w:pPr>
      <w:r>
        <w:rPr>
          <w:rFonts w:ascii="Arial" w:hAnsi="Arial" w:cs="Arial"/>
          <w:bCs/>
          <w:sz w:val="22"/>
          <w:szCs w:val="22"/>
        </w:rPr>
        <w:t>Successful implementation</w:t>
      </w:r>
      <w:r w:rsidRPr="002616C9" w:rsidR="0074289D">
        <w:rPr>
          <w:rFonts w:ascii="Arial" w:hAnsi="Arial" w:cs="Arial"/>
          <w:bCs/>
          <w:sz w:val="22"/>
          <w:szCs w:val="22"/>
        </w:rPr>
        <w:t xml:space="preserve"> of </w:t>
      </w:r>
      <w:r>
        <w:rPr>
          <w:rFonts w:ascii="Arial" w:hAnsi="Arial" w:cs="Arial"/>
          <w:bCs/>
          <w:sz w:val="22"/>
          <w:szCs w:val="22"/>
        </w:rPr>
        <w:t>the SECURE program depends</w:t>
      </w:r>
      <w:r w:rsidRPr="002616C9" w:rsidR="0074289D">
        <w:rPr>
          <w:rFonts w:ascii="Arial" w:hAnsi="Arial" w:cs="Arial"/>
          <w:bCs/>
          <w:sz w:val="22"/>
          <w:szCs w:val="22"/>
        </w:rPr>
        <w:t xml:space="preserve"> on the collection and </w:t>
      </w:r>
      <w:r>
        <w:rPr>
          <w:rFonts w:ascii="Arial" w:hAnsi="Arial" w:cs="Arial"/>
          <w:bCs/>
          <w:sz w:val="22"/>
          <w:szCs w:val="22"/>
        </w:rPr>
        <w:t xml:space="preserve">analysis of operational </w:t>
      </w:r>
      <w:r w:rsidRPr="002616C9" w:rsidR="0074289D">
        <w:rPr>
          <w:rFonts w:ascii="Arial" w:hAnsi="Arial" w:cs="Arial"/>
          <w:bCs/>
          <w:sz w:val="22"/>
          <w:szCs w:val="22"/>
        </w:rPr>
        <w:t xml:space="preserve">data that resides within </w:t>
      </w:r>
      <w:r>
        <w:rPr>
          <w:rFonts w:ascii="Arial" w:hAnsi="Arial" w:cs="Arial"/>
          <w:bCs/>
          <w:sz w:val="22"/>
          <w:szCs w:val="22"/>
        </w:rPr>
        <w:t>financial</w:t>
      </w:r>
      <w:r w:rsidRPr="002616C9" w:rsidR="0074289D">
        <w:rPr>
          <w:rFonts w:ascii="Arial" w:hAnsi="Arial" w:cs="Arial"/>
          <w:bCs/>
          <w:sz w:val="22"/>
          <w:szCs w:val="22"/>
        </w:rPr>
        <w:t xml:space="preserve"> institutions</w:t>
      </w:r>
      <w:r>
        <w:rPr>
          <w:rFonts w:ascii="Arial" w:hAnsi="Arial" w:cs="Arial"/>
          <w:bCs/>
          <w:sz w:val="22"/>
          <w:szCs w:val="22"/>
        </w:rPr>
        <w:t xml:space="preserve">, which OCCIP can aggregate and analyze </w:t>
      </w:r>
      <w:r w:rsidRPr="002616C9" w:rsidR="0074289D">
        <w:rPr>
          <w:rFonts w:ascii="Arial" w:hAnsi="Arial" w:cs="Arial"/>
          <w:bCs/>
          <w:sz w:val="22"/>
          <w:szCs w:val="22"/>
        </w:rPr>
        <w:t>across firms</w:t>
      </w:r>
      <w:r>
        <w:rPr>
          <w:rFonts w:ascii="Arial" w:hAnsi="Arial" w:cs="Arial"/>
          <w:bCs/>
          <w:sz w:val="22"/>
          <w:szCs w:val="22"/>
        </w:rPr>
        <w:t xml:space="preserve"> to provide a holistic view of the financial services sector</w:t>
      </w:r>
      <w:r w:rsidRPr="002616C9" w:rsidR="0074289D">
        <w:rPr>
          <w:rFonts w:ascii="Arial" w:hAnsi="Arial" w:cs="Arial"/>
          <w:bCs/>
          <w:sz w:val="22"/>
          <w:szCs w:val="22"/>
        </w:rPr>
        <w:t xml:space="preserve">. The data collected through this survey will enable OCCIP to map sector interdependencies and </w:t>
      </w:r>
      <w:r w:rsidR="003A0075">
        <w:rPr>
          <w:rFonts w:ascii="Arial" w:hAnsi="Arial" w:cs="Arial"/>
          <w:bCs/>
          <w:sz w:val="22"/>
          <w:szCs w:val="22"/>
        </w:rPr>
        <w:t>better</w:t>
      </w:r>
      <w:r w:rsidRPr="002616C9" w:rsidR="0074289D">
        <w:rPr>
          <w:rFonts w:ascii="Arial" w:hAnsi="Arial" w:cs="Arial"/>
          <w:bCs/>
          <w:sz w:val="22"/>
          <w:szCs w:val="22"/>
        </w:rPr>
        <w:t xml:space="preserve"> identify and mitigate systemic cyber and operational risks. </w:t>
      </w:r>
    </w:p>
    <w:p w:rsidRPr="00730632" w:rsidR="00432C2B" w:rsidP="00BC5EF3" w:rsidRDefault="00432C2B">
      <w:pPr>
        <w:numPr>
          <w:ilvl w:val="0"/>
          <w:numId w:val="10"/>
        </w:numPr>
        <w:tabs>
          <w:tab w:val="clear" w:pos="360"/>
          <w:tab w:val="left" w:pos="540"/>
        </w:tabs>
        <w:spacing w:before="120" w:after="120"/>
        <w:ind w:left="540" w:hanging="540"/>
        <w:rPr>
          <w:rFonts w:ascii="Arial" w:hAnsi="Arial" w:cs="Arial"/>
          <w:b/>
          <w:bCs/>
          <w:sz w:val="22"/>
          <w:szCs w:val="22"/>
        </w:rPr>
      </w:pPr>
      <w:r w:rsidRPr="00730632">
        <w:rPr>
          <w:rFonts w:ascii="Arial" w:hAnsi="Arial" w:cs="Arial"/>
          <w:b/>
          <w:bCs/>
          <w:sz w:val="22"/>
          <w:szCs w:val="22"/>
        </w:rPr>
        <w:t>Consideration Given to Information Technology.</w:t>
      </w:r>
    </w:p>
    <w:p w:rsidRPr="00730632" w:rsidR="004A2291" w:rsidP="007C1DB4" w:rsidRDefault="004A2291">
      <w:pPr>
        <w:tabs>
          <w:tab w:val="left" w:pos="540"/>
        </w:tabs>
        <w:spacing w:before="120" w:after="120"/>
        <w:ind w:left="540" w:hanging="540"/>
        <w:jc w:val="both"/>
        <w:rPr>
          <w:rFonts w:ascii="Arial" w:hAnsi="Arial" w:cs="Arial"/>
          <w:bCs/>
          <w:sz w:val="22"/>
          <w:szCs w:val="22"/>
        </w:rPr>
      </w:pPr>
      <w:r w:rsidRPr="00730632">
        <w:rPr>
          <w:rFonts w:ascii="Arial" w:hAnsi="Arial" w:cs="Arial"/>
          <w:bCs/>
          <w:sz w:val="22"/>
          <w:szCs w:val="22"/>
        </w:rPr>
        <w:tab/>
        <w:t>OCCIP will collect information electronically and use online collaboration tools as appropriate to reduce burden. Respondents will submit their information via</w:t>
      </w:r>
      <w:r w:rsidR="00E1501C">
        <w:rPr>
          <w:rFonts w:ascii="Arial" w:hAnsi="Arial" w:cs="Arial"/>
          <w:bCs/>
          <w:sz w:val="22"/>
          <w:szCs w:val="22"/>
        </w:rPr>
        <w:t xml:space="preserve"> electronic mail directly to the SECURE program management team.</w:t>
      </w:r>
      <w:r w:rsidRPr="00730632">
        <w:rPr>
          <w:rFonts w:ascii="Arial" w:hAnsi="Arial" w:cs="Arial"/>
          <w:bCs/>
          <w:sz w:val="22"/>
          <w:szCs w:val="22"/>
        </w:rPr>
        <w:t xml:space="preserve"> </w:t>
      </w:r>
    </w:p>
    <w:p w:rsidRPr="00730632" w:rsidR="00432C2B" w:rsidP="00432C2B" w:rsidRDefault="00432C2B">
      <w:pPr>
        <w:numPr>
          <w:ilvl w:val="0"/>
          <w:numId w:val="10"/>
        </w:numPr>
        <w:tabs>
          <w:tab w:val="clear" w:pos="360"/>
          <w:tab w:val="num" w:pos="540"/>
        </w:tabs>
        <w:spacing w:before="120" w:after="120"/>
        <w:ind w:left="540" w:hanging="540"/>
        <w:jc w:val="both"/>
        <w:rPr>
          <w:rFonts w:ascii="Arial" w:hAnsi="Arial" w:cs="Arial"/>
          <w:b/>
          <w:bCs/>
          <w:sz w:val="22"/>
          <w:szCs w:val="22"/>
        </w:rPr>
      </w:pPr>
      <w:r w:rsidRPr="00730632">
        <w:rPr>
          <w:rFonts w:ascii="Arial" w:hAnsi="Arial" w:cs="Arial"/>
          <w:b/>
          <w:bCs/>
          <w:sz w:val="22"/>
          <w:szCs w:val="22"/>
        </w:rPr>
        <w:t>Duplication of Information.</w:t>
      </w:r>
    </w:p>
    <w:p w:rsidRPr="00730632" w:rsidR="007C1DB4" w:rsidP="00BA5285" w:rsidRDefault="00432C2B">
      <w:pPr>
        <w:tabs>
          <w:tab w:val="left" w:pos="540"/>
        </w:tabs>
        <w:spacing w:before="120" w:after="120"/>
        <w:ind w:left="540" w:hanging="540"/>
        <w:jc w:val="both"/>
        <w:rPr>
          <w:rFonts w:ascii="Arial" w:hAnsi="Arial" w:cs="Arial"/>
          <w:bCs/>
          <w:sz w:val="22"/>
          <w:szCs w:val="22"/>
        </w:rPr>
      </w:pPr>
      <w:r w:rsidRPr="00730632">
        <w:rPr>
          <w:rFonts w:ascii="Arial" w:hAnsi="Arial" w:cs="Arial"/>
          <w:b/>
          <w:bCs/>
          <w:sz w:val="22"/>
          <w:szCs w:val="22"/>
        </w:rPr>
        <w:tab/>
      </w:r>
      <w:r w:rsidRPr="00730632" w:rsidR="007C1DB4">
        <w:rPr>
          <w:rFonts w:ascii="Arial" w:hAnsi="Arial" w:cs="Arial"/>
          <w:bCs/>
          <w:sz w:val="22"/>
          <w:szCs w:val="22"/>
        </w:rPr>
        <w:t>N</w:t>
      </w:r>
      <w:r w:rsidRPr="00730632" w:rsidR="009D0F01">
        <w:rPr>
          <w:rFonts w:ascii="Arial" w:hAnsi="Arial" w:cs="Arial"/>
          <w:bCs/>
          <w:sz w:val="22"/>
          <w:szCs w:val="22"/>
        </w:rPr>
        <w:t xml:space="preserve">o similar data is gathered or maintained by OCCIP or available from other sources. </w:t>
      </w:r>
      <w:r w:rsidRPr="00730632" w:rsidR="007C1DB4">
        <w:rPr>
          <w:rFonts w:ascii="Arial" w:hAnsi="Arial" w:cs="Arial"/>
          <w:bCs/>
          <w:sz w:val="22"/>
          <w:szCs w:val="22"/>
        </w:rPr>
        <w:t>Treasury is not a Federal financial regulatory agency and therefore does not have access to confidential supervisory information (CSI) that financial institutions are required to submit to their regulator(s). This information collection does not duplicate CSI.</w:t>
      </w:r>
    </w:p>
    <w:p w:rsidRPr="00730632" w:rsidR="00BC550A" w:rsidP="003C4BB4" w:rsidRDefault="00432C2B">
      <w:pPr>
        <w:numPr>
          <w:ilvl w:val="0"/>
          <w:numId w:val="10"/>
        </w:numPr>
        <w:tabs>
          <w:tab w:val="clear" w:pos="360"/>
          <w:tab w:val="num" w:pos="540"/>
        </w:tabs>
        <w:spacing w:before="120" w:after="120"/>
        <w:jc w:val="both"/>
        <w:rPr>
          <w:rFonts w:ascii="Arial" w:hAnsi="Arial" w:cs="Arial"/>
          <w:b/>
          <w:bCs/>
          <w:sz w:val="22"/>
          <w:szCs w:val="22"/>
        </w:rPr>
      </w:pPr>
      <w:r w:rsidRPr="00730632">
        <w:rPr>
          <w:rFonts w:ascii="Arial" w:hAnsi="Arial" w:cs="Arial"/>
          <w:b/>
          <w:color w:val="000000"/>
          <w:sz w:val="22"/>
          <w:szCs w:val="22"/>
        </w:rPr>
        <w:t>Reducing the Burden on Small Enti</w:t>
      </w:r>
      <w:r w:rsidRPr="00730632">
        <w:rPr>
          <w:rFonts w:ascii="Arial" w:hAnsi="Arial" w:cs="Arial"/>
          <w:b/>
          <w:bCs/>
          <w:sz w:val="22"/>
          <w:szCs w:val="22"/>
        </w:rPr>
        <w:t xml:space="preserve">ties. </w:t>
      </w:r>
    </w:p>
    <w:p w:rsidRPr="00730632" w:rsidR="006130F6" w:rsidP="00B25FE0" w:rsidRDefault="00BC550A">
      <w:pPr>
        <w:tabs>
          <w:tab w:val="left" w:pos="540"/>
        </w:tabs>
        <w:spacing w:before="120" w:after="120"/>
        <w:ind w:left="540" w:hanging="540"/>
        <w:jc w:val="both"/>
        <w:rPr>
          <w:rFonts w:ascii="Arial" w:hAnsi="Arial" w:cs="Arial"/>
          <w:color w:val="3366FF"/>
          <w:sz w:val="22"/>
          <w:szCs w:val="22"/>
        </w:rPr>
      </w:pPr>
      <w:r w:rsidRPr="00730632">
        <w:rPr>
          <w:rFonts w:ascii="Arial" w:hAnsi="Arial" w:cs="Arial"/>
          <w:color w:val="3366FF"/>
          <w:sz w:val="22"/>
          <w:szCs w:val="22"/>
        </w:rPr>
        <w:tab/>
      </w:r>
      <w:r w:rsidRPr="00730632" w:rsidR="006130F6">
        <w:rPr>
          <w:rFonts w:ascii="Arial" w:hAnsi="Arial" w:cs="Arial"/>
          <w:sz w:val="22"/>
          <w:szCs w:val="22"/>
        </w:rPr>
        <w:t>This collection of information is not expected to have a significant impact on small entities</w:t>
      </w:r>
      <w:r w:rsidRPr="00730632" w:rsidR="006130F6">
        <w:rPr>
          <w:rFonts w:ascii="Arial" w:hAnsi="Arial" w:cs="Arial"/>
          <w:color w:val="3366FF"/>
          <w:sz w:val="22"/>
          <w:szCs w:val="22"/>
        </w:rPr>
        <w:t xml:space="preserve">. </w:t>
      </w:r>
    </w:p>
    <w:p w:rsidRPr="00730632" w:rsidR="00BF7E46" w:rsidP="003C4BB4" w:rsidRDefault="00432C2B">
      <w:pPr>
        <w:numPr>
          <w:ilvl w:val="0"/>
          <w:numId w:val="10"/>
        </w:numPr>
        <w:tabs>
          <w:tab w:val="clear" w:pos="360"/>
          <w:tab w:val="num" w:pos="540"/>
        </w:tabs>
        <w:spacing w:before="120" w:after="120"/>
        <w:rPr>
          <w:rFonts w:ascii="Arial" w:hAnsi="Arial" w:cs="Arial"/>
          <w:b/>
          <w:bCs/>
          <w:sz w:val="22"/>
          <w:szCs w:val="22"/>
        </w:rPr>
      </w:pPr>
      <w:r w:rsidRPr="00730632">
        <w:rPr>
          <w:rFonts w:ascii="Arial" w:hAnsi="Arial" w:cs="Arial"/>
          <w:b/>
          <w:bCs/>
          <w:sz w:val="22"/>
          <w:szCs w:val="22"/>
        </w:rPr>
        <w:t>Consequences of Not Conducting Collection.</w:t>
      </w:r>
    </w:p>
    <w:p w:rsidRPr="00730632" w:rsidR="00B25FE0" w:rsidP="00432C2B" w:rsidRDefault="00B25FE0">
      <w:pPr>
        <w:tabs>
          <w:tab w:val="left" w:pos="540"/>
        </w:tabs>
        <w:spacing w:before="120" w:after="120"/>
        <w:ind w:left="540" w:hanging="540"/>
        <w:rPr>
          <w:rFonts w:ascii="Arial" w:hAnsi="Arial" w:cs="Arial"/>
          <w:bCs/>
          <w:sz w:val="22"/>
          <w:szCs w:val="22"/>
        </w:rPr>
      </w:pPr>
      <w:r w:rsidRPr="00730632">
        <w:rPr>
          <w:rFonts w:ascii="Arial" w:hAnsi="Arial" w:cs="Arial"/>
          <w:bCs/>
          <w:sz w:val="22"/>
          <w:szCs w:val="22"/>
        </w:rPr>
        <w:tab/>
        <w:t xml:space="preserve">Treasury cannot fulfill its SSA responsibilities to enhance the security and resilience of the financial services sector without an adequate understanding of the cybersecurity and operational risks to financial services critical infrastructure. Treasury requires </w:t>
      </w:r>
      <w:r w:rsidR="00E1501C">
        <w:rPr>
          <w:rFonts w:ascii="Arial" w:hAnsi="Arial" w:cs="Arial"/>
          <w:bCs/>
          <w:sz w:val="22"/>
          <w:szCs w:val="22"/>
        </w:rPr>
        <w:t xml:space="preserve">critical functions and operations data to </w:t>
      </w:r>
      <w:r w:rsidRPr="00730632">
        <w:rPr>
          <w:rFonts w:ascii="Arial" w:hAnsi="Arial" w:cs="Arial"/>
          <w:bCs/>
          <w:sz w:val="22"/>
          <w:szCs w:val="22"/>
        </w:rPr>
        <w:t>make timely and informed risk management decisions to reduce negative impacts to financial sector operations.</w:t>
      </w:r>
    </w:p>
    <w:p w:rsidRPr="00730632" w:rsidR="00432C2B" w:rsidP="00432C2B" w:rsidRDefault="00432C2B">
      <w:pPr>
        <w:numPr>
          <w:ilvl w:val="0"/>
          <w:numId w:val="10"/>
        </w:numPr>
        <w:tabs>
          <w:tab w:val="clear" w:pos="360"/>
          <w:tab w:val="num" w:pos="540"/>
        </w:tabs>
        <w:spacing w:before="120" w:after="120"/>
        <w:ind w:left="540" w:hanging="540"/>
        <w:rPr>
          <w:rFonts w:ascii="Arial" w:hAnsi="Arial" w:cs="Arial"/>
          <w:b/>
          <w:bCs/>
          <w:sz w:val="22"/>
          <w:szCs w:val="22"/>
        </w:rPr>
      </w:pPr>
      <w:r w:rsidRPr="00730632">
        <w:rPr>
          <w:rFonts w:ascii="Arial" w:hAnsi="Arial" w:cs="Arial"/>
          <w:b/>
          <w:bCs/>
          <w:sz w:val="22"/>
          <w:szCs w:val="22"/>
        </w:rPr>
        <w:t>Special Circumstances.</w:t>
      </w:r>
    </w:p>
    <w:p w:rsidRPr="00730632" w:rsidR="003D1ABD" w:rsidP="006C1EA4" w:rsidRDefault="00432C2B">
      <w:pPr>
        <w:tabs>
          <w:tab w:val="num" w:pos="540"/>
        </w:tabs>
        <w:spacing w:before="120" w:after="120"/>
        <w:ind w:left="540" w:hanging="540"/>
        <w:rPr>
          <w:rFonts w:ascii="Arial" w:hAnsi="Arial" w:cs="Arial"/>
          <w:sz w:val="22"/>
          <w:szCs w:val="22"/>
        </w:rPr>
      </w:pPr>
      <w:r w:rsidRPr="00730632">
        <w:rPr>
          <w:rFonts w:ascii="Arial" w:hAnsi="Arial" w:cs="Arial"/>
          <w:bCs/>
          <w:color w:val="3366CC"/>
          <w:sz w:val="22"/>
          <w:szCs w:val="22"/>
        </w:rPr>
        <w:tab/>
      </w:r>
      <w:r w:rsidRPr="00730632" w:rsidR="003D1ABD">
        <w:rPr>
          <w:rFonts w:ascii="Arial" w:hAnsi="Arial" w:cs="Arial"/>
          <w:sz w:val="22"/>
          <w:szCs w:val="22"/>
        </w:rPr>
        <w:t>There are no special circumstances.  The collection of information is conducted in a manner consistent with the guidelines in 5 CFR 1320.6.</w:t>
      </w:r>
    </w:p>
    <w:p w:rsidRPr="00730632" w:rsidR="00432C2B" w:rsidP="00F8418A"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sidRPr="00730632">
        <w:rPr>
          <w:rFonts w:ascii="Arial" w:hAnsi="Arial" w:cs="Arial"/>
          <w:b/>
          <w:bCs/>
          <w:sz w:val="22"/>
          <w:szCs w:val="22"/>
        </w:rPr>
        <w:t xml:space="preserve">Consultations with Persons </w:t>
      </w:r>
      <w:proofErr w:type="gramStart"/>
      <w:r w:rsidRPr="00730632">
        <w:rPr>
          <w:rFonts w:ascii="Arial" w:hAnsi="Arial" w:cs="Arial"/>
          <w:b/>
          <w:bCs/>
          <w:sz w:val="22"/>
          <w:szCs w:val="22"/>
        </w:rPr>
        <w:t>Outside</w:t>
      </w:r>
      <w:proofErr w:type="gramEnd"/>
      <w:r w:rsidRPr="00730632">
        <w:rPr>
          <w:rFonts w:ascii="Arial" w:hAnsi="Arial" w:cs="Arial"/>
          <w:b/>
          <w:bCs/>
          <w:sz w:val="22"/>
          <w:szCs w:val="22"/>
        </w:rPr>
        <w:t xml:space="preserve"> the Agency.</w:t>
      </w:r>
    </w:p>
    <w:p w:rsidRPr="00730632" w:rsidR="00A15F9D" w:rsidP="00C37297" w:rsidRDefault="00A15F9D">
      <w:pPr>
        <w:pStyle w:val="ListParagraph"/>
        <w:ind w:left="0"/>
        <w:rPr>
          <w:rFonts w:ascii="Arial" w:hAnsi="Arial" w:cs="Arial"/>
          <w:i/>
          <w:iCs/>
          <w:sz w:val="22"/>
          <w:szCs w:val="22"/>
        </w:rPr>
      </w:pPr>
    </w:p>
    <w:p w:rsidR="00114166" w:rsidP="00C37297" w:rsidRDefault="00114166">
      <w:pPr>
        <w:pStyle w:val="ListParagraph"/>
        <w:ind w:left="540"/>
        <w:rPr>
          <w:rFonts w:ascii="Arial" w:hAnsi="Arial" w:cs="Arial"/>
          <w:iCs/>
          <w:sz w:val="22"/>
          <w:szCs w:val="22"/>
        </w:rPr>
      </w:pPr>
      <w:r>
        <w:rPr>
          <w:rFonts w:ascii="Arial" w:hAnsi="Arial" w:cs="Arial"/>
          <w:iCs/>
          <w:sz w:val="22"/>
          <w:szCs w:val="22"/>
        </w:rPr>
        <w:t xml:space="preserve">Treasury is not seeking public comments as this is an emergency information collection request. </w:t>
      </w:r>
    </w:p>
    <w:p w:rsidRPr="00730632" w:rsidR="00064E0F" w:rsidP="00272BA0"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sidRPr="00730632">
        <w:rPr>
          <w:rFonts w:ascii="Arial" w:hAnsi="Arial" w:cs="Arial"/>
          <w:b/>
          <w:bCs/>
          <w:sz w:val="22"/>
          <w:szCs w:val="22"/>
        </w:rPr>
        <w:t>Payment or Gift.</w:t>
      </w:r>
    </w:p>
    <w:p w:rsidRPr="00730632" w:rsidR="00272BA0" w:rsidP="00272BA0" w:rsidRDefault="00EE0B29">
      <w:pPr>
        <w:tabs>
          <w:tab w:val="left" w:pos="540"/>
        </w:tabs>
        <w:spacing w:before="120" w:after="120"/>
        <w:ind w:left="540" w:hanging="540"/>
        <w:rPr>
          <w:rFonts w:ascii="Arial" w:hAnsi="Arial" w:cs="Arial"/>
          <w:sz w:val="22"/>
          <w:szCs w:val="22"/>
        </w:rPr>
      </w:pPr>
      <w:r w:rsidRPr="00730632">
        <w:rPr>
          <w:rFonts w:ascii="Arial" w:hAnsi="Arial" w:cs="Arial"/>
          <w:sz w:val="22"/>
          <w:szCs w:val="22"/>
        </w:rPr>
        <w:tab/>
      </w:r>
      <w:r w:rsidRPr="00730632" w:rsidR="00272BA0">
        <w:rPr>
          <w:rFonts w:ascii="Arial" w:hAnsi="Arial" w:cs="Arial"/>
          <w:sz w:val="22"/>
          <w:szCs w:val="22"/>
        </w:rPr>
        <w:t>No payments or gifts will be made to respondents.</w:t>
      </w:r>
    </w:p>
    <w:p w:rsidRPr="00730632" w:rsidR="00272BA0" w:rsidP="00272BA0" w:rsidRDefault="00432C2B">
      <w:pPr>
        <w:numPr>
          <w:ilvl w:val="0"/>
          <w:numId w:val="10"/>
        </w:numPr>
        <w:tabs>
          <w:tab w:val="clear" w:pos="360"/>
          <w:tab w:val="left" w:pos="540"/>
        </w:tabs>
        <w:spacing w:before="120" w:after="120"/>
        <w:rPr>
          <w:rFonts w:ascii="Arial" w:hAnsi="Arial" w:cs="Arial"/>
          <w:b/>
          <w:bCs/>
          <w:sz w:val="22"/>
          <w:szCs w:val="22"/>
        </w:rPr>
      </w:pPr>
      <w:r w:rsidRPr="00730632">
        <w:rPr>
          <w:rFonts w:ascii="Arial" w:hAnsi="Arial" w:cs="Arial"/>
          <w:b/>
          <w:bCs/>
          <w:sz w:val="22"/>
          <w:szCs w:val="22"/>
        </w:rPr>
        <w:t>Confidentiality.</w:t>
      </w:r>
    </w:p>
    <w:p w:rsidRPr="00730632" w:rsidR="00272BA0" w:rsidP="00272BA0" w:rsidRDefault="00345578">
      <w:pPr>
        <w:ind w:left="540"/>
        <w:rPr>
          <w:rFonts w:ascii="Arial" w:hAnsi="Arial" w:cs="Arial"/>
          <w:sz w:val="22"/>
          <w:szCs w:val="22"/>
        </w:rPr>
      </w:pPr>
      <w:r w:rsidRPr="00730632">
        <w:rPr>
          <w:rFonts w:ascii="Arial" w:hAnsi="Arial" w:cs="Arial"/>
          <w:sz w:val="22"/>
          <w:szCs w:val="22"/>
        </w:rPr>
        <w:t>This information collection</w:t>
      </w:r>
      <w:r w:rsidRPr="00730632" w:rsidR="00272BA0">
        <w:rPr>
          <w:rFonts w:ascii="Arial" w:hAnsi="Arial" w:cs="Arial"/>
          <w:sz w:val="22"/>
          <w:szCs w:val="22"/>
        </w:rPr>
        <w:t xml:space="preserve"> is subject to all Federal regulations with respect to confidentiality of the information provided in this collection of information</w:t>
      </w:r>
      <w:r w:rsidR="00114166">
        <w:rPr>
          <w:rFonts w:ascii="Arial" w:hAnsi="Arial" w:cs="Arial"/>
          <w:sz w:val="22"/>
          <w:szCs w:val="22"/>
        </w:rPr>
        <w:t>.</w:t>
      </w:r>
      <w:r w:rsidRPr="00730632" w:rsidR="00272BA0">
        <w:rPr>
          <w:rFonts w:ascii="Arial" w:hAnsi="Arial" w:cs="Arial"/>
          <w:sz w:val="22"/>
          <w:szCs w:val="22"/>
        </w:rPr>
        <w:t xml:space="preserve"> </w:t>
      </w:r>
    </w:p>
    <w:p w:rsidRPr="00730632" w:rsidR="00432C2B" w:rsidP="00432C2B" w:rsidRDefault="00432C2B">
      <w:pPr>
        <w:numPr>
          <w:ilvl w:val="0"/>
          <w:numId w:val="10"/>
        </w:numPr>
        <w:tabs>
          <w:tab w:val="clear" w:pos="360"/>
          <w:tab w:val="left" w:pos="540"/>
        </w:tabs>
        <w:spacing w:before="120" w:after="120"/>
        <w:ind w:left="540" w:hanging="540"/>
        <w:jc w:val="both"/>
        <w:rPr>
          <w:rFonts w:ascii="Arial" w:hAnsi="Arial" w:cs="Arial"/>
          <w:b/>
          <w:bCs/>
          <w:sz w:val="22"/>
          <w:szCs w:val="22"/>
        </w:rPr>
      </w:pPr>
      <w:r w:rsidRPr="00730632">
        <w:rPr>
          <w:rFonts w:ascii="Arial" w:hAnsi="Arial" w:cs="Arial"/>
          <w:b/>
          <w:bCs/>
          <w:sz w:val="22"/>
          <w:szCs w:val="22"/>
        </w:rPr>
        <w:t>Questions of a Sensitive Nature.</w:t>
      </w:r>
    </w:p>
    <w:p w:rsidRPr="00730632" w:rsidR="007F401E" w:rsidP="007F401E" w:rsidRDefault="00432C2B">
      <w:pPr>
        <w:tabs>
          <w:tab w:val="left" w:pos="540"/>
        </w:tabs>
        <w:spacing w:before="120" w:after="120"/>
        <w:ind w:left="540" w:hanging="540"/>
        <w:rPr>
          <w:rFonts w:ascii="Arial" w:hAnsi="Arial" w:cs="Arial"/>
          <w:bCs/>
          <w:sz w:val="22"/>
          <w:szCs w:val="22"/>
        </w:rPr>
      </w:pPr>
      <w:r w:rsidRPr="00730632">
        <w:rPr>
          <w:rFonts w:ascii="Arial" w:hAnsi="Arial" w:cs="Arial"/>
          <w:bCs/>
          <w:color w:val="3366CC"/>
          <w:sz w:val="22"/>
          <w:szCs w:val="22"/>
        </w:rPr>
        <w:lastRenderedPageBreak/>
        <w:tab/>
      </w:r>
      <w:r w:rsidRPr="00730632" w:rsidR="007F401E">
        <w:rPr>
          <w:rFonts w:ascii="Arial" w:hAnsi="Arial" w:cs="Arial"/>
          <w:bCs/>
          <w:sz w:val="22"/>
          <w:szCs w:val="22"/>
        </w:rPr>
        <w:t>No questions of a sensitive nature are asked in this information collection.  No personally identifiable information (PII) is collected.</w:t>
      </w:r>
    </w:p>
    <w:p w:rsidRPr="00730632" w:rsidR="00432C2B" w:rsidP="00A91867" w:rsidRDefault="00A91867">
      <w:pPr>
        <w:numPr>
          <w:ilvl w:val="0"/>
          <w:numId w:val="10"/>
        </w:numPr>
        <w:tabs>
          <w:tab w:val="clear" w:pos="360"/>
          <w:tab w:val="left" w:pos="540"/>
        </w:tabs>
        <w:spacing w:before="120" w:after="120"/>
        <w:ind w:left="540" w:hanging="540"/>
        <w:rPr>
          <w:rFonts w:ascii="Arial" w:hAnsi="Arial" w:cs="Arial"/>
          <w:b/>
          <w:color w:val="000000"/>
          <w:sz w:val="22"/>
          <w:szCs w:val="22"/>
        </w:rPr>
      </w:pPr>
      <w:r w:rsidRPr="00730632">
        <w:rPr>
          <w:rFonts w:ascii="Arial" w:hAnsi="Arial" w:cs="Arial"/>
          <w:b/>
          <w:color w:val="000000"/>
          <w:sz w:val="22"/>
          <w:szCs w:val="22"/>
        </w:rPr>
        <w:t xml:space="preserve">Estimate of the Hour </w:t>
      </w:r>
      <w:r w:rsidRPr="00730632" w:rsidR="00432C2B">
        <w:rPr>
          <w:rFonts w:ascii="Arial" w:hAnsi="Arial" w:cs="Arial"/>
          <w:b/>
          <w:color w:val="000000"/>
          <w:sz w:val="22"/>
          <w:szCs w:val="22"/>
        </w:rPr>
        <w:t>Burden of Information Collection.</w:t>
      </w:r>
    </w:p>
    <w:p w:rsidRPr="00730632" w:rsidR="006531F4" w:rsidP="006531F4" w:rsidRDefault="00064E0F">
      <w:pPr>
        <w:tabs>
          <w:tab w:val="left" w:pos="540"/>
        </w:tabs>
        <w:spacing w:before="120" w:after="120"/>
        <w:ind w:left="540" w:hanging="540"/>
        <w:jc w:val="both"/>
        <w:rPr>
          <w:rFonts w:ascii="Arial" w:hAnsi="Arial" w:cs="Arial"/>
          <w:sz w:val="22"/>
          <w:szCs w:val="22"/>
        </w:rPr>
      </w:pPr>
      <w:r w:rsidRPr="00730632">
        <w:rPr>
          <w:rFonts w:ascii="Arial" w:hAnsi="Arial" w:cs="Arial"/>
          <w:color w:val="3366FF"/>
          <w:sz w:val="22"/>
          <w:szCs w:val="22"/>
        </w:rPr>
        <w:tab/>
      </w:r>
      <w:r w:rsidRPr="00730632" w:rsidR="006531F4">
        <w:rPr>
          <w:rFonts w:ascii="Arial" w:hAnsi="Arial" w:cs="Arial"/>
          <w:bCs/>
          <w:sz w:val="22"/>
          <w:szCs w:val="22"/>
        </w:rPr>
        <w:t>The estimated total hour burden of this</w:t>
      </w:r>
      <w:r w:rsidR="00114166">
        <w:rPr>
          <w:rFonts w:ascii="Arial" w:hAnsi="Arial" w:cs="Arial"/>
          <w:bCs/>
          <w:sz w:val="22"/>
          <w:szCs w:val="22"/>
        </w:rPr>
        <w:t xml:space="preserve"> information collection is </w:t>
      </w:r>
      <w:r w:rsidR="00676AB6">
        <w:rPr>
          <w:rFonts w:ascii="Arial" w:hAnsi="Arial" w:cs="Arial"/>
          <w:bCs/>
          <w:sz w:val="22"/>
          <w:szCs w:val="22"/>
        </w:rPr>
        <w:t>3</w:t>
      </w:r>
      <w:r w:rsidR="00114166">
        <w:rPr>
          <w:rFonts w:ascii="Arial" w:hAnsi="Arial" w:cs="Arial"/>
          <w:bCs/>
          <w:sz w:val="22"/>
          <w:szCs w:val="22"/>
        </w:rPr>
        <w:t>,000</w:t>
      </w:r>
      <w:r w:rsidRPr="00730632" w:rsidR="006531F4">
        <w:rPr>
          <w:rFonts w:ascii="Arial" w:hAnsi="Arial" w:cs="Arial"/>
          <w:bCs/>
          <w:sz w:val="22"/>
          <w:szCs w:val="22"/>
        </w:rPr>
        <w:t xml:space="preserve"> hours.</w:t>
      </w:r>
      <w:r w:rsidR="00114166">
        <w:rPr>
          <w:rFonts w:ascii="Arial" w:hAnsi="Arial" w:cs="Arial"/>
          <w:bCs/>
          <w:sz w:val="22"/>
          <w:szCs w:val="22"/>
        </w:rPr>
        <w:t xml:space="preserve"> This calculation is based on 50</w:t>
      </w:r>
      <w:r w:rsidRPr="00730632" w:rsidR="006531F4">
        <w:rPr>
          <w:rFonts w:ascii="Arial" w:hAnsi="Arial" w:cs="Arial"/>
          <w:bCs/>
          <w:sz w:val="22"/>
          <w:szCs w:val="22"/>
        </w:rPr>
        <w:t xml:space="preserve"> respondents </w:t>
      </w:r>
      <w:r w:rsidR="00114166">
        <w:rPr>
          <w:rFonts w:ascii="Arial" w:hAnsi="Arial" w:cs="Arial"/>
          <w:bCs/>
          <w:sz w:val="22"/>
          <w:szCs w:val="22"/>
        </w:rPr>
        <w:t xml:space="preserve">providing </w:t>
      </w:r>
      <w:r w:rsidR="0049162A">
        <w:rPr>
          <w:rFonts w:ascii="Arial" w:hAnsi="Arial" w:cs="Arial"/>
          <w:bCs/>
          <w:sz w:val="22"/>
          <w:szCs w:val="22"/>
        </w:rPr>
        <w:t>1</w:t>
      </w:r>
      <w:r w:rsidRPr="00730632" w:rsidR="006531F4">
        <w:rPr>
          <w:rFonts w:ascii="Arial" w:hAnsi="Arial" w:cs="Arial"/>
          <w:bCs/>
          <w:sz w:val="22"/>
          <w:szCs w:val="22"/>
        </w:rPr>
        <w:t xml:space="preserve"> responses per </w:t>
      </w:r>
      <w:r w:rsidR="00114166">
        <w:rPr>
          <w:rFonts w:ascii="Arial" w:hAnsi="Arial" w:cs="Arial"/>
          <w:bCs/>
          <w:sz w:val="22"/>
          <w:szCs w:val="22"/>
        </w:rPr>
        <w:t xml:space="preserve">year, for an annual total of </w:t>
      </w:r>
      <w:r w:rsidR="00676AB6">
        <w:rPr>
          <w:rFonts w:ascii="Arial" w:hAnsi="Arial" w:cs="Arial"/>
          <w:bCs/>
          <w:sz w:val="22"/>
          <w:szCs w:val="22"/>
        </w:rPr>
        <w:t>50</w:t>
      </w:r>
      <w:r w:rsidRPr="00730632" w:rsidR="006531F4">
        <w:rPr>
          <w:rFonts w:ascii="Arial" w:hAnsi="Arial" w:cs="Arial"/>
          <w:bCs/>
          <w:sz w:val="22"/>
          <w:szCs w:val="22"/>
        </w:rPr>
        <w:t xml:space="preserve"> responses, with an </w:t>
      </w:r>
      <w:r w:rsidR="00114166">
        <w:rPr>
          <w:rFonts w:ascii="Arial" w:hAnsi="Arial" w:cs="Arial"/>
          <w:bCs/>
          <w:sz w:val="22"/>
          <w:szCs w:val="22"/>
        </w:rPr>
        <w:t xml:space="preserve">estimated time per response of 60 hours. </w:t>
      </w:r>
    </w:p>
    <w:tbl>
      <w:tblPr>
        <w:tblW w:w="8238" w:type="dxa"/>
        <w:tblInd w:w="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5"/>
        <w:gridCol w:w="1725"/>
        <w:gridCol w:w="1420"/>
        <w:gridCol w:w="1489"/>
        <w:gridCol w:w="1358"/>
        <w:gridCol w:w="911"/>
      </w:tblGrid>
      <w:tr w:rsidRPr="00730632" w:rsidR="003917E5" w:rsidTr="000F50B1">
        <w:trPr>
          <w:trHeight w:val="1081"/>
        </w:trPr>
        <w:tc>
          <w:tcPr>
            <w:tcW w:w="1335" w:type="dxa"/>
          </w:tcPr>
          <w:p w:rsidRPr="00730632" w:rsidR="003917E5" w:rsidP="00AA3286" w:rsidRDefault="003917E5">
            <w:pPr>
              <w:jc w:val="center"/>
              <w:rPr>
                <w:rFonts w:ascii="Arial" w:hAnsi="Arial" w:cs="Arial"/>
                <w:b/>
                <w:sz w:val="22"/>
                <w:szCs w:val="22"/>
              </w:rPr>
            </w:pPr>
          </w:p>
        </w:tc>
        <w:tc>
          <w:tcPr>
            <w:tcW w:w="1725" w:type="dxa"/>
            <w:shd w:val="clear" w:color="auto" w:fill="auto"/>
            <w:vAlign w:val="center"/>
          </w:tcPr>
          <w:p w:rsidRPr="00730632" w:rsidR="003917E5" w:rsidP="00AA3286" w:rsidRDefault="003917E5">
            <w:pPr>
              <w:jc w:val="center"/>
              <w:rPr>
                <w:rFonts w:ascii="Arial" w:hAnsi="Arial" w:cs="Arial"/>
                <w:b/>
                <w:sz w:val="22"/>
                <w:szCs w:val="22"/>
              </w:rPr>
            </w:pPr>
            <w:r w:rsidRPr="00730632">
              <w:rPr>
                <w:rFonts w:ascii="Arial" w:hAnsi="Arial" w:cs="Arial"/>
                <w:b/>
                <w:sz w:val="22"/>
                <w:szCs w:val="22"/>
              </w:rPr>
              <w:t>Number of Respondents</w:t>
            </w:r>
          </w:p>
        </w:tc>
        <w:tc>
          <w:tcPr>
            <w:tcW w:w="1420" w:type="dxa"/>
            <w:shd w:val="clear" w:color="auto" w:fill="auto"/>
            <w:vAlign w:val="center"/>
          </w:tcPr>
          <w:p w:rsidRPr="00730632" w:rsidR="003917E5" w:rsidP="00AA3286" w:rsidRDefault="003917E5">
            <w:pPr>
              <w:jc w:val="center"/>
              <w:rPr>
                <w:rFonts w:ascii="Arial" w:hAnsi="Arial" w:cs="Arial"/>
                <w:b/>
                <w:sz w:val="22"/>
                <w:szCs w:val="22"/>
              </w:rPr>
            </w:pPr>
            <w:r w:rsidRPr="00730632">
              <w:rPr>
                <w:rFonts w:ascii="Arial" w:hAnsi="Arial" w:cs="Arial"/>
                <w:b/>
                <w:sz w:val="22"/>
                <w:szCs w:val="22"/>
              </w:rPr>
              <w:t xml:space="preserve">Annual Frequency per Response </w:t>
            </w:r>
          </w:p>
        </w:tc>
        <w:tc>
          <w:tcPr>
            <w:tcW w:w="1489" w:type="dxa"/>
          </w:tcPr>
          <w:p w:rsidR="003917E5" w:rsidP="00AA3286" w:rsidRDefault="003917E5">
            <w:pPr>
              <w:jc w:val="center"/>
              <w:rPr>
                <w:rFonts w:ascii="Arial" w:hAnsi="Arial" w:cs="Arial"/>
                <w:b/>
                <w:sz w:val="22"/>
                <w:szCs w:val="22"/>
              </w:rPr>
            </w:pPr>
          </w:p>
          <w:p w:rsidRPr="00730632" w:rsidR="003917E5" w:rsidP="00AA3286" w:rsidRDefault="003917E5">
            <w:pPr>
              <w:jc w:val="center"/>
              <w:rPr>
                <w:rFonts w:ascii="Arial" w:hAnsi="Arial" w:cs="Arial"/>
                <w:b/>
                <w:sz w:val="22"/>
                <w:szCs w:val="22"/>
              </w:rPr>
            </w:pPr>
            <w:r w:rsidRPr="00730632">
              <w:rPr>
                <w:rFonts w:ascii="Arial" w:hAnsi="Arial" w:cs="Arial"/>
                <w:b/>
                <w:sz w:val="22"/>
                <w:szCs w:val="22"/>
              </w:rPr>
              <w:t>Total Responses</w:t>
            </w:r>
          </w:p>
        </w:tc>
        <w:tc>
          <w:tcPr>
            <w:tcW w:w="1358" w:type="dxa"/>
            <w:shd w:val="clear" w:color="auto" w:fill="auto"/>
            <w:vAlign w:val="center"/>
          </w:tcPr>
          <w:p w:rsidRPr="00730632" w:rsidR="003917E5" w:rsidP="00AA3286" w:rsidRDefault="003917E5">
            <w:pPr>
              <w:jc w:val="center"/>
              <w:rPr>
                <w:rFonts w:ascii="Arial" w:hAnsi="Arial" w:cs="Arial"/>
                <w:b/>
                <w:sz w:val="22"/>
                <w:szCs w:val="22"/>
              </w:rPr>
            </w:pPr>
            <w:r w:rsidRPr="00730632">
              <w:rPr>
                <w:rFonts w:ascii="Arial" w:hAnsi="Arial" w:cs="Arial"/>
                <w:b/>
                <w:sz w:val="22"/>
                <w:szCs w:val="22"/>
              </w:rPr>
              <w:t>Hours Per Response</w:t>
            </w:r>
          </w:p>
        </w:tc>
        <w:tc>
          <w:tcPr>
            <w:tcW w:w="911" w:type="dxa"/>
            <w:shd w:val="clear" w:color="auto" w:fill="auto"/>
            <w:vAlign w:val="center"/>
          </w:tcPr>
          <w:p w:rsidRPr="00730632" w:rsidR="003917E5" w:rsidP="00AA3286" w:rsidRDefault="003917E5">
            <w:pPr>
              <w:jc w:val="center"/>
              <w:rPr>
                <w:rFonts w:ascii="Arial" w:hAnsi="Arial" w:cs="Arial"/>
                <w:b/>
                <w:sz w:val="22"/>
                <w:szCs w:val="22"/>
              </w:rPr>
            </w:pPr>
            <w:r w:rsidRPr="00730632">
              <w:rPr>
                <w:rFonts w:ascii="Arial" w:hAnsi="Arial" w:cs="Arial"/>
                <w:b/>
                <w:sz w:val="22"/>
                <w:szCs w:val="22"/>
              </w:rPr>
              <w:t>Total Hours</w:t>
            </w:r>
          </w:p>
        </w:tc>
      </w:tr>
      <w:tr w:rsidRPr="00730632" w:rsidR="003917E5" w:rsidTr="000F50B1">
        <w:trPr>
          <w:trHeight w:val="490"/>
        </w:trPr>
        <w:tc>
          <w:tcPr>
            <w:tcW w:w="1335" w:type="dxa"/>
            <w:vAlign w:val="center"/>
          </w:tcPr>
          <w:p w:rsidRPr="00730632" w:rsidR="003917E5" w:rsidP="00C92B1A" w:rsidRDefault="00C92B1A">
            <w:pPr>
              <w:jc w:val="center"/>
              <w:rPr>
                <w:rFonts w:ascii="Arial" w:hAnsi="Arial" w:cs="Arial"/>
                <w:sz w:val="22"/>
                <w:szCs w:val="22"/>
              </w:rPr>
            </w:pPr>
            <w:r>
              <w:rPr>
                <w:rFonts w:ascii="Arial" w:hAnsi="Arial" w:cs="Arial"/>
                <w:sz w:val="22"/>
                <w:szCs w:val="22"/>
              </w:rPr>
              <w:t>Surveys</w:t>
            </w:r>
          </w:p>
        </w:tc>
        <w:tc>
          <w:tcPr>
            <w:tcW w:w="1725" w:type="dxa"/>
            <w:shd w:val="clear" w:color="auto" w:fill="auto"/>
            <w:vAlign w:val="center"/>
          </w:tcPr>
          <w:p w:rsidRPr="00730632" w:rsidR="003917E5" w:rsidP="00C92B1A" w:rsidRDefault="00114166">
            <w:pPr>
              <w:jc w:val="center"/>
              <w:rPr>
                <w:rFonts w:ascii="Arial" w:hAnsi="Arial" w:cs="Arial"/>
                <w:sz w:val="22"/>
                <w:szCs w:val="22"/>
              </w:rPr>
            </w:pPr>
            <w:r>
              <w:rPr>
                <w:rFonts w:ascii="Arial" w:hAnsi="Arial" w:cs="Arial"/>
                <w:sz w:val="22"/>
                <w:szCs w:val="22"/>
              </w:rPr>
              <w:t>50</w:t>
            </w:r>
          </w:p>
        </w:tc>
        <w:tc>
          <w:tcPr>
            <w:tcW w:w="1420" w:type="dxa"/>
            <w:shd w:val="clear" w:color="auto" w:fill="auto"/>
            <w:vAlign w:val="center"/>
          </w:tcPr>
          <w:p w:rsidRPr="00730632" w:rsidR="003917E5" w:rsidP="00C92B1A" w:rsidRDefault="0049162A">
            <w:pPr>
              <w:jc w:val="center"/>
              <w:rPr>
                <w:rFonts w:ascii="Arial" w:hAnsi="Arial" w:cs="Arial"/>
                <w:sz w:val="22"/>
                <w:szCs w:val="22"/>
              </w:rPr>
            </w:pPr>
            <w:r>
              <w:rPr>
                <w:rFonts w:ascii="Arial" w:hAnsi="Arial" w:cs="Arial"/>
                <w:sz w:val="22"/>
                <w:szCs w:val="22"/>
              </w:rPr>
              <w:t>1</w:t>
            </w:r>
          </w:p>
        </w:tc>
        <w:tc>
          <w:tcPr>
            <w:tcW w:w="1489" w:type="dxa"/>
            <w:vAlign w:val="center"/>
          </w:tcPr>
          <w:p w:rsidRPr="00730632" w:rsidR="003917E5" w:rsidP="00C92B1A" w:rsidRDefault="0049162A">
            <w:pPr>
              <w:jc w:val="center"/>
              <w:rPr>
                <w:rFonts w:ascii="Arial" w:hAnsi="Arial" w:cs="Arial"/>
                <w:sz w:val="22"/>
                <w:szCs w:val="22"/>
              </w:rPr>
            </w:pPr>
            <w:r>
              <w:rPr>
                <w:rFonts w:ascii="Arial" w:hAnsi="Arial" w:cs="Arial"/>
                <w:sz w:val="22"/>
                <w:szCs w:val="22"/>
              </w:rPr>
              <w:t>50</w:t>
            </w:r>
          </w:p>
        </w:tc>
        <w:tc>
          <w:tcPr>
            <w:tcW w:w="1358" w:type="dxa"/>
            <w:shd w:val="clear" w:color="auto" w:fill="auto"/>
            <w:vAlign w:val="center"/>
          </w:tcPr>
          <w:p w:rsidRPr="00730632" w:rsidR="003917E5" w:rsidP="00C92B1A" w:rsidRDefault="00114166">
            <w:pPr>
              <w:jc w:val="center"/>
              <w:rPr>
                <w:rFonts w:ascii="Arial" w:hAnsi="Arial" w:cs="Arial"/>
                <w:sz w:val="22"/>
                <w:szCs w:val="22"/>
              </w:rPr>
            </w:pPr>
            <w:r>
              <w:rPr>
                <w:rFonts w:ascii="Arial" w:hAnsi="Arial" w:cs="Arial"/>
                <w:sz w:val="22"/>
                <w:szCs w:val="22"/>
              </w:rPr>
              <w:t>60</w:t>
            </w:r>
          </w:p>
        </w:tc>
        <w:tc>
          <w:tcPr>
            <w:tcW w:w="911" w:type="dxa"/>
            <w:shd w:val="clear" w:color="auto" w:fill="auto"/>
            <w:vAlign w:val="center"/>
          </w:tcPr>
          <w:p w:rsidRPr="00730632" w:rsidR="003917E5" w:rsidP="00C92B1A" w:rsidRDefault="0049162A">
            <w:pPr>
              <w:jc w:val="center"/>
              <w:rPr>
                <w:rFonts w:ascii="Arial" w:hAnsi="Arial" w:cs="Arial"/>
                <w:sz w:val="22"/>
                <w:szCs w:val="22"/>
              </w:rPr>
            </w:pPr>
            <w:r>
              <w:rPr>
                <w:rFonts w:ascii="Arial" w:hAnsi="Arial" w:cs="Arial"/>
                <w:sz w:val="22"/>
                <w:szCs w:val="22"/>
              </w:rPr>
              <w:t>3</w:t>
            </w:r>
            <w:r w:rsidR="00114166">
              <w:rPr>
                <w:rFonts w:ascii="Arial" w:hAnsi="Arial" w:cs="Arial"/>
                <w:sz w:val="22"/>
                <w:szCs w:val="22"/>
              </w:rPr>
              <w:t>000</w:t>
            </w:r>
          </w:p>
        </w:tc>
      </w:tr>
      <w:tr w:rsidRPr="00730632" w:rsidR="00C92B1A" w:rsidTr="000F50B1">
        <w:trPr>
          <w:trHeight w:val="490"/>
        </w:trPr>
        <w:tc>
          <w:tcPr>
            <w:tcW w:w="1335" w:type="dxa"/>
            <w:vAlign w:val="center"/>
          </w:tcPr>
          <w:p w:rsidRPr="00C92B1A" w:rsidR="00C92B1A" w:rsidP="00C92B1A" w:rsidRDefault="00C92B1A">
            <w:pPr>
              <w:jc w:val="center"/>
              <w:rPr>
                <w:rFonts w:ascii="Arial" w:hAnsi="Arial" w:cs="Arial"/>
                <w:b/>
                <w:sz w:val="22"/>
                <w:szCs w:val="22"/>
              </w:rPr>
            </w:pPr>
            <w:r>
              <w:rPr>
                <w:rFonts w:ascii="Arial" w:hAnsi="Arial" w:cs="Arial"/>
                <w:b/>
                <w:sz w:val="22"/>
                <w:szCs w:val="22"/>
              </w:rPr>
              <w:t>TOTAL</w:t>
            </w:r>
          </w:p>
        </w:tc>
        <w:tc>
          <w:tcPr>
            <w:tcW w:w="1725" w:type="dxa"/>
            <w:shd w:val="clear" w:color="auto" w:fill="auto"/>
            <w:vAlign w:val="center"/>
          </w:tcPr>
          <w:p w:rsidRPr="00C92B1A" w:rsidR="00C92B1A" w:rsidP="00C92B1A" w:rsidRDefault="00C92B1A">
            <w:pPr>
              <w:jc w:val="center"/>
              <w:rPr>
                <w:rFonts w:ascii="Arial" w:hAnsi="Arial" w:cs="Arial"/>
                <w:b/>
                <w:sz w:val="22"/>
                <w:szCs w:val="22"/>
              </w:rPr>
            </w:pPr>
            <w:r w:rsidRPr="00C92B1A">
              <w:rPr>
                <w:rFonts w:ascii="Arial" w:hAnsi="Arial" w:cs="Arial"/>
                <w:b/>
                <w:sz w:val="22"/>
                <w:szCs w:val="22"/>
              </w:rPr>
              <w:t>50</w:t>
            </w:r>
          </w:p>
        </w:tc>
        <w:tc>
          <w:tcPr>
            <w:tcW w:w="1420" w:type="dxa"/>
            <w:shd w:val="clear" w:color="auto" w:fill="BFBFBF"/>
            <w:vAlign w:val="center"/>
          </w:tcPr>
          <w:p w:rsidRPr="00C92B1A" w:rsidR="00C92B1A" w:rsidP="00C92B1A" w:rsidRDefault="00C92B1A">
            <w:pPr>
              <w:jc w:val="center"/>
              <w:rPr>
                <w:rFonts w:ascii="Arial" w:hAnsi="Arial" w:cs="Arial"/>
                <w:b/>
                <w:sz w:val="22"/>
                <w:szCs w:val="22"/>
              </w:rPr>
            </w:pPr>
          </w:p>
        </w:tc>
        <w:tc>
          <w:tcPr>
            <w:tcW w:w="1489" w:type="dxa"/>
            <w:vAlign w:val="center"/>
          </w:tcPr>
          <w:p w:rsidRPr="00C92B1A" w:rsidR="00C92B1A" w:rsidP="00C92B1A" w:rsidRDefault="0049162A">
            <w:pPr>
              <w:jc w:val="center"/>
              <w:rPr>
                <w:rFonts w:ascii="Arial" w:hAnsi="Arial" w:cs="Arial"/>
                <w:b/>
                <w:sz w:val="22"/>
                <w:szCs w:val="22"/>
              </w:rPr>
            </w:pPr>
            <w:r>
              <w:rPr>
                <w:rFonts w:ascii="Arial" w:hAnsi="Arial" w:cs="Arial"/>
                <w:b/>
                <w:sz w:val="22"/>
                <w:szCs w:val="22"/>
              </w:rPr>
              <w:t>50</w:t>
            </w:r>
          </w:p>
        </w:tc>
        <w:tc>
          <w:tcPr>
            <w:tcW w:w="1358" w:type="dxa"/>
            <w:shd w:val="clear" w:color="auto" w:fill="BFBFBF"/>
            <w:vAlign w:val="center"/>
          </w:tcPr>
          <w:p w:rsidRPr="00C92B1A" w:rsidR="00C92B1A" w:rsidP="00C92B1A" w:rsidRDefault="00C92B1A">
            <w:pPr>
              <w:jc w:val="center"/>
              <w:rPr>
                <w:rFonts w:ascii="Arial" w:hAnsi="Arial" w:cs="Arial"/>
                <w:b/>
                <w:sz w:val="22"/>
                <w:szCs w:val="22"/>
              </w:rPr>
            </w:pPr>
          </w:p>
        </w:tc>
        <w:tc>
          <w:tcPr>
            <w:tcW w:w="911" w:type="dxa"/>
            <w:shd w:val="clear" w:color="auto" w:fill="auto"/>
            <w:vAlign w:val="center"/>
          </w:tcPr>
          <w:p w:rsidRPr="00C92B1A" w:rsidR="00C92B1A" w:rsidP="00C92B1A" w:rsidRDefault="0049162A">
            <w:pPr>
              <w:jc w:val="center"/>
              <w:rPr>
                <w:rFonts w:ascii="Arial" w:hAnsi="Arial" w:cs="Arial"/>
                <w:b/>
                <w:sz w:val="22"/>
                <w:szCs w:val="22"/>
              </w:rPr>
            </w:pPr>
            <w:r>
              <w:rPr>
                <w:rFonts w:ascii="Arial" w:hAnsi="Arial" w:cs="Arial"/>
                <w:b/>
                <w:sz w:val="22"/>
                <w:szCs w:val="22"/>
              </w:rPr>
              <w:t>3</w:t>
            </w:r>
            <w:r w:rsidRPr="00C92B1A" w:rsidR="00C92B1A">
              <w:rPr>
                <w:rFonts w:ascii="Arial" w:hAnsi="Arial" w:cs="Arial"/>
                <w:b/>
                <w:sz w:val="22"/>
                <w:szCs w:val="22"/>
              </w:rPr>
              <w:t>000</w:t>
            </w:r>
          </w:p>
        </w:tc>
      </w:tr>
    </w:tbl>
    <w:p w:rsidRPr="00730632" w:rsidR="003C4BB4" w:rsidP="003C4BB4" w:rsidRDefault="003C4BB4">
      <w:pPr>
        <w:tabs>
          <w:tab w:val="left" w:pos="900"/>
        </w:tabs>
        <w:spacing w:before="120" w:after="120"/>
        <w:jc w:val="both"/>
        <w:rPr>
          <w:rFonts w:ascii="Arial" w:hAnsi="Arial" w:cs="Arial"/>
          <w:bCs/>
          <w:color w:val="FF0000"/>
          <w:sz w:val="22"/>
          <w:szCs w:val="22"/>
        </w:rPr>
      </w:pPr>
    </w:p>
    <w:p w:rsidRPr="00730632" w:rsidR="00525318" w:rsidP="00525318" w:rsidRDefault="003C4BB4">
      <w:pPr>
        <w:numPr>
          <w:ilvl w:val="0"/>
          <w:numId w:val="10"/>
        </w:numPr>
        <w:tabs>
          <w:tab w:val="clear" w:pos="360"/>
          <w:tab w:val="left" w:pos="540"/>
        </w:tabs>
        <w:spacing w:before="120" w:after="120"/>
        <w:ind w:left="540" w:hanging="540"/>
        <w:rPr>
          <w:rFonts w:ascii="Arial" w:hAnsi="Arial" w:cs="Arial"/>
          <w:b/>
          <w:color w:val="000000"/>
          <w:sz w:val="22"/>
          <w:szCs w:val="22"/>
        </w:rPr>
      </w:pPr>
      <w:r w:rsidRPr="00730632">
        <w:rPr>
          <w:rFonts w:ascii="Arial" w:hAnsi="Arial" w:cs="Arial"/>
          <w:b/>
          <w:color w:val="000000"/>
          <w:sz w:val="22"/>
          <w:szCs w:val="22"/>
        </w:rPr>
        <w:t>Estimate of the Annual Cost to Respondents.</w:t>
      </w:r>
    </w:p>
    <w:p w:rsidRPr="00730632" w:rsidR="008D446B" w:rsidP="008D446B" w:rsidRDefault="009F03A4">
      <w:pPr>
        <w:spacing w:before="120" w:after="120"/>
        <w:ind w:left="540" w:right="720"/>
        <w:rPr>
          <w:rFonts w:ascii="Arial" w:hAnsi="Arial" w:cs="Arial"/>
          <w:color w:val="FF0000"/>
          <w:sz w:val="22"/>
          <w:szCs w:val="22"/>
        </w:rPr>
      </w:pPr>
      <w:r w:rsidRPr="00730632">
        <w:rPr>
          <w:rFonts w:ascii="Arial" w:hAnsi="Arial" w:cs="Arial"/>
          <w:bCs/>
          <w:sz w:val="22"/>
          <w:szCs w:val="22"/>
        </w:rPr>
        <w:t>It is not expected that this information collection will ha</w:t>
      </w:r>
      <w:r w:rsidRPr="00730632" w:rsidR="00F723CB">
        <w:rPr>
          <w:rFonts w:ascii="Arial" w:hAnsi="Arial" w:cs="Arial"/>
          <w:bCs/>
          <w:sz w:val="22"/>
          <w:szCs w:val="22"/>
        </w:rPr>
        <w:t xml:space="preserve">ve a cost burden to respondents </w:t>
      </w:r>
      <w:r w:rsidRPr="00730632">
        <w:rPr>
          <w:rFonts w:ascii="Arial" w:hAnsi="Arial" w:cs="Arial"/>
          <w:bCs/>
          <w:sz w:val="22"/>
          <w:szCs w:val="22"/>
        </w:rPr>
        <w:t>other than the hour burde</w:t>
      </w:r>
      <w:r w:rsidRPr="00730632" w:rsidR="00525318">
        <w:rPr>
          <w:rFonts w:ascii="Arial" w:hAnsi="Arial" w:cs="Arial"/>
          <w:bCs/>
          <w:sz w:val="22"/>
          <w:szCs w:val="22"/>
        </w:rPr>
        <w:t xml:space="preserve">n described in item number 12. </w:t>
      </w:r>
      <w:r w:rsidRPr="00730632" w:rsidR="00F723CB">
        <w:rPr>
          <w:rFonts w:ascii="Arial" w:hAnsi="Arial" w:cs="Arial"/>
          <w:bCs/>
          <w:sz w:val="22"/>
          <w:szCs w:val="22"/>
        </w:rPr>
        <w:t xml:space="preserve">OCCIP estimates </w:t>
      </w:r>
      <w:r w:rsidRPr="00730632">
        <w:rPr>
          <w:rFonts w:ascii="Arial" w:hAnsi="Arial" w:cs="Arial"/>
          <w:bCs/>
          <w:sz w:val="22"/>
          <w:szCs w:val="22"/>
        </w:rPr>
        <w:t>the total</w:t>
      </w:r>
      <w:r w:rsidRPr="00730632" w:rsidR="00E72C5C">
        <w:rPr>
          <w:rFonts w:ascii="Arial" w:hAnsi="Arial" w:cs="Arial"/>
          <w:bCs/>
          <w:sz w:val="22"/>
          <w:szCs w:val="22"/>
        </w:rPr>
        <w:t xml:space="preserve"> annualized</w:t>
      </w:r>
      <w:r w:rsidRPr="00730632">
        <w:rPr>
          <w:rFonts w:ascii="Arial" w:hAnsi="Arial" w:cs="Arial"/>
          <w:bCs/>
          <w:sz w:val="22"/>
          <w:szCs w:val="22"/>
        </w:rPr>
        <w:t xml:space="preserve"> cost </w:t>
      </w:r>
      <w:r w:rsidRPr="00730632" w:rsidR="00E72C5C">
        <w:rPr>
          <w:rFonts w:ascii="Arial" w:hAnsi="Arial" w:cs="Arial"/>
          <w:bCs/>
          <w:sz w:val="22"/>
          <w:szCs w:val="22"/>
        </w:rPr>
        <w:t>to respondents is $</w:t>
      </w:r>
      <w:r w:rsidR="00053A6A">
        <w:rPr>
          <w:rFonts w:ascii="Arial" w:hAnsi="Arial" w:cs="Arial"/>
          <w:bCs/>
          <w:sz w:val="22"/>
          <w:szCs w:val="22"/>
        </w:rPr>
        <w:t>148,290</w:t>
      </w:r>
      <w:r w:rsidRPr="00730632" w:rsidR="00E72C5C">
        <w:rPr>
          <w:rFonts w:ascii="Arial" w:hAnsi="Arial" w:cs="Arial"/>
          <w:bCs/>
          <w:sz w:val="22"/>
          <w:szCs w:val="22"/>
        </w:rPr>
        <w:t xml:space="preserve">. </w:t>
      </w:r>
      <w:r w:rsidRPr="00730632">
        <w:rPr>
          <w:rFonts w:ascii="Arial" w:hAnsi="Arial" w:cs="Arial"/>
          <w:bCs/>
          <w:sz w:val="22"/>
          <w:szCs w:val="22"/>
        </w:rPr>
        <w:t xml:space="preserve">This is based on an estimated </w:t>
      </w:r>
      <w:r w:rsidR="00114166">
        <w:rPr>
          <w:rFonts w:ascii="Arial" w:hAnsi="Arial" w:cs="Arial"/>
          <w:bCs/>
          <w:sz w:val="22"/>
          <w:szCs w:val="22"/>
        </w:rPr>
        <w:t xml:space="preserve">annual hour burden of </w:t>
      </w:r>
      <w:r w:rsidR="00053A6A">
        <w:rPr>
          <w:rFonts w:ascii="Arial" w:hAnsi="Arial" w:cs="Arial"/>
          <w:bCs/>
          <w:sz w:val="22"/>
          <w:szCs w:val="22"/>
        </w:rPr>
        <w:t>3</w:t>
      </w:r>
      <w:r w:rsidR="00114166">
        <w:rPr>
          <w:rFonts w:ascii="Arial" w:hAnsi="Arial" w:cs="Arial"/>
          <w:bCs/>
          <w:sz w:val="22"/>
          <w:szCs w:val="22"/>
        </w:rPr>
        <w:t>,000</w:t>
      </w:r>
      <w:r w:rsidRPr="00730632" w:rsidR="00E72C5C">
        <w:rPr>
          <w:rFonts w:ascii="Arial" w:hAnsi="Arial" w:cs="Arial"/>
          <w:bCs/>
          <w:sz w:val="22"/>
          <w:szCs w:val="22"/>
        </w:rPr>
        <w:t xml:space="preserve"> </w:t>
      </w:r>
      <w:r w:rsidRPr="00730632">
        <w:rPr>
          <w:rFonts w:ascii="Arial" w:hAnsi="Arial" w:cs="Arial"/>
          <w:bCs/>
          <w:sz w:val="22"/>
          <w:szCs w:val="22"/>
        </w:rPr>
        <w:t xml:space="preserve">and </w:t>
      </w:r>
      <w:r w:rsidRPr="00730632" w:rsidR="00E72C5C">
        <w:rPr>
          <w:rFonts w:ascii="Arial" w:hAnsi="Arial" w:cs="Arial"/>
          <w:bCs/>
          <w:sz w:val="22"/>
          <w:szCs w:val="22"/>
        </w:rPr>
        <w:t>an hourly total compensation rate for the financial sector of $49.43, per the Bureau of Labor Statistics.</w:t>
      </w:r>
      <w:r w:rsidRPr="00730632">
        <w:rPr>
          <w:rFonts w:ascii="Arial" w:hAnsi="Arial" w:cs="Arial"/>
          <w:bCs/>
          <w:sz w:val="22"/>
          <w:szCs w:val="22"/>
          <w:vertAlign w:val="superscript"/>
        </w:rPr>
        <w:footnoteReference w:id="1"/>
      </w:r>
      <w:r w:rsidRPr="00730632" w:rsidR="00E72C5C">
        <w:rPr>
          <w:rFonts w:ascii="Arial" w:hAnsi="Arial" w:cs="Arial"/>
          <w:bCs/>
          <w:sz w:val="22"/>
          <w:szCs w:val="22"/>
        </w:rPr>
        <w:t xml:space="preserve"> </w:t>
      </w:r>
    </w:p>
    <w:p w:rsidRPr="00730632" w:rsidR="009F03A4" w:rsidP="00525318" w:rsidRDefault="00F723CB">
      <w:pPr>
        <w:tabs>
          <w:tab w:val="left" w:pos="540"/>
        </w:tabs>
        <w:spacing w:before="120" w:after="120"/>
        <w:ind w:left="540"/>
        <w:rPr>
          <w:rFonts w:ascii="Arial" w:hAnsi="Arial" w:cs="Arial"/>
          <w:b/>
          <w:color w:val="000000"/>
          <w:sz w:val="22"/>
          <w:szCs w:val="22"/>
        </w:rPr>
      </w:pPr>
      <w:r w:rsidRPr="00730632">
        <w:rPr>
          <w:rFonts w:ascii="Arial" w:hAnsi="Arial" w:cs="Arial"/>
          <w:sz w:val="22"/>
          <w:szCs w:val="22"/>
        </w:rPr>
        <w:t>No purchases of equipment or services are necessary for this information collection.</w:t>
      </w:r>
    </w:p>
    <w:p w:rsidRPr="00730632" w:rsidR="00F723CB" w:rsidP="009F03A4" w:rsidRDefault="00F723CB">
      <w:pPr>
        <w:tabs>
          <w:tab w:val="left" w:pos="900"/>
        </w:tabs>
        <w:ind w:left="900"/>
        <w:jc w:val="both"/>
        <w:rPr>
          <w:rFonts w:ascii="Arial" w:hAnsi="Arial" w:cs="Arial"/>
          <w:bCs/>
          <w:color w:val="FF0000"/>
          <w:sz w:val="22"/>
          <w:szCs w:val="22"/>
        </w:rPr>
      </w:pPr>
    </w:p>
    <w:p w:rsidRPr="00730632" w:rsidR="00F8418A" w:rsidP="00F8418A" w:rsidRDefault="00F8418A">
      <w:pPr>
        <w:numPr>
          <w:ilvl w:val="0"/>
          <w:numId w:val="31"/>
        </w:numPr>
        <w:tabs>
          <w:tab w:val="clear" w:pos="720"/>
          <w:tab w:val="left" w:pos="540"/>
        </w:tabs>
        <w:spacing w:before="120" w:after="120"/>
        <w:ind w:left="540" w:hanging="540"/>
        <w:rPr>
          <w:rFonts w:ascii="Arial" w:hAnsi="Arial" w:cs="Arial"/>
          <w:b/>
          <w:bCs/>
          <w:sz w:val="22"/>
          <w:szCs w:val="22"/>
        </w:rPr>
      </w:pPr>
      <w:r w:rsidRPr="00730632">
        <w:rPr>
          <w:rFonts w:ascii="Arial" w:hAnsi="Arial" w:cs="Arial"/>
          <w:b/>
          <w:bCs/>
          <w:sz w:val="22"/>
          <w:szCs w:val="22"/>
        </w:rPr>
        <w:t>Cost to the Federal Government.</w:t>
      </w:r>
    </w:p>
    <w:p w:rsidRPr="00730632" w:rsidR="000F7181" w:rsidP="00670B92" w:rsidRDefault="000F7181">
      <w:pPr>
        <w:spacing w:before="120" w:after="120"/>
        <w:ind w:left="540"/>
        <w:jc w:val="both"/>
        <w:rPr>
          <w:rFonts w:ascii="Arial" w:hAnsi="Arial" w:cs="Arial"/>
          <w:sz w:val="22"/>
          <w:szCs w:val="22"/>
        </w:rPr>
      </w:pPr>
      <w:r w:rsidRPr="00730632">
        <w:rPr>
          <w:rFonts w:ascii="Arial" w:hAnsi="Arial" w:cs="Arial"/>
          <w:sz w:val="22"/>
          <w:szCs w:val="22"/>
        </w:rPr>
        <w:t>The cost to the Government is the OCCIP staff and contractor time required to develop the survey, review submitted survey responses, collect follow-up information from respondents, and analyze the results. The estimate of annualized cost to the Federal government is $1,091,000.</w:t>
      </w:r>
    </w:p>
    <w:p w:rsidRPr="00730632" w:rsidR="00A02E9D" w:rsidP="004F1DF1" w:rsidRDefault="000F7181">
      <w:pPr>
        <w:spacing w:before="120" w:after="120"/>
        <w:ind w:left="540"/>
        <w:jc w:val="both"/>
        <w:rPr>
          <w:rFonts w:ascii="Arial" w:hAnsi="Arial" w:cs="Arial"/>
          <w:sz w:val="22"/>
          <w:szCs w:val="22"/>
        </w:rPr>
      </w:pPr>
      <w:r w:rsidRPr="00730632">
        <w:rPr>
          <w:rFonts w:ascii="Arial" w:hAnsi="Arial" w:cs="Arial"/>
          <w:sz w:val="22"/>
          <w:szCs w:val="22"/>
        </w:rPr>
        <w:t>This estimate is based on projected Federal employee labor costs of $381,800 and Federal contractor services of $709,200. The Federal employee labor costs r</w:t>
      </w:r>
      <w:r w:rsidRPr="00730632" w:rsidR="004F1DF1">
        <w:rPr>
          <w:rFonts w:ascii="Arial" w:hAnsi="Arial" w:cs="Arial"/>
          <w:sz w:val="22"/>
          <w:szCs w:val="22"/>
        </w:rPr>
        <w:t>eflect loaded rates by GS level</w:t>
      </w:r>
      <w:r w:rsidR="00114166">
        <w:rPr>
          <w:rFonts w:ascii="Arial" w:hAnsi="Arial" w:cs="Arial"/>
          <w:sz w:val="22"/>
          <w:szCs w:val="22"/>
        </w:rPr>
        <w:t xml:space="preserve"> (GS-13)</w:t>
      </w:r>
      <w:r w:rsidRPr="00730632" w:rsidR="004F1DF1">
        <w:rPr>
          <w:rFonts w:ascii="Arial" w:hAnsi="Arial" w:cs="Arial"/>
          <w:sz w:val="22"/>
          <w:szCs w:val="22"/>
        </w:rPr>
        <w:t xml:space="preserve"> and based on an estimated 4,160 labor hours</w:t>
      </w:r>
      <w:r w:rsidRPr="00730632">
        <w:rPr>
          <w:rFonts w:ascii="Arial" w:hAnsi="Arial" w:cs="Arial"/>
          <w:sz w:val="22"/>
          <w:szCs w:val="22"/>
        </w:rPr>
        <w:t xml:space="preserve">. Federal contractor services consist of an </w:t>
      </w:r>
      <w:r w:rsidRPr="00730632" w:rsidR="004F1DF1">
        <w:rPr>
          <w:rFonts w:ascii="Arial" w:hAnsi="Arial" w:cs="Arial"/>
          <w:sz w:val="22"/>
          <w:szCs w:val="22"/>
        </w:rPr>
        <w:t xml:space="preserve">interagency agreement with a </w:t>
      </w:r>
      <w:proofErr w:type="gramStart"/>
      <w:r w:rsidRPr="00730632" w:rsidR="004F1DF1">
        <w:rPr>
          <w:rFonts w:ascii="Arial" w:hAnsi="Arial" w:cs="Arial"/>
          <w:sz w:val="22"/>
          <w:szCs w:val="22"/>
        </w:rPr>
        <w:t>Federally</w:t>
      </w:r>
      <w:proofErr w:type="gramEnd"/>
      <w:r w:rsidRPr="00730632" w:rsidR="004F1DF1">
        <w:rPr>
          <w:rFonts w:ascii="Arial" w:hAnsi="Arial" w:cs="Arial"/>
          <w:sz w:val="22"/>
          <w:szCs w:val="22"/>
        </w:rPr>
        <w:t xml:space="preserve"> funded research and development center. </w:t>
      </w:r>
      <w:r w:rsidRPr="00730632">
        <w:rPr>
          <w:rFonts w:ascii="Arial" w:hAnsi="Arial" w:cs="Arial"/>
          <w:sz w:val="22"/>
          <w:szCs w:val="22"/>
        </w:rPr>
        <w:t>Federal contractor services amount reflects OCCIP’s F</w:t>
      </w:r>
      <w:r w:rsidRPr="00730632" w:rsidR="00041DA5">
        <w:rPr>
          <w:rFonts w:ascii="Arial" w:hAnsi="Arial" w:cs="Arial"/>
          <w:sz w:val="22"/>
          <w:szCs w:val="22"/>
        </w:rPr>
        <w:t xml:space="preserve">Y20 spend plan. </w:t>
      </w:r>
    </w:p>
    <w:p w:rsidRPr="00730632" w:rsidR="00F8418A" w:rsidP="00F8418A" w:rsidRDefault="00F8418A">
      <w:pPr>
        <w:numPr>
          <w:ilvl w:val="0"/>
          <w:numId w:val="31"/>
        </w:numPr>
        <w:tabs>
          <w:tab w:val="clear" w:pos="720"/>
          <w:tab w:val="left" w:pos="540"/>
        </w:tabs>
        <w:spacing w:before="120" w:after="120"/>
        <w:ind w:left="540" w:hanging="540"/>
        <w:rPr>
          <w:rFonts w:ascii="Arial" w:hAnsi="Arial" w:cs="Arial"/>
          <w:b/>
          <w:bCs/>
          <w:sz w:val="22"/>
          <w:szCs w:val="22"/>
        </w:rPr>
      </w:pPr>
      <w:r w:rsidRPr="00730632">
        <w:rPr>
          <w:rFonts w:ascii="Arial" w:hAnsi="Arial" w:cs="Arial"/>
          <w:b/>
          <w:bCs/>
          <w:sz w:val="22"/>
          <w:szCs w:val="22"/>
        </w:rPr>
        <w:t>Reason for Change.</w:t>
      </w:r>
    </w:p>
    <w:p w:rsidRPr="00730632" w:rsidR="00EC10FF" w:rsidP="00466B49" w:rsidRDefault="00A02E9D">
      <w:pPr>
        <w:spacing w:before="120" w:after="120"/>
        <w:ind w:left="540"/>
        <w:jc w:val="both"/>
        <w:rPr>
          <w:rFonts w:ascii="Arial" w:hAnsi="Arial" w:cs="Arial"/>
          <w:sz w:val="22"/>
          <w:szCs w:val="22"/>
        </w:rPr>
      </w:pPr>
      <w:r w:rsidRPr="00730632">
        <w:rPr>
          <w:rFonts w:ascii="Arial" w:hAnsi="Arial" w:cs="Arial"/>
          <w:sz w:val="22"/>
          <w:szCs w:val="22"/>
        </w:rPr>
        <w:t>Not applicable as this is a new information collection request.</w:t>
      </w:r>
    </w:p>
    <w:p w:rsidRPr="00730632" w:rsidR="00F8418A" w:rsidP="00F8418A" w:rsidRDefault="00F8418A">
      <w:pPr>
        <w:numPr>
          <w:ilvl w:val="0"/>
          <w:numId w:val="31"/>
        </w:numPr>
        <w:tabs>
          <w:tab w:val="left" w:pos="540"/>
        </w:tabs>
        <w:spacing w:before="120" w:after="120"/>
        <w:ind w:left="540" w:hanging="540"/>
        <w:rPr>
          <w:rFonts w:ascii="Arial" w:hAnsi="Arial" w:cs="Arial"/>
          <w:b/>
          <w:bCs/>
          <w:sz w:val="22"/>
          <w:szCs w:val="22"/>
        </w:rPr>
      </w:pPr>
      <w:r w:rsidRPr="00730632">
        <w:rPr>
          <w:rFonts w:ascii="Arial" w:hAnsi="Arial" w:cs="Arial"/>
          <w:b/>
          <w:bCs/>
          <w:sz w:val="22"/>
          <w:szCs w:val="22"/>
        </w:rPr>
        <w:t xml:space="preserve">Tabulation of Results, Schedule, Analysis Plans.  </w:t>
      </w:r>
    </w:p>
    <w:p w:rsidR="006378A1" w:rsidP="006378A1" w:rsidRDefault="000A2579">
      <w:pPr>
        <w:tabs>
          <w:tab w:val="left" w:pos="2550"/>
        </w:tabs>
        <w:spacing w:before="120" w:after="120"/>
        <w:ind w:left="540"/>
        <w:jc w:val="both"/>
        <w:rPr>
          <w:rFonts w:ascii="Arial" w:hAnsi="Arial" w:cs="Arial"/>
          <w:sz w:val="22"/>
          <w:szCs w:val="22"/>
        </w:rPr>
      </w:pPr>
      <w:r w:rsidRPr="00730632">
        <w:rPr>
          <w:rFonts w:ascii="Arial" w:hAnsi="Arial" w:cs="Arial"/>
          <w:sz w:val="22"/>
          <w:szCs w:val="22"/>
        </w:rPr>
        <w:lastRenderedPageBreak/>
        <w:t>Confidential or proprietary information collected through the application will not be published.</w:t>
      </w:r>
      <w:r w:rsidR="00114166">
        <w:rPr>
          <w:rFonts w:ascii="Arial" w:hAnsi="Arial" w:cs="Arial"/>
          <w:sz w:val="22"/>
          <w:szCs w:val="22"/>
        </w:rPr>
        <w:t xml:space="preserve"> All information collected and derivative analysis will be for Treasury internal use </w:t>
      </w:r>
      <w:r w:rsidR="00D808C8">
        <w:rPr>
          <w:rFonts w:ascii="Arial" w:hAnsi="Arial" w:cs="Arial"/>
          <w:sz w:val="22"/>
          <w:szCs w:val="22"/>
        </w:rPr>
        <w:t>and with the Critical Infrastructure Partnership Advisory Council as appropriate</w:t>
      </w:r>
      <w:r w:rsidR="00213EBD">
        <w:rPr>
          <w:rFonts w:ascii="Arial" w:hAnsi="Arial" w:cs="Arial"/>
          <w:sz w:val="22"/>
          <w:szCs w:val="22"/>
        </w:rPr>
        <w:t xml:space="preserve"> and necessary</w:t>
      </w:r>
      <w:r w:rsidR="00D808C8">
        <w:rPr>
          <w:rFonts w:ascii="Arial" w:hAnsi="Arial" w:cs="Arial"/>
          <w:sz w:val="22"/>
          <w:szCs w:val="22"/>
        </w:rPr>
        <w:t>.</w:t>
      </w:r>
    </w:p>
    <w:p w:rsidRPr="00730632" w:rsidR="00F8418A" w:rsidP="006378A1" w:rsidRDefault="00F8418A">
      <w:pPr>
        <w:numPr>
          <w:ilvl w:val="0"/>
          <w:numId w:val="31"/>
        </w:numPr>
        <w:tabs>
          <w:tab w:val="left" w:pos="540"/>
        </w:tabs>
        <w:spacing w:before="120" w:after="120"/>
        <w:ind w:left="540" w:hanging="540"/>
        <w:rPr>
          <w:rFonts w:ascii="Arial" w:hAnsi="Arial" w:cs="Arial"/>
          <w:b/>
          <w:bCs/>
          <w:sz w:val="22"/>
          <w:szCs w:val="22"/>
        </w:rPr>
      </w:pPr>
      <w:r w:rsidRPr="00730632">
        <w:rPr>
          <w:rFonts w:ascii="Arial" w:hAnsi="Arial" w:cs="Arial"/>
          <w:b/>
          <w:bCs/>
          <w:sz w:val="22"/>
          <w:szCs w:val="22"/>
        </w:rPr>
        <w:t xml:space="preserve">Display of OMB </w:t>
      </w:r>
      <w:r w:rsidRPr="00730632" w:rsidR="00A61437">
        <w:rPr>
          <w:rFonts w:ascii="Arial" w:hAnsi="Arial" w:cs="Arial"/>
          <w:b/>
          <w:bCs/>
          <w:sz w:val="22"/>
          <w:szCs w:val="22"/>
        </w:rPr>
        <w:t xml:space="preserve">Expiration </w:t>
      </w:r>
      <w:r w:rsidRPr="00730632">
        <w:rPr>
          <w:rFonts w:ascii="Arial" w:hAnsi="Arial" w:cs="Arial"/>
          <w:b/>
          <w:bCs/>
          <w:sz w:val="22"/>
          <w:szCs w:val="22"/>
        </w:rPr>
        <w:t>Date.</w:t>
      </w:r>
    </w:p>
    <w:p w:rsidRPr="00730632" w:rsidR="00850CCA" w:rsidP="004C68D1" w:rsidRDefault="000E2178">
      <w:pPr>
        <w:spacing w:before="120" w:after="120"/>
        <w:ind w:left="540" w:right="720"/>
        <w:rPr>
          <w:rFonts w:ascii="Arial" w:hAnsi="Arial" w:cs="Arial"/>
          <w:sz w:val="22"/>
          <w:szCs w:val="22"/>
        </w:rPr>
      </w:pPr>
      <w:r w:rsidRPr="00730632">
        <w:rPr>
          <w:rFonts w:ascii="Arial" w:hAnsi="Arial" w:cs="Arial"/>
          <w:sz w:val="22"/>
          <w:szCs w:val="22"/>
        </w:rPr>
        <w:t>OCCIP</w:t>
      </w:r>
      <w:r w:rsidRPr="00730632" w:rsidR="00850CCA">
        <w:rPr>
          <w:rFonts w:ascii="Arial" w:hAnsi="Arial" w:cs="Arial"/>
          <w:sz w:val="22"/>
          <w:szCs w:val="22"/>
        </w:rPr>
        <w:t xml:space="preserve"> plans to display the expiration date for OMB approval of the information</w:t>
      </w:r>
      <w:r w:rsidRPr="00730632">
        <w:rPr>
          <w:rFonts w:ascii="Arial" w:hAnsi="Arial" w:cs="Arial"/>
          <w:sz w:val="22"/>
          <w:szCs w:val="22"/>
        </w:rPr>
        <w:t xml:space="preserve"> </w:t>
      </w:r>
      <w:proofErr w:type="gramStart"/>
      <w:r w:rsidRPr="00730632">
        <w:rPr>
          <w:rFonts w:ascii="Arial" w:hAnsi="Arial" w:cs="Arial"/>
          <w:sz w:val="22"/>
          <w:szCs w:val="22"/>
        </w:rPr>
        <w:t>collection</w:t>
      </w:r>
      <w:proofErr w:type="gramEnd"/>
      <w:r w:rsidRPr="00730632">
        <w:rPr>
          <w:rFonts w:ascii="Arial" w:hAnsi="Arial" w:cs="Arial"/>
          <w:sz w:val="22"/>
          <w:szCs w:val="22"/>
        </w:rPr>
        <w:t xml:space="preserve"> on all instruments.</w:t>
      </w:r>
    </w:p>
    <w:p w:rsidRPr="00730632" w:rsidR="00F8418A" w:rsidP="00F8418A" w:rsidRDefault="00F8418A">
      <w:pPr>
        <w:numPr>
          <w:ilvl w:val="0"/>
          <w:numId w:val="31"/>
        </w:numPr>
        <w:tabs>
          <w:tab w:val="left" w:pos="540"/>
        </w:tabs>
        <w:spacing w:before="120" w:after="120"/>
        <w:ind w:left="540" w:hanging="540"/>
        <w:rPr>
          <w:rFonts w:ascii="Arial" w:hAnsi="Arial" w:cs="Arial"/>
          <w:b/>
          <w:bCs/>
          <w:sz w:val="22"/>
          <w:szCs w:val="22"/>
        </w:rPr>
      </w:pPr>
      <w:r w:rsidRPr="00730632">
        <w:rPr>
          <w:rFonts w:ascii="Arial" w:hAnsi="Arial" w:cs="Arial"/>
          <w:b/>
          <w:bCs/>
          <w:sz w:val="22"/>
          <w:szCs w:val="22"/>
        </w:rPr>
        <w:t>Exceptions to Certification for Paperwork Reduction Act Submission.</w:t>
      </w:r>
    </w:p>
    <w:p w:rsidRPr="00D90C89" w:rsidR="00114166" w:rsidP="00D90C89" w:rsidRDefault="006E1A4A">
      <w:pPr>
        <w:ind w:firstLine="540"/>
        <w:rPr>
          <w:rFonts w:ascii="Arial" w:hAnsi="Arial" w:cs="Arial"/>
          <w:sz w:val="22"/>
          <w:szCs w:val="22"/>
        </w:rPr>
      </w:pPr>
      <w:r w:rsidRPr="00730632">
        <w:rPr>
          <w:rFonts w:ascii="Arial" w:hAnsi="Arial" w:cs="Arial"/>
          <w:sz w:val="22"/>
          <w:szCs w:val="22"/>
        </w:rPr>
        <w:t>There are no exceptions to the certification statement.</w:t>
      </w:r>
      <w:bookmarkStart w:name="_GoBack" w:id="0"/>
      <w:bookmarkEnd w:id="0"/>
    </w:p>
    <w:sectPr w:rsidRPr="00D90C89" w:rsidR="00114166" w:rsidSect="00F8418A">
      <w:footerReference w:type="default" r:id="rId12"/>
      <w:type w:val="continuous"/>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499" w:rsidRDefault="00A96499">
      <w:r>
        <w:separator/>
      </w:r>
    </w:p>
  </w:endnote>
  <w:endnote w:type="continuationSeparator" w:id="0">
    <w:p w:rsidR="00A96499" w:rsidRDefault="00A9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A3" w:rsidRPr="00745656" w:rsidRDefault="00C80AA3" w:rsidP="00427A81">
    <w:pPr>
      <w:tabs>
        <w:tab w:val="right" w:pos="9360"/>
      </w:tabs>
      <w:rPr>
        <w:rFonts w:ascii="Arial" w:hAnsi="Arial" w:cs="Arial"/>
        <w:sz w:val="22"/>
        <w:szCs w:val="22"/>
      </w:rPr>
    </w:pPr>
    <w:r w:rsidRPr="00427A81">
      <w:rPr>
        <w:rFonts w:ascii="Arial Narrow" w:hAnsi="Arial Narrow" w:cs="Arial"/>
        <w:sz w:val="20"/>
        <w:szCs w:val="20"/>
      </w:rPr>
      <w:tab/>
    </w:r>
    <w:r w:rsidRPr="00745656">
      <w:rPr>
        <w:rFonts w:ascii="Arial" w:hAnsi="Arial" w:cs="Arial"/>
        <w:sz w:val="22"/>
        <w:szCs w:val="22"/>
      </w:rPr>
      <w:fldChar w:fldCharType="begin"/>
    </w:r>
    <w:r w:rsidRPr="00745656">
      <w:rPr>
        <w:rFonts w:ascii="Arial" w:hAnsi="Arial" w:cs="Arial"/>
        <w:sz w:val="22"/>
        <w:szCs w:val="22"/>
      </w:rPr>
      <w:instrText xml:space="preserve">PAGE </w:instrText>
    </w:r>
    <w:r w:rsidRPr="00745656">
      <w:rPr>
        <w:rFonts w:ascii="Arial" w:hAnsi="Arial" w:cs="Arial"/>
        <w:sz w:val="22"/>
        <w:szCs w:val="22"/>
      </w:rPr>
      <w:fldChar w:fldCharType="separate"/>
    </w:r>
    <w:r w:rsidR="00D90C89">
      <w:rPr>
        <w:rFonts w:ascii="Arial" w:hAnsi="Arial" w:cs="Arial"/>
        <w:noProof/>
        <w:sz w:val="22"/>
        <w:szCs w:val="22"/>
      </w:rPr>
      <w:t>4</w:t>
    </w:r>
    <w:r w:rsidRPr="00745656">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499" w:rsidRDefault="00A96499">
      <w:r>
        <w:separator/>
      </w:r>
    </w:p>
  </w:footnote>
  <w:footnote w:type="continuationSeparator" w:id="0">
    <w:p w:rsidR="00A96499" w:rsidRDefault="00A96499">
      <w:r>
        <w:continuationSeparator/>
      </w:r>
    </w:p>
  </w:footnote>
  <w:footnote w:id="1">
    <w:p w:rsidR="009F03A4" w:rsidRPr="00E72C5C" w:rsidRDefault="009F03A4" w:rsidP="009F03A4">
      <w:pPr>
        <w:pStyle w:val="FootnoteText"/>
        <w:rPr>
          <w:rFonts w:ascii="Arial" w:hAnsi="Arial" w:cs="Arial"/>
        </w:rPr>
      </w:pPr>
      <w:r w:rsidRPr="00E72C5C">
        <w:rPr>
          <w:rStyle w:val="FootnoteReference"/>
          <w:rFonts w:ascii="Arial" w:hAnsi="Arial" w:cs="Arial"/>
        </w:rPr>
        <w:footnoteRef/>
      </w:r>
      <w:r w:rsidRPr="00E72C5C">
        <w:rPr>
          <w:rFonts w:ascii="Arial" w:hAnsi="Arial" w:cs="Arial"/>
        </w:rPr>
        <w:t xml:space="preserve"> Wage rate from Bureau of Labor Statistics wage data fo</w:t>
      </w:r>
      <w:r w:rsidR="00E72C5C" w:rsidRPr="00E72C5C">
        <w:rPr>
          <w:rFonts w:ascii="Arial" w:hAnsi="Arial" w:cs="Arial"/>
        </w:rPr>
        <w:t xml:space="preserve">r financial activities is $49.43 for December 2019. </w:t>
      </w:r>
      <w:hyperlink r:id="rId1" w:anchor="ect_table4.f.1" w:history="1">
        <w:r w:rsidR="00E72C5C" w:rsidRPr="00E72C5C">
          <w:rPr>
            <w:rStyle w:val="Hyperlink"/>
            <w:rFonts w:ascii="Arial" w:hAnsi="Arial" w:cs="Arial"/>
          </w:rPr>
          <w:t>https://www.bls.gov/news.release/ecec.t04.htm#ect_table4.f.1</w:t>
        </w:r>
      </w:hyperlink>
      <w:r w:rsidR="00E72C5C" w:rsidRPr="00E72C5C">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1E1FC7"/>
    <w:multiLevelType w:val="hybridMultilevel"/>
    <w:tmpl w:val="34A88332"/>
    <w:lvl w:ilvl="0" w:tplc="9F448330">
      <w:start w:val="6"/>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856836"/>
    <w:multiLevelType w:val="hybridMultilevel"/>
    <w:tmpl w:val="0818EBC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311DA6"/>
    <w:multiLevelType w:val="hybridMultilevel"/>
    <w:tmpl w:val="4B520FF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14F726D"/>
    <w:multiLevelType w:val="hybridMultilevel"/>
    <w:tmpl w:val="54000368"/>
    <w:lvl w:ilvl="0" w:tplc="04090015">
      <w:start w:val="1"/>
      <w:numFmt w:val="upperLetter"/>
      <w:lvlText w:val="%1."/>
      <w:lvlJc w:val="left"/>
      <w:pPr>
        <w:tabs>
          <w:tab w:val="num" w:pos="720"/>
        </w:tabs>
        <w:ind w:left="720" w:hanging="360"/>
      </w:pPr>
      <w:rPr>
        <w:rFonts w:hint="default"/>
      </w:rPr>
    </w:lvl>
    <w:lvl w:ilvl="1" w:tplc="ED208D48">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07E33"/>
    <w:multiLevelType w:val="hybridMultilevel"/>
    <w:tmpl w:val="7746377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2E2407"/>
    <w:multiLevelType w:val="hybridMultilevel"/>
    <w:tmpl w:val="48F67F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96265A"/>
    <w:multiLevelType w:val="hybridMultilevel"/>
    <w:tmpl w:val="085C2160"/>
    <w:lvl w:ilvl="0" w:tplc="480AF38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B2103A"/>
    <w:multiLevelType w:val="hybridMultilevel"/>
    <w:tmpl w:val="C01EDB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15:restartNumberingAfterBreak="0">
    <w:nsid w:val="3EA32344"/>
    <w:multiLevelType w:val="hybridMultilevel"/>
    <w:tmpl w:val="2E3061DC"/>
    <w:lvl w:ilvl="0" w:tplc="515EFD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51666997"/>
    <w:multiLevelType w:val="hybridMultilevel"/>
    <w:tmpl w:val="3FCA76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9141E62"/>
    <w:multiLevelType w:val="hybridMultilevel"/>
    <w:tmpl w:val="8E98D72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D38FD"/>
    <w:multiLevelType w:val="hybridMultilevel"/>
    <w:tmpl w:val="E4E6F2E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4FC357D"/>
    <w:multiLevelType w:val="hybridMultilevel"/>
    <w:tmpl w:val="56903636"/>
    <w:lvl w:ilvl="0" w:tplc="3C6C64A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5" w15:restartNumberingAfterBreak="0">
    <w:nsid w:val="7E3519A8"/>
    <w:multiLevelType w:val="hybridMultilevel"/>
    <w:tmpl w:val="990ABEF0"/>
    <w:lvl w:ilvl="0" w:tplc="480AF3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3"/>
  </w:num>
  <w:num w:numId="7">
    <w:abstractNumId w:val="35"/>
  </w:num>
  <w:num w:numId="8">
    <w:abstractNumId w:val="34"/>
  </w:num>
  <w:num w:numId="9">
    <w:abstractNumId w:val="25"/>
  </w:num>
  <w:num w:numId="10">
    <w:abstractNumId w:val="17"/>
  </w:num>
  <w:num w:numId="11">
    <w:abstractNumId w:val="21"/>
  </w:num>
  <w:num w:numId="12">
    <w:abstractNumId w:val="44"/>
  </w:num>
  <w:num w:numId="13">
    <w:abstractNumId w:val="42"/>
  </w:num>
  <w:num w:numId="14">
    <w:abstractNumId w:val="33"/>
  </w:num>
  <w:num w:numId="15">
    <w:abstractNumId w:val="22"/>
  </w:num>
  <w:num w:numId="16">
    <w:abstractNumId w:val="38"/>
  </w:num>
  <w:num w:numId="17">
    <w:abstractNumId w:val="24"/>
  </w:num>
  <w:num w:numId="18">
    <w:abstractNumId w:val="41"/>
  </w:num>
  <w:num w:numId="19">
    <w:abstractNumId w:val="37"/>
  </w:num>
  <w:num w:numId="20">
    <w:abstractNumId w:val="26"/>
  </w:num>
  <w:num w:numId="21">
    <w:abstractNumId w:val="45"/>
  </w:num>
  <w:num w:numId="22">
    <w:abstractNumId w:val="29"/>
  </w:num>
  <w:num w:numId="23">
    <w:abstractNumId w:val="18"/>
  </w:num>
  <w:num w:numId="24">
    <w:abstractNumId w:val="40"/>
  </w:num>
  <w:num w:numId="25">
    <w:abstractNumId w:val="30"/>
  </w:num>
  <w:num w:numId="26">
    <w:abstractNumId w:val="27"/>
  </w:num>
  <w:num w:numId="27">
    <w:abstractNumId w:val="39"/>
  </w:num>
  <w:num w:numId="28">
    <w:abstractNumId w:val="36"/>
  </w:num>
  <w:num w:numId="29">
    <w:abstractNumId w:val="28"/>
  </w:num>
  <w:num w:numId="30">
    <w:abstractNumId w:val="20"/>
  </w:num>
  <w:num w:numId="31">
    <w:abstractNumId w:val="19"/>
  </w:num>
  <w:num w:numId="32">
    <w:abstractNumId w:val="32"/>
  </w:num>
  <w:num w:numId="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263"/>
    <w:rsid w:val="00007B8B"/>
    <w:rsid w:val="00023E04"/>
    <w:rsid w:val="000356B0"/>
    <w:rsid w:val="00041DA5"/>
    <w:rsid w:val="00052C24"/>
    <w:rsid w:val="00053A6A"/>
    <w:rsid w:val="00063823"/>
    <w:rsid w:val="00064098"/>
    <w:rsid w:val="00064E0F"/>
    <w:rsid w:val="0007407E"/>
    <w:rsid w:val="00076BA1"/>
    <w:rsid w:val="000846A2"/>
    <w:rsid w:val="000A2579"/>
    <w:rsid w:val="000B6993"/>
    <w:rsid w:val="000E2178"/>
    <w:rsid w:val="000E376F"/>
    <w:rsid w:val="000E7EB7"/>
    <w:rsid w:val="000F4DC6"/>
    <w:rsid w:val="000F50B1"/>
    <w:rsid w:val="000F7181"/>
    <w:rsid w:val="000F7D65"/>
    <w:rsid w:val="00112515"/>
    <w:rsid w:val="00114166"/>
    <w:rsid w:val="00117463"/>
    <w:rsid w:val="00137162"/>
    <w:rsid w:val="00144250"/>
    <w:rsid w:val="00145E6F"/>
    <w:rsid w:val="001528AA"/>
    <w:rsid w:val="0017387D"/>
    <w:rsid w:val="00196B67"/>
    <w:rsid w:val="00197F9A"/>
    <w:rsid w:val="001C0C09"/>
    <w:rsid w:val="001E2556"/>
    <w:rsid w:val="001F3AB3"/>
    <w:rsid w:val="00200A74"/>
    <w:rsid w:val="00213EBD"/>
    <w:rsid w:val="0021512D"/>
    <w:rsid w:val="00223D99"/>
    <w:rsid w:val="00250FFD"/>
    <w:rsid w:val="002616C9"/>
    <w:rsid w:val="00272BA0"/>
    <w:rsid w:val="002776CD"/>
    <w:rsid w:val="002B74DF"/>
    <w:rsid w:val="002D277C"/>
    <w:rsid w:val="002D6743"/>
    <w:rsid w:val="002D7A99"/>
    <w:rsid w:val="002E738F"/>
    <w:rsid w:val="00312087"/>
    <w:rsid w:val="00322EF7"/>
    <w:rsid w:val="00345578"/>
    <w:rsid w:val="003624B6"/>
    <w:rsid w:val="00383F5A"/>
    <w:rsid w:val="003917E5"/>
    <w:rsid w:val="003A0075"/>
    <w:rsid w:val="003A5DE5"/>
    <w:rsid w:val="003A704B"/>
    <w:rsid w:val="003C4BB4"/>
    <w:rsid w:val="003D1ABD"/>
    <w:rsid w:val="003E743E"/>
    <w:rsid w:val="00404DD9"/>
    <w:rsid w:val="004106AE"/>
    <w:rsid w:val="00427A81"/>
    <w:rsid w:val="004328CC"/>
    <w:rsid w:val="00432C2B"/>
    <w:rsid w:val="00466B49"/>
    <w:rsid w:val="0049162A"/>
    <w:rsid w:val="004940D2"/>
    <w:rsid w:val="004A213E"/>
    <w:rsid w:val="004A2291"/>
    <w:rsid w:val="004B64B6"/>
    <w:rsid w:val="004C341C"/>
    <w:rsid w:val="004C68D1"/>
    <w:rsid w:val="004C7F43"/>
    <w:rsid w:val="004D39A0"/>
    <w:rsid w:val="004D5A38"/>
    <w:rsid w:val="004F1DF1"/>
    <w:rsid w:val="00504B59"/>
    <w:rsid w:val="00525318"/>
    <w:rsid w:val="00525D70"/>
    <w:rsid w:val="005322D3"/>
    <w:rsid w:val="00553941"/>
    <w:rsid w:val="00561B09"/>
    <w:rsid w:val="00565B3C"/>
    <w:rsid w:val="005829ED"/>
    <w:rsid w:val="00585CCA"/>
    <w:rsid w:val="005936D1"/>
    <w:rsid w:val="005979B4"/>
    <w:rsid w:val="005C5883"/>
    <w:rsid w:val="006130F6"/>
    <w:rsid w:val="006206B3"/>
    <w:rsid w:val="00626F60"/>
    <w:rsid w:val="006378A1"/>
    <w:rsid w:val="006445A9"/>
    <w:rsid w:val="00646BD5"/>
    <w:rsid w:val="006531F4"/>
    <w:rsid w:val="00654A0C"/>
    <w:rsid w:val="00661C1E"/>
    <w:rsid w:val="00670B92"/>
    <w:rsid w:val="00676AB6"/>
    <w:rsid w:val="00680579"/>
    <w:rsid w:val="00692D6A"/>
    <w:rsid w:val="006B455B"/>
    <w:rsid w:val="006C1EA4"/>
    <w:rsid w:val="006C386D"/>
    <w:rsid w:val="006C6EFA"/>
    <w:rsid w:val="006E019D"/>
    <w:rsid w:val="006E1A4A"/>
    <w:rsid w:val="006F373D"/>
    <w:rsid w:val="00720F6F"/>
    <w:rsid w:val="0072110A"/>
    <w:rsid w:val="00723757"/>
    <w:rsid w:val="00730632"/>
    <w:rsid w:val="0074289D"/>
    <w:rsid w:val="00745656"/>
    <w:rsid w:val="00746FE3"/>
    <w:rsid w:val="00753BAC"/>
    <w:rsid w:val="00772076"/>
    <w:rsid w:val="00794C48"/>
    <w:rsid w:val="007C1DB4"/>
    <w:rsid w:val="007C629C"/>
    <w:rsid w:val="007F401E"/>
    <w:rsid w:val="007F4EFA"/>
    <w:rsid w:val="008112BA"/>
    <w:rsid w:val="00840F39"/>
    <w:rsid w:val="00850CCA"/>
    <w:rsid w:val="008604D2"/>
    <w:rsid w:val="00862A24"/>
    <w:rsid w:val="0087708D"/>
    <w:rsid w:val="00890057"/>
    <w:rsid w:val="008A2CE2"/>
    <w:rsid w:val="008C325F"/>
    <w:rsid w:val="008C65F9"/>
    <w:rsid w:val="008C78A8"/>
    <w:rsid w:val="008D446B"/>
    <w:rsid w:val="008E69DF"/>
    <w:rsid w:val="008F27F5"/>
    <w:rsid w:val="00917427"/>
    <w:rsid w:val="00946261"/>
    <w:rsid w:val="00991A15"/>
    <w:rsid w:val="009A5B60"/>
    <w:rsid w:val="009A769F"/>
    <w:rsid w:val="009C36FC"/>
    <w:rsid w:val="009D0F01"/>
    <w:rsid w:val="009F03A4"/>
    <w:rsid w:val="00A02E9D"/>
    <w:rsid w:val="00A15F9D"/>
    <w:rsid w:val="00A325A6"/>
    <w:rsid w:val="00A3783E"/>
    <w:rsid w:val="00A555A9"/>
    <w:rsid w:val="00A55BB2"/>
    <w:rsid w:val="00A56739"/>
    <w:rsid w:val="00A5675F"/>
    <w:rsid w:val="00A57A6F"/>
    <w:rsid w:val="00A61437"/>
    <w:rsid w:val="00A62B1F"/>
    <w:rsid w:val="00A9180D"/>
    <w:rsid w:val="00A91867"/>
    <w:rsid w:val="00A96499"/>
    <w:rsid w:val="00A97044"/>
    <w:rsid w:val="00AA1DB3"/>
    <w:rsid w:val="00AA3286"/>
    <w:rsid w:val="00AA65AC"/>
    <w:rsid w:val="00AD24F7"/>
    <w:rsid w:val="00AD3CB7"/>
    <w:rsid w:val="00B01690"/>
    <w:rsid w:val="00B12439"/>
    <w:rsid w:val="00B22415"/>
    <w:rsid w:val="00B25FE0"/>
    <w:rsid w:val="00B408C7"/>
    <w:rsid w:val="00B471D1"/>
    <w:rsid w:val="00B60FF9"/>
    <w:rsid w:val="00B86173"/>
    <w:rsid w:val="00BA1729"/>
    <w:rsid w:val="00BA5285"/>
    <w:rsid w:val="00BC550A"/>
    <w:rsid w:val="00BC5EF3"/>
    <w:rsid w:val="00BD125E"/>
    <w:rsid w:val="00BE0092"/>
    <w:rsid w:val="00BF116B"/>
    <w:rsid w:val="00BF2D97"/>
    <w:rsid w:val="00BF370D"/>
    <w:rsid w:val="00BF7E46"/>
    <w:rsid w:val="00C115F5"/>
    <w:rsid w:val="00C16988"/>
    <w:rsid w:val="00C230FB"/>
    <w:rsid w:val="00C260BC"/>
    <w:rsid w:val="00C319AB"/>
    <w:rsid w:val="00C37297"/>
    <w:rsid w:val="00C37CD8"/>
    <w:rsid w:val="00C43EA7"/>
    <w:rsid w:val="00C46354"/>
    <w:rsid w:val="00C705A3"/>
    <w:rsid w:val="00C7479E"/>
    <w:rsid w:val="00C80AA3"/>
    <w:rsid w:val="00C92B1A"/>
    <w:rsid w:val="00CA1595"/>
    <w:rsid w:val="00CA3C9D"/>
    <w:rsid w:val="00CB0A80"/>
    <w:rsid w:val="00CC47FD"/>
    <w:rsid w:val="00CC579B"/>
    <w:rsid w:val="00CE23CF"/>
    <w:rsid w:val="00CE3842"/>
    <w:rsid w:val="00CF610E"/>
    <w:rsid w:val="00D25FB6"/>
    <w:rsid w:val="00D37A8A"/>
    <w:rsid w:val="00D63202"/>
    <w:rsid w:val="00D7620A"/>
    <w:rsid w:val="00D808C8"/>
    <w:rsid w:val="00D90C89"/>
    <w:rsid w:val="00DA6C85"/>
    <w:rsid w:val="00DB2651"/>
    <w:rsid w:val="00DB795A"/>
    <w:rsid w:val="00E1501C"/>
    <w:rsid w:val="00E32DDC"/>
    <w:rsid w:val="00E42A28"/>
    <w:rsid w:val="00E47465"/>
    <w:rsid w:val="00E7013C"/>
    <w:rsid w:val="00E72C5C"/>
    <w:rsid w:val="00E801A8"/>
    <w:rsid w:val="00EA4C2A"/>
    <w:rsid w:val="00EC10FF"/>
    <w:rsid w:val="00EE0B29"/>
    <w:rsid w:val="00F064FD"/>
    <w:rsid w:val="00F54950"/>
    <w:rsid w:val="00F56BB3"/>
    <w:rsid w:val="00F723CB"/>
    <w:rsid w:val="00F736E2"/>
    <w:rsid w:val="00F76B83"/>
    <w:rsid w:val="00F8418A"/>
    <w:rsid w:val="00F91E42"/>
    <w:rsid w:val="00F95B38"/>
    <w:rsid w:val="00FA47C6"/>
    <w:rsid w:val="00FB252E"/>
    <w:rsid w:val="00FF3A75"/>
    <w:rsid w:val="00FF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28C9C1"/>
  <w15:chartTrackingRefBased/>
  <w15:docId w15:val="{5B7D43C7-5F31-478E-AF6C-8470D36D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paragraph" w:styleId="ListParagraph">
    <w:name w:val="List Paragraph"/>
    <w:basedOn w:val="Normal"/>
    <w:uiPriority w:val="34"/>
    <w:qFormat/>
    <w:rsid w:val="006130F6"/>
    <w:pPr>
      <w:widowControl/>
      <w:autoSpaceDE/>
      <w:autoSpaceDN/>
      <w:adjustRightInd/>
      <w:ind w:left="720"/>
      <w:contextualSpacing/>
    </w:pPr>
  </w:style>
  <w:style w:type="paragraph" w:styleId="BodyText3">
    <w:name w:val="Body Text 3"/>
    <w:basedOn w:val="Normal"/>
    <w:link w:val="BodyText3Char"/>
    <w:rsid w:val="006531F4"/>
    <w:pPr>
      <w:widowControl/>
      <w:autoSpaceDE/>
      <w:autoSpaceDN/>
      <w:adjustRightInd/>
      <w:spacing w:after="120"/>
    </w:pPr>
    <w:rPr>
      <w:sz w:val="16"/>
      <w:szCs w:val="16"/>
    </w:rPr>
  </w:style>
  <w:style w:type="character" w:customStyle="1" w:styleId="BodyText3Char">
    <w:name w:val="Body Text 3 Char"/>
    <w:link w:val="BodyText3"/>
    <w:rsid w:val="006531F4"/>
    <w:rPr>
      <w:sz w:val="16"/>
      <w:szCs w:val="16"/>
    </w:rPr>
  </w:style>
  <w:style w:type="paragraph" w:styleId="BodyText2">
    <w:name w:val="Body Text 2"/>
    <w:basedOn w:val="Normal"/>
    <w:link w:val="BodyText2Char"/>
    <w:rsid w:val="006531F4"/>
    <w:pPr>
      <w:spacing w:after="120" w:line="480" w:lineRule="auto"/>
    </w:pPr>
  </w:style>
  <w:style w:type="character" w:customStyle="1" w:styleId="BodyText2Char">
    <w:name w:val="Body Text 2 Char"/>
    <w:link w:val="BodyText2"/>
    <w:rsid w:val="006531F4"/>
    <w:rPr>
      <w:sz w:val="24"/>
      <w:szCs w:val="24"/>
    </w:rPr>
  </w:style>
  <w:style w:type="character" w:customStyle="1" w:styleId="FootnoteTextChar">
    <w:name w:val="Footnote Text Char"/>
    <w:link w:val="FootnoteText"/>
    <w:uiPriority w:val="99"/>
    <w:semiHidden/>
    <w:rsid w:val="00F7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6609">
      <w:bodyDiv w:val="1"/>
      <w:marLeft w:val="0"/>
      <w:marRight w:val="0"/>
      <w:marTop w:val="0"/>
      <w:marBottom w:val="0"/>
      <w:divBdr>
        <w:top w:val="none" w:sz="0" w:space="0" w:color="auto"/>
        <w:left w:val="none" w:sz="0" w:space="0" w:color="auto"/>
        <w:bottom w:val="none" w:sz="0" w:space="0" w:color="auto"/>
        <w:right w:val="none" w:sz="0" w:space="0" w:color="auto"/>
      </w:divBdr>
    </w:div>
    <w:div w:id="17706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1412000D38AE49A96220D8AA06CE21" ma:contentTypeVersion="0" ma:contentTypeDescription="Create a new document." ma:contentTypeScope="" ma:versionID="4fa7d5a945e9300158a06e9b40cb6f32">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87ede38138ad011fe58511e80ec564e1"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 xsi:nil="true"/>
  </documentManagement>
</p:properties>
</file>

<file path=customXml/itemProps1.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2.xml><?xml version="1.0" encoding="utf-8"?>
<ds:datastoreItem xmlns:ds="http://schemas.openxmlformats.org/officeDocument/2006/customXml" ds:itemID="{1CE39A8F-6B46-40E0-B7C2-5DA4DAE2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4.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5.xml><?xml version="1.0" encoding="utf-8"?>
<ds:datastoreItem xmlns:ds="http://schemas.openxmlformats.org/officeDocument/2006/customXml" ds:itemID="{429B6463-C433-40B1-971D-7867226E8C4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dbe80d-e595-46b9-be3c-e61540003b6e"/>
    <ds:schemaRef ds:uri="52222ef0-b167-44f5-92f7-438fda0857cd"/>
    <ds:schemaRef ds:uri="http://purl.org/dc/terms/"/>
    <ds:schemaRef ds:uri="a72e793b-3538-4bdd-876b-5e2b29c97f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8064</CharactersWithSpaces>
  <SharedDoc>false</SharedDoc>
  <HLinks>
    <vt:vector size="6" baseType="variant">
      <vt:variant>
        <vt:i4>5242977</vt:i4>
      </vt:variant>
      <vt:variant>
        <vt:i4>0</vt:i4>
      </vt:variant>
      <vt:variant>
        <vt:i4>0</vt:i4>
      </vt:variant>
      <vt:variant>
        <vt:i4>5</vt:i4>
      </vt:variant>
      <vt:variant>
        <vt:lpwstr>https://www.bls.gov/news.release/ecec.t04.htm</vt:lpwstr>
      </vt:variant>
      <vt:variant>
        <vt:lpwstr>ect_table4.f.1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cp:lastModifiedBy>Stasko, Molly</cp:lastModifiedBy>
  <cp:revision>3</cp:revision>
  <cp:lastPrinted>2019-08-19T18:20:00Z</cp:lastPrinted>
  <dcterms:created xsi:type="dcterms:W3CDTF">2020-09-25T16:25:00Z</dcterms:created>
  <dcterms:modified xsi:type="dcterms:W3CDTF">2020-09-25T16:53:00Z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DOPTR-1166-1173</vt:lpwstr>
  </property>
  <property fmtid="{D5CDD505-2E9C-101B-9397-08002B2CF9AE}" pid="3" name="_dlc_DocIdItemGuid">
    <vt:lpwstr>d186e37a-e02a-4566-8549-aff1eb0f2f67</vt:lpwstr>
  </property>
  <property fmtid="{D5CDD505-2E9C-101B-9397-08002B2CF9AE}" pid="4" name="_dlc_DocIdUrl">
    <vt:lpwstr>https://thegreen.treas.gov/do/ptr/optr/treasuryrecords/pra/_layouts/DocIdRedir.aspx?ID=DOPTR-1166-1173, DOPTR-1166-1173</vt:lpwstr>
  </property>
</Properties>
</file>