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73" w:rsidP="002E5C73" w:rsidRDefault="002E5C73" w14:paraId="2C4895B8" w14:textId="77777777">
      <w:pPr>
        <w:widowControl/>
        <w:jc w:val="center"/>
        <w:rPr>
          <w:b/>
          <w:bCs/>
        </w:rPr>
      </w:pPr>
      <w:r w:rsidRPr="002E5C73">
        <w:rPr>
          <w:b/>
          <w:bCs/>
        </w:rPr>
        <w:t>SUPPORTING STATEMENT FOR</w:t>
      </w:r>
    </w:p>
    <w:p w:rsidRPr="002E5C73" w:rsidR="002E5C73" w:rsidP="002E5C73" w:rsidRDefault="002E5C73" w14:paraId="77A479C0" w14:textId="77777777">
      <w:pPr>
        <w:widowControl/>
        <w:jc w:val="center"/>
        <w:rPr>
          <w:b/>
          <w:bCs/>
        </w:rPr>
      </w:pPr>
      <w:r w:rsidRPr="002E5C73">
        <w:rPr>
          <w:b/>
          <w:bCs/>
        </w:rPr>
        <w:t>FINANCIAL FACTORS IN SELECTING PLAN INVESTMENTS</w:t>
      </w:r>
    </w:p>
    <w:p w:rsidRPr="002E5C73" w:rsidR="002E5C73" w:rsidP="002E5C73" w:rsidRDefault="002E5C73" w14:paraId="7BDFA6A5" w14:textId="77777777">
      <w:pPr>
        <w:widowControl/>
        <w:jc w:val="center"/>
        <w:rPr>
          <w:b/>
          <w:bCs/>
        </w:rPr>
      </w:pPr>
    </w:p>
    <w:p w:rsidR="00F23471" w:rsidP="00F23471" w:rsidRDefault="00F23471" w14:paraId="4E08F75C" w14:textId="77777777">
      <w:pPr>
        <w:widowControl/>
        <w:jc w:val="center"/>
        <w:rPr>
          <w:b/>
          <w:bCs/>
        </w:rPr>
      </w:pPr>
      <w:r w:rsidRPr="00F23471">
        <w:rPr>
          <w:b/>
          <w:bCs/>
        </w:rPr>
        <w:t>OMB</w:t>
      </w:r>
      <w:r w:rsidR="00B12BEA">
        <w:rPr>
          <w:b/>
          <w:bCs/>
        </w:rPr>
        <w:t xml:space="preserve"> </w:t>
      </w:r>
      <w:r w:rsidR="00773E17">
        <w:rPr>
          <w:b/>
          <w:bCs/>
        </w:rPr>
        <w:t xml:space="preserve">CONTROL NUMBER </w:t>
      </w:r>
      <w:r>
        <w:rPr>
          <w:b/>
          <w:bCs/>
        </w:rPr>
        <w:t>1210-</w:t>
      </w:r>
      <w:r w:rsidR="000A2EDC">
        <w:rPr>
          <w:b/>
          <w:bCs/>
        </w:rPr>
        <w:t>0162</w:t>
      </w:r>
    </w:p>
    <w:p w:rsidR="00B514A6" w:rsidP="00246595" w:rsidRDefault="00B514A6" w14:paraId="49066228" w14:textId="77777777">
      <w:pPr>
        <w:widowControl/>
        <w:rPr>
          <w:b/>
          <w:bCs/>
        </w:rPr>
      </w:pPr>
    </w:p>
    <w:p w:rsidR="00B514A6" w:rsidP="00246595" w:rsidRDefault="00B514A6" w14:paraId="14F07B4A" w14:textId="77777777">
      <w:pPr>
        <w:widowControl/>
        <w:rPr>
          <w:b/>
          <w:bCs/>
        </w:rPr>
      </w:pPr>
      <w:r w:rsidRPr="00B514A6">
        <w:rPr>
          <w:b/>
          <w:bCs/>
        </w:rPr>
        <w:t>This ICR seeks</w:t>
      </w:r>
      <w:r>
        <w:rPr>
          <w:b/>
          <w:bCs/>
        </w:rPr>
        <w:t xml:space="preserve"> for an </w:t>
      </w:r>
      <w:r w:rsidRPr="00B514A6">
        <w:rPr>
          <w:b/>
          <w:bCs/>
        </w:rPr>
        <w:t>approval of a new collection of information under OMB Control Number 1210–0162.</w:t>
      </w:r>
    </w:p>
    <w:p w:rsidRPr="000E0DAF" w:rsidR="0027023C" w:rsidP="0027023C" w:rsidRDefault="0027023C" w14:paraId="68B688CB" w14:textId="77777777">
      <w:pPr>
        <w:widowControl/>
        <w:rPr>
          <w:bCs/>
        </w:rPr>
      </w:pPr>
    </w:p>
    <w:p w:rsidRPr="000E0DAF" w:rsidR="00735BE9" w:rsidP="000757B7" w:rsidRDefault="00A267E2" w14:paraId="3DAAB574" w14:textId="77777777">
      <w:pPr>
        <w:pStyle w:val="ListParagraph"/>
        <w:widowControl/>
        <w:numPr>
          <w:ilvl w:val="0"/>
          <w:numId w:val="4"/>
        </w:numPr>
        <w:ind w:left="720" w:hanging="720"/>
        <w:rPr>
          <w:b/>
          <w:bCs/>
        </w:rPr>
      </w:pPr>
      <w:r w:rsidRPr="000E0DAF">
        <w:rPr>
          <w:b/>
          <w:bCs/>
        </w:rPr>
        <w:t>JUSTIFICATION</w:t>
      </w:r>
    </w:p>
    <w:p w:rsidRPr="000E0DAF" w:rsidR="00735BE9" w:rsidP="000E0DAF" w:rsidRDefault="00735BE9" w14:paraId="58FFF795" w14:textId="77777777">
      <w:pPr>
        <w:pStyle w:val="Header"/>
        <w:widowControl/>
        <w:tabs>
          <w:tab w:val="clear" w:pos="4320"/>
          <w:tab w:val="clear" w:pos="8640"/>
        </w:tabs>
      </w:pPr>
    </w:p>
    <w:p w:rsidRPr="000E0DAF" w:rsidR="00735BE9" w:rsidP="003E1C9B" w:rsidRDefault="00735BE9" w14:paraId="6ECA042A" w14:textId="77777777">
      <w:pPr>
        <w:pStyle w:val="Quick1"/>
        <w:widowControl/>
        <w:tabs>
          <w:tab w:val="clear" w:pos="360"/>
        </w:tabs>
        <w:ind w:left="720" w:hanging="720"/>
        <w:rPr>
          <w:i w:val="0"/>
          <w:sz w:val="24"/>
        </w:rPr>
      </w:pPr>
      <w:r w:rsidRPr="00CB4CB1">
        <w:rPr>
          <w:i w:val="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5BE9" w:rsidP="003E1C9B" w:rsidRDefault="00735BE9" w14:paraId="570EB4D2" w14:textId="77777777">
      <w:pPr>
        <w:widowControl/>
        <w:ind w:left="720"/>
      </w:pPr>
    </w:p>
    <w:p w:rsidR="00C8741B" w:rsidP="00390D2A" w:rsidRDefault="00A22FD6" w14:paraId="6A3BB5FA" w14:textId="77777777">
      <w:pPr>
        <w:widowControl/>
        <w:ind w:left="720"/>
      </w:pPr>
      <w:r w:rsidRPr="00A22FD6">
        <w:t>Title I of the Employee Retirement Income Security Act of 1974 (ERISA)</w:t>
      </w:r>
      <w:r w:rsidR="00A06592">
        <w:t xml:space="preserve"> </w:t>
      </w:r>
      <w:r w:rsidRPr="00A06592" w:rsidR="00A06592">
        <w:t xml:space="preserve">establishes minimum standards for the operation of private-sector employee benefit plans and includes fiduciary responsibility rules governing the conduct of plan fiduciaries.  </w:t>
      </w:r>
      <w:r w:rsidR="002839A2">
        <w:t xml:space="preserve">In connection with </w:t>
      </w:r>
      <w:r w:rsidR="009307C7">
        <w:t>ESG</w:t>
      </w:r>
      <w:r w:rsidR="0096079D">
        <w:t xml:space="preserve"> (environmental, social, and governance) </w:t>
      </w:r>
      <w:r w:rsidR="009307C7">
        <w:t>investing</w:t>
      </w:r>
      <w:r w:rsidR="002839A2">
        <w:t xml:space="preserve">, </w:t>
      </w:r>
      <w:r w:rsidR="00422F18">
        <w:t>the Department</w:t>
      </w:r>
      <w:r w:rsidR="00EB248E">
        <w:t xml:space="preserve"> of Labor (Department)</w:t>
      </w:r>
      <w:r w:rsidR="00422F18">
        <w:t xml:space="preserve"> </w:t>
      </w:r>
      <w:r w:rsidR="0096079D">
        <w:t xml:space="preserve">has a </w:t>
      </w:r>
      <w:r w:rsidR="00422F18">
        <w:t xml:space="preserve">longstanding position that </w:t>
      </w:r>
      <w:r w:rsidRPr="00A65F7D" w:rsidR="00A65F7D">
        <w:t>plan fiduciaries</w:t>
      </w:r>
      <w:r w:rsidR="0096079D">
        <w:t>’</w:t>
      </w:r>
      <w:r w:rsidRPr="00A65F7D" w:rsidR="00A65F7D">
        <w:t xml:space="preserve"> decisions on investments and investment courses of action must be focused solely on </w:t>
      </w:r>
      <w:r w:rsidR="0096079D">
        <w:t xml:space="preserve">pecuniary factors </w:t>
      </w:r>
      <w:r w:rsidRPr="00A65F7D" w:rsidR="00A65F7D">
        <w:t xml:space="preserve">and the interests of plan participants and beneficiaries in </w:t>
      </w:r>
      <w:r w:rsidR="0096079D">
        <w:t xml:space="preserve">financial benefits under the </w:t>
      </w:r>
      <w:r w:rsidRPr="00A65F7D" w:rsidR="00A65F7D">
        <w:t xml:space="preserve">plan.  Thus, under ERISA fiduciaries may not accept lower expected returns or take on greater risks in order to </w:t>
      </w:r>
      <w:r w:rsidR="0096079D">
        <w:t>pursue</w:t>
      </w:r>
      <w:r w:rsidRPr="00A65F7D" w:rsidR="00A65F7D">
        <w:t xml:space="preserve"> </w:t>
      </w:r>
      <w:r w:rsidR="00382985">
        <w:t>non-pecuniary</w:t>
      </w:r>
      <w:r w:rsidR="004F3807">
        <w:t xml:space="preserve"> </w:t>
      </w:r>
      <w:r w:rsidRPr="00A65F7D" w:rsidR="00A65F7D">
        <w:t>benefits.</w:t>
      </w:r>
    </w:p>
    <w:p w:rsidR="00C46FA8" w:rsidP="00390D2A" w:rsidRDefault="00C46FA8" w14:paraId="0FC121EC" w14:textId="77777777">
      <w:pPr>
        <w:widowControl/>
        <w:ind w:left="720"/>
      </w:pPr>
    </w:p>
    <w:p w:rsidRPr="00823F12" w:rsidR="00823F12" w:rsidP="00823F12" w:rsidRDefault="00870C02" w14:paraId="7F3F1600" w14:textId="77777777">
      <w:pPr>
        <w:widowControl/>
        <w:ind w:left="720"/>
      </w:pPr>
      <w:r>
        <w:t xml:space="preserve">The </w:t>
      </w:r>
      <w:r w:rsidR="00446FA5">
        <w:t xml:space="preserve">final </w:t>
      </w:r>
      <w:r>
        <w:t xml:space="preserve">rule </w:t>
      </w:r>
      <w:r w:rsidRPr="000F6BE4">
        <w:t>addresses the</w:t>
      </w:r>
      <w:r w:rsidR="0096079D">
        <w:t xml:space="preserve"> application</w:t>
      </w:r>
      <w:r w:rsidRPr="00823F12" w:rsidR="00823F12">
        <w:t xml:space="preserve"> </w:t>
      </w:r>
      <w:r w:rsidR="00823F12">
        <w:t xml:space="preserve">of the statutory prudence and loyalty duties under </w:t>
      </w:r>
      <w:r w:rsidRPr="00823F12" w:rsidR="00823F12">
        <w:t>sections 404(a)(1)(A) and 404(a)(1)(B) of ERISA</w:t>
      </w:r>
      <w:r w:rsidR="00823F12">
        <w:t xml:space="preserve"> to decisions by plan fiduciaries on plan investments or investment courses of action, including </w:t>
      </w:r>
      <w:r w:rsidRPr="000F6BE4">
        <w:t>in the case of an ERISA section 404(c) plan or other individual account plan</w:t>
      </w:r>
      <w:r w:rsidR="00823F12">
        <w:t xml:space="preserve"> selection </w:t>
      </w:r>
      <w:r w:rsidR="00823F12">
        <w:lastRenderedPageBreak/>
        <w:t xml:space="preserve">of </w:t>
      </w:r>
      <w:r w:rsidRPr="000F6BE4">
        <w:t>a designated investment alternative under the plan.</w:t>
      </w:r>
      <w:r w:rsidR="00823F12">
        <w:t xml:space="preserve">  Under the final rule, p</w:t>
      </w:r>
      <w:r w:rsidR="003C715E">
        <w:t xml:space="preserve">lan fiduciaries may </w:t>
      </w:r>
      <w:r w:rsidRPr="00292222" w:rsidR="00475023">
        <w:t>select investments using non-</w:t>
      </w:r>
      <w:r w:rsidR="007A4198">
        <w:t xml:space="preserve">pecuniary factors </w:t>
      </w:r>
      <w:r w:rsidR="00823F12">
        <w:t xml:space="preserve">only </w:t>
      </w:r>
      <w:r w:rsidR="007A4198">
        <w:t>when they are</w:t>
      </w:r>
      <w:r w:rsidRPr="00292222" w:rsidR="00475023">
        <w:t xml:space="preserve"> unable to distinguish alternative investment options based on pecuniary considerations</w:t>
      </w:r>
      <w:r w:rsidR="00A83A01">
        <w:t xml:space="preserve"> after completing an appropriate evaluation</w:t>
      </w:r>
      <w:r w:rsidRPr="00292222" w:rsidR="00475023">
        <w:t xml:space="preserve">.  The </w:t>
      </w:r>
      <w:r w:rsidR="007A4198">
        <w:t xml:space="preserve">final </w:t>
      </w:r>
      <w:r w:rsidRPr="00292222" w:rsidR="00475023">
        <w:t xml:space="preserve">rule </w:t>
      </w:r>
      <w:r w:rsidR="00823F12">
        <w:t>also prohibits an</w:t>
      </w:r>
      <w:r w:rsidRPr="00823F12" w:rsidR="00823F12">
        <w:t xml:space="preserve"> investment fund, product, or model portfolio </w:t>
      </w:r>
      <w:r w:rsidR="00823F12">
        <w:t xml:space="preserve">from being </w:t>
      </w:r>
      <w:r w:rsidRPr="00823F12" w:rsidR="00823F12">
        <w:t>added or retained as, or as a component of, a qualified default investment alternative described in 29 CFR 2550.404c-5 if its investment objectives or goals or its principal investment strategies include, consider, or indicate the use of one or more non-pecuniary factors.</w:t>
      </w:r>
    </w:p>
    <w:p w:rsidRPr="000E0DAF" w:rsidR="00FB1E74" w:rsidP="00FB1E74" w:rsidRDefault="00FB1E74" w14:paraId="323BF1D7" w14:textId="77777777">
      <w:pPr>
        <w:widowControl/>
      </w:pPr>
    </w:p>
    <w:p w:rsidRPr="00CB4CB1" w:rsidR="00735BE9" w:rsidP="003E1C9B" w:rsidRDefault="00735BE9" w14:paraId="40B9980D" w14:textId="77777777">
      <w:pPr>
        <w:pStyle w:val="Quick1"/>
        <w:widowControl/>
        <w:tabs>
          <w:tab w:val="clear" w:pos="360"/>
        </w:tabs>
        <w:ind w:left="720" w:hanging="720"/>
        <w:rPr>
          <w:i w:val="0"/>
          <w:sz w:val="24"/>
        </w:rPr>
      </w:pPr>
      <w:r w:rsidRPr="00CB4CB1">
        <w:rPr>
          <w:i w:val="0"/>
          <w:sz w:val="24"/>
        </w:rPr>
        <w:t>Indicate how, by whom, and for what purpose the information is to be used.  Except for a new collection, indicate the actual use the agency has made of the information received from the current collection.</w:t>
      </w:r>
    </w:p>
    <w:p w:rsidR="0043041F" w:rsidP="00D9187B" w:rsidRDefault="0043041F" w14:paraId="2B0B077C" w14:textId="77777777">
      <w:pPr>
        <w:widowControl/>
      </w:pPr>
    </w:p>
    <w:p w:rsidRPr="00823F12" w:rsidR="00823F12" w:rsidP="00823F12" w:rsidRDefault="0043041F" w14:paraId="612AF4F0" w14:textId="77777777">
      <w:pPr>
        <w:ind w:left="720"/>
      </w:pPr>
      <w:r>
        <w:t xml:space="preserve">The </w:t>
      </w:r>
      <w:r w:rsidR="00745464">
        <w:t>IC</w:t>
      </w:r>
      <w:r w:rsidDel="00745464">
        <w:t xml:space="preserve"> </w:t>
      </w:r>
      <w:r>
        <w:t>requires</w:t>
      </w:r>
      <w:r w:rsidR="003C715E">
        <w:t xml:space="preserve"> </w:t>
      </w:r>
      <w:r w:rsidRPr="00292222" w:rsidR="003C715E">
        <w:t>plan fiduciaries to meet a documentation requirement when they are unable to distinguish among alternative investments based on pecuniary factors alone and base their investment decision on non-pecuniary factors</w:t>
      </w:r>
      <w:r w:rsidR="00A83A01">
        <w:t xml:space="preserve"> after completing an appropriate </w:t>
      </w:r>
      <w:r w:rsidR="007E24F9">
        <w:t>evaluation</w:t>
      </w:r>
      <w:r w:rsidRPr="00292222" w:rsidR="003C715E">
        <w:t xml:space="preserve">.  In such circumstances, the fiduciary must document (i) </w:t>
      </w:r>
      <w:r w:rsidRPr="00823F12" w:rsidR="00823F12">
        <w:t>why pecuniary factors were not sufficient to select the investment or investment course of action</w:t>
      </w:r>
      <w:r w:rsidR="0062581F">
        <w:t>;</w:t>
      </w:r>
    </w:p>
    <w:p w:rsidRPr="003C715E" w:rsidR="003C715E" w:rsidP="003C715E" w:rsidRDefault="00823F12" w14:paraId="480393AC" w14:textId="77777777">
      <w:pPr>
        <w:widowControl/>
        <w:ind w:left="720"/>
        <w:rPr>
          <w:iCs/>
        </w:rPr>
      </w:pPr>
      <w:r w:rsidRPr="00823F12">
        <w:t xml:space="preserve">(ii) how the selected investment compares to the alternative investments with regard to the </w:t>
      </w:r>
      <w:r w:rsidR="0062581F">
        <w:t xml:space="preserve">certain </w:t>
      </w:r>
      <w:r w:rsidRPr="00823F12">
        <w:t xml:space="preserve">factors listed in </w:t>
      </w:r>
      <w:r w:rsidR="0062581F">
        <w:t>the final rule</w:t>
      </w:r>
      <w:r w:rsidRPr="00823F12">
        <w:t>; and</w:t>
      </w:r>
      <w:r w:rsidR="0062581F">
        <w:t xml:space="preserve"> </w:t>
      </w:r>
      <w:r w:rsidRPr="00823F12">
        <w:t xml:space="preserve">(iii) </w:t>
      </w:r>
      <w:bookmarkStart w:name="_Hlk50298388" w:id="0"/>
      <w:r w:rsidRPr="00823F12">
        <w:t xml:space="preserve"> how the chosen non-pecuniary factor or factors are consistent with the </w:t>
      </w:r>
      <w:r w:rsidRPr="00823F12" w:rsidDel="00C35502">
        <w:t xml:space="preserve">interests of participants and beneficiaries </w:t>
      </w:r>
      <w:r w:rsidRPr="00823F12">
        <w:t>in their retirement income or financial benefits under the plan</w:t>
      </w:r>
      <w:bookmarkEnd w:id="0"/>
      <w:r w:rsidRPr="00823F12">
        <w:t xml:space="preserve">.  </w:t>
      </w:r>
      <w:r w:rsidR="0062581F">
        <w:t>T</w:t>
      </w:r>
      <w:r w:rsidRPr="00181A5C" w:rsidR="00181A5C">
        <w:t xml:space="preserve">he documentation requirement </w:t>
      </w:r>
      <w:r w:rsidR="00181A5C">
        <w:t>is</w:t>
      </w:r>
      <w:r w:rsidRPr="00181A5C" w:rsidR="00181A5C">
        <w:t xml:space="preserve"> intended to prevent fiduciaries from improperly finding economic equivalence and making decisions based on non-pecuniary benefits without a proper analysis and evaluation.</w:t>
      </w:r>
    </w:p>
    <w:p w:rsidR="003C715E" w:rsidP="003C715E" w:rsidRDefault="003C715E" w14:paraId="4C450A52" w14:textId="77777777">
      <w:pPr>
        <w:widowControl/>
        <w:ind w:left="720"/>
      </w:pPr>
    </w:p>
    <w:p w:rsidRPr="00CB4CB1" w:rsidR="00735BE9" w:rsidP="00EB69FD" w:rsidRDefault="00735BE9" w14:paraId="0FA9C7A8" w14:textId="77777777">
      <w:pPr>
        <w:pStyle w:val="Quick1"/>
        <w:widowControl/>
        <w:tabs>
          <w:tab w:val="clear" w:pos="360"/>
        </w:tabs>
        <w:ind w:left="720" w:hanging="720"/>
        <w:rPr>
          <w:i w:val="0"/>
        </w:rPr>
      </w:pPr>
      <w:r w:rsidRPr="00CB4CB1">
        <w:rPr>
          <w:i w:val="0"/>
          <w:sz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27023C" w:rsidP="00B95276" w:rsidRDefault="0027023C" w14:paraId="7F5D1FAA" w14:textId="77777777">
      <w:pPr>
        <w:widowControl/>
        <w:ind w:left="720"/>
      </w:pPr>
    </w:p>
    <w:p w:rsidRPr="00B45FB1" w:rsidR="0083644E" w:rsidP="0083644E" w:rsidRDefault="00061599" w14:paraId="3294C055" w14:textId="77777777">
      <w:pPr>
        <w:pStyle w:val="BodyTextIndent"/>
        <w:ind w:left="720" w:firstLine="0"/>
      </w:pPr>
      <w:r w:rsidRPr="00061599">
        <w:t xml:space="preserve">Use of electronic methods of compliance is neither required nor precluded by the terms of this rule.  This </w:t>
      </w:r>
      <w:r w:rsidR="00055314">
        <w:t>IC</w:t>
      </w:r>
      <w:r w:rsidRPr="00061599">
        <w:t xml:space="preserve"> constitutes recordkeeping.  </w:t>
      </w:r>
      <w:r w:rsidRPr="00061599">
        <w:rPr>
          <w:iCs/>
        </w:rPr>
        <w:t xml:space="preserve">The Department has assumed that the </w:t>
      </w:r>
      <w:r w:rsidR="00055314">
        <w:rPr>
          <w:iCs/>
        </w:rPr>
        <w:t>IC</w:t>
      </w:r>
      <w:r w:rsidRPr="00061599">
        <w:rPr>
          <w:iCs/>
        </w:rPr>
        <w:t xml:space="preserve"> under this rule will be performed by</w:t>
      </w:r>
      <w:r w:rsidR="001F21E6">
        <w:rPr>
          <w:iCs/>
        </w:rPr>
        <w:t xml:space="preserve"> plans or </w:t>
      </w:r>
      <w:r w:rsidRPr="00061599">
        <w:rPr>
          <w:iCs/>
        </w:rPr>
        <w:t xml:space="preserve">sophisticated financial entities that act on behalf of employee benefit plans in connection with the purchase of securities and that generally will establish and maintain recordkeeping systems, and comply with disclosure requests, by electronic means.  The Department’s estimates therefore take </w:t>
      </w:r>
      <w:r w:rsidR="0086004B">
        <w:rPr>
          <w:iCs/>
        </w:rPr>
        <w:t>into</w:t>
      </w:r>
      <w:r w:rsidRPr="00061599">
        <w:rPr>
          <w:iCs/>
        </w:rPr>
        <w:t xml:space="preserve"> account the use of electronic recordkeeping in establishing the burden of this </w:t>
      </w:r>
      <w:r w:rsidR="00055314">
        <w:rPr>
          <w:iCs/>
        </w:rPr>
        <w:t>IC</w:t>
      </w:r>
      <w:r w:rsidRPr="00B45FB1" w:rsidR="0083644E">
        <w:t>.</w:t>
      </w:r>
    </w:p>
    <w:p w:rsidRPr="000E0DAF" w:rsidR="00E87401" w:rsidP="0083644E" w:rsidRDefault="00E87401" w14:paraId="0FA35539" w14:textId="77777777">
      <w:pPr>
        <w:widowControl/>
      </w:pPr>
    </w:p>
    <w:p w:rsidRPr="00CB4CB1" w:rsidR="00735BE9" w:rsidP="00B95276" w:rsidRDefault="00735BE9" w14:paraId="0809251B" w14:textId="77777777">
      <w:pPr>
        <w:pStyle w:val="Quick1"/>
        <w:widowControl/>
        <w:tabs>
          <w:tab w:val="clear" w:pos="360"/>
        </w:tabs>
        <w:ind w:left="720" w:hanging="720"/>
        <w:rPr>
          <w:i w:val="0"/>
          <w:sz w:val="24"/>
        </w:rPr>
      </w:pPr>
      <w:r w:rsidRPr="00CB4CB1">
        <w:rPr>
          <w:i w:val="0"/>
          <w:sz w:val="24"/>
        </w:rPr>
        <w:t>Describe efforts to identify duplication.  Show specifically why any similar information already available cannot be used or modified for use for the purpo</w:t>
      </w:r>
      <w:r w:rsidRPr="00CB4CB1" w:rsidR="00B95276">
        <w:rPr>
          <w:i w:val="0"/>
          <w:sz w:val="24"/>
        </w:rPr>
        <w:t>ses described in Item 2 above.</w:t>
      </w:r>
    </w:p>
    <w:p w:rsidR="00C2278C" w:rsidP="00D1374B" w:rsidRDefault="00C2278C" w14:paraId="61E13587" w14:textId="77777777">
      <w:pPr>
        <w:pStyle w:val="Quick1"/>
        <w:widowControl/>
        <w:numPr>
          <w:ilvl w:val="0"/>
          <w:numId w:val="0"/>
        </w:numPr>
        <w:ind w:left="720"/>
        <w:rPr>
          <w:b w:val="0"/>
          <w:i w:val="0"/>
          <w:sz w:val="24"/>
        </w:rPr>
      </w:pPr>
    </w:p>
    <w:p w:rsidRPr="000E0DAF" w:rsidR="00FA2C68" w:rsidP="00AA7DDC" w:rsidRDefault="00C2278C" w14:paraId="17CF6924" w14:textId="77777777">
      <w:pPr>
        <w:widowControl/>
        <w:ind w:left="720"/>
      </w:pPr>
      <w:r>
        <w:t xml:space="preserve">The </w:t>
      </w:r>
      <w:r w:rsidR="00055314">
        <w:t>IC is</w:t>
      </w:r>
      <w:r>
        <w:t xml:space="preserve"> not duplicated in any other </w:t>
      </w:r>
      <w:r w:rsidR="00787E6B">
        <w:t>f</w:t>
      </w:r>
      <w:r>
        <w:t>ederal statute or regulation.</w:t>
      </w:r>
    </w:p>
    <w:p w:rsidRPr="000E0DAF" w:rsidR="00C131D4" w:rsidP="004F2982" w:rsidRDefault="00C131D4" w14:paraId="0B014F8A" w14:textId="77777777">
      <w:pPr>
        <w:widowControl/>
      </w:pPr>
    </w:p>
    <w:p w:rsidRPr="00CB4CB1" w:rsidR="00735BE9" w:rsidP="00B95276" w:rsidRDefault="00735BE9" w14:paraId="4C552338" w14:textId="77777777">
      <w:pPr>
        <w:pStyle w:val="Quick1"/>
        <w:widowControl/>
        <w:tabs>
          <w:tab w:val="clear" w:pos="360"/>
        </w:tabs>
        <w:ind w:left="720" w:hanging="720"/>
        <w:rPr>
          <w:i w:val="0"/>
          <w:sz w:val="24"/>
        </w:rPr>
      </w:pPr>
      <w:r w:rsidRPr="00CB4CB1">
        <w:rPr>
          <w:i w:val="0"/>
          <w:sz w:val="24"/>
        </w:rPr>
        <w:t>If the collection of information impacts small businesses or other small entities</w:t>
      </w:r>
      <w:r w:rsidRPr="00CB4CB1" w:rsidR="002C302A">
        <w:rPr>
          <w:i w:val="0"/>
          <w:sz w:val="24"/>
        </w:rPr>
        <w:t xml:space="preserve"> </w:t>
      </w:r>
      <w:r w:rsidRPr="00CB4CB1">
        <w:rPr>
          <w:i w:val="0"/>
          <w:sz w:val="24"/>
        </w:rPr>
        <w:t>describe any methods used to minimize burden.</w:t>
      </w:r>
    </w:p>
    <w:p w:rsidR="00735BE9" w:rsidP="00134D0A" w:rsidRDefault="00735BE9" w14:paraId="7934FD1F" w14:textId="77777777">
      <w:pPr>
        <w:widowControl/>
        <w:ind w:left="720"/>
      </w:pPr>
    </w:p>
    <w:p w:rsidR="003F72C9" w:rsidP="00134D0A" w:rsidRDefault="005660C7" w14:paraId="00DF900B" w14:textId="77777777">
      <w:pPr>
        <w:widowControl/>
        <w:ind w:left="720"/>
      </w:pPr>
      <w:r w:rsidRPr="005660C7">
        <w:t xml:space="preserve">For purposes of this </w:t>
      </w:r>
      <w:r w:rsidR="00055314">
        <w:t>IC</w:t>
      </w:r>
      <w:r w:rsidRPr="005660C7">
        <w:t xml:space="preserve"> (and more generally for purposes of economic analysis under ERISA), the Department considers “small entities” to be employee benefit plans with fewer than 100 participants (i.e., “small plans”)</w:t>
      </w:r>
      <w:r w:rsidRPr="005660C7" w:rsidR="00A262B9">
        <w:t xml:space="preserve">.  </w:t>
      </w:r>
      <w:r w:rsidRPr="00EF4988" w:rsidR="00EF4988">
        <w:t xml:space="preserve">The basis of this definition is found in section 104(a)(2) of ERISA, which permits the Secretary of </w:t>
      </w:r>
      <w:r w:rsidRPr="00EF4988" w:rsidR="00EF4988">
        <w:lastRenderedPageBreak/>
        <w:t xml:space="preserve">Labor to prescribe simplified annual reports for pension plans that cover fewer than 100 participants.  </w:t>
      </w:r>
    </w:p>
    <w:p w:rsidR="003F72C9" w:rsidP="00134D0A" w:rsidRDefault="003F72C9" w14:paraId="1BA59A30" w14:textId="77777777">
      <w:pPr>
        <w:widowControl/>
        <w:ind w:left="720"/>
      </w:pPr>
    </w:p>
    <w:p w:rsidR="00181A5C" w:rsidP="006D3329" w:rsidRDefault="006D3329" w14:paraId="3B18F303" w14:textId="77777777">
      <w:pPr>
        <w:widowControl/>
        <w:ind w:left="720"/>
      </w:pPr>
      <w:r w:rsidRPr="006D3329">
        <w:t xml:space="preserve">While the rule is expected to affect small pension plans, it is not likely that there would be a significant economic impact on these plans.  The </w:t>
      </w:r>
      <w:r w:rsidR="003454F6">
        <w:t>final</w:t>
      </w:r>
      <w:r w:rsidRPr="006D3329">
        <w:t xml:space="preserve"> regulation provides guidance on how fiduciaries can comply with sections 404(a)(1)(A) and 404(a)(1)(B) of ERISA when investing plan assets.  The Department believes most plans are already fulfilling the requirements in the course of following </w:t>
      </w:r>
      <w:r w:rsidR="00F12E15">
        <w:t xml:space="preserve">the Department’s </w:t>
      </w:r>
      <w:r w:rsidRPr="006D3329">
        <w:t xml:space="preserve">prior guidance.  </w:t>
      </w:r>
    </w:p>
    <w:p w:rsidR="00181A5C" w:rsidP="006D3329" w:rsidRDefault="00181A5C" w14:paraId="472F9BAF" w14:textId="77777777">
      <w:pPr>
        <w:widowControl/>
        <w:ind w:left="720"/>
      </w:pPr>
    </w:p>
    <w:p w:rsidR="00E777BD" w:rsidP="007A6A6F" w:rsidRDefault="006D3329" w14:paraId="087465CA" w14:textId="77777777">
      <w:pPr>
        <w:widowControl/>
        <w:ind w:left="720"/>
      </w:pPr>
      <w:r w:rsidRPr="006D3329">
        <w:t xml:space="preserve">Plans </w:t>
      </w:r>
      <w:r w:rsidR="00181A5C">
        <w:t xml:space="preserve">are required </w:t>
      </w:r>
      <w:r w:rsidRPr="006D3329">
        <w:t xml:space="preserve">to document selections of investments based on non-pecuniary factors where the alternative investment options </w:t>
      </w:r>
      <w:r w:rsidR="0062581F">
        <w:t xml:space="preserve">could not be </w:t>
      </w:r>
      <w:r w:rsidR="00D65B44">
        <w:t>distinguish</w:t>
      </w:r>
      <w:r w:rsidR="0062581F">
        <w:t>ed</w:t>
      </w:r>
      <w:r w:rsidR="00D65B44">
        <w:t xml:space="preserve"> on the basis of pecuniary factors alone</w:t>
      </w:r>
      <w:r w:rsidR="00181A5C">
        <w:t xml:space="preserve"> after an appropriate evaluation</w:t>
      </w:r>
      <w:r w:rsidRPr="006D3329">
        <w:t xml:space="preserve">.  The Department believes that alternative investment options </w:t>
      </w:r>
      <w:r w:rsidR="00D65B44">
        <w:t>that are unable to be distinguished on the basis of pecuniary factors alone</w:t>
      </w:r>
      <w:r w:rsidRPr="006D3329">
        <w:t xml:space="preserve"> should occur very rarely in practice.  The Department estimates a cost of less than $380</w:t>
      </w:r>
      <w:r w:rsidRPr="00233948" w:rsidR="00233948">
        <w:rPr>
          <w:rFonts w:eastAsiaTheme="minorHAnsi"/>
        </w:rPr>
        <w:t xml:space="preserve"> </w:t>
      </w:r>
      <w:r w:rsidRPr="006D3329" w:rsidR="001531C1">
        <w:t>per affected plan</w:t>
      </w:r>
      <w:r w:rsidR="00935A8A">
        <w:t xml:space="preserve"> </w:t>
      </w:r>
      <w:r w:rsidRPr="00233948" w:rsidR="00233948">
        <w:t xml:space="preserve">needing to document their decisions </w:t>
      </w:r>
      <w:r w:rsidRPr="006D3329">
        <w:t xml:space="preserve">for plan fiduciaries and clerical professionals to fulfill the documentation requirement.  </w:t>
      </w:r>
    </w:p>
    <w:p w:rsidRPr="000E0DAF" w:rsidR="005660C7" w:rsidP="000A516A" w:rsidRDefault="005660C7" w14:paraId="7471A85B" w14:textId="77777777">
      <w:pPr>
        <w:widowControl/>
      </w:pPr>
    </w:p>
    <w:p w:rsidRPr="00CB4CB1" w:rsidR="00735BE9" w:rsidP="00134D0A" w:rsidRDefault="00735BE9" w14:paraId="4754B12E" w14:textId="77777777">
      <w:pPr>
        <w:pStyle w:val="Quick1"/>
        <w:widowControl/>
        <w:tabs>
          <w:tab w:val="clear" w:pos="360"/>
        </w:tabs>
        <w:ind w:left="720" w:hanging="720"/>
        <w:rPr>
          <w:i w:val="0"/>
          <w:sz w:val="24"/>
        </w:rPr>
      </w:pPr>
      <w:r w:rsidRPr="00CB4CB1">
        <w:rPr>
          <w:i w:val="0"/>
          <w:sz w:val="24"/>
        </w:rPr>
        <w:t>Describe the consequence to Federal program or policy activities if the collection is not conducted or is conducted less frequently, as well as any technical or legal obstacles to reducing burden.</w:t>
      </w:r>
    </w:p>
    <w:p w:rsidR="00B91D11" w:rsidP="008B486F" w:rsidRDefault="00B91D11" w14:paraId="171E10F3" w14:textId="77777777">
      <w:pPr>
        <w:pStyle w:val="Quick1"/>
        <w:widowControl/>
        <w:numPr>
          <w:ilvl w:val="0"/>
          <w:numId w:val="0"/>
        </w:numPr>
        <w:ind w:left="720"/>
        <w:rPr>
          <w:sz w:val="24"/>
        </w:rPr>
      </w:pPr>
    </w:p>
    <w:p w:rsidR="00E12AC3" w:rsidP="00C62422" w:rsidRDefault="0062581F" w14:paraId="777CE894" w14:textId="77777777">
      <w:pPr>
        <w:pStyle w:val="Quick1"/>
        <w:widowControl/>
        <w:numPr>
          <w:ilvl w:val="0"/>
          <w:numId w:val="0"/>
        </w:numPr>
        <w:ind w:left="720"/>
        <w:rPr>
          <w:b w:val="0"/>
          <w:i w:val="0"/>
          <w:sz w:val="24"/>
        </w:rPr>
      </w:pPr>
      <w:r w:rsidRPr="0062581F">
        <w:rPr>
          <w:b w:val="0"/>
          <w:i w:val="0"/>
          <w:sz w:val="24"/>
        </w:rPr>
        <w:t>The purpose of th</w:t>
      </w:r>
      <w:r>
        <w:rPr>
          <w:b w:val="0"/>
          <w:i w:val="0"/>
          <w:sz w:val="24"/>
        </w:rPr>
        <w:t xml:space="preserve">e regulation is </w:t>
      </w:r>
      <w:r w:rsidRPr="0062581F">
        <w:rPr>
          <w:b w:val="0"/>
          <w:i w:val="0"/>
          <w:sz w:val="24"/>
        </w:rPr>
        <w:t>to set forth a regulatory structure to assist ERISA fiduciaries in navigating these ESG investment trends and to separate the legitimate use of risk-return factors from inappropriate investments that sacrifice investment return, increase costs, or assume additional investment risk to promote non-pecuniary benefits or objectives.</w:t>
      </w:r>
      <w:r>
        <w:rPr>
          <w:b w:val="0"/>
          <w:i w:val="0"/>
          <w:sz w:val="24"/>
        </w:rPr>
        <w:t xml:space="preserve"> </w:t>
      </w:r>
      <w:r w:rsidR="00000426">
        <w:rPr>
          <w:b w:val="0"/>
          <w:i w:val="0"/>
          <w:sz w:val="24"/>
        </w:rPr>
        <w:t>Th</w:t>
      </w:r>
      <w:r w:rsidR="005E784A">
        <w:rPr>
          <w:b w:val="0"/>
          <w:i w:val="0"/>
          <w:sz w:val="24"/>
        </w:rPr>
        <w:t>ese</w:t>
      </w:r>
      <w:r w:rsidR="00000426">
        <w:rPr>
          <w:b w:val="0"/>
          <w:i w:val="0"/>
          <w:sz w:val="24"/>
        </w:rPr>
        <w:t xml:space="preserve"> requirement</w:t>
      </w:r>
      <w:r w:rsidR="00E62084">
        <w:rPr>
          <w:b w:val="0"/>
          <w:i w:val="0"/>
          <w:sz w:val="24"/>
        </w:rPr>
        <w:t>s</w:t>
      </w:r>
      <w:r w:rsidR="00000426">
        <w:rPr>
          <w:b w:val="0"/>
          <w:i w:val="0"/>
          <w:sz w:val="24"/>
        </w:rPr>
        <w:t xml:space="preserve"> help ensure that </w:t>
      </w:r>
      <w:r w:rsidRPr="00000426" w:rsidR="00000426">
        <w:rPr>
          <w:b w:val="0"/>
          <w:i w:val="0"/>
          <w:sz w:val="24"/>
        </w:rPr>
        <w:t>plan assets are protected</w:t>
      </w:r>
      <w:r>
        <w:rPr>
          <w:b w:val="0"/>
          <w:i w:val="0"/>
          <w:sz w:val="24"/>
        </w:rPr>
        <w:t xml:space="preserve">, that </w:t>
      </w:r>
      <w:r w:rsidRPr="0062581F">
        <w:rPr>
          <w:b w:val="0"/>
          <w:i w:val="0"/>
          <w:sz w:val="24"/>
        </w:rPr>
        <w:t xml:space="preserve">the interests of participants and beneficiaries in the </w:t>
      </w:r>
      <w:r w:rsidRPr="0062581F">
        <w:rPr>
          <w:b w:val="0"/>
          <w:i w:val="0"/>
          <w:sz w:val="24"/>
        </w:rPr>
        <w:lastRenderedPageBreak/>
        <w:t>plan benefits</w:t>
      </w:r>
      <w:r>
        <w:rPr>
          <w:b w:val="0"/>
          <w:i w:val="0"/>
          <w:sz w:val="24"/>
        </w:rPr>
        <w:t xml:space="preserve"> are safeguarded, </w:t>
      </w:r>
      <w:r w:rsidR="00E62084">
        <w:rPr>
          <w:b w:val="0"/>
          <w:i w:val="0"/>
          <w:sz w:val="24"/>
        </w:rPr>
        <w:t xml:space="preserve">and that the Department can monitor the </w:t>
      </w:r>
      <w:r w:rsidRPr="00000426" w:rsidR="00000426">
        <w:rPr>
          <w:b w:val="0"/>
          <w:i w:val="0"/>
          <w:sz w:val="24"/>
        </w:rPr>
        <w:t>named fiduciar</w:t>
      </w:r>
      <w:r w:rsidR="00043616">
        <w:rPr>
          <w:b w:val="0"/>
          <w:i w:val="0"/>
          <w:sz w:val="24"/>
        </w:rPr>
        <w:t>y’s</w:t>
      </w:r>
      <w:r w:rsidRPr="00000426" w:rsidR="00000426">
        <w:rPr>
          <w:b w:val="0"/>
          <w:i w:val="0"/>
          <w:sz w:val="24"/>
        </w:rPr>
        <w:t xml:space="preserve"> compliance</w:t>
      </w:r>
      <w:r w:rsidR="00C153ED">
        <w:rPr>
          <w:b w:val="0"/>
          <w:i w:val="0"/>
          <w:sz w:val="24"/>
        </w:rPr>
        <w:t xml:space="preserve">.  </w:t>
      </w:r>
    </w:p>
    <w:p w:rsidR="00353E16" w:rsidP="008B486F" w:rsidRDefault="00353E16" w14:paraId="0DF37FB6" w14:textId="77777777">
      <w:pPr>
        <w:pStyle w:val="Quick1"/>
        <w:widowControl/>
        <w:numPr>
          <w:ilvl w:val="0"/>
          <w:numId w:val="0"/>
        </w:numPr>
        <w:ind w:left="720"/>
        <w:rPr>
          <w:sz w:val="24"/>
        </w:rPr>
      </w:pPr>
    </w:p>
    <w:p w:rsidRPr="00CB4CB1" w:rsidR="00735BE9" w:rsidP="00134D0A" w:rsidRDefault="00735BE9" w14:paraId="51772C07" w14:textId="77777777">
      <w:pPr>
        <w:pStyle w:val="Quick1"/>
        <w:widowControl/>
        <w:tabs>
          <w:tab w:val="clear" w:pos="360"/>
        </w:tabs>
        <w:ind w:left="720" w:hanging="720"/>
        <w:rPr>
          <w:i w:val="0"/>
          <w:sz w:val="24"/>
        </w:rPr>
      </w:pPr>
      <w:r w:rsidRPr="00CB4CB1">
        <w:rPr>
          <w:i w:val="0"/>
          <w:sz w:val="24"/>
        </w:rPr>
        <w:t>Explain any special circumstances that would cause an information collection to be conducted in a manner:</w:t>
      </w:r>
    </w:p>
    <w:p w:rsidRPr="00CB4CB1" w:rsidR="00735BE9" w:rsidP="00134D0A" w:rsidRDefault="00735BE9" w14:paraId="63E0EA3F" w14:textId="77777777">
      <w:pPr>
        <w:pStyle w:val="bulletlist"/>
        <w:widowControl/>
        <w:tabs>
          <w:tab w:val="clear" w:pos="-1440"/>
          <w:tab w:val="clear" w:pos="1080"/>
        </w:tabs>
        <w:ind w:left="1440"/>
        <w:rPr>
          <w:i w:val="0"/>
          <w:sz w:val="24"/>
        </w:rPr>
      </w:pPr>
      <w:r w:rsidRPr="00CB4CB1">
        <w:rPr>
          <w:i w:val="0"/>
          <w:sz w:val="24"/>
        </w:rPr>
        <w:t>requiring respondents to report information to the agency more often than quarterly;</w:t>
      </w:r>
    </w:p>
    <w:p w:rsidRPr="00CB4CB1" w:rsidR="00735BE9" w:rsidP="00134D0A" w:rsidRDefault="00735BE9" w14:paraId="46876DB2" w14:textId="77777777">
      <w:pPr>
        <w:pStyle w:val="bulletlist"/>
        <w:widowControl/>
        <w:tabs>
          <w:tab w:val="clear" w:pos="-1440"/>
          <w:tab w:val="clear" w:pos="1080"/>
        </w:tabs>
        <w:ind w:left="1440"/>
        <w:rPr>
          <w:i w:val="0"/>
          <w:sz w:val="24"/>
        </w:rPr>
      </w:pPr>
      <w:r w:rsidRPr="00CB4CB1">
        <w:rPr>
          <w:i w:val="0"/>
          <w:sz w:val="24"/>
        </w:rPr>
        <w:t>requiring respondents to prepare a written response to a collection of information in fewer than 30 days after receipt of it;</w:t>
      </w:r>
    </w:p>
    <w:p w:rsidRPr="00CB4CB1" w:rsidR="00735BE9" w:rsidP="00134D0A" w:rsidRDefault="00735BE9" w14:paraId="54881456" w14:textId="77777777">
      <w:pPr>
        <w:pStyle w:val="bulletlist"/>
        <w:widowControl/>
        <w:tabs>
          <w:tab w:val="clear" w:pos="-1440"/>
          <w:tab w:val="clear" w:pos="1080"/>
        </w:tabs>
        <w:ind w:left="1440"/>
        <w:rPr>
          <w:i w:val="0"/>
          <w:sz w:val="24"/>
        </w:rPr>
      </w:pPr>
      <w:r w:rsidRPr="00CB4CB1">
        <w:rPr>
          <w:i w:val="0"/>
          <w:sz w:val="24"/>
        </w:rPr>
        <w:t>requiring respondents to submit more than an original and two copies of any document;</w:t>
      </w:r>
    </w:p>
    <w:p w:rsidRPr="00CB4CB1" w:rsidR="00735BE9" w:rsidP="00134D0A" w:rsidRDefault="00735BE9" w14:paraId="03811CCF" w14:textId="77777777">
      <w:pPr>
        <w:pStyle w:val="bulletlist"/>
        <w:widowControl/>
        <w:tabs>
          <w:tab w:val="clear" w:pos="-1440"/>
          <w:tab w:val="clear" w:pos="1080"/>
        </w:tabs>
        <w:ind w:left="1440"/>
        <w:rPr>
          <w:i w:val="0"/>
          <w:sz w:val="24"/>
        </w:rPr>
      </w:pPr>
      <w:r w:rsidRPr="00CB4CB1">
        <w:rPr>
          <w:i w:val="0"/>
          <w:sz w:val="24"/>
        </w:rPr>
        <w:t>requiring respondents to retain records, other than health, medical, government contract, grant-in-aid, or tax records for more than three years;</w:t>
      </w:r>
    </w:p>
    <w:p w:rsidRPr="00CB4CB1" w:rsidR="00735BE9" w:rsidP="00134D0A" w:rsidRDefault="00735BE9" w14:paraId="0B3AE474" w14:textId="77777777">
      <w:pPr>
        <w:pStyle w:val="bulletlist"/>
        <w:widowControl/>
        <w:tabs>
          <w:tab w:val="clear" w:pos="-1440"/>
          <w:tab w:val="clear" w:pos="1080"/>
        </w:tabs>
        <w:ind w:left="1440"/>
        <w:rPr>
          <w:i w:val="0"/>
          <w:sz w:val="24"/>
        </w:rPr>
      </w:pPr>
      <w:r w:rsidRPr="00CB4CB1">
        <w:rPr>
          <w:i w:val="0"/>
          <w:sz w:val="24"/>
        </w:rPr>
        <w:t>in connection with a statistical survey, that is not designed to produce valid and reliable results that can be generalized to the universe of study;</w:t>
      </w:r>
    </w:p>
    <w:p w:rsidRPr="00CB4CB1" w:rsidR="00735BE9" w:rsidP="00134D0A" w:rsidRDefault="00735BE9" w14:paraId="6D5AF2E8" w14:textId="77777777">
      <w:pPr>
        <w:pStyle w:val="bulletlist"/>
        <w:widowControl/>
        <w:tabs>
          <w:tab w:val="clear" w:pos="-1440"/>
          <w:tab w:val="clear" w:pos="1080"/>
        </w:tabs>
        <w:ind w:left="1440"/>
        <w:rPr>
          <w:i w:val="0"/>
          <w:sz w:val="24"/>
        </w:rPr>
      </w:pPr>
      <w:r w:rsidRPr="00CB4CB1">
        <w:rPr>
          <w:i w:val="0"/>
          <w:sz w:val="24"/>
        </w:rPr>
        <w:t>requiring the use of a statistical data classification that has not been reviewed and approved by OMB;</w:t>
      </w:r>
    </w:p>
    <w:p w:rsidRPr="00CB4CB1" w:rsidR="00735BE9" w:rsidP="00134D0A" w:rsidRDefault="00735BE9" w14:paraId="55259408" w14:textId="77777777">
      <w:pPr>
        <w:pStyle w:val="bulletlist"/>
        <w:widowControl/>
        <w:tabs>
          <w:tab w:val="clear" w:pos="-1440"/>
          <w:tab w:val="clear" w:pos="1080"/>
        </w:tabs>
        <w:ind w:left="1440"/>
        <w:rPr>
          <w:i w:val="0"/>
          <w:sz w:val="24"/>
        </w:rPr>
      </w:pPr>
      <w:r w:rsidRPr="00CB4CB1">
        <w:rPr>
          <w:i w:val="0"/>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B4CB1" w:rsidR="00735BE9" w:rsidP="00134D0A" w:rsidRDefault="00735BE9" w14:paraId="1DACEA86" w14:textId="77777777">
      <w:pPr>
        <w:pStyle w:val="bulletlist"/>
        <w:widowControl/>
        <w:tabs>
          <w:tab w:val="clear" w:pos="-1440"/>
          <w:tab w:val="clear" w:pos="1080"/>
        </w:tabs>
        <w:ind w:left="1440"/>
        <w:rPr>
          <w:i w:val="0"/>
          <w:sz w:val="24"/>
        </w:rPr>
      </w:pPr>
      <w:r w:rsidRPr="00CB4CB1">
        <w:rPr>
          <w:i w:val="0"/>
          <w:sz w:val="24"/>
        </w:rPr>
        <w:t>requiring respondents to submit proprietary trade secret, or other confidential information unless the agency can demonstrate that it has instituted procedures to protect the information</w:t>
      </w:r>
      <w:r w:rsidRPr="00CB4CB1" w:rsidR="00EE3556">
        <w:rPr>
          <w:i w:val="0"/>
          <w:sz w:val="24"/>
        </w:rPr>
        <w:t>’</w:t>
      </w:r>
      <w:r w:rsidRPr="00CB4CB1">
        <w:rPr>
          <w:i w:val="0"/>
          <w:sz w:val="24"/>
        </w:rPr>
        <w:t>s confidentiality to the extent permitted by law.</w:t>
      </w:r>
    </w:p>
    <w:p w:rsidR="00C01DB3" w:rsidP="00EB69FD" w:rsidRDefault="00C01DB3" w14:paraId="0DADD493" w14:textId="77777777">
      <w:pPr>
        <w:widowControl/>
      </w:pPr>
    </w:p>
    <w:p w:rsidRPr="00C01DB3" w:rsidR="00C01DB3" w:rsidP="00466492" w:rsidRDefault="00C01DB3" w14:paraId="60C0C03A" w14:textId="77777777">
      <w:pPr>
        <w:widowControl/>
        <w:ind w:left="720"/>
      </w:pPr>
      <w:r w:rsidRPr="00C01DB3">
        <w:lastRenderedPageBreak/>
        <w:t>There are no special circumstances that require the collection to be conducted in a manner inconsistent with the guidelines in 5 CFR 1320.5.</w:t>
      </w:r>
    </w:p>
    <w:p w:rsidRPr="000E0DAF" w:rsidR="00E87401" w:rsidP="00C01DB3" w:rsidRDefault="00E87401" w14:paraId="5D9B4D15" w14:textId="77777777">
      <w:pPr>
        <w:widowControl/>
        <w:ind w:left="720"/>
      </w:pPr>
    </w:p>
    <w:p w:rsidRPr="00CB4CB1" w:rsidR="00735BE9" w:rsidP="00134D0A" w:rsidRDefault="00735BE9" w14:paraId="29E8FA91" w14:textId="77777777">
      <w:pPr>
        <w:pStyle w:val="Quick1"/>
        <w:widowControl/>
        <w:tabs>
          <w:tab w:val="clear" w:pos="360"/>
        </w:tabs>
        <w:ind w:left="720" w:hanging="720"/>
        <w:rPr>
          <w:i w:val="0"/>
          <w:sz w:val="24"/>
        </w:rPr>
      </w:pPr>
      <w:r w:rsidRPr="00CB4CB1">
        <w:rPr>
          <w:i w:val="0"/>
          <w:sz w:val="24"/>
        </w:rPr>
        <w:t>If applicable, provide a copy and identify the date and page number of publication in the Federal Register of the agency</w:t>
      </w:r>
      <w:r w:rsidRPr="00CB4CB1" w:rsidR="00EE3556">
        <w:rPr>
          <w:i w:val="0"/>
          <w:sz w:val="24"/>
        </w:rPr>
        <w:t>’</w:t>
      </w:r>
      <w:r w:rsidRPr="00CB4CB1">
        <w:rPr>
          <w:i w:val="0"/>
          <w:sz w:val="24"/>
        </w:rPr>
        <w:t xml:space="preserve">s notice, required by 5 </w:t>
      </w:r>
      <w:r w:rsidRPr="00CB4CB1" w:rsidR="0084089D">
        <w:rPr>
          <w:i w:val="0"/>
          <w:sz w:val="24"/>
        </w:rPr>
        <w:t xml:space="preserve">C.F.R. </w:t>
      </w:r>
      <w:r w:rsidRPr="00CB4CB1" w:rsidR="00DF43AB">
        <w:rPr>
          <w:i w:val="0"/>
          <w:sz w:val="24"/>
        </w:rPr>
        <w:t>§</w:t>
      </w:r>
      <w:r w:rsidRPr="00CB4CB1">
        <w:rPr>
          <w:i w:val="0"/>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B4CB1" w:rsidR="00735BE9" w:rsidP="00134D0A" w:rsidRDefault="00735BE9" w14:paraId="69E161A4" w14:textId="77777777">
      <w:pPr>
        <w:widowControl/>
        <w:ind w:left="720"/>
      </w:pPr>
    </w:p>
    <w:p w:rsidRPr="00CB4CB1" w:rsidR="00735BE9" w:rsidP="00134D0A" w:rsidRDefault="00735BE9" w14:paraId="066BD009" w14:textId="77777777">
      <w:pPr>
        <w:widowControl/>
        <w:ind w:left="720"/>
        <w:rPr>
          <w:b/>
        </w:rPr>
      </w:pPr>
      <w:r w:rsidRPr="00CB4CB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B4CB1" w:rsidR="00735BE9" w:rsidP="00134D0A" w:rsidRDefault="00735BE9" w14:paraId="71189B9E" w14:textId="77777777">
      <w:pPr>
        <w:widowControl/>
        <w:ind w:left="720"/>
        <w:rPr>
          <w:b/>
        </w:rPr>
      </w:pPr>
    </w:p>
    <w:p w:rsidRPr="00CB4CB1" w:rsidR="00735BE9" w:rsidP="00E87401" w:rsidRDefault="00735BE9" w14:paraId="5816FEFF" w14:textId="77777777">
      <w:pPr>
        <w:widowControl/>
        <w:ind w:left="720"/>
        <w:rPr>
          <w:b/>
        </w:rPr>
      </w:pPr>
      <w:r w:rsidRPr="00CB4CB1">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D4C16" w:rsidP="00E87401" w:rsidRDefault="006D4C16" w14:paraId="05416D8F" w14:textId="77777777">
      <w:pPr>
        <w:widowControl/>
        <w:ind w:left="720"/>
        <w:rPr>
          <w:b/>
          <w:i/>
          <w:iCs/>
        </w:rPr>
      </w:pPr>
    </w:p>
    <w:p w:rsidR="00737C7D" w:rsidP="00737C7D" w:rsidRDefault="009A7788" w14:paraId="3A14B029" w14:textId="4688B0B1">
      <w:pPr>
        <w:ind w:left="720"/>
        <w:rPr>
          <w:color w:val="000000"/>
        </w:rPr>
      </w:pPr>
      <w:r w:rsidRPr="00116257">
        <w:rPr>
          <w:bCs/>
        </w:rPr>
        <w:t xml:space="preserve">The Department published the </w:t>
      </w:r>
      <w:r>
        <w:rPr>
          <w:bCs/>
        </w:rPr>
        <w:t xml:space="preserve">required 60-day </w:t>
      </w:r>
      <w:r w:rsidRPr="00116257">
        <w:rPr>
          <w:bCs/>
        </w:rPr>
        <w:t xml:space="preserve">notice </w:t>
      </w:r>
      <w:r w:rsidRPr="006C4E0B">
        <w:rPr>
          <w:iCs/>
        </w:rPr>
        <w:t xml:space="preserve">soliciting comments on the </w:t>
      </w:r>
      <w:r w:rsidR="00055314">
        <w:rPr>
          <w:iCs/>
        </w:rPr>
        <w:t>IC</w:t>
      </w:r>
      <w:r>
        <w:rPr>
          <w:iCs/>
        </w:rPr>
        <w:t xml:space="preserve"> </w:t>
      </w:r>
      <w:r w:rsidR="00F12E15">
        <w:rPr>
          <w:iCs/>
        </w:rPr>
        <w:t>in</w:t>
      </w:r>
      <w:r>
        <w:rPr>
          <w:iCs/>
        </w:rPr>
        <w:t xml:space="preserve"> the </w:t>
      </w:r>
      <w:r w:rsidR="00F12E15">
        <w:rPr>
          <w:iCs/>
        </w:rPr>
        <w:t xml:space="preserve">preamble to the </w:t>
      </w:r>
      <w:r>
        <w:rPr>
          <w:iCs/>
        </w:rPr>
        <w:t xml:space="preserve">Notice of Proposed Rulemaking published in the Federal Register on June 30, 2020 (85 FR 39113).  In response, </w:t>
      </w:r>
      <w:r w:rsidRPr="00B15720" w:rsidR="00FE2E2E">
        <w:rPr>
          <w:color w:val="000000" w:themeColor="text1"/>
        </w:rPr>
        <w:t>the Department received over 1,100 written comments during the open comment period from a variety of parties, including members of Congress, plan sponsors and fiduciaries, plan service and investment providers</w:t>
      </w:r>
      <w:r w:rsidR="00F12E15">
        <w:rPr>
          <w:color w:val="000000" w:themeColor="text1"/>
        </w:rPr>
        <w:t xml:space="preserve">. </w:t>
      </w:r>
      <w:r w:rsidR="00551A1A">
        <w:rPr>
          <w:color w:val="000000" w:themeColor="text1"/>
        </w:rPr>
        <w:t xml:space="preserve"> </w:t>
      </w:r>
      <w:r w:rsidR="00F12E15">
        <w:rPr>
          <w:color w:val="000000" w:themeColor="text1"/>
        </w:rPr>
        <w:t>The Department also received</w:t>
      </w:r>
      <w:r w:rsidR="00CB3C81">
        <w:rPr>
          <w:color w:val="000000" w:themeColor="text1"/>
        </w:rPr>
        <w:t xml:space="preserve"> over 7,600 submissions </w:t>
      </w:r>
      <w:r w:rsidRPr="00B15720" w:rsidR="00FE2E2E">
        <w:rPr>
          <w:color w:val="000000" w:themeColor="text1"/>
        </w:rPr>
        <w:t>as part of six separate petitions</w:t>
      </w:r>
      <w:r w:rsidR="00FE2E2E">
        <w:rPr>
          <w:color w:val="000000" w:themeColor="text1"/>
        </w:rPr>
        <w:t xml:space="preserve"> (i.e., form letters)</w:t>
      </w:r>
      <w:r w:rsidRPr="00B15720" w:rsidR="00FE2E2E">
        <w:rPr>
          <w:color w:val="000000" w:themeColor="text1"/>
        </w:rPr>
        <w:t>.</w:t>
      </w:r>
      <w:r>
        <w:rPr>
          <w:iCs/>
        </w:rPr>
        <w:t xml:space="preserve">  </w:t>
      </w:r>
      <w:r w:rsidRPr="00366869">
        <w:rPr>
          <w:iCs/>
        </w:rPr>
        <w:t xml:space="preserve">Responses to all comments are </w:t>
      </w:r>
      <w:r>
        <w:rPr>
          <w:iCs/>
        </w:rPr>
        <w:t xml:space="preserve">discussed in </w:t>
      </w:r>
      <w:r w:rsidRPr="00366869">
        <w:rPr>
          <w:iCs/>
        </w:rPr>
        <w:t>the preamble of the final rule</w:t>
      </w:r>
      <w:r>
        <w:rPr>
          <w:iCs/>
        </w:rPr>
        <w:t xml:space="preserve">.  </w:t>
      </w:r>
      <w:r w:rsidR="00482BC1">
        <w:rPr>
          <w:iCs/>
        </w:rPr>
        <w:t xml:space="preserve">The comments can be </w:t>
      </w:r>
      <w:r w:rsidR="00482BC1">
        <w:rPr>
          <w:iCs/>
        </w:rPr>
        <w:lastRenderedPageBreak/>
        <w:t xml:space="preserve">found at </w:t>
      </w:r>
      <w:r w:rsidRPr="00482BC1" w:rsidR="00482BC1">
        <w:rPr>
          <w:iCs/>
        </w:rPr>
        <w:t>https://www.dol.gov/agencies/ebsa/laws-and-regulations/rules-and-regulations/public-comments/1210-AB95</w:t>
      </w:r>
      <w:r w:rsidR="00482BC1">
        <w:rPr>
          <w:iCs/>
        </w:rPr>
        <w:t>.</w:t>
      </w:r>
    </w:p>
    <w:p w:rsidRPr="00292222" w:rsidR="00935C00" w:rsidP="00CB4CB1" w:rsidRDefault="00935C00" w14:paraId="46B6EAFD" w14:textId="77777777">
      <w:pPr>
        <w:spacing w:before="100" w:beforeAutospacing="1" w:after="100" w:afterAutospacing="1"/>
        <w:ind w:left="720"/>
      </w:pPr>
      <w:r w:rsidRPr="00292222">
        <w:t xml:space="preserve">The Department received several comments that specifically addressed the paperwork burden analysis of the </w:t>
      </w:r>
      <w:r w:rsidR="00055314">
        <w:t>IC</w:t>
      </w:r>
      <w:r w:rsidRPr="00292222">
        <w:t xml:space="preserve"> contained in the proposed rule.  The Department took into account such public comments in developing the revised paperwork burden analysis </w:t>
      </w:r>
      <w:r w:rsidR="00F12E15">
        <w:t xml:space="preserve">for the final rule </w:t>
      </w:r>
      <w:r w:rsidRPr="00292222">
        <w:t>discussed below.</w:t>
      </w:r>
    </w:p>
    <w:p w:rsidRPr="00292222" w:rsidR="00964CF2" w:rsidP="00CB4CB1" w:rsidRDefault="00964CF2" w14:paraId="7261BA6F" w14:textId="77777777">
      <w:pPr>
        <w:spacing w:before="100" w:beforeAutospacing="1" w:after="100" w:afterAutospacing="1"/>
        <w:ind w:left="720"/>
      </w:pPr>
      <w:r w:rsidRPr="00292222">
        <w:t xml:space="preserve">Some commenters suggested that the Department underestimated the cost associated with documenting the required information.  Specifically, they asserted that the Department underestimated the labor rates for attorneys and the time required to document the required information.  The Department disagrees with both of these comments.  Instead of using an attorney labor rate, the Department based its estimate on a plan fiduciary’s labor rate, because this task could be performed by attorneys or other types of professionals including financial professionals.  The labor rate estimates were based on estimates from the Bureau of Labor Statistics (BLS).  While the Department understands that hiring outside services can come at a higher cost, the Department believes that using the BLS estimate is appropriate for purposes of this analysis. </w:t>
      </w:r>
    </w:p>
    <w:p w:rsidRPr="00E87401" w:rsidR="003733BF" w:rsidP="002C657D" w:rsidRDefault="00964CF2" w14:paraId="2A3A1BF4" w14:textId="77777777">
      <w:pPr>
        <w:spacing w:before="100" w:beforeAutospacing="1" w:after="100" w:afterAutospacing="1"/>
        <w:ind w:left="720"/>
        <w:rPr>
          <w:b/>
          <w:i/>
          <w:iCs/>
        </w:rPr>
      </w:pPr>
      <w:r w:rsidRPr="00292222">
        <w:t>Commenters claimed that the two hours estimated to document when alternative investments cannot be distinguished based on pecuniary factors underestimated the burden.  The Department continues to believe that a prudent process required by ERISA should already include the burden of research and consideration.  The burden associated with this ICR is for plan fiduciaries to meet the final rule’s specific documentation requirement.  In the final rule, the Department explicitly set forth the three items that must be documented.  Stating precisely what is required to be documented should help lower the cost of compliance, because fiduciaries know the specific information that must be documented.  In response to the comments, even as the burden</w:t>
      </w:r>
      <w:r>
        <w:t xml:space="preserve"> of the rule</w:t>
      </w:r>
      <w:r w:rsidRPr="00292222">
        <w:t xml:space="preserve"> has been reduced, the quantified costs estimate has not.</w:t>
      </w:r>
    </w:p>
    <w:p w:rsidRPr="00CB4CB1" w:rsidR="00735BE9" w:rsidP="00EB69FD" w:rsidRDefault="00735BE9" w14:paraId="124F1B36" w14:textId="77777777">
      <w:pPr>
        <w:pStyle w:val="Quick1"/>
        <w:widowControl/>
        <w:tabs>
          <w:tab w:val="clear" w:pos="360"/>
        </w:tabs>
        <w:ind w:left="720" w:hanging="720"/>
        <w:rPr>
          <w:i w:val="0"/>
        </w:rPr>
      </w:pPr>
      <w:r w:rsidRPr="00CB4CB1">
        <w:rPr>
          <w:i w:val="0"/>
          <w:sz w:val="24"/>
        </w:rPr>
        <w:lastRenderedPageBreak/>
        <w:t>Explain any decision to provide any payment or gift to respondents, other than remuneration of contractors or grantees.</w:t>
      </w:r>
    </w:p>
    <w:p w:rsidR="00735BE9" w:rsidP="004964C6" w:rsidRDefault="00735BE9" w14:paraId="7FD3A999" w14:textId="77777777">
      <w:pPr>
        <w:widowControl/>
        <w:ind w:left="720"/>
      </w:pPr>
    </w:p>
    <w:p w:rsidR="003D446F" w:rsidP="003D446F" w:rsidRDefault="003D446F" w14:paraId="761E619E" w14:textId="77777777">
      <w:pPr>
        <w:widowControl/>
        <w:ind w:left="720"/>
      </w:pPr>
      <w:r w:rsidRPr="003D446F">
        <w:t>No payments or gifts are provided to respondents.</w:t>
      </w:r>
    </w:p>
    <w:p w:rsidRPr="000E0DAF" w:rsidR="00E87401" w:rsidP="004964C6" w:rsidRDefault="00E87401" w14:paraId="0693E12A" w14:textId="77777777">
      <w:pPr>
        <w:widowControl/>
        <w:ind w:left="720"/>
      </w:pPr>
    </w:p>
    <w:p w:rsidRPr="00CB4CB1" w:rsidR="00735BE9" w:rsidP="004964C6" w:rsidRDefault="00735BE9" w14:paraId="7231B7FC" w14:textId="77777777">
      <w:pPr>
        <w:pStyle w:val="Quick1"/>
        <w:widowControl/>
        <w:tabs>
          <w:tab w:val="clear" w:pos="360"/>
        </w:tabs>
        <w:ind w:left="720" w:hanging="720"/>
        <w:rPr>
          <w:i w:val="0"/>
          <w:sz w:val="24"/>
        </w:rPr>
      </w:pPr>
      <w:r w:rsidRPr="00CB4CB1">
        <w:rPr>
          <w:i w:val="0"/>
          <w:sz w:val="24"/>
        </w:rPr>
        <w:t>Describe any assurance of confidentiality provided to respondents and the basis for the assurance in statute, regulation, or agency policy.</w:t>
      </w:r>
    </w:p>
    <w:p w:rsidR="00735BE9" w:rsidP="00EB69FD" w:rsidRDefault="00735BE9" w14:paraId="786C336F" w14:textId="77777777">
      <w:pPr>
        <w:widowControl/>
      </w:pPr>
    </w:p>
    <w:p w:rsidR="00E87401" w:rsidP="003733BF" w:rsidRDefault="003733BF" w14:paraId="69FE10F3" w14:textId="77777777">
      <w:pPr>
        <w:widowControl/>
        <w:ind w:left="720"/>
      </w:pPr>
      <w:r w:rsidRPr="003733BF">
        <w:t>There is no assurance of confidentiality provided to respondents.</w:t>
      </w:r>
    </w:p>
    <w:p w:rsidRPr="000E0DAF" w:rsidR="003733BF" w:rsidP="00EB69FD" w:rsidRDefault="003733BF" w14:paraId="52DD1C35" w14:textId="77777777">
      <w:pPr>
        <w:widowControl/>
      </w:pPr>
    </w:p>
    <w:p w:rsidRPr="00CB4CB1" w:rsidR="00735BE9" w:rsidP="004964C6" w:rsidRDefault="00735BE9" w14:paraId="0790069B" w14:textId="77777777">
      <w:pPr>
        <w:pStyle w:val="Quick1"/>
        <w:widowControl/>
        <w:tabs>
          <w:tab w:val="clear" w:pos="360"/>
        </w:tabs>
        <w:ind w:left="720" w:hanging="720"/>
        <w:rPr>
          <w:i w:val="0"/>
          <w:sz w:val="24"/>
        </w:rPr>
      </w:pPr>
      <w:r w:rsidRPr="00CB4CB1">
        <w:rPr>
          <w:i w:val="0"/>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BE9" w:rsidP="00EB69FD" w:rsidRDefault="00735BE9" w14:paraId="3B5A2A9F" w14:textId="77777777">
      <w:pPr>
        <w:pStyle w:val="BodyTextIndent"/>
        <w:widowControl/>
        <w:ind w:firstLine="0"/>
      </w:pPr>
    </w:p>
    <w:p w:rsidR="00E87401" w:rsidP="000A516A" w:rsidRDefault="009A265C" w14:paraId="0D21E617" w14:textId="77777777">
      <w:pPr>
        <w:pStyle w:val="BodyTextIndent"/>
      </w:pPr>
      <w:r w:rsidRPr="009A265C">
        <w:t>There are no questions of a sensitive nature.</w:t>
      </w:r>
    </w:p>
    <w:p w:rsidRPr="00E13F70" w:rsidR="00EB6AC9" w:rsidP="000A516A" w:rsidRDefault="00EB6AC9" w14:paraId="6884A90A" w14:textId="77777777">
      <w:pPr>
        <w:pStyle w:val="BodyTextIndent"/>
      </w:pPr>
    </w:p>
    <w:p w:rsidRPr="00CB4CB1" w:rsidR="00735BE9" w:rsidP="00E13F70" w:rsidRDefault="00735BE9" w14:paraId="4455D6AC" w14:textId="77777777">
      <w:pPr>
        <w:pStyle w:val="Quick1"/>
        <w:widowControl/>
        <w:tabs>
          <w:tab w:val="clear" w:pos="360"/>
        </w:tabs>
        <w:ind w:left="720" w:hanging="720"/>
        <w:rPr>
          <w:i w:val="0"/>
          <w:sz w:val="24"/>
        </w:rPr>
      </w:pPr>
      <w:r w:rsidRPr="00CB4CB1">
        <w:rPr>
          <w:i w:val="0"/>
          <w:sz w:val="24"/>
        </w:rPr>
        <w:t>Provide estimates of the hour burden of the collection of information.  The statement should:</w:t>
      </w:r>
    </w:p>
    <w:p w:rsidRPr="00CB4CB1" w:rsidR="00735BE9" w:rsidP="00E13F70" w:rsidRDefault="00735BE9" w14:paraId="2C196FDC" w14:textId="77777777">
      <w:pPr>
        <w:pStyle w:val="bulletlist"/>
        <w:widowControl/>
        <w:tabs>
          <w:tab w:val="clear" w:pos="-1440"/>
          <w:tab w:val="clear" w:pos="1080"/>
        </w:tabs>
        <w:ind w:left="1440"/>
        <w:rPr>
          <w:i w:val="0"/>
          <w:sz w:val="24"/>
        </w:rPr>
      </w:pPr>
      <w:r w:rsidRPr="00CB4CB1">
        <w:rPr>
          <w:i w:val="0"/>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CB4CB1">
        <w:rPr>
          <w:i w:val="0"/>
          <w:sz w:val="24"/>
        </w:rPr>
        <w:lastRenderedPageBreak/>
        <w:t>range of estimated hour burden, and explain the reasons for the variance.  Generally, estimates should not include burden hours for customary and usual business practices.</w:t>
      </w:r>
    </w:p>
    <w:p w:rsidRPr="00CB4CB1" w:rsidR="00735BE9" w:rsidP="00E13F70" w:rsidRDefault="00735BE9" w14:paraId="66E5098F" w14:textId="77777777">
      <w:pPr>
        <w:pStyle w:val="bulletlist"/>
        <w:widowControl/>
        <w:tabs>
          <w:tab w:val="clear" w:pos="-1440"/>
          <w:tab w:val="clear" w:pos="1080"/>
        </w:tabs>
        <w:ind w:left="1440"/>
        <w:rPr>
          <w:i w:val="0"/>
          <w:sz w:val="24"/>
        </w:rPr>
      </w:pPr>
      <w:r w:rsidRPr="00CB4CB1">
        <w:rPr>
          <w:i w:val="0"/>
          <w:sz w:val="24"/>
        </w:rPr>
        <w:t>If this request for approval covers more than one form, provide separate hour burden estimates for each form and aggregate the hour burdens in Item 13.</w:t>
      </w:r>
    </w:p>
    <w:p w:rsidRPr="002D490E" w:rsidR="00735BE9" w:rsidP="002D490E" w:rsidRDefault="00735BE9" w14:paraId="7BACAD74" w14:textId="77777777">
      <w:pPr>
        <w:pStyle w:val="bulletlist"/>
        <w:tabs>
          <w:tab w:val="clear" w:pos="-1440"/>
          <w:tab w:val="clear" w:pos="1080"/>
        </w:tabs>
        <w:ind w:left="1440"/>
        <w:rPr>
          <w:i w:val="0"/>
        </w:rPr>
      </w:pPr>
      <w:r w:rsidRPr="00FD36B6">
        <w:rPr>
          <w:i w:val="0"/>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Pr="00FD36B6" w:rsidR="00E13F70">
        <w:rPr>
          <w:i w:val="0"/>
          <w:sz w:val="24"/>
        </w:rPr>
        <w:t>should be included in Item 14</w:t>
      </w:r>
      <w:r w:rsidRPr="002D490E" w:rsidR="00E13F70">
        <w:rPr>
          <w:i w:val="0"/>
          <w:sz w:val="24"/>
        </w:rPr>
        <w:t>.</w:t>
      </w:r>
    </w:p>
    <w:p w:rsidRPr="00B667E9" w:rsidR="00616C1D" w:rsidP="00126A06" w:rsidRDefault="00616C1D" w14:paraId="2A873AAC" w14:textId="77777777">
      <w:pPr>
        <w:pStyle w:val="bulletlist"/>
        <w:numPr>
          <w:ilvl w:val="0"/>
          <w:numId w:val="0"/>
        </w:numPr>
        <w:rPr>
          <w:b w:val="0"/>
          <w:i w:val="0"/>
          <w:sz w:val="24"/>
          <w:shd w:val="clear" w:color="auto" w:fill="FFFFFF"/>
        </w:rPr>
      </w:pPr>
    </w:p>
    <w:p w:rsidR="0047722F" w:rsidP="00B667E9" w:rsidRDefault="0047722F" w14:paraId="20E291F5" w14:textId="77777777">
      <w:pPr>
        <w:pStyle w:val="bulletlist"/>
        <w:numPr>
          <w:ilvl w:val="0"/>
          <w:numId w:val="0"/>
        </w:numPr>
        <w:ind w:left="720"/>
        <w:rPr>
          <w:b w:val="0"/>
          <w:i w:val="0"/>
          <w:sz w:val="24"/>
          <w:shd w:val="clear" w:color="auto" w:fill="FFFFFF"/>
        </w:rPr>
      </w:pPr>
      <w:r w:rsidRPr="0047722F">
        <w:rPr>
          <w:b w:val="0"/>
          <w:i w:val="0"/>
          <w:sz w:val="24"/>
          <w:shd w:val="clear" w:color="auto" w:fill="FFFFFF"/>
        </w:rPr>
        <w:t>According to a 2018 survey by the NEPC, approximately 12 percent of private pension plans have adopted ESG investing.</w:t>
      </w:r>
      <w:r w:rsidRPr="0047722F">
        <w:rPr>
          <w:b w:val="0"/>
          <w:i w:val="0"/>
          <w:sz w:val="24"/>
          <w:shd w:val="clear" w:color="auto" w:fill="FFFFFF"/>
          <w:vertAlign w:val="superscript"/>
        </w:rPr>
        <w:footnoteReference w:id="2"/>
      </w:r>
      <w:r w:rsidRPr="0047722F">
        <w:rPr>
          <w:b w:val="0"/>
          <w:i w:val="0"/>
          <w:sz w:val="24"/>
          <w:shd w:val="clear" w:color="auto" w:fill="FFFFFF"/>
        </w:rPr>
        <w:t xml:space="preserve">  Another survey, conducted by the Callan Institute in 2019, found that about 19 percent of private sector pension plans consider ESG factors in investment decisions.</w:t>
      </w:r>
      <w:r w:rsidRPr="0047722F">
        <w:rPr>
          <w:b w:val="0"/>
          <w:i w:val="0"/>
          <w:sz w:val="24"/>
          <w:shd w:val="clear" w:color="auto" w:fill="FFFFFF"/>
          <w:vertAlign w:val="superscript"/>
        </w:rPr>
        <w:footnoteReference w:id="3"/>
      </w:r>
      <w:r w:rsidRPr="0047722F">
        <w:rPr>
          <w:b w:val="0"/>
          <w:i w:val="0"/>
          <w:sz w:val="24"/>
          <w:shd w:val="clear" w:color="auto" w:fill="FFFFFF"/>
        </w:rPr>
        <w:t xml:space="preserve">  Both of these estimates are calculated from samples that include both </w:t>
      </w:r>
      <w:r w:rsidR="002139BB">
        <w:rPr>
          <w:b w:val="0"/>
          <w:i w:val="0"/>
          <w:sz w:val="24"/>
          <w:shd w:val="clear" w:color="auto" w:fill="FFFFFF"/>
        </w:rPr>
        <w:t>defined benefit (</w:t>
      </w:r>
      <w:r w:rsidRPr="0047722F">
        <w:rPr>
          <w:b w:val="0"/>
          <w:i w:val="0"/>
          <w:sz w:val="24"/>
          <w:shd w:val="clear" w:color="auto" w:fill="FFFFFF"/>
        </w:rPr>
        <w:t>DB</w:t>
      </w:r>
      <w:r w:rsidR="002139BB">
        <w:rPr>
          <w:b w:val="0"/>
          <w:i w:val="0"/>
          <w:sz w:val="24"/>
          <w:shd w:val="clear" w:color="auto" w:fill="FFFFFF"/>
        </w:rPr>
        <w:t>)</w:t>
      </w:r>
      <w:r w:rsidRPr="0047722F">
        <w:rPr>
          <w:b w:val="0"/>
          <w:i w:val="0"/>
          <w:sz w:val="24"/>
          <w:shd w:val="clear" w:color="auto" w:fill="FFFFFF"/>
        </w:rPr>
        <w:t xml:space="preserve"> and </w:t>
      </w:r>
      <w:r w:rsidR="002139BB">
        <w:rPr>
          <w:b w:val="0"/>
          <w:i w:val="0"/>
          <w:sz w:val="24"/>
          <w:shd w:val="clear" w:color="auto" w:fill="FFFFFF"/>
        </w:rPr>
        <w:t>defined contribution (</w:t>
      </w:r>
      <w:r w:rsidRPr="0047722F">
        <w:rPr>
          <w:b w:val="0"/>
          <w:i w:val="0"/>
          <w:sz w:val="24"/>
          <w:shd w:val="clear" w:color="auto" w:fill="FFFFFF"/>
        </w:rPr>
        <w:t>DC</w:t>
      </w:r>
      <w:r w:rsidR="002139BB">
        <w:rPr>
          <w:b w:val="0"/>
          <w:i w:val="0"/>
          <w:sz w:val="24"/>
          <w:shd w:val="clear" w:color="auto" w:fill="FFFFFF"/>
        </w:rPr>
        <w:t>)</w:t>
      </w:r>
      <w:r w:rsidRPr="0047722F">
        <w:rPr>
          <w:b w:val="0"/>
          <w:i w:val="0"/>
          <w:sz w:val="24"/>
          <w:shd w:val="clear" w:color="auto" w:fill="FFFFFF"/>
        </w:rPr>
        <w:t xml:space="preserve"> plans.  Some DB plans that consider ESG factors will not be affected by the final rule because they focus only on the financial aspects of ESG factors, rather than on non-pecuniary objectives.  In order to generate an upper-bound estimate of the costs; however, the Department assumes that 19 percent of DB plans will be affected by the final rule</w:t>
      </w:r>
      <w:r>
        <w:rPr>
          <w:b w:val="0"/>
          <w:i w:val="0"/>
          <w:sz w:val="24"/>
          <w:shd w:val="clear" w:color="auto" w:fill="FFFFFF"/>
        </w:rPr>
        <w:t xml:space="preserve"> and </w:t>
      </w:r>
      <w:r w:rsidRPr="0047722F">
        <w:rPr>
          <w:b w:val="0"/>
          <w:i w:val="0"/>
          <w:sz w:val="24"/>
          <w:shd w:val="clear" w:color="auto" w:fill="FFFFFF"/>
        </w:rPr>
        <w:t>19 percent of DC plans with investments that are not participant directed will be affected</w:t>
      </w:r>
      <w:r>
        <w:rPr>
          <w:b w:val="0"/>
          <w:i w:val="0"/>
          <w:sz w:val="24"/>
          <w:shd w:val="clear" w:color="auto" w:fill="FFFFFF"/>
        </w:rPr>
        <w:t xml:space="preserve">. </w:t>
      </w:r>
    </w:p>
    <w:p w:rsidR="0047722F" w:rsidP="0047722F" w:rsidRDefault="0047722F" w14:paraId="2F0623B2" w14:textId="77777777">
      <w:pPr>
        <w:pStyle w:val="bulletlist"/>
        <w:numPr>
          <w:ilvl w:val="0"/>
          <w:numId w:val="0"/>
        </w:numPr>
        <w:ind w:left="720"/>
        <w:rPr>
          <w:b w:val="0"/>
          <w:i w:val="0"/>
          <w:sz w:val="24"/>
          <w:shd w:val="clear" w:color="auto" w:fill="FFFFFF"/>
        </w:rPr>
      </w:pPr>
    </w:p>
    <w:p w:rsidR="00FA499D" w:rsidP="0047722F" w:rsidRDefault="00D366E1" w14:paraId="19942647" w14:textId="77777777">
      <w:pPr>
        <w:pStyle w:val="bulletlist"/>
        <w:numPr>
          <w:ilvl w:val="0"/>
          <w:numId w:val="0"/>
        </w:numPr>
        <w:ind w:left="720"/>
        <w:rPr>
          <w:b w:val="0"/>
          <w:i w:val="0"/>
          <w:sz w:val="24"/>
          <w:shd w:val="clear" w:color="auto" w:fill="FFFFFF"/>
        </w:rPr>
      </w:pPr>
      <w:r>
        <w:rPr>
          <w:b w:val="0"/>
          <w:i w:val="0"/>
          <w:sz w:val="24"/>
          <w:shd w:val="clear" w:color="auto" w:fill="FFFFFF"/>
        </w:rPr>
        <w:t>Furthermore, a</w:t>
      </w:r>
      <w:r w:rsidRPr="00FA499D" w:rsidR="00FA499D">
        <w:rPr>
          <w:b w:val="0"/>
          <w:i w:val="0"/>
          <w:sz w:val="24"/>
          <w:shd w:val="clear" w:color="auto" w:fill="FFFFFF"/>
        </w:rPr>
        <w:t>ccording to the Plan Sponsor C</w:t>
      </w:r>
      <w:r>
        <w:rPr>
          <w:b w:val="0"/>
          <w:i w:val="0"/>
          <w:sz w:val="24"/>
          <w:shd w:val="clear" w:color="auto" w:fill="FFFFFF"/>
        </w:rPr>
        <w:t xml:space="preserve">ouncil of America, about three </w:t>
      </w:r>
      <w:r w:rsidRPr="00FA499D" w:rsidR="00FA499D">
        <w:rPr>
          <w:b w:val="0"/>
          <w:i w:val="0"/>
          <w:sz w:val="24"/>
          <w:shd w:val="clear" w:color="auto" w:fill="FFFFFF"/>
        </w:rPr>
        <w:t>percent of 401(k) and/or profit sharing plans offered at least one ESG-themed investment option in 2018.</w:t>
      </w:r>
      <w:r w:rsidRPr="00FA499D" w:rsidR="00FA499D">
        <w:rPr>
          <w:b w:val="0"/>
          <w:i w:val="0"/>
          <w:sz w:val="24"/>
          <w:shd w:val="clear" w:color="auto" w:fill="FFFFFF"/>
          <w:vertAlign w:val="superscript"/>
        </w:rPr>
        <w:footnoteReference w:id="4"/>
      </w:r>
      <w:r w:rsidRPr="00FA499D" w:rsidR="00FA499D">
        <w:rPr>
          <w:b w:val="0"/>
          <w:i w:val="0"/>
          <w:sz w:val="24"/>
          <w:shd w:val="clear" w:color="auto" w:fill="FFFFFF"/>
        </w:rPr>
        <w:t xml:space="preserve">  Vanguard’s 2018 administrative data show that approximately nine percent of DC plans offered one or more “socially responsible” domestic equity fund options.</w:t>
      </w:r>
      <w:r w:rsidRPr="00FA499D" w:rsidR="00FA499D">
        <w:rPr>
          <w:b w:val="0"/>
          <w:i w:val="0"/>
          <w:sz w:val="24"/>
          <w:shd w:val="clear" w:color="auto" w:fill="FFFFFF"/>
          <w:vertAlign w:val="superscript"/>
        </w:rPr>
        <w:footnoteReference w:id="5"/>
      </w:r>
      <w:r w:rsidRPr="00FA499D" w:rsidR="00FA499D">
        <w:rPr>
          <w:b w:val="0"/>
          <w:i w:val="0"/>
          <w:sz w:val="24"/>
          <w:shd w:val="clear" w:color="auto" w:fill="FFFFFF"/>
        </w:rPr>
        <w:t xml:space="preserve">  In a comment letter, Fidelity Investments reported that 14.5 percent of corporate DC plans with fewer than 50 participants offered an ESG option, and that the figure is higher for large plans with at least 1,000 participants.  Considering these sources together, the Department assumes that nine percent of participant-directed individual account plans have at least one ESG-themed designated investment alternative and will be affected by the final rule.  </w:t>
      </w:r>
    </w:p>
    <w:p w:rsidR="00FA499D" w:rsidP="00472341" w:rsidRDefault="00FA499D" w14:paraId="638D37A0" w14:textId="77777777">
      <w:pPr>
        <w:pStyle w:val="bulletlist"/>
        <w:numPr>
          <w:ilvl w:val="0"/>
          <w:numId w:val="0"/>
        </w:numPr>
        <w:rPr>
          <w:b w:val="0"/>
          <w:i w:val="0"/>
          <w:sz w:val="24"/>
          <w:shd w:val="clear" w:color="auto" w:fill="FFFFFF"/>
        </w:rPr>
      </w:pPr>
    </w:p>
    <w:p w:rsidR="00653119" w:rsidP="00B667E9" w:rsidRDefault="00E3043C" w14:paraId="3B9BDA0E" w14:textId="2E835270">
      <w:pPr>
        <w:pStyle w:val="bulletlist"/>
        <w:numPr>
          <w:ilvl w:val="0"/>
          <w:numId w:val="0"/>
        </w:numPr>
        <w:ind w:left="720"/>
        <w:rPr>
          <w:b w:val="0"/>
          <w:i w:val="0"/>
          <w:sz w:val="24"/>
          <w:shd w:val="clear" w:color="auto" w:fill="FFFFFF"/>
        </w:rPr>
      </w:pPr>
      <w:r>
        <w:rPr>
          <w:b w:val="0"/>
          <w:i w:val="0"/>
          <w:sz w:val="24"/>
          <w:shd w:val="clear" w:color="auto" w:fill="FFFFFF"/>
        </w:rPr>
        <w:t>T</w:t>
      </w:r>
      <w:r w:rsidR="004E4F1A">
        <w:rPr>
          <w:b w:val="0"/>
          <w:i w:val="0"/>
          <w:sz w:val="24"/>
          <w:shd w:val="clear" w:color="auto" w:fill="FFFFFF"/>
        </w:rPr>
        <w:t>hus</w:t>
      </w:r>
      <w:r>
        <w:rPr>
          <w:b w:val="0"/>
          <w:i w:val="0"/>
          <w:sz w:val="24"/>
          <w:shd w:val="clear" w:color="auto" w:fill="FFFFFF"/>
        </w:rPr>
        <w:t xml:space="preserve">, </w:t>
      </w:r>
      <w:r w:rsidRPr="00ED2D1E" w:rsidR="00ED2D1E">
        <w:rPr>
          <w:b w:val="0"/>
          <w:i w:val="0"/>
          <w:sz w:val="24"/>
          <w:shd w:val="clear" w:color="auto" w:fill="FFFFFF"/>
        </w:rPr>
        <w:t>there are 8,905 DB plans and 17,676 DC plans with ESG investments that are not participant directed, and 52,378 participant-directed individual account plans</w:t>
      </w:r>
      <w:r>
        <w:rPr>
          <w:b w:val="0"/>
          <w:i w:val="0"/>
          <w:sz w:val="24"/>
          <w:shd w:val="clear" w:color="auto" w:fill="FFFFFF"/>
        </w:rPr>
        <w:t>, a</w:t>
      </w:r>
      <w:r w:rsidRPr="00ED2D1E">
        <w:rPr>
          <w:b w:val="0"/>
          <w:i w:val="0"/>
          <w:sz w:val="24"/>
          <w:shd w:val="clear" w:color="auto" w:fill="FFFFFF"/>
        </w:rPr>
        <w:t>ccordi</w:t>
      </w:r>
      <w:r>
        <w:rPr>
          <w:b w:val="0"/>
          <w:i w:val="0"/>
          <w:sz w:val="24"/>
          <w:shd w:val="clear" w:color="auto" w:fill="FFFFFF"/>
        </w:rPr>
        <w:t>ng to the most recent Form 550</w:t>
      </w:r>
      <w:r w:rsidR="00C32E42">
        <w:rPr>
          <w:b w:val="0"/>
          <w:i w:val="0"/>
          <w:sz w:val="24"/>
          <w:shd w:val="clear" w:color="auto" w:fill="FFFFFF"/>
        </w:rPr>
        <w:t>0</w:t>
      </w:r>
      <w:r w:rsidRPr="00ED2D1E" w:rsidR="00ED2D1E">
        <w:rPr>
          <w:b w:val="0"/>
          <w:i w:val="0"/>
          <w:sz w:val="24"/>
          <w:shd w:val="clear" w:color="auto" w:fill="FFFFFF"/>
        </w:rPr>
        <w:t>.</w:t>
      </w:r>
      <w:r w:rsidRPr="00ED2D1E" w:rsidR="00ED2D1E">
        <w:rPr>
          <w:b w:val="0"/>
          <w:i w:val="0"/>
          <w:sz w:val="24"/>
          <w:shd w:val="clear" w:color="auto" w:fill="FFFFFF"/>
          <w:vertAlign w:val="superscript"/>
        </w:rPr>
        <w:footnoteReference w:id="6"/>
      </w:r>
      <w:r w:rsidRPr="00ED2D1E" w:rsidR="00ED2D1E">
        <w:rPr>
          <w:b w:val="0"/>
          <w:i w:val="0"/>
          <w:sz w:val="24"/>
          <w:shd w:val="clear" w:color="auto" w:fill="FFFFFF"/>
        </w:rPr>
        <w:t xml:space="preserve">  </w:t>
      </w:r>
      <w:r w:rsidRPr="00653119" w:rsidR="00653119">
        <w:rPr>
          <w:b w:val="0"/>
          <w:i w:val="0"/>
          <w:sz w:val="24"/>
          <w:shd w:val="clear" w:color="auto" w:fill="FFFFFF"/>
        </w:rPr>
        <w:t xml:space="preserve">These plans and their service providers could be affected by the final rule.  </w:t>
      </w:r>
      <w:r w:rsidR="00D309A7">
        <w:rPr>
          <w:b w:val="0"/>
          <w:i w:val="0"/>
          <w:sz w:val="24"/>
          <w:shd w:val="clear" w:color="auto" w:fill="FFFFFF"/>
        </w:rPr>
        <w:t>T</w:t>
      </w:r>
      <w:r w:rsidRPr="00653119" w:rsidR="00653119">
        <w:rPr>
          <w:b w:val="0"/>
          <w:i w:val="0"/>
          <w:sz w:val="24"/>
          <w:shd w:val="clear" w:color="auto" w:fill="FFFFFF"/>
        </w:rPr>
        <w:t xml:space="preserve">he Department does not have data regarding the frequency </w:t>
      </w:r>
      <w:r w:rsidR="00270EF0">
        <w:rPr>
          <w:b w:val="0"/>
          <w:i w:val="0"/>
          <w:sz w:val="24"/>
          <w:shd w:val="clear" w:color="auto" w:fill="FFFFFF"/>
        </w:rPr>
        <w:t>that documentation would be required</w:t>
      </w:r>
      <w:r w:rsidRPr="00270EF0" w:rsidR="00270EF0">
        <w:rPr>
          <w:b w:val="0"/>
          <w:i w:val="0"/>
          <w:sz w:val="24"/>
          <w:shd w:val="clear" w:color="auto" w:fill="FFFFFF"/>
        </w:rPr>
        <w:t xml:space="preserve"> </w:t>
      </w:r>
      <w:r w:rsidR="00270EF0">
        <w:rPr>
          <w:b w:val="0"/>
          <w:i w:val="0"/>
          <w:sz w:val="24"/>
          <w:shd w:val="clear" w:color="auto" w:fill="FFFFFF"/>
        </w:rPr>
        <w:t xml:space="preserve">because </w:t>
      </w:r>
      <w:r w:rsidRPr="00270EF0" w:rsidR="00270EF0">
        <w:rPr>
          <w:b w:val="0"/>
          <w:i w:val="0"/>
          <w:sz w:val="24"/>
          <w:shd w:val="clear" w:color="auto" w:fill="FFFFFF"/>
        </w:rPr>
        <w:t xml:space="preserve">alternative investments cannot be distinguished on the basis of pecuniary factors </w:t>
      </w:r>
      <w:r w:rsidRPr="00D309A7" w:rsidR="00D309A7">
        <w:rPr>
          <w:b w:val="0"/>
          <w:i w:val="0"/>
          <w:sz w:val="24"/>
          <w:shd w:val="clear" w:color="auto" w:fill="FFFFFF"/>
        </w:rPr>
        <w:t>after completing an appropriate evaluation,</w:t>
      </w:r>
      <w:r w:rsidR="00D309A7">
        <w:rPr>
          <w:b w:val="0"/>
          <w:i w:val="0"/>
          <w:sz w:val="24"/>
          <w:shd w:val="clear" w:color="auto" w:fill="FFFFFF"/>
        </w:rPr>
        <w:t xml:space="preserve"> </w:t>
      </w:r>
      <w:r w:rsidRPr="00270EF0" w:rsidR="00270EF0">
        <w:rPr>
          <w:b w:val="0"/>
          <w:i w:val="0"/>
          <w:sz w:val="24"/>
          <w:shd w:val="clear" w:color="auto" w:fill="FFFFFF"/>
        </w:rPr>
        <w:t>and the fiduciary chooses one of the investments on the basis of a non-pecuniary factor</w:t>
      </w:r>
      <w:r w:rsidR="00D309A7">
        <w:rPr>
          <w:b w:val="0"/>
          <w:i w:val="0"/>
          <w:sz w:val="24"/>
          <w:shd w:val="clear" w:color="auto" w:fill="FFFFFF"/>
        </w:rPr>
        <w:t>. The Department, however, belie</w:t>
      </w:r>
      <w:r w:rsidR="00F012B3">
        <w:rPr>
          <w:b w:val="0"/>
          <w:i w:val="0"/>
          <w:sz w:val="24"/>
          <w:shd w:val="clear" w:color="auto" w:fill="FFFFFF"/>
        </w:rPr>
        <w:t>ve</w:t>
      </w:r>
      <w:r w:rsidR="00D309A7">
        <w:rPr>
          <w:b w:val="0"/>
          <w:i w:val="0"/>
          <w:sz w:val="24"/>
          <w:shd w:val="clear" w:color="auto" w:fill="FFFFFF"/>
        </w:rPr>
        <w:t xml:space="preserve">s such occurrences will be </w:t>
      </w:r>
      <w:r w:rsidRPr="00653119" w:rsidR="00653119">
        <w:rPr>
          <w:b w:val="0"/>
          <w:i w:val="0"/>
          <w:sz w:val="24"/>
          <w:shd w:val="clear" w:color="auto" w:fill="FFFFFF"/>
        </w:rPr>
        <w:t>rare and mode</w:t>
      </w:r>
      <w:bookmarkStart w:name="_GoBack" w:id="1"/>
      <w:bookmarkEnd w:id="1"/>
      <w:r w:rsidRPr="00653119" w:rsidR="00653119">
        <w:rPr>
          <w:b w:val="0"/>
          <w:i w:val="0"/>
          <w:sz w:val="24"/>
          <w:shd w:val="clear" w:color="auto" w:fill="FFFFFF"/>
        </w:rPr>
        <w:t xml:space="preserve">ls the burden using one percent of plans with ESG investments as needing to comply with the documentation requirement.  </w:t>
      </w:r>
    </w:p>
    <w:p w:rsidRPr="00B667E9" w:rsidR="00B667E9" w:rsidP="00B667E9" w:rsidRDefault="00B667E9" w14:paraId="65091843" w14:textId="77777777">
      <w:pPr>
        <w:pStyle w:val="bulletlist"/>
        <w:numPr>
          <w:ilvl w:val="0"/>
          <w:numId w:val="0"/>
        </w:numPr>
        <w:ind w:left="720"/>
        <w:rPr>
          <w:b w:val="0"/>
          <w:i w:val="0"/>
          <w:sz w:val="24"/>
          <w:shd w:val="clear" w:color="auto" w:fill="FFFFFF"/>
        </w:rPr>
      </w:pPr>
    </w:p>
    <w:p w:rsidRPr="00B667E9" w:rsidR="002F0807" w:rsidP="002F0807" w:rsidRDefault="00B667E9" w14:paraId="28F49FA1" w14:textId="07A7E505">
      <w:pPr>
        <w:pStyle w:val="bulletlist"/>
        <w:numPr>
          <w:ilvl w:val="0"/>
          <w:numId w:val="0"/>
        </w:numPr>
        <w:ind w:left="720"/>
        <w:rPr>
          <w:b w:val="0"/>
          <w:i w:val="0"/>
          <w:sz w:val="24"/>
          <w:shd w:val="clear" w:color="auto" w:fill="FFFFFF"/>
        </w:rPr>
      </w:pPr>
      <w:r w:rsidRPr="00B667E9">
        <w:rPr>
          <w:b w:val="0"/>
          <w:i w:val="0"/>
          <w:sz w:val="24"/>
          <w:shd w:val="clear" w:color="auto" w:fill="FFFFFF"/>
        </w:rPr>
        <w:t xml:space="preserve">While DB plans may change </w:t>
      </w:r>
      <w:r w:rsidR="00F012B3">
        <w:rPr>
          <w:b w:val="0"/>
          <w:i w:val="0"/>
          <w:sz w:val="24"/>
          <w:shd w:val="clear" w:color="auto" w:fill="FFFFFF"/>
        </w:rPr>
        <w:t xml:space="preserve">some </w:t>
      </w:r>
      <w:r w:rsidRPr="00B667E9">
        <w:rPr>
          <w:b w:val="0"/>
          <w:i w:val="0"/>
          <w:sz w:val="24"/>
          <w:shd w:val="clear" w:color="auto" w:fill="FFFFFF"/>
        </w:rPr>
        <w:t xml:space="preserve">investments at least annually, DC plans may do so less frequently.  For this analysis, DC plans are assumed to </w:t>
      </w:r>
      <w:r w:rsidR="00782140">
        <w:rPr>
          <w:b w:val="0"/>
          <w:i w:val="0"/>
          <w:sz w:val="24"/>
          <w:shd w:val="clear" w:color="auto" w:fill="FFFFFF"/>
        </w:rPr>
        <w:t xml:space="preserve">conduct a request for proposal for </w:t>
      </w:r>
      <w:r w:rsidRPr="00B667E9">
        <w:rPr>
          <w:b w:val="0"/>
          <w:i w:val="0"/>
          <w:sz w:val="24"/>
          <w:shd w:val="clear" w:color="auto" w:fill="FFFFFF"/>
        </w:rPr>
        <w:t>their s</w:t>
      </w:r>
      <w:r w:rsidR="00782140">
        <w:rPr>
          <w:b w:val="0"/>
          <w:i w:val="0"/>
          <w:sz w:val="24"/>
          <w:shd w:val="clear" w:color="auto" w:fill="FFFFFF"/>
        </w:rPr>
        <w:t>ervice providers and investment alternatives</w:t>
      </w:r>
      <w:r w:rsidRPr="00B667E9">
        <w:rPr>
          <w:b w:val="0"/>
          <w:i w:val="0"/>
          <w:sz w:val="24"/>
          <w:shd w:val="clear" w:color="auto" w:fill="FFFFFF"/>
        </w:rPr>
        <w:t xml:space="preserve"> about every three </w:t>
      </w:r>
      <w:r w:rsidR="00782140">
        <w:rPr>
          <w:b w:val="0"/>
          <w:i w:val="0"/>
          <w:sz w:val="24"/>
          <w:shd w:val="clear" w:color="auto" w:fill="FFFFFF"/>
        </w:rPr>
        <w:t xml:space="preserve">to five </w:t>
      </w:r>
      <w:r w:rsidRPr="00B667E9">
        <w:rPr>
          <w:b w:val="0"/>
          <w:i w:val="0"/>
          <w:sz w:val="24"/>
          <w:shd w:val="clear" w:color="auto" w:fill="FFFFFF"/>
        </w:rPr>
        <w:t xml:space="preserve">years.  </w:t>
      </w:r>
      <w:r w:rsidR="00782140">
        <w:rPr>
          <w:b w:val="0"/>
          <w:i w:val="0"/>
          <w:sz w:val="24"/>
          <w:shd w:val="clear" w:color="auto" w:fill="FFFFFF"/>
        </w:rPr>
        <w:t xml:space="preserve">For this analysis DC plans are estimated to make changes every three years although they could do so more frequently if needed.  </w:t>
      </w:r>
      <w:r w:rsidRPr="00E51060" w:rsidR="00E51060">
        <w:rPr>
          <w:b w:val="0"/>
          <w:i w:val="0"/>
          <w:sz w:val="24"/>
          <w:shd w:val="clear" w:color="auto" w:fill="FFFFFF"/>
        </w:rPr>
        <w:t xml:space="preserve">Therefore, the Department estimates that in a year, 89 DB plans and 59 DC plans with ESG investments that are not participant directed, and 175 </w:t>
      </w:r>
      <w:bookmarkStart w:name="OLE_LINK1" w:id="2"/>
      <w:bookmarkStart w:name="OLE_LINK2" w:id="3"/>
      <w:r w:rsidRPr="00E51060" w:rsidR="00E51060">
        <w:rPr>
          <w:b w:val="0"/>
          <w:i w:val="0"/>
          <w:sz w:val="24"/>
          <w:shd w:val="clear" w:color="auto" w:fill="FFFFFF"/>
        </w:rPr>
        <w:t>participant-directed DC plans with ESG</w:t>
      </w:r>
      <w:r w:rsidR="003629D1">
        <w:rPr>
          <w:b w:val="0"/>
          <w:i w:val="0"/>
          <w:sz w:val="24"/>
          <w:shd w:val="clear" w:color="auto" w:fill="FFFFFF"/>
        </w:rPr>
        <w:t xml:space="preserve">-themed investment options </w:t>
      </w:r>
      <w:r w:rsidRPr="00E51060" w:rsidR="00E51060">
        <w:rPr>
          <w:b w:val="0"/>
          <w:i w:val="0"/>
          <w:sz w:val="24"/>
          <w:shd w:val="clear" w:color="auto" w:fill="FFFFFF"/>
        </w:rPr>
        <w:t>will encounter alternative investment options that cannot be distinguished on the basis of pecuniary factors</w:t>
      </w:r>
      <w:bookmarkEnd w:id="2"/>
      <w:bookmarkEnd w:id="3"/>
      <w:r w:rsidR="00A83A01">
        <w:rPr>
          <w:b w:val="0"/>
          <w:i w:val="0"/>
          <w:sz w:val="24"/>
          <w:shd w:val="clear" w:color="auto" w:fill="FFFFFF"/>
        </w:rPr>
        <w:t xml:space="preserve"> after an appropriate evaluation</w:t>
      </w:r>
      <w:r w:rsidR="00E51060">
        <w:rPr>
          <w:b w:val="0"/>
          <w:i w:val="0"/>
          <w:sz w:val="24"/>
          <w:shd w:val="clear" w:color="auto" w:fill="FFFFFF"/>
        </w:rPr>
        <w:t>.</w:t>
      </w:r>
    </w:p>
    <w:p w:rsidRPr="00EB21FD" w:rsidR="00EB21FD" w:rsidP="00EB21FD" w:rsidRDefault="00EB21FD" w14:paraId="4B9C9C6F" w14:textId="77777777">
      <w:pPr>
        <w:pStyle w:val="bulletlist"/>
        <w:numPr>
          <w:ilvl w:val="0"/>
          <w:numId w:val="0"/>
        </w:numPr>
        <w:ind w:left="720"/>
        <w:rPr>
          <w:b w:val="0"/>
          <w:i w:val="0"/>
          <w:sz w:val="24"/>
          <w:shd w:val="clear" w:color="auto" w:fill="FFFFFF"/>
        </w:rPr>
      </w:pPr>
    </w:p>
    <w:p w:rsidRPr="00CB4CB1" w:rsidR="007D4E47" w:rsidP="005C4D16" w:rsidRDefault="007D4E47" w14:paraId="522A29F6" w14:textId="77777777">
      <w:pPr>
        <w:pStyle w:val="bulletlist"/>
        <w:numPr>
          <w:ilvl w:val="0"/>
          <w:numId w:val="0"/>
        </w:numPr>
        <w:ind w:left="720"/>
        <w:rPr>
          <w:b w:val="0"/>
          <w:sz w:val="24"/>
          <w:shd w:val="clear" w:color="auto" w:fill="FFFFFF"/>
        </w:rPr>
      </w:pPr>
      <w:r w:rsidRPr="00CB4CB1">
        <w:rPr>
          <w:b w:val="0"/>
          <w:sz w:val="24"/>
          <w:shd w:val="clear" w:color="auto" w:fill="FFFFFF"/>
        </w:rPr>
        <w:t>Documentation</w:t>
      </w:r>
      <w:r w:rsidRPr="00CB4CB1" w:rsidR="002174F1">
        <w:rPr>
          <w:b w:val="0"/>
          <w:sz w:val="24"/>
          <w:shd w:val="clear" w:color="auto" w:fill="FFFFFF"/>
        </w:rPr>
        <w:t xml:space="preserve"> Requirements</w:t>
      </w:r>
    </w:p>
    <w:p w:rsidRPr="00BE39AC" w:rsidR="007D4E47" w:rsidP="005C4D16" w:rsidRDefault="007D4E47" w14:paraId="3698A1D4" w14:textId="77777777">
      <w:pPr>
        <w:pStyle w:val="bulletlist"/>
        <w:numPr>
          <w:ilvl w:val="0"/>
          <w:numId w:val="0"/>
        </w:numPr>
        <w:ind w:left="720"/>
        <w:rPr>
          <w:b w:val="0"/>
          <w:i w:val="0"/>
          <w:sz w:val="24"/>
          <w:shd w:val="clear" w:color="auto" w:fill="FFFFFF"/>
        </w:rPr>
      </w:pPr>
    </w:p>
    <w:p w:rsidRPr="00F012B3" w:rsidR="00FC75DA" w:rsidP="00294070" w:rsidRDefault="005A1C5A" w14:paraId="1885053B" w14:textId="77777777">
      <w:pPr>
        <w:pStyle w:val="bulletlist"/>
        <w:numPr>
          <w:ilvl w:val="0"/>
          <w:numId w:val="0"/>
        </w:numPr>
        <w:ind w:left="720"/>
        <w:rPr>
          <w:b w:val="0"/>
          <w:i w:val="0"/>
          <w:sz w:val="24"/>
          <w:shd w:val="clear" w:color="auto" w:fill="FFFFFF"/>
        </w:rPr>
      </w:pPr>
      <w:r w:rsidRPr="00F012B3">
        <w:rPr>
          <w:b w:val="0"/>
          <w:i w:val="0"/>
          <w:sz w:val="24"/>
          <w:shd w:val="clear" w:color="auto" w:fill="FFFFFF"/>
        </w:rPr>
        <w:t xml:space="preserve">The final rule provides that if </w:t>
      </w:r>
      <w:r w:rsidRPr="00F012B3" w:rsidR="00D309A7">
        <w:rPr>
          <w:b w:val="0"/>
          <w:i w:val="0"/>
          <w:sz w:val="24"/>
          <w:shd w:val="clear" w:color="auto" w:fill="FFFFFF"/>
        </w:rPr>
        <w:t>after completing an appropriate evaluation, alternative investments cannot be distinguished on the basis of pecuniary factors and the fiduciary chooses one of the investments on the basis of a non-pecuniary factor, the fiduciary must document why pecuniary factors were not sufficient to select the investment or investment course of action, how the selected investment compares to the alternative investments</w:t>
      </w:r>
      <w:r w:rsidRPr="00F012B3" w:rsidR="00F012B3">
        <w:rPr>
          <w:b w:val="0"/>
          <w:i w:val="0"/>
          <w:sz w:val="24"/>
          <w:shd w:val="clear" w:color="auto" w:fill="FFFFFF"/>
        </w:rPr>
        <w:t xml:space="preserve"> with regard to certain factors listed in the rule</w:t>
      </w:r>
      <w:r w:rsidRPr="00F012B3" w:rsidR="00D309A7">
        <w:rPr>
          <w:b w:val="0"/>
          <w:i w:val="0"/>
          <w:sz w:val="24"/>
          <w:shd w:val="clear" w:color="auto" w:fill="FFFFFF"/>
        </w:rPr>
        <w:t xml:space="preserve">, and how the chosen non-pecuniary factor or factors are consistent with the interests of participants and beneficiaries in their retirement income or financial benefits under the plan. </w:t>
      </w:r>
      <w:r w:rsidR="00F012B3">
        <w:rPr>
          <w:b w:val="0"/>
          <w:i w:val="0"/>
          <w:sz w:val="24"/>
          <w:shd w:val="clear" w:color="auto" w:fill="FFFFFF"/>
        </w:rPr>
        <w:t xml:space="preserve"> The Department believes that </w:t>
      </w:r>
      <w:r w:rsidRPr="00F012B3" w:rsidR="00FC75DA">
        <w:rPr>
          <w:b w:val="0"/>
          <w:i w:val="0"/>
          <w:sz w:val="24"/>
          <w:shd w:val="clear" w:color="auto" w:fill="FFFFFF"/>
        </w:rPr>
        <w:t xml:space="preserve">much of the </w:t>
      </w:r>
      <w:r w:rsidRPr="00F012B3" w:rsidR="00D309A7">
        <w:rPr>
          <w:b w:val="0"/>
          <w:i w:val="0"/>
          <w:sz w:val="24"/>
          <w:shd w:val="clear" w:color="auto" w:fill="FFFFFF"/>
        </w:rPr>
        <w:t>information</w:t>
      </w:r>
      <w:r w:rsidRPr="00F012B3" w:rsidR="00FC75DA">
        <w:rPr>
          <w:b w:val="0"/>
          <w:i w:val="0"/>
          <w:sz w:val="24"/>
          <w:shd w:val="clear" w:color="auto" w:fill="FFFFFF"/>
        </w:rPr>
        <w:t xml:space="preserve"> needed to fulfill this requirement is generated in the normal course of business, </w:t>
      </w:r>
      <w:r w:rsidR="00F012B3">
        <w:rPr>
          <w:b w:val="0"/>
          <w:i w:val="0"/>
          <w:sz w:val="24"/>
          <w:shd w:val="clear" w:color="auto" w:fill="FFFFFF"/>
        </w:rPr>
        <w:t xml:space="preserve">but some </w:t>
      </w:r>
      <w:r w:rsidRPr="00F012B3" w:rsidR="00FC75DA">
        <w:rPr>
          <w:b w:val="0"/>
          <w:i w:val="0"/>
          <w:sz w:val="24"/>
          <w:shd w:val="clear" w:color="auto" w:fill="FFFFFF"/>
        </w:rPr>
        <w:t xml:space="preserve">plans may need additional time to ensure records are properly maintained and </w:t>
      </w:r>
      <w:r w:rsidRPr="00F012B3" w:rsidR="00D309A7">
        <w:rPr>
          <w:b w:val="0"/>
          <w:i w:val="0"/>
          <w:sz w:val="24"/>
          <w:shd w:val="clear" w:color="auto" w:fill="FFFFFF"/>
        </w:rPr>
        <w:t>meet</w:t>
      </w:r>
      <w:r w:rsidRPr="00F012B3" w:rsidR="00FC75DA">
        <w:rPr>
          <w:b w:val="0"/>
          <w:i w:val="0"/>
          <w:sz w:val="24"/>
          <w:shd w:val="clear" w:color="auto" w:fill="FFFFFF"/>
        </w:rPr>
        <w:t xml:space="preserve"> the standard required by the </w:t>
      </w:r>
      <w:r w:rsidRPr="00F012B3" w:rsidR="00D309A7">
        <w:rPr>
          <w:b w:val="0"/>
          <w:i w:val="0"/>
          <w:sz w:val="24"/>
          <w:shd w:val="clear" w:color="auto" w:fill="FFFFFF"/>
        </w:rPr>
        <w:t>final rule</w:t>
      </w:r>
      <w:r w:rsidRPr="00F012B3" w:rsidR="00FC75DA">
        <w:rPr>
          <w:b w:val="0"/>
          <w:i w:val="0"/>
          <w:sz w:val="24"/>
          <w:shd w:val="clear" w:color="auto" w:fill="FFFFFF"/>
        </w:rPr>
        <w:t xml:space="preserve">.  </w:t>
      </w:r>
    </w:p>
    <w:p w:rsidR="00FC75DA" w:rsidP="00D2481E" w:rsidRDefault="00FC75DA" w14:paraId="42265949" w14:textId="77777777">
      <w:pPr>
        <w:pStyle w:val="bulletlist"/>
        <w:numPr>
          <w:ilvl w:val="0"/>
          <w:numId w:val="0"/>
        </w:numPr>
        <w:ind w:left="720"/>
        <w:rPr>
          <w:b w:val="0"/>
          <w:i w:val="0"/>
          <w:sz w:val="24"/>
          <w:shd w:val="clear" w:color="auto" w:fill="FFFFFF"/>
        </w:rPr>
      </w:pPr>
    </w:p>
    <w:p w:rsidR="00951962" w:rsidP="00951962" w:rsidRDefault="00FC75DA" w14:paraId="543C2FD8" w14:textId="77777777">
      <w:pPr>
        <w:pStyle w:val="bulletlist"/>
        <w:numPr>
          <w:ilvl w:val="0"/>
          <w:numId w:val="0"/>
        </w:numPr>
        <w:ind w:left="720"/>
        <w:rPr>
          <w:b w:val="0"/>
          <w:i w:val="0"/>
          <w:sz w:val="24"/>
          <w:shd w:val="clear" w:color="auto" w:fill="FFFFFF"/>
        </w:rPr>
      </w:pPr>
      <w:r w:rsidRPr="00FC75DA">
        <w:rPr>
          <w:b w:val="0"/>
          <w:i w:val="0"/>
          <w:sz w:val="24"/>
          <w:shd w:val="clear" w:color="auto" w:fill="FFFFFF"/>
        </w:rPr>
        <w:t xml:space="preserve">The Department estimates that plan fiduciaries and clerical staff will each </w:t>
      </w:r>
      <w:r w:rsidR="005A1C5A">
        <w:rPr>
          <w:b w:val="0"/>
          <w:i w:val="0"/>
          <w:sz w:val="24"/>
          <w:shd w:val="clear" w:color="auto" w:fill="FFFFFF"/>
        </w:rPr>
        <w:t>sp</w:t>
      </w:r>
      <w:r w:rsidRPr="00FC75DA">
        <w:rPr>
          <w:b w:val="0"/>
          <w:i w:val="0"/>
          <w:sz w:val="24"/>
          <w:shd w:val="clear" w:color="auto" w:fill="FFFFFF"/>
        </w:rPr>
        <w:t xml:space="preserve">end, on average, two hours of labor to maintain the needed documentation.  This results in an annual burden estimate of 1,290 hours, with an equivalent cost of $122,115 for DB plans and DC plans with ESG investments.  Plans that rely on </w:t>
      </w:r>
      <w:r w:rsidRPr="00FC75DA">
        <w:rPr>
          <w:b w:val="0"/>
          <w:i w:val="0"/>
          <w:sz w:val="24"/>
          <w:shd w:val="clear" w:color="auto" w:fill="FFFFFF"/>
        </w:rPr>
        <w:lastRenderedPageBreak/>
        <w:t xml:space="preserve">service providers may incur a lower cost due to economies of scale.  </w:t>
      </w:r>
      <w:r w:rsidR="00F012B3">
        <w:rPr>
          <w:b w:val="0"/>
          <w:i w:val="0"/>
          <w:sz w:val="24"/>
          <w:shd w:val="clear" w:color="auto" w:fill="FFFFFF"/>
        </w:rPr>
        <w:t>T</w:t>
      </w:r>
      <w:r w:rsidRPr="00FC75DA">
        <w:rPr>
          <w:b w:val="0"/>
          <w:i w:val="0"/>
          <w:sz w:val="24"/>
          <w:shd w:val="clear" w:color="auto" w:fill="FFFFFF"/>
        </w:rPr>
        <w:t>he Department does not know exactly how many plans use a service provider; therefore, it estimated such costs on a per plan basis.</w:t>
      </w:r>
    </w:p>
    <w:p w:rsidRPr="00951962" w:rsidR="00EF2FA5" w:rsidP="00DC492A" w:rsidRDefault="00EF2FA5" w14:paraId="240441A5" w14:textId="77777777">
      <w:pPr>
        <w:widowControl/>
      </w:pPr>
    </w:p>
    <w:p w:rsidRPr="00951962" w:rsidR="00951962" w:rsidP="00951962" w:rsidRDefault="00951962" w14:paraId="5257180E" w14:textId="77777777">
      <w:pPr>
        <w:widowControl/>
        <w:ind w:left="720"/>
        <w:jc w:val="center"/>
        <w:rPr>
          <w:i/>
        </w:rPr>
      </w:pPr>
      <w:r w:rsidRPr="00951962">
        <w:rPr>
          <w:b/>
        </w:rPr>
        <w:t>Estimated Annualized Respondent Cost and Hour Burden</w:t>
      </w:r>
    </w:p>
    <w:p w:rsidRPr="00951962" w:rsidR="00951962" w:rsidP="00951962" w:rsidRDefault="00951962" w14:paraId="7242A501" w14:textId="77777777">
      <w:pPr>
        <w:widowControl/>
        <w:ind w:left="720"/>
      </w:pPr>
    </w:p>
    <w:tbl>
      <w:tblPr>
        <w:tblW w:w="1098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1530"/>
        <w:gridCol w:w="1350"/>
        <w:gridCol w:w="1260"/>
        <w:gridCol w:w="1080"/>
        <w:gridCol w:w="990"/>
        <w:gridCol w:w="990"/>
        <w:gridCol w:w="1260"/>
      </w:tblGrid>
      <w:tr w:rsidRPr="00645D1A" w:rsidR="00645D1A" w:rsidTr="00884A38" w14:paraId="18743765" w14:textId="77777777">
        <w:tc>
          <w:tcPr>
            <w:tcW w:w="2520" w:type="dxa"/>
            <w:tcBorders>
              <w:top w:val="single" w:color="auto" w:sz="4" w:space="0"/>
              <w:left w:val="single" w:color="auto" w:sz="4" w:space="0"/>
              <w:bottom w:val="single" w:color="auto" w:sz="4" w:space="0"/>
              <w:right w:val="single" w:color="auto" w:sz="4" w:space="0"/>
            </w:tcBorders>
            <w:shd w:val="clear" w:color="auto" w:fill="8DB3E2"/>
            <w:vAlign w:val="center"/>
          </w:tcPr>
          <w:p w:rsidRPr="00645D1A" w:rsidR="00645D1A" w:rsidP="00645D1A" w:rsidRDefault="00645D1A" w14:paraId="01C101FE" w14:textId="77777777">
            <w:pPr>
              <w:spacing w:line="276" w:lineRule="auto"/>
              <w:jc w:val="center"/>
              <w:rPr>
                <w:sz w:val="22"/>
                <w:szCs w:val="22"/>
              </w:rPr>
            </w:pPr>
            <w:r w:rsidRPr="00645D1A">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64760CAB" w14:textId="77777777">
            <w:pPr>
              <w:spacing w:line="276" w:lineRule="auto"/>
              <w:jc w:val="center"/>
              <w:rPr>
                <w:sz w:val="22"/>
                <w:szCs w:val="22"/>
              </w:rPr>
            </w:pPr>
            <w:r w:rsidRPr="00645D1A">
              <w:rPr>
                <w:b/>
                <w:sz w:val="22"/>
                <w:szCs w:val="22"/>
              </w:rPr>
              <w:t>No.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1FD0DA16" w14:textId="77777777">
            <w:pPr>
              <w:spacing w:line="276" w:lineRule="auto"/>
              <w:jc w:val="center"/>
              <w:rPr>
                <w:b/>
                <w:sz w:val="22"/>
                <w:szCs w:val="22"/>
              </w:rPr>
            </w:pPr>
          </w:p>
          <w:p w:rsidRPr="00645D1A" w:rsidR="00645D1A" w:rsidP="00645D1A" w:rsidRDefault="00645D1A" w14:paraId="2A4B3FEE" w14:textId="77777777">
            <w:pPr>
              <w:spacing w:line="276" w:lineRule="auto"/>
              <w:jc w:val="center"/>
              <w:rPr>
                <w:b/>
                <w:sz w:val="22"/>
                <w:szCs w:val="22"/>
              </w:rPr>
            </w:pPr>
            <w:r w:rsidRPr="00645D1A">
              <w:rPr>
                <w:b/>
                <w:sz w:val="22"/>
                <w:szCs w:val="22"/>
              </w:rPr>
              <w:t>No. of Responses</w:t>
            </w:r>
          </w:p>
          <w:p w:rsidRPr="00645D1A" w:rsidR="00645D1A" w:rsidP="00645D1A" w:rsidRDefault="00645D1A" w14:paraId="23E0614F" w14:textId="77777777">
            <w:pPr>
              <w:spacing w:line="276" w:lineRule="auto"/>
              <w:jc w:val="center"/>
              <w:rPr>
                <w:sz w:val="22"/>
                <w:szCs w:val="22"/>
              </w:rPr>
            </w:pPr>
            <w:r w:rsidRPr="00645D1A">
              <w:rPr>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7201D0FD" w14:textId="77777777">
            <w:pPr>
              <w:spacing w:line="276" w:lineRule="auto"/>
              <w:jc w:val="center"/>
              <w:rPr>
                <w:sz w:val="22"/>
                <w:szCs w:val="22"/>
              </w:rPr>
            </w:pPr>
            <w:r w:rsidRPr="00645D1A">
              <w:rPr>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4ABB6A14" w14:textId="77777777">
            <w:pPr>
              <w:spacing w:line="276" w:lineRule="auto"/>
              <w:jc w:val="center"/>
              <w:rPr>
                <w:sz w:val="22"/>
                <w:szCs w:val="22"/>
              </w:rPr>
            </w:pPr>
            <w:r w:rsidRPr="00645D1A">
              <w:rPr>
                <w:b/>
                <w:sz w:val="22"/>
                <w:szCs w:val="22"/>
              </w:rPr>
              <w:t>Average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12E157F6" w14:textId="77777777">
            <w:pPr>
              <w:spacing w:line="276" w:lineRule="auto"/>
              <w:jc w:val="center"/>
              <w:rPr>
                <w:sz w:val="22"/>
                <w:szCs w:val="22"/>
              </w:rPr>
            </w:pPr>
            <w:r w:rsidRPr="00645D1A">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69F831E9" w14:textId="77777777">
            <w:pPr>
              <w:spacing w:line="276" w:lineRule="auto"/>
              <w:jc w:val="center"/>
              <w:rPr>
                <w:b/>
                <w:sz w:val="22"/>
                <w:szCs w:val="22"/>
              </w:rPr>
            </w:pPr>
            <w:r w:rsidRPr="00645D1A">
              <w:rPr>
                <w:b/>
                <w:sz w:val="22"/>
                <w:szCs w:val="22"/>
              </w:rPr>
              <w:t>Hourly</w:t>
            </w:r>
          </w:p>
          <w:p w:rsidRPr="00645D1A" w:rsidR="00645D1A" w:rsidP="00645D1A" w:rsidRDefault="00645D1A" w14:paraId="719FA4AA" w14:textId="77777777">
            <w:pPr>
              <w:spacing w:line="276" w:lineRule="auto"/>
              <w:jc w:val="center"/>
              <w:rPr>
                <w:sz w:val="22"/>
                <w:szCs w:val="22"/>
              </w:rPr>
            </w:pPr>
            <w:r w:rsidRPr="00645D1A">
              <w:rPr>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645D1A" w:rsidP="00645D1A" w:rsidRDefault="00645D1A" w14:paraId="147CF29D" w14:textId="77777777">
            <w:pPr>
              <w:spacing w:line="276" w:lineRule="auto"/>
              <w:jc w:val="center"/>
              <w:rPr>
                <w:sz w:val="22"/>
                <w:szCs w:val="22"/>
              </w:rPr>
            </w:pPr>
            <w:r w:rsidRPr="00645D1A">
              <w:rPr>
                <w:b/>
                <w:sz w:val="22"/>
                <w:szCs w:val="22"/>
              </w:rPr>
              <w:t>Total Burden Cost</w:t>
            </w:r>
          </w:p>
        </w:tc>
      </w:tr>
      <w:tr w:rsidRPr="00645D1A" w:rsidR="00645D1A" w:rsidTr="00884A38" w14:paraId="7610BDA2" w14:textId="77777777">
        <w:tc>
          <w:tcPr>
            <w:tcW w:w="2520" w:type="dxa"/>
            <w:tcBorders>
              <w:top w:val="single" w:color="auto" w:sz="4" w:space="0"/>
              <w:left w:val="single" w:color="auto" w:sz="4" w:space="0"/>
              <w:bottom w:val="single" w:color="auto" w:sz="4" w:space="0"/>
              <w:right w:val="single" w:color="auto" w:sz="4" w:space="0"/>
            </w:tcBorders>
          </w:tcPr>
          <w:p w:rsidR="008A60CF" w:rsidP="008A60CF" w:rsidRDefault="00AA60EE" w14:paraId="3D7DE6AC" w14:textId="77777777">
            <w:pPr>
              <w:spacing w:line="276" w:lineRule="auto"/>
              <w:rPr>
                <w:sz w:val="22"/>
                <w:szCs w:val="22"/>
              </w:rPr>
            </w:pPr>
            <w:r>
              <w:rPr>
                <w:sz w:val="22"/>
                <w:szCs w:val="22"/>
              </w:rPr>
              <w:t>DB plans-</w:t>
            </w:r>
          </w:p>
          <w:p w:rsidRPr="00645D1A" w:rsidR="00645D1A" w:rsidP="00884A38" w:rsidRDefault="00AA60EE" w14:paraId="22072B2E" w14:textId="77777777">
            <w:pPr>
              <w:spacing w:line="276" w:lineRule="auto"/>
              <w:rPr>
                <w:sz w:val="22"/>
                <w:szCs w:val="22"/>
              </w:rPr>
            </w:pPr>
            <w:r>
              <w:rPr>
                <w:sz w:val="22"/>
                <w:szCs w:val="22"/>
              </w:rPr>
              <w:t>Plan fiduciaries maintain documentation</w:t>
            </w:r>
          </w:p>
        </w:tc>
        <w:tc>
          <w:tcPr>
            <w:tcW w:w="153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51500B" w14:paraId="08103D42" w14:textId="77777777">
            <w:pPr>
              <w:spacing w:line="276" w:lineRule="auto"/>
              <w:jc w:val="center"/>
              <w:rPr>
                <w:sz w:val="22"/>
                <w:szCs w:val="22"/>
              </w:rPr>
            </w:pPr>
            <w:r>
              <w:rPr>
                <w:sz w:val="22"/>
                <w:szCs w:val="22"/>
              </w:rPr>
              <w:t>89</w:t>
            </w:r>
          </w:p>
        </w:tc>
        <w:tc>
          <w:tcPr>
            <w:tcW w:w="135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FD74B6" w14:paraId="720AD3A2"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51500B" w14:paraId="2465D2B5" w14:textId="77777777">
            <w:pPr>
              <w:spacing w:line="276" w:lineRule="auto"/>
              <w:jc w:val="center"/>
              <w:rPr>
                <w:sz w:val="22"/>
                <w:szCs w:val="22"/>
              </w:rPr>
            </w:pPr>
            <w:r>
              <w:rPr>
                <w:sz w:val="22"/>
                <w:szCs w:val="22"/>
              </w:rPr>
              <w:t>89</w:t>
            </w:r>
          </w:p>
        </w:tc>
        <w:tc>
          <w:tcPr>
            <w:tcW w:w="108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2E46FE" w14:paraId="7151301C" w14:textId="77777777">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2E46FE" w14:paraId="52AF9184" w14:textId="77777777">
            <w:pPr>
              <w:spacing w:line="276" w:lineRule="auto"/>
              <w:jc w:val="center"/>
              <w:rPr>
                <w:sz w:val="22"/>
                <w:szCs w:val="22"/>
              </w:rPr>
            </w:pPr>
            <w:r>
              <w:rPr>
                <w:sz w:val="22"/>
                <w:szCs w:val="22"/>
              </w:rPr>
              <w:t>178</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645D1A" w:rsidP="00880395" w:rsidRDefault="00FE55C9" w14:paraId="346E4BCC" w14:textId="77777777">
            <w:pPr>
              <w:spacing w:line="276" w:lineRule="auto"/>
              <w:jc w:val="center"/>
              <w:rPr>
                <w:sz w:val="22"/>
                <w:szCs w:val="22"/>
              </w:rPr>
            </w:pPr>
            <w:r>
              <w:rPr>
                <w:sz w:val="22"/>
                <w:szCs w:val="22"/>
              </w:rPr>
              <w:t>$</w:t>
            </w:r>
            <w:r w:rsidR="00880395">
              <w:rPr>
                <w:sz w:val="22"/>
                <w:szCs w:val="22"/>
              </w:rPr>
              <w:t>134.21</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602235" w14:paraId="065E9898" w14:textId="77777777">
            <w:pPr>
              <w:spacing w:line="276" w:lineRule="auto"/>
              <w:jc w:val="center"/>
              <w:rPr>
                <w:sz w:val="22"/>
                <w:szCs w:val="22"/>
              </w:rPr>
            </w:pPr>
            <w:r>
              <w:rPr>
                <w:sz w:val="22"/>
                <w:szCs w:val="22"/>
              </w:rPr>
              <w:t>$0</w:t>
            </w:r>
          </w:p>
        </w:tc>
      </w:tr>
      <w:tr w:rsidRPr="00645D1A" w:rsidR="00645D1A" w:rsidTr="00CB4CB1" w14:paraId="2123FBAB" w14:textId="77777777">
        <w:trPr>
          <w:trHeight w:val="593"/>
        </w:trPr>
        <w:tc>
          <w:tcPr>
            <w:tcW w:w="2520" w:type="dxa"/>
            <w:tcBorders>
              <w:top w:val="single" w:color="auto" w:sz="4" w:space="0"/>
              <w:left w:val="single" w:color="auto" w:sz="4" w:space="0"/>
              <w:bottom w:val="single" w:color="auto" w:sz="4" w:space="0"/>
              <w:right w:val="single" w:color="auto" w:sz="4" w:space="0"/>
            </w:tcBorders>
          </w:tcPr>
          <w:p w:rsidR="00884A38" w:rsidP="00884A38" w:rsidRDefault="0088530F" w14:paraId="7B47D573" w14:textId="77777777">
            <w:pPr>
              <w:spacing w:line="276" w:lineRule="auto"/>
              <w:rPr>
                <w:sz w:val="22"/>
                <w:szCs w:val="22"/>
              </w:rPr>
            </w:pPr>
            <w:r>
              <w:rPr>
                <w:sz w:val="22"/>
                <w:szCs w:val="22"/>
              </w:rPr>
              <w:t xml:space="preserve">Non participant-directed </w:t>
            </w:r>
            <w:r w:rsidRPr="00501F48" w:rsidR="00501F48">
              <w:rPr>
                <w:sz w:val="22"/>
                <w:szCs w:val="22"/>
              </w:rPr>
              <w:t>D</w:t>
            </w:r>
            <w:r w:rsidR="006D7748">
              <w:rPr>
                <w:sz w:val="22"/>
                <w:szCs w:val="22"/>
              </w:rPr>
              <w:t>C</w:t>
            </w:r>
            <w:r w:rsidRPr="00501F48" w:rsidR="00501F48">
              <w:rPr>
                <w:sz w:val="22"/>
                <w:szCs w:val="22"/>
              </w:rPr>
              <w:t xml:space="preserve"> plans- </w:t>
            </w:r>
          </w:p>
          <w:p w:rsidRPr="00645D1A" w:rsidR="00645D1A" w:rsidP="00884A38" w:rsidRDefault="00501F48" w14:paraId="0DD4A8AC" w14:textId="77777777">
            <w:pPr>
              <w:spacing w:line="276" w:lineRule="auto"/>
              <w:rPr>
                <w:sz w:val="22"/>
                <w:szCs w:val="22"/>
              </w:rPr>
            </w:pPr>
            <w:r w:rsidRPr="00501F48">
              <w:rPr>
                <w:sz w:val="22"/>
                <w:szCs w:val="22"/>
              </w:rPr>
              <w:t>Plan fiduciaries maintain documentation</w:t>
            </w:r>
          </w:p>
        </w:tc>
        <w:tc>
          <w:tcPr>
            <w:tcW w:w="153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982DA7" w14:paraId="325786C2" w14:textId="77777777">
            <w:pPr>
              <w:spacing w:line="276" w:lineRule="auto"/>
              <w:jc w:val="center"/>
              <w:rPr>
                <w:sz w:val="22"/>
                <w:szCs w:val="22"/>
              </w:rPr>
            </w:pPr>
            <w:r>
              <w:rPr>
                <w:sz w:val="22"/>
                <w:szCs w:val="22"/>
              </w:rPr>
              <w:t>59</w:t>
            </w:r>
          </w:p>
        </w:tc>
        <w:tc>
          <w:tcPr>
            <w:tcW w:w="135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982DA7" w14:paraId="62D983C3"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982DA7" w14:paraId="4DA0AE06" w14:textId="77777777">
            <w:pPr>
              <w:spacing w:line="276" w:lineRule="auto"/>
              <w:jc w:val="center"/>
              <w:rPr>
                <w:sz w:val="22"/>
                <w:szCs w:val="22"/>
              </w:rPr>
            </w:pPr>
            <w:r>
              <w:rPr>
                <w:sz w:val="22"/>
                <w:szCs w:val="22"/>
              </w:rPr>
              <w:t>59</w:t>
            </w:r>
          </w:p>
        </w:tc>
        <w:tc>
          <w:tcPr>
            <w:tcW w:w="108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982DA7" w14:paraId="28410262" w14:textId="77777777">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C429F5" w14:paraId="61053A26" w14:textId="77777777">
            <w:pPr>
              <w:spacing w:line="276" w:lineRule="auto"/>
              <w:jc w:val="center"/>
              <w:rPr>
                <w:sz w:val="22"/>
                <w:szCs w:val="22"/>
              </w:rPr>
            </w:pPr>
            <w:r>
              <w:rPr>
                <w:sz w:val="22"/>
                <w:szCs w:val="22"/>
              </w:rPr>
              <w:t>118</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645D1A" w:rsidP="00880395" w:rsidRDefault="00C429F5" w14:paraId="2094A7C3" w14:textId="77777777">
            <w:pPr>
              <w:spacing w:line="276" w:lineRule="auto"/>
              <w:jc w:val="center"/>
              <w:rPr>
                <w:sz w:val="22"/>
                <w:szCs w:val="22"/>
              </w:rPr>
            </w:pPr>
            <w:r>
              <w:rPr>
                <w:sz w:val="22"/>
                <w:szCs w:val="22"/>
              </w:rPr>
              <w:t>$</w:t>
            </w:r>
            <w:r w:rsidR="00880395">
              <w:rPr>
                <w:sz w:val="22"/>
                <w:szCs w:val="22"/>
              </w:rPr>
              <w:t>134.21</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602235" w14:paraId="01F4A329" w14:textId="77777777">
            <w:pPr>
              <w:spacing w:line="276" w:lineRule="auto"/>
              <w:jc w:val="center"/>
              <w:rPr>
                <w:sz w:val="22"/>
                <w:szCs w:val="22"/>
              </w:rPr>
            </w:pPr>
            <w:r>
              <w:rPr>
                <w:sz w:val="22"/>
                <w:szCs w:val="22"/>
              </w:rPr>
              <w:t>$0</w:t>
            </w:r>
          </w:p>
        </w:tc>
      </w:tr>
      <w:tr w:rsidRPr="00645D1A" w:rsidR="00A24E22" w:rsidTr="00884A38" w14:paraId="47C5D252" w14:textId="77777777">
        <w:tc>
          <w:tcPr>
            <w:tcW w:w="2520" w:type="dxa"/>
            <w:tcBorders>
              <w:top w:val="single" w:color="auto" w:sz="4" w:space="0"/>
              <w:left w:val="single" w:color="auto" w:sz="4" w:space="0"/>
              <w:bottom w:val="single" w:color="auto" w:sz="4" w:space="0"/>
              <w:right w:val="single" w:color="auto" w:sz="4" w:space="0"/>
            </w:tcBorders>
          </w:tcPr>
          <w:p w:rsidR="00884A38" w:rsidP="00884A38" w:rsidRDefault="0088530F" w14:paraId="7C7A8332" w14:textId="77777777">
            <w:pPr>
              <w:spacing w:line="276" w:lineRule="auto"/>
              <w:rPr>
                <w:sz w:val="22"/>
                <w:szCs w:val="22"/>
              </w:rPr>
            </w:pPr>
            <w:r>
              <w:rPr>
                <w:sz w:val="22"/>
                <w:szCs w:val="22"/>
              </w:rPr>
              <w:t>P</w:t>
            </w:r>
            <w:r w:rsidRPr="0088530F">
              <w:rPr>
                <w:sz w:val="22"/>
                <w:szCs w:val="22"/>
              </w:rPr>
              <w:t>articipant-directed DC plans</w:t>
            </w:r>
            <w:r w:rsidRPr="00A24E22" w:rsidR="00A24E22">
              <w:rPr>
                <w:sz w:val="22"/>
                <w:szCs w:val="22"/>
              </w:rPr>
              <w:t xml:space="preserve">- </w:t>
            </w:r>
          </w:p>
          <w:p w:rsidRPr="00501F48" w:rsidR="00A24E22" w:rsidP="00884A38" w:rsidRDefault="00A24E22" w14:paraId="03080F3A" w14:textId="77777777">
            <w:pPr>
              <w:spacing w:line="276" w:lineRule="auto"/>
              <w:rPr>
                <w:sz w:val="22"/>
                <w:szCs w:val="22"/>
              </w:rPr>
            </w:pPr>
            <w:r w:rsidRPr="00A24E22">
              <w:rPr>
                <w:sz w:val="22"/>
                <w:szCs w:val="22"/>
              </w:rPr>
              <w:t>Plan fiduciaries maintain documentation</w:t>
            </w:r>
          </w:p>
        </w:tc>
        <w:tc>
          <w:tcPr>
            <w:tcW w:w="153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673CD37F" w14:textId="77777777">
            <w:pPr>
              <w:spacing w:line="276" w:lineRule="auto"/>
              <w:jc w:val="center"/>
              <w:rPr>
                <w:sz w:val="22"/>
                <w:szCs w:val="22"/>
              </w:rPr>
            </w:pPr>
            <w:r>
              <w:rPr>
                <w:sz w:val="22"/>
                <w:szCs w:val="22"/>
              </w:rPr>
              <w:t>175</w:t>
            </w:r>
          </w:p>
        </w:tc>
        <w:tc>
          <w:tcPr>
            <w:tcW w:w="135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238AAE85"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1A55E6B5" w14:textId="77777777">
            <w:pPr>
              <w:spacing w:line="276" w:lineRule="auto"/>
              <w:jc w:val="center"/>
              <w:rPr>
                <w:sz w:val="22"/>
                <w:szCs w:val="22"/>
              </w:rPr>
            </w:pPr>
            <w:r>
              <w:rPr>
                <w:sz w:val="22"/>
                <w:szCs w:val="22"/>
              </w:rPr>
              <w:t>175</w:t>
            </w:r>
          </w:p>
        </w:tc>
        <w:tc>
          <w:tcPr>
            <w:tcW w:w="108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6C805EAE" w14:textId="77777777">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13BD2A81" w14:textId="77777777">
            <w:pPr>
              <w:spacing w:line="276" w:lineRule="auto"/>
              <w:jc w:val="center"/>
              <w:rPr>
                <w:sz w:val="22"/>
                <w:szCs w:val="22"/>
              </w:rPr>
            </w:pPr>
            <w:r>
              <w:rPr>
                <w:sz w:val="22"/>
                <w:szCs w:val="22"/>
              </w:rPr>
              <w:t>349</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880395" w:rsidRDefault="00A24E22" w14:paraId="5B1462EA" w14:textId="77777777">
            <w:pPr>
              <w:spacing w:line="276" w:lineRule="auto"/>
              <w:jc w:val="center"/>
              <w:rPr>
                <w:sz w:val="22"/>
                <w:szCs w:val="22"/>
              </w:rPr>
            </w:pPr>
            <w:r>
              <w:rPr>
                <w:sz w:val="22"/>
                <w:szCs w:val="22"/>
              </w:rPr>
              <w:t>$</w:t>
            </w:r>
            <w:r w:rsidR="00880395">
              <w:rPr>
                <w:sz w:val="22"/>
                <w:szCs w:val="22"/>
              </w:rPr>
              <w:t>134.21</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602235" w14:paraId="382392DC" w14:textId="77777777">
            <w:pPr>
              <w:spacing w:line="276" w:lineRule="auto"/>
              <w:jc w:val="center"/>
              <w:rPr>
                <w:sz w:val="22"/>
                <w:szCs w:val="22"/>
              </w:rPr>
            </w:pPr>
            <w:r>
              <w:rPr>
                <w:sz w:val="22"/>
                <w:szCs w:val="22"/>
              </w:rPr>
              <w:t>$0</w:t>
            </w:r>
          </w:p>
        </w:tc>
      </w:tr>
      <w:tr w:rsidRPr="00645D1A" w:rsidR="00A24E22" w:rsidTr="00884A38" w14:paraId="689364D7" w14:textId="77777777">
        <w:tc>
          <w:tcPr>
            <w:tcW w:w="2520" w:type="dxa"/>
            <w:tcBorders>
              <w:top w:val="single" w:color="auto" w:sz="4" w:space="0"/>
              <w:left w:val="single" w:color="auto" w:sz="4" w:space="0"/>
              <w:bottom w:val="single" w:color="auto" w:sz="4" w:space="0"/>
              <w:right w:val="single" w:color="auto" w:sz="4" w:space="0"/>
            </w:tcBorders>
          </w:tcPr>
          <w:p w:rsidR="008A60CF" w:rsidP="008A60CF" w:rsidRDefault="00DB3690" w14:paraId="0B2269CF" w14:textId="77777777">
            <w:pPr>
              <w:spacing w:line="276" w:lineRule="auto"/>
              <w:rPr>
                <w:sz w:val="22"/>
                <w:szCs w:val="22"/>
              </w:rPr>
            </w:pPr>
            <w:r w:rsidRPr="00DB3690">
              <w:rPr>
                <w:sz w:val="22"/>
                <w:szCs w:val="22"/>
              </w:rPr>
              <w:t>DB plans-</w:t>
            </w:r>
          </w:p>
          <w:p w:rsidR="00A24E22" w:rsidP="00884A38" w:rsidRDefault="00DB3690" w14:paraId="4241F1C2" w14:textId="77777777">
            <w:pPr>
              <w:spacing w:line="276" w:lineRule="auto"/>
              <w:rPr>
                <w:sz w:val="22"/>
                <w:szCs w:val="22"/>
              </w:rPr>
            </w:pPr>
            <w:r>
              <w:rPr>
                <w:sz w:val="22"/>
                <w:szCs w:val="22"/>
              </w:rPr>
              <w:t xml:space="preserve">Clerical staff </w:t>
            </w:r>
            <w:r w:rsidRPr="00DB3690">
              <w:rPr>
                <w:sz w:val="22"/>
                <w:szCs w:val="22"/>
              </w:rPr>
              <w:t>maintain documentation</w:t>
            </w:r>
          </w:p>
        </w:tc>
        <w:tc>
          <w:tcPr>
            <w:tcW w:w="1530" w:type="dxa"/>
            <w:tcBorders>
              <w:top w:val="single" w:color="auto" w:sz="4" w:space="0"/>
              <w:left w:val="single" w:color="auto" w:sz="4" w:space="0"/>
              <w:bottom w:val="single" w:color="auto" w:sz="4" w:space="0"/>
              <w:right w:val="single" w:color="auto" w:sz="4" w:space="0"/>
            </w:tcBorders>
            <w:vAlign w:val="bottom"/>
          </w:tcPr>
          <w:p w:rsidR="00A24E22" w:rsidP="00645D1A" w:rsidRDefault="00196B67" w14:paraId="76E464DB" w14:textId="77777777">
            <w:pPr>
              <w:spacing w:line="276" w:lineRule="auto"/>
              <w:jc w:val="center"/>
              <w:rPr>
                <w:sz w:val="22"/>
                <w:szCs w:val="22"/>
              </w:rPr>
            </w:pPr>
            <w:r>
              <w:rPr>
                <w:sz w:val="22"/>
                <w:szCs w:val="22"/>
              </w:rPr>
              <w:t>89</w:t>
            </w:r>
          </w:p>
        </w:tc>
        <w:tc>
          <w:tcPr>
            <w:tcW w:w="1350" w:type="dxa"/>
            <w:tcBorders>
              <w:top w:val="single" w:color="auto" w:sz="4" w:space="0"/>
              <w:left w:val="single" w:color="auto" w:sz="4" w:space="0"/>
              <w:bottom w:val="single" w:color="auto" w:sz="4" w:space="0"/>
              <w:right w:val="single" w:color="auto" w:sz="4" w:space="0"/>
            </w:tcBorders>
            <w:vAlign w:val="bottom"/>
          </w:tcPr>
          <w:p w:rsidR="00A24E22" w:rsidP="00645D1A" w:rsidRDefault="00244CC6" w14:paraId="32FE2D68"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244CC6" w14:paraId="5C20AE65" w14:textId="77777777">
            <w:pPr>
              <w:spacing w:line="276" w:lineRule="auto"/>
              <w:jc w:val="center"/>
              <w:rPr>
                <w:sz w:val="22"/>
                <w:szCs w:val="22"/>
              </w:rPr>
            </w:pPr>
            <w:r>
              <w:rPr>
                <w:sz w:val="22"/>
                <w:szCs w:val="22"/>
              </w:rPr>
              <w:t>89</w:t>
            </w:r>
          </w:p>
        </w:tc>
        <w:tc>
          <w:tcPr>
            <w:tcW w:w="108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6CCF3AB2" w14:textId="77777777">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DC2F90" w14:paraId="650BAEFB" w14:textId="77777777">
            <w:pPr>
              <w:spacing w:line="276" w:lineRule="auto"/>
              <w:jc w:val="center"/>
              <w:rPr>
                <w:sz w:val="22"/>
                <w:szCs w:val="22"/>
              </w:rPr>
            </w:pPr>
            <w:r>
              <w:rPr>
                <w:sz w:val="22"/>
                <w:szCs w:val="22"/>
              </w:rPr>
              <w:t>178</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3D4B65" w14:paraId="0C44B7D1" w14:textId="77777777">
            <w:pPr>
              <w:spacing w:line="276" w:lineRule="auto"/>
              <w:jc w:val="center"/>
              <w:rPr>
                <w:sz w:val="22"/>
                <w:szCs w:val="22"/>
              </w:rPr>
            </w:pPr>
            <w:r>
              <w:rPr>
                <w:sz w:val="22"/>
                <w:szCs w:val="22"/>
              </w:rPr>
              <w:t>$55.14</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602235" w14:paraId="434C7E3B" w14:textId="77777777">
            <w:pPr>
              <w:spacing w:line="276" w:lineRule="auto"/>
              <w:jc w:val="center"/>
              <w:rPr>
                <w:sz w:val="22"/>
                <w:szCs w:val="22"/>
              </w:rPr>
            </w:pPr>
            <w:r>
              <w:rPr>
                <w:sz w:val="22"/>
                <w:szCs w:val="22"/>
              </w:rPr>
              <w:t>$0</w:t>
            </w:r>
          </w:p>
        </w:tc>
      </w:tr>
      <w:tr w:rsidRPr="00645D1A" w:rsidR="00A24E22" w:rsidTr="00884A38" w14:paraId="300FF11A" w14:textId="77777777">
        <w:tc>
          <w:tcPr>
            <w:tcW w:w="2520" w:type="dxa"/>
            <w:tcBorders>
              <w:top w:val="single" w:color="auto" w:sz="4" w:space="0"/>
              <w:left w:val="single" w:color="auto" w:sz="4" w:space="0"/>
              <w:bottom w:val="single" w:color="auto" w:sz="4" w:space="0"/>
              <w:right w:val="single" w:color="auto" w:sz="4" w:space="0"/>
            </w:tcBorders>
          </w:tcPr>
          <w:p w:rsidR="00884A38" w:rsidP="00884A38" w:rsidRDefault="0088530F" w14:paraId="799069EA" w14:textId="77777777">
            <w:pPr>
              <w:spacing w:line="276" w:lineRule="auto"/>
              <w:rPr>
                <w:sz w:val="22"/>
                <w:szCs w:val="22"/>
              </w:rPr>
            </w:pPr>
            <w:r>
              <w:rPr>
                <w:sz w:val="22"/>
                <w:szCs w:val="22"/>
              </w:rPr>
              <w:t>Non p</w:t>
            </w:r>
            <w:r w:rsidRPr="0088530F">
              <w:rPr>
                <w:sz w:val="22"/>
                <w:szCs w:val="22"/>
              </w:rPr>
              <w:t>articipant-directed DC plans</w:t>
            </w:r>
            <w:r w:rsidRPr="000526CE" w:rsidR="000526CE">
              <w:rPr>
                <w:sz w:val="22"/>
                <w:szCs w:val="22"/>
              </w:rPr>
              <w:t>-</w:t>
            </w:r>
          </w:p>
          <w:p w:rsidR="00A24E22" w:rsidP="00884A38" w:rsidRDefault="000526CE" w14:paraId="343C1FBC" w14:textId="77777777">
            <w:pPr>
              <w:spacing w:line="276" w:lineRule="auto"/>
              <w:rPr>
                <w:sz w:val="22"/>
                <w:szCs w:val="22"/>
              </w:rPr>
            </w:pPr>
            <w:r>
              <w:rPr>
                <w:sz w:val="22"/>
                <w:szCs w:val="22"/>
              </w:rPr>
              <w:t>Clerical staff</w:t>
            </w:r>
            <w:r w:rsidRPr="000526CE">
              <w:rPr>
                <w:sz w:val="22"/>
                <w:szCs w:val="22"/>
              </w:rPr>
              <w:t xml:space="preserve"> maintain documentation</w:t>
            </w:r>
          </w:p>
        </w:tc>
        <w:tc>
          <w:tcPr>
            <w:tcW w:w="1530" w:type="dxa"/>
            <w:tcBorders>
              <w:top w:val="single" w:color="auto" w:sz="4" w:space="0"/>
              <w:left w:val="single" w:color="auto" w:sz="4" w:space="0"/>
              <w:bottom w:val="single" w:color="auto" w:sz="4" w:space="0"/>
              <w:right w:val="single" w:color="auto" w:sz="4" w:space="0"/>
            </w:tcBorders>
            <w:vAlign w:val="bottom"/>
          </w:tcPr>
          <w:p w:rsidR="00A24E22" w:rsidP="00645D1A" w:rsidRDefault="00196B67" w14:paraId="019A2E2A" w14:textId="77777777">
            <w:pPr>
              <w:spacing w:line="276" w:lineRule="auto"/>
              <w:jc w:val="center"/>
              <w:rPr>
                <w:sz w:val="22"/>
                <w:szCs w:val="22"/>
              </w:rPr>
            </w:pPr>
            <w:r>
              <w:rPr>
                <w:sz w:val="22"/>
                <w:szCs w:val="22"/>
              </w:rPr>
              <w:t>59</w:t>
            </w:r>
          </w:p>
        </w:tc>
        <w:tc>
          <w:tcPr>
            <w:tcW w:w="1350" w:type="dxa"/>
            <w:tcBorders>
              <w:top w:val="single" w:color="auto" w:sz="4" w:space="0"/>
              <w:left w:val="single" w:color="auto" w:sz="4" w:space="0"/>
              <w:bottom w:val="single" w:color="auto" w:sz="4" w:space="0"/>
              <w:right w:val="single" w:color="auto" w:sz="4" w:space="0"/>
            </w:tcBorders>
            <w:vAlign w:val="bottom"/>
          </w:tcPr>
          <w:p w:rsidR="00A24E22" w:rsidP="00645D1A" w:rsidRDefault="00244CC6" w14:paraId="12E9C3F2"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244CC6" w14:paraId="2D0EE7B8" w14:textId="77777777">
            <w:pPr>
              <w:spacing w:line="276" w:lineRule="auto"/>
              <w:jc w:val="center"/>
              <w:rPr>
                <w:sz w:val="22"/>
                <w:szCs w:val="22"/>
              </w:rPr>
            </w:pPr>
            <w:r>
              <w:rPr>
                <w:sz w:val="22"/>
                <w:szCs w:val="22"/>
              </w:rPr>
              <w:t>59</w:t>
            </w:r>
          </w:p>
        </w:tc>
        <w:tc>
          <w:tcPr>
            <w:tcW w:w="108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2FDC43CA" w14:textId="77777777">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DC2F90" w14:paraId="30217895" w14:textId="77777777">
            <w:pPr>
              <w:spacing w:line="276" w:lineRule="auto"/>
              <w:jc w:val="center"/>
              <w:rPr>
                <w:sz w:val="22"/>
                <w:szCs w:val="22"/>
              </w:rPr>
            </w:pPr>
            <w:r>
              <w:rPr>
                <w:sz w:val="22"/>
                <w:szCs w:val="22"/>
              </w:rPr>
              <w:t>118</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3D4B65" w14:paraId="0F1BC64F" w14:textId="77777777">
            <w:pPr>
              <w:spacing w:line="276" w:lineRule="auto"/>
              <w:jc w:val="center"/>
              <w:rPr>
                <w:sz w:val="22"/>
                <w:szCs w:val="22"/>
              </w:rPr>
            </w:pPr>
            <w:r>
              <w:rPr>
                <w:sz w:val="22"/>
                <w:szCs w:val="22"/>
              </w:rPr>
              <w:t>$55.14</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602235" w14:paraId="37937C2F" w14:textId="77777777">
            <w:pPr>
              <w:spacing w:line="276" w:lineRule="auto"/>
              <w:jc w:val="center"/>
              <w:rPr>
                <w:sz w:val="22"/>
                <w:szCs w:val="22"/>
              </w:rPr>
            </w:pPr>
            <w:r>
              <w:rPr>
                <w:sz w:val="22"/>
                <w:szCs w:val="22"/>
              </w:rPr>
              <w:t>$0</w:t>
            </w:r>
          </w:p>
        </w:tc>
      </w:tr>
      <w:tr w:rsidRPr="00645D1A" w:rsidR="00A24E22" w:rsidTr="00884A38" w14:paraId="60ED5E03" w14:textId="77777777">
        <w:tc>
          <w:tcPr>
            <w:tcW w:w="2520" w:type="dxa"/>
            <w:tcBorders>
              <w:top w:val="single" w:color="auto" w:sz="4" w:space="0"/>
              <w:left w:val="single" w:color="auto" w:sz="4" w:space="0"/>
              <w:bottom w:val="single" w:color="auto" w:sz="4" w:space="0"/>
              <w:right w:val="single" w:color="auto" w:sz="4" w:space="0"/>
            </w:tcBorders>
          </w:tcPr>
          <w:p w:rsidR="00884A38" w:rsidP="00884A38" w:rsidRDefault="0088530F" w14:paraId="6EA14251" w14:textId="77777777">
            <w:pPr>
              <w:spacing w:line="276" w:lineRule="auto"/>
              <w:rPr>
                <w:sz w:val="22"/>
                <w:szCs w:val="22"/>
              </w:rPr>
            </w:pPr>
            <w:r w:rsidRPr="0088530F">
              <w:rPr>
                <w:sz w:val="22"/>
                <w:szCs w:val="22"/>
              </w:rPr>
              <w:t>Participant-directed DC plans</w:t>
            </w:r>
            <w:r w:rsidRPr="00D60DC0" w:rsidR="00D60DC0">
              <w:rPr>
                <w:sz w:val="22"/>
                <w:szCs w:val="22"/>
              </w:rPr>
              <w:t>-</w:t>
            </w:r>
          </w:p>
          <w:p w:rsidR="00A24E22" w:rsidP="00884A38" w:rsidRDefault="00D60DC0" w14:paraId="3B7A0F64" w14:textId="77777777">
            <w:pPr>
              <w:spacing w:line="276" w:lineRule="auto"/>
              <w:rPr>
                <w:sz w:val="22"/>
                <w:szCs w:val="22"/>
              </w:rPr>
            </w:pPr>
            <w:r>
              <w:rPr>
                <w:sz w:val="22"/>
                <w:szCs w:val="22"/>
              </w:rPr>
              <w:t>Clerical</w:t>
            </w:r>
            <w:r w:rsidRPr="00D60DC0">
              <w:rPr>
                <w:sz w:val="22"/>
                <w:szCs w:val="22"/>
              </w:rPr>
              <w:t xml:space="preserve"> </w:t>
            </w:r>
            <w:r w:rsidR="000526CE">
              <w:rPr>
                <w:sz w:val="22"/>
                <w:szCs w:val="22"/>
              </w:rPr>
              <w:t xml:space="preserve">staff </w:t>
            </w:r>
            <w:r w:rsidRPr="00D60DC0">
              <w:rPr>
                <w:sz w:val="22"/>
                <w:szCs w:val="22"/>
              </w:rPr>
              <w:t>maintain documentation</w:t>
            </w:r>
          </w:p>
        </w:tc>
        <w:tc>
          <w:tcPr>
            <w:tcW w:w="1530" w:type="dxa"/>
            <w:tcBorders>
              <w:top w:val="single" w:color="auto" w:sz="4" w:space="0"/>
              <w:left w:val="single" w:color="auto" w:sz="4" w:space="0"/>
              <w:bottom w:val="single" w:color="auto" w:sz="4" w:space="0"/>
              <w:right w:val="single" w:color="auto" w:sz="4" w:space="0"/>
            </w:tcBorders>
            <w:vAlign w:val="bottom"/>
          </w:tcPr>
          <w:p w:rsidR="00A24E22" w:rsidP="00645D1A" w:rsidRDefault="00196B67" w14:paraId="54AD53CE" w14:textId="77777777">
            <w:pPr>
              <w:spacing w:line="276" w:lineRule="auto"/>
              <w:jc w:val="center"/>
              <w:rPr>
                <w:sz w:val="22"/>
                <w:szCs w:val="22"/>
              </w:rPr>
            </w:pPr>
            <w:r>
              <w:rPr>
                <w:sz w:val="22"/>
                <w:szCs w:val="22"/>
              </w:rPr>
              <w:t>175</w:t>
            </w:r>
          </w:p>
        </w:tc>
        <w:tc>
          <w:tcPr>
            <w:tcW w:w="1350" w:type="dxa"/>
            <w:tcBorders>
              <w:top w:val="single" w:color="auto" w:sz="4" w:space="0"/>
              <w:left w:val="single" w:color="auto" w:sz="4" w:space="0"/>
              <w:bottom w:val="single" w:color="auto" w:sz="4" w:space="0"/>
              <w:right w:val="single" w:color="auto" w:sz="4" w:space="0"/>
            </w:tcBorders>
            <w:vAlign w:val="bottom"/>
          </w:tcPr>
          <w:p w:rsidR="00A24E22" w:rsidP="00645D1A" w:rsidRDefault="00244CC6" w14:paraId="1874F5EE"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244CC6" w14:paraId="5A0B7B1C" w14:textId="77777777">
            <w:pPr>
              <w:spacing w:line="276" w:lineRule="auto"/>
              <w:jc w:val="center"/>
              <w:rPr>
                <w:sz w:val="22"/>
                <w:szCs w:val="22"/>
              </w:rPr>
            </w:pPr>
            <w:r>
              <w:rPr>
                <w:sz w:val="22"/>
                <w:szCs w:val="22"/>
              </w:rPr>
              <w:t>175</w:t>
            </w:r>
          </w:p>
        </w:tc>
        <w:tc>
          <w:tcPr>
            <w:tcW w:w="1080" w:type="dxa"/>
            <w:tcBorders>
              <w:top w:val="single" w:color="auto" w:sz="4" w:space="0"/>
              <w:left w:val="single" w:color="auto" w:sz="4" w:space="0"/>
              <w:bottom w:val="single" w:color="auto" w:sz="4" w:space="0"/>
              <w:right w:val="single" w:color="auto" w:sz="4" w:space="0"/>
            </w:tcBorders>
            <w:vAlign w:val="bottom"/>
          </w:tcPr>
          <w:p w:rsidR="00A24E22" w:rsidP="00645D1A" w:rsidRDefault="00A24E22" w14:paraId="057EBE3D" w14:textId="77777777">
            <w:pPr>
              <w:spacing w:line="276" w:lineRule="auto"/>
              <w:jc w:val="center"/>
              <w:rPr>
                <w:sz w:val="22"/>
                <w:szCs w:val="22"/>
              </w:rPr>
            </w:pPr>
            <w:r>
              <w:rPr>
                <w:sz w:val="22"/>
                <w:szCs w:val="22"/>
              </w:rPr>
              <w:t>2</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DC2F90" w14:paraId="6A54CE33" w14:textId="77777777">
            <w:pPr>
              <w:spacing w:line="276" w:lineRule="auto"/>
              <w:jc w:val="center"/>
              <w:rPr>
                <w:sz w:val="22"/>
                <w:szCs w:val="22"/>
              </w:rPr>
            </w:pPr>
            <w:r>
              <w:rPr>
                <w:sz w:val="22"/>
                <w:szCs w:val="22"/>
              </w:rPr>
              <w:t>349</w:t>
            </w:r>
          </w:p>
        </w:tc>
        <w:tc>
          <w:tcPr>
            <w:tcW w:w="990" w:type="dxa"/>
            <w:tcBorders>
              <w:top w:val="single" w:color="auto" w:sz="4" w:space="0"/>
              <w:left w:val="single" w:color="auto" w:sz="4" w:space="0"/>
              <w:bottom w:val="single" w:color="auto" w:sz="4" w:space="0"/>
              <w:right w:val="single" w:color="auto" w:sz="4" w:space="0"/>
            </w:tcBorders>
            <w:vAlign w:val="bottom"/>
          </w:tcPr>
          <w:p w:rsidR="00A24E22" w:rsidP="00645D1A" w:rsidRDefault="003D4B65" w14:paraId="52776287" w14:textId="77777777">
            <w:pPr>
              <w:spacing w:line="276" w:lineRule="auto"/>
              <w:jc w:val="center"/>
              <w:rPr>
                <w:sz w:val="22"/>
                <w:szCs w:val="22"/>
              </w:rPr>
            </w:pPr>
            <w:r>
              <w:rPr>
                <w:sz w:val="22"/>
                <w:szCs w:val="22"/>
              </w:rPr>
              <w:t>$55.14</w:t>
            </w:r>
          </w:p>
        </w:tc>
        <w:tc>
          <w:tcPr>
            <w:tcW w:w="1260" w:type="dxa"/>
            <w:tcBorders>
              <w:top w:val="single" w:color="auto" w:sz="4" w:space="0"/>
              <w:left w:val="single" w:color="auto" w:sz="4" w:space="0"/>
              <w:bottom w:val="single" w:color="auto" w:sz="4" w:space="0"/>
              <w:right w:val="single" w:color="auto" w:sz="4" w:space="0"/>
            </w:tcBorders>
            <w:vAlign w:val="bottom"/>
          </w:tcPr>
          <w:p w:rsidR="00A24E22" w:rsidP="00645D1A" w:rsidRDefault="00602235" w14:paraId="490BB361" w14:textId="77777777">
            <w:pPr>
              <w:spacing w:line="276" w:lineRule="auto"/>
              <w:jc w:val="center"/>
              <w:rPr>
                <w:sz w:val="22"/>
                <w:szCs w:val="22"/>
              </w:rPr>
            </w:pPr>
            <w:r>
              <w:rPr>
                <w:sz w:val="22"/>
                <w:szCs w:val="22"/>
              </w:rPr>
              <w:t>$0</w:t>
            </w:r>
          </w:p>
        </w:tc>
      </w:tr>
      <w:tr w:rsidRPr="00645D1A" w:rsidR="00ED614D" w:rsidTr="00884A38" w14:paraId="764356EC" w14:textId="77777777">
        <w:tc>
          <w:tcPr>
            <w:tcW w:w="2520" w:type="dxa"/>
            <w:tcBorders>
              <w:top w:val="single" w:color="auto" w:sz="4" w:space="0"/>
              <w:left w:val="single" w:color="auto" w:sz="4" w:space="0"/>
              <w:bottom w:val="single" w:color="auto" w:sz="4" w:space="0"/>
              <w:right w:val="single" w:color="auto" w:sz="4" w:space="0"/>
            </w:tcBorders>
          </w:tcPr>
          <w:p w:rsidRPr="00645D1A" w:rsidR="00ED614D" w:rsidP="00645D1A" w:rsidRDefault="00ED614D" w14:paraId="0D3C87C3" w14:textId="77777777">
            <w:pPr>
              <w:spacing w:line="276" w:lineRule="auto"/>
              <w:jc w:val="center"/>
              <w:rPr>
                <w:sz w:val="22"/>
                <w:szCs w:val="22"/>
              </w:rPr>
            </w:pPr>
          </w:p>
        </w:tc>
        <w:tc>
          <w:tcPr>
            <w:tcW w:w="1530" w:type="dxa"/>
            <w:tcBorders>
              <w:top w:val="single" w:color="auto" w:sz="4" w:space="0"/>
              <w:left w:val="single" w:color="auto" w:sz="4" w:space="0"/>
              <w:bottom w:val="single" w:color="auto" w:sz="4" w:space="0"/>
              <w:right w:val="single" w:color="auto" w:sz="4" w:space="0"/>
            </w:tcBorders>
            <w:vAlign w:val="bottom"/>
          </w:tcPr>
          <w:p w:rsidR="00ED614D" w:rsidP="00645D1A" w:rsidRDefault="00ED614D" w14:paraId="6631022E" w14:textId="77777777">
            <w:pPr>
              <w:spacing w:line="276" w:lineRule="auto"/>
              <w:jc w:val="center"/>
              <w:rPr>
                <w:sz w:val="22"/>
                <w:szCs w:val="22"/>
              </w:rPr>
            </w:pPr>
          </w:p>
        </w:tc>
        <w:tc>
          <w:tcPr>
            <w:tcW w:w="1350" w:type="dxa"/>
            <w:tcBorders>
              <w:top w:val="single" w:color="auto" w:sz="4" w:space="0"/>
              <w:left w:val="single" w:color="auto" w:sz="4" w:space="0"/>
              <w:bottom w:val="single" w:color="auto" w:sz="4" w:space="0"/>
              <w:right w:val="single" w:color="auto" w:sz="4" w:space="0"/>
            </w:tcBorders>
            <w:vAlign w:val="bottom"/>
          </w:tcPr>
          <w:p w:rsidR="00ED614D" w:rsidP="00645D1A" w:rsidRDefault="00ED614D" w14:paraId="012D7D59" w14:textId="77777777">
            <w:pPr>
              <w:spacing w:line="276" w:lineRule="auto"/>
              <w:jc w:val="center"/>
              <w:rPr>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00ED614D" w:rsidP="00645D1A" w:rsidRDefault="00ED614D" w14:paraId="492E829E" w14:textId="77777777">
            <w:pPr>
              <w:spacing w:line="276" w:lineRule="auto"/>
              <w:jc w:val="center"/>
              <w:rPr>
                <w:sz w:val="22"/>
                <w:szCs w:val="22"/>
              </w:rPr>
            </w:pPr>
          </w:p>
        </w:tc>
        <w:tc>
          <w:tcPr>
            <w:tcW w:w="1080" w:type="dxa"/>
            <w:tcBorders>
              <w:top w:val="single" w:color="auto" w:sz="4" w:space="0"/>
              <w:left w:val="single" w:color="auto" w:sz="4" w:space="0"/>
              <w:bottom w:val="single" w:color="auto" w:sz="4" w:space="0"/>
              <w:right w:val="single" w:color="auto" w:sz="4" w:space="0"/>
            </w:tcBorders>
            <w:vAlign w:val="bottom"/>
          </w:tcPr>
          <w:p w:rsidR="00ED614D" w:rsidP="0099128A" w:rsidRDefault="00ED614D" w14:paraId="1855C596"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tcPr>
          <w:p w:rsidR="00ED614D" w:rsidP="00645D1A" w:rsidRDefault="00ED614D" w14:paraId="2D89D6CC" w14:textId="77777777">
            <w:pPr>
              <w:spacing w:line="276" w:lineRule="auto"/>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tcPr>
          <w:p w:rsidR="00ED614D" w:rsidP="00645D1A" w:rsidRDefault="00ED614D" w14:paraId="1C0218A4" w14:textId="77777777">
            <w:pPr>
              <w:spacing w:line="276" w:lineRule="auto"/>
              <w:jc w:val="center"/>
              <w:rPr>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00ED614D" w:rsidP="00645D1A" w:rsidRDefault="00ED614D" w14:paraId="17781ED4" w14:textId="77777777">
            <w:pPr>
              <w:spacing w:line="276" w:lineRule="auto"/>
              <w:jc w:val="center"/>
              <w:rPr>
                <w:sz w:val="22"/>
                <w:szCs w:val="22"/>
              </w:rPr>
            </w:pPr>
          </w:p>
        </w:tc>
      </w:tr>
      <w:tr w:rsidRPr="00645D1A" w:rsidR="00645D1A" w:rsidTr="00884A38" w14:paraId="0342335A" w14:textId="77777777">
        <w:tc>
          <w:tcPr>
            <w:tcW w:w="2520" w:type="dxa"/>
            <w:tcBorders>
              <w:top w:val="single" w:color="auto" w:sz="4" w:space="0"/>
              <w:left w:val="single" w:color="auto" w:sz="4" w:space="0"/>
              <w:bottom w:val="single" w:color="auto" w:sz="4" w:space="0"/>
              <w:right w:val="single" w:color="auto" w:sz="4" w:space="0"/>
            </w:tcBorders>
          </w:tcPr>
          <w:p w:rsidRPr="00645D1A" w:rsidR="00645D1A" w:rsidP="00645D1A" w:rsidRDefault="00645D1A" w14:paraId="106A8683" w14:textId="77777777">
            <w:pPr>
              <w:spacing w:line="276" w:lineRule="auto"/>
              <w:jc w:val="center"/>
              <w:rPr>
                <w:sz w:val="22"/>
                <w:szCs w:val="22"/>
              </w:rPr>
            </w:pPr>
            <w:r w:rsidRPr="00645D1A">
              <w:rPr>
                <w:sz w:val="22"/>
                <w:szCs w:val="22"/>
              </w:rPr>
              <w:t>Unduplicated Total</w:t>
            </w:r>
          </w:p>
        </w:tc>
        <w:tc>
          <w:tcPr>
            <w:tcW w:w="153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D67407" w14:paraId="61B6FCEB" w14:textId="77777777">
            <w:pPr>
              <w:spacing w:line="276" w:lineRule="auto"/>
              <w:jc w:val="center"/>
              <w:rPr>
                <w:sz w:val="22"/>
                <w:szCs w:val="22"/>
              </w:rPr>
            </w:pPr>
            <w:r>
              <w:rPr>
                <w:sz w:val="22"/>
                <w:szCs w:val="22"/>
              </w:rPr>
              <w:t>323</w:t>
            </w:r>
          </w:p>
        </w:tc>
        <w:tc>
          <w:tcPr>
            <w:tcW w:w="135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D67407" w14:paraId="4411BF74" w14:textId="7777777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D67407" w14:paraId="77EA972F" w14:textId="77777777">
            <w:pPr>
              <w:spacing w:line="276" w:lineRule="auto"/>
              <w:jc w:val="center"/>
              <w:rPr>
                <w:sz w:val="22"/>
                <w:szCs w:val="22"/>
              </w:rPr>
            </w:pPr>
            <w:r>
              <w:rPr>
                <w:sz w:val="22"/>
                <w:szCs w:val="22"/>
              </w:rPr>
              <w:t>323</w:t>
            </w:r>
          </w:p>
        </w:tc>
        <w:tc>
          <w:tcPr>
            <w:tcW w:w="1080" w:type="dxa"/>
            <w:tcBorders>
              <w:top w:val="single" w:color="auto" w:sz="4" w:space="0"/>
              <w:left w:val="single" w:color="auto" w:sz="4" w:space="0"/>
              <w:bottom w:val="single" w:color="auto" w:sz="4" w:space="0"/>
              <w:right w:val="single" w:color="auto" w:sz="4" w:space="0"/>
            </w:tcBorders>
            <w:vAlign w:val="bottom"/>
          </w:tcPr>
          <w:p w:rsidRPr="00645D1A" w:rsidR="00645D1A" w:rsidP="0099128A" w:rsidRDefault="0099128A" w14:paraId="7DB6E24D" w14:textId="77777777">
            <w:pPr>
              <w:spacing w:line="276" w:lineRule="auto"/>
              <w:jc w:val="center"/>
              <w:rPr>
                <w:sz w:val="22"/>
                <w:szCs w:val="22"/>
              </w:rPr>
            </w:pPr>
            <w:r>
              <w:rPr>
                <w:sz w:val="22"/>
                <w:szCs w:val="22"/>
              </w:rPr>
              <w:t>4</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99128A" w14:paraId="6C14AA77" w14:textId="77777777">
            <w:pPr>
              <w:spacing w:line="276" w:lineRule="auto"/>
              <w:jc w:val="center"/>
              <w:rPr>
                <w:sz w:val="22"/>
                <w:szCs w:val="22"/>
              </w:rPr>
            </w:pPr>
            <w:r>
              <w:rPr>
                <w:sz w:val="22"/>
                <w:szCs w:val="22"/>
              </w:rPr>
              <w:t>1</w:t>
            </w:r>
            <w:r w:rsidR="00D24A86">
              <w:rPr>
                <w:sz w:val="22"/>
                <w:szCs w:val="22"/>
              </w:rPr>
              <w:t>,</w:t>
            </w:r>
            <w:r>
              <w:rPr>
                <w:sz w:val="22"/>
                <w:szCs w:val="22"/>
              </w:rPr>
              <w:t>290</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99128A" w14:paraId="6FDC993A" w14:textId="77777777">
            <w:pPr>
              <w:spacing w:line="276" w:lineRule="auto"/>
              <w:jc w:val="center"/>
              <w:rPr>
                <w:sz w:val="22"/>
                <w:szCs w:val="22"/>
              </w:rPr>
            </w:pPr>
            <w:r>
              <w:rPr>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645D1A" w:rsidP="00645D1A" w:rsidRDefault="00EA55D3" w14:paraId="7CEF4BF7" w14:textId="77777777">
            <w:pPr>
              <w:spacing w:line="276" w:lineRule="auto"/>
              <w:jc w:val="center"/>
              <w:rPr>
                <w:sz w:val="22"/>
                <w:szCs w:val="22"/>
              </w:rPr>
            </w:pPr>
            <w:r>
              <w:rPr>
                <w:sz w:val="22"/>
                <w:szCs w:val="22"/>
              </w:rPr>
              <w:t>$0</w:t>
            </w:r>
          </w:p>
        </w:tc>
      </w:tr>
    </w:tbl>
    <w:p w:rsidRPr="00D92950" w:rsidR="00E63F6F" w:rsidP="00241F43" w:rsidRDefault="00E63F6F" w14:paraId="1DB8B779" w14:textId="77777777">
      <w:pPr>
        <w:pStyle w:val="bulletlist"/>
        <w:numPr>
          <w:ilvl w:val="0"/>
          <w:numId w:val="0"/>
        </w:numPr>
        <w:ind w:left="1080" w:hanging="720"/>
        <w:rPr>
          <w:b w:val="0"/>
          <w:i w:val="0"/>
          <w:sz w:val="24"/>
        </w:rPr>
      </w:pPr>
    </w:p>
    <w:p w:rsidRPr="009A78F8" w:rsidR="00735BE9" w:rsidP="009A78F8" w:rsidRDefault="00735BE9" w14:paraId="52636424" w14:textId="77777777">
      <w:pPr>
        <w:pStyle w:val="Quick1"/>
        <w:widowControl/>
        <w:tabs>
          <w:tab w:val="clear" w:pos="360"/>
        </w:tabs>
        <w:ind w:left="720" w:hanging="720"/>
        <w:rPr>
          <w:i w:val="0"/>
          <w:sz w:val="24"/>
        </w:rPr>
      </w:pPr>
      <w:r w:rsidRPr="009A78F8">
        <w:rPr>
          <w:i w:val="0"/>
          <w:sz w:val="24"/>
        </w:rPr>
        <w:t xml:space="preserve">Provide an estimate of the total annual cost burden to respondents or recordkeepers resulting from the collection of information. </w:t>
      </w:r>
    </w:p>
    <w:p w:rsidRPr="009A78F8" w:rsidR="00BF3847" w:rsidP="009A78F8" w:rsidRDefault="00BF3847" w14:paraId="4A0598FC" w14:textId="77777777">
      <w:pPr>
        <w:numPr>
          <w:ilvl w:val="0"/>
          <w:numId w:val="9"/>
        </w:numPr>
        <w:ind w:left="1440" w:hanging="180"/>
        <w:rPr>
          <w:b/>
          <w:iCs/>
        </w:rPr>
      </w:pPr>
      <w:r w:rsidRPr="00BF3847">
        <w:rPr>
          <w:b/>
          <w:iCs/>
        </w:rPr>
        <w:t xml:space="preserve">The cost estimate should be split into two components:  (a) a total </w:t>
      </w:r>
      <w:r w:rsidRPr="00BF3847">
        <w:rPr>
          <w:b/>
          <w:iCs/>
        </w:rPr>
        <w:lastRenderedPageBreak/>
        <w:t>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A78F8" w:rsidR="00BF3847" w:rsidP="009A78F8" w:rsidRDefault="00BF3847" w14:paraId="53CAE891" w14:textId="77777777">
      <w:pPr>
        <w:numPr>
          <w:ilvl w:val="0"/>
          <w:numId w:val="9"/>
        </w:numPr>
        <w:ind w:left="1440" w:hanging="180"/>
        <w:rPr>
          <w:b/>
          <w:iCs/>
        </w:rPr>
      </w:pPr>
      <w:r w:rsidRPr="00BF3847">
        <w:rPr>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F3847" w:rsidR="00BF3847" w:rsidP="00BF3847" w:rsidRDefault="00BF3847" w14:paraId="2A48E788" w14:textId="77777777">
      <w:pPr>
        <w:numPr>
          <w:ilvl w:val="0"/>
          <w:numId w:val="9"/>
        </w:numPr>
        <w:ind w:left="1440" w:hanging="180"/>
        <w:rPr>
          <w:b/>
          <w:iCs/>
        </w:rPr>
      </w:pPr>
      <w:r w:rsidRPr="00BF3847">
        <w:rPr>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1623" w:rsidP="00741623" w:rsidRDefault="00741623" w14:paraId="49E7129D" w14:textId="77777777">
      <w:pPr>
        <w:pStyle w:val="Quick1"/>
        <w:widowControl/>
        <w:numPr>
          <w:ilvl w:val="0"/>
          <w:numId w:val="0"/>
        </w:numPr>
        <w:ind w:left="720"/>
        <w:rPr>
          <w:sz w:val="24"/>
        </w:rPr>
      </w:pPr>
    </w:p>
    <w:p w:rsidR="00FB2F15" w:rsidP="00741623" w:rsidRDefault="00FB2F15" w14:paraId="40C1F271" w14:textId="77777777">
      <w:pPr>
        <w:pStyle w:val="Quick1"/>
        <w:widowControl/>
        <w:numPr>
          <w:ilvl w:val="0"/>
          <w:numId w:val="0"/>
        </w:numPr>
        <w:ind w:left="720"/>
        <w:rPr>
          <w:sz w:val="24"/>
        </w:rPr>
      </w:pPr>
      <w:r>
        <w:rPr>
          <w:b w:val="0"/>
          <w:i w:val="0"/>
          <w:sz w:val="24"/>
        </w:rPr>
        <w:t xml:space="preserve">There </w:t>
      </w:r>
      <w:r w:rsidR="00450FAD">
        <w:rPr>
          <w:b w:val="0"/>
          <w:i w:val="0"/>
          <w:sz w:val="24"/>
        </w:rPr>
        <w:t>is</w:t>
      </w:r>
      <w:r>
        <w:rPr>
          <w:b w:val="0"/>
          <w:i w:val="0"/>
          <w:sz w:val="24"/>
        </w:rPr>
        <w:t xml:space="preserve"> no cost burden </w:t>
      </w:r>
      <w:r w:rsidR="00055314">
        <w:rPr>
          <w:b w:val="0"/>
          <w:i w:val="0"/>
          <w:sz w:val="24"/>
        </w:rPr>
        <w:t>associated with</w:t>
      </w:r>
      <w:r>
        <w:rPr>
          <w:b w:val="0"/>
          <w:i w:val="0"/>
          <w:sz w:val="24"/>
        </w:rPr>
        <w:t xml:space="preserve"> this </w:t>
      </w:r>
      <w:r w:rsidR="00055314">
        <w:rPr>
          <w:b w:val="0"/>
          <w:i w:val="0"/>
          <w:sz w:val="24"/>
        </w:rPr>
        <w:t>IC</w:t>
      </w:r>
      <w:r w:rsidR="00A446F8">
        <w:rPr>
          <w:b w:val="0"/>
          <w:i w:val="0"/>
          <w:sz w:val="24"/>
        </w:rPr>
        <w:t xml:space="preserve">. </w:t>
      </w:r>
      <w:r>
        <w:rPr>
          <w:b w:val="0"/>
          <w:i w:val="0"/>
          <w:sz w:val="24"/>
        </w:rPr>
        <w:t xml:space="preserve"> </w:t>
      </w:r>
    </w:p>
    <w:p w:rsidRPr="000E0DAF" w:rsidR="00D6572F" w:rsidP="00EB69FD" w:rsidRDefault="00D6572F" w14:paraId="6B7EB7FC" w14:textId="77777777">
      <w:pPr>
        <w:widowControl/>
      </w:pPr>
    </w:p>
    <w:p w:rsidRPr="00CB4CB1" w:rsidR="00735BE9" w:rsidP="00EB69FD" w:rsidRDefault="00735BE9" w14:paraId="77651DB4" w14:textId="77777777">
      <w:pPr>
        <w:pStyle w:val="Quick1"/>
        <w:widowControl/>
        <w:tabs>
          <w:tab w:val="clear" w:pos="360"/>
        </w:tabs>
        <w:ind w:left="720" w:hanging="720"/>
        <w:rPr>
          <w:i w:val="0"/>
        </w:rPr>
      </w:pPr>
      <w:r w:rsidRPr="00CB4CB1">
        <w:rPr>
          <w:i w:val="0"/>
          <w:sz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5BE9" w:rsidP="00104099" w:rsidRDefault="00735BE9" w14:paraId="7D31769A" w14:textId="77777777">
      <w:pPr>
        <w:widowControl/>
        <w:ind w:left="720"/>
      </w:pPr>
    </w:p>
    <w:p w:rsidR="0006298E" w:rsidP="00104099" w:rsidRDefault="0006298E" w14:paraId="6D9FE7A8" w14:textId="77777777">
      <w:pPr>
        <w:widowControl/>
        <w:ind w:left="720"/>
      </w:pPr>
      <w:r w:rsidRPr="0006298E">
        <w:t xml:space="preserve">There are no ongoing costs to the </w:t>
      </w:r>
      <w:r w:rsidR="00CA335F">
        <w:t>f</w:t>
      </w:r>
      <w:r w:rsidRPr="0006298E">
        <w:t>ederal government</w:t>
      </w:r>
      <w:r w:rsidR="00055314">
        <w:t xml:space="preserve"> associated with this IC</w:t>
      </w:r>
      <w:r w:rsidRPr="0006298E">
        <w:t>.</w:t>
      </w:r>
    </w:p>
    <w:p w:rsidRPr="000E0DAF" w:rsidR="00313CF9" w:rsidP="00104099" w:rsidRDefault="00313CF9" w14:paraId="2A86FFA9" w14:textId="77777777">
      <w:pPr>
        <w:widowControl/>
        <w:ind w:left="720"/>
      </w:pPr>
    </w:p>
    <w:p w:rsidRPr="00CB4CB1" w:rsidR="00735BE9" w:rsidP="00104099" w:rsidRDefault="00735BE9" w14:paraId="180AB1F7" w14:textId="77777777">
      <w:pPr>
        <w:pStyle w:val="Quick1"/>
        <w:widowControl/>
        <w:tabs>
          <w:tab w:val="clear" w:pos="360"/>
        </w:tabs>
        <w:ind w:left="720" w:hanging="720"/>
        <w:rPr>
          <w:i w:val="0"/>
          <w:sz w:val="24"/>
        </w:rPr>
      </w:pPr>
      <w:r w:rsidRPr="00CB4CB1">
        <w:rPr>
          <w:i w:val="0"/>
          <w:sz w:val="24"/>
        </w:rPr>
        <w:t>Explain the reasons for any program changes or adjustments reporting in Items 13 or 14.</w:t>
      </w:r>
    </w:p>
    <w:p w:rsidR="00873D90" w:rsidP="002A5175" w:rsidRDefault="00873D90" w14:paraId="6D5A13B7" w14:textId="77777777">
      <w:pPr>
        <w:pStyle w:val="Quick1"/>
        <w:widowControl/>
        <w:numPr>
          <w:ilvl w:val="0"/>
          <w:numId w:val="0"/>
        </w:numPr>
        <w:ind w:left="360" w:hanging="360"/>
        <w:rPr>
          <w:sz w:val="24"/>
        </w:rPr>
      </w:pPr>
    </w:p>
    <w:p w:rsidRPr="001700F7" w:rsidR="00873D90" w:rsidP="002A5175" w:rsidRDefault="00873D90" w14:paraId="33B33C28" w14:textId="77777777">
      <w:pPr>
        <w:pStyle w:val="Quick1"/>
        <w:widowControl/>
        <w:numPr>
          <w:ilvl w:val="0"/>
          <w:numId w:val="0"/>
        </w:numPr>
        <w:ind w:left="360" w:firstLine="360"/>
        <w:rPr>
          <w:b w:val="0"/>
          <w:i w:val="0"/>
          <w:sz w:val="24"/>
        </w:rPr>
      </w:pPr>
      <w:r w:rsidRPr="001700F7">
        <w:rPr>
          <w:b w:val="0"/>
          <w:i w:val="0"/>
          <w:sz w:val="24"/>
        </w:rPr>
        <w:t>This is a new collection of information.</w:t>
      </w:r>
    </w:p>
    <w:p w:rsidRPr="000E0DAF" w:rsidR="00313CF9" w:rsidP="00EB69FD" w:rsidRDefault="00313CF9" w14:paraId="7E179AED" w14:textId="77777777">
      <w:pPr>
        <w:widowControl/>
      </w:pPr>
    </w:p>
    <w:p w:rsidRPr="00CB4CB1" w:rsidR="00735BE9" w:rsidP="00104099" w:rsidRDefault="00735BE9" w14:paraId="6A9F727A" w14:textId="77777777">
      <w:pPr>
        <w:pStyle w:val="Quick1"/>
        <w:widowControl/>
        <w:tabs>
          <w:tab w:val="clear" w:pos="360"/>
        </w:tabs>
        <w:ind w:left="720" w:hanging="720"/>
        <w:rPr>
          <w:i w:val="0"/>
          <w:sz w:val="24"/>
        </w:rPr>
      </w:pPr>
      <w:r w:rsidRPr="00CB4CB1">
        <w:rPr>
          <w:i w:val="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5BE9" w:rsidP="00104099" w:rsidRDefault="00735BE9" w14:paraId="01F7A03F" w14:textId="77777777">
      <w:pPr>
        <w:widowControl/>
        <w:ind w:left="720"/>
      </w:pPr>
    </w:p>
    <w:p w:rsidRPr="00D8185E" w:rsidR="00D8185E" w:rsidP="00D8185E" w:rsidRDefault="00D8185E" w14:paraId="13CB2FE9" w14:textId="77777777">
      <w:pPr>
        <w:widowControl/>
        <w:ind w:left="720"/>
      </w:pPr>
      <w:r w:rsidRPr="00D8185E">
        <w:t>This is not a collection of information for statistical use and there are no plans to publish the results of this collection.</w:t>
      </w:r>
    </w:p>
    <w:p w:rsidRPr="000E0DAF" w:rsidR="00735BE9" w:rsidP="00D8185E" w:rsidRDefault="00735BE9" w14:paraId="74F9B8C3" w14:textId="77777777">
      <w:pPr>
        <w:widowControl/>
        <w:ind w:left="720"/>
      </w:pPr>
    </w:p>
    <w:p w:rsidRPr="00CB4CB1" w:rsidR="00735BE9" w:rsidP="00104099" w:rsidRDefault="00735BE9" w14:paraId="2B320DBF" w14:textId="77777777">
      <w:pPr>
        <w:pStyle w:val="Quick1"/>
        <w:widowControl/>
        <w:tabs>
          <w:tab w:val="clear" w:pos="360"/>
        </w:tabs>
        <w:ind w:left="720" w:hanging="720"/>
        <w:rPr>
          <w:i w:val="0"/>
          <w:sz w:val="24"/>
        </w:rPr>
      </w:pPr>
      <w:r w:rsidRPr="00CB4CB1">
        <w:rPr>
          <w:i w:val="0"/>
          <w:sz w:val="24"/>
        </w:rPr>
        <w:t>If seeking approval to not display the expiration date for OMB approval of the information collection, explain the reasons that display would be inappropriate.</w:t>
      </w:r>
    </w:p>
    <w:p w:rsidR="00735BE9" w:rsidP="00104099" w:rsidRDefault="00735BE9" w14:paraId="3A462A6F" w14:textId="77777777">
      <w:pPr>
        <w:widowControl/>
        <w:ind w:left="720"/>
      </w:pPr>
    </w:p>
    <w:p w:rsidR="00021A32" w:rsidP="00B805CD" w:rsidRDefault="00021A32" w14:paraId="30D6BA31" w14:textId="77777777">
      <w:pPr>
        <w:widowControl/>
        <w:ind w:left="720"/>
      </w:pPr>
      <w:r>
        <w:t>Not applicable.</w:t>
      </w:r>
    </w:p>
    <w:p w:rsidRPr="000E0DAF" w:rsidR="00AB2B9F" w:rsidP="00B805CD" w:rsidRDefault="00021A32" w14:paraId="38B1C9C9" w14:textId="77777777">
      <w:pPr>
        <w:widowControl/>
        <w:ind w:left="720"/>
      </w:pPr>
      <w:r>
        <w:t xml:space="preserve"> </w:t>
      </w:r>
    </w:p>
    <w:p w:rsidRPr="000E68CE" w:rsidR="00735BE9" w:rsidP="00104099" w:rsidRDefault="00735BE9" w14:paraId="1796F1A6" w14:textId="77777777">
      <w:pPr>
        <w:pStyle w:val="Quick1"/>
        <w:widowControl/>
        <w:tabs>
          <w:tab w:val="clear" w:pos="360"/>
        </w:tabs>
        <w:ind w:left="720" w:hanging="720"/>
        <w:rPr>
          <w:i w:val="0"/>
          <w:sz w:val="24"/>
        </w:rPr>
      </w:pPr>
      <w:r w:rsidRPr="00CB4CB1">
        <w:rPr>
          <w:i w:val="0"/>
          <w:sz w:val="24"/>
        </w:rPr>
        <w:t>Explain each exception to the certification statement</w:t>
      </w:r>
      <w:r w:rsidR="00FF1510">
        <w:rPr>
          <w:i w:val="0"/>
          <w:sz w:val="24"/>
        </w:rPr>
        <w:t>.</w:t>
      </w:r>
    </w:p>
    <w:p w:rsidRPr="000E0DAF" w:rsidR="00735BE9" w:rsidP="00104099" w:rsidRDefault="00735BE9" w14:paraId="14C127AD" w14:textId="77777777">
      <w:pPr>
        <w:widowControl/>
        <w:ind w:left="720"/>
      </w:pPr>
    </w:p>
    <w:p w:rsidR="00735BE9" w:rsidP="001A202A" w:rsidRDefault="004116A9" w14:paraId="511BDE6E" w14:textId="77777777">
      <w:pPr>
        <w:widowControl/>
        <w:ind w:left="720"/>
      </w:pPr>
      <w:r w:rsidRPr="004116A9">
        <w:t>There are no exceptions to the certification statement.</w:t>
      </w:r>
    </w:p>
    <w:p w:rsidR="002009CC" w:rsidP="001A202A" w:rsidRDefault="002009CC" w14:paraId="3530FFD9" w14:textId="77777777">
      <w:pPr>
        <w:widowControl/>
        <w:ind w:left="720"/>
      </w:pPr>
    </w:p>
    <w:p w:rsidRPr="002009CC" w:rsidR="002009CC" w:rsidP="002009CC" w:rsidRDefault="002009CC" w14:paraId="33D3F229" w14:textId="77777777">
      <w:pPr>
        <w:pStyle w:val="ListParagraph"/>
        <w:numPr>
          <w:ilvl w:val="0"/>
          <w:numId w:val="4"/>
        </w:numPr>
        <w:tabs>
          <w:tab w:val="left" w:pos="-1440"/>
        </w:tabs>
        <w:outlineLvl w:val="0"/>
      </w:pPr>
      <w:r w:rsidRPr="002009CC">
        <w:rPr>
          <w:b/>
          <w:bCs/>
        </w:rPr>
        <w:t>COLLECTIONS OF INFORMATION EMPLOYING STATISTICAL METHODS</w:t>
      </w:r>
    </w:p>
    <w:p w:rsidRPr="002009CC" w:rsidR="002009CC" w:rsidP="002009CC" w:rsidRDefault="002009CC" w14:paraId="64FDEFED" w14:textId="77777777">
      <w:pPr>
        <w:ind w:left="720"/>
      </w:pPr>
    </w:p>
    <w:p w:rsidRPr="000E0DAF" w:rsidR="00735BE9" w:rsidP="00F012B3" w:rsidRDefault="002009CC" w14:paraId="7CEA398D" w14:textId="77777777">
      <w:pPr>
        <w:ind w:left="720"/>
        <w:outlineLvl w:val="0"/>
      </w:pPr>
      <w:r w:rsidRPr="002009CC">
        <w:t>Not applicable.  The use of statistical methods is not relevant to this collection of information.</w:t>
      </w:r>
    </w:p>
    <w:sectPr w:rsidRPr="000E0DAF" w:rsidR="00735BE9" w:rsidSect="00F012B3">
      <w:headerReference w:type="default" r:id="rId11"/>
      <w:footerReference w:type="default" r:id="rId12"/>
      <w:endnotePr>
        <w:numFmt w:val="decimal"/>
      </w:endnotePr>
      <w:type w:val="continuous"/>
      <w:pgSz w:w="12240" w:h="15840"/>
      <w:pgMar w:top="1350" w:right="1440" w:bottom="1440" w:left="1440" w:header="1350" w:footer="1440"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DFFC" w16cex:dateUtc="2020-06-08T20:04:00Z"/>
  <w16cex:commentExtensible w16cex:durableId="2288DF06" w16cex:dateUtc="2020-06-08T20:00:00Z"/>
  <w16cex:commentExtensible w16cex:durableId="2288DFCD" w16cex:dateUtc="2020-06-08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982E10" w16cid:durableId="2288DFFC"/>
  <w16cid:commentId w16cid:paraId="141DED7C" w16cid:durableId="2288DF06"/>
  <w16cid:commentId w16cid:paraId="33D85455" w16cid:durableId="2288D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3228" w14:textId="77777777" w:rsidR="00DD2C6A" w:rsidRDefault="00DD2C6A">
      <w:r>
        <w:separator/>
      </w:r>
    </w:p>
  </w:endnote>
  <w:endnote w:type="continuationSeparator" w:id="0">
    <w:p w14:paraId="5EA34175" w14:textId="77777777" w:rsidR="00DD2C6A" w:rsidRDefault="00DD2C6A">
      <w:r>
        <w:continuationSeparator/>
      </w:r>
    </w:p>
  </w:endnote>
  <w:endnote w:type="continuationNotice" w:id="1">
    <w:p w14:paraId="4E2ACA00" w14:textId="77777777" w:rsidR="00DD2C6A" w:rsidRDefault="00DD2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81509"/>
      <w:docPartObj>
        <w:docPartGallery w:val="Page Numbers (Bottom of Page)"/>
        <w:docPartUnique/>
      </w:docPartObj>
    </w:sdtPr>
    <w:sdtEndPr>
      <w:rPr>
        <w:noProof/>
      </w:rPr>
    </w:sdtEndPr>
    <w:sdtContent>
      <w:p w14:paraId="0039818F" w14:textId="5DCF9323" w:rsidR="007A666D" w:rsidRPr="00F012B3" w:rsidRDefault="00F012B3" w:rsidP="00F012B3">
        <w:pPr>
          <w:pStyle w:val="Footer"/>
          <w:jc w:val="center"/>
        </w:pPr>
        <w:r>
          <w:fldChar w:fldCharType="begin"/>
        </w:r>
        <w:r>
          <w:instrText xml:space="preserve"> PAGE   \* MERGEFORMAT </w:instrText>
        </w:r>
        <w:r>
          <w:fldChar w:fldCharType="separate"/>
        </w:r>
        <w:r w:rsidR="00782140">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EC9FD" w14:textId="77777777" w:rsidR="00DD2C6A" w:rsidRDefault="00DD2C6A">
      <w:r>
        <w:separator/>
      </w:r>
    </w:p>
  </w:footnote>
  <w:footnote w:type="continuationSeparator" w:id="0">
    <w:p w14:paraId="4E16977A" w14:textId="77777777" w:rsidR="00DD2C6A" w:rsidRDefault="00DD2C6A">
      <w:r>
        <w:continuationSeparator/>
      </w:r>
    </w:p>
  </w:footnote>
  <w:footnote w:type="continuationNotice" w:id="1">
    <w:p w14:paraId="3A77E1A3" w14:textId="77777777" w:rsidR="00DD2C6A" w:rsidRDefault="00DD2C6A"/>
  </w:footnote>
  <w:footnote w:id="2">
    <w:p w14:paraId="7B54FD16" w14:textId="77777777" w:rsidR="007A666D" w:rsidRPr="000D7B5D" w:rsidRDefault="007A666D" w:rsidP="0047722F">
      <w:pPr>
        <w:pStyle w:val="FootnoteText"/>
      </w:pPr>
      <w:r w:rsidRPr="000D7B5D">
        <w:rPr>
          <w:rStyle w:val="FootnoteReference"/>
        </w:rPr>
        <w:footnoteRef/>
      </w:r>
      <w:r w:rsidRPr="000D7B5D">
        <w:t xml:space="preserve"> Brad Smith &amp; Kelly Regan, </w:t>
      </w:r>
      <w:r w:rsidRPr="000D7B5D">
        <w:rPr>
          <w:i/>
        </w:rPr>
        <w:t>NEPC ESG Survey: A Profile of Corporate &amp; Healthcare Plan Decisionmakers’ Perspectives</w:t>
      </w:r>
      <w:r w:rsidRPr="000D7B5D">
        <w:t>, NEPC (</w:t>
      </w:r>
      <w:r w:rsidRPr="00EF6B77">
        <w:t xml:space="preserve">Jul. 11, </w:t>
      </w:r>
      <w:r w:rsidRPr="000D7B5D">
        <w:t>2018),</w:t>
      </w:r>
      <w:r>
        <w:t xml:space="preserve"> </w:t>
      </w:r>
      <w:r w:rsidRPr="009E6253">
        <w:t>https://cdn2.hubspot.net/hubfs/2529352/files/2018%2007%20NEPC%20ESG%20Survey%20Results%20.pdf?t=1532123276859</w:t>
      </w:r>
      <w:r>
        <w:t>.</w:t>
      </w:r>
    </w:p>
  </w:footnote>
  <w:footnote w:id="3">
    <w:p w14:paraId="067E392B" w14:textId="77777777" w:rsidR="007A666D" w:rsidRPr="000D7B5D" w:rsidRDefault="007A666D" w:rsidP="0047722F">
      <w:pPr>
        <w:pStyle w:val="FootnoteText"/>
      </w:pPr>
      <w:r w:rsidRPr="000D7B5D">
        <w:rPr>
          <w:rStyle w:val="FootnoteReference"/>
        </w:rPr>
        <w:footnoteRef/>
      </w:r>
      <w:r w:rsidRPr="00EF6B77">
        <w:t xml:space="preserve"> </w:t>
      </w:r>
      <w:r w:rsidRPr="00EF6B77">
        <w:rPr>
          <w:i/>
          <w:iCs/>
        </w:rPr>
        <w:t>2019 ESG Survey</w:t>
      </w:r>
      <w:r w:rsidRPr="00EF6B77">
        <w:t xml:space="preserve">, Callan Institute (2019), </w:t>
      </w:r>
      <w:r w:rsidRPr="003E60EF">
        <w:t>www.callan.com/wp-content/uploads/2019/09/2019-ESG-Survey.pdf.</w:t>
      </w:r>
      <w:r w:rsidRPr="00EF6B77">
        <w:t>  </w:t>
      </w:r>
    </w:p>
  </w:footnote>
  <w:footnote w:id="4">
    <w:p w14:paraId="3363E9FC" w14:textId="77777777" w:rsidR="007A666D" w:rsidRPr="000D7B5D" w:rsidRDefault="007A666D" w:rsidP="00FA499D">
      <w:pPr>
        <w:pStyle w:val="FootnoteText"/>
        <w:rPr>
          <w:i/>
        </w:rPr>
      </w:pPr>
      <w:r w:rsidRPr="000D7B5D">
        <w:rPr>
          <w:rStyle w:val="FootnoteReference"/>
        </w:rPr>
        <w:footnoteRef/>
      </w:r>
      <w:r w:rsidRPr="000D7B5D">
        <w:t xml:space="preserve"> </w:t>
      </w:r>
      <w:r w:rsidRPr="000D7B5D">
        <w:rPr>
          <w:i/>
          <w:iCs/>
        </w:rPr>
        <w:t>62</w:t>
      </w:r>
      <w:r>
        <w:rPr>
          <w:i/>
          <w:iCs/>
        </w:rPr>
        <w:t>nd</w:t>
      </w:r>
      <w:r w:rsidRPr="000D7B5D">
        <w:rPr>
          <w:i/>
          <w:iCs/>
        </w:rPr>
        <w:t xml:space="preserve"> Annual Survey of Profit Sharing and 401(k) Plans</w:t>
      </w:r>
      <w:r w:rsidRPr="000D7B5D">
        <w:t>, Plan Sponsor Council of America (2019). </w:t>
      </w:r>
    </w:p>
  </w:footnote>
  <w:footnote w:id="5">
    <w:p w14:paraId="1B142757" w14:textId="77777777" w:rsidR="007A666D" w:rsidRPr="007878CF" w:rsidRDefault="007A666D" w:rsidP="00FA499D">
      <w:pPr>
        <w:pStyle w:val="FootnoteText"/>
      </w:pPr>
      <w:r w:rsidRPr="000D7B5D">
        <w:rPr>
          <w:rStyle w:val="FootnoteReference"/>
        </w:rPr>
        <w:footnoteRef/>
      </w:r>
      <w:r w:rsidRPr="000D7B5D">
        <w:t xml:space="preserve"> </w:t>
      </w:r>
      <w:r w:rsidRPr="000D7B5D">
        <w:rPr>
          <w:i/>
          <w:iCs/>
        </w:rPr>
        <w:t xml:space="preserve">How </w:t>
      </w:r>
      <w:r w:rsidRPr="00175DA6">
        <w:rPr>
          <w:i/>
          <w:iCs/>
        </w:rPr>
        <w:t>America Saves 2019</w:t>
      </w:r>
      <w:r w:rsidRPr="00175DA6">
        <w:t>, Vanguard (</w:t>
      </w:r>
      <w:r>
        <w:t xml:space="preserve">June </w:t>
      </w:r>
      <w:r w:rsidRPr="00175DA6">
        <w:t>2019), https://institutional.vanguard.com/iam/pdf/HAS2019.pdf.</w:t>
      </w:r>
      <w:r w:rsidRPr="007878CF">
        <w:t> </w:t>
      </w:r>
    </w:p>
  </w:footnote>
  <w:footnote w:id="6">
    <w:p w14:paraId="6F35F052" w14:textId="77777777" w:rsidR="007A666D" w:rsidRPr="008D1BD0" w:rsidRDefault="007A666D" w:rsidP="00ED2D1E">
      <w:pPr>
        <w:pStyle w:val="FootnoteText"/>
      </w:pPr>
      <w:r w:rsidRPr="0038770E">
        <w:rPr>
          <w:rStyle w:val="FootnoteReference"/>
        </w:rPr>
        <w:footnoteRef/>
      </w:r>
      <w:r w:rsidRPr="0038770E">
        <w:t xml:space="preserve"> </w:t>
      </w:r>
      <w:r w:rsidRPr="000764D5">
        <w:t>DOL calculations based on statistics from U.S. Department of Labor, Employee Benefits Security Administration, “Private Pension Plan Bulletin: Abstract of 201</w:t>
      </w:r>
      <w:r>
        <w:t>8</w:t>
      </w:r>
      <w:r w:rsidRPr="000764D5">
        <w:t xml:space="preserve"> Form 5500 Annual Reports,” (</w:t>
      </w:r>
      <w:r>
        <w:t>forthcoming 2020</w:t>
      </w:r>
      <w:r w:rsidRPr="000764D5">
        <w:t>), (</w:t>
      </w:r>
      <w:r>
        <w:t>46,869 DB</w:t>
      </w:r>
      <w:r w:rsidRPr="000764D5">
        <w:t xml:space="preserve"> </w:t>
      </w:r>
      <w:r>
        <w:t>plans *</w:t>
      </w:r>
      <w:r w:rsidRPr="000764D5">
        <w:t xml:space="preserve"> 1</w:t>
      </w:r>
      <w:r>
        <w:t>9</w:t>
      </w:r>
      <w:r w:rsidRPr="000764D5">
        <w:t xml:space="preserve">% = </w:t>
      </w:r>
      <w:r>
        <w:t>8,905 DB plans; 93,033 DC Plans *</w:t>
      </w:r>
      <w:r w:rsidRPr="000764D5">
        <w:t xml:space="preserve"> </w:t>
      </w:r>
      <w:r>
        <w:t>19</w:t>
      </w:r>
      <w:r w:rsidRPr="000764D5">
        <w:t xml:space="preserve">% = </w:t>
      </w:r>
      <w:r>
        <w:t>17,676 DC plans;  581,974 * 9% = 52,378 individual account plans with participant direction</w:t>
      </w:r>
      <w:r w:rsidRPr="0004014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8218" w14:textId="77777777" w:rsidR="007A666D" w:rsidRPr="00BD0851" w:rsidRDefault="007A666D" w:rsidP="00BD0851">
    <w:pPr>
      <w:rPr>
        <w:b/>
        <w:bCs/>
        <w:sz w:val="20"/>
        <w:szCs w:val="20"/>
      </w:rPr>
    </w:pPr>
    <w:r w:rsidRPr="00BD0851">
      <w:rPr>
        <w:b/>
        <w:bCs/>
        <w:sz w:val="20"/>
        <w:szCs w:val="20"/>
      </w:rPr>
      <w:t>Financial Factors in Selecting Plan Investments</w:t>
    </w:r>
  </w:p>
  <w:p w14:paraId="39007B8E" w14:textId="77777777" w:rsidR="007A666D" w:rsidRPr="00BD0851" w:rsidRDefault="007A666D" w:rsidP="00BD0851">
    <w:pPr>
      <w:rPr>
        <w:b/>
        <w:bCs/>
        <w:sz w:val="20"/>
        <w:szCs w:val="20"/>
      </w:rPr>
    </w:pPr>
    <w:r w:rsidRPr="00BD0851">
      <w:rPr>
        <w:b/>
        <w:bCs/>
        <w:sz w:val="20"/>
        <w:szCs w:val="20"/>
      </w:rPr>
      <w:t>OMB Control Number</w:t>
    </w:r>
    <w:r>
      <w:rPr>
        <w:b/>
        <w:bCs/>
        <w:sz w:val="20"/>
        <w:szCs w:val="20"/>
      </w:rPr>
      <w:t>: 1210-0162</w:t>
    </w:r>
  </w:p>
  <w:p w14:paraId="6290D033" w14:textId="77777777" w:rsidR="007A666D" w:rsidRPr="00BD0851" w:rsidRDefault="007A666D" w:rsidP="00BD0851">
    <w:pPr>
      <w:rPr>
        <w:b/>
        <w:bCs/>
        <w:sz w:val="20"/>
        <w:szCs w:val="20"/>
      </w:rPr>
    </w:pPr>
    <w:r w:rsidRPr="00BD0851">
      <w:rPr>
        <w:b/>
        <w:bCs/>
        <w:sz w:val="20"/>
        <w:szCs w:val="20"/>
      </w:rPr>
      <w:t xml:space="preserve">OMB Expiration Date: </w:t>
    </w:r>
  </w:p>
  <w:p w14:paraId="68902EA9" w14:textId="77777777" w:rsidR="007A666D" w:rsidRDefault="007A666D">
    <w:pPr>
      <w:spacing w:line="240" w:lineRule="exact"/>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A2E7D02"/>
    <w:multiLevelType w:val="hybridMultilevel"/>
    <w:tmpl w:val="02528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2794"/>
    <w:multiLevelType w:val="hybridMultilevel"/>
    <w:tmpl w:val="056441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A611871"/>
    <w:multiLevelType w:val="hybridMultilevel"/>
    <w:tmpl w:val="B598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6D7F1A"/>
    <w:multiLevelType w:val="hybridMultilevel"/>
    <w:tmpl w:val="77EE5502"/>
    <w:lvl w:ilvl="0" w:tplc="AD70480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7060ED"/>
    <w:multiLevelType w:val="hybridMultilevel"/>
    <w:tmpl w:val="71DA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4"/>
  </w:num>
  <w:num w:numId="4">
    <w:abstractNumId w:val="5"/>
  </w:num>
  <w:num w:numId="5">
    <w:abstractNumId w:val="6"/>
  </w:num>
  <w:num w:numId="6">
    <w:abstractNumId w:val="1"/>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48"/>
    <w:rsid w:val="00000426"/>
    <w:rsid w:val="000004AD"/>
    <w:rsid w:val="000009D3"/>
    <w:rsid w:val="0000667C"/>
    <w:rsid w:val="00010BAE"/>
    <w:rsid w:val="00012BB5"/>
    <w:rsid w:val="000161E2"/>
    <w:rsid w:val="00021A32"/>
    <w:rsid w:val="00022BB8"/>
    <w:rsid w:val="00031FCD"/>
    <w:rsid w:val="000325C8"/>
    <w:rsid w:val="00037376"/>
    <w:rsid w:val="00037BBC"/>
    <w:rsid w:val="00037BD6"/>
    <w:rsid w:val="00043616"/>
    <w:rsid w:val="0004679E"/>
    <w:rsid w:val="00050D66"/>
    <w:rsid w:val="000526CE"/>
    <w:rsid w:val="00055314"/>
    <w:rsid w:val="00061599"/>
    <w:rsid w:val="0006298E"/>
    <w:rsid w:val="00063927"/>
    <w:rsid w:val="000645F3"/>
    <w:rsid w:val="000646CF"/>
    <w:rsid w:val="00067A48"/>
    <w:rsid w:val="000757B7"/>
    <w:rsid w:val="00077704"/>
    <w:rsid w:val="00083AF2"/>
    <w:rsid w:val="000842FD"/>
    <w:rsid w:val="00093ED4"/>
    <w:rsid w:val="000A081C"/>
    <w:rsid w:val="000A1CD6"/>
    <w:rsid w:val="000A2EDC"/>
    <w:rsid w:val="000A516A"/>
    <w:rsid w:val="000B4069"/>
    <w:rsid w:val="000C57E5"/>
    <w:rsid w:val="000D11A6"/>
    <w:rsid w:val="000D59E7"/>
    <w:rsid w:val="000E0DAF"/>
    <w:rsid w:val="000E179A"/>
    <w:rsid w:val="000E4B43"/>
    <w:rsid w:val="000E4E72"/>
    <w:rsid w:val="000E68CE"/>
    <w:rsid w:val="000E7670"/>
    <w:rsid w:val="000F0B48"/>
    <w:rsid w:val="000F17F6"/>
    <w:rsid w:val="000F5182"/>
    <w:rsid w:val="000F5369"/>
    <w:rsid w:val="000F5620"/>
    <w:rsid w:val="000F59D3"/>
    <w:rsid w:val="00100715"/>
    <w:rsid w:val="00104099"/>
    <w:rsid w:val="00104538"/>
    <w:rsid w:val="001108FD"/>
    <w:rsid w:val="00110AC7"/>
    <w:rsid w:val="00111F15"/>
    <w:rsid w:val="00113284"/>
    <w:rsid w:val="001134F8"/>
    <w:rsid w:val="00115345"/>
    <w:rsid w:val="00120508"/>
    <w:rsid w:val="00122588"/>
    <w:rsid w:val="00122C5B"/>
    <w:rsid w:val="00126A06"/>
    <w:rsid w:val="0013315C"/>
    <w:rsid w:val="00134D0A"/>
    <w:rsid w:val="001363D6"/>
    <w:rsid w:val="001373CB"/>
    <w:rsid w:val="00140CF1"/>
    <w:rsid w:val="0014311E"/>
    <w:rsid w:val="00143891"/>
    <w:rsid w:val="0014469D"/>
    <w:rsid w:val="0014490D"/>
    <w:rsid w:val="00145847"/>
    <w:rsid w:val="001531C1"/>
    <w:rsid w:val="001532DA"/>
    <w:rsid w:val="001630EE"/>
    <w:rsid w:val="00163685"/>
    <w:rsid w:val="00166AD6"/>
    <w:rsid w:val="001700F7"/>
    <w:rsid w:val="001702F3"/>
    <w:rsid w:val="00176200"/>
    <w:rsid w:val="001766E2"/>
    <w:rsid w:val="00181A5C"/>
    <w:rsid w:val="001921B8"/>
    <w:rsid w:val="00193CC5"/>
    <w:rsid w:val="001966DC"/>
    <w:rsid w:val="00196B67"/>
    <w:rsid w:val="001A202A"/>
    <w:rsid w:val="001A5AA4"/>
    <w:rsid w:val="001A5EB6"/>
    <w:rsid w:val="001B3059"/>
    <w:rsid w:val="001B7037"/>
    <w:rsid w:val="001C0D58"/>
    <w:rsid w:val="001C4E37"/>
    <w:rsid w:val="001C71E5"/>
    <w:rsid w:val="001D1D2F"/>
    <w:rsid w:val="001D21A4"/>
    <w:rsid w:val="001D69AA"/>
    <w:rsid w:val="001E059D"/>
    <w:rsid w:val="001E1A03"/>
    <w:rsid w:val="001E7525"/>
    <w:rsid w:val="001E7902"/>
    <w:rsid w:val="001F21E6"/>
    <w:rsid w:val="001F4651"/>
    <w:rsid w:val="001F4C96"/>
    <w:rsid w:val="002009CC"/>
    <w:rsid w:val="002016E5"/>
    <w:rsid w:val="00210913"/>
    <w:rsid w:val="00210C8C"/>
    <w:rsid w:val="00210E7E"/>
    <w:rsid w:val="00211DA9"/>
    <w:rsid w:val="002139BB"/>
    <w:rsid w:val="00216175"/>
    <w:rsid w:val="002174F1"/>
    <w:rsid w:val="00220407"/>
    <w:rsid w:val="00222077"/>
    <w:rsid w:val="002255E7"/>
    <w:rsid w:val="0022652F"/>
    <w:rsid w:val="00231EDF"/>
    <w:rsid w:val="00233948"/>
    <w:rsid w:val="0023564B"/>
    <w:rsid w:val="00236EFC"/>
    <w:rsid w:val="00241F43"/>
    <w:rsid w:val="00244CC6"/>
    <w:rsid w:val="00246595"/>
    <w:rsid w:val="002532C2"/>
    <w:rsid w:val="00256B66"/>
    <w:rsid w:val="002641E3"/>
    <w:rsid w:val="00266535"/>
    <w:rsid w:val="0027023C"/>
    <w:rsid w:val="00270775"/>
    <w:rsid w:val="00270EF0"/>
    <w:rsid w:val="002720DB"/>
    <w:rsid w:val="00275E81"/>
    <w:rsid w:val="00277762"/>
    <w:rsid w:val="00282575"/>
    <w:rsid w:val="002839A2"/>
    <w:rsid w:val="00290BB8"/>
    <w:rsid w:val="0029407F"/>
    <w:rsid w:val="0029718B"/>
    <w:rsid w:val="00297C35"/>
    <w:rsid w:val="002A5175"/>
    <w:rsid w:val="002A5B24"/>
    <w:rsid w:val="002A62EE"/>
    <w:rsid w:val="002A741E"/>
    <w:rsid w:val="002B6081"/>
    <w:rsid w:val="002B6F8C"/>
    <w:rsid w:val="002C1A80"/>
    <w:rsid w:val="002C302A"/>
    <w:rsid w:val="002C4838"/>
    <w:rsid w:val="002C657D"/>
    <w:rsid w:val="002D0ED2"/>
    <w:rsid w:val="002D16D7"/>
    <w:rsid w:val="002D29C7"/>
    <w:rsid w:val="002D490E"/>
    <w:rsid w:val="002D5E82"/>
    <w:rsid w:val="002D6094"/>
    <w:rsid w:val="002D728A"/>
    <w:rsid w:val="002D73B2"/>
    <w:rsid w:val="002D7ABE"/>
    <w:rsid w:val="002E46FE"/>
    <w:rsid w:val="002E5C73"/>
    <w:rsid w:val="002E75C6"/>
    <w:rsid w:val="002F0807"/>
    <w:rsid w:val="002F45AF"/>
    <w:rsid w:val="002F4CBE"/>
    <w:rsid w:val="002F5461"/>
    <w:rsid w:val="0030001A"/>
    <w:rsid w:val="003038F3"/>
    <w:rsid w:val="00303D93"/>
    <w:rsid w:val="0030583C"/>
    <w:rsid w:val="00310186"/>
    <w:rsid w:val="003138DD"/>
    <w:rsid w:val="00313CF9"/>
    <w:rsid w:val="00313DD5"/>
    <w:rsid w:val="00316AFF"/>
    <w:rsid w:val="003217D1"/>
    <w:rsid w:val="00327676"/>
    <w:rsid w:val="00332120"/>
    <w:rsid w:val="00332B44"/>
    <w:rsid w:val="00335D73"/>
    <w:rsid w:val="00342EF5"/>
    <w:rsid w:val="00344C43"/>
    <w:rsid w:val="003454F6"/>
    <w:rsid w:val="00350FD0"/>
    <w:rsid w:val="00353E16"/>
    <w:rsid w:val="00354305"/>
    <w:rsid w:val="00361799"/>
    <w:rsid w:val="003629D1"/>
    <w:rsid w:val="003630A8"/>
    <w:rsid w:val="00363FC4"/>
    <w:rsid w:val="003732E8"/>
    <w:rsid w:val="003733BF"/>
    <w:rsid w:val="00375496"/>
    <w:rsid w:val="003806FC"/>
    <w:rsid w:val="00381998"/>
    <w:rsid w:val="003828EE"/>
    <w:rsid w:val="00382985"/>
    <w:rsid w:val="00386B37"/>
    <w:rsid w:val="00390D2A"/>
    <w:rsid w:val="00391ADB"/>
    <w:rsid w:val="00397072"/>
    <w:rsid w:val="00397692"/>
    <w:rsid w:val="003979A2"/>
    <w:rsid w:val="00397E56"/>
    <w:rsid w:val="003A6AF1"/>
    <w:rsid w:val="003A6C27"/>
    <w:rsid w:val="003B30DD"/>
    <w:rsid w:val="003B32A4"/>
    <w:rsid w:val="003B47A6"/>
    <w:rsid w:val="003B608A"/>
    <w:rsid w:val="003C0306"/>
    <w:rsid w:val="003C138D"/>
    <w:rsid w:val="003C252E"/>
    <w:rsid w:val="003C6AA6"/>
    <w:rsid w:val="003C715E"/>
    <w:rsid w:val="003D1279"/>
    <w:rsid w:val="003D16A3"/>
    <w:rsid w:val="003D446F"/>
    <w:rsid w:val="003D4B65"/>
    <w:rsid w:val="003E1C9B"/>
    <w:rsid w:val="003E43CB"/>
    <w:rsid w:val="003E634F"/>
    <w:rsid w:val="003E727E"/>
    <w:rsid w:val="003F72C9"/>
    <w:rsid w:val="00400B2F"/>
    <w:rsid w:val="00401AA7"/>
    <w:rsid w:val="00402B45"/>
    <w:rsid w:val="00403E49"/>
    <w:rsid w:val="00410C62"/>
    <w:rsid w:val="004116A9"/>
    <w:rsid w:val="00422F18"/>
    <w:rsid w:val="00425C02"/>
    <w:rsid w:val="0043041F"/>
    <w:rsid w:val="00430649"/>
    <w:rsid w:val="00436A1E"/>
    <w:rsid w:val="00442C49"/>
    <w:rsid w:val="00444EF8"/>
    <w:rsid w:val="00445CFC"/>
    <w:rsid w:val="00445EBC"/>
    <w:rsid w:val="00446A6F"/>
    <w:rsid w:val="00446FA5"/>
    <w:rsid w:val="00450FAD"/>
    <w:rsid w:val="00455897"/>
    <w:rsid w:val="00455B8B"/>
    <w:rsid w:val="00462A9A"/>
    <w:rsid w:val="00466492"/>
    <w:rsid w:val="00467662"/>
    <w:rsid w:val="0047064D"/>
    <w:rsid w:val="00472341"/>
    <w:rsid w:val="00472BA9"/>
    <w:rsid w:val="00475023"/>
    <w:rsid w:val="0047722F"/>
    <w:rsid w:val="004776B9"/>
    <w:rsid w:val="00480C3B"/>
    <w:rsid w:val="0048252D"/>
    <w:rsid w:val="00482BC1"/>
    <w:rsid w:val="00483131"/>
    <w:rsid w:val="0048333C"/>
    <w:rsid w:val="00487C6D"/>
    <w:rsid w:val="004964C6"/>
    <w:rsid w:val="004A1810"/>
    <w:rsid w:val="004A41D2"/>
    <w:rsid w:val="004A506D"/>
    <w:rsid w:val="004A6F16"/>
    <w:rsid w:val="004B183B"/>
    <w:rsid w:val="004B22E7"/>
    <w:rsid w:val="004B2DE1"/>
    <w:rsid w:val="004B3412"/>
    <w:rsid w:val="004B438D"/>
    <w:rsid w:val="004B7B58"/>
    <w:rsid w:val="004B7E32"/>
    <w:rsid w:val="004C07AF"/>
    <w:rsid w:val="004C120B"/>
    <w:rsid w:val="004C384B"/>
    <w:rsid w:val="004C49EF"/>
    <w:rsid w:val="004C4BC9"/>
    <w:rsid w:val="004C75F5"/>
    <w:rsid w:val="004C7ED9"/>
    <w:rsid w:val="004D2867"/>
    <w:rsid w:val="004E0B65"/>
    <w:rsid w:val="004E4F1A"/>
    <w:rsid w:val="004F2982"/>
    <w:rsid w:val="004F2DD4"/>
    <w:rsid w:val="004F3807"/>
    <w:rsid w:val="004F45AC"/>
    <w:rsid w:val="004F5A2E"/>
    <w:rsid w:val="004F6C4D"/>
    <w:rsid w:val="005018E8"/>
    <w:rsid w:val="00501F48"/>
    <w:rsid w:val="005030EC"/>
    <w:rsid w:val="00504C18"/>
    <w:rsid w:val="00507337"/>
    <w:rsid w:val="00510162"/>
    <w:rsid w:val="005126F8"/>
    <w:rsid w:val="0051500B"/>
    <w:rsid w:val="005177BC"/>
    <w:rsid w:val="005234AB"/>
    <w:rsid w:val="0052776C"/>
    <w:rsid w:val="005311A7"/>
    <w:rsid w:val="00533D15"/>
    <w:rsid w:val="00537172"/>
    <w:rsid w:val="00540FE9"/>
    <w:rsid w:val="00541048"/>
    <w:rsid w:val="005445A6"/>
    <w:rsid w:val="00551A1A"/>
    <w:rsid w:val="005615A9"/>
    <w:rsid w:val="00562BCB"/>
    <w:rsid w:val="00563E6D"/>
    <w:rsid w:val="005660C7"/>
    <w:rsid w:val="0056666D"/>
    <w:rsid w:val="00567EAB"/>
    <w:rsid w:val="0057323A"/>
    <w:rsid w:val="0057474D"/>
    <w:rsid w:val="005779A7"/>
    <w:rsid w:val="00577A2D"/>
    <w:rsid w:val="005839BD"/>
    <w:rsid w:val="00583ECA"/>
    <w:rsid w:val="00590F00"/>
    <w:rsid w:val="005963EB"/>
    <w:rsid w:val="005A1C5A"/>
    <w:rsid w:val="005A5116"/>
    <w:rsid w:val="005B4A04"/>
    <w:rsid w:val="005B6190"/>
    <w:rsid w:val="005C0685"/>
    <w:rsid w:val="005C0689"/>
    <w:rsid w:val="005C3939"/>
    <w:rsid w:val="005C4D16"/>
    <w:rsid w:val="005D2867"/>
    <w:rsid w:val="005D5547"/>
    <w:rsid w:val="005D555C"/>
    <w:rsid w:val="005D6225"/>
    <w:rsid w:val="005E1A4F"/>
    <w:rsid w:val="005E4F6C"/>
    <w:rsid w:val="005E638B"/>
    <w:rsid w:val="005E6423"/>
    <w:rsid w:val="005E6AFC"/>
    <w:rsid w:val="005E784A"/>
    <w:rsid w:val="005E7E27"/>
    <w:rsid w:val="005F06DB"/>
    <w:rsid w:val="005F1CD9"/>
    <w:rsid w:val="005F7929"/>
    <w:rsid w:val="00602235"/>
    <w:rsid w:val="00605043"/>
    <w:rsid w:val="006130F3"/>
    <w:rsid w:val="006147A4"/>
    <w:rsid w:val="00614AE7"/>
    <w:rsid w:val="00616C1D"/>
    <w:rsid w:val="00620697"/>
    <w:rsid w:val="006210C1"/>
    <w:rsid w:val="0062262F"/>
    <w:rsid w:val="00623D3C"/>
    <w:rsid w:val="0062581F"/>
    <w:rsid w:val="0062629B"/>
    <w:rsid w:val="00645D1A"/>
    <w:rsid w:val="00652B95"/>
    <w:rsid w:val="00653048"/>
    <w:rsid w:val="00653119"/>
    <w:rsid w:val="00655B9A"/>
    <w:rsid w:val="00657969"/>
    <w:rsid w:val="00670170"/>
    <w:rsid w:val="0067120B"/>
    <w:rsid w:val="0067321B"/>
    <w:rsid w:val="0067336E"/>
    <w:rsid w:val="0067364A"/>
    <w:rsid w:val="00674933"/>
    <w:rsid w:val="00681A97"/>
    <w:rsid w:val="00682C74"/>
    <w:rsid w:val="006832D4"/>
    <w:rsid w:val="00690B3E"/>
    <w:rsid w:val="0069111D"/>
    <w:rsid w:val="00693DF8"/>
    <w:rsid w:val="006A2AC5"/>
    <w:rsid w:val="006A5845"/>
    <w:rsid w:val="006A6922"/>
    <w:rsid w:val="006B24CD"/>
    <w:rsid w:val="006B40FE"/>
    <w:rsid w:val="006B43FE"/>
    <w:rsid w:val="006B4723"/>
    <w:rsid w:val="006B62B9"/>
    <w:rsid w:val="006C1953"/>
    <w:rsid w:val="006C20D6"/>
    <w:rsid w:val="006C2641"/>
    <w:rsid w:val="006C42B9"/>
    <w:rsid w:val="006D3329"/>
    <w:rsid w:val="006D3C1C"/>
    <w:rsid w:val="006D4C16"/>
    <w:rsid w:val="006D6591"/>
    <w:rsid w:val="006D7748"/>
    <w:rsid w:val="006E1FCA"/>
    <w:rsid w:val="006E23AF"/>
    <w:rsid w:val="006E4385"/>
    <w:rsid w:val="006E49B1"/>
    <w:rsid w:val="006E5437"/>
    <w:rsid w:val="006E5AC0"/>
    <w:rsid w:val="006E7893"/>
    <w:rsid w:val="006F0319"/>
    <w:rsid w:val="006F0BB1"/>
    <w:rsid w:val="006F16C2"/>
    <w:rsid w:val="006F55EA"/>
    <w:rsid w:val="006F5FDB"/>
    <w:rsid w:val="00701313"/>
    <w:rsid w:val="00702926"/>
    <w:rsid w:val="00717863"/>
    <w:rsid w:val="00731300"/>
    <w:rsid w:val="00735BE9"/>
    <w:rsid w:val="00737C7D"/>
    <w:rsid w:val="00740D24"/>
    <w:rsid w:val="00741623"/>
    <w:rsid w:val="00743E49"/>
    <w:rsid w:val="00744E2C"/>
    <w:rsid w:val="00745464"/>
    <w:rsid w:val="007466B5"/>
    <w:rsid w:val="007476F1"/>
    <w:rsid w:val="00747C04"/>
    <w:rsid w:val="00747DDB"/>
    <w:rsid w:val="007500E9"/>
    <w:rsid w:val="007637FF"/>
    <w:rsid w:val="00766EB4"/>
    <w:rsid w:val="007713F9"/>
    <w:rsid w:val="00772BA7"/>
    <w:rsid w:val="00772F87"/>
    <w:rsid w:val="00773E17"/>
    <w:rsid w:val="00775BCE"/>
    <w:rsid w:val="00780D34"/>
    <w:rsid w:val="00782140"/>
    <w:rsid w:val="00787E6B"/>
    <w:rsid w:val="007912ED"/>
    <w:rsid w:val="007945D5"/>
    <w:rsid w:val="007968D7"/>
    <w:rsid w:val="00796B37"/>
    <w:rsid w:val="00797B90"/>
    <w:rsid w:val="007A2E8A"/>
    <w:rsid w:val="007A2EA6"/>
    <w:rsid w:val="007A4198"/>
    <w:rsid w:val="007A4C06"/>
    <w:rsid w:val="007A52C5"/>
    <w:rsid w:val="007A666D"/>
    <w:rsid w:val="007A6A6F"/>
    <w:rsid w:val="007B36C7"/>
    <w:rsid w:val="007B4E4E"/>
    <w:rsid w:val="007B4F32"/>
    <w:rsid w:val="007C3477"/>
    <w:rsid w:val="007C3805"/>
    <w:rsid w:val="007C55CE"/>
    <w:rsid w:val="007D268F"/>
    <w:rsid w:val="007D347F"/>
    <w:rsid w:val="007D4E47"/>
    <w:rsid w:val="007D58DF"/>
    <w:rsid w:val="007D65DF"/>
    <w:rsid w:val="007E1878"/>
    <w:rsid w:val="007E24F9"/>
    <w:rsid w:val="007E42AF"/>
    <w:rsid w:val="007F473F"/>
    <w:rsid w:val="007F7133"/>
    <w:rsid w:val="008020FD"/>
    <w:rsid w:val="00802193"/>
    <w:rsid w:val="00802E2C"/>
    <w:rsid w:val="00804151"/>
    <w:rsid w:val="00815F40"/>
    <w:rsid w:val="00816274"/>
    <w:rsid w:val="0081638F"/>
    <w:rsid w:val="008165B6"/>
    <w:rsid w:val="00817B0F"/>
    <w:rsid w:val="0082080C"/>
    <w:rsid w:val="008217B4"/>
    <w:rsid w:val="00823BAB"/>
    <w:rsid w:val="00823F12"/>
    <w:rsid w:val="00824454"/>
    <w:rsid w:val="00831664"/>
    <w:rsid w:val="00831665"/>
    <w:rsid w:val="0083644E"/>
    <w:rsid w:val="0084089D"/>
    <w:rsid w:val="00844C41"/>
    <w:rsid w:val="00850219"/>
    <w:rsid w:val="0086004B"/>
    <w:rsid w:val="0086269C"/>
    <w:rsid w:val="00866AAF"/>
    <w:rsid w:val="00870C02"/>
    <w:rsid w:val="00871551"/>
    <w:rsid w:val="00873D90"/>
    <w:rsid w:val="00875F10"/>
    <w:rsid w:val="00880395"/>
    <w:rsid w:val="00881521"/>
    <w:rsid w:val="008831DD"/>
    <w:rsid w:val="0088369B"/>
    <w:rsid w:val="00883EAA"/>
    <w:rsid w:val="00884A38"/>
    <w:rsid w:val="0088530F"/>
    <w:rsid w:val="008872CE"/>
    <w:rsid w:val="00895241"/>
    <w:rsid w:val="008A0551"/>
    <w:rsid w:val="008A0FE1"/>
    <w:rsid w:val="008A1470"/>
    <w:rsid w:val="008A4077"/>
    <w:rsid w:val="008A5433"/>
    <w:rsid w:val="008A54AD"/>
    <w:rsid w:val="008A60CF"/>
    <w:rsid w:val="008B210F"/>
    <w:rsid w:val="008B486F"/>
    <w:rsid w:val="008B5C9C"/>
    <w:rsid w:val="008B6289"/>
    <w:rsid w:val="008C53C4"/>
    <w:rsid w:val="008C7C67"/>
    <w:rsid w:val="008D453E"/>
    <w:rsid w:val="008E3A45"/>
    <w:rsid w:val="008E3DD1"/>
    <w:rsid w:val="008F03B0"/>
    <w:rsid w:val="008F3758"/>
    <w:rsid w:val="008F6534"/>
    <w:rsid w:val="00902011"/>
    <w:rsid w:val="00902157"/>
    <w:rsid w:val="00902E1A"/>
    <w:rsid w:val="00903CD2"/>
    <w:rsid w:val="0090550D"/>
    <w:rsid w:val="00905CAE"/>
    <w:rsid w:val="0091725A"/>
    <w:rsid w:val="00923548"/>
    <w:rsid w:val="00924708"/>
    <w:rsid w:val="00924AEC"/>
    <w:rsid w:val="00925BCE"/>
    <w:rsid w:val="009307C7"/>
    <w:rsid w:val="00935A8A"/>
    <w:rsid w:val="00935C00"/>
    <w:rsid w:val="00936282"/>
    <w:rsid w:val="00936FCF"/>
    <w:rsid w:val="009417B0"/>
    <w:rsid w:val="0094765D"/>
    <w:rsid w:val="0095155A"/>
    <w:rsid w:val="00951962"/>
    <w:rsid w:val="00952056"/>
    <w:rsid w:val="0095480F"/>
    <w:rsid w:val="00954E0E"/>
    <w:rsid w:val="00955378"/>
    <w:rsid w:val="0096079D"/>
    <w:rsid w:val="00964CF2"/>
    <w:rsid w:val="009652E4"/>
    <w:rsid w:val="009674EF"/>
    <w:rsid w:val="009732FA"/>
    <w:rsid w:val="00973842"/>
    <w:rsid w:val="00975EBC"/>
    <w:rsid w:val="00980AA3"/>
    <w:rsid w:val="009817FC"/>
    <w:rsid w:val="00981F56"/>
    <w:rsid w:val="00982DA7"/>
    <w:rsid w:val="009833AC"/>
    <w:rsid w:val="00986836"/>
    <w:rsid w:val="009874F8"/>
    <w:rsid w:val="0099128A"/>
    <w:rsid w:val="00992C3D"/>
    <w:rsid w:val="00994982"/>
    <w:rsid w:val="009962E5"/>
    <w:rsid w:val="00996FAE"/>
    <w:rsid w:val="00997736"/>
    <w:rsid w:val="009A172F"/>
    <w:rsid w:val="009A20D0"/>
    <w:rsid w:val="009A265C"/>
    <w:rsid w:val="009A5837"/>
    <w:rsid w:val="009A7788"/>
    <w:rsid w:val="009A78F8"/>
    <w:rsid w:val="009A7B60"/>
    <w:rsid w:val="009B3B8B"/>
    <w:rsid w:val="009B4CF6"/>
    <w:rsid w:val="009B5364"/>
    <w:rsid w:val="009C38BF"/>
    <w:rsid w:val="009C48FD"/>
    <w:rsid w:val="009C6142"/>
    <w:rsid w:val="009C6457"/>
    <w:rsid w:val="009C68C8"/>
    <w:rsid w:val="009C7181"/>
    <w:rsid w:val="009C7CFF"/>
    <w:rsid w:val="009D17EE"/>
    <w:rsid w:val="009D3E3E"/>
    <w:rsid w:val="009D68D8"/>
    <w:rsid w:val="009E0913"/>
    <w:rsid w:val="009E3AFF"/>
    <w:rsid w:val="009E3B61"/>
    <w:rsid w:val="009E47C9"/>
    <w:rsid w:val="009E601F"/>
    <w:rsid w:val="009F14CA"/>
    <w:rsid w:val="009F404F"/>
    <w:rsid w:val="009F4149"/>
    <w:rsid w:val="009F52D0"/>
    <w:rsid w:val="009F5B34"/>
    <w:rsid w:val="00A00FAB"/>
    <w:rsid w:val="00A02BB2"/>
    <w:rsid w:val="00A0318F"/>
    <w:rsid w:val="00A0429F"/>
    <w:rsid w:val="00A045C4"/>
    <w:rsid w:val="00A06592"/>
    <w:rsid w:val="00A1029E"/>
    <w:rsid w:val="00A22FD6"/>
    <w:rsid w:val="00A24E22"/>
    <w:rsid w:val="00A262B9"/>
    <w:rsid w:val="00A267E2"/>
    <w:rsid w:val="00A30F5F"/>
    <w:rsid w:val="00A318A1"/>
    <w:rsid w:val="00A35F47"/>
    <w:rsid w:val="00A37F05"/>
    <w:rsid w:val="00A446F8"/>
    <w:rsid w:val="00A53687"/>
    <w:rsid w:val="00A53D76"/>
    <w:rsid w:val="00A55B5F"/>
    <w:rsid w:val="00A64BEE"/>
    <w:rsid w:val="00A65090"/>
    <w:rsid w:val="00A6582E"/>
    <w:rsid w:val="00A65F7D"/>
    <w:rsid w:val="00A65FCC"/>
    <w:rsid w:val="00A70924"/>
    <w:rsid w:val="00A70B32"/>
    <w:rsid w:val="00A81B9B"/>
    <w:rsid w:val="00A83A01"/>
    <w:rsid w:val="00A942F2"/>
    <w:rsid w:val="00A97B57"/>
    <w:rsid w:val="00AA3A08"/>
    <w:rsid w:val="00AA60EE"/>
    <w:rsid w:val="00AA7DDC"/>
    <w:rsid w:val="00AB04F1"/>
    <w:rsid w:val="00AB2B9F"/>
    <w:rsid w:val="00AB4075"/>
    <w:rsid w:val="00AB4B91"/>
    <w:rsid w:val="00AC359A"/>
    <w:rsid w:val="00AC4F49"/>
    <w:rsid w:val="00AC4F66"/>
    <w:rsid w:val="00AD3CC9"/>
    <w:rsid w:val="00AE1FD8"/>
    <w:rsid w:val="00AE2968"/>
    <w:rsid w:val="00AE45CD"/>
    <w:rsid w:val="00AE693A"/>
    <w:rsid w:val="00AF6DE5"/>
    <w:rsid w:val="00AF7C3A"/>
    <w:rsid w:val="00B02F3D"/>
    <w:rsid w:val="00B066B0"/>
    <w:rsid w:val="00B06751"/>
    <w:rsid w:val="00B12179"/>
    <w:rsid w:val="00B12BEA"/>
    <w:rsid w:val="00B15580"/>
    <w:rsid w:val="00B158F8"/>
    <w:rsid w:val="00B2035E"/>
    <w:rsid w:val="00B20769"/>
    <w:rsid w:val="00B21E36"/>
    <w:rsid w:val="00B21F9C"/>
    <w:rsid w:val="00B22997"/>
    <w:rsid w:val="00B23078"/>
    <w:rsid w:val="00B259F4"/>
    <w:rsid w:val="00B277FF"/>
    <w:rsid w:val="00B316B0"/>
    <w:rsid w:val="00B3176C"/>
    <w:rsid w:val="00B37ACE"/>
    <w:rsid w:val="00B43970"/>
    <w:rsid w:val="00B514A6"/>
    <w:rsid w:val="00B5248F"/>
    <w:rsid w:val="00B5315D"/>
    <w:rsid w:val="00B53AB4"/>
    <w:rsid w:val="00B6060D"/>
    <w:rsid w:val="00B6382B"/>
    <w:rsid w:val="00B638E5"/>
    <w:rsid w:val="00B63B7B"/>
    <w:rsid w:val="00B642BC"/>
    <w:rsid w:val="00B667E9"/>
    <w:rsid w:val="00B73EEA"/>
    <w:rsid w:val="00B76688"/>
    <w:rsid w:val="00B805CD"/>
    <w:rsid w:val="00B8411B"/>
    <w:rsid w:val="00B860FE"/>
    <w:rsid w:val="00B87440"/>
    <w:rsid w:val="00B910A8"/>
    <w:rsid w:val="00B916DB"/>
    <w:rsid w:val="00B91D11"/>
    <w:rsid w:val="00B95276"/>
    <w:rsid w:val="00B976D3"/>
    <w:rsid w:val="00BA1E41"/>
    <w:rsid w:val="00BA3F67"/>
    <w:rsid w:val="00BA6D04"/>
    <w:rsid w:val="00BA6E33"/>
    <w:rsid w:val="00BB6D75"/>
    <w:rsid w:val="00BB7AEC"/>
    <w:rsid w:val="00BC2B2E"/>
    <w:rsid w:val="00BD00EF"/>
    <w:rsid w:val="00BD0851"/>
    <w:rsid w:val="00BD0B46"/>
    <w:rsid w:val="00BD2704"/>
    <w:rsid w:val="00BD2FAF"/>
    <w:rsid w:val="00BD6339"/>
    <w:rsid w:val="00BE1F95"/>
    <w:rsid w:val="00BE39AC"/>
    <w:rsid w:val="00BE57BB"/>
    <w:rsid w:val="00BF3847"/>
    <w:rsid w:val="00BF6A4A"/>
    <w:rsid w:val="00C01DB3"/>
    <w:rsid w:val="00C035EB"/>
    <w:rsid w:val="00C060C3"/>
    <w:rsid w:val="00C068F6"/>
    <w:rsid w:val="00C1070F"/>
    <w:rsid w:val="00C112F2"/>
    <w:rsid w:val="00C119D7"/>
    <w:rsid w:val="00C131D4"/>
    <w:rsid w:val="00C153ED"/>
    <w:rsid w:val="00C1570E"/>
    <w:rsid w:val="00C16BF5"/>
    <w:rsid w:val="00C2278C"/>
    <w:rsid w:val="00C26716"/>
    <w:rsid w:val="00C32E42"/>
    <w:rsid w:val="00C35F4C"/>
    <w:rsid w:val="00C40930"/>
    <w:rsid w:val="00C411A9"/>
    <w:rsid w:val="00C41EB9"/>
    <w:rsid w:val="00C4211A"/>
    <w:rsid w:val="00C429F5"/>
    <w:rsid w:val="00C438DD"/>
    <w:rsid w:val="00C43A6D"/>
    <w:rsid w:val="00C44B3E"/>
    <w:rsid w:val="00C46FA8"/>
    <w:rsid w:val="00C50360"/>
    <w:rsid w:val="00C53656"/>
    <w:rsid w:val="00C573A3"/>
    <w:rsid w:val="00C57978"/>
    <w:rsid w:val="00C57F13"/>
    <w:rsid w:val="00C62422"/>
    <w:rsid w:val="00C73F66"/>
    <w:rsid w:val="00C75D6E"/>
    <w:rsid w:val="00C76236"/>
    <w:rsid w:val="00C81E7C"/>
    <w:rsid w:val="00C82512"/>
    <w:rsid w:val="00C82C5A"/>
    <w:rsid w:val="00C85A30"/>
    <w:rsid w:val="00C8741B"/>
    <w:rsid w:val="00C875E3"/>
    <w:rsid w:val="00C87AED"/>
    <w:rsid w:val="00C9713C"/>
    <w:rsid w:val="00C97E20"/>
    <w:rsid w:val="00CA335F"/>
    <w:rsid w:val="00CA478C"/>
    <w:rsid w:val="00CB32CB"/>
    <w:rsid w:val="00CB3C81"/>
    <w:rsid w:val="00CB4CB1"/>
    <w:rsid w:val="00CC06BB"/>
    <w:rsid w:val="00CC0B5D"/>
    <w:rsid w:val="00CC3A87"/>
    <w:rsid w:val="00CC6377"/>
    <w:rsid w:val="00CC6AFB"/>
    <w:rsid w:val="00CE21C4"/>
    <w:rsid w:val="00CE220B"/>
    <w:rsid w:val="00CE675E"/>
    <w:rsid w:val="00CE68A9"/>
    <w:rsid w:val="00CF0BA8"/>
    <w:rsid w:val="00CF3A64"/>
    <w:rsid w:val="00CF3D97"/>
    <w:rsid w:val="00CF61BB"/>
    <w:rsid w:val="00D015A1"/>
    <w:rsid w:val="00D01E62"/>
    <w:rsid w:val="00D06556"/>
    <w:rsid w:val="00D106F8"/>
    <w:rsid w:val="00D12D3E"/>
    <w:rsid w:val="00D1374B"/>
    <w:rsid w:val="00D14E70"/>
    <w:rsid w:val="00D157F2"/>
    <w:rsid w:val="00D20A1B"/>
    <w:rsid w:val="00D2481E"/>
    <w:rsid w:val="00D24A86"/>
    <w:rsid w:val="00D25161"/>
    <w:rsid w:val="00D309A7"/>
    <w:rsid w:val="00D30DB3"/>
    <w:rsid w:val="00D32562"/>
    <w:rsid w:val="00D32723"/>
    <w:rsid w:val="00D34548"/>
    <w:rsid w:val="00D35514"/>
    <w:rsid w:val="00D366E1"/>
    <w:rsid w:val="00D370B3"/>
    <w:rsid w:val="00D3743F"/>
    <w:rsid w:val="00D45021"/>
    <w:rsid w:val="00D60DC0"/>
    <w:rsid w:val="00D61B8C"/>
    <w:rsid w:val="00D64473"/>
    <w:rsid w:val="00D65086"/>
    <w:rsid w:val="00D6572F"/>
    <w:rsid w:val="00D65B44"/>
    <w:rsid w:val="00D65DB0"/>
    <w:rsid w:val="00D67407"/>
    <w:rsid w:val="00D71797"/>
    <w:rsid w:val="00D77A8C"/>
    <w:rsid w:val="00D802D0"/>
    <w:rsid w:val="00D8185E"/>
    <w:rsid w:val="00D822FE"/>
    <w:rsid w:val="00D84F8E"/>
    <w:rsid w:val="00D856DD"/>
    <w:rsid w:val="00D86C08"/>
    <w:rsid w:val="00D87308"/>
    <w:rsid w:val="00D9187B"/>
    <w:rsid w:val="00D91919"/>
    <w:rsid w:val="00D92950"/>
    <w:rsid w:val="00D934A1"/>
    <w:rsid w:val="00D95014"/>
    <w:rsid w:val="00D965E1"/>
    <w:rsid w:val="00D96980"/>
    <w:rsid w:val="00DA4089"/>
    <w:rsid w:val="00DA5580"/>
    <w:rsid w:val="00DB3690"/>
    <w:rsid w:val="00DB3FA9"/>
    <w:rsid w:val="00DB40CF"/>
    <w:rsid w:val="00DB7312"/>
    <w:rsid w:val="00DC2F90"/>
    <w:rsid w:val="00DC492A"/>
    <w:rsid w:val="00DC521B"/>
    <w:rsid w:val="00DC5377"/>
    <w:rsid w:val="00DC698A"/>
    <w:rsid w:val="00DD04B7"/>
    <w:rsid w:val="00DD2C6A"/>
    <w:rsid w:val="00DD359E"/>
    <w:rsid w:val="00DD48A0"/>
    <w:rsid w:val="00DD5B9B"/>
    <w:rsid w:val="00DD72F2"/>
    <w:rsid w:val="00DE0D5C"/>
    <w:rsid w:val="00DE17D2"/>
    <w:rsid w:val="00DE4857"/>
    <w:rsid w:val="00DF09CF"/>
    <w:rsid w:val="00DF433C"/>
    <w:rsid w:val="00DF43AB"/>
    <w:rsid w:val="00E00F93"/>
    <w:rsid w:val="00E01F9C"/>
    <w:rsid w:val="00E071D2"/>
    <w:rsid w:val="00E12AC3"/>
    <w:rsid w:val="00E13F70"/>
    <w:rsid w:val="00E2207C"/>
    <w:rsid w:val="00E2343B"/>
    <w:rsid w:val="00E2396F"/>
    <w:rsid w:val="00E27131"/>
    <w:rsid w:val="00E3043C"/>
    <w:rsid w:val="00E30442"/>
    <w:rsid w:val="00E329F3"/>
    <w:rsid w:val="00E34981"/>
    <w:rsid w:val="00E34C22"/>
    <w:rsid w:val="00E3601C"/>
    <w:rsid w:val="00E371E0"/>
    <w:rsid w:val="00E40269"/>
    <w:rsid w:val="00E402D2"/>
    <w:rsid w:val="00E43414"/>
    <w:rsid w:val="00E45834"/>
    <w:rsid w:val="00E459B7"/>
    <w:rsid w:val="00E46F7A"/>
    <w:rsid w:val="00E47DF3"/>
    <w:rsid w:val="00E50C3A"/>
    <w:rsid w:val="00E51060"/>
    <w:rsid w:val="00E5130F"/>
    <w:rsid w:val="00E5290E"/>
    <w:rsid w:val="00E537B2"/>
    <w:rsid w:val="00E5400C"/>
    <w:rsid w:val="00E54267"/>
    <w:rsid w:val="00E558C4"/>
    <w:rsid w:val="00E56C92"/>
    <w:rsid w:val="00E6141A"/>
    <w:rsid w:val="00E62084"/>
    <w:rsid w:val="00E63F6F"/>
    <w:rsid w:val="00E675F5"/>
    <w:rsid w:val="00E75838"/>
    <w:rsid w:val="00E777BD"/>
    <w:rsid w:val="00E8512B"/>
    <w:rsid w:val="00E87401"/>
    <w:rsid w:val="00E931EB"/>
    <w:rsid w:val="00EA040E"/>
    <w:rsid w:val="00EA0838"/>
    <w:rsid w:val="00EA0F30"/>
    <w:rsid w:val="00EA1AEC"/>
    <w:rsid w:val="00EA3317"/>
    <w:rsid w:val="00EA5197"/>
    <w:rsid w:val="00EA55D3"/>
    <w:rsid w:val="00EA5AAA"/>
    <w:rsid w:val="00EA75D1"/>
    <w:rsid w:val="00EB1F70"/>
    <w:rsid w:val="00EB21FD"/>
    <w:rsid w:val="00EB248E"/>
    <w:rsid w:val="00EB2513"/>
    <w:rsid w:val="00EB3D45"/>
    <w:rsid w:val="00EB69FD"/>
    <w:rsid w:val="00EB6AC9"/>
    <w:rsid w:val="00EC0087"/>
    <w:rsid w:val="00EC2EDE"/>
    <w:rsid w:val="00EC71ED"/>
    <w:rsid w:val="00ED2BAD"/>
    <w:rsid w:val="00ED2D1E"/>
    <w:rsid w:val="00ED614D"/>
    <w:rsid w:val="00ED6EB5"/>
    <w:rsid w:val="00EE3556"/>
    <w:rsid w:val="00EF18B8"/>
    <w:rsid w:val="00EF1ED0"/>
    <w:rsid w:val="00EF2FA5"/>
    <w:rsid w:val="00EF36DF"/>
    <w:rsid w:val="00EF4988"/>
    <w:rsid w:val="00EF5D8F"/>
    <w:rsid w:val="00F012B3"/>
    <w:rsid w:val="00F05F42"/>
    <w:rsid w:val="00F11539"/>
    <w:rsid w:val="00F12B46"/>
    <w:rsid w:val="00F12E15"/>
    <w:rsid w:val="00F13DA0"/>
    <w:rsid w:val="00F13E7C"/>
    <w:rsid w:val="00F14D82"/>
    <w:rsid w:val="00F175DA"/>
    <w:rsid w:val="00F23471"/>
    <w:rsid w:val="00F249C8"/>
    <w:rsid w:val="00F25218"/>
    <w:rsid w:val="00F26DEB"/>
    <w:rsid w:val="00F278F6"/>
    <w:rsid w:val="00F33EB2"/>
    <w:rsid w:val="00F366DD"/>
    <w:rsid w:val="00F36ADC"/>
    <w:rsid w:val="00F37A65"/>
    <w:rsid w:val="00F37C43"/>
    <w:rsid w:val="00F4405B"/>
    <w:rsid w:val="00F547EA"/>
    <w:rsid w:val="00F570FB"/>
    <w:rsid w:val="00F60ADF"/>
    <w:rsid w:val="00F641C1"/>
    <w:rsid w:val="00F64843"/>
    <w:rsid w:val="00F749C7"/>
    <w:rsid w:val="00F77FE0"/>
    <w:rsid w:val="00F82AB9"/>
    <w:rsid w:val="00F83AB5"/>
    <w:rsid w:val="00F86533"/>
    <w:rsid w:val="00F86596"/>
    <w:rsid w:val="00F9493D"/>
    <w:rsid w:val="00F954E7"/>
    <w:rsid w:val="00F956EB"/>
    <w:rsid w:val="00FA205F"/>
    <w:rsid w:val="00FA2C68"/>
    <w:rsid w:val="00FA30DA"/>
    <w:rsid w:val="00FA499D"/>
    <w:rsid w:val="00FB1B62"/>
    <w:rsid w:val="00FB1E74"/>
    <w:rsid w:val="00FB262C"/>
    <w:rsid w:val="00FB2F15"/>
    <w:rsid w:val="00FB3C81"/>
    <w:rsid w:val="00FB5023"/>
    <w:rsid w:val="00FC17CB"/>
    <w:rsid w:val="00FC2FAA"/>
    <w:rsid w:val="00FC3583"/>
    <w:rsid w:val="00FC45FB"/>
    <w:rsid w:val="00FC70AF"/>
    <w:rsid w:val="00FC75DA"/>
    <w:rsid w:val="00FD36B6"/>
    <w:rsid w:val="00FD4568"/>
    <w:rsid w:val="00FD74B6"/>
    <w:rsid w:val="00FD7ACD"/>
    <w:rsid w:val="00FE2E2E"/>
    <w:rsid w:val="00FE55C9"/>
    <w:rsid w:val="00FF02A9"/>
    <w:rsid w:val="00FF1510"/>
    <w:rsid w:val="00FF4DD7"/>
    <w:rsid w:val="00FF5B3A"/>
    <w:rsid w:val="00FF6FD8"/>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4A251"/>
  <w15:docId w15:val="{556CE87F-DBE8-4EEB-9FD3-7A59441D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link w:val="FootnoteTextChar"/>
    <w:uiPriority w:val="99"/>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uiPriority w:val="99"/>
    <w:semiHidden/>
    <w:rsid w:val="00AB10FC"/>
    <w:rPr>
      <w:sz w:val="16"/>
      <w:szCs w:val="16"/>
    </w:rPr>
  </w:style>
  <w:style w:type="paragraph" w:styleId="CommentText">
    <w:name w:val="annotation text"/>
    <w:basedOn w:val="Normal"/>
    <w:link w:val="CommentTextChar"/>
    <w:uiPriority w:val="99"/>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 w:type="paragraph" w:styleId="Revision">
    <w:name w:val="Revision"/>
    <w:hidden/>
    <w:uiPriority w:val="99"/>
    <w:semiHidden/>
    <w:rsid w:val="00EB69FD"/>
    <w:rPr>
      <w:sz w:val="24"/>
      <w:szCs w:val="24"/>
    </w:rPr>
  </w:style>
  <w:style w:type="character" w:customStyle="1" w:styleId="CommentTextChar">
    <w:name w:val="Comment Text Char"/>
    <w:basedOn w:val="DefaultParagraphFont"/>
    <w:link w:val="CommentText"/>
    <w:uiPriority w:val="99"/>
    <w:semiHidden/>
    <w:rsid w:val="006D4C16"/>
  </w:style>
  <w:style w:type="character" w:customStyle="1" w:styleId="FootnoteTextChar">
    <w:name w:val="Footnote Text Char"/>
    <w:basedOn w:val="DefaultParagraphFont"/>
    <w:link w:val="FootnoteText"/>
    <w:uiPriority w:val="99"/>
    <w:rsid w:val="00653048"/>
  </w:style>
  <w:style w:type="character" w:customStyle="1" w:styleId="FooterChar">
    <w:name w:val="Footer Char"/>
    <w:basedOn w:val="DefaultParagraphFont"/>
    <w:link w:val="Footer"/>
    <w:uiPriority w:val="99"/>
    <w:rsid w:val="00093ED4"/>
    <w:rPr>
      <w:sz w:val="24"/>
      <w:szCs w:val="24"/>
    </w:rPr>
  </w:style>
  <w:style w:type="paragraph" w:styleId="HTMLPreformatted">
    <w:name w:val="HTML Preformatted"/>
    <w:basedOn w:val="Normal"/>
    <w:link w:val="HTMLPreformattedChar"/>
    <w:uiPriority w:val="99"/>
    <w:unhideWhenUsed/>
    <w:rsid w:val="00823F12"/>
    <w:pPr>
      <w:widowControl/>
      <w:autoSpaceDE/>
      <w:autoSpaceDN/>
      <w:adjustRightInd/>
    </w:pPr>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uiPriority w:val="99"/>
    <w:rsid w:val="00823F12"/>
    <w:rPr>
      <w:rFonts w:ascii="Consolas" w:eastAsiaTheme="minorEastAsia" w:hAnsi="Consola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3506">
      <w:bodyDiv w:val="1"/>
      <w:marLeft w:val="0"/>
      <w:marRight w:val="0"/>
      <w:marTop w:val="0"/>
      <w:marBottom w:val="0"/>
      <w:divBdr>
        <w:top w:val="none" w:sz="0" w:space="0" w:color="auto"/>
        <w:left w:val="none" w:sz="0" w:space="0" w:color="auto"/>
        <w:bottom w:val="none" w:sz="0" w:space="0" w:color="auto"/>
        <w:right w:val="none" w:sz="0" w:space="0" w:color="auto"/>
      </w:divBdr>
    </w:div>
    <w:div w:id="576138589">
      <w:bodyDiv w:val="1"/>
      <w:marLeft w:val="0"/>
      <w:marRight w:val="0"/>
      <w:marTop w:val="0"/>
      <w:marBottom w:val="0"/>
      <w:divBdr>
        <w:top w:val="none" w:sz="0" w:space="0" w:color="auto"/>
        <w:left w:val="none" w:sz="0" w:space="0" w:color="auto"/>
        <w:bottom w:val="none" w:sz="0" w:space="0" w:color="auto"/>
        <w:right w:val="none" w:sz="0" w:space="0" w:color="auto"/>
      </w:divBdr>
    </w:div>
    <w:div w:id="752625119">
      <w:bodyDiv w:val="1"/>
      <w:marLeft w:val="0"/>
      <w:marRight w:val="0"/>
      <w:marTop w:val="0"/>
      <w:marBottom w:val="0"/>
      <w:divBdr>
        <w:top w:val="none" w:sz="0" w:space="0" w:color="auto"/>
        <w:left w:val="none" w:sz="0" w:space="0" w:color="auto"/>
        <w:bottom w:val="none" w:sz="0" w:space="0" w:color="auto"/>
        <w:right w:val="none" w:sz="0" w:space="0" w:color="auto"/>
      </w:divBdr>
    </w:div>
    <w:div w:id="1357539181">
      <w:bodyDiv w:val="1"/>
      <w:marLeft w:val="0"/>
      <w:marRight w:val="0"/>
      <w:marTop w:val="0"/>
      <w:marBottom w:val="0"/>
      <w:divBdr>
        <w:top w:val="none" w:sz="0" w:space="0" w:color="auto"/>
        <w:left w:val="none" w:sz="0" w:space="0" w:color="auto"/>
        <w:bottom w:val="none" w:sz="0" w:space="0" w:color="auto"/>
        <w:right w:val="none" w:sz="0" w:space="0" w:color="auto"/>
      </w:divBdr>
    </w:div>
    <w:div w:id="1444494295">
      <w:bodyDiv w:val="1"/>
      <w:marLeft w:val="0"/>
      <w:marRight w:val="0"/>
      <w:marTop w:val="0"/>
      <w:marBottom w:val="0"/>
      <w:divBdr>
        <w:top w:val="none" w:sz="0" w:space="0" w:color="auto"/>
        <w:left w:val="none" w:sz="0" w:space="0" w:color="auto"/>
        <w:bottom w:val="none" w:sz="0" w:space="0" w:color="auto"/>
        <w:right w:val="none" w:sz="0" w:space="0" w:color="auto"/>
      </w:divBdr>
    </w:div>
    <w:div w:id="1593737091">
      <w:bodyDiv w:val="1"/>
      <w:marLeft w:val="0"/>
      <w:marRight w:val="0"/>
      <w:marTop w:val="0"/>
      <w:marBottom w:val="0"/>
      <w:divBdr>
        <w:top w:val="none" w:sz="0" w:space="0" w:color="auto"/>
        <w:left w:val="none" w:sz="0" w:space="0" w:color="auto"/>
        <w:bottom w:val="none" w:sz="0" w:space="0" w:color="auto"/>
        <w:right w:val="none" w:sz="0" w:space="0" w:color="auto"/>
      </w:divBdr>
    </w:div>
    <w:div w:id="194098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765BA-1F69-4F58-AC7C-EC5412B4DC60}">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702f922a-4822-456a-81ca-e751b937cee3"/>
    <ds:schemaRef ds:uri="http://www.w3.org/XML/1998/namespace"/>
    <ds:schemaRef ds:uri="http://purl.org/dc/terms/"/>
    <ds:schemaRef ds:uri="http://schemas.microsoft.com/office/2006/metadata/properties"/>
    <ds:schemaRef ds:uri="3f770ad9-5eb5-4717-9e53-a4191c0fe3a3"/>
  </ds:schemaRefs>
</ds:datastoreItem>
</file>

<file path=customXml/itemProps2.xml><?xml version="1.0" encoding="utf-8"?>
<ds:datastoreItem xmlns:ds="http://schemas.openxmlformats.org/officeDocument/2006/customXml" ds:itemID="{5694FC4C-4659-4EAD-84D9-8D431418BF9C}">
  <ds:schemaRefs>
    <ds:schemaRef ds:uri="http://schemas.microsoft.com/sharepoint/v3/contenttype/forms"/>
  </ds:schemaRefs>
</ds:datastoreItem>
</file>

<file path=customXml/itemProps3.xml><?xml version="1.0" encoding="utf-8"?>
<ds:datastoreItem xmlns:ds="http://schemas.openxmlformats.org/officeDocument/2006/customXml" ds:itemID="{58DA3348-3E44-445B-A696-46EB32CC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CF57D-DC77-48A2-B993-F036FB88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Butikofer, James - EBSA</cp:lastModifiedBy>
  <cp:revision>4</cp:revision>
  <cp:lastPrinted>2015-10-20T15:48:00Z</cp:lastPrinted>
  <dcterms:created xsi:type="dcterms:W3CDTF">2020-10-29T15:05:00Z</dcterms:created>
  <dcterms:modified xsi:type="dcterms:W3CDTF">2020-10-29T15:56:00Z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