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65486C" w:rsidR="00825092" w:rsidP="00FC6E82" w:rsidRDefault="00BD656F" w14:paraId="2C2BCB7B" w14:textId="77777777">
      <w:pPr>
        <w:spacing w:after="0" w:line="240" w:lineRule="auto"/>
        <w:contextualSpacing/>
        <w:jc w:val="center"/>
        <w:rPr>
          <w:rFonts w:ascii="Times New Roman" w:hAnsi="Times New Roman" w:cs="Times New Roman"/>
          <w:b/>
          <w:color w:val="000000" w:themeColor="text1"/>
          <w:sz w:val="24"/>
          <w:szCs w:val="24"/>
        </w:rPr>
      </w:pPr>
      <w:r w:rsidRPr="0065486C">
        <w:rPr>
          <w:rFonts w:ascii="Times New Roman" w:hAnsi="Times New Roman" w:cs="Times New Roman"/>
          <w:b/>
          <w:color w:val="000000" w:themeColor="text1"/>
          <w:sz w:val="24"/>
          <w:szCs w:val="24"/>
        </w:rPr>
        <w:t>SUPPORTING STATEMENT</w:t>
      </w:r>
    </w:p>
    <w:p w:rsidRPr="0065486C" w:rsidR="00BD656F" w:rsidP="00FC6E82" w:rsidRDefault="00591613" w14:paraId="65356356" w14:textId="77777777">
      <w:pPr>
        <w:spacing w:after="0" w:line="240" w:lineRule="auto"/>
        <w:contextualSpacing/>
        <w:jc w:val="center"/>
        <w:rPr>
          <w:rFonts w:ascii="Times New Roman" w:hAnsi="Times New Roman" w:cs="Times New Roman"/>
          <w:b/>
          <w:color w:val="000000" w:themeColor="text1"/>
          <w:sz w:val="24"/>
          <w:szCs w:val="24"/>
        </w:rPr>
      </w:pPr>
      <w:r w:rsidRPr="0065486C">
        <w:rPr>
          <w:rFonts w:ascii="Times New Roman" w:hAnsi="Times New Roman" w:cs="Times New Roman"/>
          <w:b/>
          <w:color w:val="000000" w:themeColor="text1"/>
          <w:sz w:val="24"/>
          <w:szCs w:val="24"/>
        </w:rPr>
        <w:t>1110-0058</w:t>
      </w:r>
    </w:p>
    <w:p w:rsidRPr="0065486C" w:rsidR="00591613" w:rsidP="00FC6E82" w:rsidRDefault="00591613" w14:paraId="38B72686" w14:textId="77777777">
      <w:pPr>
        <w:spacing w:after="0" w:line="240" w:lineRule="auto"/>
        <w:contextualSpacing/>
        <w:jc w:val="center"/>
        <w:rPr>
          <w:rFonts w:ascii="Times New Roman" w:hAnsi="Times New Roman" w:cs="Times New Roman"/>
          <w:b/>
          <w:i/>
          <w:color w:val="000000" w:themeColor="text1"/>
          <w:sz w:val="24"/>
          <w:szCs w:val="24"/>
        </w:rPr>
      </w:pPr>
      <w:r w:rsidRPr="0065486C">
        <w:rPr>
          <w:rFonts w:ascii="Times New Roman" w:hAnsi="Times New Roman" w:cs="Times New Roman"/>
          <w:b/>
          <w:i/>
          <w:color w:val="000000" w:themeColor="text1"/>
          <w:sz w:val="24"/>
          <w:szCs w:val="24"/>
        </w:rPr>
        <w:t>National Inciden</w:t>
      </w:r>
      <w:r w:rsidR="003364F8">
        <w:rPr>
          <w:rFonts w:ascii="Times New Roman" w:hAnsi="Times New Roman" w:cs="Times New Roman"/>
          <w:b/>
          <w:i/>
          <w:color w:val="000000" w:themeColor="text1"/>
          <w:sz w:val="24"/>
          <w:szCs w:val="24"/>
        </w:rPr>
        <w:t>t-Based Reporting System</w:t>
      </w:r>
    </w:p>
    <w:p w:rsidRPr="0065486C" w:rsidR="00591613" w:rsidP="00FC6E82" w:rsidRDefault="00591613" w14:paraId="672A6659" w14:textId="77777777">
      <w:pPr>
        <w:spacing w:after="0" w:line="240" w:lineRule="auto"/>
        <w:contextualSpacing/>
        <w:rPr>
          <w:rFonts w:ascii="Times New Roman" w:hAnsi="Times New Roman" w:cs="Times New Roman"/>
          <w:color w:val="000000" w:themeColor="text1"/>
          <w:sz w:val="24"/>
          <w:szCs w:val="24"/>
        </w:rPr>
      </w:pPr>
    </w:p>
    <w:p w:rsidRPr="0065486C" w:rsidR="006B4D68" w:rsidP="006612A8" w:rsidRDefault="006B4D68" w14:paraId="115BD4C4" w14:textId="77777777">
      <w:pPr>
        <w:spacing w:after="0" w:line="240" w:lineRule="auto"/>
        <w:contextualSpacing/>
        <w:rPr>
          <w:rFonts w:ascii="Times New Roman" w:hAnsi="Times New Roman" w:cs="Times New Roman"/>
          <w:color w:val="000000" w:themeColor="text1"/>
          <w:sz w:val="24"/>
          <w:szCs w:val="24"/>
        </w:rPr>
      </w:pPr>
      <w:r w:rsidRPr="0065486C">
        <w:rPr>
          <w:rFonts w:ascii="Times New Roman" w:hAnsi="Times New Roman" w:cs="Times New Roman"/>
          <w:color w:val="000000" w:themeColor="text1"/>
          <w:sz w:val="24"/>
          <w:szCs w:val="24"/>
        </w:rPr>
        <w:t>The Federal Bureau of Investigation (FBI) Uniform Crime Repo</w:t>
      </w:r>
      <w:r w:rsidRPr="0065486C" w:rsidR="00C30516">
        <w:rPr>
          <w:rFonts w:ascii="Times New Roman" w:hAnsi="Times New Roman" w:cs="Times New Roman"/>
          <w:color w:val="000000" w:themeColor="text1"/>
          <w:sz w:val="24"/>
          <w:szCs w:val="24"/>
        </w:rPr>
        <w:t>rting (UCR) Program requests a three</w:t>
      </w:r>
      <w:r w:rsidRPr="0065486C">
        <w:rPr>
          <w:rFonts w:ascii="Times New Roman" w:hAnsi="Times New Roman" w:cs="Times New Roman"/>
          <w:color w:val="000000" w:themeColor="text1"/>
          <w:sz w:val="24"/>
          <w:szCs w:val="24"/>
        </w:rPr>
        <w:t>-year extension of this currently-approved collection.</w:t>
      </w:r>
    </w:p>
    <w:p w:rsidRPr="0065486C" w:rsidR="00591613" w:rsidP="00FC6E82" w:rsidRDefault="00591613" w14:paraId="0A37501D" w14:textId="77777777">
      <w:pPr>
        <w:spacing w:after="0" w:line="240" w:lineRule="auto"/>
        <w:ind w:left="720"/>
        <w:contextualSpacing/>
        <w:rPr>
          <w:rFonts w:ascii="Times New Roman" w:hAnsi="Times New Roman" w:cs="Times New Roman"/>
          <w:color w:val="000000" w:themeColor="text1"/>
          <w:sz w:val="24"/>
          <w:szCs w:val="24"/>
        </w:rPr>
      </w:pPr>
    </w:p>
    <w:p w:rsidRPr="00483FB7" w:rsidR="00D34F1B" w:rsidP="006612A8" w:rsidRDefault="008417BF" w14:paraId="2D134F98" w14:textId="77777777">
      <w:pPr>
        <w:pStyle w:val="ListParagraph"/>
        <w:numPr>
          <w:ilvl w:val="0"/>
          <w:numId w:val="3"/>
        </w:numPr>
        <w:spacing w:after="0" w:line="240" w:lineRule="auto"/>
        <w:ind w:left="0" w:firstLine="0"/>
        <w:rPr>
          <w:rFonts w:ascii="Times New Roman" w:hAnsi="Times New Roman" w:cs="Times New Roman"/>
          <w:b/>
          <w:color w:val="000000" w:themeColor="text1"/>
          <w:sz w:val="24"/>
          <w:szCs w:val="24"/>
        </w:rPr>
      </w:pPr>
      <w:r w:rsidRPr="00483FB7">
        <w:rPr>
          <w:rFonts w:ascii="Times New Roman" w:hAnsi="Times New Roman" w:cs="Times New Roman"/>
          <w:b/>
          <w:color w:val="000000" w:themeColor="text1"/>
          <w:sz w:val="24"/>
          <w:szCs w:val="24"/>
        </w:rPr>
        <w:t>Justification</w:t>
      </w:r>
    </w:p>
    <w:p w:rsidRPr="00483FB7" w:rsidR="004F3677" w:rsidP="00FC6E82" w:rsidRDefault="004F3677" w14:paraId="5DAB6C7B" w14:textId="77777777">
      <w:pPr>
        <w:spacing w:after="0" w:line="240" w:lineRule="auto"/>
        <w:contextualSpacing/>
        <w:rPr>
          <w:rFonts w:ascii="Times New Roman" w:hAnsi="Times New Roman" w:cs="Times New Roman"/>
          <w:b/>
          <w:color w:val="000000" w:themeColor="text1"/>
          <w:sz w:val="24"/>
          <w:szCs w:val="24"/>
        </w:rPr>
      </w:pPr>
    </w:p>
    <w:p w:rsidRPr="0065486C" w:rsidR="00BD656F" w:rsidP="00FC6E82" w:rsidRDefault="00BD656F" w14:paraId="59A4DB57" w14:textId="77777777">
      <w:pPr>
        <w:pStyle w:val="ListParagraph"/>
        <w:numPr>
          <w:ilvl w:val="0"/>
          <w:numId w:val="4"/>
        </w:numPr>
        <w:spacing w:after="0" w:line="240" w:lineRule="auto"/>
        <w:rPr>
          <w:rFonts w:ascii="Times New Roman" w:hAnsi="Times New Roman" w:cs="Times New Roman"/>
          <w:color w:val="000000" w:themeColor="text1"/>
          <w:sz w:val="24"/>
          <w:szCs w:val="24"/>
        </w:rPr>
      </w:pPr>
      <w:r w:rsidRPr="0065486C">
        <w:rPr>
          <w:rFonts w:ascii="Times New Roman" w:hAnsi="Times New Roman" w:cs="Times New Roman"/>
          <w:color w:val="000000" w:themeColor="text1"/>
          <w:sz w:val="24"/>
          <w:szCs w:val="24"/>
          <w:u w:val="single"/>
        </w:rPr>
        <w:t>Necessity of Information Collection</w:t>
      </w:r>
    </w:p>
    <w:p w:rsidRPr="0065486C" w:rsidR="00BD656F" w:rsidP="00FC6E82" w:rsidRDefault="00BD656F" w14:paraId="02EB378F" w14:textId="77777777">
      <w:pPr>
        <w:pStyle w:val="ListParagraph"/>
        <w:spacing w:after="0" w:line="240" w:lineRule="auto"/>
        <w:ind w:left="0"/>
        <w:rPr>
          <w:rFonts w:ascii="Times New Roman" w:hAnsi="Times New Roman" w:cs="Times New Roman"/>
          <w:color w:val="000000" w:themeColor="text1"/>
          <w:sz w:val="24"/>
          <w:szCs w:val="24"/>
        </w:rPr>
      </w:pPr>
    </w:p>
    <w:p w:rsidRPr="0065486C" w:rsidR="00A51261" w:rsidP="00FC6E82" w:rsidRDefault="00C30516" w14:paraId="0891FF28" w14:textId="77777777">
      <w:pPr>
        <w:spacing w:after="0" w:line="240" w:lineRule="auto"/>
        <w:ind w:left="720" w:right="-446"/>
        <w:contextualSpacing/>
        <w:rPr>
          <w:rFonts w:ascii="Times New Roman" w:hAnsi="Times New Roman" w:cs="Times New Roman"/>
          <w:color w:val="000000" w:themeColor="text1"/>
          <w:sz w:val="24"/>
          <w:szCs w:val="24"/>
        </w:rPr>
      </w:pPr>
      <w:r w:rsidRPr="0065486C">
        <w:rPr>
          <w:rFonts w:ascii="Times New Roman" w:hAnsi="Times New Roman" w:eastAsia="Arial" w:cs="Times New Roman"/>
          <w:color w:val="000000" w:themeColor="text1"/>
          <w:sz w:val="24"/>
          <w:szCs w:val="24"/>
        </w:rPr>
        <w:t xml:space="preserve">Under the authority of </w:t>
      </w:r>
      <w:r w:rsidR="009401DC">
        <w:rPr>
          <w:rFonts w:ascii="Times New Roman" w:hAnsi="Times New Roman" w:eastAsia="Arial" w:cs="Times New Roman"/>
          <w:color w:val="000000" w:themeColor="text1"/>
          <w:sz w:val="24"/>
          <w:szCs w:val="24"/>
        </w:rPr>
        <w:t xml:space="preserve">Title </w:t>
      </w:r>
      <w:r w:rsidRPr="0065486C">
        <w:rPr>
          <w:rFonts w:ascii="Times New Roman" w:hAnsi="Times New Roman" w:eastAsia="Arial" w:cs="Times New Roman"/>
          <w:color w:val="000000" w:themeColor="text1"/>
          <w:sz w:val="24"/>
          <w:szCs w:val="24"/>
        </w:rPr>
        <w:t>28</w:t>
      </w:r>
      <w:r w:rsidR="009401DC">
        <w:rPr>
          <w:rFonts w:ascii="Times New Roman" w:hAnsi="Times New Roman" w:eastAsia="Arial" w:cs="Times New Roman"/>
          <w:color w:val="000000" w:themeColor="text1"/>
          <w:sz w:val="24"/>
          <w:szCs w:val="24"/>
        </w:rPr>
        <w:t>,</w:t>
      </w:r>
      <w:r w:rsidRPr="0065486C">
        <w:rPr>
          <w:rFonts w:ascii="Times New Roman" w:hAnsi="Times New Roman" w:eastAsia="Arial" w:cs="Times New Roman"/>
          <w:color w:val="000000" w:themeColor="text1"/>
          <w:sz w:val="24"/>
          <w:szCs w:val="24"/>
        </w:rPr>
        <w:t xml:space="preserve"> United States Code (U.S.C.)</w:t>
      </w:r>
      <w:r w:rsidR="009401DC">
        <w:rPr>
          <w:rFonts w:ascii="Times New Roman" w:hAnsi="Times New Roman" w:eastAsia="Arial" w:cs="Times New Roman"/>
          <w:color w:val="000000" w:themeColor="text1"/>
          <w:sz w:val="24"/>
          <w:szCs w:val="24"/>
        </w:rPr>
        <w:t>,</w:t>
      </w:r>
      <w:r w:rsidR="003255E3">
        <w:rPr>
          <w:rFonts w:ascii="Times New Roman" w:hAnsi="Times New Roman" w:eastAsia="Arial" w:cs="Times New Roman"/>
          <w:color w:val="000000" w:themeColor="text1"/>
          <w:sz w:val="24"/>
          <w:szCs w:val="24"/>
        </w:rPr>
        <w:t xml:space="preserve"> Section (§) </w:t>
      </w:r>
      <w:r w:rsidRPr="0065486C">
        <w:rPr>
          <w:rFonts w:ascii="Times New Roman" w:hAnsi="Times New Roman" w:eastAsia="Arial" w:cs="Times New Roman"/>
          <w:color w:val="000000" w:themeColor="text1"/>
          <w:sz w:val="24"/>
          <w:szCs w:val="24"/>
        </w:rPr>
        <w:t>534, subsections (a) and (c); the Uniform Federal Crime Reporting Act</w:t>
      </w:r>
      <w:r w:rsidR="009401DC">
        <w:rPr>
          <w:rFonts w:ascii="Times New Roman" w:hAnsi="Times New Roman" w:eastAsia="Arial" w:cs="Times New Roman"/>
          <w:color w:val="000000" w:themeColor="text1"/>
          <w:sz w:val="24"/>
          <w:szCs w:val="24"/>
        </w:rPr>
        <w:t xml:space="preserve"> (UFCRA)</w:t>
      </w:r>
      <w:r w:rsidRPr="0065486C">
        <w:rPr>
          <w:rFonts w:ascii="Times New Roman" w:hAnsi="Times New Roman" w:eastAsia="Arial" w:cs="Times New Roman"/>
          <w:color w:val="000000" w:themeColor="text1"/>
          <w:sz w:val="24"/>
          <w:szCs w:val="24"/>
        </w:rPr>
        <w:t xml:space="preserve"> of 1988, 34</w:t>
      </w:r>
      <w:r w:rsidR="003255E3">
        <w:rPr>
          <w:rFonts w:ascii="Times New Roman" w:hAnsi="Times New Roman" w:eastAsia="Arial" w:cs="Times New Roman"/>
          <w:color w:val="000000" w:themeColor="text1"/>
          <w:sz w:val="24"/>
          <w:szCs w:val="24"/>
        </w:rPr>
        <w:t xml:space="preserve"> U.S.C. § </w:t>
      </w:r>
      <w:r w:rsidRPr="0065486C">
        <w:rPr>
          <w:rFonts w:ascii="Times New Roman" w:hAnsi="Times New Roman" w:eastAsia="Arial" w:cs="Times New Roman"/>
          <w:color w:val="000000" w:themeColor="text1"/>
          <w:sz w:val="24"/>
          <w:szCs w:val="24"/>
        </w:rPr>
        <w:t>41303; the Hate Crime Statistics Act, 34 U.S.</w:t>
      </w:r>
      <w:r w:rsidR="003255E3">
        <w:rPr>
          <w:rFonts w:ascii="Times New Roman" w:hAnsi="Times New Roman" w:eastAsia="Arial" w:cs="Times New Roman"/>
          <w:color w:val="000000" w:themeColor="text1"/>
          <w:sz w:val="24"/>
          <w:szCs w:val="24"/>
        </w:rPr>
        <w:t>C. § </w:t>
      </w:r>
      <w:r w:rsidRPr="0065486C">
        <w:rPr>
          <w:rFonts w:ascii="Times New Roman" w:hAnsi="Times New Roman" w:eastAsia="Arial" w:cs="Times New Roman"/>
          <w:color w:val="000000" w:themeColor="text1"/>
          <w:sz w:val="24"/>
          <w:szCs w:val="24"/>
        </w:rPr>
        <w:t xml:space="preserve">41305, modified by </w:t>
      </w:r>
      <w:r w:rsidRPr="0065486C">
        <w:rPr>
          <w:rStyle w:val="Heading3Char"/>
          <w:rFonts w:ascii="Times New Roman" w:hAnsi="Times New Roman" w:cs="Times New Roman"/>
          <w:color w:val="000000" w:themeColor="text1"/>
        </w:rPr>
        <w:t xml:space="preserve">the Matthew Shepard and James Byrd, Jr., Hate Crimes Prevention Act (2009), </w:t>
      </w:r>
      <w:r w:rsidR="003364F8">
        <w:rPr>
          <w:rStyle w:val="Heading3Char"/>
          <w:rFonts w:ascii="Times New Roman" w:hAnsi="Times New Roman" w:cs="Times New Roman"/>
          <w:color w:val="000000" w:themeColor="text1"/>
        </w:rPr>
        <w:t>Public Law (</w:t>
      </w:r>
      <w:r w:rsidRPr="0065486C">
        <w:rPr>
          <w:rStyle w:val="Heading3Char"/>
          <w:rFonts w:ascii="Times New Roman" w:hAnsi="Times New Roman" w:cs="Times New Roman"/>
          <w:color w:val="000000" w:themeColor="text1"/>
        </w:rPr>
        <w:t>Pub. L.</w:t>
      </w:r>
      <w:r w:rsidR="003364F8">
        <w:rPr>
          <w:rStyle w:val="Heading3Char"/>
          <w:rFonts w:ascii="Times New Roman" w:hAnsi="Times New Roman" w:cs="Times New Roman"/>
          <w:color w:val="000000" w:themeColor="text1"/>
        </w:rPr>
        <w:t>)</w:t>
      </w:r>
      <w:r w:rsidR="003255E3">
        <w:rPr>
          <w:rStyle w:val="Heading3Char"/>
          <w:rFonts w:ascii="Times New Roman" w:hAnsi="Times New Roman" w:cs="Times New Roman"/>
          <w:color w:val="000000" w:themeColor="text1"/>
        </w:rPr>
        <w:t xml:space="preserve"> § </w:t>
      </w:r>
      <w:r w:rsidRPr="0065486C">
        <w:rPr>
          <w:rStyle w:val="Heading3Char"/>
          <w:rFonts w:ascii="Times New Roman" w:hAnsi="Times New Roman" w:cs="Times New Roman"/>
          <w:color w:val="000000" w:themeColor="text1"/>
        </w:rPr>
        <w:t xml:space="preserve">4708; the </w:t>
      </w:r>
      <w:r w:rsidRPr="0065486C">
        <w:rPr>
          <w:rFonts w:ascii="Times New Roman" w:hAnsi="Times New Roman" w:eastAsia="Arial" w:cs="Times New Roman"/>
          <w:color w:val="000000" w:themeColor="text1"/>
          <w:sz w:val="24"/>
          <w:szCs w:val="24"/>
        </w:rPr>
        <w:t>Anti-Arson Act of 1982, 18 U.S.C. §</w:t>
      </w:r>
      <w:r w:rsidR="003255E3">
        <w:rPr>
          <w:rFonts w:ascii="Times New Roman" w:hAnsi="Times New Roman" w:eastAsia="Arial" w:cs="Times New Roman"/>
          <w:color w:val="000000" w:themeColor="text1"/>
          <w:sz w:val="24"/>
          <w:szCs w:val="24"/>
        </w:rPr>
        <w:t> </w:t>
      </w:r>
      <w:r w:rsidRPr="0065486C">
        <w:rPr>
          <w:rFonts w:ascii="Times New Roman" w:hAnsi="Times New Roman" w:eastAsia="Arial" w:cs="Times New Roman"/>
          <w:color w:val="000000" w:themeColor="text1"/>
          <w:sz w:val="24"/>
          <w:szCs w:val="24"/>
        </w:rPr>
        <w:t>841 note; the William Wilberforce Trafficking Victims Protection Reauthorization Act of 2008, 34</w:t>
      </w:r>
      <w:r w:rsidR="003255E3">
        <w:rPr>
          <w:rFonts w:ascii="Times New Roman" w:hAnsi="Times New Roman" w:eastAsia="Arial" w:cs="Times New Roman"/>
          <w:color w:val="000000" w:themeColor="text1"/>
          <w:sz w:val="24"/>
          <w:szCs w:val="24"/>
        </w:rPr>
        <w:t xml:space="preserve"> U.S.C. § </w:t>
      </w:r>
      <w:r w:rsidRPr="0065486C">
        <w:rPr>
          <w:rFonts w:ascii="Times New Roman" w:hAnsi="Times New Roman" w:eastAsia="Arial" w:cs="Times New Roman"/>
          <w:color w:val="000000" w:themeColor="text1"/>
          <w:sz w:val="24"/>
          <w:szCs w:val="24"/>
        </w:rPr>
        <w:t>41309; the USA Patriot Improvement and Reauthor</w:t>
      </w:r>
      <w:r w:rsidR="003364F8">
        <w:rPr>
          <w:rFonts w:ascii="Times New Roman" w:hAnsi="Times New Roman" w:eastAsia="Arial" w:cs="Times New Roman"/>
          <w:color w:val="000000" w:themeColor="text1"/>
          <w:sz w:val="24"/>
          <w:szCs w:val="24"/>
        </w:rPr>
        <w:t xml:space="preserve">ization Act of 2005, Pub. L. </w:t>
      </w:r>
      <w:r w:rsidR="003255E3">
        <w:rPr>
          <w:rFonts w:ascii="Times New Roman" w:hAnsi="Times New Roman" w:eastAsia="Arial" w:cs="Times New Roman"/>
          <w:color w:val="000000" w:themeColor="text1"/>
          <w:sz w:val="24"/>
          <w:szCs w:val="24"/>
        </w:rPr>
        <w:t>109-177, § </w:t>
      </w:r>
      <w:r w:rsidRPr="0065486C">
        <w:rPr>
          <w:rFonts w:ascii="Times New Roman" w:hAnsi="Times New Roman" w:eastAsia="Arial" w:cs="Times New Roman"/>
          <w:color w:val="000000" w:themeColor="text1"/>
          <w:sz w:val="24"/>
          <w:szCs w:val="24"/>
        </w:rPr>
        <w:t xml:space="preserve">307, subsection (e) Reporting of Cargo Theft, 120 </w:t>
      </w:r>
      <w:r w:rsidR="003364F8">
        <w:rPr>
          <w:rFonts w:ascii="Times New Roman" w:hAnsi="Times New Roman" w:eastAsia="Arial" w:cs="Times New Roman"/>
          <w:color w:val="000000" w:themeColor="text1"/>
          <w:sz w:val="24"/>
          <w:szCs w:val="24"/>
        </w:rPr>
        <w:t>Statutes at Large (</w:t>
      </w:r>
      <w:r w:rsidRPr="0065486C">
        <w:rPr>
          <w:rFonts w:ascii="Times New Roman" w:hAnsi="Times New Roman" w:eastAsia="Arial" w:cs="Times New Roman"/>
          <w:color w:val="000000" w:themeColor="text1"/>
          <w:sz w:val="24"/>
          <w:szCs w:val="24"/>
        </w:rPr>
        <w:t>Stat.</w:t>
      </w:r>
      <w:r w:rsidR="003364F8">
        <w:rPr>
          <w:rFonts w:ascii="Times New Roman" w:hAnsi="Times New Roman" w:eastAsia="Arial" w:cs="Times New Roman"/>
          <w:color w:val="000000" w:themeColor="text1"/>
          <w:sz w:val="24"/>
          <w:szCs w:val="24"/>
        </w:rPr>
        <w:t>)</w:t>
      </w:r>
      <w:r w:rsidRPr="0065486C">
        <w:rPr>
          <w:rFonts w:ascii="Times New Roman" w:hAnsi="Times New Roman" w:eastAsia="Arial" w:cs="Times New Roman"/>
          <w:color w:val="000000" w:themeColor="text1"/>
          <w:sz w:val="24"/>
          <w:szCs w:val="24"/>
        </w:rPr>
        <w:t xml:space="preserve"> 193, 240 (2006); and </w:t>
      </w:r>
      <w:r w:rsidR="009401DC">
        <w:rPr>
          <w:rFonts w:ascii="Times New Roman" w:hAnsi="Times New Roman" w:eastAsia="Arial" w:cs="Times New Roman"/>
          <w:color w:val="000000" w:themeColor="text1"/>
          <w:sz w:val="24"/>
          <w:szCs w:val="24"/>
        </w:rPr>
        <w:t xml:space="preserve">Title </w:t>
      </w:r>
      <w:r w:rsidRPr="0065486C">
        <w:rPr>
          <w:rFonts w:ascii="Times New Roman" w:hAnsi="Times New Roman" w:eastAsia="Arial" w:cs="Times New Roman"/>
          <w:color w:val="000000" w:themeColor="text1"/>
          <w:sz w:val="24"/>
          <w:szCs w:val="24"/>
        </w:rPr>
        <w:t>34</w:t>
      </w:r>
      <w:r w:rsidR="009401DC">
        <w:rPr>
          <w:rFonts w:ascii="Times New Roman" w:hAnsi="Times New Roman" w:eastAsia="Arial" w:cs="Times New Roman"/>
          <w:color w:val="000000" w:themeColor="text1"/>
          <w:sz w:val="24"/>
          <w:szCs w:val="24"/>
        </w:rPr>
        <w:t>,</w:t>
      </w:r>
      <w:r w:rsidR="003255E3">
        <w:rPr>
          <w:rFonts w:ascii="Times New Roman" w:hAnsi="Times New Roman" w:eastAsia="Arial" w:cs="Times New Roman"/>
          <w:color w:val="000000" w:themeColor="text1"/>
          <w:sz w:val="24"/>
          <w:szCs w:val="24"/>
        </w:rPr>
        <w:t xml:space="preserve"> U.S.C. § </w:t>
      </w:r>
      <w:r w:rsidRPr="0065486C">
        <w:rPr>
          <w:rFonts w:ascii="Times New Roman" w:hAnsi="Times New Roman" w:eastAsia="Arial" w:cs="Times New Roman"/>
          <w:color w:val="000000" w:themeColor="text1"/>
          <w:sz w:val="24"/>
          <w:szCs w:val="24"/>
        </w:rPr>
        <w:t xml:space="preserve">12532, </w:t>
      </w:r>
      <w:r w:rsidRPr="0065486C" w:rsidR="00A51261">
        <w:rPr>
          <w:rFonts w:ascii="Times New Roman" w:hAnsi="Times New Roman" w:cs="Times New Roman"/>
          <w:color w:val="000000" w:themeColor="text1"/>
          <w:sz w:val="24"/>
          <w:szCs w:val="24"/>
        </w:rPr>
        <w:t xml:space="preserve">the FBI was designated by the Attorney General to acquire, collect, classify, and preserve national data on criminal offenses as part of the </w:t>
      </w:r>
      <w:r w:rsidRPr="0065486C">
        <w:rPr>
          <w:rFonts w:ascii="Times New Roman" w:hAnsi="Times New Roman" w:cs="Times New Roman"/>
          <w:color w:val="000000" w:themeColor="text1"/>
          <w:sz w:val="24"/>
          <w:szCs w:val="24"/>
        </w:rPr>
        <w:t>FBI UCR Program</w:t>
      </w:r>
      <w:r w:rsidRPr="0065486C" w:rsidR="00A51261">
        <w:rPr>
          <w:rFonts w:ascii="Times New Roman" w:hAnsi="Times New Roman" w:cs="Times New Roman"/>
          <w:color w:val="000000" w:themeColor="text1"/>
          <w:sz w:val="24"/>
          <w:szCs w:val="24"/>
        </w:rPr>
        <w:t>.</w:t>
      </w:r>
    </w:p>
    <w:p w:rsidRPr="0065486C" w:rsidR="008417BF" w:rsidP="00FC6E82" w:rsidRDefault="008417BF" w14:paraId="6A05A809" w14:textId="77777777">
      <w:pPr>
        <w:pStyle w:val="ListParagraph"/>
        <w:spacing w:after="0" w:line="240" w:lineRule="auto"/>
        <w:rPr>
          <w:rFonts w:ascii="Times New Roman" w:hAnsi="Times New Roman" w:cs="Times New Roman"/>
          <w:color w:val="000000" w:themeColor="text1"/>
          <w:sz w:val="24"/>
          <w:szCs w:val="24"/>
        </w:rPr>
      </w:pPr>
    </w:p>
    <w:p w:rsidRPr="0065486C" w:rsidR="00D34F1B" w:rsidP="00FC6E82" w:rsidRDefault="00A51261" w14:paraId="6D4A7C04" w14:textId="77777777">
      <w:pPr>
        <w:spacing w:after="0" w:line="240" w:lineRule="auto"/>
        <w:ind w:left="720"/>
        <w:contextualSpacing/>
        <w:rPr>
          <w:rFonts w:ascii="Times New Roman" w:hAnsi="Times New Roman" w:cs="Times New Roman"/>
          <w:color w:val="000000" w:themeColor="text1"/>
          <w:sz w:val="24"/>
          <w:szCs w:val="24"/>
        </w:rPr>
      </w:pPr>
      <w:r w:rsidRPr="0065486C">
        <w:rPr>
          <w:rFonts w:ascii="Times New Roman" w:hAnsi="Times New Roman" w:cs="Times New Roman"/>
          <w:color w:val="000000" w:themeColor="text1"/>
          <w:sz w:val="24"/>
          <w:szCs w:val="24"/>
        </w:rPr>
        <w:t>Throughout its first 60 years of operation, the FBI UCR Program remained virtually unchanged in terms of the data collected and disseminated.  As time progressed, a bro</w:t>
      </w:r>
      <w:r w:rsidRPr="0065486C" w:rsidR="00523C80">
        <w:rPr>
          <w:rFonts w:ascii="Times New Roman" w:hAnsi="Times New Roman" w:cs="Times New Roman"/>
          <w:color w:val="000000" w:themeColor="text1"/>
          <w:sz w:val="24"/>
          <w:szCs w:val="24"/>
        </w:rPr>
        <w:t xml:space="preserve">ad utility evolved for </w:t>
      </w:r>
      <w:r w:rsidR="000E1B02">
        <w:rPr>
          <w:rFonts w:ascii="Times New Roman" w:hAnsi="Times New Roman" w:cs="Times New Roman"/>
          <w:color w:val="000000" w:themeColor="text1"/>
          <w:sz w:val="24"/>
          <w:szCs w:val="24"/>
        </w:rPr>
        <w:t xml:space="preserve">the </w:t>
      </w:r>
      <w:r w:rsidRPr="0065486C" w:rsidR="006B4D68">
        <w:rPr>
          <w:rFonts w:ascii="Times New Roman" w:hAnsi="Times New Roman" w:cs="Times New Roman"/>
          <w:color w:val="000000" w:themeColor="text1"/>
          <w:sz w:val="24"/>
          <w:szCs w:val="24"/>
        </w:rPr>
        <w:t xml:space="preserve">FBI </w:t>
      </w:r>
      <w:r w:rsidRPr="0065486C" w:rsidR="00523C80">
        <w:rPr>
          <w:rFonts w:ascii="Times New Roman" w:hAnsi="Times New Roman" w:cs="Times New Roman"/>
          <w:color w:val="000000" w:themeColor="text1"/>
          <w:sz w:val="24"/>
          <w:szCs w:val="24"/>
        </w:rPr>
        <w:t xml:space="preserve">UCR </w:t>
      </w:r>
      <w:r w:rsidRPr="0065486C" w:rsidR="00092B2F">
        <w:rPr>
          <w:rFonts w:ascii="Times New Roman" w:hAnsi="Times New Roman" w:cs="Times New Roman"/>
          <w:color w:val="000000" w:themeColor="text1"/>
          <w:sz w:val="24"/>
          <w:szCs w:val="24"/>
        </w:rPr>
        <w:t xml:space="preserve">Program </w:t>
      </w:r>
      <w:r w:rsidRPr="0065486C" w:rsidR="00523C80">
        <w:rPr>
          <w:rFonts w:ascii="Times New Roman" w:hAnsi="Times New Roman" w:cs="Times New Roman"/>
          <w:color w:val="000000" w:themeColor="text1"/>
          <w:sz w:val="24"/>
          <w:szCs w:val="24"/>
        </w:rPr>
        <w:t>data</w:t>
      </w:r>
      <w:r w:rsidRPr="0065486C">
        <w:rPr>
          <w:rFonts w:ascii="Times New Roman" w:hAnsi="Times New Roman" w:cs="Times New Roman"/>
          <w:color w:val="000000" w:themeColor="text1"/>
          <w:sz w:val="24"/>
          <w:szCs w:val="24"/>
        </w:rPr>
        <w:t xml:space="preserve"> and</w:t>
      </w:r>
      <w:r w:rsidRPr="0065486C" w:rsidR="00C30516">
        <w:rPr>
          <w:rFonts w:ascii="Times New Roman" w:hAnsi="Times New Roman" w:cs="Times New Roman"/>
          <w:color w:val="000000" w:themeColor="text1"/>
          <w:sz w:val="24"/>
          <w:szCs w:val="24"/>
        </w:rPr>
        <w:t>, in response to that need,</w:t>
      </w:r>
      <w:r w:rsidRPr="0065486C">
        <w:rPr>
          <w:rFonts w:ascii="Times New Roman" w:hAnsi="Times New Roman" w:cs="Times New Roman"/>
          <w:color w:val="000000" w:themeColor="text1"/>
          <w:sz w:val="24"/>
          <w:szCs w:val="24"/>
        </w:rPr>
        <w:t xml:space="preserve"> law enforcement expanded its capabilities to supply crime information.  In the late 1970s, the law enforcement community called for a thorough evaluative study of </w:t>
      </w:r>
      <w:r w:rsidRPr="0065486C" w:rsidR="00092B2F">
        <w:rPr>
          <w:rFonts w:ascii="Times New Roman" w:hAnsi="Times New Roman" w:cs="Times New Roman"/>
          <w:color w:val="000000" w:themeColor="text1"/>
          <w:sz w:val="24"/>
          <w:szCs w:val="24"/>
        </w:rPr>
        <w:t xml:space="preserve">the </w:t>
      </w:r>
      <w:r w:rsidRPr="0065486C" w:rsidR="006B4D68">
        <w:rPr>
          <w:rFonts w:ascii="Times New Roman" w:hAnsi="Times New Roman" w:cs="Times New Roman"/>
          <w:color w:val="000000" w:themeColor="text1"/>
          <w:sz w:val="24"/>
          <w:szCs w:val="24"/>
        </w:rPr>
        <w:t xml:space="preserve">FBI </w:t>
      </w:r>
      <w:r w:rsidRPr="0065486C">
        <w:rPr>
          <w:rFonts w:ascii="Times New Roman" w:hAnsi="Times New Roman" w:cs="Times New Roman"/>
          <w:color w:val="000000" w:themeColor="text1"/>
          <w:sz w:val="24"/>
          <w:szCs w:val="24"/>
        </w:rPr>
        <w:t>UCR</w:t>
      </w:r>
      <w:r w:rsidRPr="0065486C" w:rsidR="00092B2F">
        <w:rPr>
          <w:rFonts w:ascii="Times New Roman" w:hAnsi="Times New Roman" w:cs="Times New Roman"/>
          <w:color w:val="000000" w:themeColor="text1"/>
          <w:sz w:val="24"/>
          <w:szCs w:val="24"/>
        </w:rPr>
        <w:t xml:space="preserve"> Program</w:t>
      </w:r>
      <w:r w:rsidRPr="0065486C">
        <w:rPr>
          <w:rFonts w:ascii="Times New Roman" w:hAnsi="Times New Roman" w:cs="Times New Roman"/>
          <w:color w:val="000000" w:themeColor="text1"/>
          <w:sz w:val="24"/>
          <w:szCs w:val="24"/>
        </w:rPr>
        <w:t xml:space="preserve"> with the objective of recommending an expanded and enhanced </w:t>
      </w:r>
      <w:r w:rsidRPr="0065486C" w:rsidR="006B4D68">
        <w:rPr>
          <w:rFonts w:ascii="Times New Roman" w:hAnsi="Times New Roman" w:cs="Times New Roman"/>
          <w:color w:val="000000" w:themeColor="text1"/>
          <w:sz w:val="24"/>
          <w:szCs w:val="24"/>
        </w:rPr>
        <w:t>data collection system</w:t>
      </w:r>
      <w:r w:rsidRPr="0065486C">
        <w:rPr>
          <w:rFonts w:ascii="Times New Roman" w:hAnsi="Times New Roman" w:cs="Times New Roman"/>
          <w:color w:val="000000" w:themeColor="text1"/>
          <w:sz w:val="24"/>
          <w:szCs w:val="24"/>
        </w:rPr>
        <w:t xml:space="preserve"> to meet law enforcement needs in the 21</w:t>
      </w:r>
      <w:r w:rsidRPr="0065486C">
        <w:rPr>
          <w:rFonts w:ascii="Times New Roman" w:hAnsi="Times New Roman" w:cs="Times New Roman"/>
          <w:color w:val="000000" w:themeColor="text1"/>
          <w:sz w:val="24"/>
          <w:szCs w:val="24"/>
          <w:vertAlign w:val="superscript"/>
        </w:rPr>
        <w:t>st</w:t>
      </w:r>
      <w:r w:rsidRPr="0065486C">
        <w:rPr>
          <w:rFonts w:ascii="Times New Roman" w:hAnsi="Times New Roman" w:cs="Times New Roman"/>
          <w:color w:val="000000" w:themeColor="text1"/>
          <w:sz w:val="24"/>
          <w:szCs w:val="24"/>
        </w:rPr>
        <w:t xml:space="preserve"> century.</w:t>
      </w:r>
    </w:p>
    <w:p w:rsidRPr="0065486C" w:rsidR="00A51261" w:rsidP="00FC6E82" w:rsidRDefault="00A51261" w14:paraId="5A39BBE3" w14:textId="77777777">
      <w:pPr>
        <w:spacing w:after="0" w:line="240" w:lineRule="auto"/>
        <w:ind w:left="720"/>
        <w:contextualSpacing/>
        <w:rPr>
          <w:rFonts w:ascii="Times New Roman" w:hAnsi="Times New Roman" w:cs="Times New Roman"/>
          <w:color w:val="000000" w:themeColor="text1"/>
          <w:sz w:val="24"/>
          <w:szCs w:val="24"/>
        </w:rPr>
      </w:pPr>
    </w:p>
    <w:p w:rsidRPr="0065486C" w:rsidR="00DC274C" w:rsidP="00FC6E82" w:rsidRDefault="00A51261" w14:paraId="18539E7A" w14:textId="77777777">
      <w:pPr>
        <w:spacing w:after="0" w:line="240" w:lineRule="auto"/>
        <w:ind w:left="720" w:right="-270"/>
        <w:contextualSpacing/>
        <w:rPr>
          <w:rFonts w:ascii="Times New Roman" w:hAnsi="Times New Roman" w:cs="Times New Roman"/>
          <w:color w:val="000000" w:themeColor="text1"/>
          <w:sz w:val="24"/>
          <w:szCs w:val="24"/>
        </w:rPr>
      </w:pPr>
      <w:r w:rsidRPr="0065486C">
        <w:rPr>
          <w:rFonts w:ascii="Times New Roman" w:hAnsi="Times New Roman" w:cs="Times New Roman"/>
          <w:color w:val="000000" w:themeColor="text1"/>
          <w:sz w:val="24"/>
          <w:szCs w:val="24"/>
        </w:rPr>
        <w:t>The FBI fully concurre</w:t>
      </w:r>
      <w:r w:rsidRPr="0065486C" w:rsidR="006B4D68">
        <w:rPr>
          <w:rFonts w:ascii="Times New Roman" w:hAnsi="Times New Roman" w:cs="Times New Roman"/>
          <w:color w:val="000000" w:themeColor="text1"/>
          <w:sz w:val="24"/>
          <w:szCs w:val="24"/>
        </w:rPr>
        <w:t xml:space="preserve">d with the </w:t>
      </w:r>
      <w:r w:rsidRPr="0065486C" w:rsidR="00C30516">
        <w:rPr>
          <w:rFonts w:ascii="Times New Roman" w:hAnsi="Times New Roman" w:cs="Times New Roman"/>
          <w:color w:val="000000" w:themeColor="text1"/>
          <w:sz w:val="24"/>
          <w:szCs w:val="24"/>
        </w:rPr>
        <w:t>necessity</w:t>
      </w:r>
      <w:r w:rsidRPr="0065486C" w:rsidR="006B4D68">
        <w:rPr>
          <w:rFonts w:ascii="Times New Roman" w:hAnsi="Times New Roman" w:cs="Times New Roman"/>
          <w:color w:val="000000" w:themeColor="text1"/>
          <w:sz w:val="24"/>
          <w:szCs w:val="24"/>
        </w:rPr>
        <w:t xml:space="preserve"> for an updated p</w:t>
      </w:r>
      <w:r w:rsidRPr="0065486C">
        <w:rPr>
          <w:rFonts w:ascii="Times New Roman" w:hAnsi="Times New Roman" w:cs="Times New Roman"/>
          <w:color w:val="000000" w:themeColor="text1"/>
          <w:sz w:val="24"/>
          <w:szCs w:val="24"/>
        </w:rPr>
        <w:t>rogram</w:t>
      </w:r>
      <w:r w:rsidRPr="0065486C" w:rsidR="00DC274C">
        <w:rPr>
          <w:rFonts w:ascii="Times New Roman" w:hAnsi="Times New Roman" w:cs="Times New Roman"/>
          <w:color w:val="000000" w:themeColor="text1"/>
          <w:sz w:val="24"/>
          <w:szCs w:val="24"/>
        </w:rPr>
        <w:t xml:space="preserve"> and</w:t>
      </w:r>
      <w:r w:rsidRPr="0065486C">
        <w:rPr>
          <w:rFonts w:ascii="Times New Roman" w:hAnsi="Times New Roman" w:cs="Times New Roman"/>
          <w:color w:val="000000" w:themeColor="text1"/>
          <w:sz w:val="24"/>
          <w:szCs w:val="24"/>
        </w:rPr>
        <w:t xml:space="preserve"> </w:t>
      </w:r>
      <w:r w:rsidRPr="0065486C" w:rsidR="00C30516">
        <w:rPr>
          <w:rFonts w:ascii="Times New Roman" w:hAnsi="Times New Roman" w:cs="Times New Roman"/>
          <w:color w:val="000000" w:themeColor="text1"/>
          <w:sz w:val="24"/>
          <w:szCs w:val="24"/>
        </w:rPr>
        <w:t>provided its support by</w:t>
      </w:r>
      <w:r w:rsidRPr="0065486C">
        <w:rPr>
          <w:rFonts w:ascii="Times New Roman" w:hAnsi="Times New Roman" w:cs="Times New Roman"/>
          <w:color w:val="000000" w:themeColor="text1"/>
          <w:sz w:val="24"/>
          <w:szCs w:val="24"/>
        </w:rPr>
        <w:t xml:space="preserve"> formulating a comprehensive redesign effort </w:t>
      </w:r>
      <w:r w:rsidRPr="0065486C" w:rsidR="00C30516">
        <w:rPr>
          <w:rFonts w:ascii="Times New Roman" w:hAnsi="Times New Roman" w:cs="Times New Roman"/>
          <w:color w:val="000000" w:themeColor="text1"/>
          <w:sz w:val="24"/>
          <w:szCs w:val="24"/>
        </w:rPr>
        <w:t xml:space="preserve">in collaboration </w:t>
      </w:r>
      <w:r w:rsidRPr="0065486C">
        <w:rPr>
          <w:rFonts w:ascii="Times New Roman" w:hAnsi="Times New Roman" w:cs="Times New Roman"/>
          <w:color w:val="000000" w:themeColor="text1"/>
          <w:sz w:val="24"/>
          <w:szCs w:val="24"/>
        </w:rPr>
        <w:t>with the Bur</w:t>
      </w:r>
      <w:r w:rsidRPr="0065486C" w:rsidR="00851F3A">
        <w:rPr>
          <w:rFonts w:ascii="Times New Roman" w:hAnsi="Times New Roman" w:cs="Times New Roman"/>
          <w:color w:val="000000" w:themeColor="text1"/>
          <w:sz w:val="24"/>
          <w:szCs w:val="24"/>
        </w:rPr>
        <w:t xml:space="preserve">eau of Justice Statistics (BJS).  Following a multiyear study, </w:t>
      </w:r>
      <w:r w:rsidR="003255E3">
        <w:rPr>
          <w:rFonts w:ascii="Times New Roman" w:hAnsi="Times New Roman" w:cs="Times New Roman"/>
          <w:color w:val="000000" w:themeColor="text1"/>
          <w:sz w:val="24"/>
          <w:szCs w:val="24"/>
        </w:rPr>
        <w:t>the</w:t>
      </w:r>
      <w:r w:rsidRPr="0065486C" w:rsidR="00851F3A">
        <w:rPr>
          <w:rFonts w:ascii="Times New Roman" w:hAnsi="Times New Roman" w:cs="Times New Roman"/>
          <w:color w:val="000000" w:themeColor="text1"/>
          <w:sz w:val="24"/>
          <w:szCs w:val="24"/>
        </w:rPr>
        <w:t xml:space="preserve"> “Blueprint for the Future of </w:t>
      </w:r>
      <w:r w:rsidRPr="0065486C" w:rsidR="00C30516">
        <w:rPr>
          <w:rFonts w:ascii="Times New Roman" w:hAnsi="Times New Roman" w:cs="Times New Roman"/>
          <w:color w:val="000000" w:themeColor="text1"/>
          <w:sz w:val="24"/>
          <w:szCs w:val="24"/>
        </w:rPr>
        <w:t xml:space="preserve">the </w:t>
      </w:r>
      <w:r w:rsidRPr="0065486C" w:rsidR="00851F3A">
        <w:rPr>
          <w:rFonts w:ascii="Times New Roman" w:hAnsi="Times New Roman" w:cs="Times New Roman"/>
          <w:color w:val="000000" w:themeColor="text1"/>
          <w:sz w:val="24"/>
          <w:szCs w:val="24"/>
        </w:rPr>
        <w:t xml:space="preserve">Uniform Crime Reporting Program” was developed.  </w:t>
      </w:r>
      <w:r w:rsidRPr="0065486C" w:rsidR="00C30516">
        <w:rPr>
          <w:rFonts w:ascii="Times New Roman" w:hAnsi="Times New Roman" w:cs="Times New Roman"/>
          <w:color w:val="000000" w:themeColor="text1"/>
          <w:sz w:val="24"/>
          <w:szCs w:val="24"/>
        </w:rPr>
        <w:t>Follow</w:t>
      </w:r>
      <w:r w:rsidRPr="0065486C" w:rsidR="00851F3A">
        <w:rPr>
          <w:rFonts w:ascii="Times New Roman" w:hAnsi="Times New Roman" w:cs="Times New Roman"/>
          <w:color w:val="000000" w:themeColor="text1"/>
          <w:sz w:val="24"/>
          <w:szCs w:val="24"/>
        </w:rPr>
        <w:t>ing the “Blueprint” in consultation</w:t>
      </w:r>
      <w:r w:rsidRPr="0065486C" w:rsidR="00C30516">
        <w:rPr>
          <w:rFonts w:ascii="Times New Roman" w:hAnsi="Times New Roman" w:cs="Times New Roman"/>
          <w:color w:val="000000" w:themeColor="text1"/>
          <w:sz w:val="24"/>
          <w:szCs w:val="24"/>
        </w:rPr>
        <w:t>s</w:t>
      </w:r>
      <w:r w:rsidRPr="0065486C" w:rsidR="00851F3A">
        <w:rPr>
          <w:rFonts w:ascii="Times New Roman" w:hAnsi="Times New Roman" w:cs="Times New Roman"/>
          <w:color w:val="000000" w:themeColor="text1"/>
          <w:sz w:val="24"/>
          <w:szCs w:val="24"/>
        </w:rPr>
        <w:t xml:space="preserve"> with </w:t>
      </w:r>
      <w:r w:rsidRPr="0065486C" w:rsidR="00DC274C">
        <w:rPr>
          <w:rFonts w:ascii="Times New Roman" w:hAnsi="Times New Roman" w:cs="Times New Roman"/>
          <w:color w:val="000000" w:themeColor="text1"/>
          <w:sz w:val="24"/>
          <w:szCs w:val="24"/>
        </w:rPr>
        <w:t xml:space="preserve">state and </w:t>
      </w:r>
      <w:r w:rsidRPr="0065486C" w:rsidR="00851F3A">
        <w:rPr>
          <w:rFonts w:ascii="Times New Roman" w:hAnsi="Times New Roman" w:cs="Times New Roman"/>
          <w:color w:val="000000" w:themeColor="text1"/>
          <w:sz w:val="24"/>
          <w:szCs w:val="24"/>
        </w:rPr>
        <w:t xml:space="preserve">local law enforcement executives, new guidelines for </w:t>
      </w:r>
      <w:r w:rsidRPr="0065486C" w:rsidR="005B1C47">
        <w:rPr>
          <w:rFonts w:ascii="Times New Roman" w:hAnsi="Times New Roman" w:cs="Times New Roman"/>
          <w:color w:val="000000" w:themeColor="text1"/>
          <w:sz w:val="24"/>
          <w:szCs w:val="24"/>
        </w:rPr>
        <w:t xml:space="preserve">the </w:t>
      </w:r>
      <w:r w:rsidRPr="0065486C" w:rsidR="00C30516">
        <w:rPr>
          <w:rFonts w:ascii="Times New Roman" w:hAnsi="Times New Roman" w:cs="Times New Roman"/>
          <w:color w:val="000000" w:themeColor="text1"/>
          <w:sz w:val="24"/>
          <w:szCs w:val="24"/>
        </w:rPr>
        <w:t xml:space="preserve">FBI UCR Program </w:t>
      </w:r>
      <w:r w:rsidRPr="0065486C" w:rsidR="00851F3A">
        <w:rPr>
          <w:rFonts w:ascii="Times New Roman" w:hAnsi="Times New Roman" w:cs="Times New Roman"/>
          <w:color w:val="000000" w:themeColor="text1"/>
          <w:sz w:val="24"/>
          <w:szCs w:val="24"/>
        </w:rPr>
        <w:t xml:space="preserve">were formulated and the </w:t>
      </w:r>
      <w:r w:rsidRPr="0065486C" w:rsidR="007D0C1D">
        <w:rPr>
          <w:rFonts w:ascii="Times New Roman" w:hAnsi="Times New Roman" w:cs="Times New Roman"/>
          <w:color w:val="000000" w:themeColor="text1"/>
          <w:sz w:val="24"/>
          <w:szCs w:val="24"/>
        </w:rPr>
        <w:t>National Incident-Based Reporting System (N</w:t>
      </w:r>
      <w:r w:rsidRPr="0065486C" w:rsidR="00851F3A">
        <w:rPr>
          <w:rFonts w:ascii="Times New Roman" w:hAnsi="Times New Roman" w:cs="Times New Roman"/>
          <w:color w:val="000000" w:themeColor="text1"/>
          <w:sz w:val="24"/>
          <w:szCs w:val="24"/>
        </w:rPr>
        <w:t>IBRS</w:t>
      </w:r>
      <w:r w:rsidRPr="0065486C" w:rsidR="007D0C1D">
        <w:rPr>
          <w:rFonts w:ascii="Times New Roman" w:hAnsi="Times New Roman" w:cs="Times New Roman"/>
          <w:color w:val="000000" w:themeColor="text1"/>
          <w:sz w:val="24"/>
          <w:szCs w:val="24"/>
        </w:rPr>
        <w:t>)</w:t>
      </w:r>
      <w:r w:rsidRPr="0065486C" w:rsidR="00851F3A">
        <w:rPr>
          <w:rFonts w:ascii="Times New Roman" w:hAnsi="Times New Roman" w:cs="Times New Roman"/>
          <w:color w:val="000000" w:themeColor="text1"/>
          <w:sz w:val="24"/>
          <w:szCs w:val="24"/>
        </w:rPr>
        <w:t xml:space="preserve"> was the result.</w:t>
      </w:r>
      <w:r w:rsidRPr="0065486C" w:rsidR="007D0C1D">
        <w:rPr>
          <w:rFonts w:ascii="Times New Roman" w:hAnsi="Times New Roman" w:cs="Times New Roman"/>
          <w:color w:val="000000" w:themeColor="text1"/>
          <w:sz w:val="24"/>
          <w:szCs w:val="24"/>
        </w:rPr>
        <w:t xml:space="preserve">  </w:t>
      </w:r>
    </w:p>
    <w:p w:rsidRPr="0065486C" w:rsidR="002A7174" w:rsidP="00FC6E82" w:rsidRDefault="002A7174" w14:paraId="41C8F396" w14:textId="77777777">
      <w:pPr>
        <w:spacing w:after="0" w:line="240" w:lineRule="auto"/>
        <w:ind w:left="720"/>
        <w:contextualSpacing/>
        <w:rPr>
          <w:rFonts w:ascii="Times New Roman" w:hAnsi="Times New Roman" w:cs="Times New Roman"/>
          <w:color w:val="000000" w:themeColor="text1"/>
          <w:sz w:val="24"/>
          <w:szCs w:val="24"/>
        </w:rPr>
      </w:pPr>
    </w:p>
    <w:p w:rsidR="005E3E06" w:rsidP="00FC6E82" w:rsidRDefault="007D0C1D" w14:paraId="266A7D70" w14:textId="77777777">
      <w:pPr>
        <w:spacing w:after="0" w:line="240" w:lineRule="auto"/>
        <w:ind w:left="720"/>
        <w:contextualSpacing/>
        <w:rPr>
          <w:rFonts w:ascii="Times New Roman" w:hAnsi="Times New Roman" w:cs="Times New Roman"/>
          <w:color w:val="000000" w:themeColor="text1"/>
          <w:sz w:val="24"/>
          <w:szCs w:val="24"/>
        </w:rPr>
      </w:pPr>
      <w:r w:rsidRPr="0065486C">
        <w:rPr>
          <w:rFonts w:ascii="Times New Roman" w:hAnsi="Times New Roman" w:cs="Times New Roman"/>
          <w:color w:val="000000" w:themeColor="text1"/>
          <w:sz w:val="24"/>
          <w:szCs w:val="24"/>
        </w:rPr>
        <w:t>The FBI designed NIBRS to generate data as a byproduct of federal, state, and local automated records management systems (RMS)</w:t>
      </w:r>
      <w:r w:rsidRPr="0065486C" w:rsidR="002A7174">
        <w:rPr>
          <w:rFonts w:ascii="Times New Roman" w:hAnsi="Times New Roman" w:cs="Times New Roman"/>
          <w:color w:val="000000" w:themeColor="text1"/>
          <w:sz w:val="24"/>
          <w:szCs w:val="24"/>
        </w:rPr>
        <w:t xml:space="preserve"> and allows </w:t>
      </w:r>
      <w:r w:rsidR="004A68CB">
        <w:rPr>
          <w:rFonts w:ascii="Times New Roman" w:hAnsi="Times New Roman" w:cs="Times New Roman"/>
          <w:color w:val="000000" w:themeColor="text1"/>
          <w:sz w:val="24"/>
          <w:szCs w:val="24"/>
        </w:rPr>
        <w:t>law enforcement agencies (</w:t>
      </w:r>
      <w:r w:rsidRPr="0065486C" w:rsidR="002A7174">
        <w:rPr>
          <w:rFonts w:ascii="Times New Roman" w:hAnsi="Times New Roman" w:cs="Times New Roman"/>
          <w:color w:val="000000" w:themeColor="text1"/>
          <w:sz w:val="24"/>
          <w:szCs w:val="24"/>
        </w:rPr>
        <w:t>LEAs</w:t>
      </w:r>
      <w:r w:rsidR="004A68CB">
        <w:rPr>
          <w:rFonts w:ascii="Times New Roman" w:hAnsi="Times New Roman" w:cs="Times New Roman"/>
          <w:color w:val="000000" w:themeColor="text1"/>
          <w:sz w:val="24"/>
          <w:szCs w:val="24"/>
        </w:rPr>
        <w:t>)</w:t>
      </w:r>
      <w:r w:rsidRPr="0065486C" w:rsidR="002A7174">
        <w:rPr>
          <w:rFonts w:ascii="Times New Roman" w:hAnsi="Times New Roman" w:cs="Times New Roman"/>
          <w:color w:val="000000" w:themeColor="text1"/>
          <w:sz w:val="24"/>
          <w:szCs w:val="24"/>
        </w:rPr>
        <w:t xml:space="preserve"> to collect information on each crime occurrence.  </w:t>
      </w:r>
      <w:r w:rsidR="003364F8">
        <w:rPr>
          <w:rFonts w:ascii="Times New Roman" w:hAnsi="Times New Roman" w:cs="Times New Roman"/>
          <w:color w:val="000000" w:themeColor="text1"/>
          <w:sz w:val="24"/>
          <w:szCs w:val="24"/>
        </w:rPr>
        <w:t xml:space="preserve">Currently, </w:t>
      </w:r>
      <w:r w:rsidRPr="0065486C">
        <w:rPr>
          <w:rFonts w:ascii="Times New Roman" w:hAnsi="Times New Roman" w:cs="Times New Roman"/>
          <w:color w:val="000000" w:themeColor="text1"/>
          <w:sz w:val="24"/>
          <w:szCs w:val="24"/>
        </w:rPr>
        <w:t>NIBRS collects data on each incident and arrest within 28 crime categories comprised of 71 specific crimes called Group A offenses.  For each of the offenses coming to the attention of law enforcement, various details about the crime are collected.  In addition to the Group A offenses, arrest data only are reported for 13 Group B offense categories.  When reporting data via the traditional Summary Reporting System (SRS), LEA</w:t>
      </w:r>
      <w:r w:rsidR="00421817">
        <w:rPr>
          <w:rFonts w:ascii="Times New Roman" w:hAnsi="Times New Roman" w:cs="Times New Roman"/>
          <w:color w:val="000000" w:themeColor="text1"/>
          <w:sz w:val="24"/>
          <w:szCs w:val="24"/>
        </w:rPr>
        <w:t>s tally the occurrences of 10</w:t>
      </w:r>
      <w:r w:rsidRPr="0065486C">
        <w:rPr>
          <w:rFonts w:ascii="Times New Roman" w:hAnsi="Times New Roman" w:cs="Times New Roman"/>
          <w:color w:val="000000" w:themeColor="text1"/>
          <w:sz w:val="24"/>
          <w:szCs w:val="24"/>
        </w:rPr>
        <w:t xml:space="preserve"> Part I crimes.</w:t>
      </w:r>
      <w:r w:rsidRPr="0065486C" w:rsidR="00CB18ED">
        <w:rPr>
          <w:rFonts w:ascii="Times New Roman" w:hAnsi="Times New Roman" w:cs="Times New Roman"/>
          <w:color w:val="000000" w:themeColor="text1"/>
          <w:sz w:val="24"/>
          <w:szCs w:val="24"/>
        </w:rPr>
        <w:t xml:space="preserve"> </w:t>
      </w:r>
    </w:p>
    <w:p w:rsidR="005E3E06" w:rsidRDefault="005E3E06" w14:paraId="72A3D3EC" w14:textId="77777777">
      <w:pP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br w:type="page"/>
      </w:r>
    </w:p>
    <w:p w:rsidR="003255E3" w:rsidP="00FC6E82" w:rsidRDefault="007D0C1D" w14:paraId="5F46FCAC" w14:textId="77777777">
      <w:pPr>
        <w:spacing w:after="0" w:line="240" w:lineRule="auto"/>
        <w:ind w:left="720" w:right="-270"/>
        <w:contextualSpacing/>
        <w:rPr>
          <w:rFonts w:ascii="Times New Roman" w:hAnsi="Times New Roman" w:cs="Times New Roman"/>
          <w:color w:val="000000" w:themeColor="text1"/>
          <w:sz w:val="24"/>
          <w:szCs w:val="24"/>
        </w:rPr>
      </w:pPr>
      <w:r w:rsidRPr="0065486C">
        <w:rPr>
          <w:rFonts w:ascii="Times New Roman" w:hAnsi="Times New Roman" w:cs="Times New Roman"/>
          <w:color w:val="000000" w:themeColor="text1"/>
          <w:sz w:val="24"/>
          <w:szCs w:val="24"/>
        </w:rPr>
        <w:lastRenderedPageBreak/>
        <w:t>The most significant difference between NIBRS and the traditional SRS is the degr</w:t>
      </w:r>
      <w:r w:rsidR="003364F8">
        <w:rPr>
          <w:rFonts w:ascii="Times New Roman" w:hAnsi="Times New Roman" w:cs="Times New Roman"/>
          <w:color w:val="000000" w:themeColor="text1"/>
          <w:sz w:val="24"/>
          <w:szCs w:val="24"/>
        </w:rPr>
        <w:t xml:space="preserve">ee of detail in </w:t>
      </w:r>
      <w:r w:rsidRPr="00FC6E82" w:rsidR="003364F8">
        <w:rPr>
          <w:rFonts w:ascii="Times New Roman" w:hAnsi="Times New Roman" w:cs="Times New Roman"/>
          <w:color w:val="000000" w:themeColor="text1"/>
          <w:sz w:val="24"/>
          <w:szCs w:val="24"/>
        </w:rPr>
        <w:t xml:space="preserve">reporting.  </w:t>
      </w:r>
      <w:r w:rsidRPr="00FC6E82">
        <w:rPr>
          <w:rFonts w:ascii="Times New Roman" w:hAnsi="Times New Roman" w:cs="Times New Roman"/>
          <w:color w:val="000000" w:themeColor="text1"/>
          <w:sz w:val="24"/>
          <w:szCs w:val="24"/>
        </w:rPr>
        <w:t xml:space="preserve">NIBRS is capable of producing more detailed, accurate, and meaningful information because data are collected about when and where crime </w:t>
      </w:r>
      <w:r w:rsidR="003255E3">
        <w:rPr>
          <w:rFonts w:ascii="Times New Roman" w:hAnsi="Times New Roman" w:cs="Times New Roman"/>
          <w:color w:val="000000" w:themeColor="text1"/>
          <w:sz w:val="24"/>
          <w:szCs w:val="24"/>
        </w:rPr>
        <w:t>occurs</w:t>
      </w:r>
      <w:r w:rsidRPr="00FC6E82">
        <w:rPr>
          <w:rFonts w:ascii="Times New Roman" w:hAnsi="Times New Roman" w:cs="Times New Roman"/>
          <w:color w:val="000000" w:themeColor="text1"/>
          <w:sz w:val="24"/>
          <w:szCs w:val="24"/>
        </w:rPr>
        <w:t>, what form it takes, and the characteristics of its victims and perpetrators.  Although most of the general concepts for collecting, scoring, and reporting UCR data in SRS apply in NIBRS (e.g., jurisdictional rules), there are some important differences between the tw</w:t>
      </w:r>
      <w:r w:rsidRPr="00FC6E82" w:rsidR="00421817">
        <w:rPr>
          <w:rFonts w:ascii="Times New Roman" w:hAnsi="Times New Roman" w:cs="Times New Roman"/>
          <w:color w:val="000000" w:themeColor="text1"/>
          <w:sz w:val="24"/>
          <w:szCs w:val="24"/>
        </w:rPr>
        <w:t xml:space="preserve">o data collection systems.  </w:t>
      </w:r>
      <w:r w:rsidRPr="00FC6E82">
        <w:rPr>
          <w:rFonts w:ascii="Times New Roman" w:hAnsi="Times New Roman" w:cs="Times New Roman"/>
          <w:color w:val="000000" w:themeColor="text1"/>
          <w:sz w:val="24"/>
          <w:szCs w:val="24"/>
        </w:rPr>
        <w:t xml:space="preserve">SRS employs the Hierarchy Rule, i.e., in a multiple-offense incident, only the most serious offense is </w:t>
      </w:r>
      <w:r w:rsidR="003255E3">
        <w:rPr>
          <w:rFonts w:ascii="Times New Roman" w:hAnsi="Times New Roman" w:cs="Times New Roman"/>
          <w:color w:val="000000" w:themeColor="text1"/>
          <w:sz w:val="24"/>
          <w:szCs w:val="24"/>
        </w:rPr>
        <w:t>coun</w:t>
      </w:r>
      <w:r w:rsidRPr="00FC6E82">
        <w:rPr>
          <w:rFonts w:ascii="Times New Roman" w:hAnsi="Times New Roman" w:cs="Times New Roman"/>
          <w:color w:val="000000" w:themeColor="text1"/>
          <w:sz w:val="24"/>
          <w:szCs w:val="24"/>
        </w:rPr>
        <w:t xml:space="preserve">ted, and only </w:t>
      </w:r>
      <w:r w:rsidRPr="00FC6E82" w:rsidR="00421817">
        <w:rPr>
          <w:rFonts w:ascii="Times New Roman" w:hAnsi="Times New Roman" w:cs="Times New Roman"/>
          <w:color w:val="000000" w:themeColor="text1"/>
          <w:sz w:val="24"/>
          <w:szCs w:val="24"/>
        </w:rPr>
        <w:t>10</w:t>
      </w:r>
      <w:r w:rsidRPr="00FC6E82">
        <w:rPr>
          <w:rFonts w:ascii="Times New Roman" w:hAnsi="Times New Roman" w:cs="Times New Roman"/>
          <w:color w:val="000000" w:themeColor="text1"/>
          <w:sz w:val="24"/>
          <w:szCs w:val="24"/>
        </w:rPr>
        <w:t xml:space="preserve"> Part I offenses can be reported.  </w:t>
      </w:r>
    </w:p>
    <w:p w:rsidR="003255E3" w:rsidP="00FC6E82" w:rsidRDefault="003255E3" w14:paraId="0D0B940D" w14:textId="77777777">
      <w:pPr>
        <w:spacing w:after="0" w:line="240" w:lineRule="auto"/>
        <w:ind w:left="720" w:right="-270"/>
        <w:contextualSpacing/>
        <w:rPr>
          <w:rFonts w:ascii="Times New Roman" w:hAnsi="Times New Roman" w:cs="Times New Roman"/>
          <w:color w:val="000000" w:themeColor="text1"/>
          <w:sz w:val="24"/>
          <w:szCs w:val="24"/>
        </w:rPr>
      </w:pPr>
    </w:p>
    <w:p w:rsidRPr="0065486C" w:rsidR="007D0C1D" w:rsidP="003255E3" w:rsidRDefault="007D0C1D" w14:paraId="55268E0E" w14:textId="77349CD6">
      <w:pPr>
        <w:spacing w:after="0" w:line="240" w:lineRule="auto"/>
        <w:ind w:left="720" w:right="-360"/>
        <w:contextualSpacing/>
        <w:rPr>
          <w:rFonts w:ascii="Times New Roman" w:hAnsi="Times New Roman" w:cs="Times New Roman"/>
          <w:color w:val="000000" w:themeColor="text1"/>
          <w:sz w:val="24"/>
          <w:szCs w:val="24"/>
        </w:rPr>
      </w:pPr>
      <w:r w:rsidRPr="00FC6E82">
        <w:rPr>
          <w:rFonts w:ascii="Times New Roman" w:hAnsi="Times New Roman" w:cs="Times New Roman"/>
          <w:color w:val="000000" w:themeColor="text1"/>
          <w:sz w:val="24"/>
          <w:szCs w:val="24"/>
        </w:rPr>
        <w:t xml:space="preserve">The many advantages NIBRS has over SRS include, but are </w:t>
      </w:r>
      <w:r w:rsidR="000E1B02">
        <w:rPr>
          <w:rFonts w:ascii="Times New Roman" w:hAnsi="Times New Roman" w:cs="Times New Roman"/>
          <w:color w:val="000000" w:themeColor="text1"/>
          <w:sz w:val="24"/>
          <w:szCs w:val="24"/>
        </w:rPr>
        <w:t>not limited to, reports up to ten</w:t>
      </w:r>
      <w:r w:rsidR="00F14904">
        <w:rPr>
          <w:rFonts w:ascii="Times New Roman" w:hAnsi="Times New Roman" w:cs="Times New Roman"/>
          <w:color w:val="000000" w:themeColor="text1"/>
          <w:sz w:val="24"/>
          <w:szCs w:val="24"/>
        </w:rPr>
        <w:t> </w:t>
      </w:r>
      <w:r w:rsidRPr="00FC6E82">
        <w:rPr>
          <w:rFonts w:ascii="Times New Roman" w:hAnsi="Times New Roman" w:cs="Times New Roman"/>
          <w:color w:val="000000" w:themeColor="text1"/>
          <w:sz w:val="24"/>
          <w:szCs w:val="24"/>
        </w:rPr>
        <w:t>offenses occurring during the incident; revised, expanded, and new offense definitions; more specificity in reporting and using offense and arrest data for 28 Group A offense categories encompassing 71 crimes; distinguishes between attempted and completed Group</w:t>
      </w:r>
      <w:r w:rsidR="003255E3">
        <w:rPr>
          <w:rFonts w:ascii="Times New Roman" w:hAnsi="Times New Roman" w:cs="Times New Roman"/>
          <w:color w:val="000000" w:themeColor="text1"/>
          <w:sz w:val="24"/>
          <w:szCs w:val="24"/>
        </w:rPr>
        <w:t> </w:t>
      </w:r>
      <w:r w:rsidRPr="00FC6E82">
        <w:rPr>
          <w:rFonts w:ascii="Times New Roman" w:hAnsi="Times New Roman" w:cs="Times New Roman"/>
          <w:color w:val="000000" w:themeColor="text1"/>
          <w:sz w:val="24"/>
          <w:szCs w:val="24"/>
        </w:rPr>
        <w:t>A crimes; provides crimes against society</w:t>
      </w:r>
      <w:r w:rsidRPr="0065486C">
        <w:rPr>
          <w:rFonts w:ascii="Times New Roman" w:hAnsi="Times New Roman" w:cs="Times New Roman"/>
          <w:color w:val="000000" w:themeColor="text1"/>
          <w:sz w:val="24"/>
          <w:szCs w:val="24"/>
        </w:rPr>
        <w:t>; includes victim-to-offender data, circumstance, drug-related offenses, offenders suspected use of drugs, and expanded computer crime; and provides updated reports tied directly to the original incident.  The Group A offense categories include animal cruelty; arson; assault offenses; bribery; burglary/breaking and entering; commerce violations;* counterfeiting/forgery; destruction/damage/vandalism of property; drug/narcotic offenses; embezzlement; espionage;* extortion/blackmail; fraud offenses; fugitive offenses;* gambling offenses; homicide offenses; human trafficking; immigration violations;* kidnapping/abduction; larceny/theft offenses; motor vehicle theft; pornography/obscene material; prostitution offenses; robbery; sex offenses; stolen property offenses; treason;* and weapon law violations.  The 13 Group B offense categories, for which only arrest data are collected, include bad checks; bond default;* curfew/loitering/vagrancy violations; disorderly conduct; driving under the influence; drunkenness; family offenses, nonviolent; federal resource violation;* liquor law violations; peeping tom; perjury;* trespass of real property; and all other offenses.  (Offense cate</w:t>
      </w:r>
      <w:r w:rsidR="000A3CF1">
        <w:rPr>
          <w:rFonts w:ascii="Times New Roman" w:hAnsi="Times New Roman" w:cs="Times New Roman"/>
          <w:color w:val="000000" w:themeColor="text1"/>
          <w:sz w:val="24"/>
          <w:szCs w:val="24"/>
        </w:rPr>
        <w:t xml:space="preserve">gories followed by an asterisk </w:t>
      </w:r>
      <w:r w:rsidRPr="0065486C">
        <w:rPr>
          <w:rFonts w:ascii="Times New Roman" w:hAnsi="Times New Roman" w:cs="Times New Roman"/>
          <w:color w:val="000000" w:themeColor="text1"/>
          <w:sz w:val="24"/>
          <w:szCs w:val="24"/>
        </w:rPr>
        <w:t xml:space="preserve">* denote those reported by federal and tribal LEAs only.)  </w:t>
      </w:r>
      <w:r w:rsidRPr="0065486C" w:rsidR="002A7174">
        <w:rPr>
          <w:rFonts w:ascii="Times New Roman" w:hAnsi="Times New Roman" w:cs="Times New Roman"/>
          <w:color w:val="000000" w:themeColor="text1"/>
          <w:sz w:val="24"/>
          <w:szCs w:val="24"/>
        </w:rPr>
        <w:t>I</w:t>
      </w:r>
      <w:r w:rsidR="003364F8">
        <w:rPr>
          <w:rFonts w:ascii="Times New Roman" w:hAnsi="Times New Roman" w:cs="Times New Roman"/>
          <w:color w:val="000000" w:themeColor="text1"/>
          <w:sz w:val="24"/>
          <w:szCs w:val="24"/>
        </w:rPr>
        <w:t xml:space="preserve">n 2019, </w:t>
      </w:r>
      <w:r w:rsidRPr="0065486C">
        <w:rPr>
          <w:rFonts w:ascii="Times New Roman" w:hAnsi="Times New Roman" w:cs="Times New Roman"/>
          <w:color w:val="000000" w:themeColor="text1"/>
          <w:sz w:val="24"/>
          <w:szCs w:val="24"/>
        </w:rPr>
        <w:t xml:space="preserve">NIBRS began collecting additional data values to capture information on domestic violence, cargo theft, and negligent manslaughter. </w:t>
      </w:r>
    </w:p>
    <w:p w:rsidRPr="0065486C" w:rsidR="00A73E2E" w:rsidP="00FC6E82" w:rsidRDefault="00A73E2E" w14:paraId="0E27B00A" w14:textId="77777777">
      <w:pPr>
        <w:spacing w:after="0" w:line="240" w:lineRule="auto"/>
        <w:ind w:left="720"/>
        <w:contextualSpacing/>
        <w:rPr>
          <w:rFonts w:ascii="Times New Roman" w:hAnsi="Times New Roman" w:cs="Times New Roman"/>
          <w:i/>
          <w:color w:val="000000" w:themeColor="text1"/>
          <w:sz w:val="24"/>
          <w:szCs w:val="24"/>
        </w:rPr>
      </w:pPr>
    </w:p>
    <w:p w:rsidRPr="0065486C" w:rsidR="00A73E2E" w:rsidP="00FC6E82" w:rsidRDefault="00A73E2E" w14:paraId="655B5D53" w14:textId="77777777">
      <w:pPr>
        <w:spacing w:after="0" w:line="240" w:lineRule="auto"/>
        <w:ind w:left="720"/>
        <w:contextualSpacing/>
        <w:rPr>
          <w:rFonts w:ascii="Times New Roman" w:hAnsi="Times New Roman" w:cs="Times New Roman"/>
          <w:color w:val="000000" w:themeColor="text1"/>
          <w:sz w:val="24"/>
          <w:szCs w:val="24"/>
        </w:rPr>
      </w:pPr>
      <w:r w:rsidRPr="0065486C">
        <w:rPr>
          <w:rFonts w:ascii="Times New Roman" w:hAnsi="Times New Roman" w:cs="Times New Roman"/>
          <w:color w:val="000000" w:themeColor="text1"/>
          <w:sz w:val="24"/>
          <w:szCs w:val="24"/>
        </w:rPr>
        <w:t xml:space="preserve">The FBI UCR Program serves as the national clearinghouse for the collection and dissemination of incident data and releases these statistics in the following publications:  </w:t>
      </w:r>
      <w:r w:rsidRPr="0065486C">
        <w:rPr>
          <w:rFonts w:ascii="Times New Roman" w:hAnsi="Times New Roman" w:cs="Times New Roman"/>
          <w:i/>
          <w:iCs/>
          <w:color w:val="000000" w:themeColor="text1"/>
          <w:sz w:val="24"/>
          <w:szCs w:val="24"/>
        </w:rPr>
        <w:t>Crime in the United States</w:t>
      </w:r>
      <w:r w:rsidR="00C270F9">
        <w:rPr>
          <w:rFonts w:ascii="Times New Roman" w:hAnsi="Times New Roman" w:cs="Times New Roman"/>
          <w:i/>
          <w:iCs/>
          <w:color w:val="000000" w:themeColor="text1"/>
          <w:sz w:val="24"/>
          <w:szCs w:val="24"/>
        </w:rPr>
        <w:t xml:space="preserve"> (CIUS)</w:t>
      </w:r>
      <w:r w:rsidRPr="0065486C">
        <w:rPr>
          <w:rFonts w:ascii="Times New Roman" w:hAnsi="Times New Roman" w:cs="Times New Roman"/>
          <w:i/>
          <w:color w:val="000000" w:themeColor="text1"/>
          <w:sz w:val="24"/>
          <w:szCs w:val="24"/>
        </w:rPr>
        <w:t xml:space="preserve">, </w:t>
      </w:r>
      <w:r w:rsidRPr="0065486C">
        <w:rPr>
          <w:rFonts w:ascii="Times New Roman" w:hAnsi="Times New Roman" w:cs="Times New Roman"/>
          <w:i/>
          <w:iCs/>
          <w:color w:val="000000" w:themeColor="text1"/>
          <w:sz w:val="24"/>
          <w:szCs w:val="24"/>
        </w:rPr>
        <w:t>Hate Crime Statistics</w:t>
      </w:r>
      <w:r w:rsidRPr="0065486C">
        <w:rPr>
          <w:rFonts w:ascii="Times New Roman" w:hAnsi="Times New Roman" w:cs="Times New Roman"/>
          <w:color w:val="000000" w:themeColor="text1"/>
          <w:sz w:val="24"/>
          <w:szCs w:val="24"/>
        </w:rPr>
        <w:t xml:space="preserve">, </w:t>
      </w:r>
      <w:r w:rsidRPr="0065486C">
        <w:rPr>
          <w:rFonts w:ascii="Times New Roman" w:hAnsi="Times New Roman" w:cs="Times New Roman"/>
          <w:i/>
          <w:iCs/>
          <w:color w:val="000000" w:themeColor="text1"/>
          <w:sz w:val="24"/>
          <w:szCs w:val="24"/>
        </w:rPr>
        <w:t xml:space="preserve">Law Enforcement Officers Killed and Assaulted, </w:t>
      </w:r>
      <w:r w:rsidRPr="0065486C">
        <w:rPr>
          <w:rFonts w:ascii="Times New Roman" w:hAnsi="Times New Roman" w:cs="Times New Roman"/>
          <w:iCs/>
          <w:color w:val="000000" w:themeColor="text1"/>
          <w:sz w:val="24"/>
          <w:szCs w:val="24"/>
        </w:rPr>
        <w:t>and</w:t>
      </w:r>
      <w:r w:rsidR="003255E3">
        <w:rPr>
          <w:rFonts w:ascii="Times New Roman" w:hAnsi="Times New Roman" w:cs="Times New Roman"/>
          <w:iCs/>
          <w:color w:val="000000" w:themeColor="text1"/>
          <w:sz w:val="24"/>
          <w:szCs w:val="24"/>
        </w:rPr>
        <w:t xml:space="preserve"> </w:t>
      </w:r>
      <w:r w:rsidRPr="0065486C">
        <w:rPr>
          <w:rFonts w:ascii="Times New Roman" w:hAnsi="Times New Roman" w:cs="Times New Roman"/>
          <w:i/>
          <w:iCs/>
          <w:color w:val="000000" w:themeColor="text1"/>
          <w:sz w:val="24"/>
          <w:szCs w:val="24"/>
        </w:rPr>
        <w:t>N</w:t>
      </w:r>
      <w:r w:rsidR="000E1B02">
        <w:rPr>
          <w:rFonts w:ascii="Times New Roman" w:hAnsi="Times New Roman" w:cs="Times New Roman"/>
          <w:i/>
          <w:iCs/>
          <w:color w:val="000000" w:themeColor="text1"/>
          <w:sz w:val="24"/>
          <w:szCs w:val="24"/>
        </w:rPr>
        <w:t xml:space="preserve">ational </w:t>
      </w:r>
      <w:r w:rsidRPr="0065486C">
        <w:rPr>
          <w:rFonts w:ascii="Times New Roman" w:hAnsi="Times New Roman" w:cs="Times New Roman"/>
          <w:i/>
          <w:iCs/>
          <w:color w:val="000000" w:themeColor="text1"/>
          <w:sz w:val="24"/>
          <w:szCs w:val="24"/>
        </w:rPr>
        <w:t>I</w:t>
      </w:r>
      <w:r w:rsidR="000E1B02">
        <w:rPr>
          <w:rFonts w:ascii="Times New Roman" w:hAnsi="Times New Roman" w:cs="Times New Roman"/>
          <w:i/>
          <w:iCs/>
          <w:color w:val="000000" w:themeColor="text1"/>
          <w:sz w:val="24"/>
          <w:szCs w:val="24"/>
        </w:rPr>
        <w:t>ncident-</w:t>
      </w:r>
      <w:r w:rsidRPr="0065486C">
        <w:rPr>
          <w:rFonts w:ascii="Times New Roman" w:hAnsi="Times New Roman" w:cs="Times New Roman"/>
          <w:i/>
          <w:iCs/>
          <w:color w:val="000000" w:themeColor="text1"/>
          <w:sz w:val="24"/>
          <w:szCs w:val="24"/>
        </w:rPr>
        <w:t>B</w:t>
      </w:r>
      <w:r w:rsidR="000E1B02">
        <w:rPr>
          <w:rFonts w:ascii="Times New Roman" w:hAnsi="Times New Roman" w:cs="Times New Roman"/>
          <w:i/>
          <w:iCs/>
          <w:color w:val="000000" w:themeColor="text1"/>
          <w:sz w:val="24"/>
          <w:szCs w:val="24"/>
        </w:rPr>
        <w:t xml:space="preserve">ased </w:t>
      </w:r>
      <w:r w:rsidRPr="0065486C">
        <w:rPr>
          <w:rFonts w:ascii="Times New Roman" w:hAnsi="Times New Roman" w:cs="Times New Roman"/>
          <w:i/>
          <w:iCs/>
          <w:color w:val="000000" w:themeColor="text1"/>
          <w:sz w:val="24"/>
          <w:szCs w:val="24"/>
        </w:rPr>
        <w:t>R</w:t>
      </w:r>
      <w:r w:rsidR="000E1B02">
        <w:rPr>
          <w:rFonts w:ascii="Times New Roman" w:hAnsi="Times New Roman" w:cs="Times New Roman"/>
          <w:i/>
          <w:iCs/>
          <w:color w:val="000000" w:themeColor="text1"/>
          <w:sz w:val="24"/>
          <w:szCs w:val="24"/>
        </w:rPr>
        <w:t xml:space="preserve">eporting </w:t>
      </w:r>
      <w:r w:rsidRPr="0065486C">
        <w:rPr>
          <w:rFonts w:ascii="Times New Roman" w:hAnsi="Times New Roman" w:cs="Times New Roman"/>
          <w:i/>
          <w:iCs/>
          <w:color w:val="000000" w:themeColor="text1"/>
          <w:sz w:val="24"/>
          <w:szCs w:val="24"/>
        </w:rPr>
        <w:t>S</w:t>
      </w:r>
      <w:r w:rsidR="000E1B02">
        <w:rPr>
          <w:rFonts w:ascii="Times New Roman" w:hAnsi="Times New Roman" w:cs="Times New Roman"/>
          <w:i/>
          <w:iCs/>
          <w:color w:val="000000" w:themeColor="text1"/>
          <w:sz w:val="24"/>
          <w:szCs w:val="24"/>
        </w:rPr>
        <w:t>ystem</w:t>
      </w:r>
      <w:r w:rsidRPr="0065486C">
        <w:rPr>
          <w:rFonts w:ascii="Times New Roman" w:hAnsi="Times New Roman" w:cs="Times New Roman"/>
          <w:color w:val="000000" w:themeColor="text1"/>
          <w:sz w:val="24"/>
          <w:szCs w:val="24"/>
        </w:rPr>
        <w:t>.</w:t>
      </w:r>
    </w:p>
    <w:p w:rsidR="00A73E2E" w:rsidP="00FC6E82" w:rsidRDefault="00A73E2E" w14:paraId="60061E4C" w14:textId="77777777">
      <w:pPr>
        <w:spacing w:after="0" w:line="240" w:lineRule="auto"/>
        <w:ind w:left="720"/>
        <w:contextualSpacing/>
        <w:rPr>
          <w:rFonts w:ascii="Times New Roman" w:hAnsi="Times New Roman" w:cs="Times New Roman"/>
          <w:color w:val="000000" w:themeColor="text1"/>
          <w:sz w:val="24"/>
          <w:szCs w:val="24"/>
        </w:rPr>
      </w:pPr>
    </w:p>
    <w:p w:rsidRPr="0065486C" w:rsidR="00B068E6" w:rsidP="00FC6E82" w:rsidRDefault="00B068E6" w14:paraId="44EAFD9C" w14:textId="77777777">
      <w:pPr>
        <w:spacing w:after="0" w:line="240" w:lineRule="auto"/>
        <w:ind w:left="720"/>
        <w:contextualSpacing/>
        <w:rPr>
          <w:rFonts w:ascii="Times New Roman" w:hAnsi="Times New Roman" w:cs="Times New Roman"/>
          <w:color w:val="000000" w:themeColor="text1"/>
          <w:sz w:val="24"/>
          <w:szCs w:val="24"/>
        </w:rPr>
      </w:pPr>
    </w:p>
    <w:p w:rsidRPr="0065486C" w:rsidR="008417BF" w:rsidP="00FC6E82" w:rsidRDefault="008417BF" w14:paraId="64AC4B59" w14:textId="77777777">
      <w:pPr>
        <w:pStyle w:val="ListParagraph"/>
        <w:numPr>
          <w:ilvl w:val="0"/>
          <w:numId w:val="4"/>
        </w:numPr>
        <w:spacing w:after="0" w:line="240" w:lineRule="auto"/>
        <w:rPr>
          <w:rFonts w:ascii="Times New Roman" w:hAnsi="Times New Roman" w:cs="Times New Roman"/>
          <w:color w:val="000000" w:themeColor="text1"/>
          <w:sz w:val="24"/>
          <w:szCs w:val="24"/>
        </w:rPr>
      </w:pPr>
      <w:r w:rsidRPr="0065486C">
        <w:rPr>
          <w:rFonts w:ascii="Times New Roman" w:hAnsi="Times New Roman" w:cs="Times New Roman"/>
          <w:color w:val="000000" w:themeColor="text1"/>
          <w:sz w:val="24"/>
          <w:szCs w:val="24"/>
          <w:u w:val="single"/>
        </w:rPr>
        <w:t>Needs and Uses</w:t>
      </w:r>
    </w:p>
    <w:p w:rsidRPr="0065486C" w:rsidR="00221FE1" w:rsidP="00FC6E82" w:rsidRDefault="00221FE1" w14:paraId="4B94D5A5" w14:textId="77777777">
      <w:pPr>
        <w:spacing w:after="0" w:line="240" w:lineRule="auto"/>
        <w:contextualSpacing/>
        <w:rPr>
          <w:rFonts w:ascii="Times New Roman" w:hAnsi="Times New Roman" w:cs="Times New Roman"/>
          <w:color w:val="000000" w:themeColor="text1"/>
          <w:sz w:val="24"/>
          <w:szCs w:val="24"/>
        </w:rPr>
      </w:pPr>
    </w:p>
    <w:p w:rsidRPr="008C69A7" w:rsidR="00A73E2E" w:rsidP="6117B93F" w:rsidRDefault="008C286C" w14:paraId="26DCA5B6" w14:textId="4BF7CB93">
      <w:pPr>
        <w:spacing w:after="0" w:line="240" w:lineRule="auto"/>
        <w:ind w:left="720" w:right="-180"/>
        <w:contextualSpacing/>
        <w:rPr>
          <w:rFonts w:ascii="Times New Roman" w:hAnsi="Times New Roman" w:cs="Times New Roman"/>
          <w:b/>
          <w:bCs/>
          <w:color w:val="000000" w:themeColor="text1"/>
          <w:sz w:val="24"/>
          <w:szCs w:val="24"/>
        </w:rPr>
      </w:pPr>
      <w:r w:rsidRPr="6117B93F">
        <w:rPr>
          <w:rFonts w:ascii="Times New Roman" w:hAnsi="Times New Roman" w:cs="Times New Roman"/>
          <w:color w:val="000000" w:themeColor="text1"/>
          <w:sz w:val="24"/>
          <w:szCs w:val="24"/>
        </w:rPr>
        <w:t>The data collected and disseminated by the FBI UCR Program provide a valuable resource to federal, state, local, and tribal LEAs</w:t>
      </w:r>
      <w:r w:rsidRPr="6117B93F" w:rsidR="001F6864">
        <w:rPr>
          <w:rFonts w:ascii="Times New Roman" w:hAnsi="Times New Roman" w:cs="Times New Roman"/>
          <w:color w:val="000000" w:themeColor="text1"/>
          <w:sz w:val="24"/>
          <w:szCs w:val="24"/>
        </w:rPr>
        <w:t xml:space="preserve">.  </w:t>
      </w:r>
      <w:r w:rsidRPr="6117B93F">
        <w:rPr>
          <w:rFonts w:ascii="Times New Roman" w:hAnsi="Times New Roman" w:cs="Times New Roman"/>
          <w:color w:val="000000" w:themeColor="text1"/>
          <w:sz w:val="24"/>
          <w:szCs w:val="24"/>
        </w:rPr>
        <w:t xml:space="preserve">The statistics can be used for </w:t>
      </w:r>
      <w:r w:rsidRPr="6117B93F" w:rsidR="001F6864">
        <w:rPr>
          <w:rFonts w:ascii="Times New Roman" w:hAnsi="Times New Roman" w:cs="Times New Roman"/>
          <w:color w:val="000000" w:themeColor="text1"/>
          <w:sz w:val="24"/>
          <w:szCs w:val="24"/>
        </w:rPr>
        <w:t xml:space="preserve">tracking crime; </w:t>
      </w:r>
      <w:r w:rsidRPr="6117B93F">
        <w:rPr>
          <w:rFonts w:ascii="Times New Roman" w:hAnsi="Times New Roman" w:cs="Times New Roman"/>
          <w:color w:val="000000" w:themeColor="text1"/>
          <w:sz w:val="24"/>
          <w:szCs w:val="24"/>
        </w:rPr>
        <w:t>administration, operation, and management purposes (e.g.</w:t>
      </w:r>
      <w:r w:rsidRPr="6117B93F" w:rsidR="001F6864">
        <w:rPr>
          <w:rFonts w:ascii="Times New Roman" w:hAnsi="Times New Roman" w:cs="Times New Roman"/>
          <w:color w:val="000000" w:themeColor="text1"/>
          <w:sz w:val="24"/>
          <w:szCs w:val="24"/>
        </w:rPr>
        <w:t> </w:t>
      </w:r>
      <w:r w:rsidRPr="6117B93F">
        <w:rPr>
          <w:rFonts w:ascii="Times New Roman" w:hAnsi="Times New Roman" w:cs="Times New Roman"/>
          <w:color w:val="000000" w:themeColor="text1"/>
          <w:sz w:val="24"/>
          <w:szCs w:val="24"/>
        </w:rPr>
        <w:t>budget formulation and resource allocation);</w:t>
      </w:r>
      <w:r w:rsidRPr="6117B93F" w:rsidR="001F6864">
        <w:rPr>
          <w:rFonts w:ascii="Times New Roman" w:hAnsi="Times New Roman" w:cs="Times New Roman"/>
          <w:color w:val="000000" w:themeColor="text1"/>
          <w:sz w:val="24"/>
          <w:szCs w:val="24"/>
        </w:rPr>
        <w:t xml:space="preserve"> </w:t>
      </w:r>
      <w:r w:rsidRPr="6117B93F">
        <w:rPr>
          <w:rFonts w:ascii="Times New Roman" w:hAnsi="Times New Roman" w:cs="Times New Roman"/>
          <w:color w:val="000000" w:themeColor="text1"/>
          <w:sz w:val="24"/>
          <w:szCs w:val="24"/>
        </w:rPr>
        <w:t>assessment of police operations;</w:t>
      </w:r>
      <w:r w:rsidRPr="6117B93F" w:rsidR="001F6864">
        <w:rPr>
          <w:rFonts w:ascii="Times New Roman" w:hAnsi="Times New Roman" w:cs="Times New Roman"/>
          <w:color w:val="000000" w:themeColor="text1"/>
          <w:sz w:val="24"/>
          <w:szCs w:val="24"/>
        </w:rPr>
        <w:t xml:space="preserve"> effectively positioning task forces and officers; and determining</w:t>
      </w:r>
      <w:r w:rsidRPr="6117B93F" w:rsidR="00A73E2E">
        <w:rPr>
          <w:rFonts w:ascii="Times New Roman" w:hAnsi="Times New Roman" w:cs="Times New Roman"/>
          <w:color w:val="000000" w:themeColor="text1"/>
          <w:sz w:val="24"/>
          <w:szCs w:val="24"/>
        </w:rPr>
        <w:t xml:space="preserve"> the effectiveness of various law enforcement programs</w:t>
      </w:r>
      <w:r w:rsidRPr="6117B93F" w:rsidR="001F6864">
        <w:rPr>
          <w:rFonts w:ascii="Times New Roman" w:hAnsi="Times New Roman" w:cs="Times New Roman"/>
          <w:color w:val="000000" w:themeColor="text1"/>
          <w:sz w:val="24"/>
          <w:szCs w:val="24"/>
        </w:rPr>
        <w:t xml:space="preserve"> to address the crime problem at various levels</w:t>
      </w:r>
      <w:r w:rsidRPr="6117B93F" w:rsidR="00A73E2E">
        <w:rPr>
          <w:rFonts w:ascii="Times New Roman" w:hAnsi="Times New Roman" w:cs="Times New Roman"/>
          <w:color w:val="000000" w:themeColor="text1"/>
          <w:sz w:val="24"/>
          <w:szCs w:val="24"/>
        </w:rPr>
        <w:t>.</w:t>
      </w:r>
      <w:r w:rsidRPr="6117B93F" w:rsidR="001F6864">
        <w:rPr>
          <w:rFonts w:ascii="Times New Roman" w:hAnsi="Times New Roman" w:cs="Times New Roman"/>
          <w:color w:val="000000" w:themeColor="text1"/>
          <w:sz w:val="24"/>
          <w:szCs w:val="24"/>
        </w:rPr>
        <w:t xml:space="preserve">  A</w:t>
      </w:r>
      <w:r w:rsidRPr="6117B93F" w:rsidR="00A73E2E">
        <w:rPr>
          <w:rFonts w:ascii="Times New Roman" w:hAnsi="Times New Roman" w:cs="Times New Roman"/>
          <w:color w:val="000000" w:themeColor="text1"/>
          <w:sz w:val="24"/>
          <w:szCs w:val="24"/>
        </w:rPr>
        <w:t>gencies can</w:t>
      </w:r>
      <w:r w:rsidR="00B739BC">
        <w:rPr>
          <w:rFonts w:ascii="Times New Roman" w:hAnsi="Times New Roman" w:cs="Times New Roman"/>
          <w:color w:val="000000" w:themeColor="text1"/>
          <w:sz w:val="24"/>
          <w:szCs w:val="24"/>
        </w:rPr>
        <w:t xml:space="preserve"> use the data to </w:t>
      </w:r>
      <w:r w:rsidRPr="6117B93F" w:rsidR="00A73E2E">
        <w:rPr>
          <w:rFonts w:ascii="Times New Roman" w:hAnsi="Times New Roman" w:cs="Times New Roman"/>
          <w:color w:val="000000" w:themeColor="text1"/>
          <w:sz w:val="24"/>
          <w:szCs w:val="24"/>
        </w:rPr>
        <w:t>justify staffing levels and officer counts</w:t>
      </w:r>
      <w:r w:rsidR="00B739BC">
        <w:rPr>
          <w:rFonts w:ascii="Times New Roman" w:hAnsi="Times New Roman" w:cs="Times New Roman"/>
          <w:color w:val="000000" w:themeColor="text1"/>
          <w:sz w:val="24"/>
          <w:szCs w:val="24"/>
        </w:rPr>
        <w:t xml:space="preserve">.  </w:t>
      </w:r>
      <w:r w:rsidRPr="6117B93F" w:rsidR="00A73E2E">
        <w:rPr>
          <w:rFonts w:ascii="Times New Roman" w:hAnsi="Times New Roman" w:cs="Times New Roman"/>
          <w:color w:val="000000" w:themeColor="text1"/>
          <w:sz w:val="24"/>
          <w:szCs w:val="24"/>
        </w:rPr>
        <w:t>Although cautioned, some agencies may compare their crime statistics with those of other LEAs to justify an increase in funding for additional staff or equipment.</w:t>
      </w:r>
      <w:r w:rsidRPr="6117B93F" w:rsidR="00A73E2E">
        <w:rPr>
          <w:rFonts w:ascii="Times New Roman" w:hAnsi="Times New Roman" w:cs="Times New Roman"/>
          <w:b/>
          <w:bCs/>
          <w:color w:val="000000" w:themeColor="text1"/>
          <w:sz w:val="24"/>
          <w:szCs w:val="24"/>
        </w:rPr>
        <w:t xml:space="preserve"> </w:t>
      </w:r>
    </w:p>
    <w:p w:rsidRPr="0065486C" w:rsidR="00CB18ED" w:rsidP="00FC6E82" w:rsidRDefault="00CB18ED" w14:paraId="3346FEC0" w14:textId="77777777">
      <w:pPr>
        <w:spacing w:after="0" w:line="240" w:lineRule="auto"/>
        <w:ind w:left="720"/>
        <w:contextualSpacing/>
        <w:rPr>
          <w:rFonts w:ascii="Times New Roman" w:hAnsi="Times New Roman" w:cs="Times New Roman"/>
          <w:color w:val="000000" w:themeColor="text1"/>
          <w:sz w:val="24"/>
          <w:szCs w:val="24"/>
        </w:rPr>
      </w:pPr>
      <w:r w:rsidRPr="008C69A7">
        <w:rPr>
          <w:rFonts w:ascii="Times New Roman" w:hAnsi="Times New Roman" w:cs="Times New Roman"/>
          <w:color w:val="000000" w:themeColor="text1"/>
          <w:sz w:val="24"/>
          <w:szCs w:val="24"/>
        </w:rPr>
        <w:lastRenderedPageBreak/>
        <w:t>Chambers of commerce an</w:t>
      </w:r>
      <w:r w:rsidR="00421817">
        <w:rPr>
          <w:rFonts w:ascii="Times New Roman" w:hAnsi="Times New Roman" w:cs="Times New Roman"/>
          <w:color w:val="000000" w:themeColor="text1"/>
          <w:sz w:val="24"/>
          <w:szCs w:val="24"/>
        </w:rPr>
        <w:t>d tourism agencies examine the</w:t>
      </w:r>
      <w:r w:rsidRPr="008C69A7">
        <w:rPr>
          <w:rFonts w:ascii="Times New Roman" w:hAnsi="Times New Roman" w:cs="Times New Roman"/>
          <w:color w:val="000000" w:themeColor="text1"/>
          <w:sz w:val="24"/>
          <w:szCs w:val="24"/>
        </w:rPr>
        <w:t xml:space="preserve"> data to determine the impact of the crimes within a particular geographic jurisdiction.  Criminal justice researchers and statistical analysts study the nature, cause, and movement of crime over time.</w:t>
      </w:r>
      <w:r w:rsidRPr="008C69A7" w:rsidR="00204D4A">
        <w:rPr>
          <w:rFonts w:ascii="Times New Roman" w:hAnsi="Times New Roman" w:cs="Times New Roman"/>
          <w:color w:val="000000" w:themeColor="text1"/>
          <w:sz w:val="24"/>
          <w:szCs w:val="24"/>
        </w:rPr>
        <w:t xml:space="preserve">  Legislators draft anti-crime measures using research findings along </w:t>
      </w:r>
      <w:r w:rsidR="00421817">
        <w:rPr>
          <w:rFonts w:ascii="Times New Roman" w:hAnsi="Times New Roman" w:cs="Times New Roman"/>
          <w:color w:val="000000" w:themeColor="text1"/>
          <w:sz w:val="24"/>
          <w:szCs w:val="24"/>
        </w:rPr>
        <w:t xml:space="preserve">with </w:t>
      </w:r>
      <w:r w:rsidRPr="008C69A7" w:rsidR="00204D4A">
        <w:rPr>
          <w:rFonts w:ascii="Times New Roman" w:hAnsi="Times New Roman" w:cs="Times New Roman"/>
          <w:color w:val="000000" w:themeColor="text1"/>
          <w:sz w:val="24"/>
          <w:szCs w:val="24"/>
        </w:rPr>
        <w:t xml:space="preserve">recommendations from law enforcement administrators, planners, and others concerned with </w:t>
      </w:r>
      <w:r w:rsidRPr="0065486C" w:rsidR="00204D4A">
        <w:rPr>
          <w:rFonts w:ascii="Times New Roman" w:hAnsi="Times New Roman" w:cs="Times New Roman"/>
          <w:color w:val="000000" w:themeColor="text1"/>
          <w:sz w:val="24"/>
          <w:szCs w:val="24"/>
        </w:rPr>
        <w:t xml:space="preserve">the problem of crime.  </w:t>
      </w:r>
      <w:r w:rsidRPr="0065486C">
        <w:rPr>
          <w:rFonts w:ascii="Times New Roman" w:hAnsi="Times New Roman" w:cs="Times New Roman"/>
          <w:color w:val="000000" w:themeColor="text1"/>
          <w:sz w:val="24"/>
          <w:szCs w:val="24"/>
        </w:rPr>
        <w:t>The news media use crime statistics provided by the FBI UCR Program to inform the public about the state of crime.</w:t>
      </w:r>
    </w:p>
    <w:p w:rsidRPr="0065486C" w:rsidR="00B432DF" w:rsidP="00FC6E82" w:rsidRDefault="00B432DF" w14:paraId="3DEEC669" w14:textId="77777777">
      <w:pPr>
        <w:spacing w:after="0" w:line="240" w:lineRule="auto"/>
        <w:ind w:left="720"/>
        <w:contextualSpacing/>
        <w:rPr>
          <w:rFonts w:ascii="Times New Roman" w:hAnsi="Times New Roman" w:cs="Times New Roman"/>
          <w:color w:val="000000" w:themeColor="text1"/>
          <w:sz w:val="24"/>
          <w:szCs w:val="24"/>
        </w:rPr>
      </w:pPr>
    </w:p>
    <w:p w:rsidRPr="0065486C" w:rsidR="00204D4A" w:rsidP="00FC6E82" w:rsidRDefault="008206B5" w14:paraId="38A5B047" w14:textId="77777777">
      <w:pPr>
        <w:spacing w:after="0" w:line="240" w:lineRule="auto"/>
        <w:ind w:left="720"/>
        <w:contextualSpacing/>
        <w:rPr>
          <w:rFonts w:ascii="Times New Roman" w:hAnsi="Times New Roman" w:cs="Times New Roman"/>
          <w:color w:val="000000" w:themeColor="text1"/>
          <w:sz w:val="24"/>
          <w:szCs w:val="24"/>
        </w:rPr>
      </w:pPr>
      <w:r w:rsidRPr="0065486C">
        <w:rPr>
          <w:rFonts w:ascii="Times New Roman" w:hAnsi="Times New Roman" w:cs="Times New Roman"/>
          <w:color w:val="000000" w:themeColor="text1"/>
          <w:sz w:val="24"/>
          <w:szCs w:val="24"/>
        </w:rPr>
        <w:t>Specific e</w:t>
      </w:r>
      <w:r w:rsidRPr="0065486C" w:rsidR="00204D4A">
        <w:rPr>
          <w:rFonts w:ascii="Times New Roman" w:hAnsi="Times New Roman" w:cs="Times New Roman"/>
          <w:color w:val="000000" w:themeColor="text1"/>
          <w:sz w:val="24"/>
          <w:szCs w:val="24"/>
        </w:rPr>
        <w:t xml:space="preserve">xamples of how various entities use </w:t>
      </w:r>
      <w:r w:rsidR="000E1B02">
        <w:rPr>
          <w:rFonts w:ascii="Times New Roman" w:hAnsi="Times New Roman" w:cs="Times New Roman"/>
          <w:color w:val="000000" w:themeColor="text1"/>
          <w:sz w:val="24"/>
          <w:szCs w:val="24"/>
        </w:rPr>
        <w:t xml:space="preserve">the </w:t>
      </w:r>
      <w:r w:rsidR="003255E3">
        <w:rPr>
          <w:rFonts w:ascii="Times New Roman" w:hAnsi="Times New Roman" w:cs="Times New Roman"/>
          <w:color w:val="000000" w:themeColor="text1"/>
          <w:sz w:val="24"/>
          <w:szCs w:val="24"/>
        </w:rPr>
        <w:t xml:space="preserve">FBI </w:t>
      </w:r>
      <w:r w:rsidRPr="0065486C" w:rsidR="00204D4A">
        <w:rPr>
          <w:rFonts w:ascii="Times New Roman" w:hAnsi="Times New Roman" w:cs="Times New Roman"/>
          <w:color w:val="000000" w:themeColor="text1"/>
          <w:sz w:val="24"/>
          <w:szCs w:val="24"/>
        </w:rPr>
        <w:t>UCR Program data are shown below.</w:t>
      </w:r>
    </w:p>
    <w:p w:rsidRPr="0065486C" w:rsidR="00204D4A" w:rsidP="00FC6E82" w:rsidRDefault="00204D4A" w14:paraId="3656B9AB" w14:textId="77777777">
      <w:pPr>
        <w:spacing w:after="0" w:line="240" w:lineRule="auto"/>
        <w:contextualSpacing/>
        <w:rPr>
          <w:rFonts w:ascii="Times New Roman" w:hAnsi="Times New Roman" w:cs="Times New Roman"/>
          <w:color w:val="000000" w:themeColor="text1"/>
          <w:sz w:val="24"/>
          <w:szCs w:val="24"/>
        </w:rPr>
      </w:pPr>
    </w:p>
    <w:p w:rsidRPr="0065486C" w:rsidR="00204D4A" w:rsidP="006612A8" w:rsidRDefault="00204D4A" w14:paraId="2D5AEBF3" w14:textId="77777777">
      <w:pPr>
        <w:pStyle w:val="ListParagraph"/>
        <w:numPr>
          <w:ilvl w:val="0"/>
          <w:numId w:val="10"/>
        </w:numPr>
        <w:tabs>
          <w:tab w:val="left" w:pos="1170"/>
        </w:tabs>
        <w:spacing w:after="0" w:line="240" w:lineRule="auto"/>
        <w:ind w:left="1440"/>
        <w:rPr>
          <w:rFonts w:ascii="Times New Roman" w:hAnsi="Times New Roman" w:cs="Times New Roman"/>
          <w:color w:val="000000" w:themeColor="text1"/>
          <w:sz w:val="24"/>
          <w:szCs w:val="24"/>
        </w:rPr>
      </w:pPr>
      <w:r w:rsidRPr="0065486C">
        <w:rPr>
          <w:rFonts w:ascii="Times New Roman" w:hAnsi="Times New Roman" w:cs="Times New Roman"/>
          <w:color w:val="000000" w:themeColor="text1"/>
          <w:sz w:val="24"/>
          <w:szCs w:val="24"/>
        </w:rPr>
        <w:t xml:space="preserve">The FBI serves as the national clearinghouse for the storage of all </w:t>
      </w:r>
      <w:r w:rsidRPr="0065486C" w:rsidR="008206B5">
        <w:rPr>
          <w:rFonts w:ascii="Times New Roman" w:hAnsi="Times New Roman" w:cs="Times New Roman"/>
          <w:color w:val="000000" w:themeColor="text1"/>
          <w:sz w:val="24"/>
          <w:szCs w:val="24"/>
        </w:rPr>
        <w:t>NIBRS</w:t>
      </w:r>
      <w:r w:rsidRPr="0065486C">
        <w:rPr>
          <w:rFonts w:ascii="Times New Roman" w:hAnsi="Times New Roman" w:cs="Times New Roman"/>
          <w:color w:val="000000" w:themeColor="text1"/>
          <w:sz w:val="24"/>
          <w:szCs w:val="24"/>
        </w:rPr>
        <w:t xml:space="preserve"> statistics and the data are available to any requester.  In 2019, the FBI UCR Program received </w:t>
      </w:r>
      <w:r w:rsidRPr="0065486C" w:rsidR="008206B5">
        <w:rPr>
          <w:rFonts w:ascii="Times New Roman" w:hAnsi="Times New Roman" w:cs="Times New Roman"/>
          <w:color w:val="000000" w:themeColor="text1"/>
          <w:sz w:val="24"/>
          <w:szCs w:val="24"/>
        </w:rPr>
        <w:t>118</w:t>
      </w:r>
      <w:r w:rsidRPr="0065486C">
        <w:rPr>
          <w:rFonts w:ascii="Times New Roman" w:hAnsi="Times New Roman" w:cs="Times New Roman"/>
          <w:color w:val="000000" w:themeColor="text1"/>
          <w:sz w:val="24"/>
          <w:szCs w:val="24"/>
        </w:rPr>
        <w:t xml:space="preserve"> requests for </w:t>
      </w:r>
      <w:r w:rsidRPr="0065486C" w:rsidR="008206B5">
        <w:rPr>
          <w:rFonts w:ascii="Times New Roman" w:hAnsi="Times New Roman" w:cs="Times New Roman"/>
          <w:color w:val="000000" w:themeColor="text1"/>
          <w:sz w:val="24"/>
          <w:szCs w:val="24"/>
        </w:rPr>
        <w:t>NIBRS</w:t>
      </w:r>
      <w:r w:rsidRPr="0065486C">
        <w:rPr>
          <w:rFonts w:ascii="Times New Roman" w:hAnsi="Times New Roman" w:cs="Times New Roman"/>
          <w:color w:val="000000" w:themeColor="text1"/>
          <w:sz w:val="24"/>
          <w:szCs w:val="24"/>
        </w:rPr>
        <w:t xml:space="preserve"> data, all of which were fulfilled.</w:t>
      </w:r>
    </w:p>
    <w:p w:rsidRPr="0065486C" w:rsidR="00204D4A" w:rsidP="006612A8" w:rsidRDefault="00204D4A" w14:paraId="45FB0818" w14:textId="77777777">
      <w:pPr>
        <w:pStyle w:val="ListParagraph"/>
        <w:tabs>
          <w:tab w:val="left" w:pos="1170"/>
        </w:tabs>
        <w:spacing w:after="0" w:line="240" w:lineRule="auto"/>
        <w:ind w:left="1440"/>
        <w:rPr>
          <w:rFonts w:ascii="Times New Roman" w:hAnsi="Times New Roman" w:cs="Times New Roman"/>
          <w:color w:val="000000" w:themeColor="text1"/>
          <w:sz w:val="24"/>
          <w:szCs w:val="24"/>
        </w:rPr>
      </w:pPr>
    </w:p>
    <w:p w:rsidRPr="0065486C" w:rsidR="00204D4A" w:rsidP="006612A8" w:rsidRDefault="00204D4A" w14:paraId="465563B0" w14:textId="77777777">
      <w:pPr>
        <w:pStyle w:val="ListParagraph"/>
        <w:numPr>
          <w:ilvl w:val="0"/>
          <w:numId w:val="10"/>
        </w:numPr>
        <w:tabs>
          <w:tab w:val="left" w:pos="1170"/>
        </w:tabs>
        <w:spacing w:after="0" w:line="240" w:lineRule="auto"/>
        <w:ind w:left="1440"/>
        <w:rPr>
          <w:rFonts w:ascii="Times New Roman" w:hAnsi="Times New Roman" w:cs="Times New Roman"/>
          <w:color w:val="000000" w:themeColor="text1"/>
          <w:sz w:val="24"/>
          <w:szCs w:val="24"/>
        </w:rPr>
      </w:pPr>
      <w:r w:rsidRPr="0065486C">
        <w:rPr>
          <w:rFonts w:ascii="Times New Roman" w:hAnsi="Times New Roman" w:cs="Times New Roman"/>
          <w:color w:val="000000" w:themeColor="text1"/>
          <w:sz w:val="24"/>
          <w:szCs w:val="24"/>
        </w:rPr>
        <w:t>The Department of Justice, Bureau of J</w:t>
      </w:r>
      <w:r w:rsidR="003255E3">
        <w:rPr>
          <w:rFonts w:ascii="Times New Roman" w:hAnsi="Times New Roman" w:cs="Times New Roman"/>
          <w:color w:val="000000" w:themeColor="text1"/>
          <w:sz w:val="24"/>
          <w:szCs w:val="24"/>
        </w:rPr>
        <w:t xml:space="preserve">ustice Assistance, utilizes FBI UCR Program </w:t>
      </w:r>
      <w:r w:rsidRPr="0065486C">
        <w:rPr>
          <w:rFonts w:ascii="Times New Roman" w:hAnsi="Times New Roman" w:cs="Times New Roman"/>
          <w:color w:val="000000" w:themeColor="text1"/>
          <w:sz w:val="24"/>
          <w:szCs w:val="24"/>
        </w:rPr>
        <w:t>data</w:t>
      </w:r>
      <w:r w:rsidR="003255E3">
        <w:rPr>
          <w:rFonts w:ascii="Times New Roman" w:hAnsi="Times New Roman" w:cs="Times New Roman"/>
          <w:color w:val="000000" w:themeColor="text1"/>
          <w:sz w:val="24"/>
          <w:szCs w:val="24"/>
        </w:rPr>
        <w:t xml:space="preserve"> to determine</w:t>
      </w:r>
      <w:r w:rsidRPr="0065486C">
        <w:rPr>
          <w:rFonts w:ascii="Times New Roman" w:hAnsi="Times New Roman" w:cs="Times New Roman"/>
          <w:color w:val="000000" w:themeColor="text1"/>
          <w:sz w:val="24"/>
          <w:szCs w:val="24"/>
        </w:rPr>
        <w:t xml:space="preserve"> local law enforcement formula grant</w:t>
      </w:r>
      <w:r w:rsidR="003255E3">
        <w:rPr>
          <w:rFonts w:ascii="Times New Roman" w:hAnsi="Times New Roman" w:cs="Times New Roman"/>
          <w:color w:val="000000" w:themeColor="text1"/>
          <w:sz w:val="24"/>
          <w:szCs w:val="24"/>
        </w:rPr>
        <w:t xml:space="preserve"> recipient</w:t>
      </w:r>
      <w:r w:rsidRPr="0065486C">
        <w:rPr>
          <w:rFonts w:ascii="Times New Roman" w:hAnsi="Times New Roman" w:cs="Times New Roman"/>
          <w:color w:val="000000" w:themeColor="text1"/>
          <w:sz w:val="24"/>
          <w:szCs w:val="24"/>
        </w:rPr>
        <w:t>s.</w:t>
      </w:r>
    </w:p>
    <w:p w:rsidRPr="0065486C" w:rsidR="00204D4A" w:rsidP="006612A8" w:rsidRDefault="00204D4A" w14:paraId="049F31CB" w14:textId="77777777">
      <w:pPr>
        <w:pStyle w:val="ListParagraph"/>
        <w:tabs>
          <w:tab w:val="left" w:pos="1170"/>
        </w:tabs>
        <w:spacing w:after="0" w:line="240" w:lineRule="auto"/>
        <w:ind w:left="1440"/>
        <w:rPr>
          <w:rFonts w:ascii="Times New Roman" w:hAnsi="Times New Roman" w:cs="Times New Roman"/>
          <w:color w:val="000000" w:themeColor="text1"/>
          <w:sz w:val="24"/>
          <w:szCs w:val="24"/>
        </w:rPr>
      </w:pPr>
    </w:p>
    <w:p w:rsidRPr="0065486C" w:rsidR="00762D0F" w:rsidP="006612A8" w:rsidRDefault="003255E3" w14:paraId="14779583" w14:textId="77777777">
      <w:pPr>
        <w:pStyle w:val="ListParagraph"/>
        <w:numPr>
          <w:ilvl w:val="0"/>
          <w:numId w:val="10"/>
        </w:numPr>
        <w:tabs>
          <w:tab w:val="left" w:pos="1170"/>
        </w:tabs>
        <w:spacing w:after="0" w:line="240" w:lineRule="auto"/>
        <w:ind w:left="144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S</w:t>
      </w:r>
      <w:r w:rsidRPr="0065486C" w:rsidR="00762D0F">
        <w:rPr>
          <w:rFonts w:ascii="Times New Roman" w:hAnsi="Times New Roman" w:cs="Times New Roman"/>
          <w:color w:val="000000" w:themeColor="text1"/>
          <w:sz w:val="24"/>
          <w:szCs w:val="24"/>
        </w:rPr>
        <w:t>tudies among neighboring jurisdictions and those with similar characteristics and population demographics</w:t>
      </w:r>
      <w:r>
        <w:rPr>
          <w:rFonts w:ascii="Times New Roman" w:hAnsi="Times New Roman" w:cs="Times New Roman"/>
          <w:color w:val="000000" w:themeColor="text1"/>
          <w:sz w:val="24"/>
          <w:szCs w:val="24"/>
        </w:rPr>
        <w:t xml:space="preserve"> have been conducted</w:t>
      </w:r>
      <w:r w:rsidRPr="0065486C" w:rsidR="00762D0F">
        <w:rPr>
          <w:rFonts w:ascii="Times New Roman" w:hAnsi="Times New Roman" w:cs="Times New Roman"/>
          <w:color w:val="000000" w:themeColor="text1"/>
          <w:sz w:val="24"/>
          <w:szCs w:val="24"/>
        </w:rPr>
        <w:t>.</w:t>
      </w:r>
    </w:p>
    <w:p w:rsidRPr="00AF1C14" w:rsidR="00762D0F" w:rsidP="006612A8" w:rsidRDefault="00762D0F" w14:paraId="53128261" w14:textId="77777777">
      <w:pPr>
        <w:pStyle w:val="ListParagraph"/>
        <w:tabs>
          <w:tab w:val="left" w:pos="1170"/>
        </w:tabs>
        <w:spacing w:after="0" w:line="240" w:lineRule="auto"/>
        <w:ind w:left="1440"/>
        <w:rPr>
          <w:rFonts w:ascii="Times New Roman" w:hAnsi="Times New Roman" w:cs="Times New Roman"/>
          <w:color w:val="000000" w:themeColor="text1"/>
          <w:sz w:val="24"/>
          <w:szCs w:val="24"/>
        </w:rPr>
      </w:pPr>
    </w:p>
    <w:p w:rsidRPr="00AF1C14" w:rsidR="00BD3B35" w:rsidP="006612A8" w:rsidRDefault="00762D0F" w14:paraId="335847E3" w14:textId="77777777">
      <w:pPr>
        <w:pStyle w:val="ListParagraph"/>
        <w:numPr>
          <w:ilvl w:val="0"/>
          <w:numId w:val="10"/>
        </w:numPr>
        <w:tabs>
          <w:tab w:val="left" w:pos="1170"/>
        </w:tabs>
        <w:spacing w:after="0" w:line="240" w:lineRule="auto"/>
        <w:ind w:left="1440"/>
        <w:rPr>
          <w:rFonts w:ascii="Times New Roman" w:hAnsi="Times New Roman" w:cs="Times New Roman"/>
          <w:color w:val="000000" w:themeColor="text1"/>
          <w:sz w:val="24"/>
          <w:szCs w:val="24"/>
        </w:rPr>
      </w:pPr>
      <w:r w:rsidRPr="00AF1C14">
        <w:rPr>
          <w:rFonts w:ascii="Times New Roman" w:hAnsi="Times New Roman" w:cs="Times New Roman"/>
          <w:color w:val="000000" w:themeColor="text1"/>
          <w:sz w:val="24"/>
          <w:szCs w:val="24"/>
        </w:rPr>
        <w:t>Annual FBI UCR Program data are provided to the Inter-University Consortium for Political and Social Research (ICPSR).  This central repository serves as a sing</w:t>
      </w:r>
      <w:r w:rsidR="0052631A">
        <w:rPr>
          <w:rFonts w:ascii="Times New Roman" w:hAnsi="Times New Roman" w:cs="Times New Roman"/>
          <w:color w:val="000000" w:themeColor="text1"/>
          <w:sz w:val="24"/>
          <w:szCs w:val="24"/>
        </w:rPr>
        <w:t xml:space="preserve">le facility from which colleges and </w:t>
      </w:r>
      <w:r w:rsidRPr="00AF1C14">
        <w:rPr>
          <w:rFonts w:ascii="Times New Roman" w:hAnsi="Times New Roman" w:cs="Times New Roman"/>
          <w:color w:val="000000" w:themeColor="text1"/>
          <w:sz w:val="24"/>
          <w:szCs w:val="24"/>
        </w:rPr>
        <w:t>universities can obtain social science data.  The ICPSR website currently stores 2</w:t>
      </w:r>
      <w:r w:rsidRPr="00AF1C14" w:rsidR="00AF1C14">
        <w:rPr>
          <w:rFonts w:ascii="Times New Roman" w:hAnsi="Times New Roman" w:cs="Times New Roman"/>
          <w:color w:val="000000" w:themeColor="text1"/>
          <w:sz w:val="24"/>
          <w:szCs w:val="24"/>
        </w:rPr>
        <w:t>6</w:t>
      </w:r>
      <w:r w:rsidRPr="00AF1C14">
        <w:rPr>
          <w:rFonts w:ascii="Times New Roman" w:hAnsi="Times New Roman" w:cs="Times New Roman"/>
          <w:color w:val="000000" w:themeColor="text1"/>
          <w:sz w:val="24"/>
          <w:szCs w:val="24"/>
        </w:rPr>
        <w:t xml:space="preserve"> years of NIBRS data.  </w:t>
      </w:r>
    </w:p>
    <w:p w:rsidRPr="00AF1C14" w:rsidR="00B432DF" w:rsidP="006612A8" w:rsidRDefault="00B432DF" w14:paraId="62486C05" w14:textId="77777777">
      <w:pPr>
        <w:tabs>
          <w:tab w:val="left" w:pos="1170"/>
        </w:tabs>
        <w:spacing w:after="0" w:line="240" w:lineRule="auto"/>
        <w:ind w:left="1440"/>
        <w:contextualSpacing/>
        <w:rPr>
          <w:rFonts w:ascii="Times New Roman" w:hAnsi="Times New Roman" w:cs="Times New Roman"/>
          <w:color w:val="000000" w:themeColor="text1"/>
          <w:sz w:val="24"/>
          <w:szCs w:val="24"/>
        </w:rPr>
      </w:pPr>
    </w:p>
    <w:p w:rsidRPr="00AF1C14" w:rsidR="00B432DF" w:rsidP="006612A8" w:rsidRDefault="008C69A7" w14:paraId="6844EDA8" w14:textId="77777777">
      <w:pPr>
        <w:tabs>
          <w:tab w:val="left" w:pos="1170"/>
        </w:tabs>
        <w:spacing w:after="0" w:line="240" w:lineRule="auto"/>
        <w:ind w:left="720"/>
        <w:contextualSpacing/>
        <w:rPr>
          <w:rFonts w:ascii="Times New Roman" w:hAnsi="Times New Roman" w:cs="Times New Roman"/>
          <w:color w:val="000000" w:themeColor="text1"/>
          <w:sz w:val="24"/>
          <w:szCs w:val="24"/>
        </w:rPr>
      </w:pPr>
      <w:r w:rsidRPr="00AF1C14">
        <w:rPr>
          <w:rFonts w:ascii="Times New Roman" w:hAnsi="Times New Roman" w:cs="Times New Roman"/>
          <w:color w:val="000000" w:themeColor="text1"/>
          <w:sz w:val="24"/>
          <w:szCs w:val="24"/>
        </w:rPr>
        <w:t xml:space="preserve">NIBRS will enhance the quantity, quality, and timeliness of crime data collected by the law enforcement community.  </w:t>
      </w:r>
      <w:r w:rsidRPr="00AF1C14" w:rsidR="00E661DC">
        <w:rPr>
          <w:rFonts w:ascii="Times New Roman" w:hAnsi="Times New Roman" w:cs="Times New Roman"/>
          <w:color w:val="000000" w:themeColor="text1"/>
          <w:sz w:val="24"/>
          <w:szCs w:val="24"/>
        </w:rPr>
        <w:t>The wealth of information available from NIBRS will allow stakeholders (i.e., law enforcement executives, government and community leaders, academia, the media, data analysts, and the public at large) to measure the effectiveness of law enforcement programs and initiatives and develop effective, proactive strategies for reducing any existing crime problems.  Finally, having a more accurate and robust picture of the crime situation in an area will allow for more efficient resource allocation and maximize public safety.</w:t>
      </w:r>
    </w:p>
    <w:p w:rsidR="00FC6E82" w:rsidP="00FC6E82" w:rsidRDefault="00FC6E82" w14:paraId="4101652C" w14:textId="77777777">
      <w:pPr>
        <w:spacing w:after="0" w:line="240" w:lineRule="auto"/>
        <w:rPr>
          <w:rFonts w:ascii="Times New Roman" w:hAnsi="Times New Roman" w:cs="Times New Roman"/>
          <w:color w:val="000000" w:themeColor="text1"/>
          <w:sz w:val="24"/>
          <w:szCs w:val="24"/>
        </w:rPr>
      </w:pPr>
    </w:p>
    <w:p w:rsidR="00B068E6" w:rsidP="00FC6E82" w:rsidRDefault="00B068E6" w14:paraId="4B99056E" w14:textId="77777777">
      <w:pPr>
        <w:spacing w:after="0" w:line="240" w:lineRule="auto"/>
        <w:rPr>
          <w:rFonts w:ascii="Times New Roman" w:hAnsi="Times New Roman" w:cs="Times New Roman"/>
          <w:color w:val="000000" w:themeColor="text1"/>
          <w:sz w:val="24"/>
          <w:szCs w:val="24"/>
        </w:rPr>
      </w:pPr>
    </w:p>
    <w:p w:rsidRPr="0065486C" w:rsidR="008A4F53" w:rsidP="00FC6E82" w:rsidRDefault="008A4F53" w14:paraId="619CB05F" w14:textId="77777777">
      <w:pPr>
        <w:pStyle w:val="ListParagraph"/>
        <w:numPr>
          <w:ilvl w:val="0"/>
          <w:numId w:val="4"/>
        </w:numPr>
        <w:spacing w:after="0" w:line="240" w:lineRule="auto"/>
        <w:rPr>
          <w:rFonts w:ascii="Times New Roman" w:hAnsi="Times New Roman" w:cs="Times New Roman"/>
          <w:color w:val="000000" w:themeColor="text1"/>
          <w:sz w:val="24"/>
          <w:szCs w:val="24"/>
        </w:rPr>
      </w:pPr>
      <w:r w:rsidRPr="0065486C">
        <w:rPr>
          <w:rFonts w:ascii="Times New Roman" w:hAnsi="Times New Roman" w:cs="Times New Roman"/>
          <w:color w:val="000000" w:themeColor="text1"/>
          <w:sz w:val="24"/>
          <w:szCs w:val="24"/>
          <w:u w:val="single"/>
        </w:rPr>
        <w:t>Use of Information Technology</w:t>
      </w:r>
    </w:p>
    <w:p w:rsidRPr="0065486C" w:rsidR="008A4F53" w:rsidP="00FC6E82" w:rsidRDefault="008A4F53" w14:paraId="1299C43A" w14:textId="77777777">
      <w:pPr>
        <w:pStyle w:val="ListParagraph"/>
        <w:spacing w:after="0" w:line="240" w:lineRule="auto"/>
        <w:rPr>
          <w:rFonts w:ascii="Times New Roman" w:hAnsi="Times New Roman" w:cs="Times New Roman"/>
          <w:color w:val="000000" w:themeColor="text1"/>
          <w:sz w:val="24"/>
          <w:szCs w:val="24"/>
          <w:u w:val="single"/>
        </w:rPr>
      </w:pPr>
    </w:p>
    <w:p w:rsidRPr="005F116A" w:rsidR="00B432DF" w:rsidP="00FC6E82" w:rsidRDefault="00856BF5" w14:paraId="175BFF69" w14:textId="77777777">
      <w:pPr>
        <w:spacing w:after="0" w:line="240" w:lineRule="auto"/>
        <w:ind w:left="720"/>
        <w:contextualSpacing/>
        <w:rPr>
          <w:rFonts w:ascii="Times New Roman" w:hAnsi="Times New Roman" w:cs="Times New Roman"/>
          <w:color w:val="000000" w:themeColor="text1"/>
          <w:sz w:val="24"/>
          <w:szCs w:val="24"/>
        </w:rPr>
      </w:pPr>
      <w:r w:rsidRPr="0065486C">
        <w:rPr>
          <w:rFonts w:ascii="Times New Roman" w:hAnsi="Times New Roman" w:cs="Times New Roman"/>
          <w:color w:val="000000" w:themeColor="text1"/>
          <w:sz w:val="24"/>
          <w:szCs w:val="24"/>
        </w:rPr>
        <w:t>Participation in the FBI UCR Program is voluntary.  Crime data collection begins at the local agency level when law enforcement officers submit administrative and operational data to their record management personnel from hard</w:t>
      </w:r>
      <w:r w:rsidR="00421817">
        <w:rPr>
          <w:rFonts w:ascii="Times New Roman" w:hAnsi="Times New Roman" w:cs="Times New Roman"/>
          <w:color w:val="000000" w:themeColor="text1"/>
          <w:sz w:val="24"/>
          <w:szCs w:val="24"/>
        </w:rPr>
        <w:t xml:space="preserve"> </w:t>
      </w:r>
      <w:r w:rsidRPr="0065486C">
        <w:rPr>
          <w:rFonts w:ascii="Times New Roman" w:hAnsi="Times New Roman" w:cs="Times New Roman"/>
          <w:color w:val="000000" w:themeColor="text1"/>
          <w:sz w:val="24"/>
          <w:szCs w:val="24"/>
        </w:rPr>
        <w:t>copy or electronic incident reports.</w:t>
      </w:r>
      <w:r w:rsidRPr="0065486C" w:rsidR="00B432DF">
        <w:rPr>
          <w:rFonts w:ascii="Times New Roman" w:hAnsi="Times New Roman" w:cs="Times New Roman"/>
          <w:color w:val="000000" w:themeColor="text1"/>
          <w:sz w:val="24"/>
          <w:szCs w:val="24"/>
        </w:rPr>
        <w:t xml:space="preserve">  </w:t>
      </w:r>
      <w:r w:rsidR="004C191E">
        <w:rPr>
          <w:rFonts w:ascii="Times New Roman" w:hAnsi="Times New Roman" w:cs="Times New Roman"/>
          <w:color w:val="000000" w:themeColor="text1"/>
          <w:sz w:val="24"/>
          <w:szCs w:val="24"/>
        </w:rPr>
        <w:t>Local agencies’</w:t>
      </w:r>
      <w:r w:rsidRPr="005F116A">
        <w:rPr>
          <w:rFonts w:ascii="Times New Roman" w:hAnsi="Times New Roman" w:cs="Times New Roman"/>
          <w:color w:val="000000" w:themeColor="text1"/>
          <w:sz w:val="24"/>
          <w:szCs w:val="24"/>
        </w:rPr>
        <w:t xml:space="preserve"> record managers then compile the crime data and submit the information to their state UCR programs (if applicable).  </w:t>
      </w:r>
    </w:p>
    <w:p w:rsidRPr="005F116A" w:rsidR="00B432DF" w:rsidP="00FC6E82" w:rsidRDefault="00B432DF" w14:paraId="4DDBEF00" w14:textId="77777777">
      <w:pPr>
        <w:spacing w:after="0" w:line="240" w:lineRule="auto"/>
        <w:ind w:left="720"/>
        <w:contextualSpacing/>
        <w:rPr>
          <w:rFonts w:ascii="Times New Roman" w:hAnsi="Times New Roman" w:cs="Times New Roman"/>
          <w:color w:val="000000" w:themeColor="text1"/>
          <w:sz w:val="24"/>
          <w:szCs w:val="24"/>
        </w:rPr>
      </w:pPr>
    </w:p>
    <w:p w:rsidRPr="005F116A" w:rsidR="00856BF5" w:rsidP="00FC6E82" w:rsidRDefault="00B432DF" w14:paraId="61265C46" w14:textId="77777777">
      <w:pPr>
        <w:spacing w:after="0" w:line="240" w:lineRule="auto"/>
        <w:ind w:left="720"/>
        <w:contextualSpacing/>
        <w:rPr>
          <w:rFonts w:ascii="Times New Roman" w:hAnsi="Times New Roman" w:cs="Times New Roman"/>
          <w:color w:val="000000" w:themeColor="text1"/>
          <w:sz w:val="24"/>
          <w:szCs w:val="24"/>
        </w:rPr>
      </w:pPr>
      <w:r w:rsidRPr="005F116A">
        <w:rPr>
          <w:rFonts w:ascii="Times New Roman" w:hAnsi="Times New Roman" w:cs="Times New Roman"/>
          <w:color w:val="000000" w:themeColor="text1"/>
          <w:sz w:val="24"/>
          <w:szCs w:val="24"/>
        </w:rPr>
        <w:t>Forty-</w:t>
      </w:r>
      <w:r w:rsidR="0039146A">
        <w:rPr>
          <w:rFonts w:ascii="Times New Roman" w:hAnsi="Times New Roman" w:cs="Times New Roman"/>
          <w:color w:val="000000" w:themeColor="text1"/>
          <w:sz w:val="24"/>
          <w:szCs w:val="24"/>
        </w:rPr>
        <w:t>nine</w:t>
      </w:r>
      <w:r w:rsidRPr="005F116A">
        <w:rPr>
          <w:rFonts w:ascii="Times New Roman" w:hAnsi="Times New Roman" w:cs="Times New Roman"/>
          <w:color w:val="000000" w:themeColor="text1"/>
          <w:sz w:val="24"/>
          <w:szCs w:val="24"/>
        </w:rPr>
        <w:t xml:space="preserve"> states have their own UCR programs which streamline the collection of data from local LEAs, ensure consistency and comparability of data, and provide a higher quality of service to the law enforcement community.  </w:t>
      </w:r>
      <w:r w:rsidRPr="005F116A" w:rsidR="00856BF5">
        <w:rPr>
          <w:rFonts w:ascii="Times New Roman" w:hAnsi="Times New Roman" w:cs="Times New Roman"/>
          <w:color w:val="000000" w:themeColor="text1"/>
          <w:sz w:val="24"/>
          <w:szCs w:val="24"/>
        </w:rPr>
        <w:t xml:space="preserve">Many state UCR programs have a </w:t>
      </w:r>
      <w:r w:rsidRPr="005F116A" w:rsidR="00856BF5">
        <w:rPr>
          <w:rFonts w:ascii="Times New Roman" w:hAnsi="Times New Roman" w:cs="Times New Roman"/>
          <w:color w:val="000000" w:themeColor="text1"/>
          <w:sz w:val="24"/>
          <w:szCs w:val="24"/>
        </w:rPr>
        <w:lastRenderedPageBreak/>
        <w:t>centralized repository and have established electronic communications with LEAs throughout their state, as well as the FBI UCR Program.  This allows for information technology interaction within the required electronic data submission formats.</w:t>
      </w:r>
    </w:p>
    <w:p w:rsidRPr="005F116A" w:rsidR="00856BF5" w:rsidP="00FC6E82" w:rsidRDefault="00856BF5" w14:paraId="3461D779" w14:textId="77777777">
      <w:pPr>
        <w:spacing w:after="0" w:line="240" w:lineRule="auto"/>
        <w:ind w:left="360"/>
        <w:contextualSpacing/>
        <w:rPr>
          <w:rFonts w:ascii="Times New Roman" w:hAnsi="Times New Roman" w:cs="Times New Roman"/>
          <w:color w:val="000000" w:themeColor="text1"/>
          <w:sz w:val="24"/>
          <w:szCs w:val="24"/>
        </w:rPr>
      </w:pPr>
    </w:p>
    <w:p w:rsidRPr="005F116A" w:rsidR="00C4335E" w:rsidP="00FC6E82" w:rsidRDefault="00C4335E" w14:paraId="6A7B8BC9" w14:textId="77777777">
      <w:pPr>
        <w:pStyle w:val="ListParagraph"/>
        <w:spacing w:after="0" w:line="240" w:lineRule="auto"/>
        <w:rPr>
          <w:rFonts w:ascii="Times New Roman" w:hAnsi="Times New Roman" w:cs="Times New Roman"/>
          <w:color w:val="000000" w:themeColor="text1"/>
          <w:sz w:val="24"/>
          <w:szCs w:val="24"/>
        </w:rPr>
      </w:pPr>
      <w:r w:rsidRPr="005F116A">
        <w:rPr>
          <w:rFonts w:ascii="Times New Roman" w:hAnsi="Times New Roman" w:cs="Times New Roman"/>
          <w:color w:val="000000" w:themeColor="text1"/>
          <w:sz w:val="24"/>
          <w:szCs w:val="24"/>
        </w:rPr>
        <w:t>Federal, tribal, and territorial agencies may also institute UCR programs following the guidelines shown below.</w:t>
      </w:r>
    </w:p>
    <w:p w:rsidRPr="0065486C" w:rsidR="00C4335E" w:rsidP="00FC6E82" w:rsidRDefault="00C4335E" w14:paraId="3CF2D8B6" w14:textId="77777777">
      <w:pPr>
        <w:pStyle w:val="ListParagraph"/>
        <w:spacing w:after="0" w:line="240" w:lineRule="auto"/>
        <w:rPr>
          <w:rFonts w:ascii="Times New Roman" w:hAnsi="Times New Roman" w:cs="Times New Roman"/>
          <w:color w:val="000000" w:themeColor="text1"/>
          <w:sz w:val="24"/>
          <w:szCs w:val="24"/>
        </w:rPr>
      </w:pPr>
    </w:p>
    <w:p w:rsidRPr="0065486C" w:rsidR="00C4335E" w:rsidP="00FC6E82" w:rsidRDefault="00C4335E" w14:paraId="3796DDAA" w14:textId="77777777">
      <w:pPr>
        <w:numPr>
          <w:ilvl w:val="0"/>
          <w:numId w:val="8"/>
        </w:numPr>
        <w:tabs>
          <w:tab w:val="left" w:pos="-1159"/>
          <w:tab w:val="left" w:pos="-720"/>
          <w:tab w:val="left" w:pos="0"/>
          <w:tab w:val="left" w:pos="720"/>
          <w:tab w:val="left" w:pos="12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spacing w:after="0" w:line="240" w:lineRule="auto"/>
        <w:ind w:left="1440"/>
        <w:contextualSpacing/>
        <w:rPr>
          <w:rFonts w:ascii="Times New Roman" w:hAnsi="Times New Roman" w:cs="Times New Roman"/>
          <w:color w:val="000000" w:themeColor="text1"/>
          <w:sz w:val="24"/>
          <w:szCs w:val="24"/>
        </w:rPr>
      </w:pPr>
      <w:r w:rsidRPr="0065486C">
        <w:rPr>
          <w:rFonts w:ascii="Times New Roman" w:hAnsi="Times New Roman" w:cs="Times New Roman"/>
          <w:color w:val="000000" w:themeColor="text1"/>
          <w:sz w:val="24"/>
          <w:szCs w:val="24"/>
        </w:rPr>
        <w:t xml:space="preserve">   The state UCR program must conform to the </w:t>
      </w:r>
      <w:r w:rsidRPr="0065486C" w:rsidR="006F71CB">
        <w:rPr>
          <w:rFonts w:ascii="Times New Roman" w:hAnsi="Times New Roman" w:cs="Times New Roman"/>
          <w:color w:val="000000" w:themeColor="text1"/>
          <w:sz w:val="24"/>
          <w:szCs w:val="24"/>
        </w:rPr>
        <w:t>FBI</w:t>
      </w:r>
      <w:r w:rsidRPr="0065486C">
        <w:rPr>
          <w:rFonts w:ascii="Times New Roman" w:hAnsi="Times New Roman" w:cs="Times New Roman"/>
          <w:color w:val="000000" w:themeColor="text1"/>
          <w:sz w:val="24"/>
          <w:szCs w:val="24"/>
        </w:rPr>
        <w:t xml:space="preserve"> UCR Program’s submission standards, definitions, specifications, and required deadlines.</w:t>
      </w:r>
    </w:p>
    <w:p w:rsidRPr="0065486C" w:rsidR="00C4335E" w:rsidP="00FC6E82" w:rsidRDefault="00C4335E" w14:paraId="0FB78278" w14:textId="77777777">
      <w:pPr>
        <w:tabs>
          <w:tab w:val="left" w:pos="-1159"/>
          <w:tab w:val="left" w:pos="-720"/>
          <w:tab w:val="left" w:pos="0"/>
          <w:tab w:val="left" w:pos="720"/>
          <w:tab w:val="left" w:pos="12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spacing w:after="0" w:line="240" w:lineRule="auto"/>
        <w:ind w:left="1440"/>
        <w:contextualSpacing/>
        <w:rPr>
          <w:rFonts w:ascii="Times New Roman" w:hAnsi="Times New Roman" w:cs="Times New Roman"/>
          <w:color w:val="000000" w:themeColor="text1"/>
          <w:sz w:val="24"/>
          <w:szCs w:val="24"/>
        </w:rPr>
      </w:pPr>
    </w:p>
    <w:p w:rsidRPr="0065486C" w:rsidR="006F71CB" w:rsidP="00FC6E82" w:rsidRDefault="00C4335E" w14:paraId="11B73453" w14:textId="77777777">
      <w:pPr>
        <w:numPr>
          <w:ilvl w:val="0"/>
          <w:numId w:val="8"/>
        </w:numPr>
        <w:tabs>
          <w:tab w:val="left" w:pos="-1159"/>
          <w:tab w:val="left" w:pos="-720"/>
          <w:tab w:val="left" w:pos="0"/>
          <w:tab w:val="left" w:pos="720"/>
          <w:tab w:val="left" w:pos="12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spacing w:after="0" w:line="240" w:lineRule="auto"/>
        <w:ind w:left="1440"/>
        <w:contextualSpacing/>
        <w:rPr>
          <w:rFonts w:ascii="Times New Roman" w:hAnsi="Times New Roman" w:cs="Times New Roman"/>
          <w:color w:val="000000" w:themeColor="text1"/>
          <w:sz w:val="24"/>
          <w:szCs w:val="24"/>
        </w:rPr>
      </w:pPr>
      <w:r w:rsidRPr="0065486C">
        <w:rPr>
          <w:rFonts w:ascii="Times New Roman" w:hAnsi="Times New Roman" w:cs="Times New Roman"/>
          <w:color w:val="000000" w:themeColor="text1"/>
          <w:sz w:val="24"/>
          <w:szCs w:val="24"/>
        </w:rPr>
        <w:t xml:space="preserve">   The state UCR program must </w:t>
      </w:r>
      <w:r w:rsidRPr="0065486C" w:rsidR="006F71CB">
        <w:rPr>
          <w:rFonts w:ascii="Times New Roman" w:hAnsi="Times New Roman" w:cs="Times New Roman"/>
          <w:color w:val="000000" w:themeColor="text1"/>
          <w:sz w:val="24"/>
          <w:szCs w:val="24"/>
        </w:rPr>
        <w:t xml:space="preserve">assign personnel to assist contributing agencies and establish crime reporting, </w:t>
      </w:r>
      <w:r w:rsidRPr="0065486C">
        <w:rPr>
          <w:rFonts w:ascii="Times New Roman" w:hAnsi="Times New Roman" w:cs="Times New Roman"/>
          <w:color w:val="000000" w:themeColor="text1"/>
          <w:sz w:val="24"/>
          <w:szCs w:val="24"/>
        </w:rPr>
        <w:t>data integrity</w:t>
      </w:r>
      <w:r w:rsidRPr="0065486C" w:rsidR="006F71CB">
        <w:rPr>
          <w:rFonts w:ascii="Times New Roman" w:hAnsi="Times New Roman" w:cs="Times New Roman"/>
          <w:color w:val="000000" w:themeColor="text1"/>
          <w:sz w:val="24"/>
          <w:szCs w:val="24"/>
        </w:rPr>
        <w:t xml:space="preserve">, and quality assurance procedures.  </w:t>
      </w:r>
    </w:p>
    <w:p w:rsidRPr="0065486C" w:rsidR="00C4335E" w:rsidP="00FC6E82" w:rsidRDefault="00C4335E" w14:paraId="1FC39945" w14:textId="77777777">
      <w:pPr>
        <w:tabs>
          <w:tab w:val="left" w:pos="-1159"/>
          <w:tab w:val="left" w:pos="-720"/>
          <w:tab w:val="left" w:pos="0"/>
          <w:tab w:val="left" w:pos="720"/>
          <w:tab w:val="left" w:pos="12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spacing w:after="0" w:line="240" w:lineRule="auto"/>
        <w:ind w:left="1440"/>
        <w:contextualSpacing/>
        <w:rPr>
          <w:rFonts w:ascii="Times New Roman" w:hAnsi="Times New Roman" w:cs="Times New Roman"/>
          <w:color w:val="000000" w:themeColor="text1"/>
          <w:sz w:val="24"/>
          <w:szCs w:val="24"/>
        </w:rPr>
      </w:pPr>
    </w:p>
    <w:p w:rsidRPr="0065486C" w:rsidR="00C4335E" w:rsidP="00FC6E82" w:rsidRDefault="00C4335E" w14:paraId="3E3996FD" w14:textId="77777777">
      <w:pPr>
        <w:numPr>
          <w:ilvl w:val="0"/>
          <w:numId w:val="8"/>
        </w:numPr>
        <w:tabs>
          <w:tab w:val="left" w:pos="-1159"/>
          <w:tab w:val="left" w:pos="-720"/>
          <w:tab w:val="left" w:pos="0"/>
          <w:tab w:val="left" w:pos="720"/>
          <w:tab w:val="left" w:pos="12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spacing w:after="0" w:line="240" w:lineRule="auto"/>
        <w:ind w:left="1440"/>
        <w:contextualSpacing/>
        <w:rPr>
          <w:rFonts w:ascii="Times New Roman" w:hAnsi="Times New Roman" w:cs="Times New Roman"/>
          <w:color w:val="000000" w:themeColor="text1"/>
          <w:sz w:val="24"/>
          <w:szCs w:val="24"/>
        </w:rPr>
      </w:pPr>
      <w:r w:rsidRPr="0065486C">
        <w:rPr>
          <w:rFonts w:ascii="Times New Roman" w:hAnsi="Times New Roman" w:cs="Times New Roman"/>
          <w:color w:val="000000" w:themeColor="text1"/>
          <w:sz w:val="24"/>
          <w:szCs w:val="24"/>
        </w:rPr>
        <w:t xml:space="preserve">   The state UCR program’s submissions must cover more than 50 percent of the LEAs within its established reporting domain</w:t>
      </w:r>
      <w:r w:rsidRPr="0065486C" w:rsidR="00BE213F">
        <w:rPr>
          <w:rFonts w:ascii="Times New Roman" w:hAnsi="Times New Roman" w:cs="Times New Roman"/>
          <w:color w:val="000000" w:themeColor="text1"/>
          <w:sz w:val="24"/>
          <w:szCs w:val="24"/>
        </w:rPr>
        <w:t xml:space="preserve">.  In addition, the entity must be willing to cover any and all agencies within the domain that want to contribute data to the FBI UCR Program (i.e., be </w:t>
      </w:r>
      <w:r w:rsidRPr="0065486C">
        <w:rPr>
          <w:rFonts w:ascii="Times New Roman" w:hAnsi="Times New Roman" w:cs="Times New Roman"/>
          <w:color w:val="000000" w:themeColor="text1"/>
          <w:sz w:val="24"/>
          <w:szCs w:val="24"/>
        </w:rPr>
        <w:t>willing to report for all of the agencies within the state).</w:t>
      </w:r>
    </w:p>
    <w:p w:rsidRPr="0065486C" w:rsidR="00BE213F" w:rsidP="00FC6E82" w:rsidRDefault="00BE213F" w14:paraId="0562CB0E" w14:textId="77777777">
      <w:pPr>
        <w:pStyle w:val="ListParagraph"/>
        <w:spacing w:after="0" w:line="240" w:lineRule="auto"/>
        <w:rPr>
          <w:rFonts w:ascii="Times New Roman" w:hAnsi="Times New Roman" w:cs="Times New Roman"/>
          <w:color w:val="000000" w:themeColor="text1"/>
          <w:sz w:val="24"/>
          <w:szCs w:val="24"/>
        </w:rPr>
      </w:pPr>
    </w:p>
    <w:p w:rsidRPr="0065486C" w:rsidR="00C4335E" w:rsidP="00FC6E82" w:rsidRDefault="00C4335E" w14:paraId="1C2D6C71" w14:textId="77777777">
      <w:pPr>
        <w:pStyle w:val="ListParagraph"/>
        <w:numPr>
          <w:ilvl w:val="0"/>
          <w:numId w:val="8"/>
        </w:numPr>
        <w:tabs>
          <w:tab w:val="left" w:pos="-1159"/>
          <w:tab w:val="left" w:pos="-720"/>
          <w:tab w:val="left" w:pos="0"/>
          <w:tab w:val="left" w:pos="720"/>
          <w:tab w:val="left" w:pos="19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spacing w:after="0" w:line="240" w:lineRule="auto"/>
        <w:ind w:left="1440"/>
        <w:rPr>
          <w:rFonts w:ascii="Times New Roman" w:hAnsi="Times New Roman" w:cs="Times New Roman"/>
          <w:color w:val="000000" w:themeColor="text1"/>
          <w:sz w:val="24"/>
          <w:szCs w:val="24"/>
        </w:rPr>
      </w:pPr>
      <w:r w:rsidRPr="0065486C">
        <w:rPr>
          <w:rFonts w:ascii="Times New Roman" w:hAnsi="Times New Roman" w:cs="Times New Roman"/>
          <w:color w:val="000000" w:themeColor="text1"/>
          <w:sz w:val="24"/>
          <w:szCs w:val="24"/>
        </w:rPr>
        <w:t xml:space="preserve">The state UCR program must </w:t>
      </w:r>
      <w:r w:rsidRPr="0065486C" w:rsidR="00BE213F">
        <w:rPr>
          <w:rFonts w:ascii="Times New Roman" w:hAnsi="Times New Roman" w:cs="Times New Roman"/>
          <w:color w:val="000000" w:themeColor="text1"/>
          <w:sz w:val="24"/>
          <w:szCs w:val="24"/>
        </w:rPr>
        <w:t xml:space="preserve">submit </w:t>
      </w:r>
      <w:r w:rsidRPr="0065486C">
        <w:rPr>
          <w:rFonts w:ascii="Times New Roman" w:hAnsi="Times New Roman" w:cs="Times New Roman"/>
          <w:color w:val="000000" w:themeColor="text1"/>
          <w:sz w:val="24"/>
          <w:szCs w:val="24"/>
        </w:rPr>
        <w:t>all of the UCR data collected by the LEAs</w:t>
      </w:r>
      <w:r w:rsidRPr="0065486C" w:rsidR="00BE213F">
        <w:rPr>
          <w:rFonts w:ascii="Times New Roman" w:hAnsi="Times New Roman" w:cs="Times New Roman"/>
          <w:color w:val="000000" w:themeColor="text1"/>
          <w:sz w:val="24"/>
          <w:szCs w:val="24"/>
        </w:rPr>
        <w:t xml:space="preserve"> within its </w:t>
      </w:r>
      <w:r w:rsidRPr="0065486C">
        <w:rPr>
          <w:rFonts w:ascii="Times New Roman" w:hAnsi="Times New Roman" w:cs="Times New Roman"/>
          <w:color w:val="000000" w:themeColor="text1"/>
          <w:sz w:val="24"/>
          <w:szCs w:val="24"/>
        </w:rPr>
        <w:t>domain</w:t>
      </w:r>
      <w:r w:rsidRPr="0065486C" w:rsidR="00BE213F">
        <w:rPr>
          <w:rFonts w:ascii="Times New Roman" w:hAnsi="Times New Roman" w:cs="Times New Roman"/>
          <w:color w:val="000000" w:themeColor="text1"/>
          <w:sz w:val="24"/>
          <w:szCs w:val="24"/>
        </w:rPr>
        <w:t xml:space="preserve"> to the FBI UCR Program</w:t>
      </w:r>
      <w:r w:rsidRPr="0065486C">
        <w:rPr>
          <w:rFonts w:ascii="Times New Roman" w:hAnsi="Times New Roman" w:cs="Times New Roman"/>
          <w:color w:val="000000" w:themeColor="text1"/>
          <w:sz w:val="24"/>
          <w:szCs w:val="24"/>
        </w:rPr>
        <w:t>.</w:t>
      </w:r>
      <w:r w:rsidRPr="0065486C">
        <w:rPr>
          <w:rFonts w:ascii="Times New Roman" w:hAnsi="Times New Roman" w:cs="Times New Roman"/>
          <w:color w:val="000000" w:themeColor="text1"/>
          <w:sz w:val="24"/>
          <w:szCs w:val="24"/>
        </w:rPr>
        <w:tab/>
      </w:r>
    </w:p>
    <w:p w:rsidRPr="0065486C" w:rsidR="00856BF5" w:rsidP="00FC6E82" w:rsidRDefault="00856BF5" w14:paraId="34CE0A41" w14:textId="77777777">
      <w:pPr>
        <w:spacing w:after="0" w:line="240" w:lineRule="auto"/>
        <w:ind w:left="360"/>
        <w:contextualSpacing/>
        <w:rPr>
          <w:rFonts w:ascii="Times New Roman" w:hAnsi="Times New Roman" w:cs="Times New Roman"/>
          <w:color w:val="000000" w:themeColor="text1"/>
          <w:sz w:val="24"/>
          <w:szCs w:val="24"/>
        </w:rPr>
      </w:pPr>
    </w:p>
    <w:p w:rsidRPr="0065486C" w:rsidR="00B432DF" w:rsidP="00FC6E82" w:rsidRDefault="00B432DF" w14:paraId="62EBF3C5" w14:textId="77777777">
      <w:pPr>
        <w:pStyle w:val="ListParagraph"/>
        <w:spacing w:after="0" w:line="240" w:lineRule="auto"/>
        <w:rPr>
          <w:rFonts w:ascii="Times New Roman" w:hAnsi="Times New Roman" w:cs="Times New Roman"/>
          <w:color w:val="000000" w:themeColor="text1"/>
          <w:sz w:val="24"/>
          <w:szCs w:val="24"/>
        </w:rPr>
      </w:pPr>
    </w:p>
    <w:p w:rsidRPr="0065486C" w:rsidR="00B432DF" w:rsidP="00FC6E82" w:rsidRDefault="00B432DF" w14:paraId="0F24BEE2" w14:textId="77777777">
      <w:pPr>
        <w:pStyle w:val="ListParagraph"/>
        <w:spacing w:after="0" w:line="240" w:lineRule="auto"/>
        <w:rPr>
          <w:rFonts w:ascii="Times New Roman" w:hAnsi="Times New Roman" w:cs="Times New Roman"/>
          <w:color w:val="000000" w:themeColor="text1"/>
          <w:sz w:val="24"/>
          <w:szCs w:val="24"/>
        </w:rPr>
      </w:pPr>
      <w:r w:rsidRPr="0065486C">
        <w:rPr>
          <w:rFonts w:ascii="Times New Roman" w:hAnsi="Times New Roman" w:cs="Times New Roman"/>
          <w:color w:val="000000" w:themeColor="text1"/>
          <w:sz w:val="24"/>
          <w:szCs w:val="24"/>
        </w:rPr>
        <w:t xml:space="preserve">NIBRS data are designed to be generated as a byproduct of existing incident-based automated record systems.  </w:t>
      </w:r>
      <w:r w:rsidRPr="0065486C" w:rsidR="00BE213F">
        <w:rPr>
          <w:rFonts w:ascii="Times New Roman" w:hAnsi="Times New Roman" w:cs="Times New Roman"/>
          <w:color w:val="000000" w:themeColor="text1"/>
          <w:sz w:val="24"/>
          <w:szCs w:val="24"/>
        </w:rPr>
        <w:t>A</w:t>
      </w:r>
      <w:r w:rsidRPr="0065486C">
        <w:rPr>
          <w:rFonts w:ascii="Times New Roman" w:hAnsi="Times New Roman" w:cs="Times New Roman"/>
          <w:color w:val="000000" w:themeColor="text1"/>
          <w:sz w:val="24"/>
          <w:szCs w:val="24"/>
        </w:rPr>
        <w:t xml:space="preserve">n agency can build its own incident-based reporting (IBR) system to suit its individual needs (i.e., it can have a different file structure than the </w:t>
      </w:r>
      <w:r w:rsidR="00421817">
        <w:rPr>
          <w:rFonts w:ascii="Times New Roman" w:hAnsi="Times New Roman" w:cs="Times New Roman"/>
          <w:color w:val="000000" w:themeColor="text1"/>
          <w:sz w:val="24"/>
          <w:szCs w:val="24"/>
        </w:rPr>
        <w:t>FBI</w:t>
      </w:r>
      <w:r w:rsidRPr="0065486C">
        <w:rPr>
          <w:rFonts w:ascii="Times New Roman" w:hAnsi="Times New Roman" w:cs="Times New Roman"/>
          <w:color w:val="000000" w:themeColor="text1"/>
          <w:sz w:val="24"/>
          <w:szCs w:val="24"/>
        </w:rPr>
        <w:t xml:space="preserve"> UCR Program and include additional data elements and data values).  In preparation for submitting data to the FBI UCR Program, LEAs participating in NIBRS extract only t</w:t>
      </w:r>
      <w:r w:rsidR="00AC7DC4">
        <w:rPr>
          <w:rFonts w:ascii="Times New Roman" w:hAnsi="Times New Roman" w:cs="Times New Roman"/>
          <w:color w:val="000000" w:themeColor="text1"/>
          <w:sz w:val="24"/>
          <w:szCs w:val="24"/>
        </w:rPr>
        <w:t>he data required from the</w:t>
      </w:r>
      <w:r w:rsidRPr="0065486C">
        <w:rPr>
          <w:rFonts w:ascii="Times New Roman" w:hAnsi="Times New Roman" w:cs="Times New Roman"/>
          <w:color w:val="000000" w:themeColor="text1"/>
          <w:sz w:val="24"/>
          <w:szCs w:val="24"/>
        </w:rPr>
        <w:t xml:space="preserve"> IBR system for submission to the FBI.  </w:t>
      </w:r>
    </w:p>
    <w:p w:rsidRPr="0065486C" w:rsidR="00B432DF" w:rsidP="00FC6E82" w:rsidRDefault="00B432DF" w14:paraId="6D98A12B" w14:textId="77777777">
      <w:pPr>
        <w:pStyle w:val="ListParagraph"/>
        <w:spacing w:after="0" w:line="240" w:lineRule="auto"/>
        <w:rPr>
          <w:rFonts w:ascii="Times New Roman" w:hAnsi="Times New Roman" w:cs="Times New Roman"/>
          <w:color w:val="000000" w:themeColor="text1"/>
          <w:sz w:val="24"/>
          <w:szCs w:val="24"/>
        </w:rPr>
      </w:pPr>
    </w:p>
    <w:p w:rsidRPr="0065486C" w:rsidR="00C4335E" w:rsidP="00FC6E82" w:rsidRDefault="00C4335E" w14:paraId="2BE3B8B6" w14:textId="77777777">
      <w:pPr>
        <w:pStyle w:val="ListParagraph"/>
        <w:spacing w:after="0" w:line="240" w:lineRule="auto"/>
        <w:rPr>
          <w:rFonts w:ascii="Times New Roman" w:hAnsi="Times New Roman" w:cs="Times New Roman"/>
          <w:color w:val="000000" w:themeColor="text1"/>
          <w:sz w:val="24"/>
          <w:szCs w:val="24"/>
        </w:rPr>
      </w:pPr>
      <w:r w:rsidRPr="0065486C">
        <w:rPr>
          <w:rFonts w:ascii="Times New Roman" w:hAnsi="Times New Roman" w:cs="Times New Roman"/>
          <w:color w:val="000000" w:themeColor="text1"/>
          <w:sz w:val="24"/>
          <w:szCs w:val="24"/>
        </w:rPr>
        <w:t>All FBI UCR Program participants submit their NIBRS crime data electronically.  The FBI provides two electronic options for submitting NIBRS data:  Extensible Markup Language (XML) and the NIBRS Flat File Data Specification.  The XML interface specification complies with the National Information Exchange Model and Logical Entity</w:t>
      </w:r>
      <w:r w:rsidR="00421817">
        <w:rPr>
          <w:rFonts w:ascii="Times New Roman" w:hAnsi="Times New Roman" w:cs="Times New Roman"/>
          <w:color w:val="000000" w:themeColor="text1"/>
          <w:sz w:val="24"/>
          <w:szCs w:val="24"/>
        </w:rPr>
        <w:t> </w:t>
      </w:r>
      <w:r w:rsidR="00AC7DC4">
        <w:rPr>
          <w:rFonts w:ascii="Times New Roman" w:hAnsi="Times New Roman" w:cs="Times New Roman"/>
          <w:color w:val="000000" w:themeColor="text1"/>
          <w:sz w:val="24"/>
          <w:szCs w:val="24"/>
        </w:rPr>
        <w:t>Exchange Specifications</w:t>
      </w:r>
      <w:r w:rsidRPr="0065486C">
        <w:rPr>
          <w:rFonts w:ascii="Times New Roman" w:hAnsi="Times New Roman" w:cs="Times New Roman"/>
          <w:color w:val="000000" w:themeColor="text1"/>
          <w:sz w:val="24"/>
          <w:szCs w:val="24"/>
        </w:rPr>
        <w:t xml:space="preserve"> which are both data standards for information exchange.  The NIBRS Flat File Data Specification is a position-based format.  These electronic submissions are currently received from state UCR systems and local LEAs via e-mail at ucrstat@leo.gov.  </w:t>
      </w:r>
    </w:p>
    <w:p w:rsidRPr="0065486C" w:rsidR="00856BF5" w:rsidP="00FC6E82" w:rsidRDefault="00856BF5" w14:paraId="2946DB82" w14:textId="77777777">
      <w:pPr>
        <w:spacing w:after="0" w:line="240" w:lineRule="auto"/>
        <w:ind w:left="360"/>
        <w:contextualSpacing/>
        <w:rPr>
          <w:rFonts w:ascii="Times New Roman" w:hAnsi="Times New Roman" w:cs="Times New Roman"/>
          <w:color w:val="000000" w:themeColor="text1"/>
          <w:sz w:val="24"/>
          <w:szCs w:val="24"/>
        </w:rPr>
      </w:pPr>
    </w:p>
    <w:p w:rsidRPr="0065486C" w:rsidR="0065486C" w:rsidP="00FC6E82" w:rsidRDefault="003364F8" w14:paraId="304BCC19" w14:textId="77777777">
      <w:pPr>
        <w:pStyle w:val="ListParagraph"/>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Once </w:t>
      </w:r>
      <w:r w:rsidRPr="0065486C" w:rsidR="00BE213F">
        <w:rPr>
          <w:rFonts w:ascii="Times New Roman" w:hAnsi="Times New Roman" w:cs="Times New Roman"/>
          <w:color w:val="000000" w:themeColor="text1"/>
          <w:sz w:val="24"/>
          <w:szCs w:val="24"/>
        </w:rPr>
        <w:t>NIBRS data are received by</w:t>
      </w:r>
      <w:r w:rsidRPr="0065486C" w:rsidR="00165224">
        <w:rPr>
          <w:rFonts w:ascii="Times New Roman" w:hAnsi="Times New Roman" w:cs="Times New Roman"/>
          <w:color w:val="000000" w:themeColor="text1"/>
          <w:sz w:val="24"/>
          <w:szCs w:val="24"/>
        </w:rPr>
        <w:t xml:space="preserve"> the FBI, </w:t>
      </w:r>
      <w:r w:rsidRPr="0065486C" w:rsidR="00BE213F">
        <w:rPr>
          <w:rFonts w:ascii="Times New Roman" w:hAnsi="Times New Roman" w:cs="Times New Roman"/>
          <w:color w:val="000000" w:themeColor="text1"/>
          <w:sz w:val="24"/>
          <w:szCs w:val="24"/>
        </w:rPr>
        <w:t xml:space="preserve">the information </w:t>
      </w:r>
      <w:r w:rsidRPr="0065486C" w:rsidR="00165224">
        <w:rPr>
          <w:rFonts w:ascii="Times New Roman" w:hAnsi="Times New Roman" w:cs="Times New Roman"/>
          <w:color w:val="000000" w:themeColor="text1"/>
          <w:sz w:val="24"/>
          <w:szCs w:val="24"/>
        </w:rPr>
        <w:t xml:space="preserve">is ingested into the </w:t>
      </w:r>
      <w:r w:rsidR="00421817">
        <w:rPr>
          <w:rFonts w:ascii="Times New Roman" w:hAnsi="Times New Roman" w:cs="Times New Roman"/>
          <w:color w:val="000000" w:themeColor="text1"/>
          <w:sz w:val="24"/>
          <w:szCs w:val="24"/>
        </w:rPr>
        <w:t xml:space="preserve">FBI </w:t>
      </w:r>
      <w:r w:rsidRPr="0065486C" w:rsidR="0095586F">
        <w:rPr>
          <w:rFonts w:ascii="Times New Roman" w:hAnsi="Times New Roman" w:cs="Times New Roman"/>
          <w:color w:val="000000" w:themeColor="text1"/>
          <w:sz w:val="24"/>
          <w:szCs w:val="24"/>
        </w:rPr>
        <w:t xml:space="preserve">UCR </w:t>
      </w:r>
      <w:r w:rsidR="00421817">
        <w:rPr>
          <w:rFonts w:ascii="Times New Roman" w:hAnsi="Times New Roman" w:cs="Times New Roman"/>
          <w:color w:val="000000" w:themeColor="text1"/>
          <w:sz w:val="24"/>
          <w:szCs w:val="24"/>
        </w:rPr>
        <w:t>Program s</w:t>
      </w:r>
      <w:r w:rsidRPr="0065486C" w:rsidR="0095586F">
        <w:rPr>
          <w:rFonts w:ascii="Times New Roman" w:hAnsi="Times New Roman" w:cs="Times New Roman"/>
          <w:color w:val="000000" w:themeColor="text1"/>
          <w:sz w:val="24"/>
          <w:szCs w:val="24"/>
        </w:rPr>
        <w:t>ystem</w:t>
      </w:r>
      <w:r w:rsidRPr="0065486C" w:rsidR="0035057A">
        <w:rPr>
          <w:rFonts w:ascii="Times New Roman" w:hAnsi="Times New Roman" w:cs="Times New Roman"/>
          <w:color w:val="000000" w:themeColor="text1"/>
          <w:sz w:val="24"/>
          <w:szCs w:val="24"/>
        </w:rPr>
        <w:t>.  The original NIBRS submissions are</w:t>
      </w:r>
      <w:r w:rsidRPr="0065486C" w:rsidR="0095586F">
        <w:rPr>
          <w:rFonts w:ascii="Times New Roman" w:hAnsi="Times New Roman" w:cs="Times New Roman"/>
          <w:color w:val="000000" w:themeColor="text1"/>
          <w:sz w:val="24"/>
          <w:szCs w:val="24"/>
        </w:rPr>
        <w:t xml:space="preserve"> </w:t>
      </w:r>
      <w:r w:rsidRPr="0065486C" w:rsidR="0035057A">
        <w:rPr>
          <w:rFonts w:ascii="Times New Roman" w:hAnsi="Times New Roman" w:cs="Times New Roman"/>
          <w:color w:val="000000" w:themeColor="text1"/>
          <w:sz w:val="24"/>
          <w:szCs w:val="24"/>
        </w:rPr>
        <w:t xml:space="preserve">maintained in </w:t>
      </w:r>
      <w:r w:rsidRPr="0065486C" w:rsidR="00B24549">
        <w:rPr>
          <w:rFonts w:ascii="Times New Roman" w:hAnsi="Times New Roman" w:cs="Times New Roman"/>
          <w:color w:val="000000" w:themeColor="text1"/>
          <w:sz w:val="24"/>
          <w:szCs w:val="24"/>
        </w:rPr>
        <w:t>the</w:t>
      </w:r>
      <w:r w:rsidRPr="0065486C" w:rsidR="0095586F">
        <w:rPr>
          <w:rFonts w:ascii="Times New Roman" w:hAnsi="Times New Roman" w:cs="Times New Roman"/>
          <w:color w:val="000000" w:themeColor="text1"/>
          <w:sz w:val="24"/>
          <w:szCs w:val="24"/>
        </w:rPr>
        <w:t xml:space="preserve"> </w:t>
      </w:r>
      <w:r w:rsidR="00421817">
        <w:rPr>
          <w:rFonts w:ascii="Times New Roman" w:hAnsi="Times New Roman" w:cs="Times New Roman"/>
          <w:color w:val="000000" w:themeColor="text1"/>
          <w:sz w:val="24"/>
          <w:szCs w:val="24"/>
        </w:rPr>
        <w:t>s</w:t>
      </w:r>
      <w:r w:rsidRPr="0065486C" w:rsidR="0095586F">
        <w:rPr>
          <w:rFonts w:ascii="Times New Roman" w:hAnsi="Times New Roman" w:cs="Times New Roman"/>
          <w:color w:val="000000" w:themeColor="text1"/>
          <w:sz w:val="24"/>
          <w:szCs w:val="24"/>
        </w:rPr>
        <w:t xml:space="preserve">ystem </w:t>
      </w:r>
      <w:r w:rsidRPr="0065486C" w:rsidR="0065486C">
        <w:rPr>
          <w:rFonts w:ascii="Times New Roman" w:hAnsi="Times New Roman" w:cs="Times New Roman"/>
          <w:color w:val="000000" w:themeColor="text1"/>
          <w:sz w:val="24"/>
          <w:szCs w:val="24"/>
        </w:rPr>
        <w:t xml:space="preserve">and published in </w:t>
      </w:r>
      <w:r w:rsidRPr="0065486C" w:rsidR="0065486C">
        <w:rPr>
          <w:rFonts w:ascii="Times New Roman" w:hAnsi="Times New Roman" w:cs="Times New Roman"/>
          <w:i/>
          <w:iCs/>
          <w:color w:val="000000" w:themeColor="text1"/>
          <w:sz w:val="24"/>
          <w:szCs w:val="24"/>
        </w:rPr>
        <w:t>C</w:t>
      </w:r>
      <w:r w:rsidR="00C270F9">
        <w:rPr>
          <w:rFonts w:ascii="Times New Roman" w:hAnsi="Times New Roman" w:cs="Times New Roman"/>
          <w:i/>
          <w:iCs/>
          <w:color w:val="000000" w:themeColor="text1"/>
          <w:sz w:val="24"/>
          <w:szCs w:val="24"/>
        </w:rPr>
        <w:t>I</w:t>
      </w:r>
      <w:r w:rsidRPr="0065486C" w:rsidR="0065486C">
        <w:rPr>
          <w:rFonts w:ascii="Times New Roman" w:hAnsi="Times New Roman" w:cs="Times New Roman"/>
          <w:i/>
          <w:iCs/>
          <w:color w:val="000000" w:themeColor="text1"/>
          <w:sz w:val="24"/>
          <w:szCs w:val="24"/>
        </w:rPr>
        <w:t>U</w:t>
      </w:r>
      <w:r w:rsidR="00C270F9">
        <w:rPr>
          <w:rFonts w:ascii="Times New Roman" w:hAnsi="Times New Roman" w:cs="Times New Roman"/>
          <w:i/>
          <w:iCs/>
          <w:color w:val="000000" w:themeColor="text1"/>
          <w:sz w:val="24"/>
          <w:szCs w:val="24"/>
        </w:rPr>
        <w:t>S</w:t>
      </w:r>
      <w:r w:rsidRPr="0065486C" w:rsidR="0065486C">
        <w:rPr>
          <w:rFonts w:ascii="Times New Roman" w:hAnsi="Times New Roman" w:cs="Times New Roman"/>
          <w:i/>
          <w:color w:val="000000" w:themeColor="text1"/>
          <w:sz w:val="24"/>
          <w:szCs w:val="24"/>
        </w:rPr>
        <w:t xml:space="preserve">, </w:t>
      </w:r>
      <w:r w:rsidRPr="0065486C" w:rsidR="0065486C">
        <w:rPr>
          <w:rFonts w:ascii="Times New Roman" w:hAnsi="Times New Roman" w:cs="Times New Roman"/>
          <w:i/>
          <w:iCs/>
          <w:color w:val="000000" w:themeColor="text1"/>
          <w:sz w:val="24"/>
          <w:szCs w:val="24"/>
        </w:rPr>
        <w:t>Hate Crime Statistics</w:t>
      </w:r>
      <w:r w:rsidRPr="0065486C" w:rsidR="0065486C">
        <w:rPr>
          <w:rFonts w:ascii="Times New Roman" w:hAnsi="Times New Roman" w:cs="Times New Roman"/>
          <w:color w:val="000000" w:themeColor="text1"/>
          <w:sz w:val="24"/>
          <w:szCs w:val="24"/>
        </w:rPr>
        <w:t xml:space="preserve">, </w:t>
      </w:r>
      <w:r w:rsidRPr="0065486C" w:rsidR="0065486C">
        <w:rPr>
          <w:rFonts w:ascii="Times New Roman" w:hAnsi="Times New Roman" w:cs="Times New Roman"/>
          <w:i/>
          <w:iCs/>
          <w:color w:val="000000" w:themeColor="text1"/>
          <w:sz w:val="24"/>
          <w:szCs w:val="24"/>
        </w:rPr>
        <w:t xml:space="preserve">Law Enforcement Officers Killed and Assaulted, </w:t>
      </w:r>
      <w:r w:rsidRPr="0065486C" w:rsidR="0065486C">
        <w:rPr>
          <w:rFonts w:ascii="Times New Roman" w:hAnsi="Times New Roman" w:cs="Times New Roman"/>
          <w:iCs/>
          <w:color w:val="000000" w:themeColor="text1"/>
          <w:sz w:val="24"/>
          <w:szCs w:val="24"/>
        </w:rPr>
        <w:t>and</w:t>
      </w:r>
      <w:r w:rsidR="00AC7DC4">
        <w:rPr>
          <w:rFonts w:ascii="Times New Roman" w:hAnsi="Times New Roman" w:cs="Times New Roman"/>
          <w:iCs/>
          <w:color w:val="000000" w:themeColor="text1"/>
          <w:sz w:val="24"/>
          <w:szCs w:val="24"/>
        </w:rPr>
        <w:t xml:space="preserve"> </w:t>
      </w:r>
      <w:r w:rsidR="000E1B02">
        <w:rPr>
          <w:rFonts w:ascii="Times New Roman" w:hAnsi="Times New Roman" w:cs="Times New Roman"/>
          <w:iCs/>
          <w:color w:val="000000" w:themeColor="text1"/>
          <w:sz w:val="24"/>
          <w:szCs w:val="24"/>
        </w:rPr>
        <w:t xml:space="preserve">the </w:t>
      </w:r>
      <w:r w:rsidRPr="0065486C" w:rsidR="0065486C">
        <w:rPr>
          <w:rFonts w:ascii="Times New Roman" w:hAnsi="Times New Roman" w:cs="Times New Roman"/>
          <w:i/>
          <w:iCs/>
          <w:color w:val="000000" w:themeColor="text1"/>
          <w:sz w:val="24"/>
          <w:szCs w:val="24"/>
        </w:rPr>
        <w:t>National Incident-Based Reporting System</w:t>
      </w:r>
      <w:r w:rsidRPr="0065486C" w:rsidR="0065486C">
        <w:rPr>
          <w:rFonts w:ascii="Times New Roman" w:hAnsi="Times New Roman" w:cs="Times New Roman"/>
          <w:color w:val="000000" w:themeColor="text1"/>
          <w:sz w:val="24"/>
          <w:szCs w:val="24"/>
        </w:rPr>
        <w:t xml:space="preserve">. </w:t>
      </w:r>
    </w:p>
    <w:p w:rsidR="005E3E06" w:rsidRDefault="005E3E06" w14:paraId="5997CC1D" w14:textId="77777777">
      <w:pPr>
        <w:rPr>
          <w:rFonts w:ascii="Times New Roman" w:hAnsi="Times New Roman" w:cs="Times New Roman"/>
          <w:color w:val="000000" w:themeColor="text1"/>
          <w:sz w:val="24"/>
          <w:szCs w:val="24"/>
          <w:u w:val="single"/>
        </w:rPr>
      </w:pPr>
      <w:r>
        <w:rPr>
          <w:rFonts w:ascii="Times New Roman" w:hAnsi="Times New Roman" w:cs="Times New Roman"/>
          <w:color w:val="000000" w:themeColor="text1"/>
          <w:sz w:val="24"/>
          <w:szCs w:val="24"/>
          <w:u w:val="single"/>
        </w:rPr>
        <w:br w:type="page"/>
      </w:r>
    </w:p>
    <w:p w:rsidRPr="0065486C" w:rsidR="00764624" w:rsidP="00FC6E82" w:rsidRDefault="00764624" w14:paraId="2A49433F" w14:textId="77777777">
      <w:pPr>
        <w:pStyle w:val="ListParagraph"/>
        <w:numPr>
          <w:ilvl w:val="0"/>
          <w:numId w:val="4"/>
        </w:numPr>
        <w:spacing w:after="0" w:line="240" w:lineRule="auto"/>
        <w:rPr>
          <w:rFonts w:ascii="Times New Roman" w:hAnsi="Times New Roman" w:cs="Times New Roman"/>
          <w:color w:val="000000" w:themeColor="text1"/>
          <w:sz w:val="24"/>
          <w:szCs w:val="24"/>
        </w:rPr>
      </w:pPr>
      <w:r w:rsidRPr="0065486C">
        <w:rPr>
          <w:rFonts w:ascii="Times New Roman" w:hAnsi="Times New Roman" w:cs="Times New Roman"/>
          <w:color w:val="000000" w:themeColor="text1"/>
          <w:sz w:val="24"/>
          <w:szCs w:val="24"/>
          <w:u w:val="single"/>
        </w:rPr>
        <w:lastRenderedPageBreak/>
        <w:t>Efforts to Identify Duplication</w:t>
      </w:r>
    </w:p>
    <w:p w:rsidRPr="0065486C" w:rsidR="00764624" w:rsidP="00FC6E82" w:rsidRDefault="00764624" w14:paraId="110FFD37" w14:textId="77777777">
      <w:pPr>
        <w:pStyle w:val="ListParagraph"/>
        <w:spacing w:after="0" w:line="240" w:lineRule="auto"/>
        <w:rPr>
          <w:rFonts w:ascii="Times New Roman" w:hAnsi="Times New Roman" w:cs="Times New Roman"/>
          <w:color w:val="000000" w:themeColor="text1"/>
          <w:sz w:val="24"/>
          <w:szCs w:val="24"/>
          <w:u w:val="single"/>
        </w:rPr>
      </w:pPr>
    </w:p>
    <w:p w:rsidRPr="004A68CB" w:rsidR="00C4335E" w:rsidP="00FC6E82" w:rsidRDefault="00C4335E" w14:paraId="46C9CA90" w14:textId="3D4244E4">
      <w:pPr>
        <w:spacing w:after="0" w:line="240" w:lineRule="auto"/>
        <w:ind w:left="720" w:right="-446"/>
        <w:contextualSpacing/>
        <w:rPr>
          <w:rFonts w:ascii="Times New Roman" w:hAnsi="Times New Roman" w:cs="Times New Roman"/>
          <w:color w:val="000000" w:themeColor="text1"/>
          <w:sz w:val="24"/>
          <w:szCs w:val="24"/>
        </w:rPr>
      </w:pPr>
      <w:r w:rsidRPr="0065486C">
        <w:rPr>
          <w:rFonts w:ascii="Times New Roman" w:hAnsi="Times New Roman" w:eastAsia="Arial" w:cs="Times New Roman"/>
          <w:color w:val="000000" w:themeColor="text1"/>
          <w:sz w:val="24"/>
          <w:szCs w:val="24"/>
        </w:rPr>
        <w:t xml:space="preserve">Under the authority of 28 </w:t>
      </w:r>
      <w:r w:rsidR="00421817">
        <w:rPr>
          <w:rFonts w:ascii="Times New Roman" w:hAnsi="Times New Roman" w:eastAsia="Arial" w:cs="Times New Roman"/>
          <w:color w:val="000000" w:themeColor="text1"/>
          <w:sz w:val="24"/>
          <w:szCs w:val="24"/>
        </w:rPr>
        <w:t>U.S.C. §</w:t>
      </w:r>
      <w:r w:rsidRPr="0065486C">
        <w:rPr>
          <w:rFonts w:ascii="Times New Roman" w:hAnsi="Times New Roman" w:eastAsia="Arial" w:cs="Times New Roman"/>
          <w:color w:val="000000" w:themeColor="text1"/>
          <w:sz w:val="24"/>
          <w:szCs w:val="24"/>
        </w:rPr>
        <w:t xml:space="preserve"> 534, subsections (a) and (c); the UFCRA of 1988, 34</w:t>
      </w:r>
      <w:r w:rsidR="004C6CD8">
        <w:rPr>
          <w:rFonts w:ascii="Times New Roman" w:hAnsi="Times New Roman" w:eastAsia="Arial" w:cs="Times New Roman"/>
          <w:color w:val="000000" w:themeColor="text1"/>
          <w:sz w:val="24"/>
          <w:szCs w:val="24"/>
        </w:rPr>
        <w:t> </w:t>
      </w:r>
      <w:r w:rsidRPr="0065486C">
        <w:rPr>
          <w:rFonts w:ascii="Times New Roman" w:hAnsi="Times New Roman" w:eastAsia="Arial" w:cs="Times New Roman"/>
          <w:color w:val="000000" w:themeColor="text1"/>
          <w:sz w:val="24"/>
          <w:szCs w:val="24"/>
        </w:rPr>
        <w:t xml:space="preserve">U.S.C. § 41303; the Hate Crime Statistics Act, 34 U.S.C. § 41305, modified by </w:t>
      </w:r>
      <w:r w:rsidRPr="0065486C">
        <w:rPr>
          <w:rStyle w:val="Heading3Char"/>
          <w:rFonts w:ascii="Times New Roman" w:hAnsi="Times New Roman" w:cs="Times New Roman"/>
          <w:color w:val="000000" w:themeColor="text1"/>
        </w:rPr>
        <w:t xml:space="preserve">the Matthew Shepard and James Byrd, Jr., Hate Crimes Prevention Act (2009), Pub. L. § 4708; the </w:t>
      </w:r>
      <w:r w:rsidRPr="0065486C">
        <w:rPr>
          <w:rFonts w:ascii="Times New Roman" w:hAnsi="Times New Roman" w:eastAsia="Arial" w:cs="Times New Roman"/>
          <w:color w:val="000000" w:themeColor="text1"/>
          <w:sz w:val="24"/>
          <w:szCs w:val="24"/>
        </w:rPr>
        <w:t>Anti-Arson Act of 1982, 18</w:t>
      </w:r>
      <w:r w:rsidR="009401DC">
        <w:rPr>
          <w:rFonts w:ascii="Times New Roman" w:hAnsi="Times New Roman" w:eastAsia="Arial" w:cs="Times New Roman"/>
          <w:color w:val="000000" w:themeColor="text1"/>
          <w:sz w:val="24"/>
          <w:szCs w:val="24"/>
        </w:rPr>
        <w:t xml:space="preserve"> </w:t>
      </w:r>
      <w:r w:rsidRPr="0065486C">
        <w:rPr>
          <w:rFonts w:ascii="Times New Roman" w:hAnsi="Times New Roman" w:eastAsia="Arial" w:cs="Times New Roman"/>
          <w:color w:val="000000" w:themeColor="text1"/>
          <w:sz w:val="24"/>
          <w:szCs w:val="24"/>
        </w:rPr>
        <w:t>U.S.C. §</w:t>
      </w:r>
      <w:r w:rsidR="00421817">
        <w:rPr>
          <w:rFonts w:ascii="Times New Roman" w:hAnsi="Times New Roman" w:eastAsia="Arial" w:cs="Times New Roman"/>
          <w:color w:val="000000" w:themeColor="text1"/>
          <w:sz w:val="24"/>
          <w:szCs w:val="24"/>
        </w:rPr>
        <w:t xml:space="preserve"> </w:t>
      </w:r>
      <w:r w:rsidRPr="0065486C">
        <w:rPr>
          <w:rFonts w:ascii="Times New Roman" w:hAnsi="Times New Roman" w:eastAsia="Arial" w:cs="Times New Roman"/>
          <w:color w:val="000000" w:themeColor="text1"/>
          <w:sz w:val="24"/>
          <w:szCs w:val="24"/>
        </w:rPr>
        <w:t>841 note; the William Wilberforce Trafficking Victims Protection Reauthorization Act of 2008, 34 U.S.C. §</w:t>
      </w:r>
      <w:r w:rsidR="00F14904">
        <w:rPr>
          <w:rFonts w:ascii="Times New Roman" w:hAnsi="Times New Roman" w:eastAsia="Arial" w:cs="Times New Roman"/>
          <w:color w:val="000000" w:themeColor="text1"/>
          <w:sz w:val="24"/>
          <w:szCs w:val="24"/>
        </w:rPr>
        <w:t> </w:t>
      </w:r>
      <w:r w:rsidRPr="0065486C">
        <w:rPr>
          <w:rFonts w:ascii="Times New Roman" w:hAnsi="Times New Roman" w:eastAsia="Arial" w:cs="Times New Roman"/>
          <w:color w:val="000000" w:themeColor="text1"/>
          <w:sz w:val="24"/>
          <w:szCs w:val="24"/>
        </w:rPr>
        <w:t>41309; the USA Patriot Improvement and Reauthor</w:t>
      </w:r>
      <w:r w:rsidR="00AC7DC4">
        <w:rPr>
          <w:rFonts w:ascii="Times New Roman" w:hAnsi="Times New Roman" w:eastAsia="Arial" w:cs="Times New Roman"/>
          <w:color w:val="000000" w:themeColor="text1"/>
          <w:sz w:val="24"/>
          <w:szCs w:val="24"/>
        </w:rPr>
        <w:t xml:space="preserve">ization Act of 2005, Pub. L. </w:t>
      </w:r>
      <w:r w:rsidRPr="0065486C">
        <w:rPr>
          <w:rFonts w:ascii="Times New Roman" w:hAnsi="Times New Roman" w:eastAsia="Arial" w:cs="Times New Roman"/>
          <w:color w:val="000000" w:themeColor="text1"/>
          <w:sz w:val="24"/>
          <w:szCs w:val="24"/>
        </w:rPr>
        <w:t>109-177, § 307, subsection (e) Reporting of Cargo Theft, 120</w:t>
      </w:r>
      <w:r w:rsidR="004E19A5">
        <w:rPr>
          <w:rFonts w:ascii="Times New Roman" w:hAnsi="Times New Roman" w:eastAsia="Arial" w:cs="Times New Roman"/>
          <w:color w:val="000000" w:themeColor="text1"/>
          <w:sz w:val="24"/>
          <w:szCs w:val="24"/>
        </w:rPr>
        <w:t>,</w:t>
      </w:r>
      <w:r w:rsidRPr="0065486C">
        <w:rPr>
          <w:rFonts w:ascii="Times New Roman" w:hAnsi="Times New Roman" w:eastAsia="Arial" w:cs="Times New Roman"/>
          <w:color w:val="000000" w:themeColor="text1"/>
          <w:sz w:val="24"/>
          <w:szCs w:val="24"/>
        </w:rPr>
        <w:t xml:space="preserve"> Stat. 193, 240 (2006); and 34 U.S.C. § 12532, </w:t>
      </w:r>
      <w:r w:rsidRPr="0065486C">
        <w:rPr>
          <w:rFonts w:ascii="Times New Roman" w:hAnsi="Times New Roman" w:cs="Times New Roman"/>
          <w:color w:val="000000" w:themeColor="text1"/>
          <w:sz w:val="24"/>
          <w:szCs w:val="24"/>
        </w:rPr>
        <w:t xml:space="preserve">the FBI was designated by the Attorney General to acquire, collect, classify, and preserve national data on criminal offenses as part of the FBI UCR Program.  </w:t>
      </w:r>
      <w:r w:rsidRPr="0065486C" w:rsidR="0035057A">
        <w:rPr>
          <w:rFonts w:ascii="Times New Roman" w:hAnsi="Times New Roman" w:cs="Times New Roman"/>
          <w:color w:val="000000" w:themeColor="text1"/>
          <w:sz w:val="24"/>
          <w:szCs w:val="24"/>
        </w:rPr>
        <w:t xml:space="preserve">The FBI is </w:t>
      </w:r>
      <w:r w:rsidRPr="004A68CB" w:rsidR="0035057A">
        <w:rPr>
          <w:rFonts w:ascii="Times New Roman" w:hAnsi="Times New Roman" w:cs="Times New Roman"/>
          <w:color w:val="000000" w:themeColor="text1"/>
          <w:sz w:val="24"/>
          <w:szCs w:val="24"/>
        </w:rPr>
        <w:t xml:space="preserve">the only federal agency collecting extensive incident-based crime data reported by LEAs in the </w:t>
      </w:r>
      <w:r w:rsidRPr="004A68CB">
        <w:rPr>
          <w:rFonts w:ascii="Times New Roman" w:hAnsi="Times New Roman" w:cs="Times New Roman"/>
          <w:color w:val="000000" w:themeColor="text1"/>
          <w:sz w:val="24"/>
          <w:szCs w:val="24"/>
        </w:rPr>
        <w:t>nation</w:t>
      </w:r>
      <w:r w:rsidRPr="004A68CB" w:rsidR="0035057A">
        <w:rPr>
          <w:rFonts w:ascii="Times New Roman" w:hAnsi="Times New Roman" w:cs="Times New Roman"/>
          <w:color w:val="000000" w:themeColor="text1"/>
          <w:sz w:val="24"/>
          <w:szCs w:val="24"/>
        </w:rPr>
        <w:t xml:space="preserve">.  </w:t>
      </w:r>
    </w:p>
    <w:p w:rsidR="00C4335E" w:rsidP="00FC6E82" w:rsidRDefault="00C4335E" w14:paraId="6B699379" w14:textId="77777777">
      <w:pPr>
        <w:pStyle w:val="ListParagraph"/>
        <w:spacing w:after="0" w:line="240" w:lineRule="auto"/>
        <w:rPr>
          <w:rFonts w:ascii="Times New Roman" w:hAnsi="Times New Roman" w:cs="Times New Roman"/>
          <w:color w:val="000000" w:themeColor="text1"/>
          <w:sz w:val="24"/>
          <w:szCs w:val="24"/>
        </w:rPr>
      </w:pPr>
    </w:p>
    <w:p w:rsidRPr="004D7D2A" w:rsidR="00464009" w:rsidP="00FC6E82" w:rsidRDefault="00E86B1F" w14:paraId="0FFA87B5" w14:textId="77777777">
      <w:pPr>
        <w:pStyle w:val="ListParagraph"/>
        <w:spacing w:after="0" w:line="240" w:lineRule="auto"/>
        <w:ind w:right="-90"/>
        <w:rPr>
          <w:rFonts w:ascii="Times New Roman" w:hAnsi="Times New Roman" w:cs="Times New Roman"/>
          <w:color w:val="000000" w:themeColor="text1"/>
          <w:sz w:val="24"/>
          <w:szCs w:val="24"/>
        </w:rPr>
      </w:pPr>
      <w:r w:rsidRPr="004A68CB">
        <w:rPr>
          <w:rFonts w:ascii="Times New Roman" w:hAnsi="Times New Roman" w:cs="Times New Roman"/>
          <w:color w:val="000000" w:themeColor="text1"/>
          <w:sz w:val="24"/>
          <w:szCs w:val="24"/>
        </w:rPr>
        <w:t>BJS</w:t>
      </w:r>
      <w:r w:rsidRPr="004A68CB" w:rsidR="0035057A">
        <w:rPr>
          <w:rFonts w:ascii="Times New Roman" w:hAnsi="Times New Roman" w:cs="Times New Roman"/>
          <w:color w:val="000000" w:themeColor="text1"/>
          <w:sz w:val="24"/>
          <w:szCs w:val="24"/>
        </w:rPr>
        <w:t xml:space="preserve"> administers </w:t>
      </w:r>
      <w:r w:rsidRPr="004A68CB" w:rsidR="0065486C">
        <w:rPr>
          <w:rFonts w:ascii="Times New Roman" w:hAnsi="Times New Roman" w:cs="Times New Roman"/>
          <w:color w:val="000000" w:themeColor="text1"/>
          <w:sz w:val="24"/>
          <w:szCs w:val="24"/>
        </w:rPr>
        <w:t>its own</w:t>
      </w:r>
      <w:r w:rsidRPr="004A68CB" w:rsidR="0035057A">
        <w:rPr>
          <w:rFonts w:ascii="Times New Roman" w:hAnsi="Times New Roman" w:cs="Times New Roman"/>
          <w:color w:val="000000" w:themeColor="text1"/>
          <w:sz w:val="24"/>
          <w:szCs w:val="24"/>
        </w:rPr>
        <w:t xml:space="preserve"> statistical </w:t>
      </w:r>
      <w:r w:rsidRPr="004A68CB" w:rsidR="0065486C">
        <w:rPr>
          <w:rFonts w:ascii="Times New Roman" w:hAnsi="Times New Roman" w:cs="Times New Roman"/>
          <w:color w:val="000000" w:themeColor="text1"/>
          <w:sz w:val="24"/>
          <w:szCs w:val="24"/>
        </w:rPr>
        <w:t>collection,</w:t>
      </w:r>
      <w:r w:rsidRPr="004A68CB" w:rsidR="00D91DBE">
        <w:rPr>
          <w:rFonts w:ascii="Times New Roman" w:hAnsi="Times New Roman" w:cs="Times New Roman"/>
          <w:color w:val="000000" w:themeColor="text1"/>
          <w:sz w:val="24"/>
          <w:szCs w:val="24"/>
        </w:rPr>
        <w:t xml:space="preserve"> the National Cr</w:t>
      </w:r>
      <w:r w:rsidRPr="004A68CB" w:rsidR="00E34D5F">
        <w:rPr>
          <w:rFonts w:ascii="Times New Roman" w:hAnsi="Times New Roman" w:cs="Times New Roman"/>
          <w:color w:val="000000" w:themeColor="text1"/>
          <w:sz w:val="24"/>
          <w:szCs w:val="24"/>
        </w:rPr>
        <w:t>ime Victimization Survey (NCVS)</w:t>
      </w:r>
      <w:r w:rsidRPr="004A68CB" w:rsidR="00C4335E">
        <w:rPr>
          <w:rFonts w:ascii="Times New Roman" w:hAnsi="Times New Roman" w:cs="Times New Roman"/>
          <w:color w:val="000000" w:themeColor="text1"/>
          <w:sz w:val="24"/>
          <w:szCs w:val="24"/>
        </w:rPr>
        <w:t>,</w:t>
      </w:r>
      <w:r w:rsidRPr="004A68CB" w:rsidR="00D91DBE">
        <w:rPr>
          <w:rFonts w:ascii="Times New Roman" w:hAnsi="Times New Roman" w:cs="Times New Roman"/>
          <w:color w:val="000000" w:themeColor="text1"/>
          <w:sz w:val="24"/>
          <w:szCs w:val="24"/>
        </w:rPr>
        <w:t xml:space="preserve"> </w:t>
      </w:r>
      <w:r w:rsidRPr="004A68CB" w:rsidR="0065486C">
        <w:rPr>
          <w:rFonts w:ascii="Times New Roman" w:hAnsi="Times New Roman" w:cs="Times New Roman"/>
          <w:color w:val="000000" w:themeColor="text1"/>
          <w:sz w:val="24"/>
          <w:szCs w:val="24"/>
        </w:rPr>
        <w:t xml:space="preserve">which also </w:t>
      </w:r>
      <w:r w:rsidRPr="004A68CB" w:rsidR="0035057A">
        <w:rPr>
          <w:rFonts w:ascii="Times New Roman" w:hAnsi="Times New Roman" w:cs="Times New Roman"/>
          <w:color w:val="000000" w:themeColor="text1"/>
          <w:sz w:val="24"/>
          <w:szCs w:val="24"/>
        </w:rPr>
        <w:t>measures the magnitude, nature, and impact of cr</w:t>
      </w:r>
      <w:r w:rsidRPr="004A68CB" w:rsidR="00D91DBE">
        <w:rPr>
          <w:rFonts w:ascii="Times New Roman" w:hAnsi="Times New Roman" w:cs="Times New Roman"/>
          <w:color w:val="000000" w:themeColor="text1"/>
          <w:sz w:val="24"/>
          <w:szCs w:val="24"/>
        </w:rPr>
        <w:t>ime in the nation</w:t>
      </w:r>
      <w:r w:rsidRPr="004A68CB" w:rsidR="0035057A">
        <w:rPr>
          <w:rFonts w:ascii="Times New Roman" w:hAnsi="Times New Roman" w:cs="Times New Roman"/>
          <w:color w:val="000000" w:themeColor="text1"/>
          <w:sz w:val="24"/>
          <w:szCs w:val="24"/>
        </w:rPr>
        <w:t>.</w:t>
      </w:r>
      <w:r w:rsidRPr="004A68CB" w:rsidR="0065486C">
        <w:rPr>
          <w:rFonts w:ascii="Times New Roman" w:hAnsi="Times New Roman" w:cs="Times New Roman"/>
          <w:color w:val="000000" w:themeColor="text1"/>
          <w:sz w:val="24"/>
          <w:szCs w:val="24"/>
        </w:rPr>
        <w:t xml:space="preserve">  </w:t>
      </w:r>
      <w:r w:rsidRPr="004A68CB" w:rsidR="00464009">
        <w:rPr>
          <w:rFonts w:ascii="Times New Roman" w:hAnsi="Times New Roman" w:cs="Times New Roman"/>
          <w:color w:val="000000" w:themeColor="text1"/>
          <w:sz w:val="24"/>
          <w:szCs w:val="24"/>
        </w:rPr>
        <w:t>Although there are similarities between</w:t>
      </w:r>
      <w:r w:rsidR="00464009">
        <w:rPr>
          <w:rFonts w:ascii="Times New Roman" w:hAnsi="Times New Roman" w:cs="Times New Roman"/>
          <w:color w:val="000000" w:themeColor="text1"/>
          <w:sz w:val="24"/>
          <w:szCs w:val="24"/>
        </w:rPr>
        <w:t xml:space="preserve"> the two crime measures, </w:t>
      </w:r>
      <w:r w:rsidR="0065486C">
        <w:rPr>
          <w:rFonts w:ascii="Times New Roman" w:hAnsi="Times New Roman" w:cs="Times New Roman"/>
          <w:color w:val="000000" w:themeColor="text1"/>
          <w:sz w:val="24"/>
          <w:szCs w:val="24"/>
        </w:rPr>
        <w:t xml:space="preserve">the </w:t>
      </w:r>
      <w:r w:rsidR="00464009">
        <w:rPr>
          <w:rFonts w:ascii="Times New Roman" w:hAnsi="Times New Roman" w:cs="Times New Roman"/>
          <w:color w:val="000000" w:themeColor="text1"/>
          <w:sz w:val="24"/>
          <w:szCs w:val="24"/>
        </w:rPr>
        <w:t xml:space="preserve">objective, </w:t>
      </w:r>
      <w:r w:rsidR="0065486C">
        <w:rPr>
          <w:rFonts w:ascii="Times New Roman" w:hAnsi="Times New Roman" w:cs="Times New Roman"/>
          <w:color w:val="000000" w:themeColor="text1"/>
          <w:sz w:val="24"/>
          <w:szCs w:val="24"/>
        </w:rPr>
        <w:t>collection methodology</w:t>
      </w:r>
      <w:r w:rsidR="00464009">
        <w:rPr>
          <w:rFonts w:ascii="Times New Roman" w:hAnsi="Times New Roman" w:cs="Times New Roman"/>
          <w:color w:val="000000" w:themeColor="text1"/>
          <w:sz w:val="24"/>
          <w:szCs w:val="24"/>
        </w:rPr>
        <w:t>,</w:t>
      </w:r>
      <w:r w:rsidR="0065486C">
        <w:rPr>
          <w:rFonts w:ascii="Times New Roman" w:hAnsi="Times New Roman" w:cs="Times New Roman"/>
          <w:color w:val="000000" w:themeColor="text1"/>
          <w:sz w:val="24"/>
          <w:szCs w:val="24"/>
        </w:rPr>
        <w:t xml:space="preserve"> and </w:t>
      </w:r>
      <w:r w:rsidR="0052631A">
        <w:rPr>
          <w:rFonts w:ascii="Times New Roman" w:hAnsi="Times New Roman" w:cs="Times New Roman"/>
          <w:color w:val="000000" w:themeColor="text1"/>
          <w:sz w:val="24"/>
          <w:szCs w:val="24"/>
        </w:rPr>
        <w:t xml:space="preserve">presentation of </w:t>
      </w:r>
      <w:r w:rsidR="00464009">
        <w:rPr>
          <w:rFonts w:ascii="Times New Roman" w:hAnsi="Times New Roman" w:cs="Times New Roman"/>
          <w:color w:val="000000" w:themeColor="text1"/>
          <w:sz w:val="24"/>
          <w:szCs w:val="24"/>
        </w:rPr>
        <w:t xml:space="preserve">NCVS data </w:t>
      </w:r>
      <w:r w:rsidR="0065486C">
        <w:rPr>
          <w:rFonts w:ascii="Times New Roman" w:hAnsi="Times New Roman" w:cs="Times New Roman"/>
          <w:color w:val="000000" w:themeColor="text1"/>
          <w:sz w:val="24"/>
          <w:szCs w:val="24"/>
        </w:rPr>
        <w:t>dif</w:t>
      </w:r>
      <w:r w:rsidRPr="000D4690" w:rsidR="0065486C">
        <w:rPr>
          <w:rFonts w:ascii="Times New Roman" w:hAnsi="Times New Roman" w:cs="Times New Roman"/>
          <w:color w:val="000000" w:themeColor="text1"/>
          <w:sz w:val="24"/>
          <w:szCs w:val="24"/>
        </w:rPr>
        <w:t xml:space="preserve">fer from those of the FBI UCR </w:t>
      </w:r>
      <w:r w:rsidRPr="004D7D2A" w:rsidR="0065486C">
        <w:rPr>
          <w:rFonts w:ascii="Times New Roman" w:hAnsi="Times New Roman" w:cs="Times New Roman"/>
          <w:color w:val="000000" w:themeColor="text1"/>
          <w:sz w:val="24"/>
          <w:szCs w:val="24"/>
        </w:rPr>
        <w:t>Program.</w:t>
      </w:r>
      <w:r w:rsidR="002C6E1D">
        <w:rPr>
          <w:rFonts w:ascii="Times New Roman" w:hAnsi="Times New Roman" w:cs="Times New Roman"/>
          <w:color w:val="000000" w:themeColor="text1"/>
          <w:sz w:val="24"/>
          <w:szCs w:val="24"/>
        </w:rPr>
        <w:t xml:space="preserve">  </w:t>
      </w:r>
      <w:r w:rsidRPr="004D7D2A" w:rsidR="00464009">
        <w:rPr>
          <w:rFonts w:ascii="Times New Roman" w:hAnsi="Times New Roman" w:cs="Times New Roman"/>
          <w:color w:val="000000" w:themeColor="text1"/>
          <w:sz w:val="24"/>
          <w:szCs w:val="24"/>
        </w:rPr>
        <w:t xml:space="preserve">The FBI UCR Program’s primary objective is to provide a reliable set of criminal justice statistics for law enforcement administration, </w:t>
      </w:r>
      <w:r w:rsidR="0052631A">
        <w:rPr>
          <w:rFonts w:ascii="Times New Roman" w:hAnsi="Times New Roman" w:cs="Times New Roman"/>
          <w:color w:val="000000" w:themeColor="text1"/>
          <w:sz w:val="24"/>
          <w:szCs w:val="24"/>
        </w:rPr>
        <w:t xml:space="preserve">operation, and management.  </w:t>
      </w:r>
      <w:r w:rsidRPr="004D7D2A" w:rsidR="00464009">
        <w:rPr>
          <w:rFonts w:ascii="Times New Roman" w:hAnsi="Times New Roman" w:cs="Times New Roman"/>
          <w:color w:val="000000" w:themeColor="text1"/>
          <w:sz w:val="24"/>
          <w:szCs w:val="24"/>
        </w:rPr>
        <w:t xml:space="preserve">NCVS was established to provide previously unavailable information about crimes (including those not reported to law enforcement), victims, and offenders.  </w:t>
      </w:r>
    </w:p>
    <w:p w:rsidRPr="004D7D2A" w:rsidR="00464009" w:rsidP="00FC6E82" w:rsidRDefault="00464009" w14:paraId="3FE9F23F" w14:textId="77777777">
      <w:pPr>
        <w:pStyle w:val="ListParagraph"/>
        <w:spacing w:after="0" w:line="240" w:lineRule="auto"/>
        <w:rPr>
          <w:rFonts w:ascii="Times New Roman" w:hAnsi="Times New Roman" w:cs="Times New Roman"/>
          <w:color w:val="000000" w:themeColor="text1"/>
          <w:sz w:val="24"/>
          <w:szCs w:val="24"/>
        </w:rPr>
      </w:pPr>
    </w:p>
    <w:p w:rsidRPr="004D7D2A" w:rsidR="004D7D2A" w:rsidP="00FC6E82" w:rsidRDefault="004D7D2A" w14:paraId="41B42144" w14:textId="13ED220B">
      <w:pPr>
        <w:pStyle w:val="ListParagraph"/>
        <w:spacing w:after="0" w:line="240" w:lineRule="auto"/>
        <w:rPr>
          <w:rFonts w:ascii="Times New Roman" w:hAnsi="Times New Roman" w:cs="Times New Roman"/>
          <w:color w:val="000000" w:themeColor="text1"/>
          <w:sz w:val="24"/>
          <w:szCs w:val="24"/>
        </w:rPr>
      </w:pPr>
      <w:r w:rsidRPr="6117B93F">
        <w:rPr>
          <w:rFonts w:ascii="Times New Roman" w:hAnsi="Times New Roman" w:cs="Times New Roman"/>
          <w:color w:val="000000" w:themeColor="text1"/>
          <w:sz w:val="24"/>
          <w:szCs w:val="24"/>
        </w:rPr>
        <w:t xml:space="preserve">The two collections measure </w:t>
      </w:r>
      <w:r w:rsidR="00B739BC">
        <w:rPr>
          <w:rFonts w:ascii="Times New Roman" w:hAnsi="Times New Roman" w:cs="Times New Roman"/>
          <w:color w:val="000000" w:themeColor="text1"/>
          <w:sz w:val="24"/>
          <w:szCs w:val="24"/>
        </w:rPr>
        <w:t>a similar</w:t>
      </w:r>
      <w:r w:rsidRPr="6117B93F">
        <w:rPr>
          <w:rFonts w:ascii="Times New Roman" w:hAnsi="Times New Roman" w:cs="Times New Roman"/>
          <w:color w:val="000000" w:themeColor="text1"/>
          <w:sz w:val="24"/>
          <w:szCs w:val="24"/>
        </w:rPr>
        <w:t xml:space="preserve"> subset of serious crimes; however, the FBI UCR Program and </w:t>
      </w:r>
      <w:r w:rsidRPr="6117B93F" w:rsidR="000E1B02">
        <w:rPr>
          <w:rFonts w:ascii="Times New Roman" w:hAnsi="Times New Roman" w:cs="Times New Roman"/>
          <w:color w:val="000000" w:themeColor="text1"/>
          <w:sz w:val="24"/>
          <w:szCs w:val="24"/>
        </w:rPr>
        <w:t xml:space="preserve">the </w:t>
      </w:r>
      <w:r w:rsidRPr="6117B93F">
        <w:rPr>
          <w:rFonts w:ascii="Times New Roman" w:hAnsi="Times New Roman" w:cs="Times New Roman"/>
          <w:color w:val="000000" w:themeColor="text1"/>
          <w:sz w:val="24"/>
          <w:szCs w:val="24"/>
        </w:rPr>
        <w:t xml:space="preserve">NCVS definitions of some crimes differ based on the methodologies employed by each agency.  </w:t>
      </w:r>
      <w:r w:rsidRPr="6117B93F" w:rsidR="002C6E1D">
        <w:rPr>
          <w:rFonts w:ascii="Times New Roman" w:hAnsi="Times New Roman" w:cs="Times New Roman"/>
          <w:color w:val="000000" w:themeColor="text1"/>
          <w:sz w:val="24"/>
          <w:szCs w:val="24"/>
        </w:rPr>
        <w:t>The FBI UCR Program reports the number of crimes reported by LEAs th</w:t>
      </w:r>
      <w:r w:rsidRPr="6117B93F" w:rsidR="0052631A">
        <w:rPr>
          <w:rFonts w:ascii="Times New Roman" w:hAnsi="Times New Roman" w:cs="Times New Roman"/>
          <w:color w:val="000000" w:themeColor="text1"/>
          <w:sz w:val="24"/>
          <w:szCs w:val="24"/>
        </w:rPr>
        <w:t xml:space="preserve">roughout the country, while </w:t>
      </w:r>
      <w:r w:rsidRPr="6117B93F" w:rsidR="004E19A5">
        <w:rPr>
          <w:rFonts w:ascii="Times New Roman" w:hAnsi="Times New Roman" w:cs="Times New Roman"/>
          <w:color w:val="000000" w:themeColor="text1"/>
          <w:sz w:val="24"/>
          <w:szCs w:val="24"/>
        </w:rPr>
        <w:t xml:space="preserve">the </w:t>
      </w:r>
      <w:r w:rsidRPr="6117B93F" w:rsidR="002C6E1D">
        <w:rPr>
          <w:rFonts w:ascii="Times New Roman" w:hAnsi="Times New Roman" w:cs="Times New Roman"/>
          <w:color w:val="000000" w:themeColor="text1"/>
          <w:sz w:val="24"/>
          <w:szCs w:val="24"/>
        </w:rPr>
        <w:t xml:space="preserve">NCVS provides the number of crimes experienced by individuals and households, including </w:t>
      </w:r>
      <w:r w:rsidRPr="6117B93F" w:rsidR="00AC7DC4">
        <w:rPr>
          <w:rFonts w:ascii="Times New Roman" w:hAnsi="Times New Roman" w:cs="Times New Roman"/>
          <w:color w:val="000000" w:themeColor="text1"/>
          <w:sz w:val="24"/>
          <w:szCs w:val="24"/>
        </w:rPr>
        <w:t xml:space="preserve">both </w:t>
      </w:r>
      <w:r w:rsidRPr="6117B93F" w:rsidR="002C6E1D">
        <w:rPr>
          <w:rFonts w:ascii="Times New Roman" w:hAnsi="Times New Roman" w:cs="Times New Roman"/>
          <w:color w:val="000000" w:themeColor="text1"/>
          <w:sz w:val="24"/>
          <w:szCs w:val="24"/>
        </w:rPr>
        <w:t xml:space="preserve">those reported and not reported to law enforcement.  In </w:t>
      </w:r>
      <w:r w:rsidRPr="6117B93F" w:rsidR="0052631A">
        <w:rPr>
          <w:rFonts w:ascii="Times New Roman" w:hAnsi="Times New Roman" w:cs="Times New Roman"/>
          <w:color w:val="000000" w:themeColor="text1"/>
          <w:sz w:val="24"/>
          <w:szCs w:val="24"/>
        </w:rPr>
        <w:t xml:space="preserve">addition, </w:t>
      </w:r>
      <w:r w:rsidRPr="6117B93F" w:rsidR="004E19A5">
        <w:rPr>
          <w:rFonts w:ascii="Times New Roman" w:hAnsi="Times New Roman" w:cs="Times New Roman"/>
          <w:color w:val="000000" w:themeColor="text1"/>
          <w:sz w:val="24"/>
          <w:szCs w:val="24"/>
        </w:rPr>
        <w:t xml:space="preserve">the </w:t>
      </w:r>
      <w:r w:rsidRPr="6117B93F">
        <w:rPr>
          <w:rFonts w:ascii="Times New Roman" w:hAnsi="Times New Roman" w:cs="Times New Roman"/>
          <w:color w:val="000000" w:themeColor="text1"/>
          <w:sz w:val="24"/>
          <w:szCs w:val="24"/>
        </w:rPr>
        <w:t xml:space="preserve">NCVS </w:t>
      </w:r>
      <w:r w:rsidRPr="6117B93F" w:rsidR="002C6E1D">
        <w:rPr>
          <w:rFonts w:ascii="Times New Roman" w:hAnsi="Times New Roman" w:cs="Times New Roman"/>
          <w:color w:val="000000" w:themeColor="text1"/>
          <w:sz w:val="24"/>
          <w:szCs w:val="24"/>
        </w:rPr>
        <w:t xml:space="preserve">excludes homicide, arson, commercial crimes, and crimes against children under age 12, all of </w:t>
      </w:r>
      <w:r w:rsidRPr="6117B93F" w:rsidR="00AC7DC4">
        <w:rPr>
          <w:rFonts w:ascii="Times New Roman" w:hAnsi="Times New Roman" w:cs="Times New Roman"/>
          <w:color w:val="000000" w:themeColor="text1"/>
          <w:sz w:val="24"/>
          <w:szCs w:val="24"/>
        </w:rPr>
        <w:t xml:space="preserve">which are captured in </w:t>
      </w:r>
      <w:r w:rsidRPr="6117B93F" w:rsidR="000E1B02">
        <w:rPr>
          <w:rFonts w:ascii="Times New Roman" w:hAnsi="Times New Roman" w:cs="Times New Roman"/>
          <w:color w:val="000000" w:themeColor="text1"/>
          <w:sz w:val="24"/>
          <w:szCs w:val="24"/>
        </w:rPr>
        <w:t xml:space="preserve">the </w:t>
      </w:r>
      <w:r w:rsidRPr="6117B93F" w:rsidR="002C6E1D">
        <w:rPr>
          <w:rFonts w:ascii="Times New Roman" w:hAnsi="Times New Roman" w:cs="Times New Roman"/>
          <w:color w:val="000000" w:themeColor="text1"/>
          <w:sz w:val="24"/>
          <w:szCs w:val="24"/>
        </w:rPr>
        <w:t xml:space="preserve">FBI UCR Program data.  </w:t>
      </w:r>
    </w:p>
    <w:p w:rsidRPr="00F14904" w:rsidR="004D7D2A" w:rsidP="00FC6E82" w:rsidRDefault="004D7D2A" w14:paraId="1F72F646" w14:textId="77777777">
      <w:pPr>
        <w:pStyle w:val="ListParagraph"/>
        <w:spacing w:after="0" w:line="240" w:lineRule="auto"/>
        <w:rPr>
          <w:rFonts w:ascii="Times New Roman" w:hAnsi="Times New Roman" w:cs="Times New Roman"/>
          <w:color w:val="000000" w:themeColor="text1"/>
          <w:sz w:val="24"/>
          <w:szCs w:val="24"/>
        </w:rPr>
      </w:pPr>
    </w:p>
    <w:p w:rsidRPr="00F14904" w:rsidR="00D81951" w:rsidP="00FC6E82" w:rsidRDefault="00BA356B" w14:paraId="2BFCFA8C" w14:textId="77777777">
      <w:pPr>
        <w:pStyle w:val="ListParagraph"/>
        <w:spacing w:after="0" w:line="240" w:lineRule="auto"/>
        <w:rPr>
          <w:rFonts w:ascii="Times New Roman" w:hAnsi="Times New Roman" w:cs="Times New Roman"/>
          <w:color w:val="000000" w:themeColor="text1"/>
          <w:sz w:val="24"/>
          <w:szCs w:val="24"/>
        </w:rPr>
      </w:pPr>
      <w:r w:rsidRPr="00F14904">
        <w:rPr>
          <w:rFonts w:ascii="Times New Roman" w:hAnsi="Times New Roman" w:cs="Times New Roman"/>
          <w:color w:val="000000" w:themeColor="text1"/>
          <w:sz w:val="24"/>
          <w:szCs w:val="24"/>
        </w:rPr>
        <w:t xml:space="preserve">Different bases are used when rates are calculated within each collection.  </w:t>
      </w:r>
      <w:r w:rsidRPr="00F14904" w:rsidR="00F71924">
        <w:rPr>
          <w:rFonts w:ascii="Times New Roman" w:hAnsi="Times New Roman" w:cs="Times New Roman"/>
          <w:color w:val="000000" w:themeColor="text1"/>
          <w:sz w:val="24"/>
          <w:szCs w:val="24"/>
        </w:rPr>
        <w:t xml:space="preserve">The </w:t>
      </w:r>
      <w:r w:rsidRPr="00F14904" w:rsidR="00E80DAA">
        <w:rPr>
          <w:rFonts w:ascii="Times New Roman" w:hAnsi="Times New Roman" w:cs="Times New Roman"/>
          <w:color w:val="000000" w:themeColor="text1"/>
          <w:sz w:val="24"/>
          <w:szCs w:val="24"/>
        </w:rPr>
        <w:t xml:space="preserve">FBI </w:t>
      </w:r>
      <w:r w:rsidRPr="00F14904" w:rsidR="00452147">
        <w:rPr>
          <w:rFonts w:ascii="Times New Roman" w:hAnsi="Times New Roman" w:cs="Times New Roman"/>
          <w:color w:val="000000" w:themeColor="text1"/>
          <w:sz w:val="24"/>
          <w:szCs w:val="24"/>
        </w:rPr>
        <w:t xml:space="preserve">UCR </w:t>
      </w:r>
      <w:r w:rsidRPr="00F14904" w:rsidR="00092B2F">
        <w:rPr>
          <w:rFonts w:ascii="Times New Roman" w:hAnsi="Times New Roman" w:cs="Times New Roman"/>
          <w:color w:val="000000" w:themeColor="text1"/>
          <w:sz w:val="24"/>
          <w:szCs w:val="24"/>
        </w:rPr>
        <w:t xml:space="preserve">Program </w:t>
      </w:r>
      <w:r w:rsidRPr="00F14904">
        <w:rPr>
          <w:rFonts w:ascii="Times New Roman" w:hAnsi="Times New Roman" w:cs="Times New Roman"/>
          <w:color w:val="000000" w:themeColor="text1"/>
          <w:sz w:val="24"/>
          <w:szCs w:val="24"/>
        </w:rPr>
        <w:t>uses the population as a base and presents rates as the number of crime</w:t>
      </w:r>
      <w:r w:rsidRPr="00F14904" w:rsidR="0052631A">
        <w:rPr>
          <w:rFonts w:ascii="Times New Roman" w:hAnsi="Times New Roman" w:cs="Times New Roman"/>
          <w:color w:val="000000" w:themeColor="text1"/>
          <w:sz w:val="24"/>
          <w:szCs w:val="24"/>
        </w:rPr>
        <w:t xml:space="preserve">s per 100,000 inhabitants.  </w:t>
      </w:r>
      <w:r w:rsidR="004E19A5">
        <w:rPr>
          <w:rFonts w:ascii="Times New Roman" w:hAnsi="Times New Roman" w:cs="Times New Roman"/>
          <w:color w:val="000000" w:themeColor="text1"/>
          <w:sz w:val="24"/>
          <w:szCs w:val="24"/>
        </w:rPr>
        <w:t xml:space="preserve">The </w:t>
      </w:r>
      <w:r w:rsidRPr="00F14904">
        <w:rPr>
          <w:rFonts w:ascii="Times New Roman" w:hAnsi="Times New Roman" w:cs="Times New Roman"/>
          <w:color w:val="000000" w:themeColor="text1"/>
          <w:sz w:val="24"/>
          <w:szCs w:val="24"/>
        </w:rPr>
        <w:t xml:space="preserve">NCVS uses households as the base and reports rates as the number of </w:t>
      </w:r>
      <w:r w:rsidRPr="00F14904" w:rsidR="00E80DAA">
        <w:rPr>
          <w:rFonts w:ascii="Times New Roman" w:hAnsi="Times New Roman" w:cs="Times New Roman"/>
          <w:color w:val="000000" w:themeColor="text1"/>
          <w:sz w:val="24"/>
          <w:szCs w:val="24"/>
        </w:rPr>
        <w:t>crimes per 1,000 households</w:t>
      </w:r>
      <w:r w:rsidRPr="00F14904" w:rsidR="00452147">
        <w:rPr>
          <w:rFonts w:ascii="Times New Roman" w:hAnsi="Times New Roman" w:cs="Times New Roman"/>
          <w:color w:val="000000" w:themeColor="text1"/>
          <w:sz w:val="24"/>
          <w:szCs w:val="24"/>
        </w:rPr>
        <w:t>.</w:t>
      </w:r>
      <w:r w:rsidRPr="00F14904" w:rsidR="00764624">
        <w:rPr>
          <w:rFonts w:ascii="Times New Roman" w:hAnsi="Times New Roman" w:cs="Times New Roman"/>
          <w:color w:val="000000" w:themeColor="text1"/>
          <w:sz w:val="24"/>
          <w:szCs w:val="24"/>
        </w:rPr>
        <w:t xml:space="preserve"> </w:t>
      </w:r>
      <w:r w:rsidRPr="00F14904" w:rsidR="00FE166C">
        <w:rPr>
          <w:rFonts w:ascii="Times New Roman" w:hAnsi="Times New Roman" w:cs="Times New Roman"/>
          <w:color w:val="000000" w:themeColor="text1"/>
          <w:sz w:val="24"/>
          <w:szCs w:val="24"/>
        </w:rPr>
        <w:t xml:space="preserve"> </w:t>
      </w:r>
    </w:p>
    <w:p w:rsidRPr="00F14904" w:rsidR="0052631A" w:rsidP="00FC6E82" w:rsidRDefault="0052631A" w14:paraId="08CE6F91" w14:textId="77777777">
      <w:pPr>
        <w:pStyle w:val="ListParagraph"/>
        <w:spacing w:after="0" w:line="240" w:lineRule="auto"/>
        <w:rPr>
          <w:rFonts w:ascii="Times New Roman" w:hAnsi="Times New Roman" w:cs="Times New Roman"/>
          <w:color w:val="000000" w:themeColor="text1"/>
          <w:sz w:val="24"/>
          <w:szCs w:val="24"/>
        </w:rPr>
      </w:pPr>
    </w:p>
    <w:p w:rsidR="00F14904" w:rsidP="004E19A5" w:rsidRDefault="00E40766" w14:paraId="4DBB3353" w14:textId="77777777">
      <w:pPr>
        <w:spacing w:after="0" w:line="240" w:lineRule="auto"/>
        <w:ind w:left="720"/>
        <w:contextualSpacing/>
        <w:rPr>
          <w:rFonts w:ascii="Times New Roman" w:hAnsi="Times New Roman" w:cs="Times New Roman"/>
          <w:color w:val="000000" w:themeColor="text1"/>
          <w:sz w:val="24"/>
          <w:szCs w:val="24"/>
          <w:u w:val="single"/>
        </w:rPr>
      </w:pPr>
      <w:r w:rsidRPr="00F14904">
        <w:rPr>
          <w:rFonts w:ascii="Times New Roman" w:hAnsi="Times New Roman" w:cs="Times New Roman"/>
          <w:color w:val="000000" w:themeColor="text1"/>
          <w:sz w:val="24"/>
          <w:szCs w:val="24"/>
        </w:rPr>
        <w:t>The National Highway Traffic Safety Administration (</w:t>
      </w:r>
      <w:r w:rsidRPr="00F14904" w:rsidR="00E80DAA">
        <w:rPr>
          <w:rFonts w:ascii="Times New Roman" w:hAnsi="Times New Roman" w:cs="Times New Roman"/>
          <w:color w:val="000000" w:themeColor="text1"/>
          <w:sz w:val="24"/>
          <w:szCs w:val="24"/>
        </w:rPr>
        <w:t xml:space="preserve">NHTSA) collects </w:t>
      </w:r>
      <w:r w:rsidRPr="00F14904" w:rsidR="008A19ED">
        <w:rPr>
          <w:rFonts w:ascii="Times New Roman" w:hAnsi="Times New Roman" w:cs="Times New Roman"/>
          <w:color w:val="000000" w:themeColor="text1"/>
          <w:sz w:val="24"/>
          <w:szCs w:val="24"/>
        </w:rPr>
        <w:t xml:space="preserve">information </w:t>
      </w:r>
      <w:r w:rsidRPr="00F14904" w:rsidR="00E80DAA">
        <w:rPr>
          <w:rFonts w:ascii="Times New Roman" w:hAnsi="Times New Roman" w:cs="Times New Roman"/>
          <w:color w:val="000000" w:themeColor="text1"/>
          <w:sz w:val="24"/>
          <w:szCs w:val="24"/>
        </w:rPr>
        <w:t>on alcohol-</w:t>
      </w:r>
      <w:r w:rsidRPr="00F14904">
        <w:rPr>
          <w:rFonts w:ascii="Times New Roman" w:hAnsi="Times New Roman" w:cs="Times New Roman"/>
          <w:color w:val="000000" w:themeColor="text1"/>
          <w:sz w:val="24"/>
          <w:szCs w:val="24"/>
        </w:rPr>
        <w:t>impaired driving fatalities and ha</w:t>
      </w:r>
      <w:r w:rsidRPr="00F14904" w:rsidR="008A19ED">
        <w:rPr>
          <w:rFonts w:ascii="Times New Roman" w:hAnsi="Times New Roman" w:cs="Times New Roman"/>
          <w:color w:val="000000" w:themeColor="text1"/>
          <w:sz w:val="24"/>
          <w:szCs w:val="24"/>
        </w:rPr>
        <w:t xml:space="preserve">s data available from studies about incidents involving </w:t>
      </w:r>
      <w:r w:rsidRPr="00F14904">
        <w:rPr>
          <w:rFonts w:ascii="Times New Roman" w:hAnsi="Times New Roman" w:cs="Times New Roman"/>
          <w:color w:val="000000" w:themeColor="text1"/>
          <w:sz w:val="24"/>
          <w:szCs w:val="24"/>
        </w:rPr>
        <w:t>distracted</w:t>
      </w:r>
      <w:r w:rsidRPr="00F14904" w:rsidR="008A19ED">
        <w:rPr>
          <w:rFonts w:ascii="Times New Roman" w:hAnsi="Times New Roman" w:cs="Times New Roman"/>
          <w:color w:val="000000" w:themeColor="text1"/>
          <w:sz w:val="24"/>
          <w:szCs w:val="24"/>
        </w:rPr>
        <w:t> </w:t>
      </w:r>
      <w:r w:rsidRPr="00F14904">
        <w:rPr>
          <w:rFonts w:ascii="Times New Roman" w:hAnsi="Times New Roman" w:cs="Times New Roman"/>
          <w:color w:val="000000" w:themeColor="text1"/>
          <w:sz w:val="24"/>
          <w:szCs w:val="24"/>
        </w:rPr>
        <w:t>driv</w:t>
      </w:r>
      <w:r w:rsidRPr="00F14904" w:rsidR="008A19ED">
        <w:rPr>
          <w:rFonts w:ascii="Times New Roman" w:hAnsi="Times New Roman" w:cs="Times New Roman"/>
          <w:color w:val="000000" w:themeColor="text1"/>
          <w:sz w:val="24"/>
          <w:szCs w:val="24"/>
        </w:rPr>
        <w:t>ers</w:t>
      </w:r>
      <w:r w:rsidRPr="00F14904">
        <w:rPr>
          <w:rFonts w:ascii="Times New Roman" w:hAnsi="Times New Roman" w:cs="Times New Roman"/>
          <w:color w:val="000000" w:themeColor="text1"/>
          <w:sz w:val="24"/>
          <w:szCs w:val="24"/>
        </w:rPr>
        <w:t>.</w:t>
      </w:r>
      <w:r w:rsidRPr="00F14904" w:rsidR="008A19ED">
        <w:rPr>
          <w:rFonts w:ascii="Times New Roman" w:hAnsi="Times New Roman" w:cs="Times New Roman"/>
          <w:color w:val="000000" w:themeColor="text1"/>
          <w:sz w:val="24"/>
          <w:szCs w:val="24"/>
        </w:rPr>
        <w:t xml:space="preserve">  </w:t>
      </w:r>
      <w:r w:rsidRPr="00F14904" w:rsidR="001B17C2">
        <w:rPr>
          <w:rFonts w:ascii="Times New Roman" w:hAnsi="Times New Roman" w:cs="Times New Roman"/>
          <w:color w:val="000000" w:themeColor="text1"/>
          <w:sz w:val="24"/>
          <w:szCs w:val="24"/>
        </w:rPr>
        <w:t xml:space="preserve">Currently, </w:t>
      </w:r>
      <w:r w:rsidRPr="00F14904" w:rsidR="00E80DAA">
        <w:rPr>
          <w:rFonts w:ascii="Times New Roman" w:hAnsi="Times New Roman" w:cs="Times New Roman"/>
          <w:color w:val="000000" w:themeColor="text1"/>
          <w:sz w:val="24"/>
          <w:szCs w:val="24"/>
        </w:rPr>
        <w:t>NHTSA collect</w:t>
      </w:r>
      <w:r w:rsidRPr="00F14904" w:rsidR="006D74D0">
        <w:rPr>
          <w:rFonts w:ascii="Times New Roman" w:hAnsi="Times New Roman" w:cs="Times New Roman"/>
          <w:color w:val="000000" w:themeColor="text1"/>
          <w:sz w:val="24"/>
          <w:szCs w:val="24"/>
        </w:rPr>
        <w:t>s accident data from</w:t>
      </w:r>
      <w:r w:rsidRPr="00F14904" w:rsidR="001B17C2">
        <w:rPr>
          <w:rFonts w:ascii="Times New Roman" w:hAnsi="Times New Roman" w:cs="Times New Roman"/>
          <w:color w:val="000000" w:themeColor="text1"/>
          <w:sz w:val="24"/>
          <w:szCs w:val="24"/>
        </w:rPr>
        <w:t xml:space="preserve"> </w:t>
      </w:r>
      <w:r w:rsidRPr="00F14904" w:rsidR="00F71924">
        <w:rPr>
          <w:rFonts w:ascii="Times New Roman" w:hAnsi="Times New Roman" w:cs="Times New Roman"/>
          <w:color w:val="000000" w:themeColor="text1"/>
          <w:sz w:val="24"/>
          <w:szCs w:val="24"/>
        </w:rPr>
        <w:t>34</w:t>
      </w:r>
      <w:r w:rsidRPr="00F14904" w:rsidR="001B17C2">
        <w:rPr>
          <w:rFonts w:ascii="Times New Roman" w:hAnsi="Times New Roman" w:cs="Times New Roman"/>
          <w:color w:val="000000" w:themeColor="text1"/>
          <w:sz w:val="24"/>
          <w:szCs w:val="24"/>
        </w:rPr>
        <w:t xml:space="preserve"> states </w:t>
      </w:r>
      <w:r w:rsidRPr="00F14904" w:rsidR="006D74D0">
        <w:rPr>
          <w:rFonts w:ascii="Times New Roman" w:hAnsi="Times New Roman" w:cs="Times New Roman"/>
          <w:color w:val="000000" w:themeColor="text1"/>
          <w:sz w:val="24"/>
          <w:szCs w:val="24"/>
        </w:rPr>
        <w:t>via the State Data Programs</w:t>
      </w:r>
      <w:r w:rsidRPr="00F14904" w:rsidR="001B17C2">
        <w:rPr>
          <w:rFonts w:ascii="Times New Roman" w:hAnsi="Times New Roman" w:cs="Times New Roman"/>
          <w:color w:val="000000" w:themeColor="text1"/>
          <w:sz w:val="24"/>
          <w:szCs w:val="24"/>
        </w:rPr>
        <w:t xml:space="preserve">.  </w:t>
      </w:r>
      <w:r w:rsidR="000E1B02">
        <w:rPr>
          <w:rFonts w:ascii="Times New Roman" w:hAnsi="Times New Roman" w:cs="Times New Roman"/>
          <w:color w:val="000000" w:themeColor="text1"/>
          <w:sz w:val="24"/>
          <w:szCs w:val="24"/>
        </w:rPr>
        <w:t xml:space="preserve">The </w:t>
      </w:r>
      <w:r w:rsidRPr="00F14904" w:rsidR="00E80DAA">
        <w:rPr>
          <w:rFonts w:ascii="Times New Roman" w:hAnsi="Times New Roman" w:cs="Times New Roman"/>
          <w:color w:val="000000" w:themeColor="text1"/>
          <w:sz w:val="24"/>
          <w:szCs w:val="24"/>
        </w:rPr>
        <w:t>NHTSA</w:t>
      </w:r>
      <w:r w:rsidRPr="00F14904">
        <w:rPr>
          <w:rFonts w:ascii="Times New Roman" w:hAnsi="Times New Roman" w:cs="Times New Roman"/>
          <w:color w:val="000000" w:themeColor="text1"/>
          <w:sz w:val="24"/>
          <w:szCs w:val="24"/>
        </w:rPr>
        <w:t xml:space="preserve"> </w:t>
      </w:r>
      <w:r w:rsidRPr="00F14904" w:rsidR="006D74D0">
        <w:rPr>
          <w:rFonts w:ascii="Times New Roman" w:hAnsi="Times New Roman" w:cs="Times New Roman"/>
          <w:color w:val="000000" w:themeColor="text1"/>
          <w:sz w:val="24"/>
          <w:szCs w:val="24"/>
        </w:rPr>
        <w:t xml:space="preserve">also </w:t>
      </w:r>
      <w:r w:rsidRPr="00F14904">
        <w:rPr>
          <w:rFonts w:ascii="Times New Roman" w:hAnsi="Times New Roman" w:cs="Times New Roman"/>
          <w:color w:val="000000" w:themeColor="text1"/>
          <w:sz w:val="24"/>
          <w:szCs w:val="24"/>
        </w:rPr>
        <w:t>gathers these</w:t>
      </w:r>
      <w:r w:rsidRPr="00F14904" w:rsidR="006D74D0">
        <w:rPr>
          <w:rFonts w:ascii="Times New Roman" w:hAnsi="Times New Roman" w:cs="Times New Roman"/>
          <w:color w:val="000000" w:themeColor="text1"/>
          <w:sz w:val="24"/>
          <w:szCs w:val="24"/>
        </w:rPr>
        <w:t xml:space="preserve"> and other types of vehicular</w:t>
      </w:r>
      <w:r w:rsidRPr="00F14904">
        <w:rPr>
          <w:rFonts w:ascii="Times New Roman" w:hAnsi="Times New Roman" w:cs="Times New Roman"/>
          <w:color w:val="000000" w:themeColor="text1"/>
          <w:sz w:val="24"/>
          <w:szCs w:val="24"/>
        </w:rPr>
        <w:t xml:space="preserve"> data from </w:t>
      </w:r>
      <w:r w:rsidRPr="00F14904" w:rsidR="006D74D0">
        <w:rPr>
          <w:rFonts w:ascii="Times New Roman" w:hAnsi="Times New Roman" w:cs="Times New Roman"/>
          <w:color w:val="000000" w:themeColor="text1"/>
          <w:sz w:val="24"/>
          <w:szCs w:val="24"/>
        </w:rPr>
        <w:t>the Fatality Analysis Reporting System and the National Center for Statistics and Analysis.</w:t>
      </w:r>
      <w:r w:rsidRPr="00F14904" w:rsidR="00F14904">
        <w:rPr>
          <w:rFonts w:ascii="Times New Roman" w:hAnsi="Times New Roman" w:cs="Times New Roman"/>
          <w:color w:val="000000" w:themeColor="text1"/>
          <w:sz w:val="24"/>
          <w:szCs w:val="24"/>
        </w:rPr>
        <w:t xml:space="preserve">  Although</w:t>
      </w:r>
      <w:r w:rsidRPr="00F14904" w:rsidR="006D74D0">
        <w:rPr>
          <w:rFonts w:ascii="Times New Roman" w:hAnsi="Times New Roman" w:cs="Times New Roman"/>
          <w:color w:val="000000" w:themeColor="text1"/>
          <w:sz w:val="24"/>
          <w:szCs w:val="24"/>
        </w:rPr>
        <w:t xml:space="preserve"> NHTSA</w:t>
      </w:r>
      <w:r w:rsidRPr="00F14904">
        <w:rPr>
          <w:rFonts w:ascii="Times New Roman" w:hAnsi="Times New Roman" w:cs="Times New Roman"/>
          <w:color w:val="000000" w:themeColor="text1"/>
          <w:sz w:val="24"/>
          <w:szCs w:val="24"/>
        </w:rPr>
        <w:t xml:space="preserve"> can supply data regarding the number of alcohol-related and distracted driving fatalities, it cannot provide the incident-based </w:t>
      </w:r>
      <w:r w:rsidRPr="00F14904" w:rsidR="00E80DAA">
        <w:rPr>
          <w:rFonts w:ascii="Times New Roman" w:hAnsi="Times New Roman" w:cs="Times New Roman"/>
          <w:color w:val="000000" w:themeColor="text1"/>
          <w:sz w:val="24"/>
          <w:szCs w:val="24"/>
        </w:rPr>
        <w:t xml:space="preserve">relational data provided by </w:t>
      </w:r>
      <w:r w:rsidRPr="00F14904">
        <w:rPr>
          <w:rFonts w:ascii="Times New Roman" w:hAnsi="Times New Roman" w:cs="Times New Roman"/>
          <w:color w:val="000000" w:themeColor="text1"/>
          <w:sz w:val="24"/>
          <w:szCs w:val="24"/>
        </w:rPr>
        <w:t>NIBRS.</w:t>
      </w:r>
      <w:r w:rsidRPr="00F14904" w:rsidR="008A19ED">
        <w:rPr>
          <w:rFonts w:ascii="Times New Roman" w:hAnsi="Times New Roman" w:cs="Times New Roman"/>
          <w:color w:val="000000" w:themeColor="text1"/>
          <w:sz w:val="24"/>
          <w:szCs w:val="24"/>
        </w:rPr>
        <w:t xml:space="preserve">  The data collected by both the FBI UCR Program and </w:t>
      </w:r>
      <w:r w:rsidR="004E19A5">
        <w:rPr>
          <w:rFonts w:ascii="Times New Roman" w:hAnsi="Times New Roman" w:cs="Times New Roman"/>
          <w:color w:val="000000" w:themeColor="text1"/>
          <w:sz w:val="24"/>
          <w:szCs w:val="24"/>
        </w:rPr>
        <w:t xml:space="preserve">the </w:t>
      </w:r>
      <w:r w:rsidRPr="00F14904" w:rsidR="008A19ED">
        <w:rPr>
          <w:rFonts w:ascii="Times New Roman" w:hAnsi="Times New Roman" w:cs="Times New Roman"/>
          <w:color w:val="000000" w:themeColor="text1"/>
          <w:sz w:val="24"/>
          <w:szCs w:val="24"/>
        </w:rPr>
        <w:t xml:space="preserve">NCVS allow for a better understanding of crime trends and the nature of crime in the </w:t>
      </w:r>
      <w:r w:rsidR="00F14904">
        <w:rPr>
          <w:rFonts w:ascii="Times New Roman" w:hAnsi="Times New Roman" w:cs="Times New Roman"/>
          <w:color w:val="000000" w:themeColor="text1"/>
          <w:sz w:val="24"/>
          <w:szCs w:val="24"/>
        </w:rPr>
        <w:t>nation</w:t>
      </w:r>
      <w:r w:rsidRPr="00F14904" w:rsidR="008A19ED">
        <w:rPr>
          <w:rFonts w:ascii="Times New Roman" w:hAnsi="Times New Roman" w:cs="Times New Roman"/>
          <w:color w:val="000000" w:themeColor="text1"/>
          <w:sz w:val="24"/>
          <w:szCs w:val="24"/>
        </w:rPr>
        <w:t>.</w:t>
      </w:r>
      <w:r w:rsidR="00F14904">
        <w:rPr>
          <w:rFonts w:ascii="Times New Roman" w:hAnsi="Times New Roman" w:cs="Times New Roman"/>
          <w:color w:val="000000" w:themeColor="text1"/>
          <w:sz w:val="24"/>
          <w:szCs w:val="24"/>
          <w:u w:val="single"/>
        </w:rPr>
        <w:br w:type="page"/>
      </w:r>
    </w:p>
    <w:p w:rsidRPr="00F14904" w:rsidR="008417BF" w:rsidP="00FC6E82" w:rsidRDefault="00764624" w14:paraId="116B7782" w14:textId="77777777">
      <w:pPr>
        <w:pStyle w:val="ListParagraph"/>
        <w:numPr>
          <w:ilvl w:val="0"/>
          <w:numId w:val="4"/>
        </w:numPr>
        <w:spacing w:after="0" w:line="240" w:lineRule="auto"/>
        <w:rPr>
          <w:rFonts w:ascii="Times New Roman" w:hAnsi="Times New Roman" w:cs="Times New Roman"/>
          <w:color w:val="000000" w:themeColor="text1"/>
          <w:sz w:val="24"/>
          <w:szCs w:val="24"/>
        </w:rPr>
      </w:pPr>
      <w:r w:rsidRPr="00F14904">
        <w:rPr>
          <w:rFonts w:ascii="Times New Roman" w:hAnsi="Times New Roman" w:cs="Times New Roman"/>
          <w:color w:val="000000" w:themeColor="text1"/>
          <w:sz w:val="24"/>
          <w:szCs w:val="24"/>
          <w:u w:val="single"/>
        </w:rPr>
        <w:lastRenderedPageBreak/>
        <w:t xml:space="preserve">Minimizing Burden on Small </w:t>
      </w:r>
      <w:r w:rsidRPr="00F14904" w:rsidR="00E80DAA">
        <w:rPr>
          <w:rFonts w:ascii="Times New Roman" w:hAnsi="Times New Roman" w:cs="Times New Roman"/>
          <w:color w:val="000000" w:themeColor="text1"/>
          <w:sz w:val="24"/>
          <w:szCs w:val="24"/>
          <w:u w:val="single"/>
        </w:rPr>
        <w:t>LEAs</w:t>
      </w:r>
    </w:p>
    <w:p w:rsidRPr="00F14904" w:rsidR="00764624" w:rsidP="00FC6E82" w:rsidRDefault="00764624" w14:paraId="61CDCEAD" w14:textId="77777777">
      <w:pPr>
        <w:pStyle w:val="ListParagraph"/>
        <w:spacing w:after="0" w:line="240" w:lineRule="auto"/>
        <w:rPr>
          <w:rFonts w:ascii="Times New Roman" w:hAnsi="Times New Roman" w:cs="Times New Roman"/>
          <w:color w:val="000000" w:themeColor="text1"/>
          <w:sz w:val="24"/>
          <w:szCs w:val="24"/>
          <w:u w:val="single"/>
        </w:rPr>
      </w:pPr>
    </w:p>
    <w:p w:rsidRPr="0065486C" w:rsidR="00F71924" w:rsidP="00FC6E82" w:rsidRDefault="00F71924" w14:paraId="0D268724" w14:textId="77777777">
      <w:pPr>
        <w:pStyle w:val="ListParagraph"/>
        <w:spacing w:after="0" w:line="240" w:lineRule="auto"/>
        <w:rPr>
          <w:rFonts w:ascii="Times New Roman" w:hAnsi="Times New Roman" w:cs="Times New Roman"/>
          <w:color w:val="000000" w:themeColor="text1"/>
          <w:sz w:val="24"/>
          <w:szCs w:val="24"/>
        </w:rPr>
      </w:pPr>
      <w:r w:rsidRPr="00F14904">
        <w:rPr>
          <w:rFonts w:ascii="Times New Roman" w:hAnsi="Times New Roman" w:cs="Times New Roman"/>
          <w:color w:val="000000" w:themeColor="text1"/>
          <w:sz w:val="24"/>
          <w:szCs w:val="24"/>
        </w:rPr>
        <w:t xml:space="preserve">This information will have no significant impact on small LEAs.  The law enforcement community requests a monthly collection of forms since police records are run by calendar month.  However, the FBI minimizes the burden on small LEAs by allowing them to submit data quarterly, semiannually, or annually.  Although </w:t>
      </w:r>
      <w:r w:rsidRPr="0065486C">
        <w:rPr>
          <w:rFonts w:ascii="Times New Roman" w:hAnsi="Times New Roman" w:cs="Times New Roman"/>
          <w:color w:val="000000" w:themeColor="text1"/>
          <w:sz w:val="24"/>
          <w:szCs w:val="24"/>
        </w:rPr>
        <w:t>monthly data submissions are recommended, agencies can submit data at intervals that minimize their burden upon approval by the FBI UCR Program.</w:t>
      </w:r>
    </w:p>
    <w:p w:rsidR="00F71924" w:rsidP="00B068E6" w:rsidRDefault="00F71924" w14:paraId="6BB9E253" w14:textId="77777777">
      <w:pPr>
        <w:spacing w:after="0" w:line="240" w:lineRule="auto"/>
        <w:rPr>
          <w:rFonts w:ascii="Times New Roman" w:hAnsi="Times New Roman" w:cs="Times New Roman"/>
          <w:color w:val="000000" w:themeColor="text1"/>
          <w:sz w:val="24"/>
          <w:szCs w:val="24"/>
        </w:rPr>
      </w:pPr>
    </w:p>
    <w:p w:rsidRPr="00B068E6" w:rsidR="00B068E6" w:rsidP="00B068E6" w:rsidRDefault="00B068E6" w14:paraId="23DE523C" w14:textId="77777777">
      <w:pPr>
        <w:spacing w:after="0" w:line="240" w:lineRule="auto"/>
        <w:rPr>
          <w:rFonts w:ascii="Times New Roman" w:hAnsi="Times New Roman" w:cs="Times New Roman"/>
          <w:color w:val="000000" w:themeColor="text1"/>
          <w:sz w:val="24"/>
          <w:szCs w:val="24"/>
        </w:rPr>
      </w:pPr>
    </w:p>
    <w:p w:rsidRPr="0065486C" w:rsidR="00764624" w:rsidP="00FC6E82" w:rsidRDefault="00764624" w14:paraId="14E09368" w14:textId="77777777">
      <w:pPr>
        <w:pStyle w:val="ListParagraph"/>
        <w:numPr>
          <w:ilvl w:val="0"/>
          <w:numId w:val="4"/>
        </w:numPr>
        <w:spacing w:after="0" w:line="240" w:lineRule="auto"/>
        <w:rPr>
          <w:rFonts w:ascii="Times New Roman" w:hAnsi="Times New Roman" w:cs="Times New Roman"/>
          <w:color w:val="000000" w:themeColor="text1"/>
          <w:sz w:val="24"/>
          <w:szCs w:val="24"/>
        </w:rPr>
      </w:pPr>
      <w:r w:rsidRPr="0065486C">
        <w:rPr>
          <w:rFonts w:ascii="Times New Roman" w:hAnsi="Times New Roman" w:cs="Times New Roman"/>
          <w:color w:val="000000" w:themeColor="text1"/>
          <w:sz w:val="24"/>
          <w:szCs w:val="24"/>
          <w:u w:val="single"/>
        </w:rPr>
        <w:t>Consequences of Not Conducting</w:t>
      </w:r>
      <w:r w:rsidRPr="0065486C" w:rsidR="00E80DAA">
        <w:rPr>
          <w:rFonts w:ascii="Times New Roman" w:hAnsi="Times New Roman" w:cs="Times New Roman"/>
          <w:color w:val="000000" w:themeColor="text1"/>
          <w:sz w:val="24"/>
          <w:szCs w:val="24"/>
          <w:u w:val="single"/>
        </w:rPr>
        <w:t>,</w:t>
      </w:r>
      <w:r w:rsidRPr="0065486C">
        <w:rPr>
          <w:rFonts w:ascii="Times New Roman" w:hAnsi="Times New Roman" w:cs="Times New Roman"/>
          <w:color w:val="000000" w:themeColor="text1"/>
          <w:sz w:val="24"/>
          <w:szCs w:val="24"/>
          <w:u w:val="single"/>
        </w:rPr>
        <w:t xml:space="preserve"> or Less Frequent</w:t>
      </w:r>
      <w:r w:rsidRPr="0065486C" w:rsidR="00E80DAA">
        <w:rPr>
          <w:rFonts w:ascii="Times New Roman" w:hAnsi="Times New Roman" w:cs="Times New Roman"/>
          <w:color w:val="000000" w:themeColor="text1"/>
          <w:sz w:val="24"/>
          <w:szCs w:val="24"/>
          <w:u w:val="single"/>
        </w:rPr>
        <w:t>,</w:t>
      </w:r>
      <w:r w:rsidRPr="0065486C">
        <w:rPr>
          <w:rFonts w:ascii="Times New Roman" w:hAnsi="Times New Roman" w:cs="Times New Roman"/>
          <w:color w:val="000000" w:themeColor="text1"/>
          <w:sz w:val="24"/>
          <w:szCs w:val="24"/>
          <w:u w:val="single"/>
        </w:rPr>
        <w:t xml:space="preserve"> Collecti</w:t>
      </w:r>
      <w:r w:rsidRPr="00F14904">
        <w:rPr>
          <w:rFonts w:ascii="Times New Roman" w:hAnsi="Times New Roman" w:cs="Times New Roman"/>
          <w:color w:val="000000" w:themeColor="text1"/>
          <w:sz w:val="24"/>
          <w:szCs w:val="24"/>
          <w:u w:val="single"/>
        </w:rPr>
        <w:t>on</w:t>
      </w:r>
    </w:p>
    <w:p w:rsidRPr="0065486C" w:rsidR="00764624" w:rsidP="00FC6E82" w:rsidRDefault="00764624" w14:paraId="52E56223" w14:textId="77777777">
      <w:pPr>
        <w:pStyle w:val="ListParagraph"/>
        <w:spacing w:after="0" w:line="240" w:lineRule="auto"/>
        <w:rPr>
          <w:rFonts w:ascii="Times New Roman" w:hAnsi="Times New Roman" w:cs="Times New Roman"/>
          <w:color w:val="000000" w:themeColor="text1"/>
          <w:sz w:val="24"/>
          <w:szCs w:val="24"/>
          <w:u w:val="single"/>
        </w:rPr>
      </w:pPr>
    </w:p>
    <w:p w:rsidRPr="0065486C" w:rsidR="00F71924" w:rsidP="00FC6E82" w:rsidRDefault="00C66A13" w14:paraId="63022C5D" w14:textId="77777777">
      <w:pPr>
        <w:pStyle w:val="ListParagraph"/>
        <w:spacing w:after="0" w:line="240" w:lineRule="auto"/>
        <w:rPr>
          <w:rFonts w:ascii="Times New Roman" w:hAnsi="Times New Roman" w:cs="Times New Roman"/>
          <w:color w:val="000000" w:themeColor="text1"/>
          <w:sz w:val="24"/>
          <w:szCs w:val="24"/>
        </w:rPr>
      </w:pPr>
      <w:r w:rsidRPr="0065486C">
        <w:rPr>
          <w:rFonts w:ascii="Times New Roman" w:hAnsi="Times New Roman" w:cs="Times New Roman"/>
          <w:color w:val="000000" w:themeColor="text1"/>
          <w:sz w:val="24"/>
          <w:szCs w:val="24"/>
        </w:rPr>
        <w:t>In order to serve as the nationa</w:t>
      </w:r>
      <w:r w:rsidR="0052631A">
        <w:rPr>
          <w:rFonts w:ascii="Times New Roman" w:hAnsi="Times New Roman" w:cs="Times New Roman"/>
          <w:color w:val="000000" w:themeColor="text1"/>
          <w:sz w:val="24"/>
          <w:szCs w:val="24"/>
        </w:rPr>
        <w:t>l repository for crime data</w:t>
      </w:r>
      <w:r w:rsidRPr="0065486C">
        <w:rPr>
          <w:rFonts w:ascii="Times New Roman" w:hAnsi="Times New Roman" w:cs="Times New Roman"/>
          <w:color w:val="000000" w:themeColor="text1"/>
          <w:sz w:val="24"/>
          <w:szCs w:val="24"/>
        </w:rPr>
        <w:t xml:space="preserve"> and to produce a reliable dataset,</w:t>
      </w:r>
      <w:r w:rsidR="003364F8">
        <w:rPr>
          <w:rFonts w:ascii="Times New Roman" w:hAnsi="Times New Roman" w:cs="Times New Roman"/>
          <w:color w:val="000000" w:themeColor="text1"/>
          <w:sz w:val="24"/>
          <w:szCs w:val="24"/>
        </w:rPr>
        <w:t xml:space="preserve"> </w:t>
      </w:r>
      <w:r w:rsidRPr="0065486C" w:rsidR="006D74D0">
        <w:rPr>
          <w:rFonts w:ascii="Times New Roman" w:hAnsi="Times New Roman" w:cs="Times New Roman"/>
          <w:color w:val="000000" w:themeColor="text1"/>
          <w:sz w:val="24"/>
          <w:szCs w:val="24"/>
        </w:rPr>
        <w:t>NIBRS LEAs and state UCR programs submit data monthly.</w:t>
      </w:r>
      <w:r w:rsidRPr="0065486C" w:rsidR="00F71924">
        <w:rPr>
          <w:rFonts w:ascii="Times New Roman" w:hAnsi="Times New Roman" w:cs="Times New Roman"/>
          <w:color w:val="000000" w:themeColor="text1"/>
          <w:sz w:val="24"/>
          <w:szCs w:val="24"/>
        </w:rPr>
        <w:t xml:space="preserve">  In preparation for submitting data to the FBI UCR Program, LEAs participating in NIBRS extract</w:t>
      </w:r>
      <w:r w:rsidR="0052631A">
        <w:rPr>
          <w:rFonts w:ascii="Times New Roman" w:hAnsi="Times New Roman" w:cs="Times New Roman"/>
          <w:color w:val="000000" w:themeColor="text1"/>
          <w:sz w:val="24"/>
          <w:szCs w:val="24"/>
        </w:rPr>
        <w:t xml:space="preserve"> only the data required from their</w:t>
      </w:r>
      <w:r w:rsidRPr="0065486C" w:rsidR="00F71924">
        <w:rPr>
          <w:rFonts w:ascii="Times New Roman" w:hAnsi="Times New Roman" w:cs="Times New Roman"/>
          <w:color w:val="000000" w:themeColor="text1"/>
          <w:sz w:val="24"/>
          <w:szCs w:val="24"/>
        </w:rPr>
        <w:t xml:space="preserve"> </w:t>
      </w:r>
      <w:r w:rsidR="008A19ED">
        <w:rPr>
          <w:rFonts w:ascii="Times New Roman" w:hAnsi="Times New Roman" w:cs="Times New Roman"/>
          <w:color w:val="000000" w:themeColor="text1"/>
          <w:sz w:val="24"/>
          <w:szCs w:val="24"/>
        </w:rPr>
        <w:t xml:space="preserve">own </w:t>
      </w:r>
      <w:r w:rsidRPr="0065486C" w:rsidR="00F71924">
        <w:rPr>
          <w:rFonts w:ascii="Times New Roman" w:hAnsi="Times New Roman" w:cs="Times New Roman"/>
          <w:color w:val="000000" w:themeColor="text1"/>
          <w:sz w:val="24"/>
          <w:szCs w:val="24"/>
        </w:rPr>
        <w:t xml:space="preserve">IBR system for submission to the FBI.  </w:t>
      </w:r>
    </w:p>
    <w:p w:rsidRPr="0065486C" w:rsidR="00F71924" w:rsidP="00FC6E82" w:rsidRDefault="00F71924" w14:paraId="07547A01" w14:textId="77777777">
      <w:pPr>
        <w:pStyle w:val="ListParagraph"/>
        <w:spacing w:after="0" w:line="240" w:lineRule="auto"/>
        <w:rPr>
          <w:rFonts w:ascii="Times New Roman" w:hAnsi="Times New Roman" w:cs="Times New Roman"/>
          <w:color w:val="000000" w:themeColor="text1"/>
          <w:sz w:val="24"/>
          <w:szCs w:val="24"/>
        </w:rPr>
      </w:pPr>
    </w:p>
    <w:p w:rsidRPr="0065486C" w:rsidR="003E63CE" w:rsidP="00FC6E82" w:rsidRDefault="00884926" w14:paraId="26F8D57E" w14:textId="77777777">
      <w:pPr>
        <w:pStyle w:val="ListParagraph"/>
        <w:spacing w:after="0" w:line="240" w:lineRule="auto"/>
        <w:rPr>
          <w:rFonts w:ascii="Times New Roman" w:hAnsi="Times New Roman" w:cs="Times New Roman"/>
          <w:color w:val="000000" w:themeColor="text1"/>
          <w:sz w:val="24"/>
          <w:szCs w:val="24"/>
        </w:rPr>
      </w:pPr>
      <w:r w:rsidRPr="0065486C">
        <w:rPr>
          <w:rFonts w:ascii="Times New Roman" w:hAnsi="Times New Roman" w:cs="Times New Roman"/>
          <w:color w:val="000000" w:themeColor="text1"/>
          <w:sz w:val="24"/>
          <w:szCs w:val="24"/>
        </w:rPr>
        <w:t>Conducting this</w:t>
      </w:r>
      <w:r w:rsidR="0052631A">
        <w:rPr>
          <w:rFonts w:ascii="Times New Roman" w:hAnsi="Times New Roman" w:cs="Times New Roman"/>
          <w:color w:val="000000" w:themeColor="text1"/>
          <w:sz w:val="24"/>
          <w:szCs w:val="24"/>
        </w:rPr>
        <w:t xml:space="preserve"> collection less frequently could</w:t>
      </w:r>
      <w:r w:rsidRPr="0065486C">
        <w:rPr>
          <w:rFonts w:ascii="Times New Roman" w:hAnsi="Times New Roman" w:cs="Times New Roman"/>
          <w:color w:val="000000" w:themeColor="text1"/>
          <w:sz w:val="24"/>
          <w:szCs w:val="24"/>
        </w:rPr>
        <w:t xml:space="preserve"> result in oversized data files and </w:t>
      </w:r>
      <w:r w:rsidR="008A19ED">
        <w:rPr>
          <w:rFonts w:ascii="Times New Roman" w:hAnsi="Times New Roman" w:cs="Times New Roman"/>
          <w:color w:val="000000" w:themeColor="text1"/>
          <w:sz w:val="24"/>
          <w:szCs w:val="24"/>
        </w:rPr>
        <w:t>potentially</w:t>
      </w:r>
      <w:r w:rsidRPr="0065486C" w:rsidR="00EE391A">
        <w:rPr>
          <w:rFonts w:ascii="Times New Roman" w:hAnsi="Times New Roman" w:cs="Times New Roman"/>
          <w:color w:val="000000" w:themeColor="text1"/>
          <w:sz w:val="24"/>
          <w:szCs w:val="24"/>
        </w:rPr>
        <w:t xml:space="preserve"> overtax </w:t>
      </w:r>
      <w:r w:rsidRPr="0065486C" w:rsidR="00AE0D5F">
        <w:rPr>
          <w:rFonts w:ascii="Times New Roman" w:hAnsi="Times New Roman" w:cs="Times New Roman"/>
          <w:color w:val="000000" w:themeColor="text1"/>
          <w:sz w:val="24"/>
          <w:szCs w:val="24"/>
        </w:rPr>
        <w:t>agencies</w:t>
      </w:r>
      <w:r w:rsidRPr="0065486C" w:rsidR="00F71924">
        <w:rPr>
          <w:rFonts w:ascii="Times New Roman" w:hAnsi="Times New Roman" w:cs="Times New Roman"/>
          <w:color w:val="000000" w:themeColor="text1"/>
          <w:sz w:val="24"/>
          <w:szCs w:val="24"/>
        </w:rPr>
        <w:t>’</w:t>
      </w:r>
      <w:r w:rsidRPr="0065486C" w:rsidR="00AE0D5F">
        <w:rPr>
          <w:rFonts w:ascii="Times New Roman" w:hAnsi="Times New Roman" w:cs="Times New Roman"/>
          <w:color w:val="000000" w:themeColor="text1"/>
          <w:sz w:val="24"/>
          <w:szCs w:val="24"/>
        </w:rPr>
        <w:t xml:space="preserve"> IBR systems when</w:t>
      </w:r>
      <w:r w:rsidRPr="0065486C">
        <w:rPr>
          <w:rFonts w:ascii="Times New Roman" w:hAnsi="Times New Roman" w:cs="Times New Roman"/>
          <w:color w:val="000000" w:themeColor="text1"/>
          <w:sz w:val="24"/>
          <w:szCs w:val="24"/>
        </w:rPr>
        <w:t xml:space="preserve"> files</w:t>
      </w:r>
      <w:r w:rsidR="0052631A">
        <w:rPr>
          <w:rFonts w:ascii="Times New Roman" w:hAnsi="Times New Roman" w:cs="Times New Roman"/>
          <w:color w:val="000000" w:themeColor="text1"/>
          <w:sz w:val="24"/>
          <w:szCs w:val="24"/>
        </w:rPr>
        <w:t xml:space="preserve"> are downloaded</w:t>
      </w:r>
      <w:r w:rsidRPr="0065486C" w:rsidR="00AE0D5F">
        <w:rPr>
          <w:rFonts w:ascii="Times New Roman" w:hAnsi="Times New Roman" w:cs="Times New Roman"/>
          <w:color w:val="000000" w:themeColor="text1"/>
          <w:sz w:val="24"/>
          <w:szCs w:val="24"/>
        </w:rPr>
        <w:t>.</w:t>
      </w:r>
      <w:r w:rsidRPr="0065486C">
        <w:rPr>
          <w:rFonts w:ascii="Times New Roman" w:hAnsi="Times New Roman" w:cs="Times New Roman"/>
          <w:color w:val="000000" w:themeColor="text1"/>
          <w:sz w:val="24"/>
          <w:szCs w:val="24"/>
        </w:rPr>
        <w:t xml:space="preserve">  At this time, it takes approximately two hours to extrac</w:t>
      </w:r>
      <w:r w:rsidRPr="0065486C" w:rsidR="00E414AC">
        <w:rPr>
          <w:rFonts w:ascii="Times New Roman" w:hAnsi="Times New Roman" w:cs="Times New Roman"/>
          <w:color w:val="000000" w:themeColor="text1"/>
          <w:sz w:val="24"/>
          <w:szCs w:val="24"/>
        </w:rPr>
        <w:t>t a NIBRS monthly submission fro</w:t>
      </w:r>
      <w:r w:rsidRPr="0065486C" w:rsidR="00F71924">
        <w:rPr>
          <w:rFonts w:ascii="Times New Roman" w:hAnsi="Times New Roman" w:cs="Times New Roman"/>
          <w:color w:val="000000" w:themeColor="text1"/>
          <w:sz w:val="24"/>
          <w:szCs w:val="24"/>
        </w:rPr>
        <w:t>m an agency</w:t>
      </w:r>
      <w:r w:rsidR="008A19ED">
        <w:rPr>
          <w:rFonts w:ascii="Times New Roman" w:hAnsi="Times New Roman" w:cs="Times New Roman"/>
          <w:color w:val="000000" w:themeColor="text1"/>
          <w:sz w:val="24"/>
          <w:szCs w:val="24"/>
        </w:rPr>
        <w:t>’</w:t>
      </w:r>
      <w:r w:rsidRPr="0065486C" w:rsidR="00F71924">
        <w:rPr>
          <w:rFonts w:ascii="Times New Roman" w:hAnsi="Times New Roman" w:cs="Times New Roman"/>
          <w:color w:val="000000" w:themeColor="text1"/>
          <w:sz w:val="24"/>
          <w:szCs w:val="24"/>
        </w:rPr>
        <w:t>s</w:t>
      </w:r>
      <w:r w:rsidRPr="0065486C">
        <w:rPr>
          <w:rFonts w:ascii="Times New Roman" w:hAnsi="Times New Roman" w:cs="Times New Roman"/>
          <w:color w:val="000000" w:themeColor="text1"/>
          <w:sz w:val="24"/>
          <w:szCs w:val="24"/>
        </w:rPr>
        <w:t xml:space="preserve"> IBR system.</w:t>
      </w:r>
      <w:r w:rsidR="008A19ED">
        <w:rPr>
          <w:rFonts w:ascii="Times New Roman" w:hAnsi="Times New Roman" w:cs="Times New Roman"/>
          <w:color w:val="000000" w:themeColor="text1"/>
          <w:sz w:val="24"/>
          <w:szCs w:val="24"/>
        </w:rPr>
        <w:t xml:space="preserve">  After submitting </w:t>
      </w:r>
      <w:r w:rsidR="005B719C">
        <w:rPr>
          <w:rFonts w:ascii="Times New Roman" w:hAnsi="Times New Roman" w:cs="Times New Roman"/>
          <w:color w:val="000000" w:themeColor="text1"/>
          <w:sz w:val="24"/>
          <w:szCs w:val="24"/>
        </w:rPr>
        <w:t>data</w:t>
      </w:r>
      <w:r w:rsidRPr="0065486C" w:rsidR="00BA28C7">
        <w:rPr>
          <w:rFonts w:ascii="Times New Roman" w:hAnsi="Times New Roman" w:cs="Times New Roman"/>
          <w:color w:val="000000" w:themeColor="text1"/>
          <w:sz w:val="24"/>
          <w:szCs w:val="24"/>
        </w:rPr>
        <w:t xml:space="preserve"> to the FBI, the state UCR p</w:t>
      </w:r>
      <w:r w:rsidRPr="0065486C">
        <w:rPr>
          <w:rFonts w:ascii="Times New Roman" w:hAnsi="Times New Roman" w:cs="Times New Roman"/>
          <w:color w:val="000000" w:themeColor="text1"/>
          <w:sz w:val="24"/>
          <w:szCs w:val="24"/>
        </w:rPr>
        <w:t xml:space="preserve">rograms expect a </w:t>
      </w:r>
      <w:r w:rsidR="005B719C">
        <w:rPr>
          <w:rFonts w:ascii="Times New Roman" w:hAnsi="Times New Roman" w:cs="Times New Roman"/>
          <w:color w:val="000000" w:themeColor="text1"/>
          <w:sz w:val="24"/>
          <w:szCs w:val="24"/>
        </w:rPr>
        <w:t xml:space="preserve">timely response regarding any </w:t>
      </w:r>
      <w:r w:rsidRPr="0065486C">
        <w:rPr>
          <w:rFonts w:ascii="Times New Roman" w:hAnsi="Times New Roman" w:cs="Times New Roman"/>
          <w:color w:val="000000" w:themeColor="text1"/>
          <w:sz w:val="24"/>
          <w:szCs w:val="24"/>
        </w:rPr>
        <w:t>errors.</w:t>
      </w:r>
      <w:r w:rsidRPr="0065486C" w:rsidR="00E414AC">
        <w:rPr>
          <w:rFonts w:ascii="Times New Roman" w:hAnsi="Times New Roman" w:cs="Times New Roman"/>
          <w:color w:val="000000" w:themeColor="text1"/>
          <w:sz w:val="24"/>
          <w:szCs w:val="24"/>
        </w:rPr>
        <w:t xml:space="preserve"> </w:t>
      </w:r>
      <w:r w:rsidRPr="0065486C" w:rsidR="00F71924">
        <w:rPr>
          <w:rFonts w:ascii="Times New Roman" w:hAnsi="Times New Roman" w:cs="Times New Roman"/>
          <w:color w:val="000000" w:themeColor="text1"/>
          <w:sz w:val="24"/>
          <w:szCs w:val="24"/>
        </w:rPr>
        <w:t xml:space="preserve"> </w:t>
      </w:r>
      <w:r w:rsidRPr="0065486C">
        <w:rPr>
          <w:rFonts w:ascii="Times New Roman" w:hAnsi="Times New Roman" w:cs="Times New Roman"/>
          <w:color w:val="000000" w:themeColor="text1"/>
          <w:sz w:val="24"/>
          <w:szCs w:val="24"/>
        </w:rPr>
        <w:t xml:space="preserve">In order for the FBI to </w:t>
      </w:r>
      <w:r w:rsidR="005B719C">
        <w:rPr>
          <w:rFonts w:ascii="Times New Roman" w:hAnsi="Times New Roman" w:cs="Times New Roman"/>
          <w:color w:val="000000" w:themeColor="text1"/>
          <w:sz w:val="24"/>
          <w:szCs w:val="24"/>
        </w:rPr>
        <w:t xml:space="preserve">conduct a </w:t>
      </w:r>
      <w:r w:rsidRPr="0065486C">
        <w:rPr>
          <w:rFonts w:ascii="Times New Roman" w:hAnsi="Times New Roman" w:cs="Times New Roman"/>
          <w:color w:val="000000" w:themeColor="text1"/>
          <w:sz w:val="24"/>
          <w:szCs w:val="24"/>
        </w:rPr>
        <w:t>thorough</w:t>
      </w:r>
      <w:r w:rsidR="005B719C">
        <w:rPr>
          <w:rFonts w:ascii="Times New Roman" w:hAnsi="Times New Roman" w:cs="Times New Roman"/>
          <w:color w:val="000000" w:themeColor="text1"/>
          <w:sz w:val="24"/>
          <w:szCs w:val="24"/>
        </w:rPr>
        <w:t xml:space="preserve"> quality </w:t>
      </w:r>
      <w:r w:rsidRPr="0065486C">
        <w:rPr>
          <w:rFonts w:ascii="Times New Roman" w:hAnsi="Times New Roman" w:cs="Times New Roman"/>
          <w:color w:val="000000" w:themeColor="text1"/>
          <w:sz w:val="24"/>
          <w:szCs w:val="24"/>
        </w:rPr>
        <w:t xml:space="preserve">review and provide </w:t>
      </w:r>
      <w:r w:rsidR="005B719C">
        <w:rPr>
          <w:rFonts w:ascii="Times New Roman" w:hAnsi="Times New Roman" w:cs="Times New Roman"/>
          <w:color w:val="000000" w:themeColor="text1"/>
          <w:sz w:val="24"/>
          <w:szCs w:val="24"/>
        </w:rPr>
        <w:t xml:space="preserve">a prompt response, </w:t>
      </w:r>
      <w:r w:rsidRPr="0065486C">
        <w:rPr>
          <w:rFonts w:ascii="Times New Roman" w:hAnsi="Times New Roman" w:cs="Times New Roman"/>
          <w:color w:val="000000" w:themeColor="text1"/>
          <w:sz w:val="24"/>
          <w:szCs w:val="24"/>
        </w:rPr>
        <w:t xml:space="preserve">the data </w:t>
      </w:r>
      <w:r w:rsidR="005B719C">
        <w:rPr>
          <w:rFonts w:ascii="Times New Roman" w:hAnsi="Times New Roman" w:cs="Times New Roman"/>
          <w:color w:val="000000" w:themeColor="text1"/>
          <w:sz w:val="24"/>
          <w:szCs w:val="24"/>
        </w:rPr>
        <w:t>should</w:t>
      </w:r>
      <w:r w:rsidRPr="0065486C">
        <w:rPr>
          <w:rFonts w:ascii="Times New Roman" w:hAnsi="Times New Roman" w:cs="Times New Roman"/>
          <w:color w:val="000000" w:themeColor="text1"/>
          <w:sz w:val="24"/>
          <w:szCs w:val="24"/>
        </w:rPr>
        <w:t xml:space="preserve"> be </w:t>
      </w:r>
      <w:r w:rsidR="005B719C">
        <w:rPr>
          <w:rFonts w:ascii="Times New Roman" w:hAnsi="Times New Roman" w:cs="Times New Roman"/>
          <w:color w:val="000000" w:themeColor="text1"/>
          <w:sz w:val="24"/>
          <w:szCs w:val="24"/>
        </w:rPr>
        <w:t xml:space="preserve">submitted </w:t>
      </w:r>
      <w:r w:rsidRPr="0065486C">
        <w:rPr>
          <w:rFonts w:ascii="Times New Roman" w:hAnsi="Times New Roman" w:cs="Times New Roman"/>
          <w:color w:val="000000" w:themeColor="text1"/>
          <w:sz w:val="24"/>
          <w:szCs w:val="24"/>
        </w:rPr>
        <w:t>according to</w:t>
      </w:r>
      <w:r w:rsidR="005B719C">
        <w:rPr>
          <w:rFonts w:ascii="Times New Roman" w:hAnsi="Times New Roman" w:cs="Times New Roman"/>
          <w:color w:val="000000" w:themeColor="text1"/>
          <w:sz w:val="24"/>
          <w:szCs w:val="24"/>
        </w:rPr>
        <w:t xml:space="preserve"> FBI UCR Program </w:t>
      </w:r>
      <w:r w:rsidRPr="0065486C">
        <w:rPr>
          <w:rFonts w:ascii="Times New Roman" w:hAnsi="Times New Roman" w:cs="Times New Roman"/>
          <w:color w:val="000000" w:themeColor="text1"/>
          <w:sz w:val="24"/>
          <w:szCs w:val="24"/>
        </w:rPr>
        <w:t>standards and deadlines.</w:t>
      </w:r>
    </w:p>
    <w:p w:rsidRPr="0065486C" w:rsidR="003E63CE" w:rsidP="00FC6E82" w:rsidRDefault="003E63CE" w14:paraId="5043CB0F" w14:textId="77777777">
      <w:pPr>
        <w:pStyle w:val="ListParagraph"/>
        <w:spacing w:after="0" w:line="240" w:lineRule="auto"/>
        <w:rPr>
          <w:rFonts w:ascii="Times New Roman" w:hAnsi="Times New Roman" w:cs="Times New Roman"/>
          <w:color w:val="000000" w:themeColor="text1"/>
          <w:sz w:val="24"/>
          <w:szCs w:val="24"/>
        </w:rPr>
      </w:pPr>
    </w:p>
    <w:p w:rsidRPr="0065486C" w:rsidR="0081736F" w:rsidP="00FC6E82" w:rsidRDefault="003E63CE" w14:paraId="7FF55F2C" w14:textId="08E7D3A5">
      <w:pPr>
        <w:pStyle w:val="ListParagraph"/>
        <w:spacing w:after="0" w:line="240" w:lineRule="auto"/>
        <w:ind w:right="-90"/>
        <w:rPr>
          <w:rFonts w:ascii="Times New Roman" w:hAnsi="Times New Roman" w:cs="Times New Roman"/>
          <w:color w:val="000000" w:themeColor="text1"/>
          <w:sz w:val="24"/>
          <w:szCs w:val="24"/>
        </w:rPr>
      </w:pPr>
      <w:r w:rsidRPr="0065486C">
        <w:rPr>
          <w:rFonts w:ascii="Times New Roman" w:hAnsi="Times New Roman" w:cs="Times New Roman"/>
          <w:color w:val="000000" w:themeColor="text1"/>
          <w:sz w:val="24"/>
          <w:szCs w:val="24"/>
        </w:rPr>
        <w:t xml:space="preserve">The </w:t>
      </w:r>
      <w:r w:rsidRPr="0065486C" w:rsidR="00E80DAA">
        <w:rPr>
          <w:rFonts w:ascii="Times New Roman" w:hAnsi="Times New Roman" w:cs="Times New Roman"/>
          <w:color w:val="000000" w:themeColor="text1"/>
          <w:sz w:val="24"/>
          <w:szCs w:val="24"/>
        </w:rPr>
        <w:t>FBI</w:t>
      </w:r>
      <w:r w:rsidRPr="0065486C">
        <w:rPr>
          <w:rFonts w:ascii="Times New Roman" w:hAnsi="Times New Roman" w:cs="Times New Roman"/>
          <w:color w:val="000000" w:themeColor="text1"/>
          <w:sz w:val="24"/>
          <w:szCs w:val="24"/>
        </w:rPr>
        <w:t xml:space="preserve"> UCR Program is</w:t>
      </w:r>
      <w:r w:rsidR="005A6453">
        <w:rPr>
          <w:rFonts w:ascii="Times New Roman" w:hAnsi="Times New Roman" w:cs="Times New Roman"/>
          <w:color w:val="000000" w:themeColor="text1"/>
          <w:sz w:val="24"/>
          <w:szCs w:val="24"/>
        </w:rPr>
        <w:t xml:space="preserve"> developing the </w:t>
      </w:r>
      <w:r w:rsidR="005B719C">
        <w:rPr>
          <w:rFonts w:ascii="Times New Roman" w:hAnsi="Times New Roman" w:cs="Times New Roman"/>
          <w:color w:val="000000" w:themeColor="text1"/>
          <w:sz w:val="24"/>
          <w:szCs w:val="24"/>
        </w:rPr>
        <w:t xml:space="preserve">capability of </w:t>
      </w:r>
      <w:r w:rsidRPr="0065486C" w:rsidR="00086B7D">
        <w:rPr>
          <w:rFonts w:ascii="Times New Roman" w:hAnsi="Times New Roman" w:cs="Times New Roman"/>
          <w:color w:val="000000" w:themeColor="text1"/>
          <w:sz w:val="24"/>
          <w:szCs w:val="24"/>
        </w:rPr>
        <w:t>operating a machine-</w:t>
      </w:r>
      <w:r w:rsidRPr="0065486C">
        <w:rPr>
          <w:rFonts w:ascii="Times New Roman" w:hAnsi="Times New Roman" w:cs="Times New Roman"/>
          <w:color w:val="000000" w:themeColor="text1"/>
          <w:sz w:val="24"/>
          <w:szCs w:val="24"/>
        </w:rPr>
        <w:t>to</w:t>
      </w:r>
      <w:r w:rsidRPr="0065486C" w:rsidR="00086B7D">
        <w:rPr>
          <w:rFonts w:ascii="Times New Roman" w:hAnsi="Times New Roman" w:cs="Times New Roman"/>
          <w:color w:val="000000" w:themeColor="text1"/>
          <w:sz w:val="24"/>
          <w:szCs w:val="24"/>
        </w:rPr>
        <w:t>-</w:t>
      </w:r>
      <w:r w:rsidRPr="0065486C">
        <w:rPr>
          <w:rFonts w:ascii="Times New Roman" w:hAnsi="Times New Roman" w:cs="Times New Roman"/>
          <w:color w:val="000000" w:themeColor="text1"/>
          <w:sz w:val="24"/>
          <w:szCs w:val="24"/>
        </w:rPr>
        <w:t>machi</w:t>
      </w:r>
      <w:r w:rsidRPr="0065486C" w:rsidR="00086B7D">
        <w:rPr>
          <w:rFonts w:ascii="Times New Roman" w:hAnsi="Times New Roman" w:cs="Times New Roman"/>
          <w:color w:val="000000" w:themeColor="text1"/>
          <w:sz w:val="24"/>
          <w:szCs w:val="24"/>
        </w:rPr>
        <w:t xml:space="preserve">ne </w:t>
      </w:r>
      <w:r w:rsidR="005B719C">
        <w:rPr>
          <w:rFonts w:ascii="Times New Roman" w:hAnsi="Times New Roman" w:cs="Times New Roman"/>
          <w:color w:val="000000" w:themeColor="text1"/>
          <w:sz w:val="24"/>
          <w:szCs w:val="24"/>
        </w:rPr>
        <w:t>data transfer system which uses</w:t>
      </w:r>
      <w:r w:rsidR="005A6453">
        <w:rPr>
          <w:rFonts w:ascii="Times New Roman" w:hAnsi="Times New Roman" w:cs="Times New Roman"/>
          <w:color w:val="000000" w:themeColor="text1"/>
          <w:sz w:val="24"/>
          <w:szCs w:val="24"/>
        </w:rPr>
        <w:t xml:space="preserve"> the </w:t>
      </w:r>
      <w:r w:rsidRPr="0065486C" w:rsidR="00086B7D">
        <w:rPr>
          <w:rFonts w:ascii="Times New Roman" w:hAnsi="Times New Roman" w:cs="Times New Roman"/>
          <w:color w:val="000000" w:themeColor="text1"/>
          <w:sz w:val="24"/>
          <w:szCs w:val="24"/>
        </w:rPr>
        <w:t xml:space="preserve">XML submission platform.  </w:t>
      </w:r>
      <w:r w:rsidR="005A6453">
        <w:rPr>
          <w:rFonts w:ascii="Times New Roman" w:hAnsi="Times New Roman" w:cs="Times New Roman"/>
          <w:color w:val="000000" w:themeColor="text1"/>
          <w:sz w:val="24"/>
          <w:szCs w:val="24"/>
        </w:rPr>
        <w:t xml:space="preserve">This will </w:t>
      </w:r>
      <w:r w:rsidRPr="0065486C" w:rsidR="00086B7D">
        <w:rPr>
          <w:rFonts w:ascii="Times New Roman" w:hAnsi="Times New Roman" w:cs="Times New Roman"/>
          <w:color w:val="000000" w:themeColor="text1"/>
          <w:sz w:val="24"/>
          <w:szCs w:val="24"/>
        </w:rPr>
        <w:t xml:space="preserve">allow individual agencies </w:t>
      </w:r>
      <w:r w:rsidR="005A6453">
        <w:rPr>
          <w:rFonts w:ascii="Times New Roman" w:hAnsi="Times New Roman" w:cs="Times New Roman"/>
          <w:color w:val="000000" w:themeColor="text1"/>
          <w:sz w:val="24"/>
          <w:szCs w:val="24"/>
        </w:rPr>
        <w:t xml:space="preserve">participating in the </w:t>
      </w:r>
      <w:r w:rsidRPr="0065486C" w:rsidR="00F71924">
        <w:rPr>
          <w:rFonts w:ascii="Times New Roman" w:hAnsi="Times New Roman" w:cs="Times New Roman"/>
          <w:color w:val="000000" w:themeColor="text1"/>
          <w:sz w:val="24"/>
          <w:szCs w:val="24"/>
        </w:rPr>
        <w:t xml:space="preserve">FBI </w:t>
      </w:r>
      <w:r w:rsidRPr="0065486C" w:rsidR="00086B7D">
        <w:rPr>
          <w:rFonts w:ascii="Times New Roman" w:hAnsi="Times New Roman" w:cs="Times New Roman"/>
          <w:color w:val="000000" w:themeColor="text1"/>
          <w:sz w:val="24"/>
          <w:szCs w:val="24"/>
        </w:rPr>
        <w:t xml:space="preserve">UCR </w:t>
      </w:r>
      <w:r w:rsidRPr="0065486C" w:rsidR="00092B2F">
        <w:rPr>
          <w:rFonts w:ascii="Times New Roman" w:hAnsi="Times New Roman" w:cs="Times New Roman"/>
          <w:color w:val="000000" w:themeColor="text1"/>
          <w:sz w:val="24"/>
          <w:szCs w:val="24"/>
        </w:rPr>
        <w:t xml:space="preserve">Program </w:t>
      </w:r>
      <w:r w:rsidRPr="0065486C" w:rsidR="00086B7D">
        <w:rPr>
          <w:rFonts w:ascii="Times New Roman" w:hAnsi="Times New Roman" w:cs="Times New Roman"/>
          <w:color w:val="000000" w:themeColor="text1"/>
          <w:sz w:val="24"/>
          <w:szCs w:val="24"/>
        </w:rPr>
        <w:t xml:space="preserve">to submit </w:t>
      </w:r>
      <w:r w:rsidR="005A6453">
        <w:rPr>
          <w:rFonts w:ascii="Times New Roman" w:hAnsi="Times New Roman" w:cs="Times New Roman"/>
          <w:color w:val="000000" w:themeColor="text1"/>
          <w:sz w:val="24"/>
          <w:szCs w:val="24"/>
        </w:rPr>
        <w:t>data</w:t>
      </w:r>
      <w:r w:rsidRPr="0065486C" w:rsidR="00086B7D">
        <w:rPr>
          <w:rFonts w:ascii="Times New Roman" w:hAnsi="Times New Roman" w:cs="Times New Roman"/>
          <w:color w:val="000000" w:themeColor="text1"/>
          <w:sz w:val="24"/>
          <w:szCs w:val="24"/>
        </w:rPr>
        <w:t xml:space="preserve"> directly to</w:t>
      </w:r>
      <w:r w:rsidRPr="0065486C" w:rsidR="00F71924">
        <w:rPr>
          <w:rFonts w:ascii="Times New Roman" w:hAnsi="Times New Roman" w:cs="Times New Roman"/>
          <w:color w:val="000000" w:themeColor="text1"/>
          <w:sz w:val="24"/>
          <w:szCs w:val="24"/>
        </w:rPr>
        <w:t>,</w:t>
      </w:r>
      <w:r w:rsidRPr="0065486C" w:rsidR="00086B7D">
        <w:rPr>
          <w:rFonts w:ascii="Times New Roman" w:hAnsi="Times New Roman" w:cs="Times New Roman"/>
          <w:color w:val="000000" w:themeColor="text1"/>
          <w:sz w:val="24"/>
          <w:szCs w:val="24"/>
        </w:rPr>
        <w:t xml:space="preserve"> and receive </w:t>
      </w:r>
      <w:r w:rsidR="005A6453">
        <w:rPr>
          <w:rFonts w:ascii="Times New Roman" w:hAnsi="Times New Roman" w:cs="Times New Roman"/>
          <w:color w:val="000000" w:themeColor="text1"/>
          <w:sz w:val="24"/>
          <w:szCs w:val="24"/>
        </w:rPr>
        <w:t xml:space="preserve">information </w:t>
      </w:r>
      <w:r w:rsidRPr="0065486C" w:rsidR="00086B7D">
        <w:rPr>
          <w:rFonts w:ascii="Times New Roman" w:hAnsi="Times New Roman" w:cs="Times New Roman"/>
          <w:color w:val="000000" w:themeColor="text1"/>
          <w:sz w:val="24"/>
          <w:szCs w:val="24"/>
        </w:rPr>
        <w:t>directly from</w:t>
      </w:r>
      <w:r w:rsidRPr="0065486C" w:rsidR="00F71924">
        <w:rPr>
          <w:rFonts w:ascii="Times New Roman" w:hAnsi="Times New Roman" w:cs="Times New Roman"/>
          <w:color w:val="000000" w:themeColor="text1"/>
          <w:sz w:val="24"/>
          <w:szCs w:val="24"/>
        </w:rPr>
        <w:t>,</w:t>
      </w:r>
      <w:r w:rsidRPr="0065486C" w:rsidR="00086B7D">
        <w:rPr>
          <w:rFonts w:ascii="Times New Roman" w:hAnsi="Times New Roman" w:cs="Times New Roman"/>
          <w:color w:val="000000" w:themeColor="text1"/>
          <w:sz w:val="24"/>
          <w:szCs w:val="24"/>
        </w:rPr>
        <w:t xml:space="preserve"> </w:t>
      </w:r>
      <w:r w:rsidR="000A3CF1">
        <w:rPr>
          <w:rFonts w:ascii="Times New Roman" w:hAnsi="Times New Roman" w:cs="Times New Roman"/>
          <w:color w:val="000000" w:themeColor="text1"/>
          <w:sz w:val="24"/>
          <w:szCs w:val="24"/>
        </w:rPr>
        <w:t xml:space="preserve">the </w:t>
      </w:r>
      <w:r w:rsidR="00C74B83">
        <w:rPr>
          <w:rFonts w:ascii="Times New Roman" w:hAnsi="Times New Roman" w:cs="Times New Roman"/>
          <w:color w:val="000000" w:themeColor="text1"/>
          <w:sz w:val="24"/>
          <w:szCs w:val="24"/>
        </w:rPr>
        <w:t>FBI Criminal Justice Information Services (</w:t>
      </w:r>
      <w:r w:rsidRPr="0065486C" w:rsidR="00086B7D">
        <w:rPr>
          <w:rFonts w:ascii="Times New Roman" w:hAnsi="Times New Roman" w:cs="Times New Roman"/>
          <w:color w:val="000000" w:themeColor="text1"/>
          <w:sz w:val="24"/>
          <w:szCs w:val="24"/>
        </w:rPr>
        <w:t>CJIS</w:t>
      </w:r>
      <w:r w:rsidR="00C74B83">
        <w:rPr>
          <w:rFonts w:ascii="Times New Roman" w:hAnsi="Times New Roman" w:cs="Times New Roman"/>
          <w:color w:val="000000" w:themeColor="text1"/>
          <w:sz w:val="24"/>
          <w:szCs w:val="24"/>
        </w:rPr>
        <w:t>) Division’s</w:t>
      </w:r>
      <w:r w:rsidRPr="0065486C" w:rsidR="00086B7D">
        <w:rPr>
          <w:rFonts w:ascii="Times New Roman" w:hAnsi="Times New Roman" w:cs="Times New Roman"/>
          <w:color w:val="000000" w:themeColor="text1"/>
          <w:sz w:val="24"/>
          <w:szCs w:val="24"/>
        </w:rPr>
        <w:t xml:space="preserve"> data collection servers.</w:t>
      </w:r>
      <w:r w:rsidR="005A6453">
        <w:rPr>
          <w:rFonts w:ascii="Times New Roman" w:hAnsi="Times New Roman" w:cs="Times New Roman"/>
          <w:color w:val="000000" w:themeColor="text1"/>
          <w:sz w:val="24"/>
          <w:szCs w:val="24"/>
        </w:rPr>
        <w:t xml:space="preserve">  </w:t>
      </w:r>
      <w:r w:rsidRPr="0065486C" w:rsidR="00086B7D">
        <w:rPr>
          <w:rFonts w:ascii="Times New Roman" w:hAnsi="Times New Roman" w:cs="Times New Roman"/>
          <w:color w:val="000000" w:themeColor="text1"/>
          <w:sz w:val="24"/>
          <w:szCs w:val="24"/>
        </w:rPr>
        <w:t>Over time</w:t>
      </w:r>
      <w:r w:rsidRPr="0065486C" w:rsidR="00F71924">
        <w:rPr>
          <w:rFonts w:ascii="Times New Roman" w:hAnsi="Times New Roman" w:cs="Times New Roman"/>
          <w:color w:val="000000" w:themeColor="text1"/>
          <w:sz w:val="24"/>
          <w:szCs w:val="24"/>
        </w:rPr>
        <w:t>,</w:t>
      </w:r>
      <w:r w:rsidRPr="0065486C" w:rsidR="00086B7D">
        <w:rPr>
          <w:rFonts w:ascii="Times New Roman" w:hAnsi="Times New Roman" w:cs="Times New Roman"/>
          <w:color w:val="000000" w:themeColor="text1"/>
          <w:sz w:val="24"/>
          <w:szCs w:val="24"/>
        </w:rPr>
        <w:t xml:space="preserve"> </w:t>
      </w:r>
      <w:r w:rsidR="005A6453">
        <w:rPr>
          <w:rFonts w:ascii="Times New Roman" w:hAnsi="Times New Roman" w:cs="Times New Roman"/>
          <w:color w:val="000000" w:themeColor="text1"/>
          <w:sz w:val="24"/>
          <w:szCs w:val="24"/>
        </w:rPr>
        <w:t xml:space="preserve">these direct submissions will </w:t>
      </w:r>
      <w:r w:rsidRPr="0065486C" w:rsidR="00086B7D">
        <w:rPr>
          <w:rFonts w:ascii="Times New Roman" w:hAnsi="Times New Roman" w:cs="Times New Roman"/>
          <w:color w:val="000000" w:themeColor="text1"/>
          <w:sz w:val="24"/>
          <w:szCs w:val="24"/>
        </w:rPr>
        <w:t>decrease the time it takes to accurately process and store the data</w:t>
      </w:r>
      <w:r w:rsidR="005A6453">
        <w:rPr>
          <w:rFonts w:ascii="Times New Roman" w:hAnsi="Times New Roman" w:cs="Times New Roman"/>
          <w:color w:val="000000" w:themeColor="text1"/>
          <w:sz w:val="24"/>
          <w:szCs w:val="24"/>
        </w:rPr>
        <w:t>, thereby increasing the efficiency of the data collection procedure</w:t>
      </w:r>
      <w:r w:rsidRPr="0065486C" w:rsidR="00086B7D">
        <w:rPr>
          <w:rFonts w:ascii="Times New Roman" w:hAnsi="Times New Roman" w:cs="Times New Roman"/>
          <w:color w:val="000000" w:themeColor="text1"/>
          <w:sz w:val="24"/>
          <w:szCs w:val="24"/>
        </w:rPr>
        <w:t>.</w:t>
      </w:r>
    </w:p>
    <w:p w:rsidR="00FC6E82" w:rsidP="00FC6E82" w:rsidRDefault="00FC6E82" w14:paraId="07459315" w14:textId="77777777">
      <w:pPr>
        <w:spacing w:after="0" w:line="240" w:lineRule="auto"/>
        <w:rPr>
          <w:rFonts w:ascii="Times New Roman" w:hAnsi="Times New Roman" w:cs="Times New Roman"/>
          <w:color w:val="000000" w:themeColor="text1"/>
          <w:sz w:val="24"/>
          <w:szCs w:val="24"/>
        </w:rPr>
      </w:pPr>
    </w:p>
    <w:p w:rsidRPr="0065486C" w:rsidR="00F54E91" w:rsidP="00FC6E82" w:rsidRDefault="00D8541B" w14:paraId="595886FE" w14:textId="27EDA782">
      <w:pPr>
        <w:pStyle w:val="ListParagraph"/>
        <w:spacing w:after="0" w:line="240" w:lineRule="auto"/>
        <w:rPr>
          <w:rFonts w:ascii="Times New Roman" w:hAnsi="Times New Roman" w:cs="Times New Roman"/>
          <w:color w:val="000000" w:themeColor="text1"/>
          <w:sz w:val="24"/>
          <w:szCs w:val="24"/>
        </w:rPr>
      </w:pPr>
      <w:r w:rsidRPr="0065486C">
        <w:rPr>
          <w:rFonts w:ascii="Times New Roman" w:hAnsi="Times New Roman" w:cs="Times New Roman"/>
          <w:color w:val="000000" w:themeColor="text1"/>
          <w:sz w:val="24"/>
          <w:szCs w:val="24"/>
        </w:rPr>
        <w:t xml:space="preserve">With the increasing demand for </w:t>
      </w:r>
      <w:r w:rsidR="000A3CF1">
        <w:rPr>
          <w:rFonts w:ascii="Times New Roman" w:hAnsi="Times New Roman" w:cs="Times New Roman"/>
          <w:color w:val="000000" w:themeColor="text1"/>
          <w:sz w:val="24"/>
          <w:szCs w:val="24"/>
        </w:rPr>
        <w:t>more timely</w:t>
      </w:r>
      <w:r w:rsidRPr="0065486C">
        <w:rPr>
          <w:rFonts w:ascii="Times New Roman" w:hAnsi="Times New Roman" w:cs="Times New Roman"/>
          <w:color w:val="000000" w:themeColor="text1"/>
          <w:sz w:val="24"/>
          <w:szCs w:val="24"/>
        </w:rPr>
        <w:t xml:space="preserve"> data, the FBI UCR Program established a task force comprised of </w:t>
      </w:r>
      <w:r w:rsidRPr="0065486C" w:rsidR="00F71924">
        <w:rPr>
          <w:rFonts w:ascii="Times New Roman" w:hAnsi="Times New Roman" w:cs="Times New Roman"/>
          <w:color w:val="000000" w:themeColor="text1"/>
          <w:sz w:val="24"/>
          <w:szCs w:val="24"/>
        </w:rPr>
        <w:t xml:space="preserve">representatives from </w:t>
      </w:r>
      <w:r w:rsidR="00344DB9">
        <w:rPr>
          <w:rFonts w:ascii="Times New Roman" w:hAnsi="Times New Roman" w:cs="Times New Roman"/>
          <w:color w:val="000000" w:themeColor="text1"/>
          <w:sz w:val="24"/>
          <w:szCs w:val="24"/>
        </w:rPr>
        <w:t xml:space="preserve">the </w:t>
      </w:r>
      <w:r w:rsidRPr="0065486C" w:rsidR="00092B2F">
        <w:rPr>
          <w:rFonts w:ascii="Times New Roman" w:hAnsi="Times New Roman" w:cs="Times New Roman"/>
          <w:color w:val="000000" w:themeColor="text1"/>
          <w:sz w:val="24"/>
          <w:szCs w:val="24"/>
        </w:rPr>
        <w:t>A</w:t>
      </w:r>
      <w:r w:rsidRPr="0065486C" w:rsidR="00F71924">
        <w:rPr>
          <w:rFonts w:ascii="Times New Roman" w:hAnsi="Times New Roman" w:cs="Times New Roman"/>
          <w:color w:val="000000" w:themeColor="text1"/>
          <w:sz w:val="24"/>
          <w:szCs w:val="24"/>
        </w:rPr>
        <w:t xml:space="preserve">ssociation of </w:t>
      </w:r>
      <w:r w:rsidRPr="0065486C" w:rsidR="00092B2F">
        <w:rPr>
          <w:rFonts w:ascii="Times New Roman" w:hAnsi="Times New Roman" w:cs="Times New Roman"/>
          <w:color w:val="000000" w:themeColor="text1"/>
          <w:sz w:val="24"/>
          <w:szCs w:val="24"/>
        </w:rPr>
        <w:t>S</w:t>
      </w:r>
      <w:r w:rsidRPr="0065486C" w:rsidR="00F71924">
        <w:rPr>
          <w:rFonts w:ascii="Times New Roman" w:hAnsi="Times New Roman" w:cs="Times New Roman"/>
          <w:color w:val="000000" w:themeColor="text1"/>
          <w:sz w:val="24"/>
          <w:szCs w:val="24"/>
        </w:rPr>
        <w:t xml:space="preserve">tate </w:t>
      </w:r>
      <w:r w:rsidRPr="0065486C" w:rsidR="00092B2F">
        <w:rPr>
          <w:rFonts w:ascii="Times New Roman" w:hAnsi="Times New Roman" w:cs="Times New Roman"/>
          <w:color w:val="000000" w:themeColor="text1"/>
          <w:sz w:val="24"/>
          <w:szCs w:val="24"/>
        </w:rPr>
        <w:t>U</w:t>
      </w:r>
      <w:r w:rsidR="0052631A">
        <w:rPr>
          <w:rFonts w:ascii="Times New Roman" w:hAnsi="Times New Roman" w:cs="Times New Roman"/>
          <w:color w:val="000000" w:themeColor="text1"/>
          <w:sz w:val="24"/>
          <w:szCs w:val="24"/>
        </w:rPr>
        <w:t>C</w:t>
      </w:r>
      <w:r w:rsidRPr="0065486C" w:rsidR="00092B2F">
        <w:rPr>
          <w:rFonts w:ascii="Times New Roman" w:hAnsi="Times New Roman" w:cs="Times New Roman"/>
          <w:color w:val="000000" w:themeColor="text1"/>
          <w:sz w:val="24"/>
          <w:szCs w:val="24"/>
        </w:rPr>
        <w:t>R</w:t>
      </w:r>
      <w:r w:rsidRPr="0065486C" w:rsidR="00F71924">
        <w:rPr>
          <w:rFonts w:ascii="Times New Roman" w:hAnsi="Times New Roman" w:cs="Times New Roman"/>
          <w:color w:val="000000" w:themeColor="text1"/>
          <w:sz w:val="24"/>
          <w:szCs w:val="24"/>
        </w:rPr>
        <w:t xml:space="preserve"> </w:t>
      </w:r>
      <w:r w:rsidRPr="0065486C" w:rsidR="00092B2F">
        <w:rPr>
          <w:rFonts w:ascii="Times New Roman" w:hAnsi="Times New Roman" w:cs="Times New Roman"/>
          <w:color w:val="000000" w:themeColor="text1"/>
          <w:sz w:val="24"/>
          <w:szCs w:val="24"/>
        </w:rPr>
        <w:t>P</w:t>
      </w:r>
      <w:r w:rsidRPr="0065486C" w:rsidR="00F71924">
        <w:rPr>
          <w:rFonts w:ascii="Times New Roman" w:hAnsi="Times New Roman" w:cs="Times New Roman"/>
          <w:color w:val="000000" w:themeColor="text1"/>
          <w:sz w:val="24"/>
          <w:szCs w:val="24"/>
        </w:rPr>
        <w:t>rograms</w:t>
      </w:r>
      <w:r w:rsidR="00C74B83">
        <w:rPr>
          <w:rFonts w:ascii="Times New Roman" w:hAnsi="Times New Roman" w:cs="Times New Roman"/>
          <w:color w:val="000000" w:themeColor="text1"/>
          <w:sz w:val="24"/>
          <w:szCs w:val="24"/>
        </w:rPr>
        <w:t xml:space="preserve"> and the FBI </w:t>
      </w:r>
      <w:r w:rsidRPr="0065486C">
        <w:rPr>
          <w:rFonts w:ascii="Times New Roman" w:hAnsi="Times New Roman" w:cs="Times New Roman"/>
          <w:color w:val="000000" w:themeColor="text1"/>
          <w:sz w:val="24"/>
          <w:szCs w:val="24"/>
        </w:rPr>
        <w:t>CJIS Division’s Crime Statistics Management Unit</w:t>
      </w:r>
      <w:r w:rsidR="00B068E6">
        <w:rPr>
          <w:rFonts w:ascii="Times New Roman" w:hAnsi="Times New Roman" w:cs="Times New Roman"/>
          <w:color w:val="000000" w:themeColor="text1"/>
          <w:sz w:val="24"/>
          <w:szCs w:val="24"/>
        </w:rPr>
        <w:t xml:space="preserve"> (CSMU)</w:t>
      </w:r>
      <w:r w:rsidRPr="0065486C">
        <w:rPr>
          <w:rFonts w:ascii="Times New Roman" w:hAnsi="Times New Roman" w:cs="Times New Roman"/>
          <w:color w:val="000000" w:themeColor="text1"/>
          <w:sz w:val="24"/>
          <w:szCs w:val="24"/>
        </w:rPr>
        <w:t xml:space="preserve">.  The task force convened to discuss risks, issues, and options currently available for reporting timely data and will </w:t>
      </w:r>
      <w:r w:rsidR="0052631A">
        <w:rPr>
          <w:rFonts w:ascii="Times New Roman" w:hAnsi="Times New Roman" w:cs="Times New Roman"/>
          <w:color w:val="000000" w:themeColor="text1"/>
          <w:sz w:val="24"/>
          <w:szCs w:val="24"/>
        </w:rPr>
        <w:t>c</w:t>
      </w:r>
      <w:r w:rsidR="00344DB9">
        <w:rPr>
          <w:rFonts w:ascii="Times New Roman" w:hAnsi="Times New Roman" w:cs="Times New Roman"/>
          <w:color w:val="000000" w:themeColor="text1"/>
          <w:sz w:val="24"/>
          <w:szCs w:val="24"/>
        </w:rPr>
        <w:t xml:space="preserve">ontinue to </w:t>
      </w:r>
      <w:r w:rsidRPr="0065486C">
        <w:rPr>
          <w:rFonts w:ascii="Times New Roman" w:hAnsi="Times New Roman" w:cs="Times New Roman"/>
          <w:color w:val="000000" w:themeColor="text1"/>
          <w:sz w:val="24"/>
          <w:szCs w:val="24"/>
        </w:rPr>
        <w:t>provid</w:t>
      </w:r>
      <w:r w:rsidR="00344DB9">
        <w:rPr>
          <w:rFonts w:ascii="Times New Roman" w:hAnsi="Times New Roman" w:cs="Times New Roman"/>
          <w:color w:val="000000" w:themeColor="text1"/>
          <w:sz w:val="24"/>
          <w:szCs w:val="24"/>
        </w:rPr>
        <w:t>e</w:t>
      </w:r>
      <w:r w:rsidRPr="0065486C">
        <w:rPr>
          <w:rFonts w:ascii="Times New Roman" w:hAnsi="Times New Roman" w:cs="Times New Roman"/>
          <w:color w:val="000000" w:themeColor="text1"/>
          <w:sz w:val="24"/>
          <w:szCs w:val="24"/>
        </w:rPr>
        <w:t xml:space="preserve"> recommendations</w:t>
      </w:r>
      <w:r w:rsidR="00AC7DC4">
        <w:rPr>
          <w:rFonts w:ascii="Times New Roman" w:hAnsi="Times New Roman" w:cs="Times New Roman"/>
          <w:color w:val="000000" w:themeColor="text1"/>
          <w:sz w:val="24"/>
          <w:szCs w:val="24"/>
        </w:rPr>
        <w:t>, as needed</w:t>
      </w:r>
      <w:r w:rsidRPr="0065486C">
        <w:rPr>
          <w:rFonts w:ascii="Times New Roman" w:hAnsi="Times New Roman" w:cs="Times New Roman"/>
          <w:color w:val="000000" w:themeColor="text1"/>
          <w:sz w:val="24"/>
          <w:szCs w:val="24"/>
        </w:rPr>
        <w:t>.</w:t>
      </w:r>
    </w:p>
    <w:p w:rsidR="00FC6E82" w:rsidP="00FC6E82" w:rsidRDefault="00FC6E82" w14:paraId="6537F28F" w14:textId="77777777">
      <w:pPr>
        <w:spacing w:after="0" w:line="240" w:lineRule="auto"/>
        <w:rPr>
          <w:rFonts w:ascii="Times New Roman" w:hAnsi="Times New Roman" w:cs="Times New Roman"/>
          <w:color w:val="000000" w:themeColor="text1"/>
          <w:sz w:val="24"/>
          <w:szCs w:val="24"/>
          <w:u w:val="single"/>
        </w:rPr>
      </w:pPr>
    </w:p>
    <w:p w:rsidR="00B068E6" w:rsidRDefault="00B068E6" w14:paraId="6DFB9E20" w14:textId="77777777">
      <w:pPr>
        <w:rPr>
          <w:rFonts w:ascii="Times New Roman" w:hAnsi="Times New Roman" w:cs="Times New Roman"/>
          <w:color w:val="000000" w:themeColor="text1"/>
          <w:sz w:val="24"/>
          <w:szCs w:val="24"/>
          <w:u w:val="single"/>
        </w:rPr>
      </w:pPr>
      <w:r>
        <w:rPr>
          <w:rFonts w:ascii="Times New Roman" w:hAnsi="Times New Roman" w:cs="Times New Roman"/>
          <w:color w:val="000000" w:themeColor="text1"/>
          <w:sz w:val="24"/>
          <w:szCs w:val="24"/>
          <w:u w:val="single"/>
        </w:rPr>
        <w:br w:type="page"/>
      </w:r>
    </w:p>
    <w:p w:rsidRPr="0065486C" w:rsidR="00814A74" w:rsidP="00FC6E82" w:rsidRDefault="00814A74" w14:paraId="12D0EC7A" w14:textId="77777777">
      <w:pPr>
        <w:pStyle w:val="ListParagraph"/>
        <w:numPr>
          <w:ilvl w:val="0"/>
          <w:numId w:val="4"/>
        </w:numPr>
        <w:spacing w:after="0" w:line="240" w:lineRule="auto"/>
        <w:rPr>
          <w:rFonts w:ascii="Times New Roman" w:hAnsi="Times New Roman" w:cs="Times New Roman"/>
          <w:color w:val="000000" w:themeColor="text1"/>
          <w:sz w:val="24"/>
          <w:szCs w:val="24"/>
        </w:rPr>
      </w:pPr>
      <w:r w:rsidRPr="0065486C">
        <w:rPr>
          <w:rFonts w:ascii="Times New Roman" w:hAnsi="Times New Roman" w:cs="Times New Roman"/>
          <w:color w:val="000000" w:themeColor="text1"/>
          <w:sz w:val="24"/>
          <w:szCs w:val="24"/>
          <w:u w:val="single"/>
        </w:rPr>
        <w:lastRenderedPageBreak/>
        <w:t>Special Circumstances</w:t>
      </w:r>
    </w:p>
    <w:p w:rsidRPr="0065486C" w:rsidR="00814A74" w:rsidP="00FC6E82" w:rsidRDefault="00814A74" w14:paraId="70DF9E56" w14:textId="77777777">
      <w:pPr>
        <w:pStyle w:val="ListParagraph"/>
        <w:spacing w:after="0" w:line="240" w:lineRule="auto"/>
        <w:rPr>
          <w:rFonts w:ascii="Times New Roman" w:hAnsi="Times New Roman" w:cs="Times New Roman"/>
          <w:color w:val="000000" w:themeColor="text1"/>
          <w:sz w:val="24"/>
          <w:szCs w:val="24"/>
          <w:u w:val="single"/>
        </w:rPr>
      </w:pPr>
    </w:p>
    <w:p w:rsidRPr="0065486C" w:rsidR="00B54F52" w:rsidP="00FC6E82" w:rsidRDefault="00B54F52" w14:paraId="5667C87F" w14:textId="77777777">
      <w:pPr>
        <w:pStyle w:val="ListParagraph"/>
        <w:spacing w:after="0" w:line="240" w:lineRule="auto"/>
        <w:ind w:right="-90"/>
        <w:rPr>
          <w:rFonts w:ascii="Times New Roman" w:hAnsi="Times New Roman" w:cs="Times New Roman"/>
          <w:color w:val="000000" w:themeColor="text1"/>
          <w:sz w:val="24"/>
          <w:szCs w:val="24"/>
        </w:rPr>
      </w:pPr>
      <w:r w:rsidRPr="0065486C">
        <w:rPr>
          <w:rFonts w:ascii="Times New Roman" w:hAnsi="Times New Roman" w:cs="Times New Roman"/>
          <w:color w:val="000000" w:themeColor="text1"/>
          <w:sz w:val="24"/>
          <w:szCs w:val="24"/>
        </w:rPr>
        <w:t xml:space="preserve">While some agencies have permission to submit data quarterly, semiannually, or annually, most data are received from FBI UCR Program participants on a </w:t>
      </w:r>
      <w:r w:rsidR="0052631A">
        <w:rPr>
          <w:rFonts w:ascii="Times New Roman" w:hAnsi="Times New Roman" w:cs="Times New Roman"/>
          <w:color w:val="000000" w:themeColor="text1"/>
          <w:sz w:val="24"/>
          <w:szCs w:val="24"/>
        </w:rPr>
        <w:t xml:space="preserve">monthly basis.  Monthly </w:t>
      </w:r>
      <w:r w:rsidRPr="0065486C">
        <w:rPr>
          <w:rFonts w:ascii="Times New Roman" w:hAnsi="Times New Roman" w:cs="Times New Roman"/>
          <w:color w:val="000000" w:themeColor="text1"/>
          <w:sz w:val="24"/>
          <w:szCs w:val="24"/>
        </w:rPr>
        <w:t>submissions should be received by the FBI no later than the seventh day of each month.  Annual deadlines ar</w:t>
      </w:r>
      <w:r w:rsidR="0052631A">
        <w:rPr>
          <w:rFonts w:ascii="Times New Roman" w:hAnsi="Times New Roman" w:cs="Times New Roman"/>
          <w:color w:val="000000" w:themeColor="text1"/>
          <w:sz w:val="24"/>
          <w:szCs w:val="24"/>
        </w:rPr>
        <w:t xml:space="preserve">e designated in order to </w:t>
      </w:r>
      <w:r w:rsidRPr="0065486C">
        <w:rPr>
          <w:rFonts w:ascii="Times New Roman" w:hAnsi="Times New Roman" w:cs="Times New Roman"/>
          <w:color w:val="000000" w:themeColor="text1"/>
          <w:sz w:val="24"/>
          <w:szCs w:val="24"/>
        </w:rPr>
        <w:t xml:space="preserve">assess receipt of monthly submissions.  Special circumstances may cause an agency to request an extension which the FBI UCR Program has the authority to grant.  </w:t>
      </w:r>
    </w:p>
    <w:p w:rsidR="00344DB9" w:rsidP="00FC6E82" w:rsidRDefault="00344DB9" w14:paraId="44E871BC" w14:textId="77777777">
      <w:pPr>
        <w:spacing w:after="0" w:line="240" w:lineRule="auto"/>
        <w:contextualSpacing/>
        <w:rPr>
          <w:rFonts w:ascii="Times New Roman" w:hAnsi="Times New Roman" w:cs="Times New Roman"/>
          <w:color w:val="000000" w:themeColor="text1"/>
          <w:sz w:val="24"/>
          <w:szCs w:val="24"/>
        </w:rPr>
      </w:pPr>
    </w:p>
    <w:p w:rsidR="00B068E6" w:rsidP="00FC6E82" w:rsidRDefault="00B068E6" w14:paraId="144A5D23" w14:textId="77777777">
      <w:pPr>
        <w:spacing w:after="0" w:line="240" w:lineRule="auto"/>
        <w:contextualSpacing/>
        <w:rPr>
          <w:rFonts w:ascii="Times New Roman" w:hAnsi="Times New Roman" w:cs="Times New Roman"/>
          <w:color w:val="000000" w:themeColor="text1"/>
          <w:sz w:val="24"/>
          <w:szCs w:val="24"/>
        </w:rPr>
      </w:pPr>
    </w:p>
    <w:p w:rsidRPr="0065486C" w:rsidR="00FB2BD6" w:rsidP="00FC6E82" w:rsidRDefault="00FB2BD6" w14:paraId="7A3EFA98" w14:textId="77777777">
      <w:pPr>
        <w:pStyle w:val="ListParagraph"/>
        <w:numPr>
          <w:ilvl w:val="0"/>
          <w:numId w:val="4"/>
        </w:numPr>
        <w:spacing w:after="0" w:line="240" w:lineRule="auto"/>
        <w:rPr>
          <w:rFonts w:ascii="Times New Roman" w:hAnsi="Times New Roman" w:cs="Times New Roman"/>
          <w:color w:val="000000" w:themeColor="text1"/>
          <w:sz w:val="24"/>
          <w:szCs w:val="24"/>
        </w:rPr>
      </w:pPr>
      <w:r w:rsidRPr="0065486C">
        <w:rPr>
          <w:rFonts w:ascii="Times New Roman" w:hAnsi="Times New Roman" w:cs="Times New Roman"/>
          <w:color w:val="000000" w:themeColor="text1"/>
          <w:sz w:val="24"/>
          <w:szCs w:val="24"/>
          <w:u w:val="single"/>
        </w:rPr>
        <w:t>Public Comments and Consultations</w:t>
      </w:r>
    </w:p>
    <w:p w:rsidRPr="0065486C" w:rsidR="00FB2BD6" w:rsidP="00FC6E82" w:rsidRDefault="00FB2BD6" w14:paraId="738610EB" w14:textId="77777777">
      <w:pPr>
        <w:pStyle w:val="ListParagraph"/>
        <w:spacing w:after="0" w:line="240" w:lineRule="auto"/>
        <w:rPr>
          <w:rFonts w:ascii="Times New Roman" w:hAnsi="Times New Roman" w:cs="Times New Roman"/>
          <w:color w:val="000000" w:themeColor="text1"/>
          <w:sz w:val="24"/>
          <w:szCs w:val="24"/>
        </w:rPr>
      </w:pPr>
    </w:p>
    <w:p w:rsidRPr="0065486C" w:rsidR="00B54F52" w:rsidP="00FC6E82" w:rsidRDefault="00B54F52" w14:paraId="2F6EBB58" w14:textId="77777777">
      <w:pPr>
        <w:pStyle w:val="ListParagraph"/>
        <w:spacing w:after="0" w:line="240" w:lineRule="auto"/>
        <w:rPr>
          <w:rFonts w:ascii="Times New Roman" w:hAnsi="Times New Roman" w:cs="Times New Roman"/>
          <w:color w:val="000000" w:themeColor="text1"/>
          <w:sz w:val="24"/>
          <w:szCs w:val="24"/>
        </w:rPr>
      </w:pPr>
      <w:r w:rsidRPr="0065486C">
        <w:rPr>
          <w:rFonts w:ascii="Times New Roman" w:hAnsi="Times New Roman" w:cs="Times New Roman"/>
          <w:color w:val="000000" w:themeColor="text1"/>
          <w:sz w:val="24"/>
          <w:szCs w:val="24"/>
        </w:rPr>
        <w:t>No public comments were</w:t>
      </w:r>
      <w:r w:rsidR="004A68CB">
        <w:rPr>
          <w:rFonts w:ascii="Times New Roman" w:hAnsi="Times New Roman" w:cs="Times New Roman"/>
          <w:color w:val="000000" w:themeColor="text1"/>
          <w:sz w:val="24"/>
          <w:szCs w:val="24"/>
        </w:rPr>
        <w:t xml:space="preserve"> received after the 60- and 30-day n</w:t>
      </w:r>
      <w:r w:rsidRPr="0065486C">
        <w:rPr>
          <w:rFonts w:ascii="Times New Roman" w:hAnsi="Times New Roman" w:cs="Times New Roman"/>
          <w:color w:val="000000" w:themeColor="text1"/>
          <w:sz w:val="24"/>
          <w:szCs w:val="24"/>
        </w:rPr>
        <w:t xml:space="preserve">otices were submitted to, and published in, the </w:t>
      </w:r>
      <w:r w:rsidRPr="0065486C">
        <w:rPr>
          <w:rFonts w:ascii="Times New Roman" w:hAnsi="Times New Roman" w:cs="Times New Roman"/>
          <w:i/>
          <w:color w:val="000000" w:themeColor="text1"/>
          <w:sz w:val="24"/>
          <w:szCs w:val="24"/>
        </w:rPr>
        <w:t>Federal Register</w:t>
      </w:r>
      <w:r w:rsidRPr="0065486C">
        <w:rPr>
          <w:rFonts w:ascii="Times New Roman" w:hAnsi="Times New Roman" w:cs="Times New Roman"/>
          <w:color w:val="000000" w:themeColor="text1"/>
          <w:sz w:val="24"/>
          <w:szCs w:val="24"/>
        </w:rPr>
        <w:t>.</w:t>
      </w:r>
    </w:p>
    <w:p w:rsidR="00B54F52" w:rsidP="00FC6E82" w:rsidRDefault="00B54F52" w14:paraId="637805D2" w14:textId="77777777">
      <w:pPr>
        <w:spacing w:after="0" w:line="240" w:lineRule="auto"/>
        <w:contextualSpacing/>
        <w:rPr>
          <w:rFonts w:ascii="Times New Roman" w:hAnsi="Times New Roman" w:cs="Times New Roman"/>
          <w:color w:val="000000" w:themeColor="text1"/>
          <w:sz w:val="24"/>
          <w:szCs w:val="24"/>
        </w:rPr>
      </w:pPr>
    </w:p>
    <w:p w:rsidRPr="0065486C" w:rsidR="00B068E6" w:rsidP="00FC6E82" w:rsidRDefault="00B068E6" w14:paraId="463F29E8" w14:textId="77777777">
      <w:pPr>
        <w:spacing w:after="0" w:line="240" w:lineRule="auto"/>
        <w:contextualSpacing/>
        <w:rPr>
          <w:rFonts w:ascii="Times New Roman" w:hAnsi="Times New Roman" w:cs="Times New Roman"/>
          <w:color w:val="000000" w:themeColor="text1"/>
          <w:sz w:val="24"/>
          <w:szCs w:val="24"/>
        </w:rPr>
      </w:pPr>
    </w:p>
    <w:p w:rsidRPr="0065486C" w:rsidR="00FB2BD6" w:rsidP="00FC6E82" w:rsidRDefault="00FB2BD6" w14:paraId="489E9F66" w14:textId="77777777">
      <w:pPr>
        <w:pStyle w:val="ListParagraph"/>
        <w:numPr>
          <w:ilvl w:val="0"/>
          <w:numId w:val="4"/>
        </w:numPr>
        <w:spacing w:after="0" w:line="240" w:lineRule="auto"/>
        <w:rPr>
          <w:rFonts w:ascii="Times New Roman" w:hAnsi="Times New Roman" w:cs="Times New Roman"/>
          <w:color w:val="000000" w:themeColor="text1"/>
          <w:sz w:val="24"/>
          <w:szCs w:val="24"/>
        </w:rPr>
      </w:pPr>
      <w:r w:rsidRPr="0065486C">
        <w:rPr>
          <w:rFonts w:ascii="Times New Roman" w:hAnsi="Times New Roman" w:cs="Times New Roman"/>
          <w:color w:val="000000" w:themeColor="text1"/>
          <w:sz w:val="24"/>
          <w:szCs w:val="24"/>
          <w:u w:val="single"/>
        </w:rPr>
        <w:t>Provision of Payments or Gifts to Respondents</w:t>
      </w:r>
    </w:p>
    <w:p w:rsidRPr="0065486C" w:rsidR="00FB2BD6" w:rsidP="00FC6E82" w:rsidRDefault="00FB2BD6" w14:paraId="3B7B4B86" w14:textId="77777777">
      <w:pPr>
        <w:pStyle w:val="ListParagraph"/>
        <w:spacing w:after="0" w:line="240" w:lineRule="auto"/>
        <w:rPr>
          <w:rFonts w:ascii="Times New Roman" w:hAnsi="Times New Roman" w:cs="Times New Roman"/>
          <w:color w:val="000000" w:themeColor="text1"/>
          <w:sz w:val="24"/>
          <w:szCs w:val="24"/>
          <w:u w:val="single"/>
        </w:rPr>
      </w:pPr>
    </w:p>
    <w:p w:rsidRPr="0065486C" w:rsidR="00B54F52" w:rsidP="00FC6E82" w:rsidRDefault="00B54F52" w14:paraId="1DD2BDB7" w14:textId="77777777">
      <w:pPr>
        <w:pStyle w:val="ListParagraph"/>
        <w:tabs>
          <w:tab w:val="left" w:pos="630"/>
        </w:tabs>
        <w:spacing w:after="0" w:line="240" w:lineRule="auto"/>
        <w:rPr>
          <w:rFonts w:ascii="Times New Roman" w:hAnsi="Times New Roman" w:cs="Times New Roman"/>
          <w:color w:val="000000" w:themeColor="text1"/>
          <w:sz w:val="24"/>
          <w:szCs w:val="24"/>
        </w:rPr>
      </w:pPr>
      <w:r w:rsidRPr="0065486C">
        <w:rPr>
          <w:rFonts w:ascii="Times New Roman" w:hAnsi="Times New Roman" w:cs="Times New Roman"/>
          <w:color w:val="000000" w:themeColor="text1"/>
          <w:sz w:val="24"/>
          <w:szCs w:val="24"/>
        </w:rPr>
        <w:t>The FBI UCR Program does not provide any payment or gifts to respondents.</w:t>
      </w:r>
    </w:p>
    <w:p w:rsidR="00FB2BD6" w:rsidP="00FC6E82" w:rsidRDefault="00FB2BD6" w14:paraId="3A0FF5F2" w14:textId="77777777">
      <w:pPr>
        <w:spacing w:after="0" w:line="240" w:lineRule="auto"/>
        <w:contextualSpacing/>
        <w:rPr>
          <w:rFonts w:ascii="Times New Roman" w:hAnsi="Times New Roman" w:cs="Times New Roman"/>
          <w:color w:val="000000" w:themeColor="text1"/>
          <w:sz w:val="24"/>
          <w:szCs w:val="24"/>
        </w:rPr>
      </w:pPr>
    </w:p>
    <w:p w:rsidRPr="0065486C" w:rsidR="00B068E6" w:rsidP="00FC6E82" w:rsidRDefault="00B068E6" w14:paraId="5630AD66" w14:textId="77777777">
      <w:pPr>
        <w:spacing w:after="0" w:line="240" w:lineRule="auto"/>
        <w:contextualSpacing/>
        <w:rPr>
          <w:rFonts w:ascii="Times New Roman" w:hAnsi="Times New Roman" w:cs="Times New Roman"/>
          <w:color w:val="000000" w:themeColor="text1"/>
          <w:sz w:val="24"/>
          <w:szCs w:val="24"/>
        </w:rPr>
      </w:pPr>
    </w:p>
    <w:p w:rsidRPr="0065486C" w:rsidR="00FB2BD6" w:rsidP="00FC6E82" w:rsidRDefault="00FB2BD6" w14:paraId="261FF8DA" w14:textId="77777777">
      <w:pPr>
        <w:pStyle w:val="ListParagraph"/>
        <w:numPr>
          <w:ilvl w:val="0"/>
          <w:numId w:val="4"/>
        </w:numPr>
        <w:spacing w:after="0" w:line="240" w:lineRule="auto"/>
        <w:rPr>
          <w:rFonts w:ascii="Times New Roman" w:hAnsi="Times New Roman" w:cs="Times New Roman"/>
          <w:color w:val="000000" w:themeColor="text1"/>
          <w:sz w:val="24"/>
          <w:szCs w:val="24"/>
        </w:rPr>
      </w:pPr>
      <w:r w:rsidRPr="0065486C">
        <w:rPr>
          <w:rFonts w:ascii="Times New Roman" w:hAnsi="Times New Roman" w:cs="Times New Roman"/>
          <w:color w:val="000000" w:themeColor="text1"/>
          <w:sz w:val="24"/>
          <w:szCs w:val="24"/>
          <w:u w:val="single"/>
        </w:rPr>
        <w:t>Assurance of Confidentiality</w:t>
      </w:r>
    </w:p>
    <w:p w:rsidRPr="0065486C" w:rsidR="00FB2BD6" w:rsidP="00FC6E82" w:rsidRDefault="00FB2BD6" w14:paraId="61829076" w14:textId="77777777">
      <w:pPr>
        <w:pStyle w:val="ListParagraph"/>
        <w:spacing w:after="0" w:line="240" w:lineRule="auto"/>
        <w:rPr>
          <w:rFonts w:ascii="Times New Roman" w:hAnsi="Times New Roman" w:cs="Times New Roman"/>
          <w:color w:val="000000" w:themeColor="text1"/>
          <w:sz w:val="24"/>
          <w:szCs w:val="24"/>
          <w:u w:val="single"/>
        </w:rPr>
      </w:pPr>
    </w:p>
    <w:p w:rsidRPr="0065486C" w:rsidR="00B54F52" w:rsidP="00FC6E82" w:rsidRDefault="00B54F52" w14:paraId="262E9A63" w14:textId="31582DF7">
      <w:pPr>
        <w:pStyle w:val="ListParagraph"/>
        <w:spacing w:after="0" w:line="240" w:lineRule="auto"/>
        <w:ind w:right="-180"/>
        <w:rPr>
          <w:rFonts w:ascii="Times New Roman" w:hAnsi="Times New Roman" w:cs="Times New Roman"/>
          <w:color w:val="000000" w:themeColor="text1"/>
          <w:sz w:val="24"/>
          <w:szCs w:val="24"/>
        </w:rPr>
      </w:pPr>
      <w:r w:rsidRPr="6117B93F">
        <w:rPr>
          <w:rFonts w:ascii="Times New Roman" w:hAnsi="Times New Roman" w:cs="Times New Roman"/>
          <w:color w:val="000000" w:themeColor="text1"/>
          <w:sz w:val="24"/>
          <w:szCs w:val="24"/>
        </w:rPr>
        <w:t>The FBI UCR Program does not assur</w:t>
      </w:r>
      <w:r w:rsidRPr="6117B93F" w:rsidR="00344DB9">
        <w:rPr>
          <w:rFonts w:ascii="Times New Roman" w:hAnsi="Times New Roman" w:cs="Times New Roman"/>
          <w:color w:val="000000" w:themeColor="text1"/>
          <w:sz w:val="24"/>
          <w:szCs w:val="24"/>
        </w:rPr>
        <w:t>e confidentiality.  However, NIBRS</w:t>
      </w:r>
      <w:r w:rsidRPr="6117B93F">
        <w:rPr>
          <w:rFonts w:ascii="Times New Roman" w:hAnsi="Times New Roman" w:cs="Times New Roman"/>
          <w:color w:val="000000" w:themeColor="text1"/>
          <w:sz w:val="24"/>
          <w:szCs w:val="24"/>
        </w:rPr>
        <w:t xml:space="preserve"> data do not contain personally id</w:t>
      </w:r>
      <w:r w:rsidRPr="6117B93F" w:rsidR="00AC7DC4">
        <w:rPr>
          <w:rFonts w:ascii="Times New Roman" w:hAnsi="Times New Roman" w:cs="Times New Roman"/>
          <w:color w:val="000000" w:themeColor="text1"/>
          <w:sz w:val="24"/>
          <w:szCs w:val="24"/>
        </w:rPr>
        <w:t>entifiable information which would</w:t>
      </w:r>
      <w:r w:rsidRPr="6117B93F">
        <w:rPr>
          <w:rFonts w:ascii="Times New Roman" w:hAnsi="Times New Roman" w:cs="Times New Roman"/>
          <w:color w:val="000000" w:themeColor="text1"/>
          <w:sz w:val="24"/>
          <w:szCs w:val="24"/>
        </w:rPr>
        <w:t xml:space="preserve"> reveal the identity of an individual.  In addition, </w:t>
      </w:r>
      <w:r w:rsidRPr="6117B93F" w:rsidR="00344DB9">
        <w:rPr>
          <w:rFonts w:ascii="Times New Roman" w:hAnsi="Times New Roman" w:cs="Times New Roman"/>
          <w:color w:val="000000" w:themeColor="text1"/>
          <w:sz w:val="24"/>
          <w:szCs w:val="24"/>
        </w:rPr>
        <w:t>NIBRS</w:t>
      </w:r>
      <w:r w:rsidRPr="6117B93F">
        <w:rPr>
          <w:rFonts w:ascii="Times New Roman" w:hAnsi="Times New Roman" w:cs="Times New Roman"/>
          <w:color w:val="000000" w:themeColor="text1"/>
          <w:sz w:val="24"/>
          <w:szCs w:val="24"/>
        </w:rPr>
        <w:t xml:space="preserve"> data are obtained from public agencies and </w:t>
      </w:r>
      <w:r w:rsidR="00B739BC">
        <w:rPr>
          <w:rFonts w:ascii="Times New Roman" w:hAnsi="Times New Roman" w:cs="Times New Roman"/>
          <w:color w:val="000000" w:themeColor="text1"/>
          <w:sz w:val="24"/>
          <w:szCs w:val="24"/>
        </w:rPr>
        <w:t>submitted to the FBI with the expectation that they will be publicly available.</w:t>
      </w:r>
    </w:p>
    <w:p w:rsidRPr="0065486C" w:rsidR="00884926" w:rsidP="00FC6E82" w:rsidRDefault="00884926" w14:paraId="2BA226A1" w14:textId="77777777">
      <w:pPr>
        <w:pStyle w:val="ListParagraph"/>
        <w:spacing w:after="0" w:line="240" w:lineRule="auto"/>
        <w:rPr>
          <w:rFonts w:ascii="Times New Roman" w:hAnsi="Times New Roman" w:cs="Times New Roman"/>
          <w:color w:val="000000" w:themeColor="text1"/>
          <w:sz w:val="24"/>
          <w:szCs w:val="24"/>
        </w:rPr>
      </w:pPr>
    </w:p>
    <w:p w:rsidRPr="0065486C" w:rsidR="00884926" w:rsidP="00FC6E82" w:rsidRDefault="00AC7DC4" w14:paraId="400CB262" w14:textId="77777777">
      <w:pPr>
        <w:pStyle w:val="ListParagraph"/>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T</w:t>
      </w:r>
      <w:r w:rsidR="00344DB9">
        <w:rPr>
          <w:rFonts w:ascii="Times New Roman" w:hAnsi="Times New Roman" w:cs="Times New Roman"/>
          <w:color w:val="000000" w:themeColor="text1"/>
          <w:sz w:val="24"/>
          <w:szCs w:val="24"/>
        </w:rPr>
        <w:t>he location of an incident is collected in NIBRS</w:t>
      </w:r>
      <w:r>
        <w:rPr>
          <w:rFonts w:ascii="Times New Roman" w:hAnsi="Times New Roman" w:cs="Times New Roman"/>
          <w:color w:val="000000" w:themeColor="text1"/>
          <w:sz w:val="24"/>
          <w:szCs w:val="24"/>
        </w:rPr>
        <w:t>; however</w:t>
      </w:r>
      <w:r w:rsidR="00344DB9">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it’s not the home address</w:t>
      </w:r>
      <w:r w:rsidR="00F01C0F">
        <w:rPr>
          <w:rFonts w:ascii="Times New Roman" w:hAnsi="Times New Roman" w:cs="Times New Roman"/>
          <w:color w:val="000000" w:themeColor="text1"/>
          <w:sz w:val="24"/>
          <w:szCs w:val="24"/>
        </w:rPr>
        <w:t xml:space="preserve"> of each </w:t>
      </w:r>
      <w:r>
        <w:rPr>
          <w:rFonts w:ascii="Times New Roman" w:hAnsi="Times New Roman" w:cs="Times New Roman"/>
          <w:color w:val="000000" w:themeColor="text1"/>
          <w:sz w:val="24"/>
          <w:szCs w:val="24"/>
        </w:rPr>
        <w:t>victim</w:t>
      </w:r>
      <w:r w:rsidRPr="0065486C" w:rsidR="00884926">
        <w:rPr>
          <w:rFonts w:ascii="Times New Roman" w:hAnsi="Times New Roman" w:cs="Times New Roman"/>
          <w:color w:val="000000" w:themeColor="text1"/>
          <w:sz w:val="24"/>
          <w:szCs w:val="24"/>
        </w:rPr>
        <w:t xml:space="preserve">.  The location is reported as a general </w:t>
      </w:r>
      <w:r w:rsidR="00344DB9">
        <w:rPr>
          <w:rFonts w:ascii="Times New Roman" w:hAnsi="Times New Roman" w:cs="Times New Roman"/>
          <w:color w:val="000000" w:themeColor="text1"/>
          <w:sz w:val="24"/>
          <w:szCs w:val="24"/>
        </w:rPr>
        <w:t xml:space="preserve">site (e.g., </w:t>
      </w:r>
      <w:r w:rsidRPr="0065486C" w:rsidR="00884926">
        <w:rPr>
          <w:rFonts w:ascii="Times New Roman" w:hAnsi="Times New Roman" w:cs="Times New Roman"/>
          <w:color w:val="000000" w:themeColor="text1"/>
          <w:sz w:val="24"/>
          <w:szCs w:val="24"/>
        </w:rPr>
        <w:t>park, community center, school, grocery store, or residence</w:t>
      </w:r>
      <w:r w:rsidR="00344DB9">
        <w:rPr>
          <w:rFonts w:ascii="Times New Roman" w:hAnsi="Times New Roman" w:cs="Times New Roman"/>
          <w:color w:val="000000" w:themeColor="text1"/>
          <w:sz w:val="24"/>
          <w:szCs w:val="24"/>
        </w:rPr>
        <w:t>)</w:t>
      </w:r>
      <w:r w:rsidRPr="0065486C" w:rsidR="00884926">
        <w:rPr>
          <w:rFonts w:ascii="Times New Roman" w:hAnsi="Times New Roman" w:cs="Times New Roman"/>
          <w:color w:val="000000" w:themeColor="text1"/>
          <w:sz w:val="24"/>
          <w:szCs w:val="24"/>
        </w:rPr>
        <w:t>.  The address</w:t>
      </w:r>
      <w:r w:rsidRPr="0065486C" w:rsidR="004E72B9">
        <w:rPr>
          <w:rFonts w:ascii="Times New Roman" w:hAnsi="Times New Roman" w:cs="Times New Roman"/>
          <w:color w:val="000000" w:themeColor="text1"/>
          <w:sz w:val="24"/>
          <w:szCs w:val="24"/>
        </w:rPr>
        <w:t xml:space="preserve"> of the reporting agency is </w:t>
      </w:r>
      <w:r w:rsidRPr="0065486C" w:rsidR="00D265E7">
        <w:rPr>
          <w:rFonts w:ascii="Times New Roman" w:hAnsi="Times New Roman" w:cs="Times New Roman"/>
          <w:color w:val="000000" w:themeColor="text1"/>
          <w:sz w:val="24"/>
          <w:szCs w:val="24"/>
        </w:rPr>
        <w:t>col</w:t>
      </w:r>
      <w:r w:rsidRPr="0065486C" w:rsidR="004E72B9">
        <w:rPr>
          <w:rFonts w:ascii="Times New Roman" w:hAnsi="Times New Roman" w:cs="Times New Roman"/>
          <w:color w:val="000000" w:themeColor="text1"/>
          <w:sz w:val="24"/>
          <w:szCs w:val="24"/>
        </w:rPr>
        <w:t>lected within the NIBRS master file</w:t>
      </w:r>
      <w:r w:rsidRPr="0065486C" w:rsidR="00884926">
        <w:rPr>
          <w:rFonts w:ascii="Times New Roman" w:hAnsi="Times New Roman" w:cs="Times New Roman"/>
          <w:color w:val="000000" w:themeColor="text1"/>
          <w:sz w:val="24"/>
          <w:szCs w:val="24"/>
        </w:rPr>
        <w:t>.</w:t>
      </w:r>
    </w:p>
    <w:p w:rsidR="00EF3A99" w:rsidP="00FC6E82" w:rsidRDefault="00EF3A99" w14:paraId="17AD93B2" w14:textId="77777777">
      <w:pPr>
        <w:spacing w:after="0" w:line="240" w:lineRule="auto"/>
        <w:contextualSpacing/>
        <w:rPr>
          <w:rFonts w:ascii="Times New Roman" w:hAnsi="Times New Roman" w:cs="Times New Roman"/>
          <w:color w:val="000000" w:themeColor="text1"/>
          <w:sz w:val="24"/>
          <w:szCs w:val="24"/>
        </w:rPr>
      </w:pPr>
    </w:p>
    <w:p w:rsidRPr="0065486C" w:rsidR="00B068E6" w:rsidP="00FC6E82" w:rsidRDefault="00B068E6" w14:paraId="0DE4B5B7" w14:textId="77777777">
      <w:pPr>
        <w:spacing w:after="0" w:line="240" w:lineRule="auto"/>
        <w:contextualSpacing/>
        <w:rPr>
          <w:rFonts w:ascii="Times New Roman" w:hAnsi="Times New Roman" w:cs="Times New Roman"/>
          <w:color w:val="000000" w:themeColor="text1"/>
          <w:sz w:val="24"/>
          <w:szCs w:val="24"/>
        </w:rPr>
      </w:pPr>
    </w:p>
    <w:p w:rsidRPr="0065486C" w:rsidR="00FB2BD6" w:rsidP="00FC6E82" w:rsidRDefault="00FB2BD6" w14:paraId="7C72B7DD" w14:textId="77777777">
      <w:pPr>
        <w:pStyle w:val="ListParagraph"/>
        <w:numPr>
          <w:ilvl w:val="0"/>
          <w:numId w:val="4"/>
        </w:numPr>
        <w:spacing w:after="0" w:line="240" w:lineRule="auto"/>
        <w:rPr>
          <w:rFonts w:ascii="Times New Roman" w:hAnsi="Times New Roman" w:cs="Times New Roman"/>
          <w:color w:val="000000" w:themeColor="text1"/>
          <w:sz w:val="24"/>
          <w:szCs w:val="24"/>
        </w:rPr>
      </w:pPr>
      <w:r w:rsidRPr="0065486C">
        <w:rPr>
          <w:rFonts w:ascii="Times New Roman" w:hAnsi="Times New Roman" w:cs="Times New Roman"/>
          <w:color w:val="000000" w:themeColor="text1"/>
          <w:sz w:val="24"/>
          <w:szCs w:val="24"/>
          <w:u w:val="single"/>
        </w:rPr>
        <w:t>Justification for Sensitive Questions</w:t>
      </w:r>
    </w:p>
    <w:p w:rsidRPr="0065486C" w:rsidR="00FB2BD6" w:rsidP="00FC6E82" w:rsidRDefault="00FB2BD6" w14:paraId="66204FF1" w14:textId="77777777">
      <w:pPr>
        <w:pStyle w:val="ListParagraph"/>
        <w:spacing w:after="0" w:line="240" w:lineRule="auto"/>
        <w:rPr>
          <w:rFonts w:ascii="Times New Roman" w:hAnsi="Times New Roman" w:cs="Times New Roman"/>
          <w:color w:val="000000" w:themeColor="text1"/>
          <w:sz w:val="24"/>
          <w:szCs w:val="24"/>
        </w:rPr>
      </w:pPr>
    </w:p>
    <w:p w:rsidRPr="0065486C" w:rsidR="00B54F52" w:rsidP="00FC6E82" w:rsidRDefault="008C69A7" w14:paraId="2575BDB1" w14:textId="77777777">
      <w:pPr>
        <w:pStyle w:val="ListParagraph"/>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Information collected via NIBRS</w:t>
      </w:r>
      <w:r w:rsidRPr="0065486C" w:rsidR="00B54F52">
        <w:rPr>
          <w:rFonts w:ascii="Times New Roman" w:hAnsi="Times New Roman" w:cs="Times New Roman"/>
          <w:color w:val="000000" w:themeColor="text1"/>
          <w:sz w:val="24"/>
          <w:szCs w:val="24"/>
        </w:rPr>
        <w:t xml:space="preserve"> is not sensitive in nature.</w:t>
      </w:r>
    </w:p>
    <w:p w:rsidRPr="0065486C" w:rsidR="00B54F52" w:rsidP="00FC6E82" w:rsidRDefault="00B54F52" w14:paraId="2DBF0D7D" w14:textId="77777777">
      <w:pPr>
        <w:spacing w:after="0" w:line="240" w:lineRule="auto"/>
        <w:contextualSpacing/>
        <w:rPr>
          <w:rFonts w:ascii="Times New Roman" w:hAnsi="Times New Roman" w:cs="Times New Roman"/>
          <w:color w:val="000000" w:themeColor="text1"/>
          <w:sz w:val="24"/>
          <w:szCs w:val="24"/>
        </w:rPr>
      </w:pPr>
      <w:r w:rsidRPr="0065486C">
        <w:rPr>
          <w:rFonts w:ascii="Times New Roman" w:hAnsi="Times New Roman" w:cs="Times New Roman"/>
          <w:color w:val="000000" w:themeColor="text1"/>
          <w:sz w:val="24"/>
          <w:szCs w:val="24"/>
        </w:rPr>
        <w:br w:type="page"/>
      </w:r>
    </w:p>
    <w:p w:rsidRPr="0065486C" w:rsidR="00FB2BD6" w:rsidP="00FC6E82" w:rsidRDefault="006F05A3" w14:paraId="71BE15B0" w14:textId="77777777">
      <w:pPr>
        <w:pStyle w:val="ListParagraph"/>
        <w:numPr>
          <w:ilvl w:val="0"/>
          <w:numId w:val="4"/>
        </w:numPr>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u w:val="single"/>
        </w:rPr>
        <w:lastRenderedPageBreak/>
        <w:t>Estimate of Respondent</w:t>
      </w:r>
      <w:r w:rsidRPr="0065486C" w:rsidR="00FB2BD6">
        <w:rPr>
          <w:rFonts w:ascii="Times New Roman" w:hAnsi="Times New Roman" w:cs="Times New Roman"/>
          <w:color w:val="000000" w:themeColor="text1"/>
          <w:sz w:val="24"/>
          <w:szCs w:val="24"/>
          <w:u w:val="single"/>
        </w:rPr>
        <w:t>s</w:t>
      </w:r>
      <w:r>
        <w:rPr>
          <w:rFonts w:ascii="Times New Roman" w:hAnsi="Times New Roman" w:cs="Times New Roman"/>
          <w:color w:val="000000" w:themeColor="text1"/>
          <w:sz w:val="24"/>
          <w:szCs w:val="24"/>
          <w:u w:val="single"/>
        </w:rPr>
        <w:t>’</w:t>
      </w:r>
      <w:r w:rsidRPr="0065486C" w:rsidR="00FB2BD6">
        <w:rPr>
          <w:rFonts w:ascii="Times New Roman" w:hAnsi="Times New Roman" w:cs="Times New Roman"/>
          <w:color w:val="000000" w:themeColor="text1"/>
          <w:sz w:val="24"/>
          <w:szCs w:val="24"/>
          <w:u w:val="single"/>
        </w:rPr>
        <w:t xml:space="preserve"> Burden</w:t>
      </w:r>
    </w:p>
    <w:p w:rsidRPr="0065486C" w:rsidR="00065349" w:rsidP="00FC6E82" w:rsidRDefault="00065349" w14:paraId="6B62F1B3" w14:textId="77777777">
      <w:pPr>
        <w:pStyle w:val="ListParagraph"/>
        <w:spacing w:after="0" w:line="240" w:lineRule="auto"/>
        <w:rPr>
          <w:rFonts w:ascii="Times New Roman" w:hAnsi="Times New Roman" w:cs="Times New Roman"/>
          <w:color w:val="000000" w:themeColor="text1"/>
          <w:sz w:val="24"/>
          <w:szCs w:val="24"/>
        </w:rPr>
      </w:pPr>
    </w:p>
    <w:tbl>
      <w:tblPr>
        <w:tblpPr w:leftFromText="180" w:rightFromText="180" w:vertAnchor="text" w:horzAnchor="margin" w:tblpXSpec="center" w:tblpY="78"/>
        <w:tblW w:w="8730" w:type="dxa"/>
        <w:tblLayout w:type="fixed"/>
        <w:tblLook w:val="04A0" w:firstRow="1" w:lastRow="0" w:firstColumn="1" w:lastColumn="0" w:noHBand="0" w:noVBand="1"/>
      </w:tblPr>
      <w:tblGrid>
        <w:gridCol w:w="1746"/>
        <w:gridCol w:w="39"/>
        <w:gridCol w:w="1707"/>
        <w:gridCol w:w="1746"/>
        <w:gridCol w:w="1746"/>
        <w:gridCol w:w="1746"/>
      </w:tblGrid>
      <w:tr w:rsidRPr="0065486C" w:rsidR="00CB18ED" w:rsidTr="0009437D" w14:paraId="7F1A3C1F" w14:textId="77777777">
        <w:trPr>
          <w:trHeight w:val="288" w:hRule="exact"/>
        </w:trPr>
        <w:tc>
          <w:tcPr>
            <w:tcW w:w="8730" w:type="dxa"/>
            <w:gridSpan w:val="6"/>
            <w:tcBorders>
              <w:top w:val="single" w:color="auto" w:sz="8" w:space="0"/>
              <w:bottom w:val="single" w:color="auto" w:sz="8" w:space="0"/>
            </w:tcBorders>
            <w:shd w:val="clear" w:color="auto" w:fill="auto"/>
            <w:vAlign w:val="center"/>
          </w:tcPr>
          <w:p w:rsidRPr="00DE3BDE" w:rsidR="00A46399" w:rsidP="00FC6E82" w:rsidRDefault="00065349" w14:paraId="7EAED655" w14:textId="77777777">
            <w:pPr>
              <w:spacing w:after="0" w:line="240" w:lineRule="auto"/>
              <w:contextualSpacing/>
              <w:jc w:val="center"/>
              <w:rPr>
                <w:rFonts w:ascii="Times New Roman" w:hAnsi="Times New Roman" w:eastAsia="Times New Roman" w:cs="Times New Roman"/>
                <w:b/>
                <w:bCs/>
                <w:color w:val="000000" w:themeColor="text1"/>
                <w:sz w:val="20"/>
                <w:szCs w:val="20"/>
              </w:rPr>
            </w:pPr>
            <w:r w:rsidRPr="00DE3BDE">
              <w:rPr>
                <w:rFonts w:ascii="Times New Roman" w:hAnsi="Times New Roman" w:eastAsia="Times New Roman" w:cs="Times New Roman"/>
                <w:b/>
                <w:bCs/>
                <w:color w:val="000000" w:themeColor="text1"/>
                <w:sz w:val="20"/>
                <w:szCs w:val="20"/>
              </w:rPr>
              <w:t>National Incident-Based</w:t>
            </w:r>
            <w:r w:rsidRPr="00DE3BDE" w:rsidR="00A46399">
              <w:rPr>
                <w:rFonts w:ascii="Times New Roman" w:hAnsi="Times New Roman" w:eastAsia="Times New Roman" w:cs="Times New Roman"/>
                <w:b/>
                <w:bCs/>
                <w:color w:val="000000" w:themeColor="text1"/>
                <w:sz w:val="20"/>
                <w:szCs w:val="20"/>
              </w:rPr>
              <w:t xml:space="preserve"> Reporting System</w:t>
            </w:r>
          </w:p>
        </w:tc>
      </w:tr>
      <w:tr w:rsidRPr="0065486C" w:rsidR="00CB18ED" w:rsidTr="0009437D" w14:paraId="340F53B3" w14:textId="77777777">
        <w:trPr>
          <w:trHeight w:val="509"/>
        </w:trPr>
        <w:tc>
          <w:tcPr>
            <w:tcW w:w="1746" w:type="dxa"/>
            <w:tcBorders>
              <w:top w:val="single" w:color="auto" w:sz="8" w:space="0"/>
            </w:tcBorders>
            <w:shd w:val="clear" w:color="auto" w:fill="auto"/>
            <w:vAlign w:val="center"/>
            <w:hideMark/>
          </w:tcPr>
          <w:p w:rsidRPr="00DE3BDE" w:rsidR="00A46399" w:rsidP="00FC6E82" w:rsidRDefault="00A46399" w14:paraId="3682881B" w14:textId="77777777">
            <w:pPr>
              <w:spacing w:after="0" w:line="240" w:lineRule="auto"/>
              <w:contextualSpacing/>
              <w:rPr>
                <w:rFonts w:ascii="Times New Roman" w:hAnsi="Times New Roman" w:eastAsia="Times New Roman" w:cs="Times New Roman"/>
                <w:b/>
                <w:bCs/>
                <w:color w:val="000000" w:themeColor="text1"/>
                <w:sz w:val="20"/>
                <w:szCs w:val="20"/>
              </w:rPr>
            </w:pPr>
            <w:r w:rsidRPr="00DE3BDE">
              <w:rPr>
                <w:rFonts w:ascii="Times New Roman" w:hAnsi="Times New Roman" w:eastAsia="Times New Roman" w:cs="Times New Roman"/>
                <w:b/>
                <w:bCs/>
                <w:color w:val="000000" w:themeColor="text1"/>
                <w:sz w:val="20"/>
                <w:szCs w:val="20"/>
              </w:rPr>
              <w:t xml:space="preserve">Data </w:t>
            </w:r>
          </w:p>
          <w:p w:rsidRPr="00DE3BDE" w:rsidR="00A46399" w:rsidP="00FC6E82" w:rsidRDefault="00A46399" w14:paraId="35A0BCD4" w14:textId="77777777">
            <w:pPr>
              <w:spacing w:after="0" w:line="240" w:lineRule="auto"/>
              <w:contextualSpacing/>
              <w:rPr>
                <w:rFonts w:ascii="Times New Roman" w:hAnsi="Times New Roman" w:eastAsia="Times New Roman" w:cs="Times New Roman"/>
                <w:b/>
                <w:bCs/>
                <w:color w:val="000000" w:themeColor="text1"/>
                <w:sz w:val="20"/>
                <w:szCs w:val="20"/>
              </w:rPr>
            </w:pPr>
            <w:r w:rsidRPr="00DE3BDE">
              <w:rPr>
                <w:rFonts w:ascii="Times New Roman" w:hAnsi="Times New Roman" w:eastAsia="Times New Roman" w:cs="Times New Roman"/>
                <w:b/>
                <w:bCs/>
                <w:color w:val="000000" w:themeColor="text1"/>
                <w:sz w:val="20"/>
                <w:szCs w:val="20"/>
              </w:rPr>
              <w:t>Submitted</w:t>
            </w:r>
          </w:p>
        </w:tc>
        <w:tc>
          <w:tcPr>
            <w:tcW w:w="1746" w:type="dxa"/>
            <w:gridSpan w:val="2"/>
            <w:tcBorders>
              <w:top w:val="single" w:color="auto" w:sz="8" w:space="0"/>
            </w:tcBorders>
            <w:shd w:val="clear" w:color="auto" w:fill="auto"/>
            <w:vAlign w:val="center"/>
            <w:hideMark/>
          </w:tcPr>
          <w:p w:rsidRPr="00DE3BDE" w:rsidR="00A46399" w:rsidP="00FC6E82" w:rsidRDefault="00A46399" w14:paraId="7350C4A0" w14:textId="77777777">
            <w:pPr>
              <w:spacing w:after="0" w:line="240" w:lineRule="auto"/>
              <w:contextualSpacing/>
              <w:jc w:val="right"/>
              <w:rPr>
                <w:rFonts w:ascii="Times New Roman" w:hAnsi="Times New Roman" w:eastAsia="Times New Roman" w:cs="Times New Roman"/>
                <w:b/>
                <w:bCs/>
                <w:color w:val="000000" w:themeColor="text1"/>
                <w:sz w:val="20"/>
                <w:szCs w:val="20"/>
              </w:rPr>
            </w:pPr>
            <w:r w:rsidRPr="00DE3BDE">
              <w:rPr>
                <w:rFonts w:ascii="Times New Roman" w:hAnsi="Times New Roman" w:eastAsia="Times New Roman" w:cs="Times New Roman"/>
                <w:b/>
                <w:bCs/>
                <w:color w:val="000000" w:themeColor="text1"/>
                <w:sz w:val="20"/>
                <w:szCs w:val="20"/>
              </w:rPr>
              <w:t xml:space="preserve">Number </w:t>
            </w:r>
          </w:p>
          <w:p w:rsidRPr="00DE3BDE" w:rsidR="00A46399" w:rsidP="00FC6E82" w:rsidRDefault="00A46399" w14:paraId="1106E451" w14:textId="77777777">
            <w:pPr>
              <w:spacing w:after="0" w:line="240" w:lineRule="auto"/>
              <w:contextualSpacing/>
              <w:jc w:val="right"/>
              <w:rPr>
                <w:rFonts w:ascii="Times New Roman" w:hAnsi="Times New Roman" w:eastAsia="Times New Roman" w:cs="Times New Roman"/>
                <w:b/>
                <w:bCs/>
                <w:color w:val="000000" w:themeColor="text1"/>
                <w:sz w:val="20"/>
                <w:szCs w:val="20"/>
              </w:rPr>
            </w:pPr>
            <w:r w:rsidRPr="00DE3BDE">
              <w:rPr>
                <w:rFonts w:ascii="Times New Roman" w:hAnsi="Times New Roman" w:eastAsia="Times New Roman" w:cs="Times New Roman"/>
                <w:b/>
                <w:bCs/>
                <w:color w:val="000000" w:themeColor="text1"/>
                <w:sz w:val="20"/>
                <w:szCs w:val="20"/>
              </w:rPr>
              <w:t>of Agencies</w:t>
            </w:r>
          </w:p>
        </w:tc>
        <w:tc>
          <w:tcPr>
            <w:tcW w:w="1746" w:type="dxa"/>
            <w:tcBorders>
              <w:top w:val="single" w:color="auto" w:sz="8" w:space="0"/>
            </w:tcBorders>
            <w:shd w:val="clear" w:color="auto" w:fill="auto"/>
            <w:vAlign w:val="center"/>
            <w:hideMark/>
          </w:tcPr>
          <w:p w:rsidRPr="00DE3BDE" w:rsidR="00A46399" w:rsidP="00FC6E82" w:rsidRDefault="00A46399" w14:paraId="1D7944FE" w14:textId="77777777">
            <w:pPr>
              <w:spacing w:after="0" w:line="240" w:lineRule="auto"/>
              <w:contextualSpacing/>
              <w:jc w:val="right"/>
              <w:rPr>
                <w:rFonts w:ascii="Times New Roman" w:hAnsi="Times New Roman" w:eastAsia="Times New Roman" w:cs="Times New Roman"/>
                <w:b/>
                <w:bCs/>
                <w:color w:val="000000" w:themeColor="text1"/>
                <w:sz w:val="20"/>
                <w:szCs w:val="20"/>
              </w:rPr>
            </w:pPr>
            <w:r w:rsidRPr="00DE3BDE">
              <w:rPr>
                <w:rFonts w:ascii="Times New Roman" w:hAnsi="Times New Roman" w:eastAsia="Times New Roman" w:cs="Times New Roman"/>
                <w:b/>
                <w:bCs/>
                <w:color w:val="000000" w:themeColor="text1"/>
                <w:sz w:val="20"/>
                <w:szCs w:val="20"/>
              </w:rPr>
              <w:t xml:space="preserve">Number </w:t>
            </w:r>
          </w:p>
          <w:p w:rsidRPr="00DE3BDE" w:rsidR="00A46399" w:rsidP="00FC6E82" w:rsidRDefault="00A46399" w14:paraId="2F21966F" w14:textId="77777777">
            <w:pPr>
              <w:spacing w:after="0" w:line="240" w:lineRule="auto"/>
              <w:contextualSpacing/>
              <w:jc w:val="right"/>
              <w:rPr>
                <w:rFonts w:ascii="Times New Roman" w:hAnsi="Times New Roman" w:eastAsia="Times New Roman" w:cs="Times New Roman"/>
                <w:b/>
                <w:bCs/>
                <w:color w:val="000000" w:themeColor="text1"/>
                <w:sz w:val="20"/>
                <w:szCs w:val="20"/>
              </w:rPr>
            </w:pPr>
            <w:r w:rsidRPr="00DE3BDE">
              <w:rPr>
                <w:rFonts w:ascii="Times New Roman" w:hAnsi="Times New Roman" w:eastAsia="Times New Roman" w:cs="Times New Roman"/>
                <w:b/>
                <w:bCs/>
                <w:color w:val="000000" w:themeColor="text1"/>
                <w:sz w:val="20"/>
                <w:szCs w:val="20"/>
              </w:rPr>
              <w:t>of Responses</w:t>
            </w:r>
          </w:p>
        </w:tc>
        <w:tc>
          <w:tcPr>
            <w:tcW w:w="1746" w:type="dxa"/>
            <w:tcBorders>
              <w:top w:val="single" w:color="auto" w:sz="8" w:space="0"/>
            </w:tcBorders>
            <w:shd w:val="clear" w:color="auto" w:fill="auto"/>
            <w:vAlign w:val="center"/>
            <w:hideMark/>
          </w:tcPr>
          <w:p w:rsidRPr="00DE3BDE" w:rsidR="00A46399" w:rsidP="00FC6E82" w:rsidRDefault="00A46399" w14:paraId="21818548" w14:textId="77777777">
            <w:pPr>
              <w:spacing w:after="0" w:line="240" w:lineRule="auto"/>
              <w:contextualSpacing/>
              <w:jc w:val="right"/>
              <w:rPr>
                <w:rFonts w:ascii="Times New Roman" w:hAnsi="Times New Roman" w:eastAsia="Times New Roman" w:cs="Times New Roman"/>
                <w:b/>
                <w:bCs/>
                <w:color w:val="000000" w:themeColor="text1"/>
                <w:sz w:val="20"/>
                <w:szCs w:val="20"/>
              </w:rPr>
            </w:pPr>
            <w:r w:rsidRPr="00DE3BDE">
              <w:rPr>
                <w:rFonts w:ascii="Times New Roman" w:hAnsi="Times New Roman" w:eastAsia="Times New Roman" w:cs="Times New Roman"/>
                <w:b/>
                <w:bCs/>
                <w:color w:val="000000" w:themeColor="text1"/>
                <w:sz w:val="20"/>
                <w:szCs w:val="20"/>
              </w:rPr>
              <w:t xml:space="preserve">Burden </w:t>
            </w:r>
          </w:p>
          <w:p w:rsidRPr="00DE3BDE" w:rsidR="00A46399" w:rsidP="00FC6E82" w:rsidRDefault="00A46399" w14:paraId="039300DE" w14:textId="77777777">
            <w:pPr>
              <w:spacing w:after="0" w:line="240" w:lineRule="auto"/>
              <w:contextualSpacing/>
              <w:jc w:val="right"/>
              <w:rPr>
                <w:rFonts w:ascii="Times New Roman" w:hAnsi="Times New Roman" w:eastAsia="Times New Roman" w:cs="Times New Roman"/>
                <w:b/>
                <w:bCs/>
                <w:color w:val="000000" w:themeColor="text1"/>
                <w:sz w:val="20"/>
                <w:szCs w:val="20"/>
              </w:rPr>
            </w:pPr>
            <w:r w:rsidRPr="00DE3BDE">
              <w:rPr>
                <w:rFonts w:ascii="Times New Roman" w:hAnsi="Times New Roman" w:eastAsia="Times New Roman" w:cs="Times New Roman"/>
                <w:b/>
                <w:bCs/>
                <w:color w:val="000000" w:themeColor="text1"/>
                <w:sz w:val="20"/>
                <w:szCs w:val="20"/>
              </w:rPr>
              <w:t>(Minutes)</w:t>
            </w:r>
          </w:p>
        </w:tc>
        <w:tc>
          <w:tcPr>
            <w:tcW w:w="1746" w:type="dxa"/>
            <w:tcBorders>
              <w:top w:val="single" w:color="auto" w:sz="8" w:space="0"/>
            </w:tcBorders>
            <w:shd w:val="clear" w:color="auto" w:fill="auto"/>
            <w:vAlign w:val="center"/>
            <w:hideMark/>
          </w:tcPr>
          <w:p w:rsidRPr="00DE3BDE" w:rsidR="00A46399" w:rsidP="00FC6E82" w:rsidRDefault="00A46399" w14:paraId="5B528122" w14:textId="77777777">
            <w:pPr>
              <w:spacing w:after="0" w:line="240" w:lineRule="auto"/>
              <w:contextualSpacing/>
              <w:jc w:val="right"/>
              <w:rPr>
                <w:rFonts w:ascii="Times New Roman" w:hAnsi="Times New Roman" w:eastAsia="Times New Roman" w:cs="Times New Roman"/>
                <w:b/>
                <w:bCs/>
                <w:color w:val="000000" w:themeColor="text1"/>
                <w:sz w:val="20"/>
                <w:szCs w:val="20"/>
              </w:rPr>
            </w:pPr>
            <w:r w:rsidRPr="00DE3BDE">
              <w:rPr>
                <w:rFonts w:ascii="Times New Roman" w:hAnsi="Times New Roman" w:eastAsia="Times New Roman" w:cs="Times New Roman"/>
                <w:b/>
                <w:bCs/>
                <w:color w:val="000000" w:themeColor="text1"/>
                <w:sz w:val="20"/>
                <w:szCs w:val="20"/>
              </w:rPr>
              <w:t xml:space="preserve">Burden </w:t>
            </w:r>
          </w:p>
          <w:p w:rsidRPr="00DE3BDE" w:rsidR="00A46399" w:rsidP="00FC6E82" w:rsidRDefault="00A46399" w14:paraId="2CDBE594" w14:textId="77777777">
            <w:pPr>
              <w:spacing w:after="0" w:line="240" w:lineRule="auto"/>
              <w:contextualSpacing/>
              <w:jc w:val="right"/>
              <w:rPr>
                <w:rFonts w:ascii="Times New Roman" w:hAnsi="Times New Roman" w:eastAsia="Times New Roman" w:cs="Times New Roman"/>
                <w:b/>
                <w:bCs/>
                <w:color w:val="000000" w:themeColor="text1"/>
                <w:sz w:val="20"/>
                <w:szCs w:val="20"/>
              </w:rPr>
            </w:pPr>
            <w:r w:rsidRPr="00DE3BDE">
              <w:rPr>
                <w:rFonts w:ascii="Times New Roman" w:hAnsi="Times New Roman" w:eastAsia="Times New Roman" w:cs="Times New Roman"/>
                <w:b/>
                <w:bCs/>
                <w:color w:val="000000" w:themeColor="text1"/>
                <w:sz w:val="20"/>
                <w:szCs w:val="20"/>
              </w:rPr>
              <w:t>(Hours)</w:t>
            </w:r>
          </w:p>
        </w:tc>
      </w:tr>
      <w:tr w:rsidRPr="0065486C" w:rsidR="00CB18ED" w:rsidTr="00FD0558" w14:paraId="1A931083" w14:textId="77777777">
        <w:trPr>
          <w:trHeight w:val="288"/>
        </w:trPr>
        <w:tc>
          <w:tcPr>
            <w:tcW w:w="1746" w:type="dxa"/>
            <w:tcBorders>
              <w:bottom w:val="single" w:color="auto" w:sz="8" w:space="0"/>
            </w:tcBorders>
            <w:shd w:val="clear" w:color="auto" w:fill="auto"/>
            <w:vAlign w:val="center"/>
          </w:tcPr>
          <w:p w:rsidRPr="00DE3BDE" w:rsidR="00A46399" w:rsidP="00FC6E82" w:rsidRDefault="00A46399" w14:paraId="58803070" w14:textId="77777777">
            <w:pPr>
              <w:spacing w:after="0" w:line="240" w:lineRule="auto"/>
              <w:contextualSpacing/>
              <w:rPr>
                <w:rFonts w:ascii="Times New Roman" w:hAnsi="Times New Roman" w:eastAsia="Times New Roman" w:cs="Times New Roman"/>
                <w:color w:val="000000" w:themeColor="text1"/>
                <w:sz w:val="20"/>
                <w:szCs w:val="20"/>
              </w:rPr>
            </w:pPr>
            <w:r w:rsidRPr="00DE3BDE">
              <w:rPr>
                <w:rFonts w:ascii="Times New Roman" w:hAnsi="Times New Roman" w:eastAsia="Times New Roman" w:cs="Times New Roman"/>
                <w:color w:val="000000" w:themeColor="text1"/>
                <w:sz w:val="20"/>
                <w:szCs w:val="20"/>
              </w:rPr>
              <w:t>(A)</w:t>
            </w:r>
          </w:p>
        </w:tc>
        <w:tc>
          <w:tcPr>
            <w:tcW w:w="1746" w:type="dxa"/>
            <w:gridSpan w:val="2"/>
            <w:tcBorders>
              <w:bottom w:val="single" w:color="auto" w:sz="8" w:space="0"/>
            </w:tcBorders>
            <w:shd w:val="clear" w:color="auto" w:fill="auto"/>
            <w:vAlign w:val="center"/>
          </w:tcPr>
          <w:p w:rsidRPr="00DE3BDE" w:rsidR="00A46399" w:rsidP="00FC6E82" w:rsidRDefault="00A46399" w14:paraId="0AC4FE52" w14:textId="77777777">
            <w:pPr>
              <w:spacing w:after="0" w:line="240" w:lineRule="auto"/>
              <w:contextualSpacing/>
              <w:jc w:val="right"/>
              <w:rPr>
                <w:rFonts w:ascii="Times New Roman" w:hAnsi="Times New Roman" w:eastAsia="Times New Roman" w:cs="Times New Roman"/>
                <w:color w:val="000000" w:themeColor="text1"/>
                <w:sz w:val="20"/>
                <w:szCs w:val="20"/>
              </w:rPr>
            </w:pPr>
            <w:r w:rsidRPr="00DE3BDE">
              <w:rPr>
                <w:rFonts w:ascii="Times New Roman" w:hAnsi="Times New Roman" w:eastAsia="Times New Roman" w:cs="Times New Roman"/>
                <w:color w:val="000000" w:themeColor="text1"/>
                <w:sz w:val="20"/>
                <w:szCs w:val="20"/>
              </w:rPr>
              <w:t>(B)</w:t>
            </w:r>
          </w:p>
        </w:tc>
        <w:tc>
          <w:tcPr>
            <w:tcW w:w="1746" w:type="dxa"/>
            <w:tcBorders>
              <w:bottom w:val="single" w:color="auto" w:sz="8" w:space="0"/>
            </w:tcBorders>
            <w:shd w:val="clear" w:color="auto" w:fill="auto"/>
            <w:vAlign w:val="center"/>
          </w:tcPr>
          <w:p w:rsidRPr="00DE3BDE" w:rsidR="00A46399" w:rsidP="00FC6E82" w:rsidRDefault="00A46399" w14:paraId="4863200B" w14:textId="77777777">
            <w:pPr>
              <w:spacing w:after="0" w:line="240" w:lineRule="auto"/>
              <w:contextualSpacing/>
              <w:jc w:val="right"/>
              <w:rPr>
                <w:rFonts w:ascii="Times New Roman" w:hAnsi="Times New Roman" w:eastAsia="Times New Roman" w:cs="Times New Roman"/>
                <w:color w:val="000000" w:themeColor="text1"/>
                <w:sz w:val="20"/>
                <w:szCs w:val="20"/>
              </w:rPr>
            </w:pPr>
            <w:r w:rsidRPr="00DE3BDE">
              <w:rPr>
                <w:rFonts w:ascii="Times New Roman" w:hAnsi="Times New Roman" w:eastAsia="Times New Roman" w:cs="Times New Roman"/>
                <w:color w:val="000000" w:themeColor="text1"/>
                <w:sz w:val="20"/>
                <w:szCs w:val="20"/>
              </w:rPr>
              <w:t>(C)</w:t>
            </w:r>
          </w:p>
        </w:tc>
        <w:tc>
          <w:tcPr>
            <w:tcW w:w="1746" w:type="dxa"/>
            <w:tcBorders>
              <w:bottom w:val="single" w:color="auto" w:sz="8" w:space="0"/>
            </w:tcBorders>
            <w:shd w:val="clear" w:color="auto" w:fill="auto"/>
            <w:vAlign w:val="center"/>
          </w:tcPr>
          <w:p w:rsidRPr="00DE3BDE" w:rsidR="00A46399" w:rsidP="00FC6E82" w:rsidRDefault="00A46399" w14:paraId="435700C7" w14:textId="77777777">
            <w:pPr>
              <w:spacing w:after="0" w:line="240" w:lineRule="auto"/>
              <w:contextualSpacing/>
              <w:jc w:val="right"/>
              <w:rPr>
                <w:rFonts w:ascii="Times New Roman" w:hAnsi="Times New Roman" w:eastAsia="Times New Roman" w:cs="Times New Roman"/>
                <w:color w:val="000000" w:themeColor="text1"/>
                <w:sz w:val="20"/>
                <w:szCs w:val="20"/>
              </w:rPr>
            </w:pPr>
            <w:r w:rsidRPr="00DE3BDE">
              <w:rPr>
                <w:rFonts w:ascii="Times New Roman" w:hAnsi="Times New Roman" w:eastAsia="Times New Roman" w:cs="Times New Roman"/>
                <w:color w:val="000000" w:themeColor="text1"/>
                <w:sz w:val="20"/>
                <w:szCs w:val="20"/>
              </w:rPr>
              <w:t>(D)</w:t>
            </w:r>
          </w:p>
        </w:tc>
        <w:tc>
          <w:tcPr>
            <w:tcW w:w="1746" w:type="dxa"/>
            <w:tcBorders>
              <w:bottom w:val="single" w:color="auto" w:sz="8" w:space="0"/>
            </w:tcBorders>
            <w:shd w:val="clear" w:color="auto" w:fill="auto"/>
            <w:vAlign w:val="center"/>
          </w:tcPr>
          <w:p w:rsidRPr="00DE3BDE" w:rsidR="00A46399" w:rsidP="00FC6E82" w:rsidRDefault="00A46399" w14:paraId="3FBF9AEB" w14:textId="77777777">
            <w:pPr>
              <w:spacing w:after="0" w:line="240" w:lineRule="auto"/>
              <w:contextualSpacing/>
              <w:jc w:val="right"/>
              <w:rPr>
                <w:rFonts w:ascii="Times New Roman" w:hAnsi="Times New Roman" w:eastAsia="Times New Roman" w:cs="Times New Roman"/>
                <w:color w:val="000000" w:themeColor="text1"/>
                <w:sz w:val="20"/>
                <w:szCs w:val="20"/>
              </w:rPr>
            </w:pPr>
            <w:r w:rsidRPr="00DE3BDE">
              <w:rPr>
                <w:rFonts w:ascii="Times New Roman" w:hAnsi="Times New Roman" w:eastAsia="Times New Roman" w:cs="Times New Roman"/>
                <w:color w:val="000000" w:themeColor="text1"/>
                <w:sz w:val="20"/>
                <w:szCs w:val="20"/>
              </w:rPr>
              <w:t>(E)</w:t>
            </w:r>
          </w:p>
        </w:tc>
      </w:tr>
      <w:tr w:rsidRPr="0065486C" w:rsidR="00CB18ED" w:rsidTr="0009437D" w14:paraId="086068AB" w14:textId="77777777">
        <w:trPr>
          <w:trHeight w:val="288"/>
        </w:trPr>
        <w:tc>
          <w:tcPr>
            <w:tcW w:w="1746" w:type="dxa"/>
            <w:tcBorders>
              <w:top w:val="single" w:color="auto" w:sz="8" w:space="0"/>
            </w:tcBorders>
            <w:shd w:val="clear" w:color="auto" w:fill="auto"/>
            <w:vAlign w:val="center"/>
            <w:hideMark/>
          </w:tcPr>
          <w:p w:rsidRPr="00DE3BDE" w:rsidR="00A46399" w:rsidP="00FC6E82" w:rsidRDefault="00A46399" w14:paraId="27C7C17D" w14:textId="77777777">
            <w:pPr>
              <w:spacing w:after="0" w:line="240" w:lineRule="auto"/>
              <w:contextualSpacing/>
              <w:rPr>
                <w:rFonts w:ascii="Times New Roman" w:hAnsi="Times New Roman" w:eastAsia="Times New Roman" w:cs="Times New Roman"/>
                <w:color w:val="000000" w:themeColor="text1"/>
                <w:sz w:val="20"/>
                <w:szCs w:val="20"/>
              </w:rPr>
            </w:pPr>
            <w:r w:rsidRPr="00DE3BDE">
              <w:rPr>
                <w:rFonts w:ascii="Times New Roman" w:hAnsi="Times New Roman" w:eastAsia="Times New Roman" w:cs="Times New Roman"/>
                <w:color w:val="000000" w:themeColor="text1"/>
                <w:sz w:val="20"/>
                <w:szCs w:val="20"/>
              </w:rPr>
              <w:t>1 month</w:t>
            </w:r>
          </w:p>
        </w:tc>
        <w:tc>
          <w:tcPr>
            <w:tcW w:w="1746" w:type="dxa"/>
            <w:gridSpan w:val="2"/>
            <w:tcBorders>
              <w:top w:val="single" w:color="auto" w:sz="8" w:space="0"/>
            </w:tcBorders>
            <w:shd w:val="clear" w:color="auto" w:fill="auto"/>
            <w:vAlign w:val="center"/>
          </w:tcPr>
          <w:p w:rsidRPr="00DE3BDE" w:rsidR="00A46399" w:rsidP="00FC6E82" w:rsidRDefault="002E6E28" w14:paraId="5AA05B6E" w14:textId="77777777">
            <w:pPr>
              <w:spacing w:after="0" w:line="240" w:lineRule="auto"/>
              <w:contextualSpacing/>
              <w:jc w:val="right"/>
              <w:rPr>
                <w:rFonts w:ascii="Times New Roman" w:hAnsi="Times New Roman" w:eastAsia="Times New Roman" w:cs="Times New Roman"/>
                <w:color w:val="000000" w:themeColor="text1"/>
                <w:sz w:val="20"/>
                <w:szCs w:val="20"/>
              </w:rPr>
            </w:pPr>
            <w:r w:rsidRPr="00DE3BDE">
              <w:rPr>
                <w:rFonts w:ascii="Times New Roman" w:hAnsi="Times New Roman" w:eastAsia="Times New Roman" w:cs="Times New Roman"/>
                <w:color w:val="000000" w:themeColor="text1"/>
                <w:sz w:val="20"/>
                <w:szCs w:val="20"/>
              </w:rPr>
              <w:t>90</w:t>
            </w:r>
          </w:p>
        </w:tc>
        <w:tc>
          <w:tcPr>
            <w:tcW w:w="1746" w:type="dxa"/>
            <w:tcBorders>
              <w:top w:val="single" w:color="auto" w:sz="8" w:space="0"/>
            </w:tcBorders>
            <w:shd w:val="clear" w:color="auto" w:fill="auto"/>
            <w:vAlign w:val="center"/>
          </w:tcPr>
          <w:p w:rsidRPr="00DE3BDE" w:rsidR="00A46399" w:rsidP="00FC6E82" w:rsidRDefault="002E6E28" w14:paraId="2850DD93" w14:textId="77777777">
            <w:pPr>
              <w:spacing w:after="0" w:line="240" w:lineRule="auto"/>
              <w:contextualSpacing/>
              <w:jc w:val="right"/>
              <w:rPr>
                <w:rFonts w:ascii="Times New Roman" w:hAnsi="Times New Roman" w:eastAsia="Times New Roman" w:cs="Times New Roman"/>
                <w:color w:val="000000" w:themeColor="text1"/>
                <w:sz w:val="20"/>
                <w:szCs w:val="20"/>
              </w:rPr>
            </w:pPr>
            <w:r w:rsidRPr="00DE3BDE">
              <w:rPr>
                <w:rFonts w:ascii="Times New Roman" w:hAnsi="Times New Roman" w:eastAsia="Times New Roman" w:cs="Times New Roman"/>
                <w:color w:val="000000" w:themeColor="text1"/>
                <w:sz w:val="20"/>
                <w:szCs w:val="20"/>
              </w:rPr>
              <w:t>90</w:t>
            </w:r>
          </w:p>
        </w:tc>
        <w:tc>
          <w:tcPr>
            <w:tcW w:w="1746" w:type="dxa"/>
            <w:tcBorders>
              <w:top w:val="single" w:color="auto" w:sz="8" w:space="0"/>
            </w:tcBorders>
            <w:shd w:val="clear" w:color="auto" w:fill="auto"/>
            <w:vAlign w:val="center"/>
          </w:tcPr>
          <w:p w:rsidRPr="00DE3BDE" w:rsidR="00A46399" w:rsidP="00FC6E82" w:rsidRDefault="0075183F" w14:paraId="629FB5FD" w14:textId="77777777">
            <w:pPr>
              <w:spacing w:after="0" w:line="240" w:lineRule="auto"/>
              <w:contextualSpacing/>
              <w:jc w:val="right"/>
              <w:rPr>
                <w:rFonts w:ascii="Times New Roman" w:hAnsi="Times New Roman" w:eastAsia="Times New Roman" w:cs="Times New Roman"/>
                <w:color w:val="000000" w:themeColor="text1"/>
                <w:sz w:val="20"/>
                <w:szCs w:val="20"/>
              </w:rPr>
            </w:pPr>
            <w:r w:rsidRPr="00DE3BDE">
              <w:rPr>
                <w:rFonts w:ascii="Times New Roman" w:hAnsi="Times New Roman" w:eastAsia="Times New Roman" w:cs="Times New Roman"/>
                <w:color w:val="000000" w:themeColor="text1"/>
                <w:sz w:val="20"/>
                <w:szCs w:val="20"/>
              </w:rPr>
              <w:t>10,800</w:t>
            </w:r>
          </w:p>
        </w:tc>
        <w:tc>
          <w:tcPr>
            <w:tcW w:w="1746" w:type="dxa"/>
            <w:tcBorders>
              <w:top w:val="single" w:color="auto" w:sz="8" w:space="0"/>
            </w:tcBorders>
            <w:shd w:val="clear" w:color="auto" w:fill="auto"/>
            <w:vAlign w:val="center"/>
          </w:tcPr>
          <w:p w:rsidRPr="00DE3BDE" w:rsidR="00A46399" w:rsidP="00FC6E82" w:rsidRDefault="0075183F" w14:paraId="3F9CE3EA" w14:textId="77777777">
            <w:pPr>
              <w:spacing w:after="0" w:line="240" w:lineRule="auto"/>
              <w:contextualSpacing/>
              <w:jc w:val="right"/>
              <w:rPr>
                <w:rFonts w:ascii="Times New Roman" w:hAnsi="Times New Roman" w:eastAsia="Times New Roman" w:cs="Times New Roman"/>
                <w:color w:val="000000" w:themeColor="text1"/>
                <w:sz w:val="20"/>
                <w:szCs w:val="20"/>
              </w:rPr>
            </w:pPr>
            <w:r w:rsidRPr="00DE3BDE">
              <w:rPr>
                <w:rFonts w:ascii="Times New Roman" w:hAnsi="Times New Roman" w:eastAsia="Times New Roman" w:cs="Times New Roman"/>
                <w:color w:val="000000" w:themeColor="text1"/>
                <w:sz w:val="20"/>
                <w:szCs w:val="20"/>
              </w:rPr>
              <w:t>180.0</w:t>
            </w:r>
          </w:p>
        </w:tc>
      </w:tr>
      <w:tr w:rsidRPr="0065486C" w:rsidR="00CB18ED" w:rsidTr="0009437D" w14:paraId="6FB3BE27" w14:textId="77777777">
        <w:trPr>
          <w:trHeight w:val="288"/>
        </w:trPr>
        <w:tc>
          <w:tcPr>
            <w:tcW w:w="1746" w:type="dxa"/>
            <w:tcBorders>
              <w:top w:val="nil"/>
            </w:tcBorders>
            <w:shd w:val="clear" w:color="auto" w:fill="auto"/>
            <w:vAlign w:val="center"/>
            <w:hideMark/>
          </w:tcPr>
          <w:p w:rsidRPr="00DE3BDE" w:rsidR="00A46399" w:rsidP="00FC6E82" w:rsidRDefault="00A46399" w14:paraId="15DCC022" w14:textId="77777777">
            <w:pPr>
              <w:spacing w:after="0" w:line="240" w:lineRule="auto"/>
              <w:contextualSpacing/>
              <w:rPr>
                <w:rFonts w:ascii="Times New Roman" w:hAnsi="Times New Roman" w:eastAsia="Times New Roman" w:cs="Times New Roman"/>
                <w:color w:val="000000" w:themeColor="text1"/>
                <w:sz w:val="20"/>
                <w:szCs w:val="20"/>
              </w:rPr>
            </w:pPr>
            <w:r w:rsidRPr="00DE3BDE">
              <w:rPr>
                <w:rFonts w:ascii="Times New Roman" w:hAnsi="Times New Roman" w:eastAsia="Times New Roman" w:cs="Times New Roman"/>
                <w:color w:val="000000" w:themeColor="text1"/>
                <w:sz w:val="20"/>
                <w:szCs w:val="20"/>
              </w:rPr>
              <w:t>2 months</w:t>
            </w:r>
          </w:p>
        </w:tc>
        <w:tc>
          <w:tcPr>
            <w:tcW w:w="1746" w:type="dxa"/>
            <w:gridSpan w:val="2"/>
            <w:tcBorders>
              <w:top w:val="nil"/>
            </w:tcBorders>
            <w:shd w:val="clear" w:color="auto" w:fill="auto"/>
            <w:vAlign w:val="center"/>
          </w:tcPr>
          <w:p w:rsidRPr="00DE3BDE" w:rsidR="00A46399" w:rsidP="00FC6E82" w:rsidRDefault="002E6E28" w14:paraId="23D9E551" w14:textId="77777777">
            <w:pPr>
              <w:spacing w:after="0" w:line="240" w:lineRule="auto"/>
              <w:contextualSpacing/>
              <w:jc w:val="right"/>
              <w:rPr>
                <w:rFonts w:ascii="Times New Roman" w:hAnsi="Times New Roman" w:eastAsia="Times New Roman" w:cs="Times New Roman"/>
                <w:color w:val="000000" w:themeColor="text1"/>
                <w:sz w:val="20"/>
                <w:szCs w:val="20"/>
              </w:rPr>
            </w:pPr>
            <w:r w:rsidRPr="00DE3BDE">
              <w:rPr>
                <w:rFonts w:ascii="Times New Roman" w:hAnsi="Times New Roman" w:eastAsia="Times New Roman" w:cs="Times New Roman"/>
                <w:color w:val="000000" w:themeColor="text1"/>
                <w:sz w:val="20"/>
                <w:szCs w:val="20"/>
              </w:rPr>
              <w:t>72</w:t>
            </w:r>
          </w:p>
        </w:tc>
        <w:tc>
          <w:tcPr>
            <w:tcW w:w="1746" w:type="dxa"/>
            <w:tcBorders>
              <w:top w:val="nil"/>
            </w:tcBorders>
            <w:shd w:val="clear" w:color="auto" w:fill="auto"/>
            <w:vAlign w:val="center"/>
          </w:tcPr>
          <w:p w:rsidRPr="00DE3BDE" w:rsidR="00A46399" w:rsidP="00FC6E82" w:rsidRDefault="002E6E28" w14:paraId="730C6128" w14:textId="77777777">
            <w:pPr>
              <w:spacing w:after="0" w:line="240" w:lineRule="auto"/>
              <w:contextualSpacing/>
              <w:jc w:val="right"/>
              <w:rPr>
                <w:rFonts w:ascii="Times New Roman" w:hAnsi="Times New Roman" w:eastAsia="Times New Roman" w:cs="Times New Roman"/>
                <w:color w:val="000000" w:themeColor="text1"/>
                <w:sz w:val="20"/>
                <w:szCs w:val="20"/>
              </w:rPr>
            </w:pPr>
            <w:r w:rsidRPr="00DE3BDE">
              <w:rPr>
                <w:rFonts w:ascii="Times New Roman" w:hAnsi="Times New Roman" w:eastAsia="Times New Roman" w:cs="Times New Roman"/>
                <w:color w:val="000000" w:themeColor="text1"/>
                <w:sz w:val="20"/>
                <w:szCs w:val="20"/>
              </w:rPr>
              <w:t>144</w:t>
            </w:r>
          </w:p>
        </w:tc>
        <w:tc>
          <w:tcPr>
            <w:tcW w:w="1746" w:type="dxa"/>
            <w:tcBorders>
              <w:top w:val="nil"/>
            </w:tcBorders>
            <w:shd w:val="clear" w:color="auto" w:fill="auto"/>
            <w:vAlign w:val="center"/>
          </w:tcPr>
          <w:p w:rsidRPr="00DE3BDE" w:rsidR="00A46399" w:rsidP="00FC6E82" w:rsidRDefault="0075183F" w14:paraId="59FCC396" w14:textId="77777777">
            <w:pPr>
              <w:spacing w:after="0" w:line="240" w:lineRule="auto"/>
              <w:contextualSpacing/>
              <w:jc w:val="right"/>
              <w:rPr>
                <w:rFonts w:ascii="Times New Roman" w:hAnsi="Times New Roman" w:eastAsia="Times New Roman" w:cs="Times New Roman"/>
                <w:color w:val="000000" w:themeColor="text1"/>
                <w:sz w:val="20"/>
                <w:szCs w:val="20"/>
              </w:rPr>
            </w:pPr>
            <w:r w:rsidRPr="00DE3BDE">
              <w:rPr>
                <w:rFonts w:ascii="Times New Roman" w:hAnsi="Times New Roman" w:eastAsia="Times New Roman" w:cs="Times New Roman"/>
                <w:color w:val="000000" w:themeColor="text1"/>
                <w:sz w:val="20"/>
                <w:szCs w:val="20"/>
              </w:rPr>
              <w:t>17,280</w:t>
            </w:r>
          </w:p>
        </w:tc>
        <w:tc>
          <w:tcPr>
            <w:tcW w:w="1746" w:type="dxa"/>
            <w:tcBorders>
              <w:top w:val="nil"/>
            </w:tcBorders>
            <w:shd w:val="clear" w:color="auto" w:fill="auto"/>
            <w:vAlign w:val="center"/>
          </w:tcPr>
          <w:p w:rsidRPr="00DE3BDE" w:rsidR="00A46399" w:rsidP="00FC6E82" w:rsidRDefault="0075183F" w14:paraId="0183CF9F" w14:textId="77777777">
            <w:pPr>
              <w:spacing w:after="0" w:line="240" w:lineRule="auto"/>
              <w:contextualSpacing/>
              <w:jc w:val="right"/>
              <w:rPr>
                <w:rFonts w:ascii="Times New Roman" w:hAnsi="Times New Roman" w:eastAsia="Times New Roman" w:cs="Times New Roman"/>
                <w:color w:val="000000" w:themeColor="text1"/>
                <w:sz w:val="20"/>
                <w:szCs w:val="20"/>
              </w:rPr>
            </w:pPr>
            <w:r w:rsidRPr="00DE3BDE">
              <w:rPr>
                <w:rFonts w:ascii="Times New Roman" w:hAnsi="Times New Roman" w:eastAsia="Times New Roman" w:cs="Times New Roman"/>
                <w:color w:val="000000" w:themeColor="text1"/>
                <w:sz w:val="20"/>
                <w:szCs w:val="20"/>
              </w:rPr>
              <w:t>288.0</w:t>
            </w:r>
          </w:p>
        </w:tc>
      </w:tr>
      <w:tr w:rsidRPr="0065486C" w:rsidR="00CB18ED" w:rsidTr="0009437D" w14:paraId="72F4AC23" w14:textId="77777777">
        <w:trPr>
          <w:trHeight w:val="288"/>
        </w:trPr>
        <w:tc>
          <w:tcPr>
            <w:tcW w:w="1746" w:type="dxa"/>
            <w:tcBorders>
              <w:top w:val="nil"/>
            </w:tcBorders>
            <w:shd w:val="clear" w:color="auto" w:fill="auto"/>
            <w:vAlign w:val="center"/>
            <w:hideMark/>
          </w:tcPr>
          <w:p w:rsidRPr="00DE3BDE" w:rsidR="00A46399" w:rsidP="00FC6E82" w:rsidRDefault="00A46399" w14:paraId="25846411" w14:textId="77777777">
            <w:pPr>
              <w:spacing w:after="0" w:line="240" w:lineRule="auto"/>
              <w:contextualSpacing/>
              <w:rPr>
                <w:rFonts w:ascii="Times New Roman" w:hAnsi="Times New Roman" w:eastAsia="Times New Roman" w:cs="Times New Roman"/>
                <w:color w:val="000000" w:themeColor="text1"/>
                <w:sz w:val="20"/>
                <w:szCs w:val="20"/>
              </w:rPr>
            </w:pPr>
            <w:r w:rsidRPr="00DE3BDE">
              <w:rPr>
                <w:rFonts w:ascii="Times New Roman" w:hAnsi="Times New Roman" w:eastAsia="Times New Roman" w:cs="Times New Roman"/>
                <w:color w:val="000000" w:themeColor="text1"/>
                <w:sz w:val="20"/>
                <w:szCs w:val="20"/>
              </w:rPr>
              <w:t>3 months</w:t>
            </w:r>
          </w:p>
        </w:tc>
        <w:tc>
          <w:tcPr>
            <w:tcW w:w="1746" w:type="dxa"/>
            <w:gridSpan w:val="2"/>
            <w:tcBorders>
              <w:top w:val="nil"/>
            </w:tcBorders>
            <w:shd w:val="clear" w:color="auto" w:fill="auto"/>
            <w:vAlign w:val="center"/>
          </w:tcPr>
          <w:p w:rsidRPr="00DE3BDE" w:rsidR="00A46399" w:rsidP="00FC6E82" w:rsidRDefault="002E6E28" w14:paraId="46DE38F6" w14:textId="77777777">
            <w:pPr>
              <w:spacing w:after="0" w:line="240" w:lineRule="auto"/>
              <w:contextualSpacing/>
              <w:jc w:val="right"/>
              <w:rPr>
                <w:rFonts w:ascii="Times New Roman" w:hAnsi="Times New Roman" w:eastAsia="Times New Roman" w:cs="Times New Roman"/>
                <w:color w:val="000000" w:themeColor="text1"/>
                <w:sz w:val="20"/>
                <w:szCs w:val="20"/>
              </w:rPr>
            </w:pPr>
            <w:r w:rsidRPr="00DE3BDE">
              <w:rPr>
                <w:rFonts w:ascii="Times New Roman" w:hAnsi="Times New Roman" w:eastAsia="Times New Roman" w:cs="Times New Roman"/>
                <w:color w:val="000000" w:themeColor="text1"/>
                <w:sz w:val="20"/>
                <w:szCs w:val="20"/>
              </w:rPr>
              <w:t>65</w:t>
            </w:r>
          </w:p>
        </w:tc>
        <w:tc>
          <w:tcPr>
            <w:tcW w:w="1746" w:type="dxa"/>
            <w:tcBorders>
              <w:top w:val="nil"/>
            </w:tcBorders>
            <w:shd w:val="clear" w:color="auto" w:fill="auto"/>
            <w:vAlign w:val="center"/>
          </w:tcPr>
          <w:p w:rsidRPr="00DE3BDE" w:rsidR="00A46399" w:rsidP="00FC6E82" w:rsidRDefault="002E6E28" w14:paraId="5803CAFC" w14:textId="77777777">
            <w:pPr>
              <w:spacing w:after="0" w:line="240" w:lineRule="auto"/>
              <w:contextualSpacing/>
              <w:jc w:val="right"/>
              <w:rPr>
                <w:rFonts w:ascii="Times New Roman" w:hAnsi="Times New Roman" w:eastAsia="Times New Roman" w:cs="Times New Roman"/>
                <w:color w:val="000000" w:themeColor="text1"/>
                <w:sz w:val="20"/>
                <w:szCs w:val="20"/>
              </w:rPr>
            </w:pPr>
            <w:r w:rsidRPr="00DE3BDE">
              <w:rPr>
                <w:rFonts w:ascii="Times New Roman" w:hAnsi="Times New Roman" w:eastAsia="Times New Roman" w:cs="Times New Roman"/>
                <w:color w:val="000000" w:themeColor="text1"/>
                <w:sz w:val="20"/>
                <w:szCs w:val="20"/>
              </w:rPr>
              <w:t>195</w:t>
            </w:r>
          </w:p>
        </w:tc>
        <w:tc>
          <w:tcPr>
            <w:tcW w:w="1746" w:type="dxa"/>
            <w:tcBorders>
              <w:top w:val="nil"/>
            </w:tcBorders>
            <w:shd w:val="clear" w:color="auto" w:fill="auto"/>
            <w:vAlign w:val="center"/>
          </w:tcPr>
          <w:p w:rsidRPr="00DE3BDE" w:rsidR="00A46399" w:rsidP="00FC6E82" w:rsidRDefault="0075183F" w14:paraId="36154692" w14:textId="77777777">
            <w:pPr>
              <w:spacing w:after="0" w:line="240" w:lineRule="auto"/>
              <w:contextualSpacing/>
              <w:jc w:val="right"/>
              <w:rPr>
                <w:rFonts w:ascii="Times New Roman" w:hAnsi="Times New Roman" w:eastAsia="Times New Roman" w:cs="Times New Roman"/>
                <w:color w:val="000000" w:themeColor="text1"/>
                <w:sz w:val="20"/>
                <w:szCs w:val="20"/>
              </w:rPr>
            </w:pPr>
            <w:r w:rsidRPr="00DE3BDE">
              <w:rPr>
                <w:rFonts w:ascii="Times New Roman" w:hAnsi="Times New Roman" w:eastAsia="Times New Roman" w:cs="Times New Roman"/>
                <w:color w:val="000000" w:themeColor="text1"/>
                <w:sz w:val="20"/>
                <w:szCs w:val="20"/>
              </w:rPr>
              <w:t>23,400</w:t>
            </w:r>
          </w:p>
        </w:tc>
        <w:tc>
          <w:tcPr>
            <w:tcW w:w="1746" w:type="dxa"/>
            <w:tcBorders>
              <w:top w:val="nil"/>
            </w:tcBorders>
            <w:shd w:val="clear" w:color="auto" w:fill="auto"/>
            <w:vAlign w:val="center"/>
          </w:tcPr>
          <w:p w:rsidRPr="00DE3BDE" w:rsidR="00A46399" w:rsidP="00FC6E82" w:rsidRDefault="0075183F" w14:paraId="1431E03D" w14:textId="77777777">
            <w:pPr>
              <w:spacing w:after="0" w:line="240" w:lineRule="auto"/>
              <w:contextualSpacing/>
              <w:jc w:val="right"/>
              <w:rPr>
                <w:rFonts w:ascii="Times New Roman" w:hAnsi="Times New Roman" w:eastAsia="Times New Roman" w:cs="Times New Roman"/>
                <w:color w:val="000000" w:themeColor="text1"/>
                <w:sz w:val="20"/>
                <w:szCs w:val="20"/>
              </w:rPr>
            </w:pPr>
            <w:r w:rsidRPr="00DE3BDE">
              <w:rPr>
                <w:rFonts w:ascii="Times New Roman" w:hAnsi="Times New Roman" w:eastAsia="Times New Roman" w:cs="Times New Roman"/>
                <w:color w:val="000000" w:themeColor="text1"/>
                <w:sz w:val="20"/>
                <w:szCs w:val="20"/>
              </w:rPr>
              <w:t>390.0</w:t>
            </w:r>
          </w:p>
        </w:tc>
      </w:tr>
      <w:tr w:rsidRPr="0065486C" w:rsidR="00CB18ED" w:rsidTr="0009437D" w14:paraId="3B96C425" w14:textId="77777777">
        <w:trPr>
          <w:trHeight w:val="288"/>
        </w:trPr>
        <w:tc>
          <w:tcPr>
            <w:tcW w:w="1746" w:type="dxa"/>
            <w:tcBorders>
              <w:top w:val="nil"/>
            </w:tcBorders>
            <w:shd w:val="clear" w:color="auto" w:fill="auto"/>
            <w:vAlign w:val="center"/>
            <w:hideMark/>
          </w:tcPr>
          <w:p w:rsidRPr="00DE3BDE" w:rsidR="00A46399" w:rsidP="00FC6E82" w:rsidRDefault="00A46399" w14:paraId="3CFB5301" w14:textId="77777777">
            <w:pPr>
              <w:spacing w:after="0" w:line="240" w:lineRule="auto"/>
              <w:contextualSpacing/>
              <w:rPr>
                <w:rFonts w:ascii="Times New Roman" w:hAnsi="Times New Roman" w:eastAsia="Times New Roman" w:cs="Times New Roman"/>
                <w:color w:val="000000" w:themeColor="text1"/>
                <w:sz w:val="20"/>
                <w:szCs w:val="20"/>
              </w:rPr>
            </w:pPr>
            <w:r w:rsidRPr="00DE3BDE">
              <w:rPr>
                <w:rFonts w:ascii="Times New Roman" w:hAnsi="Times New Roman" w:eastAsia="Times New Roman" w:cs="Times New Roman"/>
                <w:color w:val="000000" w:themeColor="text1"/>
                <w:sz w:val="20"/>
                <w:szCs w:val="20"/>
              </w:rPr>
              <w:t>4 months</w:t>
            </w:r>
          </w:p>
        </w:tc>
        <w:tc>
          <w:tcPr>
            <w:tcW w:w="1746" w:type="dxa"/>
            <w:gridSpan w:val="2"/>
            <w:tcBorders>
              <w:top w:val="nil"/>
            </w:tcBorders>
            <w:shd w:val="clear" w:color="auto" w:fill="auto"/>
            <w:vAlign w:val="center"/>
          </w:tcPr>
          <w:p w:rsidRPr="00DE3BDE" w:rsidR="00A46399" w:rsidP="00FC6E82" w:rsidRDefault="002E6E28" w14:paraId="224139B5" w14:textId="77777777">
            <w:pPr>
              <w:spacing w:after="0" w:line="240" w:lineRule="auto"/>
              <w:contextualSpacing/>
              <w:jc w:val="right"/>
              <w:rPr>
                <w:rFonts w:ascii="Times New Roman" w:hAnsi="Times New Roman" w:eastAsia="Times New Roman" w:cs="Times New Roman"/>
                <w:color w:val="000000" w:themeColor="text1"/>
                <w:sz w:val="20"/>
                <w:szCs w:val="20"/>
              </w:rPr>
            </w:pPr>
            <w:r w:rsidRPr="00DE3BDE">
              <w:rPr>
                <w:rFonts w:ascii="Times New Roman" w:hAnsi="Times New Roman" w:eastAsia="Times New Roman" w:cs="Times New Roman"/>
                <w:color w:val="000000" w:themeColor="text1"/>
                <w:sz w:val="20"/>
                <w:szCs w:val="20"/>
              </w:rPr>
              <w:t>68</w:t>
            </w:r>
          </w:p>
        </w:tc>
        <w:tc>
          <w:tcPr>
            <w:tcW w:w="1746" w:type="dxa"/>
            <w:tcBorders>
              <w:top w:val="nil"/>
            </w:tcBorders>
            <w:shd w:val="clear" w:color="auto" w:fill="auto"/>
            <w:vAlign w:val="center"/>
          </w:tcPr>
          <w:p w:rsidRPr="00DE3BDE" w:rsidR="00A46399" w:rsidP="00FC6E82" w:rsidRDefault="002E6E28" w14:paraId="49D04761" w14:textId="77777777">
            <w:pPr>
              <w:spacing w:after="0" w:line="240" w:lineRule="auto"/>
              <w:contextualSpacing/>
              <w:jc w:val="right"/>
              <w:rPr>
                <w:rFonts w:ascii="Times New Roman" w:hAnsi="Times New Roman" w:eastAsia="Times New Roman" w:cs="Times New Roman"/>
                <w:color w:val="000000" w:themeColor="text1"/>
                <w:sz w:val="20"/>
                <w:szCs w:val="20"/>
              </w:rPr>
            </w:pPr>
            <w:r w:rsidRPr="00DE3BDE">
              <w:rPr>
                <w:rFonts w:ascii="Times New Roman" w:hAnsi="Times New Roman" w:eastAsia="Times New Roman" w:cs="Times New Roman"/>
                <w:color w:val="000000" w:themeColor="text1"/>
                <w:sz w:val="20"/>
                <w:szCs w:val="20"/>
              </w:rPr>
              <w:t>272</w:t>
            </w:r>
          </w:p>
        </w:tc>
        <w:tc>
          <w:tcPr>
            <w:tcW w:w="1746" w:type="dxa"/>
            <w:tcBorders>
              <w:top w:val="nil"/>
            </w:tcBorders>
            <w:shd w:val="clear" w:color="auto" w:fill="auto"/>
            <w:vAlign w:val="center"/>
          </w:tcPr>
          <w:p w:rsidRPr="00DE3BDE" w:rsidR="00A46399" w:rsidP="00FC6E82" w:rsidRDefault="0075183F" w14:paraId="7883F2A0" w14:textId="77777777">
            <w:pPr>
              <w:spacing w:after="0" w:line="240" w:lineRule="auto"/>
              <w:contextualSpacing/>
              <w:jc w:val="right"/>
              <w:rPr>
                <w:rFonts w:ascii="Times New Roman" w:hAnsi="Times New Roman" w:eastAsia="Times New Roman" w:cs="Times New Roman"/>
                <w:color w:val="000000" w:themeColor="text1"/>
                <w:sz w:val="20"/>
                <w:szCs w:val="20"/>
              </w:rPr>
            </w:pPr>
            <w:r w:rsidRPr="00DE3BDE">
              <w:rPr>
                <w:rFonts w:ascii="Times New Roman" w:hAnsi="Times New Roman" w:eastAsia="Times New Roman" w:cs="Times New Roman"/>
                <w:color w:val="000000" w:themeColor="text1"/>
                <w:sz w:val="20"/>
                <w:szCs w:val="20"/>
              </w:rPr>
              <w:t>32,640</w:t>
            </w:r>
          </w:p>
        </w:tc>
        <w:tc>
          <w:tcPr>
            <w:tcW w:w="1746" w:type="dxa"/>
            <w:tcBorders>
              <w:top w:val="nil"/>
            </w:tcBorders>
            <w:shd w:val="clear" w:color="auto" w:fill="auto"/>
            <w:vAlign w:val="center"/>
          </w:tcPr>
          <w:p w:rsidRPr="00DE3BDE" w:rsidR="00A46399" w:rsidP="00FC6E82" w:rsidRDefault="0075183F" w14:paraId="0F4E9D4C" w14:textId="77777777">
            <w:pPr>
              <w:spacing w:after="0" w:line="240" w:lineRule="auto"/>
              <w:contextualSpacing/>
              <w:jc w:val="right"/>
              <w:rPr>
                <w:rFonts w:ascii="Times New Roman" w:hAnsi="Times New Roman" w:eastAsia="Times New Roman" w:cs="Times New Roman"/>
                <w:color w:val="000000" w:themeColor="text1"/>
                <w:sz w:val="20"/>
                <w:szCs w:val="20"/>
              </w:rPr>
            </w:pPr>
            <w:r w:rsidRPr="00DE3BDE">
              <w:rPr>
                <w:rFonts w:ascii="Times New Roman" w:hAnsi="Times New Roman" w:eastAsia="Times New Roman" w:cs="Times New Roman"/>
                <w:color w:val="000000" w:themeColor="text1"/>
                <w:sz w:val="20"/>
                <w:szCs w:val="20"/>
              </w:rPr>
              <w:t>544.0</w:t>
            </w:r>
          </w:p>
        </w:tc>
      </w:tr>
      <w:tr w:rsidRPr="0065486C" w:rsidR="00CB18ED" w:rsidTr="0009437D" w14:paraId="687185FB" w14:textId="77777777">
        <w:trPr>
          <w:trHeight w:val="288"/>
        </w:trPr>
        <w:tc>
          <w:tcPr>
            <w:tcW w:w="1746" w:type="dxa"/>
            <w:tcBorders>
              <w:top w:val="nil"/>
            </w:tcBorders>
            <w:shd w:val="clear" w:color="auto" w:fill="auto"/>
            <w:vAlign w:val="center"/>
            <w:hideMark/>
          </w:tcPr>
          <w:p w:rsidRPr="00DE3BDE" w:rsidR="00A46399" w:rsidP="00FC6E82" w:rsidRDefault="00A46399" w14:paraId="72B7A295" w14:textId="77777777">
            <w:pPr>
              <w:spacing w:after="0" w:line="240" w:lineRule="auto"/>
              <w:contextualSpacing/>
              <w:rPr>
                <w:rFonts w:ascii="Times New Roman" w:hAnsi="Times New Roman" w:eastAsia="Times New Roman" w:cs="Times New Roman"/>
                <w:color w:val="000000" w:themeColor="text1"/>
                <w:sz w:val="20"/>
                <w:szCs w:val="20"/>
              </w:rPr>
            </w:pPr>
            <w:r w:rsidRPr="00DE3BDE">
              <w:rPr>
                <w:rFonts w:ascii="Times New Roman" w:hAnsi="Times New Roman" w:eastAsia="Times New Roman" w:cs="Times New Roman"/>
                <w:color w:val="000000" w:themeColor="text1"/>
                <w:sz w:val="20"/>
                <w:szCs w:val="20"/>
              </w:rPr>
              <w:t>5 months</w:t>
            </w:r>
          </w:p>
        </w:tc>
        <w:tc>
          <w:tcPr>
            <w:tcW w:w="1746" w:type="dxa"/>
            <w:gridSpan w:val="2"/>
            <w:tcBorders>
              <w:top w:val="nil"/>
            </w:tcBorders>
            <w:shd w:val="clear" w:color="auto" w:fill="auto"/>
            <w:vAlign w:val="center"/>
          </w:tcPr>
          <w:p w:rsidRPr="00DE3BDE" w:rsidR="00A46399" w:rsidP="00FC6E82" w:rsidRDefault="002E6E28" w14:paraId="43F02807" w14:textId="77777777">
            <w:pPr>
              <w:spacing w:after="0" w:line="240" w:lineRule="auto"/>
              <w:contextualSpacing/>
              <w:jc w:val="right"/>
              <w:rPr>
                <w:rFonts w:ascii="Times New Roman" w:hAnsi="Times New Roman" w:eastAsia="Times New Roman" w:cs="Times New Roman"/>
                <w:color w:val="000000" w:themeColor="text1"/>
                <w:sz w:val="20"/>
                <w:szCs w:val="20"/>
              </w:rPr>
            </w:pPr>
            <w:r w:rsidRPr="00DE3BDE">
              <w:rPr>
                <w:rFonts w:ascii="Times New Roman" w:hAnsi="Times New Roman" w:eastAsia="Times New Roman" w:cs="Times New Roman"/>
                <w:color w:val="000000" w:themeColor="text1"/>
                <w:sz w:val="20"/>
                <w:szCs w:val="20"/>
              </w:rPr>
              <w:t>79</w:t>
            </w:r>
          </w:p>
        </w:tc>
        <w:tc>
          <w:tcPr>
            <w:tcW w:w="1746" w:type="dxa"/>
            <w:tcBorders>
              <w:top w:val="nil"/>
            </w:tcBorders>
            <w:shd w:val="clear" w:color="auto" w:fill="auto"/>
            <w:vAlign w:val="center"/>
          </w:tcPr>
          <w:p w:rsidRPr="00DE3BDE" w:rsidR="00A46399" w:rsidP="00FC6E82" w:rsidRDefault="002E6E28" w14:paraId="41657CDB" w14:textId="77777777">
            <w:pPr>
              <w:spacing w:after="0" w:line="240" w:lineRule="auto"/>
              <w:contextualSpacing/>
              <w:jc w:val="right"/>
              <w:rPr>
                <w:rFonts w:ascii="Times New Roman" w:hAnsi="Times New Roman" w:eastAsia="Times New Roman" w:cs="Times New Roman"/>
                <w:color w:val="000000" w:themeColor="text1"/>
                <w:sz w:val="20"/>
                <w:szCs w:val="20"/>
              </w:rPr>
            </w:pPr>
            <w:r w:rsidRPr="00DE3BDE">
              <w:rPr>
                <w:rFonts w:ascii="Times New Roman" w:hAnsi="Times New Roman" w:eastAsia="Times New Roman" w:cs="Times New Roman"/>
                <w:color w:val="000000" w:themeColor="text1"/>
                <w:sz w:val="20"/>
                <w:szCs w:val="20"/>
              </w:rPr>
              <w:t>395</w:t>
            </w:r>
          </w:p>
        </w:tc>
        <w:tc>
          <w:tcPr>
            <w:tcW w:w="1746" w:type="dxa"/>
            <w:tcBorders>
              <w:top w:val="nil"/>
            </w:tcBorders>
            <w:shd w:val="clear" w:color="auto" w:fill="auto"/>
            <w:vAlign w:val="center"/>
          </w:tcPr>
          <w:p w:rsidRPr="00DE3BDE" w:rsidR="00A46399" w:rsidP="00FC6E82" w:rsidRDefault="0075183F" w14:paraId="2E2DB0B5" w14:textId="77777777">
            <w:pPr>
              <w:spacing w:after="0" w:line="240" w:lineRule="auto"/>
              <w:contextualSpacing/>
              <w:jc w:val="right"/>
              <w:rPr>
                <w:rFonts w:ascii="Times New Roman" w:hAnsi="Times New Roman" w:eastAsia="Times New Roman" w:cs="Times New Roman"/>
                <w:color w:val="000000" w:themeColor="text1"/>
                <w:sz w:val="20"/>
                <w:szCs w:val="20"/>
              </w:rPr>
            </w:pPr>
            <w:r w:rsidRPr="00DE3BDE">
              <w:rPr>
                <w:rFonts w:ascii="Times New Roman" w:hAnsi="Times New Roman" w:eastAsia="Times New Roman" w:cs="Times New Roman"/>
                <w:color w:val="000000" w:themeColor="text1"/>
                <w:sz w:val="20"/>
                <w:szCs w:val="20"/>
              </w:rPr>
              <w:t>47,400</w:t>
            </w:r>
          </w:p>
        </w:tc>
        <w:tc>
          <w:tcPr>
            <w:tcW w:w="1746" w:type="dxa"/>
            <w:tcBorders>
              <w:top w:val="nil"/>
            </w:tcBorders>
            <w:shd w:val="clear" w:color="auto" w:fill="auto"/>
            <w:vAlign w:val="center"/>
          </w:tcPr>
          <w:p w:rsidRPr="00DE3BDE" w:rsidR="00A46399" w:rsidP="00FC6E82" w:rsidRDefault="0075183F" w14:paraId="578966C0" w14:textId="77777777">
            <w:pPr>
              <w:spacing w:after="0" w:line="240" w:lineRule="auto"/>
              <w:contextualSpacing/>
              <w:jc w:val="right"/>
              <w:rPr>
                <w:rFonts w:ascii="Times New Roman" w:hAnsi="Times New Roman" w:eastAsia="Times New Roman" w:cs="Times New Roman"/>
                <w:color w:val="000000" w:themeColor="text1"/>
                <w:sz w:val="20"/>
                <w:szCs w:val="20"/>
              </w:rPr>
            </w:pPr>
            <w:r w:rsidRPr="00DE3BDE">
              <w:rPr>
                <w:rFonts w:ascii="Times New Roman" w:hAnsi="Times New Roman" w:eastAsia="Times New Roman" w:cs="Times New Roman"/>
                <w:color w:val="000000" w:themeColor="text1"/>
                <w:sz w:val="20"/>
                <w:szCs w:val="20"/>
              </w:rPr>
              <w:t>790.0</w:t>
            </w:r>
          </w:p>
        </w:tc>
      </w:tr>
      <w:tr w:rsidRPr="0065486C" w:rsidR="00CB18ED" w:rsidTr="0009437D" w14:paraId="40D05187" w14:textId="77777777">
        <w:trPr>
          <w:trHeight w:val="288"/>
        </w:trPr>
        <w:tc>
          <w:tcPr>
            <w:tcW w:w="1746" w:type="dxa"/>
            <w:tcBorders>
              <w:top w:val="nil"/>
            </w:tcBorders>
            <w:shd w:val="clear" w:color="auto" w:fill="auto"/>
            <w:vAlign w:val="center"/>
            <w:hideMark/>
          </w:tcPr>
          <w:p w:rsidRPr="00DE3BDE" w:rsidR="00A46399" w:rsidP="00FC6E82" w:rsidRDefault="00A46399" w14:paraId="1E985337" w14:textId="77777777">
            <w:pPr>
              <w:spacing w:after="0" w:line="240" w:lineRule="auto"/>
              <w:contextualSpacing/>
              <w:rPr>
                <w:rFonts w:ascii="Times New Roman" w:hAnsi="Times New Roman" w:eastAsia="Times New Roman" w:cs="Times New Roman"/>
                <w:color w:val="000000" w:themeColor="text1"/>
                <w:sz w:val="20"/>
                <w:szCs w:val="20"/>
              </w:rPr>
            </w:pPr>
            <w:r w:rsidRPr="00DE3BDE">
              <w:rPr>
                <w:rFonts w:ascii="Times New Roman" w:hAnsi="Times New Roman" w:eastAsia="Times New Roman" w:cs="Times New Roman"/>
                <w:color w:val="000000" w:themeColor="text1"/>
                <w:sz w:val="20"/>
                <w:szCs w:val="20"/>
              </w:rPr>
              <w:t>6 months</w:t>
            </w:r>
          </w:p>
        </w:tc>
        <w:tc>
          <w:tcPr>
            <w:tcW w:w="1746" w:type="dxa"/>
            <w:gridSpan w:val="2"/>
            <w:tcBorders>
              <w:top w:val="nil"/>
            </w:tcBorders>
            <w:shd w:val="clear" w:color="auto" w:fill="auto"/>
            <w:vAlign w:val="center"/>
          </w:tcPr>
          <w:p w:rsidRPr="00DE3BDE" w:rsidR="00A46399" w:rsidP="00FC6E82" w:rsidRDefault="002E6E28" w14:paraId="31B2963F" w14:textId="77777777">
            <w:pPr>
              <w:spacing w:after="0" w:line="240" w:lineRule="auto"/>
              <w:contextualSpacing/>
              <w:jc w:val="right"/>
              <w:rPr>
                <w:rFonts w:ascii="Times New Roman" w:hAnsi="Times New Roman" w:eastAsia="Times New Roman" w:cs="Times New Roman"/>
                <w:color w:val="000000" w:themeColor="text1"/>
                <w:sz w:val="20"/>
                <w:szCs w:val="20"/>
              </w:rPr>
            </w:pPr>
            <w:r w:rsidRPr="00DE3BDE">
              <w:rPr>
                <w:rFonts w:ascii="Times New Roman" w:hAnsi="Times New Roman" w:eastAsia="Times New Roman" w:cs="Times New Roman"/>
                <w:color w:val="000000" w:themeColor="text1"/>
                <w:sz w:val="20"/>
                <w:szCs w:val="20"/>
              </w:rPr>
              <w:t>84</w:t>
            </w:r>
          </w:p>
        </w:tc>
        <w:tc>
          <w:tcPr>
            <w:tcW w:w="1746" w:type="dxa"/>
            <w:tcBorders>
              <w:top w:val="nil"/>
            </w:tcBorders>
            <w:shd w:val="clear" w:color="auto" w:fill="auto"/>
            <w:vAlign w:val="center"/>
          </w:tcPr>
          <w:p w:rsidRPr="00DE3BDE" w:rsidR="00A46399" w:rsidP="00FC6E82" w:rsidRDefault="002E6E28" w14:paraId="3A493923" w14:textId="77777777">
            <w:pPr>
              <w:spacing w:after="0" w:line="240" w:lineRule="auto"/>
              <w:contextualSpacing/>
              <w:jc w:val="right"/>
              <w:rPr>
                <w:rFonts w:ascii="Times New Roman" w:hAnsi="Times New Roman" w:eastAsia="Times New Roman" w:cs="Times New Roman"/>
                <w:color w:val="000000" w:themeColor="text1"/>
                <w:sz w:val="20"/>
                <w:szCs w:val="20"/>
              </w:rPr>
            </w:pPr>
            <w:r w:rsidRPr="00DE3BDE">
              <w:rPr>
                <w:rFonts w:ascii="Times New Roman" w:hAnsi="Times New Roman" w:eastAsia="Times New Roman" w:cs="Times New Roman"/>
                <w:color w:val="000000" w:themeColor="text1"/>
                <w:sz w:val="20"/>
                <w:szCs w:val="20"/>
              </w:rPr>
              <w:t>504</w:t>
            </w:r>
          </w:p>
        </w:tc>
        <w:tc>
          <w:tcPr>
            <w:tcW w:w="1746" w:type="dxa"/>
            <w:tcBorders>
              <w:top w:val="nil"/>
            </w:tcBorders>
            <w:shd w:val="clear" w:color="auto" w:fill="auto"/>
            <w:vAlign w:val="center"/>
          </w:tcPr>
          <w:p w:rsidRPr="00DE3BDE" w:rsidR="00A46399" w:rsidP="00FC6E82" w:rsidRDefault="0075183F" w14:paraId="6B7F12CD" w14:textId="77777777">
            <w:pPr>
              <w:spacing w:after="0" w:line="240" w:lineRule="auto"/>
              <w:contextualSpacing/>
              <w:jc w:val="right"/>
              <w:rPr>
                <w:rFonts w:ascii="Times New Roman" w:hAnsi="Times New Roman" w:eastAsia="Times New Roman" w:cs="Times New Roman"/>
                <w:color w:val="000000" w:themeColor="text1"/>
                <w:sz w:val="20"/>
                <w:szCs w:val="20"/>
              </w:rPr>
            </w:pPr>
            <w:r w:rsidRPr="00DE3BDE">
              <w:rPr>
                <w:rFonts w:ascii="Times New Roman" w:hAnsi="Times New Roman" w:eastAsia="Times New Roman" w:cs="Times New Roman"/>
                <w:color w:val="000000" w:themeColor="text1"/>
                <w:sz w:val="20"/>
                <w:szCs w:val="20"/>
              </w:rPr>
              <w:t>60,480</w:t>
            </w:r>
          </w:p>
        </w:tc>
        <w:tc>
          <w:tcPr>
            <w:tcW w:w="1746" w:type="dxa"/>
            <w:tcBorders>
              <w:top w:val="nil"/>
            </w:tcBorders>
            <w:shd w:val="clear" w:color="auto" w:fill="auto"/>
            <w:vAlign w:val="center"/>
          </w:tcPr>
          <w:p w:rsidRPr="00DE3BDE" w:rsidR="00A46399" w:rsidP="00FC6E82" w:rsidRDefault="0075183F" w14:paraId="58AADD16" w14:textId="77777777">
            <w:pPr>
              <w:spacing w:after="0" w:line="240" w:lineRule="auto"/>
              <w:contextualSpacing/>
              <w:jc w:val="right"/>
              <w:rPr>
                <w:rFonts w:ascii="Times New Roman" w:hAnsi="Times New Roman" w:eastAsia="Times New Roman" w:cs="Times New Roman"/>
                <w:color w:val="000000" w:themeColor="text1"/>
                <w:sz w:val="20"/>
                <w:szCs w:val="20"/>
              </w:rPr>
            </w:pPr>
            <w:r w:rsidRPr="00DE3BDE">
              <w:rPr>
                <w:rFonts w:ascii="Times New Roman" w:hAnsi="Times New Roman" w:eastAsia="Times New Roman" w:cs="Times New Roman"/>
                <w:color w:val="000000" w:themeColor="text1"/>
                <w:sz w:val="20"/>
                <w:szCs w:val="20"/>
              </w:rPr>
              <w:t>1,008.0</w:t>
            </w:r>
          </w:p>
        </w:tc>
      </w:tr>
      <w:tr w:rsidRPr="0065486C" w:rsidR="00CB18ED" w:rsidTr="0009437D" w14:paraId="3AD0FAC8" w14:textId="77777777">
        <w:trPr>
          <w:trHeight w:val="288"/>
        </w:trPr>
        <w:tc>
          <w:tcPr>
            <w:tcW w:w="1746" w:type="dxa"/>
            <w:tcBorders>
              <w:top w:val="nil"/>
            </w:tcBorders>
            <w:shd w:val="clear" w:color="auto" w:fill="auto"/>
            <w:vAlign w:val="center"/>
            <w:hideMark/>
          </w:tcPr>
          <w:p w:rsidRPr="00DE3BDE" w:rsidR="00A46399" w:rsidP="00FC6E82" w:rsidRDefault="00A46399" w14:paraId="4088DF7F" w14:textId="77777777">
            <w:pPr>
              <w:spacing w:after="0" w:line="240" w:lineRule="auto"/>
              <w:contextualSpacing/>
              <w:rPr>
                <w:rFonts w:ascii="Times New Roman" w:hAnsi="Times New Roman" w:eastAsia="Times New Roman" w:cs="Times New Roman"/>
                <w:color w:val="000000" w:themeColor="text1"/>
                <w:sz w:val="20"/>
                <w:szCs w:val="20"/>
              </w:rPr>
            </w:pPr>
            <w:r w:rsidRPr="00DE3BDE">
              <w:rPr>
                <w:rFonts w:ascii="Times New Roman" w:hAnsi="Times New Roman" w:eastAsia="Times New Roman" w:cs="Times New Roman"/>
                <w:color w:val="000000" w:themeColor="text1"/>
                <w:sz w:val="20"/>
                <w:szCs w:val="20"/>
              </w:rPr>
              <w:t>7 months</w:t>
            </w:r>
          </w:p>
        </w:tc>
        <w:tc>
          <w:tcPr>
            <w:tcW w:w="1746" w:type="dxa"/>
            <w:gridSpan w:val="2"/>
            <w:tcBorders>
              <w:top w:val="nil"/>
            </w:tcBorders>
            <w:shd w:val="clear" w:color="auto" w:fill="auto"/>
            <w:vAlign w:val="center"/>
          </w:tcPr>
          <w:p w:rsidRPr="00DE3BDE" w:rsidR="00A46399" w:rsidP="00FC6E82" w:rsidRDefault="002E6E28" w14:paraId="1C213BED" w14:textId="77777777">
            <w:pPr>
              <w:spacing w:after="0" w:line="240" w:lineRule="auto"/>
              <w:contextualSpacing/>
              <w:jc w:val="right"/>
              <w:rPr>
                <w:rFonts w:ascii="Times New Roman" w:hAnsi="Times New Roman" w:eastAsia="Times New Roman" w:cs="Times New Roman"/>
                <w:color w:val="000000" w:themeColor="text1"/>
                <w:sz w:val="20"/>
                <w:szCs w:val="20"/>
              </w:rPr>
            </w:pPr>
            <w:r w:rsidRPr="00DE3BDE">
              <w:rPr>
                <w:rFonts w:ascii="Times New Roman" w:hAnsi="Times New Roman" w:eastAsia="Times New Roman" w:cs="Times New Roman"/>
                <w:color w:val="000000" w:themeColor="text1"/>
                <w:sz w:val="20"/>
                <w:szCs w:val="20"/>
              </w:rPr>
              <w:t>110</w:t>
            </w:r>
          </w:p>
        </w:tc>
        <w:tc>
          <w:tcPr>
            <w:tcW w:w="1746" w:type="dxa"/>
            <w:tcBorders>
              <w:top w:val="nil"/>
            </w:tcBorders>
            <w:shd w:val="clear" w:color="auto" w:fill="auto"/>
            <w:vAlign w:val="center"/>
          </w:tcPr>
          <w:p w:rsidRPr="00DE3BDE" w:rsidR="00A46399" w:rsidP="00FC6E82" w:rsidRDefault="002E6E28" w14:paraId="78611C7A" w14:textId="77777777">
            <w:pPr>
              <w:spacing w:after="0" w:line="240" w:lineRule="auto"/>
              <w:contextualSpacing/>
              <w:jc w:val="right"/>
              <w:rPr>
                <w:rFonts w:ascii="Times New Roman" w:hAnsi="Times New Roman" w:eastAsia="Times New Roman" w:cs="Times New Roman"/>
                <w:color w:val="000000" w:themeColor="text1"/>
                <w:sz w:val="20"/>
                <w:szCs w:val="20"/>
              </w:rPr>
            </w:pPr>
            <w:r w:rsidRPr="00DE3BDE">
              <w:rPr>
                <w:rFonts w:ascii="Times New Roman" w:hAnsi="Times New Roman" w:eastAsia="Times New Roman" w:cs="Times New Roman"/>
                <w:color w:val="000000" w:themeColor="text1"/>
                <w:sz w:val="20"/>
                <w:szCs w:val="20"/>
              </w:rPr>
              <w:t>770</w:t>
            </w:r>
          </w:p>
        </w:tc>
        <w:tc>
          <w:tcPr>
            <w:tcW w:w="1746" w:type="dxa"/>
            <w:tcBorders>
              <w:top w:val="nil"/>
            </w:tcBorders>
            <w:shd w:val="clear" w:color="auto" w:fill="auto"/>
            <w:vAlign w:val="center"/>
          </w:tcPr>
          <w:p w:rsidRPr="00DE3BDE" w:rsidR="00A46399" w:rsidP="00FC6E82" w:rsidRDefault="0075183F" w14:paraId="5E3E6AAF" w14:textId="77777777">
            <w:pPr>
              <w:spacing w:after="0" w:line="240" w:lineRule="auto"/>
              <w:contextualSpacing/>
              <w:jc w:val="right"/>
              <w:rPr>
                <w:rFonts w:ascii="Times New Roman" w:hAnsi="Times New Roman" w:eastAsia="Times New Roman" w:cs="Times New Roman"/>
                <w:color w:val="000000" w:themeColor="text1"/>
                <w:sz w:val="20"/>
                <w:szCs w:val="20"/>
              </w:rPr>
            </w:pPr>
            <w:r w:rsidRPr="00DE3BDE">
              <w:rPr>
                <w:rFonts w:ascii="Times New Roman" w:hAnsi="Times New Roman" w:eastAsia="Times New Roman" w:cs="Times New Roman"/>
                <w:color w:val="000000" w:themeColor="text1"/>
                <w:sz w:val="20"/>
                <w:szCs w:val="20"/>
              </w:rPr>
              <w:t>92,400</w:t>
            </w:r>
          </w:p>
        </w:tc>
        <w:tc>
          <w:tcPr>
            <w:tcW w:w="1746" w:type="dxa"/>
            <w:tcBorders>
              <w:top w:val="nil"/>
            </w:tcBorders>
            <w:shd w:val="clear" w:color="auto" w:fill="auto"/>
            <w:vAlign w:val="center"/>
          </w:tcPr>
          <w:p w:rsidRPr="00DE3BDE" w:rsidR="00A46399" w:rsidP="00FC6E82" w:rsidRDefault="0075183F" w14:paraId="2EA94381" w14:textId="77777777">
            <w:pPr>
              <w:spacing w:after="0" w:line="240" w:lineRule="auto"/>
              <w:contextualSpacing/>
              <w:jc w:val="right"/>
              <w:rPr>
                <w:rFonts w:ascii="Times New Roman" w:hAnsi="Times New Roman" w:eastAsia="Times New Roman" w:cs="Times New Roman"/>
                <w:color w:val="000000" w:themeColor="text1"/>
                <w:sz w:val="20"/>
                <w:szCs w:val="20"/>
              </w:rPr>
            </w:pPr>
            <w:r w:rsidRPr="00DE3BDE">
              <w:rPr>
                <w:rFonts w:ascii="Times New Roman" w:hAnsi="Times New Roman" w:eastAsia="Times New Roman" w:cs="Times New Roman"/>
                <w:color w:val="000000" w:themeColor="text1"/>
                <w:sz w:val="20"/>
                <w:szCs w:val="20"/>
              </w:rPr>
              <w:t>1,540.0</w:t>
            </w:r>
          </w:p>
        </w:tc>
      </w:tr>
      <w:tr w:rsidRPr="0065486C" w:rsidR="00CB18ED" w:rsidTr="0009437D" w14:paraId="6489A74D" w14:textId="77777777">
        <w:trPr>
          <w:trHeight w:val="288"/>
        </w:trPr>
        <w:tc>
          <w:tcPr>
            <w:tcW w:w="1746" w:type="dxa"/>
            <w:tcBorders>
              <w:top w:val="nil"/>
            </w:tcBorders>
            <w:shd w:val="clear" w:color="auto" w:fill="auto"/>
            <w:vAlign w:val="center"/>
            <w:hideMark/>
          </w:tcPr>
          <w:p w:rsidRPr="00DE3BDE" w:rsidR="00A46399" w:rsidP="00FC6E82" w:rsidRDefault="00A46399" w14:paraId="4DA3422C" w14:textId="77777777">
            <w:pPr>
              <w:spacing w:after="0" w:line="240" w:lineRule="auto"/>
              <w:contextualSpacing/>
              <w:rPr>
                <w:rFonts w:ascii="Times New Roman" w:hAnsi="Times New Roman" w:eastAsia="Times New Roman" w:cs="Times New Roman"/>
                <w:color w:val="000000" w:themeColor="text1"/>
                <w:sz w:val="20"/>
                <w:szCs w:val="20"/>
              </w:rPr>
            </w:pPr>
            <w:r w:rsidRPr="00DE3BDE">
              <w:rPr>
                <w:rFonts w:ascii="Times New Roman" w:hAnsi="Times New Roman" w:eastAsia="Times New Roman" w:cs="Times New Roman"/>
                <w:color w:val="000000" w:themeColor="text1"/>
                <w:sz w:val="20"/>
                <w:szCs w:val="20"/>
              </w:rPr>
              <w:t>8 months</w:t>
            </w:r>
          </w:p>
        </w:tc>
        <w:tc>
          <w:tcPr>
            <w:tcW w:w="1746" w:type="dxa"/>
            <w:gridSpan w:val="2"/>
            <w:tcBorders>
              <w:top w:val="nil"/>
            </w:tcBorders>
            <w:shd w:val="clear" w:color="auto" w:fill="auto"/>
            <w:vAlign w:val="center"/>
          </w:tcPr>
          <w:p w:rsidRPr="00DE3BDE" w:rsidR="00A46399" w:rsidP="00FC6E82" w:rsidRDefault="002E6E28" w14:paraId="7FBB681B" w14:textId="77777777">
            <w:pPr>
              <w:spacing w:after="0" w:line="240" w:lineRule="auto"/>
              <w:contextualSpacing/>
              <w:jc w:val="right"/>
              <w:rPr>
                <w:rFonts w:ascii="Times New Roman" w:hAnsi="Times New Roman" w:eastAsia="Times New Roman" w:cs="Times New Roman"/>
                <w:color w:val="000000" w:themeColor="text1"/>
                <w:sz w:val="20"/>
                <w:szCs w:val="20"/>
              </w:rPr>
            </w:pPr>
            <w:r w:rsidRPr="00DE3BDE">
              <w:rPr>
                <w:rFonts w:ascii="Times New Roman" w:hAnsi="Times New Roman" w:eastAsia="Times New Roman" w:cs="Times New Roman"/>
                <w:color w:val="000000" w:themeColor="text1"/>
                <w:sz w:val="20"/>
                <w:szCs w:val="20"/>
              </w:rPr>
              <w:t>115</w:t>
            </w:r>
          </w:p>
        </w:tc>
        <w:tc>
          <w:tcPr>
            <w:tcW w:w="1746" w:type="dxa"/>
            <w:tcBorders>
              <w:top w:val="nil"/>
            </w:tcBorders>
            <w:shd w:val="clear" w:color="auto" w:fill="auto"/>
            <w:vAlign w:val="center"/>
          </w:tcPr>
          <w:p w:rsidRPr="00DE3BDE" w:rsidR="00A46399" w:rsidP="00FC6E82" w:rsidRDefault="002E6E28" w14:paraId="23B5DDDC" w14:textId="77777777">
            <w:pPr>
              <w:spacing w:after="0" w:line="240" w:lineRule="auto"/>
              <w:contextualSpacing/>
              <w:jc w:val="right"/>
              <w:rPr>
                <w:rFonts w:ascii="Times New Roman" w:hAnsi="Times New Roman" w:eastAsia="Times New Roman" w:cs="Times New Roman"/>
                <w:color w:val="000000" w:themeColor="text1"/>
                <w:sz w:val="20"/>
                <w:szCs w:val="20"/>
              </w:rPr>
            </w:pPr>
            <w:r w:rsidRPr="00DE3BDE">
              <w:rPr>
                <w:rFonts w:ascii="Times New Roman" w:hAnsi="Times New Roman" w:eastAsia="Times New Roman" w:cs="Times New Roman"/>
                <w:color w:val="000000" w:themeColor="text1"/>
                <w:sz w:val="20"/>
                <w:szCs w:val="20"/>
              </w:rPr>
              <w:t>920</w:t>
            </w:r>
          </w:p>
        </w:tc>
        <w:tc>
          <w:tcPr>
            <w:tcW w:w="1746" w:type="dxa"/>
            <w:tcBorders>
              <w:top w:val="nil"/>
            </w:tcBorders>
            <w:shd w:val="clear" w:color="auto" w:fill="auto"/>
            <w:vAlign w:val="center"/>
          </w:tcPr>
          <w:p w:rsidRPr="00DE3BDE" w:rsidR="00A46399" w:rsidP="00FC6E82" w:rsidRDefault="0075183F" w14:paraId="7D1FE019" w14:textId="77777777">
            <w:pPr>
              <w:spacing w:after="0" w:line="240" w:lineRule="auto"/>
              <w:contextualSpacing/>
              <w:jc w:val="right"/>
              <w:rPr>
                <w:rFonts w:ascii="Times New Roman" w:hAnsi="Times New Roman" w:eastAsia="Times New Roman" w:cs="Times New Roman"/>
                <w:color w:val="000000" w:themeColor="text1"/>
                <w:sz w:val="20"/>
                <w:szCs w:val="20"/>
              </w:rPr>
            </w:pPr>
            <w:r w:rsidRPr="00DE3BDE">
              <w:rPr>
                <w:rFonts w:ascii="Times New Roman" w:hAnsi="Times New Roman" w:eastAsia="Times New Roman" w:cs="Times New Roman"/>
                <w:color w:val="000000" w:themeColor="text1"/>
                <w:sz w:val="20"/>
                <w:szCs w:val="20"/>
              </w:rPr>
              <w:t>110,400</w:t>
            </w:r>
          </w:p>
        </w:tc>
        <w:tc>
          <w:tcPr>
            <w:tcW w:w="1746" w:type="dxa"/>
            <w:tcBorders>
              <w:top w:val="nil"/>
            </w:tcBorders>
            <w:shd w:val="clear" w:color="auto" w:fill="auto"/>
            <w:vAlign w:val="center"/>
          </w:tcPr>
          <w:p w:rsidRPr="00DE3BDE" w:rsidR="00A46399" w:rsidP="00FC6E82" w:rsidRDefault="0075183F" w14:paraId="53640068" w14:textId="77777777">
            <w:pPr>
              <w:spacing w:after="0" w:line="240" w:lineRule="auto"/>
              <w:contextualSpacing/>
              <w:jc w:val="right"/>
              <w:rPr>
                <w:rFonts w:ascii="Times New Roman" w:hAnsi="Times New Roman" w:eastAsia="Times New Roman" w:cs="Times New Roman"/>
                <w:color w:val="000000" w:themeColor="text1"/>
                <w:sz w:val="20"/>
                <w:szCs w:val="20"/>
              </w:rPr>
            </w:pPr>
            <w:r w:rsidRPr="00DE3BDE">
              <w:rPr>
                <w:rFonts w:ascii="Times New Roman" w:hAnsi="Times New Roman" w:eastAsia="Times New Roman" w:cs="Times New Roman"/>
                <w:color w:val="000000" w:themeColor="text1"/>
                <w:sz w:val="20"/>
                <w:szCs w:val="20"/>
              </w:rPr>
              <w:t>1,840.0</w:t>
            </w:r>
          </w:p>
        </w:tc>
      </w:tr>
      <w:tr w:rsidRPr="0065486C" w:rsidR="00CB18ED" w:rsidTr="0009437D" w14:paraId="772A516D" w14:textId="77777777">
        <w:trPr>
          <w:trHeight w:val="288"/>
        </w:trPr>
        <w:tc>
          <w:tcPr>
            <w:tcW w:w="1746" w:type="dxa"/>
            <w:tcBorders>
              <w:top w:val="nil"/>
            </w:tcBorders>
            <w:shd w:val="clear" w:color="auto" w:fill="auto"/>
            <w:vAlign w:val="center"/>
            <w:hideMark/>
          </w:tcPr>
          <w:p w:rsidRPr="00DE3BDE" w:rsidR="00A46399" w:rsidP="00FC6E82" w:rsidRDefault="00A46399" w14:paraId="34711AAA" w14:textId="77777777">
            <w:pPr>
              <w:spacing w:after="0" w:line="240" w:lineRule="auto"/>
              <w:contextualSpacing/>
              <w:rPr>
                <w:rFonts w:ascii="Times New Roman" w:hAnsi="Times New Roman" w:eastAsia="Times New Roman" w:cs="Times New Roman"/>
                <w:color w:val="000000" w:themeColor="text1"/>
                <w:sz w:val="20"/>
                <w:szCs w:val="20"/>
              </w:rPr>
            </w:pPr>
            <w:r w:rsidRPr="00DE3BDE">
              <w:rPr>
                <w:rFonts w:ascii="Times New Roman" w:hAnsi="Times New Roman" w:eastAsia="Times New Roman" w:cs="Times New Roman"/>
                <w:color w:val="000000" w:themeColor="text1"/>
                <w:sz w:val="20"/>
                <w:szCs w:val="20"/>
              </w:rPr>
              <w:t>9 months</w:t>
            </w:r>
          </w:p>
        </w:tc>
        <w:tc>
          <w:tcPr>
            <w:tcW w:w="1746" w:type="dxa"/>
            <w:gridSpan w:val="2"/>
            <w:tcBorders>
              <w:top w:val="nil"/>
            </w:tcBorders>
            <w:shd w:val="clear" w:color="auto" w:fill="auto"/>
            <w:vAlign w:val="center"/>
          </w:tcPr>
          <w:p w:rsidRPr="00DE3BDE" w:rsidR="00A46399" w:rsidP="00FC6E82" w:rsidRDefault="002E6E28" w14:paraId="759D24EC" w14:textId="77777777">
            <w:pPr>
              <w:spacing w:after="0" w:line="240" w:lineRule="auto"/>
              <w:contextualSpacing/>
              <w:jc w:val="right"/>
              <w:rPr>
                <w:rFonts w:ascii="Times New Roman" w:hAnsi="Times New Roman" w:eastAsia="Times New Roman" w:cs="Times New Roman"/>
                <w:color w:val="000000" w:themeColor="text1"/>
                <w:sz w:val="20"/>
                <w:szCs w:val="20"/>
              </w:rPr>
            </w:pPr>
            <w:r w:rsidRPr="00DE3BDE">
              <w:rPr>
                <w:rFonts w:ascii="Times New Roman" w:hAnsi="Times New Roman" w:eastAsia="Times New Roman" w:cs="Times New Roman"/>
                <w:color w:val="000000" w:themeColor="text1"/>
                <w:sz w:val="20"/>
                <w:szCs w:val="20"/>
              </w:rPr>
              <w:t>117</w:t>
            </w:r>
          </w:p>
        </w:tc>
        <w:tc>
          <w:tcPr>
            <w:tcW w:w="1746" w:type="dxa"/>
            <w:tcBorders>
              <w:top w:val="nil"/>
            </w:tcBorders>
            <w:shd w:val="clear" w:color="auto" w:fill="auto"/>
            <w:vAlign w:val="center"/>
          </w:tcPr>
          <w:p w:rsidRPr="00DE3BDE" w:rsidR="00A46399" w:rsidP="00FC6E82" w:rsidRDefault="002E6E28" w14:paraId="6D8E7666" w14:textId="77777777">
            <w:pPr>
              <w:spacing w:after="0" w:line="240" w:lineRule="auto"/>
              <w:contextualSpacing/>
              <w:jc w:val="right"/>
              <w:rPr>
                <w:rFonts w:ascii="Times New Roman" w:hAnsi="Times New Roman" w:eastAsia="Times New Roman" w:cs="Times New Roman"/>
                <w:color w:val="000000" w:themeColor="text1"/>
                <w:sz w:val="20"/>
                <w:szCs w:val="20"/>
              </w:rPr>
            </w:pPr>
            <w:r w:rsidRPr="00DE3BDE">
              <w:rPr>
                <w:rFonts w:ascii="Times New Roman" w:hAnsi="Times New Roman" w:eastAsia="Times New Roman" w:cs="Times New Roman"/>
                <w:color w:val="000000" w:themeColor="text1"/>
                <w:sz w:val="20"/>
                <w:szCs w:val="20"/>
              </w:rPr>
              <w:t>1,053</w:t>
            </w:r>
          </w:p>
        </w:tc>
        <w:tc>
          <w:tcPr>
            <w:tcW w:w="1746" w:type="dxa"/>
            <w:tcBorders>
              <w:top w:val="nil"/>
            </w:tcBorders>
            <w:shd w:val="clear" w:color="auto" w:fill="auto"/>
            <w:vAlign w:val="center"/>
          </w:tcPr>
          <w:p w:rsidRPr="00DE3BDE" w:rsidR="00A46399" w:rsidP="00FC6E82" w:rsidRDefault="0075183F" w14:paraId="63B9B8D4" w14:textId="77777777">
            <w:pPr>
              <w:spacing w:after="0" w:line="240" w:lineRule="auto"/>
              <w:contextualSpacing/>
              <w:jc w:val="right"/>
              <w:rPr>
                <w:rFonts w:ascii="Times New Roman" w:hAnsi="Times New Roman" w:eastAsia="Times New Roman" w:cs="Times New Roman"/>
                <w:color w:val="000000" w:themeColor="text1"/>
                <w:sz w:val="20"/>
                <w:szCs w:val="20"/>
              </w:rPr>
            </w:pPr>
            <w:r w:rsidRPr="00DE3BDE">
              <w:rPr>
                <w:rFonts w:ascii="Times New Roman" w:hAnsi="Times New Roman" w:eastAsia="Times New Roman" w:cs="Times New Roman"/>
                <w:color w:val="000000" w:themeColor="text1"/>
                <w:sz w:val="20"/>
                <w:szCs w:val="20"/>
              </w:rPr>
              <w:t>126,360</w:t>
            </w:r>
          </w:p>
        </w:tc>
        <w:tc>
          <w:tcPr>
            <w:tcW w:w="1746" w:type="dxa"/>
            <w:tcBorders>
              <w:top w:val="nil"/>
            </w:tcBorders>
            <w:shd w:val="clear" w:color="auto" w:fill="auto"/>
            <w:vAlign w:val="center"/>
          </w:tcPr>
          <w:p w:rsidRPr="00DE3BDE" w:rsidR="00A46399" w:rsidP="00FC6E82" w:rsidRDefault="0075183F" w14:paraId="3CB0C07B" w14:textId="77777777">
            <w:pPr>
              <w:spacing w:after="0" w:line="240" w:lineRule="auto"/>
              <w:contextualSpacing/>
              <w:jc w:val="right"/>
              <w:rPr>
                <w:rFonts w:ascii="Times New Roman" w:hAnsi="Times New Roman" w:eastAsia="Times New Roman" w:cs="Times New Roman"/>
                <w:color w:val="000000" w:themeColor="text1"/>
                <w:sz w:val="20"/>
                <w:szCs w:val="20"/>
              </w:rPr>
            </w:pPr>
            <w:r w:rsidRPr="00DE3BDE">
              <w:rPr>
                <w:rFonts w:ascii="Times New Roman" w:hAnsi="Times New Roman" w:eastAsia="Times New Roman" w:cs="Times New Roman"/>
                <w:color w:val="000000" w:themeColor="text1"/>
                <w:sz w:val="20"/>
                <w:szCs w:val="20"/>
              </w:rPr>
              <w:t>2,106.0</w:t>
            </w:r>
          </w:p>
        </w:tc>
      </w:tr>
      <w:tr w:rsidRPr="0065486C" w:rsidR="00CB18ED" w:rsidTr="0009437D" w14:paraId="732A57B3" w14:textId="77777777">
        <w:trPr>
          <w:trHeight w:val="288"/>
        </w:trPr>
        <w:tc>
          <w:tcPr>
            <w:tcW w:w="1746" w:type="dxa"/>
            <w:tcBorders>
              <w:top w:val="nil"/>
            </w:tcBorders>
            <w:shd w:val="clear" w:color="auto" w:fill="auto"/>
            <w:vAlign w:val="center"/>
            <w:hideMark/>
          </w:tcPr>
          <w:p w:rsidRPr="00DE3BDE" w:rsidR="00A46399" w:rsidP="00FC6E82" w:rsidRDefault="00A46399" w14:paraId="60F5DC50" w14:textId="77777777">
            <w:pPr>
              <w:spacing w:after="0" w:line="240" w:lineRule="auto"/>
              <w:contextualSpacing/>
              <w:rPr>
                <w:rFonts w:ascii="Times New Roman" w:hAnsi="Times New Roman" w:eastAsia="Times New Roman" w:cs="Times New Roman"/>
                <w:color w:val="000000" w:themeColor="text1"/>
                <w:sz w:val="20"/>
                <w:szCs w:val="20"/>
              </w:rPr>
            </w:pPr>
            <w:r w:rsidRPr="00DE3BDE">
              <w:rPr>
                <w:rFonts w:ascii="Times New Roman" w:hAnsi="Times New Roman" w:eastAsia="Times New Roman" w:cs="Times New Roman"/>
                <w:color w:val="000000" w:themeColor="text1"/>
                <w:sz w:val="20"/>
                <w:szCs w:val="20"/>
              </w:rPr>
              <w:t>10 months</w:t>
            </w:r>
          </w:p>
        </w:tc>
        <w:tc>
          <w:tcPr>
            <w:tcW w:w="1746" w:type="dxa"/>
            <w:gridSpan w:val="2"/>
            <w:tcBorders>
              <w:top w:val="nil"/>
            </w:tcBorders>
            <w:shd w:val="clear" w:color="auto" w:fill="auto"/>
            <w:vAlign w:val="center"/>
          </w:tcPr>
          <w:p w:rsidRPr="00DE3BDE" w:rsidR="00A46399" w:rsidP="00FC6E82" w:rsidRDefault="002E6E28" w14:paraId="7BE8521C" w14:textId="77777777">
            <w:pPr>
              <w:spacing w:after="0" w:line="240" w:lineRule="auto"/>
              <w:contextualSpacing/>
              <w:jc w:val="right"/>
              <w:rPr>
                <w:rFonts w:ascii="Times New Roman" w:hAnsi="Times New Roman" w:eastAsia="Times New Roman" w:cs="Times New Roman"/>
                <w:color w:val="000000" w:themeColor="text1"/>
                <w:sz w:val="20"/>
                <w:szCs w:val="20"/>
              </w:rPr>
            </w:pPr>
            <w:r w:rsidRPr="00DE3BDE">
              <w:rPr>
                <w:rFonts w:ascii="Times New Roman" w:hAnsi="Times New Roman" w:eastAsia="Times New Roman" w:cs="Times New Roman"/>
                <w:color w:val="000000" w:themeColor="text1"/>
                <w:sz w:val="20"/>
                <w:szCs w:val="20"/>
              </w:rPr>
              <w:t>213</w:t>
            </w:r>
          </w:p>
        </w:tc>
        <w:tc>
          <w:tcPr>
            <w:tcW w:w="1746" w:type="dxa"/>
            <w:tcBorders>
              <w:top w:val="nil"/>
            </w:tcBorders>
            <w:shd w:val="clear" w:color="auto" w:fill="auto"/>
            <w:vAlign w:val="center"/>
          </w:tcPr>
          <w:p w:rsidRPr="00DE3BDE" w:rsidR="00A46399" w:rsidP="00FC6E82" w:rsidRDefault="002E6E28" w14:paraId="252CD727" w14:textId="77777777">
            <w:pPr>
              <w:spacing w:after="0" w:line="240" w:lineRule="auto"/>
              <w:contextualSpacing/>
              <w:jc w:val="right"/>
              <w:rPr>
                <w:rFonts w:ascii="Times New Roman" w:hAnsi="Times New Roman" w:eastAsia="Times New Roman" w:cs="Times New Roman"/>
                <w:color w:val="000000" w:themeColor="text1"/>
                <w:sz w:val="20"/>
                <w:szCs w:val="20"/>
              </w:rPr>
            </w:pPr>
            <w:r w:rsidRPr="00DE3BDE">
              <w:rPr>
                <w:rFonts w:ascii="Times New Roman" w:hAnsi="Times New Roman" w:eastAsia="Times New Roman" w:cs="Times New Roman"/>
                <w:color w:val="000000" w:themeColor="text1"/>
                <w:sz w:val="20"/>
                <w:szCs w:val="20"/>
              </w:rPr>
              <w:t>2,130</w:t>
            </w:r>
          </w:p>
        </w:tc>
        <w:tc>
          <w:tcPr>
            <w:tcW w:w="1746" w:type="dxa"/>
            <w:tcBorders>
              <w:top w:val="nil"/>
            </w:tcBorders>
            <w:shd w:val="clear" w:color="auto" w:fill="auto"/>
            <w:vAlign w:val="center"/>
          </w:tcPr>
          <w:p w:rsidRPr="00DE3BDE" w:rsidR="00A46399" w:rsidP="00FC6E82" w:rsidRDefault="0075183F" w14:paraId="1EDD5753" w14:textId="77777777">
            <w:pPr>
              <w:spacing w:after="0" w:line="240" w:lineRule="auto"/>
              <w:contextualSpacing/>
              <w:jc w:val="right"/>
              <w:rPr>
                <w:rFonts w:ascii="Times New Roman" w:hAnsi="Times New Roman" w:eastAsia="Times New Roman" w:cs="Times New Roman"/>
                <w:color w:val="000000" w:themeColor="text1"/>
                <w:sz w:val="20"/>
                <w:szCs w:val="20"/>
              </w:rPr>
            </w:pPr>
            <w:r w:rsidRPr="00DE3BDE">
              <w:rPr>
                <w:rFonts w:ascii="Times New Roman" w:hAnsi="Times New Roman" w:eastAsia="Times New Roman" w:cs="Times New Roman"/>
                <w:color w:val="000000" w:themeColor="text1"/>
                <w:sz w:val="20"/>
                <w:szCs w:val="20"/>
              </w:rPr>
              <w:t>255,600</w:t>
            </w:r>
          </w:p>
        </w:tc>
        <w:tc>
          <w:tcPr>
            <w:tcW w:w="1746" w:type="dxa"/>
            <w:tcBorders>
              <w:top w:val="nil"/>
            </w:tcBorders>
            <w:shd w:val="clear" w:color="auto" w:fill="auto"/>
            <w:vAlign w:val="center"/>
          </w:tcPr>
          <w:p w:rsidRPr="00DE3BDE" w:rsidR="00A46399" w:rsidP="00FC6E82" w:rsidRDefault="0075183F" w14:paraId="5474E2E2" w14:textId="77777777">
            <w:pPr>
              <w:spacing w:after="0" w:line="240" w:lineRule="auto"/>
              <w:contextualSpacing/>
              <w:jc w:val="right"/>
              <w:rPr>
                <w:rFonts w:ascii="Times New Roman" w:hAnsi="Times New Roman" w:eastAsia="Times New Roman" w:cs="Times New Roman"/>
                <w:color w:val="000000" w:themeColor="text1"/>
                <w:sz w:val="20"/>
                <w:szCs w:val="20"/>
              </w:rPr>
            </w:pPr>
            <w:r w:rsidRPr="00DE3BDE">
              <w:rPr>
                <w:rFonts w:ascii="Times New Roman" w:hAnsi="Times New Roman" w:eastAsia="Times New Roman" w:cs="Times New Roman"/>
                <w:color w:val="000000" w:themeColor="text1"/>
                <w:sz w:val="20"/>
                <w:szCs w:val="20"/>
              </w:rPr>
              <w:t>4,260.0</w:t>
            </w:r>
          </w:p>
        </w:tc>
      </w:tr>
      <w:tr w:rsidRPr="0065486C" w:rsidR="00CB18ED" w:rsidTr="0009437D" w14:paraId="21E32D4D" w14:textId="77777777">
        <w:trPr>
          <w:trHeight w:val="288"/>
        </w:trPr>
        <w:tc>
          <w:tcPr>
            <w:tcW w:w="1746" w:type="dxa"/>
            <w:tcBorders>
              <w:top w:val="nil"/>
            </w:tcBorders>
            <w:shd w:val="clear" w:color="auto" w:fill="auto"/>
            <w:vAlign w:val="center"/>
            <w:hideMark/>
          </w:tcPr>
          <w:p w:rsidRPr="00DE3BDE" w:rsidR="00A46399" w:rsidP="00FC6E82" w:rsidRDefault="00A46399" w14:paraId="52A77579" w14:textId="77777777">
            <w:pPr>
              <w:spacing w:after="0" w:line="240" w:lineRule="auto"/>
              <w:contextualSpacing/>
              <w:rPr>
                <w:rFonts w:ascii="Times New Roman" w:hAnsi="Times New Roman" w:eastAsia="Times New Roman" w:cs="Times New Roman"/>
                <w:color w:val="000000" w:themeColor="text1"/>
                <w:sz w:val="20"/>
                <w:szCs w:val="20"/>
              </w:rPr>
            </w:pPr>
            <w:r w:rsidRPr="00DE3BDE">
              <w:rPr>
                <w:rFonts w:ascii="Times New Roman" w:hAnsi="Times New Roman" w:eastAsia="Times New Roman" w:cs="Times New Roman"/>
                <w:color w:val="000000" w:themeColor="text1"/>
                <w:sz w:val="20"/>
                <w:szCs w:val="20"/>
              </w:rPr>
              <w:t>11 months</w:t>
            </w:r>
          </w:p>
        </w:tc>
        <w:tc>
          <w:tcPr>
            <w:tcW w:w="1746" w:type="dxa"/>
            <w:gridSpan w:val="2"/>
            <w:tcBorders>
              <w:top w:val="nil"/>
            </w:tcBorders>
            <w:shd w:val="clear" w:color="auto" w:fill="auto"/>
            <w:vAlign w:val="center"/>
          </w:tcPr>
          <w:p w:rsidRPr="00DE3BDE" w:rsidR="00A46399" w:rsidP="00FC6E82" w:rsidRDefault="002E6E28" w14:paraId="7465AD3B" w14:textId="77777777">
            <w:pPr>
              <w:spacing w:after="0" w:line="240" w:lineRule="auto"/>
              <w:contextualSpacing/>
              <w:jc w:val="right"/>
              <w:rPr>
                <w:rFonts w:ascii="Times New Roman" w:hAnsi="Times New Roman" w:eastAsia="Times New Roman" w:cs="Times New Roman"/>
                <w:color w:val="000000" w:themeColor="text1"/>
                <w:sz w:val="20"/>
                <w:szCs w:val="20"/>
              </w:rPr>
            </w:pPr>
            <w:r w:rsidRPr="00DE3BDE">
              <w:rPr>
                <w:rFonts w:ascii="Times New Roman" w:hAnsi="Times New Roman" w:eastAsia="Times New Roman" w:cs="Times New Roman"/>
                <w:color w:val="000000" w:themeColor="text1"/>
                <w:sz w:val="20"/>
                <w:szCs w:val="20"/>
              </w:rPr>
              <w:t>370</w:t>
            </w:r>
          </w:p>
        </w:tc>
        <w:tc>
          <w:tcPr>
            <w:tcW w:w="1746" w:type="dxa"/>
            <w:tcBorders>
              <w:top w:val="nil"/>
            </w:tcBorders>
            <w:shd w:val="clear" w:color="auto" w:fill="auto"/>
            <w:vAlign w:val="center"/>
          </w:tcPr>
          <w:p w:rsidRPr="00DE3BDE" w:rsidR="00A46399" w:rsidP="00FC6E82" w:rsidRDefault="002E6E28" w14:paraId="48D6EEA4" w14:textId="77777777">
            <w:pPr>
              <w:spacing w:after="0" w:line="240" w:lineRule="auto"/>
              <w:contextualSpacing/>
              <w:jc w:val="right"/>
              <w:rPr>
                <w:rFonts w:ascii="Times New Roman" w:hAnsi="Times New Roman" w:eastAsia="Times New Roman" w:cs="Times New Roman"/>
                <w:color w:val="000000" w:themeColor="text1"/>
                <w:sz w:val="20"/>
                <w:szCs w:val="20"/>
              </w:rPr>
            </w:pPr>
            <w:r w:rsidRPr="00DE3BDE">
              <w:rPr>
                <w:rFonts w:ascii="Times New Roman" w:hAnsi="Times New Roman" w:eastAsia="Times New Roman" w:cs="Times New Roman"/>
                <w:color w:val="000000" w:themeColor="text1"/>
                <w:sz w:val="20"/>
                <w:szCs w:val="20"/>
              </w:rPr>
              <w:t>4,070</w:t>
            </w:r>
          </w:p>
        </w:tc>
        <w:tc>
          <w:tcPr>
            <w:tcW w:w="1746" w:type="dxa"/>
            <w:tcBorders>
              <w:top w:val="nil"/>
            </w:tcBorders>
            <w:shd w:val="clear" w:color="auto" w:fill="auto"/>
            <w:vAlign w:val="center"/>
          </w:tcPr>
          <w:p w:rsidRPr="00DE3BDE" w:rsidR="00A46399" w:rsidP="00FC6E82" w:rsidRDefault="0075183F" w14:paraId="7F0DE1B0" w14:textId="77777777">
            <w:pPr>
              <w:spacing w:after="0" w:line="240" w:lineRule="auto"/>
              <w:contextualSpacing/>
              <w:jc w:val="right"/>
              <w:rPr>
                <w:rFonts w:ascii="Times New Roman" w:hAnsi="Times New Roman" w:eastAsia="Times New Roman" w:cs="Times New Roman"/>
                <w:color w:val="000000" w:themeColor="text1"/>
                <w:sz w:val="20"/>
                <w:szCs w:val="20"/>
              </w:rPr>
            </w:pPr>
            <w:r w:rsidRPr="00DE3BDE">
              <w:rPr>
                <w:rFonts w:ascii="Times New Roman" w:hAnsi="Times New Roman" w:eastAsia="Times New Roman" w:cs="Times New Roman"/>
                <w:color w:val="000000" w:themeColor="text1"/>
                <w:sz w:val="20"/>
                <w:szCs w:val="20"/>
              </w:rPr>
              <w:t>488,400</w:t>
            </w:r>
          </w:p>
        </w:tc>
        <w:tc>
          <w:tcPr>
            <w:tcW w:w="1746" w:type="dxa"/>
            <w:tcBorders>
              <w:top w:val="nil"/>
            </w:tcBorders>
            <w:shd w:val="clear" w:color="auto" w:fill="auto"/>
            <w:vAlign w:val="center"/>
          </w:tcPr>
          <w:p w:rsidRPr="00DE3BDE" w:rsidR="00A46399" w:rsidP="00FC6E82" w:rsidRDefault="0075183F" w14:paraId="499FC145" w14:textId="77777777">
            <w:pPr>
              <w:spacing w:after="0" w:line="240" w:lineRule="auto"/>
              <w:contextualSpacing/>
              <w:jc w:val="right"/>
              <w:rPr>
                <w:rFonts w:ascii="Times New Roman" w:hAnsi="Times New Roman" w:eastAsia="Times New Roman" w:cs="Times New Roman"/>
                <w:color w:val="000000" w:themeColor="text1"/>
                <w:sz w:val="20"/>
                <w:szCs w:val="20"/>
              </w:rPr>
            </w:pPr>
            <w:r w:rsidRPr="00DE3BDE">
              <w:rPr>
                <w:rFonts w:ascii="Times New Roman" w:hAnsi="Times New Roman" w:eastAsia="Times New Roman" w:cs="Times New Roman"/>
                <w:color w:val="000000" w:themeColor="text1"/>
                <w:sz w:val="20"/>
                <w:szCs w:val="20"/>
              </w:rPr>
              <w:t>8,140.0</w:t>
            </w:r>
          </w:p>
        </w:tc>
      </w:tr>
      <w:tr w:rsidRPr="0065486C" w:rsidR="00CB18ED" w:rsidTr="00FD0558" w14:paraId="4DBEF3B9" w14:textId="77777777">
        <w:trPr>
          <w:trHeight w:val="288"/>
        </w:trPr>
        <w:tc>
          <w:tcPr>
            <w:tcW w:w="1746" w:type="dxa"/>
            <w:tcBorders>
              <w:bottom w:val="single" w:color="auto" w:sz="8" w:space="0"/>
            </w:tcBorders>
            <w:shd w:val="clear" w:color="auto" w:fill="auto"/>
            <w:vAlign w:val="center"/>
          </w:tcPr>
          <w:p w:rsidRPr="00DE3BDE" w:rsidR="00A46399" w:rsidP="00FC6E82" w:rsidRDefault="00A46399" w14:paraId="798AE975" w14:textId="77777777">
            <w:pPr>
              <w:spacing w:after="0" w:line="240" w:lineRule="auto"/>
              <w:contextualSpacing/>
              <w:rPr>
                <w:rFonts w:ascii="Times New Roman" w:hAnsi="Times New Roman" w:eastAsia="Times New Roman" w:cs="Times New Roman"/>
                <w:color w:val="000000" w:themeColor="text1"/>
                <w:sz w:val="20"/>
                <w:szCs w:val="20"/>
              </w:rPr>
            </w:pPr>
            <w:r w:rsidRPr="00DE3BDE">
              <w:rPr>
                <w:rFonts w:ascii="Times New Roman" w:hAnsi="Times New Roman" w:eastAsia="Times New Roman" w:cs="Times New Roman"/>
                <w:color w:val="000000" w:themeColor="text1"/>
                <w:sz w:val="20"/>
                <w:szCs w:val="20"/>
              </w:rPr>
              <w:t>12 months</w:t>
            </w:r>
          </w:p>
        </w:tc>
        <w:tc>
          <w:tcPr>
            <w:tcW w:w="1746" w:type="dxa"/>
            <w:gridSpan w:val="2"/>
            <w:tcBorders>
              <w:bottom w:val="single" w:color="auto" w:sz="8" w:space="0"/>
            </w:tcBorders>
            <w:shd w:val="clear" w:color="auto" w:fill="auto"/>
            <w:vAlign w:val="center"/>
          </w:tcPr>
          <w:p w:rsidRPr="00DE3BDE" w:rsidR="00A46399" w:rsidP="00FC6E82" w:rsidRDefault="002E6E28" w14:paraId="4EAA13C1" w14:textId="77777777">
            <w:pPr>
              <w:spacing w:after="0" w:line="240" w:lineRule="auto"/>
              <w:contextualSpacing/>
              <w:jc w:val="right"/>
              <w:rPr>
                <w:rFonts w:ascii="Times New Roman" w:hAnsi="Times New Roman" w:eastAsia="Times New Roman" w:cs="Times New Roman"/>
                <w:color w:val="000000" w:themeColor="text1"/>
                <w:sz w:val="20"/>
                <w:szCs w:val="20"/>
              </w:rPr>
            </w:pPr>
            <w:r w:rsidRPr="00DE3BDE">
              <w:rPr>
                <w:rFonts w:ascii="Times New Roman" w:hAnsi="Times New Roman" w:eastAsia="Times New Roman" w:cs="Times New Roman"/>
                <w:color w:val="000000" w:themeColor="text1"/>
                <w:sz w:val="20"/>
                <w:szCs w:val="20"/>
              </w:rPr>
              <w:t>7,117</w:t>
            </w:r>
          </w:p>
        </w:tc>
        <w:tc>
          <w:tcPr>
            <w:tcW w:w="1746" w:type="dxa"/>
            <w:tcBorders>
              <w:bottom w:val="single" w:color="auto" w:sz="8" w:space="0"/>
            </w:tcBorders>
            <w:shd w:val="clear" w:color="auto" w:fill="auto"/>
            <w:vAlign w:val="center"/>
          </w:tcPr>
          <w:p w:rsidRPr="00DE3BDE" w:rsidR="00A46399" w:rsidP="00FC6E82" w:rsidRDefault="002E6E28" w14:paraId="554A894C" w14:textId="77777777">
            <w:pPr>
              <w:spacing w:after="0" w:line="240" w:lineRule="auto"/>
              <w:contextualSpacing/>
              <w:jc w:val="right"/>
              <w:rPr>
                <w:rFonts w:ascii="Times New Roman" w:hAnsi="Times New Roman" w:eastAsia="Times New Roman" w:cs="Times New Roman"/>
                <w:color w:val="000000" w:themeColor="text1"/>
                <w:sz w:val="20"/>
                <w:szCs w:val="20"/>
              </w:rPr>
            </w:pPr>
            <w:r w:rsidRPr="00DE3BDE">
              <w:rPr>
                <w:rFonts w:ascii="Times New Roman" w:hAnsi="Times New Roman" w:eastAsia="Times New Roman" w:cs="Times New Roman"/>
                <w:color w:val="000000" w:themeColor="text1"/>
                <w:sz w:val="20"/>
                <w:szCs w:val="20"/>
              </w:rPr>
              <w:t>85,404</w:t>
            </w:r>
          </w:p>
        </w:tc>
        <w:tc>
          <w:tcPr>
            <w:tcW w:w="1746" w:type="dxa"/>
            <w:tcBorders>
              <w:bottom w:val="single" w:color="auto" w:sz="8" w:space="0"/>
            </w:tcBorders>
            <w:shd w:val="clear" w:color="auto" w:fill="auto"/>
            <w:vAlign w:val="center"/>
          </w:tcPr>
          <w:p w:rsidRPr="00DE3BDE" w:rsidR="00A46399" w:rsidP="00FC6E82" w:rsidRDefault="0075183F" w14:paraId="331AD2BB" w14:textId="77777777">
            <w:pPr>
              <w:spacing w:after="0" w:line="240" w:lineRule="auto"/>
              <w:contextualSpacing/>
              <w:jc w:val="right"/>
              <w:rPr>
                <w:rFonts w:ascii="Times New Roman" w:hAnsi="Times New Roman" w:eastAsia="Times New Roman" w:cs="Times New Roman"/>
                <w:color w:val="000000" w:themeColor="text1"/>
                <w:sz w:val="20"/>
                <w:szCs w:val="20"/>
              </w:rPr>
            </w:pPr>
            <w:r w:rsidRPr="00DE3BDE">
              <w:rPr>
                <w:rFonts w:ascii="Times New Roman" w:hAnsi="Times New Roman" w:eastAsia="Times New Roman" w:cs="Times New Roman"/>
                <w:color w:val="000000" w:themeColor="text1"/>
                <w:sz w:val="20"/>
                <w:szCs w:val="20"/>
              </w:rPr>
              <w:t>10,248,480</w:t>
            </w:r>
          </w:p>
        </w:tc>
        <w:tc>
          <w:tcPr>
            <w:tcW w:w="1746" w:type="dxa"/>
            <w:tcBorders>
              <w:bottom w:val="single" w:color="auto" w:sz="8" w:space="0"/>
            </w:tcBorders>
            <w:shd w:val="clear" w:color="auto" w:fill="auto"/>
            <w:vAlign w:val="center"/>
          </w:tcPr>
          <w:p w:rsidRPr="00DE3BDE" w:rsidR="00A46399" w:rsidP="00FC6E82" w:rsidRDefault="0075183F" w14:paraId="266B5D2C" w14:textId="77777777">
            <w:pPr>
              <w:spacing w:after="0" w:line="240" w:lineRule="auto"/>
              <w:contextualSpacing/>
              <w:jc w:val="right"/>
              <w:rPr>
                <w:rFonts w:ascii="Times New Roman" w:hAnsi="Times New Roman" w:eastAsia="Times New Roman" w:cs="Times New Roman"/>
                <w:color w:val="000000" w:themeColor="text1"/>
                <w:sz w:val="20"/>
                <w:szCs w:val="20"/>
              </w:rPr>
            </w:pPr>
            <w:r w:rsidRPr="00DE3BDE">
              <w:rPr>
                <w:rFonts w:ascii="Times New Roman" w:hAnsi="Times New Roman" w:eastAsia="Times New Roman" w:cs="Times New Roman"/>
                <w:color w:val="000000" w:themeColor="text1"/>
                <w:sz w:val="20"/>
                <w:szCs w:val="20"/>
              </w:rPr>
              <w:t>170,808.0</w:t>
            </w:r>
          </w:p>
        </w:tc>
      </w:tr>
      <w:tr w:rsidRPr="0065486C" w:rsidR="00CB18ED" w:rsidTr="00FD0558" w14:paraId="7120C292" w14:textId="77777777">
        <w:trPr>
          <w:trHeight w:val="288"/>
        </w:trPr>
        <w:tc>
          <w:tcPr>
            <w:tcW w:w="1746" w:type="dxa"/>
            <w:tcBorders>
              <w:top w:val="single" w:color="auto" w:sz="8" w:space="0"/>
              <w:bottom w:val="single" w:color="auto" w:sz="8" w:space="0"/>
            </w:tcBorders>
            <w:shd w:val="clear" w:color="auto" w:fill="auto"/>
            <w:vAlign w:val="center"/>
          </w:tcPr>
          <w:p w:rsidRPr="00DE3BDE" w:rsidR="00A46399" w:rsidP="00FC6E82" w:rsidRDefault="00A46399" w14:paraId="46FE0C09" w14:textId="77777777">
            <w:pPr>
              <w:spacing w:after="0" w:line="240" w:lineRule="auto"/>
              <w:contextualSpacing/>
              <w:rPr>
                <w:rFonts w:ascii="Times New Roman" w:hAnsi="Times New Roman" w:eastAsia="Times New Roman" w:cs="Times New Roman"/>
                <w:color w:val="000000" w:themeColor="text1"/>
                <w:sz w:val="20"/>
                <w:szCs w:val="20"/>
              </w:rPr>
            </w:pPr>
            <w:r w:rsidRPr="00DE3BDE">
              <w:rPr>
                <w:rFonts w:ascii="Times New Roman" w:hAnsi="Times New Roman" w:eastAsia="Times New Roman" w:cs="Times New Roman"/>
                <w:color w:val="000000" w:themeColor="text1"/>
                <w:sz w:val="20"/>
                <w:szCs w:val="20"/>
              </w:rPr>
              <w:t>Total</w:t>
            </w:r>
          </w:p>
        </w:tc>
        <w:tc>
          <w:tcPr>
            <w:tcW w:w="1746" w:type="dxa"/>
            <w:gridSpan w:val="2"/>
            <w:tcBorders>
              <w:top w:val="single" w:color="auto" w:sz="8" w:space="0"/>
              <w:bottom w:val="single" w:color="auto" w:sz="8" w:space="0"/>
            </w:tcBorders>
            <w:shd w:val="clear" w:color="auto" w:fill="auto"/>
            <w:vAlign w:val="center"/>
          </w:tcPr>
          <w:p w:rsidRPr="00DE3BDE" w:rsidR="00A46399" w:rsidP="00FC6E82" w:rsidRDefault="002E6E28" w14:paraId="17C34901" w14:textId="77777777">
            <w:pPr>
              <w:spacing w:after="0" w:line="240" w:lineRule="auto"/>
              <w:contextualSpacing/>
              <w:jc w:val="right"/>
              <w:rPr>
                <w:rFonts w:ascii="Times New Roman" w:hAnsi="Times New Roman" w:eastAsia="Times New Roman" w:cs="Times New Roman"/>
                <w:color w:val="000000" w:themeColor="text1"/>
                <w:sz w:val="20"/>
                <w:szCs w:val="20"/>
              </w:rPr>
            </w:pPr>
            <w:r w:rsidRPr="00DE3BDE">
              <w:rPr>
                <w:rFonts w:ascii="Times New Roman" w:hAnsi="Times New Roman" w:eastAsia="Times New Roman" w:cs="Times New Roman"/>
                <w:color w:val="000000" w:themeColor="text1"/>
                <w:sz w:val="20"/>
                <w:szCs w:val="20"/>
              </w:rPr>
              <w:t>8,500</w:t>
            </w:r>
          </w:p>
        </w:tc>
        <w:tc>
          <w:tcPr>
            <w:tcW w:w="1746" w:type="dxa"/>
            <w:tcBorders>
              <w:top w:val="single" w:color="auto" w:sz="8" w:space="0"/>
              <w:bottom w:val="single" w:color="auto" w:sz="8" w:space="0"/>
            </w:tcBorders>
            <w:shd w:val="clear" w:color="auto" w:fill="auto"/>
            <w:vAlign w:val="center"/>
          </w:tcPr>
          <w:p w:rsidRPr="00DE3BDE" w:rsidR="00A46399" w:rsidP="00FC6E82" w:rsidRDefault="002E6E28" w14:paraId="1C190934" w14:textId="77777777">
            <w:pPr>
              <w:spacing w:after="0" w:line="240" w:lineRule="auto"/>
              <w:contextualSpacing/>
              <w:jc w:val="right"/>
              <w:rPr>
                <w:rFonts w:ascii="Times New Roman" w:hAnsi="Times New Roman" w:eastAsia="Times New Roman" w:cs="Times New Roman"/>
                <w:color w:val="000000" w:themeColor="text1"/>
                <w:sz w:val="20"/>
                <w:szCs w:val="20"/>
              </w:rPr>
            </w:pPr>
            <w:r w:rsidRPr="00DE3BDE">
              <w:rPr>
                <w:rFonts w:ascii="Times New Roman" w:hAnsi="Times New Roman" w:eastAsia="Times New Roman" w:cs="Times New Roman"/>
                <w:color w:val="000000" w:themeColor="text1"/>
                <w:sz w:val="20"/>
                <w:szCs w:val="20"/>
              </w:rPr>
              <w:t>95,947</w:t>
            </w:r>
          </w:p>
        </w:tc>
        <w:tc>
          <w:tcPr>
            <w:tcW w:w="1746" w:type="dxa"/>
            <w:tcBorders>
              <w:top w:val="single" w:color="auto" w:sz="8" w:space="0"/>
              <w:bottom w:val="single" w:color="auto" w:sz="8" w:space="0"/>
            </w:tcBorders>
            <w:shd w:val="clear" w:color="auto" w:fill="auto"/>
            <w:vAlign w:val="center"/>
          </w:tcPr>
          <w:p w:rsidRPr="00DE3BDE" w:rsidR="00A46399" w:rsidP="00FC6E82" w:rsidRDefault="0075183F" w14:paraId="03ACA198" w14:textId="77777777">
            <w:pPr>
              <w:spacing w:after="0" w:line="240" w:lineRule="auto"/>
              <w:contextualSpacing/>
              <w:jc w:val="right"/>
              <w:rPr>
                <w:rFonts w:ascii="Times New Roman" w:hAnsi="Times New Roman" w:eastAsia="Times New Roman" w:cs="Times New Roman"/>
                <w:color w:val="000000" w:themeColor="text1"/>
                <w:sz w:val="20"/>
                <w:szCs w:val="20"/>
              </w:rPr>
            </w:pPr>
            <w:r w:rsidRPr="00DE3BDE">
              <w:rPr>
                <w:rFonts w:ascii="Times New Roman" w:hAnsi="Times New Roman" w:eastAsia="Times New Roman" w:cs="Times New Roman"/>
                <w:color w:val="000000" w:themeColor="text1"/>
                <w:sz w:val="20"/>
                <w:szCs w:val="20"/>
              </w:rPr>
              <w:t>11,513,640</w:t>
            </w:r>
          </w:p>
        </w:tc>
        <w:tc>
          <w:tcPr>
            <w:tcW w:w="1746" w:type="dxa"/>
            <w:tcBorders>
              <w:top w:val="single" w:color="auto" w:sz="8" w:space="0"/>
              <w:bottom w:val="single" w:color="auto" w:sz="8" w:space="0"/>
            </w:tcBorders>
            <w:shd w:val="clear" w:color="auto" w:fill="auto"/>
            <w:vAlign w:val="center"/>
          </w:tcPr>
          <w:p w:rsidRPr="00DE3BDE" w:rsidR="00A46399" w:rsidP="00FC6E82" w:rsidRDefault="0075183F" w14:paraId="7D26D773" w14:textId="77777777">
            <w:pPr>
              <w:spacing w:after="0" w:line="240" w:lineRule="auto"/>
              <w:contextualSpacing/>
              <w:jc w:val="right"/>
              <w:rPr>
                <w:rFonts w:ascii="Times New Roman" w:hAnsi="Times New Roman" w:eastAsia="Times New Roman" w:cs="Times New Roman"/>
                <w:color w:val="000000" w:themeColor="text1"/>
                <w:sz w:val="20"/>
                <w:szCs w:val="20"/>
              </w:rPr>
            </w:pPr>
            <w:r w:rsidRPr="00DE3BDE">
              <w:rPr>
                <w:rFonts w:ascii="Times New Roman" w:hAnsi="Times New Roman" w:eastAsia="Times New Roman" w:cs="Times New Roman"/>
                <w:color w:val="000000" w:themeColor="text1"/>
                <w:sz w:val="20"/>
                <w:szCs w:val="20"/>
              </w:rPr>
              <w:t>191,894.0</w:t>
            </w:r>
          </w:p>
        </w:tc>
      </w:tr>
      <w:tr w:rsidRPr="0065486C" w:rsidR="00CB18ED" w:rsidTr="00FD0558" w14:paraId="23DF9DA7" w14:textId="77777777">
        <w:trPr>
          <w:trHeight w:val="288"/>
        </w:trPr>
        <w:tc>
          <w:tcPr>
            <w:tcW w:w="8730" w:type="dxa"/>
            <w:gridSpan w:val="6"/>
            <w:tcBorders>
              <w:top w:val="single" w:color="auto" w:sz="8" w:space="0"/>
              <w:bottom w:val="single" w:color="auto" w:sz="8" w:space="0"/>
            </w:tcBorders>
            <w:shd w:val="clear" w:color="auto" w:fill="auto"/>
          </w:tcPr>
          <w:p w:rsidRPr="00DE3BDE" w:rsidR="00A46399" w:rsidP="00FC6E82" w:rsidRDefault="00A46399" w14:paraId="71FFA09A" w14:textId="77777777">
            <w:pPr>
              <w:spacing w:after="0" w:line="240" w:lineRule="auto"/>
              <w:contextualSpacing/>
              <w:rPr>
                <w:rFonts w:ascii="Times New Roman" w:hAnsi="Times New Roman" w:eastAsia="Times New Roman" w:cs="Times New Roman"/>
                <w:color w:val="000000" w:themeColor="text1"/>
                <w:sz w:val="16"/>
                <w:szCs w:val="16"/>
              </w:rPr>
            </w:pPr>
            <w:r w:rsidRPr="00DE3BDE">
              <w:rPr>
                <w:rFonts w:ascii="Times New Roman" w:hAnsi="Times New Roman" w:eastAsia="Times New Roman" w:cs="Times New Roman"/>
                <w:b/>
                <w:color w:val="000000" w:themeColor="text1"/>
                <w:sz w:val="16"/>
                <w:szCs w:val="16"/>
              </w:rPr>
              <w:t>Total Number of Non-Responding Agencies:</w:t>
            </w:r>
            <w:r w:rsidRPr="00DE3BDE" w:rsidR="002E6E28">
              <w:rPr>
                <w:rFonts w:ascii="Times New Roman" w:hAnsi="Times New Roman" w:eastAsia="Times New Roman" w:cs="Times New Roman"/>
                <w:color w:val="000000" w:themeColor="text1"/>
                <w:sz w:val="16"/>
                <w:szCs w:val="16"/>
              </w:rPr>
              <w:t xml:space="preserve">  71</w:t>
            </w:r>
            <w:r w:rsidRPr="00DE3BDE" w:rsidR="00270E9E">
              <w:rPr>
                <w:rFonts w:ascii="Times New Roman" w:hAnsi="Times New Roman" w:eastAsia="Times New Roman" w:cs="Times New Roman"/>
                <w:color w:val="000000" w:themeColor="text1"/>
                <w:sz w:val="16"/>
                <w:szCs w:val="16"/>
              </w:rPr>
              <w:t>3</w:t>
            </w:r>
            <w:r w:rsidRPr="00DE3BDE">
              <w:rPr>
                <w:rFonts w:ascii="Times New Roman" w:hAnsi="Times New Roman" w:eastAsia="Times New Roman" w:cs="Times New Roman"/>
                <w:color w:val="000000" w:themeColor="text1"/>
                <w:sz w:val="16"/>
                <w:szCs w:val="16"/>
              </w:rPr>
              <w:t xml:space="preserve"> agencies</w:t>
            </w:r>
          </w:p>
          <w:p w:rsidRPr="00DE3BDE" w:rsidR="00A46399" w:rsidP="00FC6E82" w:rsidRDefault="00A46399" w14:paraId="4A155468" w14:textId="77777777">
            <w:pPr>
              <w:spacing w:after="0" w:line="240" w:lineRule="auto"/>
              <w:contextualSpacing/>
              <w:rPr>
                <w:rFonts w:ascii="Times New Roman" w:hAnsi="Times New Roman" w:eastAsia="Times New Roman" w:cs="Times New Roman"/>
                <w:color w:val="000000" w:themeColor="text1"/>
                <w:sz w:val="16"/>
                <w:szCs w:val="16"/>
              </w:rPr>
            </w:pPr>
            <w:r w:rsidRPr="00DE3BDE">
              <w:rPr>
                <w:rFonts w:ascii="Times New Roman" w:hAnsi="Times New Roman" w:eastAsia="Times New Roman" w:cs="Times New Roman"/>
                <w:b/>
                <w:color w:val="000000" w:themeColor="text1"/>
                <w:sz w:val="16"/>
                <w:szCs w:val="16"/>
              </w:rPr>
              <w:t>Total Number of Responding Agencies:</w:t>
            </w:r>
            <w:r w:rsidRPr="00DE3BDE" w:rsidR="002E6E28">
              <w:rPr>
                <w:rFonts w:ascii="Times New Roman" w:hAnsi="Times New Roman" w:eastAsia="Times New Roman" w:cs="Times New Roman"/>
                <w:color w:val="000000" w:themeColor="text1"/>
                <w:sz w:val="16"/>
                <w:szCs w:val="16"/>
              </w:rPr>
              <w:t xml:space="preserve">  8,500</w:t>
            </w:r>
            <w:r w:rsidRPr="00DE3BDE">
              <w:rPr>
                <w:rFonts w:ascii="Times New Roman" w:hAnsi="Times New Roman" w:eastAsia="Times New Roman" w:cs="Times New Roman"/>
                <w:color w:val="000000" w:themeColor="text1"/>
                <w:sz w:val="16"/>
                <w:szCs w:val="16"/>
              </w:rPr>
              <w:t xml:space="preserve"> agencies  </w:t>
            </w:r>
          </w:p>
          <w:p w:rsidRPr="00DE3BDE" w:rsidR="00A46399" w:rsidP="00FC6E82" w:rsidRDefault="00270E9E" w14:paraId="4B69BF80" w14:textId="77777777">
            <w:pPr>
              <w:spacing w:after="0" w:line="240" w:lineRule="auto"/>
              <w:contextualSpacing/>
              <w:rPr>
                <w:rFonts w:ascii="Times New Roman" w:hAnsi="Times New Roman" w:eastAsia="Times New Roman" w:cs="Times New Roman"/>
                <w:color w:val="000000" w:themeColor="text1"/>
                <w:sz w:val="16"/>
                <w:szCs w:val="16"/>
              </w:rPr>
            </w:pPr>
            <w:r w:rsidRPr="00DE3BDE">
              <w:rPr>
                <w:rFonts w:ascii="Times New Roman" w:hAnsi="Times New Roman" w:eastAsia="Times New Roman" w:cs="Times New Roman"/>
                <w:b/>
                <w:color w:val="000000" w:themeColor="text1"/>
                <w:sz w:val="16"/>
                <w:szCs w:val="16"/>
              </w:rPr>
              <w:t>Total Number of NIB</w:t>
            </w:r>
            <w:r w:rsidRPr="00DE3BDE" w:rsidR="00A46399">
              <w:rPr>
                <w:rFonts w:ascii="Times New Roman" w:hAnsi="Times New Roman" w:eastAsia="Times New Roman" w:cs="Times New Roman"/>
                <w:b/>
                <w:color w:val="000000" w:themeColor="text1"/>
                <w:sz w:val="16"/>
                <w:szCs w:val="16"/>
              </w:rPr>
              <w:t>RS Agencies:</w:t>
            </w:r>
            <w:r w:rsidRPr="00DE3BDE" w:rsidR="002E6E28">
              <w:rPr>
                <w:rFonts w:ascii="Times New Roman" w:hAnsi="Times New Roman" w:eastAsia="Times New Roman" w:cs="Times New Roman"/>
                <w:color w:val="000000" w:themeColor="text1"/>
                <w:sz w:val="16"/>
                <w:szCs w:val="16"/>
              </w:rPr>
              <w:t xml:space="preserve">  9,213</w:t>
            </w:r>
            <w:r w:rsidRPr="00DE3BDE" w:rsidR="00A46399">
              <w:rPr>
                <w:rFonts w:ascii="Times New Roman" w:hAnsi="Times New Roman" w:eastAsia="Times New Roman" w:cs="Times New Roman"/>
                <w:color w:val="000000" w:themeColor="text1"/>
                <w:sz w:val="16"/>
                <w:szCs w:val="16"/>
              </w:rPr>
              <w:t xml:space="preserve"> agencies (Non-Responding Agencies + Responding Agencies)</w:t>
            </w:r>
          </w:p>
          <w:p w:rsidRPr="00DE3BDE" w:rsidR="00A46399" w:rsidP="00FC6E82" w:rsidRDefault="00A46399" w14:paraId="50768C5F" w14:textId="77777777">
            <w:pPr>
              <w:spacing w:after="0" w:line="240" w:lineRule="auto"/>
              <w:contextualSpacing/>
              <w:rPr>
                <w:rFonts w:ascii="Times New Roman" w:hAnsi="Times New Roman" w:eastAsia="Times New Roman" w:cs="Times New Roman"/>
                <w:color w:val="000000" w:themeColor="text1"/>
                <w:sz w:val="16"/>
                <w:szCs w:val="16"/>
              </w:rPr>
            </w:pPr>
            <w:r w:rsidRPr="00DE3BDE">
              <w:rPr>
                <w:rFonts w:ascii="Times New Roman" w:hAnsi="Times New Roman" w:eastAsia="Times New Roman" w:cs="Times New Roman"/>
                <w:b/>
                <w:color w:val="000000" w:themeColor="text1"/>
                <w:sz w:val="16"/>
                <w:szCs w:val="16"/>
              </w:rPr>
              <w:t>Total Number of Annual Responses:</w:t>
            </w:r>
            <w:r w:rsidRPr="00DE3BDE">
              <w:rPr>
                <w:rFonts w:ascii="Times New Roman" w:hAnsi="Times New Roman" w:eastAsia="Times New Roman" w:cs="Times New Roman"/>
                <w:color w:val="000000" w:themeColor="text1"/>
                <w:sz w:val="16"/>
                <w:szCs w:val="16"/>
              </w:rPr>
              <w:t xml:space="preserve">  </w:t>
            </w:r>
            <w:r w:rsidRPr="00DE3BDE" w:rsidR="002E6E28">
              <w:rPr>
                <w:rFonts w:ascii="Times New Roman" w:hAnsi="Times New Roman" w:eastAsia="Times New Roman" w:cs="Times New Roman"/>
                <w:color w:val="000000" w:themeColor="text1"/>
                <w:sz w:val="16"/>
                <w:szCs w:val="16"/>
              </w:rPr>
              <w:t>95,947</w:t>
            </w:r>
            <w:r w:rsidRPr="00DE3BDE">
              <w:rPr>
                <w:rFonts w:ascii="Times New Roman" w:hAnsi="Times New Roman" w:eastAsia="Times New Roman" w:cs="Times New Roman"/>
                <w:color w:val="000000" w:themeColor="text1"/>
                <w:sz w:val="16"/>
                <w:szCs w:val="16"/>
              </w:rPr>
              <w:t xml:space="preserve"> responses (Column C = Column A x Column B)</w:t>
            </w:r>
          </w:p>
          <w:p w:rsidRPr="00DE3BDE" w:rsidR="00A46399" w:rsidP="00FC6E82" w:rsidRDefault="00A46399" w14:paraId="75A154A3" w14:textId="77777777">
            <w:pPr>
              <w:spacing w:after="0" w:line="240" w:lineRule="auto"/>
              <w:contextualSpacing/>
              <w:rPr>
                <w:rFonts w:ascii="Times New Roman" w:hAnsi="Times New Roman" w:eastAsia="Times New Roman" w:cs="Times New Roman"/>
                <w:color w:val="000000" w:themeColor="text1"/>
                <w:sz w:val="16"/>
                <w:szCs w:val="16"/>
              </w:rPr>
            </w:pPr>
            <w:r w:rsidRPr="00DE3BDE">
              <w:rPr>
                <w:rFonts w:ascii="Times New Roman" w:hAnsi="Times New Roman" w:eastAsia="Times New Roman" w:cs="Times New Roman"/>
                <w:b/>
                <w:color w:val="000000" w:themeColor="text1"/>
                <w:sz w:val="16"/>
                <w:szCs w:val="16"/>
              </w:rPr>
              <w:t>Total Form Completion Burden (Minutes):</w:t>
            </w:r>
            <w:r w:rsidRPr="00DE3BDE">
              <w:rPr>
                <w:rFonts w:ascii="Times New Roman" w:hAnsi="Times New Roman" w:eastAsia="Times New Roman" w:cs="Times New Roman"/>
                <w:color w:val="000000" w:themeColor="text1"/>
                <w:sz w:val="16"/>
                <w:szCs w:val="16"/>
              </w:rPr>
              <w:t xml:space="preserve">  </w:t>
            </w:r>
            <w:r w:rsidRPr="00DE3BDE" w:rsidR="0009437D">
              <w:rPr>
                <w:rFonts w:ascii="Times New Roman" w:hAnsi="Times New Roman" w:eastAsia="Times New Roman" w:cs="Times New Roman"/>
                <w:color w:val="000000" w:themeColor="text1"/>
                <w:sz w:val="16"/>
                <w:szCs w:val="16"/>
              </w:rPr>
              <w:t>11,513,640</w:t>
            </w:r>
            <w:r w:rsidRPr="00DE3BDE">
              <w:rPr>
                <w:rFonts w:ascii="Times New Roman" w:hAnsi="Times New Roman" w:eastAsia="Times New Roman" w:cs="Times New Roman"/>
                <w:color w:val="000000" w:themeColor="text1"/>
                <w:sz w:val="16"/>
                <w:szCs w:val="16"/>
              </w:rPr>
              <w:t xml:space="preserve"> minutes (Column D = Column C x </w:t>
            </w:r>
            <w:r w:rsidRPr="00DE3BDE" w:rsidR="00270E9E">
              <w:rPr>
                <w:rFonts w:ascii="Times New Roman" w:hAnsi="Times New Roman" w:eastAsia="Times New Roman" w:cs="Times New Roman"/>
                <w:color w:val="000000" w:themeColor="text1"/>
                <w:sz w:val="16"/>
                <w:szCs w:val="16"/>
              </w:rPr>
              <w:t>120</w:t>
            </w:r>
            <w:r w:rsidR="0052631A">
              <w:rPr>
                <w:rFonts w:ascii="Times New Roman" w:hAnsi="Times New Roman" w:eastAsia="Times New Roman" w:cs="Times New Roman"/>
                <w:color w:val="000000" w:themeColor="text1"/>
                <w:sz w:val="16"/>
                <w:szCs w:val="16"/>
              </w:rPr>
              <w:t xml:space="preserve"> minutes per </w:t>
            </w:r>
            <w:r w:rsidRPr="00DE3BDE">
              <w:rPr>
                <w:rFonts w:ascii="Times New Roman" w:hAnsi="Times New Roman" w:eastAsia="Times New Roman" w:cs="Times New Roman"/>
                <w:color w:val="000000" w:themeColor="text1"/>
                <w:sz w:val="16"/>
                <w:szCs w:val="16"/>
              </w:rPr>
              <w:t>response)</w:t>
            </w:r>
          </w:p>
          <w:p w:rsidRPr="00EF365B" w:rsidR="00A46399" w:rsidP="00FC6E82" w:rsidRDefault="00A46399" w14:paraId="0A5F1721" w14:textId="77777777">
            <w:pPr>
              <w:spacing w:after="0" w:line="240" w:lineRule="auto"/>
              <w:contextualSpacing/>
              <w:rPr>
                <w:rFonts w:ascii="Times New Roman" w:hAnsi="Times New Roman" w:eastAsia="Times New Roman" w:cs="Times New Roman"/>
                <w:color w:val="000000" w:themeColor="text1"/>
                <w:sz w:val="20"/>
                <w:szCs w:val="20"/>
              </w:rPr>
            </w:pPr>
            <w:r w:rsidRPr="00DE3BDE">
              <w:rPr>
                <w:rFonts w:ascii="Times New Roman" w:hAnsi="Times New Roman" w:eastAsia="Times New Roman" w:cs="Times New Roman"/>
                <w:b/>
                <w:color w:val="000000" w:themeColor="text1"/>
                <w:sz w:val="16"/>
                <w:szCs w:val="16"/>
              </w:rPr>
              <w:t>Total Form Completion Burden (Hours):</w:t>
            </w:r>
            <w:r w:rsidRPr="00DE3BDE" w:rsidR="00270E9E">
              <w:rPr>
                <w:rFonts w:ascii="Times New Roman" w:hAnsi="Times New Roman" w:eastAsia="Times New Roman" w:cs="Times New Roman"/>
                <w:color w:val="000000" w:themeColor="text1"/>
                <w:sz w:val="16"/>
                <w:szCs w:val="16"/>
              </w:rPr>
              <w:t xml:space="preserve">  </w:t>
            </w:r>
            <w:r w:rsidRPr="00DE3BDE" w:rsidR="002E6E28">
              <w:rPr>
                <w:rFonts w:ascii="Times New Roman" w:hAnsi="Times New Roman" w:eastAsia="Times New Roman" w:cs="Times New Roman"/>
                <w:color w:val="000000" w:themeColor="text1"/>
                <w:sz w:val="16"/>
                <w:szCs w:val="16"/>
              </w:rPr>
              <w:t>1</w:t>
            </w:r>
            <w:r w:rsidRPr="00DE3BDE" w:rsidR="00B54F52">
              <w:rPr>
                <w:rFonts w:ascii="Times New Roman" w:hAnsi="Times New Roman" w:eastAsia="Times New Roman" w:cs="Times New Roman"/>
                <w:color w:val="000000" w:themeColor="text1"/>
                <w:sz w:val="16"/>
                <w:szCs w:val="16"/>
              </w:rPr>
              <w:t>91,894</w:t>
            </w:r>
            <w:r w:rsidRPr="00DE3BDE">
              <w:rPr>
                <w:rFonts w:ascii="Times New Roman" w:hAnsi="Times New Roman" w:eastAsia="Times New Roman" w:cs="Times New Roman"/>
                <w:color w:val="000000" w:themeColor="text1"/>
                <w:sz w:val="16"/>
                <w:szCs w:val="16"/>
              </w:rPr>
              <w:t xml:space="preserve"> hours (Column E = Column D/60 minutes per hour)</w:t>
            </w:r>
          </w:p>
        </w:tc>
      </w:tr>
      <w:tr w:rsidRPr="0065486C" w:rsidR="00CB18ED" w:rsidTr="0009437D" w14:paraId="02F2C34E" w14:textId="77777777">
        <w:trPr>
          <w:gridAfter w:val="4"/>
          <w:wAfter w:w="6945" w:type="dxa"/>
          <w:trHeight w:val="288"/>
        </w:trPr>
        <w:tc>
          <w:tcPr>
            <w:tcW w:w="1785" w:type="dxa"/>
            <w:gridSpan w:val="2"/>
            <w:tcBorders>
              <w:left w:val="nil"/>
            </w:tcBorders>
            <w:vAlign w:val="bottom"/>
          </w:tcPr>
          <w:p w:rsidRPr="0065486C" w:rsidR="00A46399" w:rsidP="00FC6E82" w:rsidRDefault="00A46399" w14:paraId="680A4E5D" w14:textId="77777777">
            <w:pPr>
              <w:spacing w:after="0" w:line="240" w:lineRule="auto"/>
              <w:contextualSpacing/>
              <w:jc w:val="right"/>
              <w:rPr>
                <w:rFonts w:ascii="Times New Roman" w:hAnsi="Times New Roman" w:eastAsia="Times New Roman" w:cs="Times New Roman"/>
                <w:color w:val="000000" w:themeColor="text1"/>
                <w:sz w:val="24"/>
                <w:szCs w:val="24"/>
              </w:rPr>
            </w:pPr>
          </w:p>
        </w:tc>
      </w:tr>
    </w:tbl>
    <w:p w:rsidRPr="0065486C" w:rsidR="00B54F52" w:rsidP="00FC6E82" w:rsidRDefault="00B54F52" w14:paraId="19219836" w14:textId="77777777">
      <w:pPr>
        <w:pStyle w:val="ListParagraph"/>
        <w:spacing w:after="0" w:line="240" w:lineRule="auto"/>
        <w:rPr>
          <w:rFonts w:ascii="Times New Roman" w:hAnsi="Times New Roman" w:cs="Times New Roman"/>
          <w:color w:val="000000" w:themeColor="text1"/>
          <w:sz w:val="24"/>
          <w:szCs w:val="24"/>
        </w:rPr>
      </w:pPr>
    </w:p>
    <w:p w:rsidR="00B54F52" w:rsidP="00567937" w:rsidRDefault="00567937" w14:paraId="2148DB53" w14:textId="77777777">
      <w:pPr>
        <w:spacing w:after="0" w:line="240" w:lineRule="auto"/>
        <w:ind w:left="720"/>
        <w:contextualSpacing/>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Using 2019 data for participating agencies, t</w:t>
      </w:r>
      <w:r w:rsidRPr="0065486C" w:rsidR="00B54F52">
        <w:rPr>
          <w:rFonts w:ascii="Times New Roman" w:hAnsi="Times New Roman" w:cs="Times New Roman"/>
          <w:color w:val="000000" w:themeColor="text1"/>
          <w:sz w:val="24"/>
          <w:szCs w:val="24"/>
        </w:rPr>
        <w:t>he estimated burden on the respondents for this data collection are shown below.</w:t>
      </w:r>
    </w:p>
    <w:tbl>
      <w:tblPr>
        <w:tblStyle w:val="TableGrid"/>
        <w:tblpPr w:leftFromText="187" w:rightFromText="187" w:vertAnchor="text" w:horzAnchor="page" w:tblpX="2881" w:tblpY="181"/>
        <w:tblW w:w="0" w:type="auto"/>
        <w:tblBorders>
          <w:top w:val="single" w:color="auto" w:sz="8" w:space="0"/>
          <w:left w:val="none" w:color="auto" w:sz="0" w:space="0"/>
          <w:bottom w:val="single" w:color="auto" w:sz="8" w:space="0"/>
          <w:right w:val="none" w:color="auto" w:sz="0" w:space="0"/>
          <w:insideH w:val="none" w:color="auto" w:sz="0" w:space="0"/>
          <w:insideV w:val="none" w:color="auto" w:sz="0" w:space="0"/>
        </w:tblBorders>
        <w:tblLook w:val="04A0" w:firstRow="1" w:lastRow="0" w:firstColumn="1" w:lastColumn="0" w:noHBand="0" w:noVBand="1"/>
      </w:tblPr>
      <w:tblGrid>
        <w:gridCol w:w="3055"/>
        <w:gridCol w:w="1625"/>
      </w:tblGrid>
      <w:tr w:rsidR="00FE6DF8" w:rsidTr="00FD0558" w14:paraId="6423D2E7" w14:textId="77777777">
        <w:tc>
          <w:tcPr>
            <w:tcW w:w="3055" w:type="dxa"/>
          </w:tcPr>
          <w:p w:rsidRPr="00F20609" w:rsidR="00FE6DF8" w:rsidP="00FE6DF8" w:rsidRDefault="00FE6DF8" w14:paraId="41168BE5" w14:textId="77777777">
            <w:pPr>
              <w:pStyle w:val="ListParagraph"/>
              <w:ind w:left="0"/>
              <w:rPr>
                <w:rFonts w:ascii="Times New Roman" w:hAnsi="Times New Roman" w:cs="Times New Roman"/>
                <w:b/>
                <w:color w:val="000000" w:themeColor="text1"/>
                <w:sz w:val="20"/>
                <w:szCs w:val="20"/>
              </w:rPr>
            </w:pPr>
            <w:r w:rsidRPr="00F20609">
              <w:rPr>
                <w:rFonts w:ascii="Times New Roman" w:hAnsi="Times New Roman" w:cs="Times New Roman"/>
                <w:b/>
                <w:color w:val="000000" w:themeColor="text1"/>
                <w:sz w:val="20"/>
                <w:szCs w:val="20"/>
              </w:rPr>
              <w:t>Number of respondents:</w:t>
            </w:r>
          </w:p>
        </w:tc>
        <w:tc>
          <w:tcPr>
            <w:tcW w:w="1625" w:type="dxa"/>
          </w:tcPr>
          <w:p w:rsidRPr="00DE3BDE" w:rsidR="00FE6DF8" w:rsidP="00FE6DF8" w:rsidRDefault="00FE6DF8" w14:paraId="3E8D17FA" w14:textId="77777777">
            <w:pPr>
              <w:pStyle w:val="ListParagraph"/>
              <w:ind w:left="0"/>
              <w:rPr>
                <w:rFonts w:ascii="Times New Roman" w:hAnsi="Times New Roman" w:cs="Times New Roman"/>
                <w:color w:val="000000" w:themeColor="text1"/>
                <w:sz w:val="20"/>
                <w:szCs w:val="20"/>
              </w:rPr>
            </w:pPr>
            <w:r w:rsidRPr="00DE3BDE">
              <w:rPr>
                <w:rFonts w:ascii="Times New Roman" w:hAnsi="Times New Roman" w:cs="Times New Roman"/>
                <w:color w:val="000000" w:themeColor="text1"/>
                <w:sz w:val="20"/>
                <w:szCs w:val="20"/>
              </w:rPr>
              <w:t>8,500 agencies</w:t>
            </w:r>
          </w:p>
        </w:tc>
      </w:tr>
      <w:tr w:rsidR="00FE6DF8" w:rsidTr="00FD0558" w14:paraId="245613A4" w14:textId="77777777">
        <w:tc>
          <w:tcPr>
            <w:tcW w:w="3055" w:type="dxa"/>
          </w:tcPr>
          <w:p w:rsidRPr="00F20609" w:rsidR="00FE6DF8" w:rsidP="00FE6DF8" w:rsidRDefault="00FE6DF8" w14:paraId="175EDD13" w14:textId="77777777">
            <w:pPr>
              <w:pStyle w:val="ListParagraph"/>
              <w:ind w:left="0"/>
              <w:rPr>
                <w:rFonts w:ascii="Times New Roman" w:hAnsi="Times New Roman" w:cs="Times New Roman"/>
                <w:b/>
                <w:color w:val="000000" w:themeColor="text1"/>
                <w:sz w:val="20"/>
                <w:szCs w:val="20"/>
              </w:rPr>
            </w:pPr>
            <w:r w:rsidRPr="00F20609">
              <w:rPr>
                <w:rFonts w:ascii="Times New Roman" w:hAnsi="Times New Roman" w:cs="Times New Roman"/>
                <w:b/>
                <w:color w:val="000000" w:themeColor="text1"/>
                <w:sz w:val="20"/>
                <w:szCs w:val="20"/>
              </w:rPr>
              <w:t>Number of non-respondents:</w:t>
            </w:r>
          </w:p>
        </w:tc>
        <w:tc>
          <w:tcPr>
            <w:tcW w:w="1625" w:type="dxa"/>
          </w:tcPr>
          <w:p w:rsidRPr="00DE3BDE" w:rsidR="00FE6DF8" w:rsidP="00FE6DF8" w:rsidRDefault="00FE6DF8" w14:paraId="619233B6" w14:textId="77777777">
            <w:pPr>
              <w:rPr>
                <w:rFonts w:ascii="Times New Roman" w:hAnsi="Times New Roman" w:cs="Times New Roman"/>
                <w:color w:val="000000" w:themeColor="text1"/>
                <w:sz w:val="20"/>
                <w:szCs w:val="20"/>
              </w:rPr>
            </w:pPr>
            <w:r w:rsidRPr="00DE3BDE">
              <w:rPr>
                <w:rFonts w:ascii="Times New Roman" w:hAnsi="Times New Roman" w:cs="Times New Roman"/>
                <w:color w:val="000000" w:themeColor="text1"/>
                <w:sz w:val="20"/>
                <w:szCs w:val="20"/>
              </w:rPr>
              <w:t>713 agencies</w:t>
            </w:r>
          </w:p>
        </w:tc>
      </w:tr>
      <w:tr w:rsidR="00FE6DF8" w:rsidTr="00FD0558" w14:paraId="10FF6E80" w14:textId="77777777">
        <w:tc>
          <w:tcPr>
            <w:tcW w:w="3055" w:type="dxa"/>
          </w:tcPr>
          <w:p w:rsidRPr="00F20609" w:rsidR="00FE6DF8" w:rsidP="00FE6DF8" w:rsidRDefault="00FE6DF8" w14:paraId="220E17AC" w14:textId="77777777">
            <w:pPr>
              <w:pStyle w:val="ListParagraph"/>
              <w:ind w:left="0"/>
              <w:rPr>
                <w:rFonts w:ascii="Times New Roman" w:hAnsi="Times New Roman" w:cs="Times New Roman"/>
                <w:b/>
                <w:color w:val="000000" w:themeColor="text1"/>
                <w:sz w:val="20"/>
                <w:szCs w:val="20"/>
              </w:rPr>
            </w:pPr>
            <w:r w:rsidRPr="00F20609">
              <w:rPr>
                <w:rFonts w:ascii="Times New Roman" w:hAnsi="Times New Roman" w:cs="Times New Roman"/>
                <w:b/>
                <w:color w:val="000000" w:themeColor="text1"/>
                <w:sz w:val="20"/>
                <w:szCs w:val="20"/>
              </w:rPr>
              <w:t>Total annual responses:</w:t>
            </w:r>
          </w:p>
        </w:tc>
        <w:tc>
          <w:tcPr>
            <w:tcW w:w="1625" w:type="dxa"/>
          </w:tcPr>
          <w:p w:rsidRPr="00DE3BDE" w:rsidR="00FE6DF8" w:rsidP="00FE6DF8" w:rsidRDefault="00FE6DF8" w14:paraId="51421531" w14:textId="77777777">
            <w:pPr>
              <w:pStyle w:val="ListParagraph"/>
              <w:ind w:left="0"/>
              <w:rPr>
                <w:rFonts w:ascii="Times New Roman" w:hAnsi="Times New Roman" w:cs="Times New Roman"/>
                <w:color w:val="000000" w:themeColor="text1"/>
                <w:sz w:val="20"/>
                <w:szCs w:val="20"/>
              </w:rPr>
            </w:pPr>
            <w:r w:rsidRPr="00DE3BDE">
              <w:rPr>
                <w:rFonts w:ascii="Times New Roman" w:hAnsi="Times New Roman" w:cs="Times New Roman"/>
                <w:color w:val="000000" w:themeColor="text1"/>
                <w:sz w:val="20"/>
                <w:szCs w:val="20"/>
              </w:rPr>
              <w:t>95,947 responses</w:t>
            </w:r>
          </w:p>
        </w:tc>
      </w:tr>
      <w:tr w:rsidR="00FE6DF8" w:rsidTr="00FD0558" w14:paraId="3D2F6516" w14:textId="77777777">
        <w:tc>
          <w:tcPr>
            <w:tcW w:w="3055" w:type="dxa"/>
          </w:tcPr>
          <w:p w:rsidRPr="00F20609" w:rsidR="00FE6DF8" w:rsidP="00FE6DF8" w:rsidRDefault="00FE6DF8" w14:paraId="659C682E" w14:textId="77777777">
            <w:pPr>
              <w:pStyle w:val="ListParagraph"/>
              <w:ind w:left="0"/>
              <w:rPr>
                <w:rFonts w:ascii="Times New Roman" w:hAnsi="Times New Roman" w:cs="Times New Roman"/>
                <w:b/>
                <w:color w:val="000000" w:themeColor="text1"/>
                <w:sz w:val="20"/>
                <w:szCs w:val="20"/>
              </w:rPr>
            </w:pPr>
            <w:r w:rsidRPr="00F20609">
              <w:rPr>
                <w:rFonts w:ascii="Times New Roman" w:hAnsi="Times New Roman" w:cs="Times New Roman"/>
                <w:b/>
                <w:color w:val="000000" w:themeColor="text1"/>
                <w:sz w:val="20"/>
                <w:szCs w:val="20"/>
              </w:rPr>
              <w:t>Time per response:</w:t>
            </w:r>
          </w:p>
        </w:tc>
        <w:tc>
          <w:tcPr>
            <w:tcW w:w="1625" w:type="dxa"/>
          </w:tcPr>
          <w:p w:rsidRPr="00DE3BDE" w:rsidR="00FE6DF8" w:rsidP="00FE6DF8" w:rsidRDefault="00FE6DF8" w14:paraId="3CF00D3B" w14:textId="77777777">
            <w:pPr>
              <w:pStyle w:val="ListParagraph"/>
              <w:ind w:left="0"/>
              <w:rPr>
                <w:rFonts w:ascii="Times New Roman" w:hAnsi="Times New Roman" w:cs="Times New Roman"/>
                <w:color w:val="000000" w:themeColor="text1"/>
                <w:sz w:val="20"/>
                <w:szCs w:val="20"/>
              </w:rPr>
            </w:pPr>
            <w:r w:rsidRPr="00DE3BDE">
              <w:rPr>
                <w:rFonts w:ascii="Times New Roman" w:hAnsi="Times New Roman" w:cs="Times New Roman"/>
                <w:color w:val="000000" w:themeColor="text1"/>
                <w:sz w:val="20"/>
                <w:szCs w:val="20"/>
              </w:rPr>
              <w:t>120 minutes</w:t>
            </w:r>
          </w:p>
        </w:tc>
      </w:tr>
      <w:tr w:rsidR="00FE6DF8" w:rsidTr="00FD0558" w14:paraId="0309B74C" w14:textId="77777777">
        <w:tc>
          <w:tcPr>
            <w:tcW w:w="3055" w:type="dxa"/>
          </w:tcPr>
          <w:p w:rsidRPr="00F20609" w:rsidR="00FE6DF8" w:rsidP="00FE6DF8" w:rsidRDefault="00FE6DF8" w14:paraId="0B89BB5E" w14:textId="77777777">
            <w:pPr>
              <w:pStyle w:val="ListParagraph"/>
              <w:ind w:left="0"/>
              <w:rPr>
                <w:rFonts w:ascii="Times New Roman" w:hAnsi="Times New Roman" w:cs="Times New Roman"/>
                <w:b/>
                <w:color w:val="000000" w:themeColor="text1"/>
                <w:sz w:val="20"/>
                <w:szCs w:val="20"/>
              </w:rPr>
            </w:pPr>
            <w:r w:rsidRPr="00F20609">
              <w:rPr>
                <w:rFonts w:ascii="Times New Roman" w:hAnsi="Times New Roman" w:cs="Times New Roman"/>
                <w:b/>
                <w:color w:val="000000" w:themeColor="text1"/>
                <w:sz w:val="20"/>
                <w:szCs w:val="20"/>
              </w:rPr>
              <w:t>Annual burden:</w:t>
            </w:r>
          </w:p>
        </w:tc>
        <w:tc>
          <w:tcPr>
            <w:tcW w:w="1625" w:type="dxa"/>
          </w:tcPr>
          <w:p w:rsidRPr="00DE3BDE" w:rsidR="00FE6DF8" w:rsidP="00FE6DF8" w:rsidRDefault="00FE6DF8" w14:paraId="2EAD9412" w14:textId="77777777">
            <w:pPr>
              <w:pStyle w:val="ListParagraph"/>
              <w:ind w:left="0"/>
              <w:rPr>
                <w:rFonts w:ascii="Times New Roman" w:hAnsi="Times New Roman" w:cs="Times New Roman"/>
                <w:color w:val="000000" w:themeColor="text1"/>
                <w:sz w:val="20"/>
                <w:szCs w:val="20"/>
              </w:rPr>
            </w:pPr>
            <w:r w:rsidRPr="00DE3BDE">
              <w:rPr>
                <w:rFonts w:ascii="Times New Roman" w:hAnsi="Times New Roman" w:cs="Times New Roman"/>
                <w:color w:val="000000" w:themeColor="text1"/>
                <w:sz w:val="20"/>
                <w:szCs w:val="20"/>
              </w:rPr>
              <w:t>191,894 hours</w:t>
            </w:r>
          </w:p>
        </w:tc>
      </w:tr>
    </w:tbl>
    <w:p w:rsidRPr="0065486C" w:rsidR="00567937" w:rsidP="00567937" w:rsidRDefault="00567937" w14:paraId="296FEF7D" w14:textId="77777777">
      <w:pPr>
        <w:spacing w:after="0" w:line="240" w:lineRule="auto"/>
        <w:ind w:left="720"/>
        <w:contextualSpacing/>
        <w:rPr>
          <w:rFonts w:ascii="Times New Roman" w:hAnsi="Times New Roman" w:cs="Times New Roman"/>
          <w:color w:val="000000" w:themeColor="text1"/>
          <w:sz w:val="24"/>
          <w:szCs w:val="24"/>
        </w:rPr>
      </w:pPr>
    </w:p>
    <w:p w:rsidR="00DE3BDE" w:rsidP="00FC6E82" w:rsidRDefault="00DE3BDE" w14:paraId="7194DBDC" w14:textId="77777777">
      <w:pPr>
        <w:pStyle w:val="ListParagraph"/>
        <w:spacing w:after="0" w:line="240" w:lineRule="auto"/>
        <w:rPr>
          <w:rFonts w:ascii="Times New Roman" w:hAnsi="Times New Roman" w:cs="Times New Roman"/>
          <w:color w:val="000000" w:themeColor="text1"/>
          <w:sz w:val="24"/>
          <w:szCs w:val="24"/>
        </w:rPr>
      </w:pPr>
    </w:p>
    <w:p w:rsidRPr="0065486C" w:rsidR="00DE3BDE" w:rsidP="00FC6E82" w:rsidRDefault="00DE3BDE" w14:paraId="769D0D3C" w14:textId="77777777">
      <w:pPr>
        <w:pStyle w:val="ListParagraph"/>
        <w:spacing w:after="0" w:line="240" w:lineRule="auto"/>
        <w:rPr>
          <w:rFonts w:ascii="Times New Roman" w:hAnsi="Times New Roman" w:cs="Times New Roman"/>
          <w:color w:val="000000" w:themeColor="text1"/>
          <w:sz w:val="24"/>
          <w:szCs w:val="24"/>
        </w:rPr>
      </w:pPr>
    </w:p>
    <w:p w:rsidR="006F05A3" w:rsidP="00FC6E82" w:rsidRDefault="006F05A3" w14:paraId="54CD245A" w14:textId="77777777">
      <w:pPr>
        <w:spacing w:after="0" w:line="240" w:lineRule="auto"/>
        <w:rPr>
          <w:rFonts w:ascii="Times New Roman" w:hAnsi="Times New Roman" w:cs="Times New Roman"/>
          <w:color w:val="000000" w:themeColor="text1"/>
          <w:sz w:val="24"/>
          <w:szCs w:val="24"/>
        </w:rPr>
      </w:pPr>
    </w:p>
    <w:p w:rsidR="006F05A3" w:rsidP="00FC6E82" w:rsidRDefault="006F05A3" w14:paraId="1231BE67" w14:textId="77777777">
      <w:pPr>
        <w:spacing w:after="0" w:line="240" w:lineRule="auto"/>
        <w:rPr>
          <w:rFonts w:ascii="Times New Roman" w:hAnsi="Times New Roman" w:cs="Times New Roman"/>
          <w:color w:val="000000" w:themeColor="text1"/>
          <w:sz w:val="24"/>
          <w:szCs w:val="24"/>
        </w:rPr>
      </w:pPr>
    </w:p>
    <w:p w:rsidRPr="00782B18" w:rsidR="006F05A3" w:rsidP="00FC6E82" w:rsidRDefault="006F05A3" w14:paraId="36FEB5B0" w14:textId="77777777">
      <w:pPr>
        <w:spacing w:after="0" w:line="240" w:lineRule="auto"/>
        <w:rPr>
          <w:rFonts w:ascii="Times New Roman" w:hAnsi="Times New Roman" w:cs="Times New Roman"/>
          <w:color w:val="000000" w:themeColor="text1"/>
          <w:sz w:val="24"/>
          <w:szCs w:val="24"/>
        </w:rPr>
      </w:pPr>
    </w:p>
    <w:p w:rsidRPr="00EF365B" w:rsidR="00B54F52" w:rsidP="00FC6E82" w:rsidRDefault="00782B18" w14:paraId="7263C22E" w14:textId="77777777">
      <w:pPr>
        <w:spacing w:after="0" w:line="240" w:lineRule="auto"/>
        <w:ind w:left="72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An additional 300 </w:t>
      </w:r>
      <w:r w:rsidR="00FE6DF8">
        <w:rPr>
          <w:rFonts w:ascii="Times New Roman" w:hAnsi="Times New Roman" w:cs="Times New Roman"/>
          <w:color w:val="000000" w:themeColor="text1"/>
          <w:sz w:val="24"/>
          <w:szCs w:val="24"/>
        </w:rPr>
        <w:t xml:space="preserve">burden </w:t>
      </w:r>
      <w:r>
        <w:rPr>
          <w:rFonts w:ascii="Times New Roman" w:hAnsi="Times New Roman" w:cs="Times New Roman"/>
          <w:color w:val="000000" w:themeColor="text1"/>
          <w:sz w:val="24"/>
          <w:szCs w:val="24"/>
        </w:rPr>
        <w:t>hours will be added for s</w:t>
      </w:r>
      <w:r w:rsidRPr="00EF365B" w:rsidR="00B54F52">
        <w:rPr>
          <w:rFonts w:ascii="Times New Roman" w:hAnsi="Times New Roman" w:cs="Times New Roman"/>
          <w:color w:val="000000" w:themeColor="text1"/>
          <w:sz w:val="24"/>
          <w:szCs w:val="24"/>
        </w:rPr>
        <w:t xml:space="preserve">tate </w:t>
      </w:r>
      <w:r w:rsidR="0052631A">
        <w:rPr>
          <w:rFonts w:ascii="Times New Roman" w:hAnsi="Times New Roman" w:cs="Times New Roman"/>
          <w:color w:val="000000" w:themeColor="text1"/>
          <w:sz w:val="24"/>
          <w:szCs w:val="24"/>
        </w:rPr>
        <w:t xml:space="preserve">UCR </w:t>
      </w:r>
      <w:r>
        <w:rPr>
          <w:rFonts w:ascii="Times New Roman" w:hAnsi="Times New Roman" w:cs="Times New Roman"/>
          <w:color w:val="000000" w:themeColor="text1"/>
          <w:sz w:val="24"/>
          <w:szCs w:val="24"/>
        </w:rPr>
        <w:t>p</w:t>
      </w:r>
      <w:r w:rsidR="00FE6DF8">
        <w:rPr>
          <w:rFonts w:ascii="Times New Roman" w:hAnsi="Times New Roman" w:cs="Times New Roman"/>
          <w:color w:val="000000" w:themeColor="text1"/>
          <w:sz w:val="24"/>
          <w:szCs w:val="24"/>
        </w:rPr>
        <w:t>rogram and local LEA o</w:t>
      </w:r>
      <w:r w:rsidR="00F34D86">
        <w:rPr>
          <w:rFonts w:ascii="Times New Roman" w:hAnsi="Times New Roman" w:cs="Times New Roman"/>
          <w:color w:val="000000" w:themeColor="text1"/>
          <w:sz w:val="24"/>
          <w:szCs w:val="24"/>
        </w:rPr>
        <w:t>utreach.</w:t>
      </w:r>
    </w:p>
    <w:tbl>
      <w:tblPr>
        <w:tblStyle w:val="TableGrid"/>
        <w:tblpPr w:leftFromText="187" w:rightFromText="187" w:vertAnchor="text" w:horzAnchor="page" w:tblpX="2881" w:tblpY="231"/>
        <w:tblW w:w="0" w:type="auto"/>
        <w:tblBorders>
          <w:top w:val="single" w:color="auto" w:sz="8" w:space="0"/>
          <w:left w:val="none" w:color="auto" w:sz="0" w:space="0"/>
          <w:bottom w:val="single" w:color="auto" w:sz="8" w:space="0"/>
          <w:right w:val="none" w:color="auto" w:sz="0" w:space="0"/>
          <w:insideH w:val="none" w:color="auto" w:sz="0" w:space="0"/>
          <w:insideV w:val="none" w:color="auto" w:sz="0" w:space="0"/>
        </w:tblBorders>
        <w:tblLook w:val="04A0" w:firstRow="1" w:lastRow="0" w:firstColumn="1" w:lastColumn="0" w:noHBand="0" w:noVBand="1"/>
      </w:tblPr>
      <w:tblGrid>
        <w:gridCol w:w="3060"/>
        <w:gridCol w:w="1620"/>
      </w:tblGrid>
      <w:tr w:rsidR="006F05A3" w:rsidTr="00F20609" w14:paraId="57EA252A" w14:textId="77777777">
        <w:tc>
          <w:tcPr>
            <w:tcW w:w="3060" w:type="dxa"/>
          </w:tcPr>
          <w:p w:rsidRPr="00F20609" w:rsidR="006F05A3" w:rsidP="00FC6E82" w:rsidRDefault="006F05A3" w14:paraId="0CC2DDE2" w14:textId="77777777">
            <w:pPr>
              <w:pStyle w:val="ListParagraph"/>
              <w:ind w:left="0"/>
              <w:rPr>
                <w:rFonts w:ascii="Times New Roman" w:hAnsi="Times New Roman" w:cs="Times New Roman"/>
                <w:b/>
                <w:color w:val="000000" w:themeColor="text1"/>
                <w:sz w:val="20"/>
                <w:szCs w:val="20"/>
              </w:rPr>
            </w:pPr>
            <w:r w:rsidRPr="00F20609">
              <w:rPr>
                <w:rFonts w:ascii="Times New Roman" w:hAnsi="Times New Roman" w:cs="Times New Roman"/>
                <w:b/>
                <w:color w:val="000000" w:themeColor="text1"/>
                <w:sz w:val="20"/>
                <w:szCs w:val="20"/>
              </w:rPr>
              <w:t>Number of respondents:</w:t>
            </w:r>
          </w:p>
        </w:tc>
        <w:tc>
          <w:tcPr>
            <w:tcW w:w="1620" w:type="dxa"/>
          </w:tcPr>
          <w:p w:rsidRPr="006F05A3" w:rsidR="006F05A3" w:rsidP="00FC6E82" w:rsidRDefault="006F05A3" w14:paraId="258812FF" w14:textId="77777777">
            <w:pPr>
              <w:rPr>
                <w:rFonts w:ascii="Times New Roman" w:hAnsi="Times New Roman" w:cs="Times New Roman"/>
                <w:color w:val="000000" w:themeColor="text1"/>
                <w:sz w:val="20"/>
                <w:szCs w:val="20"/>
              </w:rPr>
            </w:pPr>
            <w:r w:rsidRPr="006F05A3">
              <w:rPr>
                <w:rFonts w:ascii="Times New Roman" w:hAnsi="Times New Roman" w:cs="Times New Roman"/>
                <w:color w:val="000000" w:themeColor="text1"/>
                <w:sz w:val="20"/>
                <w:szCs w:val="20"/>
              </w:rPr>
              <w:t>100</w:t>
            </w:r>
            <w:r w:rsidR="0052631A">
              <w:rPr>
                <w:rFonts w:ascii="Times New Roman" w:hAnsi="Times New Roman" w:cs="Times New Roman"/>
                <w:color w:val="000000" w:themeColor="text1"/>
                <w:sz w:val="20"/>
                <w:szCs w:val="20"/>
              </w:rPr>
              <w:t xml:space="preserve"> respondents</w:t>
            </w:r>
          </w:p>
        </w:tc>
      </w:tr>
      <w:tr w:rsidR="006F05A3" w:rsidTr="00F20609" w14:paraId="26565397" w14:textId="77777777">
        <w:tc>
          <w:tcPr>
            <w:tcW w:w="3060" w:type="dxa"/>
          </w:tcPr>
          <w:p w:rsidRPr="00F20609" w:rsidR="006F05A3" w:rsidP="00FC6E82" w:rsidRDefault="006F05A3" w14:paraId="4E6A87E9" w14:textId="77777777">
            <w:pPr>
              <w:pStyle w:val="ListParagraph"/>
              <w:ind w:left="0"/>
              <w:rPr>
                <w:rFonts w:ascii="Times New Roman" w:hAnsi="Times New Roman" w:cs="Times New Roman"/>
                <w:b/>
                <w:color w:val="000000" w:themeColor="text1"/>
                <w:sz w:val="20"/>
                <w:szCs w:val="20"/>
              </w:rPr>
            </w:pPr>
            <w:r w:rsidRPr="00F20609">
              <w:rPr>
                <w:rFonts w:ascii="Times New Roman" w:hAnsi="Times New Roman" w:cs="Times New Roman"/>
                <w:b/>
                <w:color w:val="000000" w:themeColor="text1"/>
                <w:sz w:val="20"/>
                <w:szCs w:val="20"/>
              </w:rPr>
              <w:t>Frequency of responses:</w:t>
            </w:r>
          </w:p>
        </w:tc>
        <w:tc>
          <w:tcPr>
            <w:tcW w:w="1620" w:type="dxa"/>
          </w:tcPr>
          <w:p w:rsidRPr="006F05A3" w:rsidR="006F05A3" w:rsidP="00FC6E82" w:rsidRDefault="006F05A3" w14:paraId="351644AC" w14:textId="77777777">
            <w:pPr>
              <w:rPr>
                <w:rFonts w:ascii="Times New Roman" w:hAnsi="Times New Roman" w:cs="Times New Roman"/>
                <w:color w:val="000000" w:themeColor="text1"/>
                <w:sz w:val="20"/>
                <w:szCs w:val="20"/>
              </w:rPr>
            </w:pPr>
            <w:r w:rsidRPr="006F05A3">
              <w:rPr>
                <w:rFonts w:ascii="Times New Roman" w:hAnsi="Times New Roman" w:cs="Times New Roman"/>
                <w:color w:val="000000" w:themeColor="text1"/>
                <w:sz w:val="20"/>
                <w:szCs w:val="20"/>
              </w:rPr>
              <w:t>Varies</w:t>
            </w:r>
          </w:p>
        </w:tc>
      </w:tr>
      <w:tr w:rsidR="006F05A3" w:rsidTr="00F20609" w14:paraId="553F6089" w14:textId="77777777">
        <w:tc>
          <w:tcPr>
            <w:tcW w:w="3060" w:type="dxa"/>
          </w:tcPr>
          <w:p w:rsidRPr="00F20609" w:rsidR="006F05A3" w:rsidP="00FC6E82" w:rsidRDefault="0052631A" w14:paraId="6E977F52" w14:textId="77777777">
            <w:pPr>
              <w:pStyle w:val="ListParagraph"/>
              <w:ind w:left="0"/>
              <w:rPr>
                <w:rFonts w:ascii="Times New Roman" w:hAnsi="Times New Roman" w:cs="Times New Roman"/>
                <w:b/>
                <w:color w:val="000000" w:themeColor="text1"/>
                <w:sz w:val="20"/>
                <w:szCs w:val="20"/>
              </w:rPr>
            </w:pPr>
            <w:r w:rsidRPr="00F20609">
              <w:rPr>
                <w:rFonts w:ascii="Times New Roman" w:hAnsi="Times New Roman" w:cs="Times New Roman"/>
                <w:b/>
                <w:color w:val="000000" w:themeColor="text1"/>
                <w:sz w:val="20"/>
                <w:szCs w:val="20"/>
              </w:rPr>
              <w:t>Time</w:t>
            </w:r>
            <w:r w:rsidRPr="00F20609" w:rsidR="006F05A3">
              <w:rPr>
                <w:rFonts w:ascii="Times New Roman" w:hAnsi="Times New Roman" w:cs="Times New Roman"/>
                <w:b/>
                <w:color w:val="000000" w:themeColor="text1"/>
                <w:sz w:val="20"/>
                <w:szCs w:val="20"/>
              </w:rPr>
              <w:t xml:space="preserve"> per response:</w:t>
            </w:r>
          </w:p>
        </w:tc>
        <w:tc>
          <w:tcPr>
            <w:tcW w:w="1620" w:type="dxa"/>
          </w:tcPr>
          <w:p w:rsidRPr="006F05A3" w:rsidR="006F05A3" w:rsidP="00FC6E82" w:rsidRDefault="006F05A3" w14:paraId="780CFE9D" w14:textId="77777777">
            <w:pPr>
              <w:pStyle w:val="ListParagraph"/>
              <w:ind w:left="0"/>
              <w:rPr>
                <w:rFonts w:ascii="Times New Roman" w:hAnsi="Times New Roman" w:cs="Times New Roman"/>
                <w:color w:val="000000" w:themeColor="text1"/>
                <w:sz w:val="20"/>
                <w:szCs w:val="20"/>
              </w:rPr>
            </w:pPr>
            <w:r w:rsidRPr="006F05A3">
              <w:rPr>
                <w:rFonts w:ascii="Times New Roman" w:hAnsi="Times New Roman" w:cs="Times New Roman"/>
                <w:color w:val="000000" w:themeColor="text1"/>
                <w:sz w:val="20"/>
                <w:szCs w:val="20"/>
              </w:rPr>
              <w:t>180</w:t>
            </w:r>
            <w:r w:rsidR="004C191E">
              <w:rPr>
                <w:rFonts w:ascii="Times New Roman" w:hAnsi="Times New Roman" w:cs="Times New Roman"/>
                <w:color w:val="000000" w:themeColor="text1"/>
                <w:sz w:val="20"/>
                <w:szCs w:val="20"/>
              </w:rPr>
              <w:t xml:space="preserve"> minutes</w:t>
            </w:r>
          </w:p>
        </w:tc>
      </w:tr>
      <w:tr w:rsidR="006F05A3" w:rsidTr="00F20609" w14:paraId="277B7FB5" w14:textId="77777777">
        <w:tc>
          <w:tcPr>
            <w:tcW w:w="3060" w:type="dxa"/>
          </w:tcPr>
          <w:p w:rsidRPr="00F20609" w:rsidR="006F05A3" w:rsidP="00FC6E82" w:rsidRDefault="006F05A3" w14:paraId="02629A1B" w14:textId="77777777">
            <w:pPr>
              <w:pStyle w:val="ListParagraph"/>
              <w:ind w:left="0"/>
              <w:rPr>
                <w:rFonts w:ascii="Times New Roman" w:hAnsi="Times New Roman" w:cs="Times New Roman"/>
                <w:b/>
                <w:color w:val="000000" w:themeColor="text1"/>
                <w:sz w:val="20"/>
                <w:szCs w:val="20"/>
              </w:rPr>
            </w:pPr>
            <w:r w:rsidRPr="00F20609">
              <w:rPr>
                <w:rFonts w:ascii="Times New Roman" w:hAnsi="Times New Roman" w:cs="Times New Roman"/>
                <w:b/>
                <w:color w:val="000000" w:themeColor="text1"/>
                <w:sz w:val="20"/>
                <w:szCs w:val="20"/>
              </w:rPr>
              <w:t>Annual burden:</w:t>
            </w:r>
          </w:p>
        </w:tc>
        <w:tc>
          <w:tcPr>
            <w:tcW w:w="1620" w:type="dxa"/>
          </w:tcPr>
          <w:p w:rsidRPr="006F05A3" w:rsidR="006F05A3" w:rsidP="00FC6E82" w:rsidRDefault="006F05A3" w14:paraId="0FF8867C" w14:textId="77777777">
            <w:pPr>
              <w:pStyle w:val="ListParagraph"/>
              <w:ind w:left="0"/>
              <w:rPr>
                <w:rFonts w:ascii="Times New Roman" w:hAnsi="Times New Roman" w:cs="Times New Roman"/>
                <w:color w:val="000000" w:themeColor="text1"/>
                <w:sz w:val="20"/>
                <w:szCs w:val="20"/>
              </w:rPr>
            </w:pPr>
            <w:r w:rsidRPr="006F05A3">
              <w:rPr>
                <w:rFonts w:ascii="Times New Roman" w:hAnsi="Times New Roman" w:cs="Times New Roman"/>
                <w:color w:val="000000" w:themeColor="text1"/>
                <w:sz w:val="20"/>
                <w:szCs w:val="20"/>
              </w:rPr>
              <w:t>300 hours</w:t>
            </w:r>
          </w:p>
        </w:tc>
      </w:tr>
    </w:tbl>
    <w:p w:rsidR="00EF365B" w:rsidP="00FC6E82" w:rsidRDefault="00EF365B" w14:paraId="30D7AA69" w14:textId="77777777">
      <w:pPr>
        <w:pStyle w:val="ListParagraph"/>
        <w:spacing w:after="0" w:line="240" w:lineRule="auto"/>
        <w:rPr>
          <w:rFonts w:ascii="Times New Roman" w:hAnsi="Times New Roman" w:cs="Times New Roman"/>
          <w:color w:val="000000" w:themeColor="text1"/>
          <w:sz w:val="24"/>
          <w:szCs w:val="24"/>
        </w:rPr>
      </w:pPr>
    </w:p>
    <w:p w:rsidRPr="006F05A3" w:rsidR="00B54F52" w:rsidP="00FC6E82" w:rsidRDefault="00B54F52" w14:paraId="7196D064" w14:textId="77777777">
      <w:pPr>
        <w:spacing w:after="0" w:line="240" w:lineRule="auto"/>
        <w:rPr>
          <w:rFonts w:ascii="Times New Roman" w:hAnsi="Times New Roman" w:cs="Times New Roman"/>
          <w:color w:val="000000" w:themeColor="text1"/>
          <w:sz w:val="24"/>
          <w:szCs w:val="24"/>
        </w:rPr>
      </w:pPr>
    </w:p>
    <w:p w:rsidRPr="0065486C" w:rsidR="00B54F52" w:rsidP="00FC6E82" w:rsidRDefault="00B54F52" w14:paraId="34FF1C98" w14:textId="77777777">
      <w:pPr>
        <w:pStyle w:val="ListParagraph"/>
        <w:spacing w:after="0" w:line="240" w:lineRule="auto"/>
        <w:rPr>
          <w:rFonts w:ascii="Times New Roman" w:hAnsi="Times New Roman" w:cs="Times New Roman"/>
          <w:color w:val="000000" w:themeColor="text1"/>
          <w:sz w:val="24"/>
          <w:szCs w:val="24"/>
        </w:rPr>
      </w:pPr>
    </w:p>
    <w:p w:rsidR="006F05A3" w:rsidP="00FC6E82" w:rsidRDefault="006F05A3" w14:paraId="6D072C0D" w14:textId="77777777">
      <w:pPr>
        <w:pStyle w:val="ListParagraph"/>
        <w:spacing w:after="0" w:line="240" w:lineRule="auto"/>
        <w:rPr>
          <w:rFonts w:ascii="Times New Roman" w:hAnsi="Times New Roman" w:cs="Times New Roman"/>
          <w:color w:val="000000" w:themeColor="text1"/>
          <w:sz w:val="24"/>
          <w:szCs w:val="24"/>
        </w:rPr>
      </w:pPr>
    </w:p>
    <w:p w:rsidR="006F05A3" w:rsidP="00FC6E82" w:rsidRDefault="006F05A3" w14:paraId="48A21919" w14:textId="77777777">
      <w:pPr>
        <w:pStyle w:val="ListParagraph"/>
        <w:spacing w:after="0" w:line="240" w:lineRule="auto"/>
        <w:rPr>
          <w:rFonts w:ascii="Times New Roman" w:hAnsi="Times New Roman" w:cs="Times New Roman"/>
          <w:color w:val="000000" w:themeColor="text1"/>
          <w:sz w:val="24"/>
          <w:szCs w:val="24"/>
        </w:rPr>
      </w:pPr>
    </w:p>
    <w:p w:rsidR="00FE6DF8" w:rsidP="00FC6E82" w:rsidRDefault="00FE6DF8" w14:paraId="6BD18F9B" w14:textId="77777777">
      <w:pPr>
        <w:pStyle w:val="ListParagraph"/>
        <w:spacing w:after="0" w:line="240" w:lineRule="auto"/>
        <w:rPr>
          <w:rFonts w:ascii="Times New Roman" w:hAnsi="Times New Roman" w:cs="Times New Roman"/>
          <w:color w:val="000000" w:themeColor="text1"/>
          <w:sz w:val="24"/>
          <w:szCs w:val="24"/>
        </w:rPr>
      </w:pPr>
    </w:p>
    <w:p w:rsidRPr="0065486C" w:rsidR="00B54F52" w:rsidP="00FC6E82" w:rsidRDefault="00B54F52" w14:paraId="43955DB2" w14:textId="77777777">
      <w:pPr>
        <w:pStyle w:val="ListParagraph"/>
        <w:spacing w:after="0" w:line="240" w:lineRule="auto"/>
        <w:rPr>
          <w:rFonts w:ascii="Times New Roman" w:hAnsi="Times New Roman" w:cs="Times New Roman"/>
          <w:color w:val="000000" w:themeColor="text1"/>
          <w:sz w:val="24"/>
          <w:szCs w:val="24"/>
        </w:rPr>
      </w:pPr>
      <w:r w:rsidRPr="0065486C">
        <w:rPr>
          <w:rFonts w:ascii="Times New Roman" w:hAnsi="Times New Roman" w:cs="Times New Roman"/>
          <w:color w:val="000000" w:themeColor="text1"/>
          <w:sz w:val="24"/>
          <w:szCs w:val="24"/>
        </w:rPr>
        <w:t>Total Annual Burden:</w:t>
      </w:r>
      <w:r w:rsidR="006F05A3">
        <w:rPr>
          <w:rFonts w:ascii="Times New Roman" w:hAnsi="Times New Roman" w:cs="Times New Roman"/>
          <w:color w:val="000000" w:themeColor="text1"/>
          <w:sz w:val="24"/>
          <w:szCs w:val="24"/>
        </w:rPr>
        <w:t xml:space="preserve">  </w:t>
      </w:r>
      <w:r w:rsidRPr="0065486C">
        <w:rPr>
          <w:rFonts w:ascii="Times New Roman" w:hAnsi="Times New Roman" w:cs="Times New Roman"/>
          <w:color w:val="000000" w:themeColor="text1"/>
          <w:sz w:val="24"/>
          <w:szCs w:val="24"/>
        </w:rPr>
        <w:t>192,194 hours</w:t>
      </w:r>
      <w:r w:rsidR="004C191E">
        <w:rPr>
          <w:rFonts w:ascii="Times New Roman" w:hAnsi="Times New Roman" w:cs="Times New Roman"/>
          <w:color w:val="000000" w:themeColor="text1"/>
          <w:sz w:val="24"/>
          <w:szCs w:val="24"/>
        </w:rPr>
        <w:t xml:space="preserve"> (191,894 hours + 300 hours)</w:t>
      </w:r>
    </w:p>
    <w:p w:rsidR="00FE6DF8" w:rsidP="00FE6DF8" w:rsidRDefault="00FE6DF8" w14:paraId="238601FE" w14:textId="77777777">
      <w:pPr>
        <w:spacing w:after="0" w:line="240" w:lineRule="auto"/>
        <w:ind w:left="720" w:right="-90"/>
        <w:rPr>
          <w:rFonts w:ascii="Times New Roman" w:hAnsi="Times New Roman" w:cs="Times New Roman"/>
          <w:color w:val="000000" w:themeColor="text1"/>
          <w:sz w:val="24"/>
          <w:szCs w:val="24"/>
        </w:rPr>
      </w:pPr>
    </w:p>
    <w:p w:rsidR="00EF365B" w:rsidP="00FE6DF8" w:rsidRDefault="00FE6DF8" w14:paraId="747356AC" w14:textId="77777777">
      <w:pPr>
        <w:spacing w:after="0" w:line="240" w:lineRule="auto"/>
        <w:ind w:left="720" w:right="-270"/>
        <w:rPr>
          <w:rFonts w:ascii="Times New Roman" w:hAnsi="Times New Roman" w:cs="Times New Roman"/>
          <w:color w:val="000000" w:themeColor="text1"/>
          <w:sz w:val="24"/>
          <w:szCs w:val="24"/>
        </w:rPr>
      </w:pPr>
      <w:r w:rsidRPr="00782B18">
        <w:rPr>
          <w:rFonts w:ascii="Times New Roman" w:hAnsi="Times New Roman" w:cs="Times New Roman"/>
          <w:color w:val="000000" w:themeColor="text1"/>
          <w:sz w:val="24"/>
          <w:szCs w:val="24"/>
        </w:rPr>
        <w:t>Burden hours are expected to increase as the FBI UCR Program transitions to a NIBRS-only data collection in January 2021 and additional agencies begin submitting data via NIBRS.</w:t>
      </w:r>
      <w:r w:rsidR="00EF365B">
        <w:rPr>
          <w:rFonts w:ascii="Times New Roman" w:hAnsi="Times New Roman" w:cs="Times New Roman"/>
          <w:color w:val="000000" w:themeColor="text1"/>
          <w:sz w:val="24"/>
          <w:szCs w:val="24"/>
        </w:rPr>
        <w:br w:type="page"/>
      </w:r>
    </w:p>
    <w:p w:rsidRPr="0065486C" w:rsidR="00EF365B" w:rsidP="00FC6E82" w:rsidRDefault="000E1B02" w14:paraId="783D79C7" w14:textId="77777777">
      <w:pPr>
        <w:pStyle w:val="ListParagraph"/>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lastRenderedPageBreak/>
        <w:t xml:space="preserve">The </w:t>
      </w:r>
      <w:r w:rsidRPr="0065486C" w:rsidR="00EF365B">
        <w:rPr>
          <w:rFonts w:ascii="Times New Roman" w:hAnsi="Times New Roman" w:cs="Times New Roman"/>
          <w:color w:val="000000" w:themeColor="text1"/>
          <w:sz w:val="24"/>
          <w:szCs w:val="24"/>
        </w:rPr>
        <w:t xml:space="preserve">NIBRS data are designed to be generated as a byproduct of existing incident-based automated record systems.  An agency can build its own </w:t>
      </w:r>
      <w:r w:rsidR="004C191E">
        <w:rPr>
          <w:rFonts w:ascii="Times New Roman" w:hAnsi="Times New Roman" w:cs="Times New Roman"/>
          <w:color w:val="000000" w:themeColor="text1"/>
          <w:sz w:val="24"/>
          <w:szCs w:val="24"/>
        </w:rPr>
        <w:t>IBR</w:t>
      </w:r>
      <w:r w:rsidRPr="0065486C" w:rsidR="00EF365B">
        <w:rPr>
          <w:rFonts w:ascii="Times New Roman" w:hAnsi="Times New Roman" w:cs="Times New Roman"/>
          <w:color w:val="000000" w:themeColor="text1"/>
          <w:sz w:val="24"/>
          <w:szCs w:val="24"/>
        </w:rPr>
        <w:t xml:space="preserve"> system to suit its individual needs (i.e., it can have a different file structure than t</w:t>
      </w:r>
      <w:r w:rsidR="00421817">
        <w:rPr>
          <w:rFonts w:ascii="Times New Roman" w:hAnsi="Times New Roman" w:cs="Times New Roman"/>
          <w:color w:val="000000" w:themeColor="text1"/>
          <w:sz w:val="24"/>
          <w:szCs w:val="24"/>
        </w:rPr>
        <w:t>he FBI</w:t>
      </w:r>
      <w:r w:rsidRPr="0065486C" w:rsidR="00EF365B">
        <w:rPr>
          <w:rFonts w:ascii="Times New Roman" w:hAnsi="Times New Roman" w:cs="Times New Roman"/>
          <w:color w:val="000000" w:themeColor="text1"/>
          <w:sz w:val="24"/>
          <w:szCs w:val="24"/>
        </w:rPr>
        <w:t xml:space="preserve"> UCR Program and include additional data elements and data values).  In preparation for submitting data to the FBI UCR Program, </w:t>
      </w:r>
      <w:r w:rsidR="00421817">
        <w:rPr>
          <w:rFonts w:ascii="Times New Roman" w:hAnsi="Times New Roman" w:cs="Times New Roman"/>
          <w:color w:val="000000" w:themeColor="text1"/>
          <w:sz w:val="24"/>
          <w:szCs w:val="24"/>
        </w:rPr>
        <w:t xml:space="preserve">LEAs participating in NIBRS </w:t>
      </w:r>
      <w:r w:rsidRPr="0065486C" w:rsidR="00EF365B">
        <w:rPr>
          <w:rFonts w:ascii="Times New Roman" w:hAnsi="Times New Roman" w:cs="Times New Roman"/>
          <w:color w:val="000000" w:themeColor="text1"/>
          <w:sz w:val="24"/>
          <w:szCs w:val="24"/>
        </w:rPr>
        <w:t>extract</w:t>
      </w:r>
      <w:r w:rsidR="00421817">
        <w:rPr>
          <w:rFonts w:ascii="Times New Roman" w:hAnsi="Times New Roman" w:cs="Times New Roman"/>
          <w:color w:val="000000" w:themeColor="text1"/>
          <w:sz w:val="24"/>
          <w:szCs w:val="24"/>
        </w:rPr>
        <w:t xml:space="preserve"> only the data required from their</w:t>
      </w:r>
      <w:r w:rsidRPr="0065486C" w:rsidR="00EF365B">
        <w:rPr>
          <w:rFonts w:ascii="Times New Roman" w:hAnsi="Times New Roman" w:cs="Times New Roman"/>
          <w:color w:val="000000" w:themeColor="text1"/>
          <w:sz w:val="24"/>
          <w:szCs w:val="24"/>
        </w:rPr>
        <w:t xml:space="preserve"> IBR system for submission to the FBI.  </w:t>
      </w:r>
    </w:p>
    <w:p w:rsidR="00EF365B" w:rsidP="00FC6E82" w:rsidRDefault="00EF365B" w14:paraId="0F3CABC7" w14:textId="77777777">
      <w:pPr>
        <w:spacing w:after="0" w:line="240" w:lineRule="auto"/>
        <w:ind w:left="720"/>
        <w:contextualSpacing/>
        <w:rPr>
          <w:rFonts w:ascii="Times New Roman" w:hAnsi="Times New Roman" w:cs="Times New Roman"/>
          <w:color w:val="000000" w:themeColor="text1"/>
          <w:sz w:val="24"/>
          <w:szCs w:val="24"/>
        </w:rPr>
      </w:pPr>
    </w:p>
    <w:p w:rsidR="00EF365B" w:rsidP="00FC6E82" w:rsidRDefault="004C191E" w14:paraId="7B236FCA" w14:textId="77777777">
      <w:pPr>
        <w:spacing w:after="0" w:line="240" w:lineRule="auto"/>
        <w:ind w:left="720"/>
        <w:contextualSpacing/>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The two-</w:t>
      </w:r>
      <w:r w:rsidRPr="0065486C" w:rsidR="00DE5EB5">
        <w:rPr>
          <w:rFonts w:ascii="Times New Roman" w:hAnsi="Times New Roman" w:cs="Times New Roman"/>
          <w:color w:val="000000" w:themeColor="text1"/>
          <w:sz w:val="24"/>
          <w:szCs w:val="24"/>
        </w:rPr>
        <w:t>hour response burden is the time it tak</w:t>
      </w:r>
      <w:r w:rsidR="003364F8">
        <w:rPr>
          <w:rFonts w:ascii="Times New Roman" w:hAnsi="Times New Roman" w:cs="Times New Roman"/>
          <w:color w:val="000000" w:themeColor="text1"/>
          <w:sz w:val="24"/>
          <w:szCs w:val="24"/>
        </w:rPr>
        <w:t xml:space="preserve">es for an agency to extract </w:t>
      </w:r>
      <w:r w:rsidRPr="0065486C" w:rsidR="00DE5EB5">
        <w:rPr>
          <w:rFonts w:ascii="Times New Roman" w:hAnsi="Times New Roman" w:cs="Times New Roman"/>
          <w:color w:val="000000" w:themeColor="text1"/>
          <w:sz w:val="24"/>
          <w:szCs w:val="24"/>
        </w:rPr>
        <w:t xml:space="preserve">NIBRS data from </w:t>
      </w:r>
      <w:r w:rsidR="00EF365B">
        <w:rPr>
          <w:rFonts w:ascii="Times New Roman" w:hAnsi="Times New Roman" w:cs="Times New Roman"/>
          <w:color w:val="000000" w:themeColor="text1"/>
          <w:sz w:val="24"/>
          <w:szCs w:val="24"/>
        </w:rPr>
        <w:t>its</w:t>
      </w:r>
      <w:r w:rsidRPr="0065486C" w:rsidR="00DE5EB5">
        <w:rPr>
          <w:rFonts w:ascii="Times New Roman" w:hAnsi="Times New Roman" w:cs="Times New Roman"/>
          <w:color w:val="000000" w:themeColor="text1"/>
          <w:sz w:val="24"/>
          <w:szCs w:val="24"/>
        </w:rPr>
        <w:t xml:space="preserve"> </w:t>
      </w:r>
      <w:r w:rsidR="00EF365B">
        <w:rPr>
          <w:rFonts w:ascii="Times New Roman" w:hAnsi="Times New Roman" w:cs="Times New Roman"/>
          <w:color w:val="000000" w:themeColor="text1"/>
          <w:sz w:val="24"/>
          <w:szCs w:val="24"/>
        </w:rPr>
        <w:t>existing</w:t>
      </w:r>
      <w:r w:rsidRPr="0065486C" w:rsidR="00DE5EB5">
        <w:rPr>
          <w:rFonts w:ascii="Times New Roman" w:hAnsi="Times New Roman" w:cs="Times New Roman"/>
          <w:color w:val="000000" w:themeColor="text1"/>
          <w:sz w:val="24"/>
          <w:szCs w:val="24"/>
        </w:rPr>
        <w:t xml:space="preserve"> incident-based </w:t>
      </w:r>
      <w:r>
        <w:rPr>
          <w:rFonts w:ascii="Times New Roman" w:hAnsi="Times New Roman" w:cs="Times New Roman"/>
          <w:color w:val="000000" w:themeColor="text1"/>
          <w:sz w:val="24"/>
          <w:szCs w:val="24"/>
        </w:rPr>
        <w:t>RMS</w:t>
      </w:r>
      <w:r w:rsidRPr="0065486C" w:rsidR="00B85CBC">
        <w:rPr>
          <w:rFonts w:ascii="Times New Roman" w:hAnsi="Times New Roman" w:cs="Times New Roman"/>
          <w:color w:val="000000" w:themeColor="text1"/>
          <w:sz w:val="24"/>
          <w:szCs w:val="24"/>
        </w:rPr>
        <w:t>.</w:t>
      </w:r>
      <w:r w:rsidR="00EF365B">
        <w:rPr>
          <w:rFonts w:ascii="Times New Roman" w:hAnsi="Times New Roman" w:cs="Times New Roman"/>
          <w:color w:val="000000" w:themeColor="text1"/>
          <w:sz w:val="24"/>
          <w:szCs w:val="24"/>
        </w:rPr>
        <w:t xml:space="preserve">  </w:t>
      </w:r>
      <w:r w:rsidR="00A57B6E">
        <w:rPr>
          <w:rFonts w:ascii="Times New Roman" w:hAnsi="Times New Roman" w:cs="Times New Roman"/>
          <w:color w:val="000000" w:themeColor="text1"/>
          <w:sz w:val="24"/>
          <w:szCs w:val="24"/>
        </w:rPr>
        <w:t xml:space="preserve">Along with LEAs transitioning to NIBRS, the addition of new offenses to the NIBRS data collection may increase the response burden.  </w:t>
      </w:r>
      <w:r w:rsidR="00EF365B">
        <w:rPr>
          <w:rFonts w:ascii="Times New Roman" w:hAnsi="Times New Roman" w:cs="Times New Roman"/>
          <w:color w:val="000000" w:themeColor="text1"/>
          <w:sz w:val="24"/>
          <w:szCs w:val="24"/>
        </w:rPr>
        <w:t>H</w:t>
      </w:r>
      <w:r w:rsidRPr="0065486C" w:rsidR="00B37D24">
        <w:rPr>
          <w:rFonts w:ascii="Times New Roman" w:hAnsi="Times New Roman" w:cs="Times New Roman"/>
          <w:color w:val="000000" w:themeColor="text1"/>
          <w:sz w:val="24"/>
          <w:szCs w:val="24"/>
        </w:rPr>
        <w:t xml:space="preserve">owever, the </w:t>
      </w:r>
      <w:r w:rsidR="00EF365B">
        <w:rPr>
          <w:rFonts w:ascii="Times New Roman" w:hAnsi="Times New Roman" w:cs="Times New Roman"/>
          <w:color w:val="000000" w:themeColor="text1"/>
          <w:sz w:val="24"/>
          <w:szCs w:val="24"/>
        </w:rPr>
        <w:t xml:space="preserve">FBI </w:t>
      </w:r>
      <w:r w:rsidRPr="0065486C" w:rsidR="00B37D24">
        <w:rPr>
          <w:rFonts w:ascii="Times New Roman" w:hAnsi="Times New Roman" w:cs="Times New Roman"/>
          <w:color w:val="000000" w:themeColor="text1"/>
          <w:sz w:val="24"/>
          <w:szCs w:val="24"/>
        </w:rPr>
        <w:t>UCR Prog</w:t>
      </w:r>
      <w:r w:rsidRPr="0065486C" w:rsidR="001451F7">
        <w:rPr>
          <w:rFonts w:ascii="Times New Roman" w:hAnsi="Times New Roman" w:cs="Times New Roman"/>
          <w:color w:val="000000" w:themeColor="text1"/>
          <w:sz w:val="24"/>
          <w:szCs w:val="24"/>
        </w:rPr>
        <w:t xml:space="preserve">ram </w:t>
      </w:r>
      <w:r w:rsidR="00EF365B">
        <w:rPr>
          <w:rFonts w:ascii="Times New Roman" w:hAnsi="Times New Roman" w:cs="Times New Roman"/>
          <w:color w:val="000000" w:themeColor="text1"/>
          <w:sz w:val="24"/>
          <w:szCs w:val="24"/>
        </w:rPr>
        <w:t>predicts</w:t>
      </w:r>
      <w:r w:rsidR="00C270F9">
        <w:rPr>
          <w:rFonts w:ascii="Times New Roman" w:hAnsi="Times New Roman" w:cs="Times New Roman"/>
          <w:color w:val="000000" w:themeColor="text1"/>
          <w:sz w:val="24"/>
          <w:szCs w:val="24"/>
        </w:rPr>
        <w:t xml:space="preserve"> any</w:t>
      </w:r>
      <w:r w:rsidRPr="0065486C" w:rsidR="001451F7">
        <w:rPr>
          <w:rFonts w:ascii="Times New Roman" w:hAnsi="Times New Roman" w:cs="Times New Roman"/>
          <w:color w:val="000000" w:themeColor="text1"/>
          <w:sz w:val="24"/>
          <w:szCs w:val="24"/>
        </w:rPr>
        <w:t xml:space="preserve"> increase </w:t>
      </w:r>
      <w:r w:rsidR="00C270F9">
        <w:rPr>
          <w:rFonts w:ascii="Times New Roman" w:hAnsi="Times New Roman" w:cs="Times New Roman"/>
          <w:color w:val="000000" w:themeColor="text1"/>
          <w:sz w:val="24"/>
          <w:szCs w:val="24"/>
        </w:rPr>
        <w:t xml:space="preserve">under these circumstances </w:t>
      </w:r>
      <w:r w:rsidRPr="0065486C" w:rsidR="001451F7">
        <w:rPr>
          <w:rFonts w:ascii="Times New Roman" w:hAnsi="Times New Roman" w:cs="Times New Roman"/>
          <w:color w:val="000000" w:themeColor="text1"/>
          <w:sz w:val="24"/>
          <w:szCs w:val="24"/>
        </w:rPr>
        <w:t>will</w:t>
      </w:r>
      <w:r w:rsidR="00C270F9">
        <w:rPr>
          <w:rFonts w:ascii="Times New Roman" w:hAnsi="Times New Roman" w:cs="Times New Roman"/>
          <w:color w:val="000000" w:themeColor="text1"/>
          <w:sz w:val="24"/>
          <w:szCs w:val="24"/>
        </w:rPr>
        <w:t xml:space="preserve"> be minimal, because</w:t>
      </w:r>
      <w:r w:rsidRPr="0065486C" w:rsidR="00B37D24">
        <w:rPr>
          <w:rFonts w:ascii="Times New Roman" w:hAnsi="Times New Roman" w:cs="Times New Roman"/>
          <w:color w:val="000000" w:themeColor="text1"/>
          <w:sz w:val="24"/>
          <w:szCs w:val="24"/>
        </w:rPr>
        <w:t xml:space="preserve"> many agencies may already collect these </w:t>
      </w:r>
      <w:r w:rsidRPr="0065486C" w:rsidR="001451F7">
        <w:rPr>
          <w:rFonts w:ascii="Times New Roman" w:hAnsi="Times New Roman" w:cs="Times New Roman"/>
          <w:color w:val="000000" w:themeColor="text1"/>
          <w:sz w:val="24"/>
          <w:szCs w:val="24"/>
        </w:rPr>
        <w:t xml:space="preserve">data </w:t>
      </w:r>
      <w:r w:rsidRPr="0065486C" w:rsidR="00E513C6">
        <w:rPr>
          <w:rFonts w:ascii="Times New Roman" w:hAnsi="Times New Roman" w:cs="Times New Roman"/>
          <w:color w:val="000000" w:themeColor="text1"/>
          <w:sz w:val="24"/>
          <w:szCs w:val="24"/>
        </w:rPr>
        <w:t>within their IBR systems</w:t>
      </w:r>
      <w:r w:rsidRPr="0065486C" w:rsidR="00B37D24">
        <w:rPr>
          <w:rFonts w:ascii="Times New Roman" w:hAnsi="Times New Roman" w:cs="Times New Roman"/>
          <w:color w:val="000000" w:themeColor="text1"/>
          <w:sz w:val="24"/>
          <w:szCs w:val="24"/>
        </w:rPr>
        <w:t xml:space="preserve">.  </w:t>
      </w:r>
      <w:r w:rsidR="00EF365B">
        <w:rPr>
          <w:rFonts w:ascii="Times New Roman" w:hAnsi="Times New Roman" w:cs="Times New Roman"/>
          <w:color w:val="000000" w:themeColor="text1"/>
          <w:sz w:val="24"/>
          <w:szCs w:val="24"/>
        </w:rPr>
        <w:t>A</w:t>
      </w:r>
      <w:r w:rsidRPr="0065486C" w:rsidR="00B85CBC">
        <w:rPr>
          <w:rFonts w:ascii="Times New Roman" w:hAnsi="Times New Roman" w:cs="Times New Roman"/>
          <w:color w:val="000000" w:themeColor="text1"/>
          <w:sz w:val="24"/>
          <w:szCs w:val="24"/>
        </w:rPr>
        <w:t xml:space="preserve">gencies </w:t>
      </w:r>
      <w:r w:rsidRPr="0065486C" w:rsidR="001451F7">
        <w:rPr>
          <w:rFonts w:ascii="Times New Roman" w:hAnsi="Times New Roman" w:cs="Times New Roman"/>
          <w:color w:val="000000" w:themeColor="text1"/>
          <w:sz w:val="24"/>
          <w:szCs w:val="24"/>
        </w:rPr>
        <w:t>will continue to</w:t>
      </w:r>
      <w:r w:rsidRPr="0065486C" w:rsidR="00B85CBC">
        <w:rPr>
          <w:rFonts w:ascii="Times New Roman" w:hAnsi="Times New Roman" w:cs="Times New Roman"/>
          <w:color w:val="000000" w:themeColor="text1"/>
          <w:sz w:val="24"/>
          <w:szCs w:val="24"/>
        </w:rPr>
        <w:t xml:space="preserve"> operate </w:t>
      </w:r>
      <w:r w:rsidRPr="0065486C" w:rsidR="001451F7">
        <w:rPr>
          <w:rFonts w:ascii="Times New Roman" w:hAnsi="Times New Roman" w:cs="Times New Roman"/>
          <w:color w:val="000000" w:themeColor="text1"/>
          <w:sz w:val="24"/>
          <w:szCs w:val="24"/>
        </w:rPr>
        <w:t>their</w:t>
      </w:r>
      <w:r w:rsidRPr="0065486C" w:rsidR="00B85CBC">
        <w:rPr>
          <w:rFonts w:ascii="Times New Roman" w:hAnsi="Times New Roman" w:cs="Times New Roman"/>
          <w:color w:val="000000" w:themeColor="text1"/>
          <w:sz w:val="24"/>
          <w:szCs w:val="24"/>
        </w:rPr>
        <w:t xml:space="preserve"> own incident-based RMS,</w:t>
      </w:r>
      <w:r w:rsidRPr="0065486C" w:rsidR="00DE5EB5">
        <w:rPr>
          <w:rFonts w:ascii="Times New Roman" w:hAnsi="Times New Roman" w:cs="Times New Roman"/>
          <w:color w:val="000000" w:themeColor="text1"/>
          <w:sz w:val="24"/>
          <w:szCs w:val="24"/>
        </w:rPr>
        <w:t xml:space="preserve"> entering data into </w:t>
      </w:r>
      <w:r w:rsidRPr="0065486C" w:rsidR="001451F7">
        <w:rPr>
          <w:rFonts w:ascii="Times New Roman" w:hAnsi="Times New Roman" w:cs="Times New Roman"/>
          <w:color w:val="000000" w:themeColor="text1"/>
          <w:sz w:val="24"/>
          <w:szCs w:val="24"/>
        </w:rPr>
        <w:t>their system, and performing their</w:t>
      </w:r>
      <w:r w:rsidRPr="0065486C" w:rsidR="00DE5EB5">
        <w:rPr>
          <w:rFonts w:ascii="Times New Roman" w:hAnsi="Times New Roman" w:cs="Times New Roman"/>
          <w:color w:val="000000" w:themeColor="text1"/>
          <w:sz w:val="24"/>
          <w:szCs w:val="24"/>
        </w:rPr>
        <w:t xml:space="preserve"> own data quality</w:t>
      </w:r>
      <w:r w:rsidR="00EF365B">
        <w:rPr>
          <w:rFonts w:ascii="Times New Roman" w:hAnsi="Times New Roman" w:cs="Times New Roman"/>
          <w:color w:val="000000" w:themeColor="text1"/>
          <w:sz w:val="24"/>
          <w:szCs w:val="24"/>
        </w:rPr>
        <w:t>,</w:t>
      </w:r>
      <w:r w:rsidRPr="0065486C" w:rsidR="00DE5EB5">
        <w:rPr>
          <w:rFonts w:ascii="Times New Roman" w:hAnsi="Times New Roman" w:cs="Times New Roman"/>
          <w:color w:val="000000" w:themeColor="text1"/>
          <w:sz w:val="24"/>
          <w:szCs w:val="24"/>
        </w:rPr>
        <w:t xml:space="preserve"> </w:t>
      </w:r>
      <w:r w:rsidR="00EF365B">
        <w:rPr>
          <w:rFonts w:ascii="Times New Roman" w:hAnsi="Times New Roman" w:cs="Times New Roman"/>
          <w:color w:val="000000" w:themeColor="text1"/>
          <w:sz w:val="24"/>
          <w:szCs w:val="24"/>
        </w:rPr>
        <w:t xml:space="preserve">all of </w:t>
      </w:r>
      <w:r w:rsidRPr="0065486C" w:rsidR="00DE5EB5">
        <w:rPr>
          <w:rFonts w:ascii="Times New Roman" w:hAnsi="Times New Roman" w:cs="Times New Roman"/>
          <w:color w:val="000000" w:themeColor="text1"/>
          <w:sz w:val="24"/>
          <w:szCs w:val="24"/>
        </w:rPr>
        <w:t xml:space="preserve">which </w:t>
      </w:r>
      <w:r w:rsidR="00EF365B">
        <w:rPr>
          <w:rFonts w:ascii="Times New Roman" w:hAnsi="Times New Roman" w:cs="Times New Roman"/>
          <w:color w:val="000000" w:themeColor="text1"/>
          <w:sz w:val="24"/>
          <w:szCs w:val="24"/>
        </w:rPr>
        <w:t>are</w:t>
      </w:r>
      <w:r w:rsidR="00A57B6E">
        <w:rPr>
          <w:rFonts w:ascii="Times New Roman" w:hAnsi="Times New Roman" w:cs="Times New Roman"/>
          <w:color w:val="000000" w:themeColor="text1"/>
          <w:sz w:val="24"/>
          <w:szCs w:val="24"/>
        </w:rPr>
        <w:t xml:space="preserve"> not included in the</w:t>
      </w:r>
      <w:r w:rsidRPr="0065486C" w:rsidR="00DE5EB5">
        <w:rPr>
          <w:rFonts w:ascii="Times New Roman" w:hAnsi="Times New Roman" w:cs="Times New Roman"/>
          <w:color w:val="000000" w:themeColor="text1"/>
          <w:sz w:val="24"/>
          <w:szCs w:val="24"/>
        </w:rPr>
        <w:t xml:space="preserve"> burden estimate.  </w:t>
      </w:r>
    </w:p>
    <w:p w:rsidR="00EF365B" w:rsidP="00FC6E82" w:rsidRDefault="00EF365B" w14:paraId="5B08B5D1" w14:textId="77777777">
      <w:pPr>
        <w:spacing w:after="0" w:line="240" w:lineRule="auto"/>
        <w:ind w:left="720"/>
        <w:contextualSpacing/>
        <w:rPr>
          <w:rFonts w:ascii="Times New Roman" w:hAnsi="Times New Roman" w:cs="Times New Roman"/>
          <w:color w:val="000000" w:themeColor="text1"/>
          <w:sz w:val="24"/>
          <w:szCs w:val="24"/>
        </w:rPr>
      </w:pPr>
    </w:p>
    <w:p w:rsidRPr="00782B18" w:rsidR="00FE6DF8" w:rsidP="00FE6DF8" w:rsidRDefault="005A6E44" w14:paraId="3418EFEE" w14:textId="77777777">
      <w:pPr>
        <w:spacing w:after="0" w:line="240" w:lineRule="auto"/>
        <w:ind w:left="720" w:right="-90"/>
        <w:rPr>
          <w:rFonts w:ascii="Times New Roman" w:hAnsi="Times New Roman" w:eastAsia="Times New Roman" w:cs="Times New Roman"/>
          <w:color w:val="000000" w:themeColor="text1"/>
          <w:sz w:val="24"/>
          <w:szCs w:val="24"/>
          <w:bdr w:val="none" w:color="auto" w:sz="0" w:space="0" w:frame="1"/>
        </w:rPr>
      </w:pPr>
      <w:r>
        <w:rPr>
          <w:rFonts w:ascii="Times New Roman" w:hAnsi="Times New Roman" w:cs="Times New Roman"/>
          <w:color w:val="000000" w:themeColor="text1"/>
          <w:sz w:val="24"/>
          <w:szCs w:val="24"/>
        </w:rPr>
        <w:t>T</w:t>
      </w:r>
      <w:r w:rsidRPr="0065486C" w:rsidR="007A5C56">
        <w:rPr>
          <w:rFonts w:ascii="Times New Roman" w:hAnsi="Times New Roman" w:cs="Times New Roman"/>
          <w:color w:val="000000" w:themeColor="text1"/>
          <w:sz w:val="24"/>
          <w:szCs w:val="24"/>
        </w:rPr>
        <w:t xml:space="preserve">he FBI UCR Program frequently has operational and administrative questions for state </w:t>
      </w:r>
      <w:r>
        <w:rPr>
          <w:rFonts w:ascii="Times New Roman" w:hAnsi="Times New Roman" w:cs="Times New Roman"/>
          <w:color w:val="000000" w:themeColor="text1"/>
          <w:sz w:val="24"/>
          <w:szCs w:val="24"/>
        </w:rPr>
        <w:t xml:space="preserve">UCR </w:t>
      </w:r>
      <w:r w:rsidRPr="0065486C" w:rsidR="007A5C56">
        <w:rPr>
          <w:rFonts w:ascii="Times New Roman" w:hAnsi="Times New Roman" w:cs="Times New Roman"/>
          <w:color w:val="000000" w:themeColor="text1"/>
          <w:sz w:val="24"/>
          <w:szCs w:val="24"/>
        </w:rPr>
        <w:t xml:space="preserve">program managers and local LEAs.  In order for the FBI to conduct this outreach with a larger universe of contributors, </w:t>
      </w:r>
      <w:r w:rsidR="00F34D86">
        <w:rPr>
          <w:rFonts w:ascii="Times New Roman" w:hAnsi="Times New Roman" w:cs="Times New Roman"/>
          <w:color w:val="000000" w:themeColor="text1"/>
          <w:sz w:val="24"/>
          <w:szCs w:val="24"/>
        </w:rPr>
        <w:t xml:space="preserve">an additional 300 hours were added to the </w:t>
      </w:r>
      <w:r w:rsidR="004C191E">
        <w:rPr>
          <w:rFonts w:ascii="Times New Roman" w:hAnsi="Times New Roman" w:cs="Times New Roman"/>
          <w:color w:val="000000" w:themeColor="text1"/>
          <w:sz w:val="24"/>
          <w:szCs w:val="24"/>
        </w:rPr>
        <w:t>annual burden</w:t>
      </w:r>
      <w:r w:rsidR="00FE6DF8">
        <w:rPr>
          <w:rFonts w:ascii="Times New Roman" w:hAnsi="Times New Roman" w:cs="Times New Roman"/>
          <w:color w:val="000000" w:themeColor="text1"/>
          <w:sz w:val="24"/>
          <w:szCs w:val="24"/>
        </w:rPr>
        <w:t xml:space="preserve">.  </w:t>
      </w:r>
    </w:p>
    <w:p w:rsidR="007A5C56" w:rsidP="00FC6E82" w:rsidRDefault="007A5C56" w14:paraId="16DEB4AB" w14:textId="77777777">
      <w:pPr>
        <w:spacing w:after="0" w:line="240" w:lineRule="auto"/>
        <w:ind w:left="720"/>
        <w:contextualSpacing/>
        <w:rPr>
          <w:rFonts w:ascii="Times New Roman" w:hAnsi="Times New Roman" w:cs="Times New Roman"/>
          <w:color w:val="000000" w:themeColor="text1"/>
          <w:sz w:val="24"/>
          <w:szCs w:val="24"/>
        </w:rPr>
      </w:pPr>
    </w:p>
    <w:p w:rsidRPr="0065486C" w:rsidR="00BD656F" w:rsidP="00FC6E82" w:rsidRDefault="008C5323" w14:paraId="0D071C05" w14:textId="77777777">
      <w:pPr>
        <w:pStyle w:val="ListParagraph"/>
        <w:numPr>
          <w:ilvl w:val="0"/>
          <w:numId w:val="4"/>
        </w:numPr>
        <w:spacing w:after="0" w:line="240" w:lineRule="auto"/>
        <w:rPr>
          <w:rFonts w:ascii="Times New Roman" w:hAnsi="Times New Roman" w:cs="Times New Roman"/>
          <w:color w:val="000000" w:themeColor="text1"/>
          <w:sz w:val="24"/>
          <w:szCs w:val="24"/>
        </w:rPr>
      </w:pPr>
      <w:r w:rsidRPr="0065486C">
        <w:rPr>
          <w:rFonts w:ascii="Times New Roman" w:hAnsi="Times New Roman" w:cs="Times New Roman"/>
          <w:color w:val="000000" w:themeColor="text1"/>
          <w:sz w:val="24"/>
          <w:szCs w:val="24"/>
          <w:u w:val="single"/>
        </w:rPr>
        <w:t>Estimate of Cost Burden</w:t>
      </w:r>
    </w:p>
    <w:p w:rsidRPr="0065486C" w:rsidR="008C5323" w:rsidP="00FC6E82" w:rsidRDefault="008C5323" w14:paraId="0AD9C6F4" w14:textId="77777777">
      <w:pPr>
        <w:pStyle w:val="ListParagraph"/>
        <w:spacing w:after="0" w:line="240" w:lineRule="auto"/>
        <w:rPr>
          <w:rFonts w:ascii="Times New Roman" w:hAnsi="Times New Roman" w:cs="Times New Roman"/>
          <w:color w:val="000000" w:themeColor="text1"/>
          <w:sz w:val="24"/>
          <w:szCs w:val="24"/>
          <w:u w:val="single"/>
        </w:rPr>
      </w:pPr>
    </w:p>
    <w:p w:rsidRPr="004246E2" w:rsidR="004246E2" w:rsidP="00FC6E82" w:rsidRDefault="004246E2" w14:paraId="5A628562" w14:textId="77777777">
      <w:pPr>
        <w:spacing w:after="0" w:line="240" w:lineRule="auto"/>
        <w:ind w:left="720"/>
        <w:rPr>
          <w:rFonts w:ascii="Times New Roman" w:hAnsi="Times New Roman" w:cs="Times New Roman"/>
          <w:color w:val="000000" w:themeColor="text1"/>
          <w:sz w:val="24"/>
          <w:szCs w:val="24"/>
        </w:rPr>
      </w:pPr>
      <w:r w:rsidRPr="004246E2">
        <w:rPr>
          <w:rFonts w:ascii="Times New Roman" w:hAnsi="Times New Roman" w:cs="Times New Roman"/>
          <w:color w:val="000000" w:themeColor="text1"/>
          <w:sz w:val="24"/>
          <w:szCs w:val="24"/>
        </w:rPr>
        <w:t>Currently, LEAs incur no direct costs by participating in the FBI UCR Program.  With the renewal of this collection, respondents are not expected to incur any capital, start-up, or system mai</w:t>
      </w:r>
      <w:r w:rsidR="004C191E">
        <w:rPr>
          <w:rFonts w:ascii="Times New Roman" w:hAnsi="Times New Roman" w:cs="Times New Roman"/>
          <w:color w:val="000000" w:themeColor="text1"/>
          <w:sz w:val="24"/>
          <w:szCs w:val="24"/>
        </w:rPr>
        <w:t>ntenance costs.  Costs to agencies’</w:t>
      </w:r>
      <w:r w:rsidRPr="004246E2">
        <w:rPr>
          <w:rFonts w:ascii="Times New Roman" w:hAnsi="Times New Roman" w:cs="Times New Roman"/>
          <w:color w:val="000000" w:themeColor="text1"/>
          <w:sz w:val="24"/>
          <w:szCs w:val="24"/>
        </w:rPr>
        <w:t xml:space="preserve"> </w:t>
      </w:r>
      <w:r w:rsidR="004C191E">
        <w:rPr>
          <w:rFonts w:ascii="Times New Roman" w:hAnsi="Times New Roman" w:cs="Times New Roman"/>
          <w:color w:val="000000" w:themeColor="text1"/>
          <w:sz w:val="24"/>
          <w:szCs w:val="24"/>
        </w:rPr>
        <w:t>RMS</w:t>
      </w:r>
      <w:r w:rsidRPr="004246E2">
        <w:rPr>
          <w:rFonts w:ascii="Times New Roman" w:hAnsi="Times New Roman" w:cs="Times New Roman"/>
          <w:color w:val="000000" w:themeColor="text1"/>
          <w:sz w:val="24"/>
          <w:szCs w:val="24"/>
        </w:rPr>
        <w:t xml:space="preserve"> are very difficult to obtain.  Vendors do not divulge costs because charges differ from agency to agency and man</w:t>
      </w:r>
      <w:r w:rsidR="004C191E">
        <w:rPr>
          <w:rFonts w:ascii="Times New Roman" w:hAnsi="Times New Roman" w:cs="Times New Roman"/>
          <w:color w:val="000000" w:themeColor="text1"/>
          <w:sz w:val="24"/>
          <w:szCs w:val="24"/>
        </w:rPr>
        <w:t xml:space="preserve">y costs are built into vendors’ </w:t>
      </w:r>
      <w:r w:rsidRPr="004246E2">
        <w:rPr>
          <w:rFonts w:ascii="Times New Roman" w:hAnsi="Times New Roman" w:cs="Times New Roman"/>
          <w:color w:val="000000" w:themeColor="text1"/>
          <w:sz w:val="24"/>
          <w:szCs w:val="24"/>
        </w:rPr>
        <w:t>contracts.  Depending on the contract, charges mandated by law may be included with no other additional costs.  However, an estimate has been projected that agencies pay a $107,000 maintenance fee every year for system maintenance costs.</w:t>
      </w:r>
    </w:p>
    <w:p w:rsidRPr="0065486C" w:rsidR="001451F7" w:rsidP="00FC6E82" w:rsidRDefault="001451F7" w14:paraId="4B1F511A" w14:textId="77777777">
      <w:pPr>
        <w:pStyle w:val="ListParagraph"/>
        <w:spacing w:after="0" w:line="240" w:lineRule="auto"/>
        <w:ind w:left="360"/>
        <w:rPr>
          <w:rFonts w:ascii="Times New Roman" w:hAnsi="Times New Roman" w:cs="Times New Roman"/>
          <w:color w:val="000000" w:themeColor="text1"/>
          <w:sz w:val="24"/>
          <w:szCs w:val="24"/>
        </w:rPr>
      </w:pPr>
    </w:p>
    <w:p w:rsidR="0052570D" w:rsidP="00B068E6" w:rsidRDefault="001451F7" w14:paraId="50691C3C" w14:textId="77777777">
      <w:pPr>
        <w:pStyle w:val="ListParagraph"/>
        <w:spacing w:after="0" w:line="240" w:lineRule="auto"/>
        <w:rPr>
          <w:rFonts w:ascii="Times New Roman" w:hAnsi="Times New Roman" w:cs="Times New Roman"/>
          <w:color w:val="000000" w:themeColor="text1"/>
          <w:sz w:val="24"/>
          <w:szCs w:val="24"/>
        </w:rPr>
      </w:pPr>
      <w:r w:rsidRPr="0065486C">
        <w:rPr>
          <w:rFonts w:ascii="Times New Roman" w:hAnsi="Times New Roman" w:cs="Times New Roman"/>
          <w:color w:val="000000" w:themeColor="text1"/>
          <w:sz w:val="24"/>
          <w:szCs w:val="24"/>
        </w:rPr>
        <w:t xml:space="preserve">LEAs </w:t>
      </w:r>
      <w:r w:rsidR="004246E2">
        <w:rPr>
          <w:rFonts w:ascii="Times New Roman" w:hAnsi="Times New Roman" w:cs="Times New Roman"/>
          <w:color w:val="000000" w:themeColor="text1"/>
          <w:sz w:val="24"/>
          <w:szCs w:val="24"/>
        </w:rPr>
        <w:t xml:space="preserve">submitting data via NIBRS </w:t>
      </w:r>
      <w:r w:rsidRPr="0065486C">
        <w:rPr>
          <w:rFonts w:ascii="Times New Roman" w:hAnsi="Times New Roman" w:cs="Times New Roman"/>
          <w:color w:val="000000" w:themeColor="text1"/>
          <w:sz w:val="24"/>
          <w:szCs w:val="24"/>
        </w:rPr>
        <w:t xml:space="preserve">have an existing incident-based RMS </w:t>
      </w:r>
      <w:r w:rsidR="004246E2">
        <w:rPr>
          <w:rFonts w:ascii="Times New Roman" w:hAnsi="Times New Roman" w:cs="Times New Roman"/>
          <w:color w:val="000000" w:themeColor="text1"/>
          <w:sz w:val="24"/>
          <w:szCs w:val="24"/>
        </w:rPr>
        <w:t>from which they extract data to send to the FBI UCR Program.</w:t>
      </w:r>
      <w:r w:rsidR="008841A1">
        <w:rPr>
          <w:rFonts w:ascii="Times New Roman" w:hAnsi="Times New Roman" w:cs="Times New Roman"/>
          <w:color w:val="000000" w:themeColor="text1"/>
          <w:sz w:val="24"/>
          <w:szCs w:val="24"/>
        </w:rPr>
        <w:t xml:space="preserve">  Cost p</w:t>
      </w:r>
      <w:r w:rsidRPr="0065486C" w:rsidR="008841A1">
        <w:rPr>
          <w:rFonts w:ascii="Times New Roman" w:hAnsi="Times New Roman" w:cs="Times New Roman"/>
          <w:color w:val="000000" w:themeColor="text1"/>
          <w:sz w:val="24"/>
          <w:szCs w:val="24"/>
        </w:rPr>
        <w:t>roject</w:t>
      </w:r>
      <w:r w:rsidR="008841A1">
        <w:rPr>
          <w:rFonts w:ascii="Times New Roman" w:hAnsi="Times New Roman" w:cs="Times New Roman"/>
          <w:color w:val="000000" w:themeColor="text1"/>
          <w:sz w:val="24"/>
          <w:szCs w:val="24"/>
        </w:rPr>
        <w:t>ions</w:t>
      </w:r>
      <w:r w:rsidRPr="0065486C" w:rsidR="008841A1">
        <w:rPr>
          <w:rFonts w:ascii="Times New Roman" w:hAnsi="Times New Roman" w:cs="Times New Roman"/>
          <w:color w:val="000000" w:themeColor="text1"/>
          <w:sz w:val="24"/>
          <w:szCs w:val="24"/>
        </w:rPr>
        <w:t xml:space="preserve"> for agencies</w:t>
      </w:r>
      <w:r w:rsidR="008841A1">
        <w:rPr>
          <w:rFonts w:ascii="Times New Roman" w:hAnsi="Times New Roman" w:cs="Times New Roman"/>
          <w:color w:val="000000" w:themeColor="text1"/>
          <w:sz w:val="24"/>
          <w:szCs w:val="24"/>
        </w:rPr>
        <w:t xml:space="preserve"> planning to build an </w:t>
      </w:r>
      <w:r w:rsidRPr="0065486C" w:rsidR="008841A1">
        <w:rPr>
          <w:rFonts w:ascii="Times New Roman" w:hAnsi="Times New Roman" w:cs="Times New Roman"/>
          <w:color w:val="000000" w:themeColor="text1"/>
          <w:sz w:val="24"/>
          <w:szCs w:val="24"/>
        </w:rPr>
        <w:t>incident-based RMS</w:t>
      </w:r>
      <w:r w:rsidR="008841A1">
        <w:rPr>
          <w:rFonts w:ascii="Times New Roman" w:hAnsi="Times New Roman" w:cs="Times New Roman"/>
          <w:color w:val="000000" w:themeColor="text1"/>
          <w:sz w:val="24"/>
          <w:szCs w:val="24"/>
        </w:rPr>
        <w:t xml:space="preserve"> </w:t>
      </w:r>
      <w:r w:rsidRPr="0065486C" w:rsidR="008841A1">
        <w:rPr>
          <w:rFonts w:ascii="Times New Roman" w:hAnsi="Times New Roman" w:cs="Times New Roman"/>
          <w:color w:val="000000" w:themeColor="text1"/>
          <w:sz w:val="24"/>
          <w:szCs w:val="24"/>
        </w:rPr>
        <w:t>range from half a million to one million dollars</w:t>
      </w:r>
      <w:r w:rsidR="008841A1">
        <w:rPr>
          <w:rFonts w:ascii="Times New Roman" w:hAnsi="Times New Roman" w:cs="Times New Roman"/>
          <w:color w:val="000000" w:themeColor="text1"/>
          <w:sz w:val="24"/>
          <w:szCs w:val="24"/>
        </w:rPr>
        <w:t xml:space="preserve"> </w:t>
      </w:r>
      <w:r w:rsidRPr="0065486C" w:rsidR="008841A1">
        <w:rPr>
          <w:rFonts w:ascii="Times New Roman" w:hAnsi="Times New Roman" w:cs="Times New Roman"/>
          <w:color w:val="000000" w:themeColor="text1"/>
          <w:sz w:val="24"/>
          <w:szCs w:val="24"/>
        </w:rPr>
        <w:t>depend</w:t>
      </w:r>
      <w:r w:rsidR="008841A1">
        <w:rPr>
          <w:rFonts w:ascii="Times New Roman" w:hAnsi="Times New Roman" w:cs="Times New Roman"/>
          <w:color w:val="000000" w:themeColor="text1"/>
          <w:sz w:val="24"/>
          <w:szCs w:val="24"/>
        </w:rPr>
        <w:t>ing</w:t>
      </w:r>
      <w:r w:rsidRPr="0065486C" w:rsidR="008841A1">
        <w:rPr>
          <w:rFonts w:ascii="Times New Roman" w:hAnsi="Times New Roman" w:cs="Times New Roman"/>
          <w:color w:val="000000" w:themeColor="text1"/>
          <w:sz w:val="24"/>
          <w:szCs w:val="24"/>
        </w:rPr>
        <w:t xml:space="preserve"> on the size of the agency.</w:t>
      </w:r>
      <w:r w:rsidR="008841A1">
        <w:rPr>
          <w:rFonts w:ascii="Times New Roman" w:hAnsi="Times New Roman" w:cs="Times New Roman"/>
          <w:color w:val="000000" w:themeColor="text1"/>
          <w:sz w:val="24"/>
          <w:szCs w:val="24"/>
        </w:rPr>
        <w:t xml:space="preserve">  </w:t>
      </w:r>
      <w:r w:rsidR="004246E2">
        <w:rPr>
          <w:rFonts w:ascii="Times New Roman" w:hAnsi="Times New Roman" w:cs="Times New Roman"/>
          <w:color w:val="000000" w:themeColor="text1"/>
          <w:sz w:val="24"/>
          <w:szCs w:val="24"/>
        </w:rPr>
        <w:t xml:space="preserve">Agencies participating in the FBI UCR Program have system maintenance </w:t>
      </w:r>
      <w:r w:rsidRPr="0065486C">
        <w:rPr>
          <w:rFonts w:ascii="Times New Roman" w:hAnsi="Times New Roman" w:cs="Times New Roman"/>
          <w:color w:val="000000" w:themeColor="text1"/>
          <w:sz w:val="24"/>
          <w:szCs w:val="24"/>
        </w:rPr>
        <w:t xml:space="preserve">costs even if they </w:t>
      </w:r>
      <w:r w:rsidR="004246E2">
        <w:rPr>
          <w:rFonts w:ascii="Times New Roman" w:hAnsi="Times New Roman" w:cs="Times New Roman"/>
          <w:color w:val="000000" w:themeColor="text1"/>
          <w:sz w:val="24"/>
          <w:szCs w:val="24"/>
        </w:rPr>
        <w:t xml:space="preserve">don’t report data via </w:t>
      </w:r>
      <w:r w:rsidRPr="0065486C">
        <w:rPr>
          <w:rFonts w:ascii="Times New Roman" w:hAnsi="Times New Roman" w:cs="Times New Roman"/>
          <w:color w:val="000000" w:themeColor="text1"/>
          <w:sz w:val="24"/>
          <w:szCs w:val="24"/>
        </w:rPr>
        <w:t>NIBRS.</w:t>
      </w:r>
      <w:r w:rsidR="00B068E6">
        <w:rPr>
          <w:rFonts w:ascii="Times New Roman" w:hAnsi="Times New Roman" w:cs="Times New Roman"/>
          <w:color w:val="000000" w:themeColor="text1"/>
          <w:sz w:val="24"/>
          <w:szCs w:val="24"/>
        </w:rPr>
        <w:t xml:space="preserve">  </w:t>
      </w:r>
    </w:p>
    <w:p w:rsidR="0052570D" w:rsidP="00B068E6" w:rsidRDefault="0052570D" w14:paraId="65F9C3DC" w14:textId="77777777">
      <w:pPr>
        <w:pStyle w:val="ListParagraph"/>
        <w:spacing w:after="0" w:line="240" w:lineRule="auto"/>
        <w:rPr>
          <w:rFonts w:ascii="Times New Roman" w:hAnsi="Times New Roman" w:cs="Times New Roman"/>
          <w:color w:val="000000" w:themeColor="text1"/>
          <w:sz w:val="24"/>
          <w:szCs w:val="24"/>
        </w:rPr>
      </w:pPr>
    </w:p>
    <w:p w:rsidR="0052570D" w:rsidP="00B068E6" w:rsidRDefault="0052570D" w14:paraId="5023141B" w14:textId="77777777">
      <w:pPr>
        <w:pStyle w:val="ListParagraph"/>
        <w:spacing w:after="0" w:line="240" w:lineRule="auto"/>
        <w:rPr>
          <w:rFonts w:ascii="Times New Roman" w:hAnsi="Times New Roman" w:cs="Times New Roman"/>
          <w:color w:val="000000" w:themeColor="text1"/>
          <w:sz w:val="24"/>
          <w:szCs w:val="24"/>
        </w:rPr>
      </w:pPr>
    </w:p>
    <w:p w:rsidRPr="0052570D" w:rsidR="0052570D" w:rsidP="0052570D" w:rsidRDefault="0052570D" w14:paraId="1F3B1409" w14:textId="77777777">
      <w:pPr>
        <w:spacing w:after="0" w:line="240" w:lineRule="auto"/>
        <w:rPr>
          <w:rFonts w:ascii="Times New Roman" w:hAnsi="Times New Roman" w:eastAsia="Times New Roman" w:cs="Times New Roman"/>
          <w:color w:val="00B050"/>
          <w:sz w:val="24"/>
          <w:szCs w:val="24"/>
        </w:rPr>
      </w:pPr>
    </w:p>
    <w:p w:rsidR="0052570D" w:rsidP="0052570D" w:rsidRDefault="0052570D" w14:paraId="562C75D1" w14:textId="77777777">
      <w:pPr>
        <w:spacing w:after="0" w:line="240" w:lineRule="auto"/>
        <w:rPr>
          <w:rFonts w:ascii="Times New Roman" w:hAnsi="Times New Roman" w:eastAsia="Times New Roman" w:cs="Times New Roman"/>
          <w:color w:val="000000"/>
          <w:sz w:val="24"/>
          <w:szCs w:val="24"/>
        </w:rPr>
      </w:pPr>
    </w:p>
    <w:p w:rsidR="0052570D" w:rsidP="0052570D" w:rsidRDefault="0052570D" w14:paraId="664355AD" w14:textId="77777777">
      <w:pPr>
        <w:spacing w:after="0" w:line="240" w:lineRule="auto"/>
        <w:rPr>
          <w:rFonts w:ascii="Times New Roman" w:hAnsi="Times New Roman" w:eastAsia="Times New Roman" w:cs="Times New Roman"/>
          <w:color w:val="000000"/>
          <w:sz w:val="24"/>
          <w:szCs w:val="24"/>
        </w:rPr>
      </w:pPr>
    </w:p>
    <w:p w:rsidR="0052570D" w:rsidP="0052570D" w:rsidRDefault="0052570D" w14:paraId="1A965116" w14:textId="77777777">
      <w:pPr>
        <w:spacing w:after="0" w:line="240" w:lineRule="auto"/>
        <w:rPr>
          <w:rFonts w:ascii="Times New Roman" w:hAnsi="Times New Roman" w:eastAsia="Times New Roman" w:cs="Times New Roman"/>
          <w:color w:val="000000"/>
          <w:sz w:val="24"/>
          <w:szCs w:val="24"/>
        </w:rPr>
      </w:pPr>
    </w:p>
    <w:p w:rsidR="0052570D" w:rsidP="0052570D" w:rsidRDefault="0052570D" w14:paraId="7DF4E37C" w14:textId="77777777">
      <w:pPr>
        <w:spacing w:after="0" w:line="240" w:lineRule="auto"/>
        <w:rPr>
          <w:rFonts w:ascii="Times New Roman" w:hAnsi="Times New Roman" w:eastAsia="Times New Roman" w:cs="Times New Roman"/>
          <w:color w:val="000000"/>
          <w:sz w:val="24"/>
          <w:szCs w:val="24"/>
        </w:rPr>
      </w:pPr>
    </w:p>
    <w:p w:rsidR="0052570D" w:rsidP="0052570D" w:rsidRDefault="0052570D" w14:paraId="44FB30F8" w14:textId="77777777">
      <w:pPr>
        <w:spacing w:after="0" w:line="240" w:lineRule="auto"/>
        <w:rPr>
          <w:rFonts w:ascii="Times New Roman" w:hAnsi="Times New Roman" w:eastAsia="Times New Roman" w:cs="Times New Roman"/>
          <w:color w:val="000000"/>
          <w:sz w:val="24"/>
          <w:szCs w:val="24"/>
        </w:rPr>
      </w:pPr>
    </w:p>
    <w:p w:rsidR="0052570D" w:rsidRDefault="0052570D" w14:paraId="1DA6542E" w14:textId="77777777">
      <w:pPr>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br w:type="page"/>
      </w:r>
    </w:p>
    <w:p w:rsidRPr="0065486C" w:rsidR="008C5323" w:rsidP="00FC6E82" w:rsidRDefault="008C5323" w14:paraId="7D9C535D" w14:textId="77777777">
      <w:pPr>
        <w:pStyle w:val="ListParagraph"/>
        <w:numPr>
          <w:ilvl w:val="0"/>
          <w:numId w:val="4"/>
        </w:numPr>
        <w:spacing w:after="0" w:line="240" w:lineRule="auto"/>
        <w:rPr>
          <w:rFonts w:ascii="Times New Roman" w:hAnsi="Times New Roman" w:cs="Times New Roman"/>
          <w:color w:val="000000" w:themeColor="text1"/>
          <w:sz w:val="24"/>
          <w:szCs w:val="24"/>
        </w:rPr>
      </w:pPr>
      <w:r w:rsidRPr="0065486C">
        <w:rPr>
          <w:rFonts w:ascii="Times New Roman" w:hAnsi="Times New Roman" w:cs="Times New Roman"/>
          <w:color w:val="000000" w:themeColor="text1"/>
          <w:sz w:val="24"/>
          <w:szCs w:val="24"/>
          <w:u w:val="single"/>
        </w:rPr>
        <w:lastRenderedPageBreak/>
        <w:t>Cost to Federal Government</w:t>
      </w:r>
    </w:p>
    <w:p w:rsidRPr="0065486C" w:rsidR="004450F7" w:rsidP="00FC6E82" w:rsidRDefault="004450F7" w14:paraId="3041E394" w14:textId="77777777">
      <w:pPr>
        <w:pStyle w:val="ListParagraph"/>
        <w:spacing w:after="0" w:line="240" w:lineRule="auto"/>
        <w:rPr>
          <w:rFonts w:ascii="Times New Roman" w:hAnsi="Times New Roman" w:cs="Times New Roman"/>
          <w:color w:val="000000" w:themeColor="text1"/>
          <w:sz w:val="24"/>
          <w:szCs w:val="24"/>
        </w:rPr>
      </w:pPr>
    </w:p>
    <w:p w:rsidRPr="0065486C" w:rsidR="00642B60" w:rsidP="00FC6E82" w:rsidRDefault="001451F7" w14:paraId="64D5085F" w14:textId="62D5F6B5">
      <w:pPr>
        <w:pStyle w:val="ListParagraph"/>
        <w:spacing w:after="0" w:line="240" w:lineRule="auto"/>
        <w:rPr>
          <w:rFonts w:ascii="Times New Roman" w:hAnsi="Times New Roman" w:cs="Times New Roman"/>
          <w:color w:val="000000" w:themeColor="text1"/>
          <w:sz w:val="24"/>
          <w:szCs w:val="24"/>
        </w:rPr>
      </w:pPr>
      <w:r w:rsidRPr="0065486C">
        <w:rPr>
          <w:rFonts w:ascii="Times New Roman" w:hAnsi="Times New Roman" w:cs="Times New Roman"/>
          <w:color w:val="000000" w:themeColor="text1"/>
          <w:sz w:val="24"/>
          <w:szCs w:val="24"/>
        </w:rPr>
        <w:t>The</w:t>
      </w:r>
      <w:r w:rsidR="004D555C">
        <w:rPr>
          <w:rFonts w:ascii="Times New Roman" w:hAnsi="Times New Roman" w:cs="Times New Roman"/>
          <w:color w:val="000000" w:themeColor="text1"/>
          <w:sz w:val="24"/>
          <w:szCs w:val="24"/>
        </w:rPr>
        <w:t xml:space="preserve"> information presented in the following</w:t>
      </w:r>
      <w:r w:rsidRPr="0065486C">
        <w:rPr>
          <w:rFonts w:ascii="Times New Roman" w:hAnsi="Times New Roman" w:cs="Times New Roman"/>
          <w:color w:val="000000" w:themeColor="text1"/>
          <w:sz w:val="24"/>
          <w:szCs w:val="24"/>
        </w:rPr>
        <w:t xml:space="preserve"> </w:t>
      </w:r>
      <w:r w:rsidR="008841A1">
        <w:rPr>
          <w:rFonts w:ascii="Times New Roman" w:hAnsi="Times New Roman" w:cs="Times New Roman"/>
          <w:color w:val="000000" w:themeColor="text1"/>
          <w:sz w:val="24"/>
          <w:szCs w:val="24"/>
        </w:rPr>
        <w:t xml:space="preserve">table below </w:t>
      </w:r>
      <w:r w:rsidR="004D555C">
        <w:rPr>
          <w:rFonts w:ascii="Times New Roman" w:hAnsi="Times New Roman" w:cs="Times New Roman"/>
          <w:color w:val="000000" w:themeColor="text1"/>
          <w:sz w:val="24"/>
          <w:szCs w:val="24"/>
        </w:rPr>
        <w:t>i</w:t>
      </w:r>
      <w:r w:rsidR="008841A1">
        <w:rPr>
          <w:rFonts w:ascii="Times New Roman" w:hAnsi="Times New Roman" w:cs="Times New Roman"/>
          <w:color w:val="000000" w:themeColor="text1"/>
          <w:sz w:val="24"/>
          <w:szCs w:val="24"/>
        </w:rPr>
        <w:t>s</w:t>
      </w:r>
      <w:r w:rsidRPr="0065486C">
        <w:rPr>
          <w:rFonts w:ascii="Times New Roman" w:hAnsi="Times New Roman" w:cs="Times New Roman"/>
          <w:color w:val="000000" w:themeColor="text1"/>
          <w:sz w:val="24"/>
          <w:szCs w:val="24"/>
        </w:rPr>
        <w:t xml:space="preserve"> a </w:t>
      </w:r>
      <w:r w:rsidR="004D555C">
        <w:rPr>
          <w:rFonts w:ascii="Times New Roman" w:hAnsi="Times New Roman" w:cs="Times New Roman"/>
          <w:color w:val="000000" w:themeColor="text1"/>
          <w:sz w:val="24"/>
          <w:szCs w:val="24"/>
        </w:rPr>
        <w:t>fiscal y</w:t>
      </w:r>
      <w:r w:rsidRPr="0065486C">
        <w:rPr>
          <w:rFonts w:ascii="Times New Roman" w:hAnsi="Times New Roman" w:cs="Times New Roman"/>
          <w:color w:val="000000" w:themeColor="text1"/>
          <w:sz w:val="24"/>
          <w:szCs w:val="24"/>
        </w:rPr>
        <w:t xml:space="preserve">ear (FY) 2019 cost model provided by the FBI </w:t>
      </w:r>
      <w:r w:rsidR="00C74B83">
        <w:rPr>
          <w:rFonts w:ascii="Times New Roman" w:hAnsi="Times New Roman" w:cs="Times New Roman"/>
          <w:color w:val="000000" w:themeColor="text1"/>
          <w:sz w:val="24"/>
          <w:szCs w:val="24"/>
        </w:rPr>
        <w:t>C</w:t>
      </w:r>
      <w:r w:rsidRPr="0065486C">
        <w:rPr>
          <w:rFonts w:ascii="Times New Roman" w:hAnsi="Times New Roman" w:cs="Times New Roman"/>
          <w:color w:val="000000" w:themeColor="text1"/>
          <w:sz w:val="24"/>
          <w:szCs w:val="24"/>
        </w:rPr>
        <w:t xml:space="preserve">JIS Division, Resource Management Section, Fee Programs Unit, for the entire FBI UCR Program.  The FY2019 annualized cost and full-time equivalent (FTE) are included.  These are projections based on prior collection activity, as well as activities anticipated over the next three years for </w:t>
      </w:r>
      <w:r w:rsidR="004C191E">
        <w:rPr>
          <w:rFonts w:ascii="Times New Roman" w:hAnsi="Times New Roman" w:cs="Times New Roman"/>
          <w:color w:val="000000" w:themeColor="text1"/>
          <w:sz w:val="24"/>
          <w:szCs w:val="24"/>
        </w:rPr>
        <w:t>NIBRS</w:t>
      </w:r>
      <w:r w:rsidRPr="0065486C">
        <w:rPr>
          <w:rFonts w:ascii="Times New Roman" w:hAnsi="Times New Roman" w:cs="Times New Roman"/>
          <w:color w:val="000000" w:themeColor="text1"/>
          <w:sz w:val="24"/>
          <w:szCs w:val="24"/>
        </w:rPr>
        <w:t xml:space="preserve"> and SRS.  This cost model does not separate the costs </w:t>
      </w:r>
      <w:r w:rsidR="00FC6E82">
        <w:rPr>
          <w:rFonts w:ascii="Times New Roman" w:hAnsi="Times New Roman" w:cs="Times New Roman"/>
          <w:color w:val="000000" w:themeColor="text1"/>
          <w:sz w:val="24"/>
          <w:szCs w:val="24"/>
        </w:rPr>
        <w:t>for</w:t>
      </w:r>
      <w:r w:rsidRPr="0065486C">
        <w:rPr>
          <w:rFonts w:ascii="Times New Roman" w:hAnsi="Times New Roman" w:cs="Times New Roman"/>
          <w:color w:val="000000" w:themeColor="text1"/>
          <w:sz w:val="24"/>
          <w:szCs w:val="24"/>
        </w:rPr>
        <w:t xml:space="preserve"> the two systems </w:t>
      </w:r>
      <w:r w:rsidR="00FC6E82">
        <w:rPr>
          <w:rFonts w:ascii="Times New Roman" w:hAnsi="Times New Roman" w:cs="Times New Roman"/>
          <w:color w:val="000000" w:themeColor="text1"/>
          <w:sz w:val="24"/>
          <w:szCs w:val="24"/>
        </w:rPr>
        <w:t xml:space="preserve">used to </w:t>
      </w:r>
      <w:r w:rsidRPr="0065486C">
        <w:rPr>
          <w:rFonts w:ascii="Times New Roman" w:hAnsi="Times New Roman" w:cs="Times New Roman"/>
          <w:color w:val="000000" w:themeColor="text1"/>
          <w:sz w:val="24"/>
          <w:szCs w:val="24"/>
        </w:rPr>
        <w:t>collect</w:t>
      </w:r>
      <w:r w:rsidR="00FC6E82">
        <w:rPr>
          <w:rFonts w:ascii="Times New Roman" w:hAnsi="Times New Roman" w:cs="Times New Roman"/>
          <w:color w:val="000000" w:themeColor="text1"/>
          <w:sz w:val="24"/>
          <w:szCs w:val="24"/>
        </w:rPr>
        <w:t xml:space="preserve"> </w:t>
      </w:r>
      <w:r w:rsidRPr="0065486C">
        <w:rPr>
          <w:rFonts w:ascii="Times New Roman" w:hAnsi="Times New Roman" w:cs="Times New Roman"/>
          <w:color w:val="000000" w:themeColor="text1"/>
          <w:sz w:val="24"/>
          <w:szCs w:val="24"/>
        </w:rPr>
        <w:t>FBI UCR Program</w:t>
      </w:r>
      <w:r w:rsidR="008841A1">
        <w:rPr>
          <w:rFonts w:ascii="Times New Roman" w:hAnsi="Times New Roman" w:cs="Times New Roman"/>
          <w:color w:val="000000" w:themeColor="text1"/>
          <w:sz w:val="24"/>
          <w:szCs w:val="24"/>
        </w:rPr>
        <w:t xml:space="preserve"> data.</w:t>
      </w:r>
    </w:p>
    <w:p w:rsidR="008841A1" w:rsidP="00FC6E82" w:rsidRDefault="008841A1" w14:paraId="722B00AE" w14:textId="77777777">
      <w:pPr>
        <w:spacing w:after="0" w:line="240" w:lineRule="auto"/>
        <w:contextualSpacing/>
        <w:rPr>
          <w:rFonts w:ascii="Times New Roman" w:hAnsi="Times New Roman" w:cs="Times New Roman"/>
          <w:color w:val="000000" w:themeColor="text1"/>
          <w:sz w:val="24"/>
          <w:szCs w:val="24"/>
        </w:rPr>
      </w:pPr>
    </w:p>
    <w:tbl>
      <w:tblPr>
        <w:tblpPr w:leftFromText="180" w:rightFromText="180" w:vertAnchor="text" w:horzAnchor="margin" w:tblpXSpec="center" w:tblpY="156"/>
        <w:tblW w:w="10094" w:type="dxa"/>
        <w:jc w:val="center"/>
        <w:tblLook w:val="04A0" w:firstRow="1" w:lastRow="0" w:firstColumn="1" w:lastColumn="0" w:noHBand="0" w:noVBand="1"/>
      </w:tblPr>
      <w:tblGrid>
        <w:gridCol w:w="6754"/>
        <w:gridCol w:w="1670"/>
        <w:gridCol w:w="1670"/>
      </w:tblGrid>
      <w:tr w:rsidRPr="0065486C" w:rsidR="008841A1" w:rsidTr="00FD0558" w14:paraId="647AED95" w14:textId="77777777">
        <w:trPr>
          <w:trHeight w:val="306"/>
          <w:jc w:val="center"/>
        </w:trPr>
        <w:tc>
          <w:tcPr>
            <w:tcW w:w="6754" w:type="dxa"/>
            <w:tcBorders>
              <w:left w:val="nil"/>
              <w:bottom w:val="single" w:color="auto" w:sz="8" w:space="0"/>
              <w:right w:val="nil"/>
            </w:tcBorders>
            <w:shd w:val="clear" w:color="auto" w:fill="auto"/>
            <w:vAlign w:val="center"/>
          </w:tcPr>
          <w:p w:rsidRPr="00FD0558" w:rsidR="008841A1" w:rsidP="00FC6E82" w:rsidRDefault="008841A1" w14:paraId="3F5F11E7" w14:textId="77777777">
            <w:pPr>
              <w:spacing w:after="0" w:line="240" w:lineRule="auto"/>
              <w:rPr>
                <w:rFonts w:ascii="Times New Roman" w:hAnsi="Times New Roman" w:cs="Times New Roman"/>
                <w:b/>
                <w:sz w:val="20"/>
                <w:szCs w:val="20"/>
              </w:rPr>
            </w:pPr>
            <w:r w:rsidRPr="00FD0558">
              <w:rPr>
                <w:rFonts w:ascii="Times New Roman" w:hAnsi="Times New Roman" w:cs="Times New Roman"/>
                <w:b/>
                <w:sz w:val="20"/>
                <w:szCs w:val="20"/>
              </w:rPr>
              <w:t>Data Collection and Processing Costs</w:t>
            </w:r>
          </w:p>
        </w:tc>
        <w:tc>
          <w:tcPr>
            <w:tcW w:w="1670" w:type="dxa"/>
            <w:tcBorders>
              <w:left w:val="nil"/>
              <w:bottom w:val="single" w:color="auto" w:sz="8" w:space="0"/>
              <w:right w:val="nil"/>
            </w:tcBorders>
            <w:shd w:val="clear" w:color="auto" w:fill="auto"/>
            <w:vAlign w:val="center"/>
          </w:tcPr>
          <w:p w:rsidRPr="0065486C" w:rsidR="008841A1" w:rsidP="00FC6E82" w:rsidRDefault="008841A1" w14:paraId="42C6D796" w14:textId="77777777">
            <w:pPr>
              <w:spacing w:after="0" w:line="240" w:lineRule="auto"/>
              <w:contextualSpacing/>
              <w:jc w:val="right"/>
              <w:rPr>
                <w:rFonts w:ascii="Times New Roman" w:hAnsi="Times New Roman" w:eastAsia="Times New Roman" w:cs="Times New Roman"/>
                <w:b/>
                <w:color w:val="000000" w:themeColor="text1"/>
                <w:sz w:val="24"/>
                <w:szCs w:val="24"/>
              </w:rPr>
            </w:pPr>
          </w:p>
        </w:tc>
        <w:tc>
          <w:tcPr>
            <w:tcW w:w="1670" w:type="dxa"/>
            <w:tcBorders>
              <w:left w:val="nil"/>
              <w:bottom w:val="single" w:color="auto" w:sz="8" w:space="0"/>
              <w:right w:val="nil"/>
            </w:tcBorders>
            <w:shd w:val="clear" w:color="auto" w:fill="auto"/>
            <w:vAlign w:val="center"/>
          </w:tcPr>
          <w:p w:rsidRPr="0065486C" w:rsidR="008841A1" w:rsidP="00FC6E82" w:rsidRDefault="008841A1" w14:paraId="6E1831B3" w14:textId="77777777">
            <w:pPr>
              <w:spacing w:after="0" w:line="240" w:lineRule="auto"/>
              <w:contextualSpacing/>
              <w:jc w:val="right"/>
              <w:rPr>
                <w:rFonts w:ascii="Times New Roman" w:hAnsi="Times New Roman" w:eastAsia="Times New Roman" w:cs="Times New Roman"/>
                <w:b/>
                <w:color w:val="000000" w:themeColor="text1"/>
                <w:sz w:val="24"/>
                <w:szCs w:val="24"/>
              </w:rPr>
            </w:pPr>
          </w:p>
        </w:tc>
      </w:tr>
      <w:tr w:rsidRPr="008841A1" w:rsidR="008841A1" w:rsidTr="006F05A3" w14:paraId="035564F6" w14:textId="77777777">
        <w:trPr>
          <w:trHeight w:val="306"/>
          <w:jc w:val="center"/>
        </w:trPr>
        <w:tc>
          <w:tcPr>
            <w:tcW w:w="6754" w:type="dxa"/>
            <w:tcBorders>
              <w:top w:val="single" w:color="auto" w:sz="8" w:space="0"/>
              <w:left w:val="nil"/>
              <w:bottom w:val="single" w:color="auto" w:sz="8" w:space="0"/>
              <w:right w:val="nil"/>
            </w:tcBorders>
            <w:shd w:val="clear" w:color="auto" w:fill="auto"/>
            <w:vAlign w:val="center"/>
            <w:hideMark/>
          </w:tcPr>
          <w:p w:rsidRPr="008841A1" w:rsidR="008841A1" w:rsidP="00FC6E82" w:rsidRDefault="008841A1" w14:paraId="18283460" w14:textId="77777777">
            <w:pPr>
              <w:spacing w:after="0" w:line="240" w:lineRule="auto"/>
              <w:contextualSpacing/>
              <w:rPr>
                <w:rFonts w:ascii="Times New Roman" w:hAnsi="Times New Roman" w:eastAsia="Times New Roman" w:cs="Times New Roman"/>
                <w:b/>
                <w:color w:val="000000" w:themeColor="text1"/>
                <w:sz w:val="20"/>
                <w:szCs w:val="20"/>
              </w:rPr>
            </w:pPr>
            <w:r w:rsidRPr="008841A1">
              <w:rPr>
                <w:rFonts w:ascii="Times New Roman" w:hAnsi="Times New Roman" w:eastAsia="Times New Roman" w:cs="Times New Roman"/>
                <w:b/>
                <w:color w:val="000000" w:themeColor="text1"/>
                <w:sz w:val="20"/>
                <w:szCs w:val="20"/>
              </w:rPr>
              <w:t>Activity</w:t>
            </w:r>
          </w:p>
        </w:tc>
        <w:tc>
          <w:tcPr>
            <w:tcW w:w="1670" w:type="dxa"/>
            <w:tcBorders>
              <w:top w:val="single" w:color="auto" w:sz="8" w:space="0"/>
              <w:left w:val="nil"/>
              <w:bottom w:val="single" w:color="auto" w:sz="8" w:space="0"/>
              <w:right w:val="nil"/>
            </w:tcBorders>
            <w:shd w:val="clear" w:color="auto" w:fill="auto"/>
            <w:vAlign w:val="center"/>
            <w:hideMark/>
          </w:tcPr>
          <w:p w:rsidRPr="008841A1" w:rsidR="008841A1" w:rsidP="00FC6E82" w:rsidRDefault="008841A1" w14:paraId="20577741" w14:textId="77777777">
            <w:pPr>
              <w:spacing w:after="0" w:line="240" w:lineRule="auto"/>
              <w:contextualSpacing/>
              <w:jc w:val="right"/>
              <w:rPr>
                <w:rFonts w:ascii="Times New Roman" w:hAnsi="Times New Roman" w:eastAsia="Times New Roman" w:cs="Times New Roman"/>
                <w:b/>
                <w:color w:val="000000" w:themeColor="text1"/>
                <w:sz w:val="20"/>
                <w:szCs w:val="20"/>
              </w:rPr>
            </w:pPr>
            <w:r w:rsidRPr="008841A1">
              <w:rPr>
                <w:rFonts w:ascii="Times New Roman" w:hAnsi="Times New Roman" w:eastAsia="Times New Roman" w:cs="Times New Roman"/>
                <w:b/>
                <w:color w:val="000000" w:themeColor="text1"/>
                <w:sz w:val="20"/>
                <w:szCs w:val="20"/>
              </w:rPr>
              <w:t xml:space="preserve">FY2019 </w:t>
            </w:r>
          </w:p>
          <w:p w:rsidRPr="008841A1" w:rsidR="008841A1" w:rsidP="00FC6E82" w:rsidRDefault="008841A1" w14:paraId="1AB07350" w14:textId="77777777">
            <w:pPr>
              <w:spacing w:after="0" w:line="240" w:lineRule="auto"/>
              <w:contextualSpacing/>
              <w:jc w:val="right"/>
              <w:rPr>
                <w:rFonts w:ascii="Times New Roman" w:hAnsi="Times New Roman" w:eastAsia="Times New Roman" w:cs="Times New Roman"/>
                <w:b/>
                <w:color w:val="000000" w:themeColor="text1"/>
                <w:sz w:val="20"/>
                <w:szCs w:val="20"/>
              </w:rPr>
            </w:pPr>
            <w:r w:rsidRPr="008841A1">
              <w:rPr>
                <w:rFonts w:ascii="Times New Roman" w:hAnsi="Times New Roman" w:eastAsia="Times New Roman" w:cs="Times New Roman"/>
                <w:b/>
                <w:color w:val="000000" w:themeColor="text1"/>
                <w:sz w:val="20"/>
                <w:szCs w:val="20"/>
              </w:rPr>
              <w:t>Annualized Cost</w:t>
            </w:r>
          </w:p>
        </w:tc>
        <w:tc>
          <w:tcPr>
            <w:tcW w:w="1670" w:type="dxa"/>
            <w:tcBorders>
              <w:top w:val="single" w:color="auto" w:sz="8" w:space="0"/>
              <w:left w:val="nil"/>
              <w:bottom w:val="single" w:color="auto" w:sz="8" w:space="0"/>
              <w:right w:val="nil"/>
            </w:tcBorders>
            <w:shd w:val="clear" w:color="auto" w:fill="auto"/>
            <w:vAlign w:val="center"/>
            <w:hideMark/>
          </w:tcPr>
          <w:p w:rsidRPr="008841A1" w:rsidR="008841A1" w:rsidP="00FC6E82" w:rsidRDefault="008841A1" w14:paraId="44E6E6AA" w14:textId="77777777">
            <w:pPr>
              <w:spacing w:after="0" w:line="240" w:lineRule="auto"/>
              <w:contextualSpacing/>
              <w:jc w:val="right"/>
              <w:rPr>
                <w:rFonts w:ascii="Times New Roman" w:hAnsi="Times New Roman" w:eastAsia="Times New Roman" w:cs="Times New Roman"/>
                <w:b/>
                <w:color w:val="000000" w:themeColor="text1"/>
                <w:sz w:val="20"/>
                <w:szCs w:val="20"/>
              </w:rPr>
            </w:pPr>
            <w:r w:rsidRPr="008841A1">
              <w:rPr>
                <w:rFonts w:ascii="Times New Roman" w:hAnsi="Times New Roman" w:eastAsia="Times New Roman" w:cs="Times New Roman"/>
                <w:b/>
                <w:color w:val="000000" w:themeColor="text1"/>
                <w:sz w:val="20"/>
                <w:szCs w:val="20"/>
              </w:rPr>
              <w:t>FY2019 Annualized FTE</w:t>
            </w:r>
          </w:p>
        </w:tc>
      </w:tr>
      <w:tr w:rsidRPr="008841A1" w:rsidR="008841A1" w:rsidTr="006F05A3" w14:paraId="3B1B0A83" w14:textId="77777777">
        <w:trPr>
          <w:trHeight w:val="315"/>
          <w:jc w:val="center"/>
        </w:trPr>
        <w:tc>
          <w:tcPr>
            <w:tcW w:w="6754" w:type="dxa"/>
            <w:tcBorders>
              <w:top w:val="single" w:color="auto" w:sz="8" w:space="0"/>
              <w:left w:val="nil"/>
              <w:bottom w:val="nil"/>
              <w:right w:val="nil"/>
            </w:tcBorders>
            <w:shd w:val="clear" w:color="auto" w:fill="auto"/>
            <w:noWrap/>
            <w:vAlign w:val="center"/>
            <w:hideMark/>
          </w:tcPr>
          <w:p w:rsidRPr="008841A1" w:rsidR="008841A1" w:rsidP="00FC6E82" w:rsidRDefault="008841A1" w14:paraId="22FB877D" w14:textId="77777777">
            <w:pPr>
              <w:spacing w:after="0" w:line="240" w:lineRule="auto"/>
              <w:contextualSpacing/>
              <w:rPr>
                <w:rFonts w:ascii="Times New Roman" w:hAnsi="Times New Roman" w:eastAsia="Times New Roman" w:cs="Times New Roman"/>
                <w:color w:val="000000" w:themeColor="text1"/>
                <w:sz w:val="20"/>
                <w:szCs w:val="20"/>
              </w:rPr>
            </w:pPr>
            <w:r w:rsidRPr="008841A1">
              <w:rPr>
                <w:rFonts w:ascii="Times New Roman" w:hAnsi="Times New Roman" w:eastAsia="Times New Roman" w:cs="Times New Roman"/>
                <w:color w:val="000000" w:themeColor="text1"/>
                <w:sz w:val="20"/>
                <w:szCs w:val="20"/>
              </w:rPr>
              <w:t>Administrative</w:t>
            </w:r>
          </w:p>
        </w:tc>
        <w:tc>
          <w:tcPr>
            <w:tcW w:w="1670" w:type="dxa"/>
            <w:tcBorders>
              <w:top w:val="single" w:color="auto" w:sz="8" w:space="0"/>
              <w:left w:val="nil"/>
              <w:bottom w:val="nil"/>
              <w:right w:val="nil"/>
            </w:tcBorders>
            <w:shd w:val="clear" w:color="auto" w:fill="auto"/>
            <w:noWrap/>
            <w:vAlign w:val="center"/>
            <w:hideMark/>
          </w:tcPr>
          <w:p w:rsidRPr="008841A1" w:rsidR="008841A1" w:rsidP="00FC6E82" w:rsidRDefault="008841A1" w14:paraId="30AD4383" w14:textId="77777777">
            <w:pPr>
              <w:spacing w:after="0" w:line="240" w:lineRule="auto"/>
              <w:contextualSpacing/>
              <w:jc w:val="right"/>
              <w:rPr>
                <w:rFonts w:ascii="Times New Roman" w:hAnsi="Times New Roman" w:eastAsia="Times New Roman" w:cs="Times New Roman"/>
                <w:color w:val="000000" w:themeColor="text1"/>
                <w:sz w:val="20"/>
                <w:szCs w:val="20"/>
              </w:rPr>
            </w:pPr>
            <w:r w:rsidRPr="008841A1">
              <w:rPr>
                <w:rFonts w:ascii="Times New Roman" w:hAnsi="Times New Roman" w:eastAsia="Times New Roman" w:cs="Times New Roman"/>
                <w:color w:val="000000" w:themeColor="text1"/>
                <w:sz w:val="20"/>
                <w:szCs w:val="20"/>
              </w:rPr>
              <w:t>$39,044.92</w:t>
            </w:r>
          </w:p>
        </w:tc>
        <w:tc>
          <w:tcPr>
            <w:tcW w:w="1670" w:type="dxa"/>
            <w:tcBorders>
              <w:top w:val="single" w:color="auto" w:sz="8" w:space="0"/>
              <w:left w:val="nil"/>
              <w:bottom w:val="nil"/>
              <w:right w:val="nil"/>
            </w:tcBorders>
            <w:shd w:val="clear" w:color="auto" w:fill="auto"/>
            <w:noWrap/>
            <w:vAlign w:val="center"/>
            <w:hideMark/>
          </w:tcPr>
          <w:p w:rsidRPr="008841A1" w:rsidR="008841A1" w:rsidP="00FC6E82" w:rsidRDefault="008841A1" w14:paraId="7C1ECCAA" w14:textId="77777777">
            <w:pPr>
              <w:spacing w:after="0" w:line="240" w:lineRule="auto"/>
              <w:contextualSpacing/>
              <w:jc w:val="right"/>
              <w:rPr>
                <w:rFonts w:ascii="Times New Roman" w:hAnsi="Times New Roman" w:eastAsia="Times New Roman" w:cs="Times New Roman"/>
                <w:color w:val="000000" w:themeColor="text1"/>
                <w:sz w:val="20"/>
                <w:szCs w:val="20"/>
              </w:rPr>
            </w:pPr>
            <w:r w:rsidRPr="008841A1">
              <w:rPr>
                <w:rFonts w:ascii="Times New Roman" w:hAnsi="Times New Roman" w:eastAsia="Times New Roman" w:cs="Times New Roman"/>
                <w:color w:val="000000" w:themeColor="text1"/>
                <w:sz w:val="20"/>
                <w:szCs w:val="20"/>
              </w:rPr>
              <w:t>0.20</w:t>
            </w:r>
          </w:p>
        </w:tc>
      </w:tr>
      <w:tr w:rsidRPr="008841A1" w:rsidR="008841A1" w:rsidTr="006F05A3" w14:paraId="31AB9DB5" w14:textId="77777777">
        <w:trPr>
          <w:trHeight w:val="315"/>
          <w:jc w:val="center"/>
        </w:trPr>
        <w:tc>
          <w:tcPr>
            <w:tcW w:w="6754" w:type="dxa"/>
            <w:tcBorders>
              <w:top w:val="nil"/>
              <w:left w:val="nil"/>
              <w:bottom w:val="nil"/>
              <w:right w:val="nil"/>
            </w:tcBorders>
            <w:shd w:val="clear" w:color="auto" w:fill="auto"/>
            <w:noWrap/>
            <w:vAlign w:val="center"/>
            <w:hideMark/>
          </w:tcPr>
          <w:p w:rsidRPr="008841A1" w:rsidR="008841A1" w:rsidP="00FC6E82" w:rsidRDefault="008841A1" w14:paraId="743A99A0" w14:textId="77777777">
            <w:pPr>
              <w:spacing w:after="0" w:line="240" w:lineRule="auto"/>
              <w:contextualSpacing/>
              <w:rPr>
                <w:rFonts w:ascii="Times New Roman" w:hAnsi="Times New Roman" w:eastAsia="Times New Roman" w:cs="Times New Roman"/>
                <w:color w:val="000000" w:themeColor="text1"/>
                <w:sz w:val="20"/>
                <w:szCs w:val="20"/>
              </w:rPr>
            </w:pPr>
            <w:r w:rsidRPr="008841A1">
              <w:rPr>
                <w:rFonts w:ascii="Times New Roman" w:hAnsi="Times New Roman" w:eastAsia="Times New Roman" w:cs="Times New Roman"/>
                <w:color w:val="000000" w:themeColor="text1"/>
                <w:sz w:val="20"/>
                <w:szCs w:val="20"/>
              </w:rPr>
              <w:t>Administrative and Human Resource</w:t>
            </w:r>
          </w:p>
        </w:tc>
        <w:tc>
          <w:tcPr>
            <w:tcW w:w="1670" w:type="dxa"/>
            <w:tcBorders>
              <w:top w:val="nil"/>
              <w:left w:val="nil"/>
              <w:bottom w:val="nil"/>
              <w:right w:val="nil"/>
            </w:tcBorders>
            <w:shd w:val="clear" w:color="auto" w:fill="auto"/>
            <w:noWrap/>
            <w:vAlign w:val="center"/>
            <w:hideMark/>
          </w:tcPr>
          <w:p w:rsidRPr="008841A1" w:rsidR="008841A1" w:rsidP="00FC6E82" w:rsidRDefault="008841A1" w14:paraId="4F78F6A3" w14:textId="77777777">
            <w:pPr>
              <w:spacing w:after="0" w:line="240" w:lineRule="auto"/>
              <w:contextualSpacing/>
              <w:jc w:val="right"/>
              <w:rPr>
                <w:rFonts w:ascii="Times New Roman" w:hAnsi="Times New Roman" w:eastAsia="Times New Roman" w:cs="Times New Roman"/>
                <w:color w:val="000000" w:themeColor="text1"/>
                <w:sz w:val="20"/>
                <w:szCs w:val="20"/>
              </w:rPr>
            </w:pPr>
            <w:r w:rsidRPr="008841A1">
              <w:rPr>
                <w:rFonts w:ascii="Times New Roman" w:hAnsi="Times New Roman" w:eastAsia="Times New Roman" w:cs="Times New Roman"/>
                <w:color w:val="000000" w:themeColor="text1"/>
                <w:sz w:val="20"/>
                <w:szCs w:val="20"/>
              </w:rPr>
              <w:t>$416,793.71</w:t>
            </w:r>
          </w:p>
        </w:tc>
        <w:tc>
          <w:tcPr>
            <w:tcW w:w="1670" w:type="dxa"/>
            <w:tcBorders>
              <w:top w:val="nil"/>
              <w:left w:val="nil"/>
              <w:bottom w:val="nil"/>
              <w:right w:val="nil"/>
            </w:tcBorders>
            <w:shd w:val="clear" w:color="auto" w:fill="auto"/>
            <w:noWrap/>
            <w:vAlign w:val="center"/>
            <w:hideMark/>
          </w:tcPr>
          <w:p w:rsidRPr="008841A1" w:rsidR="008841A1" w:rsidP="00FC6E82" w:rsidRDefault="008841A1" w14:paraId="1EB1B353" w14:textId="77777777">
            <w:pPr>
              <w:spacing w:after="0" w:line="240" w:lineRule="auto"/>
              <w:contextualSpacing/>
              <w:jc w:val="right"/>
              <w:rPr>
                <w:rFonts w:ascii="Times New Roman" w:hAnsi="Times New Roman" w:eastAsia="Times New Roman" w:cs="Times New Roman"/>
                <w:color w:val="000000" w:themeColor="text1"/>
                <w:sz w:val="20"/>
                <w:szCs w:val="20"/>
              </w:rPr>
            </w:pPr>
            <w:r w:rsidRPr="008841A1">
              <w:rPr>
                <w:rFonts w:ascii="Times New Roman" w:hAnsi="Times New Roman" w:eastAsia="Times New Roman" w:cs="Times New Roman"/>
                <w:color w:val="000000" w:themeColor="text1"/>
                <w:sz w:val="20"/>
                <w:szCs w:val="20"/>
              </w:rPr>
              <w:t>3.46</w:t>
            </w:r>
          </w:p>
        </w:tc>
      </w:tr>
      <w:tr w:rsidRPr="008841A1" w:rsidR="008841A1" w:rsidTr="006F05A3" w14:paraId="498ED251" w14:textId="77777777">
        <w:trPr>
          <w:trHeight w:val="315"/>
          <w:jc w:val="center"/>
        </w:trPr>
        <w:tc>
          <w:tcPr>
            <w:tcW w:w="6754" w:type="dxa"/>
            <w:tcBorders>
              <w:top w:val="nil"/>
              <w:left w:val="nil"/>
              <w:bottom w:val="nil"/>
              <w:right w:val="nil"/>
            </w:tcBorders>
            <w:shd w:val="clear" w:color="auto" w:fill="auto"/>
            <w:noWrap/>
            <w:vAlign w:val="center"/>
            <w:hideMark/>
          </w:tcPr>
          <w:p w:rsidRPr="008841A1" w:rsidR="008841A1" w:rsidP="00FC6E82" w:rsidRDefault="008841A1" w14:paraId="2C3D701B" w14:textId="77777777">
            <w:pPr>
              <w:spacing w:after="0" w:line="240" w:lineRule="auto"/>
              <w:contextualSpacing/>
              <w:rPr>
                <w:rFonts w:ascii="Times New Roman" w:hAnsi="Times New Roman" w:eastAsia="Times New Roman" w:cs="Times New Roman"/>
                <w:color w:val="000000" w:themeColor="text1"/>
                <w:sz w:val="20"/>
                <w:szCs w:val="20"/>
              </w:rPr>
            </w:pPr>
            <w:r w:rsidRPr="008841A1">
              <w:rPr>
                <w:rFonts w:ascii="Times New Roman" w:hAnsi="Times New Roman" w:eastAsia="Times New Roman" w:cs="Times New Roman"/>
                <w:color w:val="000000" w:themeColor="text1"/>
                <w:sz w:val="20"/>
                <w:szCs w:val="20"/>
              </w:rPr>
              <w:t>Assessments/Analysis – External Customers</w:t>
            </w:r>
          </w:p>
        </w:tc>
        <w:tc>
          <w:tcPr>
            <w:tcW w:w="1670" w:type="dxa"/>
            <w:tcBorders>
              <w:top w:val="nil"/>
              <w:left w:val="nil"/>
              <w:bottom w:val="nil"/>
              <w:right w:val="nil"/>
            </w:tcBorders>
            <w:shd w:val="clear" w:color="auto" w:fill="auto"/>
            <w:noWrap/>
            <w:vAlign w:val="center"/>
            <w:hideMark/>
          </w:tcPr>
          <w:p w:rsidRPr="008841A1" w:rsidR="008841A1" w:rsidP="00FC6E82" w:rsidRDefault="008841A1" w14:paraId="15E0534E" w14:textId="77777777">
            <w:pPr>
              <w:spacing w:after="0" w:line="240" w:lineRule="auto"/>
              <w:contextualSpacing/>
              <w:jc w:val="right"/>
              <w:rPr>
                <w:rFonts w:ascii="Times New Roman" w:hAnsi="Times New Roman" w:eastAsia="Times New Roman" w:cs="Times New Roman"/>
                <w:color w:val="000000" w:themeColor="text1"/>
                <w:sz w:val="20"/>
                <w:szCs w:val="20"/>
              </w:rPr>
            </w:pPr>
            <w:r w:rsidRPr="008841A1">
              <w:rPr>
                <w:rFonts w:ascii="Times New Roman" w:hAnsi="Times New Roman" w:eastAsia="Times New Roman" w:cs="Times New Roman"/>
                <w:color w:val="000000" w:themeColor="text1"/>
                <w:sz w:val="20"/>
                <w:szCs w:val="20"/>
              </w:rPr>
              <w:t>$63,363.71</w:t>
            </w:r>
          </w:p>
        </w:tc>
        <w:tc>
          <w:tcPr>
            <w:tcW w:w="1670" w:type="dxa"/>
            <w:tcBorders>
              <w:top w:val="nil"/>
              <w:left w:val="nil"/>
              <w:bottom w:val="nil"/>
              <w:right w:val="nil"/>
            </w:tcBorders>
            <w:shd w:val="clear" w:color="auto" w:fill="auto"/>
            <w:noWrap/>
            <w:vAlign w:val="center"/>
            <w:hideMark/>
          </w:tcPr>
          <w:p w:rsidRPr="008841A1" w:rsidR="008841A1" w:rsidP="00FC6E82" w:rsidRDefault="008841A1" w14:paraId="6310A6C0" w14:textId="77777777">
            <w:pPr>
              <w:spacing w:after="0" w:line="240" w:lineRule="auto"/>
              <w:contextualSpacing/>
              <w:jc w:val="right"/>
              <w:rPr>
                <w:rFonts w:ascii="Times New Roman" w:hAnsi="Times New Roman" w:eastAsia="Times New Roman" w:cs="Times New Roman"/>
                <w:color w:val="000000" w:themeColor="text1"/>
                <w:sz w:val="20"/>
                <w:szCs w:val="20"/>
              </w:rPr>
            </w:pPr>
            <w:r w:rsidRPr="008841A1">
              <w:rPr>
                <w:rFonts w:ascii="Times New Roman" w:hAnsi="Times New Roman" w:eastAsia="Times New Roman" w:cs="Times New Roman"/>
                <w:color w:val="000000" w:themeColor="text1"/>
                <w:sz w:val="20"/>
                <w:szCs w:val="20"/>
              </w:rPr>
              <w:t>0.40</w:t>
            </w:r>
          </w:p>
        </w:tc>
      </w:tr>
      <w:tr w:rsidRPr="008841A1" w:rsidR="008841A1" w:rsidTr="006F05A3" w14:paraId="24B27919" w14:textId="77777777">
        <w:trPr>
          <w:trHeight w:val="315"/>
          <w:jc w:val="center"/>
        </w:trPr>
        <w:tc>
          <w:tcPr>
            <w:tcW w:w="6754" w:type="dxa"/>
            <w:tcBorders>
              <w:top w:val="nil"/>
              <w:left w:val="nil"/>
              <w:bottom w:val="nil"/>
              <w:right w:val="nil"/>
            </w:tcBorders>
            <w:shd w:val="clear" w:color="auto" w:fill="auto"/>
            <w:noWrap/>
            <w:vAlign w:val="center"/>
            <w:hideMark/>
          </w:tcPr>
          <w:p w:rsidRPr="008841A1" w:rsidR="008841A1" w:rsidP="00FC6E82" w:rsidRDefault="008841A1" w14:paraId="5A75C8C0" w14:textId="77777777">
            <w:pPr>
              <w:spacing w:after="0" w:line="240" w:lineRule="auto"/>
              <w:contextualSpacing/>
              <w:rPr>
                <w:rFonts w:ascii="Times New Roman" w:hAnsi="Times New Roman" w:eastAsia="Times New Roman" w:cs="Times New Roman"/>
                <w:color w:val="000000" w:themeColor="text1"/>
                <w:sz w:val="20"/>
                <w:szCs w:val="20"/>
              </w:rPr>
            </w:pPr>
            <w:r w:rsidRPr="008841A1">
              <w:rPr>
                <w:rFonts w:ascii="Times New Roman" w:hAnsi="Times New Roman" w:eastAsia="Times New Roman" w:cs="Times New Roman"/>
                <w:color w:val="000000" w:themeColor="text1"/>
                <w:sz w:val="20"/>
                <w:szCs w:val="20"/>
              </w:rPr>
              <w:t>Budget Activities, Strategic Planning, and Program Control</w:t>
            </w:r>
          </w:p>
        </w:tc>
        <w:tc>
          <w:tcPr>
            <w:tcW w:w="1670" w:type="dxa"/>
            <w:tcBorders>
              <w:top w:val="nil"/>
              <w:left w:val="nil"/>
              <w:bottom w:val="nil"/>
              <w:right w:val="nil"/>
            </w:tcBorders>
            <w:shd w:val="clear" w:color="auto" w:fill="auto"/>
            <w:noWrap/>
            <w:vAlign w:val="center"/>
            <w:hideMark/>
          </w:tcPr>
          <w:p w:rsidRPr="008841A1" w:rsidR="008841A1" w:rsidP="00FC6E82" w:rsidRDefault="008841A1" w14:paraId="31621FEF" w14:textId="77777777">
            <w:pPr>
              <w:spacing w:after="0" w:line="240" w:lineRule="auto"/>
              <w:contextualSpacing/>
              <w:jc w:val="right"/>
              <w:rPr>
                <w:rFonts w:ascii="Times New Roman" w:hAnsi="Times New Roman" w:eastAsia="Times New Roman" w:cs="Times New Roman"/>
                <w:color w:val="000000" w:themeColor="text1"/>
                <w:sz w:val="20"/>
                <w:szCs w:val="20"/>
              </w:rPr>
            </w:pPr>
            <w:r w:rsidRPr="008841A1">
              <w:rPr>
                <w:rFonts w:ascii="Times New Roman" w:hAnsi="Times New Roman" w:eastAsia="Times New Roman" w:cs="Times New Roman"/>
                <w:color w:val="000000" w:themeColor="text1"/>
                <w:sz w:val="20"/>
                <w:szCs w:val="20"/>
              </w:rPr>
              <w:t>$557,140.57</w:t>
            </w:r>
          </w:p>
        </w:tc>
        <w:tc>
          <w:tcPr>
            <w:tcW w:w="1670" w:type="dxa"/>
            <w:tcBorders>
              <w:top w:val="nil"/>
              <w:left w:val="nil"/>
              <w:bottom w:val="nil"/>
              <w:right w:val="nil"/>
            </w:tcBorders>
            <w:shd w:val="clear" w:color="auto" w:fill="auto"/>
            <w:noWrap/>
            <w:vAlign w:val="center"/>
            <w:hideMark/>
          </w:tcPr>
          <w:p w:rsidRPr="008841A1" w:rsidR="008841A1" w:rsidP="00FC6E82" w:rsidRDefault="008841A1" w14:paraId="623FF7D1" w14:textId="77777777">
            <w:pPr>
              <w:spacing w:after="0" w:line="240" w:lineRule="auto"/>
              <w:contextualSpacing/>
              <w:jc w:val="right"/>
              <w:rPr>
                <w:rFonts w:ascii="Times New Roman" w:hAnsi="Times New Roman" w:eastAsia="Times New Roman" w:cs="Times New Roman"/>
                <w:color w:val="000000" w:themeColor="text1"/>
                <w:sz w:val="20"/>
                <w:szCs w:val="20"/>
              </w:rPr>
            </w:pPr>
            <w:r w:rsidRPr="008841A1">
              <w:rPr>
                <w:rFonts w:ascii="Times New Roman" w:hAnsi="Times New Roman" w:eastAsia="Times New Roman" w:cs="Times New Roman"/>
                <w:color w:val="000000" w:themeColor="text1"/>
                <w:sz w:val="20"/>
                <w:szCs w:val="20"/>
              </w:rPr>
              <w:t>3.76</w:t>
            </w:r>
          </w:p>
        </w:tc>
      </w:tr>
      <w:tr w:rsidRPr="008841A1" w:rsidR="008841A1" w:rsidTr="006F05A3" w14:paraId="57706F8D" w14:textId="77777777">
        <w:trPr>
          <w:trHeight w:val="315"/>
          <w:jc w:val="center"/>
        </w:trPr>
        <w:tc>
          <w:tcPr>
            <w:tcW w:w="6754" w:type="dxa"/>
            <w:tcBorders>
              <w:top w:val="nil"/>
              <w:left w:val="nil"/>
              <w:bottom w:val="nil"/>
              <w:right w:val="nil"/>
            </w:tcBorders>
            <w:shd w:val="clear" w:color="auto" w:fill="auto"/>
            <w:noWrap/>
            <w:vAlign w:val="center"/>
            <w:hideMark/>
          </w:tcPr>
          <w:p w:rsidRPr="008841A1" w:rsidR="008841A1" w:rsidP="00FC6E82" w:rsidRDefault="008841A1" w14:paraId="436B0ABF" w14:textId="77777777">
            <w:pPr>
              <w:spacing w:after="0" w:line="240" w:lineRule="auto"/>
              <w:contextualSpacing/>
              <w:rPr>
                <w:rFonts w:ascii="Times New Roman" w:hAnsi="Times New Roman" w:eastAsia="Times New Roman" w:cs="Times New Roman"/>
                <w:color w:val="000000" w:themeColor="text1"/>
                <w:sz w:val="20"/>
                <w:szCs w:val="20"/>
              </w:rPr>
            </w:pPr>
            <w:r w:rsidRPr="008841A1">
              <w:rPr>
                <w:rFonts w:ascii="Times New Roman" w:hAnsi="Times New Roman" w:eastAsia="Times New Roman" w:cs="Times New Roman"/>
                <w:color w:val="000000" w:themeColor="text1"/>
                <w:sz w:val="20"/>
                <w:szCs w:val="20"/>
              </w:rPr>
              <w:t>Conduct Audits</w:t>
            </w:r>
          </w:p>
        </w:tc>
        <w:tc>
          <w:tcPr>
            <w:tcW w:w="1670" w:type="dxa"/>
            <w:tcBorders>
              <w:top w:val="nil"/>
              <w:left w:val="nil"/>
              <w:bottom w:val="nil"/>
              <w:right w:val="nil"/>
            </w:tcBorders>
            <w:shd w:val="clear" w:color="auto" w:fill="auto"/>
            <w:noWrap/>
            <w:vAlign w:val="center"/>
            <w:hideMark/>
          </w:tcPr>
          <w:p w:rsidRPr="008841A1" w:rsidR="008841A1" w:rsidP="00FC6E82" w:rsidRDefault="008841A1" w14:paraId="590C96B8" w14:textId="77777777">
            <w:pPr>
              <w:spacing w:after="0" w:line="240" w:lineRule="auto"/>
              <w:contextualSpacing/>
              <w:jc w:val="right"/>
              <w:rPr>
                <w:rFonts w:ascii="Times New Roman" w:hAnsi="Times New Roman" w:eastAsia="Times New Roman" w:cs="Times New Roman"/>
                <w:color w:val="000000" w:themeColor="text1"/>
                <w:sz w:val="20"/>
                <w:szCs w:val="20"/>
              </w:rPr>
            </w:pPr>
            <w:r w:rsidRPr="008841A1">
              <w:rPr>
                <w:rFonts w:ascii="Times New Roman" w:hAnsi="Times New Roman" w:eastAsia="Times New Roman" w:cs="Times New Roman"/>
                <w:color w:val="000000" w:themeColor="text1"/>
                <w:sz w:val="20"/>
                <w:szCs w:val="20"/>
              </w:rPr>
              <w:t>$106,545.90</w:t>
            </w:r>
          </w:p>
        </w:tc>
        <w:tc>
          <w:tcPr>
            <w:tcW w:w="1670" w:type="dxa"/>
            <w:tcBorders>
              <w:top w:val="nil"/>
              <w:left w:val="nil"/>
              <w:bottom w:val="nil"/>
              <w:right w:val="nil"/>
            </w:tcBorders>
            <w:shd w:val="clear" w:color="auto" w:fill="auto"/>
            <w:noWrap/>
            <w:vAlign w:val="center"/>
            <w:hideMark/>
          </w:tcPr>
          <w:p w:rsidRPr="008841A1" w:rsidR="008841A1" w:rsidP="00FC6E82" w:rsidRDefault="008841A1" w14:paraId="5F43FC9F" w14:textId="77777777">
            <w:pPr>
              <w:spacing w:after="0" w:line="240" w:lineRule="auto"/>
              <w:contextualSpacing/>
              <w:jc w:val="right"/>
              <w:rPr>
                <w:rFonts w:ascii="Times New Roman" w:hAnsi="Times New Roman" w:eastAsia="Times New Roman" w:cs="Times New Roman"/>
                <w:color w:val="000000" w:themeColor="text1"/>
                <w:sz w:val="20"/>
                <w:szCs w:val="20"/>
              </w:rPr>
            </w:pPr>
            <w:r w:rsidRPr="008841A1">
              <w:rPr>
                <w:rFonts w:ascii="Times New Roman" w:hAnsi="Times New Roman" w:eastAsia="Times New Roman" w:cs="Times New Roman"/>
                <w:color w:val="000000" w:themeColor="text1"/>
                <w:sz w:val="20"/>
                <w:szCs w:val="20"/>
              </w:rPr>
              <w:t>2.00</w:t>
            </w:r>
          </w:p>
        </w:tc>
      </w:tr>
      <w:tr w:rsidRPr="008841A1" w:rsidR="008841A1" w:rsidTr="006F05A3" w14:paraId="39074FA9" w14:textId="77777777">
        <w:trPr>
          <w:trHeight w:val="315"/>
          <w:jc w:val="center"/>
        </w:trPr>
        <w:tc>
          <w:tcPr>
            <w:tcW w:w="6754" w:type="dxa"/>
            <w:tcBorders>
              <w:top w:val="nil"/>
              <w:left w:val="nil"/>
              <w:bottom w:val="nil"/>
              <w:right w:val="nil"/>
            </w:tcBorders>
            <w:shd w:val="clear" w:color="auto" w:fill="auto"/>
            <w:noWrap/>
            <w:vAlign w:val="center"/>
            <w:hideMark/>
          </w:tcPr>
          <w:p w:rsidRPr="008841A1" w:rsidR="008841A1" w:rsidP="00FC6E82" w:rsidRDefault="008841A1" w14:paraId="127E5992" w14:textId="77777777">
            <w:pPr>
              <w:spacing w:after="0" w:line="240" w:lineRule="auto"/>
              <w:contextualSpacing/>
              <w:rPr>
                <w:rFonts w:ascii="Times New Roman" w:hAnsi="Times New Roman" w:eastAsia="Times New Roman" w:cs="Times New Roman"/>
                <w:color w:val="000000" w:themeColor="text1"/>
                <w:sz w:val="20"/>
                <w:szCs w:val="20"/>
              </w:rPr>
            </w:pPr>
            <w:r w:rsidRPr="008841A1">
              <w:rPr>
                <w:rFonts w:ascii="Times New Roman" w:hAnsi="Times New Roman" w:eastAsia="Times New Roman" w:cs="Times New Roman"/>
                <w:color w:val="000000" w:themeColor="text1"/>
                <w:sz w:val="20"/>
                <w:szCs w:val="20"/>
              </w:rPr>
              <w:t>Conduct Uniform Crime Reporting (UCR) Audits</w:t>
            </w:r>
          </w:p>
        </w:tc>
        <w:tc>
          <w:tcPr>
            <w:tcW w:w="1670" w:type="dxa"/>
            <w:tcBorders>
              <w:top w:val="nil"/>
              <w:left w:val="nil"/>
              <w:bottom w:val="nil"/>
              <w:right w:val="nil"/>
            </w:tcBorders>
            <w:shd w:val="clear" w:color="auto" w:fill="auto"/>
            <w:noWrap/>
            <w:vAlign w:val="center"/>
            <w:hideMark/>
          </w:tcPr>
          <w:p w:rsidRPr="008841A1" w:rsidR="008841A1" w:rsidP="00FC6E82" w:rsidRDefault="008841A1" w14:paraId="2630E4EA" w14:textId="77777777">
            <w:pPr>
              <w:spacing w:after="0" w:line="240" w:lineRule="auto"/>
              <w:contextualSpacing/>
              <w:jc w:val="right"/>
              <w:rPr>
                <w:rFonts w:ascii="Times New Roman" w:hAnsi="Times New Roman" w:eastAsia="Times New Roman" w:cs="Times New Roman"/>
                <w:color w:val="000000" w:themeColor="text1"/>
                <w:sz w:val="20"/>
                <w:szCs w:val="20"/>
              </w:rPr>
            </w:pPr>
            <w:r w:rsidRPr="008841A1">
              <w:rPr>
                <w:rFonts w:ascii="Times New Roman" w:hAnsi="Times New Roman" w:eastAsia="Times New Roman" w:cs="Times New Roman"/>
                <w:color w:val="000000" w:themeColor="text1"/>
                <w:sz w:val="20"/>
                <w:szCs w:val="20"/>
              </w:rPr>
              <w:t>$80,268.18</w:t>
            </w:r>
          </w:p>
        </w:tc>
        <w:tc>
          <w:tcPr>
            <w:tcW w:w="1670" w:type="dxa"/>
            <w:tcBorders>
              <w:top w:val="nil"/>
              <w:left w:val="nil"/>
              <w:bottom w:val="nil"/>
              <w:right w:val="nil"/>
            </w:tcBorders>
            <w:shd w:val="clear" w:color="auto" w:fill="auto"/>
            <w:noWrap/>
            <w:vAlign w:val="center"/>
            <w:hideMark/>
          </w:tcPr>
          <w:p w:rsidRPr="008841A1" w:rsidR="008841A1" w:rsidP="00FC6E82" w:rsidRDefault="008841A1" w14:paraId="230ACB3A" w14:textId="77777777">
            <w:pPr>
              <w:spacing w:after="0" w:line="240" w:lineRule="auto"/>
              <w:contextualSpacing/>
              <w:jc w:val="right"/>
              <w:rPr>
                <w:rFonts w:ascii="Times New Roman" w:hAnsi="Times New Roman" w:eastAsia="Times New Roman" w:cs="Times New Roman"/>
                <w:color w:val="000000" w:themeColor="text1"/>
                <w:sz w:val="20"/>
                <w:szCs w:val="20"/>
              </w:rPr>
            </w:pPr>
            <w:r w:rsidRPr="008841A1">
              <w:rPr>
                <w:rFonts w:ascii="Times New Roman" w:hAnsi="Times New Roman" w:eastAsia="Times New Roman" w:cs="Times New Roman"/>
                <w:color w:val="000000" w:themeColor="text1"/>
                <w:sz w:val="20"/>
                <w:szCs w:val="20"/>
              </w:rPr>
              <w:t>1.04</w:t>
            </w:r>
          </w:p>
        </w:tc>
      </w:tr>
      <w:tr w:rsidRPr="008841A1" w:rsidR="008841A1" w:rsidTr="006F05A3" w14:paraId="694B138A" w14:textId="77777777">
        <w:trPr>
          <w:trHeight w:val="315"/>
          <w:jc w:val="center"/>
        </w:trPr>
        <w:tc>
          <w:tcPr>
            <w:tcW w:w="6754" w:type="dxa"/>
            <w:tcBorders>
              <w:top w:val="nil"/>
              <w:left w:val="nil"/>
              <w:bottom w:val="nil"/>
              <w:right w:val="nil"/>
            </w:tcBorders>
            <w:shd w:val="clear" w:color="auto" w:fill="auto"/>
            <w:noWrap/>
            <w:vAlign w:val="center"/>
            <w:hideMark/>
          </w:tcPr>
          <w:p w:rsidRPr="008841A1" w:rsidR="008841A1" w:rsidP="00FC6E82" w:rsidRDefault="008841A1" w14:paraId="7282A8A6" w14:textId="77777777">
            <w:pPr>
              <w:spacing w:after="0" w:line="240" w:lineRule="auto"/>
              <w:contextualSpacing/>
              <w:rPr>
                <w:rFonts w:ascii="Times New Roman" w:hAnsi="Times New Roman" w:eastAsia="Times New Roman" w:cs="Times New Roman"/>
                <w:color w:val="000000" w:themeColor="text1"/>
                <w:sz w:val="20"/>
                <w:szCs w:val="20"/>
              </w:rPr>
            </w:pPr>
            <w:r w:rsidRPr="008841A1">
              <w:rPr>
                <w:rFonts w:ascii="Times New Roman" w:hAnsi="Times New Roman" w:eastAsia="Times New Roman" w:cs="Times New Roman"/>
                <w:color w:val="000000" w:themeColor="text1"/>
                <w:sz w:val="20"/>
                <w:szCs w:val="20"/>
              </w:rPr>
              <w:t>Curriculum Design – External Customers</w:t>
            </w:r>
          </w:p>
        </w:tc>
        <w:tc>
          <w:tcPr>
            <w:tcW w:w="1670" w:type="dxa"/>
            <w:tcBorders>
              <w:top w:val="nil"/>
              <w:left w:val="nil"/>
              <w:bottom w:val="nil"/>
              <w:right w:val="nil"/>
            </w:tcBorders>
            <w:shd w:val="clear" w:color="auto" w:fill="auto"/>
            <w:noWrap/>
            <w:vAlign w:val="center"/>
            <w:hideMark/>
          </w:tcPr>
          <w:p w:rsidRPr="008841A1" w:rsidR="008841A1" w:rsidP="00FC6E82" w:rsidRDefault="008841A1" w14:paraId="7F6F4A61" w14:textId="77777777">
            <w:pPr>
              <w:spacing w:after="0" w:line="240" w:lineRule="auto"/>
              <w:contextualSpacing/>
              <w:jc w:val="right"/>
              <w:rPr>
                <w:rFonts w:ascii="Times New Roman" w:hAnsi="Times New Roman" w:eastAsia="Times New Roman" w:cs="Times New Roman"/>
                <w:color w:val="000000" w:themeColor="text1"/>
                <w:sz w:val="20"/>
                <w:szCs w:val="20"/>
              </w:rPr>
            </w:pPr>
            <w:r w:rsidRPr="008841A1">
              <w:rPr>
                <w:rFonts w:ascii="Times New Roman" w:hAnsi="Times New Roman" w:eastAsia="Times New Roman" w:cs="Times New Roman"/>
                <w:color w:val="000000" w:themeColor="text1"/>
                <w:sz w:val="20"/>
                <w:szCs w:val="20"/>
              </w:rPr>
              <w:t>$166,386.43</w:t>
            </w:r>
          </w:p>
        </w:tc>
        <w:tc>
          <w:tcPr>
            <w:tcW w:w="1670" w:type="dxa"/>
            <w:tcBorders>
              <w:top w:val="nil"/>
              <w:left w:val="nil"/>
              <w:bottom w:val="nil"/>
              <w:right w:val="nil"/>
            </w:tcBorders>
            <w:shd w:val="clear" w:color="auto" w:fill="auto"/>
            <w:noWrap/>
            <w:vAlign w:val="center"/>
            <w:hideMark/>
          </w:tcPr>
          <w:p w:rsidRPr="008841A1" w:rsidR="008841A1" w:rsidP="00FC6E82" w:rsidRDefault="008841A1" w14:paraId="439DBE21" w14:textId="77777777">
            <w:pPr>
              <w:spacing w:after="0" w:line="240" w:lineRule="auto"/>
              <w:contextualSpacing/>
              <w:jc w:val="right"/>
              <w:rPr>
                <w:rFonts w:ascii="Times New Roman" w:hAnsi="Times New Roman" w:eastAsia="Times New Roman" w:cs="Times New Roman"/>
                <w:color w:val="000000" w:themeColor="text1"/>
                <w:sz w:val="20"/>
                <w:szCs w:val="20"/>
              </w:rPr>
            </w:pPr>
            <w:r w:rsidRPr="008841A1">
              <w:rPr>
                <w:rFonts w:ascii="Times New Roman" w:hAnsi="Times New Roman" w:eastAsia="Times New Roman" w:cs="Times New Roman"/>
                <w:color w:val="000000" w:themeColor="text1"/>
                <w:sz w:val="20"/>
                <w:szCs w:val="20"/>
              </w:rPr>
              <w:t>1.11</w:t>
            </w:r>
          </w:p>
        </w:tc>
      </w:tr>
      <w:tr w:rsidRPr="008841A1" w:rsidR="008841A1" w:rsidTr="006F05A3" w14:paraId="2FC558FC" w14:textId="77777777">
        <w:trPr>
          <w:trHeight w:val="315"/>
          <w:jc w:val="center"/>
        </w:trPr>
        <w:tc>
          <w:tcPr>
            <w:tcW w:w="6754" w:type="dxa"/>
            <w:tcBorders>
              <w:top w:val="nil"/>
              <w:left w:val="nil"/>
              <w:bottom w:val="nil"/>
              <w:right w:val="nil"/>
            </w:tcBorders>
            <w:shd w:val="clear" w:color="auto" w:fill="auto"/>
            <w:noWrap/>
            <w:vAlign w:val="center"/>
            <w:hideMark/>
          </w:tcPr>
          <w:p w:rsidRPr="008841A1" w:rsidR="008841A1" w:rsidP="00FC6E82" w:rsidRDefault="008841A1" w14:paraId="2D11305A" w14:textId="77777777">
            <w:pPr>
              <w:spacing w:after="0" w:line="240" w:lineRule="auto"/>
              <w:contextualSpacing/>
              <w:rPr>
                <w:rFonts w:ascii="Times New Roman" w:hAnsi="Times New Roman" w:eastAsia="Times New Roman" w:cs="Times New Roman"/>
                <w:color w:val="000000" w:themeColor="text1"/>
                <w:sz w:val="20"/>
                <w:szCs w:val="20"/>
              </w:rPr>
            </w:pPr>
            <w:r w:rsidRPr="008841A1">
              <w:rPr>
                <w:rFonts w:ascii="Times New Roman" w:hAnsi="Times New Roman" w:eastAsia="Times New Roman" w:cs="Times New Roman"/>
                <w:color w:val="000000" w:themeColor="text1"/>
                <w:sz w:val="20"/>
                <w:szCs w:val="20"/>
              </w:rPr>
              <w:t>Direct and Interpret Statistical Methodologies</w:t>
            </w:r>
          </w:p>
        </w:tc>
        <w:tc>
          <w:tcPr>
            <w:tcW w:w="1670" w:type="dxa"/>
            <w:tcBorders>
              <w:top w:val="nil"/>
              <w:left w:val="nil"/>
              <w:bottom w:val="nil"/>
              <w:right w:val="nil"/>
            </w:tcBorders>
            <w:shd w:val="clear" w:color="auto" w:fill="auto"/>
            <w:noWrap/>
            <w:vAlign w:val="center"/>
            <w:hideMark/>
          </w:tcPr>
          <w:p w:rsidRPr="008841A1" w:rsidR="008841A1" w:rsidP="00FC6E82" w:rsidRDefault="008841A1" w14:paraId="3C03FED6" w14:textId="77777777">
            <w:pPr>
              <w:spacing w:after="0" w:line="240" w:lineRule="auto"/>
              <w:contextualSpacing/>
              <w:jc w:val="right"/>
              <w:rPr>
                <w:rFonts w:ascii="Times New Roman" w:hAnsi="Times New Roman" w:eastAsia="Times New Roman" w:cs="Times New Roman"/>
                <w:color w:val="000000" w:themeColor="text1"/>
                <w:sz w:val="20"/>
                <w:szCs w:val="20"/>
              </w:rPr>
            </w:pPr>
            <w:r w:rsidRPr="008841A1">
              <w:rPr>
                <w:rFonts w:ascii="Times New Roman" w:hAnsi="Times New Roman" w:eastAsia="Times New Roman" w:cs="Times New Roman"/>
                <w:color w:val="000000" w:themeColor="text1"/>
                <w:sz w:val="20"/>
                <w:szCs w:val="20"/>
              </w:rPr>
              <w:t>$46,984.00</w:t>
            </w:r>
          </w:p>
        </w:tc>
        <w:tc>
          <w:tcPr>
            <w:tcW w:w="1670" w:type="dxa"/>
            <w:tcBorders>
              <w:top w:val="nil"/>
              <w:left w:val="nil"/>
              <w:bottom w:val="nil"/>
              <w:right w:val="nil"/>
            </w:tcBorders>
            <w:shd w:val="clear" w:color="auto" w:fill="auto"/>
            <w:noWrap/>
            <w:vAlign w:val="center"/>
            <w:hideMark/>
          </w:tcPr>
          <w:p w:rsidRPr="008841A1" w:rsidR="008841A1" w:rsidP="00FC6E82" w:rsidRDefault="008841A1" w14:paraId="337EA188" w14:textId="77777777">
            <w:pPr>
              <w:spacing w:after="0" w:line="240" w:lineRule="auto"/>
              <w:contextualSpacing/>
              <w:jc w:val="right"/>
              <w:rPr>
                <w:rFonts w:ascii="Times New Roman" w:hAnsi="Times New Roman" w:eastAsia="Times New Roman" w:cs="Times New Roman"/>
                <w:color w:val="000000" w:themeColor="text1"/>
                <w:sz w:val="20"/>
                <w:szCs w:val="20"/>
              </w:rPr>
            </w:pPr>
            <w:r w:rsidRPr="008841A1">
              <w:rPr>
                <w:rFonts w:ascii="Times New Roman" w:hAnsi="Times New Roman" w:eastAsia="Times New Roman" w:cs="Times New Roman"/>
                <w:color w:val="000000" w:themeColor="text1"/>
                <w:sz w:val="20"/>
                <w:szCs w:val="20"/>
              </w:rPr>
              <w:t>0.60</w:t>
            </w:r>
          </w:p>
        </w:tc>
      </w:tr>
      <w:tr w:rsidRPr="008841A1" w:rsidR="008841A1" w:rsidTr="006F05A3" w14:paraId="030C6714" w14:textId="77777777">
        <w:trPr>
          <w:trHeight w:val="315"/>
          <w:jc w:val="center"/>
        </w:trPr>
        <w:tc>
          <w:tcPr>
            <w:tcW w:w="6754" w:type="dxa"/>
            <w:tcBorders>
              <w:top w:val="nil"/>
              <w:left w:val="nil"/>
              <w:bottom w:val="nil"/>
              <w:right w:val="nil"/>
            </w:tcBorders>
            <w:shd w:val="clear" w:color="auto" w:fill="auto"/>
            <w:noWrap/>
            <w:vAlign w:val="center"/>
            <w:hideMark/>
          </w:tcPr>
          <w:p w:rsidRPr="008841A1" w:rsidR="008841A1" w:rsidP="00FC6E82" w:rsidRDefault="008841A1" w14:paraId="019116A1" w14:textId="77777777">
            <w:pPr>
              <w:spacing w:after="0" w:line="240" w:lineRule="auto"/>
              <w:contextualSpacing/>
              <w:rPr>
                <w:rFonts w:ascii="Times New Roman" w:hAnsi="Times New Roman" w:eastAsia="Times New Roman" w:cs="Times New Roman"/>
                <w:color w:val="000000" w:themeColor="text1"/>
                <w:sz w:val="20"/>
                <w:szCs w:val="20"/>
              </w:rPr>
            </w:pPr>
            <w:r w:rsidRPr="008841A1">
              <w:rPr>
                <w:rFonts w:ascii="Times New Roman" w:hAnsi="Times New Roman" w:eastAsia="Times New Roman" w:cs="Times New Roman"/>
                <w:color w:val="000000" w:themeColor="text1"/>
                <w:sz w:val="20"/>
                <w:szCs w:val="20"/>
              </w:rPr>
              <w:t>Editing</w:t>
            </w:r>
          </w:p>
        </w:tc>
        <w:tc>
          <w:tcPr>
            <w:tcW w:w="1670" w:type="dxa"/>
            <w:tcBorders>
              <w:top w:val="nil"/>
              <w:left w:val="nil"/>
              <w:bottom w:val="nil"/>
              <w:right w:val="nil"/>
            </w:tcBorders>
            <w:shd w:val="clear" w:color="auto" w:fill="auto"/>
            <w:noWrap/>
            <w:vAlign w:val="center"/>
            <w:hideMark/>
          </w:tcPr>
          <w:p w:rsidRPr="008841A1" w:rsidR="008841A1" w:rsidP="00FC6E82" w:rsidRDefault="008841A1" w14:paraId="43581745" w14:textId="77777777">
            <w:pPr>
              <w:spacing w:after="0" w:line="240" w:lineRule="auto"/>
              <w:contextualSpacing/>
              <w:jc w:val="right"/>
              <w:rPr>
                <w:rFonts w:ascii="Times New Roman" w:hAnsi="Times New Roman" w:eastAsia="Times New Roman" w:cs="Times New Roman"/>
                <w:color w:val="000000" w:themeColor="text1"/>
                <w:sz w:val="20"/>
                <w:szCs w:val="20"/>
              </w:rPr>
            </w:pPr>
            <w:r w:rsidRPr="008841A1">
              <w:rPr>
                <w:rFonts w:ascii="Times New Roman" w:hAnsi="Times New Roman" w:eastAsia="Times New Roman" w:cs="Times New Roman"/>
                <w:color w:val="000000" w:themeColor="text1"/>
                <w:sz w:val="20"/>
                <w:szCs w:val="20"/>
              </w:rPr>
              <w:t>$120,701.94</w:t>
            </w:r>
          </w:p>
        </w:tc>
        <w:tc>
          <w:tcPr>
            <w:tcW w:w="1670" w:type="dxa"/>
            <w:tcBorders>
              <w:top w:val="nil"/>
              <w:left w:val="nil"/>
              <w:bottom w:val="nil"/>
              <w:right w:val="nil"/>
            </w:tcBorders>
            <w:shd w:val="clear" w:color="auto" w:fill="auto"/>
            <w:noWrap/>
            <w:vAlign w:val="center"/>
            <w:hideMark/>
          </w:tcPr>
          <w:p w:rsidRPr="008841A1" w:rsidR="008841A1" w:rsidP="00FC6E82" w:rsidRDefault="008841A1" w14:paraId="67398560" w14:textId="77777777">
            <w:pPr>
              <w:spacing w:after="0" w:line="240" w:lineRule="auto"/>
              <w:contextualSpacing/>
              <w:jc w:val="right"/>
              <w:rPr>
                <w:rFonts w:ascii="Times New Roman" w:hAnsi="Times New Roman" w:eastAsia="Times New Roman" w:cs="Times New Roman"/>
                <w:color w:val="000000" w:themeColor="text1"/>
                <w:sz w:val="20"/>
                <w:szCs w:val="20"/>
              </w:rPr>
            </w:pPr>
            <w:r w:rsidRPr="008841A1">
              <w:rPr>
                <w:rFonts w:ascii="Times New Roman" w:hAnsi="Times New Roman" w:eastAsia="Times New Roman" w:cs="Times New Roman"/>
                <w:color w:val="000000" w:themeColor="text1"/>
                <w:sz w:val="20"/>
                <w:szCs w:val="20"/>
              </w:rPr>
              <w:t>1.70</w:t>
            </w:r>
          </w:p>
        </w:tc>
      </w:tr>
      <w:tr w:rsidRPr="008841A1" w:rsidR="008841A1" w:rsidTr="006F05A3" w14:paraId="62F02337" w14:textId="77777777">
        <w:trPr>
          <w:trHeight w:val="315"/>
          <w:jc w:val="center"/>
        </w:trPr>
        <w:tc>
          <w:tcPr>
            <w:tcW w:w="6754" w:type="dxa"/>
            <w:tcBorders>
              <w:top w:val="nil"/>
              <w:left w:val="nil"/>
              <w:bottom w:val="nil"/>
              <w:right w:val="nil"/>
            </w:tcBorders>
            <w:shd w:val="clear" w:color="auto" w:fill="auto"/>
            <w:noWrap/>
            <w:vAlign w:val="center"/>
            <w:hideMark/>
          </w:tcPr>
          <w:p w:rsidRPr="008841A1" w:rsidR="008841A1" w:rsidP="00FC6E82" w:rsidRDefault="008841A1" w14:paraId="0E587BED" w14:textId="77777777">
            <w:pPr>
              <w:spacing w:after="0" w:line="240" w:lineRule="auto"/>
              <w:contextualSpacing/>
              <w:rPr>
                <w:rFonts w:ascii="Times New Roman" w:hAnsi="Times New Roman" w:eastAsia="Times New Roman" w:cs="Times New Roman"/>
                <w:color w:val="000000" w:themeColor="text1"/>
                <w:sz w:val="20"/>
                <w:szCs w:val="20"/>
              </w:rPr>
            </w:pPr>
            <w:r w:rsidRPr="008841A1">
              <w:rPr>
                <w:rFonts w:ascii="Times New Roman" w:hAnsi="Times New Roman" w:eastAsia="Times New Roman" w:cs="Times New Roman"/>
                <w:color w:val="000000" w:themeColor="text1"/>
                <w:sz w:val="20"/>
                <w:szCs w:val="20"/>
              </w:rPr>
              <w:t>Graphics</w:t>
            </w:r>
          </w:p>
        </w:tc>
        <w:tc>
          <w:tcPr>
            <w:tcW w:w="1670" w:type="dxa"/>
            <w:tcBorders>
              <w:top w:val="nil"/>
              <w:left w:val="nil"/>
              <w:bottom w:val="nil"/>
              <w:right w:val="nil"/>
            </w:tcBorders>
            <w:shd w:val="clear" w:color="auto" w:fill="auto"/>
            <w:noWrap/>
            <w:vAlign w:val="center"/>
            <w:hideMark/>
          </w:tcPr>
          <w:p w:rsidRPr="008841A1" w:rsidR="008841A1" w:rsidP="00FC6E82" w:rsidRDefault="008841A1" w14:paraId="1EC3CB69" w14:textId="77777777">
            <w:pPr>
              <w:spacing w:after="0" w:line="240" w:lineRule="auto"/>
              <w:contextualSpacing/>
              <w:jc w:val="right"/>
              <w:rPr>
                <w:rFonts w:ascii="Times New Roman" w:hAnsi="Times New Roman" w:eastAsia="Times New Roman" w:cs="Times New Roman"/>
                <w:color w:val="000000" w:themeColor="text1"/>
                <w:sz w:val="20"/>
                <w:szCs w:val="20"/>
              </w:rPr>
            </w:pPr>
            <w:r w:rsidRPr="008841A1">
              <w:rPr>
                <w:rFonts w:ascii="Times New Roman" w:hAnsi="Times New Roman" w:eastAsia="Times New Roman" w:cs="Times New Roman"/>
                <w:color w:val="000000" w:themeColor="text1"/>
                <w:sz w:val="20"/>
                <w:szCs w:val="20"/>
              </w:rPr>
              <w:t>$37,986.43</w:t>
            </w:r>
          </w:p>
        </w:tc>
        <w:tc>
          <w:tcPr>
            <w:tcW w:w="1670" w:type="dxa"/>
            <w:tcBorders>
              <w:top w:val="nil"/>
              <w:left w:val="nil"/>
              <w:bottom w:val="nil"/>
              <w:right w:val="nil"/>
            </w:tcBorders>
            <w:shd w:val="clear" w:color="auto" w:fill="auto"/>
            <w:noWrap/>
            <w:vAlign w:val="center"/>
            <w:hideMark/>
          </w:tcPr>
          <w:p w:rsidRPr="008841A1" w:rsidR="008841A1" w:rsidP="00FC6E82" w:rsidRDefault="008841A1" w14:paraId="7773A893" w14:textId="77777777">
            <w:pPr>
              <w:spacing w:after="0" w:line="240" w:lineRule="auto"/>
              <w:contextualSpacing/>
              <w:jc w:val="right"/>
              <w:rPr>
                <w:rFonts w:ascii="Times New Roman" w:hAnsi="Times New Roman" w:eastAsia="Times New Roman" w:cs="Times New Roman"/>
                <w:color w:val="000000" w:themeColor="text1"/>
                <w:sz w:val="20"/>
                <w:szCs w:val="20"/>
              </w:rPr>
            </w:pPr>
            <w:r w:rsidRPr="008841A1">
              <w:rPr>
                <w:rFonts w:ascii="Times New Roman" w:hAnsi="Times New Roman" w:eastAsia="Times New Roman" w:cs="Times New Roman"/>
                <w:color w:val="000000" w:themeColor="text1"/>
                <w:sz w:val="20"/>
                <w:szCs w:val="20"/>
              </w:rPr>
              <w:t>0.50</w:t>
            </w:r>
          </w:p>
        </w:tc>
      </w:tr>
      <w:tr w:rsidRPr="008841A1" w:rsidR="008841A1" w:rsidTr="006F05A3" w14:paraId="351695B6" w14:textId="77777777">
        <w:trPr>
          <w:trHeight w:val="315"/>
          <w:jc w:val="center"/>
        </w:trPr>
        <w:tc>
          <w:tcPr>
            <w:tcW w:w="6754" w:type="dxa"/>
            <w:tcBorders>
              <w:top w:val="nil"/>
              <w:left w:val="nil"/>
              <w:bottom w:val="nil"/>
              <w:right w:val="nil"/>
            </w:tcBorders>
            <w:shd w:val="clear" w:color="auto" w:fill="auto"/>
            <w:noWrap/>
            <w:vAlign w:val="center"/>
            <w:hideMark/>
          </w:tcPr>
          <w:p w:rsidRPr="008841A1" w:rsidR="008841A1" w:rsidP="00FC6E82" w:rsidRDefault="008841A1" w14:paraId="5F4F2EFC" w14:textId="77777777">
            <w:pPr>
              <w:spacing w:after="0" w:line="240" w:lineRule="auto"/>
              <w:contextualSpacing/>
              <w:rPr>
                <w:rFonts w:ascii="Times New Roman" w:hAnsi="Times New Roman" w:eastAsia="Times New Roman" w:cs="Times New Roman"/>
                <w:color w:val="000000" w:themeColor="text1"/>
                <w:sz w:val="20"/>
                <w:szCs w:val="20"/>
              </w:rPr>
            </w:pPr>
            <w:r w:rsidRPr="008841A1">
              <w:rPr>
                <w:rFonts w:ascii="Times New Roman" w:hAnsi="Times New Roman" w:eastAsia="Times New Roman" w:cs="Times New Roman"/>
                <w:color w:val="000000" w:themeColor="text1"/>
                <w:sz w:val="20"/>
                <w:szCs w:val="20"/>
              </w:rPr>
              <w:t>Liaison, Education, and Promotion</w:t>
            </w:r>
          </w:p>
        </w:tc>
        <w:tc>
          <w:tcPr>
            <w:tcW w:w="1670" w:type="dxa"/>
            <w:tcBorders>
              <w:top w:val="nil"/>
              <w:left w:val="nil"/>
              <w:bottom w:val="nil"/>
              <w:right w:val="nil"/>
            </w:tcBorders>
            <w:shd w:val="clear" w:color="auto" w:fill="auto"/>
            <w:noWrap/>
            <w:vAlign w:val="center"/>
            <w:hideMark/>
          </w:tcPr>
          <w:p w:rsidRPr="008841A1" w:rsidR="008841A1" w:rsidP="00FC6E82" w:rsidRDefault="008841A1" w14:paraId="51CA00DF" w14:textId="77777777">
            <w:pPr>
              <w:spacing w:after="0" w:line="240" w:lineRule="auto"/>
              <w:contextualSpacing/>
              <w:jc w:val="right"/>
              <w:rPr>
                <w:rFonts w:ascii="Times New Roman" w:hAnsi="Times New Roman" w:eastAsia="Times New Roman" w:cs="Times New Roman"/>
                <w:color w:val="000000" w:themeColor="text1"/>
                <w:sz w:val="20"/>
                <w:szCs w:val="20"/>
              </w:rPr>
            </w:pPr>
            <w:r w:rsidRPr="008841A1">
              <w:rPr>
                <w:rFonts w:ascii="Times New Roman" w:hAnsi="Times New Roman" w:eastAsia="Times New Roman" w:cs="Times New Roman"/>
                <w:color w:val="000000" w:themeColor="text1"/>
                <w:sz w:val="20"/>
                <w:szCs w:val="20"/>
              </w:rPr>
              <w:t>$982,682.24</w:t>
            </w:r>
          </w:p>
        </w:tc>
        <w:tc>
          <w:tcPr>
            <w:tcW w:w="1670" w:type="dxa"/>
            <w:tcBorders>
              <w:top w:val="nil"/>
              <w:left w:val="nil"/>
              <w:bottom w:val="nil"/>
              <w:right w:val="nil"/>
            </w:tcBorders>
            <w:shd w:val="clear" w:color="auto" w:fill="auto"/>
            <w:noWrap/>
            <w:vAlign w:val="center"/>
            <w:hideMark/>
          </w:tcPr>
          <w:p w:rsidRPr="008841A1" w:rsidR="008841A1" w:rsidP="00FC6E82" w:rsidRDefault="008841A1" w14:paraId="0F2F57A6" w14:textId="77777777">
            <w:pPr>
              <w:spacing w:after="0" w:line="240" w:lineRule="auto"/>
              <w:contextualSpacing/>
              <w:jc w:val="right"/>
              <w:rPr>
                <w:rFonts w:ascii="Times New Roman" w:hAnsi="Times New Roman" w:eastAsia="Times New Roman" w:cs="Times New Roman"/>
                <w:color w:val="000000" w:themeColor="text1"/>
                <w:sz w:val="20"/>
                <w:szCs w:val="20"/>
              </w:rPr>
            </w:pPr>
            <w:r w:rsidRPr="008841A1">
              <w:rPr>
                <w:rFonts w:ascii="Times New Roman" w:hAnsi="Times New Roman" w:eastAsia="Times New Roman" w:cs="Times New Roman"/>
                <w:color w:val="000000" w:themeColor="text1"/>
                <w:sz w:val="20"/>
                <w:szCs w:val="20"/>
              </w:rPr>
              <w:t>7.21</w:t>
            </w:r>
          </w:p>
        </w:tc>
      </w:tr>
      <w:tr w:rsidRPr="008841A1" w:rsidR="008841A1" w:rsidTr="006F05A3" w14:paraId="7CDB5A5C" w14:textId="77777777">
        <w:trPr>
          <w:trHeight w:val="315"/>
          <w:jc w:val="center"/>
        </w:trPr>
        <w:tc>
          <w:tcPr>
            <w:tcW w:w="6754" w:type="dxa"/>
            <w:tcBorders>
              <w:top w:val="nil"/>
              <w:left w:val="nil"/>
              <w:bottom w:val="nil"/>
              <w:right w:val="nil"/>
            </w:tcBorders>
            <w:shd w:val="clear" w:color="auto" w:fill="auto"/>
            <w:noWrap/>
            <w:vAlign w:val="center"/>
            <w:hideMark/>
          </w:tcPr>
          <w:p w:rsidRPr="008841A1" w:rsidR="008841A1" w:rsidP="00FC6E82" w:rsidRDefault="008841A1" w14:paraId="7145F7E4" w14:textId="77777777">
            <w:pPr>
              <w:spacing w:after="0" w:line="240" w:lineRule="auto"/>
              <w:contextualSpacing/>
              <w:rPr>
                <w:rFonts w:ascii="Times New Roman" w:hAnsi="Times New Roman" w:eastAsia="Times New Roman" w:cs="Times New Roman"/>
                <w:color w:val="000000" w:themeColor="text1"/>
                <w:sz w:val="20"/>
                <w:szCs w:val="20"/>
              </w:rPr>
            </w:pPr>
            <w:r w:rsidRPr="008841A1">
              <w:rPr>
                <w:rFonts w:ascii="Times New Roman" w:hAnsi="Times New Roman" w:eastAsia="Times New Roman" w:cs="Times New Roman"/>
                <w:color w:val="000000" w:themeColor="text1"/>
                <w:sz w:val="20"/>
                <w:szCs w:val="20"/>
              </w:rPr>
              <w:t>New UCR and Crime Data Explorer (CDE) Operations and Maintenance (O&amp;M)</w:t>
            </w:r>
          </w:p>
        </w:tc>
        <w:tc>
          <w:tcPr>
            <w:tcW w:w="1670" w:type="dxa"/>
            <w:tcBorders>
              <w:top w:val="nil"/>
              <w:left w:val="nil"/>
              <w:bottom w:val="nil"/>
              <w:right w:val="nil"/>
            </w:tcBorders>
            <w:shd w:val="clear" w:color="auto" w:fill="auto"/>
            <w:noWrap/>
            <w:vAlign w:val="center"/>
            <w:hideMark/>
          </w:tcPr>
          <w:p w:rsidRPr="008841A1" w:rsidR="008841A1" w:rsidP="00FC6E82" w:rsidRDefault="008841A1" w14:paraId="1ED5915B" w14:textId="77777777">
            <w:pPr>
              <w:spacing w:after="0" w:line="240" w:lineRule="auto"/>
              <w:contextualSpacing/>
              <w:jc w:val="right"/>
              <w:rPr>
                <w:rFonts w:ascii="Times New Roman" w:hAnsi="Times New Roman" w:eastAsia="Times New Roman" w:cs="Times New Roman"/>
                <w:color w:val="000000" w:themeColor="text1"/>
                <w:sz w:val="20"/>
                <w:szCs w:val="20"/>
              </w:rPr>
            </w:pPr>
            <w:r w:rsidRPr="008841A1">
              <w:rPr>
                <w:rFonts w:ascii="Times New Roman" w:hAnsi="Times New Roman" w:eastAsia="Times New Roman" w:cs="Times New Roman"/>
                <w:color w:val="000000" w:themeColor="text1"/>
                <w:sz w:val="20"/>
                <w:szCs w:val="20"/>
              </w:rPr>
              <w:t>$62,865.06</w:t>
            </w:r>
          </w:p>
        </w:tc>
        <w:tc>
          <w:tcPr>
            <w:tcW w:w="1670" w:type="dxa"/>
            <w:tcBorders>
              <w:top w:val="nil"/>
              <w:left w:val="nil"/>
              <w:bottom w:val="nil"/>
              <w:right w:val="nil"/>
            </w:tcBorders>
            <w:shd w:val="clear" w:color="auto" w:fill="auto"/>
            <w:noWrap/>
            <w:vAlign w:val="center"/>
            <w:hideMark/>
          </w:tcPr>
          <w:p w:rsidRPr="008841A1" w:rsidR="008841A1" w:rsidP="00FC6E82" w:rsidRDefault="008841A1" w14:paraId="6C088D0D" w14:textId="77777777">
            <w:pPr>
              <w:spacing w:after="0" w:line="240" w:lineRule="auto"/>
              <w:contextualSpacing/>
              <w:jc w:val="right"/>
              <w:rPr>
                <w:rFonts w:ascii="Times New Roman" w:hAnsi="Times New Roman" w:eastAsia="Times New Roman" w:cs="Times New Roman"/>
                <w:color w:val="000000" w:themeColor="text1"/>
                <w:sz w:val="20"/>
                <w:szCs w:val="20"/>
              </w:rPr>
            </w:pPr>
            <w:r w:rsidRPr="008841A1">
              <w:rPr>
                <w:rFonts w:ascii="Times New Roman" w:hAnsi="Times New Roman" w:eastAsia="Times New Roman" w:cs="Times New Roman"/>
                <w:color w:val="000000" w:themeColor="text1"/>
                <w:sz w:val="20"/>
                <w:szCs w:val="20"/>
              </w:rPr>
              <w:t>0.31</w:t>
            </w:r>
          </w:p>
        </w:tc>
      </w:tr>
      <w:tr w:rsidRPr="008841A1" w:rsidR="008841A1" w:rsidTr="006F05A3" w14:paraId="2E7061B0" w14:textId="77777777">
        <w:trPr>
          <w:trHeight w:val="315"/>
          <w:jc w:val="center"/>
        </w:trPr>
        <w:tc>
          <w:tcPr>
            <w:tcW w:w="6754" w:type="dxa"/>
            <w:tcBorders>
              <w:top w:val="nil"/>
              <w:left w:val="nil"/>
              <w:bottom w:val="nil"/>
              <w:right w:val="nil"/>
            </w:tcBorders>
            <w:shd w:val="clear" w:color="auto" w:fill="auto"/>
            <w:noWrap/>
            <w:vAlign w:val="center"/>
            <w:hideMark/>
          </w:tcPr>
          <w:p w:rsidRPr="008841A1" w:rsidR="008841A1" w:rsidP="00FC6E82" w:rsidRDefault="008841A1" w14:paraId="5A26CAE8" w14:textId="77777777">
            <w:pPr>
              <w:spacing w:after="0" w:line="240" w:lineRule="auto"/>
              <w:contextualSpacing/>
              <w:rPr>
                <w:rFonts w:ascii="Times New Roman" w:hAnsi="Times New Roman" w:eastAsia="Times New Roman" w:cs="Times New Roman"/>
                <w:color w:val="000000" w:themeColor="text1"/>
                <w:sz w:val="20"/>
                <w:szCs w:val="20"/>
              </w:rPr>
            </w:pPr>
            <w:r w:rsidRPr="008841A1">
              <w:rPr>
                <w:rFonts w:ascii="Times New Roman" w:hAnsi="Times New Roman" w:eastAsia="Times New Roman" w:cs="Times New Roman"/>
                <w:color w:val="000000" w:themeColor="text1"/>
                <w:sz w:val="20"/>
                <w:szCs w:val="20"/>
              </w:rPr>
              <w:t>New UCR and CDE O&amp;M</w:t>
            </w:r>
          </w:p>
        </w:tc>
        <w:tc>
          <w:tcPr>
            <w:tcW w:w="1670" w:type="dxa"/>
            <w:tcBorders>
              <w:top w:val="nil"/>
              <w:left w:val="nil"/>
              <w:bottom w:val="nil"/>
              <w:right w:val="nil"/>
            </w:tcBorders>
            <w:shd w:val="clear" w:color="auto" w:fill="auto"/>
            <w:noWrap/>
            <w:vAlign w:val="center"/>
            <w:hideMark/>
          </w:tcPr>
          <w:p w:rsidRPr="008841A1" w:rsidR="008841A1" w:rsidP="00FC6E82" w:rsidRDefault="008841A1" w14:paraId="14A15327" w14:textId="77777777">
            <w:pPr>
              <w:spacing w:after="0" w:line="240" w:lineRule="auto"/>
              <w:contextualSpacing/>
              <w:jc w:val="right"/>
              <w:rPr>
                <w:rFonts w:ascii="Times New Roman" w:hAnsi="Times New Roman" w:eastAsia="Times New Roman" w:cs="Times New Roman"/>
                <w:color w:val="000000" w:themeColor="text1"/>
                <w:sz w:val="20"/>
                <w:szCs w:val="20"/>
              </w:rPr>
            </w:pPr>
            <w:r w:rsidRPr="008841A1">
              <w:rPr>
                <w:rFonts w:ascii="Times New Roman" w:hAnsi="Times New Roman" w:eastAsia="Times New Roman" w:cs="Times New Roman"/>
                <w:color w:val="000000" w:themeColor="text1"/>
                <w:sz w:val="20"/>
                <w:szCs w:val="20"/>
              </w:rPr>
              <w:t>$320,556.22</w:t>
            </w:r>
          </w:p>
        </w:tc>
        <w:tc>
          <w:tcPr>
            <w:tcW w:w="1670" w:type="dxa"/>
            <w:tcBorders>
              <w:top w:val="nil"/>
              <w:left w:val="nil"/>
              <w:bottom w:val="nil"/>
              <w:right w:val="nil"/>
            </w:tcBorders>
            <w:shd w:val="clear" w:color="auto" w:fill="auto"/>
            <w:noWrap/>
            <w:vAlign w:val="center"/>
            <w:hideMark/>
          </w:tcPr>
          <w:p w:rsidRPr="008841A1" w:rsidR="008841A1" w:rsidP="00FC6E82" w:rsidRDefault="008841A1" w14:paraId="44023A72" w14:textId="77777777">
            <w:pPr>
              <w:spacing w:after="0" w:line="240" w:lineRule="auto"/>
              <w:contextualSpacing/>
              <w:jc w:val="right"/>
              <w:rPr>
                <w:rFonts w:ascii="Times New Roman" w:hAnsi="Times New Roman" w:eastAsia="Times New Roman" w:cs="Times New Roman"/>
                <w:color w:val="000000" w:themeColor="text1"/>
                <w:sz w:val="20"/>
                <w:szCs w:val="20"/>
              </w:rPr>
            </w:pPr>
            <w:r w:rsidRPr="008841A1">
              <w:rPr>
                <w:rFonts w:ascii="Times New Roman" w:hAnsi="Times New Roman" w:eastAsia="Times New Roman" w:cs="Times New Roman"/>
                <w:color w:val="000000" w:themeColor="text1"/>
                <w:sz w:val="20"/>
                <w:szCs w:val="20"/>
              </w:rPr>
              <w:t>1.97</w:t>
            </w:r>
          </w:p>
        </w:tc>
      </w:tr>
      <w:tr w:rsidRPr="008841A1" w:rsidR="008841A1" w:rsidTr="006F05A3" w14:paraId="32EF8875" w14:textId="77777777">
        <w:trPr>
          <w:trHeight w:val="315"/>
          <w:jc w:val="center"/>
        </w:trPr>
        <w:tc>
          <w:tcPr>
            <w:tcW w:w="6754" w:type="dxa"/>
            <w:tcBorders>
              <w:top w:val="nil"/>
              <w:left w:val="nil"/>
              <w:bottom w:val="nil"/>
              <w:right w:val="nil"/>
            </w:tcBorders>
            <w:shd w:val="clear" w:color="auto" w:fill="auto"/>
            <w:noWrap/>
            <w:vAlign w:val="center"/>
            <w:hideMark/>
          </w:tcPr>
          <w:p w:rsidRPr="008841A1" w:rsidR="008841A1" w:rsidP="00FC6E82" w:rsidRDefault="008841A1" w14:paraId="518DE2E2" w14:textId="77777777">
            <w:pPr>
              <w:spacing w:after="0" w:line="240" w:lineRule="auto"/>
              <w:contextualSpacing/>
              <w:rPr>
                <w:rFonts w:ascii="Times New Roman" w:hAnsi="Times New Roman" w:eastAsia="Times New Roman" w:cs="Times New Roman"/>
                <w:color w:val="000000" w:themeColor="text1"/>
                <w:sz w:val="20"/>
                <w:szCs w:val="20"/>
              </w:rPr>
            </w:pPr>
            <w:r w:rsidRPr="008841A1">
              <w:rPr>
                <w:rFonts w:ascii="Times New Roman" w:hAnsi="Times New Roman" w:eastAsia="Times New Roman" w:cs="Times New Roman"/>
                <w:color w:val="000000" w:themeColor="text1"/>
                <w:sz w:val="20"/>
                <w:szCs w:val="20"/>
              </w:rPr>
              <w:t>New UCR Metrics and Reporting</w:t>
            </w:r>
          </w:p>
        </w:tc>
        <w:tc>
          <w:tcPr>
            <w:tcW w:w="1670" w:type="dxa"/>
            <w:tcBorders>
              <w:top w:val="nil"/>
              <w:left w:val="nil"/>
              <w:bottom w:val="nil"/>
              <w:right w:val="nil"/>
            </w:tcBorders>
            <w:shd w:val="clear" w:color="auto" w:fill="auto"/>
            <w:noWrap/>
            <w:vAlign w:val="center"/>
            <w:hideMark/>
          </w:tcPr>
          <w:p w:rsidRPr="008841A1" w:rsidR="008841A1" w:rsidP="00FC6E82" w:rsidRDefault="008841A1" w14:paraId="63CB7D71" w14:textId="77777777">
            <w:pPr>
              <w:spacing w:after="0" w:line="240" w:lineRule="auto"/>
              <w:contextualSpacing/>
              <w:jc w:val="right"/>
              <w:rPr>
                <w:rFonts w:ascii="Times New Roman" w:hAnsi="Times New Roman" w:eastAsia="Times New Roman" w:cs="Times New Roman"/>
                <w:color w:val="000000" w:themeColor="text1"/>
                <w:sz w:val="20"/>
                <w:szCs w:val="20"/>
              </w:rPr>
            </w:pPr>
            <w:r w:rsidRPr="008841A1">
              <w:rPr>
                <w:rFonts w:ascii="Times New Roman" w:hAnsi="Times New Roman" w:eastAsia="Times New Roman" w:cs="Times New Roman"/>
                <w:color w:val="000000" w:themeColor="text1"/>
                <w:sz w:val="20"/>
                <w:szCs w:val="20"/>
              </w:rPr>
              <w:t>$20,955.02</w:t>
            </w:r>
          </w:p>
        </w:tc>
        <w:tc>
          <w:tcPr>
            <w:tcW w:w="1670" w:type="dxa"/>
            <w:tcBorders>
              <w:top w:val="nil"/>
              <w:left w:val="nil"/>
              <w:bottom w:val="nil"/>
              <w:right w:val="nil"/>
            </w:tcBorders>
            <w:shd w:val="clear" w:color="auto" w:fill="auto"/>
            <w:noWrap/>
            <w:vAlign w:val="center"/>
            <w:hideMark/>
          </w:tcPr>
          <w:p w:rsidRPr="008841A1" w:rsidR="008841A1" w:rsidP="00FC6E82" w:rsidRDefault="008841A1" w14:paraId="538EBDCD" w14:textId="77777777">
            <w:pPr>
              <w:spacing w:after="0" w:line="240" w:lineRule="auto"/>
              <w:contextualSpacing/>
              <w:jc w:val="right"/>
              <w:rPr>
                <w:rFonts w:ascii="Times New Roman" w:hAnsi="Times New Roman" w:eastAsia="Times New Roman" w:cs="Times New Roman"/>
                <w:color w:val="000000" w:themeColor="text1"/>
                <w:sz w:val="20"/>
                <w:szCs w:val="20"/>
              </w:rPr>
            </w:pPr>
            <w:r w:rsidRPr="008841A1">
              <w:rPr>
                <w:rFonts w:ascii="Times New Roman" w:hAnsi="Times New Roman" w:eastAsia="Times New Roman" w:cs="Times New Roman"/>
                <w:color w:val="000000" w:themeColor="text1"/>
                <w:sz w:val="20"/>
                <w:szCs w:val="20"/>
              </w:rPr>
              <w:t>0.10</w:t>
            </w:r>
          </w:p>
        </w:tc>
      </w:tr>
      <w:tr w:rsidRPr="008841A1" w:rsidR="008841A1" w:rsidTr="006F05A3" w14:paraId="07CA8A7A" w14:textId="77777777">
        <w:trPr>
          <w:trHeight w:val="315"/>
          <w:jc w:val="center"/>
        </w:trPr>
        <w:tc>
          <w:tcPr>
            <w:tcW w:w="6754" w:type="dxa"/>
            <w:tcBorders>
              <w:top w:val="nil"/>
              <w:left w:val="nil"/>
              <w:bottom w:val="nil"/>
              <w:right w:val="nil"/>
            </w:tcBorders>
            <w:shd w:val="clear" w:color="auto" w:fill="auto"/>
            <w:noWrap/>
            <w:vAlign w:val="center"/>
            <w:hideMark/>
          </w:tcPr>
          <w:p w:rsidRPr="008841A1" w:rsidR="008841A1" w:rsidP="00FC6E82" w:rsidRDefault="008841A1" w14:paraId="5FEBB6B9" w14:textId="77777777">
            <w:pPr>
              <w:spacing w:after="0" w:line="240" w:lineRule="auto"/>
              <w:contextualSpacing/>
              <w:rPr>
                <w:rFonts w:ascii="Times New Roman" w:hAnsi="Times New Roman" w:eastAsia="Times New Roman" w:cs="Times New Roman"/>
                <w:color w:val="000000" w:themeColor="text1"/>
                <w:sz w:val="20"/>
                <w:szCs w:val="20"/>
              </w:rPr>
            </w:pPr>
            <w:r w:rsidRPr="008841A1">
              <w:rPr>
                <w:rFonts w:ascii="Times New Roman" w:hAnsi="Times New Roman" w:eastAsia="Times New Roman" w:cs="Times New Roman"/>
                <w:color w:val="000000" w:themeColor="text1"/>
                <w:sz w:val="20"/>
                <w:szCs w:val="20"/>
              </w:rPr>
              <w:t>New UCR O&amp;M</w:t>
            </w:r>
          </w:p>
        </w:tc>
        <w:tc>
          <w:tcPr>
            <w:tcW w:w="1670" w:type="dxa"/>
            <w:tcBorders>
              <w:top w:val="nil"/>
              <w:left w:val="nil"/>
              <w:bottom w:val="nil"/>
              <w:right w:val="nil"/>
            </w:tcBorders>
            <w:shd w:val="clear" w:color="auto" w:fill="auto"/>
            <w:noWrap/>
            <w:vAlign w:val="center"/>
            <w:hideMark/>
          </w:tcPr>
          <w:p w:rsidRPr="008841A1" w:rsidR="008841A1" w:rsidP="00FC6E82" w:rsidRDefault="008841A1" w14:paraId="1602B89E" w14:textId="77777777">
            <w:pPr>
              <w:spacing w:after="0" w:line="240" w:lineRule="auto"/>
              <w:contextualSpacing/>
              <w:jc w:val="right"/>
              <w:rPr>
                <w:rFonts w:ascii="Times New Roman" w:hAnsi="Times New Roman" w:eastAsia="Times New Roman" w:cs="Times New Roman"/>
                <w:color w:val="000000" w:themeColor="text1"/>
                <w:sz w:val="20"/>
                <w:szCs w:val="20"/>
              </w:rPr>
            </w:pPr>
            <w:r w:rsidRPr="008841A1">
              <w:rPr>
                <w:rFonts w:ascii="Times New Roman" w:hAnsi="Times New Roman" w:eastAsia="Times New Roman" w:cs="Times New Roman"/>
                <w:color w:val="000000" w:themeColor="text1"/>
                <w:sz w:val="20"/>
                <w:szCs w:val="20"/>
              </w:rPr>
              <w:t>$1,039,673.00</w:t>
            </w:r>
          </w:p>
        </w:tc>
        <w:tc>
          <w:tcPr>
            <w:tcW w:w="1670" w:type="dxa"/>
            <w:tcBorders>
              <w:top w:val="nil"/>
              <w:left w:val="nil"/>
              <w:bottom w:val="nil"/>
              <w:right w:val="nil"/>
            </w:tcBorders>
            <w:shd w:val="clear" w:color="auto" w:fill="auto"/>
            <w:noWrap/>
            <w:vAlign w:val="center"/>
            <w:hideMark/>
          </w:tcPr>
          <w:p w:rsidRPr="008841A1" w:rsidR="008841A1" w:rsidP="00FC6E82" w:rsidRDefault="008841A1" w14:paraId="4929B523" w14:textId="77777777">
            <w:pPr>
              <w:spacing w:after="0" w:line="240" w:lineRule="auto"/>
              <w:contextualSpacing/>
              <w:jc w:val="right"/>
              <w:rPr>
                <w:rFonts w:ascii="Times New Roman" w:hAnsi="Times New Roman" w:eastAsia="Times New Roman" w:cs="Times New Roman"/>
                <w:color w:val="000000" w:themeColor="text1"/>
                <w:sz w:val="20"/>
                <w:szCs w:val="20"/>
              </w:rPr>
            </w:pPr>
            <w:r w:rsidRPr="008841A1">
              <w:rPr>
                <w:rFonts w:ascii="Times New Roman" w:hAnsi="Times New Roman" w:eastAsia="Times New Roman" w:cs="Times New Roman"/>
                <w:color w:val="000000" w:themeColor="text1"/>
                <w:sz w:val="20"/>
                <w:szCs w:val="20"/>
              </w:rPr>
              <w:t>6.22</w:t>
            </w:r>
          </w:p>
        </w:tc>
      </w:tr>
      <w:tr w:rsidRPr="008841A1" w:rsidR="008841A1" w:rsidTr="006F05A3" w14:paraId="473888B2" w14:textId="77777777">
        <w:trPr>
          <w:trHeight w:val="315"/>
          <w:jc w:val="center"/>
        </w:trPr>
        <w:tc>
          <w:tcPr>
            <w:tcW w:w="6754" w:type="dxa"/>
            <w:tcBorders>
              <w:top w:val="nil"/>
              <w:left w:val="nil"/>
              <w:right w:val="nil"/>
            </w:tcBorders>
            <w:shd w:val="clear" w:color="auto" w:fill="auto"/>
            <w:noWrap/>
            <w:vAlign w:val="center"/>
            <w:hideMark/>
          </w:tcPr>
          <w:p w:rsidRPr="008841A1" w:rsidR="008841A1" w:rsidP="00FC6E82" w:rsidRDefault="008841A1" w14:paraId="2ADE0045" w14:textId="77777777">
            <w:pPr>
              <w:spacing w:after="0" w:line="240" w:lineRule="auto"/>
              <w:contextualSpacing/>
              <w:rPr>
                <w:rFonts w:ascii="Times New Roman" w:hAnsi="Times New Roman" w:eastAsia="Times New Roman" w:cs="Times New Roman"/>
                <w:color w:val="000000" w:themeColor="text1"/>
                <w:sz w:val="20"/>
                <w:szCs w:val="20"/>
              </w:rPr>
            </w:pPr>
            <w:r w:rsidRPr="008841A1">
              <w:rPr>
                <w:rFonts w:ascii="Times New Roman" w:hAnsi="Times New Roman" w:eastAsia="Times New Roman" w:cs="Times New Roman"/>
                <w:color w:val="000000" w:themeColor="text1"/>
                <w:sz w:val="20"/>
                <w:szCs w:val="20"/>
              </w:rPr>
              <w:t>NIBRS Transition Support to States/Secured File Transfer Protocol (SFTP) and Web Services</w:t>
            </w:r>
          </w:p>
        </w:tc>
        <w:tc>
          <w:tcPr>
            <w:tcW w:w="1670" w:type="dxa"/>
            <w:tcBorders>
              <w:top w:val="nil"/>
              <w:left w:val="nil"/>
              <w:right w:val="nil"/>
            </w:tcBorders>
            <w:shd w:val="clear" w:color="auto" w:fill="auto"/>
            <w:noWrap/>
            <w:vAlign w:val="center"/>
            <w:hideMark/>
          </w:tcPr>
          <w:p w:rsidRPr="008841A1" w:rsidR="008841A1" w:rsidP="00FC6E82" w:rsidRDefault="008841A1" w14:paraId="00048653" w14:textId="77777777">
            <w:pPr>
              <w:spacing w:after="0" w:line="240" w:lineRule="auto"/>
              <w:contextualSpacing/>
              <w:jc w:val="right"/>
              <w:rPr>
                <w:rFonts w:ascii="Times New Roman" w:hAnsi="Times New Roman" w:eastAsia="Times New Roman" w:cs="Times New Roman"/>
                <w:color w:val="000000" w:themeColor="text1"/>
                <w:sz w:val="20"/>
                <w:szCs w:val="20"/>
              </w:rPr>
            </w:pPr>
            <w:r w:rsidRPr="008841A1">
              <w:rPr>
                <w:rFonts w:ascii="Times New Roman" w:hAnsi="Times New Roman" w:eastAsia="Times New Roman" w:cs="Times New Roman"/>
                <w:color w:val="000000" w:themeColor="text1"/>
                <w:sz w:val="20"/>
                <w:szCs w:val="20"/>
              </w:rPr>
              <w:t>$15,914.12</w:t>
            </w:r>
          </w:p>
        </w:tc>
        <w:tc>
          <w:tcPr>
            <w:tcW w:w="1670" w:type="dxa"/>
            <w:tcBorders>
              <w:top w:val="nil"/>
              <w:left w:val="nil"/>
              <w:right w:val="nil"/>
            </w:tcBorders>
            <w:shd w:val="clear" w:color="auto" w:fill="auto"/>
            <w:noWrap/>
            <w:vAlign w:val="center"/>
            <w:hideMark/>
          </w:tcPr>
          <w:p w:rsidRPr="008841A1" w:rsidR="008841A1" w:rsidP="00FC6E82" w:rsidRDefault="008841A1" w14:paraId="71A01CB4" w14:textId="77777777">
            <w:pPr>
              <w:spacing w:after="0" w:line="240" w:lineRule="auto"/>
              <w:contextualSpacing/>
              <w:jc w:val="right"/>
              <w:rPr>
                <w:rFonts w:ascii="Times New Roman" w:hAnsi="Times New Roman" w:eastAsia="Times New Roman" w:cs="Times New Roman"/>
                <w:color w:val="000000" w:themeColor="text1"/>
                <w:sz w:val="20"/>
                <w:szCs w:val="20"/>
              </w:rPr>
            </w:pPr>
            <w:r w:rsidRPr="008841A1">
              <w:rPr>
                <w:rFonts w:ascii="Times New Roman" w:hAnsi="Times New Roman" w:eastAsia="Times New Roman" w:cs="Times New Roman"/>
                <w:color w:val="000000" w:themeColor="text1"/>
                <w:sz w:val="20"/>
                <w:szCs w:val="20"/>
              </w:rPr>
              <w:t>0.10</w:t>
            </w:r>
          </w:p>
        </w:tc>
      </w:tr>
      <w:tr w:rsidRPr="008841A1" w:rsidR="008841A1" w:rsidTr="006F05A3" w14:paraId="434980F8" w14:textId="77777777">
        <w:trPr>
          <w:trHeight w:val="315"/>
          <w:jc w:val="center"/>
        </w:trPr>
        <w:tc>
          <w:tcPr>
            <w:tcW w:w="6754" w:type="dxa"/>
            <w:tcBorders>
              <w:top w:val="nil"/>
              <w:left w:val="nil"/>
              <w:right w:val="nil"/>
            </w:tcBorders>
            <w:shd w:val="clear" w:color="auto" w:fill="auto"/>
            <w:noWrap/>
            <w:vAlign w:val="center"/>
            <w:hideMark/>
          </w:tcPr>
          <w:p w:rsidRPr="008841A1" w:rsidR="008841A1" w:rsidP="00FC6E82" w:rsidRDefault="008841A1" w14:paraId="00F03063" w14:textId="77777777">
            <w:pPr>
              <w:spacing w:after="0" w:line="240" w:lineRule="auto"/>
              <w:contextualSpacing/>
              <w:rPr>
                <w:rFonts w:ascii="Times New Roman" w:hAnsi="Times New Roman" w:eastAsia="Times New Roman" w:cs="Times New Roman"/>
                <w:color w:val="000000" w:themeColor="text1"/>
                <w:sz w:val="20"/>
                <w:szCs w:val="20"/>
              </w:rPr>
            </w:pPr>
            <w:r w:rsidRPr="008841A1">
              <w:rPr>
                <w:rFonts w:ascii="Times New Roman" w:hAnsi="Times New Roman" w:eastAsia="Times New Roman" w:cs="Times New Roman"/>
                <w:color w:val="000000" w:themeColor="text1"/>
                <w:sz w:val="20"/>
                <w:szCs w:val="20"/>
              </w:rPr>
              <w:t>Police Use of Force (UoF)</w:t>
            </w:r>
          </w:p>
        </w:tc>
        <w:tc>
          <w:tcPr>
            <w:tcW w:w="1670" w:type="dxa"/>
            <w:tcBorders>
              <w:top w:val="nil"/>
              <w:left w:val="nil"/>
              <w:right w:val="nil"/>
            </w:tcBorders>
            <w:shd w:val="clear" w:color="auto" w:fill="auto"/>
            <w:noWrap/>
            <w:vAlign w:val="center"/>
            <w:hideMark/>
          </w:tcPr>
          <w:p w:rsidRPr="008841A1" w:rsidR="008841A1" w:rsidP="00FC6E82" w:rsidRDefault="008841A1" w14:paraId="544BACD9" w14:textId="77777777">
            <w:pPr>
              <w:spacing w:after="0" w:line="240" w:lineRule="auto"/>
              <w:contextualSpacing/>
              <w:jc w:val="right"/>
              <w:rPr>
                <w:rFonts w:ascii="Times New Roman" w:hAnsi="Times New Roman" w:eastAsia="Times New Roman" w:cs="Times New Roman"/>
                <w:color w:val="000000" w:themeColor="text1"/>
                <w:sz w:val="20"/>
                <w:szCs w:val="20"/>
              </w:rPr>
            </w:pPr>
            <w:r w:rsidRPr="008841A1">
              <w:rPr>
                <w:rFonts w:ascii="Times New Roman" w:hAnsi="Times New Roman" w:eastAsia="Times New Roman" w:cs="Times New Roman"/>
                <w:color w:val="000000" w:themeColor="text1"/>
                <w:sz w:val="20"/>
                <w:szCs w:val="20"/>
              </w:rPr>
              <w:t>$9,267.53</w:t>
            </w:r>
          </w:p>
        </w:tc>
        <w:tc>
          <w:tcPr>
            <w:tcW w:w="1670" w:type="dxa"/>
            <w:tcBorders>
              <w:top w:val="nil"/>
              <w:left w:val="nil"/>
              <w:right w:val="nil"/>
            </w:tcBorders>
            <w:shd w:val="clear" w:color="auto" w:fill="auto"/>
            <w:noWrap/>
            <w:vAlign w:val="center"/>
            <w:hideMark/>
          </w:tcPr>
          <w:p w:rsidRPr="008841A1" w:rsidR="008841A1" w:rsidP="00FC6E82" w:rsidRDefault="008841A1" w14:paraId="60BF6C43" w14:textId="77777777">
            <w:pPr>
              <w:spacing w:after="0" w:line="240" w:lineRule="auto"/>
              <w:contextualSpacing/>
              <w:jc w:val="right"/>
              <w:rPr>
                <w:rFonts w:ascii="Times New Roman" w:hAnsi="Times New Roman" w:eastAsia="Times New Roman" w:cs="Times New Roman"/>
                <w:color w:val="000000" w:themeColor="text1"/>
                <w:sz w:val="20"/>
                <w:szCs w:val="20"/>
              </w:rPr>
            </w:pPr>
            <w:r w:rsidRPr="008841A1">
              <w:rPr>
                <w:rFonts w:ascii="Times New Roman" w:hAnsi="Times New Roman" w:eastAsia="Times New Roman" w:cs="Times New Roman"/>
                <w:color w:val="000000" w:themeColor="text1"/>
                <w:sz w:val="20"/>
                <w:szCs w:val="20"/>
              </w:rPr>
              <w:t>0.06</w:t>
            </w:r>
          </w:p>
        </w:tc>
      </w:tr>
      <w:tr w:rsidRPr="008841A1" w:rsidR="008841A1" w:rsidTr="006F05A3" w14:paraId="1D0512D1" w14:textId="77777777">
        <w:trPr>
          <w:trHeight w:val="315"/>
          <w:jc w:val="center"/>
        </w:trPr>
        <w:tc>
          <w:tcPr>
            <w:tcW w:w="6754" w:type="dxa"/>
            <w:tcBorders>
              <w:left w:val="nil"/>
              <w:right w:val="nil"/>
            </w:tcBorders>
            <w:shd w:val="clear" w:color="auto" w:fill="auto"/>
            <w:noWrap/>
            <w:vAlign w:val="center"/>
            <w:hideMark/>
          </w:tcPr>
          <w:p w:rsidRPr="008841A1" w:rsidR="008841A1" w:rsidP="00FC6E82" w:rsidRDefault="008841A1" w14:paraId="00314858" w14:textId="77777777">
            <w:pPr>
              <w:spacing w:after="0" w:line="240" w:lineRule="auto"/>
              <w:contextualSpacing/>
              <w:rPr>
                <w:rFonts w:ascii="Times New Roman" w:hAnsi="Times New Roman" w:eastAsia="Times New Roman" w:cs="Times New Roman"/>
                <w:color w:val="000000" w:themeColor="text1"/>
                <w:sz w:val="20"/>
                <w:szCs w:val="20"/>
              </w:rPr>
            </w:pPr>
            <w:r w:rsidRPr="008841A1">
              <w:rPr>
                <w:rFonts w:ascii="Times New Roman" w:hAnsi="Times New Roman" w:eastAsia="Times New Roman" w:cs="Times New Roman"/>
                <w:color w:val="000000" w:themeColor="text1"/>
                <w:sz w:val="20"/>
                <w:szCs w:val="20"/>
              </w:rPr>
              <w:t>Policy, Development, and Management</w:t>
            </w:r>
          </w:p>
        </w:tc>
        <w:tc>
          <w:tcPr>
            <w:tcW w:w="1670" w:type="dxa"/>
            <w:tcBorders>
              <w:left w:val="nil"/>
              <w:right w:val="nil"/>
            </w:tcBorders>
            <w:shd w:val="clear" w:color="auto" w:fill="auto"/>
            <w:noWrap/>
            <w:vAlign w:val="center"/>
            <w:hideMark/>
          </w:tcPr>
          <w:p w:rsidRPr="008841A1" w:rsidR="008841A1" w:rsidP="00FC6E82" w:rsidRDefault="008841A1" w14:paraId="36B2AFFF" w14:textId="77777777">
            <w:pPr>
              <w:spacing w:after="0" w:line="240" w:lineRule="auto"/>
              <w:contextualSpacing/>
              <w:jc w:val="right"/>
              <w:rPr>
                <w:rFonts w:ascii="Times New Roman" w:hAnsi="Times New Roman" w:eastAsia="Times New Roman" w:cs="Times New Roman"/>
                <w:color w:val="000000" w:themeColor="text1"/>
                <w:sz w:val="20"/>
                <w:szCs w:val="20"/>
              </w:rPr>
            </w:pPr>
            <w:r w:rsidRPr="008841A1">
              <w:rPr>
                <w:rFonts w:ascii="Times New Roman" w:hAnsi="Times New Roman" w:eastAsia="Times New Roman" w:cs="Times New Roman"/>
                <w:color w:val="000000" w:themeColor="text1"/>
                <w:sz w:val="20"/>
                <w:szCs w:val="20"/>
              </w:rPr>
              <w:t>$407,638.57</w:t>
            </w:r>
          </w:p>
        </w:tc>
        <w:tc>
          <w:tcPr>
            <w:tcW w:w="1670" w:type="dxa"/>
            <w:tcBorders>
              <w:left w:val="nil"/>
              <w:right w:val="nil"/>
            </w:tcBorders>
            <w:shd w:val="clear" w:color="auto" w:fill="auto"/>
            <w:noWrap/>
            <w:vAlign w:val="center"/>
            <w:hideMark/>
          </w:tcPr>
          <w:p w:rsidRPr="008841A1" w:rsidR="008841A1" w:rsidP="00FC6E82" w:rsidRDefault="008841A1" w14:paraId="773B9FA6" w14:textId="77777777">
            <w:pPr>
              <w:spacing w:after="0" w:line="240" w:lineRule="auto"/>
              <w:contextualSpacing/>
              <w:jc w:val="right"/>
              <w:rPr>
                <w:rFonts w:ascii="Times New Roman" w:hAnsi="Times New Roman" w:eastAsia="Times New Roman" w:cs="Times New Roman"/>
                <w:color w:val="000000" w:themeColor="text1"/>
                <w:sz w:val="20"/>
                <w:szCs w:val="20"/>
              </w:rPr>
            </w:pPr>
            <w:r w:rsidRPr="008841A1">
              <w:rPr>
                <w:rFonts w:ascii="Times New Roman" w:hAnsi="Times New Roman" w:eastAsia="Times New Roman" w:cs="Times New Roman"/>
                <w:color w:val="000000" w:themeColor="text1"/>
                <w:sz w:val="20"/>
                <w:szCs w:val="20"/>
              </w:rPr>
              <w:t>2.77</w:t>
            </w:r>
          </w:p>
        </w:tc>
      </w:tr>
      <w:tr w:rsidRPr="008841A1" w:rsidR="008841A1" w:rsidTr="006F05A3" w14:paraId="7FF2D0E1" w14:textId="77777777">
        <w:trPr>
          <w:trHeight w:val="315"/>
          <w:jc w:val="center"/>
        </w:trPr>
        <w:tc>
          <w:tcPr>
            <w:tcW w:w="6754" w:type="dxa"/>
            <w:tcBorders>
              <w:left w:val="nil"/>
              <w:bottom w:val="nil"/>
              <w:right w:val="nil"/>
            </w:tcBorders>
            <w:shd w:val="clear" w:color="auto" w:fill="auto"/>
            <w:noWrap/>
            <w:vAlign w:val="center"/>
          </w:tcPr>
          <w:p w:rsidRPr="008841A1" w:rsidR="008841A1" w:rsidP="00FC6E82" w:rsidRDefault="008841A1" w14:paraId="65F737A6" w14:textId="77777777">
            <w:pPr>
              <w:spacing w:after="0" w:line="240" w:lineRule="auto"/>
              <w:contextualSpacing/>
              <w:rPr>
                <w:rFonts w:ascii="Times New Roman" w:hAnsi="Times New Roman" w:eastAsia="Times New Roman" w:cs="Times New Roman"/>
                <w:color w:val="000000" w:themeColor="text1"/>
                <w:sz w:val="20"/>
                <w:szCs w:val="20"/>
              </w:rPr>
            </w:pPr>
            <w:r w:rsidRPr="008841A1">
              <w:rPr>
                <w:rFonts w:ascii="Times New Roman" w:hAnsi="Times New Roman" w:eastAsia="Times New Roman" w:cs="Times New Roman"/>
                <w:color w:val="000000" w:themeColor="text1"/>
                <w:sz w:val="20"/>
                <w:szCs w:val="20"/>
              </w:rPr>
              <w:t>Program Management</w:t>
            </w:r>
          </w:p>
        </w:tc>
        <w:tc>
          <w:tcPr>
            <w:tcW w:w="1670" w:type="dxa"/>
            <w:tcBorders>
              <w:left w:val="nil"/>
              <w:bottom w:val="nil"/>
              <w:right w:val="nil"/>
            </w:tcBorders>
            <w:shd w:val="clear" w:color="auto" w:fill="auto"/>
            <w:noWrap/>
            <w:vAlign w:val="center"/>
          </w:tcPr>
          <w:p w:rsidRPr="008841A1" w:rsidR="008841A1" w:rsidP="00FC6E82" w:rsidRDefault="008841A1" w14:paraId="2808ACFE" w14:textId="77777777">
            <w:pPr>
              <w:spacing w:after="0" w:line="240" w:lineRule="auto"/>
              <w:contextualSpacing/>
              <w:jc w:val="right"/>
              <w:rPr>
                <w:rFonts w:ascii="Times New Roman" w:hAnsi="Times New Roman" w:eastAsia="Times New Roman" w:cs="Times New Roman"/>
                <w:color w:val="000000" w:themeColor="text1"/>
                <w:sz w:val="20"/>
                <w:szCs w:val="20"/>
              </w:rPr>
            </w:pPr>
            <w:r w:rsidRPr="008841A1">
              <w:rPr>
                <w:rFonts w:ascii="Times New Roman" w:hAnsi="Times New Roman" w:eastAsia="Times New Roman" w:cs="Times New Roman"/>
                <w:color w:val="000000" w:themeColor="text1"/>
                <w:sz w:val="20"/>
                <w:szCs w:val="20"/>
              </w:rPr>
              <w:t>$17,381.31</w:t>
            </w:r>
          </w:p>
        </w:tc>
        <w:tc>
          <w:tcPr>
            <w:tcW w:w="1670" w:type="dxa"/>
            <w:tcBorders>
              <w:left w:val="nil"/>
              <w:bottom w:val="nil"/>
              <w:right w:val="nil"/>
            </w:tcBorders>
            <w:shd w:val="clear" w:color="auto" w:fill="auto"/>
            <w:noWrap/>
            <w:vAlign w:val="center"/>
          </w:tcPr>
          <w:p w:rsidRPr="008841A1" w:rsidR="008841A1" w:rsidP="00FC6E82" w:rsidRDefault="008841A1" w14:paraId="04BC05F9" w14:textId="77777777">
            <w:pPr>
              <w:spacing w:after="0" w:line="240" w:lineRule="auto"/>
              <w:contextualSpacing/>
              <w:jc w:val="right"/>
              <w:rPr>
                <w:rFonts w:ascii="Times New Roman" w:hAnsi="Times New Roman" w:eastAsia="Times New Roman" w:cs="Times New Roman"/>
                <w:color w:val="000000" w:themeColor="text1"/>
                <w:sz w:val="20"/>
                <w:szCs w:val="20"/>
              </w:rPr>
            </w:pPr>
            <w:r w:rsidRPr="008841A1">
              <w:rPr>
                <w:rFonts w:ascii="Times New Roman" w:hAnsi="Times New Roman" w:eastAsia="Times New Roman" w:cs="Times New Roman"/>
                <w:color w:val="000000" w:themeColor="text1"/>
                <w:sz w:val="20"/>
                <w:szCs w:val="20"/>
              </w:rPr>
              <w:t>0.15</w:t>
            </w:r>
          </w:p>
        </w:tc>
      </w:tr>
      <w:tr w:rsidRPr="008841A1" w:rsidR="008841A1" w:rsidTr="006F05A3" w14:paraId="7CC6159D" w14:textId="77777777">
        <w:trPr>
          <w:trHeight w:val="315"/>
          <w:jc w:val="center"/>
        </w:trPr>
        <w:tc>
          <w:tcPr>
            <w:tcW w:w="6754" w:type="dxa"/>
            <w:tcBorders>
              <w:top w:val="nil"/>
              <w:left w:val="nil"/>
              <w:bottom w:val="nil"/>
              <w:right w:val="nil"/>
            </w:tcBorders>
            <w:shd w:val="clear" w:color="auto" w:fill="auto"/>
            <w:noWrap/>
            <w:vAlign w:val="center"/>
          </w:tcPr>
          <w:p w:rsidRPr="008841A1" w:rsidR="008841A1" w:rsidP="00FC6E82" w:rsidRDefault="008841A1" w14:paraId="389B2D1B" w14:textId="77777777">
            <w:pPr>
              <w:spacing w:after="0" w:line="240" w:lineRule="auto"/>
              <w:contextualSpacing/>
              <w:rPr>
                <w:rFonts w:ascii="Times New Roman" w:hAnsi="Times New Roman" w:eastAsia="Times New Roman" w:cs="Times New Roman"/>
                <w:color w:val="000000" w:themeColor="text1"/>
                <w:sz w:val="20"/>
                <w:szCs w:val="20"/>
              </w:rPr>
            </w:pPr>
            <w:r w:rsidRPr="008841A1">
              <w:rPr>
                <w:rFonts w:ascii="Times New Roman" w:hAnsi="Times New Roman" w:eastAsia="Times New Roman" w:cs="Times New Roman"/>
                <w:color w:val="000000" w:themeColor="text1"/>
                <w:sz w:val="20"/>
                <w:szCs w:val="20"/>
              </w:rPr>
              <w:t>Project and Program Management</w:t>
            </w:r>
          </w:p>
        </w:tc>
        <w:tc>
          <w:tcPr>
            <w:tcW w:w="1670" w:type="dxa"/>
            <w:tcBorders>
              <w:top w:val="nil"/>
              <w:left w:val="nil"/>
              <w:bottom w:val="nil"/>
              <w:right w:val="nil"/>
            </w:tcBorders>
            <w:shd w:val="clear" w:color="auto" w:fill="auto"/>
            <w:noWrap/>
            <w:vAlign w:val="center"/>
          </w:tcPr>
          <w:p w:rsidRPr="008841A1" w:rsidR="008841A1" w:rsidP="00FC6E82" w:rsidRDefault="008841A1" w14:paraId="76024070" w14:textId="77777777">
            <w:pPr>
              <w:spacing w:after="0" w:line="240" w:lineRule="auto"/>
              <w:contextualSpacing/>
              <w:jc w:val="right"/>
              <w:rPr>
                <w:rFonts w:ascii="Times New Roman" w:hAnsi="Times New Roman" w:eastAsia="Times New Roman" w:cs="Times New Roman"/>
                <w:color w:val="000000" w:themeColor="text1"/>
                <w:sz w:val="20"/>
                <w:szCs w:val="20"/>
              </w:rPr>
            </w:pPr>
            <w:r w:rsidRPr="008841A1">
              <w:rPr>
                <w:rFonts w:ascii="Times New Roman" w:hAnsi="Times New Roman" w:eastAsia="Times New Roman" w:cs="Times New Roman"/>
                <w:color w:val="000000" w:themeColor="text1"/>
                <w:sz w:val="20"/>
                <w:szCs w:val="20"/>
              </w:rPr>
              <w:t>$84,213.69</w:t>
            </w:r>
          </w:p>
        </w:tc>
        <w:tc>
          <w:tcPr>
            <w:tcW w:w="1670" w:type="dxa"/>
            <w:tcBorders>
              <w:top w:val="nil"/>
              <w:left w:val="nil"/>
              <w:bottom w:val="nil"/>
              <w:right w:val="nil"/>
            </w:tcBorders>
            <w:shd w:val="clear" w:color="auto" w:fill="auto"/>
            <w:noWrap/>
            <w:vAlign w:val="center"/>
          </w:tcPr>
          <w:p w:rsidRPr="008841A1" w:rsidR="008841A1" w:rsidP="00FC6E82" w:rsidRDefault="008841A1" w14:paraId="5C6F1AFB" w14:textId="77777777">
            <w:pPr>
              <w:spacing w:after="0" w:line="240" w:lineRule="auto"/>
              <w:contextualSpacing/>
              <w:jc w:val="right"/>
              <w:rPr>
                <w:rFonts w:ascii="Times New Roman" w:hAnsi="Times New Roman" w:eastAsia="Times New Roman" w:cs="Times New Roman"/>
                <w:color w:val="000000" w:themeColor="text1"/>
                <w:sz w:val="20"/>
                <w:szCs w:val="20"/>
              </w:rPr>
            </w:pPr>
            <w:r w:rsidRPr="008841A1">
              <w:rPr>
                <w:rFonts w:ascii="Times New Roman" w:hAnsi="Times New Roman" w:eastAsia="Times New Roman" w:cs="Times New Roman"/>
                <w:color w:val="000000" w:themeColor="text1"/>
                <w:sz w:val="20"/>
                <w:szCs w:val="20"/>
              </w:rPr>
              <w:t>1.05</w:t>
            </w:r>
          </w:p>
        </w:tc>
      </w:tr>
      <w:tr w:rsidRPr="008841A1" w:rsidR="008841A1" w:rsidTr="006F05A3" w14:paraId="127C7653" w14:textId="77777777">
        <w:trPr>
          <w:trHeight w:val="315"/>
          <w:jc w:val="center"/>
        </w:trPr>
        <w:tc>
          <w:tcPr>
            <w:tcW w:w="6754" w:type="dxa"/>
            <w:tcBorders>
              <w:top w:val="nil"/>
              <w:left w:val="nil"/>
              <w:bottom w:val="nil"/>
              <w:right w:val="nil"/>
            </w:tcBorders>
            <w:shd w:val="clear" w:color="auto" w:fill="auto"/>
            <w:noWrap/>
            <w:vAlign w:val="center"/>
          </w:tcPr>
          <w:p w:rsidRPr="008841A1" w:rsidR="008841A1" w:rsidP="00FC6E82" w:rsidRDefault="008841A1" w14:paraId="5EE5F052" w14:textId="77777777">
            <w:pPr>
              <w:spacing w:after="0" w:line="240" w:lineRule="auto"/>
              <w:contextualSpacing/>
              <w:rPr>
                <w:rFonts w:ascii="Times New Roman" w:hAnsi="Times New Roman" w:eastAsia="Times New Roman" w:cs="Times New Roman"/>
                <w:color w:val="000000" w:themeColor="text1"/>
                <w:sz w:val="20"/>
                <w:szCs w:val="20"/>
              </w:rPr>
            </w:pPr>
            <w:r w:rsidRPr="008841A1">
              <w:rPr>
                <w:rFonts w:ascii="Times New Roman" w:hAnsi="Times New Roman" w:eastAsia="Times New Roman" w:cs="Times New Roman"/>
                <w:color w:val="000000" w:themeColor="text1"/>
                <w:sz w:val="20"/>
                <w:szCs w:val="20"/>
              </w:rPr>
              <w:t>Provide Training Instruction – External Customers</w:t>
            </w:r>
          </w:p>
        </w:tc>
        <w:tc>
          <w:tcPr>
            <w:tcW w:w="1670" w:type="dxa"/>
            <w:tcBorders>
              <w:top w:val="nil"/>
              <w:left w:val="nil"/>
              <w:bottom w:val="nil"/>
              <w:right w:val="nil"/>
            </w:tcBorders>
            <w:shd w:val="clear" w:color="auto" w:fill="auto"/>
            <w:noWrap/>
            <w:vAlign w:val="center"/>
          </w:tcPr>
          <w:p w:rsidRPr="008841A1" w:rsidR="008841A1" w:rsidP="00FC6E82" w:rsidRDefault="008841A1" w14:paraId="4095B57B" w14:textId="77777777">
            <w:pPr>
              <w:spacing w:after="0" w:line="240" w:lineRule="auto"/>
              <w:contextualSpacing/>
              <w:jc w:val="right"/>
              <w:rPr>
                <w:rFonts w:ascii="Times New Roman" w:hAnsi="Times New Roman" w:eastAsia="Times New Roman" w:cs="Times New Roman"/>
                <w:color w:val="000000" w:themeColor="text1"/>
                <w:sz w:val="20"/>
                <w:szCs w:val="20"/>
              </w:rPr>
            </w:pPr>
            <w:r w:rsidRPr="008841A1">
              <w:rPr>
                <w:rFonts w:ascii="Times New Roman" w:hAnsi="Times New Roman" w:eastAsia="Times New Roman" w:cs="Times New Roman"/>
                <w:color w:val="000000" w:themeColor="text1"/>
                <w:sz w:val="20"/>
                <w:szCs w:val="20"/>
              </w:rPr>
              <w:t>$229,750.16</w:t>
            </w:r>
          </w:p>
        </w:tc>
        <w:tc>
          <w:tcPr>
            <w:tcW w:w="1670" w:type="dxa"/>
            <w:tcBorders>
              <w:top w:val="nil"/>
              <w:left w:val="nil"/>
              <w:bottom w:val="nil"/>
              <w:right w:val="nil"/>
            </w:tcBorders>
            <w:shd w:val="clear" w:color="auto" w:fill="auto"/>
            <w:noWrap/>
            <w:vAlign w:val="center"/>
          </w:tcPr>
          <w:p w:rsidRPr="008841A1" w:rsidR="008841A1" w:rsidP="00FC6E82" w:rsidRDefault="008841A1" w14:paraId="4DCB0027" w14:textId="77777777">
            <w:pPr>
              <w:spacing w:after="0" w:line="240" w:lineRule="auto"/>
              <w:contextualSpacing/>
              <w:jc w:val="right"/>
              <w:rPr>
                <w:rFonts w:ascii="Times New Roman" w:hAnsi="Times New Roman" w:eastAsia="Times New Roman" w:cs="Times New Roman"/>
                <w:color w:val="000000" w:themeColor="text1"/>
                <w:sz w:val="20"/>
                <w:szCs w:val="20"/>
              </w:rPr>
            </w:pPr>
            <w:r w:rsidRPr="008841A1">
              <w:rPr>
                <w:rFonts w:ascii="Times New Roman" w:hAnsi="Times New Roman" w:eastAsia="Times New Roman" w:cs="Times New Roman"/>
                <w:color w:val="000000" w:themeColor="text1"/>
                <w:sz w:val="20"/>
                <w:szCs w:val="20"/>
              </w:rPr>
              <w:t>1.52</w:t>
            </w:r>
          </w:p>
        </w:tc>
      </w:tr>
      <w:tr w:rsidRPr="008841A1" w:rsidR="008841A1" w:rsidTr="006F05A3" w14:paraId="33B8CED8" w14:textId="77777777">
        <w:trPr>
          <w:trHeight w:val="315"/>
          <w:jc w:val="center"/>
        </w:trPr>
        <w:tc>
          <w:tcPr>
            <w:tcW w:w="6754" w:type="dxa"/>
            <w:tcBorders>
              <w:top w:val="nil"/>
              <w:left w:val="nil"/>
              <w:bottom w:val="nil"/>
              <w:right w:val="nil"/>
            </w:tcBorders>
            <w:shd w:val="clear" w:color="auto" w:fill="auto"/>
            <w:noWrap/>
            <w:vAlign w:val="center"/>
          </w:tcPr>
          <w:p w:rsidRPr="008841A1" w:rsidR="008841A1" w:rsidP="00FC6E82" w:rsidRDefault="008841A1" w14:paraId="7989BA5A" w14:textId="77777777">
            <w:pPr>
              <w:spacing w:after="0" w:line="240" w:lineRule="auto"/>
              <w:contextualSpacing/>
              <w:rPr>
                <w:rFonts w:ascii="Times New Roman" w:hAnsi="Times New Roman" w:eastAsia="Times New Roman" w:cs="Times New Roman"/>
                <w:color w:val="000000" w:themeColor="text1"/>
                <w:sz w:val="20"/>
                <w:szCs w:val="20"/>
              </w:rPr>
            </w:pPr>
            <w:r w:rsidRPr="008841A1">
              <w:rPr>
                <w:rFonts w:ascii="Times New Roman" w:hAnsi="Times New Roman" w:eastAsia="Times New Roman" w:cs="Times New Roman"/>
                <w:color w:val="000000" w:themeColor="text1"/>
                <w:sz w:val="20"/>
                <w:szCs w:val="20"/>
              </w:rPr>
              <w:t>Publication</w:t>
            </w:r>
          </w:p>
        </w:tc>
        <w:tc>
          <w:tcPr>
            <w:tcW w:w="1670" w:type="dxa"/>
            <w:tcBorders>
              <w:top w:val="nil"/>
              <w:left w:val="nil"/>
              <w:bottom w:val="nil"/>
              <w:right w:val="nil"/>
            </w:tcBorders>
            <w:shd w:val="clear" w:color="auto" w:fill="auto"/>
            <w:noWrap/>
            <w:vAlign w:val="center"/>
          </w:tcPr>
          <w:p w:rsidRPr="008841A1" w:rsidR="008841A1" w:rsidP="00FC6E82" w:rsidRDefault="008841A1" w14:paraId="0EA651CA" w14:textId="77777777">
            <w:pPr>
              <w:spacing w:after="0" w:line="240" w:lineRule="auto"/>
              <w:contextualSpacing/>
              <w:jc w:val="right"/>
              <w:rPr>
                <w:rFonts w:ascii="Times New Roman" w:hAnsi="Times New Roman" w:eastAsia="Times New Roman" w:cs="Times New Roman"/>
                <w:color w:val="000000" w:themeColor="text1"/>
                <w:sz w:val="20"/>
                <w:szCs w:val="20"/>
              </w:rPr>
            </w:pPr>
            <w:r w:rsidRPr="008841A1">
              <w:rPr>
                <w:rFonts w:ascii="Times New Roman" w:hAnsi="Times New Roman" w:eastAsia="Times New Roman" w:cs="Times New Roman"/>
                <w:color w:val="000000" w:themeColor="text1"/>
                <w:sz w:val="20"/>
                <w:szCs w:val="20"/>
              </w:rPr>
              <w:t>$24,056.71</w:t>
            </w:r>
          </w:p>
        </w:tc>
        <w:tc>
          <w:tcPr>
            <w:tcW w:w="1670" w:type="dxa"/>
            <w:tcBorders>
              <w:top w:val="nil"/>
              <w:left w:val="nil"/>
              <w:bottom w:val="nil"/>
              <w:right w:val="nil"/>
            </w:tcBorders>
            <w:shd w:val="clear" w:color="auto" w:fill="auto"/>
            <w:noWrap/>
            <w:vAlign w:val="center"/>
          </w:tcPr>
          <w:p w:rsidRPr="008841A1" w:rsidR="008841A1" w:rsidP="00FC6E82" w:rsidRDefault="008841A1" w14:paraId="474F4EC5" w14:textId="77777777">
            <w:pPr>
              <w:spacing w:after="0" w:line="240" w:lineRule="auto"/>
              <w:contextualSpacing/>
              <w:jc w:val="right"/>
              <w:rPr>
                <w:rFonts w:ascii="Times New Roman" w:hAnsi="Times New Roman" w:eastAsia="Times New Roman" w:cs="Times New Roman"/>
                <w:color w:val="000000" w:themeColor="text1"/>
                <w:sz w:val="20"/>
                <w:szCs w:val="20"/>
              </w:rPr>
            </w:pPr>
            <w:r w:rsidRPr="008841A1">
              <w:rPr>
                <w:rFonts w:ascii="Times New Roman" w:hAnsi="Times New Roman" w:eastAsia="Times New Roman" w:cs="Times New Roman"/>
                <w:color w:val="000000" w:themeColor="text1"/>
                <w:sz w:val="20"/>
                <w:szCs w:val="20"/>
              </w:rPr>
              <w:t>0.30</w:t>
            </w:r>
          </w:p>
        </w:tc>
      </w:tr>
      <w:tr w:rsidRPr="008841A1" w:rsidR="008841A1" w:rsidTr="006F05A3" w14:paraId="1F848B9C" w14:textId="77777777">
        <w:trPr>
          <w:trHeight w:val="315"/>
          <w:jc w:val="center"/>
        </w:trPr>
        <w:tc>
          <w:tcPr>
            <w:tcW w:w="6754" w:type="dxa"/>
            <w:tcBorders>
              <w:top w:val="nil"/>
              <w:left w:val="nil"/>
              <w:bottom w:val="nil"/>
              <w:right w:val="nil"/>
            </w:tcBorders>
            <w:shd w:val="clear" w:color="auto" w:fill="auto"/>
            <w:noWrap/>
            <w:vAlign w:val="center"/>
          </w:tcPr>
          <w:p w:rsidRPr="008841A1" w:rsidR="008841A1" w:rsidP="00FC6E82" w:rsidRDefault="008841A1" w14:paraId="1732A2C7" w14:textId="77777777">
            <w:pPr>
              <w:spacing w:after="0" w:line="240" w:lineRule="auto"/>
              <w:contextualSpacing/>
              <w:rPr>
                <w:rFonts w:ascii="Times New Roman" w:hAnsi="Times New Roman" w:eastAsia="Times New Roman" w:cs="Times New Roman"/>
                <w:color w:val="000000" w:themeColor="text1"/>
                <w:sz w:val="20"/>
                <w:szCs w:val="20"/>
              </w:rPr>
            </w:pPr>
            <w:r w:rsidRPr="008841A1">
              <w:rPr>
                <w:rFonts w:ascii="Times New Roman" w:hAnsi="Times New Roman" w:eastAsia="Times New Roman" w:cs="Times New Roman"/>
                <w:color w:val="000000" w:themeColor="text1"/>
                <w:sz w:val="20"/>
                <w:szCs w:val="20"/>
              </w:rPr>
              <w:t>Research and Analysis</w:t>
            </w:r>
          </w:p>
        </w:tc>
        <w:tc>
          <w:tcPr>
            <w:tcW w:w="1670" w:type="dxa"/>
            <w:tcBorders>
              <w:top w:val="nil"/>
              <w:left w:val="nil"/>
              <w:bottom w:val="nil"/>
              <w:right w:val="nil"/>
            </w:tcBorders>
            <w:shd w:val="clear" w:color="auto" w:fill="auto"/>
            <w:noWrap/>
            <w:vAlign w:val="center"/>
          </w:tcPr>
          <w:p w:rsidRPr="008841A1" w:rsidR="008841A1" w:rsidP="00FC6E82" w:rsidRDefault="008841A1" w14:paraId="712C27C7" w14:textId="77777777">
            <w:pPr>
              <w:spacing w:after="0" w:line="240" w:lineRule="auto"/>
              <w:contextualSpacing/>
              <w:jc w:val="right"/>
              <w:rPr>
                <w:rFonts w:ascii="Times New Roman" w:hAnsi="Times New Roman" w:eastAsia="Times New Roman" w:cs="Times New Roman"/>
                <w:color w:val="000000" w:themeColor="text1"/>
                <w:sz w:val="20"/>
                <w:szCs w:val="20"/>
              </w:rPr>
            </w:pPr>
            <w:r w:rsidRPr="008841A1">
              <w:rPr>
                <w:rFonts w:ascii="Times New Roman" w:hAnsi="Times New Roman" w:eastAsia="Times New Roman" w:cs="Times New Roman"/>
                <w:color w:val="000000" w:themeColor="text1"/>
                <w:sz w:val="20"/>
                <w:szCs w:val="20"/>
              </w:rPr>
              <w:t>$68,743.57</w:t>
            </w:r>
          </w:p>
        </w:tc>
        <w:tc>
          <w:tcPr>
            <w:tcW w:w="1670" w:type="dxa"/>
            <w:tcBorders>
              <w:top w:val="nil"/>
              <w:left w:val="nil"/>
              <w:bottom w:val="nil"/>
              <w:right w:val="nil"/>
            </w:tcBorders>
            <w:shd w:val="clear" w:color="auto" w:fill="auto"/>
            <w:noWrap/>
            <w:vAlign w:val="center"/>
          </w:tcPr>
          <w:p w:rsidRPr="008841A1" w:rsidR="008841A1" w:rsidP="00FC6E82" w:rsidRDefault="008841A1" w14:paraId="0881DDEC" w14:textId="77777777">
            <w:pPr>
              <w:spacing w:after="0" w:line="240" w:lineRule="auto"/>
              <w:contextualSpacing/>
              <w:jc w:val="right"/>
              <w:rPr>
                <w:rFonts w:ascii="Times New Roman" w:hAnsi="Times New Roman" w:eastAsia="Times New Roman" w:cs="Times New Roman"/>
                <w:color w:val="000000" w:themeColor="text1"/>
                <w:sz w:val="20"/>
                <w:szCs w:val="20"/>
              </w:rPr>
            </w:pPr>
            <w:r w:rsidRPr="008841A1">
              <w:rPr>
                <w:rFonts w:ascii="Times New Roman" w:hAnsi="Times New Roman" w:eastAsia="Times New Roman" w:cs="Times New Roman"/>
                <w:color w:val="000000" w:themeColor="text1"/>
                <w:sz w:val="20"/>
                <w:szCs w:val="20"/>
              </w:rPr>
              <w:t>0.95</w:t>
            </w:r>
          </w:p>
        </w:tc>
      </w:tr>
      <w:tr w:rsidRPr="008841A1" w:rsidR="008841A1" w:rsidTr="006F05A3" w14:paraId="6CBD9C6C" w14:textId="77777777">
        <w:trPr>
          <w:trHeight w:val="315"/>
          <w:jc w:val="center"/>
        </w:trPr>
        <w:tc>
          <w:tcPr>
            <w:tcW w:w="6754" w:type="dxa"/>
            <w:tcBorders>
              <w:top w:val="nil"/>
              <w:left w:val="nil"/>
              <w:bottom w:val="nil"/>
              <w:right w:val="nil"/>
            </w:tcBorders>
            <w:shd w:val="clear" w:color="auto" w:fill="auto"/>
            <w:noWrap/>
            <w:vAlign w:val="center"/>
          </w:tcPr>
          <w:p w:rsidRPr="008841A1" w:rsidR="008841A1" w:rsidP="00FC6E82" w:rsidRDefault="008841A1" w14:paraId="062E4D67" w14:textId="77777777">
            <w:pPr>
              <w:spacing w:after="0" w:line="240" w:lineRule="auto"/>
              <w:contextualSpacing/>
              <w:rPr>
                <w:rFonts w:ascii="Times New Roman" w:hAnsi="Times New Roman" w:eastAsia="Times New Roman" w:cs="Times New Roman"/>
                <w:color w:val="000000" w:themeColor="text1"/>
                <w:sz w:val="20"/>
                <w:szCs w:val="20"/>
              </w:rPr>
            </w:pPr>
            <w:r w:rsidRPr="008841A1">
              <w:rPr>
                <w:rFonts w:ascii="Times New Roman" w:hAnsi="Times New Roman" w:eastAsia="Times New Roman" w:cs="Times New Roman"/>
                <w:color w:val="000000" w:themeColor="text1"/>
                <w:sz w:val="20"/>
                <w:szCs w:val="20"/>
              </w:rPr>
              <w:t>Research and Analysis</w:t>
            </w:r>
          </w:p>
        </w:tc>
        <w:tc>
          <w:tcPr>
            <w:tcW w:w="1670" w:type="dxa"/>
            <w:tcBorders>
              <w:top w:val="nil"/>
              <w:left w:val="nil"/>
              <w:bottom w:val="nil"/>
              <w:right w:val="nil"/>
            </w:tcBorders>
            <w:shd w:val="clear" w:color="auto" w:fill="auto"/>
            <w:noWrap/>
            <w:vAlign w:val="center"/>
          </w:tcPr>
          <w:p w:rsidRPr="008841A1" w:rsidR="008841A1" w:rsidP="00FC6E82" w:rsidRDefault="008841A1" w14:paraId="36DE2AED" w14:textId="77777777">
            <w:pPr>
              <w:spacing w:after="0" w:line="240" w:lineRule="auto"/>
              <w:contextualSpacing/>
              <w:jc w:val="right"/>
              <w:rPr>
                <w:rFonts w:ascii="Times New Roman" w:hAnsi="Times New Roman" w:eastAsia="Times New Roman" w:cs="Times New Roman"/>
                <w:color w:val="000000" w:themeColor="text1"/>
                <w:sz w:val="20"/>
                <w:szCs w:val="20"/>
              </w:rPr>
            </w:pPr>
            <w:r w:rsidRPr="008841A1">
              <w:rPr>
                <w:rFonts w:ascii="Times New Roman" w:hAnsi="Times New Roman" w:eastAsia="Times New Roman" w:cs="Times New Roman"/>
                <w:color w:val="000000" w:themeColor="text1"/>
                <w:sz w:val="20"/>
                <w:szCs w:val="20"/>
              </w:rPr>
              <w:t>$138,102.45</w:t>
            </w:r>
          </w:p>
        </w:tc>
        <w:tc>
          <w:tcPr>
            <w:tcW w:w="1670" w:type="dxa"/>
            <w:tcBorders>
              <w:top w:val="nil"/>
              <w:left w:val="nil"/>
              <w:bottom w:val="nil"/>
              <w:right w:val="nil"/>
            </w:tcBorders>
            <w:shd w:val="clear" w:color="auto" w:fill="auto"/>
            <w:noWrap/>
            <w:vAlign w:val="center"/>
          </w:tcPr>
          <w:p w:rsidRPr="008841A1" w:rsidR="008841A1" w:rsidP="00FC6E82" w:rsidRDefault="008841A1" w14:paraId="484D263E" w14:textId="77777777">
            <w:pPr>
              <w:spacing w:after="0" w:line="240" w:lineRule="auto"/>
              <w:contextualSpacing/>
              <w:jc w:val="right"/>
              <w:rPr>
                <w:rFonts w:ascii="Times New Roman" w:hAnsi="Times New Roman" w:eastAsia="Times New Roman" w:cs="Times New Roman"/>
                <w:color w:val="000000" w:themeColor="text1"/>
                <w:sz w:val="20"/>
                <w:szCs w:val="20"/>
              </w:rPr>
            </w:pPr>
            <w:r w:rsidRPr="008841A1">
              <w:rPr>
                <w:rFonts w:ascii="Times New Roman" w:hAnsi="Times New Roman" w:eastAsia="Times New Roman" w:cs="Times New Roman"/>
                <w:color w:val="000000" w:themeColor="text1"/>
                <w:sz w:val="20"/>
                <w:szCs w:val="20"/>
              </w:rPr>
              <w:t>0.75</w:t>
            </w:r>
          </w:p>
        </w:tc>
      </w:tr>
      <w:tr w:rsidRPr="008841A1" w:rsidR="008841A1" w:rsidTr="006F05A3" w14:paraId="036C23BA" w14:textId="77777777">
        <w:trPr>
          <w:trHeight w:val="315"/>
          <w:jc w:val="center"/>
        </w:trPr>
        <w:tc>
          <w:tcPr>
            <w:tcW w:w="6754" w:type="dxa"/>
            <w:tcBorders>
              <w:top w:val="nil"/>
              <w:left w:val="nil"/>
              <w:bottom w:val="nil"/>
              <w:right w:val="nil"/>
            </w:tcBorders>
            <w:shd w:val="clear" w:color="auto" w:fill="auto"/>
            <w:noWrap/>
            <w:vAlign w:val="center"/>
          </w:tcPr>
          <w:p w:rsidRPr="008841A1" w:rsidR="008841A1" w:rsidP="00FC6E82" w:rsidRDefault="008841A1" w14:paraId="6A113198" w14:textId="77777777">
            <w:pPr>
              <w:spacing w:after="0" w:line="240" w:lineRule="auto"/>
              <w:contextualSpacing/>
              <w:rPr>
                <w:rFonts w:ascii="Times New Roman" w:hAnsi="Times New Roman" w:eastAsia="Times New Roman" w:cs="Times New Roman"/>
                <w:color w:val="000000" w:themeColor="text1"/>
                <w:sz w:val="20"/>
                <w:szCs w:val="20"/>
              </w:rPr>
            </w:pPr>
            <w:r w:rsidRPr="008841A1">
              <w:rPr>
                <w:rFonts w:ascii="Times New Roman" w:hAnsi="Times New Roman" w:eastAsia="Times New Roman" w:cs="Times New Roman"/>
                <w:color w:val="000000" w:themeColor="text1"/>
                <w:sz w:val="20"/>
                <w:szCs w:val="20"/>
              </w:rPr>
              <w:t>Temporary Duty Crime Data Program</w:t>
            </w:r>
          </w:p>
        </w:tc>
        <w:tc>
          <w:tcPr>
            <w:tcW w:w="1670" w:type="dxa"/>
            <w:tcBorders>
              <w:top w:val="nil"/>
              <w:left w:val="nil"/>
              <w:bottom w:val="nil"/>
              <w:right w:val="nil"/>
            </w:tcBorders>
            <w:shd w:val="clear" w:color="auto" w:fill="auto"/>
            <w:noWrap/>
            <w:vAlign w:val="center"/>
          </w:tcPr>
          <w:p w:rsidRPr="008841A1" w:rsidR="008841A1" w:rsidP="00FC6E82" w:rsidRDefault="008841A1" w14:paraId="367F1337" w14:textId="77777777">
            <w:pPr>
              <w:spacing w:after="0" w:line="240" w:lineRule="auto"/>
              <w:contextualSpacing/>
              <w:jc w:val="right"/>
              <w:rPr>
                <w:rFonts w:ascii="Times New Roman" w:hAnsi="Times New Roman" w:eastAsia="Times New Roman" w:cs="Times New Roman"/>
                <w:color w:val="000000" w:themeColor="text1"/>
                <w:sz w:val="20"/>
                <w:szCs w:val="20"/>
              </w:rPr>
            </w:pPr>
            <w:r w:rsidRPr="008841A1">
              <w:rPr>
                <w:rFonts w:ascii="Times New Roman" w:hAnsi="Times New Roman" w:eastAsia="Times New Roman" w:cs="Times New Roman"/>
                <w:color w:val="000000" w:themeColor="text1"/>
                <w:sz w:val="20"/>
                <w:szCs w:val="20"/>
              </w:rPr>
              <w:t>$92,004.08</w:t>
            </w:r>
          </w:p>
        </w:tc>
        <w:tc>
          <w:tcPr>
            <w:tcW w:w="1670" w:type="dxa"/>
            <w:tcBorders>
              <w:top w:val="nil"/>
              <w:left w:val="nil"/>
              <w:bottom w:val="nil"/>
              <w:right w:val="nil"/>
            </w:tcBorders>
            <w:shd w:val="clear" w:color="auto" w:fill="auto"/>
            <w:noWrap/>
            <w:vAlign w:val="center"/>
          </w:tcPr>
          <w:p w:rsidRPr="008841A1" w:rsidR="008841A1" w:rsidP="00FC6E82" w:rsidRDefault="008841A1" w14:paraId="27B99E8C" w14:textId="77777777">
            <w:pPr>
              <w:spacing w:after="0" w:line="240" w:lineRule="auto"/>
              <w:contextualSpacing/>
              <w:jc w:val="right"/>
              <w:rPr>
                <w:rFonts w:ascii="Times New Roman" w:hAnsi="Times New Roman" w:eastAsia="Times New Roman" w:cs="Times New Roman"/>
                <w:color w:val="000000" w:themeColor="text1"/>
                <w:sz w:val="20"/>
                <w:szCs w:val="20"/>
              </w:rPr>
            </w:pPr>
            <w:r w:rsidRPr="008841A1">
              <w:rPr>
                <w:rFonts w:ascii="Times New Roman" w:hAnsi="Times New Roman" w:eastAsia="Times New Roman" w:cs="Times New Roman"/>
                <w:color w:val="000000" w:themeColor="text1"/>
                <w:sz w:val="20"/>
                <w:szCs w:val="20"/>
              </w:rPr>
              <w:t>1.00</w:t>
            </w:r>
          </w:p>
        </w:tc>
      </w:tr>
      <w:tr w:rsidRPr="008841A1" w:rsidR="008841A1" w:rsidTr="006F05A3" w14:paraId="014696A0" w14:textId="77777777">
        <w:trPr>
          <w:trHeight w:val="315"/>
          <w:jc w:val="center"/>
        </w:trPr>
        <w:tc>
          <w:tcPr>
            <w:tcW w:w="6754" w:type="dxa"/>
            <w:tcBorders>
              <w:top w:val="nil"/>
              <w:left w:val="nil"/>
              <w:bottom w:val="nil"/>
              <w:right w:val="nil"/>
            </w:tcBorders>
            <w:shd w:val="clear" w:color="auto" w:fill="auto"/>
            <w:noWrap/>
            <w:vAlign w:val="center"/>
          </w:tcPr>
          <w:p w:rsidRPr="008841A1" w:rsidR="008841A1" w:rsidP="00FC6E82" w:rsidRDefault="008841A1" w14:paraId="78FE6475" w14:textId="77777777">
            <w:pPr>
              <w:spacing w:after="0" w:line="240" w:lineRule="auto"/>
              <w:contextualSpacing/>
              <w:rPr>
                <w:rFonts w:ascii="Times New Roman" w:hAnsi="Times New Roman" w:eastAsia="Times New Roman" w:cs="Times New Roman"/>
                <w:color w:val="000000" w:themeColor="text1"/>
                <w:sz w:val="20"/>
                <w:szCs w:val="20"/>
              </w:rPr>
            </w:pPr>
            <w:r w:rsidRPr="008841A1">
              <w:rPr>
                <w:rFonts w:ascii="Times New Roman" w:hAnsi="Times New Roman" w:eastAsia="Times New Roman" w:cs="Times New Roman"/>
                <w:color w:val="000000" w:themeColor="text1"/>
                <w:sz w:val="20"/>
                <w:szCs w:val="20"/>
              </w:rPr>
              <w:t>UCR Business Management Support</w:t>
            </w:r>
          </w:p>
        </w:tc>
        <w:tc>
          <w:tcPr>
            <w:tcW w:w="1670" w:type="dxa"/>
            <w:tcBorders>
              <w:top w:val="nil"/>
              <w:left w:val="nil"/>
              <w:bottom w:val="nil"/>
              <w:right w:val="nil"/>
            </w:tcBorders>
            <w:shd w:val="clear" w:color="auto" w:fill="auto"/>
            <w:noWrap/>
            <w:vAlign w:val="center"/>
          </w:tcPr>
          <w:p w:rsidRPr="008841A1" w:rsidR="008841A1" w:rsidP="00FC6E82" w:rsidRDefault="008841A1" w14:paraId="68E8F921" w14:textId="77777777">
            <w:pPr>
              <w:spacing w:after="0" w:line="240" w:lineRule="auto"/>
              <w:contextualSpacing/>
              <w:jc w:val="right"/>
              <w:rPr>
                <w:rFonts w:ascii="Times New Roman" w:hAnsi="Times New Roman" w:eastAsia="Times New Roman" w:cs="Times New Roman"/>
                <w:color w:val="000000" w:themeColor="text1"/>
                <w:sz w:val="20"/>
                <w:szCs w:val="20"/>
              </w:rPr>
            </w:pPr>
            <w:r w:rsidRPr="008841A1">
              <w:rPr>
                <w:rFonts w:ascii="Times New Roman" w:hAnsi="Times New Roman" w:eastAsia="Times New Roman" w:cs="Times New Roman"/>
                <w:color w:val="000000" w:themeColor="text1"/>
                <w:sz w:val="20"/>
                <w:szCs w:val="20"/>
              </w:rPr>
              <w:t>$298,661.67</w:t>
            </w:r>
          </w:p>
        </w:tc>
        <w:tc>
          <w:tcPr>
            <w:tcW w:w="1670" w:type="dxa"/>
            <w:tcBorders>
              <w:top w:val="nil"/>
              <w:left w:val="nil"/>
              <w:bottom w:val="nil"/>
              <w:right w:val="nil"/>
            </w:tcBorders>
            <w:shd w:val="clear" w:color="auto" w:fill="auto"/>
            <w:noWrap/>
            <w:vAlign w:val="center"/>
          </w:tcPr>
          <w:p w:rsidRPr="008841A1" w:rsidR="008841A1" w:rsidP="00FC6E82" w:rsidRDefault="008841A1" w14:paraId="4E981E42" w14:textId="77777777">
            <w:pPr>
              <w:spacing w:after="0" w:line="240" w:lineRule="auto"/>
              <w:contextualSpacing/>
              <w:jc w:val="right"/>
              <w:rPr>
                <w:rFonts w:ascii="Times New Roman" w:hAnsi="Times New Roman" w:eastAsia="Times New Roman" w:cs="Times New Roman"/>
                <w:color w:val="000000" w:themeColor="text1"/>
                <w:sz w:val="20"/>
                <w:szCs w:val="20"/>
              </w:rPr>
            </w:pPr>
            <w:r w:rsidRPr="008841A1">
              <w:rPr>
                <w:rFonts w:ascii="Times New Roman" w:hAnsi="Times New Roman" w:eastAsia="Times New Roman" w:cs="Times New Roman"/>
                <w:color w:val="000000" w:themeColor="text1"/>
                <w:sz w:val="20"/>
                <w:szCs w:val="20"/>
              </w:rPr>
              <w:t>1.80</w:t>
            </w:r>
          </w:p>
        </w:tc>
      </w:tr>
      <w:tr w:rsidRPr="008841A1" w:rsidR="008841A1" w:rsidTr="004C6CD8" w14:paraId="43E6ACA9" w14:textId="77777777">
        <w:trPr>
          <w:trHeight w:val="315"/>
          <w:jc w:val="center"/>
        </w:trPr>
        <w:tc>
          <w:tcPr>
            <w:tcW w:w="6754" w:type="dxa"/>
            <w:tcBorders>
              <w:top w:val="nil"/>
              <w:left w:val="nil"/>
              <w:right w:val="nil"/>
            </w:tcBorders>
            <w:shd w:val="clear" w:color="auto" w:fill="auto"/>
            <w:noWrap/>
            <w:vAlign w:val="center"/>
          </w:tcPr>
          <w:p w:rsidRPr="008841A1" w:rsidR="008841A1" w:rsidP="00FC6E82" w:rsidRDefault="008841A1" w14:paraId="78CFC9FD" w14:textId="77777777">
            <w:pPr>
              <w:spacing w:after="0" w:line="240" w:lineRule="auto"/>
              <w:contextualSpacing/>
              <w:rPr>
                <w:rFonts w:ascii="Times New Roman" w:hAnsi="Times New Roman" w:eastAsia="Times New Roman" w:cs="Times New Roman"/>
                <w:color w:val="000000" w:themeColor="text1"/>
                <w:sz w:val="20"/>
                <w:szCs w:val="20"/>
              </w:rPr>
            </w:pPr>
            <w:r w:rsidRPr="008841A1">
              <w:rPr>
                <w:rFonts w:ascii="Times New Roman" w:hAnsi="Times New Roman" w:eastAsia="Times New Roman" w:cs="Times New Roman"/>
                <w:color w:val="000000" w:themeColor="text1"/>
                <w:sz w:val="20"/>
                <w:szCs w:val="20"/>
              </w:rPr>
              <w:t>UCR Data Collection and Public Distribution</w:t>
            </w:r>
          </w:p>
        </w:tc>
        <w:tc>
          <w:tcPr>
            <w:tcW w:w="1670" w:type="dxa"/>
            <w:tcBorders>
              <w:top w:val="nil"/>
              <w:left w:val="nil"/>
              <w:right w:val="nil"/>
            </w:tcBorders>
            <w:shd w:val="clear" w:color="auto" w:fill="auto"/>
            <w:noWrap/>
            <w:vAlign w:val="center"/>
          </w:tcPr>
          <w:p w:rsidRPr="008841A1" w:rsidR="008841A1" w:rsidP="00FC6E82" w:rsidRDefault="008841A1" w14:paraId="168181A0" w14:textId="77777777">
            <w:pPr>
              <w:spacing w:after="0" w:line="240" w:lineRule="auto"/>
              <w:contextualSpacing/>
              <w:jc w:val="right"/>
              <w:rPr>
                <w:rFonts w:ascii="Times New Roman" w:hAnsi="Times New Roman" w:eastAsia="Times New Roman" w:cs="Times New Roman"/>
                <w:color w:val="000000" w:themeColor="text1"/>
                <w:sz w:val="20"/>
                <w:szCs w:val="20"/>
              </w:rPr>
            </w:pPr>
            <w:r w:rsidRPr="008841A1">
              <w:rPr>
                <w:rFonts w:ascii="Times New Roman" w:hAnsi="Times New Roman" w:eastAsia="Times New Roman" w:cs="Times New Roman"/>
                <w:color w:val="000000" w:themeColor="text1"/>
                <w:sz w:val="20"/>
                <w:szCs w:val="20"/>
              </w:rPr>
              <w:t>$1,038,030.43</w:t>
            </w:r>
          </w:p>
        </w:tc>
        <w:tc>
          <w:tcPr>
            <w:tcW w:w="1670" w:type="dxa"/>
            <w:tcBorders>
              <w:top w:val="nil"/>
              <w:left w:val="nil"/>
              <w:right w:val="nil"/>
            </w:tcBorders>
            <w:shd w:val="clear" w:color="auto" w:fill="auto"/>
            <w:noWrap/>
            <w:vAlign w:val="center"/>
          </w:tcPr>
          <w:p w:rsidRPr="008841A1" w:rsidR="008841A1" w:rsidP="00FC6E82" w:rsidRDefault="008841A1" w14:paraId="073AC7E3" w14:textId="77777777">
            <w:pPr>
              <w:spacing w:after="0" w:line="240" w:lineRule="auto"/>
              <w:contextualSpacing/>
              <w:jc w:val="right"/>
              <w:rPr>
                <w:rFonts w:ascii="Times New Roman" w:hAnsi="Times New Roman" w:eastAsia="Times New Roman" w:cs="Times New Roman"/>
                <w:color w:val="000000" w:themeColor="text1"/>
                <w:sz w:val="20"/>
                <w:szCs w:val="20"/>
              </w:rPr>
            </w:pPr>
            <w:r w:rsidRPr="008841A1">
              <w:rPr>
                <w:rFonts w:ascii="Times New Roman" w:hAnsi="Times New Roman" w:eastAsia="Times New Roman" w:cs="Times New Roman"/>
                <w:color w:val="000000" w:themeColor="text1"/>
                <w:sz w:val="20"/>
                <w:szCs w:val="20"/>
              </w:rPr>
              <w:t>9.55</w:t>
            </w:r>
          </w:p>
        </w:tc>
      </w:tr>
      <w:tr w:rsidRPr="008841A1" w:rsidR="008841A1" w:rsidTr="004C6CD8" w14:paraId="571836D2" w14:textId="77777777">
        <w:trPr>
          <w:trHeight w:val="315"/>
          <w:jc w:val="center"/>
        </w:trPr>
        <w:tc>
          <w:tcPr>
            <w:tcW w:w="6754" w:type="dxa"/>
            <w:tcBorders>
              <w:top w:val="nil"/>
              <w:left w:val="nil"/>
              <w:bottom w:val="single" w:color="auto" w:sz="8" w:space="0"/>
              <w:right w:val="nil"/>
            </w:tcBorders>
            <w:shd w:val="clear" w:color="auto" w:fill="auto"/>
            <w:noWrap/>
            <w:vAlign w:val="center"/>
          </w:tcPr>
          <w:p w:rsidRPr="008841A1" w:rsidR="008841A1" w:rsidP="00FC6E82" w:rsidRDefault="008841A1" w14:paraId="183AB9F7" w14:textId="77777777">
            <w:pPr>
              <w:spacing w:after="0" w:line="240" w:lineRule="auto"/>
              <w:contextualSpacing/>
              <w:rPr>
                <w:rFonts w:ascii="Times New Roman" w:hAnsi="Times New Roman" w:eastAsia="Times New Roman" w:cs="Times New Roman"/>
                <w:color w:val="000000" w:themeColor="text1"/>
                <w:sz w:val="20"/>
                <w:szCs w:val="20"/>
              </w:rPr>
            </w:pPr>
            <w:bookmarkStart w:name="_GoBack" w:id="0"/>
            <w:r w:rsidRPr="008841A1">
              <w:rPr>
                <w:rFonts w:ascii="Times New Roman" w:hAnsi="Times New Roman" w:eastAsia="Times New Roman" w:cs="Times New Roman"/>
                <w:color w:val="000000" w:themeColor="text1"/>
                <w:sz w:val="20"/>
                <w:szCs w:val="20"/>
              </w:rPr>
              <w:t>UCR Data Requests and Analysis</w:t>
            </w:r>
          </w:p>
        </w:tc>
        <w:tc>
          <w:tcPr>
            <w:tcW w:w="1670" w:type="dxa"/>
            <w:tcBorders>
              <w:top w:val="nil"/>
              <w:left w:val="nil"/>
              <w:bottom w:val="single" w:color="auto" w:sz="8" w:space="0"/>
              <w:right w:val="nil"/>
            </w:tcBorders>
            <w:shd w:val="clear" w:color="auto" w:fill="auto"/>
            <w:noWrap/>
            <w:vAlign w:val="center"/>
          </w:tcPr>
          <w:p w:rsidRPr="008841A1" w:rsidR="008841A1" w:rsidP="00FC6E82" w:rsidRDefault="008841A1" w14:paraId="7591D1A7" w14:textId="77777777">
            <w:pPr>
              <w:spacing w:after="0" w:line="240" w:lineRule="auto"/>
              <w:contextualSpacing/>
              <w:jc w:val="right"/>
              <w:rPr>
                <w:rFonts w:ascii="Times New Roman" w:hAnsi="Times New Roman" w:eastAsia="Times New Roman" w:cs="Times New Roman"/>
                <w:color w:val="000000" w:themeColor="text1"/>
                <w:sz w:val="20"/>
                <w:szCs w:val="20"/>
              </w:rPr>
            </w:pPr>
            <w:r w:rsidRPr="008841A1">
              <w:rPr>
                <w:rFonts w:ascii="Times New Roman" w:hAnsi="Times New Roman" w:eastAsia="Times New Roman" w:cs="Times New Roman"/>
                <w:color w:val="000000" w:themeColor="text1"/>
                <w:sz w:val="20"/>
                <w:szCs w:val="20"/>
              </w:rPr>
              <w:t>$691,632.75</w:t>
            </w:r>
          </w:p>
        </w:tc>
        <w:tc>
          <w:tcPr>
            <w:tcW w:w="1670" w:type="dxa"/>
            <w:tcBorders>
              <w:top w:val="nil"/>
              <w:left w:val="nil"/>
              <w:bottom w:val="single" w:color="auto" w:sz="8" w:space="0"/>
              <w:right w:val="nil"/>
            </w:tcBorders>
            <w:shd w:val="clear" w:color="auto" w:fill="auto"/>
            <w:noWrap/>
            <w:vAlign w:val="center"/>
          </w:tcPr>
          <w:p w:rsidRPr="008841A1" w:rsidR="008841A1" w:rsidP="00FC6E82" w:rsidRDefault="008841A1" w14:paraId="486E8CAE" w14:textId="77777777">
            <w:pPr>
              <w:spacing w:after="0" w:line="240" w:lineRule="auto"/>
              <w:contextualSpacing/>
              <w:jc w:val="right"/>
              <w:rPr>
                <w:rFonts w:ascii="Times New Roman" w:hAnsi="Times New Roman" w:eastAsia="Times New Roman" w:cs="Times New Roman"/>
                <w:color w:val="000000" w:themeColor="text1"/>
                <w:sz w:val="20"/>
                <w:szCs w:val="20"/>
              </w:rPr>
            </w:pPr>
            <w:r w:rsidRPr="008841A1">
              <w:rPr>
                <w:rFonts w:ascii="Times New Roman" w:hAnsi="Times New Roman" w:eastAsia="Times New Roman" w:cs="Times New Roman"/>
                <w:color w:val="000000" w:themeColor="text1"/>
                <w:sz w:val="20"/>
                <w:szCs w:val="20"/>
              </w:rPr>
              <w:t>6.16</w:t>
            </w:r>
          </w:p>
        </w:tc>
      </w:tr>
    </w:tbl>
    <w:tbl>
      <w:tblPr>
        <w:tblpPr w:leftFromText="180" w:rightFromText="180" w:vertAnchor="page" w:horzAnchor="margin" w:tblpXSpec="center" w:tblpY="1452"/>
        <w:tblW w:w="10080" w:type="dxa"/>
        <w:jc w:val="center"/>
        <w:tblLook w:val="04A0" w:firstRow="1" w:lastRow="0" w:firstColumn="1" w:lastColumn="0" w:noHBand="0" w:noVBand="1"/>
      </w:tblPr>
      <w:tblGrid>
        <w:gridCol w:w="6286"/>
        <w:gridCol w:w="1897"/>
        <w:gridCol w:w="1897"/>
      </w:tblGrid>
      <w:tr w:rsidRPr="008841A1" w:rsidR="00D76BDE" w:rsidTr="00FD0558" w14:paraId="49F61C15" w14:textId="77777777">
        <w:trPr>
          <w:trHeight w:val="315"/>
          <w:jc w:val="center"/>
        </w:trPr>
        <w:tc>
          <w:tcPr>
            <w:tcW w:w="6286" w:type="dxa"/>
            <w:tcBorders>
              <w:left w:val="nil"/>
              <w:bottom w:val="single" w:color="auto" w:sz="8" w:space="0"/>
              <w:right w:val="nil"/>
            </w:tcBorders>
            <w:shd w:val="clear" w:color="auto" w:fill="auto"/>
            <w:noWrap/>
            <w:vAlign w:val="center"/>
          </w:tcPr>
          <w:bookmarkEnd w:id="0"/>
          <w:p w:rsidRPr="00FD0558" w:rsidR="00D76BDE" w:rsidP="00FC6E82" w:rsidRDefault="00D76BDE" w14:paraId="7F0E43B5" w14:textId="77777777">
            <w:pPr>
              <w:spacing w:after="0" w:line="240" w:lineRule="auto"/>
              <w:rPr>
                <w:rFonts w:ascii="Times New Roman" w:hAnsi="Times New Roman" w:cs="Times New Roman"/>
                <w:b/>
                <w:sz w:val="20"/>
                <w:szCs w:val="20"/>
              </w:rPr>
            </w:pPr>
            <w:r w:rsidRPr="00FD0558">
              <w:rPr>
                <w:rFonts w:ascii="Times New Roman" w:hAnsi="Times New Roman" w:cs="Times New Roman"/>
                <w:b/>
                <w:sz w:val="20"/>
                <w:szCs w:val="20"/>
              </w:rPr>
              <w:lastRenderedPageBreak/>
              <w:t>Data Collection and Processing Costs</w:t>
            </w:r>
          </w:p>
        </w:tc>
        <w:tc>
          <w:tcPr>
            <w:tcW w:w="1897" w:type="dxa"/>
            <w:tcBorders>
              <w:left w:val="nil"/>
              <w:bottom w:val="single" w:color="auto" w:sz="8" w:space="0"/>
              <w:right w:val="nil"/>
            </w:tcBorders>
            <w:shd w:val="clear" w:color="auto" w:fill="auto"/>
            <w:noWrap/>
            <w:vAlign w:val="center"/>
          </w:tcPr>
          <w:p w:rsidRPr="008841A1" w:rsidR="00D76BDE" w:rsidP="00FC6E82" w:rsidRDefault="00D76BDE" w14:paraId="54E11D2A" w14:textId="77777777">
            <w:pPr>
              <w:spacing w:after="0" w:line="240" w:lineRule="auto"/>
              <w:contextualSpacing/>
              <w:jc w:val="right"/>
              <w:rPr>
                <w:rFonts w:ascii="Times New Roman" w:hAnsi="Times New Roman" w:eastAsia="Times New Roman" w:cs="Times New Roman"/>
                <w:b/>
                <w:color w:val="000000" w:themeColor="text1"/>
                <w:sz w:val="20"/>
                <w:szCs w:val="20"/>
              </w:rPr>
            </w:pPr>
          </w:p>
        </w:tc>
        <w:tc>
          <w:tcPr>
            <w:tcW w:w="1897" w:type="dxa"/>
            <w:tcBorders>
              <w:left w:val="nil"/>
              <w:bottom w:val="single" w:color="auto" w:sz="8" w:space="0"/>
              <w:right w:val="nil"/>
            </w:tcBorders>
            <w:shd w:val="clear" w:color="auto" w:fill="auto"/>
            <w:noWrap/>
            <w:vAlign w:val="center"/>
          </w:tcPr>
          <w:p w:rsidRPr="008841A1" w:rsidR="00D76BDE" w:rsidP="00FC6E82" w:rsidRDefault="00D76BDE" w14:paraId="31126E5D" w14:textId="77777777">
            <w:pPr>
              <w:spacing w:after="0" w:line="240" w:lineRule="auto"/>
              <w:contextualSpacing/>
              <w:jc w:val="right"/>
              <w:rPr>
                <w:rFonts w:ascii="Times New Roman" w:hAnsi="Times New Roman" w:eastAsia="Times New Roman" w:cs="Times New Roman"/>
                <w:b/>
                <w:color w:val="000000" w:themeColor="text1"/>
                <w:sz w:val="20"/>
                <w:szCs w:val="20"/>
              </w:rPr>
            </w:pPr>
          </w:p>
        </w:tc>
      </w:tr>
      <w:tr w:rsidRPr="008841A1" w:rsidR="00D76BDE" w:rsidTr="006F05A3" w14:paraId="1BBE34F0" w14:textId="77777777">
        <w:trPr>
          <w:trHeight w:val="315"/>
          <w:jc w:val="center"/>
        </w:trPr>
        <w:tc>
          <w:tcPr>
            <w:tcW w:w="6286" w:type="dxa"/>
            <w:tcBorders>
              <w:top w:val="single" w:color="auto" w:sz="8" w:space="0"/>
              <w:left w:val="nil"/>
              <w:bottom w:val="single" w:color="auto" w:sz="8" w:space="0"/>
              <w:right w:val="nil"/>
            </w:tcBorders>
            <w:shd w:val="clear" w:color="auto" w:fill="auto"/>
            <w:noWrap/>
            <w:vAlign w:val="center"/>
          </w:tcPr>
          <w:p w:rsidRPr="008841A1" w:rsidR="00D76BDE" w:rsidP="00FC6E82" w:rsidRDefault="00D76BDE" w14:paraId="529AEE40" w14:textId="77777777">
            <w:pPr>
              <w:spacing w:after="0" w:line="240" w:lineRule="auto"/>
              <w:contextualSpacing/>
              <w:rPr>
                <w:rFonts w:ascii="Times New Roman" w:hAnsi="Times New Roman" w:eastAsia="Times New Roman" w:cs="Times New Roman"/>
                <w:b/>
                <w:color w:val="000000" w:themeColor="text1"/>
                <w:sz w:val="20"/>
                <w:szCs w:val="20"/>
              </w:rPr>
            </w:pPr>
            <w:r w:rsidRPr="008841A1">
              <w:rPr>
                <w:rFonts w:ascii="Times New Roman" w:hAnsi="Times New Roman" w:eastAsia="Times New Roman" w:cs="Times New Roman"/>
                <w:b/>
                <w:color w:val="000000" w:themeColor="text1"/>
                <w:sz w:val="20"/>
                <w:szCs w:val="20"/>
              </w:rPr>
              <w:t>Activity</w:t>
            </w:r>
          </w:p>
        </w:tc>
        <w:tc>
          <w:tcPr>
            <w:tcW w:w="1897" w:type="dxa"/>
            <w:tcBorders>
              <w:top w:val="single" w:color="auto" w:sz="8" w:space="0"/>
              <w:left w:val="nil"/>
              <w:bottom w:val="single" w:color="auto" w:sz="8" w:space="0"/>
              <w:right w:val="nil"/>
            </w:tcBorders>
            <w:shd w:val="clear" w:color="auto" w:fill="auto"/>
            <w:noWrap/>
            <w:vAlign w:val="center"/>
          </w:tcPr>
          <w:p w:rsidRPr="008841A1" w:rsidR="00D76BDE" w:rsidP="00FC6E82" w:rsidRDefault="00D76BDE" w14:paraId="0A08EC8C" w14:textId="77777777">
            <w:pPr>
              <w:spacing w:after="0" w:line="240" w:lineRule="auto"/>
              <w:contextualSpacing/>
              <w:jc w:val="right"/>
              <w:rPr>
                <w:rFonts w:ascii="Times New Roman" w:hAnsi="Times New Roman" w:eastAsia="Times New Roman" w:cs="Times New Roman"/>
                <w:b/>
                <w:color w:val="000000" w:themeColor="text1"/>
                <w:sz w:val="20"/>
                <w:szCs w:val="20"/>
              </w:rPr>
            </w:pPr>
            <w:r w:rsidRPr="008841A1">
              <w:rPr>
                <w:rFonts w:ascii="Times New Roman" w:hAnsi="Times New Roman" w:eastAsia="Times New Roman" w:cs="Times New Roman"/>
                <w:b/>
                <w:color w:val="000000" w:themeColor="text1"/>
                <w:sz w:val="20"/>
                <w:szCs w:val="20"/>
              </w:rPr>
              <w:t xml:space="preserve">FY2019 </w:t>
            </w:r>
          </w:p>
          <w:p w:rsidRPr="008841A1" w:rsidR="00D76BDE" w:rsidP="00FC6E82" w:rsidRDefault="00D76BDE" w14:paraId="7F03759F" w14:textId="77777777">
            <w:pPr>
              <w:spacing w:after="0" w:line="240" w:lineRule="auto"/>
              <w:contextualSpacing/>
              <w:jc w:val="right"/>
              <w:rPr>
                <w:rFonts w:ascii="Times New Roman" w:hAnsi="Times New Roman" w:eastAsia="Times New Roman" w:cs="Times New Roman"/>
                <w:b/>
                <w:color w:val="000000" w:themeColor="text1"/>
                <w:sz w:val="20"/>
                <w:szCs w:val="20"/>
              </w:rPr>
            </w:pPr>
            <w:r w:rsidRPr="008841A1">
              <w:rPr>
                <w:rFonts w:ascii="Times New Roman" w:hAnsi="Times New Roman" w:eastAsia="Times New Roman" w:cs="Times New Roman"/>
                <w:b/>
                <w:color w:val="000000" w:themeColor="text1"/>
                <w:sz w:val="20"/>
                <w:szCs w:val="20"/>
              </w:rPr>
              <w:t>Annualized Cost</w:t>
            </w:r>
          </w:p>
        </w:tc>
        <w:tc>
          <w:tcPr>
            <w:tcW w:w="1897" w:type="dxa"/>
            <w:tcBorders>
              <w:top w:val="single" w:color="auto" w:sz="8" w:space="0"/>
              <w:left w:val="nil"/>
              <w:bottom w:val="single" w:color="auto" w:sz="8" w:space="0"/>
              <w:right w:val="nil"/>
            </w:tcBorders>
            <w:shd w:val="clear" w:color="auto" w:fill="auto"/>
            <w:noWrap/>
            <w:vAlign w:val="center"/>
          </w:tcPr>
          <w:p w:rsidRPr="008841A1" w:rsidR="00D76BDE" w:rsidP="00FC6E82" w:rsidRDefault="00D76BDE" w14:paraId="292710A2" w14:textId="77777777">
            <w:pPr>
              <w:spacing w:after="0" w:line="240" w:lineRule="auto"/>
              <w:contextualSpacing/>
              <w:jc w:val="right"/>
              <w:rPr>
                <w:rFonts w:ascii="Times New Roman" w:hAnsi="Times New Roman" w:eastAsia="Times New Roman" w:cs="Times New Roman"/>
                <w:b/>
                <w:color w:val="000000" w:themeColor="text1"/>
                <w:sz w:val="20"/>
                <w:szCs w:val="20"/>
              </w:rPr>
            </w:pPr>
            <w:r w:rsidRPr="008841A1">
              <w:rPr>
                <w:rFonts w:ascii="Times New Roman" w:hAnsi="Times New Roman" w:eastAsia="Times New Roman" w:cs="Times New Roman"/>
                <w:b/>
                <w:color w:val="000000" w:themeColor="text1"/>
                <w:sz w:val="20"/>
                <w:szCs w:val="20"/>
              </w:rPr>
              <w:t>FY2019 Annualized FTE</w:t>
            </w:r>
          </w:p>
        </w:tc>
      </w:tr>
      <w:tr w:rsidRPr="008841A1" w:rsidR="00D76BDE" w:rsidTr="006F05A3" w14:paraId="25C4267F" w14:textId="77777777">
        <w:trPr>
          <w:trHeight w:val="315"/>
          <w:jc w:val="center"/>
        </w:trPr>
        <w:tc>
          <w:tcPr>
            <w:tcW w:w="6286" w:type="dxa"/>
            <w:tcBorders>
              <w:top w:val="single" w:color="auto" w:sz="4" w:space="0"/>
              <w:left w:val="nil"/>
              <w:bottom w:val="nil"/>
              <w:right w:val="nil"/>
            </w:tcBorders>
            <w:shd w:val="clear" w:color="auto" w:fill="auto"/>
            <w:noWrap/>
            <w:vAlign w:val="center"/>
          </w:tcPr>
          <w:p w:rsidRPr="008841A1" w:rsidR="00D76BDE" w:rsidP="00FC6E82" w:rsidRDefault="00D76BDE" w14:paraId="0978A012" w14:textId="77777777">
            <w:pPr>
              <w:spacing w:after="0" w:line="240" w:lineRule="auto"/>
              <w:contextualSpacing/>
              <w:rPr>
                <w:rFonts w:ascii="Times New Roman" w:hAnsi="Times New Roman" w:eastAsia="Times New Roman" w:cs="Times New Roman"/>
                <w:color w:val="000000" w:themeColor="text1"/>
                <w:sz w:val="20"/>
                <w:szCs w:val="20"/>
              </w:rPr>
            </w:pPr>
            <w:r w:rsidRPr="008841A1">
              <w:rPr>
                <w:rFonts w:ascii="Times New Roman" w:hAnsi="Times New Roman" w:eastAsia="Times New Roman" w:cs="Times New Roman"/>
                <w:color w:val="000000" w:themeColor="text1"/>
                <w:sz w:val="20"/>
                <w:szCs w:val="20"/>
              </w:rPr>
              <w:t>UCR Development/Operations (UCR-Technical Refresh, CDE, UoF)</w:t>
            </w:r>
          </w:p>
        </w:tc>
        <w:tc>
          <w:tcPr>
            <w:tcW w:w="1897" w:type="dxa"/>
            <w:tcBorders>
              <w:top w:val="single" w:color="auto" w:sz="4" w:space="0"/>
              <w:left w:val="nil"/>
              <w:bottom w:val="nil"/>
              <w:right w:val="nil"/>
            </w:tcBorders>
            <w:shd w:val="clear" w:color="auto" w:fill="auto"/>
            <w:noWrap/>
            <w:vAlign w:val="center"/>
          </w:tcPr>
          <w:p w:rsidRPr="008841A1" w:rsidR="00D76BDE" w:rsidP="00FC6E82" w:rsidRDefault="00D76BDE" w14:paraId="3109FD50" w14:textId="77777777">
            <w:pPr>
              <w:spacing w:after="0" w:line="240" w:lineRule="auto"/>
              <w:contextualSpacing/>
              <w:jc w:val="right"/>
              <w:rPr>
                <w:rFonts w:ascii="Times New Roman" w:hAnsi="Times New Roman" w:eastAsia="Times New Roman" w:cs="Times New Roman"/>
                <w:color w:val="000000" w:themeColor="text1"/>
                <w:sz w:val="20"/>
                <w:szCs w:val="20"/>
              </w:rPr>
            </w:pPr>
            <w:r w:rsidRPr="008841A1">
              <w:rPr>
                <w:rFonts w:ascii="Times New Roman" w:hAnsi="Times New Roman" w:eastAsia="Times New Roman" w:cs="Times New Roman"/>
                <w:color w:val="000000" w:themeColor="text1"/>
                <w:sz w:val="20"/>
                <w:szCs w:val="20"/>
              </w:rPr>
              <w:t>$801,010.71</w:t>
            </w:r>
          </w:p>
        </w:tc>
        <w:tc>
          <w:tcPr>
            <w:tcW w:w="1897" w:type="dxa"/>
            <w:tcBorders>
              <w:top w:val="single" w:color="auto" w:sz="4" w:space="0"/>
              <w:left w:val="nil"/>
              <w:bottom w:val="nil"/>
              <w:right w:val="nil"/>
            </w:tcBorders>
            <w:shd w:val="clear" w:color="auto" w:fill="auto"/>
            <w:noWrap/>
            <w:vAlign w:val="center"/>
          </w:tcPr>
          <w:p w:rsidRPr="008841A1" w:rsidR="00D76BDE" w:rsidP="00FC6E82" w:rsidRDefault="00D76BDE" w14:paraId="2E97F65D" w14:textId="77777777">
            <w:pPr>
              <w:spacing w:after="0" w:line="240" w:lineRule="auto"/>
              <w:contextualSpacing/>
              <w:jc w:val="right"/>
              <w:rPr>
                <w:rFonts w:ascii="Times New Roman" w:hAnsi="Times New Roman" w:eastAsia="Times New Roman" w:cs="Times New Roman"/>
                <w:color w:val="000000" w:themeColor="text1"/>
                <w:sz w:val="20"/>
                <w:szCs w:val="20"/>
              </w:rPr>
            </w:pPr>
            <w:r w:rsidRPr="008841A1">
              <w:rPr>
                <w:rFonts w:ascii="Times New Roman" w:hAnsi="Times New Roman" w:eastAsia="Times New Roman" w:cs="Times New Roman"/>
                <w:color w:val="000000" w:themeColor="text1"/>
                <w:sz w:val="20"/>
                <w:szCs w:val="20"/>
              </w:rPr>
              <w:t>6.05</w:t>
            </w:r>
          </w:p>
        </w:tc>
      </w:tr>
      <w:tr w:rsidRPr="008841A1" w:rsidR="00D76BDE" w:rsidTr="006F05A3" w14:paraId="72E5CB74" w14:textId="77777777">
        <w:trPr>
          <w:trHeight w:val="315"/>
          <w:jc w:val="center"/>
        </w:trPr>
        <w:tc>
          <w:tcPr>
            <w:tcW w:w="6286" w:type="dxa"/>
            <w:tcBorders>
              <w:top w:val="nil"/>
              <w:left w:val="nil"/>
              <w:bottom w:val="nil"/>
              <w:right w:val="nil"/>
            </w:tcBorders>
            <w:shd w:val="clear" w:color="auto" w:fill="auto"/>
            <w:noWrap/>
            <w:vAlign w:val="center"/>
          </w:tcPr>
          <w:p w:rsidRPr="008841A1" w:rsidR="00D76BDE" w:rsidP="00FC6E82" w:rsidRDefault="00D76BDE" w14:paraId="15993F47" w14:textId="77777777">
            <w:pPr>
              <w:spacing w:after="0" w:line="240" w:lineRule="auto"/>
              <w:contextualSpacing/>
              <w:rPr>
                <w:rFonts w:ascii="Times New Roman" w:hAnsi="Times New Roman" w:eastAsia="Times New Roman" w:cs="Times New Roman"/>
                <w:color w:val="000000" w:themeColor="text1"/>
                <w:sz w:val="20"/>
                <w:szCs w:val="20"/>
              </w:rPr>
            </w:pPr>
            <w:r w:rsidRPr="008841A1">
              <w:rPr>
                <w:rFonts w:ascii="Times New Roman" w:hAnsi="Times New Roman" w:eastAsia="Times New Roman" w:cs="Times New Roman"/>
                <w:color w:val="000000" w:themeColor="text1"/>
                <w:sz w:val="20"/>
                <w:szCs w:val="20"/>
              </w:rPr>
              <w:t>UCR Life Cycle Support</w:t>
            </w:r>
          </w:p>
        </w:tc>
        <w:tc>
          <w:tcPr>
            <w:tcW w:w="1897" w:type="dxa"/>
            <w:tcBorders>
              <w:top w:val="nil"/>
              <w:left w:val="nil"/>
              <w:bottom w:val="nil"/>
              <w:right w:val="nil"/>
            </w:tcBorders>
            <w:shd w:val="clear" w:color="auto" w:fill="auto"/>
            <w:noWrap/>
            <w:vAlign w:val="center"/>
          </w:tcPr>
          <w:p w:rsidRPr="008841A1" w:rsidR="00D76BDE" w:rsidP="00FC6E82" w:rsidRDefault="00D76BDE" w14:paraId="7B529D4B" w14:textId="77777777">
            <w:pPr>
              <w:spacing w:after="0" w:line="240" w:lineRule="auto"/>
              <w:contextualSpacing/>
              <w:jc w:val="right"/>
              <w:rPr>
                <w:rFonts w:ascii="Times New Roman" w:hAnsi="Times New Roman" w:eastAsia="Times New Roman" w:cs="Times New Roman"/>
                <w:color w:val="000000" w:themeColor="text1"/>
                <w:sz w:val="20"/>
                <w:szCs w:val="20"/>
              </w:rPr>
            </w:pPr>
            <w:r w:rsidRPr="008841A1">
              <w:rPr>
                <w:rFonts w:ascii="Times New Roman" w:hAnsi="Times New Roman" w:eastAsia="Times New Roman" w:cs="Times New Roman"/>
                <w:color w:val="000000" w:themeColor="text1"/>
                <w:sz w:val="20"/>
                <w:szCs w:val="20"/>
              </w:rPr>
              <w:t>$70,139.67</w:t>
            </w:r>
          </w:p>
        </w:tc>
        <w:tc>
          <w:tcPr>
            <w:tcW w:w="1897" w:type="dxa"/>
            <w:tcBorders>
              <w:top w:val="nil"/>
              <w:left w:val="nil"/>
              <w:bottom w:val="nil"/>
              <w:right w:val="nil"/>
            </w:tcBorders>
            <w:shd w:val="clear" w:color="auto" w:fill="auto"/>
            <w:noWrap/>
            <w:vAlign w:val="center"/>
          </w:tcPr>
          <w:p w:rsidRPr="008841A1" w:rsidR="00D76BDE" w:rsidP="00FC6E82" w:rsidRDefault="00D76BDE" w14:paraId="27D24E0E" w14:textId="77777777">
            <w:pPr>
              <w:spacing w:after="0" w:line="240" w:lineRule="auto"/>
              <w:contextualSpacing/>
              <w:jc w:val="right"/>
              <w:rPr>
                <w:rFonts w:ascii="Times New Roman" w:hAnsi="Times New Roman" w:eastAsia="Times New Roman" w:cs="Times New Roman"/>
                <w:color w:val="000000" w:themeColor="text1"/>
                <w:sz w:val="20"/>
                <w:szCs w:val="20"/>
              </w:rPr>
            </w:pPr>
            <w:r w:rsidRPr="008841A1">
              <w:rPr>
                <w:rFonts w:ascii="Times New Roman" w:hAnsi="Times New Roman" w:eastAsia="Times New Roman" w:cs="Times New Roman"/>
                <w:color w:val="000000" w:themeColor="text1"/>
                <w:sz w:val="20"/>
                <w:szCs w:val="20"/>
              </w:rPr>
              <w:t>0.40</w:t>
            </w:r>
          </w:p>
        </w:tc>
      </w:tr>
      <w:tr w:rsidRPr="008841A1" w:rsidR="00D76BDE" w:rsidTr="006F05A3" w14:paraId="2374BB83" w14:textId="77777777">
        <w:trPr>
          <w:trHeight w:val="315"/>
          <w:jc w:val="center"/>
        </w:trPr>
        <w:tc>
          <w:tcPr>
            <w:tcW w:w="6286" w:type="dxa"/>
            <w:tcBorders>
              <w:top w:val="nil"/>
              <w:left w:val="nil"/>
              <w:bottom w:val="nil"/>
              <w:right w:val="nil"/>
            </w:tcBorders>
            <w:shd w:val="clear" w:color="auto" w:fill="auto"/>
            <w:noWrap/>
            <w:vAlign w:val="center"/>
          </w:tcPr>
          <w:p w:rsidRPr="008841A1" w:rsidR="00D76BDE" w:rsidP="00FC6E82" w:rsidRDefault="00D76BDE" w14:paraId="7F785D71" w14:textId="77777777">
            <w:pPr>
              <w:spacing w:after="0" w:line="240" w:lineRule="auto"/>
              <w:contextualSpacing/>
              <w:rPr>
                <w:rFonts w:ascii="Times New Roman" w:hAnsi="Times New Roman" w:eastAsia="Times New Roman" w:cs="Times New Roman"/>
                <w:color w:val="000000" w:themeColor="text1"/>
                <w:sz w:val="20"/>
                <w:szCs w:val="20"/>
              </w:rPr>
            </w:pPr>
            <w:r w:rsidRPr="008841A1">
              <w:rPr>
                <w:rFonts w:ascii="Times New Roman" w:hAnsi="Times New Roman" w:eastAsia="Times New Roman" w:cs="Times New Roman"/>
                <w:color w:val="000000" w:themeColor="text1"/>
                <w:sz w:val="20"/>
                <w:szCs w:val="20"/>
              </w:rPr>
              <w:t>UCR Security</w:t>
            </w:r>
          </w:p>
        </w:tc>
        <w:tc>
          <w:tcPr>
            <w:tcW w:w="1897" w:type="dxa"/>
            <w:tcBorders>
              <w:top w:val="nil"/>
              <w:left w:val="nil"/>
              <w:bottom w:val="nil"/>
              <w:right w:val="nil"/>
            </w:tcBorders>
            <w:shd w:val="clear" w:color="auto" w:fill="auto"/>
            <w:noWrap/>
            <w:vAlign w:val="center"/>
          </w:tcPr>
          <w:p w:rsidRPr="008841A1" w:rsidR="00D76BDE" w:rsidP="00FC6E82" w:rsidRDefault="00D76BDE" w14:paraId="38437A1C" w14:textId="77777777">
            <w:pPr>
              <w:spacing w:after="0" w:line="240" w:lineRule="auto"/>
              <w:contextualSpacing/>
              <w:jc w:val="right"/>
              <w:rPr>
                <w:rFonts w:ascii="Times New Roman" w:hAnsi="Times New Roman" w:eastAsia="Times New Roman" w:cs="Times New Roman"/>
                <w:color w:val="000000" w:themeColor="text1"/>
                <w:sz w:val="20"/>
                <w:szCs w:val="20"/>
              </w:rPr>
            </w:pPr>
            <w:r w:rsidRPr="008841A1">
              <w:rPr>
                <w:rFonts w:ascii="Times New Roman" w:hAnsi="Times New Roman" w:eastAsia="Times New Roman" w:cs="Times New Roman"/>
                <w:color w:val="000000" w:themeColor="text1"/>
                <w:sz w:val="20"/>
                <w:szCs w:val="20"/>
              </w:rPr>
              <w:t>$9,869.80</w:t>
            </w:r>
          </w:p>
        </w:tc>
        <w:tc>
          <w:tcPr>
            <w:tcW w:w="1897" w:type="dxa"/>
            <w:tcBorders>
              <w:top w:val="nil"/>
              <w:left w:val="nil"/>
              <w:bottom w:val="nil"/>
              <w:right w:val="nil"/>
            </w:tcBorders>
            <w:shd w:val="clear" w:color="auto" w:fill="auto"/>
            <w:noWrap/>
            <w:vAlign w:val="center"/>
          </w:tcPr>
          <w:p w:rsidRPr="008841A1" w:rsidR="00D76BDE" w:rsidP="00FC6E82" w:rsidRDefault="00D76BDE" w14:paraId="4C719E54" w14:textId="77777777">
            <w:pPr>
              <w:spacing w:after="0" w:line="240" w:lineRule="auto"/>
              <w:contextualSpacing/>
              <w:jc w:val="right"/>
              <w:rPr>
                <w:rFonts w:ascii="Times New Roman" w:hAnsi="Times New Roman" w:eastAsia="Times New Roman" w:cs="Times New Roman"/>
                <w:color w:val="000000" w:themeColor="text1"/>
                <w:sz w:val="20"/>
                <w:szCs w:val="20"/>
              </w:rPr>
            </w:pPr>
            <w:r w:rsidRPr="008841A1">
              <w:rPr>
                <w:rFonts w:ascii="Times New Roman" w:hAnsi="Times New Roman" w:eastAsia="Times New Roman" w:cs="Times New Roman"/>
                <w:color w:val="000000" w:themeColor="text1"/>
                <w:sz w:val="20"/>
                <w:szCs w:val="20"/>
              </w:rPr>
              <w:t>0.05</w:t>
            </w:r>
          </w:p>
        </w:tc>
      </w:tr>
      <w:tr w:rsidRPr="008841A1" w:rsidR="00D76BDE" w:rsidTr="006F05A3" w14:paraId="6AECE21F" w14:textId="77777777">
        <w:trPr>
          <w:trHeight w:val="315"/>
          <w:jc w:val="center"/>
        </w:trPr>
        <w:tc>
          <w:tcPr>
            <w:tcW w:w="6286" w:type="dxa"/>
            <w:tcBorders>
              <w:top w:val="nil"/>
              <w:left w:val="nil"/>
              <w:bottom w:val="nil"/>
              <w:right w:val="nil"/>
            </w:tcBorders>
            <w:shd w:val="clear" w:color="auto" w:fill="auto"/>
            <w:noWrap/>
            <w:vAlign w:val="center"/>
          </w:tcPr>
          <w:p w:rsidRPr="008841A1" w:rsidR="00D76BDE" w:rsidP="00FC6E82" w:rsidRDefault="00D76BDE" w14:paraId="477F45B8" w14:textId="77777777">
            <w:pPr>
              <w:spacing w:after="0" w:line="240" w:lineRule="auto"/>
              <w:contextualSpacing/>
              <w:rPr>
                <w:rFonts w:ascii="Times New Roman" w:hAnsi="Times New Roman" w:eastAsia="Times New Roman" w:cs="Times New Roman"/>
                <w:color w:val="000000" w:themeColor="text1"/>
                <w:sz w:val="20"/>
                <w:szCs w:val="20"/>
              </w:rPr>
            </w:pPr>
            <w:r w:rsidRPr="008841A1">
              <w:rPr>
                <w:rFonts w:ascii="Times New Roman" w:hAnsi="Times New Roman" w:eastAsia="Times New Roman" w:cs="Times New Roman"/>
                <w:color w:val="000000" w:themeColor="text1"/>
                <w:sz w:val="20"/>
                <w:szCs w:val="20"/>
              </w:rPr>
              <w:t>UoF</w:t>
            </w:r>
          </w:p>
        </w:tc>
        <w:tc>
          <w:tcPr>
            <w:tcW w:w="1897" w:type="dxa"/>
            <w:tcBorders>
              <w:top w:val="nil"/>
              <w:left w:val="nil"/>
              <w:bottom w:val="nil"/>
              <w:right w:val="nil"/>
            </w:tcBorders>
            <w:shd w:val="clear" w:color="auto" w:fill="auto"/>
            <w:noWrap/>
            <w:vAlign w:val="center"/>
          </w:tcPr>
          <w:p w:rsidRPr="008841A1" w:rsidR="00D76BDE" w:rsidP="00FC6E82" w:rsidRDefault="00D76BDE" w14:paraId="54E2466B" w14:textId="77777777">
            <w:pPr>
              <w:spacing w:after="0" w:line="240" w:lineRule="auto"/>
              <w:contextualSpacing/>
              <w:jc w:val="right"/>
              <w:rPr>
                <w:rFonts w:ascii="Times New Roman" w:hAnsi="Times New Roman" w:eastAsia="Times New Roman" w:cs="Times New Roman"/>
                <w:color w:val="000000" w:themeColor="text1"/>
                <w:sz w:val="20"/>
                <w:szCs w:val="20"/>
              </w:rPr>
            </w:pPr>
            <w:r w:rsidRPr="008841A1">
              <w:rPr>
                <w:rFonts w:ascii="Times New Roman" w:hAnsi="Times New Roman" w:eastAsia="Times New Roman" w:cs="Times New Roman"/>
                <w:color w:val="000000" w:themeColor="text1"/>
                <w:sz w:val="20"/>
                <w:szCs w:val="20"/>
              </w:rPr>
              <w:t>$193,430.33</w:t>
            </w:r>
          </w:p>
        </w:tc>
        <w:tc>
          <w:tcPr>
            <w:tcW w:w="1897" w:type="dxa"/>
            <w:tcBorders>
              <w:top w:val="nil"/>
              <w:left w:val="nil"/>
              <w:bottom w:val="nil"/>
              <w:right w:val="nil"/>
            </w:tcBorders>
            <w:shd w:val="clear" w:color="auto" w:fill="auto"/>
            <w:noWrap/>
            <w:vAlign w:val="center"/>
          </w:tcPr>
          <w:p w:rsidRPr="008841A1" w:rsidR="00D76BDE" w:rsidP="00FC6E82" w:rsidRDefault="00D76BDE" w14:paraId="51F9CB4B" w14:textId="77777777">
            <w:pPr>
              <w:spacing w:after="0" w:line="240" w:lineRule="auto"/>
              <w:contextualSpacing/>
              <w:jc w:val="right"/>
              <w:rPr>
                <w:rFonts w:ascii="Times New Roman" w:hAnsi="Times New Roman" w:eastAsia="Times New Roman" w:cs="Times New Roman"/>
                <w:color w:val="000000" w:themeColor="text1"/>
                <w:sz w:val="20"/>
                <w:szCs w:val="20"/>
              </w:rPr>
            </w:pPr>
            <w:r w:rsidRPr="008841A1">
              <w:rPr>
                <w:rFonts w:ascii="Times New Roman" w:hAnsi="Times New Roman" w:eastAsia="Times New Roman" w:cs="Times New Roman"/>
                <w:color w:val="000000" w:themeColor="text1"/>
                <w:sz w:val="20"/>
                <w:szCs w:val="20"/>
              </w:rPr>
              <w:t>1.04</w:t>
            </w:r>
          </w:p>
        </w:tc>
      </w:tr>
      <w:tr w:rsidRPr="008841A1" w:rsidR="00D76BDE" w:rsidTr="006F05A3" w14:paraId="3110413C" w14:textId="77777777">
        <w:trPr>
          <w:trHeight w:val="315"/>
          <w:jc w:val="center"/>
        </w:trPr>
        <w:tc>
          <w:tcPr>
            <w:tcW w:w="6286" w:type="dxa"/>
            <w:tcBorders>
              <w:top w:val="nil"/>
              <w:left w:val="nil"/>
              <w:right w:val="nil"/>
            </w:tcBorders>
            <w:shd w:val="clear" w:color="auto" w:fill="auto"/>
            <w:noWrap/>
            <w:vAlign w:val="center"/>
          </w:tcPr>
          <w:p w:rsidRPr="008841A1" w:rsidR="00D76BDE" w:rsidP="00FC6E82" w:rsidRDefault="00D76BDE" w14:paraId="33090AD3" w14:textId="77777777">
            <w:pPr>
              <w:spacing w:after="0" w:line="240" w:lineRule="auto"/>
              <w:contextualSpacing/>
              <w:rPr>
                <w:rFonts w:ascii="Times New Roman" w:hAnsi="Times New Roman" w:eastAsia="Times New Roman" w:cs="Times New Roman"/>
                <w:color w:val="000000" w:themeColor="text1"/>
                <w:sz w:val="20"/>
                <w:szCs w:val="20"/>
              </w:rPr>
            </w:pPr>
            <w:r w:rsidRPr="008841A1">
              <w:rPr>
                <w:rFonts w:ascii="Times New Roman" w:hAnsi="Times New Roman" w:eastAsia="Times New Roman" w:cs="Times New Roman"/>
                <w:color w:val="000000" w:themeColor="text1"/>
                <w:sz w:val="20"/>
                <w:szCs w:val="20"/>
              </w:rPr>
              <w:t>Video Production</w:t>
            </w:r>
          </w:p>
        </w:tc>
        <w:tc>
          <w:tcPr>
            <w:tcW w:w="1897" w:type="dxa"/>
            <w:tcBorders>
              <w:top w:val="nil"/>
              <w:left w:val="nil"/>
              <w:right w:val="nil"/>
            </w:tcBorders>
            <w:shd w:val="clear" w:color="auto" w:fill="auto"/>
            <w:noWrap/>
            <w:vAlign w:val="center"/>
          </w:tcPr>
          <w:p w:rsidRPr="008841A1" w:rsidR="00D76BDE" w:rsidP="00FC6E82" w:rsidRDefault="00D76BDE" w14:paraId="004855D0" w14:textId="77777777">
            <w:pPr>
              <w:spacing w:after="0" w:line="240" w:lineRule="auto"/>
              <w:contextualSpacing/>
              <w:jc w:val="right"/>
              <w:rPr>
                <w:rFonts w:ascii="Times New Roman" w:hAnsi="Times New Roman" w:eastAsia="Times New Roman" w:cs="Times New Roman"/>
                <w:color w:val="000000" w:themeColor="text1"/>
                <w:sz w:val="20"/>
                <w:szCs w:val="20"/>
              </w:rPr>
            </w:pPr>
            <w:r w:rsidRPr="008841A1">
              <w:rPr>
                <w:rFonts w:ascii="Times New Roman" w:hAnsi="Times New Roman" w:eastAsia="Times New Roman" w:cs="Times New Roman"/>
                <w:color w:val="000000" w:themeColor="text1"/>
                <w:sz w:val="20"/>
                <w:szCs w:val="20"/>
              </w:rPr>
              <w:t>$9,050.94</w:t>
            </w:r>
          </w:p>
        </w:tc>
        <w:tc>
          <w:tcPr>
            <w:tcW w:w="1897" w:type="dxa"/>
            <w:tcBorders>
              <w:top w:val="nil"/>
              <w:left w:val="nil"/>
              <w:right w:val="nil"/>
            </w:tcBorders>
            <w:shd w:val="clear" w:color="auto" w:fill="auto"/>
            <w:noWrap/>
            <w:vAlign w:val="center"/>
          </w:tcPr>
          <w:p w:rsidRPr="008841A1" w:rsidR="00D76BDE" w:rsidP="00FC6E82" w:rsidRDefault="00D76BDE" w14:paraId="0E2E7C8B" w14:textId="77777777">
            <w:pPr>
              <w:spacing w:after="0" w:line="240" w:lineRule="auto"/>
              <w:contextualSpacing/>
              <w:jc w:val="right"/>
              <w:rPr>
                <w:rFonts w:ascii="Times New Roman" w:hAnsi="Times New Roman" w:eastAsia="Times New Roman" w:cs="Times New Roman"/>
                <w:color w:val="000000" w:themeColor="text1"/>
                <w:sz w:val="20"/>
                <w:szCs w:val="20"/>
              </w:rPr>
            </w:pPr>
            <w:r w:rsidRPr="008841A1">
              <w:rPr>
                <w:rFonts w:ascii="Times New Roman" w:hAnsi="Times New Roman" w:eastAsia="Times New Roman" w:cs="Times New Roman"/>
                <w:color w:val="000000" w:themeColor="text1"/>
                <w:sz w:val="20"/>
                <w:szCs w:val="20"/>
              </w:rPr>
              <w:t>0.12</w:t>
            </w:r>
          </w:p>
        </w:tc>
      </w:tr>
      <w:tr w:rsidRPr="008841A1" w:rsidR="00D76BDE" w:rsidTr="00FD0558" w14:paraId="02DE588F" w14:textId="77777777">
        <w:trPr>
          <w:trHeight w:val="315"/>
          <w:jc w:val="center"/>
        </w:trPr>
        <w:tc>
          <w:tcPr>
            <w:tcW w:w="6286" w:type="dxa"/>
            <w:tcBorders>
              <w:top w:val="nil"/>
              <w:left w:val="nil"/>
              <w:bottom w:val="single" w:color="auto" w:sz="8" w:space="0"/>
              <w:right w:val="nil"/>
            </w:tcBorders>
            <w:shd w:val="clear" w:color="auto" w:fill="auto"/>
            <w:noWrap/>
            <w:vAlign w:val="center"/>
          </w:tcPr>
          <w:p w:rsidRPr="008841A1" w:rsidR="00D76BDE" w:rsidP="00FC6E82" w:rsidRDefault="00D76BDE" w14:paraId="0A4347B8" w14:textId="77777777">
            <w:pPr>
              <w:spacing w:after="0" w:line="240" w:lineRule="auto"/>
              <w:contextualSpacing/>
              <w:rPr>
                <w:rFonts w:ascii="Times New Roman" w:hAnsi="Times New Roman" w:eastAsia="Times New Roman" w:cs="Times New Roman"/>
                <w:color w:val="000000" w:themeColor="text1"/>
                <w:sz w:val="20"/>
                <w:szCs w:val="20"/>
              </w:rPr>
            </w:pPr>
            <w:r w:rsidRPr="008841A1">
              <w:rPr>
                <w:rFonts w:ascii="Times New Roman" w:hAnsi="Times New Roman" w:eastAsia="Times New Roman" w:cs="Times New Roman"/>
                <w:color w:val="000000" w:themeColor="text1"/>
                <w:sz w:val="20"/>
                <w:szCs w:val="20"/>
              </w:rPr>
              <w:t>Writing Services/Support</w:t>
            </w:r>
          </w:p>
        </w:tc>
        <w:tc>
          <w:tcPr>
            <w:tcW w:w="1897" w:type="dxa"/>
            <w:tcBorders>
              <w:top w:val="nil"/>
              <w:left w:val="nil"/>
              <w:bottom w:val="single" w:color="auto" w:sz="8" w:space="0"/>
              <w:right w:val="nil"/>
            </w:tcBorders>
            <w:shd w:val="clear" w:color="auto" w:fill="auto"/>
            <w:noWrap/>
            <w:vAlign w:val="center"/>
          </w:tcPr>
          <w:p w:rsidRPr="008841A1" w:rsidR="00D76BDE" w:rsidP="00FC6E82" w:rsidRDefault="00D76BDE" w14:paraId="5ED99EC5" w14:textId="77777777">
            <w:pPr>
              <w:spacing w:after="0" w:line="240" w:lineRule="auto"/>
              <w:contextualSpacing/>
              <w:jc w:val="right"/>
              <w:rPr>
                <w:rFonts w:ascii="Times New Roman" w:hAnsi="Times New Roman" w:eastAsia="Times New Roman" w:cs="Times New Roman"/>
                <w:color w:val="000000" w:themeColor="text1"/>
                <w:sz w:val="20"/>
                <w:szCs w:val="20"/>
              </w:rPr>
            </w:pPr>
            <w:r w:rsidRPr="008841A1">
              <w:rPr>
                <w:rFonts w:ascii="Times New Roman" w:hAnsi="Times New Roman" w:eastAsia="Times New Roman" w:cs="Times New Roman"/>
                <w:color w:val="000000" w:themeColor="text1"/>
                <w:sz w:val="20"/>
                <w:szCs w:val="20"/>
              </w:rPr>
              <w:t>$85,237.45</w:t>
            </w:r>
          </w:p>
        </w:tc>
        <w:tc>
          <w:tcPr>
            <w:tcW w:w="1897" w:type="dxa"/>
            <w:tcBorders>
              <w:top w:val="nil"/>
              <w:left w:val="nil"/>
              <w:bottom w:val="single" w:color="auto" w:sz="8" w:space="0"/>
              <w:right w:val="nil"/>
            </w:tcBorders>
            <w:shd w:val="clear" w:color="auto" w:fill="auto"/>
            <w:noWrap/>
            <w:vAlign w:val="center"/>
          </w:tcPr>
          <w:p w:rsidRPr="008841A1" w:rsidR="00D76BDE" w:rsidP="00FC6E82" w:rsidRDefault="00D76BDE" w14:paraId="2FA3137C" w14:textId="77777777">
            <w:pPr>
              <w:spacing w:after="0" w:line="240" w:lineRule="auto"/>
              <w:contextualSpacing/>
              <w:jc w:val="right"/>
              <w:rPr>
                <w:rFonts w:ascii="Times New Roman" w:hAnsi="Times New Roman" w:eastAsia="Times New Roman" w:cs="Times New Roman"/>
                <w:color w:val="000000" w:themeColor="text1"/>
                <w:sz w:val="20"/>
                <w:szCs w:val="20"/>
              </w:rPr>
            </w:pPr>
            <w:r w:rsidRPr="008841A1">
              <w:rPr>
                <w:rFonts w:ascii="Times New Roman" w:hAnsi="Times New Roman" w:eastAsia="Times New Roman" w:cs="Times New Roman"/>
                <w:color w:val="000000" w:themeColor="text1"/>
                <w:sz w:val="20"/>
                <w:szCs w:val="20"/>
              </w:rPr>
              <w:t>1.20</w:t>
            </w:r>
          </w:p>
        </w:tc>
      </w:tr>
      <w:tr w:rsidRPr="008841A1" w:rsidR="00D76BDE" w:rsidTr="00FD0558" w14:paraId="39D81C7D" w14:textId="77777777">
        <w:trPr>
          <w:trHeight w:val="300"/>
          <w:jc w:val="center"/>
        </w:trPr>
        <w:tc>
          <w:tcPr>
            <w:tcW w:w="6286" w:type="dxa"/>
            <w:tcBorders>
              <w:top w:val="single" w:color="auto" w:sz="8" w:space="0"/>
              <w:left w:val="nil"/>
              <w:bottom w:val="single" w:color="auto" w:sz="8" w:space="0"/>
              <w:right w:val="nil"/>
            </w:tcBorders>
            <w:shd w:val="clear" w:color="auto" w:fill="auto"/>
            <w:noWrap/>
            <w:vAlign w:val="center"/>
            <w:hideMark/>
          </w:tcPr>
          <w:p w:rsidRPr="008841A1" w:rsidR="00D76BDE" w:rsidP="00FC6E82" w:rsidRDefault="00D76BDE" w14:paraId="51E8FDB7" w14:textId="77777777">
            <w:pPr>
              <w:spacing w:after="0" w:line="240" w:lineRule="auto"/>
              <w:contextualSpacing/>
              <w:rPr>
                <w:rFonts w:ascii="Times New Roman" w:hAnsi="Times New Roman" w:eastAsia="Times New Roman" w:cs="Times New Roman"/>
                <w:b/>
                <w:color w:val="000000" w:themeColor="text1"/>
                <w:sz w:val="20"/>
                <w:szCs w:val="20"/>
              </w:rPr>
            </w:pPr>
            <w:r w:rsidRPr="008841A1">
              <w:rPr>
                <w:rFonts w:ascii="Times New Roman" w:hAnsi="Times New Roman" w:eastAsia="Times New Roman" w:cs="Times New Roman"/>
                <w:b/>
                <w:color w:val="000000" w:themeColor="text1"/>
                <w:sz w:val="20"/>
                <w:szCs w:val="20"/>
              </w:rPr>
              <w:t>Total</w:t>
            </w:r>
          </w:p>
        </w:tc>
        <w:tc>
          <w:tcPr>
            <w:tcW w:w="1897" w:type="dxa"/>
            <w:tcBorders>
              <w:top w:val="single" w:color="auto" w:sz="8" w:space="0"/>
              <w:left w:val="nil"/>
              <w:bottom w:val="single" w:color="auto" w:sz="8" w:space="0"/>
              <w:right w:val="nil"/>
            </w:tcBorders>
            <w:shd w:val="clear" w:color="auto" w:fill="auto"/>
            <w:noWrap/>
            <w:vAlign w:val="center"/>
            <w:hideMark/>
          </w:tcPr>
          <w:p w:rsidRPr="008841A1" w:rsidR="00D76BDE" w:rsidP="00FC6E82" w:rsidRDefault="00D76BDE" w14:paraId="5DDB004E" w14:textId="77777777">
            <w:pPr>
              <w:spacing w:after="0" w:line="240" w:lineRule="auto"/>
              <w:contextualSpacing/>
              <w:jc w:val="right"/>
              <w:rPr>
                <w:rFonts w:ascii="Times New Roman" w:hAnsi="Times New Roman" w:eastAsia="Times New Roman" w:cs="Times New Roman"/>
                <w:b/>
                <w:color w:val="000000" w:themeColor="text1"/>
                <w:sz w:val="20"/>
                <w:szCs w:val="20"/>
              </w:rPr>
            </w:pPr>
            <w:r w:rsidRPr="008841A1">
              <w:rPr>
                <w:rFonts w:ascii="Times New Roman" w:hAnsi="Times New Roman" w:eastAsia="Times New Roman" w:cs="Times New Roman"/>
                <w:b/>
                <w:color w:val="000000" w:themeColor="text1"/>
                <w:sz w:val="20"/>
                <w:szCs w:val="20"/>
              </w:rPr>
              <w:t>$8,346,083.27</w:t>
            </w:r>
          </w:p>
        </w:tc>
        <w:tc>
          <w:tcPr>
            <w:tcW w:w="1897" w:type="dxa"/>
            <w:tcBorders>
              <w:top w:val="single" w:color="auto" w:sz="8" w:space="0"/>
              <w:left w:val="nil"/>
              <w:bottom w:val="single" w:color="auto" w:sz="8" w:space="0"/>
              <w:right w:val="nil"/>
            </w:tcBorders>
            <w:shd w:val="clear" w:color="auto" w:fill="auto"/>
            <w:noWrap/>
            <w:vAlign w:val="center"/>
            <w:hideMark/>
          </w:tcPr>
          <w:p w:rsidRPr="008841A1" w:rsidR="00D76BDE" w:rsidP="00FC6E82" w:rsidRDefault="00D76BDE" w14:paraId="70B4DAA6" w14:textId="77777777">
            <w:pPr>
              <w:spacing w:after="0" w:line="240" w:lineRule="auto"/>
              <w:contextualSpacing/>
              <w:jc w:val="right"/>
              <w:rPr>
                <w:rFonts w:ascii="Times New Roman" w:hAnsi="Times New Roman" w:eastAsia="Times New Roman" w:cs="Times New Roman"/>
                <w:b/>
                <w:color w:val="000000" w:themeColor="text1"/>
                <w:sz w:val="20"/>
                <w:szCs w:val="20"/>
              </w:rPr>
            </w:pPr>
            <w:r w:rsidRPr="008841A1">
              <w:rPr>
                <w:rFonts w:ascii="Times New Roman" w:hAnsi="Times New Roman" w:eastAsia="Times New Roman" w:cs="Times New Roman"/>
                <w:b/>
                <w:color w:val="000000" w:themeColor="text1"/>
                <w:sz w:val="20"/>
                <w:szCs w:val="20"/>
              </w:rPr>
              <w:t>65.60</w:t>
            </w:r>
          </w:p>
        </w:tc>
      </w:tr>
    </w:tbl>
    <w:p w:rsidR="008841A1" w:rsidP="00FC6E82" w:rsidRDefault="008841A1" w14:paraId="2DE403A5" w14:textId="77777777">
      <w:pPr>
        <w:spacing w:after="0" w:line="240" w:lineRule="auto"/>
        <w:contextualSpacing/>
        <w:rPr>
          <w:rFonts w:ascii="Times New Roman" w:hAnsi="Times New Roman" w:cs="Times New Roman"/>
          <w:color w:val="000000" w:themeColor="text1"/>
          <w:sz w:val="24"/>
          <w:szCs w:val="24"/>
        </w:rPr>
      </w:pPr>
    </w:p>
    <w:p w:rsidR="008841A1" w:rsidP="00FC6E82" w:rsidRDefault="008841A1" w14:paraId="62431CDC" w14:textId="77777777">
      <w:pPr>
        <w:spacing w:after="0" w:line="240" w:lineRule="auto"/>
        <w:contextualSpacing/>
        <w:rPr>
          <w:rFonts w:ascii="Times New Roman" w:hAnsi="Times New Roman" w:cs="Times New Roman"/>
          <w:color w:val="000000" w:themeColor="text1"/>
          <w:sz w:val="24"/>
          <w:szCs w:val="24"/>
        </w:rPr>
      </w:pPr>
    </w:p>
    <w:p w:rsidRPr="0065486C" w:rsidR="004450F7" w:rsidP="00FC6E82" w:rsidRDefault="004450F7" w14:paraId="0EDA7573" w14:textId="77777777">
      <w:pPr>
        <w:pStyle w:val="ListParagraph"/>
        <w:numPr>
          <w:ilvl w:val="0"/>
          <w:numId w:val="4"/>
        </w:numPr>
        <w:tabs>
          <w:tab w:val="left" w:pos="1800"/>
          <w:tab w:val="left" w:pos="6840"/>
          <w:tab w:val="right" w:pos="8280"/>
        </w:tabs>
        <w:spacing w:after="0" w:line="240" w:lineRule="auto"/>
        <w:rPr>
          <w:rFonts w:ascii="Times New Roman" w:hAnsi="Times New Roman" w:cs="Times New Roman"/>
          <w:color w:val="000000" w:themeColor="text1"/>
          <w:sz w:val="24"/>
          <w:szCs w:val="24"/>
        </w:rPr>
      </w:pPr>
      <w:r w:rsidRPr="0065486C">
        <w:rPr>
          <w:rFonts w:ascii="Times New Roman" w:hAnsi="Times New Roman" w:cs="Times New Roman"/>
          <w:color w:val="000000" w:themeColor="text1"/>
          <w:sz w:val="24"/>
          <w:szCs w:val="24"/>
          <w:u w:val="single"/>
        </w:rPr>
        <w:t>Reason for Change in Burden</w:t>
      </w:r>
    </w:p>
    <w:p w:rsidRPr="0065486C" w:rsidR="004450F7" w:rsidP="00FC6E82" w:rsidRDefault="004450F7" w14:paraId="49E398E2" w14:textId="77777777">
      <w:pPr>
        <w:pStyle w:val="ListParagraph"/>
        <w:tabs>
          <w:tab w:val="left" w:pos="1800"/>
          <w:tab w:val="left" w:pos="6840"/>
          <w:tab w:val="right" w:pos="8280"/>
        </w:tabs>
        <w:spacing w:after="0" w:line="240" w:lineRule="auto"/>
        <w:rPr>
          <w:rFonts w:ascii="Times New Roman" w:hAnsi="Times New Roman" w:cs="Times New Roman"/>
          <w:color w:val="000000" w:themeColor="text1"/>
          <w:sz w:val="24"/>
          <w:szCs w:val="24"/>
          <w:u w:val="single"/>
        </w:rPr>
      </w:pPr>
    </w:p>
    <w:p w:rsidRPr="00D76BDE" w:rsidR="00D76BDE" w:rsidP="00FC6E82" w:rsidRDefault="00D76BDE" w14:paraId="5B660F22" w14:textId="77777777">
      <w:pPr>
        <w:tabs>
          <w:tab w:val="left" w:pos="1800"/>
          <w:tab w:val="left" w:pos="6840"/>
          <w:tab w:val="right" w:pos="8280"/>
        </w:tabs>
        <w:spacing w:after="0" w:line="240" w:lineRule="auto"/>
        <w:ind w:left="720"/>
        <w:rPr>
          <w:rFonts w:ascii="Times New Roman" w:hAnsi="Times New Roman" w:cs="Times New Roman"/>
          <w:color w:val="000000" w:themeColor="text1"/>
          <w:sz w:val="24"/>
          <w:szCs w:val="24"/>
        </w:rPr>
      </w:pPr>
      <w:r w:rsidRPr="00D76BDE">
        <w:rPr>
          <w:rFonts w:ascii="Times New Roman" w:hAnsi="Times New Roman" w:cs="Times New Roman"/>
          <w:color w:val="000000" w:themeColor="text1"/>
          <w:sz w:val="24"/>
          <w:szCs w:val="24"/>
        </w:rPr>
        <w:t xml:space="preserve">For this extension, the respondents’ annual burden was calculated using the actual number of months (1-12) for which the respondents submitted data.  (See </w:t>
      </w:r>
      <w:r w:rsidR="000D5D46">
        <w:rPr>
          <w:rFonts w:ascii="Times New Roman" w:hAnsi="Times New Roman" w:cs="Times New Roman"/>
          <w:color w:val="000000" w:themeColor="text1"/>
          <w:sz w:val="24"/>
          <w:szCs w:val="24"/>
        </w:rPr>
        <w:t xml:space="preserve">the table </w:t>
      </w:r>
      <w:r w:rsidRPr="00D76BDE">
        <w:rPr>
          <w:rFonts w:ascii="Times New Roman" w:hAnsi="Times New Roman" w:cs="Times New Roman"/>
          <w:color w:val="000000" w:themeColor="text1"/>
          <w:sz w:val="24"/>
          <w:szCs w:val="24"/>
        </w:rPr>
        <w:t>under 12.</w:t>
      </w:r>
      <w:r>
        <w:rPr>
          <w:rFonts w:ascii="Times New Roman" w:hAnsi="Times New Roman" w:cs="Times New Roman"/>
          <w:color w:val="000000" w:themeColor="text1"/>
          <w:sz w:val="24"/>
          <w:szCs w:val="24"/>
        </w:rPr>
        <w:t> </w:t>
      </w:r>
      <w:r w:rsidRPr="00D76BDE">
        <w:rPr>
          <w:rFonts w:ascii="Times New Roman" w:hAnsi="Times New Roman" w:cs="Times New Roman"/>
          <w:color w:val="000000" w:themeColor="text1"/>
          <w:sz w:val="24"/>
          <w:szCs w:val="24"/>
          <w:u w:val="single"/>
        </w:rPr>
        <w:t>Estimate of Respondents’ Burden</w:t>
      </w:r>
      <w:r w:rsidRPr="00D76BDE">
        <w:rPr>
          <w:rFonts w:ascii="Times New Roman" w:hAnsi="Times New Roman" w:cs="Times New Roman"/>
          <w:color w:val="000000" w:themeColor="text1"/>
          <w:sz w:val="24"/>
          <w:szCs w:val="24"/>
        </w:rPr>
        <w:t xml:space="preserve"> for specific calculations.)</w:t>
      </w:r>
    </w:p>
    <w:p w:rsidRPr="00D76BDE" w:rsidR="00D76BDE" w:rsidP="00FC6E82" w:rsidRDefault="00D76BDE" w14:paraId="16287F21" w14:textId="77777777">
      <w:pPr>
        <w:tabs>
          <w:tab w:val="left" w:pos="1800"/>
          <w:tab w:val="left" w:pos="6840"/>
          <w:tab w:val="right" w:pos="8280"/>
        </w:tabs>
        <w:spacing w:after="0" w:line="240" w:lineRule="auto"/>
        <w:ind w:left="720" w:hanging="360"/>
        <w:rPr>
          <w:rFonts w:ascii="Times New Roman" w:hAnsi="Times New Roman" w:cs="Times New Roman"/>
          <w:color w:val="000000" w:themeColor="text1"/>
          <w:sz w:val="24"/>
          <w:szCs w:val="24"/>
        </w:rPr>
      </w:pPr>
    </w:p>
    <w:tbl>
      <w:tblPr>
        <w:tblStyle w:val="TableGrid"/>
        <w:tblpPr w:leftFromText="180" w:rightFromText="180" w:vertAnchor="text" w:horzAnchor="margin" w:tblpXSpec="center" w:tblpY="26"/>
        <w:tblW w:w="7650" w:type="dxa"/>
        <w:tblBorders>
          <w:top w:val="single" w:color="auto" w:sz="8" w:space="0"/>
          <w:left w:val="none" w:color="auto" w:sz="0" w:space="0"/>
          <w:bottom w:val="single" w:color="auto" w:sz="8" w:space="0"/>
          <w:right w:val="none" w:color="auto" w:sz="0" w:space="0"/>
          <w:insideH w:val="none" w:color="auto" w:sz="0" w:space="0"/>
          <w:insideV w:val="none" w:color="auto" w:sz="0" w:space="0"/>
        </w:tblBorders>
        <w:tblLook w:val="04A0" w:firstRow="1" w:lastRow="0" w:firstColumn="1" w:lastColumn="0" w:noHBand="0" w:noVBand="1"/>
      </w:tblPr>
      <w:tblGrid>
        <w:gridCol w:w="2520"/>
        <w:gridCol w:w="5130"/>
      </w:tblGrid>
      <w:tr w:rsidRPr="00DE3BDE" w:rsidR="00F34D86" w:rsidTr="00F20609" w14:paraId="594F9586" w14:textId="77777777">
        <w:tc>
          <w:tcPr>
            <w:tcW w:w="2520" w:type="dxa"/>
          </w:tcPr>
          <w:p w:rsidRPr="00F20609" w:rsidR="00F34D86" w:rsidP="00F34D86" w:rsidRDefault="00F34D86" w14:paraId="1EC93694" w14:textId="77777777">
            <w:pPr>
              <w:rPr>
                <w:rFonts w:ascii="Times New Roman" w:hAnsi="Times New Roman" w:cs="Times New Roman"/>
                <w:b/>
                <w:color w:val="000000" w:themeColor="text1"/>
                <w:sz w:val="20"/>
                <w:szCs w:val="20"/>
                <w:u w:val="single"/>
              </w:rPr>
            </w:pPr>
            <w:r w:rsidRPr="00F20609">
              <w:rPr>
                <w:rFonts w:ascii="Times New Roman" w:hAnsi="Times New Roman" w:cs="Times New Roman"/>
                <w:b/>
                <w:color w:val="000000" w:themeColor="text1"/>
                <w:sz w:val="20"/>
                <w:szCs w:val="20"/>
              </w:rPr>
              <w:t>Total annual responses:</w:t>
            </w:r>
          </w:p>
        </w:tc>
        <w:tc>
          <w:tcPr>
            <w:tcW w:w="5130" w:type="dxa"/>
          </w:tcPr>
          <w:p w:rsidRPr="00DE3BDE" w:rsidR="00F34D86" w:rsidP="00F34D86" w:rsidRDefault="00F34D86" w14:paraId="3C1DBE1B" w14:textId="77777777">
            <w:pPr>
              <w:rPr>
                <w:rFonts w:ascii="Times New Roman" w:hAnsi="Times New Roman" w:cs="Times New Roman"/>
                <w:color w:val="000000" w:themeColor="text1"/>
                <w:sz w:val="20"/>
                <w:szCs w:val="20"/>
                <w:u w:val="single"/>
              </w:rPr>
            </w:pPr>
            <w:r w:rsidRPr="00D76BDE">
              <w:rPr>
                <w:rFonts w:ascii="Times New Roman" w:hAnsi="Times New Roman" w:cs="Times New Roman"/>
                <w:color w:val="000000" w:themeColor="text1"/>
                <w:sz w:val="20"/>
                <w:szCs w:val="20"/>
              </w:rPr>
              <w:t>8,</w:t>
            </w:r>
            <w:r w:rsidRPr="00DE3BDE">
              <w:rPr>
                <w:rFonts w:ascii="Times New Roman" w:hAnsi="Times New Roman" w:cs="Times New Roman"/>
                <w:color w:val="000000" w:themeColor="text1"/>
                <w:sz w:val="20"/>
                <w:szCs w:val="20"/>
              </w:rPr>
              <w:t>500</w:t>
            </w:r>
            <w:r w:rsidRPr="00D76BDE">
              <w:rPr>
                <w:rFonts w:ascii="Times New Roman" w:hAnsi="Times New Roman" w:cs="Times New Roman"/>
                <w:color w:val="000000" w:themeColor="text1"/>
                <w:sz w:val="20"/>
                <w:szCs w:val="20"/>
              </w:rPr>
              <w:t xml:space="preserve"> respondents x 1-12 months of data submitted =</w:t>
            </w:r>
            <w:r w:rsidRPr="00DE3BDE">
              <w:rPr>
                <w:rFonts w:ascii="Times New Roman" w:hAnsi="Times New Roman" w:cs="Times New Roman"/>
                <w:color w:val="000000" w:themeColor="text1"/>
                <w:sz w:val="20"/>
                <w:szCs w:val="20"/>
              </w:rPr>
              <w:t> 95,947</w:t>
            </w:r>
          </w:p>
        </w:tc>
      </w:tr>
      <w:tr w:rsidRPr="00DE3BDE" w:rsidR="00F34D86" w:rsidTr="00F20609" w14:paraId="3058C462" w14:textId="77777777">
        <w:tc>
          <w:tcPr>
            <w:tcW w:w="2520" w:type="dxa"/>
          </w:tcPr>
          <w:p w:rsidRPr="00F20609" w:rsidR="00F34D86" w:rsidP="00F34D86" w:rsidRDefault="00F34D86" w14:paraId="4AAD97E5" w14:textId="77777777">
            <w:pPr>
              <w:rPr>
                <w:rFonts w:ascii="Times New Roman" w:hAnsi="Times New Roman" w:cs="Times New Roman"/>
                <w:b/>
                <w:color w:val="000000" w:themeColor="text1"/>
                <w:sz w:val="20"/>
                <w:szCs w:val="20"/>
                <w:u w:val="single"/>
              </w:rPr>
            </w:pPr>
            <w:r w:rsidRPr="00F20609">
              <w:rPr>
                <w:rFonts w:ascii="Times New Roman" w:hAnsi="Times New Roman" w:cs="Times New Roman"/>
                <w:b/>
                <w:color w:val="000000" w:themeColor="text1"/>
                <w:sz w:val="20"/>
                <w:szCs w:val="20"/>
              </w:rPr>
              <w:t>Time per response:</w:t>
            </w:r>
          </w:p>
        </w:tc>
        <w:tc>
          <w:tcPr>
            <w:tcW w:w="5130" w:type="dxa"/>
          </w:tcPr>
          <w:p w:rsidRPr="00DE3BDE" w:rsidR="00F34D86" w:rsidP="00F34D86" w:rsidRDefault="00F34D86" w14:paraId="7F82481E" w14:textId="77777777">
            <w:pPr>
              <w:tabs>
                <w:tab w:val="left" w:pos="1800"/>
                <w:tab w:val="left" w:pos="3420"/>
                <w:tab w:val="left" w:pos="3780"/>
                <w:tab w:val="left" w:pos="6840"/>
                <w:tab w:val="right" w:pos="8280"/>
              </w:tabs>
              <w:jc w:val="both"/>
              <w:rPr>
                <w:rFonts w:ascii="Times New Roman" w:hAnsi="Times New Roman" w:cs="Times New Roman"/>
                <w:color w:val="000000" w:themeColor="text1"/>
                <w:sz w:val="20"/>
                <w:szCs w:val="20"/>
                <w:u w:val="single"/>
              </w:rPr>
            </w:pPr>
            <w:r w:rsidRPr="00DE3BDE">
              <w:rPr>
                <w:rFonts w:ascii="Times New Roman" w:hAnsi="Times New Roman" w:cs="Times New Roman"/>
                <w:color w:val="000000" w:themeColor="text1"/>
                <w:sz w:val="20"/>
                <w:szCs w:val="20"/>
              </w:rPr>
              <w:t>120</w:t>
            </w:r>
            <w:r w:rsidRPr="00D76BDE">
              <w:rPr>
                <w:rFonts w:ascii="Times New Roman" w:hAnsi="Times New Roman" w:cs="Times New Roman"/>
                <w:color w:val="000000" w:themeColor="text1"/>
                <w:sz w:val="20"/>
                <w:szCs w:val="20"/>
              </w:rPr>
              <w:t xml:space="preserve"> minutes</w:t>
            </w:r>
          </w:p>
        </w:tc>
      </w:tr>
      <w:tr w:rsidRPr="00DE3BDE" w:rsidR="00F34D86" w:rsidTr="00F20609" w14:paraId="37BFCCAC" w14:textId="77777777">
        <w:tc>
          <w:tcPr>
            <w:tcW w:w="2520" w:type="dxa"/>
          </w:tcPr>
          <w:p w:rsidRPr="00F20609" w:rsidR="00F34D86" w:rsidP="00F34D86" w:rsidRDefault="00F34D86" w14:paraId="121A2CA3" w14:textId="77777777">
            <w:pPr>
              <w:rPr>
                <w:rFonts w:ascii="Times New Roman" w:hAnsi="Times New Roman" w:cs="Times New Roman"/>
                <w:b/>
                <w:color w:val="000000" w:themeColor="text1"/>
                <w:sz w:val="20"/>
                <w:szCs w:val="20"/>
              </w:rPr>
            </w:pPr>
            <w:r w:rsidRPr="00F20609">
              <w:rPr>
                <w:rFonts w:ascii="Times New Roman" w:hAnsi="Times New Roman" w:cs="Times New Roman"/>
                <w:b/>
                <w:color w:val="000000" w:themeColor="text1"/>
                <w:sz w:val="20"/>
                <w:szCs w:val="20"/>
              </w:rPr>
              <w:t>Annual burden:</w:t>
            </w:r>
          </w:p>
        </w:tc>
        <w:tc>
          <w:tcPr>
            <w:tcW w:w="5130" w:type="dxa"/>
          </w:tcPr>
          <w:p w:rsidRPr="00DE3BDE" w:rsidR="00F34D86" w:rsidP="00F34D86" w:rsidRDefault="00F34D86" w14:paraId="4837CA83" w14:textId="77777777">
            <w:pPr>
              <w:tabs>
                <w:tab w:val="left" w:pos="1800"/>
                <w:tab w:val="left" w:pos="3420"/>
                <w:tab w:val="left" w:pos="3780"/>
                <w:tab w:val="left" w:pos="6840"/>
                <w:tab w:val="right" w:pos="8280"/>
              </w:tabs>
              <w:rPr>
                <w:rFonts w:ascii="Times New Roman" w:hAnsi="Times New Roman" w:cs="Times New Roman"/>
                <w:color w:val="000000" w:themeColor="text1"/>
                <w:sz w:val="20"/>
                <w:szCs w:val="20"/>
              </w:rPr>
            </w:pPr>
            <w:r w:rsidRPr="00DE3BDE">
              <w:rPr>
                <w:rFonts w:ascii="Times New Roman" w:hAnsi="Times New Roman" w:cs="Times New Roman"/>
                <w:color w:val="000000" w:themeColor="text1"/>
                <w:sz w:val="20"/>
                <w:szCs w:val="20"/>
              </w:rPr>
              <w:t>191,894</w:t>
            </w:r>
            <w:r w:rsidRPr="00D76BDE">
              <w:rPr>
                <w:rFonts w:ascii="Times New Roman" w:hAnsi="Times New Roman" w:cs="Times New Roman"/>
                <w:color w:val="000000" w:themeColor="text1"/>
                <w:sz w:val="20"/>
                <w:szCs w:val="20"/>
              </w:rPr>
              <w:t xml:space="preserve"> hours</w:t>
            </w:r>
          </w:p>
        </w:tc>
      </w:tr>
    </w:tbl>
    <w:p w:rsidRPr="00D76BDE" w:rsidR="00D76BDE" w:rsidP="00FC6E82" w:rsidRDefault="004A68CB" w14:paraId="0DFAE634" w14:textId="77777777">
      <w:pPr>
        <w:tabs>
          <w:tab w:val="left" w:pos="3060"/>
          <w:tab w:val="left" w:pos="3510"/>
          <w:tab w:val="left" w:pos="6840"/>
          <w:tab w:val="right" w:pos="8280"/>
        </w:tabs>
        <w:spacing w:after="0" w:line="240" w:lineRule="auto"/>
        <w:ind w:left="1080" w:right="-18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w:t>
      </w:r>
    </w:p>
    <w:p w:rsidRPr="00D76BDE" w:rsidR="00D76BDE" w:rsidP="00FC6E82" w:rsidRDefault="004A68CB" w14:paraId="5BE93A62" w14:textId="77777777">
      <w:pPr>
        <w:tabs>
          <w:tab w:val="left" w:pos="1800"/>
          <w:tab w:val="left" w:pos="3420"/>
          <w:tab w:val="left" w:pos="3780"/>
          <w:tab w:val="left" w:pos="6840"/>
          <w:tab w:val="right" w:pos="8280"/>
        </w:tabs>
        <w:spacing w:after="0" w:line="240" w:lineRule="auto"/>
        <w:ind w:left="108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b/>
      </w:r>
    </w:p>
    <w:p w:rsidRPr="00D76BDE" w:rsidR="00D76BDE" w:rsidP="00FC6E82" w:rsidRDefault="00D76BDE" w14:paraId="384BA73E" w14:textId="77777777">
      <w:pPr>
        <w:tabs>
          <w:tab w:val="left" w:pos="2250"/>
          <w:tab w:val="left" w:pos="3330"/>
          <w:tab w:val="right" w:pos="8280"/>
        </w:tabs>
        <w:spacing w:after="0" w:line="240" w:lineRule="auto"/>
        <w:ind w:left="108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b/>
      </w:r>
    </w:p>
    <w:p w:rsidR="00FC6E82" w:rsidP="00FC6E82" w:rsidRDefault="00FC6E82" w14:paraId="34B3F2EB" w14:textId="77777777">
      <w:pPr>
        <w:tabs>
          <w:tab w:val="left" w:pos="360"/>
          <w:tab w:val="left" w:pos="2250"/>
          <w:tab w:val="left" w:pos="3060"/>
          <w:tab w:val="left" w:pos="6840"/>
          <w:tab w:val="right" w:pos="8280"/>
        </w:tabs>
        <w:spacing w:after="0" w:line="240" w:lineRule="auto"/>
        <w:ind w:left="720"/>
        <w:rPr>
          <w:rFonts w:ascii="Times New Roman" w:hAnsi="Times New Roman" w:cs="Times New Roman"/>
          <w:color w:val="000000" w:themeColor="text1"/>
          <w:sz w:val="24"/>
          <w:szCs w:val="24"/>
        </w:rPr>
      </w:pPr>
    </w:p>
    <w:p w:rsidRPr="00782B18" w:rsidR="00FE6DF8" w:rsidP="00FE6DF8" w:rsidRDefault="00F34D86" w14:paraId="1EA8EDBE" w14:textId="77777777">
      <w:pPr>
        <w:spacing w:after="0" w:line="240" w:lineRule="auto"/>
        <w:ind w:left="720" w:right="-90"/>
        <w:rPr>
          <w:rFonts w:ascii="Times New Roman" w:hAnsi="Times New Roman" w:eastAsia="Times New Roman" w:cs="Times New Roman"/>
          <w:color w:val="000000" w:themeColor="text1"/>
          <w:sz w:val="24"/>
          <w:szCs w:val="24"/>
          <w:bdr w:val="none" w:color="auto" w:sz="0" w:space="0" w:frame="1"/>
        </w:rPr>
      </w:pPr>
      <w:r>
        <w:rPr>
          <w:rFonts w:ascii="Times New Roman" w:hAnsi="Times New Roman" w:cs="Times New Roman"/>
          <w:color w:val="000000" w:themeColor="text1"/>
          <w:sz w:val="24"/>
          <w:szCs w:val="24"/>
        </w:rPr>
        <w:t>An additional 300 hours were</w:t>
      </w:r>
      <w:r w:rsidR="006969C3">
        <w:rPr>
          <w:rFonts w:ascii="Times New Roman" w:hAnsi="Times New Roman" w:cs="Times New Roman"/>
          <w:color w:val="000000" w:themeColor="text1"/>
          <w:sz w:val="24"/>
          <w:szCs w:val="24"/>
        </w:rPr>
        <w:t xml:space="preserve"> added to the burden to cover state UCR Program and local </w:t>
      </w:r>
      <w:r w:rsidRPr="00EF365B" w:rsidR="006969C3">
        <w:rPr>
          <w:rFonts w:ascii="Times New Roman" w:hAnsi="Times New Roman" w:cs="Times New Roman"/>
          <w:color w:val="000000" w:themeColor="text1"/>
          <w:sz w:val="24"/>
          <w:szCs w:val="24"/>
        </w:rPr>
        <w:t xml:space="preserve">LEA </w:t>
      </w:r>
      <w:r w:rsidR="00354B83">
        <w:rPr>
          <w:rFonts w:ascii="Times New Roman" w:hAnsi="Times New Roman" w:cs="Times New Roman"/>
          <w:color w:val="000000" w:themeColor="text1"/>
          <w:sz w:val="24"/>
          <w:szCs w:val="24"/>
        </w:rPr>
        <w:t>outreach</w:t>
      </w:r>
      <w:r w:rsidR="006969C3">
        <w:rPr>
          <w:rFonts w:ascii="Times New Roman" w:hAnsi="Times New Roman" w:cs="Times New Roman"/>
          <w:color w:val="000000" w:themeColor="text1"/>
          <w:sz w:val="24"/>
          <w:szCs w:val="24"/>
        </w:rPr>
        <w:t>.</w:t>
      </w:r>
      <w:r w:rsidR="00FE6DF8">
        <w:rPr>
          <w:rFonts w:ascii="Times New Roman" w:hAnsi="Times New Roman" w:cs="Times New Roman"/>
          <w:color w:val="000000" w:themeColor="text1"/>
          <w:sz w:val="24"/>
          <w:szCs w:val="24"/>
        </w:rPr>
        <w:t xml:space="preserve">  </w:t>
      </w:r>
      <w:r w:rsidRPr="00782B18" w:rsidR="00FE6DF8">
        <w:rPr>
          <w:rFonts w:ascii="Times New Roman" w:hAnsi="Times New Roman" w:cs="Times New Roman"/>
          <w:color w:val="000000" w:themeColor="text1"/>
          <w:sz w:val="24"/>
          <w:szCs w:val="24"/>
        </w:rPr>
        <w:t>Burden hours are expected to increase as the FBI UCR Program transitions to a NIBRS-only data collection in January 2021 and additional agencies begin submitting data via NIBRS.</w:t>
      </w:r>
    </w:p>
    <w:p w:rsidR="006969C3" w:rsidP="00FC6E82" w:rsidRDefault="006969C3" w14:paraId="7D34F5C7" w14:textId="77777777">
      <w:pPr>
        <w:tabs>
          <w:tab w:val="left" w:pos="360"/>
          <w:tab w:val="left" w:pos="2250"/>
          <w:tab w:val="left" w:pos="3060"/>
          <w:tab w:val="left" w:pos="6840"/>
          <w:tab w:val="right" w:pos="8280"/>
        </w:tabs>
        <w:spacing w:after="0" w:line="240" w:lineRule="auto"/>
        <w:ind w:left="720"/>
        <w:rPr>
          <w:rFonts w:ascii="Times New Roman" w:hAnsi="Times New Roman" w:cs="Times New Roman"/>
          <w:color w:val="000000" w:themeColor="text1"/>
          <w:sz w:val="24"/>
          <w:szCs w:val="24"/>
        </w:rPr>
      </w:pPr>
    </w:p>
    <w:p w:rsidR="00F34D86" w:rsidP="00FC6E82" w:rsidRDefault="00F34D86" w14:paraId="0B4020A7" w14:textId="77777777">
      <w:pPr>
        <w:pStyle w:val="ListParagraph"/>
        <w:tabs>
          <w:tab w:val="left" w:pos="3330"/>
        </w:tabs>
        <w:spacing w:after="0" w:line="240" w:lineRule="auto"/>
        <w:rPr>
          <w:rFonts w:ascii="Times New Roman" w:hAnsi="Times New Roman" w:cs="Times New Roman"/>
          <w:color w:val="000000" w:themeColor="text1"/>
          <w:sz w:val="24"/>
          <w:szCs w:val="24"/>
        </w:rPr>
      </w:pPr>
    </w:p>
    <w:p w:rsidR="006969C3" w:rsidP="00FC6E82" w:rsidRDefault="006969C3" w14:paraId="2A93AA47" w14:textId="77777777">
      <w:pPr>
        <w:pStyle w:val="ListParagraph"/>
        <w:tabs>
          <w:tab w:val="left" w:pos="3330"/>
        </w:tabs>
        <w:spacing w:after="0" w:line="240" w:lineRule="auto"/>
        <w:rPr>
          <w:rFonts w:ascii="Times New Roman" w:hAnsi="Times New Roman" w:cs="Times New Roman"/>
          <w:color w:val="000000" w:themeColor="text1"/>
          <w:sz w:val="24"/>
          <w:szCs w:val="24"/>
        </w:rPr>
      </w:pPr>
      <w:r w:rsidRPr="0065486C">
        <w:rPr>
          <w:rFonts w:ascii="Times New Roman" w:hAnsi="Times New Roman" w:cs="Times New Roman"/>
          <w:color w:val="000000" w:themeColor="text1"/>
          <w:sz w:val="24"/>
          <w:szCs w:val="24"/>
        </w:rPr>
        <w:t>Total Annual Burden:</w:t>
      </w:r>
      <w:r w:rsidR="005A53CC">
        <w:rPr>
          <w:rFonts w:ascii="Times New Roman" w:hAnsi="Times New Roman" w:cs="Times New Roman"/>
          <w:color w:val="000000" w:themeColor="text1"/>
          <w:sz w:val="24"/>
          <w:szCs w:val="24"/>
        </w:rPr>
        <w:t xml:space="preserve">  </w:t>
      </w:r>
      <w:r w:rsidRPr="0065486C">
        <w:rPr>
          <w:rFonts w:ascii="Times New Roman" w:hAnsi="Times New Roman" w:cs="Times New Roman"/>
          <w:color w:val="000000" w:themeColor="text1"/>
          <w:sz w:val="24"/>
          <w:szCs w:val="24"/>
        </w:rPr>
        <w:t>192,194 hours</w:t>
      </w:r>
    </w:p>
    <w:p w:rsidR="00FC6E82" w:rsidP="00FC6E82" w:rsidRDefault="00FC6E82" w14:paraId="1D7B270A" w14:textId="77777777">
      <w:pPr>
        <w:spacing w:after="0" w:line="240" w:lineRule="auto"/>
        <w:rPr>
          <w:rFonts w:ascii="Times New Roman" w:hAnsi="Times New Roman" w:cs="Times New Roman"/>
          <w:color w:val="000000" w:themeColor="text1"/>
          <w:sz w:val="24"/>
          <w:szCs w:val="24"/>
          <w:u w:val="single"/>
        </w:rPr>
      </w:pPr>
    </w:p>
    <w:p w:rsidR="004C3B9E" w:rsidP="00FC6E82" w:rsidRDefault="004C3B9E" w14:paraId="4F904CB7" w14:textId="77777777">
      <w:pPr>
        <w:spacing w:after="0" w:line="240" w:lineRule="auto"/>
        <w:rPr>
          <w:rFonts w:ascii="Times New Roman" w:hAnsi="Times New Roman" w:cs="Times New Roman"/>
          <w:color w:val="000000" w:themeColor="text1"/>
          <w:sz w:val="24"/>
          <w:szCs w:val="24"/>
          <w:u w:val="single"/>
        </w:rPr>
      </w:pPr>
    </w:p>
    <w:p w:rsidRPr="00EA4536" w:rsidR="009672D8" w:rsidP="00FC6E82" w:rsidRDefault="009672D8" w14:paraId="7FDBC907" w14:textId="77777777">
      <w:pPr>
        <w:pStyle w:val="ListParagraph"/>
        <w:numPr>
          <w:ilvl w:val="0"/>
          <w:numId w:val="4"/>
        </w:numPr>
        <w:tabs>
          <w:tab w:val="left" w:pos="1800"/>
          <w:tab w:val="left" w:pos="6840"/>
          <w:tab w:val="right" w:pos="8280"/>
        </w:tabs>
        <w:spacing w:after="0" w:line="240" w:lineRule="auto"/>
        <w:rPr>
          <w:rFonts w:ascii="Times New Roman" w:hAnsi="Times New Roman" w:cs="Times New Roman"/>
          <w:color w:val="000000" w:themeColor="text1"/>
          <w:sz w:val="24"/>
          <w:szCs w:val="24"/>
        </w:rPr>
      </w:pPr>
      <w:r w:rsidRPr="0065486C">
        <w:rPr>
          <w:rFonts w:ascii="Times New Roman" w:hAnsi="Times New Roman" w:cs="Times New Roman"/>
          <w:color w:val="000000" w:themeColor="text1"/>
          <w:sz w:val="24"/>
          <w:szCs w:val="24"/>
          <w:u w:val="single"/>
        </w:rPr>
        <w:t>Anticipated Publication Plan and Schedule</w:t>
      </w:r>
    </w:p>
    <w:p w:rsidR="00F34D86" w:rsidP="00F34D86" w:rsidRDefault="00F34D86" w14:paraId="06971CD3" w14:textId="77777777">
      <w:pPr>
        <w:pStyle w:val="ListParagraph"/>
        <w:tabs>
          <w:tab w:val="left" w:pos="1800"/>
          <w:tab w:val="left" w:pos="6840"/>
          <w:tab w:val="right" w:pos="8280"/>
        </w:tabs>
        <w:spacing w:after="0" w:line="240" w:lineRule="auto"/>
        <w:rPr>
          <w:rFonts w:ascii="Times New Roman" w:hAnsi="Times New Roman" w:cs="Times New Roman"/>
          <w:color w:val="000000" w:themeColor="text1"/>
          <w:sz w:val="24"/>
          <w:szCs w:val="24"/>
        </w:rPr>
      </w:pPr>
    </w:p>
    <w:p w:rsidRPr="00F34D86" w:rsidR="00F34D86" w:rsidP="00DF5246" w:rsidRDefault="00F34D86" w14:paraId="48EF48E2" w14:textId="77777777">
      <w:pPr>
        <w:pStyle w:val="ListParagraph"/>
        <w:tabs>
          <w:tab w:val="left" w:pos="1800"/>
          <w:tab w:val="left" w:pos="6840"/>
          <w:tab w:val="right" w:pos="8280"/>
        </w:tabs>
        <w:spacing w:after="0" w:line="240" w:lineRule="auto"/>
        <w:ind w:right="-90"/>
        <w:rPr>
          <w:rFonts w:ascii="Times New Roman" w:hAnsi="Times New Roman" w:cs="Times New Roman"/>
          <w:color w:val="000000" w:themeColor="text1"/>
          <w:sz w:val="24"/>
          <w:szCs w:val="24"/>
        </w:rPr>
      </w:pPr>
      <w:r w:rsidRPr="00F34D86">
        <w:rPr>
          <w:rFonts w:ascii="Times New Roman" w:hAnsi="Times New Roman" w:cs="Times New Roman"/>
          <w:color w:val="000000" w:themeColor="text1"/>
          <w:sz w:val="24"/>
          <w:szCs w:val="24"/>
        </w:rPr>
        <w:t>Published data are derived from data submitted to the FBI UCR Program by federal, state, local, and tribal LEAs throughout the country.  Historically, data have been published annually.  However, the transition to NIBRS and quarterly publication of statistics have begun and may require modifications to the schedule shown below.</w:t>
      </w:r>
    </w:p>
    <w:tbl>
      <w:tblPr>
        <w:tblStyle w:val="TableGrid"/>
        <w:tblpPr w:leftFromText="180" w:rightFromText="180" w:vertAnchor="text" w:horzAnchor="margin" w:tblpXSpec="center" w:tblpY="400"/>
        <w:tblW w:w="0" w:type="auto"/>
        <w:tblLook w:val="04A0" w:firstRow="1" w:lastRow="0" w:firstColumn="1" w:lastColumn="0" w:noHBand="0" w:noVBand="1"/>
      </w:tblPr>
      <w:tblGrid>
        <w:gridCol w:w="3600"/>
        <w:gridCol w:w="3600"/>
      </w:tblGrid>
      <w:tr w:rsidRPr="00354B83" w:rsidR="00F34D86" w:rsidTr="00FD0558" w14:paraId="1A7A040B" w14:textId="77777777">
        <w:tc>
          <w:tcPr>
            <w:tcW w:w="7200" w:type="dxa"/>
            <w:gridSpan w:val="2"/>
            <w:tcBorders>
              <w:top w:val="nil"/>
              <w:left w:val="nil"/>
              <w:bottom w:val="single" w:color="auto" w:sz="8" w:space="0"/>
              <w:right w:val="nil"/>
            </w:tcBorders>
          </w:tcPr>
          <w:p w:rsidRPr="00354B83" w:rsidR="00F34D86" w:rsidP="00F34D86" w:rsidRDefault="00F34D86" w14:paraId="1C5F2A72" w14:textId="77777777">
            <w:pPr>
              <w:tabs>
                <w:tab w:val="left" w:pos="810"/>
                <w:tab w:val="left" w:pos="4410"/>
                <w:tab w:val="left" w:pos="5400"/>
              </w:tabs>
              <w:rPr>
                <w:rFonts w:ascii="Times New Roman" w:hAnsi="Times New Roman" w:cs="Times New Roman"/>
                <w:b/>
                <w:color w:val="000000" w:themeColor="text1"/>
                <w:sz w:val="20"/>
                <w:szCs w:val="20"/>
              </w:rPr>
            </w:pPr>
            <w:r w:rsidRPr="00354B83">
              <w:rPr>
                <w:rFonts w:ascii="Times New Roman" w:hAnsi="Times New Roman" w:cs="Times New Roman"/>
                <w:b/>
                <w:color w:val="000000" w:themeColor="text1"/>
                <w:sz w:val="20"/>
                <w:szCs w:val="20"/>
              </w:rPr>
              <w:t>Publication Plan and Schedule</w:t>
            </w:r>
          </w:p>
        </w:tc>
      </w:tr>
      <w:tr w:rsidRPr="00354B83" w:rsidR="00F34D86" w:rsidTr="008403C0" w14:paraId="6630C2D4" w14:textId="77777777">
        <w:tc>
          <w:tcPr>
            <w:tcW w:w="3600" w:type="dxa"/>
            <w:tcBorders>
              <w:top w:val="single" w:color="auto" w:sz="8" w:space="0"/>
              <w:left w:val="nil"/>
              <w:bottom w:val="single" w:color="auto" w:sz="8" w:space="0"/>
              <w:right w:val="nil"/>
            </w:tcBorders>
          </w:tcPr>
          <w:p w:rsidRPr="00354B83" w:rsidR="00F34D86" w:rsidP="00F34D86" w:rsidRDefault="00F34D86" w14:paraId="6734CC68" w14:textId="77777777">
            <w:pPr>
              <w:tabs>
                <w:tab w:val="left" w:pos="810"/>
                <w:tab w:val="left" w:pos="4410"/>
                <w:tab w:val="left" w:pos="5400"/>
              </w:tabs>
              <w:rPr>
                <w:rFonts w:ascii="Times New Roman" w:hAnsi="Times New Roman" w:cs="Times New Roman"/>
                <w:b/>
                <w:color w:val="000000" w:themeColor="text1"/>
                <w:sz w:val="20"/>
                <w:szCs w:val="20"/>
              </w:rPr>
            </w:pPr>
            <w:r w:rsidRPr="00354B83">
              <w:rPr>
                <w:rFonts w:ascii="Times New Roman" w:hAnsi="Times New Roman" w:cs="Times New Roman"/>
                <w:b/>
                <w:color w:val="000000" w:themeColor="text1"/>
                <w:sz w:val="20"/>
                <w:szCs w:val="20"/>
              </w:rPr>
              <w:t>Activity</w:t>
            </w:r>
          </w:p>
        </w:tc>
        <w:tc>
          <w:tcPr>
            <w:tcW w:w="3600" w:type="dxa"/>
            <w:tcBorders>
              <w:top w:val="single" w:color="auto" w:sz="8" w:space="0"/>
              <w:left w:val="nil"/>
              <w:bottom w:val="single" w:color="auto" w:sz="8" w:space="0"/>
              <w:right w:val="nil"/>
            </w:tcBorders>
          </w:tcPr>
          <w:p w:rsidRPr="00354B83" w:rsidR="00F34D86" w:rsidP="00F34D86" w:rsidRDefault="00F34D86" w14:paraId="7C1FFDAF" w14:textId="77777777">
            <w:pPr>
              <w:tabs>
                <w:tab w:val="left" w:pos="810"/>
                <w:tab w:val="left" w:pos="4410"/>
                <w:tab w:val="left" w:pos="5400"/>
              </w:tabs>
              <w:rPr>
                <w:rFonts w:ascii="Times New Roman" w:hAnsi="Times New Roman" w:cs="Times New Roman"/>
                <w:b/>
                <w:color w:val="000000" w:themeColor="text1"/>
                <w:sz w:val="20"/>
                <w:szCs w:val="20"/>
              </w:rPr>
            </w:pPr>
            <w:r w:rsidRPr="00354B83">
              <w:rPr>
                <w:rFonts w:ascii="Times New Roman" w:hAnsi="Times New Roman" w:cs="Times New Roman"/>
                <w:b/>
                <w:color w:val="000000" w:themeColor="text1"/>
                <w:sz w:val="20"/>
                <w:szCs w:val="20"/>
              </w:rPr>
              <w:t>Time Period</w:t>
            </w:r>
          </w:p>
        </w:tc>
      </w:tr>
      <w:tr w:rsidRPr="00354B83" w:rsidR="00F34D86" w:rsidTr="008403C0" w14:paraId="69926FFE" w14:textId="77777777">
        <w:tc>
          <w:tcPr>
            <w:tcW w:w="3600" w:type="dxa"/>
            <w:tcBorders>
              <w:top w:val="single" w:color="auto" w:sz="8" w:space="0"/>
              <w:left w:val="nil"/>
              <w:bottom w:val="nil"/>
              <w:right w:val="nil"/>
            </w:tcBorders>
          </w:tcPr>
          <w:p w:rsidRPr="00354B83" w:rsidR="00F34D86" w:rsidP="00F34D86" w:rsidRDefault="00F34D86" w14:paraId="22B63CD1" w14:textId="77777777">
            <w:pPr>
              <w:tabs>
                <w:tab w:val="left" w:pos="810"/>
                <w:tab w:val="left" w:pos="4410"/>
                <w:tab w:val="left" w:pos="5400"/>
              </w:tabs>
              <w:rPr>
                <w:rFonts w:ascii="Times New Roman" w:hAnsi="Times New Roman" w:cs="Times New Roman"/>
                <w:color w:val="000000" w:themeColor="text1"/>
                <w:sz w:val="20"/>
                <w:szCs w:val="20"/>
              </w:rPr>
            </w:pPr>
            <w:r w:rsidRPr="00354B83">
              <w:rPr>
                <w:rFonts w:ascii="Times New Roman" w:hAnsi="Times New Roman" w:cs="Times New Roman"/>
                <w:color w:val="000000" w:themeColor="text1"/>
                <w:sz w:val="20"/>
                <w:szCs w:val="20"/>
              </w:rPr>
              <w:t>Request for missing January-June data</w:t>
            </w:r>
          </w:p>
        </w:tc>
        <w:tc>
          <w:tcPr>
            <w:tcW w:w="3600" w:type="dxa"/>
            <w:tcBorders>
              <w:top w:val="single" w:color="auto" w:sz="8" w:space="0"/>
              <w:left w:val="nil"/>
              <w:bottom w:val="nil"/>
              <w:right w:val="nil"/>
            </w:tcBorders>
          </w:tcPr>
          <w:p w:rsidRPr="00354B83" w:rsidR="00F34D86" w:rsidP="00F34D86" w:rsidRDefault="00F34D86" w14:paraId="766BC1D9" w14:textId="77777777">
            <w:pPr>
              <w:tabs>
                <w:tab w:val="left" w:pos="810"/>
                <w:tab w:val="left" w:pos="4410"/>
                <w:tab w:val="left" w:pos="5400"/>
              </w:tabs>
              <w:rPr>
                <w:rFonts w:ascii="Times New Roman" w:hAnsi="Times New Roman" w:cs="Times New Roman"/>
                <w:color w:val="000000" w:themeColor="text1"/>
                <w:sz w:val="20"/>
                <w:szCs w:val="20"/>
              </w:rPr>
            </w:pPr>
            <w:r w:rsidRPr="00354B83">
              <w:rPr>
                <w:rFonts w:ascii="Times New Roman" w:hAnsi="Times New Roman" w:cs="Times New Roman"/>
                <w:color w:val="000000" w:themeColor="text1"/>
                <w:sz w:val="20"/>
                <w:szCs w:val="20"/>
              </w:rPr>
              <w:t>August and September, current year</w:t>
            </w:r>
          </w:p>
        </w:tc>
      </w:tr>
      <w:tr w:rsidRPr="00354B83" w:rsidR="00F34D86" w:rsidTr="008403C0" w14:paraId="5663AB47" w14:textId="77777777">
        <w:tc>
          <w:tcPr>
            <w:tcW w:w="3600" w:type="dxa"/>
            <w:tcBorders>
              <w:top w:val="nil"/>
              <w:left w:val="nil"/>
              <w:bottom w:val="nil"/>
              <w:right w:val="nil"/>
            </w:tcBorders>
          </w:tcPr>
          <w:p w:rsidRPr="00354B83" w:rsidR="00F34D86" w:rsidP="00F34D86" w:rsidRDefault="00F34D86" w14:paraId="26429F92" w14:textId="77777777">
            <w:pPr>
              <w:tabs>
                <w:tab w:val="left" w:pos="810"/>
                <w:tab w:val="left" w:pos="4410"/>
                <w:tab w:val="left" w:pos="5400"/>
              </w:tabs>
              <w:rPr>
                <w:rFonts w:ascii="Times New Roman" w:hAnsi="Times New Roman" w:cs="Times New Roman"/>
                <w:color w:val="000000" w:themeColor="text1"/>
                <w:sz w:val="20"/>
                <w:szCs w:val="20"/>
              </w:rPr>
            </w:pPr>
            <w:r w:rsidRPr="00354B83">
              <w:rPr>
                <w:rFonts w:ascii="Times New Roman" w:hAnsi="Times New Roman" w:cs="Times New Roman"/>
                <w:color w:val="000000" w:themeColor="text1"/>
                <w:sz w:val="20"/>
                <w:szCs w:val="20"/>
              </w:rPr>
              <w:t>Request for missing 12 month data</w:t>
            </w:r>
          </w:p>
        </w:tc>
        <w:tc>
          <w:tcPr>
            <w:tcW w:w="3600" w:type="dxa"/>
            <w:tcBorders>
              <w:top w:val="nil"/>
              <w:left w:val="nil"/>
              <w:bottom w:val="nil"/>
              <w:right w:val="nil"/>
            </w:tcBorders>
          </w:tcPr>
          <w:p w:rsidRPr="00354B83" w:rsidR="00F34D86" w:rsidP="00F34D86" w:rsidRDefault="00F34D86" w14:paraId="26FD0C59" w14:textId="77777777">
            <w:pPr>
              <w:tabs>
                <w:tab w:val="left" w:pos="810"/>
                <w:tab w:val="left" w:pos="4410"/>
                <w:tab w:val="left" w:pos="5400"/>
              </w:tabs>
              <w:rPr>
                <w:rFonts w:ascii="Times New Roman" w:hAnsi="Times New Roman" w:cs="Times New Roman"/>
                <w:color w:val="000000" w:themeColor="text1"/>
                <w:sz w:val="20"/>
                <w:szCs w:val="20"/>
              </w:rPr>
            </w:pPr>
            <w:r w:rsidRPr="00354B83">
              <w:rPr>
                <w:rFonts w:ascii="Times New Roman" w:hAnsi="Times New Roman" w:cs="Times New Roman"/>
                <w:color w:val="000000" w:themeColor="text1"/>
                <w:sz w:val="20"/>
                <w:szCs w:val="20"/>
              </w:rPr>
              <w:t>February-March, following year</w:t>
            </w:r>
          </w:p>
        </w:tc>
      </w:tr>
      <w:tr w:rsidRPr="00354B83" w:rsidR="00F34D86" w:rsidTr="008403C0" w14:paraId="720065A8" w14:textId="77777777">
        <w:trPr>
          <w:trHeight w:val="225"/>
        </w:trPr>
        <w:tc>
          <w:tcPr>
            <w:tcW w:w="3600" w:type="dxa"/>
            <w:tcBorders>
              <w:top w:val="nil"/>
              <w:left w:val="nil"/>
              <w:bottom w:val="nil"/>
              <w:right w:val="nil"/>
            </w:tcBorders>
          </w:tcPr>
          <w:p w:rsidRPr="00354B83" w:rsidR="00F34D86" w:rsidP="00F34D86" w:rsidRDefault="00F34D86" w14:paraId="2C26BB81" w14:textId="77777777">
            <w:pPr>
              <w:tabs>
                <w:tab w:val="left" w:pos="810"/>
                <w:tab w:val="left" w:pos="4410"/>
                <w:tab w:val="left" w:pos="5400"/>
              </w:tabs>
              <w:rPr>
                <w:rFonts w:ascii="Times New Roman" w:hAnsi="Times New Roman" w:cs="Times New Roman"/>
                <w:color w:val="000000" w:themeColor="text1"/>
                <w:sz w:val="20"/>
                <w:szCs w:val="20"/>
              </w:rPr>
            </w:pPr>
            <w:r w:rsidRPr="00354B83">
              <w:rPr>
                <w:rFonts w:ascii="Times New Roman" w:hAnsi="Times New Roman" w:cs="Times New Roman"/>
                <w:color w:val="000000" w:themeColor="text1"/>
                <w:sz w:val="20"/>
                <w:szCs w:val="20"/>
              </w:rPr>
              <w:t>Deadline to submit data</w:t>
            </w:r>
          </w:p>
        </w:tc>
        <w:tc>
          <w:tcPr>
            <w:tcW w:w="3600" w:type="dxa"/>
            <w:tcBorders>
              <w:top w:val="nil"/>
              <w:left w:val="nil"/>
              <w:bottom w:val="nil"/>
              <w:right w:val="nil"/>
            </w:tcBorders>
          </w:tcPr>
          <w:p w:rsidRPr="00354B83" w:rsidR="00F34D86" w:rsidP="00F34D86" w:rsidRDefault="00F34D86" w14:paraId="4966261D" w14:textId="77777777">
            <w:pPr>
              <w:tabs>
                <w:tab w:val="left" w:pos="1440"/>
                <w:tab w:val="left" w:pos="5400"/>
              </w:tabs>
              <w:rPr>
                <w:rFonts w:ascii="Times New Roman" w:hAnsi="Times New Roman" w:cs="Times New Roman"/>
                <w:color w:val="000000" w:themeColor="text1"/>
                <w:sz w:val="20"/>
                <w:szCs w:val="20"/>
              </w:rPr>
            </w:pPr>
            <w:r w:rsidRPr="00354B83">
              <w:rPr>
                <w:rFonts w:ascii="Times New Roman" w:hAnsi="Times New Roman" w:cs="Times New Roman"/>
                <w:color w:val="000000" w:themeColor="text1"/>
                <w:sz w:val="20"/>
                <w:szCs w:val="20"/>
              </w:rPr>
              <w:t>End of March</w:t>
            </w:r>
          </w:p>
        </w:tc>
      </w:tr>
      <w:tr w:rsidRPr="00354B83" w:rsidR="00F34D86" w:rsidTr="008403C0" w14:paraId="4A575F3D" w14:textId="77777777">
        <w:tc>
          <w:tcPr>
            <w:tcW w:w="3600" w:type="dxa"/>
            <w:tcBorders>
              <w:top w:val="nil"/>
              <w:left w:val="nil"/>
              <w:bottom w:val="nil"/>
              <w:right w:val="nil"/>
            </w:tcBorders>
          </w:tcPr>
          <w:p w:rsidRPr="00354B83" w:rsidR="00F34D86" w:rsidP="00F34D86" w:rsidRDefault="00F34D86" w14:paraId="22C178B3" w14:textId="77777777">
            <w:pPr>
              <w:tabs>
                <w:tab w:val="left" w:pos="810"/>
                <w:tab w:val="left" w:pos="4410"/>
                <w:tab w:val="left" w:pos="5400"/>
              </w:tabs>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Data p</w:t>
            </w:r>
            <w:r w:rsidRPr="00354B83">
              <w:rPr>
                <w:rFonts w:ascii="Times New Roman" w:hAnsi="Times New Roman" w:cs="Times New Roman"/>
                <w:color w:val="000000" w:themeColor="text1"/>
                <w:sz w:val="20"/>
                <w:szCs w:val="20"/>
              </w:rPr>
              <w:t>rocessing</w:t>
            </w:r>
            <w:r>
              <w:rPr>
                <w:rFonts w:ascii="Times New Roman" w:hAnsi="Times New Roman" w:cs="Times New Roman"/>
                <w:color w:val="000000" w:themeColor="text1"/>
                <w:sz w:val="20"/>
                <w:szCs w:val="20"/>
              </w:rPr>
              <w:t xml:space="preserve"> and a</w:t>
            </w:r>
            <w:r w:rsidRPr="00354B83">
              <w:rPr>
                <w:rFonts w:ascii="Times New Roman" w:hAnsi="Times New Roman" w:cs="Times New Roman"/>
                <w:color w:val="000000" w:themeColor="text1"/>
                <w:sz w:val="20"/>
                <w:szCs w:val="20"/>
              </w:rPr>
              <w:t>nalysis</w:t>
            </w:r>
          </w:p>
        </w:tc>
        <w:tc>
          <w:tcPr>
            <w:tcW w:w="3600" w:type="dxa"/>
            <w:tcBorders>
              <w:top w:val="nil"/>
              <w:left w:val="nil"/>
              <w:bottom w:val="nil"/>
              <w:right w:val="nil"/>
            </w:tcBorders>
          </w:tcPr>
          <w:p w:rsidRPr="00354B83" w:rsidR="00F34D86" w:rsidP="00F34D86" w:rsidRDefault="00F34D86" w14:paraId="7CAF586E" w14:textId="77777777">
            <w:pPr>
              <w:tabs>
                <w:tab w:val="left" w:pos="1440"/>
                <w:tab w:val="left" w:pos="5400"/>
              </w:tabs>
              <w:rPr>
                <w:rFonts w:ascii="Times New Roman" w:hAnsi="Times New Roman" w:cs="Times New Roman"/>
                <w:color w:val="000000" w:themeColor="text1"/>
                <w:sz w:val="20"/>
                <w:szCs w:val="20"/>
              </w:rPr>
            </w:pPr>
            <w:r w:rsidRPr="00354B83">
              <w:rPr>
                <w:rFonts w:ascii="Times New Roman" w:hAnsi="Times New Roman" w:cs="Times New Roman"/>
                <w:color w:val="000000" w:themeColor="text1"/>
                <w:sz w:val="20"/>
                <w:szCs w:val="20"/>
              </w:rPr>
              <w:t>July (current year)-April (following year)</w:t>
            </w:r>
          </w:p>
        </w:tc>
      </w:tr>
      <w:tr w:rsidRPr="00354B83" w:rsidR="00F34D86" w:rsidTr="008403C0" w14:paraId="3D8C2FA0" w14:textId="77777777">
        <w:tc>
          <w:tcPr>
            <w:tcW w:w="3600" w:type="dxa"/>
            <w:tcBorders>
              <w:top w:val="nil"/>
              <w:left w:val="nil"/>
              <w:bottom w:val="nil"/>
              <w:right w:val="nil"/>
            </w:tcBorders>
          </w:tcPr>
          <w:p w:rsidRPr="00354B83" w:rsidR="00F34D86" w:rsidP="008403C0" w:rsidRDefault="00F34D86" w14:paraId="15273B41" w14:textId="77777777">
            <w:pPr>
              <w:tabs>
                <w:tab w:val="left" w:pos="810"/>
                <w:tab w:val="left" w:pos="4410"/>
                <w:tab w:val="left" w:pos="5400"/>
              </w:tabs>
              <w:rPr>
                <w:rFonts w:ascii="Times New Roman" w:hAnsi="Times New Roman" w:cs="Times New Roman"/>
                <w:color w:val="000000" w:themeColor="text1"/>
                <w:sz w:val="20"/>
                <w:szCs w:val="20"/>
              </w:rPr>
            </w:pPr>
            <w:r w:rsidRPr="00354B83">
              <w:rPr>
                <w:rFonts w:ascii="Times New Roman" w:hAnsi="Times New Roman" w:cs="Times New Roman"/>
                <w:color w:val="000000" w:themeColor="text1"/>
                <w:sz w:val="20"/>
                <w:szCs w:val="20"/>
              </w:rPr>
              <w:t>Publication data</w:t>
            </w:r>
          </w:p>
        </w:tc>
        <w:tc>
          <w:tcPr>
            <w:tcW w:w="3600" w:type="dxa"/>
            <w:tcBorders>
              <w:top w:val="nil"/>
              <w:left w:val="nil"/>
              <w:bottom w:val="nil"/>
              <w:right w:val="nil"/>
            </w:tcBorders>
          </w:tcPr>
          <w:p w:rsidRPr="00354B83" w:rsidR="00F34D86" w:rsidP="008403C0" w:rsidRDefault="00F34D86" w14:paraId="6123123A" w14:textId="440127C8">
            <w:pPr>
              <w:tabs>
                <w:tab w:val="left" w:pos="1440"/>
                <w:tab w:val="left" w:pos="5400"/>
              </w:tabs>
              <w:rPr>
                <w:rFonts w:ascii="Times New Roman" w:hAnsi="Times New Roman" w:cs="Times New Roman"/>
                <w:i/>
                <w:color w:val="000000" w:themeColor="text1"/>
                <w:sz w:val="20"/>
                <w:szCs w:val="20"/>
              </w:rPr>
            </w:pPr>
            <w:r w:rsidRPr="00354B83">
              <w:rPr>
                <w:rFonts w:ascii="Times New Roman" w:hAnsi="Times New Roman" w:cs="Times New Roman"/>
                <w:color w:val="000000" w:themeColor="text1"/>
                <w:sz w:val="20"/>
                <w:szCs w:val="20"/>
              </w:rPr>
              <w:t>September, following year</w:t>
            </w:r>
            <w:r>
              <w:rPr>
                <w:rFonts w:ascii="Times New Roman" w:hAnsi="Times New Roman" w:cs="Times New Roman"/>
                <w:color w:val="000000" w:themeColor="text1"/>
                <w:sz w:val="20"/>
                <w:szCs w:val="20"/>
              </w:rPr>
              <w:t xml:space="preserve"> - </w:t>
            </w:r>
            <w:r w:rsidRPr="00354B83">
              <w:rPr>
                <w:rFonts w:ascii="Times New Roman" w:hAnsi="Times New Roman" w:cs="Times New Roman"/>
                <w:i/>
                <w:color w:val="000000" w:themeColor="text1"/>
                <w:sz w:val="20"/>
                <w:szCs w:val="20"/>
              </w:rPr>
              <w:t>C</w:t>
            </w:r>
            <w:r>
              <w:rPr>
                <w:rFonts w:ascii="Times New Roman" w:hAnsi="Times New Roman" w:cs="Times New Roman"/>
                <w:i/>
                <w:color w:val="000000" w:themeColor="text1"/>
                <w:sz w:val="20"/>
                <w:szCs w:val="20"/>
              </w:rPr>
              <w:t>IUS</w:t>
            </w:r>
          </w:p>
        </w:tc>
      </w:tr>
      <w:tr w:rsidRPr="00354B83" w:rsidR="008403C0" w:rsidTr="008403C0" w14:paraId="4E5B55E1" w14:textId="77777777">
        <w:tc>
          <w:tcPr>
            <w:tcW w:w="3600" w:type="dxa"/>
            <w:tcBorders>
              <w:top w:val="nil"/>
              <w:left w:val="nil"/>
              <w:bottom w:val="single" w:color="auto" w:sz="8" w:space="0"/>
              <w:right w:val="nil"/>
            </w:tcBorders>
          </w:tcPr>
          <w:p w:rsidRPr="00354B83" w:rsidR="008403C0" w:rsidP="008403C0" w:rsidRDefault="008403C0" w14:paraId="4D542E4F" w14:textId="5197C82F">
            <w:pPr>
              <w:tabs>
                <w:tab w:val="left" w:pos="810"/>
                <w:tab w:val="left" w:pos="4410"/>
                <w:tab w:val="left" w:pos="5400"/>
              </w:tabs>
              <w:rPr>
                <w:rFonts w:ascii="Times New Roman" w:hAnsi="Times New Roman" w:cs="Times New Roman"/>
                <w:color w:val="000000" w:themeColor="text1"/>
                <w:sz w:val="20"/>
                <w:szCs w:val="20"/>
              </w:rPr>
            </w:pPr>
          </w:p>
        </w:tc>
        <w:tc>
          <w:tcPr>
            <w:tcW w:w="3600" w:type="dxa"/>
            <w:tcBorders>
              <w:top w:val="nil"/>
              <w:left w:val="nil"/>
              <w:bottom w:val="single" w:color="auto" w:sz="8" w:space="0"/>
              <w:right w:val="nil"/>
            </w:tcBorders>
          </w:tcPr>
          <w:p w:rsidRPr="00354B83" w:rsidR="008403C0" w:rsidP="00F34D86" w:rsidRDefault="008403C0" w14:paraId="31817467" w14:textId="03B5519A">
            <w:pPr>
              <w:tabs>
                <w:tab w:val="left" w:pos="1440"/>
                <w:tab w:val="left" w:pos="5400"/>
              </w:tabs>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 xml:space="preserve">December, following year - </w:t>
            </w:r>
            <w:r w:rsidRPr="00354B83">
              <w:rPr>
                <w:rFonts w:ascii="Times New Roman" w:hAnsi="Times New Roman" w:cs="Times New Roman"/>
                <w:i/>
                <w:color w:val="000000" w:themeColor="text1"/>
                <w:sz w:val="20"/>
                <w:szCs w:val="20"/>
              </w:rPr>
              <w:t>NIBRS</w:t>
            </w:r>
          </w:p>
        </w:tc>
      </w:tr>
    </w:tbl>
    <w:p w:rsidR="00EA4536" w:rsidP="00FC6E82" w:rsidRDefault="00EA4536" w14:paraId="2A1F701D" w14:textId="77777777">
      <w:pPr>
        <w:tabs>
          <w:tab w:val="left" w:pos="1800"/>
          <w:tab w:val="left" w:pos="6840"/>
          <w:tab w:val="right" w:pos="8280"/>
        </w:tabs>
        <w:spacing w:after="0" w:line="240" w:lineRule="auto"/>
        <w:rPr>
          <w:rFonts w:ascii="Times New Roman" w:hAnsi="Times New Roman" w:cs="Times New Roman"/>
          <w:color w:val="000000" w:themeColor="text1"/>
          <w:sz w:val="24"/>
          <w:szCs w:val="24"/>
        </w:rPr>
      </w:pPr>
    </w:p>
    <w:p w:rsidR="00F34D86" w:rsidRDefault="00F34D86" w14:paraId="03EFCA41" w14:textId="77777777">
      <w:pPr>
        <w:rPr>
          <w:rFonts w:ascii="Times New Roman" w:hAnsi="Times New Roman" w:cs="Times New Roman"/>
          <w:color w:val="000000" w:themeColor="text1"/>
          <w:sz w:val="24"/>
          <w:szCs w:val="24"/>
        </w:rPr>
      </w:pPr>
    </w:p>
    <w:p w:rsidR="00F34D86" w:rsidRDefault="00F34D86" w14:paraId="5F96A722" w14:textId="77777777">
      <w:pPr>
        <w:rPr>
          <w:rFonts w:ascii="Times New Roman" w:hAnsi="Times New Roman" w:cs="Times New Roman"/>
          <w:color w:val="000000" w:themeColor="text1"/>
          <w:sz w:val="24"/>
          <w:szCs w:val="24"/>
        </w:rPr>
      </w:pPr>
    </w:p>
    <w:p w:rsidR="00F34D86" w:rsidRDefault="00F34D86" w14:paraId="5B95CD12" w14:textId="77777777">
      <w:pPr>
        <w:rPr>
          <w:rFonts w:ascii="Times New Roman" w:hAnsi="Times New Roman" w:cs="Times New Roman"/>
          <w:color w:val="000000" w:themeColor="text1"/>
          <w:sz w:val="24"/>
          <w:szCs w:val="24"/>
        </w:rPr>
      </w:pPr>
    </w:p>
    <w:p w:rsidR="00F34D86" w:rsidRDefault="00F34D86" w14:paraId="5220BBB2" w14:textId="77777777">
      <w:pPr>
        <w:rPr>
          <w:rFonts w:ascii="Times New Roman" w:hAnsi="Times New Roman" w:cs="Times New Roman"/>
          <w:color w:val="000000" w:themeColor="text1"/>
          <w:sz w:val="24"/>
          <w:szCs w:val="24"/>
        </w:rPr>
      </w:pPr>
    </w:p>
    <w:p w:rsidR="00FC6E82" w:rsidRDefault="00FC6E82" w14:paraId="13CB595B" w14:textId="77777777">
      <w:pP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br w:type="page"/>
      </w:r>
    </w:p>
    <w:p w:rsidRPr="0065486C" w:rsidR="009672D8" w:rsidP="00FC6E82" w:rsidRDefault="009672D8" w14:paraId="37D2A1B7" w14:textId="77777777">
      <w:pPr>
        <w:pStyle w:val="ListParagraph"/>
        <w:numPr>
          <w:ilvl w:val="0"/>
          <w:numId w:val="4"/>
        </w:numPr>
        <w:tabs>
          <w:tab w:val="left" w:pos="1440"/>
          <w:tab w:val="left" w:pos="5400"/>
        </w:tabs>
        <w:spacing w:after="0" w:line="240" w:lineRule="auto"/>
        <w:rPr>
          <w:rFonts w:ascii="Times New Roman" w:hAnsi="Times New Roman" w:cs="Times New Roman"/>
          <w:color w:val="000000" w:themeColor="text1"/>
          <w:sz w:val="24"/>
          <w:szCs w:val="24"/>
        </w:rPr>
      </w:pPr>
      <w:r w:rsidRPr="0065486C">
        <w:rPr>
          <w:rFonts w:ascii="Times New Roman" w:hAnsi="Times New Roman" w:cs="Times New Roman"/>
          <w:color w:val="000000" w:themeColor="text1"/>
          <w:sz w:val="24"/>
          <w:szCs w:val="24"/>
          <w:u w:val="single"/>
        </w:rPr>
        <w:lastRenderedPageBreak/>
        <w:t>Display of Expiration Date</w:t>
      </w:r>
    </w:p>
    <w:p w:rsidRPr="0065486C" w:rsidR="009672D8" w:rsidP="00FC6E82" w:rsidRDefault="009672D8" w14:paraId="6D9C8D39" w14:textId="77777777">
      <w:pPr>
        <w:pStyle w:val="ListParagraph"/>
        <w:tabs>
          <w:tab w:val="left" w:pos="1440"/>
          <w:tab w:val="left" w:pos="5400"/>
        </w:tabs>
        <w:spacing w:after="0" w:line="240" w:lineRule="auto"/>
        <w:rPr>
          <w:rFonts w:ascii="Times New Roman" w:hAnsi="Times New Roman" w:cs="Times New Roman"/>
          <w:color w:val="000000" w:themeColor="text1"/>
          <w:sz w:val="24"/>
          <w:szCs w:val="24"/>
          <w:u w:val="single"/>
        </w:rPr>
      </w:pPr>
    </w:p>
    <w:p w:rsidRPr="0065486C" w:rsidR="009672D8" w:rsidP="00FC6E82" w:rsidRDefault="009672D8" w14:paraId="1133F3D8" w14:textId="77777777">
      <w:pPr>
        <w:pStyle w:val="ListParagraph"/>
        <w:tabs>
          <w:tab w:val="left" w:pos="1440"/>
          <w:tab w:val="left" w:pos="5400"/>
        </w:tabs>
        <w:spacing w:after="0" w:line="240" w:lineRule="auto"/>
        <w:rPr>
          <w:rFonts w:ascii="Times New Roman" w:hAnsi="Times New Roman" w:cs="Times New Roman"/>
          <w:color w:val="000000" w:themeColor="text1"/>
          <w:sz w:val="24"/>
          <w:szCs w:val="24"/>
        </w:rPr>
      </w:pPr>
      <w:r w:rsidRPr="0065486C">
        <w:rPr>
          <w:rFonts w:ascii="Times New Roman" w:hAnsi="Times New Roman" w:cs="Times New Roman"/>
          <w:color w:val="000000" w:themeColor="text1"/>
          <w:sz w:val="24"/>
          <w:szCs w:val="24"/>
        </w:rPr>
        <w:t xml:space="preserve">All information collected under this clearance will display the </w:t>
      </w:r>
      <w:r w:rsidRPr="0065486C" w:rsidR="004217D3">
        <w:rPr>
          <w:rFonts w:ascii="Times New Roman" w:hAnsi="Times New Roman" w:cs="Times New Roman"/>
          <w:color w:val="000000" w:themeColor="text1"/>
          <w:sz w:val="24"/>
          <w:szCs w:val="24"/>
        </w:rPr>
        <w:t>O</w:t>
      </w:r>
      <w:r w:rsidR="000D5D46">
        <w:rPr>
          <w:rFonts w:ascii="Times New Roman" w:hAnsi="Times New Roman" w:cs="Times New Roman"/>
          <w:color w:val="000000" w:themeColor="text1"/>
          <w:sz w:val="24"/>
          <w:szCs w:val="24"/>
        </w:rPr>
        <w:t xml:space="preserve">ffice of Management and Budget </w:t>
      </w:r>
      <w:r w:rsidRPr="0065486C">
        <w:rPr>
          <w:rFonts w:ascii="Times New Roman" w:hAnsi="Times New Roman" w:cs="Times New Roman"/>
          <w:color w:val="000000" w:themeColor="text1"/>
          <w:sz w:val="24"/>
          <w:szCs w:val="24"/>
        </w:rPr>
        <w:t>Clearance Number and Expiration Date</w:t>
      </w:r>
      <w:r w:rsidRPr="0065486C" w:rsidR="008A4878">
        <w:rPr>
          <w:rFonts w:ascii="Times New Roman" w:hAnsi="Times New Roman" w:cs="Times New Roman"/>
          <w:color w:val="000000" w:themeColor="text1"/>
          <w:sz w:val="24"/>
          <w:szCs w:val="24"/>
        </w:rPr>
        <w:t xml:space="preserve"> on the NIBRS Technical Specification document</w:t>
      </w:r>
      <w:r w:rsidRPr="0065486C">
        <w:rPr>
          <w:rFonts w:ascii="Times New Roman" w:hAnsi="Times New Roman" w:cs="Times New Roman"/>
          <w:color w:val="000000" w:themeColor="text1"/>
          <w:sz w:val="24"/>
          <w:szCs w:val="24"/>
        </w:rPr>
        <w:t>.</w:t>
      </w:r>
    </w:p>
    <w:p w:rsidRPr="0065486C" w:rsidR="004C30DB" w:rsidP="00FC6E82" w:rsidRDefault="004C30DB" w14:paraId="675E05EE" w14:textId="77777777">
      <w:pPr>
        <w:pStyle w:val="ListParagraph"/>
        <w:tabs>
          <w:tab w:val="left" w:pos="1440"/>
          <w:tab w:val="left" w:pos="5400"/>
        </w:tabs>
        <w:spacing w:after="0" w:line="240" w:lineRule="auto"/>
        <w:rPr>
          <w:rFonts w:ascii="Times New Roman" w:hAnsi="Times New Roman" w:cs="Times New Roman"/>
          <w:color w:val="000000" w:themeColor="text1"/>
          <w:sz w:val="24"/>
          <w:szCs w:val="24"/>
        </w:rPr>
      </w:pPr>
    </w:p>
    <w:p w:rsidRPr="0065486C" w:rsidR="004C30DB" w:rsidP="00FC6E82" w:rsidRDefault="004C30DB" w14:paraId="2FC17F8B" w14:textId="77777777">
      <w:pPr>
        <w:pStyle w:val="ListParagraph"/>
        <w:tabs>
          <w:tab w:val="left" w:pos="1440"/>
          <w:tab w:val="left" w:pos="5400"/>
        </w:tabs>
        <w:spacing w:after="0" w:line="240" w:lineRule="auto"/>
        <w:rPr>
          <w:rFonts w:ascii="Times New Roman" w:hAnsi="Times New Roman" w:cs="Times New Roman"/>
          <w:color w:val="000000" w:themeColor="text1"/>
          <w:sz w:val="24"/>
          <w:szCs w:val="24"/>
        </w:rPr>
      </w:pPr>
    </w:p>
    <w:p w:rsidRPr="0065486C" w:rsidR="009672D8" w:rsidP="00FC6E82" w:rsidRDefault="009672D8" w14:paraId="1EEE7BE1" w14:textId="77777777">
      <w:pPr>
        <w:pStyle w:val="ListParagraph"/>
        <w:numPr>
          <w:ilvl w:val="0"/>
          <w:numId w:val="4"/>
        </w:numPr>
        <w:tabs>
          <w:tab w:val="left" w:pos="1440"/>
          <w:tab w:val="left" w:pos="5400"/>
        </w:tabs>
        <w:spacing w:after="0" w:line="240" w:lineRule="auto"/>
        <w:rPr>
          <w:rFonts w:ascii="Times New Roman" w:hAnsi="Times New Roman" w:cs="Times New Roman"/>
          <w:color w:val="000000" w:themeColor="text1"/>
          <w:sz w:val="24"/>
          <w:szCs w:val="24"/>
        </w:rPr>
      </w:pPr>
      <w:r w:rsidRPr="0065486C">
        <w:rPr>
          <w:rFonts w:ascii="Times New Roman" w:hAnsi="Times New Roman" w:cs="Times New Roman"/>
          <w:color w:val="000000" w:themeColor="text1"/>
          <w:sz w:val="24"/>
          <w:szCs w:val="24"/>
          <w:u w:val="single"/>
        </w:rPr>
        <w:t>Exception to the Certification Statement</w:t>
      </w:r>
    </w:p>
    <w:p w:rsidRPr="0065486C" w:rsidR="009672D8" w:rsidP="00FC6E82" w:rsidRDefault="009672D8" w14:paraId="0A4F7224" w14:textId="77777777">
      <w:pPr>
        <w:pStyle w:val="ListParagraph"/>
        <w:tabs>
          <w:tab w:val="left" w:pos="1440"/>
          <w:tab w:val="left" w:pos="5400"/>
        </w:tabs>
        <w:spacing w:after="0" w:line="240" w:lineRule="auto"/>
        <w:rPr>
          <w:rFonts w:ascii="Times New Roman" w:hAnsi="Times New Roman" w:cs="Times New Roman"/>
          <w:color w:val="000000" w:themeColor="text1"/>
          <w:sz w:val="24"/>
          <w:szCs w:val="24"/>
          <w:u w:val="single"/>
        </w:rPr>
      </w:pPr>
    </w:p>
    <w:p w:rsidRPr="0065486C" w:rsidR="001451F7" w:rsidP="00FC6E82" w:rsidRDefault="00C270F9" w14:paraId="2ECCFAB3" w14:textId="77777777">
      <w:pPr>
        <w:pStyle w:val="ListParagraph"/>
        <w:tabs>
          <w:tab w:val="left" w:pos="1440"/>
          <w:tab w:val="left" w:pos="5400"/>
        </w:tabs>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The FBI CJIS Division i</w:t>
      </w:r>
      <w:r w:rsidRPr="0065486C" w:rsidR="001451F7">
        <w:rPr>
          <w:rFonts w:ascii="Times New Roman" w:hAnsi="Times New Roman" w:cs="Times New Roman"/>
          <w:color w:val="000000" w:themeColor="text1"/>
          <w:sz w:val="24"/>
          <w:szCs w:val="24"/>
        </w:rPr>
        <w:t>s not request</w:t>
      </w:r>
      <w:r>
        <w:rPr>
          <w:rFonts w:ascii="Times New Roman" w:hAnsi="Times New Roman" w:cs="Times New Roman"/>
          <w:color w:val="000000" w:themeColor="text1"/>
          <w:sz w:val="24"/>
          <w:szCs w:val="24"/>
        </w:rPr>
        <w:t>ing</w:t>
      </w:r>
      <w:r w:rsidRPr="0065486C" w:rsidR="001451F7">
        <w:rPr>
          <w:rFonts w:ascii="Times New Roman" w:hAnsi="Times New Roman" w:cs="Times New Roman"/>
          <w:color w:val="000000" w:themeColor="text1"/>
          <w:sz w:val="24"/>
          <w:szCs w:val="24"/>
        </w:rPr>
        <w:t xml:space="preserve"> an exception to the certification of this information collection. </w:t>
      </w:r>
    </w:p>
    <w:p w:rsidRPr="0065486C" w:rsidR="00BD656F" w:rsidP="00FC6E82" w:rsidRDefault="00BD656F" w14:paraId="5AE48A43" w14:textId="77777777">
      <w:pPr>
        <w:spacing w:after="0" w:line="240" w:lineRule="auto"/>
        <w:contextualSpacing/>
        <w:jc w:val="center"/>
        <w:rPr>
          <w:rFonts w:ascii="Times New Roman" w:hAnsi="Times New Roman" w:cs="Times New Roman"/>
          <w:b/>
          <w:color w:val="000000" w:themeColor="text1"/>
          <w:sz w:val="24"/>
          <w:szCs w:val="24"/>
        </w:rPr>
      </w:pPr>
    </w:p>
    <w:sectPr w:rsidRPr="0065486C" w:rsidR="00BD656F" w:rsidSect="000E1B02">
      <w:footerReference w:type="default" r:id="rId7"/>
      <w:pgSz w:w="12240" w:h="15840"/>
      <w:pgMar w:top="1440" w:right="1440" w:bottom="1296" w:left="1440" w:header="720" w:footer="720" w:gutter="0"/>
      <w:cols w:space="720"/>
      <w:docGrid w:linePitch="360"/>
    </w:sectPr>
  </w:body>
</w:document>
</file>

<file path=word/commentsExtensible.xml><?xml version="1.0" encoding="utf-8"?>
<w16cex:commentsExtensible xmlns:w16="http://schemas.microsoft.com/office/word/2018/wordml" xmlns:w16cex="http://schemas.microsoft.com/office/word/2018/wordml/cex" xmlns:mc="http://schemas.openxmlformats.org/markup-compatibility/2006" mc:Ignorable="w16 w16cex">
  <w16cex:commentExtensible w16cex:durableId="20EAE6F8" w16cex:dateUtc="2020-10-13T11:23:34.677Z"/>
</w16cex:commentsExtensible>
</file>

<file path=word/commentsIds.xml><?xml version="1.0" encoding="utf-8"?>
<w16cid:commentsIds xmlns:mc="http://schemas.openxmlformats.org/markup-compatibility/2006" xmlns:w16cid="http://schemas.microsoft.com/office/word/2016/wordml/cid" mc:Ignorable="w16cid">
  <w16cid:commentId w16cid:paraId="14FFF9B4" w16cid:durableId="20EAE6F8"/>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D4F92FD" w14:textId="77777777" w:rsidR="001420BD" w:rsidRDefault="001420BD" w:rsidP="00781B6C">
      <w:pPr>
        <w:spacing w:after="0" w:line="240" w:lineRule="auto"/>
      </w:pPr>
      <w:r>
        <w:separator/>
      </w:r>
    </w:p>
  </w:endnote>
  <w:endnote w:type="continuationSeparator" w:id="0">
    <w:p w14:paraId="082E954A" w14:textId="77777777" w:rsidR="001420BD" w:rsidRDefault="001420BD" w:rsidP="00781B6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50308748"/>
      <w:docPartObj>
        <w:docPartGallery w:val="Page Numbers (Bottom of Page)"/>
        <w:docPartUnique/>
      </w:docPartObj>
    </w:sdtPr>
    <w:sdtEndPr>
      <w:rPr>
        <w:rFonts w:ascii="Times New Roman" w:hAnsi="Times New Roman" w:cs="Times New Roman"/>
        <w:noProof/>
        <w:sz w:val="24"/>
        <w:szCs w:val="24"/>
      </w:rPr>
    </w:sdtEndPr>
    <w:sdtContent>
      <w:p w14:paraId="77B8B581" w14:textId="32268FE6" w:rsidR="00C270F9" w:rsidRPr="0052631A" w:rsidRDefault="00C270F9">
        <w:pPr>
          <w:pStyle w:val="Footer"/>
          <w:jc w:val="center"/>
          <w:rPr>
            <w:rFonts w:ascii="Times New Roman" w:hAnsi="Times New Roman" w:cs="Times New Roman"/>
            <w:sz w:val="24"/>
            <w:szCs w:val="24"/>
          </w:rPr>
        </w:pPr>
        <w:r w:rsidRPr="0052631A">
          <w:rPr>
            <w:rFonts w:ascii="Times New Roman" w:hAnsi="Times New Roman" w:cs="Times New Roman"/>
            <w:sz w:val="24"/>
            <w:szCs w:val="24"/>
          </w:rPr>
          <w:fldChar w:fldCharType="begin"/>
        </w:r>
        <w:r w:rsidRPr="0052631A">
          <w:rPr>
            <w:rFonts w:ascii="Times New Roman" w:hAnsi="Times New Roman" w:cs="Times New Roman"/>
            <w:sz w:val="24"/>
            <w:szCs w:val="24"/>
          </w:rPr>
          <w:instrText xml:space="preserve"> PAGE   \* MERGEFORMAT </w:instrText>
        </w:r>
        <w:r w:rsidRPr="0052631A">
          <w:rPr>
            <w:rFonts w:ascii="Times New Roman" w:hAnsi="Times New Roman" w:cs="Times New Roman"/>
            <w:sz w:val="24"/>
            <w:szCs w:val="24"/>
          </w:rPr>
          <w:fldChar w:fldCharType="separate"/>
        </w:r>
        <w:r w:rsidR="00F5451C">
          <w:rPr>
            <w:rFonts w:ascii="Times New Roman" w:hAnsi="Times New Roman" w:cs="Times New Roman"/>
            <w:noProof/>
            <w:sz w:val="24"/>
            <w:szCs w:val="24"/>
          </w:rPr>
          <w:t>8</w:t>
        </w:r>
        <w:r w:rsidRPr="0052631A">
          <w:rPr>
            <w:rFonts w:ascii="Times New Roman" w:hAnsi="Times New Roman" w:cs="Times New Roman"/>
            <w:noProof/>
            <w:sz w:val="24"/>
            <w:szCs w:val="24"/>
          </w:rPr>
          <w:fldChar w:fldCharType="end"/>
        </w:r>
      </w:p>
    </w:sdtContent>
  </w:sdt>
  <w:p w14:paraId="50F40DEB" w14:textId="77777777" w:rsidR="00C270F9" w:rsidRDefault="00C270F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A5A0CF6" w14:textId="77777777" w:rsidR="001420BD" w:rsidRDefault="001420BD" w:rsidP="00781B6C">
      <w:pPr>
        <w:spacing w:after="0" w:line="240" w:lineRule="auto"/>
      </w:pPr>
      <w:r>
        <w:separator/>
      </w:r>
    </w:p>
  </w:footnote>
  <w:footnote w:type="continuationSeparator" w:id="0">
    <w:p w14:paraId="0B0EDEC0" w14:textId="77777777" w:rsidR="001420BD" w:rsidRDefault="001420BD" w:rsidP="00781B6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5D4A3D"/>
    <w:multiLevelType w:val="hybridMultilevel"/>
    <w:tmpl w:val="5E1EF94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38A47A9"/>
    <w:multiLevelType w:val="hybridMultilevel"/>
    <w:tmpl w:val="518CD6C2"/>
    <w:lvl w:ilvl="0" w:tplc="382AF94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28D52E61"/>
    <w:multiLevelType w:val="hybridMultilevel"/>
    <w:tmpl w:val="1986B06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31ED209C"/>
    <w:multiLevelType w:val="hybridMultilevel"/>
    <w:tmpl w:val="7788FB74"/>
    <w:lvl w:ilvl="0" w:tplc="04090001">
      <w:start w:val="1"/>
      <w:numFmt w:val="bullet"/>
      <w:lvlText w:val=""/>
      <w:lvlJc w:val="left"/>
      <w:pPr>
        <w:ind w:left="2340" w:hanging="360"/>
      </w:pPr>
      <w:rPr>
        <w:rFonts w:ascii="Symbol" w:hAnsi="Symbol" w:hint="default"/>
      </w:rPr>
    </w:lvl>
    <w:lvl w:ilvl="1" w:tplc="04090003">
      <w:start w:val="1"/>
      <w:numFmt w:val="bullet"/>
      <w:lvlText w:val="o"/>
      <w:lvlJc w:val="left"/>
      <w:pPr>
        <w:ind w:left="3060" w:hanging="360"/>
      </w:pPr>
      <w:rPr>
        <w:rFonts w:ascii="Courier New" w:hAnsi="Courier New" w:cs="Courier New" w:hint="default"/>
      </w:rPr>
    </w:lvl>
    <w:lvl w:ilvl="2" w:tplc="04090005" w:tentative="1">
      <w:start w:val="1"/>
      <w:numFmt w:val="bullet"/>
      <w:lvlText w:val=""/>
      <w:lvlJc w:val="left"/>
      <w:pPr>
        <w:ind w:left="3780" w:hanging="360"/>
      </w:pPr>
      <w:rPr>
        <w:rFonts w:ascii="Wingdings" w:hAnsi="Wingdings" w:hint="default"/>
      </w:rPr>
    </w:lvl>
    <w:lvl w:ilvl="3" w:tplc="04090001" w:tentative="1">
      <w:start w:val="1"/>
      <w:numFmt w:val="bullet"/>
      <w:lvlText w:val=""/>
      <w:lvlJc w:val="left"/>
      <w:pPr>
        <w:ind w:left="4500" w:hanging="360"/>
      </w:pPr>
      <w:rPr>
        <w:rFonts w:ascii="Symbol" w:hAnsi="Symbol" w:hint="default"/>
      </w:rPr>
    </w:lvl>
    <w:lvl w:ilvl="4" w:tplc="04090003" w:tentative="1">
      <w:start w:val="1"/>
      <w:numFmt w:val="bullet"/>
      <w:lvlText w:val="o"/>
      <w:lvlJc w:val="left"/>
      <w:pPr>
        <w:ind w:left="5220" w:hanging="360"/>
      </w:pPr>
      <w:rPr>
        <w:rFonts w:ascii="Courier New" w:hAnsi="Courier New" w:cs="Courier New" w:hint="default"/>
      </w:rPr>
    </w:lvl>
    <w:lvl w:ilvl="5" w:tplc="04090005" w:tentative="1">
      <w:start w:val="1"/>
      <w:numFmt w:val="bullet"/>
      <w:lvlText w:val=""/>
      <w:lvlJc w:val="left"/>
      <w:pPr>
        <w:ind w:left="5940" w:hanging="360"/>
      </w:pPr>
      <w:rPr>
        <w:rFonts w:ascii="Wingdings" w:hAnsi="Wingdings" w:hint="default"/>
      </w:rPr>
    </w:lvl>
    <w:lvl w:ilvl="6" w:tplc="04090001" w:tentative="1">
      <w:start w:val="1"/>
      <w:numFmt w:val="bullet"/>
      <w:lvlText w:val=""/>
      <w:lvlJc w:val="left"/>
      <w:pPr>
        <w:ind w:left="6660" w:hanging="360"/>
      </w:pPr>
      <w:rPr>
        <w:rFonts w:ascii="Symbol" w:hAnsi="Symbol" w:hint="default"/>
      </w:rPr>
    </w:lvl>
    <w:lvl w:ilvl="7" w:tplc="04090003" w:tentative="1">
      <w:start w:val="1"/>
      <w:numFmt w:val="bullet"/>
      <w:lvlText w:val="o"/>
      <w:lvlJc w:val="left"/>
      <w:pPr>
        <w:ind w:left="7380" w:hanging="360"/>
      </w:pPr>
      <w:rPr>
        <w:rFonts w:ascii="Courier New" w:hAnsi="Courier New" w:cs="Courier New" w:hint="default"/>
      </w:rPr>
    </w:lvl>
    <w:lvl w:ilvl="8" w:tplc="04090005" w:tentative="1">
      <w:start w:val="1"/>
      <w:numFmt w:val="bullet"/>
      <w:lvlText w:val=""/>
      <w:lvlJc w:val="left"/>
      <w:pPr>
        <w:ind w:left="8100" w:hanging="360"/>
      </w:pPr>
      <w:rPr>
        <w:rFonts w:ascii="Wingdings" w:hAnsi="Wingdings" w:hint="default"/>
      </w:rPr>
    </w:lvl>
  </w:abstractNum>
  <w:abstractNum w:abstractNumId="4" w15:restartNumberingAfterBreak="0">
    <w:nsid w:val="37254E17"/>
    <w:multiLevelType w:val="hybridMultilevel"/>
    <w:tmpl w:val="43B4AC1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C0B0927"/>
    <w:multiLevelType w:val="hybridMultilevel"/>
    <w:tmpl w:val="ABB24D6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B9C45A0"/>
    <w:multiLevelType w:val="hybridMultilevel"/>
    <w:tmpl w:val="6CA0AB1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3045654"/>
    <w:multiLevelType w:val="hybridMultilevel"/>
    <w:tmpl w:val="81C290D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78242C1"/>
    <w:multiLevelType w:val="hybridMultilevel"/>
    <w:tmpl w:val="6B6A4FA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BFD1700"/>
    <w:multiLevelType w:val="hybridMultilevel"/>
    <w:tmpl w:val="E42ADBD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76572C6E"/>
    <w:multiLevelType w:val="multilevel"/>
    <w:tmpl w:val="60482DA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7C407406"/>
    <w:multiLevelType w:val="hybridMultilevel"/>
    <w:tmpl w:val="DC564F9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6"/>
  </w:num>
  <w:num w:numId="2">
    <w:abstractNumId w:val="4"/>
  </w:num>
  <w:num w:numId="3">
    <w:abstractNumId w:val="5"/>
  </w:num>
  <w:num w:numId="4">
    <w:abstractNumId w:val="7"/>
  </w:num>
  <w:num w:numId="5">
    <w:abstractNumId w:val="1"/>
  </w:num>
  <w:num w:numId="6">
    <w:abstractNumId w:val="11"/>
  </w:num>
  <w:num w:numId="7">
    <w:abstractNumId w:val="2"/>
  </w:num>
  <w:num w:numId="8">
    <w:abstractNumId w:val="3"/>
  </w:num>
  <w:num w:numId="9">
    <w:abstractNumId w:val="9"/>
  </w:num>
  <w:num w:numId="10">
    <w:abstractNumId w:val="0"/>
  </w:num>
  <w:num w:numId="11">
    <w:abstractNumId w:val="8"/>
  </w:num>
  <w:num w:numId="1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D656F"/>
    <w:rsid w:val="000033E2"/>
    <w:rsid w:val="00013A77"/>
    <w:rsid w:val="000217F6"/>
    <w:rsid w:val="0003439A"/>
    <w:rsid w:val="00064DF0"/>
    <w:rsid w:val="00065349"/>
    <w:rsid w:val="00086B7D"/>
    <w:rsid w:val="00092B2F"/>
    <w:rsid w:val="0009437D"/>
    <w:rsid w:val="000A3CF1"/>
    <w:rsid w:val="000B7DC5"/>
    <w:rsid w:val="000D4690"/>
    <w:rsid w:val="000D5D46"/>
    <w:rsid w:val="000E1B02"/>
    <w:rsid w:val="000E289D"/>
    <w:rsid w:val="00112DC3"/>
    <w:rsid w:val="00115633"/>
    <w:rsid w:val="00131B8A"/>
    <w:rsid w:val="0013258A"/>
    <w:rsid w:val="001340C0"/>
    <w:rsid w:val="001420BD"/>
    <w:rsid w:val="00144FA6"/>
    <w:rsid w:val="001451F7"/>
    <w:rsid w:val="00145D8B"/>
    <w:rsid w:val="0015129D"/>
    <w:rsid w:val="00162623"/>
    <w:rsid w:val="00165224"/>
    <w:rsid w:val="00175B9B"/>
    <w:rsid w:val="00191C1C"/>
    <w:rsid w:val="001950A5"/>
    <w:rsid w:val="001A1590"/>
    <w:rsid w:val="001A4AF3"/>
    <w:rsid w:val="001B17C2"/>
    <w:rsid w:val="001B2158"/>
    <w:rsid w:val="001F6864"/>
    <w:rsid w:val="00204D4A"/>
    <w:rsid w:val="002053F2"/>
    <w:rsid w:val="00211AAD"/>
    <w:rsid w:val="00213F90"/>
    <w:rsid w:val="00221FE1"/>
    <w:rsid w:val="00232E50"/>
    <w:rsid w:val="00270E9E"/>
    <w:rsid w:val="00291217"/>
    <w:rsid w:val="00292F71"/>
    <w:rsid w:val="002A7174"/>
    <w:rsid w:val="002C6E1D"/>
    <w:rsid w:val="002E594F"/>
    <w:rsid w:val="002E6E28"/>
    <w:rsid w:val="00304928"/>
    <w:rsid w:val="003255E3"/>
    <w:rsid w:val="00326D5F"/>
    <w:rsid w:val="00334B60"/>
    <w:rsid w:val="003353BF"/>
    <w:rsid w:val="003364F8"/>
    <w:rsid w:val="00344DB9"/>
    <w:rsid w:val="0035057A"/>
    <w:rsid w:val="00354B83"/>
    <w:rsid w:val="003552FC"/>
    <w:rsid w:val="00382E18"/>
    <w:rsid w:val="0039146A"/>
    <w:rsid w:val="003B0578"/>
    <w:rsid w:val="003B27AC"/>
    <w:rsid w:val="003E5E43"/>
    <w:rsid w:val="003E63CE"/>
    <w:rsid w:val="003E7284"/>
    <w:rsid w:val="004062B4"/>
    <w:rsid w:val="00410DD7"/>
    <w:rsid w:val="004217D3"/>
    <w:rsid w:val="00421817"/>
    <w:rsid w:val="004246E2"/>
    <w:rsid w:val="004450F7"/>
    <w:rsid w:val="00452147"/>
    <w:rsid w:val="00464009"/>
    <w:rsid w:val="004734BD"/>
    <w:rsid w:val="00483FB7"/>
    <w:rsid w:val="004A68CB"/>
    <w:rsid w:val="004A70FB"/>
    <w:rsid w:val="004C191E"/>
    <w:rsid w:val="004C30DB"/>
    <w:rsid w:val="004C3B9E"/>
    <w:rsid w:val="004C6CD8"/>
    <w:rsid w:val="004D102B"/>
    <w:rsid w:val="004D372E"/>
    <w:rsid w:val="004D555C"/>
    <w:rsid w:val="004D7D2A"/>
    <w:rsid w:val="004E19A5"/>
    <w:rsid w:val="004E72B9"/>
    <w:rsid w:val="004F3677"/>
    <w:rsid w:val="00504A52"/>
    <w:rsid w:val="0052354A"/>
    <w:rsid w:val="00523C80"/>
    <w:rsid w:val="0052570D"/>
    <w:rsid w:val="0052631A"/>
    <w:rsid w:val="005359E0"/>
    <w:rsid w:val="005461B8"/>
    <w:rsid w:val="00567937"/>
    <w:rsid w:val="005733FC"/>
    <w:rsid w:val="005771A4"/>
    <w:rsid w:val="00591613"/>
    <w:rsid w:val="005A53CC"/>
    <w:rsid w:val="005A6453"/>
    <w:rsid w:val="005A6E44"/>
    <w:rsid w:val="005B1C47"/>
    <w:rsid w:val="005B4205"/>
    <w:rsid w:val="005B719C"/>
    <w:rsid w:val="005B7CEA"/>
    <w:rsid w:val="005D271A"/>
    <w:rsid w:val="005E3E06"/>
    <w:rsid w:val="005F0590"/>
    <w:rsid w:val="005F116A"/>
    <w:rsid w:val="00642B60"/>
    <w:rsid w:val="00647692"/>
    <w:rsid w:val="0065486C"/>
    <w:rsid w:val="006612A8"/>
    <w:rsid w:val="006767F4"/>
    <w:rsid w:val="00687328"/>
    <w:rsid w:val="0069408D"/>
    <w:rsid w:val="006969C3"/>
    <w:rsid w:val="006B34C1"/>
    <w:rsid w:val="006B4D68"/>
    <w:rsid w:val="006D2330"/>
    <w:rsid w:val="006D74D0"/>
    <w:rsid w:val="006F05A3"/>
    <w:rsid w:val="006F71CB"/>
    <w:rsid w:val="007009C5"/>
    <w:rsid w:val="0072165B"/>
    <w:rsid w:val="007350F9"/>
    <w:rsid w:val="0075183F"/>
    <w:rsid w:val="00762D0F"/>
    <w:rsid w:val="00764624"/>
    <w:rsid w:val="00781B6C"/>
    <w:rsid w:val="00782B18"/>
    <w:rsid w:val="007A5C56"/>
    <w:rsid w:val="007B2485"/>
    <w:rsid w:val="007C663E"/>
    <w:rsid w:val="007D0C1D"/>
    <w:rsid w:val="007D4E17"/>
    <w:rsid w:val="007F74E1"/>
    <w:rsid w:val="00814A74"/>
    <w:rsid w:val="0081736F"/>
    <w:rsid w:val="008206B5"/>
    <w:rsid w:val="00825092"/>
    <w:rsid w:val="00830F2F"/>
    <w:rsid w:val="008403C0"/>
    <w:rsid w:val="008417BF"/>
    <w:rsid w:val="00851F3A"/>
    <w:rsid w:val="00856BF5"/>
    <w:rsid w:val="008841A1"/>
    <w:rsid w:val="00884926"/>
    <w:rsid w:val="00892CC7"/>
    <w:rsid w:val="008A19ED"/>
    <w:rsid w:val="008A4878"/>
    <w:rsid w:val="008A4F53"/>
    <w:rsid w:val="008C286C"/>
    <w:rsid w:val="008C5323"/>
    <w:rsid w:val="008C69A7"/>
    <w:rsid w:val="009153A6"/>
    <w:rsid w:val="009224F8"/>
    <w:rsid w:val="009401DC"/>
    <w:rsid w:val="00943FD2"/>
    <w:rsid w:val="0095586F"/>
    <w:rsid w:val="00960D71"/>
    <w:rsid w:val="009672D8"/>
    <w:rsid w:val="009965B1"/>
    <w:rsid w:val="009B1552"/>
    <w:rsid w:val="009B30DC"/>
    <w:rsid w:val="009D08CD"/>
    <w:rsid w:val="009D53AE"/>
    <w:rsid w:val="009E2694"/>
    <w:rsid w:val="009E39A7"/>
    <w:rsid w:val="00A04802"/>
    <w:rsid w:val="00A10F06"/>
    <w:rsid w:val="00A25452"/>
    <w:rsid w:val="00A46399"/>
    <w:rsid w:val="00A51261"/>
    <w:rsid w:val="00A57B6E"/>
    <w:rsid w:val="00A62037"/>
    <w:rsid w:val="00A73E2E"/>
    <w:rsid w:val="00A91D67"/>
    <w:rsid w:val="00AA27EA"/>
    <w:rsid w:val="00AC147C"/>
    <w:rsid w:val="00AC7DC4"/>
    <w:rsid w:val="00AE0D5F"/>
    <w:rsid w:val="00AF1C14"/>
    <w:rsid w:val="00AF473E"/>
    <w:rsid w:val="00AF5476"/>
    <w:rsid w:val="00B068E6"/>
    <w:rsid w:val="00B170BE"/>
    <w:rsid w:val="00B240EF"/>
    <w:rsid w:val="00B24549"/>
    <w:rsid w:val="00B37D24"/>
    <w:rsid w:val="00B432DF"/>
    <w:rsid w:val="00B54F52"/>
    <w:rsid w:val="00B739BC"/>
    <w:rsid w:val="00B77001"/>
    <w:rsid w:val="00B85CBC"/>
    <w:rsid w:val="00B87D32"/>
    <w:rsid w:val="00BA28C7"/>
    <w:rsid w:val="00BA356B"/>
    <w:rsid w:val="00BD3B35"/>
    <w:rsid w:val="00BD656F"/>
    <w:rsid w:val="00BE213F"/>
    <w:rsid w:val="00BF5717"/>
    <w:rsid w:val="00C0048C"/>
    <w:rsid w:val="00C02FC7"/>
    <w:rsid w:val="00C1244C"/>
    <w:rsid w:val="00C270F9"/>
    <w:rsid w:val="00C30516"/>
    <w:rsid w:val="00C4335E"/>
    <w:rsid w:val="00C66A13"/>
    <w:rsid w:val="00C74B83"/>
    <w:rsid w:val="00C862D3"/>
    <w:rsid w:val="00C91F01"/>
    <w:rsid w:val="00CA34C4"/>
    <w:rsid w:val="00CB18ED"/>
    <w:rsid w:val="00CD1725"/>
    <w:rsid w:val="00CD7300"/>
    <w:rsid w:val="00CF32B7"/>
    <w:rsid w:val="00D23280"/>
    <w:rsid w:val="00D2613A"/>
    <w:rsid w:val="00D265E7"/>
    <w:rsid w:val="00D34F1B"/>
    <w:rsid w:val="00D46499"/>
    <w:rsid w:val="00D66BCC"/>
    <w:rsid w:val="00D76BDE"/>
    <w:rsid w:val="00D81951"/>
    <w:rsid w:val="00D8541B"/>
    <w:rsid w:val="00D91005"/>
    <w:rsid w:val="00D91DBE"/>
    <w:rsid w:val="00D9619C"/>
    <w:rsid w:val="00DC274C"/>
    <w:rsid w:val="00DE3BDE"/>
    <w:rsid w:val="00DE5EB5"/>
    <w:rsid w:val="00DF5246"/>
    <w:rsid w:val="00E16A34"/>
    <w:rsid w:val="00E30341"/>
    <w:rsid w:val="00E34D5F"/>
    <w:rsid w:val="00E40766"/>
    <w:rsid w:val="00E414AC"/>
    <w:rsid w:val="00E46F0E"/>
    <w:rsid w:val="00E513C6"/>
    <w:rsid w:val="00E661DC"/>
    <w:rsid w:val="00E80DAA"/>
    <w:rsid w:val="00E86B1F"/>
    <w:rsid w:val="00EA4536"/>
    <w:rsid w:val="00EB0A43"/>
    <w:rsid w:val="00EC0DA3"/>
    <w:rsid w:val="00EC160B"/>
    <w:rsid w:val="00ED1BD6"/>
    <w:rsid w:val="00EE391A"/>
    <w:rsid w:val="00EF365B"/>
    <w:rsid w:val="00EF3A99"/>
    <w:rsid w:val="00F01C0F"/>
    <w:rsid w:val="00F067EA"/>
    <w:rsid w:val="00F14904"/>
    <w:rsid w:val="00F20609"/>
    <w:rsid w:val="00F34D86"/>
    <w:rsid w:val="00F512D2"/>
    <w:rsid w:val="00F5451C"/>
    <w:rsid w:val="00F54E91"/>
    <w:rsid w:val="00F71924"/>
    <w:rsid w:val="00F77CB6"/>
    <w:rsid w:val="00F8652C"/>
    <w:rsid w:val="00F86893"/>
    <w:rsid w:val="00FA733B"/>
    <w:rsid w:val="00FB2BD6"/>
    <w:rsid w:val="00FB5CE3"/>
    <w:rsid w:val="00FC6E82"/>
    <w:rsid w:val="00FD0558"/>
    <w:rsid w:val="00FD6D04"/>
    <w:rsid w:val="00FE166C"/>
    <w:rsid w:val="00FE6DF8"/>
    <w:rsid w:val="00FF2421"/>
    <w:rsid w:val="0A4EC08B"/>
    <w:rsid w:val="2F4D74F3"/>
    <w:rsid w:val="3389FE83"/>
    <w:rsid w:val="48A6A22B"/>
    <w:rsid w:val="4B00FC3B"/>
    <w:rsid w:val="6117B93F"/>
    <w:rsid w:val="6F281293"/>
    <w:rsid w:val="6F92D42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030B93"/>
  <w15:chartTrackingRefBased/>
  <w15:docId w15:val="{3A5A1933-20EA-43D9-88A8-CFE2ED326D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3">
    <w:name w:val="heading 3"/>
    <w:basedOn w:val="Normal"/>
    <w:next w:val="Normal"/>
    <w:link w:val="Heading3Char"/>
    <w:uiPriority w:val="9"/>
    <w:unhideWhenUsed/>
    <w:qFormat/>
    <w:rsid w:val="00C30516"/>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D656F"/>
    <w:pPr>
      <w:ind w:left="720"/>
      <w:contextualSpacing/>
    </w:pPr>
  </w:style>
  <w:style w:type="character" w:styleId="Hyperlink">
    <w:name w:val="Hyperlink"/>
    <w:basedOn w:val="DefaultParagraphFont"/>
    <w:uiPriority w:val="99"/>
    <w:unhideWhenUsed/>
    <w:rsid w:val="00E46F0E"/>
    <w:rPr>
      <w:color w:val="0563C1" w:themeColor="hyperlink"/>
      <w:u w:val="single"/>
    </w:rPr>
  </w:style>
  <w:style w:type="paragraph" w:styleId="Header">
    <w:name w:val="header"/>
    <w:basedOn w:val="Normal"/>
    <w:link w:val="HeaderChar"/>
    <w:uiPriority w:val="99"/>
    <w:unhideWhenUsed/>
    <w:rsid w:val="00781B6C"/>
    <w:pPr>
      <w:tabs>
        <w:tab w:val="center" w:pos="4680"/>
        <w:tab w:val="right" w:pos="9360"/>
      </w:tabs>
      <w:spacing w:after="0" w:line="240" w:lineRule="auto"/>
    </w:pPr>
  </w:style>
  <w:style w:type="character" w:customStyle="1" w:styleId="HeaderChar">
    <w:name w:val="Header Char"/>
    <w:basedOn w:val="DefaultParagraphFont"/>
    <w:link w:val="Header"/>
    <w:uiPriority w:val="99"/>
    <w:rsid w:val="00781B6C"/>
  </w:style>
  <w:style w:type="paragraph" w:styleId="Footer">
    <w:name w:val="footer"/>
    <w:basedOn w:val="Normal"/>
    <w:link w:val="FooterChar"/>
    <w:uiPriority w:val="99"/>
    <w:unhideWhenUsed/>
    <w:rsid w:val="00781B6C"/>
    <w:pPr>
      <w:tabs>
        <w:tab w:val="center" w:pos="4680"/>
        <w:tab w:val="right" w:pos="9360"/>
      </w:tabs>
      <w:spacing w:after="0" w:line="240" w:lineRule="auto"/>
    </w:pPr>
  </w:style>
  <w:style w:type="character" w:customStyle="1" w:styleId="FooterChar">
    <w:name w:val="Footer Char"/>
    <w:basedOn w:val="DefaultParagraphFont"/>
    <w:link w:val="Footer"/>
    <w:uiPriority w:val="99"/>
    <w:rsid w:val="00781B6C"/>
  </w:style>
  <w:style w:type="paragraph" w:styleId="BalloonText">
    <w:name w:val="Balloon Text"/>
    <w:basedOn w:val="Normal"/>
    <w:link w:val="BalloonTextChar"/>
    <w:uiPriority w:val="99"/>
    <w:semiHidden/>
    <w:unhideWhenUsed/>
    <w:rsid w:val="00781B6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81B6C"/>
    <w:rPr>
      <w:rFonts w:ascii="Segoe UI" w:hAnsi="Segoe UI" w:cs="Segoe UI"/>
      <w:sz w:val="18"/>
      <w:szCs w:val="18"/>
    </w:rPr>
  </w:style>
  <w:style w:type="character" w:customStyle="1" w:styleId="Heading3Char">
    <w:name w:val="Heading 3 Char"/>
    <w:basedOn w:val="DefaultParagraphFont"/>
    <w:link w:val="Heading3"/>
    <w:uiPriority w:val="9"/>
    <w:rsid w:val="00C30516"/>
    <w:rPr>
      <w:rFonts w:asciiTheme="majorHAnsi" w:eastAsiaTheme="majorEastAsia" w:hAnsiTheme="majorHAnsi" w:cstheme="majorBidi"/>
      <w:color w:val="1F4D78" w:themeColor="accent1" w:themeShade="7F"/>
      <w:sz w:val="24"/>
      <w:szCs w:val="24"/>
    </w:rPr>
  </w:style>
  <w:style w:type="table" w:styleId="TableGrid">
    <w:name w:val="Table Grid"/>
    <w:basedOn w:val="TableNormal"/>
    <w:uiPriority w:val="39"/>
    <w:rsid w:val="00354B8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66595851">
      <w:bodyDiv w:val="1"/>
      <w:marLeft w:val="0"/>
      <w:marRight w:val="0"/>
      <w:marTop w:val="0"/>
      <w:marBottom w:val="0"/>
      <w:divBdr>
        <w:top w:val="none" w:sz="0" w:space="0" w:color="auto"/>
        <w:left w:val="none" w:sz="0" w:space="0" w:color="auto"/>
        <w:bottom w:val="none" w:sz="0" w:space="0" w:color="auto"/>
        <w:right w:val="none" w:sz="0" w:space="0" w:color="auto"/>
      </w:divBdr>
    </w:div>
    <w:div w:id="15230844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67bd030185ba4a0e" Type="http://schemas.microsoft.com/office/2018/08/relationships/commentsExtensible" Target="commentsExtensible.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f1fca0f95d194230" Type="http://schemas.microsoft.com/office/2016/09/relationships/commentsIds" Target="commentsId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2">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C4C39CA4-B86D-434A-A43A-AD55DD6BDAB6}">
  <we:reference id="wa104099688" version="1.3.0.0" store="en-US" storeType="OMEX"/>
  <we:alternateReferences/>
  <we:properties/>
  <we:bindings/>
  <we:snapshot xmlns:r="http://schemas.openxmlformats.org/officeDocument/2006/relationships"/>
</we:webextension>
</file>

<file path=docProps/app.xml><?xml version="1.0" encoding="utf-8"?>
<Properties xmlns="http://schemas.openxmlformats.org/officeDocument/2006/extended-properties" xmlns:vt="http://schemas.openxmlformats.org/officeDocument/2006/docPropsVTypes">
  <Template>Normal</Template>
  <TotalTime>1</TotalTime>
  <Pages>12</Pages>
  <Words>4129</Words>
  <Characters>23538</Characters>
  <Application>Microsoft Office Word</Application>
  <DocSecurity>0</DocSecurity>
  <Lines>196</Lines>
  <Paragraphs>55</Paragraphs>
  <ScaleCrop>false</ScaleCrop>
  <HeadingPairs>
    <vt:vector size="2" baseType="variant">
      <vt:variant>
        <vt:lpstr>Title</vt:lpstr>
      </vt:variant>
      <vt:variant>
        <vt:i4>1</vt:i4>
      </vt:variant>
    </vt:vector>
  </HeadingPairs>
  <TitlesOfParts>
    <vt:vector size="1" baseType="lpstr">
      <vt:lpstr/>
    </vt:vector>
  </TitlesOfParts>
  <Company>FBI - CJIS Division</Company>
  <LinksUpToDate>false</LinksUpToDate>
  <CharactersWithSpaces>27612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Donahue, Kristi L</dc:creator>
  <cp:keywords/>
  <dc:description/>
  <cp:lastModifiedBy>Vavra, Malissa C. (CJIS) (FBI)</cp:lastModifiedBy>
  <cp:revision>2</cp:revision>
  <cp:lastPrinted>2020-10-29T19:33:00Z</cp:lastPrinted>
  <dcterms:created xsi:type="dcterms:W3CDTF">2020-10-29T19:39:00Z</dcterms:created>
  <dcterms:modified xsi:type="dcterms:W3CDTF">2020-10-29T19:39:00Z</dcterms:modified>
</cp:coreProperties>
</file>