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3D" w:rsidP="009B633D" w:rsidRDefault="00456179">
      <w:pPr>
        <w:jc w:val="center"/>
        <w:rPr>
          <w:b/>
          <w:sz w:val="28"/>
          <w:szCs w:val="28"/>
        </w:rPr>
      </w:pPr>
      <w:r w:rsidRPr="00456179">
        <w:rPr>
          <w:b/>
          <w:sz w:val="28"/>
          <w:szCs w:val="28"/>
        </w:rPr>
        <w:t>SUPPORTING STATEMENT</w:t>
      </w:r>
    </w:p>
    <w:p w:rsidR="00635119" w:rsidP="009B633D" w:rsidRDefault="00635119">
      <w:pPr>
        <w:jc w:val="center"/>
        <w:rPr>
          <w:b/>
          <w:sz w:val="28"/>
          <w:szCs w:val="28"/>
        </w:rPr>
      </w:pPr>
    </w:p>
    <w:p w:rsidR="009B633D" w:rsidP="009B633D" w:rsidRDefault="00456179">
      <w:pPr>
        <w:jc w:val="center"/>
        <w:rPr>
          <w:sz w:val="28"/>
          <w:szCs w:val="28"/>
        </w:rPr>
      </w:pPr>
      <w:r>
        <w:rPr>
          <w:b/>
          <w:sz w:val="28"/>
          <w:szCs w:val="28"/>
        </w:rPr>
        <w:t>Part A</w:t>
      </w: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Pr="00167B2A" w:rsidR="006163AA" w:rsidP="006163AA" w:rsidRDefault="006163AA">
      <w:pPr>
        <w:jc w:val="center"/>
        <w:rPr>
          <w:b/>
          <w:sz w:val="28"/>
          <w:szCs w:val="28"/>
        </w:rPr>
      </w:pPr>
      <w:bookmarkStart w:name="OLE_LINK7" w:id="0"/>
      <w:bookmarkStart w:name="OLE_LINK8" w:id="1"/>
      <w:r w:rsidRPr="00167B2A">
        <w:rPr>
          <w:b/>
          <w:sz w:val="28"/>
          <w:szCs w:val="28"/>
        </w:rPr>
        <w:t>Voluntary Customer Survey Generic Clearance</w:t>
      </w:r>
    </w:p>
    <w:p w:rsidRPr="00167B2A" w:rsidR="006163AA" w:rsidP="006163AA" w:rsidRDefault="006163AA">
      <w:pPr>
        <w:jc w:val="center"/>
        <w:rPr>
          <w:b/>
          <w:sz w:val="28"/>
          <w:szCs w:val="28"/>
        </w:rPr>
      </w:pPr>
      <w:r w:rsidRPr="00167B2A">
        <w:rPr>
          <w:b/>
          <w:sz w:val="28"/>
          <w:szCs w:val="28"/>
        </w:rPr>
        <w:t>for the Agency for Healthcare Research and Quality</w:t>
      </w:r>
    </w:p>
    <w:p w:rsidRPr="00167B2A" w:rsidR="006163AA" w:rsidP="006163AA" w:rsidRDefault="006163AA">
      <w:pPr>
        <w:jc w:val="center"/>
        <w:rPr>
          <w:b/>
          <w:sz w:val="28"/>
          <w:szCs w:val="28"/>
        </w:rPr>
      </w:pPr>
      <w:r w:rsidRPr="00167B2A">
        <w:rPr>
          <w:b/>
          <w:sz w:val="28"/>
          <w:szCs w:val="28"/>
        </w:rPr>
        <w:t>OMB No. 0935-0106</w:t>
      </w:r>
      <w:bookmarkEnd w:id="0"/>
      <w:bookmarkEnd w:id="1"/>
    </w:p>
    <w:p w:rsidRPr="006163AA" w:rsidR="009B633D" w:rsidP="009B633D" w:rsidRDefault="009B633D">
      <w:pPr>
        <w:jc w:val="center"/>
        <w:rPr>
          <w:sz w:val="28"/>
          <w:szCs w:val="28"/>
        </w:rPr>
      </w:pPr>
    </w:p>
    <w:p w:rsidRPr="00082047" w:rsidR="009B633D" w:rsidP="009B633D" w:rsidRDefault="009B633D">
      <w:pPr>
        <w:jc w:val="center"/>
        <w:rPr>
          <w:i/>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C56C11" w:rsidRDefault="00BB1C2F">
      <w:pPr>
        <w:jc w:val="center"/>
        <w:rPr>
          <w:sz w:val="28"/>
          <w:szCs w:val="28"/>
        </w:rPr>
      </w:pPr>
      <w:r>
        <w:rPr>
          <w:b/>
          <w:sz w:val="28"/>
          <w:szCs w:val="28"/>
        </w:rPr>
        <w:t>Version</w:t>
      </w:r>
      <w:r w:rsidR="00EB2BDE">
        <w:rPr>
          <w:b/>
          <w:sz w:val="28"/>
          <w:szCs w:val="28"/>
        </w:rPr>
        <w:t>:</w:t>
      </w:r>
      <w:r>
        <w:rPr>
          <w:b/>
          <w:sz w:val="28"/>
          <w:szCs w:val="28"/>
        </w:rPr>
        <w:t xml:space="preserve"> </w:t>
      </w:r>
      <w:r w:rsidR="00534FB7">
        <w:rPr>
          <w:sz w:val="28"/>
          <w:szCs w:val="28"/>
        </w:rPr>
        <w:t>May</w:t>
      </w:r>
      <w:r w:rsidR="00EB2BDE">
        <w:rPr>
          <w:sz w:val="28"/>
          <w:szCs w:val="28"/>
        </w:rPr>
        <w:t xml:space="preserve"> 7, 2020</w:t>
      </w:r>
    </w:p>
    <w:p w:rsidRPr="00C4006D" w:rsidR="00C56C11" w:rsidP="009B633D" w:rsidRDefault="00C56C11">
      <w:pPr>
        <w:jc w:val="center"/>
        <w:rPr>
          <w:i/>
          <w:sz w:val="28"/>
          <w:szCs w:val="28"/>
        </w:rPr>
      </w:pPr>
    </w:p>
    <w:p w:rsidR="009B633D" w:rsidP="009B633D" w:rsidRDefault="009B633D">
      <w:pPr>
        <w:jc w:val="center"/>
        <w:rPr>
          <w:i/>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r w:rsidRPr="00677A0B">
        <w:rPr>
          <w:sz w:val="28"/>
          <w:szCs w:val="28"/>
        </w:rPr>
        <w:t>Agency of Healthcare Research and Quality (AHRQ)</w:t>
      </w:r>
    </w:p>
    <w:p w:rsidR="009B633D" w:rsidRDefault="009B633D">
      <w:pPr>
        <w:rPr>
          <w:sz w:val="28"/>
          <w:szCs w:val="28"/>
        </w:rPr>
      </w:pPr>
    </w:p>
    <w:p w:rsidR="009B633D" w:rsidRDefault="009B633D">
      <w:pPr>
        <w:rPr>
          <w:sz w:val="28"/>
          <w:szCs w:val="28"/>
        </w:rPr>
      </w:pPr>
    </w:p>
    <w:p w:rsidR="009B633D" w:rsidP="008C580E" w:rsidRDefault="009B633D">
      <w:pPr>
        <w:rPr>
          <w:b/>
        </w:rPr>
      </w:pPr>
      <w:r>
        <w:br w:type="page"/>
      </w:r>
      <w:r w:rsidRPr="001D0454">
        <w:rPr>
          <w:b/>
        </w:rPr>
        <w:lastRenderedPageBreak/>
        <w:t>Table of contents</w:t>
      </w:r>
    </w:p>
    <w:p w:rsidR="00EB58F3" w:rsidP="009B633D" w:rsidRDefault="00EB58F3">
      <w:pPr>
        <w:jc w:val="center"/>
        <w:rPr>
          <w:b/>
        </w:rPr>
      </w:pPr>
    </w:p>
    <w:p w:rsidR="00EB58F3" w:rsidP="007B3A8E" w:rsidRDefault="008C580E">
      <w:pPr>
        <w:tabs>
          <w:tab w:val="left" w:leader="dot" w:pos="8280"/>
        </w:tabs>
      </w:pPr>
      <w:r w:rsidRPr="008C580E">
        <w:t>A. Justification</w:t>
      </w:r>
      <w:r w:rsidR="007B3A8E">
        <w:tab/>
        <w:t>3</w:t>
      </w:r>
    </w:p>
    <w:p w:rsidR="007B3A8E" w:rsidP="007B3A8E" w:rsidRDefault="007B3A8E">
      <w:pPr>
        <w:tabs>
          <w:tab w:val="left" w:pos="360"/>
          <w:tab w:val="left" w:leader="dot" w:pos="8280"/>
        </w:tabs>
      </w:pPr>
      <w:r>
        <w:tab/>
        <w:t xml:space="preserve">1. </w:t>
      </w:r>
      <w:r w:rsidR="006014DB">
        <w:t>Circumstances that make the collection of information necessary</w:t>
      </w:r>
      <w:r>
        <w:tab/>
      </w:r>
      <w:r w:rsidR="003B1733">
        <w:t>3</w:t>
      </w:r>
    </w:p>
    <w:p w:rsidR="007B3A8E" w:rsidP="007B3A8E" w:rsidRDefault="007B3A8E">
      <w:pPr>
        <w:tabs>
          <w:tab w:val="left" w:pos="360"/>
          <w:tab w:val="left" w:leader="dot" w:pos="8280"/>
        </w:tabs>
      </w:pPr>
      <w:r>
        <w:tab/>
        <w:t xml:space="preserve">2. </w:t>
      </w:r>
      <w:r w:rsidR="006014DB">
        <w:t>Purpose and use of i</w:t>
      </w:r>
      <w:r w:rsidRPr="007B3A8E">
        <w:t>nformation</w:t>
      </w:r>
      <w:r>
        <w:tab/>
      </w:r>
      <w:r w:rsidR="003B1733">
        <w:t>4</w:t>
      </w:r>
    </w:p>
    <w:p w:rsidR="007B3A8E" w:rsidP="007B3A8E" w:rsidRDefault="007B3A8E">
      <w:pPr>
        <w:tabs>
          <w:tab w:val="left" w:pos="360"/>
          <w:tab w:val="left" w:leader="dot" w:pos="8280"/>
        </w:tabs>
      </w:pPr>
      <w:r>
        <w:tab/>
        <w:t xml:space="preserve">3. </w:t>
      </w:r>
      <w:r w:rsidRPr="007B3A8E">
        <w:t>Use of Improved Information Technology</w:t>
      </w:r>
      <w:r>
        <w:tab/>
      </w:r>
      <w:r w:rsidR="003B1733">
        <w:t>4</w:t>
      </w:r>
    </w:p>
    <w:p w:rsidR="007B3A8E" w:rsidP="007B3A8E" w:rsidRDefault="007B3A8E">
      <w:pPr>
        <w:tabs>
          <w:tab w:val="left" w:pos="360"/>
          <w:tab w:val="left" w:leader="dot" w:pos="8280"/>
        </w:tabs>
      </w:pPr>
      <w:r>
        <w:tab/>
        <w:t xml:space="preserve">4. </w:t>
      </w:r>
      <w:r w:rsidRPr="007B3A8E">
        <w:t>Efforts to Identify Duplication</w:t>
      </w:r>
      <w:r>
        <w:tab/>
      </w:r>
      <w:r w:rsidR="003B1733">
        <w:t>4</w:t>
      </w:r>
    </w:p>
    <w:p w:rsidR="007B3A8E" w:rsidP="007B3A8E" w:rsidRDefault="007B3A8E">
      <w:pPr>
        <w:tabs>
          <w:tab w:val="left" w:pos="360"/>
          <w:tab w:val="left" w:leader="dot" w:pos="8280"/>
        </w:tabs>
      </w:pPr>
      <w:r>
        <w:tab/>
        <w:t xml:space="preserve">5. </w:t>
      </w:r>
      <w:r w:rsidRPr="00556066" w:rsidR="00556066">
        <w:t>Involvement of Small Entities</w:t>
      </w:r>
      <w:r w:rsidR="00556066">
        <w:tab/>
      </w:r>
      <w:r w:rsidR="003B1733">
        <w:t>4</w:t>
      </w:r>
    </w:p>
    <w:p w:rsidR="00556066" w:rsidP="007B3A8E" w:rsidRDefault="00556066">
      <w:pPr>
        <w:tabs>
          <w:tab w:val="left" w:pos="360"/>
          <w:tab w:val="left" w:leader="dot" w:pos="8280"/>
        </w:tabs>
      </w:pPr>
      <w:r>
        <w:tab/>
        <w:t xml:space="preserve">6. </w:t>
      </w:r>
      <w:r w:rsidRPr="00556066">
        <w:t>Consequences if Information Collected Less Frequently</w:t>
      </w:r>
      <w:r>
        <w:tab/>
      </w:r>
      <w:r w:rsidR="003B1733">
        <w:t>4</w:t>
      </w:r>
    </w:p>
    <w:p w:rsidR="00556066" w:rsidP="007B3A8E" w:rsidRDefault="00556066">
      <w:pPr>
        <w:tabs>
          <w:tab w:val="left" w:pos="360"/>
          <w:tab w:val="left" w:leader="dot" w:pos="8280"/>
        </w:tabs>
      </w:pPr>
      <w:r>
        <w:tab/>
        <w:t xml:space="preserve">7. </w:t>
      </w:r>
      <w:r w:rsidRPr="00556066">
        <w:t>Special Circumstances</w:t>
      </w:r>
      <w:r>
        <w:tab/>
      </w:r>
      <w:r w:rsidR="003B1733">
        <w:t>4</w:t>
      </w:r>
    </w:p>
    <w:p w:rsidR="00556066" w:rsidP="007B3A8E" w:rsidRDefault="00556066">
      <w:pPr>
        <w:tabs>
          <w:tab w:val="left" w:pos="360"/>
          <w:tab w:val="left" w:leader="dot" w:pos="8280"/>
        </w:tabs>
      </w:pPr>
      <w:r>
        <w:tab/>
        <w:t xml:space="preserve">8. </w:t>
      </w:r>
      <w:r w:rsidRPr="00556066">
        <w:t>Consultation outside the Agency</w:t>
      </w:r>
      <w:r>
        <w:tab/>
      </w:r>
      <w:r w:rsidR="003B1733">
        <w:t>5</w:t>
      </w:r>
    </w:p>
    <w:p w:rsidR="00556066" w:rsidP="007B3A8E" w:rsidRDefault="00556066">
      <w:pPr>
        <w:tabs>
          <w:tab w:val="left" w:pos="360"/>
          <w:tab w:val="left" w:leader="dot" w:pos="8280"/>
        </w:tabs>
      </w:pPr>
      <w:r>
        <w:tab/>
        <w:t xml:space="preserve">9. </w:t>
      </w:r>
      <w:r w:rsidRPr="00556066">
        <w:t>Payments/Gifts to Respondents</w:t>
      </w:r>
      <w:r>
        <w:tab/>
      </w:r>
      <w:r w:rsidR="003B1733">
        <w:t>5</w:t>
      </w:r>
    </w:p>
    <w:p w:rsidR="00556066" w:rsidP="007B3A8E" w:rsidRDefault="00556066">
      <w:pPr>
        <w:tabs>
          <w:tab w:val="left" w:pos="360"/>
          <w:tab w:val="left" w:leader="dot" w:pos="8280"/>
        </w:tabs>
      </w:pPr>
      <w:r>
        <w:tab/>
        <w:t xml:space="preserve">10. </w:t>
      </w:r>
      <w:r w:rsidRPr="00556066">
        <w:t>Assurance of Confidentiality</w:t>
      </w:r>
      <w:r>
        <w:tab/>
      </w:r>
      <w:r w:rsidR="003B1733">
        <w:t>5</w:t>
      </w:r>
    </w:p>
    <w:p w:rsidR="00556066" w:rsidP="007B3A8E" w:rsidRDefault="00556066">
      <w:pPr>
        <w:tabs>
          <w:tab w:val="left" w:pos="360"/>
          <w:tab w:val="left" w:leader="dot" w:pos="8280"/>
        </w:tabs>
      </w:pPr>
      <w:r>
        <w:tab/>
        <w:t xml:space="preserve">11. </w:t>
      </w:r>
      <w:r w:rsidRPr="00556066">
        <w:t>Questions of a Sensitive Nature</w:t>
      </w:r>
      <w:r>
        <w:tab/>
      </w:r>
      <w:r w:rsidR="003B1733">
        <w:t>5</w:t>
      </w:r>
    </w:p>
    <w:p w:rsidR="00556066" w:rsidP="007B3A8E" w:rsidRDefault="00556066">
      <w:pPr>
        <w:tabs>
          <w:tab w:val="left" w:pos="360"/>
          <w:tab w:val="left" w:leader="dot" w:pos="8280"/>
        </w:tabs>
      </w:pPr>
      <w:r>
        <w:tab/>
        <w:t xml:space="preserve">12. </w:t>
      </w:r>
      <w:r w:rsidRPr="00556066">
        <w:t>Estimates of Annualized Burden Hours and Costs</w:t>
      </w:r>
      <w:r>
        <w:tab/>
      </w:r>
      <w:r w:rsidR="003B1733">
        <w:t>5</w:t>
      </w:r>
    </w:p>
    <w:p w:rsidR="00556066" w:rsidP="007B3A8E" w:rsidRDefault="00556066">
      <w:pPr>
        <w:tabs>
          <w:tab w:val="left" w:pos="360"/>
          <w:tab w:val="left" w:leader="dot" w:pos="8280"/>
        </w:tabs>
      </w:pPr>
      <w:r>
        <w:tab/>
        <w:t xml:space="preserve">13. </w:t>
      </w:r>
      <w:r w:rsidRPr="00556066">
        <w:t>Estimates of Annualized Respondent Capital and Maintenance Costs</w:t>
      </w:r>
      <w:r>
        <w:tab/>
      </w:r>
      <w:r w:rsidR="00B703AF">
        <w:t>6</w:t>
      </w:r>
    </w:p>
    <w:p w:rsidR="00556066" w:rsidP="007B3A8E" w:rsidRDefault="00556066">
      <w:pPr>
        <w:tabs>
          <w:tab w:val="left" w:pos="360"/>
          <w:tab w:val="left" w:leader="dot" w:pos="8280"/>
        </w:tabs>
      </w:pPr>
      <w:r>
        <w:tab/>
        <w:t xml:space="preserve">14. </w:t>
      </w:r>
      <w:r w:rsidRPr="00556066">
        <w:t>Estimates of Annualized Cost to the Government</w:t>
      </w:r>
      <w:r>
        <w:tab/>
      </w:r>
      <w:r w:rsidR="00DC081C">
        <w:t>6</w:t>
      </w:r>
    </w:p>
    <w:p w:rsidR="00556066" w:rsidP="007B3A8E" w:rsidRDefault="00556066">
      <w:pPr>
        <w:tabs>
          <w:tab w:val="left" w:pos="360"/>
          <w:tab w:val="left" w:leader="dot" w:pos="8280"/>
        </w:tabs>
      </w:pPr>
      <w:r>
        <w:tab/>
        <w:t xml:space="preserve">15. </w:t>
      </w:r>
      <w:r w:rsidRPr="00556066">
        <w:t>Changes in Hour Burden</w:t>
      </w:r>
      <w:r>
        <w:tab/>
      </w:r>
      <w:r w:rsidR="00DC081C">
        <w:t>6</w:t>
      </w:r>
    </w:p>
    <w:p w:rsidR="006014DB" w:rsidP="007B3A8E" w:rsidRDefault="006014DB">
      <w:pPr>
        <w:tabs>
          <w:tab w:val="left" w:pos="360"/>
          <w:tab w:val="left" w:leader="dot" w:pos="8280"/>
        </w:tabs>
      </w:pPr>
      <w:r>
        <w:tab/>
        <w:t xml:space="preserve">16. </w:t>
      </w:r>
      <w:r w:rsidRPr="006014DB">
        <w:t>Time Schedule, Publication and Analysis Plans</w:t>
      </w:r>
      <w:r>
        <w:tab/>
      </w:r>
      <w:r w:rsidR="00B703AF">
        <w:t>7</w:t>
      </w:r>
    </w:p>
    <w:p w:rsidR="006014DB" w:rsidP="007B3A8E" w:rsidRDefault="006014DB">
      <w:pPr>
        <w:tabs>
          <w:tab w:val="left" w:pos="360"/>
          <w:tab w:val="left" w:leader="dot" w:pos="8280"/>
        </w:tabs>
      </w:pPr>
      <w:r>
        <w:tab/>
        <w:t xml:space="preserve">17. </w:t>
      </w:r>
      <w:r w:rsidRPr="006014DB">
        <w:t>Exemption for Display of Expiration Date</w:t>
      </w:r>
      <w:r>
        <w:tab/>
      </w:r>
      <w:r w:rsidR="00B703AF">
        <w:t>7</w:t>
      </w:r>
    </w:p>
    <w:p w:rsidRPr="00556066" w:rsidR="00556066" w:rsidP="007B3A8E" w:rsidRDefault="006014DB">
      <w:pPr>
        <w:tabs>
          <w:tab w:val="left" w:pos="360"/>
          <w:tab w:val="left" w:leader="dot" w:pos="8280"/>
        </w:tabs>
      </w:pPr>
      <w:r>
        <w:tab/>
      </w:r>
      <w:r w:rsidR="00224D0F">
        <w:t>List of Attachments</w:t>
      </w:r>
      <w:r w:rsidR="00224D0F">
        <w:tab/>
        <w:t>7</w:t>
      </w:r>
    </w:p>
    <w:p w:rsidRPr="00556066" w:rsidR="00556066" w:rsidP="007B3A8E" w:rsidRDefault="00556066">
      <w:pPr>
        <w:tabs>
          <w:tab w:val="left" w:pos="360"/>
          <w:tab w:val="left" w:leader="dot" w:pos="8280"/>
        </w:tabs>
      </w:pPr>
      <w:r>
        <w:tab/>
      </w:r>
    </w:p>
    <w:p w:rsidR="009B633D" w:rsidP="009B633D" w:rsidRDefault="009B633D">
      <w:pPr>
        <w:jc w:val="center"/>
        <w:rPr>
          <w:b/>
        </w:rPr>
      </w:pPr>
    </w:p>
    <w:p w:rsidR="009B633D" w:rsidRDefault="009B633D">
      <w:pPr>
        <w:pStyle w:val="TOC2"/>
        <w:tabs>
          <w:tab w:val="right" w:leader="dot" w:pos="8630"/>
        </w:tabs>
        <w:rPr>
          <w:noProof/>
        </w:rPr>
      </w:pPr>
      <w:r>
        <w:rPr>
          <w:b/>
        </w:rPr>
        <w:fldChar w:fldCharType="begin"/>
      </w:r>
      <w:r>
        <w:rPr>
          <w:b/>
        </w:rPr>
        <w:instrText xml:space="preserve"> TOC \o "1-3" \h \z \u </w:instrText>
      </w:r>
      <w:r>
        <w:rPr>
          <w:b/>
        </w:rPr>
        <w:fldChar w:fldCharType="separate"/>
      </w:r>
    </w:p>
    <w:p w:rsidRPr="001D0454" w:rsidR="009B633D" w:rsidP="009B633D" w:rsidRDefault="009B633D">
      <w:pPr>
        <w:jc w:val="center"/>
        <w:rPr>
          <w:b/>
        </w:rPr>
      </w:pPr>
      <w:r>
        <w:rPr>
          <w:b/>
        </w:rPr>
        <w:fldChar w:fldCharType="end"/>
      </w:r>
    </w:p>
    <w:p w:rsidRPr="006014DB" w:rsidR="009B633D" w:rsidP="009B633D" w:rsidRDefault="009B633D">
      <w:pPr>
        <w:pStyle w:val="Heading1"/>
        <w:rPr>
          <w:sz w:val="24"/>
          <w:szCs w:val="24"/>
        </w:rPr>
      </w:pPr>
      <w:r>
        <w:br w:type="page"/>
      </w:r>
      <w:bookmarkStart w:name="_Toc151782175" w:id="2"/>
      <w:bookmarkStart w:name="_Toc158526215" w:id="3"/>
      <w:r w:rsidRPr="006014DB">
        <w:rPr>
          <w:sz w:val="24"/>
          <w:szCs w:val="24"/>
        </w:rPr>
        <w:lastRenderedPageBreak/>
        <w:t>A. Justification</w:t>
      </w:r>
      <w:bookmarkEnd w:id="2"/>
      <w:bookmarkEnd w:id="3"/>
    </w:p>
    <w:p w:rsidRPr="006014DB" w:rsidR="009B633D" w:rsidP="009B633D" w:rsidRDefault="009B633D"/>
    <w:p w:rsidR="009B633D" w:rsidP="006014DB" w:rsidRDefault="009B633D">
      <w:pPr>
        <w:pStyle w:val="Heading2"/>
        <w:spacing w:before="0" w:after="0"/>
        <w:rPr>
          <w:sz w:val="24"/>
          <w:szCs w:val="24"/>
        </w:rPr>
      </w:pPr>
      <w:bookmarkStart w:name="_Toc151782176" w:id="4"/>
      <w:bookmarkStart w:name="_Toc158526216" w:id="5"/>
      <w:r w:rsidRPr="006014DB">
        <w:rPr>
          <w:sz w:val="24"/>
          <w:szCs w:val="24"/>
        </w:rPr>
        <w:t xml:space="preserve">1. </w:t>
      </w:r>
      <w:bookmarkEnd w:id="4"/>
      <w:bookmarkEnd w:id="5"/>
      <w:r w:rsidRPr="006014DB" w:rsidR="006014DB">
        <w:rPr>
          <w:sz w:val="24"/>
          <w:szCs w:val="24"/>
        </w:rPr>
        <w:t>Circumstances that make the collection of information necessary</w:t>
      </w:r>
    </w:p>
    <w:p w:rsidR="006014DB" w:rsidP="006014DB" w:rsidRDefault="006014DB"/>
    <w:p w:rsidR="000A140E" w:rsidP="000A140E" w:rsidRDefault="000A140E">
      <w:r>
        <w:t>The mission of the Agency for Healthcare Research and Quality (AHRQ) set out in its authorizing legislation, The Healthcare Research and Quality Act of 1999 (see Attachment A),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14DB" w:rsidP="006014DB" w:rsidRDefault="006014DB"/>
    <w:p w:rsidR="00606400" w:rsidP="00606400" w:rsidRDefault="00606400">
      <w:pPr>
        <w:tabs>
          <w:tab w:val="left" w:pos="360"/>
        </w:tabs>
      </w:pPr>
      <w:r>
        <w:tab/>
      </w:r>
    </w:p>
    <w:p w:rsidR="00606400" w:rsidP="00606400" w:rsidRDefault="00606400">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P="00606400" w:rsidRDefault="00325B9C">
      <w:pPr>
        <w:tabs>
          <w:tab w:val="left" w:pos="360"/>
        </w:tabs>
        <w:ind w:left="360"/>
      </w:pPr>
    </w:p>
    <w:p w:rsidR="00325B9C" w:rsidP="00606400" w:rsidRDefault="00325B9C">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rsidR="00B645ED" w:rsidP="00606400" w:rsidRDefault="00B645ED">
      <w:pPr>
        <w:tabs>
          <w:tab w:val="left" w:pos="360"/>
        </w:tabs>
        <w:ind w:left="360"/>
      </w:pPr>
    </w:p>
    <w:p w:rsidR="00B645ED" w:rsidP="00606400" w:rsidRDefault="00B645ED">
      <w:pPr>
        <w:tabs>
          <w:tab w:val="left" w:pos="360"/>
        </w:tabs>
        <w:ind w:left="360"/>
      </w:pPr>
      <w:r>
        <w:t>3.</w:t>
      </w:r>
      <w:r>
        <w:tab/>
        <w:t>initiatives to advance private and public efforts to improve health care quality.</w:t>
      </w:r>
    </w:p>
    <w:p w:rsidR="00B645ED" w:rsidP="00B645ED" w:rsidRDefault="00B645ED">
      <w:pPr>
        <w:tabs>
          <w:tab w:val="left" w:pos="360"/>
        </w:tabs>
      </w:pPr>
    </w:p>
    <w:p w:rsidR="008450C0" w:rsidP="00B645ED" w:rsidRDefault="008450C0">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8450C0" w:rsidP="00B645ED" w:rsidRDefault="008450C0">
      <w:pPr>
        <w:tabs>
          <w:tab w:val="left" w:pos="360"/>
        </w:tabs>
      </w:pPr>
    </w:p>
    <w:p w:rsidR="006163AA" w:rsidP="006163AA" w:rsidRDefault="006163AA">
      <w:bookmarkStart w:name="_Toc151782177" w:id="6"/>
      <w:bookmarkStart w:name="_Toc158526217" w:id="7"/>
      <w:r w:rsidRPr="006163AA">
        <w:t>Executive Order 12862 directs agencies that "provide significant services</w:t>
      </w:r>
      <w:r w:rsidR="00BD3A7E">
        <w:t xml:space="preserve"> directly</w:t>
      </w:r>
      <w:r w:rsidRPr="006163AA">
        <w:t xml:space="preserve"> to the public" to "survey customers to determine the kind and quality of services they want and their level of satisfaction with existing services."  This is a request for the Office of Management and Budget (OMB) to re-approve for an additional 3 years, under the Paperwork Reduction Act of 1995, the generic clearance for the Agency for Healthcare Research and Quality (AHRQ) to survey the users of AHRQ’s work products and services. </w:t>
      </w:r>
    </w:p>
    <w:p w:rsidR="006163AA" w:rsidP="006163AA" w:rsidRDefault="006163AA"/>
    <w:p w:rsidR="006163AA" w:rsidP="006163AA" w:rsidRDefault="006163AA">
      <w:pPr>
        <w:rPr>
          <w:szCs w:val="20"/>
        </w:rPr>
      </w:pPr>
      <w:r w:rsidRPr="00582199">
        <w:rPr>
          <w:szCs w:val="20"/>
        </w:rPr>
        <w:t>Customer surveys will be undertaken by AHRQ to assess its work products and services provided to its customers, to identify problem areas, and to determine how they can be improved.</w:t>
      </w:r>
      <w:r>
        <w:rPr>
          <w:szCs w:val="20"/>
        </w:rPr>
        <w:t xml:space="preserve">  </w:t>
      </w:r>
      <w:r w:rsidRPr="00582199">
        <w:rPr>
          <w:szCs w:val="20"/>
        </w:rPr>
        <w:t>Surveys conducted under this generic clearance are not required by regulation and will not be used by AHRQ to regulate or sanction its customers. Surveys will be entirely voluntary, and information provided by respondents will be combined and summarized so that no individually identifiable information will be released</w:t>
      </w:r>
      <w:r w:rsidR="00F218E0">
        <w:rPr>
          <w:szCs w:val="20"/>
        </w:rPr>
        <w:t xml:space="preserve">.  </w:t>
      </w:r>
      <w:bookmarkStart w:name="OLE_LINK5" w:id="8"/>
      <w:bookmarkStart w:name="OLE_LINK6" w:id="9"/>
      <w:r w:rsidR="00F218E0">
        <w:rPr>
          <w:szCs w:val="20"/>
        </w:rPr>
        <w:t>Proposed information collections submitted under this generic clearance will be reviewed and acted upon by OMB within 14 day</w:t>
      </w:r>
      <w:r w:rsidR="006C5D6A">
        <w:rPr>
          <w:szCs w:val="20"/>
        </w:rPr>
        <w:t>s</w:t>
      </w:r>
      <w:r w:rsidR="00F218E0">
        <w:rPr>
          <w:szCs w:val="20"/>
        </w:rPr>
        <w:t xml:space="preserve"> of submission to OMB.</w:t>
      </w:r>
      <w:bookmarkEnd w:id="8"/>
      <w:bookmarkEnd w:id="9"/>
      <w:r w:rsidR="00F218E0">
        <w:rPr>
          <w:szCs w:val="20"/>
        </w:rPr>
        <w:t xml:space="preserve">  </w:t>
      </w:r>
      <w:r w:rsidR="00C67691">
        <w:rPr>
          <w:szCs w:val="20"/>
        </w:rPr>
        <w:t>See Attachment</w:t>
      </w:r>
      <w:r>
        <w:rPr>
          <w:szCs w:val="20"/>
        </w:rPr>
        <w:t xml:space="preserve"> B for examples of current and past surveys conducted under this generic clearance.</w:t>
      </w:r>
    </w:p>
    <w:p w:rsidR="00A171C2" w:rsidP="006163AA" w:rsidRDefault="00A171C2">
      <w:pPr>
        <w:rPr>
          <w:szCs w:val="20"/>
        </w:rPr>
      </w:pPr>
    </w:p>
    <w:p w:rsidRPr="00582199" w:rsidR="00A171C2" w:rsidP="006163AA" w:rsidRDefault="00A171C2">
      <w:pPr>
        <w:rPr>
          <w:szCs w:val="20"/>
        </w:rPr>
      </w:pPr>
      <w:r w:rsidRPr="00582199">
        <w:rPr>
          <w:szCs w:val="20"/>
        </w:rPr>
        <w:t>In accordance with OMB guidelines for generic clearances for voluntary customer surveys and Executive Order 12862, AHRQ</w:t>
      </w:r>
      <w:r w:rsidR="00BD3A7E">
        <w:rPr>
          <w:szCs w:val="20"/>
        </w:rPr>
        <w:t>:</w:t>
      </w:r>
      <w:r w:rsidRPr="00582199">
        <w:rPr>
          <w:szCs w:val="20"/>
        </w:rPr>
        <w:t xml:space="preserve"> (1) has established an independent review process to assure the development, implementation, and analysis of high quality customer  surveys within AHRQ;  (2) </w:t>
      </w:r>
      <w:r w:rsidR="00370359">
        <w:rPr>
          <w:rFonts w:cs="Tahoma"/>
          <w:color w:val="000000"/>
        </w:rPr>
        <w:t>AHRQ will submit mini supporting statements to OMB via the standard approval process for Generic Information Collections.</w:t>
      </w:r>
    </w:p>
    <w:p w:rsidRPr="006163AA" w:rsidR="006163AA" w:rsidP="006163AA" w:rsidRDefault="006163AA"/>
    <w:p w:rsidR="00A171C2" w:rsidP="00A171C2" w:rsidRDefault="009B633D">
      <w:pPr>
        <w:pStyle w:val="Heading2"/>
        <w:rPr>
          <w:sz w:val="24"/>
        </w:rPr>
      </w:pPr>
      <w:r w:rsidRPr="00983636">
        <w:rPr>
          <w:sz w:val="24"/>
        </w:rPr>
        <w:t>2. Purpose and Use of Information</w:t>
      </w:r>
      <w:bookmarkEnd w:id="6"/>
      <w:bookmarkEnd w:id="7"/>
    </w:p>
    <w:p w:rsidRPr="00A171C2" w:rsidR="00C4006D" w:rsidP="00A171C2" w:rsidRDefault="00A171C2">
      <w:r w:rsidRPr="00A171C2">
        <w:t>The information collected through focus groups and voluntary customer surveys will be used by AHRQ to identify strengths and weaknesses in products and services to make improvements that are practical and feasible.  Information from these customer surveys will be used to plan and redirect resources and efforts to improve or maintain a high quality of service to the lay and health professional public.</w:t>
      </w:r>
    </w:p>
    <w:p w:rsidRPr="00983636" w:rsidR="009B633D" w:rsidP="009B633D" w:rsidRDefault="009B633D">
      <w:pPr>
        <w:pStyle w:val="Heading2"/>
        <w:rPr>
          <w:sz w:val="24"/>
        </w:rPr>
      </w:pPr>
      <w:bookmarkStart w:name="_Toc151782178" w:id="10"/>
      <w:bookmarkStart w:name="_Toc158526218" w:id="11"/>
      <w:r w:rsidRPr="00983636">
        <w:rPr>
          <w:sz w:val="24"/>
        </w:rPr>
        <w:t>3. Use of Improved Information Technology</w:t>
      </w:r>
      <w:bookmarkEnd w:id="10"/>
      <w:bookmarkEnd w:id="11"/>
    </w:p>
    <w:p w:rsidRPr="005112C9" w:rsidR="005112C9" w:rsidP="005112C9" w:rsidRDefault="005112C9">
      <w:bookmarkStart w:name="_Toc151782179" w:id="12"/>
      <w:bookmarkStart w:name="_Toc158526219" w:id="13"/>
      <w:r w:rsidRPr="005112C9">
        <w:t>Improved electronic technology (e.g., AHRQ Web-based materials) will be used whenever possible to reduce the burden on the public.  In some instances, however, the most appropriate methodology will involve written or oral responses to brief questionnaires, interviews and focus groups.</w:t>
      </w:r>
    </w:p>
    <w:p w:rsidR="009B633D" w:rsidP="009B633D" w:rsidRDefault="009B633D">
      <w:pPr>
        <w:pStyle w:val="Heading2"/>
        <w:rPr>
          <w:sz w:val="24"/>
        </w:rPr>
      </w:pPr>
      <w:r w:rsidRPr="00983636">
        <w:rPr>
          <w:sz w:val="24"/>
        </w:rPr>
        <w:t>4. Efforts to Identify Duplication</w:t>
      </w:r>
      <w:bookmarkEnd w:id="12"/>
      <w:bookmarkEnd w:id="13"/>
    </w:p>
    <w:p w:rsidR="007E4359" w:rsidP="007E4359" w:rsidRDefault="009D4E07">
      <w:r w:rsidRPr="00582199">
        <w:rPr>
          <w:szCs w:val="20"/>
        </w:rPr>
        <w:t>Each survey will be designed to reflect the specifics of the customer population served.  During the development of these voluntary instruments, numerous groups within and outside of AHRQ will be consulted.  Plans to conduct surveys will be reviewed prior to implementation, and any potential duplication will be identified in the review and approval process.</w:t>
      </w:r>
    </w:p>
    <w:p w:rsidR="009D4E07" w:rsidP="009D4E07" w:rsidRDefault="009B633D">
      <w:pPr>
        <w:pStyle w:val="Heading2"/>
        <w:rPr>
          <w:sz w:val="24"/>
        </w:rPr>
      </w:pPr>
      <w:bookmarkStart w:name="_Toc151782180" w:id="14"/>
      <w:bookmarkStart w:name="_Toc158526220" w:id="15"/>
      <w:r w:rsidRPr="00983636">
        <w:rPr>
          <w:sz w:val="24"/>
        </w:rPr>
        <w:t>5. Involvement of Small Entities</w:t>
      </w:r>
      <w:bookmarkEnd w:id="14"/>
      <w:bookmarkEnd w:id="15"/>
    </w:p>
    <w:p w:rsidRPr="009D4E07" w:rsidR="00F60488" w:rsidP="009D4E07" w:rsidRDefault="009D4E07">
      <w:r w:rsidRPr="009D4E07">
        <w:t>The survey instruments and procedures for completing the instruments will be designed to minimize burden on all respondents and will not have a significant impact on small businesses or other small entities.  The burden is entirely voluntary.</w:t>
      </w:r>
      <w:r w:rsidRPr="009D4E07" w:rsidR="00F60488">
        <w:t xml:space="preserve"> </w:t>
      </w:r>
    </w:p>
    <w:p w:rsidRPr="00983636" w:rsidR="009B633D" w:rsidP="009B633D" w:rsidRDefault="009B633D">
      <w:pPr>
        <w:pStyle w:val="Heading2"/>
        <w:rPr>
          <w:sz w:val="24"/>
        </w:rPr>
      </w:pPr>
      <w:bookmarkStart w:name="_Toc151782181" w:id="16"/>
      <w:bookmarkStart w:name="_Toc158526221" w:id="17"/>
      <w:r w:rsidRPr="00983636">
        <w:rPr>
          <w:sz w:val="24"/>
        </w:rPr>
        <w:t>6. Consequences if Information Collected Less Frequently</w:t>
      </w:r>
      <w:bookmarkEnd w:id="16"/>
      <w:bookmarkEnd w:id="17"/>
    </w:p>
    <w:p w:rsidRPr="009D4E07" w:rsidR="009D4E07" w:rsidP="009D4E07" w:rsidRDefault="009D4E07">
      <w:bookmarkStart w:name="_Toc151782182" w:id="18"/>
      <w:bookmarkStart w:name="_Toc158526222" w:id="19"/>
      <w:r w:rsidRPr="009D4E07">
        <w:t xml:space="preserve">These surveys are appropriate vehicles to examine public perception of AHRQ's ability to respond timely to the needs of their customers.  Much of AHRQ’s work is rapid-cycle and demand-driven.  Collection of data on a less frequent basis would reduce the practical utility of the information as well as inhibit the ability of AHRQ to identify and monitor problems and to make changes to improve products and services. </w:t>
      </w:r>
    </w:p>
    <w:p w:rsidR="009B633D" w:rsidP="009B633D" w:rsidRDefault="009B633D">
      <w:pPr>
        <w:pStyle w:val="Heading2"/>
        <w:rPr>
          <w:sz w:val="24"/>
        </w:rPr>
      </w:pPr>
      <w:r w:rsidRPr="00412C6F">
        <w:rPr>
          <w:sz w:val="24"/>
        </w:rPr>
        <w:t>7. Special Circumstances</w:t>
      </w:r>
      <w:bookmarkEnd w:id="18"/>
      <w:bookmarkEnd w:id="19"/>
    </w:p>
    <w:p w:rsidR="009B633D" w:rsidP="009B633D" w:rsidRDefault="009B633D">
      <w:pPr>
        <w:spacing w:before="120"/>
      </w:pPr>
      <w:r w:rsidRPr="004F03D2">
        <w:t>This request is consistent with the general information collection guid</w:t>
      </w:r>
      <w:r>
        <w:t>elines of 5 CFR 1320.5(d)(2).  No special circumstances apply.</w:t>
      </w:r>
    </w:p>
    <w:p w:rsidR="004E3A1B" w:rsidP="004E3A1B" w:rsidRDefault="009B633D">
      <w:pPr>
        <w:pStyle w:val="Heading2"/>
        <w:rPr>
          <w:sz w:val="24"/>
          <w:szCs w:val="24"/>
        </w:rPr>
      </w:pPr>
      <w:bookmarkStart w:name="_Toc151782183" w:id="20"/>
      <w:bookmarkStart w:name="_Toc158526223" w:id="21"/>
      <w:r w:rsidRPr="00412C6F">
        <w:rPr>
          <w:sz w:val="24"/>
        </w:rPr>
        <w:t>8.</w:t>
      </w:r>
      <w:r w:rsidRPr="004E3A1B">
        <w:rPr>
          <w:sz w:val="24"/>
          <w:szCs w:val="24"/>
        </w:rPr>
        <w:t xml:space="preserve"> </w:t>
      </w:r>
      <w:bookmarkEnd w:id="20"/>
      <w:bookmarkEnd w:id="21"/>
      <w:r w:rsidRPr="004E3A1B" w:rsidR="004E3A1B">
        <w:rPr>
          <w:sz w:val="24"/>
          <w:szCs w:val="24"/>
        </w:rPr>
        <w:t>Federal Register Notice and Outside Consultations</w:t>
      </w:r>
    </w:p>
    <w:p w:rsidR="004E3A1B" w:rsidP="004E3A1B" w:rsidRDefault="004E3A1B"/>
    <w:p w:rsidR="00131443" w:rsidP="004E3A1B" w:rsidRDefault="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rsidRPr="007C1ECB" w:rsidR="007C1ECB" w:rsidP="004E3A1B" w:rsidRDefault="007C1ECB"/>
    <w:p w:rsidR="00534FB7" w:rsidP="00534FB7" w:rsidRDefault="00A30D9A">
      <w:pPr>
        <w:rPr>
          <w:sz w:val="20"/>
          <w:szCs w:val="20"/>
        </w:rPr>
      </w:pPr>
      <w:r>
        <w:t xml:space="preserve">As required by </w:t>
      </w:r>
      <w:r w:rsidR="0037771B">
        <w:t>5 CFR 1320.8(d), n</w:t>
      </w:r>
      <w:r w:rsidRPr="007B4120" w:rsidR="009374DF">
        <w:t xml:space="preserve">otice was published in the Federal Register </w:t>
      </w:r>
      <w:r w:rsidR="00A651EA">
        <w:t>on</w:t>
      </w:r>
      <w:r w:rsidR="00465D78">
        <w:t xml:space="preserve">       </w:t>
      </w:r>
      <w:r w:rsidRPr="00A651EA" w:rsidR="00A651EA">
        <w:t xml:space="preserve"> </w:t>
      </w:r>
      <w:r w:rsidR="00534FB7">
        <w:t>June 11</w:t>
      </w:r>
      <w:r w:rsidRPr="00A651EA" w:rsidR="00A651EA">
        <w:rPr>
          <w:vertAlign w:val="superscript"/>
        </w:rPr>
        <w:t>th</w:t>
      </w:r>
      <w:r w:rsidR="00A651EA">
        <w:t>,</w:t>
      </w:r>
      <w:r w:rsidRPr="00A651EA" w:rsidR="00A651EA">
        <w:t xml:space="preserve"> 20</w:t>
      </w:r>
      <w:r w:rsidR="00534FB7">
        <w:t>20</w:t>
      </w:r>
      <w:r w:rsidR="0091429F">
        <w:t xml:space="preserve"> </w:t>
      </w:r>
      <w:r w:rsidRPr="007B4120" w:rsidR="009374DF">
        <w:t>for 60 days</w:t>
      </w:r>
      <w:r w:rsidRPr="00A651EA" w:rsidR="00A651EA">
        <w:t xml:space="preserve"> </w:t>
      </w:r>
      <w:r w:rsidRPr="007B4120" w:rsidR="00A651EA">
        <w:t>on</w:t>
      </w:r>
      <w:r w:rsidR="00A651EA">
        <w:t xml:space="preserve"> </w:t>
      </w:r>
      <w:r w:rsidRPr="00A651EA" w:rsidR="00A651EA">
        <w:t xml:space="preserve">Page </w:t>
      </w:r>
      <w:r w:rsidR="00465D78">
        <w:t>35653</w:t>
      </w:r>
      <w:r w:rsidR="00016560">
        <w:t xml:space="preserve"> </w:t>
      </w:r>
      <w:r w:rsidR="00772BBB">
        <w:t>(see A</w:t>
      </w:r>
      <w:r w:rsidR="00EE4455">
        <w:t xml:space="preserve">ttachment </w:t>
      </w:r>
      <w:r w:rsidRPr="00E21E94" w:rsidR="00E21E94">
        <w:t>C</w:t>
      </w:r>
      <w:r w:rsidR="00016560">
        <w:t>)</w:t>
      </w:r>
      <w:r w:rsidR="009374DF">
        <w:t xml:space="preserve">. </w:t>
      </w:r>
      <w:r w:rsidR="00E21E94">
        <w:t>No comments were received.</w:t>
      </w:r>
      <w:r w:rsidRPr="00534FB7" w:rsidR="00534FB7">
        <w:rPr>
          <w:sz w:val="20"/>
          <w:szCs w:val="20"/>
        </w:rPr>
        <w:t xml:space="preserve"> </w:t>
      </w:r>
    </w:p>
    <w:p w:rsidRPr="004E3A1B" w:rsidR="004E3A1B" w:rsidP="004E3A1B" w:rsidRDefault="004E3A1B"/>
    <w:p w:rsidRPr="00412C6F" w:rsidR="009B633D" w:rsidP="009B633D" w:rsidRDefault="004E3A1B">
      <w:pPr>
        <w:pStyle w:val="Heading2"/>
        <w:rPr>
          <w:sz w:val="24"/>
        </w:rPr>
      </w:pPr>
      <w:r>
        <w:rPr>
          <w:sz w:val="24"/>
        </w:rPr>
        <w:t xml:space="preserve">8.b.  </w:t>
      </w:r>
      <w:r w:rsidRPr="004E3A1B">
        <w:rPr>
          <w:sz w:val="24"/>
          <w:szCs w:val="24"/>
        </w:rPr>
        <w:t>Outside Consultations</w:t>
      </w:r>
    </w:p>
    <w:p w:rsidRPr="00E21E94" w:rsidR="0037771B" w:rsidP="00E21E94" w:rsidRDefault="00E21E94">
      <w:bookmarkStart w:name="_Toc457285506" w:id="22"/>
      <w:bookmarkStart w:name="_Toc58725294" w:id="23"/>
      <w:bookmarkStart w:name="_Toc151782184" w:id="24"/>
      <w:bookmarkStart w:name="_Toc158526224" w:id="25"/>
      <w:r w:rsidRPr="00E21E94">
        <w:t>AHRQ will consult with in-house statistical staff, other Federal agencies, and other organizations, which have conducted, or may conduct, similar surveys to identify areas of interest and concern to customers.  As appropriate, AHRQ will establish panels of outside experts to assist in design and implementation of the surveys.</w:t>
      </w:r>
    </w:p>
    <w:p w:rsidRPr="0038217D" w:rsidR="0038217D" w:rsidP="0038217D" w:rsidRDefault="009B633D">
      <w:pPr>
        <w:pStyle w:val="Heading2"/>
        <w:rPr>
          <w:sz w:val="24"/>
        </w:rPr>
      </w:pPr>
      <w:bookmarkStart w:name="OLE_LINK2" w:id="26"/>
      <w:bookmarkStart w:name="OLE_LINK3" w:id="27"/>
      <w:r w:rsidRPr="00412C6F">
        <w:t>9. Payments/Gifts to Respondents</w:t>
      </w:r>
      <w:bookmarkEnd w:id="22"/>
      <w:bookmarkEnd w:id="23"/>
      <w:bookmarkEnd w:id="24"/>
      <w:bookmarkEnd w:id="25"/>
    </w:p>
    <w:p w:rsidRPr="00126795" w:rsidR="005434E9" w:rsidP="005434E9" w:rsidRDefault="005434E9">
      <w:r w:rsidRPr="00126795">
        <w:t>AHRQ will, on a case-by-case basis, consider modest remuneration for survey respondents and focus group participant’s time and travel.  In such cases, the remuneration will typically</w:t>
      </w:r>
      <w:r>
        <w:t xml:space="preserve"> not exceed $30</w:t>
      </w:r>
      <w:r w:rsidRPr="00126795">
        <w:t xml:space="preserve"> per individual.  AHRQ may ask for a higher amount for hard to reach populations.  Remuneration for focus group participation is a recognized standard industry practice, without which, it would be difficult to achieve appropriate and adequate participation.</w:t>
      </w:r>
    </w:p>
    <w:p w:rsidRPr="00FA6F41" w:rsidR="00B915F1" w:rsidP="009A0D4E" w:rsidRDefault="00740F3F">
      <w:r>
        <w:rPr>
          <w:szCs w:val="20"/>
        </w:rPr>
        <w:t xml:space="preserve"> </w:t>
      </w:r>
      <w:bookmarkEnd w:id="26"/>
      <w:bookmarkEnd w:id="27"/>
    </w:p>
    <w:p w:rsidRPr="00412C6F" w:rsidR="009B633D" w:rsidP="009B633D" w:rsidRDefault="009B633D">
      <w:pPr>
        <w:pStyle w:val="Heading2"/>
        <w:rPr>
          <w:sz w:val="24"/>
        </w:rPr>
      </w:pPr>
      <w:bookmarkStart w:name="_Toc151782185" w:id="28"/>
      <w:bookmarkStart w:name="_Toc158526225" w:id="29"/>
      <w:r w:rsidRPr="00412C6F">
        <w:rPr>
          <w:sz w:val="24"/>
        </w:rPr>
        <w:t>10. Assurance of Confidentiality</w:t>
      </w:r>
      <w:bookmarkEnd w:id="28"/>
      <w:bookmarkEnd w:id="29"/>
    </w:p>
    <w:p w:rsidR="008F0B8B" w:rsidP="008F0B8B" w:rsidRDefault="008F0B8B">
      <w:pPr>
        <w:autoSpaceDE w:val="0"/>
        <w:autoSpaceDN w:val="0"/>
        <w:adjustRightInd w:val="0"/>
      </w:pPr>
      <w:r w:rsidRPr="008C525E">
        <w:t>Individuals and organizations will be assured of the confidentiality of their replies under Section 9</w:t>
      </w:r>
      <w:r>
        <w:t>3</w:t>
      </w:r>
      <w:r w:rsidRPr="008C525E">
        <w:t xml:space="preserve">4(c) of the </w:t>
      </w:r>
      <w:r>
        <w:t xml:space="preserve">Public Health Service Act, 42 USC 299c-3(c).  They will be told the purposes for which the information is collected and that, in accordance with this statute, any identifiable information about them will not be used or disclosed for any other purpose. </w:t>
      </w:r>
    </w:p>
    <w:p w:rsidR="008F0B8B" w:rsidP="008F0B8B" w:rsidRDefault="008F0B8B">
      <w:pPr>
        <w:autoSpaceDE w:val="0"/>
        <w:autoSpaceDN w:val="0"/>
        <w:adjustRightInd w:val="0"/>
      </w:pPr>
    </w:p>
    <w:p w:rsidRPr="00412C6F" w:rsidR="009B633D" w:rsidP="009B633D" w:rsidRDefault="009B633D">
      <w:pPr>
        <w:pStyle w:val="Heading2"/>
        <w:rPr>
          <w:sz w:val="24"/>
        </w:rPr>
      </w:pPr>
      <w:bookmarkStart w:name="_Toc151782186" w:id="30"/>
      <w:bookmarkStart w:name="_Toc158526226" w:id="31"/>
      <w:r w:rsidRPr="00412C6F">
        <w:rPr>
          <w:sz w:val="24"/>
        </w:rPr>
        <w:t>11. Questions of a Sensitive Nature</w:t>
      </w:r>
      <w:bookmarkEnd w:id="30"/>
      <w:bookmarkEnd w:id="31"/>
    </w:p>
    <w:p w:rsidRPr="00582199" w:rsidR="00F8565E" w:rsidP="00F8565E" w:rsidRDefault="00F8565E">
      <w:pPr>
        <w:rPr>
          <w:szCs w:val="20"/>
        </w:rPr>
      </w:pPr>
      <w:r w:rsidRPr="00582199">
        <w:rPr>
          <w:szCs w:val="20"/>
        </w:rPr>
        <w:t xml:space="preserve">No questions of a sensitive nature are anticipated under this generic clearance. </w:t>
      </w:r>
    </w:p>
    <w:p w:rsidR="00BB7136" w:rsidP="00ED0EBB" w:rsidRDefault="00BB7136">
      <w:pPr>
        <w:rPr>
          <w:i/>
        </w:rPr>
      </w:pPr>
    </w:p>
    <w:p w:rsidR="009B633D" w:rsidP="009B633D" w:rsidRDefault="005E6E24">
      <w:pPr>
        <w:pStyle w:val="Heading2"/>
        <w:rPr>
          <w:b w:val="0"/>
          <w:i w:val="0"/>
          <w:sz w:val="24"/>
        </w:rPr>
      </w:pPr>
      <w:bookmarkStart w:name="_Toc151782187" w:id="32"/>
      <w:bookmarkStart w:name="_Toc158526227" w:id="33"/>
      <w:r>
        <w:rPr>
          <w:sz w:val="24"/>
        </w:rPr>
        <w:t xml:space="preserve">12. Estimates of </w:t>
      </w:r>
      <w:r w:rsidRPr="00412C6F" w:rsidR="009B633D">
        <w:rPr>
          <w:sz w:val="24"/>
        </w:rPr>
        <w:t>Burden Hours and Costs</w:t>
      </w:r>
      <w:bookmarkEnd w:id="32"/>
      <w:bookmarkEnd w:id="33"/>
      <w:r w:rsidR="002E0AB3">
        <w:rPr>
          <w:sz w:val="24"/>
        </w:rPr>
        <w:t xml:space="preserve"> Over 3 Y</w:t>
      </w:r>
      <w:r>
        <w:rPr>
          <w:sz w:val="24"/>
        </w:rPr>
        <w:t>ears</w:t>
      </w:r>
    </w:p>
    <w:p w:rsidR="00942750" w:rsidP="00942750" w:rsidRDefault="00942750">
      <w:r>
        <w:t>Exhibit 1 shows the estimated total burden hours for the respondents.  Mail surveys are estimated to average 15 minutes, telephone surveys 40 minutes, web-based surveys 10 minutes, focus groups two hours, and in-person interviews are estimated to average 50 minutes.  Mail surveys may also be sent to respondents via email, and may include a telephone non-response follow-up.  Telephone non-response follow-up for mailed surveys does not count as a telephone survey.  The total burden hours for the 3 years of the clearance is estimated to be 10,900 hours.</w:t>
      </w:r>
    </w:p>
    <w:p w:rsidR="00942750" w:rsidP="00942750" w:rsidRDefault="00942750"/>
    <w:p w:rsidR="006E0C4A" w:rsidP="00942750" w:rsidRDefault="00942750">
      <w:pPr>
        <w:rPr>
          <w:color w:val="000000"/>
        </w:rPr>
      </w:pPr>
      <w:r>
        <w:rPr>
          <w:color w:val="000000"/>
        </w:rPr>
        <w:t xml:space="preserve">Exhibit 2 shows the estimated cost burden for the respondents.  The total cost burden for </w:t>
      </w:r>
      <w:r>
        <w:t>the 3 years of the clearance</w:t>
      </w:r>
      <w:r>
        <w:rPr>
          <w:color w:val="000000"/>
        </w:rPr>
        <w:t xml:space="preserve"> is estimated to be </w:t>
      </w:r>
      <w:r w:rsidR="003D5223">
        <w:t>$408,093</w:t>
      </w:r>
      <w:r>
        <w:t>.</w:t>
      </w:r>
    </w:p>
    <w:p w:rsidR="002B1E4F" w:rsidP="00F8477B" w:rsidRDefault="002B1E4F">
      <w:pPr>
        <w:rPr>
          <w:color w:val="000000"/>
        </w:rPr>
      </w:pPr>
    </w:p>
    <w:p w:rsidR="002B1E4F" w:rsidP="00F8477B" w:rsidRDefault="002B1E4F">
      <w:pPr>
        <w:rPr>
          <w:color w:val="000000"/>
        </w:rPr>
      </w:pPr>
    </w:p>
    <w:p w:rsidR="002B1E4F" w:rsidP="00F8477B" w:rsidRDefault="002B1E4F">
      <w:pPr>
        <w:rPr>
          <w:color w:val="000000"/>
        </w:rPr>
      </w:pPr>
    </w:p>
    <w:p w:rsidR="00CF40E1" w:rsidP="00F8477B" w:rsidRDefault="00CF40E1">
      <w:pPr>
        <w:rPr>
          <w:color w:val="000000"/>
        </w:rPr>
      </w:pPr>
    </w:p>
    <w:p w:rsidRPr="00E7131D" w:rsidR="002B1E4F" w:rsidP="00F8477B" w:rsidRDefault="002B1E4F">
      <w:pPr>
        <w:rPr>
          <w:color w:val="000000"/>
        </w:rPr>
      </w:pPr>
    </w:p>
    <w:p w:rsidR="00942750" w:rsidP="00942750" w:rsidRDefault="00942750">
      <w:pPr>
        <w:rPr>
          <w:b/>
          <w:bCs/>
          <w:color w:val="000000"/>
        </w:rPr>
      </w:pPr>
    </w:p>
    <w:p w:rsidRPr="00725CE4" w:rsidR="00942750" w:rsidP="00942750" w:rsidRDefault="00942750">
      <w:r w:rsidRPr="00725CE4">
        <w:rPr>
          <w:b/>
          <w:bCs/>
          <w:color w:val="000000"/>
        </w:rPr>
        <w:t>Exhibit 1.  Estimated burden hours over 3 years</w:t>
      </w:r>
    </w:p>
    <w:tbl>
      <w:tblPr>
        <w:tblW w:w="0" w:type="auto"/>
        <w:tblCellMar>
          <w:left w:w="0" w:type="dxa"/>
          <w:right w:w="0" w:type="dxa"/>
        </w:tblCellMar>
        <w:tblLook w:val="0000" w:firstRow="0" w:lastRow="0" w:firstColumn="0" w:lastColumn="0" w:noHBand="0" w:noVBand="0"/>
      </w:tblPr>
      <w:tblGrid>
        <w:gridCol w:w="3708"/>
        <w:gridCol w:w="1443"/>
        <w:gridCol w:w="1440"/>
        <w:gridCol w:w="1080"/>
        <w:gridCol w:w="923"/>
      </w:tblGrid>
      <w:tr w:rsidRPr="00725CE4" w:rsidR="00942750" w:rsidTr="00A73B54">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r w:rsidRPr="00725CE4">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pPr>
              <w:jc w:val="center"/>
            </w:pPr>
            <w:r w:rsidRPr="00725CE4">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pPr>
              <w:jc w:val="center"/>
            </w:pPr>
            <w:r w:rsidRPr="00725CE4">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725CE4" w:rsidR="00942750" w:rsidP="00A73B54" w:rsidRDefault="00942750">
            <w:pPr>
              <w:jc w:val="center"/>
            </w:pPr>
            <w:r w:rsidRPr="00725CE4">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pPr>
              <w:jc w:val="center"/>
            </w:pPr>
            <w:r w:rsidRPr="00725CE4">
              <w:t>Total Burden hours</w:t>
            </w:r>
          </w:p>
        </w:tc>
      </w:tr>
      <w:tr w:rsidRPr="00725CE4" w:rsidR="00942750" w:rsidTr="00A73B54">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r w:rsidRPr="00725CE4">
              <w:t>Mail/email</w:t>
            </w:r>
            <w:r w:rsidRPr="00725CE4">
              <w:rPr>
                <w:vertAlign w:val="superscript"/>
              </w:rPr>
              <w:t>*</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942750" w:rsidP="00A73B54" w:rsidRDefault="00942750">
            <w:pPr>
              <w:tabs>
                <w:tab w:val="left" w:pos="-1080"/>
                <w:tab w:val="left" w:pos="-720"/>
                <w:tab w:val="left" w:pos="0"/>
                <w:tab w:val="left" w:pos="450"/>
                <w:tab w:val="left" w:pos="720"/>
                <w:tab w:val="left" w:pos="2160"/>
              </w:tabs>
              <w:jc w:val="right"/>
              <w:rPr>
                <w:sz w:val="20"/>
              </w:rPr>
            </w:pPr>
            <w:r>
              <w:rPr>
                <w:sz w:val="20"/>
              </w:rPr>
              <w:t>5,000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pPr>
              <w:jc w:val="center"/>
            </w:pPr>
            <w:r w:rsidRPr="00725CE4">
              <w:t>1</w:t>
            </w:r>
          </w:p>
        </w:tc>
        <w:tc>
          <w:tcPr>
            <w:tcW w:w="1080" w:type="dxa"/>
            <w:tcBorders>
              <w:top w:val="nil"/>
              <w:left w:val="nil"/>
              <w:bottom w:val="single" w:color="auto" w:sz="8" w:space="0"/>
              <w:right w:val="single" w:color="auto" w:sz="8" w:space="0"/>
            </w:tcBorders>
            <w:vAlign w:val="center"/>
          </w:tcPr>
          <w:p w:rsidRPr="00725CE4" w:rsidR="00942750" w:rsidP="00A73B54" w:rsidRDefault="00942750">
            <w:pPr>
              <w:jc w:val="center"/>
            </w:pPr>
            <w:r w:rsidRPr="00725CE4">
              <w:t>15/60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942750" w:rsidP="00A73B54" w:rsidRDefault="00942750">
            <w:pPr>
              <w:tabs>
                <w:tab w:val="left" w:pos="-1080"/>
                <w:tab w:val="left" w:pos="-720"/>
                <w:tab w:val="left" w:pos="0"/>
                <w:tab w:val="left" w:pos="450"/>
                <w:tab w:val="left" w:pos="720"/>
                <w:tab w:val="left" w:pos="2160"/>
              </w:tabs>
              <w:jc w:val="right"/>
              <w:rPr>
                <w:sz w:val="20"/>
              </w:rPr>
            </w:pPr>
            <w:r>
              <w:rPr>
                <w:sz w:val="20"/>
              </w:rPr>
              <w:t>1,250</w:t>
            </w:r>
          </w:p>
        </w:tc>
      </w:tr>
      <w:tr w:rsidRPr="00725CE4" w:rsidR="00942750" w:rsidTr="00A73B54">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r w:rsidRPr="00725CE4">
              <w:t>Telephone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942750" w:rsidP="00A73B54" w:rsidRDefault="00942750">
            <w:pPr>
              <w:tabs>
                <w:tab w:val="left" w:pos="-1080"/>
                <w:tab w:val="left" w:pos="-720"/>
                <w:tab w:val="left" w:pos="0"/>
                <w:tab w:val="left" w:pos="450"/>
                <w:tab w:val="left" w:pos="720"/>
                <w:tab w:val="left" w:pos="2160"/>
              </w:tabs>
              <w:jc w:val="right"/>
              <w:rPr>
                <w:sz w:val="20"/>
              </w:rPr>
            </w:pPr>
            <w:r>
              <w:rPr>
                <w:sz w:val="20"/>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pPr>
              <w:jc w:val="center"/>
            </w:pPr>
            <w:r w:rsidRPr="00725CE4">
              <w:t>1</w:t>
            </w:r>
          </w:p>
        </w:tc>
        <w:tc>
          <w:tcPr>
            <w:tcW w:w="1080" w:type="dxa"/>
            <w:tcBorders>
              <w:top w:val="nil"/>
              <w:left w:val="nil"/>
              <w:bottom w:val="single" w:color="auto" w:sz="8" w:space="0"/>
              <w:right w:val="single" w:color="auto" w:sz="8" w:space="0"/>
            </w:tcBorders>
            <w:vAlign w:val="center"/>
          </w:tcPr>
          <w:p w:rsidRPr="00725CE4" w:rsidR="00942750" w:rsidP="00A73B54" w:rsidRDefault="00942750">
            <w:pPr>
              <w:jc w:val="center"/>
            </w:pPr>
            <w:r w:rsidRPr="00725CE4">
              <w:t>40/60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942750" w:rsidP="00A73B54" w:rsidRDefault="00942750">
            <w:pPr>
              <w:tabs>
                <w:tab w:val="left" w:pos="-1080"/>
                <w:tab w:val="left" w:pos="-720"/>
                <w:tab w:val="left" w:pos="0"/>
                <w:tab w:val="left" w:pos="450"/>
                <w:tab w:val="left" w:pos="720"/>
                <w:tab w:val="left" w:pos="2160"/>
              </w:tabs>
              <w:jc w:val="right"/>
              <w:rPr>
                <w:sz w:val="20"/>
              </w:rPr>
            </w:pPr>
            <w:r>
              <w:rPr>
                <w:sz w:val="20"/>
              </w:rPr>
              <w:t>133</w:t>
            </w:r>
          </w:p>
        </w:tc>
      </w:tr>
      <w:tr w:rsidRPr="00725CE4" w:rsidR="00942750" w:rsidTr="00A73B54">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r w:rsidRPr="00725CE4">
              <w:t>Web-based</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942750" w:rsidP="00A73B54" w:rsidRDefault="00942750">
            <w:pPr>
              <w:jc w:val="right"/>
              <w:rPr>
                <w:sz w:val="20"/>
              </w:rPr>
            </w:pPr>
            <w:r>
              <w:rPr>
                <w:sz w:val="20"/>
              </w:rPr>
              <w:t>5,000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pPr>
              <w:jc w:val="center"/>
            </w:pPr>
            <w:r w:rsidRPr="00725CE4">
              <w:t>1</w:t>
            </w:r>
          </w:p>
        </w:tc>
        <w:tc>
          <w:tcPr>
            <w:tcW w:w="1080" w:type="dxa"/>
            <w:tcBorders>
              <w:top w:val="nil"/>
              <w:left w:val="nil"/>
              <w:bottom w:val="single" w:color="auto" w:sz="8" w:space="0"/>
              <w:right w:val="single" w:color="auto" w:sz="8" w:space="0"/>
            </w:tcBorders>
            <w:vAlign w:val="center"/>
          </w:tcPr>
          <w:p w:rsidRPr="00725CE4" w:rsidR="00942750" w:rsidP="00A73B54" w:rsidRDefault="00942750">
            <w:pPr>
              <w:jc w:val="center"/>
            </w:pPr>
            <w:r w:rsidRPr="00725CE4">
              <w:t>10/60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942750" w:rsidP="00A73B54" w:rsidRDefault="00942750">
            <w:pPr>
              <w:tabs>
                <w:tab w:val="left" w:pos="-1080"/>
                <w:tab w:val="left" w:pos="-720"/>
                <w:tab w:val="left" w:pos="0"/>
                <w:tab w:val="left" w:pos="450"/>
                <w:tab w:val="left" w:pos="720"/>
                <w:tab w:val="left" w:pos="2160"/>
              </w:tabs>
              <w:jc w:val="right"/>
              <w:rPr>
                <w:sz w:val="20"/>
              </w:rPr>
            </w:pPr>
            <w:r>
              <w:rPr>
                <w:sz w:val="20"/>
              </w:rPr>
              <w:t>833</w:t>
            </w:r>
          </w:p>
        </w:tc>
      </w:tr>
      <w:tr w:rsidRPr="00725CE4" w:rsidR="00942750" w:rsidTr="00A73B54">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r w:rsidRPr="00725CE4">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942750" w:rsidP="00A73B54" w:rsidRDefault="00942750">
            <w:pPr>
              <w:jc w:val="right"/>
              <w:rPr>
                <w:sz w:val="20"/>
              </w:rPr>
            </w:pPr>
            <w:r>
              <w:rPr>
                <w:sz w:val="20"/>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pPr>
              <w:jc w:val="center"/>
            </w:pPr>
            <w:r w:rsidRPr="00725CE4">
              <w:t>1</w:t>
            </w:r>
          </w:p>
        </w:tc>
        <w:tc>
          <w:tcPr>
            <w:tcW w:w="1080" w:type="dxa"/>
            <w:tcBorders>
              <w:top w:val="nil"/>
              <w:left w:val="nil"/>
              <w:bottom w:val="single" w:color="auto" w:sz="8" w:space="0"/>
              <w:right w:val="single" w:color="auto" w:sz="8" w:space="0"/>
            </w:tcBorders>
            <w:vAlign w:val="center"/>
          </w:tcPr>
          <w:p w:rsidRPr="00725CE4" w:rsidR="00942750" w:rsidP="00A73B54" w:rsidRDefault="00942750">
            <w:pPr>
              <w:jc w:val="center"/>
            </w:pPr>
            <w:r w:rsidRPr="00725CE4">
              <w:t>2.0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942750" w:rsidP="00A73B54" w:rsidRDefault="00942750">
            <w:pPr>
              <w:tabs>
                <w:tab w:val="left" w:pos="-1080"/>
                <w:tab w:val="left" w:pos="-720"/>
                <w:tab w:val="left" w:pos="0"/>
                <w:tab w:val="left" w:pos="450"/>
                <w:tab w:val="left" w:pos="720"/>
                <w:tab w:val="left" w:pos="2160"/>
              </w:tabs>
              <w:jc w:val="right"/>
              <w:rPr>
                <w:sz w:val="20"/>
              </w:rPr>
            </w:pPr>
            <w:r>
              <w:rPr>
                <w:sz w:val="20"/>
              </w:rPr>
              <w:t>1,000</w:t>
            </w:r>
          </w:p>
        </w:tc>
      </w:tr>
      <w:tr w:rsidRPr="00725CE4" w:rsidR="00942750" w:rsidTr="00A73B54">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r w:rsidRPr="00725CE4">
              <w:t>In-person</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942750" w:rsidP="00A73B54" w:rsidRDefault="00942750">
            <w:pPr>
              <w:jc w:val="right"/>
              <w:rPr>
                <w:sz w:val="20"/>
              </w:rPr>
            </w:pPr>
            <w:r>
              <w:rPr>
                <w:sz w:val="20"/>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pPr>
              <w:jc w:val="center"/>
            </w:pPr>
            <w:r w:rsidRPr="00725CE4">
              <w:t>1</w:t>
            </w:r>
          </w:p>
        </w:tc>
        <w:tc>
          <w:tcPr>
            <w:tcW w:w="1080" w:type="dxa"/>
            <w:tcBorders>
              <w:top w:val="nil"/>
              <w:left w:val="nil"/>
              <w:bottom w:val="single" w:color="auto" w:sz="8" w:space="0"/>
              <w:right w:val="single" w:color="auto" w:sz="8" w:space="0"/>
            </w:tcBorders>
            <w:vAlign w:val="center"/>
          </w:tcPr>
          <w:p w:rsidRPr="00725CE4" w:rsidR="00942750" w:rsidP="00A73B54" w:rsidRDefault="00942750">
            <w:pPr>
              <w:jc w:val="center"/>
            </w:pPr>
            <w:r w:rsidRPr="00725CE4">
              <w:t>50/60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942750" w:rsidP="00A73B54" w:rsidRDefault="00942750">
            <w:pPr>
              <w:tabs>
                <w:tab w:val="left" w:pos="-1080"/>
                <w:tab w:val="left" w:pos="-720"/>
                <w:tab w:val="left" w:pos="0"/>
                <w:tab w:val="left" w:pos="450"/>
                <w:tab w:val="left" w:pos="720"/>
                <w:tab w:val="left" w:pos="2160"/>
              </w:tabs>
              <w:jc w:val="right"/>
              <w:rPr>
                <w:sz w:val="20"/>
              </w:rPr>
            </w:pPr>
            <w:r>
              <w:rPr>
                <w:sz w:val="20"/>
              </w:rPr>
              <w:t>167</w:t>
            </w:r>
          </w:p>
        </w:tc>
      </w:tr>
      <w:tr w:rsidRPr="00725CE4" w:rsidR="00942750" w:rsidTr="00A73B54">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r w:rsidRPr="00725CE4">
              <w:rPr>
                <w:b/>
                <w:bCs/>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942750" w:rsidP="00A73B54" w:rsidRDefault="00942750">
            <w:pPr>
              <w:jc w:val="right"/>
              <w:rPr>
                <w:sz w:val="20"/>
              </w:rPr>
            </w:pPr>
            <w:r>
              <w:rPr>
                <w:sz w:val="20"/>
              </w:rPr>
              <w:t>10,900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942750" w:rsidP="00A73B54" w:rsidRDefault="00942750">
            <w:pPr>
              <w:jc w:val="center"/>
            </w:pPr>
            <w:r w:rsidRPr="00725CE4">
              <w:t>na</w:t>
            </w:r>
          </w:p>
        </w:tc>
        <w:tc>
          <w:tcPr>
            <w:tcW w:w="1080" w:type="dxa"/>
            <w:tcBorders>
              <w:top w:val="nil"/>
              <w:left w:val="nil"/>
              <w:bottom w:val="single" w:color="auto" w:sz="8" w:space="0"/>
              <w:right w:val="single" w:color="auto" w:sz="8" w:space="0"/>
            </w:tcBorders>
          </w:tcPr>
          <w:p w:rsidRPr="00725CE4" w:rsidR="00942750" w:rsidP="00A73B54" w:rsidRDefault="00942750">
            <w:pPr>
              <w:jc w:val="center"/>
              <w:rPr>
                <w:bCs/>
              </w:rPr>
            </w:pPr>
            <w:r w:rsidRPr="00725CE4">
              <w:rPr>
                <w:bCs/>
              </w:rPr>
              <w:t>na</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942750" w:rsidP="00A73B54" w:rsidRDefault="00942750">
            <w:pPr>
              <w:tabs>
                <w:tab w:val="left" w:pos="-1080"/>
                <w:tab w:val="left" w:pos="-720"/>
                <w:tab w:val="left" w:pos="0"/>
                <w:tab w:val="left" w:pos="450"/>
                <w:tab w:val="left" w:pos="720"/>
                <w:tab w:val="left" w:pos="2160"/>
              </w:tabs>
              <w:jc w:val="right"/>
              <w:rPr>
                <w:sz w:val="20"/>
              </w:rPr>
            </w:pPr>
            <w:r>
              <w:rPr>
                <w:sz w:val="20"/>
              </w:rPr>
              <w:t>3,383</w:t>
            </w:r>
          </w:p>
        </w:tc>
      </w:tr>
    </w:tbl>
    <w:p w:rsidRPr="00725CE4" w:rsidR="00942750" w:rsidP="00942750" w:rsidRDefault="00942750">
      <w:pPr>
        <w:rPr>
          <w:sz w:val="18"/>
          <w:szCs w:val="18"/>
        </w:rPr>
      </w:pPr>
      <w:r w:rsidRPr="00725CE4">
        <w:rPr>
          <w:sz w:val="18"/>
          <w:szCs w:val="18"/>
          <w:vertAlign w:val="superscript"/>
        </w:rPr>
        <w:t xml:space="preserve">* </w:t>
      </w:r>
      <w:r w:rsidRPr="00725CE4">
        <w:rPr>
          <w:sz w:val="18"/>
          <w:szCs w:val="18"/>
        </w:rPr>
        <w:t>May include telephone non-response follow-up in which case the burden will not change</w:t>
      </w:r>
    </w:p>
    <w:p w:rsidRPr="00725CE4" w:rsidR="00942750" w:rsidP="00942750" w:rsidRDefault="00942750"/>
    <w:p w:rsidRPr="00217EB3" w:rsidR="00217EB3" w:rsidP="00217EB3" w:rsidRDefault="00217EB3">
      <w:r w:rsidRPr="00217EB3">
        <w:rPr>
          <w:b/>
        </w:rPr>
        <w:t>Exhibit 2.  Estimated cost burden over 3 years</w:t>
      </w:r>
    </w:p>
    <w:tbl>
      <w:tblPr>
        <w:tblW w:w="8594" w:type="dxa"/>
        <w:tblCellMar>
          <w:left w:w="0" w:type="dxa"/>
          <w:right w:w="0" w:type="dxa"/>
        </w:tblCellMar>
        <w:tblLook w:val="0000" w:firstRow="0" w:lastRow="0" w:firstColumn="0" w:lastColumn="0" w:noHBand="0" w:noVBand="0"/>
      </w:tblPr>
      <w:tblGrid>
        <w:gridCol w:w="3571"/>
        <w:gridCol w:w="1443"/>
        <w:gridCol w:w="1226"/>
        <w:gridCol w:w="1238"/>
        <w:gridCol w:w="1116"/>
      </w:tblGrid>
      <w:tr w:rsidRPr="00217EB3" w:rsidR="00217EB3" w:rsidTr="00D76033">
        <w:tc>
          <w:tcPr>
            <w:tcW w:w="357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17EB3" w:rsidR="00217EB3" w:rsidP="00217EB3" w:rsidRDefault="00217EB3">
            <w:r w:rsidRPr="00217EB3">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17EB3" w:rsidR="00217EB3" w:rsidP="00217EB3" w:rsidRDefault="00217EB3">
            <w:pPr>
              <w:jc w:val="center"/>
            </w:pPr>
            <w:r w:rsidRPr="00217EB3">
              <w:t>Number of Respondents</w:t>
            </w:r>
          </w:p>
        </w:tc>
        <w:tc>
          <w:tcPr>
            <w:tcW w:w="1226" w:type="dxa"/>
            <w:tcBorders>
              <w:top w:val="single" w:color="auto" w:sz="8" w:space="0"/>
              <w:left w:val="nil"/>
              <w:bottom w:val="single" w:color="auto" w:sz="8" w:space="0"/>
              <w:right w:val="single" w:color="auto" w:sz="8" w:space="0"/>
            </w:tcBorders>
            <w:vAlign w:val="center"/>
          </w:tcPr>
          <w:p w:rsidRPr="00217EB3" w:rsidR="00217EB3" w:rsidP="00217EB3" w:rsidRDefault="00217EB3">
            <w:pPr>
              <w:jc w:val="center"/>
            </w:pPr>
            <w:r w:rsidRPr="00217EB3">
              <w:t>Total Burden hours</w:t>
            </w:r>
          </w:p>
        </w:tc>
        <w:tc>
          <w:tcPr>
            <w:tcW w:w="1238" w:type="dxa"/>
            <w:tcBorders>
              <w:top w:val="single" w:color="auto" w:sz="8" w:space="0"/>
              <w:left w:val="single" w:color="auto" w:sz="8" w:space="0"/>
              <w:bottom w:val="single" w:color="auto" w:sz="8" w:space="0"/>
              <w:right w:val="single" w:color="auto" w:sz="8" w:space="0"/>
            </w:tcBorders>
            <w:vAlign w:val="center"/>
          </w:tcPr>
          <w:p w:rsidRPr="00217EB3" w:rsidR="00217EB3" w:rsidP="00217EB3" w:rsidRDefault="00217EB3">
            <w:pPr>
              <w:jc w:val="center"/>
              <w:rPr>
                <w:rFonts w:ascii="Times New (W1)" w:hAnsi="Times New (W1)"/>
                <w:vertAlign w:val="superscript"/>
              </w:rPr>
            </w:pPr>
            <w:r w:rsidRPr="00217EB3">
              <w:t>Average Hourly Wage Rate</w:t>
            </w:r>
            <w:r w:rsidRPr="00217EB3">
              <w:rPr>
                <w:rFonts w:ascii="Times New (W1)" w:hAnsi="Times New (W1)"/>
                <w:vertAlign w:val="superscript"/>
              </w:rPr>
              <w:t>*</w:t>
            </w:r>
          </w:p>
        </w:tc>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17EB3" w:rsidR="00217EB3" w:rsidP="00217EB3" w:rsidRDefault="00217EB3">
            <w:pPr>
              <w:jc w:val="center"/>
            </w:pPr>
            <w:r w:rsidRPr="00217EB3">
              <w:t>Total Cost Burden</w:t>
            </w:r>
          </w:p>
        </w:tc>
      </w:tr>
      <w:tr w:rsidRPr="00217EB3" w:rsidR="00217EB3" w:rsidTr="00D76033">
        <w:tc>
          <w:tcPr>
            <w:tcW w:w="35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17EB3" w:rsidR="00217EB3" w:rsidP="00217EB3" w:rsidRDefault="00217EB3">
            <w:r w:rsidRPr="00217EB3">
              <w:t>Mail/email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17EB3" w:rsidR="00217EB3" w:rsidP="00217EB3" w:rsidRDefault="00217EB3">
            <w:pPr>
              <w:tabs>
                <w:tab w:val="left" w:pos="-1080"/>
                <w:tab w:val="left" w:pos="-720"/>
                <w:tab w:val="left" w:pos="0"/>
                <w:tab w:val="left" w:pos="450"/>
                <w:tab w:val="left" w:pos="720"/>
                <w:tab w:val="left" w:pos="2160"/>
              </w:tabs>
              <w:jc w:val="right"/>
              <w:rPr>
                <w:rFonts w:ascii="Calibri" w:hAnsi="Calibri"/>
                <w:sz w:val="20"/>
                <w:szCs w:val="22"/>
              </w:rPr>
            </w:pPr>
            <w:r w:rsidRPr="00217EB3">
              <w:rPr>
                <w:rFonts w:ascii="Calibri" w:hAnsi="Calibri"/>
                <w:sz w:val="20"/>
                <w:szCs w:val="22"/>
              </w:rPr>
              <w:t>5,000</w:t>
            </w:r>
          </w:p>
        </w:tc>
        <w:tc>
          <w:tcPr>
            <w:tcW w:w="1226" w:type="dxa"/>
            <w:tcBorders>
              <w:top w:val="single" w:color="auto" w:sz="8" w:space="0"/>
              <w:left w:val="nil"/>
              <w:bottom w:val="single" w:color="auto" w:sz="8" w:space="0"/>
              <w:right w:val="single" w:color="auto" w:sz="8" w:space="0"/>
            </w:tcBorders>
            <w:vAlign w:val="bottom"/>
          </w:tcPr>
          <w:p w:rsidRPr="00217EB3" w:rsidR="00217EB3" w:rsidP="00217EB3" w:rsidRDefault="00217EB3">
            <w:pPr>
              <w:tabs>
                <w:tab w:val="left" w:pos="-1080"/>
                <w:tab w:val="left" w:pos="-720"/>
                <w:tab w:val="left" w:pos="0"/>
                <w:tab w:val="left" w:pos="450"/>
                <w:tab w:val="left" w:pos="720"/>
                <w:tab w:val="left" w:pos="2160"/>
              </w:tabs>
              <w:jc w:val="right"/>
              <w:rPr>
                <w:rFonts w:ascii="Calibri" w:hAnsi="Calibri"/>
                <w:sz w:val="20"/>
                <w:szCs w:val="22"/>
              </w:rPr>
            </w:pPr>
            <w:r w:rsidRPr="00217EB3">
              <w:rPr>
                <w:rFonts w:ascii="Calibri" w:hAnsi="Calibri"/>
                <w:sz w:val="20"/>
                <w:szCs w:val="22"/>
              </w:rPr>
              <w:t>1,250</w:t>
            </w:r>
          </w:p>
        </w:tc>
        <w:tc>
          <w:tcPr>
            <w:tcW w:w="1238" w:type="dxa"/>
            <w:tcBorders>
              <w:top w:val="nil"/>
              <w:left w:val="single" w:color="auto" w:sz="8" w:space="0"/>
              <w:bottom w:val="single" w:color="auto" w:sz="8" w:space="0"/>
              <w:right w:val="single" w:color="auto" w:sz="8" w:space="0"/>
            </w:tcBorders>
            <w:vAlign w:val="center"/>
          </w:tcPr>
          <w:p w:rsidRPr="00217EB3" w:rsidR="00217EB3" w:rsidP="00217EB3" w:rsidRDefault="00217EB3">
            <w:pPr>
              <w:jc w:val="center"/>
            </w:pPr>
            <w:r w:rsidRPr="00217EB3">
              <w:t>$40.21</w:t>
            </w:r>
          </w:p>
        </w:tc>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17EB3" w:rsidR="00217EB3" w:rsidP="00217EB3" w:rsidRDefault="00217EB3">
            <w:pPr>
              <w:jc w:val="center"/>
            </w:pPr>
            <w:r w:rsidRPr="00217EB3">
              <w:t>$50,263</w:t>
            </w:r>
          </w:p>
        </w:tc>
      </w:tr>
      <w:tr w:rsidRPr="00217EB3" w:rsidR="00217EB3" w:rsidTr="009117D3">
        <w:trPr>
          <w:trHeight w:val="358"/>
        </w:trPr>
        <w:tc>
          <w:tcPr>
            <w:tcW w:w="35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17EB3" w:rsidR="00217EB3" w:rsidP="00217EB3" w:rsidRDefault="00217EB3">
            <w:r w:rsidRPr="00217EB3">
              <w:t>Telephone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17EB3" w:rsidR="00217EB3" w:rsidP="00217EB3" w:rsidRDefault="00217EB3">
            <w:pPr>
              <w:tabs>
                <w:tab w:val="left" w:pos="-1080"/>
                <w:tab w:val="left" w:pos="-720"/>
                <w:tab w:val="left" w:pos="0"/>
                <w:tab w:val="left" w:pos="450"/>
                <w:tab w:val="left" w:pos="720"/>
                <w:tab w:val="left" w:pos="2160"/>
              </w:tabs>
              <w:jc w:val="right"/>
              <w:rPr>
                <w:rFonts w:ascii="Calibri" w:hAnsi="Calibri"/>
                <w:sz w:val="20"/>
                <w:szCs w:val="22"/>
              </w:rPr>
            </w:pPr>
            <w:r w:rsidRPr="00217EB3">
              <w:rPr>
                <w:rFonts w:ascii="Calibri" w:hAnsi="Calibri"/>
                <w:sz w:val="20"/>
                <w:szCs w:val="22"/>
              </w:rPr>
              <w:t>200</w:t>
            </w:r>
          </w:p>
        </w:tc>
        <w:tc>
          <w:tcPr>
            <w:tcW w:w="1226" w:type="dxa"/>
            <w:tcBorders>
              <w:top w:val="single" w:color="auto" w:sz="8" w:space="0"/>
              <w:left w:val="nil"/>
              <w:bottom w:val="single" w:color="auto" w:sz="8" w:space="0"/>
              <w:right w:val="single" w:color="auto" w:sz="8" w:space="0"/>
            </w:tcBorders>
            <w:vAlign w:val="bottom"/>
          </w:tcPr>
          <w:p w:rsidRPr="00217EB3" w:rsidR="00217EB3" w:rsidP="00217EB3" w:rsidRDefault="00217EB3">
            <w:pPr>
              <w:tabs>
                <w:tab w:val="left" w:pos="-1080"/>
                <w:tab w:val="left" w:pos="-720"/>
                <w:tab w:val="left" w:pos="0"/>
                <w:tab w:val="left" w:pos="450"/>
                <w:tab w:val="left" w:pos="720"/>
                <w:tab w:val="left" w:pos="2160"/>
              </w:tabs>
              <w:jc w:val="right"/>
              <w:rPr>
                <w:rFonts w:ascii="Calibri" w:hAnsi="Calibri"/>
                <w:sz w:val="20"/>
                <w:szCs w:val="22"/>
              </w:rPr>
            </w:pPr>
            <w:r w:rsidRPr="00217EB3">
              <w:rPr>
                <w:rFonts w:ascii="Calibri" w:hAnsi="Calibri"/>
                <w:sz w:val="20"/>
                <w:szCs w:val="22"/>
              </w:rPr>
              <w:t>133</w:t>
            </w:r>
          </w:p>
        </w:tc>
        <w:tc>
          <w:tcPr>
            <w:tcW w:w="1238" w:type="dxa"/>
            <w:tcBorders>
              <w:top w:val="nil"/>
              <w:left w:val="single" w:color="auto" w:sz="8" w:space="0"/>
              <w:bottom w:val="single" w:color="auto" w:sz="8" w:space="0"/>
              <w:right w:val="single" w:color="auto" w:sz="8" w:space="0"/>
            </w:tcBorders>
          </w:tcPr>
          <w:p w:rsidRPr="00217EB3" w:rsidR="00217EB3" w:rsidP="00217EB3" w:rsidRDefault="00217EB3">
            <w:pPr>
              <w:spacing w:after="200" w:line="276" w:lineRule="auto"/>
              <w:rPr>
                <w:rFonts w:ascii="Calibri" w:hAnsi="Calibri"/>
                <w:sz w:val="22"/>
                <w:szCs w:val="22"/>
              </w:rPr>
            </w:pPr>
            <w:r w:rsidRPr="00217EB3">
              <w:t xml:space="preserve">     $40.21</w:t>
            </w:r>
          </w:p>
        </w:tc>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17EB3" w:rsidR="00217EB3" w:rsidP="00217EB3" w:rsidRDefault="00217EB3">
            <w:pPr>
              <w:jc w:val="center"/>
            </w:pPr>
            <w:r w:rsidRPr="00217EB3">
              <w:t>$5,348</w:t>
            </w:r>
          </w:p>
        </w:tc>
      </w:tr>
      <w:tr w:rsidRPr="00217EB3" w:rsidR="00217EB3" w:rsidTr="00D76033">
        <w:tc>
          <w:tcPr>
            <w:tcW w:w="35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17EB3" w:rsidR="00217EB3" w:rsidP="00217EB3" w:rsidRDefault="00217EB3">
            <w:r w:rsidRPr="00217EB3">
              <w:t>Web-based</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17EB3" w:rsidR="00217EB3" w:rsidP="00217EB3" w:rsidRDefault="00217EB3">
            <w:pPr>
              <w:jc w:val="right"/>
              <w:rPr>
                <w:rFonts w:ascii="Calibri" w:hAnsi="Calibri"/>
                <w:sz w:val="20"/>
                <w:szCs w:val="22"/>
              </w:rPr>
            </w:pPr>
            <w:r w:rsidRPr="00217EB3">
              <w:rPr>
                <w:rFonts w:ascii="Calibri" w:hAnsi="Calibri"/>
                <w:sz w:val="20"/>
                <w:szCs w:val="22"/>
              </w:rPr>
              <w:t>5,000</w:t>
            </w:r>
          </w:p>
        </w:tc>
        <w:tc>
          <w:tcPr>
            <w:tcW w:w="1226" w:type="dxa"/>
            <w:tcBorders>
              <w:top w:val="single" w:color="auto" w:sz="8" w:space="0"/>
              <w:left w:val="nil"/>
              <w:bottom w:val="single" w:color="auto" w:sz="8" w:space="0"/>
              <w:right w:val="single" w:color="auto" w:sz="8" w:space="0"/>
            </w:tcBorders>
            <w:vAlign w:val="bottom"/>
          </w:tcPr>
          <w:p w:rsidRPr="00217EB3" w:rsidR="00217EB3" w:rsidP="00217EB3" w:rsidRDefault="00217EB3">
            <w:pPr>
              <w:tabs>
                <w:tab w:val="left" w:pos="-1080"/>
                <w:tab w:val="left" w:pos="-720"/>
                <w:tab w:val="left" w:pos="0"/>
                <w:tab w:val="left" w:pos="450"/>
                <w:tab w:val="left" w:pos="720"/>
                <w:tab w:val="left" w:pos="2160"/>
              </w:tabs>
              <w:jc w:val="right"/>
              <w:rPr>
                <w:rFonts w:ascii="Calibri" w:hAnsi="Calibri"/>
                <w:sz w:val="20"/>
                <w:szCs w:val="22"/>
              </w:rPr>
            </w:pPr>
            <w:r w:rsidRPr="00217EB3">
              <w:rPr>
                <w:rFonts w:ascii="Calibri" w:hAnsi="Calibri"/>
                <w:sz w:val="20"/>
                <w:szCs w:val="22"/>
              </w:rPr>
              <w:t>833</w:t>
            </w:r>
          </w:p>
        </w:tc>
        <w:tc>
          <w:tcPr>
            <w:tcW w:w="1238" w:type="dxa"/>
            <w:tcBorders>
              <w:top w:val="nil"/>
              <w:left w:val="single" w:color="auto" w:sz="8" w:space="0"/>
              <w:bottom w:val="single" w:color="auto" w:sz="8" w:space="0"/>
              <w:right w:val="single" w:color="auto" w:sz="8" w:space="0"/>
            </w:tcBorders>
          </w:tcPr>
          <w:p w:rsidRPr="00217EB3" w:rsidR="00217EB3" w:rsidP="00217EB3" w:rsidRDefault="00217EB3">
            <w:pPr>
              <w:spacing w:after="200" w:line="276" w:lineRule="auto"/>
              <w:rPr>
                <w:rFonts w:ascii="Calibri" w:hAnsi="Calibri"/>
                <w:sz w:val="22"/>
                <w:szCs w:val="22"/>
              </w:rPr>
            </w:pPr>
            <w:r w:rsidRPr="00217EB3">
              <w:t xml:space="preserve">     $40.21</w:t>
            </w:r>
          </w:p>
        </w:tc>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17EB3" w:rsidR="00217EB3" w:rsidP="00217EB3" w:rsidRDefault="00217EB3">
            <w:pPr>
              <w:jc w:val="center"/>
            </w:pPr>
            <w:r w:rsidRPr="00217EB3">
              <w:t>$33,495</w:t>
            </w:r>
          </w:p>
        </w:tc>
      </w:tr>
      <w:tr w:rsidRPr="00217EB3" w:rsidR="00217EB3" w:rsidTr="00D76033">
        <w:tc>
          <w:tcPr>
            <w:tcW w:w="35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17EB3" w:rsidR="00217EB3" w:rsidP="00217EB3" w:rsidRDefault="00217EB3">
            <w:r w:rsidRPr="00217EB3">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17EB3" w:rsidR="00217EB3" w:rsidP="00217EB3" w:rsidRDefault="00217EB3">
            <w:pPr>
              <w:jc w:val="right"/>
              <w:rPr>
                <w:rFonts w:ascii="Calibri" w:hAnsi="Calibri"/>
                <w:sz w:val="20"/>
                <w:szCs w:val="22"/>
              </w:rPr>
            </w:pPr>
            <w:r w:rsidRPr="00217EB3">
              <w:rPr>
                <w:rFonts w:ascii="Calibri" w:hAnsi="Calibri"/>
                <w:sz w:val="20"/>
                <w:szCs w:val="22"/>
              </w:rPr>
              <w:t>500</w:t>
            </w:r>
          </w:p>
        </w:tc>
        <w:tc>
          <w:tcPr>
            <w:tcW w:w="1226" w:type="dxa"/>
            <w:tcBorders>
              <w:top w:val="single" w:color="auto" w:sz="8" w:space="0"/>
              <w:left w:val="nil"/>
              <w:bottom w:val="single" w:color="auto" w:sz="8" w:space="0"/>
              <w:right w:val="single" w:color="auto" w:sz="8" w:space="0"/>
            </w:tcBorders>
            <w:vAlign w:val="bottom"/>
          </w:tcPr>
          <w:p w:rsidRPr="00217EB3" w:rsidR="00217EB3" w:rsidP="00217EB3" w:rsidRDefault="00217EB3">
            <w:pPr>
              <w:tabs>
                <w:tab w:val="left" w:pos="-1080"/>
                <w:tab w:val="left" w:pos="-720"/>
                <w:tab w:val="left" w:pos="0"/>
                <w:tab w:val="left" w:pos="450"/>
                <w:tab w:val="left" w:pos="720"/>
                <w:tab w:val="left" w:pos="2160"/>
              </w:tabs>
              <w:jc w:val="right"/>
              <w:rPr>
                <w:rFonts w:ascii="Calibri" w:hAnsi="Calibri"/>
                <w:sz w:val="20"/>
                <w:szCs w:val="22"/>
              </w:rPr>
            </w:pPr>
            <w:r w:rsidRPr="00217EB3">
              <w:rPr>
                <w:rFonts w:ascii="Calibri" w:hAnsi="Calibri"/>
                <w:sz w:val="20"/>
                <w:szCs w:val="22"/>
              </w:rPr>
              <w:t>1,000</w:t>
            </w:r>
          </w:p>
        </w:tc>
        <w:tc>
          <w:tcPr>
            <w:tcW w:w="1238" w:type="dxa"/>
            <w:tcBorders>
              <w:top w:val="nil"/>
              <w:left w:val="single" w:color="auto" w:sz="8" w:space="0"/>
              <w:bottom w:val="single" w:color="auto" w:sz="8" w:space="0"/>
              <w:right w:val="single" w:color="auto" w:sz="8" w:space="0"/>
            </w:tcBorders>
          </w:tcPr>
          <w:p w:rsidRPr="00217EB3" w:rsidR="00217EB3" w:rsidP="00217EB3" w:rsidRDefault="00217EB3">
            <w:pPr>
              <w:spacing w:after="200" w:line="276" w:lineRule="auto"/>
              <w:rPr>
                <w:rFonts w:ascii="Calibri" w:hAnsi="Calibri"/>
                <w:sz w:val="22"/>
                <w:szCs w:val="22"/>
              </w:rPr>
            </w:pPr>
            <w:r w:rsidRPr="00217EB3">
              <w:t xml:space="preserve">     $40.21</w:t>
            </w:r>
          </w:p>
        </w:tc>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17EB3" w:rsidR="00217EB3" w:rsidP="00217EB3" w:rsidRDefault="00217EB3">
            <w:pPr>
              <w:jc w:val="center"/>
            </w:pPr>
            <w:r w:rsidRPr="00217EB3">
              <w:t>$40,210</w:t>
            </w:r>
          </w:p>
        </w:tc>
      </w:tr>
      <w:tr w:rsidRPr="00217EB3" w:rsidR="00217EB3" w:rsidTr="00D76033">
        <w:tc>
          <w:tcPr>
            <w:tcW w:w="35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17EB3" w:rsidR="00217EB3" w:rsidP="00217EB3" w:rsidRDefault="00217EB3">
            <w:r w:rsidRPr="00217EB3">
              <w:t>In-person</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17EB3" w:rsidR="00217EB3" w:rsidP="00217EB3" w:rsidRDefault="00217EB3">
            <w:pPr>
              <w:jc w:val="right"/>
              <w:rPr>
                <w:rFonts w:ascii="Calibri" w:hAnsi="Calibri"/>
                <w:sz w:val="20"/>
                <w:szCs w:val="22"/>
              </w:rPr>
            </w:pPr>
            <w:r w:rsidRPr="00217EB3">
              <w:rPr>
                <w:rFonts w:ascii="Calibri" w:hAnsi="Calibri"/>
                <w:sz w:val="20"/>
                <w:szCs w:val="22"/>
              </w:rPr>
              <w:t>200</w:t>
            </w:r>
          </w:p>
        </w:tc>
        <w:tc>
          <w:tcPr>
            <w:tcW w:w="1226" w:type="dxa"/>
            <w:tcBorders>
              <w:top w:val="single" w:color="auto" w:sz="8" w:space="0"/>
              <w:left w:val="nil"/>
              <w:bottom w:val="single" w:color="auto" w:sz="8" w:space="0"/>
              <w:right w:val="single" w:color="auto" w:sz="8" w:space="0"/>
            </w:tcBorders>
            <w:vAlign w:val="bottom"/>
          </w:tcPr>
          <w:p w:rsidRPr="00217EB3" w:rsidR="00217EB3" w:rsidP="00217EB3" w:rsidRDefault="00217EB3">
            <w:pPr>
              <w:tabs>
                <w:tab w:val="left" w:pos="-1080"/>
                <w:tab w:val="left" w:pos="-720"/>
                <w:tab w:val="left" w:pos="0"/>
                <w:tab w:val="left" w:pos="450"/>
                <w:tab w:val="left" w:pos="720"/>
                <w:tab w:val="left" w:pos="2160"/>
              </w:tabs>
              <w:jc w:val="right"/>
              <w:rPr>
                <w:rFonts w:ascii="Calibri" w:hAnsi="Calibri"/>
                <w:sz w:val="20"/>
                <w:szCs w:val="22"/>
              </w:rPr>
            </w:pPr>
            <w:r w:rsidRPr="00217EB3">
              <w:rPr>
                <w:rFonts w:ascii="Calibri" w:hAnsi="Calibri"/>
                <w:sz w:val="20"/>
                <w:szCs w:val="22"/>
              </w:rPr>
              <w:t>167</w:t>
            </w:r>
          </w:p>
        </w:tc>
        <w:tc>
          <w:tcPr>
            <w:tcW w:w="1238" w:type="dxa"/>
            <w:tcBorders>
              <w:top w:val="nil"/>
              <w:left w:val="single" w:color="auto" w:sz="8" w:space="0"/>
              <w:bottom w:val="single" w:color="auto" w:sz="8" w:space="0"/>
              <w:right w:val="single" w:color="auto" w:sz="8" w:space="0"/>
            </w:tcBorders>
          </w:tcPr>
          <w:p w:rsidRPr="00217EB3" w:rsidR="00217EB3" w:rsidP="00217EB3" w:rsidRDefault="00217EB3">
            <w:pPr>
              <w:spacing w:after="200" w:line="276" w:lineRule="auto"/>
              <w:rPr>
                <w:rFonts w:ascii="Calibri" w:hAnsi="Calibri"/>
                <w:sz w:val="22"/>
                <w:szCs w:val="22"/>
              </w:rPr>
            </w:pPr>
            <w:r w:rsidRPr="00217EB3">
              <w:t xml:space="preserve">     $40.21</w:t>
            </w:r>
          </w:p>
        </w:tc>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17EB3" w:rsidR="00217EB3" w:rsidP="00217EB3" w:rsidRDefault="00217EB3">
            <w:pPr>
              <w:jc w:val="center"/>
            </w:pPr>
            <w:r w:rsidRPr="00217EB3">
              <w:t>$6,715</w:t>
            </w:r>
          </w:p>
        </w:tc>
      </w:tr>
      <w:tr w:rsidRPr="00217EB3" w:rsidR="00217EB3" w:rsidTr="00D76033">
        <w:tc>
          <w:tcPr>
            <w:tcW w:w="35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17EB3" w:rsidR="00217EB3" w:rsidP="00217EB3" w:rsidRDefault="00217EB3">
            <w:r w:rsidRPr="00217EB3">
              <w:rPr>
                <w:b/>
                <w:bCs/>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17EB3" w:rsidR="00217EB3" w:rsidP="00217EB3" w:rsidRDefault="00217EB3">
            <w:pPr>
              <w:jc w:val="right"/>
              <w:rPr>
                <w:rFonts w:ascii="Calibri" w:hAnsi="Calibri"/>
                <w:sz w:val="20"/>
                <w:szCs w:val="22"/>
              </w:rPr>
            </w:pPr>
            <w:r w:rsidRPr="00217EB3">
              <w:rPr>
                <w:rFonts w:ascii="Calibri" w:hAnsi="Calibri"/>
                <w:sz w:val="20"/>
                <w:szCs w:val="22"/>
              </w:rPr>
              <w:t>10,900</w:t>
            </w:r>
          </w:p>
        </w:tc>
        <w:tc>
          <w:tcPr>
            <w:tcW w:w="1226" w:type="dxa"/>
            <w:tcBorders>
              <w:top w:val="single" w:color="auto" w:sz="8" w:space="0"/>
              <w:left w:val="nil"/>
              <w:bottom w:val="single" w:color="auto" w:sz="8" w:space="0"/>
              <w:right w:val="single" w:color="auto" w:sz="8" w:space="0"/>
            </w:tcBorders>
            <w:vAlign w:val="bottom"/>
          </w:tcPr>
          <w:p w:rsidRPr="00217EB3" w:rsidR="00217EB3" w:rsidP="00217EB3" w:rsidRDefault="00217EB3">
            <w:pPr>
              <w:tabs>
                <w:tab w:val="left" w:pos="-1080"/>
                <w:tab w:val="left" w:pos="-720"/>
                <w:tab w:val="left" w:pos="0"/>
                <w:tab w:val="left" w:pos="450"/>
                <w:tab w:val="left" w:pos="720"/>
                <w:tab w:val="left" w:pos="2160"/>
              </w:tabs>
              <w:jc w:val="right"/>
              <w:rPr>
                <w:rFonts w:ascii="Calibri" w:hAnsi="Calibri"/>
                <w:sz w:val="20"/>
                <w:szCs w:val="22"/>
              </w:rPr>
            </w:pPr>
            <w:r w:rsidRPr="00217EB3">
              <w:rPr>
                <w:rFonts w:ascii="Calibri" w:hAnsi="Calibri"/>
                <w:sz w:val="20"/>
                <w:szCs w:val="22"/>
              </w:rPr>
              <w:t>3,383</w:t>
            </w:r>
          </w:p>
        </w:tc>
        <w:tc>
          <w:tcPr>
            <w:tcW w:w="1238" w:type="dxa"/>
            <w:tcBorders>
              <w:top w:val="nil"/>
              <w:left w:val="single" w:color="auto" w:sz="8" w:space="0"/>
              <w:bottom w:val="single" w:color="auto" w:sz="8" w:space="0"/>
              <w:right w:val="single" w:color="auto" w:sz="8" w:space="0"/>
            </w:tcBorders>
          </w:tcPr>
          <w:p w:rsidRPr="00217EB3" w:rsidR="00217EB3" w:rsidP="00217EB3" w:rsidRDefault="00217EB3">
            <w:pPr>
              <w:spacing w:after="200" w:line="276" w:lineRule="auto"/>
              <w:rPr>
                <w:rFonts w:ascii="Calibri" w:hAnsi="Calibri"/>
                <w:sz w:val="22"/>
                <w:szCs w:val="22"/>
              </w:rPr>
            </w:pPr>
            <w:r w:rsidRPr="00217EB3">
              <w:t xml:space="preserve">     $40.21</w:t>
            </w:r>
          </w:p>
        </w:tc>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17EB3" w:rsidR="00217EB3" w:rsidP="00217EB3" w:rsidRDefault="00217EB3">
            <w:pPr>
              <w:jc w:val="center"/>
            </w:pPr>
            <w:bookmarkStart w:name="OLE_LINK1" w:id="34"/>
            <w:bookmarkStart w:name="OLE_LINK4" w:id="35"/>
            <w:r w:rsidRPr="00217EB3">
              <w:t>$</w:t>
            </w:r>
            <w:bookmarkEnd w:id="34"/>
            <w:bookmarkEnd w:id="35"/>
            <w:r w:rsidRPr="00217EB3">
              <w:t>136,031</w:t>
            </w:r>
          </w:p>
        </w:tc>
      </w:tr>
    </w:tbl>
    <w:p w:rsidR="003D5223" w:rsidP="003D5223" w:rsidRDefault="00217EB3">
      <w:r w:rsidRPr="00217EB3">
        <w:rPr>
          <w:color w:val="000000"/>
          <w:sz w:val="20"/>
          <w:szCs w:val="20"/>
        </w:rPr>
        <w:t>*</w:t>
      </w:r>
      <w:r w:rsidRPr="00217EB3">
        <w:rPr>
          <w:sz w:val="20"/>
        </w:rPr>
        <w:t xml:space="preserve"> Bureau of Labor &amp; Statistics on “Occupational Employment and Wages, May 2019” found at the following URL: </w:t>
      </w:r>
      <w:hyperlink w:history="1" w:anchor="b29-0000.htm" r:id="rId7">
        <w:r w:rsidRPr="00217EB3">
          <w:rPr>
            <w:rFonts w:ascii="Calibri" w:hAnsi="Calibri"/>
            <w:color w:val="0000FF"/>
            <w:sz w:val="22"/>
            <w:szCs w:val="22"/>
            <w:u w:val="single"/>
          </w:rPr>
          <w:t>https://www.bls.gov/oes/current/oes_nat.htm#b29-0000.htm</w:t>
        </w:r>
      </w:hyperlink>
      <w:r w:rsidRPr="00217EB3">
        <w:rPr>
          <w:rFonts w:ascii="Calibri" w:hAnsi="Calibri"/>
          <w:color w:val="000000"/>
          <w:sz w:val="22"/>
          <w:szCs w:val="22"/>
        </w:rPr>
        <w:t xml:space="preserve"> for the respondents.</w:t>
      </w:r>
      <w:r w:rsidR="003D5223">
        <w:rPr>
          <w:rFonts w:ascii="Calibri" w:hAnsi="Calibri"/>
          <w:color w:val="000000"/>
          <w:sz w:val="22"/>
          <w:szCs w:val="22"/>
        </w:rPr>
        <w:t xml:space="preserve"> </w:t>
      </w:r>
      <w:r w:rsidRPr="00217EB3">
        <w:rPr>
          <w:rFonts w:ascii="Calibri" w:hAnsi="Calibri"/>
          <w:color w:val="000000"/>
          <w:sz w:val="22"/>
          <w:szCs w:val="22"/>
        </w:rPr>
        <w:t xml:space="preserve">  </w:t>
      </w:r>
      <w:r w:rsidR="003D5223">
        <w:rPr>
          <w:color w:val="000000"/>
        </w:rPr>
        <w:t xml:space="preserve">The total cost burden for </w:t>
      </w:r>
      <w:r w:rsidR="003D5223">
        <w:t>the 3 years of the clearance</w:t>
      </w:r>
      <w:r w:rsidR="003D5223">
        <w:rPr>
          <w:color w:val="000000"/>
        </w:rPr>
        <w:t xml:space="preserve"> is estimated to be </w:t>
      </w:r>
      <w:r w:rsidR="003D5223">
        <w:t>$408,093.</w:t>
      </w:r>
    </w:p>
    <w:p w:rsidR="00F36C33" w:rsidP="00F36C33" w:rsidRDefault="00F36C33">
      <w:pPr>
        <w:tabs>
          <w:tab w:val="left" w:pos="-1080"/>
          <w:tab w:val="left" w:pos="-720"/>
          <w:tab w:val="left" w:pos="0"/>
          <w:tab w:val="left" w:pos="450"/>
          <w:tab w:val="left" w:pos="720"/>
          <w:tab w:val="left" w:pos="2160"/>
        </w:tabs>
      </w:pPr>
    </w:p>
    <w:p w:rsidR="003C60BD" w:rsidP="003C60BD" w:rsidRDefault="003C60BD"/>
    <w:p w:rsidRPr="00037998" w:rsidR="00037998" w:rsidP="00414C80" w:rsidRDefault="00037998">
      <w:pPr>
        <w:rPr>
          <w:b/>
        </w:rPr>
      </w:pPr>
    </w:p>
    <w:p w:rsidRPr="00412C6F" w:rsidR="009B633D" w:rsidP="009B633D" w:rsidRDefault="009B633D">
      <w:pPr>
        <w:pStyle w:val="Heading2"/>
        <w:rPr>
          <w:sz w:val="24"/>
        </w:rPr>
      </w:pPr>
      <w:bookmarkStart w:name="_Toc151782188" w:id="36"/>
      <w:bookmarkStart w:name="_Toc158526228" w:id="37"/>
      <w:r w:rsidRPr="00412C6F">
        <w:rPr>
          <w:sz w:val="24"/>
        </w:rPr>
        <w:t>13. Estimates of Annualized Respondent Capital and Maintenance Costs</w:t>
      </w:r>
      <w:bookmarkEnd w:id="36"/>
      <w:bookmarkEnd w:id="37"/>
    </w:p>
    <w:p w:rsidR="00E14FC3" w:rsidP="00C205C8" w:rsidRDefault="00B762E0">
      <w:pPr>
        <w:spacing w:before="120"/>
      </w:pPr>
      <w:r>
        <w:t xml:space="preserve">Capital and maintenance costs include the purchase of </w:t>
      </w:r>
      <w:r w:rsidR="00C205C8">
        <w:t xml:space="preserve">equipment, </w:t>
      </w:r>
      <w:r>
        <w:t>computer</w:t>
      </w:r>
      <w:r w:rsidR="00C205C8">
        <w:t>s or computer software or services, or storage facilities for records, as a result of complying with this data collection.  T</w:t>
      </w:r>
      <w:r w:rsidR="0080612B">
        <w:t>here are no direct costs to respondents other than their time to participate in the study.</w:t>
      </w:r>
    </w:p>
    <w:p w:rsidR="00F52C56" w:rsidP="00C205C8" w:rsidRDefault="00F52C56">
      <w:pPr>
        <w:spacing w:before="120"/>
      </w:pPr>
    </w:p>
    <w:p w:rsidR="00CF40E1" w:rsidP="009B633D" w:rsidRDefault="00CF40E1">
      <w:pPr>
        <w:pStyle w:val="Heading2"/>
        <w:rPr>
          <w:sz w:val="24"/>
        </w:rPr>
      </w:pPr>
      <w:bookmarkStart w:name="_Toc58725299" w:id="38"/>
      <w:bookmarkStart w:name="_Toc151782189" w:id="39"/>
      <w:bookmarkStart w:name="_Toc158526229" w:id="40"/>
    </w:p>
    <w:p w:rsidR="00942750" w:rsidP="00942750" w:rsidRDefault="00942750"/>
    <w:p w:rsidR="00942750" w:rsidP="00942750" w:rsidRDefault="00942750"/>
    <w:p w:rsidR="00942750" w:rsidP="00942750" w:rsidRDefault="00942750"/>
    <w:p w:rsidRPr="00942750" w:rsidR="00942750" w:rsidP="00942750" w:rsidRDefault="00942750"/>
    <w:p w:rsidRPr="00412C6F" w:rsidR="009B633D" w:rsidP="009B633D" w:rsidRDefault="009B633D">
      <w:pPr>
        <w:pStyle w:val="Heading2"/>
        <w:rPr>
          <w:sz w:val="24"/>
        </w:rPr>
      </w:pPr>
      <w:r w:rsidRPr="00412C6F">
        <w:rPr>
          <w:sz w:val="24"/>
        </w:rPr>
        <w:t>14. Estimates of Annualized Cost to the Government</w:t>
      </w:r>
      <w:bookmarkEnd w:id="38"/>
      <w:bookmarkEnd w:id="39"/>
      <w:bookmarkEnd w:id="40"/>
    </w:p>
    <w:p w:rsidRPr="006A769B" w:rsidR="006A769B" w:rsidP="006A769B" w:rsidRDefault="006A769B">
      <w:pPr>
        <w:rPr>
          <w:rFonts w:eastAsia="Arial Unicode MS"/>
          <w:color w:val="000000"/>
          <w:szCs w:val="20"/>
        </w:rPr>
      </w:pPr>
      <w:bookmarkStart w:name="_Toc151782190" w:id="41"/>
      <w:bookmarkStart w:name="_Toc158526230" w:id="42"/>
      <w:r w:rsidRPr="006A769B">
        <w:rPr>
          <w:rFonts w:eastAsia="Arial Unicode MS"/>
          <w:color w:val="000000"/>
          <w:szCs w:val="20"/>
        </w:rPr>
        <w:t>Information collections conducted under this generic clearance will in some cases be carried out under contract.  Assuming the contract cost per survey are $50,000 - $100,000, which includes $20,000 for each focus group (10 focus groups per fiscal year), total contract costs could run $750,000 per year (10 focus groups x $75,000 average survey cost).  An additional annual cost of about $98,556 for agency staff would be associated with this assuming 10 surveys and 10</w:t>
      </w:r>
      <w:r w:rsidR="003D5223">
        <w:rPr>
          <w:rFonts w:eastAsia="Arial Unicode MS"/>
          <w:color w:val="000000"/>
          <w:szCs w:val="20"/>
        </w:rPr>
        <w:t xml:space="preserve"> </w:t>
      </w:r>
      <w:r w:rsidRPr="006A769B">
        <w:rPr>
          <w:rFonts w:eastAsia="Arial Unicode MS"/>
          <w:color w:val="000000"/>
          <w:szCs w:val="20"/>
        </w:rPr>
        <w:t>focus groups per fiscal year with10 GS14/5 program analysts or project officers ($137,491 annual salary*) and 5% of their time each fiscal year. The total annual cost to the government is estimated to be $</w:t>
      </w:r>
      <w:bookmarkStart w:name="_GoBack" w:id="43"/>
      <w:r w:rsidRPr="006A769B">
        <w:rPr>
          <w:rFonts w:eastAsia="Arial Unicode MS"/>
          <w:color w:val="000000"/>
          <w:szCs w:val="20"/>
        </w:rPr>
        <w:t>848,556</w:t>
      </w:r>
      <w:bookmarkEnd w:id="43"/>
      <w:r w:rsidRPr="006A769B">
        <w:rPr>
          <w:rFonts w:eastAsia="Arial Unicode MS"/>
          <w:color w:val="000000"/>
          <w:szCs w:val="20"/>
        </w:rPr>
        <w:t>.</w:t>
      </w:r>
    </w:p>
    <w:p w:rsidRPr="006A769B" w:rsidR="006A769B" w:rsidP="006A769B" w:rsidRDefault="006A769B">
      <w:pPr>
        <w:rPr>
          <w:rFonts w:eastAsia="Arial Unicode MS"/>
          <w:color w:val="000000"/>
          <w:szCs w:val="20"/>
        </w:rPr>
      </w:pPr>
      <w:r w:rsidRPr="006A769B">
        <w:rPr>
          <w:rFonts w:eastAsia="Arial Unicode MS"/>
          <w:color w:val="000000"/>
          <w:szCs w:val="20"/>
        </w:rPr>
        <w:t xml:space="preserve">Annual salaries based on 2020 OPM Pay Schedule for Washington/DC area: </w:t>
      </w:r>
      <w:hyperlink w:history="1" r:id="rId8">
        <w:r w:rsidRPr="006A769B">
          <w:rPr>
            <w:rStyle w:val="Hyperlink"/>
            <w:rFonts w:eastAsia="Arial Unicode MS"/>
            <w:szCs w:val="20"/>
          </w:rPr>
          <w:t>https://www.opm.gov/policy-data-oversight/pay-leave/salaries-wages/salary-tables/pdf/2020/DCB.pdf</w:t>
        </w:r>
      </w:hyperlink>
      <w:r w:rsidRPr="006A769B">
        <w:rPr>
          <w:rFonts w:eastAsia="Arial Unicode MS"/>
          <w:color w:val="000000"/>
          <w:szCs w:val="20"/>
        </w:rPr>
        <w:t xml:space="preserve"> </w:t>
      </w:r>
    </w:p>
    <w:p w:rsidRPr="00A046BB" w:rsidR="00F122B9" w:rsidP="00A046BB" w:rsidRDefault="00F122B9">
      <w:pPr>
        <w:rPr>
          <w:szCs w:val="20"/>
        </w:rPr>
      </w:pPr>
      <w:r w:rsidRPr="00F122B9">
        <w:rPr>
          <w:i/>
        </w:rPr>
        <w:t xml:space="preserve"> </w:t>
      </w:r>
    </w:p>
    <w:p w:rsidRPr="00412C6F" w:rsidR="009B633D" w:rsidP="009B633D" w:rsidRDefault="009B633D">
      <w:pPr>
        <w:pStyle w:val="Heading2"/>
        <w:rPr>
          <w:sz w:val="24"/>
        </w:rPr>
      </w:pPr>
      <w:r w:rsidRPr="00412C6F">
        <w:rPr>
          <w:sz w:val="24"/>
        </w:rPr>
        <w:t>15. Changes in Hour Burden</w:t>
      </w:r>
      <w:bookmarkEnd w:id="41"/>
      <w:bookmarkEnd w:id="42"/>
    </w:p>
    <w:p w:rsidRPr="00412C6F" w:rsidR="009B633D" w:rsidP="00CC37B6" w:rsidRDefault="0056067D">
      <w:bookmarkStart w:name="_Toc151782191" w:id="44"/>
      <w:bookmarkStart w:name="_Toc158526231" w:id="45"/>
      <w:r>
        <w:t xml:space="preserve">The total number of burden hours for the three years of this clearance has </w:t>
      </w:r>
      <w:r w:rsidR="00CC37B6">
        <w:t>not changed.</w:t>
      </w:r>
      <w:r w:rsidRPr="00412C6F" w:rsidR="009B633D">
        <w:t xml:space="preserve"> Time Schedule, Publication and Analysis Plans</w:t>
      </w:r>
      <w:bookmarkEnd w:id="44"/>
      <w:bookmarkEnd w:id="45"/>
    </w:p>
    <w:p w:rsidRPr="00582199" w:rsidR="00472713" w:rsidP="00472713" w:rsidRDefault="00472713">
      <w:pPr>
        <w:rPr>
          <w:szCs w:val="20"/>
        </w:rPr>
      </w:pPr>
      <w:bookmarkStart w:name="_Toc151782196" w:id="46"/>
      <w:bookmarkStart w:name="_Toc158526232" w:id="47"/>
      <w:r w:rsidRPr="00582199">
        <w:rPr>
          <w:szCs w:val="20"/>
        </w:rPr>
        <w:t>The purposes of these surveys are to identify problems areas, determine their magnitude and scope, and develop a plan to correct them.  It is also the purpose of these surveys to identify successes to learn how they succeeded and how those lessons can be applied to other AHRQ efforts.  The analyses will be descriptive and, to the extent that they can, inferential and generalizable.  The results of these findings are primarily for internal use but may be shared with key government policy and management officials, AHRQ staff, public and private health providers, and members of the general public.</w:t>
      </w:r>
    </w:p>
    <w:p w:rsidRPr="00582199" w:rsidR="00472713" w:rsidP="00472713" w:rsidRDefault="00472713">
      <w:pPr>
        <w:rPr>
          <w:szCs w:val="20"/>
        </w:rPr>
      </w:pPr>
    </w:p>
    <w:p w:rsidRPr="00582199" w:rsidR="00472713" w:rsidP="00472713" w:rsidRDefault="00472713">
      <w:pPr>
        <w:rPr>
          <w:szCs w:val="20"/>
        </w:rPr>
      </w:pPr>
      <w:r w:rsidRPr="00582199">
        <w:rPr>
          <w:szCs w:val="20"/>
        </w:rPr>
        <w:t>For the types of surveys described earlier, the following analyses would be appropriate:</w:t>
      </w:r>
    </w:p>
    <w:p w:rsidRPr="00582199" w:rsidR="00472713" w:rsidP="00472713" w:rsidRDefault="00472713">
      <w:pPr>
        <w:rPr>
          <w:szCs w:val="20"/>
        </w:rPr>
      </w:pPr>
    </w:p>
    <w:p w:rsidR="00472713" w:rsidP="00472713" w:rsidRDefault="00472713">
      <w:pPr>
        <w:tabs>
          <w:tab w:val="left" w:pos="720"/>
        </w:tabs>
        <w:ind w:left="720" w:hanging="720"/>
        <w:rPr>
          <w:szCs w:val="20"/>
        </w:rPr>
      </w:pPr>
      <w:r w:rsidRPr="00582199">
        <w:rPr>
          <w:szCs w:val="20"/>
        </w:rPr>
        <w:t>a.</w:t>
      </w:r>
      <w:r w:rsidRPr="00582199">
        <w:rPr>
          <w:szCs w:val="20"/>
        </w:rPr>
        <w:tab/>
      </w:r>
      <w:r w:rsidRPr="00582199">
        <w:rPr>
          <w:szCs w:val="20"/>
          <w:u w:val="single"/>
        </w:rPr>
        <w:t>Mail/</w:t>
      </w:r>
      <w:r>
        <w:rPr>
          <w:szCs w:val="20"/>
          <w:u w:val="single"/>
        </w:rPr>
        <w:t xml:space="preserve">email and </w:t>
      </w:r>
      <w:r w:rsidRPr="00582199">
        <w:rPr>
          <w:szCs w:val="20"/>
          <w:u w:val="single"/>
        </w:rPr>
        <w:t>telephone surveys</w:t>
      </w:r>
      <w:r w:rsidRPr="00582199">
        <w:rPr>
          <w:szCs w:val="20"/>
        </w:rPr>
        <w:t xml:space="preserve">:  Basic descriptive analyses are expected for these types of surveys.  Probability samples will be selected for these surveys so the opportunity exists for some generalizations to the population.  </w:t>
      </w:r>
    </w:p>
    <w:p w:rsidRPr="00582199" w:rsidR="00472713" w:rsidP="00472713" w:rsidRDefault="00472713">
      <w:pPr>
        <w:tabs>
          <w:tab w:val="left" w:pos="720"/>
        </w:tabs>
        <w:ind w:left="720" w:hanging="720"/>
        <w:rPr>
          <w:szCs w:val="20"/>
        </w:rPr>
      </w:pPr>
    </w:p>
    <w:p w:rsidRPr="00582199" w:rsidR="00472713" w:rsidP="00472713" w:rsidRDefault="00472713">
      <w:pPr>
        <w:tabs>
          <w:tab w:val="left" w:pos="720"/>
        </w:tabs>
        <w:ind w:left="720" w:hanging="720"/>
        <w:rPr>
          <w:szCs w:val="20"/>
        </w:rPr>
      </w:pPr>
      <w:r>
        <w:rPr>
          <w:szCs w:val="20"/>
        </w:rPr>
        <w:t>b</w:t>
      </w:r>
      <w:r w:rsidRPr="00582199">
        <w:rPr>
          <w:szCs w:val="20"/>
        </w:rPr>
        <w:t xml:space="preserve">. </w:t>
      </w:r>
      <w:r w:rsidRPr="00582199">
        <w:rPr>
          <w:szCs w:val="20"/>
        </w:rPr>
        <w:tab/>
      </w:r>
      <w:r w:rsidRPr="00582199">
        <w:rPr>
          <w:szCs w:val="20"/>
          <w:u w:val="single"/>
        </w:rPr>
        <w:t>Web-based</w:t>
      </w:r>
      <w:r w:rsidRPr="00582199">
        <w:rPr>
          <w:szCs w:val="20"/>
        </w:rPr>
        <w:t>: electronic technology will be used for this survey.  It will be mounted on the website for voluntary response as an electronic evaluation form.  In addition to summarizing responses to questions, basic demographic information will be collected and summarized.</w:t>
      </w:r>
    </w:p>
    <w:p w:rsidRPr="00582199" w:rsidR="00472713" w:rsidP="00472713" w:rsidRDefault="00472713">
      <w:pPr>
        <w:rPr>
          <w:szCs w:val="20"/>
        </w:rPr>
      </w:pPr>
    </w:p>
    <w:p w:rsidRPr="00582199" w:rsidR="00472713" w:rsidP="00472713" w:rsidRDefault="00472713">
      <w:pPr>
        <w:tabs>
          <w:tab w:val="num" w:pos="720"/>
        </w:tabs>
        <w:ind w:left="720" w:hanging="720"/>
        <w:rPr>
          <w:szCs w:val="20"/>
        </w:rPr>
      </w:pPr>
      <w:r>
        <w:rPr>
          <w:szCs w:val="20"/>
        </w:rPr>
        <w:t>c</w:t>
      </w:r>
      <w:r w:rsidRPr="00582199">
        <w:rPr>
          <w:szCs w:val="20"/>
        </w:rPr>
        <w:t>.</w:t>
      </w:r>
      <w:r w:rsidRPr="00582199">
        <w:rPr>
          <w:sz w:val="14"/>
          <w:szCs w:val="14"/>
        </w:rPr>
        <w:t xml:space="preserve">                  </w:t>
      </w:r>
      <w:r w:rsidRPr="00582199">
        <w:rPr>
          <w:szCs w:val="20"/>
          <w:u w:val="single"/>
        </w:rPr>
        <w:t>Focus groups</w:t>
      </w:r>
      <w:r w:rsidR="001229AE">
        <w:rPr>
          <w:szCs w:val="20"/>
          <w:u w:val="single"/>
        </w:rPr>
        <w:t xml:space="preserve"> and in-person interviews</w:t>
      </w:r>
      <w:r w:rsidRPr="00582199">
        <w:rPr>
          <w:szCs w:val="20"/>
        </w:rPr>
        <w:t xml:space="preserve">: Participants will be selected purposively, so that no generalizations to the population will be possible.   Focus groups will be used to identify problems and issues for further study and, in some instances, "brainstorm" for possible solutions.  The analyses will be qualitative and consist mostly of narrative summaries of the discussions. </w:t>
      </w:r>
      <w:r w:rsidR="001229AE">
        <w:rPr>
          <w:szCs w:val="20"/>
        </w:rPr>
        <w:t xml:space="preserve">  In-person interviews will be semi-structured and their analysis </w:t>
      </w:r>
      <w:r w:rsidRPr="00582199" w:rsidR="001229AE">
        <w:rPr>
          <w:szCs w:val="20"/>
        </w:rPr>
        <w:t>will be qualitative an</w:t>
      </w:r>
      <w:r w:rsidR="001229AE">
        <w:rPr>
          <w:szCs w:val="20"/>
        </w:rPr>
        <w:t>d consist mostly of summaries of the interviews.</w:t>
      </w:r>
    </w:p>
    <w:p w:rsidRPr="00582199" w:rsidR="00472713" w:rsidP="00472713" w:rsidRDefault="00472713">
      <w:pPr>
        <w:tabs>
          <w:tab w:val="left" w:pos="720"/>
        </w:tabs>
        <w:rPr>
          <w:szCs w:val="20"/>
        </w:rPr>
      </w:pPr>
    </w:p>
    <w:p w:rsidRPr="00424E6E" w:rsidR="009B633D" w:rsidP="009B633D" w:rsidRDefault="009B633D">
      <w:pPr>
        <w:pStyle w:val="Heading2"/>
        <w:rPr>
          <w:sz w:val="24"/>
        </w:rPr>
      </w:pPr>
      <w:r w:rsidRPr="00424E6E">
        <w:rPr>
          <w:sz w:val="24"/>
        </w:rPr>
        <w:t>17. Exemption for Display of Expiration Date</w:t>
      </w:r>
      <w:bookmarkEnd w:id="46"/>
      <w:bookmarkEnd w:id="47"/>
    </w:p>
    <w:p w:rsidR="005F4B12" w:rsidP="00472713" w:rsidRDefault="009B633D">
      <w:r w:rsidRPr="004F03D2">
        <w:t>AHRQ does not seek this exemption</w:t>
      </w:r>
      <w:r>
        <w:t>.</w:t>
      </w:r>
    </w:p>
    <w:p w:rsidR="00224D0F" w:rsidP="00472713" w:rsidRDefault="00224D0F"/>
    <w:p w:rsidR="00224D0F" w:rsidP="00472713" w:rsidRDefault="00224D0F">
      <w:r w:rsidRPr="00224D0F">
        <w:rPr>
          <w:b/>
        </w:rPr>
        <w:t>List of Attachments:</w:t>
      </w:r>
    </w:p>
    <w:p w:rsidR="00224D0F" w:rsidP="00472713" w:rsidRDefault="00224D0F"/>
    <w:p w:rsidR="00224D0F" w:rsidP="00472713" w:rsidRDefault="00224D0F">
      <w:r>
        <w:t>Attachment A – Healthcare Research and Quality Act of 1999</w:t>
      </w:r>
    </w:p>
    <w:p w:rsidR="00224D0F" w:rsidP="00472713" w:rsidRDefault="00224D0F">
      <w:r>
        <w:t xml:space="preserve">Attachment B </w:t>
      </w:r>
      <w:r w:rsidR="00CB2259">
        <w:t>–</w:t>
      </w:r>
      <w:r>
        <w:t xml:space="preserve"> </w:t>
      </w:r>
      <w:r w:rsidR="00CB2259">
        <w:t>Examples</w:t>
      </w:r>
    </w:p>
    <w:p w:rsidRPr="00224D0F" w:rsidR="00CB2259" w:rsidP="00472713" w:rsidRDefault="00CB2259">
      <w:r>
        <w:t>Attachment C – Federal Register Notice</w:t>
      </w:r>
    </w:p>
    <w:sectPr w:rsidRPr="00224D0F" w:rsidR="00CB2259" w:rsidSect="009B633D">
      <w:footerReference w:type="even" r:id="rId9"/>
      <w:footerReference w:type="default" r:id="rId10"/>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557" w:rsidRDefault="00144557">
      <w:r>
        <w:separator/>
      </w:r>
    </w:p>
  </w:endnote>
  <w:endnote w:type="continuationSeparator" w:id="0">
    <w:p w:rsidR="00144557" w:rsidRDefault="0014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AE" w:rsidRDefault="000872AE"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72AE" w:rsidRDefault="00087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AE" w:rsidRDefault="000872AE"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4DD3">
      <w:rPr>
        <w:rStyle w:val="PageNumber"/>
        <w:noProof/>
      </w:rPr>
      <w:t>- 6 -</w:t>
    </w:r>
    <w:r>
      <w:rPr>
        <w:rStyle w:val="PageNumber"/>
      </w:rPr>
      <w:fldChar w:fldCharType="end"/>
    </w:r>
  </w:p>
  <w:p w:rsidR="000872AE" w:rsidRDefault="00087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557" w:rsidRDefault="00144557">
      <w:r>
        <w:separator/>
      </w:r>
    </w:p>
  </w:footnote>
  <w:footnote w:type="continuationSeparator" w:id="0">
    <w:p w:rsidR="00144557" w:rsidRDefault="00144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15:restartNumberingAfterBreak="0">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0" w15:restartNumberingAfterBreak="0">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4" w15:restartNumberingAfterBreak="0">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18" w15:restartNumberingAfterBreak="0">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7" w15:restartNumberingAfterBreak="0">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8" w15:restartNumberingAfterBreak="0">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3" w15:restartNumberingAfterBreak="0">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42"/>
  </w:num>
  <w:num w:numId="7">
    <w:abstractNumId w:val="33"/>
  </w:num>
  <w:num w:numId="8">
    <w:abstractNumId w:val="29"/>
  </w:num>
  <w:num w:numId="9">
    <w:abstractNumId w:val="32"/>
  </w:num>
  <w:num w:numId="10">
    <w:abstractNumId w:val="11"/>
  </w:num>
  <w:num w:numId="11">
    <w:abstractNumId w:val="28"/>
  </w:num>
  <w:num w:numId="12">
    <w:abstractNumId w:val="41"/>
  </w:num>
  <w:num w:numId="13">
    <w:abstractNumId w:val="7"/>
  </w:num>
  <w:num w:numId="14">
    <w:abstractNumId w:val="14"/>
  </w:num>
  <w:num w:numId="15">
    <w:abstractNumId w:val="26"/>
  </w:num>
  <w:num w:numId="16">
    <w:abstractNumId w:val="40"/>
  </w:num>
  <w:num w:numId="17">
    <w:abstractNumId w:val="35"/>
  </w:num>
  <w:num w:numId="18">
    <w:abstractNumId w:val="16"/>
  </w:num>
  <w:num w:numId="19">
    <w:abstractNumId w:val="25"/>
  </w:num>
  <w:num w:numId="20">
    <w:abstractNumId w:val="8"/>
  </w:num>
  <w:num w:numId="21">
    <w:abstractNumId w:val="38"/>
  </w:num>
  <w:num w:numId="22">
    <w:abstractNumId w:val="1"/>
  </w:num>
  <w:num w:numId="23">
    <w:abstractNumId w:val="34"/>
  </w:num>
  <w:num w:numId="24">
    <w:abstractNumId w:val="31"/>
  </w:num>
  <w:num w:numId="25">
    <w:abstractNumId w:val="4"/>
  </w:num>
  <w:num w:numId="26">
    <w:abstractNumId w:val="9"/>
  </w:num>
  <w:num w:numId="27">
    <w:abstractNumId w:val="27"/>
  </w:num>
  <w:num w:numId="28">
    <w:abstractNumId w:val="0"/>
  </w:num>
  <w:num w:numId="29">
    <w:abstractNumId w:val="17"/>
  </w:num>
  <w:num w:numId="30">
    <w:abstractNumId w:val="13"/>
  </w:num>
  <w:num w:numId="31">
    <w:abstractNumId w:val="39"/>
  </w:num>
  <w:num w:numId="32">
    <w:abstractNumId w:val="36"/>
  </w:num>
  <w:num w:numId="33">
    <w:abstractNumId w:val="43"/>
  </w:num>
  <w:num w:numId="34">
    <w:abstractNumId w:val="18"/>
  </w:num>
  <w:num w:numId="35">
    <w:abstractNumId w:val="24"/>
  </w:num>
  <w:num w:numId="36">
    <w:abstractNumId w:val="19"/>
  </w:num>
  <w:num w:numId="37">
    <w:abstractNumId w:val="30"/>
  </w:num>
  <w:num w:numId="38">
    <w:abstractNumId w:val="12"/>
  </w:num>
  <w:num w:numId="39">
    <w:abstractNumId w:val="3"/>
  </w:num>
  <w:num w:numId="40">
    <w:abstractNumId w:val="23"/>
  </w:num>
  <w:num w:numId="41">
    <w:abstractNumId w:val="5"/>
  </w:num>
  <w:num w:numId="42">
    <w:abstractNumId w:val="6"/>
  </w:num>
  <w:num w:numId="43">
    <w:abstractNumId w:val="2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E85"/>
    <w:rsid w:val="00016560"/>
    <w:rsid w:val="00024FEE"/>
    <w:rsid w:val="00037998"/>
    <w:rsid w:val="000407C0"/>
    <w:rsid w:val="00045959"/>
    <w:rsid w:val="00046359"/>
    <w:rsid w:val="00056A9A"/>
    <w:rsid w:val="0006207D"/>
    <w:rsid w:val="000727EB"/>
    <w:rsid w:val="0007718D"/>
    <w:rsid w:val="000779A9"/>
    <w:rsid w:val="00082047"/>
    <w:rsid w:val="000872AE"/>
    <w:rsid w:val="00091FD3"/>
    <w:rsid w:val="000A0FB8"/>
    <w:rsid w:val="000A140E"/>
    <w:rsid w:val="000A3475"/>
    <w:rsid w:val="000B27BF"/>
    <w:rsid w:val="000B78CB"/>
    <w:rsid w:val="000D429E"/>
    <w:rsid w:val="000E01D1"/>
    <w:rsid w:val="000F1328"/>
    <w:rsid w:val="000F2B59"/>
    <w:rsid w:val="000F33A4"/>
    <w:rsid w:val="00112DF2"/>
    <w:rsid w:val="001229AE"/>
    <w:rsid w:val="00131443"/>
    <w:rsid w:val="001327E4"/>
    <w:rsid w:val="00144557"/>
    <w:rsid w:val="00167B2A"/>
    <w:rsid w:val="00186272"/>
    <w:rsid w:val="00187A50"/>
    <w:rsid w:val="001B1C61"/>
    <w:rsid w:val="001C48E3"/>
    <w:rsid w:val="001C59E4"/>
    <w:rsid w:val="001D339A"/>
    <w:rsid w:val="001F2B64"/>
    <w:rsid w:val="00207507"/>
    <w:rsid w:val="0021145B"/>
    <w:rsid w:val="00217EB3"/>
    <w:rsid w:val="0022366A"/>
    <w:rsid w:val="00224D0F"/>
    <w:rsid w:val="00227369"/>
    <w:rsid w:val="002578CF"/>
    <w:rsid w:val="0026424E"/>
    <w:rsid w:val="00272E29"/>
    <w:rsid w:val="00281AC4"/>
    <w:rsid w:val="00291B73"/>
    <w:rsid w:val="0029734C"/>
    <w:rsid w:val="002A2CE9"/>
    <w:rsid w:val="002B1E4F"/>
    <w:rsid w:val="002B382B"/>
    <w:rsid w:val="002C4243"/>
    <w:rsid w:val="002E0757"/>
    <w:rsid w:val="002E0AB3"/>
    <w:rsid w:val="002E54EF"/>
    <w:rsid w:val="002F1329"/>
    <w:rsid w:val="002F4DE8"/>
    <w:rsid w:val="00325B9C"/>
    <w:rsid w:val="003330A8"/>
    <w:rsid w:val="00335F9F"/>
    <w:rsid w:val="00340D97"/>
    <w:rsid w:val="00345CDB"/>
    <w:rsid w:val="00361F52"/>
    <w:rsid w:val="00370359"/>
    <w:rsid w:val="00377301"/>
    <w:rsid w:val="0037771B"/>
    <w:rsid w:val="0038217D"/>
    <w:rsid w:val="00385AC7"/>
    <w:rsid w:val="00387E91"/>
    <w:rsid w:val="003954FC"/>
    <w:rsid w:val="003B1733"/>
    <w:rsid w:val="003B39DE"/>
    <w:rsid w:val="003B6B41"/>
    <w:rsid w:val="003C60BD"/>
    <w:rsid w:val="003D21A7"/>
    <w:rsid w:val="003D5223"/>
    <w:rsid w:val="003D73D8"/>
    <w:rsid w:val="003F5921"/>
    <w:rsid w:val="003F76E8"/>
    <w:rsid w:val="00414C80"/>
    <w:rsid w:val="004155E1"/>
    <w:rsid w:val="00425974"/>
    <w:rsid w:val="0043596B"/>
    <w:rsid w:val="0044521B"/>
    <w:rsid w:val="0044769A"/>
    <w:rsid w:val="00450538"/>
    <w:rsid w:val="00456179"/>
    <w:rsid w:val="00465D78"/>
    <w:rsid w:val="00467163"/>
    <w:rsid w:val="00467D1A"/>
    <w:rsid w:val="00472713"/>
    <w:rsid w:val="0047504D"/>
    <w:rsid w:val="0047608D"/>
    <w:rsid w:val="00481E0C"/>
    <w:rsid w:val="00495C54"/>
    <w:rsid w:val="00496A43"/>
    <w:rsid w:val="004B2501"/>
    <w:rsid w:val="004C3088"/>
    <w:rsid w:val="004C4A74"/>
    <w:rsid w:val="004D5A89"/>
    <w:rsid w:val="004E3A1B"/>
    <w:rsid w:val="004F7555"/>
    <w:rsid w:val="00510909"/>
    <w:rsid w:val="005112C9"/>
    <w:rsid w:val="005125D1"/>
    <w:rsid w:val="00515591"/>
    <w:rsid w:val="00520CE0"/>
    <w:rsid w:val="00531857"/>
    <w:rsid w:val="00534FB7"/>
    <w:rsid w:val="00535B56"/>
    <w:rsid w:val="005434E9"/>
    <w:rsid w:val="00547429"/>
    <w:rsid w:val="00556066"/>
    <w:rsid w:val="0056067D"/>
    <w:rsid w:val="00571DED"/>
    <w:rsid w:val="00581FD2"/>
    <w:rsid w:val="00596952"/>
    <w:rsid w:val="005A5A71"/>
    <w:rsid w:val="005B2955"/>
    <w:rsid w:val="005B3C01"/>
    <w:rsid w:val="005B62CF"/>
    <w:rsid w:val="005B6FAA"/>
    <w:rsid w:val="005D04BB"/>
    <w:rsid w:val="005D1146"/>
    <w:rsid w:val="005D2D4D"/>
    <w:rsid w:val="005E16F9"/>
    <w:rsid w:val="005E3C13"/>
    <w:rsid w:val="005E6E24"/>
    <w:rsid w:val="005F4B12"/>
    <w:rsid w:val="005F66BB"/>
    <w:rsid w:val="006014DB"/>
    <w:rsid w:val="00605630"/>
    <w:rsid w:val="00606400"/>
    <w:rsid w:val="00613C05"/>
    <w:rsid w:val="006163AA"/>
    <w:rsid w:val="00623B79"/>
    <w:rsid w:val="00625C1B"/>
    <w:rsid w:val="00631C81"/>
    <w:rsid w:val="006330EE"/>
    <w:rsid w:val="00635119"/>
    <w:rsid w:val="00636A0C"/>
    <w:rsid w:val="00654EA0"/>
    <w:rsid w:val="00655A17"/>
    <w:rsid w:val="00673146"/>
    <w:rsid w:val="006A769B"/>
    <w:rsid w:val="006C1808"/>
    <w:rsid w:val="006C5D6A"/>
    <w:rsid w:val="006D72D3"/>
    <w:rsid w:val="006E0C4A"/>
    <w:rsid w:val="0070072D"/>
    <w:rsid w:val="00703573"/>
    <w:rsid w:val="007109B1"/>
    <w:rsid w:val="007164E2"/>
    <w:rsid w:val="00717EEC"/>
    <w:rsid w:val="007220FC"/>
    <w:rsid w:val="00723075"/>
    <w:rsid w:val="00727BE2"/>
    <w:rsid w:val="00740F3F"/>
    <w:rsid w:val="00744D19"/>
    <w:rsid w:val="00747A7E"/>
    <w:rsid w:val="00765D1A"/>
    <w:rsid w:val="007721F3"/>
    <w:rsid w:val="00772BBB"/>
    <w:rsid w:val="00782773"/>
    <w:rsid w:val="007A487D"/>
    <w:rsid w:val="007A53CB"/>
    <w:rsid w:val="007B0CF3"/>
    <w:rsid w:val="007B1DBD"/>
    <w:rsid w:val="007B3A8E"/>
    <w:rsid w:val="007C1ECB"/>
    <w:rsid w:val="007D4F9F"/>
    <w:rsid w:val="007E4359"/>
    <w:rsid w:val="007E5192"/>
    <w:rsid w:val="00804BE7"/>
    <w:rsid w:val="0080612B"/>
    <w:rsid w:val="0081611E"/>
    <w:rsid w:val="00817DA0"/>
    <w:rsid w:val="00825DA9"/>
    <w:rsid w:val="008450C0"/>
    <w:rsid w:val="00861E61"/>
    <w:rsid w:val="00866B48"/>
    <w:rsid w:val="00867E1F"/>
    <w:rsid w:val="00880DFE"/>
    <w:rsid w:val="00887728"/>
    <w:rsid w:val="00887F65"/>
    <w:rsid w:val="00891F9E"/>
    <w:rsid w:val="00892655"/>
    <w:rsid w:val="008949C6"/>
    <w:rsid w:val="00897777"/>
    <w:rsid w:val="008B593F"/>
    <w:rsid w:val="008C580E"/>
    <w:rsid w:val="008E1D4B"/>
    <w:rsid w:val="008E567E"/>
    <w:rsid w:val="008E5C1D"/>
    <w:rsid w:val="008F0B8B"/>
    <w:rsid w:val="00902F51"/>
    <w:rsid w:val="009117D3"/>
    <w:rsid w:val="0091429F"/>
    <w:rsid w:val="009374DF"/>
    <w:rsid w:val="00942750"/>
    <w:rsid w:val="009943E2"/>
    <w:rsid w:val="009943E4"/>
    <w:rsid w:val="0099781A"/>
    <w:rsid w:val="009A0D4E"/>
    <w:rsid w:val="009A237A"/>
    <w:rsid w:val="009A49A7"/>
    <w:rsid w:val="009B633D"/>
    <w:rsid w:val="009C4881"/>
    <w:rsid w:val="009D3DBB"/>
    <w:rsid w:val="009D450E"/>
    <w:rsid w:val="009D4E07"/>
    <w:rsid w:val="009F597D"/>
    <w:rsid w:val="00A046BB"/>
    <w:rsid w:val="00A15D49"/>
    <w:rsid w:val="00A171C2"/>
    <w:rsid w:val="00A30D9A"/>
    <w:rsid w:val="00A323C5"/>
    <w:rsid w:val="00A4694A"/>
    <w:rsid w:val="00A651EA"/>
    <w:rsid w:val="00A73B54"/>
    <w:rsid w:val="00A835E4"/>
    <w:rsid w:val="00A905D8"/>
    <w:rsid w:val="00A94219"/>
    <w:rsid w:val="00AA1DDC"/>
    <w:rsid w:val="00AA3F0B"/>
    <w:rsid w:val="00AA788A"/>
    <w:rsid w:val="00AB6339"/>
    <w:rsid w:val="00AD4DD3"/>
    <w:rsid w:val="00AD6516"/>
    <w:rsid w:val="00AE272E"/>
    <w:rsid w:val="00AE4702"/>
    <w:rsid w:val="00AF1291"/>
    <w:rsid w:val="00AF77FE"/>
    <w:rsid w:val="00B1184D"/>
    <w:rsid w:val="00B238AD"/>
    <w:rsid w:val="00B257FE"/>
    <w:rsid w:val="00B35BF4"/>
    <w:rsid w:val="00B43553"/>
    <w:rsid w:val="00B4793E"/>
    <w:rsid w:val="00B52533"/>
    <w:rsid w:val="00B645ED"/>
    <w:rsid w:val="00B703AF"/>
    <w:rsid w:val="00B720EC"/>
    <w:rsid w:val="00B762E0"/>
    <w:rsid w:val="00B825D0"/>
    <w:rsid w:val="00B83929"/>
    <w:rsid w:val="00B915F1"/>
    <w:rsid w:val="00BB1C2F"/>
    <w:rsid w:val="00BB2479"/>
    <w:rsid w:val="00BB7136"/>
    <w:rsid w:val="00BD3A7E"/>
    <w:rsid w:val="00BE0430"/>
    <w:rsid w:val="00BE2C29"/>
    <w:rsid w:val="00BF735E"/>
    <w:rsid w:val="00C02273"/>
    <w:rsid w:val="00C0644C"/>
    <w:rsid w:val="00C205C8"/>
    <w:rsid w:val="00C37BCF"/>
    <w:rsid w:val="00C4006D"/>
    <w:rsid w:val="00C56C11"/>
    <w:rsid w:val="00C66EB9"/>
    <w:rsid w:val="00C67691"/>
    <w:rsid w:val="00C73F08"/>
    <w:rsid w:val="00C80EBD"/>
    <w:rsid w:val="00CA136B"/>
    <w:rsid w:val="00CA7470"/>
    <w:rsid w:val="00CB2259"/>
    <w:rsid w:val="00CC37B6"/>
    <w:rsid w:val="00CF3494"/>
    <w:rsid w:val="00CF3861"/>
    <w:rsid w:val="00CF40E1"/>
    <w:rsid w:val="00D0660C"/>
    <w:rsid w:val="00D150A9"/>
    <w:rsid w:val="00D2521F"/>
    <w:rsid w:val="00D27D52"/>
    <w:rsid w:val="00D543D5"/>
    <w:rsid w:val="00D55E13"/>
    <w:rsid w:val="00D66E74"/>
    <w:rsid w:val="00D76033"/>
    <w:rsid w:val="00DA097F"/>
    <w:rsid w:val="00DA5D24"/>
    <w:rsid w:val="00DA73A3"/>
    <w:rsid w:val="00DB3948"/>
    <w:rsid w:val="00DC081C"/>
    <w:rsid w:val="00DD023C"/>
    <w:rsid w:val="00DE1C82"/>
    <w:rsid w:val="00DF4F3C"/>
    <w:rsid w:val="00DF5E79"/>
    <w:rsid w:val="00E002F8"/>
    <w:rsid w:val="00E14FC3"/>
    <w:rsid w:val="00E21E94"/>
    <w:rsid w:val="00E2592B"/>
    <w:rsid w:val="00E47851"/>
    <w:rsid w:val="00E52235"/>
    <w:rsid w:val="00E55D0C"/>
    <w:rsid w:val="00E706B3"/>
    <w:rsid w:val="00E7422B"/>
    <w:rsid w:val="00E97584"/>
    <w:rsid w:val="00EB1B55"/>
    <w:rsid w:val="00EB2BDE"/>
    <w:rsid w:val="00EB58F3"/>
    <w:rsid w:val="00ED0EBB"/>
    <w:rsid w:val="00ED5F8A"/>
    <w:rsid w:val="00EE4455"/>
    <w:rsid w:val="00F03740"/>
    <w:rsid w:val="00F04055"/>
    <w:rsid w:val="00F10741"/>
    <w:rsid w:val="00F1095D"/>
    <w:rsid w:val="00F122B9"/>
    <w:rsid w:val="00F218E0"/>
    <w:rsid w:val="00F21CD9"/>
    <w:rsid w:val="00F3207F"/>
    <w:rsid w:val="00F35FAF"/>
    <w:rsid w:val="00F36C33"/>
    <w:rsid w:val="00F46275"/>
    <w:rsid w:val="00F52C56"/>
    <w:rsid w:val="00F5665F"/>
    <w:rsid w:val="00F60488"/>
    <w:rsid w:val="00F63BC0"/>
    <w:rsid w:val="00F640FB"/>
    <w:rsid w:val="00F8477B"/>
    <w:rsid w:val="00F8565E"/>
    <w:rsid w:val="00F94B00"/>
    <w:rsid w:val="00FA03AD"/>
    <w:rsid w:val="00FA2E89"/>
    <w:rsid w:val="00FA6F41"/>
    <w:rsid w:val="00FB6500"/>
    <w:rsid w:val="00FC2461"/>
    <w:rsid w:val="00FC430C"/>
    <w:rsid w:val="00FC7332"/>
    <w:rsid w:val="00FE30B3"/>
    <w:rsid w:val="00FE5142"/>
    <w:rsid w:val="00FF397A"/>
    <w:rsid w:val="00FF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B58987C-FB08-43CC-A364-CDAC5187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902F51"/>
    <w:pPr>
      <w:spacing w:line="480" w:lineRule="auto"/>
      <w:ind w:firstLine="720"/>
    </w:pPr>
    <w:rPr>
      <w:sz w:val="22"/>
    </w:rPr>
  </w:style>
  <w:style w:type="character" w:customStyle="1" w:styleId="P1-StandParaChar">
    <w:name w:val="P1-Stand Para Char"/>
    <w:link w:val="P1-StandPara"/>
    <w:rsid w:val="00902F51"/>
    <w:rPr>
      <w:sz w:val="22"/>
    </w:rPr>
  </w:style>
  <w:style w:type="paragraph" w:customStyle="1" w:styleId="Default">
    <w:name w:val="Default"/>
    <w:rsid w:val="00AF1291"/>
    <w:pPr>
      <w:autoSpaceDE w:val="0"/>
      <w:autoSpaceDN w:val="0"/>
      <w:adjustRightInd w:val="0"/>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05713784">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DCB.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13488</CharactersWithSpaces>
  <SharedDoc>false</SharedDoc>
  <HLinks>
    <vt:vector size="12" baseType="variant">
      <vt:variant>
        <vt:i4>1638428</vt:i4>
      </vt:variant>
      <vt:variant>
        <vt:i4>6</vt:i4>
      </vt:variant>
      <vt:variant>
        <vt:i4>0</vt:i4>
      </vt:variant>
      <vt:variant>
        <vt:i4>5</vt:i4>
      </vt:variant>
      <vt:variant>
        <vt:lpwstr>https://www.opm.gov/policy-data-oversight/pay-leave/salaries-wages/salary-tables/pdf/2020/DCB.pdf</vt:lpwstr>
      </vt:variant>
      <vt:variant>
        <vt:lpwstr/>
      </vt:variant>
      <vt:variant>
        <vt:i4>6094899</vt:i4>
      </vt:variant>
      <vt:variant>
        <vt:i4>3</vt:i4>
      </vt:variant>
      <vt:variant>
        <vt:i4>0</vt:i4>
      </vt:variant>
      <vt:variant>
        <vt:i4>5</vt:i4>
      </vt:variant>
      <vt:variant>
        <vt:lpwstr>https://www.bls.gov/oes/current/oes_nat.htm</vt:lpwstr>
      </vt:variant>
      <vt:variant>
        <vt:lpwstr>b29-0000.htm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cp:lastModifiedBy>Brown, Erwin (AHRQ/CFACT)</cp:lastModifiedBy>
  <cp:revision>2</cp:revision>
  <cp:lastPrinted>2010-12-10T15:25:00Z</cp:lastPrinted>
  <dcterms:created xsi:type="dcterms:W3CDTF">2020-09-21T19:09:00Z</dcterms:created>
  <dcterms:modified xsi:type="dcterms:W3CDTF">2020-09-21T19:09:00Z</dcterms:modified>
</cp:coreProperties>
</file>