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3428" w:rsidR="00FA3428" w:rsidP="00FA3428" w:rsidRDefault="00FA3428">
      <w:pPr>
        <w:rPr>
          <w:b/>
        </w:rPr>
      </w:pPr>
    </w:p>
    <w:p w:rsidRPr="00FA3428" w:rsidR="00FA3428" w:rsidP="00BA53A4" w:rsidRDefault="00FA3428">
      <w:pPr>
        <w:jc w:val="center"/>
        <w:rPr>
          <w:b/>
        </w:rPr>
      </w:pPr>
      <w:r w:rsidRPr="00FA3428">
        <w:rPr>
          <w:b/>
        </w:rPr>
        <w:t>SUPPORTING STATEMENT</w:t>
      </w:r>
    </w:p>
    <w:p w:rsidRPr="00FA3428" w:rsidR="00FA3428" w:rsidP="00BA53A4" w:rsidRDefault="00FA3428">
      <w:pPr>
        <w:jc w:val="center"/>
      </w:pPr>
      <w:r w:rsidRPr="00FA3428">
        <w:rPr>
          <w:b/>
        </w:rPr>
        <w:t>Part A</w:t>
      </w:r>
    </w:p>
    <w:p w:rsidRPr="00FA3428" w:rsidR="00FA3428" w:rsidP="00BA53A4" w:rsidRDefault="00FA3428">
      <w:pPr>
        <w:jc w:val="center"/>
        <w:rPr>
          <w:b/>
        </w:rPr>
      </w:pPr>
    </w:p>
    <w:p w:rsidRPr="00FA3428" w:rsidR="00FA3428" w:rsidP="00BA53A4" w:rsidRDefault="00FA3428">
      <w:pPr>
        <w:jc w:val="center"/>
        <w:rPr>
          <w:b/>
        </w:rPr>
      </w:pPr>
    </w:p>
    <w:p w:rsidRPr="00FA3428" w:rsidR="00FA3428" w:rsidP="00BA53A4" w:rsidRDefault="00FA3428">
      <w:pPr>
        <w:jc w:val="center"/>
        <w:rPr>
          <w:b/>
        </w:rPr>
      </w:pPr>
    </w:p>
    <w:p w:rsidRPr="00FA3428" w:rsidR="00FA3428" w:rsidP="00BA53A4" w:rsidRDefault="00FA3428">
      <w:pPr>
        <w:jc w:val="center"/>
        <w:rPr>
          <w:b/>
        </w:rPr>
      </w:pPr>
    </w:p>
    <w:p w:rsidRPr="00FA3428" w:rsidR="00FA3428" w:rsidP="00BA53A4" w:rsidRDefault="00FA3428">
      <w:pPr>
        <w:jc w:val="center"/>
        <w:rPr>
          <w:b/>
        </w:rPr>
      </w:pPr>
      <w:r w:rsidRPr="00FA3428">
        <w:rPr>
          <w:b/>
          <w:bCs/>
        </w:rPr>
        <w:t>Generic Clearance for the Collection of Qualitative Feedback on Agency Service Delivery</w:t>
      </w:r>
    </w:p>
    <w:p w:rsidRPr="00FA3428" w:rsidR="00FA3428" w:rsidP="00BA53A4" w:rsidRDefault="00FA3428">
      <w:pPr>
        <w:jc w:val="center"/>
        <w:rPr>
          <w:b/>
        </w:rPr>
      </w:pPr>
    </w:p>
    <w:p w:rsidRPr="00FA3428" w:rsidR="00FA3428" w:rsidP="00BA53A4" w:rsidRDefault="00FA3428">
      <w:pPr>
        <w:jc w:val="center"/>
        <w:rPr>
          <w:b/>
        </w:rPr>
      </w:pPr>
    </w:p>
    <w:p w:rsidRPr="00FA3428" w:rsidR="00FA3428" w:rsidP="00BA53A4" w:rsidRDefault="00FA3428">
      <w:pPr>
        <w:jc w:val="center"/>
        <w:rPr>
          <w:b/>
        </w:rPr>
      </w:pPr>
    </w:p>
    <w:p w:rsidRPr="00FA3428" w:rsidR="00FA3428" w:rsidP="00BA53A4" w:rsidRDefault="00FA3428">
      <w:pPr>
        <w:jc w:val="center"/>
        <w:rPr>
          <w:i/>
        </w:rPr>
      </w:pPr>
      <w:r w:rsidRPr="00FA3428">
        <w:t>OMB Number 0935-0179</w:t>
      </w:r>
    </w:p>
    <w:p w:rsidRPr="00FA3428" w:rsidR="00FA3428" w:rsidP="00FA3428" w:rsidRDefault="00FA3428">
      <w:pPr>
        <w:rPr>
          <w:b/>
        </w:rPr>
      </w:pPr>
    </w:p>
    <w:p w:rsidRPr="00FA3428" w:rsidR="00FA3428" w:rsidP="00FA3428" w:rsidRDefault="00FA3428">
      <w:pPr>
        <w:rPr>
          <w:b/>
        </w:rPr>
      </w:pPr>
    </w:p>
    <w:p w:rsidRPr="00FA3428" w:rsidR="00FA3428" w:rsidP="00FA3428" w:rsidRDefault="00FA3428">
      <w:pPr>
        <w:rPr>
          <w:b/>
        </w:rPr>
      </w:pPr>
    </w:p>
    <w:p w:rsidRPr="00FA3428" w:rsidR="00FA3428" w:rsidP="00BA53A4" w:rsidRDefault="00FA3428">
      <w:pPr>
        <w:jc w:val="center"/>
        <w:rPr>
          <w:i/>
        </w:rPr>
      </w:pPr>
      <w:r w:rsidRPr="00FA3428">
        <w:rPr>
          <w:b/>
        </w:rPr>
        <w:t>Version: 4</w:t>
      </w:r>
      <w:r w:rsidRPr="00FA3428">
        <w:t>/20/2020</w:t>
      </w:r>
    </w:p>
    <w:p w:rsidRPr="00FA3428" w:rsidR="00FA3428" w:rsidP="00BA53A4" w:rsidRDefault="00FA3428">
      <w:pPr>
        <w:jc w:val="center"/>
      </w:pPr>
    </w:p>
    <w:p w:rsidRPr="00FA3428" w:rsidR="00FA3428" w:rsidP="00BA53A4" w:rsidRDefault="00FA3428">
      <w:pPr>
        <w:jc w:val="center"/>
      </w:pPr>
    </w:p>
    <w:p w:rsidRPr="00FA3428" w:rsidR="00FA3428" w:rsidP="00BA53A4" w:rsidRDefault="00FA3428">
      <w:pPr>
        <w:jc w:val="center"/>
      </w:pPr>
    </w:p>
    <w:p w:rsidRPr="00FA3428" w:rsidR="00FA3428" w:rsidP="00BA53A4" w:rsidRDefault="00FA3428">
      <w:pPr>
        <w:jc w:val="center"/>
      </w:pPr>
    </w:p>
    <w:p w:rsidRPr="00FA3428" w:rsidR="00FA3428" w:rsidP="00BA53A4" w:rsidRDefault="00FA3428">
      <w:pPr>
        <w:jc w:val="center"/>
      </w:pPr>
    </w:p>
    <w:p w:rsidRPr="00FA3428" w:rsidR="00FA3428" w:rsidP="00BA53A4" w:rsidRDefault="00FA3428">
      <w:pPr>
        <w:jc w:val="center"/>
      </w:pPr>
      <w:r w:rsidRPr="00FA3428">
        <w:t>Agency of Healthcare Research and Quality (AHRQ)</w:t>
      </w:r>
    </w:p>
    <w:p w:rsidRPr="00FA3428" w:rsidR="00FA3428" w:rsidDel="00C2556A" w:rsidP="00FA3428" w:rsidRDefault="00FA3428">
      <w:pPr>
        <w:rPr>
          <w:b/>
        </w:rPr>
      </w:pPr>
      <w:r w:rsidRPr="00FA3428">
        <w:rPr>
          <w:b/>
        </w:rPr>
        <w:br w:type="page"/>
      </w:r>
    </w:p>
    <w:p w:rsidRPr="00FA3428" w:rsidR="00FA3428" w:rsidP="00FA3428" w:rsidRDefault="00FA3428">
      <w:pPr>
        <w:rPr>
          <w:b/>
        </w:rPr>
      </w:pPr>
    </w:p>
    <w:p w:rsidRPr="00FA3428" w:rsidR="00FA3428" w:rsidP="00FA3428" w:rsidRDefault="00FA3428"/>
    <w:p w:rsidRPr="00FA3428" w:rsidR="00FA3428" w:rsidP="00FA3428" w:rsidRDefault="00FA3428"/>
    <w:p w:rsidRPr="00FA3428" w:rsidR="00FA3428" w:rsidP="00FA3428" w:rsidRDefault="00FA3428">
      <w:pPr>
        <w:numPr>
          <w:ilvl w:val="0"/>
          <w:numId w:val="1"/>
        </w:numPr>
        <w:rPr>
          <w:b/>
        </w:rPr>
      </w:pPr>
      <w:r w:rsidRPr="00FA3428">
        <w:rPr>
          <w:b/>
        </w:rPr>
        <w:t>JUSTIFICATION</w:t>
      </w:r>
    </w:p>
    <w:p w:rsidRPr="00FA3428" w:rsidR="00FA3428" w:rsidP="00FA3428" w:rsidRDefault="00FA3428">
      <w:pPr>
        <w:rPr>
          <w:b/>
        </w:rPr>
      </w:pPr>
    </w:p>
    <w:p w:rsidRPr="00FA3428" w:rsidR="00FA3428" w:rsidP="00FA3428" w:rsidRDefault="00FA3428">
      <w:pPr>
        <w:numPr>
          <w:ilvl w:val="0"/>
          <w:numId w:val="2"/>
        </w:numPr>
        <w:rPr>
          <w:b/>
        </w:rPr>
      </w:pPr>
      <w:r w:rsidRPr="00FA3428">
        <w:rPr>
          <w:b/>
        </w:rPr>
        <w:t>Circumstances Making the Collection of Information Necessary</w:t>
      </w:r>
    </w:p>
    <w:p w:rsidRPr="00FA3428" w:rsidR="00FA3428" w:rsidP="00FA3428" w:rsidRDefault="00FA3428">
      <w:pPr>
        <w:rPr>
          <w:b/>
        </w:rPr>
      </w:pPr>
    </w:p>
    <w:p w:rsidRPr="00FA3428" w:rsidR="00FA3428" w:rsidP="00FA3428" w:rsidRDefault="00FA3428">
      <w:r w:rsidRPr="00FA3428">
        <w:t>Executive Order 12862 directs Federal agencies to provide service to the public that matches or exceeds the best service available in the private sector. In order to work continuously to ensure that our programs are effective and meet our customers’ needs, AHRQ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Pr="00FA3428" w:rsidR="00FA3428" w:rsidP="00FA3428" w:rsidRDefault="00FA3428">
      <w:pPr>
        <w:rPr>
          <w:b/>
        </w:rPr>
      </w:pPr>
    </w:p>
    <w:p w:rsidRPr="00FA3428" w:rsidR="00FA3428" w:rsidP="00FA3428" w:rsidRDefault="00FA3428">
      <w:r w:rsidRPr="00FA3428">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Pr="00FA3428" w:rsidR="00FA3428" w:rsidP="00FA3428" w:rsidRDefault="00FA3428">
      <w:r w:rsidRPr="00FA3428">
        <w:t xml:space="preserve"> </w:t>
      </w:r>
    </w:p>
    <w:p w:rsidRPr="00FA3428" w:rsidR="00FA3428" w:rsidP="00FA3428" w:rsidRDefault="00FA3428"/>
    <w:p w:rsidRPr="00FA3428" w:rsidR="00FA3428" w:rsidP="00FA3428" w:rsidRDefault="00FA3428">
      <w:pPr>
        <w:numPr>
          <w:ilvl w:val="0"/>
          <w:numId w:val="2"/>
        </w:numPr>
        <w:rPr>
          <w:b/>
        </w:rPr>
      </w:pPr>
      <w:r w:rsidRPr="00FA3428">
        <w:rPr>
          <w:b/>
        </w:rPr>
        <w:t>Purpose and Use of the Information Collection</w:t>
      </w:r>
    </w:p>
    <w:p w:rsidRPr="00FA3428" w:rsidR="00FA3428" w:rsidP="00FA3428" w:rsidRDefault="00FA3428"/>
    <w:p w:rsidRPr="00FA3428" w:rsidR="00FA3428" w:rsidP="00FA3428" w:rsidRDefault="00FA3428">
      <w:r w:rsidRPr="00FA3428">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w:t>
      </w:r>
      <w:r w:rsidRPr="00FA3428">
        <w:lastRenderedPageBreak/>
        <w:t>information is not collected, vital feedback from customers and stakeholders on the Agency’s services will be unavailable.</w:t>
      </w:r>
    </w:p>
    <w:p w:rsidRPr="00FA3428" w:rsidR="00FA3428" w:rsidP="00FA3428" w:rsidRDefault="00FA3428"/>
    <w:p w:rsidRPr="00FA3428" w:rsidR="00FA3428" w:rsidP="00FA3428" w:rsidRDefault="00FA3428">
      <w:r w:rsidRPr="00FA3428">
        <w:t xml:space="preserve">The Agency will only submit a collection for approval under this generic clearance if it meets the following conditions:   </w:t>
      </w:r>
    </w:p>
    <w:p w:rsidRPr="00FA3428" w:rsidR="00FA3428" w:rsidP="00FA3428" w:rsidRDefault="00FA3428"/>
    <w:p w:rsidRPr="00FA3428" w:rsidR="00FA3428" w:rsidP="00FA3428" w:rsidRDefault="00FA3428">
      <w:pPr>
        <w:numPr>
          <w:ilvl w:val="0"/>
          <w:numId w:val="4"/>
        </w:numPr>
      </w:pPr>
      <w:r w:rsidRPr="00FA3428">
        <w:t>Information gathered will be used only internally  for general service improvement and program management purposes and is not intended for release outside of the agency (if released, procedures outlined in Question 16 will be followed);</w:t>
      </w:r>
    </w:p>
    <w:p w:rsidRPr="00FA3428" w:rsidR="00FA3428" w:rsidP="00FA3428" w:rsidRDefault="00FA3428">
      <w:pPr>
        <w:numPr>
          <w:ilvl w:val="0"/>
          <w:numId w:val="6"/>
        </w:numPr>
      </w:pPr>
      <w:r w:rsidRPr="00FA3428">
        <w:t xml:space="preserve">Information gathered will not be used for the purpose of substantially informing influential policy decisions </w:t>
      </w:r>
      <w:r w:rsidRPr="00FA3428">
        <w:rPr>
          <w:vertAlign w:val="superscript"/>
        </w:rPr>
        <w:footnoteReference w:id="1"/>
      </w:r>
      <w:r w:rsidRPr="00FA3428">
        <w:t>;</w:t>
      </w:r>
    </w:p>
    <w:p w:rsidRPr="00FA3428" w:rsidR="00FA3428" w:rsidP="00FA3428" w:rsidRDefault="00FA3428">
      <w:pPr>
        <w:numPr>
          <w:ilvl w:val="0"/>
          <w:numId w:val="3"/>
        </w:numPr>
      </w:pPr>
      <w:r w:rsidRPr="00FA3428">
        <w:t xml:space="preserve">Information gathered  will yield qualitative information; the collections will not be designed or expected to yield statistically reliable results or used as though the results are generalizable to the population of study ;  </w:t>
      </w:r>
    </w:p>
    <w:p w:rsidRPr="00FA3428" w:rsidR="00FA3428" w:rsidP="00FA3428" w:rsidRDefault="00FA3428">
      <w:pPr>
        <w:numPr>
          <w:ilvl w:val="0"/>
          <w:numId w:val="3"/>
        </w:numPr>
      </w:pPr>
      <w:r w:rsidRPr="00FA3428">
        <w:t>The collections are voluntary;</w:t>
      </w:r>
    </w:p>
    <w:p w:rsidRPr="00FA3428" w:rsidR="00FA3428" w:rsidP="00FA3428" w:rsidRDefault="00FA3428">
      <w:pPr>
        <w:numPr>
          <w:ilvl w:val="0"/>
          <w:numId w:val="3"/>
        </w:numPr>
      </w:pPr>
      <w:r w:rsidRPr="00FA3428">
        <w:t>The collections are low-burden for respondents (based on considerations of total burden hours, total number of respondents, or burden-hours per respondent) and are low-cost for both the respondents and the Federal Government;</w:t>
      </w:r>
    </w:p>
    <w:p w:rsidRPr="00FA3428" w:rsidR="00FA3428" w:rsidP="00FA3428" w:rsidRDefault="00FA3428">
      <w:pPr>
        <w:numPr>
          <w:ilvl w:val="0"/>
          <w:numId w:val="3"/>
        </w:numPr>
      </w:pPr>
      <w:r w:rsidRPr="00FA3428">
        <w:t xml:space="preserve">The collections are non-controversial and do not raise issues of  concern to other Federal agencies; </w:t>
      </w:r>
    </w:p>
    <w:p w:rsidRPr="00FA3428" w:rsidR="00FA3428" w:rsidP="00FA3428" w:rsidRDefault="00FA3428">
      <w:pPr>
        <w:numPr>
          <w:ilvl w:val="0"/>
          <w:numId w:val="3"/>
        </w:numPr>
      </w:pPr>
      <w:r w:rsidRPr="00FA3428">
        <w:t>Any collection is targeted to the solicitation of opinions from respondents who have experience with the program or may have experience with the program in the near future; and</w:t>
      </w:r>
    </w:p>
    <w:p w:rsidRPr="00FA3428" w:rsidR="00FA3428" w:rsidP="00FA3428" w:rsidRDefault="00FA3428">
      <w:pPr>
        <w:numPr>
          <w:ilvl w:val="0"/>
          <w:numId w:val="3"/>
        </w:numPr>
      </w:pPr>
      <w:r w:rsidRPr="00FA3428">
        <w:t xml:space="preserve">With the exception of information needed to provide </w:t>
      </w:r>
      <w:proofErr w:type="spellStart"/>
      <w:r w:rsidRPr="00FA3428">
        <w:t>renumeration</w:t>
      </w:r>
      <w:proofErr w:type="spellEnd"/>
      <w:r w:rsidRPr="00FA3428">
        <w:t xml:space="preserve"> for participants of focus groups and cognitive laboratory studies, personally identifiable information (PII) is collected only to the extent necessary and is not retained. </w:t>
      </w:r>
    </w:p>
    <w:p w:rsidRPr="00FA3428" w:rsidR="00FA3428" w:rsidP="00FA3428" w:rsidRDefault="00FA3428"/>
    <w:p w:rsidRPr="00FA3428" w:rsidR="00FA3428" w:rsidP="00FA3428" w:rsidRDefault="00FA3428">
      <w:r w:rsidRPr="00FA3428">
        <w:t xml:space="preserve">If these conditions are not met, the Agency will submit an information collection request to OMB for approval through the normal PRA process.  </w:t>
      </w:r>
    </w:p>
    <w:p w:rsidRPr="00FA3428" w:rsidR="00FA3428" w:rsidP="00FA3428" w:rsidRDefault="00FA3428"/>
    <w:p w:rsidRPr="00FA3428" w:rsidR="00FA3428" w:rsidP="00FA3428" w:rsidRDefault="00FA3428">
      <w:r w:rsidRPr="00FA3428">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FA3428" w:rsidR="00FA3428" w:rsidP="00FA3428" w:rsidRDefault="00FA3428"/>
    <w:p w:rsidRPr="00FA3428" w:rsidR="00FA3428" w:rsidP="00FA3428" w:rsidRDefault="00FA3428">
      <w:r w:rsidRPr="00FA3428">
        <w:t>The types of collections that this generic clearance covers include, but are not limited to:</w:t>
      </w:r>
    </w:p>
    <w:p w:rsidRPr="00FA3428" w:rsidR="00FA3428" w:rsidP="00FA3428" w:rsidRDefault="00FA3428">
      <w:pPr>
        <w:numPr>
          <w:ilvl w:val="0"/>
          <w:numId w:val="5"/>
        </w:numPr>
      </w:pPr>
      <w:r w:rsidRPr="00FA3428">
        <w:t>Customer comment cards/complaint forms</w:t>
      </w:r>
    </w:p>
    <w:p w:rsidRPr="00FA3428" w:rsidR="00FA3428" w:rsidP="00FA3428" w:rsidRDefault="00FA3428">
      <w:pPr>
        <w:numPr>
          <w:ilvl w:val="0"/>
          <w:numId w:val="5"/>
        </w:numPr>
      </w:pPr>
      <w:r w:rsidRPr="00FA3428">
        <w:t>Small discussion groups</w:t>
      </w:r>
    </w:p>
    <w:p w:rsidRPr="00FA3428" w:rsidR="00FA3428" w:rsidP="00FA3428" w:rsidRDefault="00FA3428">
      <w:pPr>
        <w:numPr>
          <w:ilvl w:val="0"/>
          <w:numId w:val="5"/>
        </w:numPr>
      </w:pPr>
      <w:r w:rsidRPr="00FA3428">
        <w:t xml:space="preserve"> Focus Groups of customers, potential customers, delivery partners, or other stakeholders</w:t>
      </w:r>
    </w:p>
    <w:p w:rsidRPr="00FA3428" w:rsidR="00FA3428" w:rsidP="00FA3428" w:rsidRDefault="00FA3428">
      <w:pPr>
        <w:numPr>
          <w:ilvl w:val="0"/>
          <w:numId w:val="5"/>
        </w:numPr>
      </w:pPr>
      <w:r w:rsidRPr="00FA3428">
        <w:t>Cognitive laboratory studies, such as those used to refine questions or assess usability of a website;</w:t>
      </w:r>
    </w:p>
    <w:p w:rsidRPr="00FA3428" w:rsidR="00FA3428" w:rsidP="00FA3428" w:rsidRDefault="00FA3428">
      <w:pPr>
        <w:numPr>
          <w:ilvl w:val="0"/>
          <w:numId w:val="5"/>
        </w:numPr>
      </w:pPr>
      <w:r w:rsidRPr="00FA3428">
        <w:t>Qualitative customer satisfaction surveys (e.g., post-transaction surveys; opt-out web surveys)</w:t>
      </w:r>
    </w:p>
    <w:p w:rsidRPr="00FA3428" w:rsidR="00FA3428" w:rsidP="00FA3428" w:rsidRDefault="00FA3428">
      <w:pPr>
        <w:numPr>
          <w:ilvl w:val="0"/>
          <w:numId w:val="5"/>
        </w:numPr>
      </w:pPr>
      <w:r w:rsidRPr="00FA3428">
        <w:t>In-person observation testing (e.g., website or software usability tests)</w:t>
      </w:r>
    </w:p>
    <w:p w:rsidRPr="00FA3428" w:rsidR="00FA3428" w:rsidP="00FA3428" w:rsidRDefault="00FA3428"/>
    <w:p w:rsidRPr="00FA3428" w:rsidR="00FA3428" w:rsidP="00FA3428" w:rsidRDefault="00FA3428">
      <w:r w:rsidRPr="00FA3428">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Consideration Given to Information Technology</w:t>
      </w:r>
    </w:p>
    <w:p w:rsidRPr="00FA3428" w:rsidR="00FA3428" w:rsidP="00FA3428" w:rsidRDefault="00FA3428"/>
    <w:p w:rsidRPr="00FA3428" w:rsidR="00FA3428" w:rsidP="00FA3428" w:rsidRDefault="00FA3428">
      <w:r w:rsidRPr="00FA3428">
        <w:t>If appropriate, agencies will collect information electronically and/or use online collaboration tools to reduce burden.</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 xml:space="preserve"> Duplication of Information</w:t>
      </w:r>
    </w:p>
    <w:p w:rsidRPr="00FA3428" w:rsidR="00FA3428" w:rsidP="00FA3428" w:rsidRDefault="00FA3428"/>
    <w:p w:rsidRPr="00FA3428" w:rsidR="00FA3428" w:rsidP="00FA3428" w:rsidRDefault="00FA3428">
      <w:r w:rsidRPr="00FA3428">
        <w:t>No similar data are gathered or maintained by the Agency or are available from other sources known to the Agency.</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 xml:space="preserve"> Reducing the Burden on Small Entities</w:t>
      </w:r>
    </w:p>
    <w:p w:rsidRPr="00FA3428" w:rsidR="00FA3428" w:rsidP="00FA3428" w:rsidRDefault="00FA3428">
      <w:pPr>
        <w:rPr>
          <w:b/>
        </w:rPr>
      </w:pPr>
    </w:p>
    <w:p w:rsidRPr="00FA3428" w:rsidR="00FA3428" w:rsidP="00FA3428" w:rsidRDefault="00FA3428">
      <w:r w:rsidRPr="00FA3428">
        <w:lastRenderedPageBreak/>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 xml:space="preserve">Consequences of Not Conducting Collection </w:t>
      </w:r>
    </w:p>
    <w:p w:rsidRPr="00FA3428" w:rsidR="00FA3428" w:rsidP="00FA3428" w:rsidRDefault="00FA3428">
      <w:pPr>
        <w:rPr>
          <w:b/>
        </w:rPr>
      </w:pPr>
    </w:p>
    <w:p w:rsidRPr="00FA3428" w:rsidR="00FA3428" w:rsidP="00FA3428" w:rsidRDefault="00FA3428">
      <w:r w:rsidRPr="00FA3428">
        <w:t>Without these types of feedback, the Agency will not have timely information to adjust its services to meet customer needs.</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Special Circumstances</w:t>
      </w:r>
    </w:p>
    <w:p w:rsidRPr="00FA3428" w:rsidR="00FA3428" w:rsidP="00FA3428" w:rsidRDefault="00FA3428">
      <w:pPr>
        <w:rPr>
          <w:b/>
        </w:rPr>
      </w:pPr>
    </w:p>
    <w:p w:rsidRPr="00FA3428" w:rsidR="00FA3428" w:rsidP="00FA3428" w:rsidRDefault="00FA3428">
      <w:r w:rsidRPr="00FA3428">
        <w:t>There are no special circumstances. The information collected will be voluntary and will not be used for statistical purposes.</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Consultations with Persons Outside the Agency</w:t>
      </w:r>
    </w:p>
    <w:p w:rsidRPr="00FA3428" w:rsidR="00FA3428" w:rsidP="00FA3428" w:rsidRDefault="00FA3428">
      <w:pPr>
        <w:rPr>
          <w:b/>
        </w:rPr>
      </w:pPr>
    </w:p>
    <w:p w:rsidRPr="00FA3428" w:rsidR="00FA3428" w:rsidP="00FA3428" w:rsidRDefault="00FA3428">
      <w:r w:rsidRPr="00FA3428">
        <w:t xml:space="preserve">In accordance with 5 CFR 1320.8(d), a 60-day notice for public comment was published in the </w:t>
      </w:r>
      <w:r w:rsidRPr="00FA3428">
        <w:rPr>
          <w:i/>
        </w:rPr>
        <w:t xml:space="preserve">Federal Register </w:t>
      </w:r>
      <w:r w:rsidRPr="00FA3428">
        <w:rPr>
          <w:bCs/>
          <w:i/>
          <w:iCs/>
        </w:rPr>
        <w:t>on</w:t>
      </w:r>
      <w:r w:rsidR="00140A9F">
        <w:rPr>
          <w:bCs/>
          <w:i/>
          <w:iCs/>
        </w:rPr>
        <w:t xml:space="preserve"> June 11, 2020</w:t>
      </w:r>
      <w:r w:rsidRPr="00FA3428">
        <w:rPr>
          <w:bCs/>
          <w:i/>
          <w:iCs/>
        </w:rPr>
        <w:t xml:space="preserve"> on Page </w:t>
      </w:r>
      <w:r w:rsidR="00140A9F">
        <w:rPr>
          <w:bCs/>
          <w:i/>
          <w:iCs/>
        </w:rPr>
        <w:t>35654, Volume 85,</w:t>
      </w:r>
      <w:r w:rsidRPr="00FA3428">
        <w:rPr>
          <w:bCs/>
          <w:i/>
          <w:iCs/>
        </w:rPr>
        <w:t xml:space="preserve"> and allowed 60 days for public comment</w:t>
      </w:r>
      <w:r w:rsidRPr="00FA3428">
        <w:t>.  No comments were received.</w:t>
      </w:r>
      <w:r w:rsidRPr="00140A9F" w:rsidR="00140A9F">
        <w:t xml:space="preserve"> </w:t>
      </w:r>
      <w:bookmarkStart w:name="_GoBack" w:id="0"/>
      <w:bookmarkEnd w:id="0"/>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Payment or Gift</w:t>
      </w:r>
    </w:p>
    <w:p w:rsidRPr="00FA3428" w:rsidR="00FA3428" w:rsidP="00FA3428" w:rsidRDefault="00FA3428"/>
    <w:p w:rsidRPr="00FA3428" w:rsidR="00FA3428" w:rsidP="00FA3428" w:rsidRDefault="00FA3428">
      <w:r w:rsidRPr="00FA3428">
        <w:t>AHRQ will, on a case-by-case basis, consider modest remuneration for survey respondents and focus group participant’s time and travel.  In such cases, the remuneration will typically not exceed $30 per individual.  AHRQ may ask for a higher amount for hard to reach populations.  Remuneration for focus group participation is a recognized standard industry practice, without which, it would be difficult to achieve appropriate and adequate participation.</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 xml:space="preserve"> Confidentiality </w:t>
      </w:r>
    </w:p>
    <w:p w:rsidRPr="00FA3428" w:rsidR="00FA3428" w:rsidP="00FA3428" w:rsidRDefault="00FA3428"/>
    <w:p w:rsidRPr="00FA3428" w:rsidR="00FA3428" w:rsidP="00FA3428" w:rsidRDefault="00FA3428">
      <w:r w:rsidRPr="00FA3428">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Sensitive Nature</w:t>
      </w:r>
    </w:p>
    <w:p w:rsidRPr="00FA3428" w:rsidR="00FA3428" w:rsidP="00FA3428" w:rsidRDefault="00FA3428">
      <w:pPr>
        <w:rPr>
          <w:b/>
        </w:rPr>
      </w:pPr>
    </w:p>
    <w:p w:rsidRPr="00FA3428" w:rsidR="00FA3428" w:rsidP="00FA3428" w:rsidRDefault="00FA3428">
      <w:r w:rsidRPr="00FA3428">
        <w:t>No questions will be asked that are of a personal or sensitive nature.</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Burden of Information Collection</w:t>
      </w:r>
    </w:p>
    <w:p w:rsidRPr="00FA3428" w:rsidR="00FA3428" w:rsidP="00FA3428" w:rsidRDefault="00FA3428"/>
    <w:p w:rsidRPr="00FA3428" w:rsidR="00FA3428" w:rsidP="00FA3428" w:rsidRDefault="00FA3428">
      <w:r w:rsidRPr="00FA3428">
        <w:t>Exhibit 1 shows the estimated total burden hours for the respondents.  Mail surveys are estimated to average 15 minutes, telephone surveys 40 minutes, web-based surveys 10 minutes, focus groups two hours, and in-person interviews are estimated to average 50 minutes.  Mail surveys may also be sent to respondents via email, and may include a telephone non-response follow-up.  Telephone non-response follow-up for mailed surveys does not count as a telephone survey.  The total burden hours for the 3 years of the clearance is estimated to be 10,900 hours.</w:t>
      </w:r>
    </w:p>
    <w:p w:rsidRPr="00FA3428" w:rsidR="00FA3428" w:rsidP="00FA3428" w:rsidRDefault="00FA3428"/>
    <w:p w:rsidRPr="00FA3428" w:rsidR="00FA3428" w:rsidP="00FA3428" w:rsidRDefault="00FA3428">
      <w:r w:rsidRPr="00FA3428">
        <w:t>Exhibit 2 shows the estimated cost burden for the respondents.  The total cost burden for the 3 years of the clearance is estimated to be $408,093.</w:t>
      </w:r>
    </w:p>
    <w:p w:rsidRPr="00FA3428" w:rsidR="00FA3428" w:rsidP="00FA3428" w:rsidRDefault="00FA3428">
      <w:r w:rsidRPr="00FA3428">
        <w:t xml:space="preserve">  </w:t>
      </w:r>
    </w:p>
    <w:p w:rsidRPr="00FA3428" w:rsidR="00FA3428" w:rsidP="00FA3428" w:rsidRDefault="00FA3428">
      <w:r w:rsidRPr="00FA3428">
        <w:rPr>
          <w:b/>
          <w:bCs/>
        </w:rPr>
        <w:t>Exhibit 1.  Estimated burden hours over 3 years</w:t>
      </w:r>
    </w:p>
    <w:tbl>
      <w:tblPr>
        <w:tblW w:w="0" w:type="auto"/>
        <w:tblCellMar>
          <w:left w:w="0" w:type="dxa"/>
          <w:right w:w="0" w:type="dxa"/>
        </w:tblCellMar>
        <w:tblLook w:val="0000" w:firstRow="0" w:lastRow="0" w:firstColumn="0" w:lastColumn="0" w:noHBand="0" w:noVBand="0"/>
      </w:tblPr>
      <w:tblGrid>
        <w:gridCol w:w="3708"/>
        <w:gridCol w:w="1443"/>
        <w:gridCol w:w="1440"/>
        <w:gridCol w:w="1080"/>
        <w:gridCol w:w="923"/>
      </w:tblGrid>
      <w:tr w:rsidRPr="00FA3428" w:rsidR="00FA3428" w:rsidTr="00C11050">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FA3428" w:rsidR="00FA3428" w:rsidP="00FA3428" w:rsidRDefault="00FA3428">
            <w:r w:rsidRPr="00FA3428">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Total Burden hours</w:t>
            </w:r>
          </w:p>
        </w:tc>
      </w:tr>
      <w:tr w:rsidRPr="00FA3428" w:rsidR="00FA3428" w:rsidTr="00C11050">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Mail/email</w:t>
            </w:r>
            <w:r w:rsidRPr="00FA3428">
              <w:rPr>
                <w:vertAlign w:val="superscript"/>
              </w:rPr>
              <w:t>*</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5,000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1</w:t>
            </w:r>
          </w:p>
        </w:tc>
        <w:tc>
          <w:tcPr>
            <w:tcW w:w="1080" w:type="dxa"/>
            <w:tcBorders>
              <w:top w:val="nil"/>
              <w:left w:val="nil"/>
              <w:bottom w:val="single" w:color="auto" w:sz="8" w:space="0"/>
              <w:right w:val="single" w:color="auto" w:sz="8" w:space="0"/>
            </w:tcBorders>
            <w:vAlign w:val="center"/>
          </w:tcPr>
          <w:p w:rsidRPr="00FA3428" w:rsidR="00FA3428" w:rsidP="00FA3428" w:rsidRDefault="00FA3428">
            <w:r w:rsidRPr="00FA3428">
              <w:t>15/60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A3428" w:rsidR="00FA3428" w:rsidP="00FA3428" w:rsidRDefault="00FA3428">
            <w:r w:rsidRPr="00FA3428">
              <w:t>1,250</w:t>
            </w:r>
          </w:p>
        </w:tc>
      </w:tr>
      <w:tr w:rsidRPr="00FA3428" w:rsidR="00FA3428" w:rsidTr="00C11050">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lastRenderedPageBreak/>
              <w:t>Telephone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1</w:t>
            </w:r>
          </w:p>
        </w:tc>
        <w:tc>
          <w:tcPr>
            <w:tcW w:w="1080" w:type="dxa"/>
            <w:tcBorders>
              <w:top w:val="nil"/>
              <w:left w:val="nil"/>
              <w:bottom w:val="single" w:color="auto" w:sz="8" w:space="0"/>
              <w:right w:val="single" w:color="auto" w:sz="8" w:space="0"/>
            </w:tcBorders>
            <w:vAlign w:val="center"/>
          </w:tcPr>
          <w:p w:rsidRPr="00FA3428" w:rsidR="00FA3428" w:rsidP="00FA3428" w:rsidRDefault="00FA3428">
            <w:r w:rsidRPr="00FA3428">
              <w:t>40/60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A3428" w:rsidR="00FA3428" w:rsidP="00FA3428" w:rsidRDefault="00FA3428">
            <w:r w:rsidRPr="00FA3428">
              <w:t>133</w:t>
            </w:r>
          </w:p>
        </w:tc>
      </w:tr>
      <w:tr w:rsidRPr="00FA3428" w:rsidR="00FA3428" w:rsidTr="00C11050">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Web-based</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5,000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1</w:t>
            </w:r>
          </w:p>
        </w:tc>
        <w:tc>
          <w:tcPr>
            <w:tcW w:w="1080" w:type="dxa"/>
            <w:tcBorders>
              <w:top w:val="nil"/>
              <w:left w:val="nil"/>
              <w:bottom w:val="single" w:color="auto" w:sz="8" w:space="0"/>
              <w:right w:val="single" w:color="auto" w:sz="8" w:space="0"/>
            </w:tcBorders>
            <w:vAlign w:val="center"/>
          </w:tcPr>
          <w:p w:rsidRPr="00FA3428" w:rsidR="00FA3428" w:rsidP="00FA3428" w:rsidRDefault="00FA3428">
            <w:r w:rsidRPr="00FA3428">
              <w:t>10/60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A3428" w:rsidR="00FA3428" w:rsidP="00FA3428" w:rsidRDefault="00FA3428">
            <w:r w:rsidRPr="00FA3428">
              <w:t>833</w:t>
            </w:r>
          </w:p>
        </w:tc>
      </w:tr>
      <w:tr w:rsidRPr="00FA3428" w:rsidR="00FA3428" w:rsidTr="00C11050">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1</w:t>
            </w:r>
          </w:p>
        </w:tc>
        <w:tc>
          <w:tcPr>
            <w:tcW w:w="1080" w:type="dxa"/>
            <w:tcBorders>
              <w:top w:val="nil"/>
              <w:left w:val="nil"/>
              <w:bottom w:val="single" w:color="auto" w:sz="8" w:space="0"/>
              <w:right w:val="single" w:color="auto" w:sz="8" w:space="0"/>
            </w:tcBorders>
            <w:vAlign w:val="center"/>
          </w:tcPr>
          <w:p w:rsidRPr="00FA3428" w:rsidR="00FA3428" w:rsidP="00FA3428" w:rsidRDefault="00FA3428">
            <w:r w:rsidRPr="00FA3428">
              <w:t>2.0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A3428" w:rsidR="00FA3428" w:rsidP="00FA3428" w:rsidRDefault="00FA3428">
            <w:r w:rsidRPr="00FA3428">
              <w:t>1,000</w:t>
            </w:r>
          </w:p>
        </w:tc>
      </w:tr>
      <w:tr w:rsidRPr="00FA3428" w:rsidR="00FA3428" w:rsidTr="00C11050">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In-person</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1</w:t>
            </w:r>
          </w:p>
        </w:tc>
        <w:tc>
          <w:tcPr>
            <w:tcW w:w="1080" w:type="dxa"/>
            <w:tcBorders>
              <w:top w:val="nil"/>
              <w:left w:val="nil"/>
              <w:bottom w:val="single" w:color="auto" w:sz="8" w:space="0"/>
              <w:right w:val="single" w:color="auto" w:sz="8" w:space="0"/>
            </w:tcBorders>
            <w:vAlign w:val="center"/>
          </w:tcPr>
          <w:p w:rsidRPr="00FA3428" w:rsidR="00FA3428" w:rsidP="00FA3428" w:rsidRDefault="00FA3428">
            <w:r w:rsidRPr="00FA3428">
              <w:t>50/60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A3428" w:rsidR="00FA3428" w:rsidP="00FA3428" w:rsidRDefault="00FA3428">
            <w:r w:rsidRPr="00FA3428">
              <w:t>167</w:t>
            </w:r>
          </w:p>
        </w:tc>
      </w:tr>
      <w:tr w:rsidRPr="00FA3428" w:rsidR="00FA3428" w:rsidTr="00C11050">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rPr>
                <w:b/>
                <w:bCs/>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10,900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proofErr w:type="spellStart"/>
            <w:r w:rsidRPr="00FA3428">
              <w:t>na</w:t>
            </w:r>
            <w:proofErr w:type="spellEnd"/>
          </w:p>
        </w:tc>
        <w:tc>
          <w:tcPr>
            <w:tcW w:w="1080" w:type="dxa"/>
            <w:tcBorders>
              <w:top w:val="nil"/>
              <w:left w:val="nil"/>
              <w:bottom w:val="single" w:color="auto" w:sz="8" w:space="0"/>
              <w:right w:val="single" w:color="auto" w:sz="8" w:space="0"/>
            </w:tcBorders>
          </w:tcPr>
          <w:p w:rsidRPr="00FA3428" w:rsidR="00FA3428" w:rsidP="00FA3428" w:rsidRDefault="00FA3428">
            <w:pPr>
              <w:rPr>
                <w:bCs/>
              </w:rPr>
            </w:pPr>
            <w:proofErr w:type="spellStart"/>
            <w:r w:rsidRPr="00FA3428">
              <w:rPr>
                <w:bCs/>
              </w:rPr>
              <w:t>na</w:t>
            </w:r>
            <w:proofErr w:type="spellEnd"/>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A3428" w:rsidR="00FA3428" w:rsidP="00FA3428" w:rsidRDefault="00FA3428">
            <w:r w:rsidRPr="00FA3428">
              <w:t>3,383</w:t>
            </w:r>
          </w:p>
        </w:tc>
      </w:tr>
    </w:tbl>
    <w:p w:rsidRPr="00FA3428" w:rsidR="00FA3428" w:rsidP="00FA3428" w:rsidRDefault="00FA3428">
      <w:r w:rsidRPr="00FA3428">
        <w:rPr>
          <w:vertAlign w:val="superscript"/>
        </w:rPr>
        <w:t xml:space="preserve">* </w:t>
      </w:r>
      <w:r w:rsidRPr="00FA3428">
        <w:t>May include telephone non-response follow-up in which case the burden will not change</w:t>
      </w:r>
    </w:p>
    <w:p w:rsidRPr="00FA3428" w:rsidR="00FA3428" w:rsidP="00FA3428" w:rsidRDefault="00FA3428"/>
    <w:p w:rsidRPr="00FA3428" w:rsidR="00FA3428" w:rsidP="00FA3428" w:rsidRDefault="00FA3428"/>
    <w:p w:rsidRPr="00FA3428" w:rsidR="00FA3428" w:rsidP="00FA3428" w:rsidRDefault="00FA3428"/>
    <w:p w:rsidRPr="00FA3428" w:rsidR="00FA3428" w:rsidP="00FA3428" w:rsidRDefault="00FA3428"/>
    <w:p w:rsidRPr="00FA3428" w:rsidR="00FA3428" w:rsidP="00FA3428" w:rsidRDefault="00FA3428"/>
    <w:p w:rsidRPr="00FA3428" w:rsidR="00FA3428" w:rsidP="00FA3428" w:rsidRDefault="00FA3428"/>
    <w:p w:rsidRPr="00FA3428" w:rsidR="00FA3428" w:rsidP="00FA3428" w:rsidRDefault="00FA3428">
      <w:r w:rsidRPr="00FA3428">
        <w:rPr>
          <w:b/>
        </w:rPr>
        <w:t>Exhibit 2.  Estimated cost burden over 3 years</w:t>
      </w:r>
    </w:p>
    <w:tbl>
      <w:tblPr>
        <w:tblW w:w="8594" w:type="dxa"/>
        <w:tblCellMar>
          <w:left w:w="0" w:type="dxa"/>
          <w:right w:w="0" w:type="dxa"/>
        </w:tblCellMar>
        <w:tblLook w:val="0000" w:firstRow="0" w:lastRow="0" w:firstColumn="0" w:lastColumn="0" w:noHBand="0" w:noVBand="0"/>
      </w:tblPr>
      <w:tblGrid>
        <w:gridCol w:w="3571"/>
        <w:gridCol w:w="1443"/>
        <w:gridCol w:w="1226"/>
        <w:gridCol w:w="1238"/>
        <w:gridCol w:w="1116"/>
      </w:tblGrid>
      <w:tr w:rsidRPr="00FA3428" w:rsidR="00FA3428" w:rsidTr="00C11050">
        <w:tc>
          <w:tcPr>
            <w:tcW w:w="35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Number of Respondents</w:t>
            </w:r>
          </w:p>
        </w:tc>
        <w:tc>
          <w:tcPr>
            <w:tcW w:w="1226" w:type="dxa"/>
            <w:tcBorders>
              <w:top w:val="single" w:color="auto" w:sz="8" w:space="0"/>
              <w:left w:val="nil"/>
              <w:bottom w:val="single" w:color="auto" w:sz="8" w:space="0"/>
              <w:right w:val="single" w:color="auto" w:sz="8" w:space="0"/>
            </w:tcBorders>
            <w:vAlign w:val="center"/>
          </w:tcPr>
          <w:p w:rsidRPr="00FA3428" w:rsidR="00FA3428" w:rsidP="00FA3428" w:rsidRDefault="00FA3428">
            <w:r w:rsidRPr="00FA3428">
              <w:t>Total Burden hours</w:t>
            </w:r>
          </w:p>
        </w:tc>
        <w:tc>
          <w:tcPr>
            <w:tcW w:w="1238" w:type="dxa"/>
            <w:tcBorders>
              <w:top w:val="single" w:color="auto" w:sz="8" w:space="0"/>
              <w:left w:val="single" w:color="auto" w:sz="8" w:space="0"/>
              <w:bottom w:val="single" w:color="auto" w:sz="8" w:space="0"/>
              <w:right w:val="single" w:color="auto" w:sz="8" w:space="0"/>
            </w:tcBorders>
            <w:vAlign w:val="center"/>
          </w:tcPr>
          <w:p w:rsidRPr="00FA3428" w:rsidR="00FA3428" w:rsidP="00FA3428" w:rsidRDefault="00FA3428">
            <w:pPr>
              <w:rPr>
                <w:vertAlign w:val="superscript"/>
              </w:rPr>
            </w:pPr>
            <w:r w:rsidRPr="00FA3428">
              <w:t>Average Hourly Wage Rate</w:t>
            </w:r>
            <w:r w:rsidRPr="00FA3428">
              <w:rPr>
                <w:vertAlign w:val="superscript"/>
              </w:rPr>
              <w:t>*</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Total Cost Burden</w:t>
            </w:r>
          </w:p>
        </w:tc>
      </w:tr>
      <w:tr w:rsidRPr="00FA3428" w:rsidR="00FA3428" w:rsidTr="00C11050">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Mail/email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5,000</w:t>
            </w:r>
          </w:p>
        </w:tc>
        <w:tc>
          <w:tcPr>
            <w:tcW w:w="1226" w:type="dxa"/>
            <w:tcBorders>
              <w:top w:val="single" w:color="auto" w:sz="8" w:space="0"/>
              <w:left w:val="nil"/>
              <w:bottom w:val="single" w:color="auto" w:sz="8" w:space="0"/>
              <w:right w:val="single" w:color="auto" w:sz="8" w:space="0"/>
            </w:tcBorders>
            <w:vAlign w:val="bottom"/>
          </w:tcPr>
          <w:p w:rsidRPr="00FA3428" w:rsidR="00FA3428" w:rsidP="00FA3428" w:rsidRDefault="00FA3428">
            <w:r w:rsidRPr="00FA3428">
              <w:t>1,250</w:t>
            </w:r>
          </w:p>
        </w:tc>
        <w:tc>
          <w:tcPr>
            <w:tcW w:w="1238" w:type="dxa"/>
            <w:tcBorders>
              <w:top w:val="nil"/>
              <w:left w:val="single" w:color="auto" w:sz="8" w:space="0"/>
              <w:bottom w:val="single" w:color="auto" w:sz="8" w:space="0"/>
              <w:right w:val="single" w:color="auto" w:sz="8" w:space="0"/>
            </w:tcBorders>
            <w:vAlign w:val="center"/>
          </w:tcPr>
          <w:p w:rsidRPr="00FA3428" w:rsidR="00FA3428" w:rsidP="00FA3428" w:rsidRDefault="00FA3428">
            <w:r w:rsidRPr="00FA3428">
              <w:t>$40.21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$50,263</w:t>
            </w:r>
          </w:p>
        </w:tc>
      </w:tr>
      <w:tr w:rsidRPr="00FA3428" w:rsidR="00FA3428" w:rsidTr="00C11050">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Telephone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200</w:t>
            </w:r>
          </w:p>
        </w:tc>
        <w:tc>
          <w:tcPr>
            <w:tcW w:w="1226" w:type="dxa"/>
            <w:tcBorders>
              <w:top w:val="single" w:color="auto" w:sz="8" w:space="0"/>
              <w:left w:val="nil"/>
              <w:bottom w:val="single" w:color="auto" w:sz="8" w:space="0"/>
              <w:right w:val="single" w:color="auto" w:sz="8" w:space="0"/>
            </w:tcBorders>
            <w:vAlign w:val="bottom"/>
          </w:tcPr>
          <w:p w:rsidRPr="00FA3428" w:rsidR="00FA3428" w:rsidP="00FA3428" w:rsidRDefault="00FA3428">
            <w:r w:rsidRPr="00FA3428">
              <w:t>133</w:t>
            </w:r>
          </w:p>
        </w:tc>
        <w:tc>
          <w:tcPr>
            <w:tcW w:w="1238" w:type="dxa"/>
            <w:tcBorders>
              <w:top w:val="nil"/>
              <w:left w:val="single" w:color="auto" w:sz="8" w:space="0"/>
              <w:bottom w:val="single" w:color="auto" w:sz="8" w:space="0"/>
              <w:right w:val="single" w:color="auto" w:sz="8" w:space="0"/>
            </w:tcBorders>
          </w:tcPr>
          <w:p w:rsidRPr="00FA3428" w:rsidR="00FA3428" w:rsidP="00FA3428" w:rsidRDefault="00FA3428">
            <w:r w:rsidRPr="00FA3428">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$5,348</w:t>
            </w:r>
          </w:p>
        </w:tc>
      </w:tr>
      <w:tr w:rsidRPr="00FA3428" w:rsidR="00FA3428" w:rsidTr="00C11050">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Web-based</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5,000</w:t>
            </w:r>
          </w:p>
        </w:tc>
        <w:tc>
          <w:tcPr>
            <w:tcW w:w="1226" w:type="dxa"/>
            <w:tcBorders>
              <w:top w:val="single" w:color="auto" w:sz="8" w:space="0"/>
              <w:left w:val="nil"/>
              <w:bottom w:val="single" w:color="auto" w:sz="8" w:space="0"/>
              <w:right w:val="single" w:color="auto" w:sz="8" w:space="0"/>
            </w:tcBorders>
            <w:vAlign w:val="bottom"/>
          </w:tcPr>
          <w:p w:rsidRPr="00FA3428" w:rsidR="00FA3428" w:rsidP="00FA3428" w:rsidRDefault="00FA3428">
            <w:r w:rsidRPr="00FA3428">
              <w:t>833</w:t>
            </w:r>
          </w:p>
        </w:tc>
        <w:tc>
          <w:tcPr>
            <w:tcW w:w="1238" w:type="dxa"/>
            <w:tcBorders>
              <w:top w:val="nil"/>
              <w:left w:val="single" w:color="auto" w:sz="8" w:space="0"/>
              <w:bottom w:val="single" w:color="auto" w:sz="8" w:space="0"/>
              <w:right w:val="single" w:color="auto" w:sz="8" w:space="0"/>
            </w:tcBorders>
          </w:tcPr>
          <w:p w:rsidRPr="00FA3428" w:rsidR="00FA3428" w:rsidP="00FA3428" w:rsidRDefault="00FA3428">
            <w:r w:rsidRPr="00FA3428">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$33,495</w:t>
            </w:r>
          </w:p>
        </w:tc>
      </w:tr>
      <w:tr w:rsidRPr="00FA3428" w:rsidR="00FA3428" w:rsidTr="00C11050">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500</w:t>
            </w:r>
          </w:p>
        </w:tc>
        <w:tc>
          <w:tcPr>
            <w:tcW w:w="1226" w:type="dxa"/>
            <w:tcBorders>
              <w:top w:val="single" w:color="auto" w:sz="8" w:space="0"/>
              <w:left w:val="nil"/>
              <w:bottom w:val="single" w:color="auto" w:sz="8" w:space="0"/>
              <w:right w:val="single" w:color="auto" w:sz="8" w:space="0"/>
            </w:tcBorders>
            <w:vAlign w:val="bottom"/>
          </w:tcPr>
          <w:p w:rsidRPr="00FA3428" w:rsidR="00FA3428" w:rsidP="00FA3428" w:rsidRDefault="00FA3428">
            <w:r w:rsidRPr="00FA3428">
              <w:t>1,000</w:t>
            </w:r>
          </w:p>
        </w:tc>
        <w:tc>
          <w:tcPr>
            <w:tcW w:w="1238" w:type="dxa"/>
            <w:tcBorders>
              <w:top w:val="nil"/>
              <w:left w:val="single" w:color="auto" w:sz="8" w:space="0"/>
              <w:bottom w:val="single" w:color="auto" w:sz="8" w:space="0"/>
              <w:right w:val="single" w:color="auto" w:sz="8" w:space="0"/>
            </w:tcBorders>
          </w:tcPr>
          <w:p w:rsidRPr="00FA3428" w:rsidR="00FA3428" w:rsidP="00FA3428" w:rsidRDefault="00FA3428">
            <w:r w:rsidRPr="00FA3428">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$40,210</w:t>
            </w:r>
          </w:p>
        </w:tc>
      </w:tr>
      <w:tr w:rsidRPr="00FA3428" w:rsidR="00FA3428" w:rsidTr="00C11050">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In-person</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200</w:t>
            </w:r>
          </w:p>
        </w:tc>
        <w:tc>
          <w:tcPr>
            <w:tcW w:w="1226" w:type="dxa"/>
            <w:tcBorders>
              <w:top w:val="single" w:color="auto" w:sz="8" w:space="0"/>
              <w:left w:val="nil"/>
              <w:bottom w:val="single" w:color="auto" w:sz="8" w:space="0"/>
              <w:right w:val="single" w:color="auto" w:sz="8" w:space="0"/>
            </w:tcBorders>
            <w:vAlign w:val="bottom"/>
          </w:tcPr>
          <w:p w:rsidRPr="00FA3428" w:rsidR="00FA3428" w:rsidP="00FA3428" w:rsidRDefault="00FA3428">
            <w:r w:rsidRPr="00FA3428">
              <w:t>167</w:t>
            </w:r>
          </w:p>
        </w:tc>
        <w:tc>
          <w:tcPr>
            <w:tcW w:w="1238" w:type="dxa"/>
            <w:tcBorders>
              <w:top w:val="nil"/>
              <w:left w:val="single" w:color="auto" w:sz="8" w:space="0"/>
              <w:bottom w:val="single" w:color="auto" w:sz="8" w:space="0"/>
              <w:right w:val="single" w:color="auto" w:sz="8" w:space="0"/>
            </w:tcBorders>
          </w:tcPr>
          <w:p w:rsidRPr="00FA3428" w:rsidR="00FA3428" w:rsidP="00FA3428" w:rsidRDefault="00FA3428">
            <w:r w:rsidRPr="00FA3428">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t>$6,715</w:t>
            </w:r>
          </w:p>
        </w:tc>
      </w:tr>
      <w:tr w:rsidRPr="00FA3428" w:rsidR="00FA3428" w:rsidTr="00C11050">
        <w:tc>
          <w:tcPr>
            <w:tcW w:w="35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r w:rsidRPr="00FA3428">
              <w:rPr>
                <w:b/>
                <w:bCs/>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A3428" w:rsidR="00FA3428" w:rsidP="00FA3428" w:rsidRDefault="00FA3428">
            <w:r w:rsidRPr="00FA3428">
              <w:t>10,900</w:t>
            </w:r>
          </w:p>
        </w:tc>
        <w:tc>
          <w:tcPr>
            <w:tcW w:w="1226" w:type="dxa"/>
            <w:tcBorders>
              <w:top w:val="single" w:color="auto" w:sz="8" w:space="0"/>
              <w:left w:val="nil"/>
              <w:bottom w:val="single" w:color="auto" w:sz="8" w:space="0"/>
              <w:right w:val="single" w:color="auto" w:sz="8" w:space="0"/>
            </w:tcBorders>
            <w:vAlign w:val="bottom"/>
          </w:tcPr>
          <w:p w:rsidRPr="00FA3428" w:rsidR="00FA3428" w:rsidP="00FA3428" w:rsidRDefault="00FA3428">
            <w:r w:rsidRPr="00FA3428">
              <w:t>3,383</w:t>
            </w:r>
          </w:p>
        </w:tc>
        <w:tc>
          <w:tcPr>
            <w:tcW w:w="1238" w:type="dxa"/>
            <w:tcBorders>
              <w:top w:val="nil"/>
              <w:left w:val="single" w:color="auto" w:sz="8" w:space="0"/>
              <w:bottom w:val="single" w:color="auto" w:sz="8" w:space="0"/>
              <w:right w:val="single" w:color="auto" w:sz="8" w:space="0"/>
            </w:tcBorders>
          </w:tcPr>
          <w:p w:rsidRPr="00FA3428" w:rsidR="00FA3428" w:rsidP="00FA3428" w:rsidRDefault="00FA3428">
            <w:r w:rsidRPr="00FA3428">
              <w:t xml:space="preserve">     $40.21</w:t>
            </w:r>
          </w:p>
        </w:tc>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A3428" w:rsidR="00FA3428" w:rsidP="00FA3428" w:rsidRDefault="00FA3428">
            <w:bookmarkStart w:name="OLE_LINK1" w:id="1"/>
            <w:bookmarkStart w:name="OLE_LINK4" w:id="2"/>
            <w:r w:rsidRPr="00FA3428">
              <w:t>$</w:t>
            </w:r>
            <w:bookmarkEnd w:id="1"/>
            <w:bookmarkEnd w:id="2"/>
            <w:r w:rsidRPr="00FA3428">
              <w:t>136,031</w:t>
            </w:r>
          </w:p>
        </w:tc>
      </w:tr>
    </w:tbl>
    <w:p w:rsidRPr="00FA3428" w:rsidR="00FA3428" w:rsidP="00FA3428" w:rsidRDefault="00FA3428">
      <w:r w:rsidRPr="00FA3428">
        <w:t xml:space="preserve">* Bureau of Labor &amp; Statistics on “Occupational Employment and Wages, May 2019” found at the following URL: </w:t>
      </w:r>
      <w:hyperlink w:history="1" w:anchor="b29-0000.htm" r:id="rId7">
        <w:r w:rsidRPr="00FA3428">
          <w:rPr>
            <w:rStyle w:val="Hyperlink"/>
          </w:rPr>
          <w:t>https://www.bls.gov/oes/current/oes_nat.htm#b29-0000.htm</w:t>
        </w:r>
      </w:hyperlink>
      <w:r w:rsidRPr="00FA3428">
        <w:t xml:space="preserve"> for the respondents.  The total cost burden for the 3 years of the clearance is estimated to be $408,093.</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Costs to Respondents</w:t>
      </w:r>
    </w:p>
    <w:p w:rsidRPr="00FA3428" w:rsidR="00FA3428" w:rsidP="00FA3428" w:rsidRDefault="00FA3428">
      <w:pPr>
        <w:rPr>
          <w:b/>
        </w:rPr>
      </w:pPr>
    </w:p>
    <w:p w:rsidRPr="00FA3428" w:rsidR="00FA3428" w:rsidP="00FA3428" w:rsidRDefault="00FA3428">
      <w:r w:rsidRPr="00FA3428">
        <w:lastRenderedPageBreak/>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Pr="00FA3428" w:rsidR="00FA3428" w:rsidP="00FA3428" w:rsidRDefault="00FA3428">
      <w:r w:rsidRPr="00FA3428">
        <w:t xml:space="preserve"> </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Costs to Federal Government</w:t>
      </w:r>
    </w:p>
    <w:p w:rsidRPr="00FA3428" w:rsidR="00FA3428" w:rsidP="00FA3428" w:rsidRDefault="00FA3428">
      <w:pPr>
        <w:rPr>
          <w:b/>
        </w:rPr>
      </w:pPr>
    </w:p>
    <w:p w:rsidRPr="00FA3428" w:rsidR="00FA3428" w:rsidP="00FA3428" w:rsidRDefault="00FA3428">
      <w:r w:rsidRPr="00FA3428">
        <w:t>Information collections conducted under this generic clearance will in some cases be carried out under contract.  Assuming the contract cost per survey are $50,000 - $100,000, which includes $20,000 for each focus group (10 focus groups per fiscal year), total contract costs could run $750,000 per year (10 focus groups x $75,000 average survey cost).  An additional annual cost of about $98,556 for agency staff would be associated with this assuming 10 surveys and 10 focus groups per fiscal year with10 GS14/5 program analysts or project officers ($137,491 annual salary*) and 5% of their time each fiscal year. The total annual cost to the government is estimated to be $848,556.</w:t>
      </w:r>
    </w:p>
    <w:p w:rsidRPr="00FA3428" w:rsidR="00FA3428" w:rsidP="00FA3428" w:rsidRDefault="00FA3428">
      <w:r w:rsidRPr="00FA3428">
        <w:t xml:space="preserve">Annual salaries based on 2020 OPM Pay Schedule for Washington/DC area: </w:t>
      </w:r>
      <w:hyperlink w:history="1" r:id="rId8">
        <w:r w:rsidRPr="00FA3428">
          <w:rPr>
            <w:rStyle w:val="Hyperlink"/>
          </w:rPr>
          <w:t>https://www.opm.gov/policy-data-oversight/pay-leave/salaries-wages/salary-tables/pdf/2020/DCB.pdf</w:t>
        </w:r>
      </w:hyperlink>
      <w:r w:rsidRPr="00FA3428">
        <w:t xml:space="preserve"> </w:t>
      </w:r>
    </w:p>
    <w:p w:rsidRPr="00FA3428" w:rsidR="00FA3428" w:rsidP="00FA3428" w:rsidRDefault="00FA3428"/>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Reason for Change</w:t>
      </w:r>
    </w:p>
    <w:p w:rsidRPr="00FA3428" w:rsidR="00FA3428" w:rsidP="00FA3428" w:rsidRDefault="00FA3428">
      <w:pPr>
        <w:rPr>
          <w:b/>
        </w:rPr>
      </w:pPr>
    </w:p>
    <w:p w:rsidRPr="00FA3428" w:rsidR="00FA3428" w:rsidP="00FA3428" w:rsidRDefault="00FA3428">
      <w:r w:rsidRPr="00FA3428">
        <w:t xml:space="preserve">There is no change in the total number of burden hours. </w:t>
      </w:r>
    </w:p>
    <w:p w:rsidRPr="00FA3428" w:rsidR="00FA3428" w:rsidP="00FA3428" w:rsidRDefault="00FA3428">
      <w:pPr>
        <w:rPr>
          <w:b/>
        </w:rPr>
      </w:pPr>
    </w:p>
    <w:p w:rsidRPr="00FA3428" w:rsidR="00FA3428" w:rsidP="00FA3428" w:rsidRDefault="00FA3428">
      <w:pPr>
        <w:rPr>
          <w:b/>
        </w:rPr>
      </w:pPr>
    </w:p>
    <w:p w:rsidRPr="00FA3428" w:rsidR="00FA3428" w:rsidP="00FA3428" w:rsidRDefault="00FA3428">
      <w:pPr>
        <w:numPr>
          <w:ilvl w:val="0"/>
          <w:numId w:val="2"/>
        </w:numPr>
        <w:rPr>
          <w:b/>
        </w:rPr>
      </w:pPr>
      <w:r w:rsidRPr="00FA3428">
        <w:rPr>
          <w:b/>
        </w:rPr>
        <w:t>Tabulation of Results, Schedule, Analysis Plans</w:t>
      </w:r>
    </w:p>
    <w:p w:rsidRPr="00FA3428" w:rsidR="00FA3428" w:rsidP="00FA3428" w:rsidRDefault="00FA3428"/>
    <w:p w:rsidRPr="00FA3428" w:rsidR="00FA3428" w:rsidP="00FA3428" w:rsidRDefault="00FA3428">
      <w:r w:rsidRPr="00FA3428">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Pr="00FA3428" w:rsidR="00FA3428" w:rsidP="00FA3428" w:rsidRDefault="00FA3428"/>
    <w:p w:rsidRPr="00FA3428" w:rsidR="00FA3428" w:rsidP="00FA3428" w:rsidRDefault="00FA3428">
      <w:r w:rsidRPr="00FA3428">
        <w:t xml:space="preserve">Although the Agency does not intend to publish its findings, the Agency may receive requests to release the information (e.g., congressional inquiry, Freedom of Information Act requests).  The Agency will </w:t>
      </w:r>
      <w:r w:rsidRPr="00FA3428">
        <w:lastRenderedPageBreak/>
        <w:t xml:space="preserve">disseminate the findings when appropriate, strictly following the Agency's "Guidelines for Ensuring the Quality of Information Disseminated to the Public.", and will include specific discussion of the limitation of the qualitative results discussed above. </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Exemption for Display of Expiration Date</w:t>
      </w:r>
    </w:p>
    <w:p w:rsidRPr="00FA3428" w:rsidR="00FA3428" w:rsidP="00FA3428" w:rsidRDefault="00FA3428">
      <w:pPr>
        <w:rPr>
          <w:b/>
        </w:rPr>
      </w:pPr>
    </w:p>
    <w:p w:rsidRPr="00FA3428" w:rsidR="00FA3428" w:rsidP="00FA3428" w:rsidRDefault="00FA3428">
      <w:r w:rsidRPr="00FA3428">
        <w:t>AHRQ does not seek this exemption.</w:t>
      </w:r>
    </w:p>
    <w:p w:rsidRPr="00FA3428" w:rsidR="00FA3428" w:rsidP="00FA3428" w:rsidRDefault="00FA3428"/>
    <w:p w:rsidRPr="00FA3428" w:rsidR="00FA3428" w:rsidP="00FA3428" w:rsidRDefault="00FA3428"/>
    <w:p w:rsidRPr="00FA3428" w:rsidR="00FA3428" w:rsidP="00FA3428" w:rsidRDefault="00FA3428">
      <w:pPr>
        <w:numPr>
          <w:ilvl w:val="0"/>
          <w:numId w:val="2"/>
        </w:numPr>
        <w:rPr>
          <w:b/>
        </w:rPr>
      </w:pPr>
      <w:r w:rsidRPr="00FA3428">
        <w:rPr>
          <w:b/>
        </w:rPr>
        <w:t>Exceptions to Certification for Paperwork Reduction Act Submissions</w:t>
      </w:r>
    </w:p>
    <w:p w:rsidRPr="00FA3428" w:rsidR="00FA3428" w:rsidP="00FA3428" w:rsidRDefault="00FA3428">
      <w:pPr>
        <w:rPr>
          <w:b/>
        </w:rPr>
      </w:pPr>
    </w:p>
    <w:p w:rsidRPr="00FA3428" w:rsidR="00FA3428" w:rsidP="00FA3428" w:rsidRDefault="00FA3428">
      <w:r w:rsidRPr="00FA3428">
        <w:t>These activities comply with the requirements in 5 CFR 1320.9.</w:t>
      </w:r>
    </w:p>
    <w:p w:rsidRPr="00FA3428" w:rsidR="00FA3428" w:rsidP="00FA3428" w:rsidRDefault="00FA3428"/>
    <w:p w:rsidRPr="00FA3428" w:rsidR="00FA3428" w:rsidP="00FA3428" w:rsidRDefault="00FA3428"/>
    <w:p w:rsidRPr="00FA3428" w:rsidR="00FA3428" w:rsidP="00FA3428" w:rsidRDefault="00FA3428">
      <w:pPr>
        <w:rPr>
          <w:b/>
          <w:u w:val="single"/>
        </w:rPr>
      </w:pPr>
      <w:proofErr w:type="gramStart"/>
      <w:r w:rsidRPr="00FA3428">
        <w:rPr>
          <w:b/>
          <w:u w:val="single"/>
        </w:rPr>
        <w:t>List  of</w:t>
      </w:r>
      <w:proofErr w:type="gramEnd"/>
      <w:r w:rsidRPr="00FA3428">
        <w:rPr>
          <w:b/>
          <w:u w:val="single"/>
        </w:rPr>
        <w:t xml:space="preserve"> Attachments:</w:t>
      </w:r>
    </w:p>
    <w:p w:rsidRPr="00FA3428" w:rsidR="00FA3428" w:rsidP="00FA3428" w:rsidRDefault="00FA3428">
      <w:pPr>
        <w:rPr>
          <w:b/>
          <w:u w:val="single"/>
        </w:rPr>
      </w:pPr>
    </w:p>
    <w:p w:rsidRPr="00FA3428" w:rsidR="00FA3428" w:rsidP="00FA3428" w:rsidRDefault="00FA3428">
      <w:r w:rsidRPr="00FA3428">
        <w:t>Attachment A -- Healthcare Research and Quality Act of 1999</w:t>
      </w:r>
    </w:p>
    <w:p w:rsidRPr="00FA3428" w:rsidR="00FA3428" w:rsidP="00FA3428" w:rsidRDefault="00FA3428">
      <w:r w:rsidRPr="00FA3428">
        <w:t>Attachment B -- Submission Form</w:t>
      </w:r>
    </w:p>
    <w:p w:rsidRPr="00FA3428" w:rsidR="00FA3428" w:rsidP="00FA3428" w:rsidRDefault="00FA3428">
      <w:r w:rsidRPr="00FA3428">
        <w:t>Attachment C – 60 day Federal Register notice</w:t>
      </w:r>
    </w:p>
    <w:p w:rsidRPr="00FA3428" w:rsidR="00FA3428" w:rsidP="00FA3428" w:rsidRDefault="00FA3428">
      <w:pPr>
        <w:rPr>
          <w:b/>
        </w:rPr>
      </w:pPr>
    </w:p>
    <w:p w:rsidRPr="00FA3428" w:rsidR="00FA3428" w:rsidP="00FA3428" w:rsidRDefault="00FA3428">
      <w:pPr>
        <w:rPr>
          <w:b/>
        </w:rPr>
      </w:pPr>
    </w:p>
    <w:p w:rsidR="00C661BE" w:rsidRDefault="00C661BE"/>
    <w:sectPr w:rsidR="00C661BE"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428" w:rsidRDefault="00FA3428" w:rsidP="00FA3428">
      <w:pPr>
        <w:spacing w:after="0" w:line="240" w:lineRule="auto"/>
      </w:pPr>
      <w:r>
        <w:separator/>
      </w:r>
    </w:p>
  </w:endnote>
  <w:endnote w:type="continuationSeparator" w:id="0">
    <w:p w:rsidR="00FA3428" w:rsidRDefault="00FA3428" w:rsidP="00FA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914" w:rsidRDefault="00FA3428">
    <w:pPr>
      <w:pStyle w:val="Footer"/>
      <w:jc w:val="center"/>
    </w:pPr>
    <w:r>
      <w:fldChar w:fldCharType="begin"/>
    </w:r>
    <w:r>
      <w:instrText xml:space="preserve"> PAGE   \* MERGEFORMAT </w:instrText>
    </w:r>
    <w:r>
      <w:fldChar w:fldCharType="separate"/>
    </w:r>
    <w:r w:rsidR="00140A9F">
      <w:rPr>
        <w:noProof/>
      </w:rPr>
      <w:t>9</w:t>
    </w:r>
    <w:r>
      <w:rPr>
        <w:noProof/>
      </w:rPr>
      <w:fldChar w:fldCharType="end"/>
    </w:r>
  </w:p>
  <w:p w:rsidR="00885914" w:rsidRDefault="00140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428" w:rsidRDefault="00FA3428" w:rsidP="00FA3428">
      <w:pPr>
        <w:spacing w:after="0" w:line="240" w:lineRule="auto"/>
      </w:pPr>
      <w:r>
        <w:separator/>
      </w:r>
    </w:p>
  </w:footnote>
  <w:footnote w:type="continuationSeparator" w:id="0">
    <w:p w:rsidR="00FA3428" w:rsidRDefault="00FA3428" w:rsidP="00FA3428">
      <w:pPr>
        <w:spacing w:after="0" w:line="240" w:lineRule="auto"/>
      </w:pPr>
      <w:r>
        <w:continuationSeparator/>
      </w:r>
    </w:p>
  </w:footnote>
  <w:footnote w:id="1">
    <w:p w:rsidR="00FA3428" w:rsidRDefault="00FA3428" w:rsidP="00FA3428">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28"/>
    <w:rsid w:val="00140A9F"/>
    <w:rsid w:val="00BA53A4"/>
    <w:rsid w:val="00C661BE"/>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4A45"/>
  <w15:chartTrackingRefBased/>
  <w15:docId w15:val="{72DF3170-1723-4583-AE1C-BCA7CB7D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342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FA3428"/>
    <w:rPr>
      <w:rFonts w:ascii="Calibri" w:eastAsia="Times New Roman" w:hAnsi="Calibri" w:cs="Times New Roman"/>
    </w:rPr>
  </w:style>
  <w:style w:type="paragraph" w:styleId="FootnoteText">
    <w:name w:val="footnote text"/>
    <w:basedOn w:val="Normal"/>
    <w:link w:val="FootnoteTextChar"/>
    <w:uiPriority w:val="99"/>
    <w:semiHidden/>
    <w:rsid w:val="00FA3428"/>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FA3428"/>
    <w:rPr>
      <w:rFonts w:ascii="Calibri" w:eastAsia="Times New Roman" w:hAnsi="Calibri" w:cs="Times New Roman"/>
      <w:sz w:val="20"/>
      <w:szCs w:val="20"/>
    </w:rPr>
  </w:style>
  <w:style w:type="character" w:styleId="FootnoteReference">
    <w:name w:val="footnote reference"/>
    <w:basedOn w:val="DefaultParagraphFont"/>
    <w:uiPriority w:val="99"/>
    <w:semiHidden/>
    <w:rsid w:val="00FA3428"/>
    <w:rPr>
      <w:rFonts w:cs="Times New Roman"/>
      <w:vertAlign w:val="superscript"/>
    </w:rPr>
  </w:style>
  <w:style w:type="character" w:styleId="Hyperlink">
    <w:name w:val="Hyperlink"/>
    <w:basedOn w:val="DefaultParagraphFont"/>
    <w:uiPriority w:val="99"/>
    <w:unhideWhenUsed/>
    <w:rsid w:val="00FA3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2</cp:revision>
  <dcterms:created xsi:type="dcterms:W3CDTF">2020-09-14T18:24:00Z</dcterms:created>
  <dcterms:modified xsi:type="dcterms:W3CDTF">2020-09-14T18:47:00Z</dcterms:modified>
</cp:coreProperties>
</file>