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P="00E62AE5" w:rsidRDefault="00E62AE5" w14:paraId="73F9CC6A" w14:textId="77777777">
      <w:pPr>
        <w:jc w:val="center"/>
        <w:rPr>
          <w:b/>
        </w:rPr>
      </w:pPr>
      <w:r w:rsidRPr="00A102D5">
        <w:rPr>
          <w:b/>
        </w:rPr>
        <w:t>Non-</w:t>
      </w:r>
      <w:r w:rsidRPr="005A7CCB">
        <w:rPr>
          <w:b/>
        </w:rPr>
        <w:t xml:space="preserve">substantive Change Request to OMB Control # 0920-1011 </w:t>
      </w:r>
      <w:r w:rsidRPr="005A7CCB">
        <w:rPr>
          <w:b/>
        </w:rPr>
        <w:br/>
        <w:t>Emergency Epidemic Investigation Data Collections</w:t>
      </w:r>
    </w:p>
    <w:p w:rsidR="004B5600" w:rsidP="00E62AE5" w:rsidRDefault="004B5600" w14:paraId="5123F38C" w14:textId="77777777">
      <w:pPr>
        <w:jc w:val="center"/>
        <w:rPr>
          <w:b/>
        </w:rPr>
      </w:pPr>
      <w:r>
        <w:rPr>
          <w:b/>
        </w:rPr>
        <w:t>Date Submitted: August 24, 2020</w:t>
      </w:r>
    </w:p>
    <w:p w:rsidR="004B5600" w:rsidP="004B5600" w:rsidRDefault="004B5600" w14:paraId="6B431135" w14:textId="77777777">
      <w:pPr>
        <w:rPr>
          <w:b/>
        </w:rPr>
      </w:pPr>
    </w:p>
    <w:p w:rsidR="004B5600" w:rsidP="004B5600" w:rsidRDefault="004B5600" w14:paraId="06F805CF" w14:textId="4A7DC1DE">
      <w:pPr>
        <w:rPr>
          <w:rFonts w:eastAsia="Arial Unicode MS"/>
          <w:color w:val="000000"/>
          <w:sz w:val="24"/>
          <w:szCs w:val="24"/>
          <w:u w:color="000000"/>
        </w:rPr>
      </w:pPr>
      <w:r w:rsidRPr="005A7CCB">
        <w:t>This is a non-substantive change request for the Emergency Epidemic Investigations (EEI) Generic ICR, (OMB Control No. 0</w:t>
      </w:r>
      <w:r>
        <w:t>920-</w:t>
      </w:r>
      <w:r w:rsidRPr="00020A7A">
        <w:t xml:space="preserve">1011, Expiration </w:t>
      </w:r>
      <w:r>
        <w:rPr>
          <w:rFonts w:ascii="Calibri" w:hAnsi="Calibri" w:eastAsia="Calibri" w:cs="Calibri"/>
        </w:rPr>
        <w:t>01/31/2023</w:t>
      </w:r>
      <w:r w:rsidRPr="00020A7A">
        <w:t>).</w:t>
      </w:r>
      <w:r w:rsidRPr="005A7CCB">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br/>
      </w:r>
      <w:r>
        <w:br/>
      </w:r>
      <w:r w:rsidRPr="005A7CCB">
        <w:t xml:space="preserve">This non-substantive change request is submitted to </w:t>
      </w:r>
      <w:r>
        <w:t xml:space="preserve">request additional burden hours which are necessary to ensure CDC’s ability to respond to the COVID-19 pandemic. The burden for the currently approved EEI Generic ICR is calculated based on CDC’s routine response activities. </w:t>
      </w:r>
      <w:r w:rsidRPr="00912A6F" w:rsidR="00035E92">
        <w:rPr>
          <w:rFonts w:eastAsia="Arial Unicode MS"/>
          <w:color w:val="000000"/>
          <w:sz w:val="24"/>
          <w:szCs w:val="24"/>
          <w:u w:color="000000"/>
        </w:rPr>
        <w:t>The estimate</w:t>
      </w:r>
      <w:r w:rsidR="00035E92">
        <w:rPr>
          <w:rFonts w:eastAsia="Arial Unicode MS"/>
          <w:color w:val="000000"/>
          <w:sz w:val="24"/>
          <w:szCs w:val="24"/>
          <w:u w:color="000000"/>
        </w:rPr>
        <w:t>d annual burden of 6000 hours is</w:t>
      </w:r>
      <w:r w:rsidRPr="00912A6F" w:rsidR="00035E92">
        <w:rPr>
          <w:rFonts w:eastAsia="Arial Unicode MS"/>
          <w:color w:val="000000"/>
          <w:sz w:val="24"/>
          <w:szCs w:val="24"/>
          <w:u w:color="000000"/>
        </w:rPr>
        <w:t xml:space="preserve"> based on the </w:t>
      </w:r>
      <w:r w:rsidR="00035E92">
        <w:rPr>
          <w:rFonts w:eastAsia="Arial Unicode MS"/>
          <w:color w:val="000000"/>
          <w:sz w:val="24"/>
          <w:szCs w:val="24"/>
          <w:u w:color="000000"/>
        </w:rPr>
        <w:t xml:space="preserve">average </w:t>
      </w:r>
      <w:r w:rsidRPr="00912A6F" w:rsidR="00035E92">
        <w:rPr>
          <w:rFonts w:eastAsia="Arial Unicode MS"/>
          <w:color w:val="000000"/>
          <w:sz w:val="24"/>
          <w:szCs w:val="24"/>
          <w:u w:color="000000"/>
        </w:rPr>
        <w:t xml:space="preserve">reported burden for EEIs </w:t>
      </w:r>
      <w:r w:rsidR="00035E92">
        <w:rPr>
          <w:rFonts w:eastAsia="Arial Unicode MS"/>
          <w:color w:val="000000"/>
          <w:sz w:val="24"/>
          <w:szCs w:val="24"/>
          <w:u w:color="000000"/>
        </w:rPr>
        <w:t xml:space="preserve">conducted </w:t>
      </w:r>
      <w:r w:rsidRPr="00912A6F" w:rsidR="00035E92">
        <w:rPr>
          <w:rFonts w:eastAsia="Arial Unicode MS"/>
          <w:color w:val="000000"/>
          <w:sz w:val="24"/>
          <w:szCs w:val="24"/>
          <w:u w:color="000000"/>
        </w:rPr>
        <w:t xml:space="preserve">during </w:t>
      </w:r>
      <w:r w:rsidR="00035E92">
        <w:rPr>
          <w:rFonts w:eastAsia="Arial Unicode MS"/>
          <w:color w:val="000000"/>
          <w:sz w:val="24"/>
          <w:szCs w:val="24"/>
          <w:u w:color="000000"/>
        </w:rPr>
        <w:t>the two years prior to submission of the EEI Generic ICR Request for Extension, which was approved by OMB on 1/21/2020</w:t>
      </w:r>
      <w:r w:rsidRPr="00912A6F" w:rsidR="00035E92">
        <w:rPr>
          <w:rFonts w:eastAsia="Arial Unicode MS"/>
          <w:color w:val="000000"/>
          <w:sz w:val="24"/>
          <w:szCs w:val="24"/>
          <w:u w:color="000000"/>
        </w:rPr>
        <w:t>.</w:t>
      </w:r>
    </w:p>
    <w:p w:rsidR="00D577C7" w:rsidP="004B5600" w:rsidRDefault="004C0203" w14:paraId="74038ADF" w14:textId="7851E8CB">
      <w:pPr>
        <w:rPr>
          <w:rFonts w:eastAsia="Arial Unicode MS"/>
          <w:color w:val="000000"/>
          <w:sz w:val="24"/>
          <w:szCs w:val="24"/>
          <w:u w:color="000000"/>
        </w:rPr>
      </w:pPr>
      <w:r>
        <w:rPr>
          <w:rFonts w:eastAsia="Arial Unicode MS"/>
          <w:color w:val="000000"/>
          <w:sz w:val="24"/>
          <w:szCs w:val="24"/>
          <w:u w:color="000000"/>
        </w:rPr>
        <w:t xml:space="preserve">Because of the magnitude and scope of the COVID-19 pandemic, the burden for CDC’s COVID-19-related data collections conducted under the EEI generic ICR </w:t>
      </w:r>
      <w:r w:rsidR="00EA60B2">
        <w:rPr>
          <w:rFonts w:eastAsia="Arial Unicode MS"/>
          <w:color w:val="000000"/>
          <w:sz w:val="24"/>
          <w:szCs w:val="24"/>
          <w:u w:color="000000"/>
        </w:rPr>
        <w:t>is expected to greatly</w:t>
      </w:r>
      <w:r>
        <w:rPr>
          <w:rFonts w:eastAsia="Arial Unicode MS"/>
          <w:color w:val="000000"/>
          <w:sz w:val="24"/>
          <w:szCs w:val="24"/>
          <w:u w:color="000000"/>
        </w:rPr>
        <w:t xml:space="preserve"> exceed the estimated burden hours</w:t>
      </w:r>
      <w:r w:rsidR="00EA60B2">
        <w:rPr>
          <w:rFonts w:eastAsia="Arial Unicode MS"/>
          <w:color w:val="000000"/>
          <w:sz w:val="24"/>
          <w:szCs w:val="24"/>
          <w:u w:color="000000"/>
        </w:rPr>
        <w:t xml:space="preserve"> which are based on routine CDC response activities</w:t>
      </w:r>
      <w:r>
        <w:rPr>
          <w:rFonts w:eastAsia="Arial Unicode MS"/>
          <w:color w:val="000000"/>
          <w:sz w:val="24"/>
          <w:szCs w:val="24"/>
          <w:u w:color="000000"/>
        </w:rPr>
        <w:t xml:space="preserve">.  </w:t>
      </w:r>
      <w:r w:rsidR="00EA60B2">
        <w:rPr>
          <w:rFonts w:eastAsia="Arial Unicode MS"/>
          <w:color w:val="000000"/>
          <w:sz w:val="24"/>
          <w:szCs w:val="24"/>
          <w:u w:color="000000"/>
        </w:rPr>
        <w:t xml:space="preserve">The first case of COVID-19 was first detected in the United States in late January 2020.  </w:t>
      </w:r>
      <w:r>
        <w:rPr>
          <w:rFonts w:eastAsia="Arial Unicode MS"/>
          <w:color w:val="000000"/>
          <w:sz w:val="24"/>
          <w:szCs w:val="24"/>
          <w:u w:color="000000"/>
        </w:rPr>
        <w:t>As of August 20, 2020, the current U.S. case count is greater than 5.5 million</w:t>
      </w:r>
      <w:r w:rsidR="00EE7044">
        <w:rPr>
          <w:rFonts w:eastAsia="Arial Unicode MS"/>
          <w:color w:val="000000"/>
          <w:sz w:val="24"/>
          <w:szCs w:val="24"/>
          <w:u w:color="000000"/>
        </w:rPr>
        <w:t xml:space="preserve"> and rising</w:t>
      </w:r>
      <w:r>
        <w:rPr>
          <w:rFonts w:eastAsia="Arial Unicode MS"/>
          <w:color w:val="000000"/>
          <w:sz w:val="24"/>
          <w:szCs w:val="24"/>
          <w:u w:color="000000"/>
        </w:rPr>
        <w:t xml:space="preserve">. </w:t>
      </w:r>
      <w:r w:rsidR="00EA60B2">
        <w:rPr>
          <w:rFonts w:eastAsia="Arial Unicode MS"/>
          <w:color w:val="000000"/>
          <w:sz w:val="24"/>
          <w:szCs w:val="24"/>
          <w:u w:color="000000"/>
        </w:rPr>
        <w:t>While m</w:t>
      </w:r>
      <w:r>
        <w:rPr>
          <w:rFonts w:eastAsia="Arial Unicode MS"/>
          <w:color w:val="000000"/>
          <w:sz w:val="24"/>
          <w:szCs w:val="24"/>
          <w:u w:color="000000"/>
        </w:rPr>
        <w:t xml:space="preserve">ost </w:t>
      </w:r>
      <w:r w:rsidR="00562783">
        <w:rPr>
          <w:rFonts w:eastAsia="Arial Unicode MS"/>
          <w:color w:val="000000"/>
          <w:sz w:val="24"/>
          <w:szCs w:val="24"/>
          <w:u w:color="000000"/>
        </w:rPr>
        <w:t xml:space="preserve">case investigation and contact tracing </w:t>
      </w:r>
      <w:proofErr w:type="gramStart"/>
      <w:r w:rsidR="00562783">
        <w:rPr>
          <w:rFonts w:eastAsia="Arial Unicode MS"/>
          <w:color w:val="000000"/>
          <w:sz w:val="24"/>
          <w:szCs w:val="24"/>
          <w:u w:color="000000"/>
        </w:rPr>
        <w:t>is</w:t>
      </w:r>
      <w:proofErr w:type="gramEnd"/>
      <w:r w:rsidR="00562783">
        <w:rPr>
          <w:rFonts w:eastAsia="Arial Unicode MS"/>
          <w:color w:val="000000"/>
          <w:sz w:val="24"/>
          <w:szCs w:val="24"/>
          <w:u w:color="000000"/>
        </w:rPr>
        <w:t xml:space="preserve"> conducted by state and local jurisdictions</w:t>
      </w:r>
      <w:r w:rsidR="00EA60B2">
        <w:rPr>
          <w:rFonts w:eastAsia="Arial Unicode MS"/>
          <w:color w:val="000000"/>
          <w:sz w:val="24"/>
          <w:szCs w:val="24"/>
          <w:u w:color="000000"/>
        </w:rPr>
        <w:t>, w</w:t>
      </w:r>
      <w:r w:rsidR="00562783">
        <w:rPr>
          <w:rFonts w:eastAsia="Arial Unicode MS"/>
          <w:color w:val="000000"/>
          <w:sz w:val="24"/>
          <w:szCs w:val="24"/>
          <w:u w:color="000000"/>
        </w:rPr>
        <w:t xml:space="preserve">hen response needs exceed states’ capacity or </w:t>
      </w:r>
      <w:r w:rsidR="00B877C0">
        <w:rPr>
          <w:rFonts w:eastAsia="Arial Unicode MS"/>
          <w:color w:val="000000"/>
          <w:sz w:val="24"/>
          <w:szCs w:val="24"/>
          <w:u w:color="000000"/>
        </w:rPr>
        <w:t>federal</w:t>
      </w:r>
      <w:r w:rsidR="00562783">
        <w:rPr>
          <w:rFonts w:eastAsia="Arial Unicode MS"/>
          <w:color w:val="000000"/>
          <w:sz w:val="24"/>
          <w:szCs w:val="24"/>
          <w:u w:color="000000"/>
        </w:rPr>
        <w:t xml:space="preserve"> coordination of data collection is needed, CDC is available to support</w:t>
      </w:r>
      <w:r w:rsidR="00EA60B2">
        <w:rPr>
          <w:rFonts w:eastAsia="Arial Unicode MS"/>
          <w:color w:val="000000"/>
          <w:sz w:val="24"/>
          <w:szCs w:val="24"/>
          <w:u w:color="000000"/>
        </w:rPr>
        <w:t>, augment, or coordinate s</w:t>
      </w:r>
      <w:r w:rsidR="00562783">
        <w:rPr>
          <w:rFonts w:eastAsia="Arial Unicode MS"/>
          <w:color w:val="000000"/>
          <w:sz w:val="24"/>
          <w:szCs w:val="24"/>
          <w:u w:color="000000"/>
        </w:rPr>
        <w:t>tate and local response</w:t>
      </w:r>
      <w:r w:rsidR="00EA60B2">
        <w:rPr>
          <w:rFonts w:eastAsia="Arial Unicode MS"/>
          <w:color w:val="000000"/>
          <w:sz w:val="24"/>
          <w:szCs w:val="24"/>
          <w:u w:color="000000"/>
        </w:rPr>
        <w:t xml:space="preserve">s. </w:t>
      </w:r>
      <w:r w:rsidR="000C6A7F">
        <w:rPr>
          <w:rFonts w:eastAsia="Arial Unicode MS"/>
          <w:color w:val="000000"/>
          <w:sz w:val="24"/>
          <w:szCs w:val="24"/>
          <w:u w:color="000000"/>
        </w:rPr>
        <w:t xml:space="preserve">If CDC </w:t>
      </w:r>
      <w:r w:rsidR="00AB3D7D">
        <w:rPr>
          <w:rFonts w:eastAsia="Arial Unicode MS"/>
          <w:color w:val="000000"/>
          <w:sz w:val="24"/>
          <w:szCs w:val="24"/>
          <w:u w:color="000000"/>
        </w:rPr>
        <w:t>conducts</w:t>
      </w:r>
      <w:r w:rsidR="00EA60B2">
        <w:rPr>
          <w:rFonts w:eastAsia="Arial Unicode MS"/>
          <w:color w:val="000000"/>
          <w:sz w:val="24"/>
          <w:szCs w:val="24"/>
          <w:u w:color="000000"/>
        </w:rPr>
        <w:t xml:space="preserve"> federally sponsored data collections for</w:t>
      </w:r>
      <w:r w:rsidR="0085657C">
        <w:rPr>
          <w:rFonts w:eastAsia="Arial Unicode MS"/>
          <w:color w:val="000000"/>
          <w:sz w:val="24"/>
          <w:szCs w:val="24"/>
          <w:u w:color="000000"/>
        </w:rPr>
        <w:t xml:space="preserve"> </w:t>
      </w:r>
      <w:r w:rsidR="006A35C6">
        <w:rPr>
          <w:rFonts w:eastAsia="Arial Unicode MS"/>
          <w:color w:val="000000"/>
          <w:sz w:val="24"/>
          <w:szCs w:val="24"/>
          <w:u w:color="000000"/>
        </w:rPr>
        <w:t>1</w:t>
      </w:r>
      <w:r w:rsidR="00EA60B2">
        <w:rPr>
          <w:rFonts w:eastAsia="Arial Unicode MS"/>
          <w:color w:val="000000"/>
          <w:sz w:val="24"/>
          <w:szCs w:val="24"/>
          <w:u w:color="000000"/>
        </w:rPr>
        <w:t>% of COVID-19 cases</w:t>
      </w:r>
      <w:r w:rsidR="00AB3D7D">
        <w:rPr>
          <w:rFonts w:eastAsia="Arial Unicode MS"/>
          <w:color w:val="000000"/>
          <w:sz w:val="24"/>
          <w:szCs w:val="24"/>
          <w:u w:color="000000"/>
        </w:rPr>
        <w:t xml:space="preserve"> and their contacts</w:t>
      </w:r>
      <w:r w:rsidR="00DB4CFE">
        <w:rPr>
          <w:rFonts w:eastAsia="Arial Unicode MS"/>
          <w:color w:val="000000"/>
          <w:sz w:val="24"/>
          <w:szCs w:val="24"/>
          <w:u w:color="000000"/>
        </w:rPr>
        <w:t xml:space="preserve"> </w:t>
      </w:r>
      <w:r w:rsidR="009674F1">
        <w:rPr>
          <w:rFonts w:eastAsia="Arial Unicode MS"/>
          <w:color w:val="000000"/>
          <w:sz w:val="24"/>
          <w:szCs w:val="24"/>
          <w:u w:color="000000"/>
        </w:rPr>
        <w:t>annually</w:t>
      </w:r>
      <w:r w:rsidR="006C73C4">
        <w:rPr>
          <w:rFonts w:eastAsia="Arial Unicode MS"/>
          <w:color w:val="000000"/>
          <w:sz w:val="24"/>
          <w:szCs w:val="24"/>
          <w:u w:color="000000"/>
        </w:rPr>
        <w:t xml:space="preserve">, based on current estimates this could represent </w:t>
      </w:r>
      <w:r w:rsidR="003D0B39">
        <w:rPr>
          <w:rFonts w:eastAsia="Arial Unicode MS"/>
          <w:color w:val="000000"/>
          <w:sz w:val="24"/>
          <w:szCs w:val="24"/>
          <w:u w:color="000000"/>
        </w:rPr>
        <w:t>55,000</w:t>
      </w:r>
      <w:r w:rsidR="006C73C4">
        <w:rPr>
          <w:rFonts w:eastAsia="Arial Unicode MS"/>
          <w:color w:val="000000"/>
          <w:sz w:val="24"/>
          <w:szCs w:val="24"/>
          <w:u w:color="000000"/>
        </w:rPr>
        <w:t xml:space="preserve"> cases</w:t>
      </w:r>
      <w:r w:rsidR="00BE4F0C">
        <w:rPr>
          <w:rFonts w:eastAsia="Arial Unicode MS"/>
          <w:color w:val="000000"/>
          <w:sz w:val="24"/>
          <w:szCs w:val="24"/>
          <w:u w:color="000000"/>
        </w:rPr>
        <w:t xml:space="preserve"> and </w:t>
      </w:r>
      <w:r w:rsidR="0080699C">
        <w:rPr>
          <w:rFonts w:eastAsia="Arial Unicode MS"/>
          <w:color w:val="000000"/>
          <w:sz w:val="24"/>
          <w:szCs w:val="24"/>
          <w:u w:color="000000"/>
        </w:rPr>
        <w:t xml:space="preserve">approximately </w:t>
      </w:r>
      <w:r w:rsidR="003D0B39">
        <w:rPr>
          <w:rFonts w:eastAsia="Arial Unicode MS"/>
          <w:color w:val="000000"/>
          <w:sz w:val="24"/>
          <w:szCs w:val="24"/>
          <w:u w:color="000000"/>
        </w:rPr>
        <w:t>880,000</w:t>
      </w:r>
      <w:r w:rsidR="0080699C">
        <w:rPr>
          <w:rFonts w:eastAsia="Arial Unicode MS"/>
          <w:color w:val="000000"/>
          <w:sz w:val="24"/>
          <w:szCs w:val="24"/>
          <w:u w:color="000000"/>
        </w:rPr>
        <w:t xml:space="preserve"> </w:t>
      </w:r>
      <w:r w:rsidR="00CB64EC">
        <w:rPr>
          <w:rFonts w:eastAsia="Arial Unicode MS"/>
          <w:color w:val="000000"/>
          <w:sz w:val="24"/>
          <w:szCs w:val="24"/>
          <w:u w:color="000000"/>
        </w:rPr>
        <w:t>close contacts</w:t>
      </w:r>
      <w:r w:rsidR="0080699C">
        <w:rPr>
          <w:rFonts w:eastAsia="Arial Unicode MS"/>
          <w:color w:val="000000"/>
          <w:sz w:val="24"/>
          <w:szCs w:val="24"/>
          <w:u w:color="000000"/>
        </w:rPr>
        <w:t>, a</w:t>
      </w:r>
      <w:r w:rsidR="00B877C0">
        <w:rPr>
          <w:rFonts w:eastAsia="Arial Unicode MS"/>
          <w:color w:val="000000"/>
          <w:sz w:val="24"/>
          <w:szCs w:val="24"/>
          <w:u w:color="000000"/>
        </w:rPr>
        <w:t xml:space="preserve">ssuming </w:t>
      </w:r>
      <w:r w:rsidR="00DE6D73">
        <w:rPr>
          <w:rFonts w:eastAsia="Arial Unicode MS"/>
          <w:color w:val="000000"/>
          <w:sz w:val="24"/>
          <w:szCs w:val="24"/>
          <w:u w:color="000000"/>
        </w:rPr>
        <w:t>16 close contacts per case</w:t>
      </w:r>
      <w:r w:rsidR="005570E4">
        <w:rPr>
          <w:rFonts w:eastAsia="Arial Unicode MS"/>
          <w:color w:val="000000"/>
          <w:sz w:val="24"/>
          <w:szCs w:val="24"/>
          <w:u w:color="000000"/>
          <w:vertAlign w:val="superscript"/>
        </w:rPr>
        <w:t>*</w:t>
      </w:r>
      <w:r w:rsidRPr="0080699C" w:rsidR="0080699C">
        <w:rPr>
          <w:rFonts w:eastAsia="Arial Unicode MS"/>
          <w:color w:val="000000"/>
          <w:sz w:val="24"/>
          <w:szCs w:val="24"/>
          <w:u w:color="000000"/>
        </w:rPr>
        <w:t>.</w:t>
      </w:r>
      <w:r w:rsidR="0080699C">
        <w:rPr>
          <w:rFonts w:eastAsia="Arial Unicode MS"/>
          <w:color w:val="000000"/>
          <w:sz w:val="24"/>
          <w:szCs w:val="24"/>
          <w:u w:color="000000"/>
          <w:vertAlign w:val="superscript"/>
        </w:rPr>
        <w:t xml:space="preserve"> </w:t>
      </w:r>
      <w:r w:rsidRPr="0080699C" w:rsidR="0080699C">
        <w:rPr>
          <w:rFonts w:eastAsia="Arial Unicode MS"/>
          <w:color w:val="000000"/>
          <w:sz w:val="24"/>
          <w:szCs w:val="24"/>
          <w:u w:color="000000"/>
        </w:rPr>
        <w:t xml:space="preserve">The estimated burden per </w:t>
      </w:r>
      <w:r w:rsidR="0080699C">
        <w:rPr>
          <w:rFonts w:eastAsia="Arial Unicode MS"/>
          <w:color w:val="000000"/>
          <w:sz w:val="24"/>
          <w:szCs w:val="24"/>
          <w:u w:color="000000"/>
        </w:rPr>
        <w:t xml:space="preserve">data collection is </w:t>
      </w:r>
      <w:r w:rsidR="00736F1D">
        <w:rPr>
          <w:rFonts w:eastAsia="Arial Unicode MS"/>
          <w:color w:val="000000"/>
          <w:sz w:val="24"/>
          <w:szCs w:val="24"/>
          <w:u w:color="000000"/>
        </w:rPr>
        <w:t>.5 hour</w:t>
      </w:r>
      <w:r w:rsidR="0080699C">
        <w:rPr>
          <w:rFonts w:eastAsia="Arial Unicode MS"/>
          <w:color w:val="000000"/>
          <w:sz w:val="24"/>
          <w:szCs w:val="24"/>
          <w:u w:color="000000"/>
        </w:rPr>
        <w:t xml:space="preserve">s.  Therefore, the </w:t>
      </w:r>
      <w:r w:rsidR="00493622">
        <w:rPr>
          <w:rFonts w:eastAsia="Arial Unicode MS"/>
          <w:color w:val="000000"/>
          <w:sz w:val="24"/>
          <w:szCs w:val="24"/>
          <w:u w:color="000000"/>
        </w:rPr>
        <w:t xml:space="preserve">new estimated </w:t>
      </w:r>
      <w:r w:rsidR="00C35699">
        <w:rPr>
          <w:rFonts w:eastAsia="Arial Unicode MS"/>
          <w:color w:val="000000"/>
          <w:sz w:val="24"/>
          <w:szCs w:val="24"/>
          <w:u w:color="000000"/>
        </w:rPr>
        <w:t xml:space="preserve">annual </w:t>
      </w:r>
      <w:r w:rsidR="00493622">
        <w:rPr>
          <w:rFonts w:eastAsia="Arial Unicode MS"/>
          <w:color w:val="000000"/>
          <w:sz w:val="24"/>
          <w:szCs w:val="24"/>
          <w:u w:color="000000"/>
        </w:rPr>
        <w:t xml:space="preserve">burden </w:t>
      </w:r>
      <w:r w:rsidR="007261E1">
        <w:rPr>
          <w:rFonts w:eastAsia="Arial Unicode MS"/>
          <w:color w:val="000000"/>
          <w:sz w:val="24"/>
          <w:szCs w:val="24"/>
          <w:u w:color="000000"/>
        </w:rPr>
        <w:t>for</w:t>
      </w:r>
      <w:r w:rsidR="006D4885">
        <w:rPr>
          <w:rFonts w:eastAsia="Arial Unicode MS"/>
          <w:color w:val="000000"/>
          <w:sz w:val="24"/>
          <w:szCs w:val="24"/>
          <w:u w:color="000000"/>
        </w:rPr>
        <w:t xml:space="preserve"> COVID-19 data collections is </w:t>
      </w:r>
      <w:r w:rsidR="00BA3543">
        <w:rPr>
          <w:rFonts w:eastAsia="Arial Unicode MS"/>
          <w:color w:val="000000"/>
          <w:sz w:val="24"/>
          <w:szCs w:val="24"/>
          <w:u w:color="000000"/>
        </w:rPr>
        <w:t>467,500</w:t>
      </w:r>
      <w:r w:rsidR="007C19F6">
        <w:rPr>
          <w:rFonts w:eastAsia="Arial Unicode MS"/>
          <w:color w:val="000000"/>
          <w:sz w:val="24"/>
          <w:szCs w:val="24"/>
          <w:u w:color="000000"/>
        </w:rPr>
        <w:t xml:space="preserve"> hours</w:t>
      </w:r>
      <w:r w:rsidR="00425B95">
        <w:rPr>
          <w:rFonts w:eastAsia="Arial Unicode MS"/>
          <w:color w:val="000000"/>
          <w:sz w:val="24"/>
          <w:szCs w:val="24"/>
          <w:u w:color="000000"/>
        </w:rPr>
        <w:t xml:space="preserve">. Adding the already approved </w:t>
      </w:r>
      <w:bookmarkStart w:name="_GoBack" w:id="0"/>
      <w:bookmarkEnd w:id="0"/>
      <w:r w:rsidR="00425B95">
        <w:rPr>
          <w:rFonts w:eastAsia="Arial Unicode MS"/>
          <w:color w:val="000000"/>
          <w:sz w:val="24"/>
          <w:szCs w:val="24"/>
          <w:u w:color="000000"/>
        </w:rPr>
        <w:t xml:space="preserve">6,000 burden hours for </w:t>
      </w:r>
      <w:r w:rsidR="003F0E09">
        <w:rPr>
          <w:rFonts w:eastAsia="Arial Unicode MS"/>
          <w:color w:val="000000"/>
          <w:sz w:val="24"/>
          <w:szCs w:val="24"/>
          <w:u w:color="000000"/>
        </w:rPr>
        <w:t>routine EEI data collections with 12,000 respondents</w:t>
      </w:r>
      <w:r w:rsidR="000A46B4">
        <w:rPr>
          <w:rFonts w:eastAsia="Arial Unicode MS"/>
          <w:color w:val="000000"/>
          <w:sz w:val="24"/>
          <w:szCs w:val="24"/>
          <w:u w:color="000000"/>
        </w:rPr>
        <w:t xml:space="preserve"> annually results in a total annual burden of 473,500 hours.</w:t>
      </w:r>
    </w:p>
    <w:p w:rsidRPr="00D577C7" w:rsidR="00D577C7" w:rsidP="00D577C7" w:rsidRDefault="00D577C7" w14:paraId="46F38173" w14:textId="54EAC3FA">
      <w:pPr>
        <w:rPr>
          <w:rFonts w:eastAsia="Arial Unicode MS"/>
          <w:color w:val="000000"/>
          <w:sz w:val="24"/>
          <w:szCs w:val="24"/>
          <w:u w:color="000000"/>
        </w:rPr>
      </w:pPr>
      <w:r>
        <w:rPr>
          <w:rFonts w:eastAsia="Arial Unicode MS"/>
          <w:color w:val="000000"/>
          <w:sz w:val="24"/>
          <w:szCs w:val="24"/>
          <w:u w:color="000000"/>
        </w:rPr>
        <w:t xml:space="preserve">The approved and requested burden </w:t>
      </w:r>
      <w:r w:rsidR="007261E1">
        <w:rPr>
          <w:rFonts w:eastAsia="Arial Unicode MS"/>
          <w:color w:val="000000"/>
          <w:sz w:val="24"/>
          <w:szCs w:val="24"/>
          <w:u w:color="000000"/>
        </w:rPr>
        <w:t>is</w:t>
      </w:r>
      <w:r>
        <w:rPr>
          <w:rFonts w:eastAsia="Arial Unicode MS"/>
          <w:color w:val="000000"/>
          <w:sz w:val="24"/>
          <w:szCs w:val="24"/>
          <w:u w:color="000000"/>
        </w:rPr>
        <w:t xml:space="preserve"> summarized in Table 1. </w:t>
      </w:r>
    </w:p>
    <w:p w:rsidR="007261E1" w:rsidRDefault="007261E1" w14:paraId="679DF57C" w14:textId="77777777">
      <w:pPr>
        <w:rPr>
          <w:rFonts w:eastAsia="Arial Unicode MS"/>
          <w:color w:val="000000"/>
          <w:sz w:val="24"/>
          <w:szCs w:val="24"/>
          <w:u w:color="000000"/>
        </w:rPr>
      </w:pPr>
      <w:r>
        <w:rPr>
          <w:rFonts w:eastAsia="Arial Unicode MS"/>
          <w:color w:val="000000"/>
          <w:sz w:val="24"/>
          <w:szCs w:val="24"/>
          <w:u w:color="000000"/>
        </w:rPr>
        <w:br w:type="page"/>
      </w:r>
    </w:p>
    <w:p w:rsidRPr="00BF1A48" w:rsidR="004B5600" w:rsidP="004B5600" w:rsidRDefault="004B5600" w14:paraId="6B504512" w14:textId="21633F05">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lastRenderedPageBreak/>
        <w:t xml:space="preserve">Table </w:t>
      </w:r>
      <w:r w:rsidR="00D577C7">
        <w:rPr>
          <w:rFonts w:eastAsia="Arial Unicode MS"/>
          <w:color w:val="000000"/>
          <w:sz w:val="24"/>
          <w:szCs w:val="24"/>
          <w:u w:color="000000"/>
        </w:rPr>
        <w:t>1</w:t>
      </w:r>
      <w:r>
        <w:rPr>
          <w:rFonts w:eastAsia="Arial Unicode MS"/>
          <w:color w:val="000000"/>
          <w:sz w:val="24"/>
          <w:szCs w:val="24"/>
          <w:u w:color="000000"/>
        </w:rPr>
        <w:t xml:space="preserve">. </w:t>
      </w:r>
      <w:r w:rsidR="0089384C">
        <w:rPr>
          <w:rFonts w:eastAsia="Arial Unicode MS"/>
          <w:color w:val="000000"/>
          <w:sz w:val="24"/>
          <w:szCs w:val="24"/>
          <w:u w:color="000000"/>
        </w:rPr>
        <w:t xml:space="preserve">Approved and Requested </w:t>
      </w:r>
      <w:r w:rsidRPr="00BF1A48">
        <w:rPr>
          <w:rFonts w:eastAsia="Arial Unicode MS"/>
          <w:color w:val="000000"/>
          <w:sz w:val="24"/>
          <w:szCs w:val="24"/>
          <w:u w:color="000000"/>
        </w:rPr>
        <w:t>Estimated Annualized Burden Hours</w:t>
      </w:r>
    </w:p>
    <w:tbl>
      <w:tblPr>
        <w:tblW w:w="93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63"/>
        <w:gridCol w:w="1564"/>
        <w:gridCol w:w="1564"/>
        <w:gridCol w:w="1564"/>
        <w:gridCol w:w="1564"/>
        <w:gridCol w:w="1564"/>
      </w:tblGrid>
      <w:tr w:rsidRPr="00BF1A48" w:rsidR="00972DD2" w:rsidTr="0039720C" w14:paraId="7B2B8F05" w14:textId="77777777">
        <w:trPr>
          <w:trHeight w:val="592"/>
        </w:trPr>
        <w:tc>
          <w:tcPr>
            <w:tcW w:w="1563"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2A19BF0C" w14:textId="77777777">
            <w:pPr>
              <w:widowControl w:val="0"/>
              <w:tabs>
                <w:tab w:val="left" w:pos="0"/>
              </w:tabs>
              <w:autoSpaceDE w:val="0"/>
              <w:autoSpaceDN w:val="0"/>
              <w:adjustRightInd w:val="0"/>
              <w:rPr>
                <w:rFonts w:eastAsia="Arial Unicode MS"/>
                <w:color w:val="000000"/>
                <w:sz w:val="24"/>
                <w:szCs w:val="24"/>
                <w:u w:color="000000"/>
              </w:rPr>
            </w:pPr>
          </w:p>
        </w:tc>
        <w:tc>
          <w:tcPr>
            <w:tcW w:w="1564" w:type="dxa"/>
            <w:tcBorders>
              <w:top w:val="single" w:color="auto" w:sz="4" w:space="0"/>
              <w:left w:val="single" w:color="auto" w:sz="4" w:space="0"/>
              <w:bottom w:val="single" w:color="auto" w:sz="4" w:space="0"/>
              <w:right w:val="single" w:color="auto" w:sz="4" w:space="0"/>
            </w:tcBorders>
            <w:hideMark/>
          </w:tcPr>
          <w:p w:rsidRPr="0039720C" w:rsidR="00972DD2" w:rsidP="00EC7668" w:rsidRDefault="00972DD2" w14:paraId="0176BB5B" w14:textId="51D9C2FA">
            <w:pPr>
              <w:widowControl w:val="0"/>
              <w:tabs>
                <w:tab w:val="left" w:pos="0"/>
              </w:tabs>
              <w:autoSpaceDE w:val="0"/>
              <w:autoSpaceDN w:val="0"/>
              <w:adjustRightInd w:val="0"/>
              <w:rPr>
                <w:rFonts w:eastAsia="Arial Unicode MS"/>
                <w:b/>
                <w:bCs/>
                <w:color w:val="000000"/>
                <w:sz w:val="24"/>
                <w:szCs w:val="24"/>
                <w:u w:color="000000"/>
              </w:rPr>
            </w:pPr>
            <w:r w:rsidRPr="0039720C">
              <w:rPr>
                <w:rFonts w:eastAsia="Arial Unicode MS"/>
                <w:b/>
                <w:bCs/>
                <w:color w:val="000000"/>
                <w:sz w:val="24"/>
                <w:szCs w:val="24"/>
                <w:u w:color="000000"/>
              </w:rPr>
              <w:t>Type of Respondents</w:t>
            </w:r>
          </w:p>
        </w:tc>
        <w:tc>
          <w:tcPr>
            <w:tcW w:w="1564" w:type="dxa"/>
            <w:tcBorders>
              <w:top w:val="single" w:color="auto" w:sz="4" w:space="0"/>
              <w:left w:val="single" w:color="auto" w:sz="4" w:space="0"/>
              <w:bottom w:val="single" w:color="auto" w:sz="4" w:space="0"/>
              <w:right w:val="single" w:color="auto" w:sz="4" w:space="0"/>
            </w:tcBorders>
            <w:hideMark/>
          </w:tcPr>
          <w:p w:rsidRPr="0039720C" w:rsidR="00972DD2" w:rsidP="00EC7668" w:rsidRDefault="00972DD2" w14:paraId="42FE3041" w14:textId="77777777">
            <w:pPr>
              <w:widowControl w:val="0"/>
              <w:tabs>
                <w:tab w:val="left" w:pos="0"/>
              </w:tabs>
              <w:autoSpaceDE w:val="0"/>
              <w:autoSpaceDN w:val="0"/>
              <w:adjustRightInd w:val="0"/>
              <w:rPr>
                <w:rFonts w:eastAsia="Arial Unicode MS"/>
                <w:b/>
                <w:bCs/>
                <w:color w:val="000000"/>
                <w:sz w:val="24"/>
                <w:szCs w:val="24"/>
                <w:u w:color="000000"/>
              </w:rPr>
            </w:pPr>
            <w:r w:rsidRPr="0039720C">
              <w:rPr>
                <w:rFonts w:eastAsia="Arial Unicode MS"/>
                <w:b/>
                <w:bCs/>
                <w:color w:val="000000"/>
                <w:sz w:val="24"/>
                <w:szCs w:val="24"/>
                <w:u w:color="000000"/>
              </w:rPr>
              <w:t>Form Name</w:t>
            </w:r>
          </w:p>
        </w:tc>
        <w:tc>
          <w:tcPr>
            <w:tcW w:w="1564" w:type="dxa"/>
            <w:tcBorders>
              <w:top w:val="single" w:color="auto" w:sz="4" w:space="0"/>
              <w:left w:val="single" w:color="auto" w:sz="4" w:space="0"/>
              <w:bottom w:val="single" w:color="auto" w:sz="4" w:space="0"/>
              <w:right w:val="single" w:color="auto" w:sz="4" w:space="0"/>
            </w:tcBorders>
            <w:hideMark/>
          </w:tcPr>
          <w:p w:rsidRPr="0039720C" w:rsidR="00972DD2" w:rsidP="00EC7668" w:rsidRDefault="00972DD2" w14:paraId="2C8E0F2C" w14:textId="77777777">
            <w:pPr>
              <w:widowControl w:val="0"/>
              <w:tabs>
                <w:tab w:val="left" w:pos="0"/>
              </w:tabs>
              <w:autoSpaceDE w:val="0"/>
              <w:autoSpaceDN w:val="0"/>
              <w:adjustRightInd w:val="0"/>
              <w:rPr>
                <w:rFonts w:eastAsia="Arial Unicode MS"/>
                <w:b/>
                <w:bCs/>
                <w:color w:val="000000"/>
                <w:sz w:val="24"/>
                <w:szCs w:val="24"/>
                <w:u w:color="000000"/>
              </w:rPr>
            </w:pPr>
            <w:r w:rsidRPr="0039720C">
              <w:rPr>
                <w:rFonts w:eastAsia="Arial Unicode MS"/>
                <w:b/>
                <w:bCs/>
                <w:color w:val="000000"/>
                <w:sz w:val="24"/>
                <w:szCs w:val="24"/>
                <w:u w:color="000000"/>
              </w:rPr>
              <w:t>No. of Respondents</w:t>
            </w:r>
          </w:p>
        </w:tc>
        <w:tc>
          <w:tcPr>
            <w:tcW w:w="1564" w:type="dxa"/>
            <w:tcBorders>
              <w:top w:val="single" w:color="auto" w:sz="4" w:space="0"/>
              <w:left w:val="single" w:color="auto" w:sz="4" w:space="0"/>
              <w:bottom w:val="single" w:color="auto" w:sz="4" w:space="0"/>
              <w:right w:val="single" w:color="auto" w:sz="4" w:space="0"/>
            </w:tcBorders>
            <w:hideMark/>
          </w:tcPr>
          <w:p w:rsidRPr="0039720C" w:rsidR="00972DD2" w:rsidP="00EC7668" w:rsidRDefault="00972DD2" w14:paraId="60E8DCF4" w14:textId="77777777">
            <w:pPr>
              <w:widowControl w:val="0"/>
              <w:tabs>
                <w:tab w:val="left" w:pos="0"/>
              </w:tabs>
              <w:autoSpaceDE w:val="0"/>
              <w:autoSpaceDN w:val="0"/>
              <w:adjustRightInd w:val="0"/>
              <w:rPr>
                <w:rFonts w:eastAsia="Arial Unicode MS"/>
                <w:b/>
                <w:bCs/>
                <w:color w:val="000000"/>
                <w:sz w:val="24"/>
                <w:szCs w:val="24"/>
                <w:u w:color="000000"/>
              </w:rPr>
            </w:pPr>
            <w:r w:rsidRPr="0039720C">
              <w:rPr>
                <w:rFonts w:eastAsia="Arial Unicode MS"/>
                <w:b/>
                <w:bCs/>
                <w:color w:val="000000"/>
                <w:sz w:val="24"/>
                <w:szCs w:val="24"/>
                <w:u w:color="000000"/>
              </w:rPr>
              <w:t>Avg. Burden per Response (in hrs.)</w:t>
            </w:r>
          </w:p>
        </w:tc>
        <w:tc>
          <w:tcPr>
            <w:tcW w:w="1564" w:type="dxa"/>
            <w:tcBorders>
              <w:top w:val="single" w:color="auto" w:sz="4" w:space="0"/>
              <w:left w:val="single" w:color="auto" w:sz="4" w:space="0"/>
              <w:bottom w:val="single" w:color="auto" w:sz="4" w:space="0"/>
              <w:right w:val="single" w:color="auto" w:sz="4" w:space="0"/>
            </w:tcBorders>
            <w:hideMark/>
          </w:tcPr>
          <w:p w:rsidRPr="0039720C" w:rsidR="00972DD2" w:rsidP="00EC7668" w:rsidRDefault="00972DD2" w14:paraId="607171E7" w14:textId="77777777">
            <w:pPr>
              <w:widowControl w:val="0"/>
              <w:tabs>
                <w:tab w:val="left" w:pos="0"/>
              </w:tabs>
              <w:autoSpaceDE w:val="0"/>
              <w:autoSpaceDN w:val="0"/>
              <w:adjustRightInd w:val="0"/>
              <w:rPr>
                <w:rFonts w:eastAsia="Arial Unicode MS"/>
                <w:b/>
                <w:bCs/>
                <w:color w:val="000000"/>
                <w:sz w:val="24"/>
                <w:szCs w:val="24"/>
                <w:u w:color="000000"/>
              </w:rPr>
            </w:pPr>
            <w:r w:rsidRPr="0039720C">
              <w:rPr>
                <w:rFonts w:eastAsia="Arial Unicode MS"/>
                <w:b/>
                <w:bCs/>
                <w:color w:val="000000"/>
                <w:sz w:val="24"/>
                <w:szCs w:val="24"/>
                <w:u w:color="000000"/>
              </w:rPr>
              <w:t>Total Burden (in hrs.)</w:t>
            </w:r>
          </w:p>
        </w:tc>
      </w:tr>
      <w:tr w:rsidRPr="00BF1A48" w:rsidR="00972DD2" w:rsidTr="0039720C" w14:paraId="04764BB9" w14:textId="77777777">
        <w:trPr>
          <w:trHeight w:val="260"/>
        </w:trPr>
        <w:tc>
          <w:tcPr>
            <w:tcW w:w="1563"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5E2A5B7A" w14:textId="2E92DD99">
            <w:pPr>
              <w:rPr>
                <w:rFonts w:eastAsia="Arial Unicode MS"/>
                <w:color w:val="000000"/>
                <w:sz w:val="24"/>
                <w:szCs w:val="24"/>
                <w:u w:color="000000"/>
              </w:rPr>
            </w:pPr>
            <w:r>
              <w:rPr>
                <w:rFonts w:eastAsia="Arial Unicode MS"/>
                <w:color w:val="000000"/>
                <w:sz w:val="24"/>
                <w:szCs w:val="24"/>
                <w:u w:color="000000"/>
              </w:rPr>
              <w:t>Approved Burden</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511AA66E" w14:textId="4518A979">
            <w:pPr>
              <w:rPr>
                <w:rFonts w:eastAsia="Arial Unicode MS"/>
                <w:color w:val="000000"/>
                <w:sz w:val="24"/>
                <w:szCs w:val="24"/>
                <w:u w:color="000000"/>
              </w:rPr>
            </w:pPr>
            <w:r w:rsidRPr="00BF1A48">
              <w:rPr>
                <w:rFonts w:eastAsia="Arial Unicode MS"/>
                <w:color w:val="000000"/>
                <w:sz w:val="24"/>
                <w:szCs w:val="24"/>
                <w:u w:color="000000"/>
              </w:rPr>
              <w:t>Emergency Epidemic Investigation Participants</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066FAE4B"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Emergency Epidemic Investigation Data Collection Instruments</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057E2F0B"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12,000</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54DF6A86"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0.5</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1A0672FE"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6,000</w:t>
            </w:r>
          </w:p>
        </w:tc>
      </w:tr>
      <w:tr w:rsidRPr="00BF1A48" w:rsidR="00972DD2" w:rsidTr="0039720C" w14:paraId="3F3F943B" w14:textId="77777777">
        <w:trPr>
          <w:trHeight w:val="260"/>
        </w:trPr>
        <w:tc>
          <w:tcPr>
            <w:tcW w:w="1563" w:type="dxa"/>
            <w:tcBorders>
              <w:top w:val="single" w:color="auto" w:sz="4" w:space="0"/>
              <w:left w:val="single" w:color="auto" w:sz="4" w:space="0"/>
              <w:bottom w:val="single" w:color="auto" w:sz="4" w:space="0"/>
              <w:right w:val="single" w:color="auto" w:sz="4" w:space="0"/>
            </w:tcBorders>
          </w:tcPr>
          <w:p w:rsidR="00972DD2" w:rsidP="00EC7668" w:rsidRDefault="007B1CEF" w14:paraId="3115A232" w14:textId="10B615F7">
            <w:pPr>
              <w:rPr>
                <w:rFonts w:eastAsia="Arial Unicode MS"/>
                <w:color w:val="000000"/>
                <w:sz w:val="24"/>
                <w:szCs w:val="24"/>
                <w:u w:color="000000"/>
              </w:rPr>
            </w:pPr>
            <w:r>
              <w:rPr>
                <w:rFonts w:eastAsia="Arial Unicode MS"/>
                <w:color w:val="000000"/>
                <w:sz w:val="24"/>
                <w:szCs w:val="24"/>
                <w:u w:color="000000"/>
              </w:rPr>
              <w:t xml:space="preserve">Additional </w:t>
            </w:r>
            <w:r w:rsidR="00972DD2">
              <w:rPr>
                <w:rFonts w:eastAsia="Arial Unicode MS"/>
                <w:color w:val="000000"/>
                <w:sz w:val="24"/>
                <w:szCs w:val="24"/>
                <w:u w:color="000000"/>
              </w:rPr>
              <w:t>Requested Burden</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25FC14EF" w14:textId="786A7875">
            <w:pPr>
              <w:rPr>
                <w:rFonts w:eastAsia="Arial Unicode MS"/>
                <w:color w:val="000000"/>
                <w:sz w:val="24"/>
                <w:szCs w:val="24"/>
                <w:u w:color="000000"/>
              </w:rPr>
            </w:pPr>
            <w:r w:rsidRPr="00BF1A48">
              <w:rPr>
                <w:rFonts w:eastAsia="Arial Unicode MS"/>
                <w:color w:val="000000"/>
                <w:sz w:val="24"/>
                <w:szCs w:val="24"/>
                <w:u w:color="000000"/>
              </w:rPr>
              <w:t>Emergency Epidemic Investigation Participants</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52BBD436" w14:textId="279C260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Emergency Epidemic Investigation Data Collection Instruments</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7F22A8" w14:paraId="0AC90F16" w14:textId="598900F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935,000</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371764" w14:paraId="5E546EF2" w14:textId="13ABCF4C">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0.5</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7F22A8" w14:paraId="68311D57" w14:textId="1EC34441">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467,500</w:t>
            </w:r>
          </w:p>
        </w:tc>
      </w:tr>
      <w:tr w:rsidRPr="00BF1A48" w:rsidR="003F0E09" w:rsidTr="0039720C" w14:paraId="03B2A594" w14:textId="77777777">
        <w:trPr>
          <w:trHeight w:val="260"/>
        </w:trPr>
        <w:tc>
          <w:tcPr>
            <w:tcW w:w="1563" w:type="dxa"/>
            <w:tcBorders>
              <w:top w:val="single" w:color="auto" w:sz="4" w:space="0"/>
              <w:left w:val="single" w:color="auto" w:sz="4" w:space="0"/>
              <w:bottom w:val="single" w:color="auto" w:sz="4" w:space="0"/>
              <w:right w:val="single" w:color="auto" w:sz="4" w:space="0"/>
            </w:tcBorders>
          </w:tcPr>
          <w:p w:rsidR="003F0E09" w:rsidP="00EC7668" w:rsidRDefault="003F0E09" w14:paraId="170084BB" w14:textId="451E9167">
            <w:pPr>
              <w:rPr>
                <w:rFonts w:eastAsia="Arial Unicode MS"/>
                <w:color w:val="000000"/>
                <w:sz w:val="24"/>
                <w:szCs w:val="24"/>
                <w:u w:color="000000"/>
              </w:rPr>
            </w:pPr>
            <w:r>
              <w:rPr>
                <w:rFonts w:eastAsia="Arial Unicode MS"/>
                <w:color w:val="000000"/>
                <w:sz w:val="24"/>
                <w:szCs w:val="24"/>
                <w:u w:color="000000"/>
              </w:rPr>
              <w:t>Total Burden</w:t>
            </w:r>
          </w:p>
        </w:tc>
        <w:tc>
          <w:tcPr>
            <w:tcW w:w="1564" w:type="dxa"/>
            <w:tcBorders>
              <w:top w:val="single" w:color="auto" w:sz="4" w:space="0"/>
              <w:left w:val="single" w:color="auto" w:sz="4" w:space="0"/>
              <w:bottom w:val="single" w:color="auto" w:sz="4" w:space="0"/>
              <w:right w:val="single" w:color="auto" w:sz="4" w:space="0"/>
            </w:tcBorders>
          </w:tcPr>
          <w:p w:rsidRPr="00BF1A48" w:rsidR="003F0E09" w:rsidP="00EC7668" w:rsidRDefault="003F0E09" w14:paraId="09F0C0F8" w14:textId="77777777">
            <w:pPr>
              <w:rPr>
                <w:rFonts w:eastAsia="Arial Unicode MS"/>
                <w:color w:val="000000"/>
                <w:sz w:val="24"/>
                <w:szCs w:val="24"/>
                <w:u w:color="000000"/>
              </w:rPr>
            </w:pPr>
          </w:p>
        </w:tc>
        <w:tc>
          <w:tcPr>
            <w:tcW w:w="1564" w:type="dxa"/>
            <w:tcBorders>
              <w:top w:val="single" w:color="auto" w:sz="4" w:space="0"/>
              <w:left w:val="single" w:color="auto" w:sz="4" w:space="0"/>
              <w:bottom w:val="single" w:color="auto" w:sz="4" w:space="0"/>
              <w:right w:val="single" w:color="auto" w:sz="4" w:space="0"/>
            </w:tcBorders>
          </w:tcPr>
          <w:p w:rsidRPr="00BF1A48" w:rsidR="003F0E09" w:rsidP="00EC7668" w:rsidRDefault="003F0E09" w14:paraId="7427A50F" w14:textId="77777777">
            <w:pPr>
              <w:widowControl w:val="0"/>
              <w:tabs>
                <w:tab w:val="left" w:pos="0"/>
              </w:tabs>
              <w:autoSpaceDE w:val="0"/>
              <w:autoSpaceDN w:val="0"/>
              <w:adjustRightInd w:val="0"/>
              <w:rPr>
                <w:rFonts w:eastAsia="Arial Unicode MS"/>
                <w:color w:val="000000"/>
                <w:sz w:val="24"/>
                <w:szCs w:val="24"/>
                <w:u w:color="000000"/>
              </w:rPr>
            </w:pPr>
          </w:p>
        </w:tc>
        <w:tc>
          <w:tcPr>
            <w:tcW w:w="1564" w:type="dxa"/>
            <w:tcBorders>
              <w:top w:val="single" w:color="auto" w:sz="4" w:space="0"/>
              <w:left w:val="single" w:color="auto" w:sz="4" w:space="0"/>
              <w:bottom w:val="single" w:color="auto" w:sz="4" w:space="0"/>
              <w:right w:val="single" w:color="auto" w:sz="4" w:space="0"/>
            </w:tcBorders>
          </w:tcPr>
          <w:p w:rsidR="003F0E09" w:rsidP="00EC7668" w:rsidRDefault="007B1CEF" w14:paraId="2FF42EC8" w14:textId="2870ACD4">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947,000</w:t>
            </w:r>
          </w:p>
        </w:tc>
        <w:tc>
          <w:tcPr>
            <w:tcW w:w="1564" w:type="dxa"/>
            <w:tcBorders>
              <w:top w:val="single" w:color="auto" w:sz="4" w:space="0"/>
              <w:left w:val="single" w:color="auto" w:sz="4" w:space="0"/>
              <w:bottom w:val="single" w:color="auto" w:sz="4" w:space="0"/>
              <w:right w:val="single" w:color="auto" w:sz="4" w:space="0"/>
            </w:tcBorders>
          </w:tcPr>
          <w:p w:rsidR="003F0E09" w:rsidP="00EC7668" w:rsidRDefault="007B1CEF" w14:paraId="45B36BB9" w14:textId="4D3ACC0D">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0.5</w:t>
            </w:r>
          </w:p>
        </w:tc>
        <w:tc>
          <w:tcPr>
            <w:tcW w:w="1564" w:type="dxa"/>
            <w:tcBorders>
              <w:top w:val="single" w:color="auto" w:sz="4" w:space="0"/>
              <w:left w:val="single" w:color="auto" w:sz="4" w:space="0"/>
              <w:bottom w:val="single" w:color="auto" w:sz="4" w:space="0"/>
              <w:right w:val="single" w:color="auto" w:sz="4" w:space="0"/>
            </w:tcBorders>
          </w:tcPr>
          <w:p w:rsidR="003F0E09" w:rsidP="00EC7668" w:rsidRDefault="007B1CEF" w14:paraId="0F387379" w14:textId="0B86425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473,500</w:t>
            </w:r>
          </w:p>
        </w:tc>
      </w:tr>
    </w:tbl>
    <w:p w:rsidR="004B5600" w:rsidP="004B5600" w:rsidRDefault="004B5600" w14:paraId="44886C0C" w14:textId="77777777"/>
    <w:p w:rsidR="004B5600" w:rsidP="004B5600" w:rsidRDefault="004B5600" w14:paraId="40A5DA55" w14:textId="77777777">
      <w:pPr>
        <w:pStyle w:val="Header"/>
        <w:tabs>
          <w:tab w:val="num" w:pos="720"/>
        </w:tabs>
      </w:pPr>
    </w:p>
    <w:p w:rsidR="004B5600" w:rsidP="004B5600" w:rsidRDefault="005570E4" w14:paraId="35B5BDC8" w14:textId="3FB72171">
      <w:r>
        <w:t>*</w:t>
      </w:r>
      <w:r w:rsidR="008D69AE">
        <w:t xml:space="preserve">It is difficult to estimate the number of close contacts per case. One large surveillance </w:t>
      </w:r>
      <w:r w:rsidR="00655487">
        <w:t>study found the number of close contacts ranged from 1 to 20</w:t>
      </w:r>
      <w:r w:rsidR="00600A9C">
        <w:t>1</w:t>
      </w:r>
      <w:r w:rsidR="00655487">
        <w:t>.</w:t>
      </w:r>
      <w:r w:rsidRPr="005570E4">
        <w:rPr>
          <w:vertAlign w:val="superscript"/>
        </w:rPr>
        <w:t>1</w:t>
      </w:r>
      <w:r w:rsidR="00655487">
        <w:t xml:space="preserve"> </w:t>
      </w:r>
      <w:r>
        <w:t>As a reasonable estimate, w</w:t>
      </w:r>
      <w:r w:rsidR="00655487">
        <w:t>e cite here an investigation of a case that found 16 close contacts per case.</w:t>
      </w:r>
      <w:r w:rsidRPr="005570E4">
        <w:rPr>
          <w:vertAlign w:val="superscript"/>
        </w:rPr>
        <w:t>2</w:t>
      </w:r>
    </w:p>
    <w:p w:rsidR="00655487" w:rsidP="004B5600" w:rsidRDefault="005570E4" w14:paraId="3D36AA8C" w14:textId="5979C153">
      <w:r w:rsidRPr="005570E4">
        <w:rPr>
          <w:vertAlign w:val="superscript"/>
        </w:rPr>
        <w:t>1</w:t>
      </w:r>
      <w:r w:rsidRPr="005570E4">
        <w:t xml:space="preserve">Burke RM, Midgley CM, </w:t>
      </w:r>
      <w:proofErr w:type="spellStart"/>
      <w:r w:rsidRPr="005570E4">
        <w:t>Dratch</w:t>
      </w:r>
      <w:proofErr w:type="spellEnd"/>
      <w:r w:rsidRPr="005570E4">
        <w:t xml:space="preserve"> A, et al. Active Monitoring of Persons Exposed to Patients with Confirmed COVID-19 — United States, January–February 2020. MMWR </w:t>
      </w:r>
      <w:proofErr w:type="spellStart"/>
      <w:r w:rsidRPr="005570E4">
        <w:t>Morb</w:t>
      </w:r>
      <w:proofErr w:type="spellEnd"/>
      <w:r w:rsidRPr="005570E4">
        <w:t xml:space="preserve"> Mortal </w:t>
      </w:r>
      <w:proofErr w:type="spellStart"/>
      <w:r w:rsidRPr="005570E4">
        <w:t>Wkly</w:t>
      </w:r>
      <w:proofErr w:type="spellEnd"/>
      <w:r w:rsidRPr="005570E4">
        <w:t xml:space="preserve"> Rep </w:t>
      </w:r>
      <w:proofErr w:type="gramStart"/>
      <w:r w:rsidRPr="005570E4">
        <w:t>2020;69:245</w:t>
      </w:r>
      <w:proofErr w:type="gramEnd"/>
      <w:r w:rsidRPr="005570E4">
        <w:t xml:space="preserve">–246. DOI: </w:t>
      </w:r>
      <w:hyperlink w:history="1" r:id="rId8">
        <w:r w:rsidRPr="007E50FD">
          <w:rPr>
            <w:rStyle w:val="Hyperlink"/>
          </w:rPr>
          <w:t>http://dx.doi.org/10.15585/mmwr.mm6909</w:t>
        </w:r>
      </w:hyperlink>
    </w:p>
    <w:p w:rsidR="005570E4" w:rsidP="004B5600" w:rsidRDefault="005570E4" w14:paraId="0228ACF3" w14:textId="3B1E9D7F">
      <w:r w:rsidRPr="00A97F4F">
        <w:rPr>
          <w:vertAlign w:val="superscript"/>
        </w:rPr>
        <w:t>2</w:t>
      </w:r>
      <w:r w:rsidRPr="00A97F4F" w:rsidR="00A97F4F">
        <w:t xml:space="preserve">Scott SE, Zabel K, Collins J, et al. First Mildly Ill, </w:t>
      </w:r>
      <w:proofErr w:type="spellStart"/>
      <w:r w:rsidRPr="00A97F4F" w:rsidR="00A97F4F">
        <w:t>Nonhospitalized</w:t>
      </w:r>
      <w:proofErr w:type="spellEnd"/>
      <w:r w:rsidRPr="00A97F4F" w:rsidR="00A97F4F">
        <w:t xml:space="preserve"> Case of Coronavirus Disease 2019 (COVID-19) Without Viral Transmission in the United States-Maricopa County, Arizona, 2020. Clin Infect Dis. 2020;71(15):807-812. doi:10.1093/</w:t>
      </w:r>
      <w:proofErr w:type="spellStart"/>
      <w:r w:rsidRPr="00A97F4F" w:rsidR="00A97F4F">
        <w:t>cid</w:t>
      </w:r>
      <w:proofErr w:type="spellEnd"/>
      <w:r w:rsidRPr="00A97F4F" w:rsidR="00A97F4F">
        <w:t>/ciaa374</w:t>
      </w:r>
    </w:p>
    <w:sectPr w:rsidR="005570E4"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D6E33"/>
    <w:multiLevelType w:val="hybridMultilevel"/>
    <w:tmpl w:val="9B28DEFA"/>
    <w:lvl w:ilvl="0" w:tplc="3DC64F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E5"/>
    <w:rsid w:val="00004E51"/>
    <w:rsid w:val="00035E92"/>
    <w:rsid w:val="000373F9"/>
    <w:rsid w:val="000600C8"/>
    <w:rsid w:val="000778A6"/>
    <w:rsid w:val="000A46B4"/>
    <w:rsid w:val="000C6A7F"/>
    <w:rsid w:val="000E4ADB"/>
    <w:rsid w:val="001678EA"/>
    <w:rsid w:val="001B0249"/>
    <w:rsid w:val="00290A18"/>
    <w:rsid w:val="002B5D62"/>
    <w:rsid w:val="002D0146"/>
    <w:rsid w:val="003141C6"/>
    <w:rsid w:val="00325E86"/>
    <w:rsid w:val="00371764"/>
    <w:rsid w:val="0039720C"/>
    <w:rsid w:val="003D0B39"/>
    <w:rsid w:val="003F0E09"/>
    <w:rsid w:val="00425B95"/>
    <w:rsid w:val="00427181"/>
    <w:rsid w:val="0049046B"/>
    <w:rsid w:val="00493622"/>
    <w:rsid w:val="004B5600"/>
    <w:rsid w:val="004C0203"/>
    <w:rsid w:val="004F2DDF"/>
    <w:rsid w:val="005570E4"/>
    <w:rsid w:val="00562783"/>
    <w:rsid w:val="00600A9C"/>
    <w:rsid w:val="00655487"/>
    <w:rsid w:val="006A35C6"/>
    <w:rsid w:val="006C73C4"/>
    <w:rsid w:val="006D4885"/>
    <w:rsid w:val="007261E1"/>
    <w:rsid w:val="00736F1D"/>
    <w:rsid w:val="00742DEF"/>
    <w:rsid w:val="007B1CEF"/>
    <w:rsid w:val="007C19F6"/>
    <w:rsid w:val="007F22A8"/>
    <w:rsid w:val="0080699C"/>
    <w:rsid w:val="0085657C"/>
    <w:rsid w:val="0089384C"/>
    <w:rsid w:val="008D69AE"/>
    <w:rsid w:val="00901C92"/>
    <w:rsid w:val="0090666A"/>
    <w:rsid w:val="009674F1"/>
    <w:rsid w:val="00972DD2"/>
    <w:rsid w:val="00A259B3"/>
    <w:rsid w:val="00A97F4F"/>
    <w:rsid w:val="00AB3D7D"/>
    <w:rsid w:val="00B877C0"/>
    <w:rsid w:val="00BA3543"/>
    <w:rsid w:val="00BE4F0C"/>
    <w:rsid w:val="00C35699"/>
    <w:rsid w:val="00CB64EC"/>
    <w:rsid w:val="00D16019"/>
    <w:rsid w:val="00D26908"/>
    <w:rsid w:val="00D577C7"/>
    <w:rsid w:val="00DB4CFE"/>
    <w:rsid w:val="00DE6D73"/>
    <w:rsid w:val="00DF171E"/>
    <w:rsid w:val="00E02D40"/>
    <w:rsid w:val="00E62AE5"/>
    <w:rsid w:val="00EA60B2"/>
    <w:rsid w:val="00EC7668"/>
    <w:rsid w:val="00EE704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664A"/>
  <w15:chartTrackingRefBased/>
  <w15:docId w15:val="{42ACD155-7842-446A-B487-B07D826A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00"/>
  </w:style>
  <w:style w:type="paragraph" w:styleId="BalloonText">
    <w:name w:val="Balloon Text"/>
    <w:basedOn w:val="Normal"/>
    <w:link w:val="BalloonTextChar"/>
    <w:uiPriority w:val="99"/>
    <w:semiHidden/>
    <w:unhideWhenUsed/>
    <w:rsid w:val="00EA6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0B2"/>
    <w:rPr>
      <w:rFonts w:ascii="Segoe UI" w:hAnsi="Segoe UI" w:cs="Segoe UI"/>
      <w:sz w:val="18"/>
      <w:szCs w:val="18"/>
    </w:rPr>
  </w:style>
  <w:style w:type="paragraph" w:styleId="ListParagraph">
    <w:name w:val="List Paragraph"/>
    <w:basedOn w:val="Normal"/>
    <w:uiPriority w:val="34"/>
    <w:qFormat/>
    <w:rsid w:val="005570E4"/>
    <w:pPr>
      <w:ind w:left="720"/>
      <w:contextualSpacing/>
    </w:pPr>
  </w:style>
  <w:style w:type="character" w:styleId="Hyperlink">
    <w:name w:val="Hyperlink"/>
    <w:basedOn w:val="DefaultParagraphFont"/>
    <w:uiPriority w:val="99"/>
    <w:unhideWhenUsed/>
    <w:rsid w:val="005570E4"/>
    <w:rPr>
      <w:color w:val="0563C1" w:themeColor="hyperlink"/>
      <w:u w:val="single"/>
    </w:rPr>
  </w:style>
  <w:style w:type="character" w:styleId="UnresolvedMention">
    <w:name w:val="Unresolved Mention"/>
    <w:basedOn w:val="DefaultParagraphFont"/>
    <w:uiPriority w:val="99"/>
    <w:semiHidden/>
    <w:unhideWhenUsed/>
    <w:rsid w:val="0055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585/mmwr.mm690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5" ma:contentTypeDescription="Create a new document." ma:contentTypeScope="" ma:versionID="47356e4796cedfc16b7804ca6699f35d">
  <xsd:schema xmlns:xsd="http://www.w3.org/2001/XMLSchema" xmlns:xs="http://www.w3.org/2001/XMLSchema" xmlns:p="http://schemas.microsoft.com/office/2006/metadata/properties" xmlns:ns3="101ab016-77f8-4a4e-890e-620eb8dba109" xmlns:ns4="aa9d0fe1-daec-4fed-b253-c9db79212d45" targetNamespace="http://schemas.microsoft.com/office/2006/metadata/properties" ma:root="true" ma:fieldsID="0fd5cb5c53dad42a1808c74a2eefc301" ns3:_="" ns4:_="">
    <xsd:import namespace="101ab016-77f8-4a4e-890e-620eb8dba109"/>
    <xsd:import namespace="aa9d0fe1-daec-4fed-b253-c9db79212d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9d0fe1-daec-4fed-b253-c9db79212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1EF6B-56DE-4F1A-A325-D9CC5F9A22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B6D4E-7C6D-44F9-B61C-A1FDA08B9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aa9d0fe1-daec-4fed-b253-c9db79212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F9FEC-A229-44B2-BC0A-6D3CD8C52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Danice (CDC/DDPHSS/CSELS/DSEPD)</dc:creator>
  <cp:keywords/>
  <dc:description/>
  <cp:lastModifiedBy>Eaton, Danice (CDC/DDPHSS/CSELS/DSEPD)</cp:lastModifiedBy>
  <cp:revision>59</cp:revision>
  <dcterms:created xsi:type="dcterms:W3CDTF">2020-08-23T22:26:00Z</dcterms:created>
  <dcterms:modified xsi:type="dcterms:W3CDTF">2020-08-24T01:07:00Z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ies>
</file>