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62EA" w:rsidP="00C14B5D" w:rsidRDefault="004D62EA">
      <w:pPr>
        <w:jc w:val="center"/>
        <w:rPr>
          <w:b/>
        </w:rPr>
      </w:pPr>
      <w:bookmarkStart w:name="_GoBack" w:id="0"/>
      <w:bookmarkEnd w:id="0"/>
      <w:r>
        <w:rPr>
          <w:b/>
        </w:rPr>
        <w:t>U.S. Food and Drug Administration</w:t>
      </w:r>
    </w:p>
    <w:p w:rsidRPr="0022482A" w:rsidR="00C14B5D" w:rsidP="00C14B5D" w:rsidRDefault="00704E96">
      <w:pPr>
        <w:jc w:val="center"/>
        <w:rPr>
          <w:b/>
        </w:rPr>
      </w:pPr>
      <w:r w:rsidRPr="0022482A">
        <w:rPr>
          <w:b/>
        </w:rPr>
        <w:t>Experimental Study on Measuring Consumer Comprehension of Displays of Harmful and Potentially Harmful Constituents (HPHCs) in Tobacco Products</w:t>
      </w:r>
      <w:r w:rsidRPr="0022482A" w:rsidR="003036A3">
        <w:rPr>
          <w:b/>
        </w:rPr>
        <w:t xml:space="preserve"> and Tobacco Smoke</w:t>
      </w:r>
    </w:p>
    <w:p w:rsidRPr="0022482A" w:rsidR="00B23769" w:rsidP="00B23769" w:rsidRDefault="00B23769">
      <w:pPr>
        <w:jc w:val="center"/>
        <w:rPr>
          <w:b/>
        </w:rPr>
      </w:pPr>
    </w:p>
    <w:p w:rsidRPr="0022482A" w:rsidR="00C14B5D" w:rsidP="00B23769" w:rsidRDefault="004D62EA">
      <w:pPr>
        <w:jc w:val="center"/>
        <w:rPr>
          <w:b/>
        </w:rPr>
      </w:pPr>
      <w:r>
        <w:rPr>
          <w:b/>
        </w:rPr>
        <w:t xml:space="preserve">OMB Control Number </w:t>
      </w:r>
      <w:r w:rsidRPr="0022482A" w:rsidR="00EB7538">
        <w:rPr>
          <w:b/>
        </w:rPr>
        <w:t>0910-</w:t>
      </w:r>
      <w:r w:rsidR="003B261B">
        <w:rPr>
          <w:b/>
        </w:rPr>
        <w:t>0880</w:t>
      </w:r>
    </w:p>
    <w:p w:rsidRPr="0022482A" w:rsidR="0022482A" w:rsidP="00B23769" w:rsidRDefault="0022482A">
      <w:pPr>
        <w:jc w:val="center"/>
        <w:rPr>
          <w:b/>
        </w:rPr>
      </w:pPr>
    </w:p>
    <w:p w:rsidRPr="0022482A" w:rsidR="00EB7538" w:rsidP="00B23769" w:rsidRDefault="00EB7538">
      <w:pPr>
        <w:jc w:val="center"/>
        <w:rPr>
          <w:b/>
        </w:rPr>
      </w:pPr>
      <w:r w:rsidRPr="0022482A">
        <w:rPr>
          <w:b/>
        </w:rPr>
        <w:t>SUPPORTING STATEMENT</w:t>
      </w:r>
    </w:p>
    <w:p w:rsidR="00810FF1" w:rsidP="00B23769" w:rsidRDefault="00810FF1">
      <w:pPr>
        <w:jc w:val="center"/>
        <w:rPr>
          <w:b/>
        </w:rPr>
      </w:pPr>
    </w:p>
    <w:p w:rsidRPr="00850940" w:rsidR="00EB7538" w:rsidP="00850940" w:rsidRDefault="00EB7538">
      <w:pPr>
        <w:pStyle w:val="Heading2"/>
      </w:pPr>
      <w:r w:rsidRPr="00850940">
        <w:t>A. Justification</w:t>
      </w:r>
    </w:p>
    <w:p w:rsidRPr="00850940" w:rsidR="00CD50AC" w:rsidP="00850940" w:rsidRDefault="00EB7538">
      <w:pPr>
        <w:pStyle w:val="Heading3"/>
      </w:pPr>
      <w:r w:rsidRPr="00850940">
        <w:t>Circumstances Making the Collection of Information Necessary</w:t>
      </w:r>
    </w:p>
    <w:p w:rsidR="00AD4C50" w:rsidP="00850940" w:rsidRDefault="00704E96">
      <w:pPr>
        <w:pStyle w:val="BodyText"/>
      </w:pPr>
      <w:r w:rsidRPr="00EB6BBC">
        <w:t>The Tobacco Control Act (Pub. L. 111-31) amends the Federal Food, Drug, and Cosmet</w:t>
      </w:r>
      <w:r>
        <w:t>ic Act (the FD&amp;C Act) to grant the U</w:t>
      </w:r>
      <w:r w:rsidR="00925AE9">
        <w:t>.</w:t>
      </w:r>
      <w:r>
        <w:t>S</w:t>
      </w:r>
      <w:r w:rsidR="00925AE9">
        <w:t>.</w:t>
      </w:r>
      <w:r>
        <w:t xml:space="preserve"> Food and Drug Administration (F</w:t>
      </w:r>
      <w:r w:rsidRPr="00EB6BBC">
        <w:t>DA</w:t>
      </w:r>
      <w:r>
        <w:t>)</w:t>
      </w:r>
      <w:r w:rsidRPr="00EB6BBC">
        <w:t xml:space="preserve"> authority to regulate the manufacture, marketing, and distribution of tobacco products to protect the public health and to reduce tobacco use by minors</w:t>
      </w:r>
      <w:r w:rsidRPr="000360DE" w:rsidR="000360DE">
        <w:t xml:space="preserve">. Section 904(e) of the FD&amp;C Act requires FDA to establish, and periodically revise as appropriate, </w:t>
      </w:r>
      <w:r w:rsidR="00925AE9">
        <w:t>“</w:t>
      </w:r>
      <w:r w:rsidRPr="000360DE" w:rsidR="000360DE">
        <w:t xml:space="preserve">a list of </w:t>
      </w:r>
      <w:bookmarkStart w:name="_Hlk512597583" w:id="1"/>
      <w:r w:rsidRPr="000360DE" w:rsidR="000360DE">
        <w:t>harmful and p</w:t>
      </w:r>
      <w:r>
        <w:t>otentially harmful constituents (HPHCs)</w:t>
      </w:r>
      <w:bookmarkEnd w:id="1"/>
      <w:r w:rsidRPr="000360DE" w:rsidR="000360DE">
        <w:t>, including smoke constituents, to health in each tobacco product by brand and by quantity in each brand and subbrand.</w:t>
      </w:r>
      <w:r w:rsidR="00925AE9">
        <w:t>”</w:t>
      </w:r>
      <w:r w:rsidRPr="000360DE" w:rsidR="00925AE9">
        <w:t xml:space="preserve"> </w:t>
      </w:r>
      <w:r w:rsidRPr="000360DE" w:rsidR="000360DE">
        <w:t>Section 904(d)(1) of the Act further requires that the list be published in a format that is understandable and not misleading to laypersons.</w:t>
      </w:r>
    </w:p>
    <w:p w:rsidRPr="00704E96" w:rsidR="00704E96" w:rsidP="00850940" w:rsidRDefault="00FB7824">
      <w:pPr>
        <w:pStyle w:val="BodyText"/>
      </w:pPr>
      <w:bookmarkStart w:name="_Hlk24483097" w:id="2"/>
      <w:r>
        <w:t>T</w:t>
      </w:r>
      <w:r w:rsidRPr="00EB6BBC" w:rsidR="00704E96">
        <w:t>he study proposed here</w:t>
      </w:r>
      <w:r w:rsidR="005156DA">
        <w:t xml:space="preserve"> </w:t>
      </w:r>
      <w:r w:rsidRPr="00EB6BBC" w:rsidR="00704E96">
        <w:t>is an effort b</w:t>
      </w:r>
      <w:r w:rsidR="00704E96">
        <w:t xml:space="preserve">y FDA to collect data on the public’s comprehension </w:t>
      </w:r>
      <w:r w:rsidR="00484557">
        <w:t xml:space="preserve">and perception of misleadingness </w:t>
      </w:r>
      <w:r w:rsidR="00704E96">
        <w:t xml:space="preserve">of </w:t>
      </w:r>
      <w:bookmarkStart w:name="_Hlk512597980" w:id="3"/>
      <w:r w:rsidR="00704E96">
        <w:t xml:space="preserve">informational displays of </w:t>
      </w:r>
      <w:r w:rsidR="00F37965">
        <w:t>Harmful and Potentially Harmful Constituents (</w:t>
      </w:r>
      <w:r w:rsidR="00704E96">
        <w:t>HPHCs</w:t>
      </w:r>
      <w:r w:rsidR="00F37965">
        <w:t>)</w:t>
      </w:r>
      <w:r w:rsidR="008D7688">
        <w:t>.  HPHCs</w:t>
      </w:r>
      <w:bookmarkEnd w:id="3"/>
      <w:r w:rsidRPr="006A63FF" w:rsidR="00925AE9">
        <w:t xml:space="preserve"> </w:t>
      </w:r>
      <w:r w:rsidRPr="006A63FF" w:rsidR="006A63FF">
        <w:t xml:space="preserve">are </w:t>
      </w:r>
      <w:bookmarkStart w:name="_Hlk512597547" w:id="4"/>
      <w:r w:rsidRPr="006A63FF" w:rsidR="006A63FF">
        <w:t xml:space="preserve">chemicals or chemical compounds in a tobacco product or tobacco smoke that cause, or could cause, harm. </w:t>
      </w:r>
      <w:bookmarkEnd w:id="4"/>
      <w:r w:rsidRPr="006A63FF" w:rsidR="006A63FF">
        <w:t>Examples of HPHCs include toxicants, carcinogens, and addictive chemicals and chemical compounds</w:t>
      </w:r>
      <w:r w:rsidR="00704E96">
        <w:t xml:space="preserve">. </w:t>
      </w:r>
      <w:r w:rsidRPr="00EB6BBC" w:rsidR="00704E96">
        <w:t xml:space="preserve">FDA’s Center for Tobacco Products </w:t>
      </w:r>
      <w:r w:rsidR="00925AE9">
        <w:t xml:space="preserve">(CTP) </w:t>
      </w:r>
      <w:r w:rsidR="008D7688">
        <w:t>seeks</w:t>
      </w:r>
      <w:r w:rsidRPr="00EB6BBC" w:rsidR="008D7688">
        <w:t xml:space="preserve"> </w:t>
      </w:r>
      <w:r w:rsidRPr="00EB6BBC" w:rsidR="00704E96">
        <w:t xml:space="preserve">data on how </w:t>
      </w:r>
      <w:r w:rsidR="00704E96">
        <w:t xml:space="preserve">the public comprehends and </w:t>
      </w:r>
      <w:r w:rsidRPr="00EB6BBC" w:rsidR="00704E96">
        <w:t>respond</w:t>
      </w:r>
      <w:r w:rsidR="00704E96">
        <w:t>s</w:t>
      </w:r>
      <w:r w:rsidRPr="00EB6BBC" w:rsidR="00704E96">
        <w:t xml:space="preserve"> to </w:t>
      </w:r>
      <w:r w:rsidR="00704E96">
        <w:t>displays of HPHC information</w:t>
      </w:r>
      <w:r w:rsidRPr="00EB6BBC" w:rsidR="00704E96">
        <w:t xml:space="preserve"> </w:t>
      </w:r>
      <w:r w:rsidRPr="00EB6BBC" w:rsidR="00962A1B">
        <w:t>to</w:t>
      </w:r>
      <w:r w:rsidRPr="00EB6BBC" w:rsidR="00704E96">
        <w:t xml:space="preserve"> </w:t>
      </w:r>
      <w:r w:rsidR="008D7688">
        <w:t>inform an</w:t>
      </w:r>
      <w:r w:rsidRPr="00EB6BBC" w:rsidR="008D7688">
        <w:t xml:space="preserve"> </w:t>
      </w:r>
      <w:r w:rsidRPr="00EB6BBC" w:rsidR="003034FD">
        <w:t>appropriate set</w:t>
      </w:r>
      <w:r w:rsidRPr="00EB6BBC" w:rsidR="00704E96">
        <w:t xml:space="preserve"> of </w:t>
      </w:r>
      <w:r w:rsidR="00704E96">
        <w:t>displays</w:t>
      </w:r>
      <w:r w:rsidRPr="00EB6BBC" w:rsidR="00704E96">
        <w:t xml:space="preserve"> </w:t>
      </w:r>
      <w:r w:rsidR="00704E96">
        <w:t xml:space="preserve">that are understandable and not misleading to laypersons. </w:t>
      </w:r>
      <w:r w:rsidRPr="00CA3905" w:rsidR="00704E96">
        <w:t>The results</w:t>
      </w:r>
      <w:r w:rsidR="00704E96">
        <w:t xml:space="preserve"> from the proposed study</w:t>
      </w:r>
      <w:r w:rsidRPr="00CA3905" w:rsidR="00704E96">
        <w:t xml:space="preserve"> will inform the Agency’s broader efforts to finalize the development </w:t>
      </w:r>
      <w:r w:rsidR="00F64571">
        <w:t xml:space="preserve">of </w:t>
      </w:r>
      <w:r w:rsidR="00704E96">
        <w:t>informational displays of HPHCs</w:t>
      </w:r>
      <w:r w:rsidRPr="00CA3905" w:rsidR="00704E96">
        <w:t xml:space="preserve"> to be tested in future studies and ultimately to implement the </w:t>
      </w:r>
      <w:r w:rsidR="00704E96">
        <w:t>informational HPHC display</w:t>
      </w:r>
      <w:r w:rsidRPr="00CA3905" w:rsidR="00704E96">
        <w:t xml:space="preserve"> as required by </w:t>
      </w:r>
      <w:r w:rsidR="00703822">
        <w:t>s</w:t>
      </w:r>
      <w:r w:rsidRPr="00CA3905" w:rsidR="00703822">
        <w:t xml:space="preserve">ection </w:t>
      </w:r>
      <w:r w:rsidR="00704E96">
        <w:t>904</w:t>
      </w:r>
      <w:r w:rsidRPr="00CA3905" w:rsidR="00704E96">
        <w:t xml:space="preserve"> of the Tobacco Control Act.</w:t>
      </w:r>
    </w:p>
    <w:bookmarkEnd w:id="2"/>
    <w:p w:rsidR="00AD4C50" w:rsidP="00850940" w:rsidRDefault="00EB7538">
      <w:pPr>
        <w:pStyle w:val="Heading3"/>
      </w:pPr>
      <w:r w:rsidRPr="0022482A">
        <w:t>Purpose and Use of the Information Collection</w:t>
      </w:r>
    </w:p>
    <w:p w:rsidR="008D7688" w:rsidP="00850940" w:rsidRDefault="000133EC">
      <w:pPr>
        <w:pStyle w:val="BodyText"/>
      </w:pPr>
      <w:r w:rsidRPr="000133EC">
        <w:t>Section 904(d)(1) of the Tobacco Control Act states “the Secretary shall publish in a format that is understandable and not misleading to a lay person, and place on public display (in a manner determined by the Secretary) the list [of harmful and potentially harmful constituents] established under subsection (e).” Inform</w:t>
      </w:r>
      <w:r w:rsidR="00704E96">
        <w:t>ation obtained through this quant</w:t>
      </w:r>
      <w:r w:rsidRPr="000133EC">
        <w:t xml:space="preserve">itative study will inform the best way to convey HPHC information that is understandable and not misleading to a layperson. </w:t>
      </w:r>
      <w:r w:rsidR="00C967A4">
        <w:t>P</w:t>
      </w:r>
      <w:r w:rsidRPr="000133EC">
        <w:t xml:space="preserve">articipants will be asked to answer questions regarding </w:t>
      </w:r>
      <w:r w:rsidR="00C967A4">
        <w:t>their comprehension</w:t>
      </w:r>
      <w:r w:rsidR="00484557">
        <w:t xml:space="preserve"> and perception of misleadingness</w:t>
      </w:r>
      <w:r w:rsidR="00C967A4">
        <w:t xml:space="preserve"> of different displays of </w:t>
      </w:r>
      <w:r w:rsidR="0050502A">
        <w:t xml:space="preserve">presenting HPHC information. </w:t>
      </w:r>
      <w:r w:rsidRPr="00FF4E11" w:rsidR="00FF4E11">
        <w:t xml:space="preserve">The </w:t>
      </w:r>
      <w:r w:rsidR="00FF4E11">
        <w:t xml:space="preserve">purpose </w:t>
      </w:r>
      <w:r w:rsidRPr="00FF4E11" w:rsidR="00FF4E11">
        <w:t>of th</w:t>
      </w:r>
      <w:r w:rsidR="00E23399">
        <w:t>e current</w:t>
      </w:r>
      <w:r w:rsidRPr="00FF4E11" w:rsidR="00FF4E11">
        <w:t xml:space="preserve"> study is to test the effectiveness of sample formats</w:t>
      </w:r>
      <w:r w:rsidR="00962A1B">
        <w:t xml:space="preserve"> to ensure they meet the statutory requirements</w:t>
      </w:r>
      <w:r w:rsidRPr="00FF4E11" w:rsidR="00FF4E11">
        <w:t xml:space="preserve"> to communicate HPHC information. Results will be used to inform strategies to effectively communicate about HPHC information that is understandable and not misleading to </w:t>
      </w:r>
      <w:r w:rsidR="00962A1B">
        <w:t>a</w:t>
      </w:r>
      <w:r w:rsidRPr="00FF4E11" w:rsidR="00962A1B">
        <w:t xml:space="preserve"> </w:t>
      </w:r>
      <w:r w:rsidRPr="00FF4E11" w:rsidR="00FF4E11">
        <w:t>layperson.</w:t>
      </w:r>
    </w:p>
    <w:p w:rsidR="00AD4C50" w:rsidP="00850940" w:rsidRDefault="00FF4E11">
      <w:pPr>
        <w:pStyle w:val="BodyText"/>
      </w:pPr>
      <w:r w:rsidRPr="00EB6BBC">
        <w:lastRenderedPageBreak/>
        <w:t xml:space="preserve">FDA has undertaken a rigorous science-based research approach to help with the development of the </w:t>
      </w:r>
      <w:r>
        <w:t>sample formats</w:t>
      </w:r>
      <w:r w:rsidRPr="00EB6BBC">
        <w:t xml:space="preserve"> to ensure that the content of the </w:t>
      </w:r>
      <w:r>
        <w:t>formats</w:t>
      </w:r>
      <w:r w:rsidRPr="00EB6BBC">
        <w:t xml:space="preserve"> is based on accurate and reliable science. </w:t>
      </w:r>
      <w:r w:rsidRPr="00E23399" w:rsidR="00E23399">
        <w:t xml:space="preserve">In the past, FDA conducted preliminary research including focus groups and an experimental study </w:t>
      </w:r>
      <w:r w:rsidR="00703822">
        <w:t>that</w:t>
      </w:r>
      <w:r w:rsidRPr="00E23399" w:rsidR="00703822">
        <w:t xml:space="preserve"> </w:t>
      </w:r>
      <w:r w:rsidRPr="00E23399" w:rsidR="00E23399">
        <w:t xml:space="preserve">tested a </w:t>
      </w:r>
      <w:r w:rsidR="00E23399">
        <w:t>format</w:t>
      </w:r>
      <w:r w:rsidRPr="00E23399" w:rsidR="00E23399">
        <w:t xml:space="preserve"> of a list of HPHCs in tobacco. This research found significant gaps in consumer understanding of tobacco constituents and their health effects. Further, it was concluded that the </w:t>
      </w:r>
      <w:r w:rsidR="00E23399">
        <w:t>format</w:t>
      </w:r>
      <w:r w:rsidR="00484557">
        <w:t>s</w:t>
      </w:r>
      <w:r w:rsidRPr="00E23399" w:rsidR="00E23399">
        <w:t xml:space="preserve"> tested did not present HPHC information in a manner that was understandable and not misleading as required by the Family Smoking Prevention and Tobacco Control Act (the Tobacco Control Act).</w:t>
      </w:r>
      <w:r w:rsidR="00066B3B">
        <w:t xml:space="preserve"> </w:t>
      </w:r>
    </w:p>
    <w:p w:rsidR="00066B3B" w:rsidP="00850940" w:rsidRDefault="00066B3B">
      <w:pPr>
        <w:pStyle w:val="BodyText"/>
      </w:pPr>
      <w:r>
        <w:t>Below we summarize additional work that informed this proposed study.</w:t>
      </w:r>
    </w:p>
    <w:p w:rsidR="00290A98" w:rsidP="003C3C6E" w:rsidRDefault="00E23399">
      <w:pPr>
        <w:numPr>
          <w:ilvl w:val="0"/>
          <w:numId w:val="11"/>
        </w:numPr>
        <w:spacing w:before="100" w:beforeAutospacing="1" w:after="100" w:afterAutospacing="1"/>
      </w:pPr>
      <w:r>
        <w:t xml:space="preserve">FDA used data from the </w:t>
      </w:r>
      <w:r w:rsidR="00066B3B">
        <w:t>past</w:t>
      </w:r>
      <w:r>
        <w:t xml:space="preserve"> HPHC research to launch </w:t>
      </w:r>
      <w:r w:rsidRPr="00E23399">
        <w:t xml:space="preserve">new research </w:t>
      </w:r>
      <w:r>
        <w:t xml:space="preserve">specifically designed </w:t>
      </w:r>
      <w:r w:rsidRPr="00E23399">
        <w:t xml:space="preserve">to gain insight on </w:t>
      </w:r>
      <w:r>
        <w:t>gaps identified in the first phase. FDA conducted</w:t>
      </w:r>
      <w:r w:rsidRPr="00EB6BBC" w:rsidR="00FF4E11">
        <w:t xml:space="preserve"> </w:t>
      </w:r>
      <w:r w:rsidR="00A320ED">
        <w:t>in-depth interview</w:t>
      </w:r>
      <w:r w:rsidRPr="00EB6BBC" w:rsidR="00FF4E11">
        <w:t xml:space="preserve"> research: </w:t>
      </w:r>
      <w:r w:rsidRPr="00CE04BC" w:rsidR="00A320ED">
        <w:rPr>
          <w:i/>
        </w:rPr>
        <w:t xml:space="preserve">Consumer Comprehension of Displays of Harmful and Potentially Harmful Constituents (HPHCs) in Tobacco Products </w:t>
      </w:r>
      <w:r w:rsidR="00A320ED">
        <w:t>(OMB Control Number 0910-0796</w:t>
      </w:r>
      <w:r w:rsidRPr="00EB6BBC" w:rsidR="00FF4E11">
        <w:t xml:space="preserve">, approved by OMB on </w:t>
      </w:r>
      <w:r w:rsidR="008C1ED2">
        <w:t>December 12, 2016</w:t>
      </w:r>
      <w:r w:rsidRPr="00EB6BBC" w:rsidR="00FF4E11">
        <w:t xml:space="preserve">). This set of </w:t>
      </w:r>
      <w:r w:rsidR="007B68DE">
        <w:t xml:space="preserve">50 </w:t>
      </w:r>
      <w:r w:rsidR="00A320ED">
        <w:t xml:space="preserve">in-depth interviews </w:t>
      </w:r>
      <w:r w:rsidRPr="00EB6BBC" w:rsidR="00FF4E11">
        <w:t xml:space="preserve">was conducted with </w:t>
      </w:r>
      <w:r w:rsidRPr="00A320ED" w:rsidR="00A320ED">
        <w:t>adult cigarette users, adult smokeless tobacco users, adult former cigarette or smokeless tobacco users, youth cigarette and/or smokeless tobacco users, or youth who are susceptible to using tobacco products</w:t>
      </w:r>
      <w:r w:rsidR="00B04616">
        <w:t>. The goal was</w:t>
      </w:r>
      <w:r w:rsidR="00A320ED">
        <w:t xml:space="preserve"> </w:t>
      </w:r>
      <w:r w:rsidRPr="00EB6BBC" w:rsidR="00FF4E11">
        <w:t>to gain a better understanding</w:t>
      </w:r>
      <w:r w:rsidR="00962A1B">
        <w:t xml:space="preserve"> of</w:t>
      </w:r>
      <w:r w:rsidRPr="00EB6BBC" w:rsidR="00FF4E11">
        <w:t xml:space="preserve"> </w:t>
      </w:r>
      <w:r w:rsidRPr="00A320ED" w:rsidR="00A320ED">
        <w:t>the best way to convey HPHC information that is understandable and not misleading to a layperson</w:t>
      </w:r>
      <w:r w:rsidRPr="00EB6BBC" w:rsidR="00FF4E11">
        <w:t xml:space="preserve">. </w:t>
      </w:r>
      <w:r w:rsidR="00066B3B">
        <w:t>F</w:t>
      </w:r>
      <w:r w:rsidRPr="00EB6BBC" w:rsidR="00FF4E11">
        <w:t>eedb</w:t>
      </w:r>
      <w:r w:rsidR="00A320ED">
        <w:t xml:space="preserve">ack </w:t>
      </w:r>
      <w:r w:rsidR="00290A98">
        <w:t xml:space="preserve">from those interviews were </w:t>
      </w:r>
      <w:r w:rsidR="00A320ED">
        <w:t>used to create the sample formats</w:t>
      </w:r>
      <w:r w:rsidRPr="00EB6BBC" w:rsidR="00FF4E11">
        <w:t xml:space="preserve"> that will be tested in the current study</w:t>
      </w:r>
      <w:r w:rsidR="00026758">
        <w:t xml:space="preserve"> </w:t>
      </w:r>
      <w:r w:rsidR="004A3927">
        <w:t>(Alexander, Williams, &amp; Blitstein, 2017)</w:t>
      </w:r>
      <w:r w:rsidRPr="00EB6BBC" w:rsidR="00FF4E11">
        <w:t xml:space="preserve">. </w:t>
      </w:r>
    </w:p>
    <w:p w:rsidRPr="00E23399" w:rsidR="008D397F" w:rsidP="00513BDC" w:rsidRDefault="00A320ED">
      <w:pPr>
        <w:numPr>
          <w:ilvl w:val="0"/>
          <w:numId w:val="11"/>
        </w:numPr>
        <w:spacing w:before="100" w:beforeAutospacing="1" w:after="100" w:afterAutospacing="1"/>
      </w:pPr>
      <w:r>
        <w:t>Additionally, t</w:t>
      </w:r>
      <w:r w:rsidRPr="00EB6BBC" w:rsidR="00FF4E11">
        <w:t>o inform the d</w:t>
      </w:r>
      <w:r>
        <w:t xml:space="preserve">esign of the current study, FDA </w:t>
      </w:r>
      <w:r w:rsidR="007717CA">
        <w:t>funded four</w:t>
      </w:r>
      <w:r>
        <w:t xml:space="preserve"> administrative supplements</w:t>
      </w:r>
      <w:r w:rsidR="00962A1B">
        <w:t xml:space="preserve"> to existing grants</w:t>
      </w:r>
      <w:r w:rsidR="00CE04BC">
        <w:t>. The administrative supplements included r</w:t>
      </w:r>
      <w:r w:rsidRPr="00CE04BC" w:rsidR="00CE04BC">
        <w:rPr>
          <w:rFonts w:eastAsia="Times New Roman"/>
          <w:szCs w:val="24"/>
          <w:lang w:eastAsia="en-US"/>
        </w:rPr>
        <w:t>esearch to define and operationalize what constitutes public display of HPHC information by brand and by quantity in each brand and subbrand in a format that is "understandable and not misleading" to a lay person</w:t>
      </w:r>
      <w:r w:rsidR="00573862">
        <w:rPr>
          <w:rFonts w:eastAsia="Times New Roman"/>
          <w:szCs w:val="24"/>
          <w:lang w:eastAsia="en-US"/>
        </w:rPr>
        <w:t>. The supplements also included</w:t>
      </w:r>
      <w:r w:rsidRPr="00CE04BC" w:rsidR="00CE04BC">
        <w:rPr>
          <w:rFonts w:eastAsia="Times New Roman"/>
          <w:szCs w:val="24"/>
          <w:lang w:eastAsia="en-US"/>
        </w:rPr>
        <w:t xml:space="preserve"> the design of a format by which to put on public display information by brand and by quantity in each brand and subbrand, to increase the likelihood that when such information is put on public display is understandable and not misleading to lay persons. FDA also</w:t>
      </w:r>
      <w:r>
        <w:t xml:space="preserve"> </w:t>
      </w:r>
      <w:r w:rsidRPr="00EB6BBC" w:rsidR="00FF4E11">
        <w:t xml:space="preserve">consulted with experts who were </w:t>
      </w:r>
      <w:r w:rsidRPr="00EB6BBC" w:rsidR="00703822">
        <w:t>special government emp</w:t>
      </w:r>
      <w:r w:rsidRPr="00EB6BBC" w:rsidR="00FF4E11">
        <w:t xml:space="preserve">loyees to inform areas of research to support implementation of </w:t>
      </w:r>
      <w:r w:rsidR="008D397F">
        <w:t>section 904</w:t>
      </w:r>
      <w:r w:rsidRPr="00EB6BBC" w:rsidR="00FF4E11">
        <w:t xml:space="preserve"> of the Tobacco Control Act.</w:t>
      </w:r>
      <w:r w:rsidR="00360370">
        <w:t xml:space="preserve"> </w:t>
      </w:r>
      <w:r w:rsidRPr="00EB6BBC" w:rsidR="00FF4E11">
        <w:t xml:space="preserve">Recommendations from these experts informed </w:t>
      </w:r>
      <w:r w:rsidR="008D397F">
        <w:t>the operationalization of “understandable and not misleading</w:t>
      </w:r>
      <w:r w:rsidR="00962A1B">
        <w:t>”</w:t>
      </w:r>
      <w:r w:rsidR="008D397F">
        <w:t xml:space="preserve"> to a layperson.</w:t>
      </w:r>
    </w:p>
    <w:p w:rsidR="00AD4C50" w:rsidP="00850940" w:rsidRDefault="008D397F">
      <w:pPr>
        <w:pStyle w:val="BodyText"/>
      </w:pPr>
      <w:r w:rsidRPr="00EB6BBC">
        <w:t xml:space="preserve">FDA proposes to conduct </w:t>
      </w:r>
      <w:r w:rsidR="00E23399">
        <w:t>this</w:t>
      </w:r>
      <w:r w:rsidRPr="00EB6BBC">
        <w:t xml:space="preserve"> experimental study </w:t>
      </w:r>
      <w:r w:rsidRPr="00EB6BBC" w:rsidR="00962A1B">
        <w:t>to</w:t>
      </w:r>
      <w:r w:rsidRPr="00EB6BBC">
        <w:t xml:space="preserve"> </w:t>
      </w:r>
      <w:r w:rsidRPr="00C43D53">
        <w:t xml:space="preserve">explore consumer comprehension </w:t>
      </w:r>
      <w:r w:rsidR="00484557">
        <w:t xml:space="preserve">and perceptions of misleadingness </w:t>
      </w:r>
      <w:r w:rsidRPr="00C43D53">
        <w:t xml:space="preserve">of displays of HPHC information. </w:t>
      </w:r>
      <w:r w:rsidRPr="00EB6BBC">
        <w:t xml:space="preserve">In the study, </w:t>
      </w:r>
      <w:r w:rsidR="00574E80">
        <w:t xml:space="preserve">data collection will consist of a </w:t>
      </w:r>
      <w:r w:rsidR="00755348">
        <w:t xml:space="preserve">one-time, </w:t>
      </w:r>
      <w:r w:rsidR="002F594D">
        <w:t>web</w:t>
      </w:r>
      <w:r w:rsidR="00574E80">
        <w:t xml:space="preserve">-based survey of youth and adult </w:t>
      </w:r>
      <w:r w:rsidRPr="00EB6BBC">
        <w:t>participants</w:t>
      </w:r>
      <w:r>
        <w:t xml:space="preserve"> from an online consumer panel</w:t>
      </w:r>
      <w:r w:rsidR="00755348">
        <w:t xml:space="preserve">. The survey </w:t>
      </w:r>
      <w:r w:rsidRPr="00EB6BBC">
        <w:t xml:space="preserve">will be randomized to one of </w:t>
      </w:r>
      <w:r w:rsidR="00703822">
        <w:t>six</w:t>
      </w:r>
      <w:r w:rsidRPr="00EB6BBC" w:rsidR="00703822">
        <w:t xml:space="preserve"> </w:t>
      </w:r>
      <w:r w:rsidRPr="00EB6BBC">
        <w:t>conditions</w:t>
      </w:r>
      <w:r>
        <w:t>.</w:t>
      </w:r>
      <w:r w:rsidRPr="00EB6BBC">
        <w:t xml:space="preserve"> In all conditions, participants will </w:t>
      </w:r>
      <w:r>
        <w:t>respond to a set of question</w:t>
      </w:r>
      <w:r w:rsidR="00FB7824">
        <w:t>s</w:t>
      </w:r>
      <w:r>
        <w:t xml:space="preserve"> about their </w:t>
      </w:r>
      <w:r w:rsidR="004A3C4C">
        <w:t>current tobacco use</w:t>
      </w:r>
      <w:r>
        <w:t xml:space="preserve"> and prior knowledge</w:t>
      </w:r>
      <w:r w:rsidR="004A3C4C">
        <w:t xml:space="preserve"> and perceptions about HPHCs</w:t>
      </w:r>
      <w:r>
        <w:t xml:space="preserve">. Then, in all conditions, participants will </w:t>
      </w:r>
      <w:r w:rsidRPr="00EB6BBC">
        <w:t xml:space="preserve">view </w:t>
      </w:r>
      <w:r w:rsidR="00484557">
        <w:t xml:space="preserve">one of six </w:t>
      </w:r>
      <w:r w:rsidR="007A37A2">
        <w:t>formats.</w:t>
      </w:r>
      <w:r w:rsidRPr="00EB6BBC">
        <w:t xml:space="preserve"> </w:t>
      </w:r>
      <w:r w:rsidR="0087609A">
        <w:t xml:space="preserve">While </w:t>
      </w:r>
      <w:r>
        <w:t>viewing the format</w:t>
      </w:r>
      <w:r w:rsidRPr="00EB6BBC">
        <w:t xml:space="preserve">, participants will respond to a set of questions about their knowledge </w:t>
      </w:r>
      <w:r w:rsidR="004A3C4C">
        <w:t>and understanding about HPHCs</w:t>
      </w:r>
      <w:r w:rsidR="00293C01">
        <w:t xml:space="preserve"> and </w:t>
      </w:r>
      <w:r w:rsidR="004A3C4C">
        <w:t>perceptions of the format</w:t>
      </w:r>
      <w:r w:rsidR="00293C01">
        <w:t xml:space="preserve">. </w:t>
      </w:r>
      <w:r w:rsidR="00CE04BC">
        <w:t xml:space="preserve">These formats also include information about the known health effects associated with each constituent in concordance with the established list of the HPHCs in Tobacco Products and Tobacco Smoke published in the Federal Register on April 3, 2012. </w:t>
      </w:r>
    </w:p>
    <w:p w:rsidR="0050502A" w:rsidP="00850940" w:rsidRDefault="00FF4E11">
      <w:pPr>
        <w:pStyle w:val="BodyText"/>
      </w:pPr>
      <w:r w:rsidRPr="00FF4E11">
        <w:lastRenderedPageBreak/>
        <w:t>Survey questions will be designed to answer the following research questions:</w:t>
      </w:r>
    </w:p>
    <w:p w:rsidRPr="00850940" w:rsidR="00A337EB" w:rsidP="00850940" w:rsidRDefault="00A337EB">
      <w:pPr>
        <w:pStyle w:val="ListBullet"/>
      </w:pPr>
      <w:r w:rsidRPr="00850940">
        <w:t>After viewing the sample format, what do adults and youth know about HPHCs in tobacco products?</w:t>
      </w:r>
    </w:p>
    <w:p w:rsidRPr="00A337EB" w:rsidR="00A337EB" w:rsidP="00850940" w:rsidRDefault="00A337EB">
      <w:pPr>
        <w:pStyle w:val="ListBullet"/>
      </w:pPr>
      <w:r w:rsidRPr="00A337EB">
        <w:t>After viewing the sample format, what do adults and youth perceive about HPHCs in tobacco products?</w:t>
      </w:r>
    </w:p>
    <w:p w:rsidRPr="00A337EB" w:rsidR="00A337EB" w:rsidP="00850940" w:rsidRDefault="00A337EB">
      <w:pPr>
        <w:pStyle w:val="ListBullet"/>
      </w:pPr>
      <w:r w:rsidRPr="00A337EB">
        <w:t xml:space="preserve">After viewing the sample format, what formats do adults and youth prefer </w:t>
      </w:r>
      <w:r w:rsidR="000D1486">
        <w:t>when</w:t>
      </w:r>
      <w:r w:rsidRPr="00A337EB" w:rsidR="000D1486">
        <w:t xml:space="preserve"> receiv</w:t>
      </w:r>
      <w:r w:rsidR="000D1486">
        <w:t>ing</w:t>
      </w:r>
      <w:r w:rsidRPr="00A337EB" w:rsidR="000D1486">
        <w:t xml:space="preserve"> </w:t>
      </w:r>
      <w:r w:rsidRPr="00A337EB">
        <w:t>information regarding HPHCs?</w:t>
      </w:r>
    </w:p>
    <w:p w:rsidR="00A337EB" w:rsidP="00850940" w:rsidRDefault="00A337EB">
      <w:pPr>
        <w:pStyle w:val="ListBullet"/>
      </w:pPr>
      <w:r w:rsidRPr="00A337EB">
        <w:t>After viewing the sample format, is the information presented misleading?</w:t>
      </w:r>
    </w:p>
    <w:p w:rsidRPr="00A337EB" w:rsidR="00A337EB" w:rsidP="00850940" w:rsidRDefault="00A337EB">
      <w:pPr>
        <w:pStyle w:val="ListBullet"/>
      </w:pPr>
      <w:r w:rsidRPr="00887B6D">
        <w:t>Are participants able to understand the information presented about HPHCs?</w:t>
      </w:r>
    </w:p>
    <w:p w:rsidR="00AD4C50" w:rsidP="00850940" w:rsidRDefault="00EB7538">
      <w:pPr>
        <w:pStyle w:val="Heading3"/>
      </w:pPr>
      <w:r w:rsidRPr="0087609A">
        <w:t>Use of Improved Information Technology and Burden Reduction</w:t>
      </w:r>
    </w:p>
    <w:p w:rsidR="00AD4C50" w:rsidP="00850940" w:rsidRDefault="003D1295">
      <w:pPr>
        <w:pStyle w:val="BodyText"/>
        <w:rPr>
          <w:color w:val="0000FF"/>
        </w:rPr>
      </w:pPr>
      <w:r w:rsidRPr="00EB6BBC">
        <w:t xml:space="preserve">Because this is a </w:t>
      </w:r>
      <w:r w:rsidR="002F594D">
        <w:t>web</w:t>
      </w:r>
      <w:r w:rsidRPr="00EB6BBC">
        <w:t>-based study, 100% of the respondents will submit the information in an electronic format.</w:t>
      </w:r>
      <w:r w:rsidR="00360370">
        <w:t xml:space="preserve"> </w:t>
      </w:r>
      <w:r w:rsidRPr="00EB6BBC">
        <w:t xml:space="preserve">Respondents will be shown a </w:t>
      </w:r>
      <w:r>
        <w:t>sample HPHC format</w:t>
      </w:r>
      <w:r w:rsidRPr="00EB6BBC">
        <w:t xml:space="preserve"> and respond to questions using a </w:t>
      </w:r>
      <w:r w:rsidR="002F594D">
        <w:t>web</w:t>
      </w:r>
      <w:r w:rsidRPr="00EB6BBC">
        <w:t>-based survey on their personal computers.</w:t>
      </w:r>
      <w:r w:rsidR="00360370">
        <w:t xml:space="preserve"> </w:t>
      </w:r>
      <w:r w:rsidRPr="00EB6BBC">
        <w:t>Web-based surveys reduce respondent burden, minimize possible administration errors, and expedite the timeliness of data processing.</w:t>
      </w:r>
      <w:r w:rsidR="00360370">
        <w:t xml:space="preserve"> </w:t>
      </w:r>
      <w:r w:rsidRPr="00EB6BBC">
        <w:t xml:space="preserve">Furthermore, </w:t>
      </w:r>
      <w:r w:rsidR="002F594D">
        <w:t>web</w:t>
      </w:r>
      <w:r w:rsidRPr="00EB6BBC">
        <w:t xml:space="preserve">-based surveys are less intrusive and less costly compared </w:t>
      </w:r>
      <w:r w:rsidR="000D1486">
        <w:t>with</w:t>
      </w:r>
      <w:r w:rsidRPr="00EB6BBC" w:rsidR="000D1486">
        <w:t xml:space="preserve"> </w:t>
      </w:r>
      <w:r w:rsidRPr="00EB6BBC">
        <w:t>face-to-face interviews and mail and telephone surveys.</w:t>
      </w:r>
      <w:r w:rsidR="00360370">
        <w:rPr>
          <w:color w:val="0000FF"/>
        </w:rPr>
        <w:t xml:space="preserve"> </w:t>
      </w:r>
      <w:r w:rsidRPr="00EB6BBC">
        <w:t xml:space="preserve">Because there is no interviewer present, participant responses to a </w:t>
      </w:r>
      <w:r w:rsidR="002F594D">
        <w:t>web</w:t>
      </w:r>
      <w:r w:rsidRPr="00EB6BBC">
        <w:t>-based survey are less prone to social desirability bias.</w:t>
      </w:r>
    </w:p>
    <w:p w:rsidR="00AD4C50" w:rsidP="006844A9" w:rsidRDefault="00EB7538">
      <w:pPr>
        <w:pStyle w:val="Heading3"/>
      </w:pPr>
      <w:r w:rsidRPr="0087609A">
        <w:t>Efforts to Identify Duplication and Use of Similar Information</w:t>
      </w:r>
    </w:p>
    <w:p w:rsidR="00AD4C50" w:rsidP="00850940" w:rsidRDefault="003D1295">
      <w:pPr>
        <w:pStyle w:val="BodyText"/>
      </w:pPr>
      <w:r w:rsidRPr="00EB6BBC">
        <w:rPr>
          <w:color w:val="000000"/>
        </w:rPr>
        <w:t>T</w:t>
      </w:r>
      <w:r w:rsidRPr="00EB6BBC">
        <w:t>here is no duplicative collection of this information. No comparable data have been collected by any other entities.</w:t>
      </w:r>
      <w:bookmarkStart w:name="_Hlk511059720" w:id="5"/>
      <w:r w:rsidR="00360370">
        <w:t xml:space="preserve"> </w:t>
      </w:r>
      <w:r w:rsidR="000528A0">
        <w:t>E</w:t>
      </w:r>
      <w:r w:rsidRPr="008F7C61" w:rsidR="00804020">
        <w:t xml:space="preserve">arlier </w:t>
      </w:r>
      <w:r w:rsidR="00214B8B">
        <w:t>HPHC research</w:t>
      </w:r>
      <w:r w:rsidR="000528A0">
        <w:t xml:space="preserve"> found </w:t>
      </w:r>
      <w:r w:rsidRPr="00E23399" w:rsidR="00214B8B">
        <w:t xml:space="preserve">significant gaps </w:t>
      </w:r>
      <w:r w:rsidR="000528A0">
        <w:t>between</w:t>
      </w:r>
      <w:r w:rsidRPr="00E23399" w:rsidR="000528A0">
        <w:t xml:space="preserve"> </w:t>
      </w:r>
      <w:r w:rsidRPr="00E23399" w:rsidR="00214B8B">
        <w:t xml:space="preserve">consumer understanding of tobacco constituents and their health effects. Further, it was concluded that the </w:t>
      </w:r>
      <w:r w:rsidR="00214B8B">
        <w:t>format</w:t>
      </w:r>
      <w:r w:rsidR="0087609A">
        <w:t>s</w:t>
      </w:r>
      <w:r w:rsidRPr="00E23399" w:rsidR="00214B8B">
        <w:t xml:space="preserve"> tested did not present HPHC information in a manner that was understandable and not misleading as required by the Tobacco Control Ac</w:t>
      </w:r>
      <w:r w:rsidR="002541C1">
        <w:t>t</w:t>
      </w:r>
      <w:r w:rsidRPr="00E23399" w:rsidR="00214B8B">
        <w:t>.</w:t>
      </w:r>
      <w:r w:rsidR="00214B8B">
        <w:t xml:space="preserve"> </w:t>
      </w:r>
      <w:r w:rsidRPr="008F7C61" w:rsidR="00804020">
        <w:t xml:space="preserve">In-depth interviews </w:t>
      </w:r>
      <w:r w:rsidR="000528A0">
        <w:t>were</w:t>
      </w:r>
      <w:r w:rsidR="002541C1">
        <w:t xml:space="preserve"> </w:t>
      </w:r>
      <w:r w:rsidR="000528A0">
        <w:t xml:space="preserve">then </w:t>
      </w:r>
      <w:r w:rsidRPr="008F7C61" w:rsidR="00804020">
        <w:t xml:space="preserve">conducted to better understand gaps in consumer comprehension that were discovered in the initial </w:t>
      </w:r>
      <w:r w:rsidR="00214B8B">
        <w:t>research</w:t>
      </w:r>
      <w:r w:rsidR="002541C1">
        <w:t xml:space="preserve">, and FDA </w:t>
      </w:r>
      <w:r w:rsidRPr="008F7C61" w:rsidR="002541C1">
        <w:t>consulted</w:t>
      </w:r>
      <w:r w:rsidRPr="008F7C61" w:rsidR="00804020">
        <w:t xml:space="preserve"> with experts to operationalize the concept of “understandable and not misleading” to a layperson in HPHC research. </w:t>
      </w:r>
      <w:r w:rsidRPr="008F7C61" w:rsidR="002541C1">
        <w:t xml:space="preserve">This proposed information collection is to study how the public comprehends and responds to displays of HPHC information. </w:t>
      </w:r>
      <w:r w:rsidR="002541C1">
        <w:t xml:space="preserve">While </w:t>
      </w:r>
      <w:r w:rsidRPr="008F7C61" w:rsidR="00804020">
        <w:t>informed by the earlier research</w:t>
      </w:r>
      <w:r w:rsidR="002541C1">
        <w:t xml:space="preserve">, this study does not </w:t>
      </w:r>
      <w:r w:rsidRPr="008F7C61" w:rsidR="00804020">
        <w:t xml:space="preserve">duplicate it. In addition, we have reviewed </w:t>
      </w:r>
      <w:r w:rsidR="000528A0">
        <w:t xml:space="preserve">the </w:t>
      </w:r>
      <w:r w:rsidRPr="008F7C61" w:rsidR="00804020">
        <w:t>existing data sets and determined that they are not sufficiently similar or cannot be modified to address FDA’s need for information on consumer comprehension of displays of HPHC information.</w:t>
      </w:r>
    </w:p>
    <w:bookmarkEnd w:id="5"/>
    <w:p w:rsidRPr="0087609A" w:rsidR="002746DB" w:rsidP="00850940" w:rsidRDefault="00EB7538">
      <w:pPr>
        <w:pStyle w:val="Heading3"/>
      </w:pPr>
      <w:r w:rsidRPr="0087609A">
        <w:t>Impact on Small Businesses or Other Small Entities</w:t>
      </w:r>
    </w:p>
    <w:p w:rsidR="003D1295" w:rsidP="00850940" w:rsidRDefault="003D1295">
      <w:pPr>
        <w:pStyle w:val="BodyText"/>
      </w:pPr>
      <w:r w:rsidRPr="00EB6BBC">
        <w:t>No small businesses will be involved in this collection of information.</w:t>
      </w:r>
    </w:p>
    <w:p w:rsidRPr="0087609A" w:rsidR="00CD77C3" w:rsidP="00850940" w:rsidRDefault="00EB7538">
      <w:pPr>
        <w:pStyle w:val="Heading3"/>
      </w:pPr>
      <w:r w:rsidRPr="0087609A">
        <w:t>Consequences of Collecting the Information Less Frequently</w:t>
      </w:r>
    </w:p>
    <w:p w:rsidR="00AD4C50" w:rsidP="00850940" w:rsidRDefault="003D1295">
      <w:pPr>
        <w:pStyle w:val="BodyText"/>
        <w:rPr>
          <w:highlight w:val="yellow"/>
        </w:rPr>
      </w:pPr>
      <w:r w:rsidRPr="00EB6BBC">
        <w:t>This is a one-time data collection.</w:t>
      </w:r>
      <w:r w:rsidR="00360370">
        <w:t xml:space="preserve"> </w:t>
      </w:r>
      <w:r w:rsidRPr="00EB6BBC">
        <w:t xml:space="preserve">The collection of information will provide important data needed for FDA to implement </w:t>
      </w:r>
      <w:r w:rsidRPr="00B95684" w:rsidR="00B95684">
        <w:t>the mandatory publicly available list of HPHCs required by the Family Smoking Prevention and Tobacco Control Act (the Tobacco Control Act).</w:t>
      </w:r>
    </w:p>
    <w:p w:rsidRPr="002D1C87" w:rsidR="00CD77C3" w:rsidP="00850940" w:rsidRDefault="00EB7538">
      <w:pPr>
        <w:pStyle w:val="Heading3"/>
      </w:pPr>
      <w:r w:rsidRPr="002D1C87">
        <w:lastRenderedPageBreak/>
        <w:t>Special Circumstances Relating to the Guidelines of 5 CFR 1320.5</w:t>
      </w:r>
    </w:p>
    <w:p w:rsidR="003D1295" w:rsidP="00850940" w:rsidRDefault="003D1295">
      <w:pPr>
        <w:pStyle w:val="BodyText"/>
      </w:pPr>
      <w:r w:rsidRPr="00EB6BBC">
        <w:t>This information collection fully complies with 5 CFR 1320.5(d)(2).</w:t>
      </w:r>
      <w:r w:rsidR="00360370">
        <w:t xml:space="preserve"> </w:t>
      </w:r>
      <w:r w:rsidR="000D1486">
        <w:t>N</w:t>
      </w:r>
      <w:r w:rsidRPr="00EB6BBC">
        <w:t xml:space="preserve">o special circumstances </w:t>
      </w:r>
      <w:r w:rsidR="000D1486">
        <w:t xml:space="preserve">are </w:t>
      </w:r>
      <w:r w:rsidRPr="00EB6BBC">
        <w:t>associated with this information collection that would be inconsistent with the regulation.</w:t>
      </w:r>
    </w:p>
    <w:p w:rsidRPr="002D1C87" w:rsidR="00CD77C3" w:rsidP="00850940" w:rsidRDefault="00EB7538">
      <w:pPr>
        <w:pStyle w:val="Heading3"/>
      </w:pPr>
      <w:r w:rsidRPr="002D1C87">
        <w:t>Comments in Response to the Federal Register Notice and Efforts to Consult Outside the Agency</w:t>
      </w:r>
    </w:p>
    <w:p w:rsidRPr="0020402D" w:rsidR="0020402D" w:rsidP="0020402D" w:rsidRDefault="003D1295">
      <w:pPr>
        <w:pStyle w:val="BodyText"/>
      </w:pPr>
      <w:r w:rsidRPr="003D1295">
        <w:t xml:space="preserve">In accordance with 5 CFR 1320.8(d), FDA published a </w:t>
      </w:r>
      <w:r w:rsidRPr="003D1295" w:rsidR="00085793">
        <w:t>60-day</w:t>
      </w:r>
      <w:r w:rsidRPr="003D1295">
        <w:t xml:space="preserve"> notice for public comment in the FEDERAL REGISTER of </w:t>
      </w:r>
      <w:r w:rsidRPr="0020402D" w:rsidR="0020402D">
        <w:t>February 11, 2019 (84 FR 3188)</w:t>
      </w:r>
      <w:r w:rsidRPr="00B840A9" w:rsidR="004C7D81">
        <w:t>.</w:t>
      </w:r>
      <w:r w:rsidR="00BF1301">
        <w:t xml:space="preserve"> </w:t>
      </w:r>
      <w:r w:rsidRPr="0020402D" w:rsidR="0020402D">
        <w:t xml:space="preserve">FDA received comments from six individuals or organizations, 3 of which were PRA related. </w:t>
      </w:r>
    </w:p>
    <w:p w:rsidRPr="0020402D" w:rsidR="0020402D" w:rsidP="0020402D" w:rsidRDefault="0020402D">
      <w:pPr>
        <w:pStyle w:val="BodyText"/>
      </w:pPr>
      <w:r w:rsidRPr="0020402D">
        <w:t>(Comment) One comment recommended that FDA make the study design, sample formats, and all study measures available for public comment</w:t>
      </w:r>
      <w:r w:rsidR="0056205E">
        <w:t>.</w:t>
      </w:r>
    </w:p>
    <w:p w:rsidRPr="0020402D" w:rsidR="0020402D" w:rsidP="0020402D" w:rsidRDefault="0020402D">
      <w:pPr>
        <w:pStyle w:val="BodyText"/>
      </w:pPr>
      <w:r w:rsidRPr="0020402D">
        <w:t>(Response) FDA notes that the study protocol, list formats, and the survey questionnaire are available for review upon request and are described in detail as part of the overall information collection request submitted to OMB for review.</w:t>
      </w:r>
    </w:p>
    <w:p w:rsidRPr="0020402D" w:rsidR="0020402D" w:rsidP="0020402D" w:rsidRDefault="0020402D">
      <w:pPr>
        <w:pStyle w:val="BodyText"/>
      </w:pPr>
      <w:r w:rsidRPr="0020402D">
        <w:t xml:space="preserve">(Comment) One comment suggested that FDA add a control group that does not view a sample format to our study design. </w:t>
      </w:r>
    </w:p>
    <w:p w:rsidRPr="0020402D" w:rsidR="0020402D" w:rsidP="0020402D" w:rsidRDefault="0020402D">
      <w:pPr>
        <w:pStyle w:val="BodyText"/>
      </w:pPr>
      <w:r w:rsidRPr="0020402D">
        <w:t xml:space="preserve">(Response) FDA considered the utility of adding a no-exposure control group to this study. However, FDA determined that this is not in line with the study aims. The aims of the study are derived from section 904(e) of The Food, Drug and Cosmetic Act (FD&amp;C Act) (21 U.S.C. 387d(e)) which requires FDA to publish a list of harmful and potentially harmful constituents (HPHCs) in each brand and sub-brand of tobacco product, in a way that people find understandable and not misleading. Therefore, the proposed study will test different formats of HPHC lists to meet this statutory requirement. A condition in which people do not see a list of HPHCs in a tobacco product does not approximate real-life conditions. </w:t>
      </w:r>
    </w:p>
    <w:p w:rsidRPr="0020402D" w:rsidR="0020402D" w:rsidP="0020402D" w:rsidRDefault="0020402D">
      <w:pPr>
        <w:pStyle w:val="BodyText"/>
      </w:pPr>
      <w:r w:rsidRPr="0020402D">
        <w:t xml:space="preserve">(Comment) One comment suggested that FDA should clarify whether the HPHC sample formats will include smokeless brands since items in the draft survey are exclusive to cigarettes. The comment also noted that FDA should clarify whether smokeless tobacco and exclusive cigarette users will only view HPHC lists in their respective categories. </w:t>
      </w:r>
    </w:p>
    <w:p w:rsidRPr="0020402D" w:rsidR="0020402D" w:rsidP="0020402D" w:rsidRDefault="0020402D">
      <w:pPr>
        <w:pStyle w:val="BodyText"/>
      </w:pPr>
      <w:r w:rsidRPr="0020402D">
        <w:t xml:space="preserve">(Response) HPHC sample formats will not include smokeless brands because HPHC lists for cigarettes are the focus of the proposed study. All participants will view HPHC lists for cigarettes only to allow for a parsimonious and focused design that is adequately powered to detect effects.  </w:t>
      </w:r>
    </w:p>
    <w:p w:rsidRPr="0020402D" w:rsidR="0020402D" w:rsidP="0020402D" w:rsidRDefault="0020402D">
      <w:pPr>
        <w:pStyle w:val="BodyText"/>
      </w:pPr>
      <w:r w:rsidRPr="0020402D">
        <w:t xml:space="preserve">(Comment) One comment suggested that FDA should use validated survey measures, establish the validity of other metrics prior to use, and consider using validated risk perception metrics. </w:t>
      </w:r>
    </w:p>
    <w:p w:rsidRPr="0020402D" w:rsidR="0020402D" w:rsidP="0020402D" w:rsidRDefault="0020402D">
      <w:pPr>
        <w:pStyle w:val="BodyText"/>
      </w:pPr>
      <w:r w:rsidRPr="0020402D">
        <w:t>(Response) FDA agrees that validated items should be used whenever possible. FDA engaged in a multi-step process to select validated survey items for this study. First, FDA conducted a literature review and used available validated survey measures, including measures from past HPHC research (</w:t>
      </w:r>
      <w:r w:rsidR="00293C01">
        <w:t xml:space="preserve">e.g., </w:t>
      </w:r>
      <w:r w:rsidRPr="0020402D">
        <w:t xml:space="preserve">Byron et al., 2018).  However, for some outcomes (e.g., knowledge about the tested format), validated measures do not exist because questions are specific to the stimuli. Second, FDA conducted qualitative research to inform our measures. Based on insights uncovered during this research, we created and modified survey items. Third, FDA conducted cognitive testing to refine the measures. It should be noted that there are many ways to measure these constructs, including harm perceptions. The harm perceptions items that FDA used are based on a systematic review that identified the most commonly measured tobacco-related health consequences in the literature (O'Brien, Persoskie, &amp; Tam, 2019). </w:t>
      </w:r>
    </w:p>
    <w:p w:rsidRPr="0020402D" w:rsidR="0020402D" w:rsidP="0020402D" w:rsidRDefault="0020402D">
      <w:pPr>
        <w:pStyle w:val="BodyText"/>
      </w:pPr>
      <w:r w:rsidRPr="0020402D">
        <w:t xml:space="preserve">(Comment) One comment suggested that FDA should get end-user input into the development and refinement of the survey items. The comment suggested that survey items should be subject to cognitive testing, with individuals representing end-users until the point of saturation is reached. </w:t>
      </w:r>
    </w:p>
    <w:p w:rsidRPr="0020402D" w:rsidR="0020402D" w:rsidP="0020402D" w:rsidRDefault="0020402D">
      <w:pPr>
        <w:pStyle w:val="BodyText"/>
      </w:pPr>
      <w:r w:rsidRPr="0020402D">
        <w:t xml:space="preserve">(Response) FDA agrees that it is important to test a survey before collecting responses. As part of the research program, FDA conducted </w:t>
      </w:r>
      <w:r w:rsidR="007B68DE">
        <w:t>50</w:t>
      </w:r>
      <w:r w:rsidRPr="0020402D" w:rsidR="007B68DE">
        <w:t xml:space="preserve"> </w:t>
      </w:r>
      <w:r w:rsidRPr="0020402D">
        <w:t xml:space="preserve">in-depth interviews, “Consumer Comprehension of Displays of Harmful and Potentially Harmful Constituents (HPHCs) in Tobacco Products” (OMB # 0910-0796), as a first step to develop items.  Based on the findings from that study and a literature review to uncover validated measures, FDA developed a draft survey. Next, FDA cognitively tested the draft survey and stimuli and refined each by reducing redundant content and editing any confusing items. FDA reached saturation in both qualitative studies. </w:t>
      </w:r>
    </w:p>
    <w:p w:rsidRPr="0020402D" w:rsidR="0020402D" w:rsidP="0020402D" w:rsidRDefault="0020402D">
      <w:pPr>
        <w:pStyle w:val="BodyText"/>
      </w:pPr>
      <w:r w:rsidRPr="0020402D">
        <w:t xml:space="preserve">(Comment) One comment suggested that including a mid-point on some of the scales (e.g. “neutral” and “neither agree nor disagree”) may be difficult for some respondents to understand. The comment suggested that FDA incorporate a “don’t know” response option for some items including the HPHC general knowledge questions. </w:t>
      </w:r>
    </w:p>
    <w:p w:rsidRPr="0020402D" w:rsidR="0020402D" w:rsidP="0020402D" w:rsidRDefault="0020402D">
      <w:pPr>
        <w:pStyle w:val="BodyText"/>
      </w:pPr>
      <w:r w:rsidRPr="0020402D">
        <w:t xml:space="preserve">(Response).  The inclusion of a “don’t know” response on the knowledge items was made in order to best match the source of those items (Brewer et al., 2016; Byron et al., 2018). That is, FDA included a “don’t know” option when the source item did so. </w:t>
      </w:r>
    </w:p>
    <w:p w:rsidRPr="0020402D" w:rsidR="0020402D" w:rsidP="0020402D" w:rsidRDefault="0020402D">
      <w:pPr>
        <w:pStyle w:val="BodyText"/>
      </w:pPr>
      <w:r w:rsidRPr="0020402D">
        <w:t xml:space="preserve">Although it is true that individuals interpret middle options like “neutral” in different ways, these personal interpretations should be randomly distributed across condition and thus not affect the comparisons among the stimuli (Nadler, Weston, &amp; Voyles, 2015).  </w:t>
      </w:r>
    </w:p>
    <w:p w:rsidRPr="0020402D" w:rsidR="0020402D" w:rsidP="0020402D" w:rsidRDefault="0020402D">
      <w:pPr>
        <w:pStyle w:val="BodyText"/>
      </w:pPr>
      <w:r w:rsidRPr="0020402D">
        <w:t xml:space="preserve">(Comment) One comment recommended that FDA ask several of the post-test items (e.g. items 33, 34, 38) during the pre-test so that we can obtain a baseline estimate of misperceptions and determine whether there was any change in respondents’ incorrect beliefs following exposure to the stimulus. </w:t>
      </w:r>
    </w:p>
    <w:p w:rsidRPr="0020402D" w:rsidR="0020402D" w:rsidP="0020402D" w:rsidRDefault="0020402D">
      <w:pPr>
        <w:pStyle w:val="BodyText"/>
      </w:pPr>
      <w:r w:rsidRPr="0020402D">
        <w:t>(Response) The primary purpose of this study is to test formats to see if they are understandable and not misleading. This can be achieved by comparing post-test measures of understanding and misleading across conditions and does not require a pre-test. Further, as these items are part of a validated scale if FDA selects only a few items to ask in the pre-test, this may lead to data that is not reliable or valid.  As these items are part of a larger scale that has been used and tested in previous research, only selecting a few questions may alter how participants respond to these and other questions in the survey. Also, these items have not been tested to be used alone.</w:t>
      </w:r>
    </w:p>
    <w:p w:rsidRPr="0020402D" w:rsidR="0020402D" w:rsidP="0020402D" w:rsidRDefault="0020402D">
      <w:pPr>
        <w:pStyle w:val="BodyText"/>
      </w:pPr>
      <w:r w:rsidRPr="0020402D">
        <w:t xml:space="preserve">(Comment) One comment suggested that FDA add an attention check and measures of believability, truthfulness, or skepticism to provide additional context for the study results. </w:t>
      </w:r>
    </w:p>
    <w:p w:rsidRPr="0020402D" w:rsidR="0020402D" w:rsidP="0020402D" w:rsidRDefault="0020402D">
      <w:pPr>
        <w:pStyle w:val="BodyText"/>
      </w:pPr>
      <w:r w:rsidRPr="0020402D">
        <w:t xml:space="preserve">(Response) The knowledge items in the survey are inherently an attention check because the participant can use the information in the stimulus to answer questions. Adding an attention check will not provide any additional benefit.  Adding additional measures about believability, truthfulness or skepticism are outside of the scope and purpose of this study. </w:t>
      </w:r>
    </w:p>
    <w:p w:rsidRPr="0020402D" w:rsidR="0020402D" w:rsidP="0020402D" w:rsidRDefault="0020402D">
      <w:pPr>
        <w:pStyle w:val="BodyText"/>
      </w:pPr>
      <w:r w:rsidRPr="0020402D">
        <w:t xml:space="preserve">(Comment) One comment suggested that FDA oversample vulnerable populations including youth, minorities and those with low levels of education in our survey. An additional comment commended FDA for including youth aged 13 to 17 in this study as it is critically important because most tobacco consumers begin using tobacco before the age of 18. Further, including youth in the sample underscores FDA’s recognition that it is possible to survey youth about the comprehension of information about tobacco without violating ethical standards. </w:t>
      </w:r>
    </w:p>
    <w:p w:rsidR="001E205E" w:rsidP="0020402D" w:rsidRDefault="0020402D">
      <w:pPr>
        <w:pStyle w:val="BodyText"/>
      </w:pPr>
      <w:r w:rsidRPr="0020402D">
        <w:t>(Response) FDA agrees</w:t>
      </w:r>
      <w:r w:rsidR="00191AAA">
        <w:t xml:space="preserve"> about the need to survey youth, minorities, and those with low levels of education. </w:t>
      </w:r>
    </w:p>
    <w:p w:rsidRPr="0020402D" w:rsidR="0020402D" w:rsidP="0020402D" w:rsidRDefault="00191AAA">
      <w:pPr>
        <w:pStyle w:val="BodyText"/>
      </w:pPr>
      <w:r>
        <w:t xml:space="preserve">This study will use a convenience sample because generating a representative sample of the size necessary for this study </w:t>
      </w:r>
      <w:r w:rsidR="004D6DF8">
        <w:t>(</w:t>
      </w:r>
      <w:r>
        <w:t>using random digital dialing or another similar method</w:t>
      </w:r>
      <w:r w:rsidR="004D6DF8">
        <w:t>)</w:t>
      </w:r>
      <w:r>
        <w:t xml:space="preserve"> would be cost prohibitive.</w:t>
      </w:r>
      <w:r w:rsidR="004D6DF8">
        <w:t xml:space="preserve"> In order to ensure that the convenience sample includes </w:t>
      </w:r>
      <w:proofErr w:type="gramStart"/>
      <w:r w:rsidR="004D6DF8">
        <w:t>sufficient</w:t>
      </w:r>
      <w:proofErr w:type="gramEnd"/>
      <w:r w:rsidR="004D6DF8">
        <w:t xml:space="preserve"> representation of vulnerable populations</w:t>
      </w:r>
      <w:r w:rsidRPr="0020402D" w:rsidR="0020402D">
        <w:t xml:space="preserve">, we have established quotas in the recruitment </w:t>
      </w:r>
      <w:r w:rsidR="001E205E">
        <w:t>so</w:t>
      </w:r>
      <w:r w:rsidRPr="0020402D" w:rsidR="0020402D">
        <w:t xml:space="preserve"> that the </w:t>
      </w:r>
      <w:r w:rsidR="007B68DE">
        <w:t xml:space="preserve">adult </w:t>
      </w:r>
      <w:r w:rsidRPr="0020402D" w:rsidR="0020402D">
        <w:t xml:space="preserve">sample is comprised of at least 20% of low socioeconomic participants (income of less than $25,000 year) and at least 20% of adults without a high school diploma or GED. These proportions are not exclusive because low education and low socioeconomic status are strongly correlated. Further, the study sample will include approximately 1500 adolescent tobacco users and adolescents at risk for using tobacco (ages 13 to 17). </w:t>
      </w:r>
    </w:p>
    <w:p w:rsidRPr="0020402D" w:rsidR="0020402D" w:rsidP="0020402D" w:rsidRDefault="0020402D">
      <w:pPr>
        <w:pStyle w:val="BodyText"/>
      </w:pPr>
      <w:r w:rsidRPr="0020402D">
        <w:t xml:space="preserve">(Comment) One comment suggested that FDA collect demographic information pertaining to race/ethnicity, age, and education level. </w:t>
      </w:r>
    </w:p>
    <w:p w:rsidRPr="0020402D" w:rsidR="0020402D" w:rsidP="00AF654B" w:rsidRDefault="0020402D">
      <w:pPr>
        <w:pStyle w:val="BodyText"/>
      </w:pPr>
      <w:r w:rsidRPr="0020402D">
        <w:t>(Response) FDA agrees</w:t>
      </w:r>
      <w:r w:rsidR="001E205E">
        <w:t xml:space="preserve">. </w:t>
      </w:r>
      <w:r w:rsidR="00AF654B">
        <w:t>W</w:t>
      </w:r>
      <w:r w:rsidRPr="0020402D">
        <w:t xml:space="preserve">e already plan to collect this demographic information as part of the screening procedures. </w:t>
      </w:r>
      <w:r w:rsidRPr="0020402D" w:rsidR="00AF654B">
        <w:t xml:space="preserve"> </w:t>
      </w:r>
      <w:r w:rsidR="00AF654B">
        <w:t xml:space="preserve">These data will be used to describe the make-up of the sample and to check that participants were successfully randomized to experimental condition. FDA can also conduct subgroup analyses, such as examining whether participant understanding of HPHC information is similar across education levels.  </w:t>
      </w:r>
    </w:p>
    <w:p w:rsidRPr="0020402D" w:rsidR="0020402D" w:rsidP="00AF654B" w:rsidRDefault="0020402D">
      <w:pPr>
        <w:pStyle w:val="BodyText"/>
      </w:pPr>
      <w:r w:rsidRPr="0020402D">
        <w:t xml:space="preserve">(Comment) One comment suggested that FDA ask participants where they would look for information about tobacco constituents. </w:t>
      </w:r>
    </w:p>
    <w:p w:rsidRPr="0020402D" w:rsidR="0020402D" w:rsidP="00AF654B" w:rsidRDefault="0020402D">
      <w:pPr>
        <w:pStyle w:val="BodyText"/>
      </w:pPr>
      <w:r w:rsidRPr="0020402D">
        <w:t xml:space="preserve">(Response) FDA appreciates the suggestion. As previously mentioned in our comment responses FDA conducted </w:t>
      </w:r>
      <w:r w:rsidR="007B68DE">
        <w:t>50</w:t>
      </w:r>
      <w:r w:rsidRPr="0020402D" w:rsidR="007B68DE">
        <w:t xml:space="preserve"> </w:t>
      </w:r>
      <w:r w:rsidRPr="0020402D">
        <w:t>in-depth interviews where this was assessed.  There is also an item on the survey that asks, “Where would you most like to see information on chemicals in cigarettes and cigarette smoke?” The response options are “on cigarette packs,” “in stores,” and “online.” Between this item and the in-depth interviews FDA conducted, this will provide FDA with adequate information on where participants would look for information about tobacco constituents.</w:t>
      </w:r>
    </w:p>
    <w:p w:rsidRPr="0020402D" w:rsidR="0020402D" w:rsidP="0020402D" w:rsidRDefault="0020402D">
      <w:pPr>
        <w:pStyle w:val="BodyText"/>
      </w:pPr>
      <w:r w:rsidRPr="0020402D">
        <w:t xml:space="preserve">(Comment) One comment suggested that FDA add “to the best of your knowledge” at the beginning of questions 6 through 10. </w:t>
      </w:r>
    </w:p>
    <w:p w:rsidRPr="0020402D" w:rsidR="0020402D" w:rsidP="0020402D" w:rsidRDefault="0020402D">
      <w:pPr>
        <w:pStyle w:val="BodyText"/>
      </w:pPr>
      <w:r w:rsidRPr="0020402D">
        <w:t xml:space="preserve">(Response) FDA does not believe this is necessary as these questions include a “don’t know” response option. Further, these questions were used in previous research (Byron et al., 2018). </w:t>
      </w:r>
    </w:p>
    <w:p w:rsidRPr="0020402D" w:rsidR="0020402D" w:rsidP="0020402D" w:rsidRDefault="0020402D">
      <w:pPr>
        <w:pStyle w:val="BodyText"/>
      </w:pPr>
      <w:r w:rsidRPr="0020402D">
        <w:t>(Comment) There were a few comments about the “understanding” section of the survey.  One comment suggested that FDA add nicotine, acetone, and carbon monoxide to this section.  Another comment suggested that FDA expand the “Understanding” section to include a section on addiction. The comment suggested that the section list specific constituents and ask participants if they cause addiction. One comment suggested that FDA modify the question that asks, “does smoking cause addiction” and change it to “does smoking cigarettes cause addiction.”</w:t>
      </w:r>
    </w:p>
    <w:p w:rsidRPr="0020402D" w:rsidR="0020402D" w:rsidP="0020402D" w:rsidRDefault="0020402D">
      <w:pPr>
        <w:pStyle w:val="BodyText"/>
      </w:pPr>
      <w:r w:rsidRPr="0020402D">
        <w:t xml:space="preserve">(Response) FDA appreciates these suggestions. FDA declines to add additional items or modify items in the “understanding” section as it is consistent with prior research. Further, these items were part of cognitive testing and did not cause confusion. Prior research deliberately selected two chemicals that would be familiar to respondents (ammonia and lead) and three that would be unfamiliar (1-aminonaphthalene, acrylonitrile, and isoprene) (Byron et al., 2018). Further, even though there is not a specific question about the link between certain chemicals and addiction, FDA </w:t>
      </w:r>
      <w:r w:rsidR="004328FD">
        <w:t>assess</w:t>
      </w:r>
      <w:r w:rsidRPr="0020402D">
        <w:t>es participants’ understanding of whether smoking causes addiction in items 11-24.</w:t>
      </w:r>
    </w:p>
    <w:p w:rsidRPr="0020402D" w:rsidR="0020402D" w:rsidP="0020402D" w:rsidRDefault="0020402D">
      <w:pPr>
        <w:pStyle w:val="BodyText"/>
      </w:pPr>
      <w:r w:rsidRPr="0020402D">
        <w:t xml:space="preserve"> (Comment) There were two comments that asked FDA to add additional items measuring participants behavior. One comment suggested that FDA should add additional questions so that the survey could also determine how likely someone is to not only switch brands but also whether they are likely to quit or switch to a different product. Another comment suggested that FDA add questions to the post-test to measure the behavioral impacts of these formats including cessation intentions.</w:t>
      </w:r>
    </w:p>
    <w:p w:rsidRPr="0020402D" w:rsidR="0020402D" w:rsidP="0020402D" w:rsidRDefault="0020402D">
      <w:pPr>
        <w:pStyle w:val="BodyText"/>
      </w:pPr>
      <w:r w:rsidRPr="0020402D">
        <w:t xml:space="preserve">(Response) Although measuring these behavioral intentions and outcomes are interesting, these questions are outside the scope of this study. The focus of this study is to assess whether displays of HPHC information are understandable and not misleading per the statutory requirement. </w:t>
      </w:r>
    </w:p>
    <w:p w:rsidRPr="0020402D" w:rsidR="0020402D" w:rsidP="0020402D" w:rsidRDefault="0020402D">
      <w:pPr>
        <w:pStyle w:val="BodyText"/>
      </w:pPr>
      <w:r w:rsidRPr="0020402D">
        <w:t xml:space="preserve"> (Comment) FDA received two comments that supported the collection of this information. One comment urged FDA to move forward promptly with this study. </w:t>
      </w:r>
    </w:p>
    <w:p w:rsidRPr="0020402D" w:rsidR="0020402D" w:rsidP="0020402D" w:rsidRDefault="0020402D">
      <w:pPr>
        <w:pStyle w:val="BodyText"/>
      </w:pPr>
      <w:r w:rsidRPr="0020402D">
        <w:t>(Response) FDA appreciates this comment and intend</w:t>
      </w:r>
      <w:r w:rsidR="004328FD">
        <w:t>s</w:t>
      </w:r>
      <w:r w:rsidRPr="0020402D">
        <w:t xml:space="preserve"> to move forward with the study promptly. We note that data collection will occur </w:t>
      </w:r>
      <w:r w:rsidR="007B68DE">
        <w:t>promptly</w:t>
      </w:r>
      <w:r w:rsidRPr="0020402D">
        <w:t xml:space="preserve"> following OMB </w:t>
      </w:r>
      <w:r w:rsidR="007B68DE">
        <w:t xml:space="preserve">and IRB </w:t>
      </w:r>
      <w:r w:rsidRPr="0020402D">
        <w:t>approval.</w:t>
      </w:r>
    </w:p>
    <w:p w:rsidRPr="0020402D" w:rsidR="0020402D" w:rsidP="0020402D" w:rsidRDefault="0020402D">
      <w:pPr>
        <w:pStyle w:val="BodyText"/>
      </w:pPr>
      <w:r w:rsidRPr="0020402D">
        <w:t xml:space="preserve">(Comment) One comment noted that FDA was required to publish a list of constituents in a format that is understandable and not misleading to a lay person by June 2012. However, no such list has been published. The comment also noted that it is important for the FDA to ensure that information is disclosed in a way that is not misleading. </w:t>
      </w:r>
    </w:p>
    <w:p w:rsidRPr="0020402D" w:rsidR="0020402D" w:rsidP="0020402D" w:rsidRDefault="0020402D">
      <w:pPr>
        <w:pStyle w:val="BodyText"/>
      </w:pPr>
      <w:r w:rsidRPr="0020402D">
        <w:t xml:space="preserve">(Response) FDA agrees that the proposed study is important to help FDA fulfill its statutory requirement. FDA has undertaken an extensive program of research to ensure that we not only publish a list of constituents in a manner that is understandable and not misleading, but also avoid any unintended consequences of such a list. </w:t>
      </w:r>
    </w:p>
    <w:p w:rsidRPr="0020402D" w:rsidR="0020402D" w:rsidP="0020402D" w:rsidRDefault="0020402D">
      <w:pPr>
        <w:pStyle w:val="BodyText"/>
      </w:pPr>
      <w:r w:rsidRPr="0020402D">
        <w:t xml:space="preserve">(Comment) One comment noted that FDA should make it clear that characterizations of information on the list by tobacco product manufacturers in advertising or promotional material are subject to the requirements of the provisions of Section 911 of the Tobacco Control Act regarding modified risk claims. </w:t>
      </w:r>
    </w:p>
    <w:p w:rsidR="0020402D" w:rsidP="0020402D" w:rsidRDefault="0020402D">
      <w:pPr>
        <w:pStyle w:val="BodyText"/>
      </w:pPr>
      <w:r w:rsidRPr="0020402D">
        <w:t>(Response) Thank you for this suggestion. However, this comment is outside the scope of the present study as it is about the implementation of the public displays of HPHCs and not about testing the display.</w:t>
      </w:r>
    </w:p>
    <w:p w:rsidRPr="002D1C87" w:rsidR="00CD77C3" w:rsidP="00850940" w:rsidRDefault="00EB7538">
      <w:pPr>
        <w:pStyle w:val="Heading3"/>
      </w:pPr>
      <w:r w:rsidRPr="002D1C87">
        <w:t>Explanation of Any Payment or Gift to Respondents</w:t>
      </w:r>
    </w:p>
    <w:p w:rsidR="00AD4C50" w:rsidP="00850940" w:rsidRDefault="00782144">
      <w:pPr>
        <w:pStyle w:val="BodyText"/>
      </w:pPr>
      <w:r>
        <w:t xml:space="preserve">HPHC survey </w:t>
      </w:r>
      <w:r w:rsidR="008C246F">
        <w:t>respondents</w:t>
      </w:r>
      <w:r>
        <w:t xml:space="preserve"> will be</w:t>
      </w:r>
      <w:r w:rsidR="00042C48">
        <w:t xml:space="preserve"> members of </w:t>
      </w:r>
      <w:r w:rsidRPr="00EB6BBC" w:rsidR="008F7C61">
        <w:t>Lightspeed</w:t>
      </w:r>
      <w:r w:rsidR="00042C48">
        <w:t>’s</w:t>
      </w:r>
      <w:r w:rsidRPr="00EB6BBC" w:rsidR="008F7C61">
        <w:t xml:space="preserve"> (formerly GMI)</w:t>
      </w:r>
      <w:r>
        <w:t xml:space="preserve"> </w:t>
      </w:r>
      <w:r w:rsidR="00042C48">
        <w:t xml:space="preserve">web-based research panel. </w:t>
      </w:r>
      <w:r w:rsidRPr="00EB6BBC" w:rsidR="004C7D81">
        <w:t>Lightspeed will provide</w:t>
      </w:r>
      <w:r w:rsidR="008C246F">
        <w:t xml:space="preserve"> </w:t>
      </w:r>
      <w:r w:rsidR="00CA2D24">
        <w:t xml:space="preserve">100 </w:t>
      </w:r>
      <w:r w:rsidR="008C246F">
        <w:t>nonmonetary</w:t>
      </w:r>
      <w:r w:rsidRPr="00EB6BBC" w:rsidR="004C7D81">
        <w:t xml:space="preserve"> “</w:t>
      </w:r>
      <w:r w:rsidR="00E20B5A">
        <w:t>LifePoints</w:t>
      </w:r>
      <w:r w:rsidRPr="00EB6BBC" w:rsidR="004C7D81">
        <w:t>” valued at approximately $</w:t>
      </w:r>
      <w:r w:rsidR="00963A7B">
        <w:t>1.25</w:t>
      </w:r>
      <w:r w:rsidRPr="00EB6BBC" w:rsidR="004C7D81">
        <w:t xml:space="preserve"> to panel members who complete the study.</w:t>
      </w:r>
      <w:r w:rsidR="00360370">
        <w:t xml:space="preserve"> </w:t>
      </w:r>
      <w:r w:rsidR="00E20B5A">
        <w:t>LifePoints</w:t>
      </w:r>
      <w:r>
        <w:t xml:space="preserve"> </w:t>
      </w:r>
      <w:r w:rsidRPr="00EB6BBC" w:rsidR="004C7D81">
        <w:t xml:space="preserve">are a routine part of Lightspeed’s panel maintenance </w:t>
      </w:r>
      <w:r w:rsidRPr="00EB6BBC" w:rsidR="008C246F">
        <w:t>strategy and</w:t>
      </w:r>
      <w:r w:rsidRPr="00EB6BBC" w:rsidR="004C7D81">
        <w:t xml:space="preserve"> can be </w:t>
      </w:r>
      <w:r w:rsidR="00C94CBC">
        <w:t xml:space="preserve">accrued and </w:t>
      </w:r>
      <w:r w:rsidRPr="00EB6BBC" w:rsidR="004C7D81">
        <w:t>traded for material items (e.g., Amazon.com, Starbucks) or for cash.</w:t>
      </w:r>
      <w:r w:rsidR="00360370">
        <w:t xml:space="preserve"> </w:t>
      </w:r>
      <w:r w:rsidRPr="00EB6BBC" w:rsidR="004C7D81">
        <w:t xml:space="preserve">Panel members customarily receive </w:t>
      </w:r>
      <w:r w:rsidR="00E20B5A">
        <w:t>LifePoints</w:t>
      </w:r>
      <w:r w:rsidRPr="00EB6BBC" w:rsidR="00963A7B">
        <w:t xml:space="preserve"> </w:t>
      </w:r>
      <w:r w:rsidRPr="00EB6BBC" w:rsidR="004C7D81">
        <w:t>for each survey completed in recognition of time spent and to encourage coopera</w:t>
      </w:r>
      <w:r w:rsidR="004C7D81">
        <w:t>tion in future panel surveys.</w:t>
      </w:r>
      <w:r w:rsidR="007B68DE">
        <w:t xml:space="preserve"> Lightspeed also partners with other web-based research panel </w:t>
      </w:r>
      <w:r w:rsidR="00B15945">
        <w:t>companies</w:t>
      </w:r>
      <w:r w:rsidR="007B68DE">
        <w:t xml:space="preserve"> for the purpose of recruitment. The partner</w:t>
      </w:r>
      <w:r w:rsidR="00B15945">
        <w:t xml:space="preserve"> companies</w:t>
      </w:r>
      <w:r w:rsidR="007B68DE">
        <w:t xml:space="preserve"> do not program the survey, collect data, or have access to data. Respondents recruited from </w:t>
      </w:r>
      <w:r w:rsidR="00B15945">
        <w:t>the panels of partner companies</w:t>
      </w:r>
      <w:r w:rsidR="007B68DE">
        <w:t xml:space="preserve"> receive </w:t>
      </w:r>
      <w:r w:rsidRPr="008875D9" w:rsidR="007B68DE">
        <w:t>equivalent compensation in the form typically used by that company with its panelists</w:t>
      </w:r>
      <w:r w:rsidR="007B68DE">
        <w:t>.</w:t>
      </w:r>
    </w:p>
    <w:p w:rsidR="00AD4C50" w:rsidP="00850940" w:rsidRDefault="004C7D81">
      <w:pPr>
        <w:pStyle w:val="BodyText"/>
      </w:pPr>
      <w:r w:rsidRPr="00EB6BBC">
        <w:t>Among young adults (aged 18</w:t>
      </w:r>
      <w:r w:rsidR="000D1486">
        <w:t xml:space="preserve"> to </w:t>
      </w:r>
      <w:r w:rsidRPr="00EB6BBC">
        <w:t>24)</w:t>
      </w:r>
      <w:r w:rsidR="000D1486">
        <w:t>,</w:t>
      </w:r>
      <w:r w:rsidRPr="00EB6BBC">
        <w:t xml:space="preserve"> 19.6% report current cigarette smoking, among older adults (aged 25 </w:t>
      </w:r>
      <w:r w:rsidR="000D1486">
        <w:t>or</w:t>
      </w:r>
      <w:r w:rsidRPr="00EB6BBC" w:rsidR="000D1486">
        <w:t xml:space="preserve"> </w:t>
      </w:r>
      <w:r w:rsidRPr="00EB6BBC">
        <w:t>older) 17.9% report current smoking. Among youth</w:t>
      </w:r>
      <w:r w:rsidR="000D1486">
        <w:t>,</w:t>
      </w:r>
      <w:r w:rsidRPr="00EB6BBC">
        <w:t xml:space="preserve"> the numbers are substantially lower, among 12</w:t>
      </w:r>
      <w:r w:rsidR="000D1486">
        <w:t xml:space="preserve">- to </w:t>
      </w:r>
      <w:r w:rsidRPr="00EB6BBC" w:rsidR="000D1486">
        <w:t>17</w:t>
      </w:r>
      <w:r w:rsidR="000D1486">
        <w:t>-</w:t>
      </w:r>
      <w:r w:rsidRPr="00EB6BBC" w:rsidR="000D1486">
        <w:t>year</w:t>
      </w:r>
      <w:r w:rsidR="000D1486">
        <w:t>-</w:t>
      </w:r>
      <w:r w:rsidRPr="00EB6BBC">
        <w:t xml:space="preserve">olds, 4.6% report past </w:t>
      </w:r>
      <w:r w:rsidRPr="00EB6BBC" w:rsidR="000D1486">
        <w:t>30</w:t>
      </w:r>
      <w:r w:rsidR="000D1486">
        <w:t>-</w:t>
      </w:r>
      <w:r w:rsidRPr="00EB6BBC">
        <w:t>day smoking</w:t>
      </w:r>
      <w:r w:rsidRPr="00EB6BBC">
        <w:rPr>
          <w:rStyle w:val="FootnoteReference"/>
        </w:rPr>
        <w:footnoteReference w:id="2"/>
      </w:r>
      <w:r w:rsidRPr="00EB6BBC">
        <w:t xml:space="preserve"> and 28.6% are susceptible to smoking.</w:t>
      </w:r>
      <w:r w:rsidRPr="00EB6BBC">
        <w:rPr>
          <w:rStyle w:val="FootnoteReference"/>
        </w:rPr>
        <w:footnoteReference w:id="3"/>
      </w:r>
      <w:r w:rsidR="00360370">
        <w:t xml:space="preserve"> </w:t>
      </w:r>
      <w:r w:rsidRPr="00281C30" w:rsidR="00281C30">
        <w:t>Recruiting</w:t>
      </w:r>
      <w:r w:rsidRPr="00513BDC" w:rsidR="00281C30">
        <w:t xml:space="preserve"> </w:t>
      </w:r>
      <w:r w:rsidRPr="00281C30">
        <w:t>a</w:t>
      </w:r>
      <w:r w:rsidRPr="00EB6BBC">
        <w:t xml:space="preserve">dolescent smokers </w:t>
      </w:r>
      <w:r w:rsidR="00281C30">
        <w:t xml:space="preserve">may be more </w:t>
      </w:r>
      <w:r w:rsidRPr="00EB6BBC">
        <w:t xml:space="preserve">difficult </w:t>
      </w:r>
      <w:r w:rsidR="001F031C">
        <w:t>because</w:t>
      </w:r>
      <w:r w:rsidRPr="00EB6BBC" w:rsidR="001F031C">
        <w:t xml:space="preserve"> </w:t>
      </w:r>
      <w:r w:rsidRPr="00EB6BBC">
        <w:t xml:space="preserve">use of tobacco is illegal in a few states for those under 18 and sales to </w:t>
      </w:r>
      <w:r w:rsidR="007B68DE">
        <w:t>individuals</w:t>
      </w:r>
      <w:r w:rsidRPr="00EB6BBC" w:rsidR="007B68DE">
        <w:t xml:space="preserve"> </w:t>
      </w:r>
      <w:r w:rsidRPr="00EB6BBC">
        <w:t xml:space="preserve">under age </w:t>
      </w:r>
      <w:r w:rsidR="007B68DE">
        <w:t>21</w:t>
      </w:r>
      <w:r w:rsidRPr="00EB6BBC" w:rsidR="007B68DE">
        <w:t xml:space="preserve"> </w:t>
      </w:r>
      <w:r w:rsidRPr="00EB6BBC">
        <w:t xml:space="preserve">is illegal </w:t>
      </w:r>
      <w:r w:rsidR="007B68DE">
        <w:t>nationwide</w:t>
      </w:r>
      <w:r w:rsidRPr="00EB6BBC">
        <w:t>.</w:t>
      </w:r>
      <w:r w:rsidR="00360370">
        <w:t xml:space="preserve"> </w:t>
      </w:r>
      <w:r w:rsidR="00853E88">
        <w:t>P</w:t>
      </w:r>
      <w:r w:rsidRPr="00EB6BBC">
        <w:t>revious research has shown that recruiting and retaining adolescents into studies about tobacco is challenging.</w:t>
      </w:r>
      <w:r w:rsidRPr="00EB6BBC">
        <w:rPr>
          <w:rStyle w:val="FootnoteReference"/>
        </w:rPr>
        <w:footnoteReference w:id="4"/>
      </w:r>
    </w:p>
    <w:p w:rsidRPr="002D1C87" w:rsidR="00CD77C3" w:rsidP="00850940" w:rsidRDefault="00EB7538">
      <w:pPr>
        <w:pStyle w:val="Heading3"/>
      </w:pPr>
      <w:r w:rsidRPr="002D1C87">
        <w:t>Assurance of Confidentiality Provided to Respondents</w:t>
      </w:r>
    </w:p>
    <w:p w:rsidR="0061175B" w:rsidP="00850940" w:rsidRDefault="0061175B">
      <w:pPr>
        <w:pStyle w:val="BodyText"/>
      </w:pPr>
      <w:r w:rsidRPr="00EB6BBC">
        <w:t>Concern for privacy and protection of respondents’ rights will play a central role in the study implementation</w:t>
      </w:r>
      <w:r w:rsidR="004E6C2A">
        <w:t>,</w:t>
      </w:r>
      <w:r w:rsidRPr="00EB6BBC" w:rsidR="004E6C2A">
        <w:t xml:space="preserve"> </w:t>
      </w:r>
      <w:r w:rsidRPr="00EB6BBC">
        <w:t>storage and handling of data</w:t>
      </w:r>
      <w:r w:rsidR="004E6C2A">
        <w:t>,</w:t>
      </w:r>
      <w:r w:rsidRPr="00EB6BBC" w:rsidR="004E6C2A">
        <w:t xml:space="preserve"> </w:t>
      </w:r>
      <w:r w:rsidRPr="00EB6BBC">
        <w:t>and data analysis and reporting.</w:t>
      </w:r>
      <w:r w:rsidR="00360370">
        <w:t xml:space="preserve"> </w:t>
      </w:r>
      <w:r w:rsidRPr="00B840A9" w:rsidR="00B840A9">
        <w:t>The Institutional Review Board (IRB) of RTI International, the research organization contracted to manage data collection, as well as FDA’s IRB</w:t>
      </w:r>
      <w:r w:rsidR="000F77C8">
        <w:t xml:space="preserve"> </w:t>
      </w:r>
      <w:r w:rsidRPr="00B840A9" w:rsidR="00B840A9">
        <w:t xml:space="preserve">will review and approve the protocols for the surveys before any data collection. The primary concern of both IRBs is protecting respondents’ rights, one of which </w:t>
      </w:r>
      <w:proofErr w:type="gramStart"/>
      <w:r w:rsidRPr="00B840A9" w:rsidR="00B840A9">
        <w:t>is maintaining the privacy of respondent information to the fullest extent</w:t>
      </w:r>
      <w:proofErr w:type="gramEnd"/>
      <w:r w:rsidRPr="00B840A9" w:rsidR="00B840A9">
        <w:t xml:space="preserve"> of the law.</w:t>
      </w:r>
    </w:p>
    <w:p w:rsidR="00AD4C50" w:rsidP="0020402D" w:rsidRDefault="0061175B">
      <w:pPr>
        <w:pStyle w:val="BodyText"/>
      </w:pPr>
      <w:r>
        <w:t xml:space="preserve">Information provided by </w:t>
      </w:r>
      <w:r w:rsidRPr="00EB6BBC">
        <w:t>respondents will be maintained in a secure manner and will be used only for the purpo</w:t>
      </w:r>
      <w:r>
        <w:t xml:space="preserve">se of this research. </w:t>
      </w:r>
      <w:r w:rsidRPr="00EB6BBC">
        <w:t xml:space="preserve">Private information is protected from disclosure under the Freedom of Information Act under sections 552(a) and (b) (5 U.S.C. 552(a) and (b)), and by part 20 of the </w:t>
      </w:r>
      <w:r>
        <w:t>A</w:t>
      </w:r>
      <w:r w:rsidRPr="00EB6BBC">
        <w:t>gency’s regulations (21 CFR part 20).</w:t>
      </w:r>
      <w:r w:rsidR="00360370">
        <w:t xml:space="preserve"> </w:t>
      </w:r>
      <w:r w:rsidRPr="008C246F">
        <w:t>CTP consulted with FDA’s Privacy</w:t>
      </w:r>
      <w:r w:rsidR="0020402D">
        <w:t xml:space="preserve"> o</w:t>
      </w:r>
      <w:r w:rsidRPr="008C246F">
        <w:t>ffice, which conducted a Privacy Threshold Analysis</w:t>
      </w:r>
      <w:r w:rsidR="004E6C2A">
        <w:t>,</w:t>
      </w:r>
      <w:r w:rsidRPr="008C246F">
        <w:t xml:space="preserve"> and concluded that the Privacy Act does not apply to this information collection.</w:t>
      </w:r>
      <w:r w:rsidR="0020402D">
        <w:t xml:space="preserve"> The collection was assigned PIA unique identifier (</w:t>
      </w:r>
      <w:r w:rsidRPr="0020402D" w:rsidR="0020402D">
        <w:t>P-3042816-919564</w:t>
      </w:r>
      <w:r w:rsidR="0020402D">
        <w:t>)</w:t>
      </w:r>
      <w:r w:rsidR="007B68DE">
        <w:t>.</w:t>
      </w:r>
    </w:p>
    <w:p w:rsidR="00AD4C50" w:rsidP="00850940" w:rsidRDefault="0061175B">
      <w:pPr>
        <w:pStyle w:val="BodyText"/>
      </w:pPr>
      <w:r w:rsidRPr="0061175B">
        <w:t xml:space="preserve">As part of the informed consent/assent process, participants will be provided with an assurance of privacy to the extent allowable by law and the technology used. </w:t>
      </w:r>
      <w:r>
        <w:t>Privacy</w:t>
      </w:r>
      <w:r w:rsidRPr="00EB6BBC">
        <w:t xml:space="preserve"> for survey respondents will be </w:t>
      </w:r>
      <w:r w:rsidR="004E6C2A">
        <w:t>en</w:t>
      </w:r>
      <w:r w:rsidRPr="00EB6BBC" w:rsidR="004E6C2A">
        <w:t xml:space="preserve">sured </w:t>
      </w:r>
      <w:r w:rsidRPr="00EB6BBC">
        <w:t xml:space="preserve">in </w:t>
      </w:r>
      <w:proofErr w:type="gramStart"/>
      <w:r w:rsidRPr="00EB6BBC">
        <w:t>a number of</w:t>
      </w:r>
      <w:proofErr w:type="gramEnd"/>
      <w:r w:rsidRPr="00EB6BBC">
        <w:t xml:space="preserve"> ways:</w:t>
      </w:r>
    </w:p>
    <w:p w:rsidR="00AD4C50" w:rsidP="00850940" w:rsidRDefault="0061175B">
      <w:pPr>
        <w:pStyle w:val="ListBullet"/>
      </w:pPr>
      <w:r>
        <w:t xml:space="preserve">The survey will not include any personally identifying information (PII), nor will any PII be requested. Though Lightspeed, </w:t>
      </w:r>
      <w:r w:rsidRPr="00D35966">
        <w:rPr>
          <w:sz w:val="23"/>
          <w:szCs w:val="23"/>
        </w:rPr>
        <w:t xml:space="preserve">the organization that manages the web-based </w:t>
      </w:r>
      <w:r w:rsidR="007B68DE">
        <w:rPr>
          <w:sz w:val="23"/>
          <w:szCs w:val="23"/>
        </w:rPr>
        <w:t>data collection</w:t>
      </w:r>
      <w:r w:rsidRPr="00D35966">
        <w:rPr>
          <w:sz w:val="23"/>
          <w:szCs w:val="23"/>
        </w:rPr>
        <w:t>, maintains a database of names and email addresses of potential participant</w:t>
      </w:r>
      <w:r w:rsidR="004E6C2A">
        <w:rPr>
          <w:sz w:val="23"/>
          <w:szCs w:val="23"/>
        </w:rPr>
        <w:t>s</w:t>
      </w:r>
      <w:r w:rsidRPr="00D35966">
        <w:rPr>
          <w:sz w:val="23"/>
          <w:szCs w:val="23"/>
        </w:rPr>
        <w:t xml:space="preserve"> as part of its normal operations, neither FDA nor RTI will receive this information or any other PII from Lightspeed</w:t>
      </w:r>
      <w:r w:rsidR="007B68DE">
        <w:rPr>
          <w:sz w:val="23"/>
          <w:szCs w:val="23"/>
        </w:rPr>
        <w:t xml:space="preserve"> or its partner </w:t>
      </w:r>
      <w:r w:rsidR="00B15945">
        <w:rPr>
          <w:sz w:val="23"/>
          <w:szCs w:val="23"/>
        </w:rPr>
        <w:t>companies</w:t>
      </w:r>
      <w:r w:rsidRPr="00D35966">
        <w:rPr>
          <w:sz w:val="23"/>
          <w:szCs w:val="23"/>
        </w:rPr>
        <w:t xml:space="preserve">. </w:t>
      </w:r>
      <w:r>
        <w:t xml:space="preserve">Each respondent will be known to FDA and RTI only by a unique alphanumeric variable provided by </w:t>
      </w:r>
      <w:r w:rsidRPr="00EB6BBC">
        <w:t>Lightspeed</w:t>
      </w:r>
      <w:r>
        <w:t>.</w:t>
      </w:r>
    </w:p>
    <w:p w:rsidR="00AD4C50" w:rsidP="00850940" w:rsidRDefault="0061175B">
      <w:pPr>
        <w:pStyle w:val="ListBullet"/>
      </w:pPr>
      <w:r w:rsidRPr="00EB6BBC">
        <w:t xml:space="preserve">Lightspeed </w:t>
      </w:r>
      <w:r w:rsidR="007B68DE">
        <w:t xml:space="preserve">and partner </w:t>
      </w:r>
      <w:r w:rsidR="00B15945">
        <w:rPr>
          <w:sz w:val="23"/>
          <w:szCs w:val="23"/>
        </w:rPr>
        <w:t>companies</w:t>
      </w:r>
      <w:r w:rsidRPr="00EB6BBC" w:rsidR="00B15945">
        <w:t xml:space="preserve"> </w:t>
      </w:r>
      <w:r w:rsidRPr="00EB6BBC">
        <w:t xml:space="preserve">will </w:t>
      </w:r>
      <w:r>
        <w:t xml:space="preserve">contact panel members directly and ask them to complete the survey </w:t>
      </w:r>
      <w:r w:rsidRPr="00EB6BBC">
        <w:t>through an email invitation.</w:t>
      </w:r>
    </w:p>
    <w:p w:rsidR="0061175B" w:rsidP="00850940" w:rsidRDefault="0061175B">
      <w:pPr>
        <w:pStyle w:val="ListBullet"/>
      </w:pPr>
      <w:r>
        <w:t>Lightspeed</w:t>
      </w:r>
      <w:r w:rsidRPr="00EB6BBC">
        <w:t xml:space="preserve"> </w:t>
      </w:r>
      <w:r w:rsidR="007B68DE">
        <w:t xml:space="preserve">and partner </w:t>
      </w:r>
      <w:r w:rsidR="00B15945">
        <w:rPr>
          <w:sz w:val="23"/>
          <w:szCs w:val="23"/>
        </w:rPr>
        <w:t>companies</w:t>
      </w:r>
      <w:r w:rsidRPr="00EB6BBC" w:rsidR="00B15945">
        <w:t xml:space="preserve"> </w:t>
      </w:r>
      <w:r w:rsidRPr="00EB6BBC">
        <w:t>will invite adolescent children of adult panel participants to complete the survey through an email invitation to their parent</w:t>
      </w:r>
      <w:r>
        <w:t xml:space="preserve"> or guardian </w:t>
      </w:r>
      <w:r w:rsidRPr="00EB6BBC">
        <w:t>asking for their consent to have their child’s opinions, which is fully compliant with the Children’s Online Privacy Protection Act’s revised standards.</w:t>
      </w:r>
      <w:r>
        <w:t xml:space="preserve"> If consent is provided, parents will be asked to allow their child to complete the screener and survey in private, so they cannot see the responses. Youth p</w:t>
      </w:r>
      <w:r w:rsidRPr="00C5193B">
        <w:t>articipants will</w:t>
      </w:r>
      <w:r>
        <w:t xml:space="preserve"> also </w:t>
      </w:r>
      <w:r w:rsidRPr="00C5193B">
        <w:t xml:space="preserve">be </w:t>
      </w:r>
      <w:r>
        <w:t xml:space="preserve">informed </w:t>
      </w:r>
      <w:r w:rsidRPr="00C5193B">
        <w:t>that their answers will n</w:t>
      </w:r>
      <w:r>
        <w:t>ot be shared with their parents</w:t>
      </w:r>
      <w:r w:rsidRPr="00C5193B">
        <w:t>.</w:t>
      </w:r>
    </w:p>
    <w:p w:rsidR="00AD4C50" w:rsidP="00850940" w:rsidRDefault="0061175B">
      <w:pPr>
        <w:pStyle w:val="ListBullet"/>
      </w:pPr>
      <w:r>
        <w:t xml:space="preserve">All respondents </w:t>
      </w:r>
      <w:r w:rsidRPr="00EB6BBC">
        <w:t xml:space="preserve">will log onto Lightspeed’s secure server using a </w:t>
      </w:r>
      <w:r w:rsidR="007B68DE">
        <w:t xml:space="preserve">unique </w:t>
      </w:r>
      <w:r w:rsidRPr="00EB6BBC">
        <w:t xml:space="preserve">link provided </w:t>
      </w:r>
      <w:r w:rsidR="007B68DE">
        <w:t>in the invitation</w:t>
      </w:r>
      <w:r>
        <w:t xml:space="preserve"> to complete the screener and survey</w:t>
      </w:r>
      <w:r w:rsidRPr="00EB6BBC">
        <w:t>.</w:t>
      </w:r>
    </w:p>
    <w:p w:rsidR="0061175B" w:rsidP="00850940" w:rsidRDefault="0061175B">
      <w:pPr>
        <w:pStyle w:val="ListBullet"/>
      </w:pPr>
      <w:r>
        <w:t xml:space="preserve">The </w:t>
      </w:r>
      <w:r w:rsidRPr="00EB6BBC">
        <w:t>information obtained from all the surveys will be combined into a summary report so that details of individual questionnaires cannot be linked to a specific participant.</w:t>
      </w:r>
    </w:p>
    <w:p w:rsidR="00AD4C50" w:rsidP="00850940" w:rsidRDefault="0061175B">
      <w:pPr>
        <w:pStyle w:val="ListBullet"/>
      </w:pPr>
      <w:r>
        <w:t>The online survey is self-administered, and respondents will participate on a voluntary basis. All r</w:t>
      </w:r>
      <w:r w:rsidRPr="00EB6BBC">
        <w:t xml:space="preserve">espondents will have the option to decline to respond to any item in the survey for any reason. </w:t>
      </w:r>
      <w:r w:rsidR="007B68DE">
        <w:t xml:space="preserve">Declining to answer some items on the screener may prevent respondents from being eligible for the survey. </w:t>
      </w:r>
      <w:r>
        <w:t xml:space="preserve">The voluntary nature of the information collection </w:t>
      </w:r>
      <w:r w:rsidRPr="00E45BB2">
        <w:t xml:space="preserve">is described in the </w:t>
      </w:r>
      <w:r>
        <w:t>consent/assent forms.</w:t>
      </w:r>
    </w:p>
    <w:p w:rsidRPr="00EB6BBC" w:rsidR="0061175B" w:rsidP="00850940" w:rsidRDefault="0061175B">
      <w:pPr>
        <w:pStyle w:val="BodyText"/>
      </w:pPr>
      <w:r w:rsidRPr="00EB6BBC">
        <w:t>Implementation of data security systems and processes will occur as part of the survey data collection.</w:t>
      </w:r>
      <w:r w:rsidR="00360370">
        <w:t xml:space="preserve"> </w:t>
      </w:r>
      <w:r w:rsidRPr="00EB6BBC">
        <w:t>Data security provisions involve the following:</w:t>
      </w:r>
    </w:p>
    <w:p w:rsidR="00AD4C50" w:rsidP="00850940" w:rsidRDefault="0061175B">
      <w:pPr>
        <w:pStyle w:val="ListBullet"/>
      </w:pPr>
      <w:r>
        <w:t>A</w:t>
      </w:r>
      <w:r w:rsidRPr="00EB6BBC">
        <w:t>ll RTI project staff are required to adhere to strict standards and to sign a nondisclosure agreement as a condition of employment on this project.</w:t>
      </w:r>
      <w:r w:rsidR="00360370">
        <w:t xml:space="preserve"> </w:t>
      </w:r>
      <w:r w:rsidRPr="00EB6BBC">
        <w:t>RTI maintains restricted access to all data preparation areas (i.e., receipt, coding).</w:t>
      </w:r>
      <w:r w:rsidR="00360370">
        <w:t xml:space="preserve"> </w:t>
      </w:r>
      <w:r w:rsidRPr="00EB6BBC">
        <w:t xml:space="preserve">All data files on multiuser systems </w:t>
      </w:r>
      <w:r>
        <w:t xml:space="preserve">are </w:t>
      </w:r>
      <w:r w:rsidRPr="00EB6BBC">
        <w:t>under the control of a database manager, with access limited to project staff.</w:t>
      </w:r>
    </w:p>
    <w:p w:rsidR="0016285A" w:rsidP="0016285A" w:rsidRDefault="0016285A">
      <w:pPr>
        <w:pStyle w:val="ListBullet"/>
      </w:pPr>
      <w:r>
        <w:t xml:space="preserve">Lightspeed LLC and any partners </w:t>
      </w:r>
      <w:r w:rsidRPr="008D2797">
        <w:t xml:space="preserve">maintain an online opt-in panel to collect </w:t>
      </w:r>
      <w:r>
        <w:t xml:space="preserve">participant </w:t>
      </w:r>
      <w:r w:rsidRPr="008D2797">
        <w:t xml:space="preserve">information. </w:t>
      </w:r>
      <w:r>
        <w:t>Partners might be used to assist with recruiting; however, they only provide links to the Lightspeed survey. Lightspeed Research collects survey data via their platform</w:t>
      </w:r>
      <w:r w:rsidRPr="0016285A">
        <w:rPr>
          <w:rFonts w:eastAsia="Calibri"/>
          <w:color w:val="2B2E2F"/>
        </w:rPr>
        <w:t xml:space="preserve"> (</w:t>
      </w:r>
      <w:hyperlink w:history="1" r:id="rId8">
        <w:r w:rsidRPr="00E627C8">
          <w:rPr>
            <w:rStyle w:val="Hyperlink"/>
          </w:rPr>
          <w:t>surveys.globaltestmarket.com</w:t>
        </w:r>
      </w:hyperlink>
      <w:r>
        <w:t>)</w:t>
      </w:r>
      <w:r w:rsidRPr="00E627C8">
        <w:t> </w:t>
      </w:r>
      <w:r>
        <w:t>which has</w:t>
      </w:r>
      <w:r w:rsidRPr="00E627C8">
        <w:t xml:space="preserve"> a Domain Validation</w:t>
      </w:r>
      <w:r>
        <w:t xml:space="preserve"> </w:t>
      </w:r>
      <w:r w:rsidRPr="00E627C8">
        <w:t>certificate issued by Let's Encrypt.</w:t>
      </w:r>
      <w:r>
        <w:t xml:space="preserve"> Lightspeed Research does not store personally identifiable data in the cloud, but deidentified survey data from this study may be stored using cloud-based services. Lightspeed was approved by RTI’s </w:t>
      </w:r>
      <w:r w:rsidRPr="00CF2138">
        <w:t>Cloud Technology Approval Committee</w:t>
      </w:r>
      <w:r>
        <w:t xml:space="preserve"> (CTAC), which assesses the security and confidentiality of cloud computing providers, on January 30, 2020. Lightspeed</w:t>
      </w:r>
      <w:r w:rsidRPr="008D2797">
        <w:t xml:space="preserve"> is not FedRAMP certified. </w:t>
      </w:r>
      <w:r>
        <w:t>A full copy of Lightspeed LLC’s privacy policy can be found in Appendix M. Lightspeed will store data for 1 year before deletion.</w:t>
      </w:r>
    </w:p>
    <w:p w:rsidR="0016285A" w:rsidP="0016285A" w:rsidRDefault="0061175B">
      <w:pPr>
        <w:pStyle w:val="ListBullet"/>
      </w:pPr>
      <w:r w:rsidRPr="00EB6BBC">
        <w:t>Data will be passed through a firewall at RTI and then collected and stored on a protected network share on the RTI network.</w:t>
      </w:r>
      <w:r w:rsidR="00360370">
        <w:t xml:space="preserve"> </w:t>
      </w:r>
      <w:r w:rsidRPr="00EB6BBC">
        <w:t>Only authorized RTI project staff members will have access to the data on the secure network.</w:t>
      </w:r>
      <w:r w:rsidRPr="0016285A" w:rsidR="0016285A">
        <w:t xml:space="preserve"> </w:t>
      </w:r>
      <w:r w:rsidRPr="00E627C8" w:rsidR="0016285A">
        <w:t>RTI’s security practices include the use of a virtual private network (VPN) and SSL and IPsec for encryption of data in transit when required based on project needs.</w:t>
      </w:r>
      <w:r w:rsidR="0016285A">
        <w:t xml:space="preserve"> RTI will send the deidentified dataset to FDA using a secure and password-protected online portal (e.g., ftp site). RTI will store data for 5 years before deletion. </w:t>
      </w:r>
    </w:p>
    <w:p w:rsidRPr="00F43757" w:rsidR="004C6979" w:rsidP="00850940" w:rsidRDefault="00EB7538">
      <w:pPr>
        <w:pStyle w:val="Heading3"/>
      </w:pPr>
      <w:r w:rsidRPr="00F43757">
        <w:t>Justification for Sensitive Questions</w:t>
      </w:r>
    </w:p>
    <w:p w:rsidR="00AD4C50" w:rsidP="00850940" w:rsidRDefault="00EB328A">
      <w:pPr>
        <w:pStyle w:val="BodyText"/>
      </w:pPr>
      <w:r w:rsidRPr="00EB6BBC">
        <w:t>Most</w:t>
      </w:r>
      <w:r w:rsidRPr="00EB6BBC" w:rsidR="004C7D81">
        <w:t xml:space="preserve"> questions asked will not be of a sensitive nature.</w:t>
      </w:r>
      <w:r w:rsidR="00360370">
        <w:t xml:space="preserve"> </w:t>
      </w:r>
      <w:r w:rsidRPr="00EB6BBC" w:rsidR="004C7D81">
        <w:t xml:space="preserve">However, it will be necessary to ask some questions that may be considered of a sensitive nature in order to assess </w:t>
      </w:r>
      <w:r w:rsidRPr="00963A7B" w:rsidR="004C7D81">
        <w:t xml:space="preserve">specific health behaviors, such as </w:t>
      </w:r>
      <w:r w:rsidR="00F84072">
        <w:t xml:space="preserve">tobacco use </w:t>
      </w:r>
      <w:r w:rsidRPr="00963A7B" w:rsidR="004C7D81">
        <w:t xml:space="preserve">and knowledge about the potential negative health consequences of </w:t>
      </w:r>
      <w:r w:rsidR="00F84072">
        <w:t xml:space="preserve">tobacco </w:t>
      </w:r>
      <w:r w:rsidR="00037E17">
        <w:t>products and tobacco smoke</w:t>
      </w:r>
      <w:r w:rsidRPr="00963A7B" w:rsidR="004C7D81">
        <w:t>.</w:t>
      </w:r>
      <w:r w:rsidR="00360370">
        <w:t xml:space="preserve"> </w:t>
      </w:r>
      <w:r w:rsidRPr="00963A7B" w:rsidR="004C7D81">
        <w:t xml:space="preserve">Asking such questions is critical to the objectives to this information collection, namely to determine </w:t>
      </w:r>
      <w:r w:rsidR="00963A7B">
        <w:t xml:space="preserve">a </w:t>
      </w:r>
      <w:r w:rsidRPr="00963A7B" w:rsidR="001238C6">
        <w:t xml:space="preserve">format </w:t>
      </w:r>
      <w:r w:rsidR="00963A7B">
        <w:t xml:space="preserve">that </w:t>
      </w:r>
      <w:r w:rsidRPr="00963A7B" w:rsidR="001238C6">
        <w:t>promotes greater public understanding of HPHCs in tobacco products</w:t>
      </w:r>
      <w:r w:rsidRPr="001376D0" w:rsidR="004C7D81">
        <w:t>.</w:t>
      </w:r>
    </w:p>
    <w:p w:rsidRPr="00EB6BBC" w:rsidR="004C7D81" w:rsidP="00850940" w:rsidRDefault="004C7D81">
      <w:pPr>
        <w:pStyle w:val="BodyText"/>
      </w:pPr>
      <w:r w:rsidRPr="00EB6BBC">
        <w:t xml:space="preserve">Assessing tobacco use is important to understand how </w:t>
      </w:r>
      <w:r w:rsidR="00F84072">
        <w:t xml:space="preserve">presentations of HPHCs in tobacco products </w:t>
      </w:r>
      <w:r w:rsidRPr="00EB6BBC">
        <w:t xml:space="preserve">work among different populations of those for whom the </w:t>
      </w:r>
      <w:r w:rsidR="00F043EC">
        <w:t>information</w:t>
      </w:r>
      <w:r w:rsidRPr="00EB6BBC">
        <w:t xml:space="preserve"> may be most relevant, namely, adult smokers, </w:t>
      </w:r>
      <w:r w:rsidR="00CC19F4">
        <w:t>youth</w:t>
      </w:r>
      <w:r w:rsidRPr="00EB6BBC">
        <w:t xml:space="preserve"> smokers, and youth who are susceptible to initiating smoking.</w:t>
      </w:r>
      <w:r w:rsidR="00360370">
        <w:t xml:space="preserve"> </w:t>
      </w:r>
      <w:r w:rsidRPr="00EB6BBC">
        <w:t>Some questions about tobacco use are potentially sensitive because tobacco use among adolescents under age 18 is illegal in a few states</w:t>
      </w:r>
      <w:r w:rsidR="00D81FCD">
        <w:t>,</w:t>
      </w:r>
      <w:r w:rsidRPr="00EB6BBC">
        <w:t xml:space="preserve"> and sales to </w:t>
      </w:r>
      <w:r w:rsidR="007B68DE">
        <w:t>individuals</w:t>
      </w:r>
      <w:r w:rsidRPr="00EB6BBC" w:rsidR="007B68DE">
        <w:t xml:space="preserve"> </w:t>
      </w:r>
      <w:r w:rsidRPr="00EB6BBC">
        <w:t xml:space="preserve">under age </w:t>
      </w:r>
      <w:r w:rsidR="007B68DE">
        <w:t>21</w:t>
      </w:r>
      <w:r w:rsidRPr="00EB6BBC" w:rsidR="007B68DE">
        <w:t xml:space="preserve"> </w:t>
      </w:r>
      <w:r w:rsidRPr="00EB6BBC">
        <w:t xml:space="preserve">are illegal </w:t>
      </w:r>
      <w:r w:rsidR="007B68DE">
        <w:t>nationwide</w:t>
      </w:r>
      <w:r w:rsidRPr="00EB6BBC">
        <w:t>.</w:t>
      </w:r>
      <w:r w:rsidR="00360370">
        <w:t xml:space="preserve"> </w:t>
      </w:r>
      <w:r w:rsidRPr="00EB6BBC">
        <w:t>These questions are essential to the objectives of this information collection.</w:t>
      </w:r>
      <w:r w:rsidR="00360370">
        <w:t xml:space="preserve"> </w:t>
      </w:r>
      <w:r w:rsidRPr="00EB6BBC">
        <w:t xml:space="preserve">Questions </w:t>
      </w:r>
      <w:r w:rsidR="00176EF3">
        <w:t xml:space="preserve">concerning lifestyle (e.g., smoking behavior, tobacco use) and </w:t>
      </w:r>
      <w:r w:rsidRPr="00EB6BBC">
        <w:t>demographic information, such as race and ethnicity, could be considered sensitive but not highly sensitive.</w:t>
      </w:r>
      <w:r w:rsidR="00360370">
        <w:t xml:space="preserve"> </w:t>
      </w:r>
      <w:r w:rsidRPr="00EB6BBC">
        <w:t>To address any concerns about inadvertent disclosure of sensitive information, respondents will be fully informed of the applicable privacy safeguards.</w:t>
      </w:r>
      <w:r w:rsidR="00360370">
        <w:t xml:space="preserve"> </w:t>
      </w:r>
      <w:r w:rsidRPr="00EB6BBC">
        <w:t xml:space="preserve">The informed consent protocol will apprise respondents that the </w:t>
      </w:r>
      <w:r w:rsidRPr="00EB6BBC" w:rsidR="00B15945">
        <w:t>topic</w:t>
      </w:r>
      <w:r w:rsidR="00B15945">
        <w:t xml:space="preserve"> of tobacco use</w:t>
      </w:r>
      <w:r w:rsidRPr="00EB6BBC" w:rsidR="00B15945">
        <w:t xml:space="preserve"> </w:t>
      </w:r>
      <w:r w:rsidRPr="00EB6BBC">
        <w:t xml:space="preserve">will be covered during the survey. This study includes </w:t>
      </w:r>
      <w:r w:rsidRPr="00EB6BBC" w:rsidR="00EB328A">
        <w:t>several</w:t>
      </w:r>
      <w:r w:rsidRPr="00EB6BBC">
        <w:t xml:space="preserve"> procedures and methodological characteristics that will minimize potential negative reactions to these types of questions, including the following:</w:t>
      </w:r>
    </w:p>
    <w:p w:rsidRPr="00EB6BBC" w:rsidR="004C7D81" w:rsidP="00850940" w:rsidRDefault="004C7D81">
      <w:pPr>
        <w:pStyle w:val="ListBullet"/>
      </w:pPr>
      <w:r w:rsidRPr="00EB6BBC">
        <w:t xml:space="preserve">Respondents will be informed that they need not answer any question </w:t>
      </w:r>
      <w:r w:rsidR="00353FCD">
        <w:t xml:space="preserve">on the survey </w:t>
      </w:r>
      <w:r w:rsidRPr="00EB6BBC">
        <w:t>that makes them feel uncomfortable or that they simply do not wish to answer.</w:t>
      </w:r>
    </w:p>
    <w:p w:rsidRPr="00EB6BBC" w:rsidR="004C7D81" w:rsidP="00850940" w:rsidRDefault="004C7D81">
      <w:pPr>
        <w:pStyle w:val="ListBullet"/>
      </w:pPr>
      <w:r w:rsidRPr="00EB6BBC">
        <w:t>Web surveys are entirely self-administered and maximize respondent privacy without the need to verbalize responses.</w:t>
      </w:r>
    </w:p>
    <w:p w:rsidRPr="00EB6BBC" w:rsidR="004C7D81" w:rsidP="00850940" w:rsidRDefault="004C7D81">
      <w:pPr>
        <w:pStyle w:val="ListBullet"/>
      </w:pPr>
      <w:r w:rsidRPr="00EB6BBC">
        <w:t xml:space="preserve">Participants will be provided with a specific toll-free phone number </w:t>
      </w:r>
      <w:r w:rsidR="00737956">
        <w:t>for</w:t>
      </w:r>
      <w:r w:rsidRPr="00EB6BBC">
        <w:t xml:space="preserve"> the RTI Office </w:t>
      </w:r>
      <w:r w:rsidR="00FD2EEA">
        <w:t xml:space="preserve">of Research Protection </w:t>
      </w:r>
      <w:r w:rsidRPr="00EB6BBC">
        <w:t xml:space="preserve">to </w:t>
      </w:r>
      <w:r w:rsidR="00737956">
        <w:t>contact</w:t>
      </w:r>
      <w:r w:rsidRPr="00EB6BBC" w:rsidR="00737956">
        <w:t xml:space="preserve"> </w:t>
      </w:r>
      <w:r w:rsidRPr="00EB6BBC">
        <w:t>in case they have a question or concern about the sensitive issue.</w:t>
      </w:r>
    </w:p>
    <w:p w:rsidR="004C6979" w:rsidP="00850940" w:rsidRDefault="00EB7538">
      <w:pPr>
        <w:pStyle w:val="Heading3"/>
      </w:pPr>
      <w:r w:rsidRPr="002A2B0F">
        <w:t>Estimates of Annualized Burden Hours and Costs</w:t>
      </w:r>
    </w:p>
    <w:p w:rsidRPr="00AD4C50" w:rsidR="00CF75B1" w:rsidP="00AD4C50" w:rsidRDefault="00CF75B1">
      <w:pPr>
        <w:pStyle w:val="Heading4"/>
      </w:pPr>
      <w:r w:rsidRPr="00AD4C50">
        <w:t xml:space="preserve">12a. </w:t>
      </w:r>
      <w:r w:rsidRPr="00AD4C50">
        <w:rPr>
          <w:i/>
        </w:rPr>
        <w:t>Annualized Hour Burden Estimate</w:t>
      </w:r>
    </w:p>
    <w:p w:rsidRPr="00127C20" w:rsidR="00AD4C50" w:rsidP="00850940" w:rsidRDefault="003D646C">
      <w:pPr>
        <w:pStyle w:val="BodyText"/>
      </w:pPr>
      <w:bookmarkStart w:name="_Hlk511986403" w:id="6"/>
      <w:r w:rsidRPr="00EA7F55">
        <w:t xml:space="preserve">Information </w:t>
      </w:r>
      <w:r w:rsidRPr="00880FF9">
        <w:t>will be collected</w:t>
      </w:r>
      <w:r w:rsidRPr="00EA7F55">
        <w:t xml:space="preserve"> through</w:t>
      </w:r>
      <w:r>
        <w:t xml:space="preserve"> self-administered, online</w:t>
      </w:r>
      <w:r w:rsidR="00270DB7">
        <w:t xml:space="preserve"> screeners and</w:t>
      </w:r>
      <w:r>
        <w:t xml:space="preserve"> surveys of </w:t>
      </w:r>
      <w:r w:rsidRPr="00EA7F55">
        <w:t>youth age</w:t>
      </w:r>
      <w:r>
        <w:t>d</w:t>
      </w:r>
      <w:r w:rsidRPr="00EA7F55">
        <w:t xml:space="preserve"> 1</w:t>
      </w:r>
      <w:r>
        <w:t>3</w:t>
      </w:r>
      <w:r w:rsidRPr="00EA7F55">
        <w:t xml:space="preserve"> to 17</w:t>
      </w:r>
      <w:r w:rsidR="007E518B">
        <w:t xml:space="preserve"> and</w:t>
      </w:r>
      <w:r w:rsidRPr="007E518B" w:rsidR="007E518B">
        <w:t xml:space="preserve"> </w:t>
      </w:r>
      <w:r w:rsidR="007E518B">
        <w:t xml:space="preserve">adults 18 </w:t>
      </w:r>
      <w:r w:rsidR="00D81FCD">
        <w:t xml:space="preserve">or </w:t>
      </w:r>
      <w:r w:rsidR="007E518B">
        <w:t>older</w:t>
      </w:r>
      <w:r w:rsidRPr="00127C20">
        <w:t>.</w:t>
      </w:r>
      <w:r w:rsidRPr="00127C20" w:rsidR="00CF75B1">
        <w:t xml:space="preserve"> Approximately </w:t>
      </w:r>
      <w:r w:rsidRPr="00127C20" w:rsidR="0016285A">
        <w:t>18,0</w:t>
      </w:r>
      <w:r w:rsidRPr="00127C20" w:rsidR="00CC19F4">
        <w:t xml:space="preserve">00 </w:t>
      </w:r>
      <w:r w:rsidRPr="00127C20" w:rsidR="00CF75B1">
        <w:t xml:space="preserve">respondents will complete a screener to determine eligibility for participation in the study, estimated to take approximately </w:t>
      </w:r>
      <w:r w:rsidRPr="00127C20" w:rsidR="00270DB7">
        <w:t xml:space="preserve">3 </w:t>
      </w:r>
      <w:r w:rsidRPr="00127C20" w:rsidR="00CF75B1">
        <w:t xml:space="preserve">minutes per response, for a total of </w:t>
      </w:r>
      <w:r w:rsidRPr="00127C20" w:rsidR="00127C20">
        <w:t>900</w:t>
      </w:r>
      <w:r w:rsidRPr="00127C20" w:rsidR="00CF75B1">
        <w:t xml:space="preserve"> hours for screening activities.</w:t>
      </w:r>
      <w:r w:rsidRPr="00127C20" w:rsidR="00360370">
        <w:t xml:space="preserve"> </w:t>
      </w:r>
      <w:r w:rsidRPr="00127C20" w:rsidR="00BB78A5">
        <w:t xml:space="preserve">We estimate that </w:t>
      </w:r>
      <w:r w:rsidRPr="00127C20" w:rsidR="00127C20">
        <w:t>4,950</w:t>
      </w:r>
      <w:r w:rsidRPr="00127C20" w:rsidR="00BB78A5">
        <w:t xml:space="preserve"> </w:t>
      </w:r>
      <w:r w:rsidRPr="00127C20" w:rsidR="00CF75B1">
        <w:t xml:space="preserve">respondents will complete the </w:t>
      </w:r>
      <w:r w:rsidRPr="00127C20" w:rsidR="00D8736C">
        <w:t>survey</w:t>
      </w:r>
      <w:r w:rsidRPr="00127C20" w:rsidR="009C6626">
        <w:t xml:space="preserve"> at </w:t>
      </w:r>
      <w:r w:rsidRPr="00127C20" w:rsidR="007E518B">
        <w:t>20</w:t>
      </w:r>
      <w:r w:rsidRPr="00127C20" w:rsidR="00CF75B1">
        <w:t xml:space="preserve"> minutes per response, for a total of </w:t>
      </w:r>
      <w:r w:rsidRPr="00127C20" w:rsidR="00127C20">
        <w:t xml:space="preserve">1,650 </w:t>
      </w:r>
      <w:r w:rsidRPr="00127C20" w:rsidR="00CF75B1">
        <w:t>hours for completion of both adult and adolescent samples.</w:t>
      </w:r>
      <w:r w:rsidRPr="00127C20" w:rsidR="00360370">
        <w:t xml:space="preserve"> </w:t>
      </w:r>
      <w:r w:rsidRPr="00127C20">
        <w:t>This data collection will take place one</w:t>
      </w:r>
      <w:r w:rsidRPr="00127C20" w:rsidR="00D81FCD">
        <w:t xml:space="preserve"> </w:t>
      </w:r>
      <w:r w:rsidRPr="00127C20">
        <w:t>time in 20</w:t>
      </w:r>
      <w:r w:rsidRPr="00127C20" w:rsidR="00316758">
        <w:t>20</w:t>
      </w:r>
      <w:r w:rsidRPr="00127C20" w:rsidR="00353FCD">
        <w:t>.</w:t>
      </w:r>
      <w:r w:rsidRPr="00127C20" w:rsidR="00360370">
        <w:t xml:space="preserve"> </w:t>
      </w:r>
      <w:r w:rsidRPr="00127C20">
        <w:t xml:space="preserve">Thus, the annualized response burden is estimated at </w:t>
      </w:r>
      <w:r w:rsidRPr="00127C20" w:rsidR="00127C20">
        <w:t>2,550</w:t>
      </w:r>
      <w:r w:rsidRPr="00127C20">
        <w:t xml:space="preserve"> hours. Table </w:t>
      </w:r>
      <w:r w:rsidRPr="00127C20" w:rsidR="0012756D">
        <w:t>1</w:t>
      </w:r>
      <w:r w:rsidRPr="00127C20">
        <w:t xml:space="preserve"> provides details about how this estimate was calculated.</w:t>
      </w:r>
    </w:p>
    <w:p w:rsidRPr="00127C20" w:rsidR="00CF75B1" w:rsidP="00AD4C50" w:rsidRDefault="00CF75B1">
      <w:pPr>
        <w:pStyle w:val="table-title"/>
      </w:pPr>
      <w:r w:rsidRPr="00127C20">
        <w:t>Table 1. Estimated Annual Reporting Burden</w:t>
      </w:r>
    </w:p>
    <w:tbl>
      <w:tblPr>
        <w:tblW w:w="9198" w:type="dxa"/>
        <w:tblBorders>
          <w:top w:val="single" w:color="000000" w:sz="12" w:space="0"/>
          <w:bottom w:val="single" w:color="000000" w:sz="12" w:space="0"/>
          <w:insideH w:val="single" w:color="000000" w:sz="6" w:space="0"/>
        </w:tblBorders>
        <w:tblLayout w:type="fixed"/>
        <w:tblLook w:val="0000" w:firstRow="0" w:lastRow="0" w:firstColumn="0" w:lastColumn="0" w:noHBand="0" w:noVBand="0"/>
      </w:tblPr>
      <w:tblGrid>
        <w:gridCol w:w="1818"/>
        <w:gridCol w:w="1620"/>
        <w:gridCol w:w="1534"/>
        <w:gridCol w:w="1436"/>
        <w:gridCol w:w="1513"/>
        <w:gridCol w:w="1277"/>
      </w:tblGrid>
      <w:tr w:rsidRPr="00127C20" w:rsidR="00CF75B1" w:rsidTr="00127C20">
        <w:trPr>
          <w:trHeight w:val="1101" w:hRule="exact"/>
        </w:trPr>
        <w:tc>
          <w:tcPr>
            <w:tcW w:w="1818" w:type="dxa"/>
            <w:shd w:val="clear" w:color="auto" w:fill="auto"/>
            <w:vAlign w:val="bottom"/>
          </w:tcPr>
          <w:p w:rsidRPr="00127C20" w:rsidR="00CF75B1" w:rsidP="00AD4C50" w:rsidRDefault="006E53BB">
            <w:pPr>
              <w:pStyle w:val="table-headers"/>
            </w:pPr>
            <w:r w:rsidRPr="00127C20">
              <w:t>Type of Respondent</w:t>
            </w:r>
          </w:p>
        </w:tc>
        <w:tc>
          <w:tcPr>
            <w:tcW w:w="1620" w:type="dxa"/>
            <w:shd w:val="clear" w:color="auto" w:fill="auto"/>
            <w:vAlign w:val="bottom"/>
          </w:tcPr>
          <w:p w:rsidRPr="00127C20" w:rsidR="00CF75B1" w:rsidP="00AD4C50" w:rsidRDefault="00CF75B1">
            <w:pPr>
              <w:pStyle w:val="table-headers"/>
            </w:pPr>
            <w:r w:rsidRPr="00127C20">
              <w:t>No. of Respondents</w:t>
            </w:r>
          </w:p>
        </w:tc>
        <w:tc>
          <w:tcPr>
            <w:tcW w:w="1534" w:type="dxa"/>
            <w:shd w:val="clear" w:color="auto" w:fill="auto"/>
            <w:vAlign w:val="bottom"/>
          </w:tcPr>
          <w:p w:rsidRPr="00127C20" w:rsidR="00CF75B1" w:rsidP="00AD4C50" w:rsidRDefault="000A6CE6">
            <w:pPr>
              <w:pStyle w:val="table-headers"/>
            </w:pPr>
            <w:r w:rsidRPr="00127C20">
              <w:t>No. of Responses per Respondent</w:t>
            </w:r>
          </w:p>
        </w:tc>
        <w:tc>
          <w:tcPr>
            <w:tcW w:w="1436" w:type="dxa"/>
            <w:shd w:val="clear" w:color="auto" w:fill="auto"/>
            <w:vAlign w:val="bottom"/>
          </w:tcPr>
          <w:p w:rsidRPr="00127C20" w:rsidR="00CF75B1" w:rsidP="00AD4C50" w:rsidRDefault="00CF75B1">
            <w:pPr>
              <w:pStyle w:val="table-headers"/>
            </w:pPr>
            <w:r w:rsidRPr="00127C20">
              <w:t>Total Annual Responses</w:t>
            </w:r>
          </w:p>
        </w:tc>
        <w:tc>
          <w:tcPr>
            <w:tcW w:w="1513" w:type="dxa"/>
            <w:shd w:val="clear" w:color="auto" w:fill="auto"/>
            <w:vAlign w:val="bottom"/>
          </w:tcPr>
          <w:p w:rsidRPr="00127C20" w:rsidR="00CF75B1" w:rsidP="00AD4C50" w:rsidRDefault="000A6CE6">
            <w:pPr>
              <w:pStyle w:val="table-headers"/>
            </w:pPr>
            <w:r w:rsidRPr="00127C20">
              <w:t>Average Burden per Response (</w:t>
            </w:r>
            <w:r w:rsidRPr="00127C20" w:rsidR="00CF75B1">
              <w:t>Hours</w:t>
            </w:r>
            <w:r w:rsidRPr="00127C20">
              <w:t>)</w:t>
            </w:r>
          </w:p>
        </w:tc>
        <w:tc>
          <w:tcPr>
            <w:tcW w:w="1277" w:type="dxa"/>
            <w:shd w:val="clear" w:color="auto" w:fill="auto"/>
            <w:vAlign w:val="bottom"/>
          </w:tcPr>
          <w:p w:rsidRPr="00127C20" w:rsidR="00CF75B1" w:rsidP="00AD4C50" w:rsidRDefault="00CF75B1">
            <w:pPr>
              <w:pStyle w:val="table-headers"/>
            </w:pPr>
            <w:r w:rsidRPr="00127C20">
              <w:t>Total Hours</w:t>
            </w:r>
          </w:p>
        </w:tc>
      </w:tr>
      <w:tr w:rsidRPr="00127C20" w:rsidR="007E518B" w:rsidTr="00127C20">
        <w:trPr>
          <w:trHeight w:val="432" w:hRule="exact"/>
        </w:trPr>
        <w:tc>
          <w:tcPr>
            <w:tcW w:w="1818" w:type="dxa"/>
            <w:shd w:val="clear" w:color="auto" w:fill="auto"/>
            <w:vAlign w:val="center"/>
          </w:tcPr>
          <w:p w:rsidRPr="00127C20" w:rsidR="007E518B" w:rsidP="00AD4C50" w:rsidRDefault="007E518B">
            <w:pPr>
              <w:pStyle w:val="table-text"/>
            </w:pPr>
            <w:r w:rsidRPr="00127C20">
              <w:t>Youth</w:t>
            </w:r>
            <w:r w:rsidRPr="00127C20" w:rsidR="00D81FCD">
              <w:t>—</w:t>
            </w:r>
            <w:r w:rsidRPr="00127C20">
              <w:t>Screener</w:t>
            </w:r>
          </w:p>
        </w:tc>
        <w:tc>
          <w:tcPr>
            <w:tcW w:w="1620" w:type="dxa"/>
            <w:shd w:val="clear" w:color="auto" w:fill="auto"/>
            <w:vAlign w:val="center"/>
          </w:tcPr>
          <w:p w:rsidRPr="00127C20" w:rsidR="007E518B" w:rsidP="00AD4C50" w:rsidRDefault="00127C20">
            <w:pPr>
              <w:pStyle w:val="table-text"/>
              <w:jc w:val="center"/>
            </w:pPr>
            <w:r w:rsidRPr="00127C20">
              <w:rPr>
                <w:color w:val="000000"/>
              </w:rPr>
              <w:t>6,000</w:t>
            </w:r>
          </w:p>
        </w:tc>
        <w:tc>
          <w:tcPr>
            <w:tcW w:w="1534" w:type="dxa"/>
            <w:shd w:val="clear" w:color="auto" w:fill="auto"/>
            <w:vAlign w:val="center"/>
          </w:tcPr>
          <w:p w:rsidRPr="00127C20" w:rsidR="007E518B" w:rsidP="00AD4C50" w:rsidRDefault="007E518B">
            <w:pPr>
              <w:pStyle w:val="table-text"/>
              <w:jc w:val="center"/>
            </w:pPr>
            <w:r w:rsidRPr="00127C20">
              <w:rPr>
                <w:color w:val="000000"/>
              </w:rPr>
              <w:t>1</w:t>
            </w:r>
          </w:p>
        </w:tc>
        <w:tc>
          <w:tcPr>
            <w:tcW w:w="1436" w:type="dxa"/>
            <w:shd w:val="clear" w:color="auto" w:fill="auto"/>
            <w:vAlign w:val="center"/>
          </w:tcPr>
          <w:p w:rsidRPr="00127C20" w:rsidR="007E518B" w:rsidP="00AD4C50" w:rsidRDefault="00127C20">
            <w:pPr>
              <w:pStyle w:val="table-text"/>
              <w:jc w:val="center"/>
            </w:pPr>
            <w:r w:rsidRPr="00127C20">
              <w:rPr>
                <w:color w:val="000000"/>
              </w:rPr>
              <w:t>6,000</w:t>
            </w:r>
          </w:p>
        </w:tc>
        <w:tc>
          <w:tcPr>
            <w:tcW w:w="1513" w:type="dxa"/>
            <w:shd w:val="clear" w:color="auto" w:fill="auto"/>
            <w:vAlign w:val="center"/>
          </w:tcPr>
          <w:p w:rsidRPr="00127C20" w:rsidR="007E518B" w:rsidP="00AD4C50" w:rsidRDefault="007E518B">
            <w:pPr>
              <w:pStyle w:val="table-text"/>
              <w:jc w:val="center"/>
            </w:pPr>
            <w:r w:rsidRPr="00127C20">
              <w:rPr>
                <w:color w:val="000000"/>
              </w:rPr>
              <w:t>0.05</w:t>
            </w:r>
          </w:p>
        </w:tc>
        <w:tc>
          <w:tcPr>
            <w:tcW w:w="1277" w:type="dxa"/>
            <w:shd w:val="clear" w:color="auto" w:fill="auto"/>
            <w:vAlign w:val="center"/>
          </w:tcPr>
          <w:p w:rsidRPr="00127C20" w:rsidR="007E518B" w:rsidP="00AD4C50" w:rsidRDefault="00127C20">
            <w:pPr>
              <w:pStyle w:val="table-text"/>
              <w:jc w:val="center"/>
            </w:pPr>
            <w:r w:rsidRPr="00127C20">
              <w:rPr>
                <w:color w:val="000000"/>
              </w:rPr>
              <w:t>300</w:t>
            </w:r>
          </w:p>
        </w:tc>
      </w:tr>
      <w:tr w:rsidRPr="00127C20" w:rsidR="007E518B" w:rsidTr="00127C20">
        <w:trPr>
          <w:trHeight w:val="432" w:hRule="exact"/>
        </w:trPr>
        <w:tc>
          <w:tcPr>
            <w:tcW w:w="1818" w:type="dxa"/>
            <w:shd w:val="clear" w:color="auto" w:fill="auto"/>
            <w:vAlign w:val="center"/>
          </w:tcPr>
          <w:p w:rsidRPr="00127C20" w:rsidR="007E518B" w:rsidP="00AD4C50" w:rsidRDefault="007E518B">
            <w:pPr>
              <w:pStyle w:val="table-text"/>
            </w:pPr>
            <w:r w:rsidRPr="00127C20">
              <w:t>Youth</w:t>
            </w:r>
            <w:r w:rsidRPr="00127C20" w:rsidR="00D81FCD">
              <w:t>—</w:t>
            </w:r>
            <w:r w:rsidRPr="00127C20">
              <w:t>Survey</w:t>
            </w:r>
          </w:p>
        </w:tc>
        <w:tc>
          <w:tcPr>
            <w:tcW w:w="1620" w:type="dxa"/>
            <w:shd w:val="clear" w:color="auto" w:fill="auto"/>
            <w:vAlign w:val="center"/>
          </w:tcPr>
          <w:p w:rsidRPr="00127C20" w:rsidR="007E518B" w:rsidP="00AD4C50" w:rsidRDefault="00127C20">
            <w:pPr>
              <w:pStyle w:val="table-text"/>
              <w:jc w:val="center"/>
            </w:pPr>
            <w:r w:rsidRPr="00127C20">
              <w:rPr>
                <w:color w:val="000000"/>
              </w:rPr>
              <w:t>1,650</w:t>
            </w:r>
          </w:p>
        </w:tc>
        <w:tc>
          <w:tcPr>
            <w:tcW w:w="1534" w:type="dxa"/>
            <w:shd w:val="clear" w:color="auto" w:fill="auto"/>
            <w:vAlign w:val="center"/>
          </w:tcPr>
          <w:p w:rsidRPr="00127C20" w:rsidR="007E518B" w:rsidP="00AD4C50" w:rsidRDefault="007E518B">
            <w:pPr>
              <w:pStyle w:val="table-text"/>
              <w:jc w:val="center"/>
            </w:pPr>
            <w:r w:rsidRPr="00127C20">
              <w:rPr>
                <w:color w:val="000000"/>
              </w:rPr>
              <w:t>1</w:t>
            </w:r>
          </w:p>
        </w:tc>
        <w:tc>
          <w:tcPr>
            <w:tcW w:w="1436" w:type="dxa"/>
            <w:shd w:val="clear" w:color="auto" w:fill="auto"/>
            <w:vAlign w:val="center"/>
          </w:tcPr>
          <w:p w:rsidRPr="00127C20" w:rsidR="007E518B" w:rsidP="00AD4C50" w:rsidRDefault="00127C20">
            <w:pPr>
              <w:pStyle w:val="table-text"/>
              <w:jc w:val="center"/>
            </w:pPr>
            <w:r w:rsidRPr="00127C20">
              <w:rPr>
                <w:color w:val="000000"/>
              </w:rPr>
              <w:t>1,650</w:t>
            </w:r>
          </w:p>
        </w:tc>
        <w:tc>
          <w:tcPr>
            <w:tcW w:w="1513" w:type="dxa"/>
            <w:shd w:val="clear" w:color="auto" w:fill="auto"/>
            <w:vAlign w:val="center"/>
          </w:tcPr>
          <w:p w:rsidRPr="00127C20" w:rsidR="007E518B" w:rsidP="00AD4C50" w:rsidRDefault="007E518B">
            <w:pPr>
              <w:pStyle w:val="table-text"/>
              <w:jc w:val="center"/>
            </w:pPr>
            <w:r w:rsidRPr="00127C20">
              <w:rPr>
                <w:color w:val="000000"/>
              </w:rPr>
              <w:t>0.33</w:t>
            </w:r>
          </w:p>
        </w:tc>
        <w:tc>
          <w:tcPr>
            <w:tcW w:w="1277" w:type="dxa"/>
            <w:shd w:val="clear" w:color="auto" w:fill="auto"/>
            <w:vAlign w:val="center"/>
          </w:tcPr>
          <w:p w:rsidRPr="00127C20" w:rsidR="007E518B" w:rsidP="00AD4C50" w:rsidRDefault="00127C20">
            <w:pPr>
              <w:pStyle w:val="table-text"/>
              <w:jc w:val="center"/>
            </w:pPr>
            <w:r w:rsidRPr="00127C20">
              <w:rPr>
                <w:color w:val="000000"/>
              </w:rPr>
              <w:t>550</w:t>
            </w:r>
          </w:p>
        </w:tc>
      </w:tr>
      <w:tr w:rsidRPr="00127C20" w:rsidR="007E518B" w:rsidTr="00127C20">
        <w:trPr>
          <w:trHeight w:val="432" w:hRule="exact"/>
        </w:trPr>
        <w:tc>
          <w:tcPr>
            <w:tcW w:w="7921" w:type="dxa"/>
            <w:gridSpan w:val="5"/>
            <w:shd w:val="clear" w:color="auto" w:fill="auto"/>
            <w:vAlign w:val="center"/>
          </w:tcPr>
          <w:p w:rsidRPr="00127C20" w:rsidR="007E518B" w:rsidP="00AD4C50" w:rsidRDefault="007E518B">
            <w:pPr>
              <w:pStyle w:val="table-text"/>
              <w:rPr>
                <w:b/>
                <w:i/>
              </w:rPr>
            </w:pPr>
            <w:r w:rsidRPr="00127C20">
              <w:rPr>
                <w:b/>
                <w:i/>
              </w:rPr>
              <w:t xml:space="preserve">Total </w:t>
            </w:r>
            <w:r w:rsidRPr="00127C20" w:rsidR="00D8736C">
              <w:rPr>
                <w:b/>
                <w:i/>
              </w:rPr>
              <w:t xml:space="preserve">Youth </w:t>
            </w:r>
            <w:r w:rsidRPr="00127C20">
              <w:rPr>
                <w:b/>
                <w:i/>
              </w:rPr>
              <w:t>Hours</w:t>
            </w:r>
          </w:p>
        </w:tc>
        <w:tc>
          <w:tcPr>
            <w:tcW w:w="1277" w:type="dxa"/>
            <w:shd w:val="clear" w:color="auto" w:fill="auto"/>
            <w:vAlign w:val="center"/>
          </w:tcPr>
          <w:p w:rsidRPr="00127C20" w:rsidR="007E518B" w:rsidP="00AD4C50" w:rsidRDefault="00127C20">
            <w:pPr>
              <w:pStyle w:val="table-text"/>
              <w:jc w:val="center"/>
              <w:rPr>
                <w:b/>
                <w:i/>
              </w:rPr>
            </w:pPr>
            <w:r w:rsidRPr="00127C20">
              <w:rPr>
                <w:b/>
                <w:i/>
              </w:rPr>
              <w:t>850</w:t>
            </w:r>
          </w:p>
        </w:tc>
      </w:tr>
      <w:tr w:rsidRPr="00127C20" w:rsidR="00D8736C" w:rsidTr="00127C20">
        <w:trPr>
          <w:trHeight w:val="432" w:hRule="exact"/>
        </w:trPr>
        <w:tc>
          <w:tcPr>
            <w:tcW w:w="1818" w:type="dxa"/>
            <w:shd w:val="clear" w:color="auto" w:fill="auto"/>
            <w:vAlign w:val="center"/>
          </w:tcPr>
          <w:p w:rsidRPr="00127C20" w:rsidR="00D8736C" w:rsidP="00AD4C50" w:rsidRDefault="00D8736C">
            <w:pPr>
              <w:pStyle w:val="table-text"/>
            </w:pPr>
            <w:r w:rsidRPr="00127C20">
              <w:t>Adult</w:t>
            </w:r>
            <w:r w:rsidRPr="00127C20" w:rsidR="00D81FCD">
              <w:t>—</w:t>
            </w:r>
            <w:r w:rsidRPr="00127C20">
              <w:t>Screener</w:t>
            </w:r>
            <w:r w:rsidRPr="00127C20" w:rsidDel="007E518B">
              <w:t xml:space="preserve"> </w:t>
            </w:r>
          </w:p>
        </w:tc>
        <w:tc>
          <w:tcPr>
            <w:tcW w:w="1620" w:type="dxa"/>
            <w:shd w:val="clear" w:color="auto" w:fill="auto"/>
            <w:vAlign w:val="center"/>
          </w:tcPr>
          <w:p w:rsidRPr="00127C20" w:rsidR="00D8736C" w:rsidP="00AD4C50" w:rsidRDefault="00127C20">
            <w:pPr>
              <w:pStyle w:val="table-text"/>
              <w:jc w:val="center"/>
            </w:pPr>
            <w:r w:rsidRPr="00127C20">
              <w:rPr>
                <w:color w:val="000000"/>
              </w:rPr>
              <w:t>12,000</w:t>
            </w:r>
          </w:p>
        </w:tc>
        <w:tc>
          <w:tcPr>
            <w:tcW w:w="1534" w:type="dxa"/>
            <w:shd w:val="clear" w:color="auto" w:fill="auto"/>
            <w:vAlign w:val="center"/>
          </w:tcPr>
          <w:p w:rsidRPr="00127C20" w:rsidR="00D8736C" w:rsidP="00AD4C50" w:rsidRDefault="00D8736C">
            <w:pPr>
              <w:pStyle w:val="table-text"/>
              <w:jc w:val="center"/>
            </w:pPr>
            <w:r w:rsidRPr="00127C20">
              <w:rPr>
                <w:color w:val="000000"/>
              </w:rPr>
              <w:t>1</w:t>
            </w:r>
          </w:p>
        </w:tc>
        <w:tc>
          <w:tcPr>
            <w:tcW w:w="1436" w:type="dxa"/>
            <w:shd w:val="clear" w:color="auto" w:fill="auto"/>
            <w:vAlign w:val="center"/>
          </w:tcPr>
          <w:p w:rsidRPr="00127C20" w:rsidR="00D8736C" w:rsidP="00AD4C50" w:rsidRDefault="00127C20">
            <w:pPr>
              <w:pStyle w:val="table-text"/>
              <w:jc w:val="center"/>
            </w:pPr>
            <w:r w:rsidRPr="00127C20">
              <w:rPr>
                <w:color w:val="000000"/>
              </w:rPr>
              <w:t>12,000</w:t>
            </w:r>
          </w:p>
        </w:tc>
        <w:tc>
          <w:tcPr>
            <w:tcW w:w="1513" w:type="dxa"/>
            <w:shd w:val="clear" w:color="auto" w:fill="auto"/>
            <w:vAlign w:val="center"/>
          </w:tcPr>
          <w:p w:rsidRPr="00127C20" w:rsidR="00D8736C" w:rsidP="00AD4C50" w:rsidRDefault="00D8736C">
            <w:pPr>
              <w:pStyle w:val="table-text"/>
              <w:jc w:val="center"/>
            </w:pPr>
            <w:r w:rsidRPr="00127C20">
              <w:rPr>
                <w:color w:val="000000"/>
              </w:rPr>
              <w:t>0.05</w:t>
            </w:r>
          </w:p>
        </w:tc>
        <w:tc>
          <w:tcPr>
            <w:tcW w:w="1277" w:type="dxa"/>
            <w:shd w:val="clear" w:color="auto" w:fill="auto"/>
            <w:vAlign w:val="center"/>
          </w:tcPr>
          <w:p w:rsidRPr="00127C20" w:rsidR="00D8736C" w:rsidP="00AD4C50" w:rsidRDefault="00127C20">
            <w:pPr>
              <w:pStyle w:val="table-text"/>
              <w:jc w:val="center"/>
            </w:pPr>
            <w:r w:rsidRPr="00127C20">
              <w:rPr>
                <w:color w:val="000000"/>
              </w:rPr>
              <w:t>600</w:t>
            </w:r>
          </w:p>
        </w:tc>
      </w:tr>
      <w:tr w:rsidRPr="00127C20" w:rsidR="00D8736C" w:rsidTr="00127C20">
        <w:trPr>
          <w:trHeight w:val="432" w:hRule="exact"/>
        </w:trPr>
        <w:tc>
          <w:tcPr>
            <w:tcW w:w="1818" w:type="dxa"/>
            <w:shd w:val="clear" w:color="auto" w:fill="auto"/>
            <w:vAlign w:val="center"/>
          </w:tcPr>
          <w:p w:rsidRPr="00127C20" w:rsidR="00D8736C" w:rsidP="00AD4C50" w:rsidRDefault="00D8736C">
            <w:pPr>
              <w:pStyle w:val="table-text"/>
            </w:pPr>
            <w:r w:rsidRPr="00127C20">
              <w:t>Adult</w:t>
            </w:r>
            <w:r w:rsidRPr="00127C20" w:rsidR="00D81FCD">
              <w:t>—</w:t>
            </w:r>
            <w:r w:rsidRPr="00127C20">
              <w:t>Survey</w:t>
            </w:r>
            <w:r w:rsidRPr="00127C20" w:rsidDel="007E518B">
              <w:t xml:space="preserve"> </w:t>
            </w:r>
          </w:p>
        </w:tc>
        <w:tc>
          <w:tcPr>
            <w:tcW w:w="1620" w:type="dxa"/>
            <w:shd w:val="clear" w:color="auto" w:fill="auto"/>
            <w:vAlign w:val="center"/>
          </w:tcPr>
          <w:p w:rsidRPr="00127C20" w:rsidR="00D8736C" w:rsidP="00AD4C50" w:rsidRDefault="00127C20">
            <w:pPr>
              <w:pStyle w:val="table-text"/>
              <w:jc w:val="center"/>
            </w:pPr>
            <w:r w:rsidRPr="00127C20">
              <w:rPr>
                <w:color w:val="000000"/>
              </w:rPr>
              <w:t>3,300</w:t>
            </w:r>
          </w:p>
        </w:tc>
        <w:tc>
          <w:tcPr>
            <w:tcW w:w="1534" w:type="dxa"/>
            <w:shd w:val="clear" w:color="auto" w:fill="auto"/>
            <w:vAlign w:val="center"/>
          </w:tcPr>
          <w:p w:rsidRPr="00127C20" w:rsidR="00D8736C" w:rsidP="00AD4C50" w:rsidRDefault="00D8736C">
            <w:pPr>
              <w:pStyle w:val="table-text"/>
              <w:jc w:val="center"/>
            </w:pPr>
            <w:r w:rsidRPr="00127C20">
              <w:rPr>
                <w:color w:val="000000"/>
              </w:rPr>
              <w:t>1</w:t>
            </w:r>
          </w:p>
        </w:tc>
        <w:tc>
          <w:tcPr>
            <w:tcW w:w="1436" w:type="dxa"/>
            <w:shd w:val="clear" w:color="auto" w:fill="auto"/>
            <w:vAlign w:val="center"/>
          </w:tcPr>
          <w:p w:rsidRPr="00127C20" w:rsidR="00D8736C" w:rsidP="00AD4C50" w:rsidRDefault="00127C20">
            <w:pPr>
              <w:pStyle w:val="table-text"/>
              <w:jc w:val="center"/>
            </w:pPr>
            <w:r w:rsidRPr="00127C20">
              <w:rPr>
                <w:color w:val="000000"/>
              </w:rPr>
              <w:t>3,300</w:t>
            </w:r>
          </w:p>
        </w:tc>
        <w:tc>
          <w:tcPr>
            <w:tcW w:w="1513" w:type="dxa"/>
            <w:shd w:val="clear" w:color="auto" w:fill="auto"/>
            <w:vAlign w:val="center"/>
          </w:tcPr>
          <w:p w:rsidRPr="00127C20" w:rsidR="00D8736C" w:rsidP="00AD4C50" w:rsidRDefault="00D8736C">
            <w:pPr>
              <w:pStyle w:val="table-text"/>
              <w:jc w:val="center"/>
            </w:pPr>
            <w:r w:rsidRPr="00127C20">
              <w:rPr>
                <w:color w:val="000000"/>
              </w:rPr>
              <w:t>0.33</w:t>
            </w:r>
          </w:p>
        </w:tc>
        <w:tc>
          <w:tcPr>
            <w:tcW w:w="1277" w:type="dxa"/>
            <w:shd w:val="clear" w:color="auto" w:fill="auto"/>
            <w:vAlign w:val="center"/>
          </w:tcPr>
          <w:p w:rsidRPr="00127C20" w:rsidR="00D8736C" w:rsidP="00AD4C50" w:rsidRDefault="00127C20">
            <w:pPr>
              <w:pStyle w:val="table-text"/>
              <w:jc w:val="center"/>
            </w:pPr>
            <w:r w:rsidRPr="00127C20">
              <w:rPr>
                <w:color w:val="000000"/>
              </w:rPr>
              <w:t>1,100</w:t>
            </w:r>
          </w:p>
        </w:tc>
      </w:tr>
      <w:tr w:rsidRPr="00127C20" w:rsidR="007E518B" w:rsidTr="00127C20">
        <w:trPr>
          <w:trHeight w:val="432" w:hRule="exact"/>
        </w:trPr>
        <w:tc>
          <w:tcPr>
            <w:tcW w:w="7921" w:type="dxa"/>
            <w:gridSpan w:val="5"/>
            <w:shd w:val="clear" w:color="auto" w:fill="auto"/>
            <w:vAlign w:val="center"/>
          </w:tcPr>
          <w:p w:rsidRPr="00127C20" w:rsidR="007E518B" w:rsidP="00AD4C50" w:rsidRDefault="007E518B">
            <w:pPr>
              <w:pStyle w:val="table-text"/>
              <w:rPr>
                <w:b/>
                <w:i/>
              </w:rPr>
            </w:pPr>
            <w:r w:rsidRPr="00127C20">
              <w:rPr>
                <w:b/>
                <w:i/>
              </w:rPr>
              <w:t xml:space="preserve">Total </w:t>
            </w:r>
            <w:r w:rsidRPr="00127C20" w:rsidR="00D8736C">
              <w:rPr>
                <w:b/>
                <w:i/>
              </w:rPr>
              <w:t>Adult</w:t>
            </w:r>
            <w:r w:rsidRPr="00127C20">
              <w:rPr>
                <w:b/>
                <w:i/>
              </w:rPr>
              <w:t xml:space="preserve"> Hours</w:t>
            </w:r>
          </w:p>
        </w:tc>
        <w:tc>
          <w:tcPr>
            <w:tcW w:w="1277" w:type="dxa"/>
            <w:shd w:val="clear" w:color="auto" w:fill="auto"/>
            <w:vAlign w:val="center"/>
          </w:tcPr>
          <w:p w:rsidRPr="00127C20" w:rsidR="007E518B" w:rsidP="00AD4C50" w:rsidRDefault="00127C20">
            <w:pPr>
              <w:pStyle w:val="table-text"/>
              <w:jc w:val="center"/>
              <w:rPr>
                <w:b/>
                <w:i/>
              </w:rPr>
            </w:pPr>
            <w:r w:rsidRPr="00127C20">
              <w:rPr>
                <w:b/>
                <w:i/>
              </w:rPr>
              <w:t>1,700</w:t>
            </w:r>
          </w:p>
        </w:tc>
      </w:tr>
      <w:tr w:rsidRPr="004E3C59" w:rsidR="007E518B" w:rsidTr="00127C20">
        <w:trPr>
          <w:trHeight w:val="432" w:hRule="exact"/>
        </w:trPr>
        <w:tc>
          <w:tcPr>
            <w:tcW w:w="7921" w:type="dxa"/>
            <w:gridSpan w:val="5"/>
            <w:shd w:val="clear" w:color="auto" w:fill="auto"/>
            <w:vAlign w:val="center"/>
          </w:tcPr>
          <w:p w:rsidRPr="004E3C59" w:rsidR="007E518B" w:rsidP="00AD4C50" w:rsidRDefault="007E518B">
            <w:pPr>
              <w:pStyle w:val="table-text"/>
              <w:rPr>
                <w:b/>
              </w:rPr>
            </w:pPr>
            <w:r w:rsidRPr="004E3C59">
              <w:rPr>
                <w:b/>
              </w:rPr>
              <w:t>Total Burden Hours</w:t>
            </w:r>
          </w:p>
        </w:tc>
        <w:tc>
          <w:tcPr>
            <w:tcW w:w="1277" w:type="dxa"/>
            <w:shd w:val="clear" w:color="auto" w:fill="auto"/>
            <w:vAlign w:val="center"/>
          </w:tcPr>
          <w:p w:rsidRPr="004E3C59" w:rsidR="007E518B" w:rsidP="00AD4C50" w:rsidRDefault="00127C20">
            <w:pPr>
              <w:pStyle w:val="table-text"/>
              <w:jc w:val="center"/>
              <w:rPr>
                <w:b/>
              </w:rPr>
            </w:pPr>
            <w:r w:rsidRPr="004E3C59">
              <w:rPr>
                <w:b/>
              </w:rPr>
              <w:t>2,550</w:t>
            </w:r>
          </w:p>
        </w:tc>
      </w:tr>
      <w:bookmarkEnd w:id="6"/>
    </w:tbl>
    <w:p w:rsidRPr="004E3C59" w:rsidR="00DC76C7" w:rsidP="00AD4C50" w:rsidRDefault="00DC76C7">
      <w:pPr>
        <w:pStyle w:val="table-sourcestd"/>
      </w:pPr>
    </w:p>
    <w:p w:rsidRPr="004E3C59" w:rsidR="00A93ED9" w:rsidP="00AD4C50" w:rsidRDefault="00A93ED9">
      <w:pPr>
        <w:pStyle w:val="Heading4"/>
      </w:pPr>
      <w:r w:rsidRPr="004E3C59">
        <w:t xml:space="preserve">12b. </w:t>
      </w:r>
      <w:r w:rsidRPr="004E3C59" w:rsidR="00411D11">
        <w:rPr>
          <w:i/>
        </w:rPr>
        <w:t>Annualized Cost Burden Estimate</w:t>
      </w:r>
    </w:p>
    <w:p w:rsidRPr="004E3C59" w:rsidR="00AD4C50" w:rsidP="00850940" w:rsidRDefault="006B398A">
      <w:pPr>
        <w:pStyle w:val="BodyText"/>
      </w:pPr>
      <w:r w:rsidRPr="004E3C59">
        <w:t>The estimated value of respondents’ time for participating in the information collection is $</w:t>
      </w:r>
      <w:r w:rsidRPr="004E3C59" w:rsidR="004E3C59">
        <w:t>43,953.50</w:t>
      </w:r>
      <w:r w:rsidRPr="004E3C59">
        <w:t xml:space="preserve">. </w:t>
      </w:r>
      <w:r w:rsidRPr="004E3C59" w:rsidR="006E53BB">
        <w:t xml:space="preserve">This </w:t>
      </w:r>
      <w:r w:rsidRPr="004E3C59" w:rsidR="00D81FCD">
        <w:t xml:space="preserve">value was </w:t>
      </w:r>
      <w:r w:rsidRPr="004E3C59" w:rsidR="006E53BB">
        <w:t>calculated by multiplying the burden hours for adults</w:t>
      </w:r>
      <w:r w:rsidRPr="004E3C59" w:rsidR="0032021A">
        <w:t xml:space="preserve"> (18+)</w:t>
      </w:r>
      <w:r w:rsidRPr="004E3C59">
        <w:t xml:space="preserve"> and youth</w:t>
      </w:r>
      <w:r w:rsidRPr="004E3C59" w:rsidR="0032021A">
        <w:t xml:space="preserve"> (13</w:t>
      </w:r>
      <w:r w:rsidRPr="004E3C59" w:rsidR="00D81FCD">
        <w:t xml:space="preserve"> to </w:t>
      </w:r>
      <w:r w:rsidRPr="004E3C59" w:rsidR="0032021A">
        <w:t>17)</w:t>
      </w:r>
      <w:r w:rsidRPr="004E3C59">
        <w:t xml:space="preserve"> by the </w:t>
      </w:r>
      <w:r w:rsidRPr="004E3C59" w:rsidR="006E53BB">
        <w:t>2015 mean hourly wage as reported by the U.S. Department of Labor, Bureau of Labor Statistics (</w:t>
      </w:r>
      <w:hyperlink w:history="1" w:anchor="00-0000" r:id="rId9">
        <w:r w:rsidRPr="004E3C59" w:rsidR="006E53BB">
          <w:rPr>
            <w:rStyle w:val="Hyperlink"/>
          </w:rPr>
          <w:t>$2</w:t>
        </w:r>
        <w:r w:rsidRPr="004E3C59" w:rsidR="006E53BB">
          <w:rPr>
            <w:rStyle w:val="Hyperlink"/>
          </w:rPr>
          <w:t>2</w:t>
        </w:r>
        <w:r w:rsidRPr="004E3C59" w:rsidR="006E53BB">
          <w:rPr>
            <w:rStyle w:val="Hyperlink"/>
          </w:rPr>
          <w:t>.23</w:t>
        </w:r>
      </w:hyperlink>
      <w:r w:rsidRPr="004E3C59" w:rsidR="006E53BB">
        <w:t xml:space="preserve">) </w:t>
      </w:r>
      <w:r w:rsidRPr="004E3C59">
        <w:t>and the fed</w:t>
      </w:r>
      <w:r w:rsidRPr="004E3C59" w:rsidR="006E53BB">
        <w:t>eral hourly minimum wage (</w:t>
      </w:r>
      <w:hyperlink w:history="1" r:id="rId10">
        <w:r w:rsidRPr="004E3C59" w:rsidR="006E53BB">
          <w:rPr>
            <w:rStyle w:val="Hyperlink"/>
          </w:rPr>
          <w:t>$7.25</w:t>
        </w:r>
      </w:hyperlink>
      <w:r w:rsidRPr="004E3C59" w:rsidR="006E53BB">
        <w:t>)</w:t>
      </w:r>
      <w:r w:rsidRPr="004E3C59">
        <w:t>, respectively</w:t>
      </w:r>
      <w:r w:rsidRPr="004E3C59" w:rsidR="006E53BB">
        <w:t xml:space="preserve">. </w:t>
      </w:r>
      <w:r w:rsidRPr="004E3C59">
        <w:t>The annualized cost burden estimate is summarized in Table 2.</w:t>
      </w:r>
    </w:p>
    <w:p w:rsidRPr="004E3C59" w:rsidR="006E53BB" w:rsidP="00AD4C50" w:rsidRDefault="006E53BB">
      <w:pPr>
        <w:pStyle w:val="table-title"/>
      </w:pPr>
      <w:r w:rsidRPr="004E3C59">
        <w:t>Table 2. Estimated Annualized Cost</w:t>
      </w:r>
    </w:p>
    <w:tbl>
      <w:tblPr>
        <w:tblW w:w="9360" w:type="dxa"/>
        <w:tblBorders>
          <w:top w:val="single" w:color="000000" w:sz="12" w:space="0"/>
          <w:bottom w:val="single" w:color="000000" w:sz="12" w:space="0"/>
          <w:insideH w:val="single" w:color="000000" w:sz="6" w:space="0"/>
        </w:tblBorders>
        <w:tblLayout w:type="fixed"/>
        <w:tblLook w:val="0000" w:firstRow="0" w:lastRow="0" w:firstColumn="0" w:lastColumn="0" w:noHBand="0" w:noVBand="0"/>
      </w:tblPr>
      <w:tblGrid>
        <w:gridCol w:w="2268"/>
        <w:gridCol w:w="2364"/>
        <w:gridCol w:w="2046"/>
        <w:gridCol w:w="2682"/>
      </w:tblGrid>
      <w:tr w:rsidRPr="004E3C59" w:rsidR="006E53BB" w:rsidTr="00AD4C50">
        <w:trPr>
          <w:cantSplit/>
        </w:trPr>
        <w:tc>
          <w:tcPr>
            <w:tcW w:w="2268" w:type="dxa"/>
            <w:shd w:val="clear" w:color="auto" w:fill="auto"/>
            <w:vAlign w:val="bottom"/>
          </w:tcPr>
          <w:p w:rsidRPr="004E3C59" w:rsidR="006E53BB" w:rsidP="00AD4C50" w:rsidRDefault="006E53BB">
            <w:pPr>
              <w:pStyle w:val="table-headers"/>
              <w:spacing w:before="60" w:after="60"/>
            </w:pPr>
            <w:r w:rsidRPr="004E3C59">
              <w:t>Type of Respondent</w:t>
            </w:r>
          </w:p>
        </w:tc>
        <w:tc>
          <w:tcPr>
            <w:tcW w:w="2364" w:type="dxa"/>
            <w:shd w:val="clear" w:color="auto" w:fill="auto"/>
            <w:vAlign w:val="bottom"/>
          </w:tcPr>
          <w:p w:rsidRPr="004E3C59" w:rsidR="006E53BB" w:rsidP="00AD4C50" w:rsidRDefault="006E53BB">
            <w:pPr>
              <w:pStyle w:val="table-headers"/>
              <w:spacing w:before="60" w:after="60"/>
            </w:pPr>
            <w:r w:rsidRPr="004E3C59">
              <w:t xml:space="preserve">Total </w:t>
            </w:r>
            <w:r w:rsidRPr="004E3C59" w:rsidR="000A6CE6">
              <w:t xml:space="preserve">Burden </w:t>
            </w:r>
            <w:r w:rsidRPr="004E3C59">
              <w:t>Hours</w:t>
            </w:r>
          </w:p>
        </w:tc>
        <w:tc>
          <w:tcPr>
            <w:tcW w:w="2046" w:type="dxa"/>
            <w:shd w:val="clear" w:color="auto" w:fill="auto"/>
            <w:vAlign w:val="bottom"/>
          </w:tcPr>
          <w:p w:rsidRPr="004E3C59" w:rsidR="006E53BB" w:rsidP="00AD4C50" w:rsidRDefault="006E53BB">
            <w:pPr>
              <w:pStyle w:val="table-headers"/>
              <w:spacing w:before="60" w:after="60"/>
            </w:pPr>
            <w:r w:rsidRPr="004E3C59">
              <w:t>Hour</w:t>
            </w:r>
            <w:r w:rsidRPr="004E3C59" w:rsidR="000A6CE6">
              <w:t>ly Wage Rate</w:t>
            </w:r>
          </w:p>
        </w:tc>
        <w:tc>
          <w:tcPr>
            <w:tcW w:w="2682" w:type="dxa"/>
            <w:shd w:val="clear" w:color="auto" w:fill="auto"/>
            <w:vAlign w:val="bottom"/>
          </w:tcPr>
          <w:p w:rsidRPr="004E3C59" w:rsidR="006E53BB" w:rsidP="00AD4C50" w:rsidRDefault="006E53BB">
            <w:pPr>
              <w:pStyle w:val="table-headers"/>
              <w:spacing w:before="60" w:after="60"/>
            </w:pPr>
            <w:r w:rsidRPr="004E3C59">
              <w:t xml:space="preserve">Total </w:t>
            </w:r>
            <w:r w:rsidRPr="004E3C59" w:rsidR="000A6CE6">
              <w:t xml:space="preserve">Respondent </w:t>
            </w:r>
            <w:r w:rsidRPr="004E3C59">
              <w:t>Cost</w:t>
            </w:r>
            <w:r w:rsidRPr="004E3C59" w:rsidR="000A6CE6">
              <w:t>s</w:t>
            </w:r>
          </w:p>
        </w:tc>
      </w:tr>
      <w:tr w:rsidRPr="004E3C59" w:rsidR="00A52258" w:rsidTr="00AD4C50">
        <w:trPr>
          <w:cantSplit/>
        </w:trPr>
        <w:tc>
          <w:tcPr>
            <w:tcW w:w="2268" w:type="dxa"/>
            <w:shd w:val="clear" w:color="auto" w:fill="auto"/>
            <w:vAlign w:val="center"/>
          </w:tcPr>
          <w:p w:rsidRPr="004E3C59" w:rsidR="00A52258" w:rsidP="00AD4C50" w:rsidRDefault="00A52258">
            <w:pPr>
              <w:pStyle w:val="table-text"/>
              <w:spacing w:before="60" w:after="60"/>
            </w:pPr>
            <w:r w:rsidRPr="004E3C59">
              <w:t xml:space="preserve">Total </w:t>
            </w:r>
            <w:r w:rsidRPr="004E3C59" w:rsidR="0032021A">
              <w:t>Youth (13</w:t>
            </w:r>
            <w:r w:rsidRPr="004E3C59" w:rsidR="00D81FCD">
              <w:t>–</w:t>
            </w:r>
            <w:r w:rsidRPr="004E3C59" w:rsidR="0032021A">
              <w:t>17)</w:t>
            </w:r>
          </w:p>
        </w:tc>
        <w:tc>
          <w:tcPr>
            <w:tcW w:w="2364" w:type="dxa"/>
            <w:shd w:val="clear" w:color="auto" w:fill="auto"/>
            <w:vAlign w:val="center"/>
          </w:tcPr>
          <w:p w:rsidRPr="004E3C59" w:rsidR="00A52258" w:rsidP="00AD4C50" w:rsidRDefault="000F77C8">
            <w:pPr>
              <w:pStyle w:val="table-text"/>
              <w:spacing w:before="60" w:after="60"/>
              <w:jc w:val="center"/>
            </w:pPr>
            <w:r w:rsidRPr="004E3C59">
              <w:t>850</w:t>
            </w:r>
          </w:p>
        </w:tc>
        <w:tc>
          <w:tcPr>
            <w:tcW w:w="2046" w:type="dxa"/>
            <w:shd w:val="clear" w:color="auto" w:fill="auto"/>
            <w:vAlign w:val="center"/>
          </w:tcPr>
          <w:p w:rsidRPr="004E3C59" w:rsidR="00A52258" w:rsidP="00AD4C50" w:rsidRDefault="0032021A">
            <w:pPr>
              <w:pStyle w:val="table-text"/>
              <w:spacing w:before="60" w:after="60"/>
              <w:jc w:val="center"/>
            </w:pPr>
            <w:r w:rsidRPr="004E3C59">
              <w:t>$</w:t>
            </w:r>
            <w:r w:rsidRPr="004E3C59" w:rsidR="00A52258">
              <w:t>7.25</w:t>
            </w:r>
          </w:p>
        </w:tc>
        <w:tc>
          <w:tcPr>
            <w:tcW w:w="2682" w:type="dxa"/>
            <w:shd w:val="clear" w:color="auto" w:fill="auto"/>
            <w:vAlign w:val="center"/>
          </w:tcPr>
          <w:p w:rsidRPr="004E3C59" w:rsidR="00A52258" w:rsidP="00AD4C50" w:rsidRDefault="00A52258">
            <w:pPr>
              <w:pStyle w:val="table-text"/>
              <w:spacing w:before="60" w:after="60"/>
              <w:jc w:val="center"/>
            </w:pPr>
            <w:r w:rsidRPr="004E3C59">
              <w:t>$</w:t>
            </w:r>
            <w:r w:rsidRPr="004E3C59" w:rsidR="004E3C59">
              <w:t>6,162.50</w:t>
            </w:r>
          </w:p>
        </w:tc>
      </w:tr>
      <w:tr w:rsidRPr="004E3C59" w:rsidR="00A52258" w:rsidTr="00AD4C50">
        <w:trPr>
          <w:cantSplit/>
        </w:trPr>
        <w:tc>
          <w:tcPr>
            <w:tcW w:w="2268" w:type="dxa"/>
            <w:shd w:val="clear" w:color="auto" w:fill="auto"/>
            <w:vAlign w:val="center"/>
          </w:tcPr>
          <w:p w:rsidRPr="004E3C59" w:rsidR="00A52258" w:rsidP="00AD4C50" w:rsidRDefault="00A52258">
            <w:pPr>
              <w:pStyle w:val="table-text"/>
              <w:spacing w:before="60" w:after="60"/>
            </w:pPr>
            <w:r w:rsidRPr="004E3C59">
              <w:t xml:space="preserve">Total </w:t>
            </w:r>
            <w:r w:rsidRPr="004E3C59" w:rsidR="0032021A">
              <w:t>Adults (18+)</w:t>
            </w:r>
            <w:r w:rsidRPr="004E3C59">
              <w:t xml:space="preserve"> </w:t>
            </w:r>
          </w:p>
        </w:tc>
        <w:tc>
          <w:tcPr>
            <w:tcW w:w="2364" w:type="dxa"/>
            <w:shd w:val="clear" w:color="auto" w:fill="auto"/>
            <w:vAlign w:val="center"/>
          </w:tcPr>
          <w:p w:rsidRPr="004E3C59" w:rsidR="00A52258" w:rsidP="00AD4C50" w:rsidRDefault="004E3C59">
            <w:pPr>
              <w:pStyle w:val="table-text"/>
              <w:spacing w:before="60" w:after="60"/>
              <w:jc w:val="center"/>
            </w:pPr>
            <w:r w:rsidRPr="004E3C59">
              <w:t>1,700</w:t>
            </w:r>
          </w:p>
        </w:tc>
        <w:tc>
          <w:tcPr>
            <w:tcW w:w="2046" w:type="dxa"/>
            <w:shd w:val="clear" w:color="auto" w:fill="auto"/>
            <w:vAlign w:val="center"/>
          </w:tcPr>
          <w:p w:rsidRPr="004E3C59" w:rsidR="00A52258" w:rsidP="00AD4C50" w:rsidRDefault="0032021A">
            <w:pPr>
              <w:pStyle w:val="table-text"/>
              <w:spacing w:before="60" w:after="60"/>
              <w:jc w:val="center"/>
            </w:pPr>
            <w:r w:rsidRPr="004E3C59">
              <w:t>$</w:t>
            </w:r>
            <w:r w:rsidRPr="004E3C59" w:rsidR="00A52258">
              <w:t>22.23</w:t>
            </w:r>
          </w:p>
        </w:tc>
        <w:tc>
          <w:tcPr>
            <w:tcW w:w="2682" w:type="dxa"/>
            <w:shd w:val="clear" w:color="auto" w:fill="auto"/>
            <w:vAlign w:val="center"/>
          </w:tcPr>
          <w:p w:rsidRPr="004E3C59" w:rsidR="00A52258" w:rsidP="00AD4C50" w:rsidRDefault="00A52258">
            <w:pPr>
              <w:pStyle w:val="table-text"/>
              <w:spacing w:before="60" w:after="60"/>
              <w:jc w:val="center"/>
            </w:pPr>
            <w:r w:rsidRPr="004E3C59">
              <w:t>$</w:t>
            </w:r>
            <w:r w:rsidRPr="004E3C59" w:rsidR="004E3C59">
              <w:t>37,791</w:t>
            </w:r>
          </w:p>
        </w:tc>
      </w:tr>
      <w:tr w:rsidRPr="004E3C59" w:rsidR="006E53BB" w:rsidTr="00AD4C50">
        <w:trPr>
          <w:cantSplit/>
        </w:trPr>
        <w:tc>
          <w:tcPr>
            <w:tcW w:w="2268" w:type="dxa"/>
            <w:shd w:val="clear" w:color="auto" w:fill="auto"/>
            <w:vAlign w:val="center"/>
          </w:tcPr>
          <w:p w:rsidRPr="004E3C59" w:rsidR="006E53BB" w:rsidP="00AD4C50" w:rsidRDefault="006E53BB">
            <w:pPr>
              <w:pStyle w:val="table-text"/>
              <w:spacing w:before="60" w:after="60"/>
              <w:rPr>
                <w:b/>
              </w:rPr>
            </w:pPr>
            <w:r w:rsidRPr="004E3C59">
              <w:rPr>
                <w:b/>
              </w:rPr>
              <w:t xml:space="preserve">Total </w:t>
            </w:r>
          </w:p>
        </w:tc>
        <w:tc>
          <w:tcPr>
            <w:tcW w:w="2364" w:type="dxa"/>
            <w:shd w:val="clear" w:color="auto" w:fill="auto"/>
            <w:vAlign w:val="center"/>
          </w:tcPr>
          <w:p w:rsidRPr="004E3C59" w:rsidR="006E53BB" w:rsidP="00AD4C50" w:rsidRDefault="004E3C59">
            <w:pPr>
              <w:pStyle w:val="table-text"/>
              <w:spacing w:before="60" w:after="60"/>
              <w:jc w:val="center"/>
              <w:rPr>
                <w:b/>
              </w:rPr>
            </w:pPr>
            <w:r w:rsidRPr="004E3C59">
              <w:rPr>
                <w:b/>
              </w:rPr>
              <w:t>2,550</w:t>
            </w:r>
          </w:p>
        </w:tc>
        <w:tc>
          <w:tcPr>
            <w:tcW w:w="2046" w:type="dxa"/>
            <w:shd w:val="clear" w:color="auto" w:fill="auto"/>
            <w:vAlign w:val="center"/>
          </w:tcPr>
          <w:p w:rsidRPr="004E3C59" w:rsidR="006E53BB" w:rsidP="00AD4C50" w:rsidRDefault="006E53BB">
            <w:pPr>
              <w:pStyle w:val="table-text"/>
              <w:spacing w:before="60" w:after="60"/>
              <w:jc w:val="center"/>
              <w:rPr>
                <w:b/>
              </w:rPr>
            </w:pPr>
          </w:p>
        </w:tc>
        <w:tc>
          <w:tcPr>
            <w:tcW w:w="2682" w:type="dxa"/>
            <w:shd w:val="clear" w:color="auto" w:fill="auto"/>
            <w:vAlign w:val="center"/>
          </w:tcPr>
          <w:p w:rsidRPr="004E3C59" w:rsidR="006E53BB" w:rsidP="00AD4C50" w:rsidRDefault="0032021A">
            <w:pPr>
              <w:pStyle w:val="table-text"/>
              <w:spacing w:before="60" w:after="60"/>
              <w:jc w:val="center"/>
              <w:rPr>
                <w:b/>
              </w:rPr>
            </w:pPr>
            <w:r w:rsidRPr="004E3C59">
              <w:rPr>
                <w:b/>
              </w:rPr>
              <w:t>$</w:t>
            </w:r>
            <w:r w:rsidRPr="004E3C59" w:rsidR="004E3C59">
              <w:rPr>
                <w:b/>
              </w:rPr>
              <w:t>43,953.50</w:t>
            </w:r>
          </w:p>
        </w:tc>
      </w:tr>
    </w:tbl>
    <w:p w:rsidRPr="004E3C59" w:rsidR="00662FE4" w:rsidP="00AD4C50" w:rsidRDefault="00662FE4">
      <w:pPr>
        <w:pStyle w:val="table-sourcestd"/>
      </w:pPr>
    </w:p>
    <w:p w:rsidRPr="004E3C59" w:rsidR="004C7D81" w:rsidP="00850940" w:rsidRDefault="00EB7538">
      <w:pPr>
        <w:pStyle w:val="Heading3"/>
      </w:pPr>
      <w:r w:rsidRPr="004E3C59">
        <w:t>Estimates of Other Total Annual Cost</w:t>
      </w:r>
      <w:r w:rsidRPr="004E3C59" w:rsidR="007C75B1">
        <w:t>s</w:t>
      </w:r>
      <w:r w:rsidRPr="004E3C59">
        <w:t xml:space="preserve"> to Respondents and</w:t>
      </w:r>
      <w:r w:rsidRPr="004E3C59" w:rsidR="00350523">
        <w:t>/or Recordkeepers/Capital Costs</w:t>
      </w:r>
    </w:p>
    <w:p w:rsidRPr="004E3C59" w:rsidR="004C7D81" w:rsidP="00850940" w:rsidRDefault="008255C1">
      <w:pPr>
        <w:pStyle w:val="BodyText"/>
        <w:rPr>
          <w:u w:val="single"/>
        </w:rPr>
      </w:pPr>
      <w:r w:rsidRPr="004E3C59">
        <w:t>N</w:t>
      </w:r>
      <w:r w:rsidRPr="004E3C59" w:rsidR="004C7D81">
        <w:t>o capital, start-up, operating</w:t>
      </w:r>
      <w:r w:rsidRPr="004E3C59" w:rsidR="00D81FCD">
        <w:t>,</w:t>
      </w:r>
      <w:r w:rsidRPr="004E3C59" w:rsidR="004C7D81">
        <w:t xml:space="preserve"> or maintenance costs </w:t>
      </w:r>
      <w:r w:rsidRPr="004E3C59">
        <w:t xml:space="preserve">are </w:t>
      </w:r>
      <w:r w:rsidRPr="004E3C59" w:rsidR="004C7D81">
        <w:t>associated with this information collection</w:t>
      </w:r>
      <w:r w:rsidRPr="004E3C59" w:rsidR="00A13B87">
        <w:t>.</w:t>
      </w:r>
    </w:p>
    <w:p w:rsidRPr="004E3C59" w:rsidR="004C6979" w:rsidP="00850940" w:rsidRDefault="00EB7538">
      <w:pPr>
        <w:pStyle w:val="Heading3"/>
      </w:pPr>
      <w:r w:rsidRPr="004E3C59">
        <w:t>Annualized Cost to the Federal Government</w:t>
      </w:r>
    </w:p>
    <w:p w:rsidRPr="004E3C59" w:rsidR="00AD4C50" w:rsidP="00850940" w:rsidRDefault="00722A3B">
      <w:pPr>
        <w:pStyle w:val="BodyText"/>
      </w:pPr>
      <w:r w:rsidRPr="004E3C59">
        <w:t>The total estimated cost to the Federal Government for this study is $</w:t>
      </w:r>
      <w:r w:rsidR="004E3C59">
        <w:t>244,623.60</w:t>
      </w:r>
      <w:r w:rsidRPr="004E3C59">
        <w:t xml:space="preserve"> as shown in Table 3.</w:t>
      </w:r>
      <w:r w:rsidRPr="004E3C59" w:rsidR="00360370">
        <w:t xml:space="preserve"> </w:t>
      </w:r>
      <w:r w:rsidRPr="004E3C59">
        <w:t xml:space="preserve">Contractor </w:t>
      </w:r>
      <w:r w:rsidRPr="004E3C59" w:rsidR="005E2E7D">
        <w:t>costs attributable to</w:t>
      </w:r>
      <w:r w:rsidRPr="004E3C59" w:rsidR="00C625E8">
        <w:t xml:space="preserve"> this information collection </w:t>
      </w:r>
      <w:r w:rsidRPr="004E3C59">
        <w:t xml:space="preserve">are </w:t>
      </w:r>
      <w:r w:rsidRPr="004E3C59" w:rsidR="005E2E7D">
        <w:t>$</w:t>
      </w:r>
      <w:r w:rsidRPr="004E3C59" w:rsidR="004E3C59">
        <w:t>173,917.60</w:t>
      </w:r>
      <w:r w:rsidRPr="004E3C59">
        <w:t>.</w:t>
      </w:r>
      <w:r w:rsidRPr="004E3C59" w:rsidR="005E2E7D">
        <w:t xml:space="preserve"> </w:t>
      </w:r>
      <w:r w:rsidRPr="004E3C59">
        <w:t xml:space="preserve">This includes costs to program the </w:t>
      </w:r>
      <w:r w:rsidRPr="004E3C59" w:rsidR="00C625E8">
        <w:t>survey,</w:t>
      </w:r>
      <w:r w:rsidRPr="004E3C59">
        <w:t xml:space="preserve"> draw the sample, and collect the data. Other contractor activities </w:t>
      </w:r>
      <w:r w:rsidRPr="004E3C59" w:rsidR="00C625E8">
        <w:t>outside data</w:t>
      </w:r>
      <w:r w:rsidRPr="004E3C59">
        <w:t xml:space="preserve"> collection include coordination with FDA to develop the instrument and deliver </w:t>
      </w:r>
      <w:r w:rsidRPr="004E3C59" w:rsidR="00C625E8">
        <w:t xml:space="preserve">the </w:t>
      </w:r>
      <w:r w:rsidRPr="004E3C59">
        <w:t>final data set</w:t>
      </w:r>
      <w:r w:rsidRPr="004E3C59" w:rsidR="00C625E8">
        <w:t xml:space="preserve"> and methodology report</w:t>
      </w:r>
      <w:r w:rsidRPr="004E3C59">
        <w:t>.</w:t>
      </w:r>
    </w:p>
    <w:p w:rsidRPr="004E3C59" w:rsidR="005E2E7D" w:rsidP="00AD4C50" w:rsidRDefault="0012756D">
      <w:pPr>
        <w:pStyle w:val="table-title"/>
      </w:pPr>
      <w:bookmarkStart w:name="_Toc361824171" w:id="7"/>
      <w:r w:rsidRPr="004E3C59">
        <w:t>Table 3</w:t>
      </w:r>
      <w:r w:rsidRPr="004E3C59" w:rsidR="005E2E7D">
        <w:t>. Itemized Cost to the Federal Government</w:t>
      </w:r>
      <w:bookmarkEnd w:id="7"/>
    </w:p>
    <w:tbl>
      <w:tblPr>
        <w:tblW w:w="9360" w:type="dxa"/>
        <w:tblBorders>
          <w:top w:val="single" w:color="000000" w:sz="12" w:space="0"/>
          <w:bottom w:val="single" w:color="000000" w:sz="12" w:space="0"/>
          <w:insideH w:val="single" w:color="000000" w:sz="6" w:space="0"/>
        </w:tblBorders>
        <w:tblLayout w:type="fixed"/>
        <w:tblCellMar>
          <w:left w:w="115" w:type="dxa"/>
          <w:right w:w="360" w:type="dxa"/>
        </w:tblCellMar>
        <w:tblLook w:val="0000" w:firstRow="0" w:lastRow="0" w:firstColumn="0" w:lastColumn="0" w:noHBand="0" w:noVBand="0"/>
      </w:tblPr>
      <w:tblGrid>
        <w:gridCol w:w="2815"/>
        <w:gridCol w:w="2181"/>
        <w:gridCol w:w="2182"/>
        <w:gridCol w:w="2182"/>
        <w:tblGridChange w:id="8">
          <w:tblGrid>
            <w:gridCol w:w="2815"/>
            <w:gridCol w:w="2181"/>
            <w:gridCol w:w="2182"/>
            <w:gridCol w:w="2182"/>
          </w:tblGrid>
        </w:tblGridChange>
      </w:tblGrid>
      <w:tr w:rsidRPr="004E3C59" w:rsidR="00BB1BEF" w:rsidTr="00AD4C50">
        <w:tc>
          <w:tcPr>
            <w:tcW w:w="2815" w:type="dxa"/>
            <w:shd w:val="clear" w:color="auto" w:fill="auto"/>
            <w:vAlign w:val="bottom"/>
          </w:tcPr>
          <w:p w:rsidRPr="004E3C59" w:rsidR="00BB1BEF" w:rsidP="00AD4C50" w:rsidRDefault="00BB1BEF">
            <w:pPr>
              <w:pStyle w:val="table-headers"/>
              <w:spacing w:before="60" w:after="60"/>
            </w:pPr>
            <w:r w:rsidRPr="004E3C59">
              <w:t>Government Personnel</w:t>
            </w:r>
          </w:p>
        </w:tc>
        <w:tc>
          <w:tcPr>
            <w:tcW w:w="2181" w:type="dxa"/>
            <w:shd w:val="clear" w:color="auto" w:fill="auto"/>
            <w:vAlign w:val="bottom"/>
          </w:tcPr>
          <w:p w:rsidRPr="004E3C59" w:rsidR="00BB1BEF" w:rsidP="00AD4C50" w:rsidRDefault="00BB1BEF">
            <w:pPr>
              <w:pStyle w:val="table-headers"/>
              <w:spacing w:before="60" w:after="60"/>
            </w:pPr>
            <w:r w:rsidRPr="004E3C59">
              <w:t>Time Commitment</w:t>
            </w:r>
          </w:p>
        </w:tc>
        <w:tc>
          <w:tcPr>
            <w:tcW w:w="2182" w:type="dxa"/>
            <w:shd w:val="clear" w:color="auto" w:fill="auto"/>
            <w:vAlign w:val="bottom"/>
          </w:tcPr>
          <w:p w:rsidRPr="004E3C59" w:rsidR="00BB1BEF" w:rsidP="00AD4C50" w:rsidRDefault="00BB1BEF">
            <w:pPr>
              <w:pStyle w:val="table-headers"/>
              <w:spacing w:before="60" w:after="60"/>
            </w:pPr>
            <w:r w:rsidRPr="004E3C59">
              <w:t>Average Annual Salary</w:t>
            </w:r>
          </w:p>
        </w:tc>
        <w:tc>
          <w:tcPr>
            <w:tcW w:w="2182" w:type="dxa"/>
            <w:shd w:val="clear" w:color="auto" w:fill="auto"/>
            <w:vAlign w:val="bottom"/>
          </w:tcPr>
          <w:p w:rsidRPr="004E3C59" w:rsidR="00BB1BEF" w:rsidP="00AD4C50" w:rsidRDefault="00BB1BEF">
            <w:pPr>
              <w:pStyle w:val="table-headers"/>
              <w:spacing w:before="60" w:after="60"/>
            </w:pPr>
            <w:r w:rsidRPr="004E3C59">
              <w:t>Total</w:t>
            </w:r>
          </w:p>
        </w:tc>
      </w:tr>
      <w:tr w:rsidRPr="004E3C59" w:rsidR="000528A0" w:rsidTr="00AD4C50">
        <w:tc>
          <w:tcPr>
            <w:tcW w:w="2815" w:type="dxa"/>
            <w:shd w:val="clear" w:color="auto" w:fill="auto"/>
            <w:vAlign w:val="center"/>
          </w:tcPr>
          <w:p w:rsidRPr="004E3C59" w:rsidR="00BB1BEF" w:rsidP="00AD4C50" w:rsidRDefault="00BB1BEF">
            <w:pPr>
              <w:pStyle w:val="table-text"/>
              <w:spacing w:before="60" w:after="60"/>
            </w:pPr>
            <w:r w:rsidRPr="004E3C59">
              <w:t>GS-13</w:t>
            </w:r>
          </w:p>
        </w:tc>
        <w:tc>
          <w:tcPr>
            <w:tcW w:w="2181" w:type="dxa"/>
            <w:shd w:val="clear" w:color="auto" w:fill="auto"/>
            <w:vAlign w:val="center"/>
          </w:tcPr>
          <w:p w:rsidRPr="004E3C59" w:rsidR="00BB1BEF" w:rsidP="00AD4C50" w:rsidRDefault="00BB1BEF">
            <w:pPr>
              <w:pStyle w:val="table-text"/>
              <w:spacing w:before="60" w:after="60"/>
              <w:jc w:val="center"/>
            </w:pPr>
            <w:r w:rsidRPr="004E3C59">
              <w:t>15%</w:t>
            </w:r>
          </w:p>
        </w:tc>
        <w:tc>
          <w:tcPr>
            <w:tcW w:w="2182" w:type="dxa"/>
            <w:shd w:val="clear" w:color="auto" w:fill="auto"/>
            <w:vAlign w:val="center"/>
          </w:tcPr>
          <w:p w:rsidRPr="004E3C59" w:rsidR="00BB1BEF" w:rsidP="00AD4C50" w:rsidRDefault="00BB1BEF">
            <w:pPr>
              <w:pStyle w:val="table-text"/>
              <w:spacing w:before="60" w:after="60"/>
              <w:jc w:val="center"/>
            </w:pPr>
            <w:r w:rsidRPr="004E3C59">
              <w:t>$</w:t>
            </w:r>
            <w:r w:rsidRPr="004E3C59" w:rsidR="00AF2568">
              <w:t>103,435</w:t>
            </w:r>
          </w:p>
        </w:tc>
        <w:tc>
          <w:tcPr>
            <w:tcW w:w="2182" w:type="dxa"/>
            <w:shd w:val="clear" w:color="auto" w:fill="auto"/>
            <w:vAlign w:val="center"/>
          </w:tcPr>
          <w:p w:rsidRPr="004E3C59" w:rsidR="00BB1BEF" w:rsidP="00AD4C50" w:rsidRDefault="00BB1BEF">
            <w:pPr>
              <w:pStyle w:val="table-text"/>
              <w:spacing w:before="60" w:after="60"/>
              <w:jc w:val="center"/>
            </w:pPr>
            <w:r w:rsidRPr="004E3C59">
              <w:t>$</w:t>
            </w:r>
            <w:r w:rsidRPr="004E3C59" w:rsidR="00AF2568">
              <w:t>15,515</w:t>
            </w:r>
          </w:p>
        </w:tc>
      </w:tr>
      <w:tr w:rsidRPr="004E3C59" w:rsidR="000528A0" w:rsidTr="00AD4C50">
        <w:tc>
          <w:tcPr>
            <w:tcW w:w="2815" w:type="dxa"/>
            <w:shd w:val="clear" w:color="auto" w:fill="auto"/>
            <w:vAlign w:val="center"/>
          </w:tcPr>
          <w:p w:rsidRPr="004E3C59" w:rsidR="00BB1BEF" w:rsidP="00AD4C50" w:rsidRDefault="00BB1BEF">
            <w:pPr>
              <w:pStyle w:val="table-text"/>
              <w:spacing w:before="60" w:after="60"/>
            </w:pPr>
            <w:r w:rsidRPr="004E3C59">
              <w:t>GS-13</w:t>
            </w:r>
          </w:p>
        </w:tc>
        <w:tc>
          <w:tcPr>
            <w:tcW w:w="2181" w:type="dxa"/>
            <w:shd w:val="clear" w:color="auto" w:fill="auto"/>
            <w:vAlign w:val="center"/>
          </w:tcPr>
          <w:p w:rsidRPr="004E3C59" w:rsidR="00BB1BEF" w:rsidP="00AD4C50" w:rsidRDefault="00AF2568">
            <w:pPr>
              <w:pStyle w:val="table-text"/>
              <w:spacing w:before="60" w:after="60"/>
              <w:jc w:val="center"/>
            </w:pPr>
            <w:r w:rsidRPr="004E3C59">
              <w:t>15</w:t>
            </w:r>
            <w:r w:rsidRPr="004E3C59" w:rsidR="00BB1BEF">
              <w:t>%</w:t>
            </w:r>
          </w:p>
        </w:tc>
        <w:tc>
          <w:tcPr>
            <w:tcW w:w="2182" w:type="dxa"/>
            <w:shd w:val="clear" w:color="auto" w:fill="auto"/>
            <w:vAlign w:val="center"/>
          </w:tcPr>
          <w:p w:rsidRPr="004E3C59" w:rsidR="00BB1BEF" w:rsidP="00AD4C50" w:rsidRDefault="00BB1BEF">
            <w:pPr>
              <w:pStyle w:val="table-text"/>
              <w:spacing w:before="60" w:after="60"/>
              <w:jc w:val="center"/>
            </w:pPr>
            <w:r w:rsidRPr="004E3C59">
              <w:t>$</w:t>
            </w:r>
            <w:r w:rsidRPr="004E3C59" w:rsidR="00AF2568">
              <w:t>100,203</w:t>
            </w:r>
          </w:p>
        </w:tc>
        <w:tc>
          <w:tcPr>
            <w:tcW w:w="2182" w:type="dxa"/>
            <w:shd w:val="clear" w:color="auto" w:fill="auto"/>
            <w:vAlign w:val="center"/>
          </w:tcPr>
          <w:p w:rsidRPr="004E3C59" w:rsidR="00BB1BEF" w:rsidP="00AD4C50" w:rsidRDefault="00BB1BEF">
            <w:pPr>
              <w:pStyle w:val="table-text"/>
              <w:spacing w:before="60" w:after="60"/>
              <w:jc w:val="center"/>
            </w:pPr>
            <w:r w:rsidRPr="004E3C59">
              <w:t>$</w:t>
            </w:r>
            <w:r w:rsidRPr="004E3C59" w:rsidR="00EB60AF">
              <w:t>15,030</w:t>
            </w:r>
          </w:p>
        </w:tc>
      </w:tr>
      <w:tr w:rsidRPr="004E3C59" w:rsidR="00BB1BEF" w:rsidTr="00AD4C50">
        <w:tc>
          <w:tcPr>
            <w:tcW w:w="2815" w:type="dxa"/>
            <w:shd w:val="clear" w:color="auto" w:fill="auto"/>
            <w:vAlign w:val="center"/>
          </w:tcPr>
          <w:p w:rsidRPr="004E3C59" w:rsidR="00BB1BEF" w:rsidP="00AD4C50" w:rsidRDefault="00BB1BEF">
            <w:pPr>
              <w:pStyle w:val="table-text"/>
              <w:spacing w:before="60" w:after="60"/>
            </w:pPr>
            <w:r w:rsidRPr="004E3C59">
              <w:t>GS-14</w:t>
            </w:r>
          </w:p>
        </w:tc>
        <w:tc>
          <w:tcPr>
            <w:tcW w:w="2181" w:type="dxa"/>
            <w:shd w:val="clear" w:color="auto" w:fill="auto"/>
            <w:vAlign w:val="center"/>
          </w:tcPr>
          <w:p w:rsidRPr="004E3C59" w:rsidR="00BB1BEF" w:rsidP="00AD4C50" w:rsidRDefault="00BB1BEF">
            <w:pPr>
              <w:pStyle w:val="table-text"/>
              <w:spacing w:before="60" w:after="60"/>
              <w:jc w:val="center"/>
            </w:pPr>
            <w:r w:rsidRPr="004E3C59">
              <w:t>25%</w:t>
            </w:r>
          </w:p>
        </w:tc>
        <w:tc>
          <w:tcPr>
            <w:tcW w:w="2182" w:type="dxa"/>
            <w:shd w:val="clear" w:color="auto" w:fill="auto"/>
            <w:vAlign w:val="center"/>
          </w:tcPr>
          <w:p w:rsidRPr="004E3C59" w:rsidR="00BB1BEF" w:rsidP="00AD4C50" w:rsidRDefault="00BB1BEF">
            <w:pPr>
              <w:pStyle w:val="table-text"/>
              <w:spacing w:before="60" w:after="60"/>
              <w:jc w:val="center"/>
            </w:pPr>
            <w:r w:rsidRPr="004E3C59">
              <w:t>$133,689</w:t>
            </w:r>
          </w:p>
        </w:tc>
        <w:tc>
          <w:tcPr>
            <w:tcW w:w="2182" w:type="dxa"/>
            <w:shd w:val="clear" w:color="auto" w:fill="auto"/>
            <w:vAlign w:val="center"/>
          </w:tcPr>
          <w:p w:rsidRPr="004E3C59" w:rsidR="00BB1BEF" w:rsidP="00AD4C50" w:rsidRDefault="00BB1BEF">
            <w:pPr>
              <w:pStyle w:val="table-text"/>
              <w:spacing w:before="60" w:after="60"/>
              <w:jc w:val="center"/>
            </w:pPr>
            <w:r w:rsidRPr="004E3C59">
              <w:t>$33,422</w:t>
            </w:r>
          </w:p>
        </w:tc>
      </w:tr>
      <w:tr w:rsidRPr="004E3C59" w:rsidR="00BB1BEF" w:rsidTr="00AD4C50">
        <w:tc>
          <w:tcPr>
            <w:tcW w:w="2815" w:type="dxa"/>
            <w:shd w:val="clear" w:color="auto" w:fill="auto"/>
            <w:vAlign w:val="center"/>
          </w:tcPr>
          <w:p w:rsidRPr="004E3C59" w:rsidR="00BB1BEF" w:rsidP="00AD4C50" w:rsidRDefault="00BB1BEF">
            <w:pPr>
              <w:pStyle w:val="table-text"/>
              <w:spacing w:before="60" w:after="60"/>
            </w:pPr>
            <w:r w:rsidRPr="004E3C59">
              <w:t>GS-15</w:t>
            </w:r>
          </w:p>
        </w:tc>
        <w:tc>
          <w:tcPr>
            <w:tcW w:w="2181" w:type="dxa"/>
            <w:shd w:val="clear" w:color="auto" w:fill="auto"/>
            <w:vAlign w:val="center"/>
          </w:tcPr>
          <w:p w:rsidRPr="004E3C59" w:rsidR="00BB1BEF" w:rsidP="00AD4C50" w:rsidRDefault="00BB1BEF">
            <w:pPr>
              <w:pStyle w:val="table-text"/>
              <w:spacing w:before="60" w:after="60"/>
              <w:jc w:val="center"/>
            </w:pPr>
            <w:r w:rsidRPr="004E3C59">
              <w:t>5%</w:t>
            </w:r>
          </w:p>
        </w:tc>
        <w:tc>
          <w:tcPr>
            <w:tcW w:w="2182" w:type="dxa"/>
            <w:shd w:val="clear" w:color="auto" w:fill="auto"/>
            <w:vAlign w:val="center"/>
          </w:tcPr>
          <w:p w:rsidRPr="004E3C59" w:rsidR="00BB1BEF" w:rsidP="00AD4C50" w:rsidRDefault="00BB1BEF">
            <w:pPr>
              <w:pStyle w:val="table-text"/>
              <w:spacing w:before="60" w:after="60"/>
              <w:jc w:val="center"/>
            </w:pPr>
            <w:r w:rsidRPr="004E3C59">
              <w:t>$134,789</w:t>
            </w:r>
          </w:p>
        </w:tc>
        <w:tc>
          <w:tcPr>
            <w:tcW w:w="2182" w:type="dxa"/>
            <w:shd w:val="clear" w:color="auto" w:fill="auto"/>
            <w:vAlign w:val="center"/>
          </w:tcPr>
          <w:p w:rsidRPr="004E3C59" w:rsidR="00BB1BEF" w:rsidP="00AD4C50" w:rsidRDefault="00BB1BEF">
            <w:pPr>
              <w:pStyle w:val="table-text"/>
              <w:spacing w:before="60" w:after="60"/>
              <w:jc w:val="center"/>
            </w:pPr>
            <w:r w:rsidRPr="004E3C59">
              <w:t>$6,739</w:t>
            </w:r>
          </w:p>
        </w:tc>
      </w:tr>
      <w:tr w:rsidRPr="004E3C59" w:rsidR="00BB1BEF" w:rsidTr="00AD4C50">
        <w:tc>
          <w:tcPr>
            <w:tcW w:w="2815" w:type="dxa"/>
            <w:shd w:val="clear" w:color="auto" w:fill="auto"/>
            <w:vAlign w:val="center"/>
          </w:tcPr>
          <w:p w:rsidRPr="004E3C59" w:rsidR="00BB1BEF" w:rsidP="00AD4C50" w:rsidRDefault="00BB1BEF">
            <w:pPr>
              <w:pStyle w:val="table-text"/>
              <w:spacing w:before="60" w:after="60"/>
            </w:pPr>
            <w:r w:rsidRPr="004E3C59">
              <w:t>Total Salary Costs</w:t>
            </w:r>
          </w:p>
        </w:tc>
        <w:tc>
          <w:tcPr>
            <w:tcW w:w="2181" w:type="dxa"/>
            <w:shd w:val="clear" w:color="auto" w:fill="auto"/>
            <w:vAlign w:val="center"/>
          </w:tcPr>
          <w:p w:rsidRPr="004E3C59" w:rsidR="00BB1BEF" w:rsidP="00AD4C50" w:rsidRDefault="00BB1BEF">
            <w:pPr>
              <w:pStyle w:val="table-text"/>
              <w:spacing w:before="60" w:after="60"/>
              <w:jc w:val="center"/>
            </w:pPr>
          </w:p>
        </w:tc>
        <w:tc>
          <w:tcPr>
            <w:tcW w:w="2182" w:type="dxa"/>
            <w:shd w:val="clear" w:color="auto" w:fill="auto"/>
            <w:vAlign w:val="center"/>
          </w:tcPr>
          <w:p w:rsidRPr="004E3C59" w:rsidR="00BB1BEF" w:rsidP="00AD4C50" w:rsidRDefault="00BB1BEF">
            <w:pPr>
              <w:pStyle w:val="table-text"/>
              <w:spacing w:before="60" w:after="60"/>
              <w:jc w:val="center"/>
            </w:pPr>
          </w:p>
        </w:tc>
        <w:tc>
          <w:tcPr>
            <w:tcW w:w="2182" w:type="dxa"/>
            <w:shd w:val="clear" w:color="auto" w:fill="auto"/>
            <w:vAlign w:val="center"/>
          </w:tcPr>
          <w:p w:rsidRPr="004E3C59" w:rsidR="00BB1BEF" w:rsidP="00AD4C50" w:rsidRDefault="00BB1BEF">
            <w:pPr>
              <w:pStyle w:val="table-text"/>
              <w:spacing w:before="60" w:after="60"/>
              <w:jc w:val="center"/>
            </w:pPr>
            <w:r w:rsidRPr="004E3C59">
              <w:t>$7</w:t>
            </w:r>
            <w:r w:rsidRPr="004E3C59" w:rsidR="008742C6">
              <w:t>0,706</w:t>
            </w:r>
          </w:p>
        </w:tc>
      </w:tr>
      <w:tr w:rsidRPr="004E3C59" w:rsidR="00BB1BEF" w:rsidTr="00AD4C50">
        <w:tc>
          <w:tcPr>
            <w:tcW w:w="2815" w:type="dxa"/>
            <w:shd w:val="clear" w:color="auto" w:fill="auto"/>
            <w:vAlign w:val="center"/>
          </w:tcPr>
          <w:p w:rsidRPr="004E3C59" w:rsidR="00BB1BEF" w:rsidP="00AD4C50" w:rsidRDefault="00BB1BEF">
            <w:pPr>
              <w:pStyle w:val="table-text"/>
              <w:spacing w:before="60" w:after="60"/>
            </w:pPr>
            <w:r w:rsidRPr="004E3C59">
              <w:t>Contractor Costs</w:t>
            </w:r>
          </w:p>
        </w:tc>
        <w:tc>
          <w:tcPr>
            <w:tcW w:w="2181" w:type="dxa"/>
            <w:shd w:val="clear" w:color="auto" w:fill="auto"/>
            <w:vAlign w:val="center"/>
          </w:tcPr>
          <w:p w:rsidRPr="004E3C59" w:rsidR="00BB1BEF" w:rsidP="00AD4C50" w:rsidRDefault="00BB1BEF">
            <w:pPr>
              <w:pStyle w:val="table-text"/>
              <w:spacing w:before="60" w:after="60"/>
              <w:jc w:val="center"/>
            </w:pPr>
          </w:p>
        </w:tc>
        <w:tc>
          <w:tcPr>
            <w:tcW w:w="2182" w:type="dxa"/>
            <w:shd w:val="clear" w:color="auto" w:fill="auto"/>
            <w:vAlign w:val="center"/>
          </w:tcPr>
          <w:p w:rsidRPr="004E3C59" w:rsidR="00BB1BEF" w:rsidP="00AD4C50" w:rsidRDefault="00BB1BEF">
            <w:pPr>
              <w:pStyle w:val="table-text"/>
              <w:spacing w:before="60" w:after="60"/>
              <w:jc w:val="center"/>
            </w:pPr>
          </w:p>
        </w:tc>
        <w:tc>
          <w:tcPr>
            <w:tcW w:w="2182" w:type="dxa"/>
            <w:shd w:val="clear" w:color="auto" w:fill="auto"/>
            <w:vAlign w:val="center"/>
          </w:tcPr>
          <w:p w:rsidRPr="004E3C59" w:rsidR="00BB1BEF" w:rsidP="00AD4C50" w:rsidRDefault="00BB1BEF">
            <w:pPr>
              <w:pStyle w:val="table-text"/>
              <w:spacing w:before="60" w:after="60"/>
              <w:jc w:val="center"/>
            </w:pPr>
            <w:r w:rsidRPr="004E3C59">
              <w:t>$</w:t>
            </w:r>
            <w:r w:rsidRPr="004E3C59" w:rsidR="004E3C59">
              <w:t>173,917.60</w:t>
            </w:r>
          </w:p>
        </w:tc>
      </w:tr>
      <w:tr w:rsidRPr="0086615A" w:rsidR="000528A0" w:rsidTr="003918E2">
        <w:tc>
          <w:tcPr>
            <w:tcW w:w="2815" w:type="dxa"/>
            <w:shd w:val="clear" w:color="auto" w:fill="auto"/>
            <w:vAlign w:val="center"/>
          </w:tcPr>
          <w:p w:rsidRPr="004E3C59" w:rsidR="00BB1BEF" w:rsidP="00AD4C50" w:rsidRDefault="00BB1BEF">
            <w:pPr>
              <w:pStyle w:val="table-text"/>
              <w:spacing w:before="60" w:after="60"/>
              <w:rPr>
                <w:b/>
              </w:rPr>
            </w:pPr>
            <w:r w:rsidRPr="004E3C59">
              <w:rPr>
                <w:b/>
              </w:rPr>
              <w:t xml:space="preserve">Total </w:t>
            </w:r>
          </w:p>
        </w:tc>
        <w:tc>
          <w:tcPr>
            <w:tcW w:w="2181" w:type="dxa"/>
            <w:shd w:val="clear" w:color="auto" w:fill="auto"/>
            <w:vAlign w:val="center"/>
          </w:tcPr>
          <w:p w:rsidRPr="004E3C59" w:rsidR="00BB1BEF" w:rsidP="00AD4C50" w:rsidRDefault="00BB1BEF">
            <w:pPr>
              <w:pStyle w:val="table-text"/>
              <w:spacing w:before="60" w:after="60"/>
              <w:jc w:val="center"/>
              <w:rPr>
                <w:b/>
              </w:rPr>
            </w:pPr>
          </w:p>
        </w:tc>
        <w:tc>
          <w:tcPr>
            <w:tcW w:w="2182" w:type="dxa"/>
            <w:shd w:val="clear" w:color="auto" w:fill="auto"/>
            <w:vAlign w:val="center"/>
          </w:tcPr>
          <w:p w:rsidRPr="004E3C59" w:rsidR="00BB1BEF" w:rsidP="00AD4C50" w:rsidRDefault="00BB1BEF">
            <w:pPr>
              <w:pStyle w:val="table-text"/>
              <w:spacing w:before="60" w:after="60"/>
              <w:jc w:val="center"/>
              <w:rPr>
                <w:b/>
              </w:rPr>
            </w:pPr>
          </w:p>
        </w:tc>
        <w:tc>
          <w:tcPr>
            <w:tcW w:w="2182" w:type="dxa"/>
            <w:shd w:val="clear" w:color="auto" w:fill="auto"/>
            <w:vAlign w:val="center"/>
          </w:tcPr>
          <w:p w:rsidRPr="004E04CF" w:rsidR="00BB1BEF" w:rsidP="00AD4C50" w:rsidRDefault="000528A0">
            <w:pPr>
              <w:pStyle w:val="table-text"/>
              <w:spacing w:before="60" w:after="60"/>
              <w:jc w:val="center"/>
              <w:rPr>
                <w:b/>
              </w:rPr>
            </w:pPr>
            <w:r w:rsidRPr="004E3C59">
              <w:rPr>
                <w:b/>
              </w:rPr>
              <w:t>$</w:t>
            </w:r>
            <w:r w:rsidR="004E3C59">
              <w:rPr>
                <w:b/>
              </w:rPr>
              <w:t>244,623.60</w:t>
            </w:r>
          </w:p>
        </w:tc>
      </w:tr>
    </w:tbl>
    <w:p w:rsidR="00AD4C50" w:rsidP="00AD4C50" w:rsidRDefault="00AD4C50">
      <w:pPr>
        <w:pStyle w:val="table-sourcestd"/>
      </w:pPr>
    </w:p>
    <w:p w:rsidR="00094500" w:rsidP="00850940" w:rsidRDefault="00EB7538">
      <w:pPr>
        <w:pStyle w:val="Heading3"/>
      </w:pPr>
      <w:r w:rsidRPr="000A6CE6">
        <w:t>Explanation for Program Changes or Adjustments</w:t>
      </w:r>
    </w:p>
    <w:p w:rsidRPr="001F0F09" w:rsidR="001F0F09" w:rsidP="001F0F09" w:rsidRDefault="001F0F09">
      <w:pPr>
        <w:rPr>
          <w:lang w:eastAsia="en-US"/>
        </w:rPr>
      </w:pPr>
      <w:r w:rsidRPr="001F0F09">
        <w:rPr>
          <w:lang w:eastAsia="en-US"/>
        </w:rPr>
        <w:t>The Food and Drug Administration is submitting this nonmaterial/non-substantive change request to incorporate several non-substantive changes to the collection. These changes are proposed to enhance participant privacy and clarify our procedures.</w:t>
      </w:r>
    </w:p>
    <w:p w:rsidRPr="001F0F09" w:rsidR="001F0F09" w:rsidP="001F0F09" w:rsidRDefault="001F0F09">
      <w:pPr>
        <w:pStyle w:val="Heading3"/>
      </w:pPr>
      <w:r w:rsidRPr="000A6CE6">
        <w:t>Plans for Tabulation and Publication and Project Time Schedule</w:t>
      </w:r>
    </w:p>
    <w:p w:rsidR="00AD4C50" w:rsidP="00850940" w:rsidRDefault="005E2E7D">
      <w:pPr>
        <w:pStyle w:val="BodyText"/>
      </w:pPr>
      <w:r w:rsidRPr="00880FF9">
        <w:t>Data from this information collection will be used to estimate awareness of HPHC</w:t>
      </w:r>
      <w:r w:rsidR="00C625E8">
        <w:t>s</w:t>
      </w:r>
      <w:r w:rsidRPr="00880FF9">
        <w:t xml:space="preserve"> in tobacco</w:t>
      </w:r>
      <w:r w:rsidR="00C625E8">
        <w:t xml:space="preserve"> in order to </w:t>
      </w:r>
      <w:r w:rsidRPr="00880FF9">
        <w:t xml:space="preserve">assess </w:t>
      </w:r>
      <w:r w:rsidR="00D81FCD">
        <w:t xml:space="preserve">the </w:t>
      </w:r>
      <w:r w:rsidRPr="00880FF9">
        <w:t>best way to present HPHC information in a manner that is understandable and not misleading to a layperson.</w:t>
      </w:r>
      <w:r w:rsidR="00360370">
        <w:t xml:space="preserve"> </w:t>
      </w:r>
      <w:r w:rsidR="005C5A50">
        <w:t xml:space="preserve">The project schedule is shown in Table 4. </w:t>
      </w:r>
      <w:r w:rsidR="007D70A6">
        <w:t xml:space="preserve">Future development </w:t>
      </w:r>
      <w:r w:rsidRPr="007D70A6" w:rsidR="007D70A6">
        <w:rPr>
          <w:color w:val="000000"/>
        </w:rPr>
        <w:t>and</w:t>
      </w:r>
      <w:r w:rsidR="007D70A6">
        <w:t xml:space="preserve"> research activities are dependent on the timely completion of the present study.</w:t>
      </w:r>
    </w:p>
    <w:p w:rsidRPr="00880FF9" w:rsidR="005E2E7D" w:rsidP="00AD4C50" w:rsidRDefault="007C76E3">
      <w:pPr>
        <w:pStyle w:val="table-title"/>
      </w:pPr>
      <w:bookmarkStart w:name="_Toc66689102" w:id="9"/>
      <w:bookmarkStart w:name="_Toc140476560" w:id="10"/>
      <w:bookmarkStart w:name="_Toc216595340" w:id="11"/>
      <w:bookmarkStart w:name="_Toc361824172" w:id="12"/>
      <w:r w:rsidRPr="00287D6C">
        <w:t>Table 4</w:t>
      </w:r>
      <w:r w:rsidRPr="00287D6C" w:rsidR="005E2E7D">
        <w:t>.</w:t>
      </w:r>
      <w:bookmarkEnd w:id="9"/>
      <w:bookmarkEnd w:id="10"/>
      <w:bookmarkEnd w:id="11"/>
      <w:r w:rsidRPr="00287D6C" w:rsidR="005E2E7D">
        <w:t xml:space="preserve"> Project Schedule</w:t>
      </w:r>
      <w:bookmarkEnd w:id="12"/>
    </w:p>
    <w:tbl>
      <w:tblPr>
        <w:tblW w:w="9360" w:type="dxa"/>
        <w:tblBorders>
          <w:top w:val="single" w:color="000000" w:sz="12" w:space="0"/>
          <w:bottom w:val="single" w:color="000000" w:sz="12" w:space="0"/>
          <w:insideH w:val="single" w:color="000000" w:sz="6" w:space="0"/>
        </w:tblBorders>
        <w:tblLayout w:type="fixed"/>
        <w:tblLook w:val="0000" w:firstRow="0" w:lastRow="0" w:firstColumn="0" w:lastColumn="0" w:noHBand="0" w:noVBand="0"/>
      </w:tblPr>
      <w:tblGrid>
        <w:gridCol w:w="4913"/>
        <w:gridCol w:w="4447"/>
      </w:tblGrid>
      <w:tr w:rsidRPr="0086615A" w:rsidR="00FD0C5D" w:rsidTr="00AD4C50">
        <w:trPr>
          <w:trHeight w:val="409"/>
        </w:trPr>
        <w:tc>
          <w:tcPr>
            <w:tcW w:w="4972" w:type="dxa"/>
            <w:shd w:val="clear" w:color="auto" w:fill="auto"/>
            <w:vAlign w:val="bottom"/>
          </w:tcPr>
          <w:p w:rsidRPr="00BB1BEF" w:rsidR="00FD0C5D" w:rsidP="00AD4C50" w:rsidRDefault="00FD0C5D">
            <w:pPr>
              <w:pStyle w:val="table-headers"/>
            </w:pPr>
            <w:r w:rsidRPr="00BB1BEF">
              <w:t>Activity</w:t>
            </w:r>
          </w:p>
        </w:tc>
        <w:tc>
          <w:tcPr>
            <w:tcW w:w="4500" w:type="dxa"/>
            <w:shd w:val="clear" w:color="auto" w:fill="auto"/>
            <w:vAlign w:val="bottom"/>
          </w:tcPr>
          <w:p w:rsidRPr="00BB1BEF" w:rsidR="00FD0C5D" w:rsidP="00AD4C50" w:rsidRDefault="00FD0C5D">
            <w:pPr>
              <w:pStyle w:val="table-headers"/>
            </w:pPr>
            <w:r w:rsidRPr="00BB1BEF">
              <w:t>Date</w:t>
            </w:r>
          </w:p>
        </w:tc>
      </w:tr>
      <w:tr w:rsidRPr="0086615A" w:rsidR="00FD0C5D" w:rsidTr="00AD4C50">
        <w:trPr>
          <w:cantSplit/>
        </w:trPr>
        <w:tc>
          <w:tcPr>
            <w:tcW w:w="4972" w:type="dxa"/>
            <w:shd w:val="clear" w:color="auto" w:fill="auto"/>
            <w:vAlign w:val="center"/>
          </w:tcPr>
          <w:p w:rsidRPr="00BB1BEF" w:rsidR="00FD0C5D" w:rsidP="00AD4C50" w:rsidRDefault="00FD0C5D">
            <w:pPr>
              <w:pStyle w:val="table-text"/>
            </w:pPr>
            <w:r w:rsidRPr="00BB1BEF">
              <w:t>Data Collection</w:t>
            </w:r>
          </w:p>
        </w:tc>
        <w:tc>
          <w:tcPr>
            <w:tcW w:w="4500" w:type="dxa"/>
            <w:shd w:val="clear" w:color="auto" w:fill="auto"/>
            <w:vAlign w:val="center"/>
          </w:tcPr>
          <w:p w:rsidRPr="00BB1BEF" w:rsidR="00FD0C5D" w:rsidP="00AD4C50" w:rsidRDefault="00353FCD">
            <w:pPr>
              <w:pStyle w:val="table-text"/>
            </w:pPr>
            <w:r>
              <w:t>Promptly</w:t>
            </w:r>
            <w:r w:rsidRPr="00BB1BEF" w:rsidR="00FD0C5D">
              <w:t xml:space="preserve"> following OMB </w:t>
            </w:r>
            <w:r>
              <w:t xml:space="preserve">and IRB </w:t>
            </w:r>
            <w:r w:rsidRPr="00BB1BEF" w:rsidR="00FD0C5D">
              <w:t>approval</w:t>
            </w:r>
          </w:p>
        </w:tc>
      </w:tr>
      <w:tr w:rsidRPr="0086615A" w:rsidR="00FD0C5D" w:rsidTr="00AD4C50">
        <w:trPr>
          <w:cantSplit/>
        </w:trPr>
        <w:tc>
          <w:tcPr>
            <w:tcW w:w="4972" w:type="dxa"/>
            <w:shd w:val="clear" w:color="auto" w:fill="auto"/>
            <w:vAlign w:val="center"/>
          </w:tcPr>
          <w:p w:rsidRPr="00BB1BEF" w:rsidR="00FD0C5D" w:rsidP="00AD4C50" w:rsidRDefault="00FD0C5D">
            <w:pPr>
              <w:pStyle w:val="table-text"/>
            </w:pPr>
            <w:r w:rsidRPr="00BB1BEF">
              <w:t xml:space="preserve">Receive draft methodology report </w:t>
            </w:r>
          </w:p>
        </w:tc>
        <w:tc>
          <w:tcPr>
            <w:tcW w:w="4500" w:type="dxa"/>
            <w:shd w:val="clear" w:color="auto" w:fill="auto"/>
            <w:vAlign w:val="center"/>
          </w:tcPr>
          <w:p w:rsidRPr="00BB1BEF" w:rsidR="00FD0C5D" w:rsidP="00AD4C50" w:rsidRDefault="00FD0C5D">
            <w:pPr>
              <w:pStyle w:val="table-text"/>
            </w:pPr>
            <w:r w:rsidRPr="00BB1BEF">
              <w:t xml:space="preserve">Within </w:t>
            </w:r>
            <w:r w:rsidR="00353FCD">
              <w:t>45 days</w:t>
            </w:r>
            <w:r w:rsidR="000654D1">
              <w:t xml:space="preserve"> following </w:t>
            </w:r>
            <w:r w:rsidR="00353FCD">
              <w:t>completion of data collection</w:t>
            </w:r>
          </w:p>
        </w:tc>
      </w:tr>
      <w:tr w:rsidRPr="0086615A" w:rsidR="00FD0C5D" w:rsidTr="00AD4C50">
        <w:trPr>
          <w:cantSplit/>
        </w:trPr>
        <w:tc>
          <w:tcPr>
            <w:tcW w:w="4972" w:type="dxa"/>
            <w:shd w:val="clear" w:color="auto" w:fill="auto"/>
            <w:vAlign w:val="center"/>
          </w:tcPr>
          <w:p w:rsidRPr="00BB1BEF" w:rsidR="00FD0C5D" w:rsidP="00AD4C50" w:rsidRDefault="00FD0C5D">
            <w:pPr>
              <w:pStyle w:val="table-text"/>
            </w:pPr>
            <w:r w:rsidRPr="00BB1BEF">
              <w:t>Receive final methodology report and survey data</w:t>
            </w:r>
          </w:p>
        </w:tc>
        <w:tc>
          <w:tcPr>
            <w:tcW w:w="4500" w:type="dxa"/>
            <w:shd w:val="clear" w:color="auto" w:fill="auto"/>
            <w:vAlign w:val="center"/>
          </w:tcPr>
          <w:p w:rsidRPr="00BB1BEF" w:rsidR="00FD0C5D" w:rsidP="00AD4C50" w:rsidRDefault="00FD0C5D">
            <w:pPr>
              <w:pStyle w:val="table-text"/>
              <w:rPr>
                <w:snapToGrid w:val="0"/>
              </w:rPr>
            </w:pPr>
            <w:r w:rsidRPr="00BB1BEF">
              <w:t xml:space="preserve">Within </w:t>
            </w:r>
            <w:r w:rsidR="00353FCD">
              <w:t>14 days</w:t>
            </w:r>
            <w:r w:rsidR="000654D1">
              <w:t xml:space="preserve"> following </w:t>
            </w:r>
            <w:r w:rsidR="00353FCD">
              <w:t>FDA feedback on drafts</w:t>
            </w:r>
          </w:p>
        </w:tc>
      </w:tr>
    </w:tbl>
    <w:p w:rsidR="00AD4C50" w:rsidP="00AD4C50" w:rsidRDefault="00AD4C50">
      <w:pPr>
        <w:pStyle w:val="table-sourcestd"/>
      </w:pPr>
    </w:p>
    <w:p w:rsidRPr="005C5A50" w:rsidR="004C6979" w:rsidP="00850940" w:rsidRDefault="00EB7538">
      <w:pPr>
        <w:pStyle w:val="Heading3"/>
      </w:pPr>
      <w:r w:rsidRPr="005C5A50">
        <w:t>Reason(s) Display of OMB Expiration Date is Inappropriate</w:t>
      </w:r>
    </w:p>
    <w:p w:rsidR="00AD4C50" w:rsidP="00850940" w:rsidRDefault="004C7D81">
      <w:pPr>
        <w:pStyle w:val="BodyText"/>
      </w:pPr>
      <w:r w:rsidRPr="00EB6BBC">
        <w:t>FDA is not requesting an exemption for display of the OMB expiration date and is also not seeking OMB approval to exclude the expiration date for this information collection.</w:t>
      </w:r>
      <w:r w:rsidR="00360370">
        <w:t xml:space="preserve"> </w:t>
      </w:r>
      <w:r w:rsidRPr="00EB6BBC">
        <w:t>The OMB approval and expiration date will be displayed on all materials associated with the study.</w:t>
      </w:r>
    </w:p>
    <w:p w:rsidRPr="005C5A50" w:rsidR="00EB7538" w:rsidP="00850940" w:rsidRDefault="00EB7538">
      <w:pPr>
        <w:pStyle w:val="Heading3"/>
      </w:pPr>
      <w:r w:rsidRPr="005C5A50">
        <w:t>Exceptions to Certification for Paperwork Reduction Act Submissions</w:t>
      </w:r>
    </w:p>
    <w:p w:rsidRPr="004C7D81" w:rsidR="004C7D81" w:rsidP="00850940" w:rsidRDefault="004C7D81">
      <w:pPr>
        <w:pStyle w:val="BodyText"/>
      </w:pPr>
      <w:r>
        <w:t>There are no exceptions to the certification.</w:t>
      </w:r>
    </w:p>
    <w:p w:rsidR="007236D2" w:rsidP="00850940" w:rsidRDefault="007236D2">
      <w:pPr>
        <w:pStyle w:val="BodyText"/>
      </w:pPr>
    </w:p>
    <w:p w:rsidR="00AD4C50" w:rsidP="00850940" w:rsidRDefault="00AD4C50">
      <w:pPr>
        <w:pStyle w:val="BodyText"/>
      </w:pPr>
    </w:p>
    <w:p w:rsidRPr="0016285A" w:rsidR="00026758" w:rsidP="0016285A" w:rsidRDefault="004A3927">
      <w:pPr>
        <w:pStyle w:val="BodyText"/>
        <w:spacing w:after="240"/>
        <w:ind w:firstLine="0"/>
        <w:rPr>
          <w:b/>
          <w:bCs/>
        </w:rPr>
      </w:pPr>
      <w:r w:rsidRPr="004A3927">
        <w:rPr>
          <w:b/>
          <w:bCs/>
        </w:rPr>
        <w:t>References:</w:t>
      </w:r>
    </w:p>
    <w:p w:rsidRPr="00026758" w:rsidR="00026758" w:rsidP="0016285A" w:rsidRDefault="00026758">
      <w:pPr>
        <w:pStyle w:val="EndNoteBibliography"/>
        <w:spacing w:after="240"/>
        <w:ind w:left="720" w:hanging="720"/>
      </w:pPr>
      <w:r>
        <w:fldChar w:fldCharType="begin"/>
      </w:r>
      <w:r>
        <w:instrText xml:space="preserve"> ADDIN EN.REFLIST </w:instrText>
      </w:r>
      <w:r>
        <w:fldChar w:fldCharType="separate"/>
      </w:r>
      <w:r w:rsidRPr="00026758">
        <w:t>Alexander J, Williams P, Blitstein J.</w:t>
      </w:r>
      <w:r w:rsidRPr="00026758">
        <w:rPr>
          <w:i/>
        </w:rPr>
        <w:t xml:space="preserve"> Consumer Comprehension of Displays of Harmful and Potentially Harmful Constituents (HPHCs) in Tobacco Products: Findings from Phase 1 Individual Interviews. </w:t>
      </w:r>
      <w:r w:rsidRPr="00026758">
        <w:t>2017.</w:t>
      </w:r>
    </w:p>
    <w:p w:rsidR="0016285A" w:rsidP="0016285A" w:rsidRDefault="00026758">
      <w:pPr>
        <w:pStyle w:val="BodyText"/>
        <w:spacing w:before="0" w:after="240"/>
        <w:ind w:left="720" w:hanging="720"/>
        <w:rPr>
          <w:color w:val="222222"/>
        </w:rPr>
      </w:pPr>
      <w:r>
        <w:fldChar w:fldCharType="end"/>
      </w:r>
      <w:r w:rsidRPr="004A3927" w:rsidR="004A3927">
        <w:rPr>
          <w:color w:val="222222"/>
        </w:rPr>
        <w:t xml:space="preserve"> </w:t>
      </w:r>
      <w:r w:rsidR="004A3927">
        <w:rPr>
          <w:color w:val="222222"/>
        </w:rPr>
        <w:t xml:space="preserve">Brewer, N. T., Morgan, J. C., Baig, S. A., Mendel, J. R., Boynton, M. H., Pepper, J. K., ... &amp; Ribisl, K. M. (2017). Public understanding of cigarette smoke constituents: three US surveys. </w:t>
      </w:r>
      <w:r w:rsidR="004A3927">
        <w:rPr>
          <w:i/>
          <w:iCs/>
          <w:color w:val="222222"/>
        </w:rPr>
        <w:t>Tobacco control</w:t>
      </w:r>
      <w:r w:rsidR="004A3927">
        <w:rPr>
          <w:color w:val="222222"/>
        </w:rPr>
        <w:t xml:space="preserve">, </w:t>
      </w:r>
      <w:r w:rsidR="004A3927">
        <w:rPr>
          <w:i/>
          <w:iCs/>
          <w:color w:val="222222"/>
        </w:rPr>
        <w:t>26</w:t>
      </w:r>
      <w:r w:rsidR="004A3927">
        <w:rPr>
          <w:color w:val="222222"/>
        </w:rPr>
        <w:t>(5), 592-599.</w:t>
      </w:r>
    </w:p>
    <w:p w:rsidR="004A3927" w:rsidP="0016285A" w:rsidRDefault="004A3927">
      <w:pPr>
        <w:pStyle w:val="EndNoteBibliography"/>
        <w:spacing w:after="240"/>
        <w:ind w:left="720" w:hanging="720"/>
      </w:pPr>
      <w:r>
        <w:fldChar w:fldCharType="begin"/>
      </w:r>
      <w:r>
        <w:instrText xml:space="preserve"> ADDIN EN.REFLIST </w:instrText>
      </w:r>
      <w:r>
        <w:fldChar w:fldCharType="separate"/>
      </w:r>
      <w:r>
        <w:t xml:space="preserve">Byron, M. J., Lazard, A. J., Peters, E., Vu, H., Schmidt, A., &amp; Brewer, N. T. (2018). Effective Formats for Communicating Risks from Cigarette Smoke Chemicals. </w:t>
      </w:r>
      <w:r>
        <w:rPr>
          <w:i/>
        </w:rPr>
        <w:t>Tobacco Regulatory Science, 4</w:t>
      </w:r>
      <w:r>
        <w:t>(2), 16-29. doi:10.18001/TRS.4.2.2</w:t>
      </w:r>
    </w:p>
    <w:p w:rsidR="004A3927" w:rsidP="0016285A" w:rsidRDefault="004A3927">
      <w:pPr>
        <w:spacing w:after="240"/>
        <w:ind w:left="720" w:hanging="720"/>
        <w:rPr>
          <w:color w:val="222222"/>
        </w:rPr>
      </w:pPr>
      <w:r>
        <w:rPr>
          <w:color w:val="222222"/>
        </w:rPr>
        <w:t xml:space="preserve">Nadler, J. T., Weston, R., &amp; Voyles, E. C. (2015). Stuck in the middle: the use and interpretation of mid-points in items on questionnaires. </w:t>
      </w:r>
      <w:r>
        <w:rPr>
          <w:i/>
          <w:iCs/>
          <w:color w:val="222222"/>
        </w:rPr>
        <w:t>The Journal of general psychology</w:t>
      </w:r>
      <w:r>
        <w:rPr>
          <w:color w:val="222222"/>
        </w:rPr>
        <w:t xml:space="preserve">, </w:t>
      </w:r>
      <w:r>
        <w:rPr>
          <w:i/>
          <w:iCs/>
          <w:color w:val="222222"/>
        </w:rPr>
        <w:t>142</w:t>
      </w:r>
      <w:r>
        <w:rPr>
          <w:color w:val="222222"/>
        </w:rPr>
        <w:t>(2), 71-89.</w:t>
      </w:r>
    </w:p>
    <w:p w:rsidR="004A3927" w:rsidP="0016285A" w:rsidRDefault="004A3927">
      <w:pPr>
        <w:pStyle w:val="EndNoteBibliography"/>
        <w:spacing w:after="240"/>
        <w:ind w:left="720" w:hanging="720"/>
      </w:pPr>
      <w:r>
        <w:t xml:space="preserve">O'Brien, E. K., Persoskie, A., &amp; Tam, J. (2019). Multi-item Measures of Tobacco Health Perceptions: A Review. </w:t>
      </w:r>
      <w:r>
        <w:rPr>
          <w:i/>
        </w:rPr>
        <w:t>American Journal of Health Behavior, 43</w:t>
      </w:r>
      <w:r>
        <w:t>(2), 266-278. doi:10.5993/AJHB.43.2.4</w:t>
      </w:r>
    </w:p>
    <w:p w:rsidRPr="004C6979" w:rsidR="004A3927" w:rsidP="0016285A" w:rsidRDefault="004A3927">
      <w:pPr>
        <w:pStyle w:val="BodyText"/>
        <w:spacing w:before="0" w:after="240"/>
      </w:pPr>
      <w:r>
        <w:fldChar w:fldCharType="end"/>
      </w:r>
    </w:p>
    <w:sectPr w:rsidRPr="004C6979" w:rsidR="004A3927" w:rsidSect="00EB7538">
      <w:footerReference w:type="even" r:id="rId11"/>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6CC7" w:rsidRDefault="002B6CC7">
      <w:r>
        <w:separator/>
      </w:r>
    </w:p>
  </w:endnote>
  <w:endnote w:type="continuationSeparator" w:id="0">
    <w:p w:rsidR="002B6CC7" w:rsidRDefault="002B6CC7">
      <w:r>
        <w:continuationSeparator/>
      </w:r>
    </w:p>
  </w:endnote>
  <w:endnote w:type="continuationNotice" w:id="1">
    <w:p w:rsidR="002B6CC7" w:rsidRDefault="002B6C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Myriad Pro">
    <w:charset w:val="00"/>
    <w:family w:val="swiss"/>
    <w:notTrueType/>
    <w:pitch w:val="variable"/>
    <w:sig w:usb0="A00002AF" w:usb1="5000204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D53" w:rsidRDefault="00C43D53"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43D53" w:rsidRDefault="00C43D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D53" w:rsidRDefault="00C43D53" w:rsidP="00850940">
    <w:pPr>
      <w:pStyle w:val="Footer"/>
      <w:numPr>
        <w:ilvl w:val="0"/>
        <w:numId w:val="0"/>
      </w:num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6CC7" w:rsidRDefault="002B6CC7">
      <w:r>
        <w:separator/>
      </w:r>
    </w:p>
  </w:footnote>
  <w:footnote w:type="continuationSeparator" w:id="0">
    <w:p w:rsidR="002B6CC7" w:rsidRDefault="002B6CC7">
      <w:r>
        <w:continuationSeparator/>
      </w:r>
    </w:p>
  </w:footnote>
  <w:footnote w:type="continuationNotice" w:id="1">
    <w:p w:rsidR="002B6CC7" w:rsidRDefault="002B6CC7"/>
  </w:footnote>
  <w:footnote w:id="2">
    <w:p w:rsidR="00C43D53" w:rsidRPr="005B6472" w:rsidRDefault="00C43D53" w:rsidP="004C7D81">
      <w:pPr>
        <w:pStyle w:val="FootnoteText"/>
      </w:pPr>
      <w:r w:rsidRPr="005B6472">
        <w:rPr>
          <w:rStyle w:val="FootnoteReference"/>
        </w:rPr>
        <w:footnoteRef/>
      </w:r>
      <w:r w:rsidRPr="005B6472">
        <w:t xml:space="preserve"> Kasza KA et al. (2017). Tobacco-product use by adults and youths in the United States in 2013 and 2014. N England J Med. 376(4</w:t>
      </w:r>
      <w:r w:rsidR="00E24A18" w:rsidRPr="005B6472">
        <w:t>)</w:t>
      </w:r>
      <w:r w:rsidR="00E24A18">
        <w:t xml:space="preserve">, </w:t>
      </w:r>
      <w:r w:rsidRPr="005B6472">
        <w:t>342</w:t>
      </w:r>
      <w:r w:rsidR="00E24A18">
        <w:t>-</w:t>
      </w:r>
      <w:r w:rsidRPr="005B6472">
        <w:t>53.</w:t>
      </w:r>
    </w:p>
  </w:footnote>
  <w:footnote w:id="3">
    <w:p w:rsidR="00C43D53" w:rsidRPr="008B5E11" w:rsidRDefault="00C43D53" w:rsidP="004C7D81">
      <w:pPr>
        <w:autoSpaceDE w:val="0"/>
        <w:autoSpaceDN w:val="0"/>
        <w:adjustRightInd w:val="0"/>
        <w:rPr>
          <w:bCs/>
          <w:color w:val="000000"/>
          <w:sz w:val="20"/>
          <w:szCs w:val="20"/>
        </w:rPr>
      </w:pPr>
      <w:r w:rsidRPr="005B6472">
        <w:rPr>
          <w:rStyle w:val="FootnoteReference"/>
          <w:sz w:val="20"/>
          <w:szCs w:val="20"/>
        </w:rPr>
        <w:footnoteRef/>
      </w:r>
      <w:r w:rsidRPr="005B6472">
        <w:rPr>
          <w:sz w:val="20"/>
          <w:szCs w:val="20"/>
        </w:rPr>
        <w:t xml:space="preserve"> </w:t>
      </w:r>
      <w:r w:rsidRPr="005B6472">
        <w:rPr>
          <w:color w:val="000000"/>
          <w:sz w:val="20"/>
          <w:szCs w:val="20"/>
        </w:rPr>
        <w:t>Trinidad DR et al. (201</w:t>
      </w:r>
      <w:r w:rsidR="008B5E11">
        <w:rPr>
          <w:color w:val="000000"/>
          <w:sz w:val="20"/>
          <w:szCs w:val="20"/>
        </w:rPr>
        <w:t>7</w:t>
      </w:r>
      <w:r w:rsidRPr="005B6472">
        <w:rPr>
          <w:color w:val="000000"/>
          <w:sz w:val="20"/>
          <w:szCs w:val="20"/>
        </w:rPr>
        <w:t xml:space="preserve">). </w:t>
      </w:r>
      <w:r w:rsidRPr="005B6472">
        <w:rPr>
          <w:bCs/>
          <w:color w:val="000000"/>
          <w:sz w:val="20"/>
          <w:szCs w:val="20"/>
        </w:rPr>
        <w:t xml:space="preserve">Susceptibility to tobacco product use among youth in Wave 1 of the Population Assessment of Tobacco and Health (PATH) study. </w:t>
      </w:r>
      <w:hyperlink r:id="rId1" w:tooltip="Preventive medicine." w:history="1">
        <w:r w:rsidR="0092429F" w:rsidRPr="008B5E11">
          <w:rPr>
            <w:bCs/>
            <w:color w:val="000000"/>
            <w:sz w:val="20"/>
            <w:szCs w:val="20"/>
          </w:rPr>
          <w:t>Prev Med.</w:t>
        </w:r>
      </w:hyperlink>
      <w:r w:rsidR="0092429F" w:rsidRPr="008B5E11">
        <w:rPr>
          <w:bCs/>
          <w:color w:val="000000"/>
          <w:sz w:val="20"/>
          <w:szCs w:val="20"/>
        </w:rPr>
        <w:t xml:space="preserve"> 101</w:t>
      </w:r>
      <w:r w:rsidR="008B5E11" w:rsidRPr="008B5E11">
        <w:rPr>
          <w:bCs/>
          <w:color w:val="000000"/>
          <w:sz w:val="20"/>
          <w:szCs w:val="20"/>
        </w:rPr>
        <w:t xml:space="preserve">, </w:t>
      </w:r>
      <w:r w:rsidR="0092429F" w:rsidRPr="008B5E11">
        <w:rPr>
          <w:bCs/>
          <w:color w:val="000000"/>
          <w:sz w:val="20"/>
          <w:szCs w:val="20"/>
        </w:rPr>
        <w:t>8-14.</w:t>
      </w:r>
    </w:p>
  </w:footnote>
  <w:footnote w:id="4">
    <w:p w:rsidR="00C43D53" w:rsidRPr="005B6472" w:rsidRDefault="00C43D53" w:rsidP="004C7D81">
      <w:pPr>
        <w:pStyle w:val="CommentText"/>
        <w:rPr>
          <w:sz w:val="20"/>
          <w:highlight w:val="yellow"/>
        </w:rPr>
      </w:pPr>
      <w:r w:rsidRPr="005B6472">
        <w:rPr>
          <w:rStyle w:val="FootnoteReference"/>
          <w:sz w:val="20"/>
        </w:rPr>
        <w:footnoteRef/>
      </w:r>
      <w:r w:rsidRPr="005B6472">
        <w:rPr>
          <w:sz w:val="20"/>
        </w:rPr>
        <w:t xml:space="preserve"> Diviak KR et al. (2006). Recruitment and retention of adolescents in a smoking trajectory study: Who </w:t>
      </w:r>
      <w:r w:rsidR="00085793" w:rsidRPr="005B6472">
        <w:rPr>
          <w:sz w:val="20"/>
        </w:rPr>
        <w:t>participates</w:t>
      </w:r>
      <w:r w:rsidRPr="005B6472">
        <w:rPr>
          <w:sz w:val="20"/>
        </w:rPr>
        <w:t xml:space="preserve"> and lessons learned. </w:t>
      </w:r>
      <w:r w:rsidR="00E24A18" w:rsidRPr="00625A39">
        <w:rPr>
          <w:sz w:val="20"/>
        </w:rPr>
        <w:t>Subst Use Misuse</w:t>
      </w:r>
      <w:r w:rsidRPr="005B6472">
        <w:rPr>
          <w:sz w:val="20"/>
        </w:rPr>
        <w:t xml:space="preserve">. 41, 175-182; </w:t>
      </w:r>
      <w:r w:rsidRPr="005B6472">
        <w:rPr>
          <w:rFonts w:eastAsia="Arial Unicode MS"/>
          <w:color w:val="2E2E2E"/>
          <w:sz w:val="20"/>
        </w:rPr>
        <w:t xml:space="preserve">McCormick LK et al. (1999). </w:t>
      </w:r>
      <w:r w:rsidRPr="005B6472">
        <w:rPr>
          <w:rFonts w:eastAsia="Arial Unicode MS"/>
          <w:bCs/>
          <w:sz w:val="20"/>
        </w:rPr>
        <w:t xml:space="preserve">Recruiting adolescents into qualitative tobacco research studies: experiences and lessons learned. </w:t>
      </w:r>
      <w:r w:rsidRPr="005B6472">
        <w:rPr>
          <w:rFonts w:eastAsia="Arial Unicode MS"/>
          <w:sz w:val="20"/>
        </w:rPr>
        <w:t>J Sch Health</w:t>
      </w:r>
      <w:r w:rsidR="00E24A18">
        <w:rPr>
          <w:rFonts w:eastAsia="Arial Unicode MS"/>
          <w:sz w:val="20"/>
        </w:rPr>
        <w:t>.</w:t>
      </w:r>
      <w:r w:rsidR="00E24A18" w:rsidRPr="005B6472">
        <w:rPr>
          <w:rFonts w:eastAsia="Arial Unicode MS"/>
          <w:sz w:val="20"/>
        </w:rPr>
        <w:t xml:space="preserve"> </w:t>
      </w:r>
      <w:r w:rsidRPr="005B6472">
        <w:rPr>
          <w:rFonts w:eastAsia="Arial Unicode MS"/>
          <w:sz w:val="20"/>
        </w:rPr>
        <w:t>69, 95</w:t>
      </w:r>
      <w:r w:rsidR="00E24A18">
        <w:rPr>
          <w:rFonts w:eastAsia="Arial Unicode MS"/>
          <w:sz w:val="20"/>
        </w:rPr>
        <w:t>-</w:t>
      </w:r>
      <w:r w:rsidRPr="005B6472">
        <w:rPr>
          <w:rFonts w:eastAsia="Arial Unicode MS"/>
          <w:sz w:val="20"/>
        </w:rPr>
        <w:t>99.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1E2C"/>
    <w:multiLevelType w:val="multilevel"/>
    <w:tmpl w:val="5A643314"/>
    <w:lvl w:ilvl="0">
      <w:start w:val="1"/>
      <w:numFmt w:val="bullet"/>
      <w:pStyle w:val="EndNoteBibliography"/>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75942"/>
    <w:multiLevelType w:val="multilevel"/>
    <w:tmpl w:val="D52819A4"/>
    <w:styleLink w:val="Format2Number"/>
    <w:lvl w:ilvl="0">
      <w:start w:val="1"/>
      <w:numFmt w:val="decimal"/>
      <w:suff w:val="nothing"/>
      <w:lvlText w:val="Section %1."/>
      <w:lvlJc w:val="left"/>
      <w:pPr>
        <w:ind w:left="432" w:hanging="432"/>
      </w:pPr>
      <w:rPr>
        <w:rFonts w:ascii="Times New Roman" w:hAnsi="Times New Roman" w:hint="default"/>
        <w:b/>
        <w:i w:val="0"/>
        <w:sz w:val="24"/>
      </w:rPr>
    </w:lvl>
    <w:lvl w:ilvl="1">
      <w:start w:val="1"/>
      <w:numFmt w:val="decimal"/>
      <w:lvlText w:val="%1.%2"/>
      <w:lvlJc w:val="left"/>
      <w:pPr>
        <w:ind w:left="720" w:hanging="720"/>
      </w:pPr>
      <w:rPr>
        <w:rFonts w:ascii="Times New Roman" w:hAnsi="Times New Roman" w:cs="Times New Roman" w:hint="default"/>
        <w:b/>
        <w:i w:val="0"/>
        <w:sz w:val="24"/>
      </w:rPr>
    </w:lvl>
    <w:lvl w:ilvl="2">
      <w:start w:val="1"/>
      <w:numFmt w:val="decimal"/>
      <w:lvlText w:val="%1.%2.%3"/>
      <w:lvlJc w:val="left"/>
      <w:pPr>
        <w:ind w:left="864" w:hanging="864"/>
      </w:pPr>
      <w:rPr>
        <w:rFonts w:ascii="Times New Roman" w:hAnsi="Times New Roman" w:cs="Times New Roman" w:hint="default"/>
        <w:b/>
        <w:i/>
        <w:sz w:val="24"/>
      </w:rPr>
    </w:lvl>
    <w:lvl w:ilvl="3">
      <w:start w:val="1"/>
      <w:numFmt w:val="decimal"/>
      <w:lvlText w:val="%1.%2.%3.%4"/>
      <w:lvlJc w:val="left"/>
      <w:pPr>
        <w:ind w:left="864" w:hanging="86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B1855DF"/>
    <w:multiLevelType w:val="hybridMultilevel"/>
    <w:tmpl w:val="DDE2B548"/>
    <w:lvl w:ilvl="0" w:tplc="2B48C43E">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16939"/>
    <w:multiLevelType w:val="hybridMultilevel"/>
    <w:tmpl w:val="A1D03FBC"/>
    <w:lvl w:ilvl="0" w:tplc="AB3838C0">
      <w:start w:val="1"/>
      <w:numFmt w:val="bullet"/>
      <w:pStyle w:val="Footer"/>
      <w:lvlText w:val="•"/>
      <w:lvlJc w:val="left"/>
      <w:pPr>
        <w:ind w:left="576" w:hanging="288"/>
      </w:pPr>
      <w:rPr>
        <w:rFonts w:ascii="Times New Roman" w:hAnsi="Times New Roman" w:cs="Times New Roman" w:hint="default"/>
        <w:sz w:val="24"/>
        <w:szCs w:val="24"/>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4" w15:restartNumberingAfterBreak="0">
    <w:nsid w:val="28A27CE7"/>
    <w:multiLevelType w:val="hybridMultilevel"/>
    <w:tmpl w:val="55DC362E"/>
    <w:lvl w:ilvl="0" w:tplc="D2B62D26">
      <w:start w:val="1"/>
      <w:numFmt w:val="bullet"/>
      <w:pStyle w:val="bullets"/>
      <w:lvlText w:val="•"/>
      <w:lvlJc w:val="left"/>
      <w:pPr>
        <w:ind w:left="72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FA170FF"/>
    <w:multiLevelType w:val="hybridMultilevel"/>
    <w:tmpl w:val="6354115C"/>
    <w:lvl w:ilvl="0" w:tplc="5EEC0E32">
      <w:start w:val="1"/>
      <w:numFmt w:val="bullet"/>
      <w:pStyle w:val="table-bulletind"/>
      <w:lvlText w:val="•"/>
      <w:lvlJc w:val="left"/>
      <w:pPr>
        <w:ind w:left="1008"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F941AC"/>
    <w:multiLevelType w:val="hybridMultilevel"/>
    <w:tmpl w:val="53EC0378"/>
    <w:lvl w:ilvl="0" w:tplc="5E462A00">
      <w:start w:val="1"/>
      <w:numFmt w:val="bullet"/>
      <w:pStyle w:val="bullets2nd-level"/>
      <w:lvlText w:val="–"/>
      <w:lvlJc w:val="left"/>
      <w:pPr>
        <w:ind w:left="108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9D09AB"/>
    <w:multiLevelType w:val="multilevel"/>
    <w:tmpl w:val="66EA790E"/>
    <w:lvl w:ilvl="0">
      <w:start w:val="1"/>
      <w:numFmt w:val="decimal"/>
      <w:pStyle w:val="Heading3"/>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7819C7"/>
    <w:multiLevelType w:val="multilevel"/>
    <w:tmpl w:val="FD72B0CC"/>
    <w:lvl w:ilvl="0">
      <w:start w:val="1"/>
      <w:numFmt w:val="decimal"/>
      <w:lvlText w:val="%1)"/>
      <w:lvlJc w:val="left"/>
      <w:pPr>
        <w:ind w:left="360" w:hanging="360"/>
      </w:pPr>
      <w:rPr>
        <w:rFonts w:hint="default"/>
      </w:rPr>
    </w:lvl>
    <w:lvl w:ilvl="1">
      <w:start w:val="1"/>
      <w:numFmt w:val="bullet"/>
      <w:pStyle w:val="table-bullet2nd"/>
      <w:lvlText w:val=""/>
      <w:lvlJc w:val="left"/>
      <w:pPr>
        <w:ind w:left="576" w:hanging="288"/>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19654F1"/>
    <w:multiLevelType w:val="hybridMultilevel"/>
    <w:tmpl w:val="ABDC8C48"/>
    <w:lvl w:ilvl="0" w:tplc="378EAC76">
      <w:start w:val="1"/>
      <w:numFmt w:val="bullet"/>
      <w:pStyle w:val="textbox-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352DEA"/>
    <w:multiLevelType w:val="hybridMultilevel"/>
    <w:tmpl w:val="44D02AE8"/>
    <w:lvl w:ilvl="0" w:tplc="76D0A4B4">
      <w:start w:val="1"/>
      <w:numFmt w:val="bullet"/>
      <w:pStyle w:val="table-bulletLM"/>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4"/>
  </w:num>
  <w:num w:numId="4">
    <w:abstractNumId w:val="6"/>
  </w:num>
  <w:num w:numId="5">
    <w:abstractNumId w:val="8"/>
  </w:num>
  <w:num w:numId="6">
    <w:abstractNumId w:val="1"/>
  </w:num>
  <w:num w:numId="7">
    <w:abstractNumId w:val="9"/>
  </w:num>
  <w:num w:numId="8">
    <w:abstractNumId w:val="3"/>
  </w:num>
  <w:num w:numId="9">
    <w:abstractNumId w:val="10"/>
  </w:num>
  <w:num w:numId="10">
    <w:abstractNumId w:val="5"/>
  </w:num>
  <w:num w:numId="11">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noPunctuationKerning/>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ftazzr01ztp2nezaf7ppse12esvze5a0255&quot;&gt;DTM library&lt;record-ids&gt;&lt;item&gt;113&lt;/item&gt;&lt;/record-ids&gt;&lt;/item&gt;&lt;/Libraries&gt;"/>
  </w:docVars>
  <w:rsids>
    <w:rsidRoot w:val="00EB7538"/>
    <w:rsid w:val="000133EC"/>
    <w:rsid w:val="00020A2C"/>
    <w:rsid w:val="00026758"/>
    <w:rsid w:val="00031A2C"/>
    <w:rsid w:val="000325F0"/>
    <w:rsid w:val="000360DE"/>
    <w:rsid w:val="00037E17"/>
    <w:rsid w:val="00042C48"/>
    <w:rsid w:val="00043C7F"/>
    <w:rsid w:val="000528A0"/>
    <w:rsid w:val="00060ECF"/>
    <w:rsid w:val="00065056"/>
    <w:rsid w:val="000654D1"/>
    <w:rsid w:val="0006570F"/>
    <w:rsid w:val="00065972"/>
    <w:rsid w:val="00066B3B"/>
    <w:rsid w:val="00075DE8"/>
    <w:rsid w:val="00085793"/>
    <w:rsid w:val="00094500"/>
    <w:rsid w:val="000A12B5"/>
    <w:rsid w:val="000A51B9"/>
    <w:rsid w:val="000A6CE6"/>
    <w:rsid w:val="000B340A"/>
    <w:rsid w:val="000C0339"/>
    <w:rsid w:val="000C560C"/>
    <w:rsid w:val="000D1486"/>
    <w:rsid w:val="000D48FD"/>
    <w:rsid w:val="000E1C64"/>
    <w:rsid w:val="000F7119"/>
    <w:rsid w:val="000F77C8"/>
    <w:rsid w:val="000F7AF1"/>
    <w:rsid w:val="00100739"/>
    <w:rsid w:val="0010394D"/>
    <w:rsid w:val="00107885"/>
    <w:rsid w:val="0011029C"/>
    <w:rsid w:val="00114FC4"/>
    <w:rsid w:val="0012329C"/>
    <w:rsid w:val="001238C6"/>
    <w:rsid w:val="0012520C"/>
    <w:rsid w:val="0012756D"/>
    <w:rsid w:val="00127C20"/>
    <w:rsid w:val="00132524"/>
    <w:rsid w:val="001337F6"/>
    <w:rsid w:val="00134FA7"/>
    <w:rsid w:val="001376D0"/>
    <w:rsid w:val="00137950"/>
    <w:rsid w:val="00150866"/>
    <w:rsid w:val="00152F29"/>
    <w:rsid w:val="0016285A"/>
    <w:rsid w:val="00176EF3"/>
    <w:rsid w:val="00183B94"/>
    <w:rsid w:val="00185270"/>
    <w:rsid w:val="00190300"/>
    <w:rsid w:val="00191AAA"/>
    <w:rsid w:val="001A39BD"/>
    <w:rsid w:val="001A3B5A"/>
    <w:rsid w:val="001A6F20"/>
    <w:rsid w:val="001B7CE9"/>
    <w:rsid w:val="001C3450"/>
    <w:rsid w:val="001C5571"/>
    <w:rsid w:val="001D495A"/>
    <w:rsid w:val="001E205E"/>
    <w:rsid w:val="001E244C"/>
    <w:rsid w:val="001F031C"/>
    <w:rsid w:val="001F0F09"/>
    <w:rsid w:val="001F1437"/>
    <w:rsid w:val="0020402D"/>
    <w:rsid w:val="00205E21"/>
    <w:rsid w:val="002078EA"/>
    <w:rsid w:val="00214B8B"/>
    <w:rsid w:val="002213E3"/>
    <w:rsid w:val="0022482A"/>
    <w:rsid w:val="002259EF"/>
    <w:rsid w:val="00225D0F"/>
    <w:rsid w:val="00242ED1"/>
    <w:rsid w:val="002444BB"/>
    <w:rsid w:val="002463FF"/>
    <w:rsid w:val="002477A4"/>
    <w:rsid w:val="00254069"/>
    <w:rsid w:val="002541C1"/>
    <w:rsid w:val="00264466"/>
    <w:rsid w:val="00266102"/>
    <w:rsid w:val="00270748"/>
    <w:rsid w:val="00270DB7"/>
    <w:rsid w:val="002710A0"/>
    <w:rsid w:val="002734E5"/>
    <w:rsid w:val="002746DB"/>
    <w:rsid w:val="00280CAF"/>
    <w:rsid w:val="00281C30"/>
    <w:rsid w:val="00282F09"/>
    <w:rsid w:val="0028348A"/>
    <w:rsid w:val="00285D64"/>
    <w:rsid w:val="00287D6C"/>
    <w:rsid w:val="00290A98"/>
    <w:rsid w:val="00293C01"/>
    <w:rsid w:val="00297532"/>
    <w:rsid w:val="00297928"/>
    <w:rsid w:val="002A1210"/>
    <w:rsid w:val="002A2B0F"/>
    <w:rsid w:val="002B2269"/>
    <w:rsid w:val="002B6CC7"/>
    <w:rsid w:val="002B7229"/>
    <w:rsid w:val="002C0AE1"/>
    <w:rsid w:val="002D14D8"/>
    <w:rsid w:val="002D1C87"/>
    <w:rsid w:val="002D260C"/>
    <w:rsid w:val="002D4799"/>
    <w:rsid w:val="002E3FA4"/>
    <w:rsid w:val="002F2206"/>
    <w:rsid w:val="002F303A"/>
    <w:rsid w:val="002F4CAF"/>
    <w:rsid w:val="002F530E"/>
    <w:rsid w:val="002F5765"/>
    <w:rsid w:val="002F594D"/>
    <w:rsid w:val="003007DA"/>
    <w:rsid w:val="00300AA3"/>
    <w:rsid w:val="003034FD"/>
    <w:rsid w:val="003036A3"/>
    <w:rsid w:val="003113FF"/>
    <w:rsid w:val="00315DDA"/>
    <w:rsid w:val="00316758"/>
    <w:rsid w:val="0032021A"/>
    <w:rsid w:val="0032277F"/>
    <w:rsid w:val="00342AEF"/>
    <w:rsid w:val="0034398E"/>
    <w:rsid w:val="00346AB0"/>
    <w:rsid w:val="00350523"/>
    <w:rsid w:val="0035189D"/>
    <w:rsid w:val="00353FCD"/>
    <w:rsid w:val="00360370"/>
    <w:rsid w:val="00362177"/>
    <w:rsid w:val="00373B2A"/>
    <w:rsid w:val="003740BC"/>
    <w:rsid w:val="00374503"/>
    <w:rsid w:val="003801A3"/>
    <w:rsid w:val="00383D90"/>
    <w:rsid w:val="00383F03"/>
    <w:rsid w:val="003918E2"/>
    <w:rsid w:val="003A1A27"/>
    <w:rsid w:val="003A385F"/>
    <w:rsid w:val="003A50CC"/>
    <w:rsid w:val="003B261B"/>
    <w:rsid w:val="003B42B3"/>
    <w:rsid w:val="003B6384"/>
    <w:rsid w:val="003C3C6E"/>
    <w:rsid w:val="003C4EBB"/>
    <w:rsid w:val="003D1295"/>
    <w:rsid w:val="003D1531"/>
    <w:rsid w:val="003D2C83"/>
    <w:rsid w:val="003D646C"/>
    <w:rsid w:val="003D734C"/>
    <w:rsid w:val="003E4EC6"/>
    <w:rsid w:val="003E527E"/>
    <w:rsid w:val="003E553E"/>
    <w:rsid w:val="003E7078"/>
    <w:rsid w:val="003F3DF5"/>
    <w:rsid w:val="003F481E"/>
    <w:rsid w:val="00400D9D"/>
    <w:rsid w:val="00411179"/>
    <w:rsid w:val="00411AC3"/>
    <w:rsid w:val="00411D11"/>
    <w:rsid w:val="00411E68"/>
    <w:rsid w:val="00415E23"/>
    <w:rsid w:val="0041670D"/>
    <w:rsid w:val="0042079E"/>
    <w:rsid w:val="00420D77"/>
    <w:rsid w:val="00422BAB"/>
    <w:rsid w:val="00422D47"/>
    <w:rsid w:val="00424061"/>
    <w:rsid w:val="004328FD"/>
    <w:rsid w:val="00442A3C"/>
    <w:rsid w:val="00443969"/>
    <w:rsid w:val="00444859"/>
    <w:rsid w:val="004452C4"/>
    <w:rsid w:val="00447D74"/>
    <w:rsid w:val="00450A74"/>
    <w:rsid w:val="004546BF"/>
    <w:rsid w:val="004556A4"/>
    <w:rsid w:val="00465350"/>
    <w:rsid w:val="00475AF3"/>
    <w:rsid w:val="00484557"/>
    <w:rsid w:val="004846BF"/>
    <w:rsid w:val="00490DB3"/>
    <w:rsid w:val="004946A5"/>
    <w:rsid w:val="00494F44"/>
    <w:rsid w:val="0049522A"/>
    <w:rsid w:val="00497C48"/>
    <w:rsid w:val="004A0DF1"/>
    <w:rsid w:val="004A3927"/>
    <w:rsid w:val="004A3B08"/>
    <w:rsid w:val="004A3C4C"/>
    <w:rsid w:val="004B66F1"/>
    <w:rsid w:val="004C063F"/>
    <w:rsid w:val="004C1458"/>
    <w:rsid w:val="004C1DB8"/>
    <w:rsid w:val="004C6979"/>
    <w:rsid w:val="004C7D81"/>
    <w:rsid w:val="004D3E7A"/>
    <w:rsid w:val="004D62EA"/>
    <w:rsid w:val="004D6DF8"/>
    <w:rsid w:val="004E04CF"/>
    <w:rsid w:val="004E3C59"/>
    <w:rsid w:val="004E4EDE"/>
    <w:rsid w:val="004E6C2A"/>
    <w:rsid w:val="004E6F4B"/>
    <w:rsid w:val="004F594B"/>
    <w:rsid w:val="004F61E1"/>
    <w:rsid w:val="00503BB7"/>
    <w:rsid w:val="0050502A"/>
    <w:rsid w:val="00505576"/>
    <w:rsid w:val="00513BDC"/>
    <w:rsid w:val="005156DA"/>
    <w:rsid w:val="00520220"/>
    <w:rsid w:val="00524676"/>
    <w:rsid w:val="0053071F"/>
    <w:rsid w:val="00537D2E"/>
    <w:rsid w:val="00544138"/>
    <w:rsid w:val="0054698F"/>
    <w:rsid w:val="0056205E"/>
    <w:rsid w:val="005625EE"/>
    <w:rsid w:val="00572A26"/>
    <w:rsid w:val="00573862"/>
    <w:rsid w:val="005742CF"/>
    <w:rsid w:val="00574E80"/>
    <w:rsid w:val="00580A6E"/>
    <w:rsid w:val="00584583"/>
    <w:rsid w:val="00587AA4"/>
    <w:rsid w:val="00590EEB"/>
    <w:rsid w:val="0059520E"/>
    <w:rsid w:val="005968FF"/>
    <w:rsid w:val="0059730E"/>
    <w:rsid w:val="005A4099"/>
    <w:rsid w:val="005B6472"/>
    <w:rsid w:val="005C38B2"/>
    <w:rsid w:val="005C5029"/>
    <w:rsid w:val="005C55C2"/>
    <w:rsid w:val="005C5A50"/>
    <w:rsid w:val="005C745C"/>
    <w:rsid w:val="005D2874"/>
    <w:rsid w:val="005D2BE0"/>
    <w:rsid w:val="005D40BF"/>
    <w:rsid w:val="005D4DF5"/>
    <w:rsid w:val="005E2E7D"/>
    <w:rsid w:val="005E345F"/>
    <w:rsid w:val="005E3D18"/>
    <w:rsid w:val="005E6421"/>
    <w:rsid w:val="005F5AFB"/>
    <w:rsid w:val="005F658D"/>
    <w:rsid w:val="00601961"/>
    <w:rsid w:val="0061175B"/>
    <w:rsid w:val="00611D6B"/>
    <w:rsid w:val="00611D79"/>
    <w:rsid w:val="00612781"/>
    <w:rsid w:val="00622682"/>
    <w:rsid w:val="00625A39"/>
    <w:rsid w:val="006326EC"/>
    <w:rsid w:val="00634B6D"/>
    <w:rsid w:val="0064429F"/>
    <w:rsid w:val="0064581B"/>
    <w:rsid w:val="006503C2"/>
    <w:rsid w:val="00662FE4"/>
    <w:rsid w:val="00663A42"/>
    <w:rsid w:val="006641C7"/>
    <w:rsid w:val="00665DCA"/>
    <w:rsid w:val="00670BE2"/>
    <w:rsid w:val="00676A28"/>
    <w:rsid w:val="006844A9"/>
    <w:rsid w:val="00690E06"/>
    <w:rsid w:val="006A0E07"/>
    <w:rsid w:val="006A26C6"/>
    <w:rsid w:val="006A63FF"/>
    <w:rsid w:val="006A7D5D"/>
    <w:rsid w:val="006B398A"/>
    <w:rsid w:val="006D4D1E"/>
    <w:rsid w:val="006D5D57"/>
    <w:rsid w:val="006D72C4"/>
    <w:rsid w:val="006E53BB"/>
    <w:rsid w:val="006F1F51"/>
    <w:rsid w:val="006F4D6D"/>
    <w:rsid w:val="006F6AB5"/>
    <w:rsid w:val="00703822"/>
    <w:rsid w:val="00704CA4"/>
    <w:rsid w:val="00704E96"/>
    <w:rsid w:val="00705086"/>
    <w:rsid w:val="0071362C"/>
    <w:rsid w:val="00722A3B"/>
    <w:rsid w:val="007236D2"/>
    <w:rsid w:val="00727D55"/>
    <w:rsid w:val="00732BCC"/>
    <w:rsid w:val="00737956"/>
    <w:rsid w:val="00754497"/>
    <w:rsid w:val="00755348"/>
    <w:rsid w:val="00757855"/>
    <w:rsid w:val="00762364"/>
    <w:rsid w:val="00770666"/>
    <w:rsid w:val="007717CA"/>
    <w:rsid w:val="00780755"/>
    <w:rsid w:val="00782144"/>
    <w:rsid w:val="00787C39"/>
    <w:rsid w:val="00792CB3"/>
    <w:rsid w:val="00795DF3"/>
    <w:rsid w:val="007A373C"/>
    <w:rsid w:val="007A37A2"/>
    <w:rsid w:val="007B0DA4"/>
    <w:rsid w:val="007B225C"/>
    <w:rsid w:val="007B3E47"/>
    <w:rsid w:val="007B5351"/>
    <w:rsid w:val="007B68DE"/>
    <w:rsid w:val="007C75B1"/>
    <w:rsid w:val="007C76E3"/>
    <w:rsid w:val="007D3DFC"/>
    <w:rsid w:val="007D42AD"/>
    <w:rsid w:val="007D70A6"/>
    <w:rsid w:val="007E2F07"/>
    <w:rsid w:val="007E518B"/>
    <w:rsid w:val="007F241B"/>
    <w:rsid w:val="00804020"/>
    <w:rsid w:val="00805CE2"/>
    <w:rsid w:val="0080776D"/>
    <w:rsid w:val="00807BD1"/>
    <w:rsid w:val="00810145"/>
    <w:rsid w:val="008108FA"/>
    <w:rsid w:val="00810FF1"/>
    <w:rsid w:val="00812599"/>
    <w:rsid w:val="008159A0"/>
    <w:rsid w:val="00822336"/>
    <w:rsid w:val="00823DFA"/>
    <w:rsid w:val="00823EDF"/>
    <w:rsid w:val="00823F5E"/>
    <w:rsid w:val="008255C1"/>
    <w:rsid w:val="00843752"/>
    <w:rsid w:val="0084479F"/>
    <w:rsid w:val="00850940"/>
    <w:rsid w:val="00853AEC"/>
    <w:rsid w:val="00853E88"/>
    <w:rsid w:val="0085725E"/>
    <w:rsid w:val="00872FE6"/>
    <w:rsid w:val="008742C6"/>
    <w:rsid w:val="008745A4"/>
    <w:rsid w:val="0087609A"/>
    <w:rsid w:val="00880C53"/>
    <w:rsid w:val="00880FF9"/>
    <w:rsid w:val="008829DF"/>
    <w:rsid w:val="00885B09"/>
    <w:rsid w:val="00886F3F"/>
    <w:rsid w:val="00887C57"/>
    <w:rsid w:val="0089021F"/>
    <w:rsid w:val="00892400"/>
    <w:rsid w:val="008961B4"/>
    <w:rsid w:val="008A0847"/>
    <w:rsid w:val="008A209D"/>
    <w:rsid w:val="008A22BB"/>
    <w:rsid w:val="008B0E29"/>
    <w:rsid w:val="008B0EFA"/>
    <w:rsid w:val="008B30AB"/>
    <w:rsid w:val="008B37B8"/>
    <w:rsid w:val="008B5E11"/>
    <w:rsid w:val="008B637A"/>
    <w:rsid w:val="008C1D80"/>
    <w:rsid w:val="008C1ED2"/>
    <w:rsid w:val="008C246F"/>
    <w:rsid w:val="008D397F"/>
    <w:rsid w:val="008D7688"/>
    <w:rsid w:val="008E5F55"/>
    <w:rsid w:val="008E6EC1"/>
    <w:rsid w:val="008F3386"/>
    <w:rsid w:val="008F4453"/>
    <w:rsid w:val="008F6877"/>
    <w:rsid w:val="008F7C61"/>
    <w:rsid w:val="00905DEF"/>
    <w:rsid w:val="00913B43"/>
    <w:rsid w:val="0091483E"/>
    <w:rsid w:val="0092429F"/>
    <w:rsid w:val="00924789"/>
    <w:rsid w:val="00925AE9"/>
    <w:rsid w:val="00925C2B"/>
    <w:rsid w:val="00930203"/>
    <w:rsid w:val="009311D2"/>
    <w:rsid w:val="009311E6"/>
    <w:rsid w:val="00931275"/>
    <w:rsid w:val="00936AC7"/>
    <w:rsid w:val="00941C06"/>
    <w:rsid w:val="009534D6"/>
    <w:rsid w:val="00953B64"/>
    <w:rsid w:val="00954DF8"/>
    <w:rsid w:val="00962A1B"/>
    <w:rsid w:val="00963A7B"/>
    <w:rsid w:val="009752A8"/>
    <w:rsid w:val="009900C6"/>
    <w:rsid w:val="009A1674"/>
    <w:rsid w:val="009A2046"/>
    <w:rsid w:val="009B53B8"/>
    <w:rsid w:val="009C1418"/>
    <w:rsid w:val="009C598E"/>
    <w:rsid w:val="009C6626"/>
    <w:rsid w:val="009C684F"/>
    <w:rsid w:val="009D074C"/>
    <w:rsid w:val="009D3A63"/>
    <w:rsid w:val="009D74BC"/>
    <w:rsid w:val="009E4FE1"/>
    <w:rsid w:val="009E61B2"/>
    <w:rsid w:val="009E6678"/>
    <w:rsid w:val="009F1F1D"/>
    <w:rsid w:val="009F2B4F"/>
    <w:rsid w:val="009F58A3"/>
    <w:rsid w:val="009F66B5"/>
    <w:rsid w:val="00A0229E"/>
    <w:rsid w:val="00A13B87"/>
    <w:rsid w:val="00A1473A"/>
    <w:rsid w:val="00A16221"/>
    <w:rsid w:val="00A20A7D"/>
    <w:rsid w:val="00A22958"/>
    <w:rsid w:val="00A320ED"/>
    <w:rsid w:val="00A337EB"/>
    <w:rsid w:val="00A33DAA"/>
    <w:rsid w:val="00A35D42"/>
    <w:rsid w:val="00A46CCF"/>
    <w:rsid w:val="00A50454"/>
    <w:rsid w:val="00A52258"/>
    <w:rsid w:val="00A53451"/>
    <w:rsid w:val="00A64C0C"/>
    <w:rsid w:val="00A65487"/>
    <w:rsid w:val="00A70426"/>
    <w:rsid w:val="00A8484F"/>
    <w:rsid w:val="00A91E9A"/>
    <w:rsid w:val="00A93ED9"/>
    <w:rsid w:val="00A94967"/>
    <w:rsid w:val="00A96221"/>
    <w:rsid w:val="00AA25F0"/>
    <w:rsid w:val="00AC6A99"/>
    <w:rsid w:val="00AD4C50"/>
    <w:rsid w:val="00AF2568"/>
    <w:rsid w:val="00AF2817"/>
    <w:rsid w:val="00AF654B"/>
    <w:rsid w:val="00B02E1E"/>
    <w:rsid w:val="00B0321E"/>
    <w:rsid w:val="00B04616"/>
    <w:rsid w:val="00B055EF"/>
    <w:rsid w:val="00B10655"/>
    <w:rsid w:val="00B14DD2"/>
    <w:rsid w:val="00B15945"/>
    <w:rsid w:val="00B23769"/>
    <w:rsid w:val="00B40E8D"/>
    <w:rsid w:val="00B66830"/>
    <w:rsid w:val="00B71879"/>
    <w:rsid w:val="00B71D06"/>
    <w:rsid w:val="00B81808"/>
    <w:rsid w:val="00B840A9"/>
    <w:rsid w:val="00B86DFA"/>
    <w:rsid w:val="00B936D0"/>
    <w:rsid w:val="00B95684"/>
    <w:rsid w:val="00BB1BEF"/>
    <w:rsid w:val="00BB2F4D"/>
    <w:rsid w:val="00BB78A5"/>
    <w:rsid w:val="00BC0CF2"/>
    <w:rsid w:val="00BC4063"/>
    <w:rsid w:val="00BC51CB"/>
    <w:rsid w:val="00BC52D4"/>
    <w:rsid w:val="00BD3D5B"/>
    <w:rsid w:val="00BE3600"/>
    <w:rsid w:val="00BE7124"/>
    <w:rsid w:val="00BF1301"/>
    <w:rsid w:val="00C01F6F"/>
    <w:rsid w:val="00C12534"/>
    <w:rsid w:val="00C149AB"/>
    <w:rsid w:val="00C14B5D"/>
    <w:rsid w:val="00C21E60"/>
    <w:rsid w:val="00C222F7"/>
    <w:rsid w:val="00C36020"/>
    <w:rsid w:val="00C40694"/>
    <w:rsid w:val="00C43D53"/>
    <w:rsid w:val="00C44E52"/>
    <w:rsid w:val="00C625E8"/>
    <w:rsid w:val="00C70542"/>
    <w:rsid w:val="00C75CBF"/>
    <w:rsid w:val="00C8136F"/>
    <w:rsid w:val="00C83338"/>
    <w:rsid w:val="00C8789C"/>
    <w:rsid w:val="00C91849"/>
    <w:rsid w:val="00C94CBC"/>
    <w:rsid w:val="00C967A4"/>
    <w:rsid w:val="00CA2D24"/>
    <w:rsid w:val="00CA3D68"/>
    <w:rsid w:val="00CA7D66"/>
    <w:rsid w:val="00CB179D"/>
    <w:rsid w:val="00CB23AF"/>
    <w:rsid w:val="00CB7FB0"/>
    <w:rsid w:val="00CC06A3"/>
    <w:rsid w:val="00CC0B15"/>
    <w:rsid w:val="00CC19F4"/>
    <w:rsid w:val="00CC2894"/>
    <w:rsid w:val="00CD50AC"/>
    <w:rsid w:val="00CD77C3"/>
    <w:rsid w:val="00CD7E65"/>
    <w:rsid w:val="00CE04BC"/>
    <w:rsid w:val="00CE112C"/>
    <w:rsid w:val="00CE36FF"/>
    <w:rsid w:val="00CF55D4"/>
    <w:rsid w:val="00CF75B1"/>
    <w:rsid w:val="00D04520"/>
    <w:rsid w:val="00D07245"/>
    <w:rsid w:val="00D166D1"/>
    <w:rsid w:val="00D2366A"/>
    <w:rsid w:val="00D30E1C"/>
    <w:rsid w:val="00D414E9"/>
    <w:rsid w:val="00D41E3D"/>
    <w:rsid w:val="00D434AA"/>
    <w:rsid w:val="00D45783"/>
    <w:rsid w:val="00D46ED7"/>
    <w:rsid w:val="00D507CD"/>
    <w:rsid w:val="00D534D6"/>
    <w:rsid w:val="00D603D2"/>
    <w:rsid w:val="00D608DA"/>
    <w:rsid w:val="00D61D1A"/>
    <w:rsid w:val="00D730BF"/>
    <w:rsid w:val="00D81FCD"/>
    <w:rsid w:val="00D829E3"/>
    <w:rsid w:val="00D85694"/>
    <w:rsid w:val="00D8736C"/>
    <w:rsid w:val="00D90ABB"/>
    <w:rsid w:val="00DA5635"/>
    <w:rsid w:val="00DB1CFF"/>
    <w:rsid w:val="00DC3788"/>
    <w:rsid w:val="00DC76C7"/>
    <w:rsid w:val="00DD09F5"/>
    <w:rsid w:val="00DD4201"/>
    <w:rsid w:val="00DD5E9F"/>
    <w:rsid w:val="00DE01BD"/>
    <w:rsid w:val="00DE5711"/>
    <w:rsid w:val="00DF7238"/>
    <w:rsid w:val="00E00EA0"/>
    <w:rsid w:val="00E11D51"/>
    <w:rsid w:val="00E138F1"/>
    <w:rsid w:val="00E13B33"/>
    <w:rsid w:val="00E14CC2"/>
    <w:rsid w:val="00E20B5A"/>
    <w:rsid w:val="00E2309D"/>
    <w:rsid w:val="00E23399"/>
    <w:rsid w:val="00E24A18"/>
    <w:rsid w:val="00E26758"/>
    <w:rsid w:val="00E3075A"/>
    <w:rsid w:val="00E3269C"/>
    <w:rsid w:val="00E4357B"/>
    <w:rsid w:val="00E54EA1"/>
    <w:rsid w:val="00E56393"/>
    <w:rsid w:val="00E63DE5"/>
    <w:rsid w:val="00E65A37"/>
    <w:rsid w:val="00E74933"/>
    <w:rsid w:val="00E77B48"/>
    <w:rsid w:val="00E8110C"/>
    <w:rsid w:val="00E91799"/>
    <w:rsid w:val="00E9403F"/>
    <w:rsid w:val="00EA21FE"/>
    <w:rsid w:val="00EA34E3"/>
    <w:rsid w:val="00EB328A"/>
    <w:rsid w:val="00EB60AF"/>
    <w:rsid w:val="00EB6E30"/>
    <w:rsid w:val="00EB7538"/>
    <w:rsid w:val="00ED2839"/>
    <w:rsid w:val="00ED384D"/>
    <w:rsid w:val="00EE4D2E"/>
    <w:rsid w:val="00EE6468"/>
    <w:rsid w:val="00EF4EBD"/>
    <w:rsid w:val="00F043EC"/>
    <w:rsid w:val="00F13D9B"/>
    <w:rsid w:val="00F207A4"/>
    <w:rsid w:val="00F33179"/>
    <w:rsid w:val="00F3442F"/>
    <w:rsid w:val="00F355AC"/>
    <w:rsid w:val="00F37965"/>
    <w:rsid w:val="00F43757"/>
    <w:rsid w:val="00F52102"/>
    <w:rsid w:val="00F5367D"/>
    <w:rsid w:val="00F542A7"/>
    <w:rsid w:val="00F5448D"/>
    <w:rsid w:val="00F57531"/>
    <w:rsid w:val="00F6117F"/>
    <w:rsid w:val="00F6122A"/>
    <w:rsid w:val="00F64571"/>
    <w:rsid w:val="00F71A5A"/>
    <w:rsid w:val="00F73F5E"/>
    <w:rsid w:val="00F769E0"/>
    <w:rsid w:val="00F8147A"/>
    <w:rsid w:val="00F84072"/>
    <w:rsid w:val="00FA1946"/>
    <w:rsid w:val="00FA75FE"/>
    <w:rsid w:val="00FB1032"/>
    <w:rsid w:val="00FB7824"/>
    <w:rsid w:val="00FC1D23"/>
    <w:rsid w:val="00FC6BDE"/>
    <w:rsid w:val="00FD0C5D"/>
    <w:rsid w:val="00FD2EEA"/>
    <w:rsid w:val="00FF4E11"/>
    <w:rsid w:val="00FF5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AA86D4C-7836-426C-8935-FC8C9E11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footnote text" w:uiPriority="99"/>
    <w:lsdException w:name="annotation text" w:uiPriority="99"/>
    <w:lsdException w:name="caption" w:semiHidden="1" w:unhideWhenUsed="1"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itle" w:uiPriority="10" w:qFormat="1"/>
    <w:lsdException w:name="Default Paragraph Font" w:uiPriority="1"/>
    <w:lsdException w:name="Body Text" w:uiPriority="99"/>
    <w:lsdException w:name="List Continue 2" w:uiPriority="99"/>
    <w:lsdException w:name="Subtitle" w:uiPriority="11" w:qFormat="1"/>
    <w:lsdException w:name="Hyperlink" w:uiPriority="99"/>
    <w:lsdException w:name="Followed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850940"/>
    <w:rPr>
      <w:rFonts w:eastAsia="SimSun"/>
      <w:sz w:val="24"/>
      <w:szCs w:val="22"/>
      <w:lang w:eastAsia="zh-CN"/>
    </w:rPr>
  </w:style>
  <w:style w:type="paragraph" w:styleId="Heading1">
    <w:name w:val="heading 1"/>
    <w:basedOn w:val="Baseheading"/>
    <w:next w:val="Normal"/>
    <w:link w:val="Heading1Char"/>
    <w:uiPriority w:val="9"/>
    <w:qFormat/>
    <w:rsid w:val="007B0DA4"/>
    <w:pPr>
      <w:keepLines/>
      <w:spacing w:before="120" w:after="120"/>
      <w:ind w:left="720" w:hanging="720"/>
    </w:pPr>
    <w:rPr>
      <w:rFonts w:ascii="Times New Roman Bold" w:hAnsi="Times New Roman Bold"/>
      <w:bCs/>
      <w:caps/>
      <w:szCs w:val="28"/>
    </w:rPr>
  </w:style>
  <w:style w:type="paragraph" w:styleId="Heading2">
    <w:name w:val="heading 2"/>
    <w:basedOn w:val="Baseheading"/>
    <w:next w:val="Normal"/>
    <w:link w:val="Heading2Char"/>
    <w:unhideWhenUsed/>
    <w:qFormat/>
    <w:rsid w:val="00850940"/>
    <w:pPr>
      <w:keepLines/>
      <w:spacing w:before="100" w:beforeAutospacing="1" w:after="100" w:afterAutospacing="1"/>
      <w:outlineLvl w:val="1"/>
    </w:pPr>
    <w:rPr>
      <w:rFonts w:eastAsia="Times New Roman"/>
      <w:bCs/>
      <w:kern w:val="0"/>
      <w:szCs w:val="24"/>
      <w:lang w:eastAsia="en-US"/>
    </w:rPr>
  </w:style>
  <w:style w:type="paragraph" w:styleId="Heading3">
    <w:name w:val="heading 3"/>
    <w:basedOn w:val="Normal"/>
    <w:next w:val="Normal"/>
    <w:link w:val="Heading3Char"/>
    <w:uiPriority w:val="9"/>
    <w:unhideWhenUsed/>
    <w:qFormat/>
    <w:rsid w:val="00AD4C50"/>
    <w:pPr>
      <w:keepNext/>
      <w:keepLines/>
      <w:numPr>
        <w:numId w:val="1"/>
      </w:numPr>
      <w:spacing w:before="100" w:beforeAutospacing="1" w:after="100" w:afterAutospacing="1"/>
      <w:outlineLvl w:val="2"/>
    </w:pPr>
    <w:rPr>
      <w:rFonts w:eastAsia="Times New Roman"/>
      <w:b/>
      <w:szCs w:val="24"/>
      <w:u w:val="single"/>
      <w:lang w:eastAsia="en-US"/>
    </w:rPr>
  </w:style>
  <w:style w:type="paragraph" w:styleId="Heading4">
    <w:name w:val="heading 4"/>
    <w:basedOn w:val="Normal"/>
    <w:next w:val="Normal"/>
    <w:link w:val="Heading4Char"/>
    <w:uiPriority w:val="9"/>
    <w:unhideWhenUsed/>
    <w:qFormat/>
    <w:rsid w:val="00AD4C50"/>
    <w:pPr>
      <w:keepNext/>
      <w:keepLines/>
      <w:ind w:left="720"/>
      <w:outlineLvl w:val="3"/>
    </w:pPr>
    <w:rPr>
      <w:b/>
    </w:rPr>
  </w:style>
  <w:style w:type="paragraph" w:styleId="Heading5">
    <w:name w:val="heading 5"/>
    <w:basedOn w:val="Baseheading"/>
    <w:next w:val="Normal"/>
    <w:link w:val="Heading5Char"/>
    <w:uiPriority w:val="9"/>
    <w:semiHidden/>
    <w:qFormat/>
    <w:rsid w:val="007B0DA4"/>
    <w:pPr>
      <w:keepLines/>
      <w:spacing w:after="60"/>
      <w:outlineLvl w:val="4"/>
    </w:pPr>
    <w:rPr>
      <w:i/>
      <w:sz w:val="20"/>
    </w:rPr>
  </w:style>
  <w:style w:type="paragraph" w:styleId="Heading6">
    <w:name w:val="heading 6"/>
    <w:basedOn w:val="Baseheading"/>
    <w:next w:val="BodyText"/>
    <w:link w:val="Heading6Char"/>
    <w:uiPriority w:val="9"/>
    <w:semiHidden/>
    <w:qFormat/>
    <w:rsid w:val="007B0DA4"/>
    <w:pPr>
      <w:spacing w:after="60"/>
      <w:outlineLvl w:val="5"/>
    </w:pPr>
    <w:rPr>
      <w:bCs/>
      <w:sz w:val="20"/>
    </w:rPr>
  </w:style>
  <w:style w:type="paragraph" w:styleId="Heading7">
    <w:name w:val="heading 7"/>
    <w:basedOn w:val="Baseheading"/>
    <w:next w:val="Normal"/>
    <w:link w:val="Heading7Char"/>
    <w:uiPriority w:val="9"/>
    <w:semiHidden/>
    <w:qFormat/>
    <w:rsid w:val="007B0DA4"/>
    <w:pPr>
      <w:spacing w:before="120" w:after="120"/>
      <w:outlineLvl w:val="6"/>
    </w:pPr>
    <w:rPr>
      <w:rFonts w:eastAsia="MS Mincho"/>
      <w:i/>
      <w:sz w:val="20"/>
      <w:szCs w:val="20"/>
      <w:lang w:eastAsia="en-US"/>
    </w:rPr>
  </w:style>
  <w:style w:type="character" w:default="1" w:styleId="DefaultParagraphFont">
    <w:name w:val="Default Paragraph Font"/>
    <w:uiPriority w:val="1"/>
    <w:unhideWhenUsed/>
    <w:rsid w:val="007B0DA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B0DA4"/>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uiPriority w:val="99"/>
    <w:semiHidden/>
    <w:unhideWhenUsed/>
    <w:rsid w:val="007B0DA4"/>
    <w:rPr>
      <w:rFonts w:ascii="Segoe UI" w:hAnsi="Segoe UI" w:cs="Segoe UI"/>
      <w:sz w:val="18"/>
      <w:szCs w:val="18"/>
    </w:rPr>
  </w:style>
  <w:style w:type="table" w:styleId="TableGrid">
    <w:name w:val="Table Grid"/>
    <w:basedOn w:val="TableNormal"/>
    <w:uiPriority w:val="59"/>
    <w:rsid w:val="007B0DA4"/>
    <w:rPr>
      <w:rFonts w:ascii="Calibri" w:eastAsia="SimSu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Basetext"/>
    <w:link w:val="FooterChar"/>
    <w:unhideWhenUsed/>
    <w:rsid w:val="007B0DA4"/>
    <w:pPr>
      <w:numPr>
        <w:numId w:val="8"/>
      </w:numPr>
      <w:tabs>
        <w:tab w:val="center" w:pos="4680"/>
        <w:tab w:val="right" w:pos="9360"/>
      </w:tabs>
      <w:ind w:left="0" w:firstLine="0"/>
      <w:jc w:val="center"/>
    </w:pPr>
  </w:style>
  <w:style w:type="character" w:styleId="PageNumber">
    <w:name w:val="page number"/>
    <w:unhideWhenUsed/>
    <w:rsid w:val="007B0DA4"/>
    <w:rPr>
      <w:rFonts w:ascii="Times New Roman" w:hAnsi="Times New Roman"/>
      <w:b w:val="0"/>
      <w:sz w:val="24"/>
    </w:rPr>
  </w:style>
  <w:style w:type="character" w:styleId="CommentReference">
    <w:name w:val="annotation reference"/>
    <w:uiPriority w:val="99"/>
    <w:unhideWhenUsed/>
    <w:rsid w:val="007B0DA4"/>
    <w:rPr>
      <w:sz w:val="16"/>
      <w:szCs w:val="16"/>
    </w:rPr>
  </w:style>
  <w:style w:type="paragraph" w:styleId="CommentText">
    <w:name w:val="annotation text"/>
    <w:basedOn w:val="Normal"/>
    <w:link w:val="CommentTextChar"/>
    <w:uiPriority w:val="99"/>
    <w:unhideWhenUsed/>
    <w:rsid w:val="007B0DA4"/>
    <w:rPr>
      <w:szCs w:val="20"/>
    </w:rPr>
  </w:style>
  <w:style w:type="character" w:customStyle="1" w:styleId="CommentTextChar">
    <w:name w:val="Comment Text Char"/>
    <w:link w:val="CommentText"/>
    <w:uiPriority w:val="99"/>
    <w:rsid w:val="007B0DA4"/>
    <w:rPr>
      <w:rFonts w:eastAsia="SimSun"/>
      <w:sz w:val="24"/>
      <w:lang w:eastAsia="zh-CN"/>
    </w:rPr>
  </w:style>
  <w:style w:type="paragraph" w:styleId="CommentSubject">
    <w:name w:val="annotation subject"/>
    <w:basedOn w:val="CommentText"/>
    <w:next w:val="CommentText"/>
    <w:link w:val="CommentSubjectChar"/>
    <w:uiPriority w:val="99"/>
    <w:unhideWhenUsed/>
    <w:rsid w:val="007B0DA4"/>
    <w:rPr>
      <w:b/>
      <w:bCs/>
      <w:sz w:val="20"/>
    </w:rPr>
  </w:style>
  <w:style w:type="character" w:customStyle="1" w:styleId="CommentSubjectChar">
    <w:name w:val="Comment Subject Char"/>
    <w:link w:val="CommentSubject"/>
    <w:uiPriority w:val="99"/>
    <w:rsid w:val="007B0DA4"/>
    <w:rPr>
      <w:rFonts w:eastAsia="SimSun"/>
      <w:b/>
      <w:bCs/>
      <w:lang w:eastAsia="zh-CN"/>
    </w:rPr>
  </w:style>
  <w:style w:type="paragraph" w:styleId="ListParagraph">
    <w:name w:val="List Paragraph"/>
    <w:basedOn w:val="Basetext"/>
    <w:uiPriority w:val="34"/>
    <w:qFormat/>
    <w:rsid w:val="007B0DA4"/>
    <w:pPr>
      <w:ind w:left="720"/>
    </w:pPr>
  </w:style>
  <w:style w:type="paragraph" w:styleId="FootnoteText">
    <w:name w:val="footnote text"/>
    <w:basedOn w:val="Basetext"/>
    <w:link w:val="FootnoteTextChar"/>
    <w:uiPriority w:val="99"/>
    <w:unhideWhenUsed/>
    <w:rsid w:val="007B0DA4"/>
    <w:pPr>
      <w:ind w:left="274" w:hanging="274"/>
    </w:pPr>
    <w:rPr>
      <w:sz w:val="20"/>
      <w:szCs w:val="20"/>
    </w:rPr>
  </w:style>
  <w:style w:type="character" w:customStyle="1" w:styleId="FootnoteTextChar">
    <w:name w:val="Footnote Text Char"/>
    <w:link w:val="FootnoteText"/>
    <w:uiPriority w:val="99"/>
    <w:rsid w:val="007B0DA4"/>
    <w:rPr>
      <w:rFonts w:eastAsia="SimSun"/>
      <w:lang w:eastAsia="zh-CN"/>
    </w:rPr>
  </w:style>
  <w:style w:type="character" w:customStyle="1" w:styleId="doi1">
    <w:name w:val="doi1"/>
    <w:rsid w:val="003D1295"/>
  </w:style>
  <w:style w:type="character" w:styleId="FootnoteReference">
    <w:name w:val="footnote reference"/>
    <w:uiPriority w:val="99"/>
    <w:unhideWhenUsed/>
    <w:rsid w:val="007B0DA4"/>
    <w:rPr>
      <w:rFonts w:ascii="Times New Roman" w:hAnsi="Times New Roman"/>
      <w:spacing w:val="0"/>
      <w:w w:val="100"/>
      <w:kern w:val="0"/>
      <w:position w:val="0"/>
      <w:vertAlign w:val="superscript"/>
    </w:rPr>
  </w:style>
  <w:style w:type="character" w:styleId="Hyperlink">
    <w:name w:val="Hyperlink"/>
    <w:uiPriority w:val="99"/>
    <w:unhideWhenUsed/>
    <w:rsid w:val="007B0DA4"/>
    <w:rPr>
      <w:rFonts w:ascii="Times New Roman" w:hAnsi="Times New Roman"/>
      <w:color w:val="3333FF"/>
      <w:u w:val="single"/>
      <w:lang w:val="en-US"/>
    </w:rPr>
  </w:style>
  <w:style w:type="character" w:customStyle="1" w:styleId="nlmstring-name">
    <w:name w:val="nlm_string-name"/>
    <w:rsid w:val="004C7D81"/>
  </w:style>
  <w:style w:type="character" w:customStyle="1" w:styleId="nlmyear">
    <w:name w:val="nlm_year"/>
    <w:rsid w:val="004C7D81"/>
  </w:style>
  <w:style w:type="character" w:customStyle="1" w:styleId="nlmarticle-title">
    <w:name w:val="nlm_article-title"/>
    <w:rsid w:val="004C7D81"/>
  </w:style>
  <w:style w:type="character" w:customStyle="1" w:styleId="nlmfpage">
    <w:name w:val="nlm_fpage"/>
    <w:rsid w:val="004C7D81"/>
  </w:style>
  <w:style w:type="character" w:customStyle="1" w:styleId="nlmlpage">
    <w:name w:val="nlm_lpage"/>
    <w:rsid w:val="004C7D81"/>
  </w:style>
  <w:style w:type="character" w:customStyle="1" w:styleId="nlmpublisher-loc">
    <w:name w:val="nlm_publisher-loc"/>
    <w:rsid w:val="004C7D81"/>
  </w:style>
  <w:style w:type="character" w:customStyle="1" w:styleId="nlmpublisher-name">
    <w:name w:val="nlm_publisher-name"/>
    <w:rsid w:val="004C7D81"/>
  </w:style>
  <w:style w:type="character" w:customStyle="1" w:styleId="hlfld-contribauthor">
    <w:name w:val="hlfld-contribauthor"/>
    <w:rsid w:val="004C7D81"/>
  </w:style>
  <w:style w:type="character" w:customStyle="1" w:styleId="nlmgiven-names">
    <w:name w:val="nlm_given-names"/>
    <w:rsid w:val="004C7D81"/>
  </w:style>
  <w:style w:type="character" w:customStyle="1" w:styleId="apple-converted-space">
    <w:name w:val="apple-converted-space"/>
    <w:rsid w:val="004C7D81"/>
  </w:style>
  <w:style w:type="character" w:customStyle="1" w:styleId="BodyText2Char">
    <w:name w:val="Body Text 2 Char"/>
    <w:link w:val="BodyText2"/>
    <w:rsid w:val="00A13B87"/>
    <w:rPr>
      <w:sz w:val="24"/>
    </w:rPr>
  </w:style>
  <w:style w:type="character" w:customStyle="1" w:styleId="bodytextChar">
    <w:name w:val="body text Char"/>
    <w:aliases w:val="bt Char,body tx Char,indent Char1,flush Char Char,indent Char,flush Char"/>
    <w:link w:val="BodyText1"/>
    <w:locked/>
    <w:rsid w:val="005E2E7D"/>
    <w:rPr>
      <w:sz w:val="24"/>
    </w:rPr>
  </w:style>
  <w:style w:type="paragraph" w:customStyle="1" w:styleId="BodyText1">
    <w:name w:val="Body Text1"/>
    <w:aliases w:val="bt,body tx,indent,flush,body text"/>
    <w:basedOn w:val="Normal"/>
    <w:link w:val="bodytextChar"/>
    <w:rsid w:val="005E2E7D"/>
    <w:pPr>
      <w:spacing w:after="120" w:line="360" w:lineRule="auto"/>
      <w:ind w:firstLine="720"/>
    </w:pPr>
    <w:rPr>
      <w:szCs w:val="20"/>
    </w:rPr>
  </w:style>
  <w:style w:type="character" w:styleId="FollowedHyperlink">
    <w:name w:val="FollowedHyperlink"/>
    <w:uiPriority w:val="99"/>
    <w:rsid w:val="007B0DA4"/>
    <w:rPr>
      <w:rFonts w:ascii="Times New Roman" w:hAnsi="Times New Roman"/>
      <w:color w:val="6F57B5"/>
      <w:u w:val="single"/>
    </w:rPr>
  </w:style>
  <w:style w:type="paragraph" w:styleId="Header">
    <w:name w:val="header"/>
    <w:basedOn w:val="Basetext"/>
    <w:link w:val="HeaderChar"/>
    <w:unhideWhenUsed/>
    <w:rsid w:val="007B0DA4"/>
    <w:rPr>
      <w:sz w:val="20"/>
    </w:rPr>
  </w:style>
  <w:style w:type="character" w:customStyle="1" w:styleId="HeaderChar">
    <w:name w:val="Header Char"/>
    <w:link w:val="Header"/>
    <w:rsid w:val="007B0DA4"/>
    <w:rPr>
      <w:rFonts w:eastAsia="SimSun"/>
      <w:szCs w:val="22"/>
      <w:lang w:eastAsia="zh-CN"/>
    </w:rPr>
  </w:style>
  <w:style w:type="character" w:customStyle="1" w:styleId="FooterChar">
    <w:name w:val="Footer Char"/>
    <w:link w:val="Footer"/>
    <w:rsid w:val="007B0DA4"/>
    <w:rPr>
      <w:rFonts w:eastAsia="SimSun"/>
      <w:sz w:val="24"/>
      <w:szCs w:val="22"/>
      <w:lang w:eastAsia="zh-CN"/>
    </w:rPr>
  </w:style>
  <w:style w:type="character" w:customStyle="1" w:styleId="Heading1Char">
    <w:name w:val="Heading 1 Char"/>
    <w:link w:val="Heading1"/>
    <w:uiPriority w:val="9"/>
    <w:rsid w:val="007B0DA4"/>
    <w:rPr>
      <w:rFonts w:ascii="Times New Roman Bold" w:eastAsia="SimSun" w:hAnsi="Times New Roman Bold"/>
      <w:b/>
      <w:bCs/>
      <w:caps/>
      <w:kern w:val="28"/>
      <w:sz w:val="24"/>
      <w:szCs w:val="28"/>
      <w:lang w:eastAsia="zh-CN"/>
    </w:rPr>
  </w:style>
  <w:style w:type="character" w:customStyle="1" w:styleId="Heading2Char">
    <w:name w:val="Heading 2 Char"/>
    <w:link w:val="Heading2"/>
    <w:rsid w:val="00850940"/>
    <w:rPr>
      <w:b/>
      <w:bCs/>
      <w:sz w:val="24"/>
      <w:szCs w:val="24"/>
    </w:rPr>
  </w:style>
  <w:style w:type="character" w:customStyle="1" w:styleId="Heading3Char">
    <w:name w:val="Heading 3 Char"/>
    <w:link w:val="Heading3"/>
    <w:uiPriority w:val="9"/>
    <w:rsid w:val="00AD4C50"/>
    <w:rPr>
      <w:b/>
      <w:sz w:val="24"/>
      <w:szCs w:val="24"/>
      <w:u w:val="single"/>
    </w:rPr>
  </w:style>
  <w:style w:type="character" w:customStyle="1" w:styleId="Heading4Char">
    <w:name w:val="Heading 4 Char"/>
    <w:link w:val="Heading4"/>
    <w:uiPriority w:val="9"/>
    <w:rsid w:val="00AD4C50"/>
    <w:rPr>
      <w:rFonts w:eastAsia="SimSun"/>
      <w:b/>
      <w:sz w:val="24"/>
      <w:szCs w:val="22"/>
      <w:lang w:eastAsia="zh-CN"/>
    </w:rPr>
  </w:style>
  <w:style w:type="character" w:customStyle="1" w:styleId="Heading5Char">
    <w:name w:val="Heading 5 Char"/>
    <w:link w:val="Heading5"/>
    <w:uiPriority w:val="9"/>
    <w:semiHidden/>
    <w:rsid w:val="007B0DA4"/>
    <w:rPr>
      <w:rFonts w:eastAsia="SimSun"/>
      <w:b/>
      <w:i/>
      <w:kern w:val="28"/>
      <w:szCs w:val="22"/>
      <w:lang w:eastAsia="zh-CN"/>
    </w:rPr>
  </w:style>
  <w:style w:type="character" w:customStyle="1" w:styleId="Heading6Char">
    <w:name w:val="Heading 6 Char"/>
    <w:link w:val="Heading6"/>
    <w:uiPriority w:val="9"/>
    <w:semiHidden/>
    <w:rsid w:val="007B0DA4"/>
    <w:rPr>
      <w:rFonts w:eastAsia="SimSun"/>
      <w:b/>
      <w:bCs/>
      <w:kern w:val="28"/>
      <w:szCs w:val="22"/>
      <w:lang w:eastAsia="zh-CN"/>
    </w:rPr>
  </w:style>
  <w:style w:type="character" w:customStyle="1" w:styleId="Heading7Char">
    <w:name w:val="Heading 7 Char"/>
    <w:link w:val="Heading7"/>
    <w:uiPriority w:val="9"/>
    <w:semiHidden/>
    <w:rsid w:val="007B0DA4"/>
    <w:rPr>
      <w:rFonts w:eastAsia="MS Mincho"/>
      <w:b/>
      <w:i/>
      <w:kern w:val="28"/>
    </w:rPr>
  </w:style>
  <w:style w:type="paragraph" w:customStyle="1" w:styleId="DiscussionHeading">
    <w:name w:val="Discussion Heading"/>
    <w:basedOn w:val="Normal"/>
    <w:rsid w:val="007B0DA4"/>
    <w:pPr>
      <w:keepNext/>
      <w:spacing w:before="240" w:after="120" w:line="240" w:lineRule="exact"/>
      <w:jc w:val="center"/>
      <w:outlineLvl w:val="0"/>
    </w:pPr>
    <w:rPr>
      <w:rFonts w:ascii="Myriad Pro" w:eastAsia="Times New Roman" w:hAnsi="Myriad Pro" w:cs="Arial"/>
      <w:b/>
      <w:color w:val="7F7F7F"/>
      <w:kern w:val="28"/>
      <w:szCs w:val="28"/>
    </w:rPr>
  </w:style>
  <w:style w:type="paragraph" w:customStyle="1" w:styleId="Baseheading">
    <w:name w:val="Base_heading"/>
    <w:rsid w:val="007B0DA4"/>
    <w:pPr>
      <w:keepNext/>
      <w:spacing w:before="240" w:after="240"/>
      <w:outlineLvl w:val="0"/>
    </w:pPr>
    <w:rPr>
      <w:rFonts w:eastAsia="SimSun"/>
      <w:b/>
      <w:kern w:val="28"/>
      <w:sz w:val="24"/>
      <w:szCs w:val="22"/>
      <w:lang w:eastAsia="zh-CN"/>
    </w:rPr>
  </w:style>
  <w:style w:type="paragraph" w:customStyle="1" w:styleId="app-heading1">
    <w:name w:val="app-heading_1"/>
    <w:basedOn w:val="Baseheading"/>
    <w:rsid w:val="007B0DA4"/>
    <w:pPr>
      <w:spacing w:before="120" w:after="120"/>
    </w:pPr>
    <w:rPr>
      <w:rFonts w:ascii="Times New Roman Bold" w:hAnsi="Times New Roman Bold"/>
      <w:caps/>
    </w:rPr>
  </w:style>
  <w:style w:type="paragraph" w:customStyle="1" w:styleId="app-heading2">
    <w:name w:val="app-heading_2"/>
    <w:basedOn w:val="Baseheading"/>
    <w:rsid w:val="007B0DA4"/>
    <w:pPr>
      <w:ind w:left="720" w:hanging="720"/>
      <w:outlineLvl w:val="1"/>
    </w:pPr>
  </w:style>
  <w:style w:type="paragraph" w:customStyle="1" w:styleId="app-heading3">
    <w:name w:val="app-heading_3"/>
    <w:basedOn w:val="Baseheading"/>
    <w:rsid w:val="007B0DA4"/>
    <w:pPr>
      <w:ind w:left="720" w:hanging="720"/>
      <w:outlineLvl w:val="2"/>
    </w:pPr>
    <w:rPr>
      <w:i/>
    </w:rPr>
  </w:style>
  <w:style w:type="paragraph" w:customStyle="1" w:styleId="Basetext">
    <w:name w:val="Base_text"/>
    <w:rsid w:val="007B0DA4"/>
    <w:rPr>
      <w:rFonts w:eastAsia="SimSun"/>
      <w:sz w:val="24"/>
      <w:szCs w:val="22"/>
      <w:lang w:eastAsia="zh-CN"/>
    </w:rPr>
  </w:style>
  <w:style w:type="paragraph" w:customStyle="1" w:styleId="table-continued">
    <w:name w:val="table-continued"/>
    <w:basedOn w:val="Basetext"/>
    <w:rsid w:val="007B0DA4"/>
    <w:pPr>
      <w:spacing w:before="40"/>
      <w:ind w:right="-86"/>
      <w:jc w:val="right"/>
    </w:pPr>
    <w:rPr>
      <w:sz w:val="20"/>
    </w:rPr>
  </w:style>
  <w:style w:type="numbering" w:customStyle="1" w:styleId="Format2Number">
    <w:name w:val="Format2_Number"/>
    <w:uiPriority w:val="99"/>
    <w:rsid w:val="007B0DA4"/>
    <w:pPr>
      <w:numPr>
        <w:numId w:val="6"/>
      </w:numPr>
    </w:pPr>
  </w:style>
  <w:style w:type="paragraph" w:styleId="BodyText">
    <w:name w:val="Body Text"/>
    <w:basedOn w:val="Basetext"/>
    <w:link w:val="BodyTextChar0"/>
    <w:uiPriority w:val="99"/>
    <w:rsid w:val="00AD4C50"/>
    <w:pPr>
      <w:spacing w:before="120" w:after="120"/>
      <w:ind w:firstLine="720"/>
    </w:pPr>
  </w:style>
  <w:style w:type="character" w:customStyle="1" w:styleId="BodyTextChar0">
    <w:name w:val="Body Text Char"/>
    <w:link w:val="BodyText"/>
    <w:uiPriority w:val="99"/>
    <w:rsid w:val="00AD4C50"/>
    <w:rPr>
      <w:rFonts w:eastAsia="SimSun"/>
      <w:sz w:val="24"/>
      <w:szCs w:val="22"/>
      <w:lang w:eastAsia="zh-CN"/>
    </w:rPr>
  </w:style>
  <w:style w:type="paragraph" w:customStyle="1" w:styleId="bullets">
    <w:name w:val="bullets"/>
    <w:basedOn w:val="Basetext"/>
    <w:rsid w:val="007B0DA4"/>
    <w:pPr>
      <w:numPr>
        <w:numId w:val="3"/>
      </w:numPr>
      <w:spacing w:after="120"/>
      <w:ind w:left="1080"/>
    </w:pPr>
  </w:style>
  <w:style w:type="paragraph" w:customStyle="1" w:styleId="bullets2nd-level">
    <w:name w:val="bullets_2nd-level"/>
    <w:basedOn w:val="Basetext"/>
    <w:rsid w:val="007B0DA4"/>
    <w:pPr>
      <w:numPr>
        <w:numId w:val="4"/>
      </w:numPr>
      <w:spacing w:after="120"/>
      <w:ind w:left="1440"/>
    </w:pPr>
  </w:style>
  <w:style w:type="paragraph" w:customStyle="1" w:styleId="bullets3rd-level">
    <w:name w:val="bullets_3rd-level"/>
    <w:basedOn w:val="Basetext"/>
    <w:rsid w:val="007B0DA4"/>
    <w:pPr>
      <w:spacing w:after="120"/>
      <w:ind w:left="1800" w:hanging="360"/>
    </w:pPr>
  </w:style>
  <w:style w:type="paragraph" w:customStyle="1" w:styleId="figure-inline">
    <w:name w:val="figure-inline"/>
    <w:basedOn w:val="Basetext"/>
    <w:rsid w:val="007B0DA4"/>
    <w:pPr>
      <w:keepNext/>
      <w:spacing w:before="240"/>
      <w:jc w:val="center"/>
    </w:pPr>
  </w:style>
  <w:style w:type="paragraph" w:customStyle="1" w:styleId="cover-author">
    <w:name w:val="cover-author"/>
    <w:basedOn w:val="Basetext"/>
    <w:rsid w:val="007B0DA4"/>
    <w:pPr>
      <w:contextualSpacing/>
      <w:jc w:val="right"/>
    </w:pPr>
    <w:rPr>
      <w:rFonts w:ascii="Arial Black" w:hAnsi="Arial Black"/>
    </w:rPr>
  </w:style>
  <w:style w:type="paragraph" w:customStyle="1" w:styleId="cover-text">
    <w:name w:val="cover-text"/>
    <w:basedOn w:val="Basetext"/>
    <w:link w:val="cover-textChar"/>
    <w:rsid w:val="007B0DA4"/>
    <w:pPr>
      <w:spacing w:before="600" w:after="240"/>
      <w:contextualSpacing/>
      <w:jc w:val="right"/>
    </w:pPr>
    <w:rPr>
      <w:rFonts w:ascii="Arial" w:hAnsi="Arial"/>
    </w:rPr>
  </w:style>
  <w:style w:type="paragraph" w:customStyle="1" w:styleId="cover-title">
    <w:name w:val="cover-title"/>
    <w:basedOn w:val="Baseheading"/>
    <w:rsid w:val="007B0DA4"/>
    <w:pPr>
      <w:keepNext w:val="0"/>
      <w:spacing w:before="600" w:after="720"/>
      <w:contextualSpacing/>
      <w:jc w:val="right"/>
    </w:pPr>
    <w:rPr>
      <w:rFonts w:ascii="Arial Black" w:hAnsi="Arial Black"/>
      <w:b w:val="0"/>
      <w:sz w:val="48"/>
    </w:rPr>
  </w:style>
  <w:style w:type="paragraph" w:customStyle="1" w:styleId="cover-subtitle">
    <w:name w:val="cover-subtitle"/>
    <w:basedOn w:val="Baseheading"/>
    <w:rsid w:val="007B0DA4"/>
    <w:pPr>
      <w:keepNext w:val="0"/>
      <w:spacing w:before="0" w:after="1920"/>
      <w:jc w:val="right"/>
      <w:outlineLvl w:val="1"/>
    </w:pPr>
    <w:rPr>
      <w:rFonts w:ascii="Arial Black" w:hAnsi="Arial Black"/>
      <w:b w:val="0"/>
      <w:sz w:val="40"/>
    </w:rPr>
  </w:style>
  <w:style w:type="paragraph" w:customStyle="1" w:styleId="body-textcontinued">
    <w:name w:val="body-text_continued"/>
    <w:basedOn w:val="Basetext"/>
    <w:rsid w:val="00850940"/>
    <w:pPr>
      <w:spacing w:before="120" w:after="120"/>
    </w:pPr>
  </w:style>
  <w:style w:type="paragraph" w:customStyle="1" w:styleId="figure-notealt-1">
    <w:name w:val="figure-note_alt-1"/>
    <w:basedOn w:val="Basetext"/>
    <w:rsid w:val="007B0DA4"/>
    <w:pPr>
      <w:keepLines/>
      <w:spacing w:before="60"/>
      <w:ind w:left="187" w:hanging="187"/>
    </w:pPr>
    <w:rPr>
      <w:sz w:val="20"/>
    </w:rPr>
  </w:style>
  <w:style w:type="paragraph" w:customStyle="1" w:styleId="disclaimer-text">
    <w:name w:val="disclaimer-text"/>
    <w:basedOn w:val="Basetext"/>
    <w:rsid w:val="007B0DA4"/>
    <w:pPr>
      <w:spacing w:line="240" w:lineRule="exact"/>
      <w:jc w:val="right"/>
    </w:pPr>
    <w:rPr>
      <w:rFonts w:ascii="Arial" w:hAnsi="Arial"/>
      <w:sz w:val="16"/>
    </w:rPr>
  </w:style>
  <w:style w:type="character" w:styleId="EndnoteReference">
    <w:name w:val="endnote reference"/>
    <w:uiPriority w:val="99"/>
    <w:unhideWhenUsed/>
    <w:rsid w:val="007B0DA4"/>
    <w:rPr>
      <w:rFonts w:ascii="Times New Roman" w:hAnsi="Times New Roman"/>
      <w:spacing w:val="0"/>
      <w:w w:val="100"/>
      <w:kern w:val="0"/>
      <w:position w:val="0"/>
      <w:vertAlign w:val="superscript"/>
    </w:rPr>
  </w:style>
  <w:style w:type="paragraph" w:styleId="EndnoteText">
    <w:name w:val="endnote text"/>
    <w:basedOn w:val="Basetext"/>
    <w:link w:val="EndnoteTextChar"/>
    <w:uiPriority w:val="99"/>
    <w:unhideWhenUsed/>
    <w:rsid w:val="007B0DA4"/>
    <w:pPr>
      <w:keepLines/>
      <w:spacing w:after="240"/>
      <w:ind w:left="720" w:hanging="720"/>
    </w:pPr>
    <w:rPr>
      <w:szCs w:val="20"/>
    </w:rPr>
  </w:style>
  <w:style w:type="character" w:customStyle="1" w:styleId="EndnoteTextChar">
    <w:name w:val="Endnote Text Char"/>
    <w:link w:val="EndnoteText"/>
    <w:uiPriority w:val="99"/>
    <w:rsid w:val="007B0DA4"/>
    <w:rPr>
      <w:rFonts w:eastAsia="SimSun"/>
      <w:sz w:val="24"/>
      <w:lang w:eastAsia="zh-CN"/>
    </w:rPr>
  </w:style>
  <w:style w:type="paragraph" w:customStyle="1" w:styleId="equation">
    <w:name w:val="equation"/>
    <w:basedOn w:val="Basetext"/>
    <w:rsid w:val="007B0DA4"/>
    <w:pPr>
      <w:tabs>
        <w:tab w:val="center" w:pos="4680"/>
        <w:tab w:val="right" w:pos="9360"/>
      </w:tabs>
      <w:spacing w:after="240" w:line="480" w:lineRule="atLeast"/>
    </w:pPr>
  </w:style>
  <w:style w:type="paragraph" w:customStyle="1" w:styleId="es-heading1">
    <w:name w:val="es-heading_1"/>
    <w:basedOn w:val="Baseheading"/>
    <w:rsid w:val="007B0DA4"/>
    <w:pPr>
      <w:spacing w:before="120" w:after="120"/>
      <w:ind w:left="720" w:hanging="720"/>
    </w:pPr>
    <w:rPr>
      <w:rFonts w:ascii="Times New Roman Bold" w:hAnsi="Times New Roman Bold"/>
      <w:caps/>
    </w:rPr>
  </w:style>
  <w:style w:type="paragraph" w:customStyle="1" w:styleId="es-heading2">
    <w:name w:val="es-heading_2"/>
    <w:basedOn w:val="Baseheading"/>
    <w:rsid w:val="007B0DA4"/>
    <w:pPr>
      <w:ind w:left="720" w:hanging="720"/>
      <w:outlineLvl w:val="1"/>
    </w:pPr>
  </w:style>
  <w:style w:type="paragraph" w:customStyle="1" w:styleId="es-heading3">
    <w:name w:val="es-heading_3"/>
    <w:basedOn w:val="Baseheading"/>
    <w:rsid w:val="007B0DA4"/>
    <w:pPr>
      <w:ind w:left="720" w:hanging="720"/>
      <w:outlineLvl w:val="2"/>
    </w:pPr>
    <w:rPr>
      <w:i/>
    </w:rPr>
  </w:style>
  <w:style w:type="paragraph" w:customStyle="1" w:styleId="es-heading4">
    <w:name w:val="es-heading_4"/>
    <w:basedOn w:val="Baseheading"/>
    <w:rsid w:val="007B0DA4"/>
    <w:pPr>
      <w:ind w:left="720" w:hanging="720"/>
      <w:outlineLvl w:val="3"/>
    </w:pPr>
    <w:rPr>
      <w:b w:val="0"/>
      <w:i/>
    </w:rPr>
  </w:style>
  <w:style w:type="paragraph" w:customStyle="1" w:styleId="figure-inlinew-box">
    <w:name w:val="figure-inline_w-box"/>
    <w:basedOn w:val="Basetext"/>
    <w:rsid w:val="007B0DA4"/>
    <w:pPr>
      <w:keepNext/>
      <w:pBdr>
        <w:top w:val="single" w:sz="12" w:space="9" w:color="auto"/>
        <w:left w:val="single" w:sz="12" w:space="6" w:color="auto"/>
        <w:bottom w:val="single" w:sz="12" w:space="9" w:color="auto"/>
        <w:right w:val="single" w:sz="12" w:space="4" w:color="auto"/>
      </w:pBdr>
      <w:spacing w:before="240" w:after="120"/>
      <w:ind w:left="187" w:right="187"/>
      <w:jc w:val="center"/>
    </w:pPr>
  </w:style>
  <w:style w:type="paragraph" w:customStyle="1" w:styleId="textbox-bullet">
    <w:name w:val="textbox-bullet"/>
    <w:basedOn w:val="Basetext"/>
    <w:rsid w:val="007B0DA4"/>
    <w:pPr>
      <w:numPr>
        <w:numId w:val="7"/>
      </w:numPr>
      <w:spacing w:before="60" w:after="60"/>
      <w:ind w:left="245" w:hanging="245"/>
    </w:pPr>
    <w:rPr>
      <w:sz w:val="20"/>
      <w:szCs w:val="24"/>
    </w:rPr>
  </w:style>
  <w:style w:type="paragraph" w:customStyle="1" w:styleId="figure-title">
    <w:name w:val="figure-title"/>
    <w:basedOn w:val="Basetext"/>
    <w:rsid w:val="007B0DA4"/>
    <w:pPr>
      <w:keepNext/>
      <w:keepLines/>
      <w:tabs>
        <w:tab w:val="left" w:pos="1260"/>
      </w:tabs>
      <w:spacing w:before="240"/>
    </w:pPr>
    <w:rPr>
      <w:b/>
    </w:rPr>
  </w:style>
  <w:style w:type="paragraph" w:styleId="ListContinue">
    <w:name w:val="List Continue"/>
    <w:basedOn w:val="Basetext"/>
    <w:unhideWhenUsed/>
    <w:rsid w:val="007B0DA4"/>
    <w:pPr>
      <w:spacing w:after="120"/>
      <w:ind w:left="720"/>
    </w:pPr>
  </w:style>
  <w:style w:type="paragraph" w:styleId="ListContinue2">
    <w:name w:val="List Continue 2"/>
    <w:basedOn w:val="Basetext"/>
    <w:uiPriority w:val="99"/>
    <w:unhideWhenUsed/>
    <w:rsid w:val="007B0DA4"/>
    <w:pPr>
      <w:spacing w:after="120"/>
      <w:ind w:left="1080"/>
    </w:pPr>
  </w:style>
  <w:style w:type="paragraph" w:styleId="Quote">
    <w:name w:val="Quote"/>
    <w:basedOn w:val="Basetext"/>
    <w:link w:val="QuoteChar"/>
    <w:uiPriority w:val="29"/>
    <w:rsid w:val="007B0DA4"/>
    <w:pPr>
      <w:spacing w:after="160" w:line="280" w:lineRule="atLeast"/>
      <w:ind w:left="720" w:right="720"/>
    </w:pPr>
    <w:rPr>
      <w:iCs/>
    </w:rPr>
  </w:style>
  <w:style w:type="character" w:customStyle="1" w:styleId="QuoteChar">
    <w:name w:val="Quote Char"/>
    <w:link w:val="Quote"/>
    <w:uiPriority w:val="29"/>
    <w:rsid w:val="007B0DA4"/>
    <w:rPr>
      <w:rFonts w:eastAsia="SimSun"/>
      <w:iCs/>
      <w:sz w:val="24"/>
      <w:szCs w:val="22"/>
      <w:lang w:eastAsia="zh-CN"/>
    </w:rPr>
  </w:style>
  <w:style w:type="paragraph" w:styleId="Subtitle">
    <w:name w:val="Subtitle"/>
    <w:basedOn w:val="Normal"/>
    <w:next w:val="Normal"/>
    <w:link w:val="SubtitleChar"/>
    <w:uiPriority w:val="11"/>
    <w:qFormat/>
    <w:rsid w:val="007B0DA4"/>
    <w:pPr>
      <w:numPr>
        <w:ilvl w:val="1"/>
      </w:numPr>
      <w:spacing w:after="2400"/>
      <w:jc w:val="right"/>
      <w:outlineLvl w:val="1"/>
    </w:pPr>
    <w:rPr>
      <w:b/>
      <w:iCs/>
      <w:spacing w:val="15"/>
      <w:sz w:val="36"/>
      <w:szCs w:val="24"/>
    </w:rPr>
  </w:style>
  <w:style w:type="character" w:customStyle="1" w:styleId="SubtitleChar">
    <w:name w:val="Subtitle Char"/>
    <w:link w:val="Subtitle"/>
    <w:uiPriority w:val="11"/>
    <w:rsid w:val="007B0DA4"/>
    <w:rPr>
      <w:rFonts w:eastAsia="SimSun"/>
      <w:b/>
      <w:iCs/>
      <w:spacing w:val="15"/>
      <w:sz w:val="36"/>
      <w:szCs w:val="24"/>
      <w:lang w:eastAsia="zh-CN"/>
    </w:rPr>
  </w:style>
  <w:style w:type="paragraph" w:customStyle="1" w:styleId="figure-notealt-2">
    <w:name w:val="figure-note_alt-2"/>
    <w:basedOn w:val="Basetext"/>
    <w:rsid w:val="007B0DA4"/>
    <w:pPr>
      <w:keepLines/>
      <w:spacing w:before="60" w:after="240"/>
      <w:ind w:left="187" w:hanging="187"/>
    </w:pPr>
    <w:rPr>
      <w:sz w:val="20"/>
    </w:rPr>
  </w:style>
  <w:style w:type="paragraph" w:customStyle="1" w:styleId="figure-notestd">
    <w:name w:val="figure-note_std"/>
    <w:basedOn w:val="Basetext"/>
    <w:rsid w:val="007B0DA4"/>
    <w:pPr>
      <w:keepLines/>
      <w:spacing w:before="120"/>
      <w:ind w:left="187" w:hanging="187"/>
    </w:pPr>
    <w:rPr>
      <w:sz w:val="20"/>
    </w:rPr>
  </w:style>
  <w:style w:type="paragraph" w:customStyle="1" w:styleId="figure-sourcealt-1">
    <w:name w:val="figure-source_alt-1"/>
    <w:basedOn w:val="Basetext"/>
    <w:rsid w:val="007B0DA4"/>
    <w:pPr>
      <w:keepLines/>
      <w:spacing w:before="120"/>
      <w:ind w:left="720" w:hanging="720"/>
    </w:pPr>
    <w:rPr>
      <w:sz w:val="20"/>
    </w:rPr>
  </w:style>
  <w:style w:type="paragraph" w:customStyle="1" w:styleId="table-bullet2nd">
    <w:name w:val="table-bullet_2nd"/>
    <w:basedOn w:val="Basetext"/>
    <w:rsid w:val="007B0DA4"/>
    <w:pPr>
      <w:numPr>
        <w:ilvl w:val="1"/>
        <w:numId w:val="5"/>
      </w:numPr>
      <w:spacing w:before="80" w:after="80"/>
    </w:pPr>
    <w:rPr>
      <w:sz w:val="22"/>
    </w:rPr>
  </w:style>
  <w:style w:type="paragraph" w:customStyle="1" w:styleId="table-bulletind">
    <w:name w:val="table-bullet_ind"/>
    <w:basedOn w:val="Basetext"/>
    <w:rsid w:val="007B0DA4"/>
    <w:pPr>
      <w:numPr>
        <w:numId w:val="10"/>
      </w:numPr>
      <w:spacing w:before="80" w:after="80"/>
      <w:ind w:left="490" w:hanging="245"/>
    </w:pPr>
    <w:rPr>
      <w:rFonts w:eastAsia="MS Mincho"/>
      <w:sz w:val="22"/>
      <w:szCs w:val="18"/>
      <w:lang w:eastAsia="en-US"/>
    </w:rPr>
  </w:style>
  <w:style w:type="paragraph" w:customStyle="1" w:styleId="table-bulletLM">
    <w:name w:val="table-bullet_LM"/>
    <w:basedOn w:val="Basetext"/>
    <w:qFormat/>
    <w:rsid w:val="007B0DA4"/>
    <w:pPr>
      <w:numPr>
        <w:numId w:val="9"/>
      </w:numPr>
      <w:spacing w:before="80" w:after="80"/>
      <w:ind w:left="245" w:hanging="245"/>
    </w:pPr>
    <w:rPr>
      <w:sz w:val="22"/>
    </w:rPr>
  </w:style>
  <w:style w:type="paragraph" w:customStyle="1" w:styleId="table-headers">
    <w:name w:val="table-headers"/>
    <w:basedOn w:val="Basetext"/>
    <w:rsid w:val="007B0DA4"/>
    <w:pPr>
      <w:keepNext/>
      <w:spacing w:before="80" w:after="80"/>
      <w:jc w:val="center"/>
    </w:pPr>
    <w:rPr>
      <w:b/>
      <w:sz w:val="22"/>
    </w:rPr>
  </w:style>
  <w:style w:type="paragraph" w:styleId="TableofFigures">
    <w:name w:val="table of figures"/>
    <w:basedOn w:val="Basetext"/>
    <w:next w:val="Normal"/>
    <w:uiPriority w:val="99"/>
    <w:unhideWhenUsed/>
    <w:rsid w:val="007B0DA4"/>
    <w:pPr>
      <w:tabs>
        <w:tab w:val="right" w:leader="dot" w:pos="9360"/>
      </w:tabs>
      <w:spacing w:before="40" w:after="40"/>
      <w:ind w:left="1080" w:right="720" w:hanging="1080"/>
    </w:pPr>
    <w:rPr>
      <w:noProof/>
    </w:rPr>
  </w:style>
  <w:style w:type="paragraph" w:customStyle="1" w:styleId="table-text">
    <w:name w:val="table-text"/>
    <w:basedOn w:val="Basetext"/>
    <w:rsid w:val="007B0DA4"/>
    <w:pPr>
      <w:spacing w:before="80" w:after="80"/>
    </w:pPr>
    <w:rPr>
      <w:sz w:val="22"/>
    </w:rPr>
  </w:style>
  <w:style w:type="paragraph" w:customStyle="1" w:styleId="table-textindent">
    <w:name w:val="table-text_indent"/>
    <w:basedOn w:val="Basetext"/>
    <w:qFormat/>
    <w:rsid w:val="007B0DA4"/>
    <w:pPr>
      <w:spacing w:before="80" w:after="80"/>
      <w:ind w:left="245"/>
    </w:pPr>
    <w:rPr>
      <w:sz w:val="22"/>
    </w:rPr>
  </w:style>
  <w:style w:type="paragraph" w:customStyle="1" w:styleId="table-title">
    <w:name w:val="table-title"/>
    <w:basedOn w:val="Basetext"/>
    <w:rsid w:val="007B0DA4"/>
    <w:pPr>
      <w:keepNext/>
      <w:keepLines/>
      <w:spacing w:before="240" w:after="240"/>
    </w:pPr>
    <w:rPr>
      <w:b/>
    </w:rPr>
  </w:style>
  <w:style w:type="paragraph" w:customStyle="1" w:styleId="table-titlecontinued">
    <w:name w:val="table-title_continued"/>
    <w:basedOn w:val="Basetext"/>
    <w:rsid w:val="007B0DA4"/>
    <w:pPr>
      <w:keepNext/>
      <w:keepLines/>
      <w:spacing w:before="240" w:after="240"/>
    </w:pPr>
    <w:rPr>
      <w:b/>
    </w:rPr>
  </w:style>
  <w:style w:type="paragraph" w:customStyle="1" w:styleId="TOCsubheading">
    <w:name w:val="TOC_subheading"/>
    <w:basedOn w:val="Baseheading"/>
    <w:rsid w:val="007B0DA4"/>
    <w:pPr>
      <w:tabs>
        <w:tab w:val="right" w:pos="9360"/>
      </w:tabs>
      <w:spacing w:before="120"/>
      <w:outlineLvl w:val="9"/>
    </w:pPr>
  </w:style>
  <w:style w:type="paragraph" w:styleId="TOC1">
    <w:name w:val="toc 1"/>
    <w:basedOn w:val="Basetext"/>
    <w:next w:val="Normal"/>
    <w:uiPriority w:val="39"/>
    <w:unhideWhenUsed/>
    <w:rsid w:val="007B0DA4"/>
    <w:pPr>
      <w:tabs>
        <w:tab w:val="left" w:pos="720"/>
        <w:tab w:val="right" w:pos="9360"/>
      </w:tabs>
      <w:spacing w:before="240" w:after="120"/>
      <w:ind w:left="720" w:right="720" w:hanging="360"/>
    </w:pPr>
    <w:rPr>
      <w:noProof/>
    </w:rPr>
  </w:style>
  <w:style w:type="paragraph" w:styleId="TOC2">
    <w:name w:val="toc 2"/>
    <w:basedOn w:val="Basetext"/>
    <w:next w:val="Normal"/>
    <w:uiPriority w:val="39"/>
    <w:unhideWhenUsed/>
    <w:rsid w:val="007B0DA4"/>
    <w:pPr>
      <w:tabs>
        <w:tab w:val="left" w:pos="1350"/>
        <w:tab w:val="right" w:leader="dot" w:pos="9360"/>
      </w:tabs>
      <w:spacing w:before="120" w:after="120"/>
      <w:ind w:left="1354" w:right="720" w:hanging="634"/>
    </w:pPr>
    <w:rPr>
      <w:noProof/>
    </w:rPr>
  </w:style>
  <w:style w:type="paragraph" w:styleId="TOC3">
    <w:name w:val="toc 3"/>
    <w:basedOn w:val="Basetext"/>
    <w:next w:val="Normal"/>
    <w:uiPriority w:val="39"/>
    <w:unhideWhenUsed/>
    <w:rsid w:val="007B0DA4"/>
    <w:pPr>
      <w:tabs>
        <w:tab w:val="left" w:pos="2160"/>
        <w:tab w:val="right" w:leader="dot" w:pos="9360"/>
      </w:tabs>
      <w:spacing w:before="60" w:after="60"/>
      <w:ind w:left="2160" w:right="720" w:hanging="720"/>
    </w:pPr>
    <w:rPr>
      <w:noProof/>
    </w:rPr>
  </w:style>
  <w:style w:type="paragraph" w:styleId="TOC4">
    <w:name w:val="toc 4"/>
    <w:basedOn w:val="Basetext"/>
    <w:next w:val="Normal"/>
    <w:uiPriority w:val="39"/>
    <w:unhideWhenUsed/>
    <w:rsid w:val="007B0DA4"/>
    <w:pPr>
      <w:tabs>
        <w:tab w:val="left" w:pos="2880"/>
        <w:tab w:val="right" w:leader="dot" w:pos="9360"/>
      </w:tabs>
      <w:spacing w:after="100"/>
      <w:ind w:left="2880" w:hanging="720"/>
    </w:pPr>
    <w:rPr>
      <w:noProof/>
    </w:rPr>
  </w:style>
  <w:style w:type="paragraph" w:styleId="TOCHeading">
    <w:name w:val="TOC Heading"/>
    <w:basedOn w:val="Baseheading"/>
    <w:next w:val="Normal"/>
    <w:uiPriority w:val="39"/>
    <w:unhideWhenUsed/>
    <w:rsid w:val="007B0DA4"/>
    <w:pPr>
      <w:spacing w:before="0"/>
      <w:jc w:val="center"/>
      <w:outlineLvl w:val="9"/>
    </w:pPr>
    <w:rPr>
      <w:caps/>
      <w:kern w:val="0"/>
      <w:sz w:val="28"/>
    </w:rPr>
  </w:style>
  <w:style w:type="paragraph" w:customStyle="1" w:styleId="numbers">
    <w:name w:val="numbers"/>
    <w:basedOn w:val="Basetext"/>
    <w:rsid w:val="007B0DA4"/>
    <w:pPr>
      <w:spacing w:after="120"/>
      <w:ind w:left="1080" w:hanging="360"/>
    </w:pPr>
  </w:style>
  <w:style w:type="paragraph" w:customStyle="1" w:styleId="numbers2nd-level">
    <w:name w:val="numbers_2nd-level"/>
    <w:basedOn w:val="Basetext"/>
    <w:rsid w:val="007B0DA4"/>
    <w:pPr>
      <w:spacing w:after="120"/>
      <w:ind w:left="1440" w:hanging="360"/>
    </w:pPr>
  </w:style>
  <w:style w:type="paragraph" w:customStyle="1" w:styleId="cover-address">
    <w:name w:val="cover-address"/>
    <w:basedOn w:val="Basetext"/>
    <w:rsid w:val="007B0DA4"/>
    <w:pPr>
      <w:contextualSpacing/>
      <w:jc w:val="right"/>
    </w:pPr>
    <w:rPr>
      <w:rFonts w:ascii="Arial" w:hAnsi="Arial"/>
    </w:rPr>
  </w:style>
  <w:style w:type="paragraph" w:customStyle="1" w:styleId="cover-textbold">
    <w:name w:val="cover-text_bold"/>
    <w:basedOn w:val="Basetext"/>
    <w:rsid w:val="007B0DA4"/>
    <w:pPr>
      <w:spacing w:before="240" w:after="600"/>
      <w:contextualSpacing/>
      <w:jc w:val="right"/>
    </w:pPr>
    <w:rPr>
      <w:rFonts w:ascii="Arial" w:hAnsi="Arial"/>
      <w:b/>
    </w:rPr>
  </w:style>
  <w:style w:type="paragraph" w:customStyle="1" w:styleId="figure-sourcestd">
    <w:name w:val="figure-source_std"/>
    <w:basedOn w:val="Basetext"/>
    <w:rsid w:val="007B0DA4"/>
    <w:pPr>
      <w:keepLines/>
      <w:spacing w:before="120" w:after="240"/>
      <w:ind w:left="720" w:hanging="720"/>
    </w:pPr>
    <w:rPr>
      <w:sz w:val="20"/>
    </w:rPr>
  </w:style>
  <w:style w:type="character" w:customStyle="1" w:styleId="cover-textChar">
    <w:name w:val="cover-text Char"/>
    <w:link w:val="cover-text"/>
    <w:rsid w:val="007B0DA4"/>
    <w:rPr>
      <w:rFonts w:ascii="Arial" w:eastAsia="SimSun" w:hAnsi="Arial"/>
      <w:sz w:val="24"/>
      <w:szCs w:val="22"/>
      <w:lang w:eastAsia="zh-CN"/>
    </w:rPr>
  </w:style>
  <w:style w:type="paragraph" w:customStyle="1" w:styleId="biblio-entry">
    <w:name w:val="biblio-entry"/>
    <w:basedOn w:val="Basetext"/>
    <w:rsid w:val="007B0DA4"/>
    <w:pPr>
      <w:keepLines/>
      <w:spacing w:after="240"/>
      <w:ind w:left="720" w:hanging="720"/>
    </w:pPr>
  </w:style>
  <w:style w:type="paragraph" w:customStyle="1" w:styleId="textbox-heading">
    <w:name w:val="textbox-heading"/>
    <w:basedOn w:val="Baseheading"/>
    <w:rsid w:val="007B0DA4"/>
    <w:pPr>
      <w:spacing w:before="60" w:after="60"/>
      <w:jc w:val="center"/>
    </w:pPr>
    <w:rPr>
      <w:sz w:val="20"/>
    </w:rPr>
  </w:style>
  <w:style w:type="paragraph" w:customStyle="1" w:styleId="textbox-text">
    <w:name w:val="textbox-text"/>
    <w:basedOn w:val="Basetext"/>
    <w:rsid w:val="007B0DA4"/>
    <w:pPr>
      <w:spacing w:before="60" w:after="60"/>
    </w:pPr>
    <w:rPr>
      <w:sz w:val="20"/>
    </w:rPr>
  </w:style>
  <w:style w:type="paragraph" w:customStyle="1" w:styleId="summary-header">
    <w:name w:val="summary-header"/>
    <w:basedOn w:val="Baseheading"/>
    <w:rsid w:val="007B0DA4"/>
    <w:pPr>
      <w:spacing w:before="120" w:after="120"/>
      <w:ind w:left="720" w:hanging="720"/>
    </w:pPr>
    <w:rPr>
      <w:rFonts w:ascii="Times New Roman Bold" w:hAnsi="Times New Roman Bold"/>
      <w:caps/>
    </w:rPr>
  </w:style>
  <w:style w:type="paragraph" w:customStyle="1" w:styleId="summary-text">
    <w:name w:val="summary-text"/>
    <w:basedOn w:val="Basetext"/>
    <w:rsid w:val="007B0DA4"/>
    <w:pPr>
      <w:spacing w:after="160" w:line="320" w:lineRule="exact"/>
    </w:pPr>
  </w:style>
  <w:style w:type="paragraph" w:customStyle="1" w:styleId="author-affil-header">
    <w:name w:val="author-affil-header"/>
    <w:basedOn w:val="Baseheading"/>
    <w:rsid w:val="007B0DA4"/>
    <w:pPr>
      <w:spacing w:before="120" w:after="120"/>
      <w:ind w:left="720" w:hanging="720"/>
    </w:pPr>
    <w:rPr>
      <w:rFonts w:ascii="Times New Roman Bold" w:hAnsi="Times New Roman Bold"/>
      <w:caps/>
    </w:rPr>
  </w:style>
  <w:style w:type="paragraph" w:customStyle="1" w:styleId="author-affil-text">
    <w:name w:val="author-affil-text"/>
    <w:basedOn w:val="Basetext"/>
    <w:rsid w:val="007B0DA4"/>
    <w:pPr>
      <w:spacing w:after="120" w:line="360" w:lineRule="auto"/>
      <w:ind w:firstLine="720"/>
    </w:pPr>
  </w:style>
  <w:style w:type="paragraph" w:customStyle="1" w:styleId="author-bio-info">
    <w:name w:val="author-bio-info"/>
    <w:basedOn w:val="Basetext"/>
    <w:rsid w:val="007B0DA4"/>
    <w:pPr>
      <w:spacing w:after="160" w:line="320" w:lineRule="exact"/>
    </w:pPr>
  </w:style>
  <w:style w:type="paragraph" w:customStyle="1" w:styleId="author-list-header">
    <w:name w:val="author-list-header"/>
    <w:basedOn w:val="Baseheading"/>
    <w:rsid w:val="007B0DA4"/>
    <w:pPr>
      <w:spacing w:before="120" w:after="120"/>
      <w:ind w:left="720" w:hanging="720"/>
    </w:pPr>
    <w:rPr>
      <w:rFonts w:ascii="Times New Roman Bold" w:hAnsi="Times New Roman Bold"/>
      <w:caps/>
    </w:rPr>
  </w:style>
  <w:style w:type="paragraph" w:customStyle="1" w:styleId="author-list-name">
    <w:name w:val="author-list-name"/>
    <w:basedOn w:val="Basetext"/>
    <w:rsid w:val="007B0DA4"/>
    <w:pPr>
      <w:spacing w:after="720"/>
      <w:contextualSpacing/>
      <w:jc w:val="center"/>
    </w:pPr>
  </w:style>
  <w:style w:type="paragraph" w:customStyle="1" w:styleId="copyright-permissions">
    <w:name w:val="copyright-permissions"/>
    <w:basedOn w:val="Basetext"/>
    <w:rsid w:val="007B0DA4"/>
    <w:pPr>
      <w:spacing w:after="160" w:line="320" w:lineRule="exact"/>
    </w:pPr>
  </w:style>
  <w:style w:type="paragraph" w:customStyle="1" w:styleId="keywords-list">
    <w:name w:val="keywords-list"/>
    <w:basedOn w:val="Basetext"/>
    <w:rsid w:val="007B0DA4"/>
    <w:pPr>
      <w:spacing w:after="160" w:line="320" w:lineRule="exact"/>
    </w:pPr>
  </w:style>
  <w:style w:type="paragraph" w:customStyle="1" w:styleId="pub-series-info">
    <w:name w:val="pub-series-info"/>
    <w:basedOn w:val="Basetext"/>
    <w:rsid w:val="007B0DA4"/>
    <w:pPr>
      <w:spacing w:after="160" w:line="320" w:lineRule="exact"/>
    </w:pPr>
  </w:style>
  <w:style w:type="paragraph" w:customStyle="1" w:styleId="suggested-cite-header">
    <w:name w:val="suggested-cite-header"/>
    <w:basedOn w:val="Baseheading"/>
    <w:rsid w:val="007B0DA4"/>
    <w:pPr>
      <w:spacing w:before="120" w:after="120"/>
      <w:ind w:left="720" w:hanging="720"/>
    </w:pPr>
    <w:rPr>
      <w:rFonts w:ascii="Times New Roman Bold" w:hAnsi="Times New Roman Bold"/>
      <w:caps/>
    </w:rPr>
  </w:style>
  <w:style w:type="paragraph" w:customStyle="1" w:styleId="suggested-cite-text">
    <w:name w:val="suggested-cite-text"/>
    <w:basedOn w:val="Basetext"/>
    <w:rsid w:val="007B0DA4"/>
    <w:pPr>
      <w:spacing w:after="160" w:line="320" w:lineRule="exact"/>
    </w:pPr>
  </w:style>
  <w:style w:type="paragraph" w:customStyle="1" w:styleId="ack-header">
    <w:name w:val="ack-header"/>
    <w:basedOn w:val="Baseheading"/>
    <w:rsid w:val="007B0DA4"/>
    <w:pPr>
      <w:spacing w:before="120" w:after="120"/>
      <w:ind w:left="720" w:hanging="720"/>
    </w:pPr>
    <w:rPr>
      <w:rFonts w:ascii="Times New Roman Bold" w:hAnsi="Times New Roman Bold"/>
      <w:caps/>
    </w:rPr>
  </w:style>
  <w:style w:type="paragraph" w:customStyle="1" w:styleId="ack-text">
    <w:name w:val="ack-text"/>
    <w:basedOn w:val="Basetext"/>
    <w:rsid w:val="007B0DA4"/>
    <w:pPr>
      <w:spacing w:after="120" w:line="360" w:lineRule="auto"/>
      <w:ind w:firstLine="720"/>
    </w:pPr>
  </w:style>
  <w:style w:type="paragraph" w:customStyle="1" w:styleId="biblio-header">
    <w:name w:val="biblio-header"/>
    <w:basedOn w:val="Baseheading"/>
    <w:rsid w:val="007B0DA4"/>
    <w:pPr>
      <w:spacing w:before="120" w:after="120"/>
      <w:ind w:left="720" w:hanging="720"/>
    </w:pPr>
    <w:rPr>
      <w:rFonts w:ascii="Times New Roman Bold" w:hAnsi="Times New Roman Bold"/>
      <w:caps/>
    </w:rPr>
  </w:style>
  <w:style w:type="paragraph" w:customStyle="1" w:styleId="endnote-header">
    <w:name w:val="endnote-header"/>
    <w:basedOn w:val="Baseheading"/>
    <w:rsid w:val="007B0DA4"/>
    <w:pPr>
      <w:spacing w:before="120" w:after="120"/>
      <w:ind w:left="720" w:hanging="720"/>
    </w:pPr>
    <w:rPr>
      <w:rFonts w:ascii="Times New Roman Bold" w:hAnsi="Times New Roman Bold"/>
      <w:caps/>
    </w:rPr>
  </w:style>
  <w:style w:type="paragraph" w:customStyle="1" w:styleId="cover-date">
    <w:name w:val="cover-date"/>
    <w:basedOn w:val="Basetext"/>
    <w:rsid w:val="007B0DA4"/>
    <w:pPr>
      <w:spacing w:before="240" w:after="720"/>
      <w:jc w:val="right"/>
    </w:pPr>
    <w:rPr>
      <w:rFonts w:ascii="Arial" w:hAnsi="Arial"/>
      <w:b/>
      <w:sz w:val="28"/>
    </w:rPr>
  </w:style>
  <w:style w:type="paragraph" w:customStyle="1" w:styleId="table-notealt-1">
    <w:name w:val="table-note_alt-1"/>
    <w:basedOn w:val="Basetext"/>
    <w:rsid w:val="007B0DA4"/>
    <w:pPr>
      <w:keepLines/>
      <w:spacing w:before="60"/>
      <w:ind w:left="187" w:hanging="187"/>
    </w:pPr>
    <w:rPr>
      <w:sz w:val="20"/>
    </w:rPr>
  </w:style>
  <w:style w:type="paragraph" w:customStyle="1" w:styleId="table-notealt-2">
    <w:name w:val="table-note_alt-2"/>
    <w:basedOn w:val="Basetext"/>
    <w:rsid w:val="007B0DA4"/>
    <w:pPr>
      <w:keepLines/>
      <w:spacing w:before="60" w:after="240"/>
      <w:ind w:left="187" w:hanging="187"/>
    </w:pPr>
    <w:rPr>
      <w:sz w:val="20"/>
    </w:rPr>
  </w:style>
  <w:style w:type="paragraph" w:customStyle="1" w:styleId="table-notestd">
    <w:name w:val="table-note_std"/>
    <w:basedOn w:val="Basetext"/>
    <w:rsid w:val="007B0DA4"/>
    <w:pPr>
      <w:keepLines/>
      <w:spacing w:before="120"/>
      <w:ind w:left="187" w:hanging="187"/>
    </w:pPr>
    <w:rPr>
      <w:sz w:val="20"/>
    </w:rPr>
  </w:style>
  <w:style w:type="paragraph" w:customStyle="1" w:styleId="table-sourcealt-1">
    <w:name w:val="table-source_alt-1"/>
    <w:basedOn w:val="Basetext"/>
    <w:rsid w:val="007B0DA4"/>
    <w:pPr>
      <w:keepLines/>
      <w:spacing w:before="60"/>
      <w:ind w:left="187" w:hanging="187"/>
    </w:pPr>
    <w:rPr>
      <w:sz w:val="20"/>
    </w:rPr>
  </w:style>
  <w:style w:type="paragraph" w:customStyle="1" w:styleId="table-sourcestd">
    <w:name w:val="table-source_std"/>
    <w:basedOn w:val="Basetext"/>
    <w:rsid w:val="007B0DA4"/>
    <w:pPr>
      <w:keepLines/>
      <w:spacing w:before="120" w:after="400"/>
      <w:ind w:left="187" w:hanging="187"/>
    </w:pPr>
    <w:rPr>
      <w:sz w:val="20"/>
    </w:rPr>
  </w:style>
  <w:style w:type="paragraph" w:customStyle="1" w:styleId="cover-project-no">
    <w:name w:val="cover-project-no"/>
    <w:basedOn w:val="Basetext"/>
    <w:rsid w:val="007B0DA4"/>
    <w:pPr>
      <w:autoSpaceDE w:val="0"/>
      <w:autoSpaceDN w:val="0"/>
      <w:adjustRightInd w:val="0"/>
      <w:spacing w:before="600" w:after="240"/>
      <w:contextualSpacing/>
      <w:jc w:val="right"/>
    </w:pPr>
    <w:rPr>
      <w:rFonts w:ascii="Arial" w:eastAsia="Times New Roman" w:hAnsi="Arial"/>
      <w:szCs w:val="24"/>
    </w:rPr>
  </w:style>
  <w:style w:type="paragraph" w:customStyle="1" w:styleId="Disclaimer">
    <w:name w:val="Disclaimer"/>
    <w:basedOn w:val="Normal"/>
    <w:rsid w:val="007B0DA4"/>
    <w:pPr>
      <w:spacing w:line="240" w:lineRule="exact"/>
      <w:jc w:val="right"/>
    </w:pPr>
    <w:rPr>
      <w:rFonts w:ascii="Arial" w:eastAsia="MS Mincho" w:hAnsi="Arial"/>
      <w:bCs/>
      <w:sz w:val="16"/>
      <w:szCs w:val="16"/>
      <w:lang w:eastAsia="en-US"/>
    </w:rPr>
  </w:style>
  <w:style w:type="table" w:customStyle="1" w:styleId="RTITableOMB">
    <w:name w:val="RTI_Table_OMB"/>
    <w:basedOn w:val="TableNormal"/>
    <w:uiPriority w:val="99"/>
    <w:rsid w:val="007B0DA4"/>
    <w:rPr>
      <w:rFonts w:eastAsia="SimSun"/>
    </w:rPr>
    <w:tblPr>
      <w:tblBorders>
        <w:top w:val="single" w:sz="12" w:space="0" w:color="auto"/>
        <w:bottom w:val="single" w:sz="12" w:space="0" w:color="auto"/>
      </w:tblBorders>
    </w:tblPr>
    <w:tblStylePr w:type="firstRow">
      <w:tblPr/>
      <w:tcPr>
        <w:tcBorders>
          <w:bottom w:val="single" w:sz="4" w:space="0" w:color="auto"/>
        </w:tcBorders>
      </w:tcPr>
    </w:tblStylePr>
  </w:style>
  <w:style w:type="character" w:customStyle="1" w:styleId="BalloonTextChar">
    <w:name w:val="Balloon Text Char"/>
    <w:link w:val="BalloonText"/>
    <w:uiPriority w:val="99"/>
    <w:semiHidden/>
    <w:rsid w:val="007B0DA4"/>
    <w:rPr>
      <w:rFonts w:ascii="Segoe UI" w:eastAsia="SimSun" w:hAnsi="Segoe UI" w:cs="Segoe UI"/>
      <w:sz w:val="18"/>
      <w:szCs w:val="18"/>
      <w:lang w:eastAsia="zh-CN"/>
    </w:rPr>
  </w:style>
  <w:style w:type="paragraph" w:customStyle="1" w:styleId="titlepage-title">
    <w:name w:val="titlepage-title"/>
    <w:basedOn w:val="Basetext"/>
    <w:next w:val="Title"/>
    <w:rsid w:val="007B0DA4"/>
    <w:pPr>
      <w:spacing w:before="3120" w:after="480"/>
      <w:contextualSpacing/>
      <w:jc w:val="center"/>
    </w:pPr>
    <w:rPr>
      <w:rFonts w:ascii="Times New Roman Bold" w:hAnsi="Times New Roman Bold"/>
      <w:b/>
      <w:sz w:val="28"/>
      <w:szCs w:val="24"/>
    </w:rPr>
  </w:style>
  <w:style w:type="paragraph" w:customStyle="1" w:styleId="titlepage-text">
    <w:name w:val="titlepage-text"/>
    <w:basedOn w:val="Basetext"/>
    <w:rsid w:val="007B0DA4"/>
    <w:pPr>
      <w:spacing w:before="720"/>
      <w:jc w:val="center"/>
    </w:pPr>
  </w:style>
  <w:style w:type="paragraph" w:customStyle="1" w:styleId="rtitext">
    <w:name w:val="rti_text"/>
    <w:basedOn w:val="Normal"/>
    <w:qFormat/>
    <w:rsid w:val="007B0DA4"/>
    <w:pPr>
      <w:spacing w:before="2880"/>
      <w:jc w:val="center"/>
    </w:pPr>
    <w:rPr>
      <w:rFonts w:eastAsia="Times New Roman"/>
      <w:szCs w:val="20"/>
      <w:lang w:eastAsia="en-US"/>
    </w:rPr>
  </w:style>
  <w:style w:type="paragraph" w:styleId="Title">
    <w:name w:val="Title"/>
    <w:basedOn w:val="Normal"/>
    <w:next w:val="Normal"/>
    <w:link w:val="TitleChar"/>
    <w:uiPriority w:val="10"/>
    <w:qFormat/>
    <w:rsid w:val="007B0DA4"/>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7B0DA4"/>
    <w:rPr>
      <w:rFonts w:ascii="Calibri Light" w:hAnsi="Calibri Light"/>
      <w:b/>
      <w:bCs/>
      <w:kern w:val="28"/>
      <w:sz w:val="32"/>
      <w:szCs w:val="32"/>
      <w:lang w:eastAsia="zh-CN"/>
    </w:rPr>
  </w:style>
  <w:style w:type="paragraph" w:styleId="ListBullet">
    <w:name w:val="List Bullet"/>
    <w:basedOn w:val="Normal"/>
    <w:unhideWhenUsed/>
    <w:rsid w:val="00AD4C50"/>
    <w:pPr>
      <w:numPr>
        <w:numId w:val="2"/>
      </w:numPr>
      <w:autoSpaceDE w:val="0"/>
      <w:autoSpaceDN w:val="0"/>
      <w:adjustRightInd w:val="0"/>
      <w:spacing w:before="120" w:after="120"/>
    </w:pPr>
    <w:rPr>
      <w:rFonts w:eastAsia="Times New Roman" w:cs="Verdana"/>
      <w:szCs w:val="24"/>
      <w:lang w:eastAsia="en-US"/>
    </w:rPr>
  </w:style>
  <w:style w:type="character" w:styleId="UnresolvedMention">
    <w:name w:val="Unresolved Mention"/>
    <w:uiPriority w:val="99"/>
    <w:semiHidden/>
    <w:unhideWhenUsed/>
    <w:rsid w:val="008B5E11"/>
    <w:rPr>
      <w:color w:val="808080"/>
      <w:shd w:val="clear" w:color="auto" w:fill="E6E6E6"/>
    </w:rPr>
  </w:style>
  <w:style w:type="paragraph" w:styleId="Revision">
    <w:name w:val="Revision"/>
    <w:hidden/>
    <w:uiPriority w:val="99"/>
    <w:semiHidden/>
    <w:rsid w:val="00285D64"/>
    <w:rPr>
      <w:rFonts w:eastAsia="SimSun"/>
      <w:sz w:val="24"/>
      <w:szCs w:val="22"/>
      <w:lang w:eastAsia="zh-CN"/>
    </w:rPr>
  </w:style>
  <w:style w:type="paragraph" w:customStyle="1" w:styleId="EndNoteBibliographyTitle">
    <w:name w:val="EndNote Bibliography Title"/>
    <w:basedOn w:val="Normal"/>
    <w:link w:val="EndNoteBibliographyTitleChar"/>
    <w:rsid w:val="00026758"/>
    <w:pPr>
      <w:jc w:val="center"/>
    </w:pPr>
    <w:rPr>
      <w:noProof/>
    </w:rPr>
  </w:style>
  <w:style w:type="character" w:customStyle="1" w:styleId="EndNoteBibliographyTitleChar">
    <w:name w:val="EndNote Bibliography Title Char"/>
    <w:link w:val="EndNoteBibliographyTitle"/>
    <w:rsid w:val="00026758"/>
    <w:rPr>
      <w:rFonts w:eastAsia="SimSun"/>
      <w:noProof/>
      <w:sz w:val="24"/>
      <w:szCs w:val="22"/>
      <w:lang w:eastAsia="zh-CN"/>
    </w:rPr>
  </w:style>
  <w:style w:type="paragraph" w:customStyle="1" w:styleId="EndNoteBibliography">
    <w:name w:val="EndNote Bibliography"/>
    <w:basedOn w:val="Normal"/>
    <w:link w:val="EndNoteBibliographyChar"/>
    <w:rsid w:val="00026758"/>
    <w:rPr>
      <w:noProof/>
    </w:rPr>
  </w:style>
  <w:style w:type="character" w:customStyle="1" w:styleId="EndNoteBibliographyChar">
    <w:name w:val="EndNote Bibliography Char"/>
    <w:link w:val="EndNoteBibliography"/>
    <w:rsid w:val="00026758"/>
    <w:rPr>
      <w:rFonts w:eastAsia="SimSun"/>
      <w:noProof/>
      <w:sz w:val="24"/>
      <w:szCs w:val="22"/>
      <w:lang w:eastAsia="zh-CN"/>
    </w:rPr>
  </w:style>
  <w:style w:type="paragraph" w:styleId="BodyText3">
    <w:name w:val="Body Text 3"/>
    <w:basedOn w:val="Normal"/>
    <w:link w:val="BodyText3Char"/>
    <w:rsid w:val="0016285A"/>
    <w:pPr>
      <w:spacing w:after="120"/>
    </w:pPr>
    <w:rPr>
      <w:sz w:val="16"/>
      <w:szCs w:val="16"/>
    </w:rPr>
  </w:style>
  <w:style w:type="character" w:customStyle="1" w:styleId="BodyText3Char">
    <w:name w:val="Body Text 3 Char"/>
    <w:link w:val="BodyText3"/>
    <w:rsid w:val="0016285A"/>
    <w:rPr>
      <w:rFonts w:eastAsia="SimSun"/>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598160">
      <w:bodyDiv w:val="1"/>
      <w:marLeft w:val="0"/>
      <w:marRight w:val="0"/>
      <w:marTop w:val="0"/>
      <w:marBottom w:val="0"/>
      <w:divBdr>
        <w:top w:val="none" w:sz="0" w:space="0" w:color="auto"/>
        <w:left w:val="none" w:sz="0" w:space="0" w:color="auto"/>
        <w:bottom w:val="none" w:sz="0" w:space="0" w:color="auto"/>
        <w:right w:val="none" w:sz="0" w:space="0" w:color="auto"/>
      </w:divBdr>
    </w:div>
    <w:div w:id="210851194">
      <w:bodyDiv w:val="1"/>
      <w:marLeft w:val="0"/>
      <w:marRight w:val="0"/>
      <w:marTop w:val="0"/>
      <w:marBottom w:val="0"/>
      <w:divBdr>
        <w:top w:val="none" w:sz="0" w:space="0" w:color="auto"/>
        <w:left w:val="none" w:sz="0" w:space="0" w:color="auto"/>
        <w:bottom w:val="none" w:sz="0" w:space="0" w:color="auto"/>
        <w:right w:val="none" w:sz="0" w:space="0" w:color="auto"/>
      </w:divBdr>
    </w:div>
    <w:div w:id="298266663">
      <w:bodyDiv w:val="1"/>
      <w:marLeft w:val="0"/>
      <w:marRight w:val="0"/>
      <w:marTop w:val="0"/>
      <w:marBottom w:val="0"/>
      <w:divBdr>
        <w:top w:val="none" w:sz="0" w:space="0" w:color="auto"/>
        <w:left w:val="none" w:sz="0" w:space="0" w:color="auto"/>
        <w:bottom w:val="none" w:sz="0" w:space="0" w:color="auto"/>
        <w:right w:val="none" w:sz="0" w:space="0" w:color="auto"/>
      </w:divBdr>
    </w:div>
    <w:div w:id="1042943251">
      <w:bodyDiv w:val="1"/>
      <w:marLeft w:val="0"/>
      <w:marRight w:val="0"/>
      <w:marTop w:val="0"/>
      <w:marBottom w:val="0"/>
      <w:divBdr>
        <w:top w:val="none" w:sz="0" w:space="0" w:color="auto"/>
        <w:left w:val="none" w:sz="0" w:space="0" w:color="auto"/>
        <w:bottom w:val="none" w:sz="0" w:space="0" w:color="auto"/>
        <w:right w:val="none" w:sz="0" w:space="0" w:color="auto"/>
      </w:divBdr>
    </w:div>
    <w:div w:id="1116674766">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571497157">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692141301">
      <w:bodyDiv w:val="1"/>
      <w:marLeft w:val="0"/>
      <w:marRight w:val="0"/>
      <w:marTop w:val="0"/>
      <w:marBottom w:val="0"/>
      <w:divBdr>
        <w:top w:val="none" w:sz="0" w:space="0" w:color="auto"/>
        <w:left w:val="none" w:sz="0" w:space="0" w:color="auto"/>
        <w:bottom w:val="none" w:sz="0" w:space="0" w:color="auto"/>
        <w:right w:val="none" w:sz="0" w:space="0" w:color="auto"/>
      </w:divBdr>
    </w:div>
    <w:div w:id="1730763026">
      <w:bodyDiv w:val="1"/>
      <w:marLeft w:val="0"/>
      <w:marRight w:val="0"/>
      <w:marTop w:val="0"/>
      <w:marBottom w:val="0"/>
      <w:divBdr>
        <w:top w:val="none" w:sz="0" w:space="0" w:color="auto"/>
        <w:left w:val="none" w:sz="0" w:space="0" w:color="auto"/>
        <w:bottom w:val="none" w:sz="0" w:space="0" w:color="auto"/>
        <w:right w:val="none" w:sz="0" w:space="0" w:color="auto"/>
      </w:divBdr>
    </w:div>
    <w:div w:id="1805467899">
      <w:bodyDiv w:val="1"/>
      <w:marLeft w:val="0"/>
      <w:marRight w:val="0"/>
      <w:marTop w:val="0"/>
      <w:marBottom w:val="0"/>
      <w:divBdr>
        <w:top w:val="none" w:sz="0" w:space="0" w:color="auto"/>
        <w:left w:val="none" w:sz="0" w:space="0" w:color="auto"/>
        <w:bottom w:val="none" w:sz="0" w:space="0" w:color="auto"/>
        <w:right w:val="none" w:sz="0" w:space="0" w:color="auto"/>
      </w:divBdr>
    </w:div>
    <w:div w:id="1867327767">
      <w:bodyDiv w:val="1"/>
      <w:marLeft w:val="0"/>
      <w:marRight w:val="0"/>
      <w:marTop w:val="0"/>
      <w:marBottom w:val="0"/>
      <w:divBdr>
        <w:top w:val="none" w:sz="0" w:space="0" w:color="auto"/>
        <w:left w:val="none" w:sz="0" w:space="0" w:color="auto"/>
        <w:bottom w:val="none" w:sz="0" w:space="0" w:color="auto"/>
        <w:right w:val="none" w:sz="0" w:space="0" w:color="auto"/>
      </w:divBdr>
    </w:div>
    <w:div w:id="213525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3A__surveys.globaltestmarket.com&amp;d=DwMFaQ&amp;c=zdK58V2JKULZdB8nuBRpog&amp;r=JUUIkGwOm0ozdSXTjkXGWPUExuErTUAeWF0F2MspALE&amp;m=hN9VdDutaoAf7XghOLAmc_pbiJiotjTVzcpPIef4QBI&amp;s=2ggUSXHoCgPMklqCqCvxb-FVmc7JZRFf9nXB_D1-oSA&amp;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dol.gov/whd/minimumwage.htm" TargetMode="External"/><Relationship Id="rId4" Type="http://schemas.openxmlformats.org/officeDocument/2006/relationships/settings" Target="settings.xml"/><Relationship Id="rId9" Type="http://schemas.openxmlformats.org/officeDocument/2006/relationships/hyperlink" Target="https://www.bls.gov/oes/current/oes_nat.ht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ncbi.nlm.nih.gov/pubmed/285263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EE006-B4F6-421E-8A3D-D7810C85E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5616</Words>
  <Characters>32017</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37558</CharactersWithSpaces>
  <SharedDoc>false</SharedDoc>
  <HLinks>
    <vt:vector size="24" baseType="variant">
      <vt:variant>
        <vt:i4>3211301</vt:i4>
      </vt:variant>
      <vt:variant>
        <vt:i4>6</vt:i4>
      </vt:variant>
      <vt:variant>
        <vt:i4>0</vt:i4>
      </vt:variant>
      <vt:variant>
        <vt:i4>5</vt:i4>
      </vt:variant>
      <vt:variant>
        <vt:lpwstr>https://www.dol.gov/whd/minimumwage.htm</vt:lpwstr>
      </vt:variant>
      <vt:variant>
        <vt:lpwstr/>
      </vt:variant>
      <vt:variant>
        <vt:i4>7798815</vt:i4>
      </vt:variant>
      <vt:variant>
        <vt:i4>3</vt:i4>
      </vt:variant>
      <vt:variant>
        <vt:i4>0</vt:i4>
      </vt:variant>
      <vt:variant>
        <vt:i4>5</vt:i4>
      </vt:variant>
      <vt:variant>
        <vt:lpwstr>https://www.bls.gov/oes/current/oes_nat.htm</vt:lpwstr>
      </vt:variant>
      <vt:variant>
        <vt:lpwstr>00-0000</vt:lpwstr>
      </vt:variant>
      <vt:variant>
        <vt:i4>7012397</vt:i4>
      </vt:variant>
      <vt:variant>
        <vt:i4>0</vt:i4>
      </vt:variant>
      <vt:variant>
        <vt:i4>0</vt:i4>
      </vt:variant>
      <vt:variant>
        <vt:i4>5</vt:i4>
      </vt:variant>
      <vt:variant>
        <vt:lpwstr>https://urldefense.proofpoint.com/v2/url?u=http-3A__surveys.globaltestmarket.com&amp;d=DwMFaQ&amp;c=zdK58V2JKULZdB8nuBRpog&amp;r=JUUIkGwOm0ozdSXTjkXGWPUExuErTUAeWF0F2MspALE&amp;m=hN9VdDutaoAf7XghOLAmc_pbiJiotjTVzcpPIef4QBI&amp;s=2ggUSXHoCgPMklqCqCvxb-FVmc7JZRFf9nXB_D1-oSA&amp;e=</vt:lpwstr>
      </vt:variant>
      <vt:variant>
        <vt:lpwstr/>
      </vt:variant>
      <vt:variant>
        <vt:i4>327763</vt:i4>
      </vt:variant>
      <vt:variant>
        <vt:i4>0</vt:i4>
      </vt:variant>
      <vt:variant>
        <vt:i4>0</vt:i4>
      </vt:variant>
      <vt:variant>
        <vt:i4>5</vt:i4>
      </vt:variant>
      <vt:variant>
        <vt:lpwstr>https://www.ncbi.nlm.nih.gov/pubmed/28526392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Margolis, Katherine</dc:creator>
  <cp:keywords/>
  <cp:lastModifiedBy>Gittleson, Daniel</cp:lastModifiedBy>
  <cp:revision>2</cp:revision>
  <dcterms:created xsi:type="dcterms:W3CDTF">2020-03-14T00:15:00Z</dcterms:created>
  <dcterms:modified xsi:type="dcterms:W3CDTF">2020-03-14T00:15:00Z</dcterms:modified>
</cp:coreProperties>
</file>