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F005BC" w:rsidRDefault="00CB474A" w14:paraId="2E70D1B0" w14:textId="77777777">
      <w:pPr>
        <w:jc w:val="center"/>
        <w:rPr>
          <w:rFonts w:eastAsia="Calibri"/>
        </w:rPr>
      </w:pPr>
      <w:r w:rsidRPr="00357C8A">
        <w:rPr>
          <w:rFonts w:eastAsia="Calibri"/>
        </w:rPr>
        <w:t>UNITED STATES FOOD AND DRUG ADMINISTRATION</w:t>
      </w:r>
    </w:p>
    <w:p w:rsidR="00357C8A" w:rsidP="00357C8A" w:rsidRDefault="00357C8A" w14:paraId="3929067C" w14:textId="77777777">
      <w:pPr>
        <w:jc w:val="center"/>
        <w:rPr>
          <w:rFonts w:eastAsia="Calibri"/>
        </w:rPr>
      </w:pPr>
    </w:p>
    <w:p w:rsidRPr="00DF6014" w:rsidR="00DF6014" w:rsidP="00DF6014" w:rsidRDefault="00DF6014" w14:paraId="75EA89B4" w14:textId="77777777">
      <w:pPr>
        <w:jc w:val="center"/>
        <w:rPr>
          <w:rFonts w:eastAsia="Calibri"/>
        </w:rPr>
      </w:pPr>
      <w:r w:rsidRPr="00DF6014">
        <w:rPr>
          <w:rFonts w:eastAsia="Calibri"/>
        </w:rPr>
        <w:t>Recordkeeping and Records Access Requirements for Food Facilities</w:t>
      </w:r>
    </w:p>
    <w:p w:rsidRPr="00DF6014" w:rsidR="00DF6014" w:rsidP="00DF6014" w:rsidRDefault="00DF6014" w14:paraId="41B1A33F" w14:textId="77777777">
      <w:pPr>
        <w:jc w:val="center"/>
        <w:rPr>
          <w:rFonts w:eastAsia="Calibri"/>
        </w:rPr>
      </w:pPr>
    </w:p>
    <w:p w:rsidRPr="00CB474A" w:rsidR="00DF6014" w:rsidP="00DF6014" w:rsidRDefault="00DF6014" w14:paraId="56D06E3E" w14:textId="77777777">
      <w:pPr>
        <w:jc w:val="center"/>
        <w:rPr>
          <w:rFonts w:eastAsia="Calibri"/>
          <w:u w:val="single"/>
        </w:rPr>
      </w:pPr>
      <w:r w:rsidRPr="00CB474A">
        <w:rPr>
          <w:rFonts w:eastAsia="Calibri"/>
          <w:u w:val="single"/>
        </w:rPr>
        <w:t>OMB Control No. 0910-0560</w:t>
      </w:r>
    </w:p>
    <w:p w:rsidR="00CB474A" w:rsidP="000D79CC" w:rsidRDefault="00CB474A" w14:paraId="15222FDF" w14:textId="77777777">
      <w:pPr>
        <w:rPr>
          <w:rFonts w:eastAsia="Calibri"/>
        </w:rPr>
      </w:pPr>
    </w:p>
    <w:p w:rsidR="00357C8A" w:rsidP="000D79CC" w:rsidRDefault="00357C8A" w14:paraId="5B932E57" w14:textId="77777777">
      <w:pPr>
        <w:rPr>
          <w:rFonts w:eastAsia="Calibri"/>
        </w:rPr>
      </w:pPr>
      <w:r w:rsidRPr="00357C8A">
        <w:rPr>
          <w:rFonts w:eastAsia="Calibri"/>
        </w:rPr>
        <w:t>SUPPORTING STATEMENT</w:t>
      </w:r>
      <w:r w:rsidR="00CB474A">
        <w:rPr>
          <w:rFonts w:eastAsia="Calibri"/>
        </w:rPr>
        <w:t xml:space="preserve"> – </w:t>
      </w:r>
      <w:r w:rsidRPr="00357C8A">
        <w:rPr>
          <w:rFonts w:eastAsia="Calibri"/>
          <w:b/>
        </w:rPr>
        <w:t>Part A:  Justification</w:t>
      </w:r>
      <w:r w:rsidRPr="00357C8A">
        <w:rPr>
          <w:rFonts w:eastAsia="Calibri"/>
        </w:rPr>
        <w:t>:</w:t>
      </w:r>
    </w:p>
    <w:p w:rsidRPr="00357C8A" w:rsidR="000D79CC" w:rsidP="000D79CC" w:rsidRDefault="000D79CC" w14:paraId="38659F84" w14:textId="77777777">
      <w:pPr>
        <w:rPr>
          <w:rFonts w:eastAsia="Calibri"/>
        </w:rPr>
      </w:pPr>
    </w:p>
    <w:p w:rsidRPr="00357C8A" w:rsidR="00357C8A" w:rsidP="006705EA" w:rsidRDefault="00357C8A" w14:paraId="2DA5519D"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DF6014" w:rsidR="00DF6014" w:rsidP="00DF6014" w:rsidRDefault="00DF6014" w14:paraId="3A38B287" w14:textId="77777777">
      <w:pPr>
        <w:spacing w:after="200"/>
        <w:rPr>
          <w:rFonts w:eastAsia="Calibri"/>
        </w:rPr>
      </w:pPr>
      <w:r w:rsidRPr="00DF6014">
        <w:rPr>
          <w:rFonts w:eastAsia="Calibri"/>
        </w:rPr>
        <w:t xml:space="preserve">This information collection request supports Food and Drug Administration (FDA, agency, or we) regulations.  </w:t>
      </w:r>
      <w:r w:rsidR="00A77C14">
        <w:rPr>
          <w:rFonts w:eastAsia="Calibri"/>
        </w:rPr>
        <w:t xml:space="preserve">The </w:t>
      </w:r>
      <w:r w:rsidRPr="00DF6014">
        <w:rPr>
          <w:rFonts w:eastAsia="Calibri"/>
        </w:rPr>
        <w:t>Public Health Security and Bioterrorism Preparedness and Response Act of 2002 (the Bioterrorism Act) added section 414 of the Federal Food, Drug, and Cosmetic Act (the FD&amp;C Act) (21 U.S.C. 350c) requires that persons who manufacture, process, pack, hold, receive, distribute, transport, or import food in the United States establish and maintain records identifying the immediate previous sources and immediate subsequent recipients of food.  These requirements are codified under 21 CFR sections 1.326 through 1.363.</w:t>
      </w:r>
    </w:p>
    <w:p w:rsidRPr="00DF6014" w:rsidR="00DF6014" w:rsidP="00DF6014" w:rsidRDefault="00DF6014" w14:paraId="2C25AB41" w14:textId="77777777">
      <w:pPr>
        <w:spacing w:after="200"/>
        <w:rPr>
          <w:rFonts w:eastAsia="Calibri"/>
        </w:rPr>
      </w:pPr>
      <w:bookmarkStart w:name="_Hlk34727803" w:id="0"/>
      <w:r w:rsidRPr="00DF6014">
        <w:rPr>
          <w:rFonts w:eastAsia="Calibri"/>
        </w:rPr>
        <w:t xml:space="preserve">The requirement to establish and maintain records improves </w:t>
      </w:r>
      <w:r w:rsidR="00A77C14">
        <w:rPr>
          <w:rFonts w:eastAsia="Calibri"/>
        </w:rPr>
        <w:t xml:space="preserve">our </w:t>
      </w:r>
      <w:r w:rsidRPr="00DF6014">
        <w:rPr>
          <w:rFonts w:eastAsia="Calibri"/>
        </w:rPr>
        <w:t xml:space="preserve">ability to respond to and contain threats of serious adverse health consequences or death to humans or animals from accidental or deliberate contamination of food.  </w:t>
      </w:r>
      <w:bookmarkStart w:name="_Hlk34727723" w:id="1"/>
      <w:bookmarkEnd w:id="0"/>
      <w:r w:rsidRPr="00DF6014">
        <w:rPr>
          <w:rFonts w:eastAsia="Calibri"/>
        </w:rPr>
        <w:t>The regulations require that records for non-transporters include the name and full contact information of sources, recipients, and transporters, an adequate description of the food, including the quantity and packaging, and the receipt and shipping dates (§§ 1.337 and 1.345).  Required records for transporters include the names of consignor and consignee, points of origin and destination, date of shipment, number of packages, description of freight, route of movement and name of each carrier participating in the transportation, and transfer points through which shipment moved (</w:t>
      </w:r>
      <w:bookmarkStart w:name="_Hlk47082288" w:id="2"/>
      <w:r w:rsidRPr="00DF6014">
        <w:rPr>
          <w:rFonts w:eastAsia="Calibri"/>
        </w:rPr>
        <w:t>§</w:t>
      </w:r>
      <w:bookmarkEnd w:id="2"/>
      <w:r w:rsidRPr="00DF6014">
        <w:rPr>
          <w:rFonts w:eastAsia="Calibri"/>
        </w:rPr>
        <w:t xml:space="preserve"> 1.352).  </w:t>
      </w:r>
      <w:bookmarkEnd w:id="1"/>
      <w:r w:rsidRPr="00DF6014">
        <w:rPr>
          <w:rFonts w:eastAsia="Calibri"/>
        </w:rPr>
        <w:t>Existing records may be used if they contain all the required information and are retained for the required time period.</w:t>
      </w:r>
    </w:p>
    <w:p w:rsidRPr="00DF6014" w:rsidR="00DF6014" w:rsidP="00DF6014" w:rsidRDefault="00DF6014" w14:paraId="3C2797A8" w14:textId="77777777">
      <w:pPr>
        <w:spacing w:after="200"/>
        <w:rPr>
          <w:rFonts w:eastAsia="Calibri"/>
        </w:rPr>
      </w:pPr>
      <w:r w:rsidRPr="00DF6014">
        <w:rPr>
          <w:rFonts w:eastAsia="Calibri"/>
        </w:rPr>
        <w:t>Section 101 of the FDA Food Safety Modernization Act (FSMA) (Pub. L. 111–353) amended section 414(a) of the FD&amp;C Act and expanded FDA’s access to records.  FDA</w:t>
      </w:r>
      <w:r w:rsidR="00A77C14">
        <w:rPr>
          <w:rFonts w:eastAsia="Calibri"/>
        </w:rPr>
        <w:t xml:space="preserve"> may </w:t>
      </w:r>
      <w:r w:rsidRPr="00DF6014">
        <w:rPr>
          <w:rFonts w:eastAsia="Calibri"/>
        </w:rPr>
        <w:t>access records relating to specific suspect article</w:t>
      </w:r>
      <w:r w:rsidR="00A77C14">
        <w:rPr>
          <w:rFonts w:eastAsia="Calibri"/>
        </w:rPr>
        <w:t>s</w:t>
      </w:r>
      <w:r w:rsidRPr="00DF6014">
        <w:rPr>
          <w:rFonts w:eastAsia="Calibri"/>
        </w:rPr>
        <w:t xml:space="preserve"> of food</w:t>
      </w:r>
      <w:r w:rsidR="00A77C14">
        <w:rPr>
          <w:rFonts w:eastAsia="Calibri"/>
        </w:rPr>
        <w:t xml:space="preserve">; </w:t>
      </w:r>
      <w:r w:rsidRPr="00DF6014">
        <w:rPr>
          <w:rFonts w:eastAsia="Calibri"/>
        </w:rPr>
        <w:t xml:space="preserve">records relating to any article of food that </w:t>
      </w:r>
      <w:r w:rsidR="00A77C14">
        <w:rPr>
          <w:rFonts w:eastAsia="Calibri"/>
        </w:rPr>
        <w:t xml:space="preserve">is </w:t>
      </w:r>
      <w:r w:rsidRPr="00DF6014">
        <w:rPr>
          <w:rFonts w:eastAsia="Calibri"/>
        </w:rPr>
        <w:t>reasonably believe</w:t>
      </w:r>
      <w:r w:rsidR="00A77C14">
        <w:rPr>
          <w:rFonts w:eastAsia="Calibri"/>
        </w:rPr>
        <w:t>d</w:t>
      </w:r>
      <w:r w:rsidRPr="00DF6014">
        <w:rPr>
          <w:rFonts w:eastAsia="Calibri"/>
        </w:rPr>
        <w:t xml:space="preserve"> likely to be affected in</w:t>
      </w:r>
      <w:r w:rsidR="00A77C14">
        <w:rPr>
          <w:rFonts w:eastAsia="Calibri"/>
        </w:rPr>
        <w:t xml:space="preserve"> such a</w:t>
      </w:r>
      <w:r w:rsidRPr="00DF6014">
        <w:rPr>
          <w:rFonts w:eastAsia="Calibri"/>
        </w:rPr>
        <w:t xml:space="preserve"> manner</w:t>
      </w:r>
      <w:r w:rsidR="00A77C14">
        <w:rPr>
          <w:rFonts w:eastAsia="Calibri"/>
        </w:rPr>
        <w:t xml:space="preserve">; or if </w:t>
      </w:r>
      <w:r w:rsidRPr="00DF6014">
        <w:rPr>
          <w:rFonts w:eastAsia="Calibri"/>
        </w:rPr>
        <w:t>we believe that there is a reasonable probability that the use of or exposure to an article of food</w:t>
      </w:r>
      <w:r w:rsidR="00A77C14">
        <w:rPr>
          <w:rFonts w:eastAsia="Calibri"/>
        </w:rPr>
        <w:t xml:space="preserve"> </w:t>
      </w:r>
      <w:r w:rsidRPr="00DF6014">
        <w:rPr>
          <w:rFonts w:eastAsia="Calibri"/>
        </w:rPr>
        <w:t>will cause serious adverse health consequences or death to humans or animals.  To gain access to these records, a FDA officer or employee must present appropriate credentials and a written notice, at reasonable times and within reasonable limits and in a reasonable manner.</w:t>
      </w:r>
      <w:r w:rsidR="00A77C14">
        <w:t xml:space="preserve">  B</w:t>
      </w:r>
      <w:r w:rsidRPr="00A77C14" w:rsidR="00A77C14">
        <w:rPr>
          <w:rFonts w:eastAsia="Calibri"/>
        </w:rPr>
        <w:t xml:space="preserve">ecause we believe the information collection provisions under § 1.361 </w:t>
      </w:r>
      <w:r w:rsidR="00A77C14">
        <w:rPr>
          <w:rFonts w:eastAsia="Calibri"/>
        </w:rPr>
        <w:t xml:space="preserve">are </w:t>
      </w:r>
      <w:r w:rsidRPr="00A77C14" w:rsidR="00A77C14">
        <w:rPr>
          <w:rFonts w:eastAsia="Calibri"/>
        </w:rPr>
        <w:t xml:space="preserve">exempt from OMB review under 44 U.S.C. 3518(c)(1)(B)(ii) and 5 CFR 1320.4(a)(2) (see FDA’s interim final rule of February 23, 2012 (77 FR 10658)), we have not included an estimate of </w:t>
      </w:r>
      <w:r w:rsidR="00A77C14">
        <w:rPr>
          <w:rFonts w:eastAsia="Calibri"/>
        </w:rPr>
        <w:t xml:space="preserve">burden </w:t>
      </w:r>
      <w:r w:rsidRPr="00A77C14" w:rsidR="00A77C14">
        <w:rPr>
          <w:rFonts w:eastAsia="Calibri"/>
        </w:rPr>
        <w:t>associated with the</w:t>
      </w:r>
      <w:r w:rsidR="00A77C14">
        <w:rPr>
          <w:rFonts w:eastAsia="Calibri"/>
        </w:rPr>
        <w:t>se</w:t>
      </w:r>
      <w:r w:rsidRPr="00A77C14" w:rsidR="00A77C14">
        <w:rPr>
          <w:rFonts w:eastAsia="Calibri"/>
        </w:rPr>
        <w:t xml:space="preserve"> regulation</w:t>
      </w:r>
      <w:r w:rsidR="00A77C14">
        <w:rPr>
          <w:rFonts w:eastAsia="Calibri"/>
        </w:rPr>
        <w:t>s</w:t>
      </w:r>
      <w:r w:rsidRPr="00A77C14" w:rsidR="00A77C14">
        <w:rPr>
          <w:rFonts w:eastAsia="Calibri"/>
        </w:rPr>
        <w:t>.</w:t>
      </w:r>
    </w:p>
    <w:p w:rsidR="00357C8A" w:rsidP="00175199" w:rsidRDefault="00DF6014" w14:paraId="55F1E6F7" w14:textId="77777777">
      <w:pPr>
        <w:rPr>
          <w:rFonts w:eastAsia="Calibri"/>
        </w:rPr>
      </w:pPr>
      <w:r w:rsidRPr="00DF6014">
        <w:rPr>
          <w:rFonts w:eastAsia="Calibri"/>
        </w:rPr>
        <w:t>Accordingly, we</w:t>
      </w:r>
      <w:r w:rsidR="00B827D9">
        <w:rPr>
          <w:rFonts w:eastAsia="Calibri"/>
        </w:rPr>
        <w:t xml:space="preserve"> </w:t>
      </w:r>
      <w:r w:rsidRPr="00DF6014">
        <w:rPr>
          <w:rFonts w:eastAsia="Calibri"/>
        </w:rPr>
        <w:t>request</w:t>
      </w:r>
      <w:r w:rsidR="00B827D9">
        <w:rPr>
          <w:rFonts w:eastAsia="Calibri"/>
        </w:rPr>
        <w:t xml:space="preserve"> extension of</w:t>
      </w:r>
      <w:r w:rsidRPr="00DF6014">
        <w:rPr>
          <w:rFonts w:eastAsia="Calibri"/>
        </w:rPr>
        <w:t xml:space="preserve"> OMB approval </w:t>
      </w:r>
      <w:r w:rsidR="00200251">
        <w:rPr>
          <w:rFonts w:eastAsia="Calibri"/>
        </w:rPr>
        <w:t>for</w:t>
      </w:r>
      <w:r w:rsidRPr="00DF6014" w:rsidR="00200251">
        <w:rPr>
          <w:rFonts w:eastAsia="Calibri"/>
        </w:rPr>
        <w:t xml:space="preserve"> </w:t>
      </w:r>
      <w:r w:rsidRPr="00DF6014">
        <w:rPr>
          <w:rFonts w:eastAsia="Calibri"/>
        </w:rPr>
        <w:t xml:space="preserve">the information collection provisions found </w:t>
      </w:r>
      <w:r w:rsidR="002F28FA">
        <w:rPr>
          <w:rFonts w:eastAsia="Calibri"/>
        </w:rPr>
        <w:t xml:space="preserve">in </w:t>
      </w:r>
      <w:r w:rsidRPr="002F28FA" w:rsidR="002F28FA">
        <w:rPr>
          <w:rFonts w:eastAsia="Calibri"/>
        </w:rPr>
        <w:t>§§</w:t>
      </w:r>
      <w:r w:rsidR="003E5AD8">
        <w:rPr>
          <w:rFonts w:eastAsia="Calibri"/>
        </w:rPr>
        <w:t xml:space="preserve"> 1.337, 1.345, and 1.352 as discussed in this supporting statement.</w:t>
      </w:r>
    </w:p>
    <w:p w:rsidR="00A1203C" w:rsidP="00B2141D" w:rsidRDefault="00A1203C" w14:paraId="3C3670E4" w14:textId="77777777">
      <w:pPr>
        <w:rPr>
          <w:rFonts w:eastAsia="Calibri"/>
          <w:color w:val="000000"/>
        </w:rPr>
      </w:pPr>
    </w:p>
    <w:p w:rsidRPr="00B66E77" w:rsidR="00640332" w:rsidP="00B2141D" w:rsidRDefault="00640332" w14:paraId="0F95A888" w14:textId="77777777">
      <w:pPr>
        <w:rPr>
          <w:rFonts w:eastAsia="Calibri"/>
          <w:color w:val="000000"/>
        </w:rPr>
      </w:pPr>
    </w:p>
    <w:p w:rsidRPr="00357C8A" w:rsidR="00357C8A" w:rsidP="006705EA" w:rsidRDefault="00CB474A" w14:paraId="7B6F2ABE"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 xml:space="preserve">Purpose and Use of the Information Collection </w:t>
      </w:r>
    </w:p>
    <w:p w:rsidRPr="003E5AD8" w:rsidR="003E5AD8" w:rsidP="003E5AD8" w:rsidRDefault="003E5AD8" w14:paraId="72C7A3D8" w14:textId="77777777">
      <w:pPr>
        <w:spacing w:after="200"/>
        <w:rPr>
          <w:rFonts w:eastAsia="Calibri"/>
        </w:rPr>
      </w:pPr>
      <w:r w:rsidRPr="003E5AD8">
        <w:rPr>
          <w:rFonts w:eastAsia="Calibri"/>
        </w:rPr>
        <w:t xml:space="preserve">Information </w:t>
      </w:r>
      <w:r>
        <w:rPr>
          <w:rFonts w:eastAsia="Calibri"/>
        </w:rPr>
        <w:t xml:space="preserve">in the records </w:t>
      </w:r>
      <w:r w:rsidRPr="003E5AD8">
        <w:rPr>
          <w:rFonts w:eastAsia="Calibri"/>
        </w:rPr>
        <w:t xml:space="preserve">maintained under these regulations will </w:t>
      </w:r>
      <w:r>
        <w:rPr>
          <w:rFonts w:eastAsia="Calibri"/>
        </w:rPr>
        <w:t>assist</w:t>
      </w:r>
      <w:r w:rsidRPr="003E5AD8">
        <w:rPr>
          <w:rFonts w:eastAsia="Calibri"/>
        </w:rPr>
        <w:t xml:space="preserve"> FDA to </w:t>
      </w:r>
      <w:r>
        <w:rPr>
          <w:rFonts w:eastAsia="Calibri"/>
        </w:rPr>
        <w:t xml:space="preserve">quickly </w:t>
      </w:r>
      <w:r w:rsidRPr="003E5AD8">
        <w:rPr>
          <w:rFonts w:eastAsia="Calibri"/>
        </w:rPr>
        <w:t xml:space="preserve">identify and locate contaminated or potentially contaminated food that might be affected by deliberate or accidental contamination and to inform the appropriate individuals and food facilities of specific terrorist threats.  </w:t>
      </w:r>
    </w:p>
    <w:p w:rsidRPr="003E5AD8" w:rsidR="003E5AD8" w:rsidP="003E5AD8" w:rsidRDefault="003E5AD8" w14:paraId="6FE59A2A" w14:textId="77777777">
      <w:pPr>
        <w:spacing w:after="200"/>
        <w:rPr>
          <w:rFonts w:eastAsia="Calibri"/>
        </w:rPr>
      </w:pPr>
      <w:r w:rsidRPr="003E5AD8">
        <w:rPr>
          <w:rFonts w:eastAsia="Calibri"/>
        </w:rPr>
        <w:t xml:space="preserve">Our regulations require that records for non-transporters include the name and full contact information of sources, recipients, and transporters, an adequate description of the food including the quantity and packaging, and the receipt and shipping dates (§§ 1.337 and 1.345).  Required records for transporters include the names of consignor and consignee, points of origin and destination, date of shipment, number of packages, description of freight, route of movement and name of each carrier participating in the transportation, and transfer points through which shipment moved (§ 1.352).  Existing records may be used if they contain all the required information and are retained for the required time period.  </w:t>
      </w:r>
    </w:p>
    <w:p w:rsidRPr="00B66E77" w:rsidR="00B827D9" w:rsidP="0022425B" w:rsidRDefault="003E5AD8" w14:paraId="56583178" w14:textId="77777777">
      <w:pPr>
        <w:spacing w:after="200"/>
        <w:rPr>
          <w:rFonts w:eastAsia="Calibri"/>
          <w:color w:val="000000"/>
        </w:rPr>
      </w:pPr>
      <w:r w:rsidRPr="00BC3EC3">
        <w:rPr>
          <w:rFonts w:eastAsia="Calibri"/>
          <w:i/>
        </w:rPr>
        <w:t>Description of Respondents</w:t>
      </w:r>
      <w:r w:rsidRPr="003E5AD8">
        <w:rPr>
          <w:rFonts w:eastAsia="Calibri"/>
        </w:rPr>
        <w:t>:  Persons that manufacture, process, pack, hold, receive, distribute, transport, or import food in the United States must establish and maintain records.  Respondents are from the private sector (for-profit businesses).</w:t>
      </w:r>
    </w:p>
    <w:p w:rsidRPr="00357C8A" w:rsidR="00357C8A" w:rsidP="006705EA" w:rsidRDefault="00357C8A" w14:paraId="106EBE4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B66E77" w:rsidR="00357C8A" w:rsidP="0022425B" w:rsidRDefault="007C44F0" w14:paraId="03879DE4" w14:textId="77777777">
      <w:pPr>
        <w:spacing w:after="200"/>
        <w:rPr>
          <w:rFonts w:eastAsia="Calibri"/>
          <w:color w:val="000000"/>
        </w:rPr>
      </w:pPr>
      <w:r w:rsidRPr="007C44F0">
        <w:rPr>
          <w:rFonts w:eastAsia="Calibri"/>
        </w:rPr>
        <w:t>The information collection does not specifically prescribe the use of automated, electronic, mechanical, or other technological techniques or other forms of information technology as necessary for use by firms.  Companies may use whatever forms of information technology for retaining the appropriate records and making them available to regulatory officials.  We estimate that about twenty-five percent (25%) of the recordkeeping will be accomplished electronically in the next three years.</w:t>
      </w:r>
    </w:p>
    <w:p w:rsidRPr="00357C8A" w:rsidR="00357C8A" w:rsidP="006705EA" w:rsidRDefault="00357C8A" w14:paraId="04C0E85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B66E77" w:rsidR="000C1260" w:rsidP="0053380B" w:rsidRDefault="0053380B" w14:paraId="779EAB32" w14:textId="77777777">
      <w:pPr>
        <w:spacing w:after="200"/>
        <w:rPr>
          <w:rFonts w:eastAsia="Calibri"/>
          <w:color w:val="000000"/>
        </w:rPr>
      </w:pPr>
      <w:r w:rsidRPr="005C71CA">
        <w:t>We are unaware of duplicative information collection</w:t>
      </w:r>
      <w:r w:rsidR="00A1203C">
        <w:t>.</w:t>
      </w:r>
      <w:r w:rsidRPr="007C44F0" w:rsidR="007C44F0">
        <w:t xml:space="preserve">  Under section 414 of the FD&amp;C</w:t>
      </w:r>
      <w:r w:rsidR="00A1203C">
        <w:t xml:space="preserve"> </w:t>
      </w:r>
      <w:r w:rsidRPr="007C44F0" w:rsidR="007C44F0">
        <w:t>Act, FDA is specifically charged with the safety of United States food supply.  We believe the information collection requirements found in the applicable regulations do not duplicate those associated with other food safety requirements.</w:t>
      </w:r>
    </w:p>
    <w:p w:rsidRPr="00357C8A" w:rsidR="00357C8A" w:rsidP="006705EA" w:rsidRDefault="00357C8A" w14:paraId="1D1A899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E57C22" w14:paraId="1E1D130A" w14:textId="77777777">
      <w:pPr>
        <w:spacing w:after="200"/>
        <w:rPr>
          <w:rFonts w:eastAsia="Calibri"/>
        </w:rPr>
      </w:pPr>
      <w:r w:rsidRPr="00E57C22">
        <w:rPr>
          <w:rFonts w:eastAsia="Calibri"/>
        </w:rPr>
        <w:t xml:space="preserve">We estimate that ten percent (10%) of respondents are small businesses.  The recordkeeping requirements of these regulations are mandated by section 414 of the FD&amp;C Act, and there is no statutory exception for small businesses.  We help small businesses comply with our requirements through our Regional Small Business Representatives and </w:t>
      </w:r>
      <w:r w:rsidR="00122C76">
        <w:rPr>
          <w:rFonts w:eastAsia="Calibri"/>
        </w:rPr>
        <w:t>we have</w:t>
      </w:r>
      <w:r w:rsidRPr="00431F03" w:rsidR="00431F03">
        <w:rPr>
          <w:rFonts w:eastAsia="Calibri"/>
        </w:rPr>
        <w:t xml:space="preserve"> provided Small Business assistance on the agency’s website at </w:t>
      </w:r>
      <w:hyperlink w:history="1" r:id="rId7">
        <w:r w:rsidRPr="00F774E2" w:rsidR="00431F03">
          <w:rPr>
            <w:rStyle w:val="Hyperlink"/>
            <w:rFonts w:eastAsia="Calibri"/>
          </w:rPr>
          <w:t>https://www.fda.gov/industry/small-business-assistance</w:t>
        </w:r>
      </w:hyperlink>
      <w:r w:rsidRPr="00431F03" w:rsidR="00431F03">
        <w:rPr>
          <w:rFonts w:eastAsia="Calibri"/>
        </w:rPr>
        <w:t>.</w:t>
      </w:r>
    </w:p>
    <w:p w:rsidRPr="00357C8A" w:rsidR="00357C8A" w:rsidP="006705EA" w:rsidRDefault="00357C8A" w14:paraId="5C702E6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B66E77" w:rsidR="00357C8A" w:rsidP="00357C8A" w:rsidRDefault="00431F03" w14:paraId="56B172CC" w14:textId="77777777">
      <w:pPr>
        <w:spacing w:after="200"/>
        <w:rPr>
          <w:rFonts w:eastAsia="Calibri"/>
          <w:color w:val="000000"/>
        </w:rPr>
      </w:pPr>
      <w:r w:rsidRPr="00431F03">
        <w:rPr>
          <w:rFonts w:eastAsia="Calibri"/>
        </w:rPr>
        <w:t xml:space="preserve">Data collection occurs occasionally.  Pursuant to the FD&amp;C Act and the implementing regulations, a record is established for each transaction involving food at the time the transaction </w:t>
      </w:r>
      <w:r w:rsidRPr="00431F03">
        <w:rPr>
          <w:rFonts w:eastAsia="Calibri"/>
        </w:rPr>
        <w:lastRenderedPageBreak/>
        <w:t>occurs.  The information cannot be collected less frequently.  If the collection is not conducted or is conducted less frequently, persons that manufacture, process, pack, hold, receive, distribute, transport, or import food in the United States would not be in compliance with section 414 of the FD&amp;C Act.</w:t>
      </w:r>
    </w:p>
    <w:p w:rsidRPr="00357C8A" w:rsidR="00357C8A" w:rsidP="006705EA" w:rsidRDefault="00357C8A" w14:paraId="708DD13A"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431F03" w14:paraId="0BA0851A" w14:textId="77777777">
      <w:pPr>
        <w:spacing w:after="200"/>
        <w:rPr>
          <w:rFonts w:eastAsia="Calibri"/>
        </w:rPr>
      </w:pPr>
      <w:r w:rsidRPr="00431F03">
        <w:rPr>
          <w:rFonts w:eastAsia="Calibri"/>
        </w:rPr>
        <w:t>There are no special circumstances associated with this collection of information.</w:t>
      </w:r>
    </w:p>
    <w:p w:rsidRPr="00357C8A" w:rsidR="00357C8A" w:rsidP="006705EA" w:rsidRDefault="00357C8A" w14:paraId="281EE0A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B66E77" w:rsidR="00357C8A" w:rsidP="00357C8A" w:rsidRDefault="00431F03" w14:paraId="439C6471" w14:textId="77777777">
      <w:pPr>
        <w:spacing w:after="200"/>
        <w:rPr>
          <w:rFonts w:eastAsia="Calibri"/>
          <w:color w:val="000000"/>
        </w:rPr>
      </w:pPr>
      <w:r w:rsidRPr="00431F03">
        <w:rPr>
          <w:rFonts w:eastAsia="Calibri"/>
        </w:rPr>
        <w:t xml:space="preserve">In accordance with 5 CFR 1320.8(d), </w:t>
      </w:r>
      <w:r w:rsidR="00122C76">
        <w:rPr>
          <w:rFonts w:eastAsia="Calibri"/>
        </w:rPr>
        <w:t>we</w:t>
      </w:r>
      <w:r w:rsidRPr="00431F03" w:rsidR="00122C76">
        <w:rPr>
          <w:rFonts w:eastAsia="Calibri"/>
        </w:rPr>
        <w:t xml:space="preserve"> </w:t>
      </w:r>
      <w:r w:rsidRPr="00431F03">
        <w:rPr>
          <w:rFonts w:eastAsia="Calibri"/>
        </w:rPr>
        <w:t xml:space="preserve">published a </w:t>
      </w:r>
      <w:r w:rsidRPr="00431F03" w:rsidR="00A1203C">
        <w:rPr>
          <w:rFonts w:eastAsia="Calibri"/>
        </w:rPr>
        <w:t>60-day</w:t>
      </w:r>
      <w:r w:rsidRPr="00431F03">
        <w:rPr>
          <w:rFonts w:eastAsia="Calibri"/>
        </w:rPr>
        <w:t xml:space="preserve"> notice for public comment in the </w:t>
      </w:r>
      <w:r w:rsidRPr="00BC3EC3">
        <w:rPr>
          <w:rFonts w:eastAsia="Calibri"/>
          <w:i/>
        </w:rPr>
        <w:t>Federal Register</w:t>
      </w:r>
      <w:r w:rsidRPr="00431F03">
        <w:rPr>
          <w:rFonts w:eastAsia="Calibri"/>
        </w:rPr>
        <w:t xml:space="preserve"> of </w:t>
      </w:r>
      <w:r w:rsidR="005A24D1">
        <w:rPr>
          <w:rFonts w:eastAsia="Calibri"/>
        </w:rPr>
        <w:t>April 7</w:t>
      </w:r>
      <w:r w:rsidRPr="00431F03">
        <w:rPr>
          <w:rFonts w:eastAsia="Calibri"/>
        </w:rPr>
        <w:t>, 20</w:t>
      </w:r>
      <w:r>
        <w:rPr>
          <w:rFonts w:eastAsia="Calibri"/>
        </w:rPr>
        <w:t>20</w:t>
      </w:r>
      <w:r w:rsidRPr="00431F03">
        <w:rPr>
          <w:rFonts w:eastAsia="Calibri"/>
        </w:rPr>
        <w:t xml:space="preserve"> (8</w:t>
      </w:r>
      <w:r>
        <w:rPr>
          <w:rFonts w:eastAsia="Calibri"/>
        </w:rPr>
        <w:t>5</w:t>
      </w:r>
      <w:r w:rsidRPr="00431F03">
        <w:rPr>
          <w:rFonts w:eastAsia="Calibri"/>
        </w:rPr>
        <w:t xml:space="preserve"> FR </w:t>
      </w:r>
      <w:r w:rsidR="005A24D1">
        <w:rPr>
          <w:rFonts w:eastAsia="Calibri"/>
        </w:rPr>
        <w:t>19489</w:t>
      </w:r>
      <w:r w:rsidRPr="00431F03">
        <w:rPr>
          <w:rFonts w:eastAsia="Calibri"/>
        </w:rPr>
        <w:t xml:space="preserve">).  </w:t>
      </w:r>
      <w:r>
        <w:rPr>
          <w:rFonts w:eastAsia="Calibri"/>
        </w:rPr>
        <w:t xml:space="preserve">No </w:t>
      </w:r>
      <w:r w:rsidRPr="00431F03">
        <w:rPr>
          <w:rFonts w:eastAsia="Calibri"/>
        </w:rPr>
        <w:t>comment</w:t>
      </w:r>
      <w:r>
        <w:rPr>
          <w:rFonts w:eastAsia="Calibri"/>
        </w:rPr>
        <w:t>s were received</w:t>
      </w:r>
      <w:r w:rsidRPr="00B66E77">
        <w:rPr>
          <w:rFonts w:eastAsia="Calibri"/>
          <w:color w:val="000000"/>
        </w:rPr>
        <w:t>.</w:t>
      </w:r>
    </w:p>
    <w:p w:rsidRPr="00357C8A" w:rsidR="00357C8A" w:rsidP="006705EA" w:rsidRDefault="00357C8A" w14:paraId="61C628BA"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B66E77" w:rsidR="00357C8A" w:rsidP="00357C8A" w:rsidRDefault="00122C76" w14:paraId="0A155412" w14:textId="77777777">
      <w:pPr>
        <w:spacing w:after="200"/>
        <w:rPr>
          <w:rFonts w:eastAsia="Calibri"/>
          <w:color w:val="000000"/>
        </w:rPr>
      </w:pPr>
      <w:r w:rsidRPr="00122C76">
        <w:rPr>
          <w:rFonts w:eastAsia="Calibri"/>
        </w:rPr>
        <w:t>There are no incentives, payments</w:t>
      </w:r>
      <w:r w:rsidR="00640332">
        <w:rPr>
          <w:rFonts w:eastAsia="Calibri"/>
        </w:rPr>
        <w:t>,</w:t>
      </w:r>
      <w:r w:rsidRPr="00122C76">
        <w:rPr>
          <w:rFonts w:eastAsia="Calibri"/>
        </w:rPr>
        <w:t xml:space="preserve"> or gifts associated with this information collection.</w:t>
      </w:r>
    </w:p>
    <w:p w:rsidRPr="00357C8A" w:rsidR="00357C8A" w:rsidP="006705EA" w:rsidRDefault="00357C8A" w14:paraId="6F46EA9D"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22C76" w:rsidP="0066431E" w:rsidRDefault="00441B8D" w14:paraId="0EA36C18" w14:textId="77777777">
      <w:pPr>
        <w:spacing w:after="200"/>
        <w:rPr>
          <w:rFonts w:eastAsia="Calibri"/>
        </w:rPr>
      </w:pPr>
      <w:r w:rsidRPr="00441B8D">
        <w:rPr>
          <w:rFonts w:eastAsia="Calibri"/>
        </w:rPr>
        <w:t>In preparing this supporting statement, we consulted with our Privacy Office to ensure appropriate handling of information collected.</w:t>
      </w:r>
      <w:r>
        <w:rPr>
          <w:rFonts w:eastAsia="Calibri"/>
        </w:rPr>
        <w:t xml:space="preserve">  </w:t>
      </w:r>
      <w:r w:rsidRPr="00122C76" w:rsidR="00122C76">
        <w:rPr>
          <w:rFonts w:eastAsia="Calibri"/>
        </w:rPr>
        <w:t xml:space="preserve">The </w:t>
      </w:r>
      <w:r>
        <w:rPr>
          <w:rFonts w:eastAsia="Calibri"/>
        </w:rPr>
        <w:t xml:space="preserve">information collection </w:t>
      </w:r>
      <w:r w:rsidRPr="00122C76" w:rsidR="00122C76">
        <w:rPr>
          <w:rFonts w:eastAsia="Calibri"/>
        </w:rPr>
        <w:t>does not specify confidentiality.  However, all confidential information received by FDA is protected from disclosure under the Freedom of Information Act (FOIA) under sections 552(a) and (b) (5 U.S.C. 552(a) and (b)), and by our regulations at 21 CFR part 20.</w:t>
      </w:r>
    </w:p>
    <w:p w:rsidRPr="00BC3EC3" w:rsidR="00122C76" w:rsidP="0066431E" w:rsidRDefault="00122C76" w14:paraId="2E768D4A" w14:textId="77777777">
      <w:pPr>
        <w:spacing w:after="200"/>
        <w:rPr>
          <w:rFonts w:eastAsia="Calibri"/>
          <w:i/>
        </w:rPr>
      </w:pPr>
      <w:r w:rsidRPr="00BC3EC3">
        <w:rPr>
          <w:rFonts w:eastAsia="Calibri"/>
          <w:i/>
        </w:rPr>
        <w:t>Privacy Act</w:t>
      </w:r>
    </w:p>
    <w:p w:rsidRPr="0066431E" w:rsidR="0066431E" w:rsidP="0066431E" w:rsidRDefault="0066431E" w14:paraId="15172F0B" w14:textId="77777777">
      <w:pPr>
        <w:spacing w:after="200"/>
        <w:rPr>
          <w:rFonts w:eastAsia="Calibri"/>
        </w:rPr>
      </w:pPr>
      <w:r w:rsidRPr="0066431E">
        <w:rPr>
          <w:rFonts w:eastAsia="Calibri"/>
        </w:rPr>
        <w:t xml:space="preserve">This ICR collects personally identifiable information </w:t>
      </w:r>
      <w:r w:rsidR="00122C76">
        <w:rPr>
          <w:rFonts w:eastAsia="Calibri"/>
        </w:rPr>
        <w:t xml:space="preserve">(PII) </w:t>
      </w:r>
      <w:r w:rsidRPr="0066431E">
        <w:rPr>
          <w:rFonts w:eastAsia="Calibri"/>
        </w:rPr>
        <w:t xml:space="preserve">or information of a personal nature. </w:t>
      </w:r>
      <w:r>
        <w:rPr>
          <w:rFonts w:eastAsia="Calibri"/>
        </w:rPr>
        <w:t xml:space="preserve"> </w:t>
      </w:r>
      <w:r w:rsidRPr="0066431E">
        <w:rPr>
          <w:rFonts w:eastAsia="Calibri"/>
        </w:rPr>
        <w:t xml:space="preserve">The PII collected is for business contact purposes only and includes business name, business address, business telephone numbers. </w:t>
      </w:r>
      <w:r>
        <w:rPr>
          <w:rFonts w:eastAsia="Calibri"/>
        </w:rPr>
        <w:t xml:space="preserve"> </w:t>
      </w:r>
      <w:r w:rsidRPr="0066431E">
        <w:rPr>
          <w:rFonts w:eastAsia="Calibri"/>
        </w:rPr>
        <w:t>The business contact information is maintained and stored at the vendor facility.</w:t>
      </w:r>
    </w:p>
    <w:p w:rsidRPr="0066431E" w:rsidR="0066431E" w:rsidP="0066431E" w:rsidRDefault="00122C76" w14:paraId="357486B3" w14:textId="77777777">
      <w:pPr>
        <w:spacing w:after="200"/>
        <w:rPr>
          <w:rFonts w:eastAsia="Calibri"/>
        </w:rPr>
      </w:pPr>
      <w:r>
        <w:rPr>
          <w:rFonts w:eastAsia="Calibri"/>
        </w:rPr>
        <w:t>We</w:t>
      </w:r>
      <w:r w:rsidRPr="0066431E">
        <w:rPr>
          <w:rFonts w:eastAsia="Calibri"/>
        </w:rPr>
        <w:t xml:space="preserve"> </w:t>
      </w:r>
      <w:r w:rsidRPr="0066431E" w:rsidR="0066431E">
        <w:rPr>
          <w:rFonts w:eastAsia="Calibri"/>
        </w:rPr>
        <w:t>further determined that although PII is collected and stored at the vendor facility</w:t>
      </w:r>
      <w:r>
        <w:rPr>
          <w:rFonts w:eastAsia="Calibri"/>
        </w:rPr>
        <w:t>,</w:t>
      </w:r>
      <w:r w:rsidRPr="0066431E" w:rsidR="0066431E">
        <w:rPr>
          <w:rFonts w:eastAsia="Calibri"/>
        </w:rPr>
        <w:t xml:space="preserve"> the collection is not subject to the Privacy Act of 1974 and the particular notice and other requirements of the Act do not apply. </w:t>
      </w:r>
      <w:r w:rsidR="0066431E">
        <w:rPr>
          <w:rFonts w:eastAsia="Calibri"/>
        </w:rPr>
        <w:t xml:space="preserve"> </w:t>
      </w:r>
      <w:r w:rsidRPr="0066431E" w:rsidR="0066431E">
        <w:rPr>
          <w:rFonts w:eastAsia="Calibri"/>
        </w:rPr>
        <w:t xml:space="preserve">Specifically, </w:t>
      </w:r>
      <w:r>
        <w:rPr>
          <w:rFonts w:eastAsia="Calibri"/>
        </w:rPr>
        <w:t>we</w:t>
      </w:r>
      <w:r w:rsidRPr="0066431E">
        <w:rPr>
          <w:rFonts w:eastAsia="Calibri"/>
        </w:rPr>
        <w:t xml:space="preserve"> </w:t>
      </w:r>
      <w:r w:rsidRPr="0066431E" w:rsidR="0066431E">
        <w:rPr>
          <w:rFonts w:eastAsia="Calibri"/>
        </w:rPr>
        <w:t xml:space="preserve">do not use name or any other personal identifier to routinely retrieve records from the information collected. </w:t>
      </w:r>
      <w:r w:rsidR="0066431E">
        <w:rPr>
          <w:rFonts w:eastAsia="Calibri"/>
        </w:rPr>
        <w:t xml:space="preserve"> </w:t>
      </w:r>
      <w:r>
        <w:rPr>
          <w:rFonts w:eastAsia="Calibri"/>
        </w:rPr>
        <w:t>We</w:t>
      </w:r>
      <w:r w:rsidRPr="0066431E">
        <w:rPr>
          <w:rFonts w:eastAsia="Calibri"/>
        </w:rPr>
        <w:t xml:space="preserve"> </w:t>
      </w:r>
      <w:r w:rsidRPr="0066431E" w:rsidR="0066431E">
        <w:rPr>
          <w:rFonts w:eastAsia="Calibri"/>
        </w:rPr>
        <w:t>also minimized the PII to be collected to protect the privacy of the individuals.</w:t>
      </w:r>
    </w:p>
    <w:p w:rsidRPr="00357C8A" w:rsidR="00357C8A" w:rsidP="006705EA" w:rsidRDefault="00357C8A" w14:paraId="5260425D" w14:textId="77777777">
      <w:pPr>
        <w:numPr>
          <w:ilvl w:val="0"/>
          <w:numId w:val="6"/>
        </w:numPr>
        <w:spacing w:after="200" w:line="276" w:lineRule="auto"/>
        <w:rPr>
          <w:rFonts w:eastAsia="Calibri"/>
        </w:rPr>
      </w:pPr>
      <w:r w:rsidRPr="00357C8A">
        <w:rPr>
          <w:rFonts w:eastAsia="Calibri"/>
          <w:u w:val="single"/>
        </w:rPr>
        <w:t>Justification for Sensitive Questions</w:t>
      </w:r>
    </w:p>
    <w:p w:rsidRPr="00B66E77" w:rsidR="00357C8A" w:rsidP="0022425B" w:rsidRDefault="00357C8A" w14:paraId="51DED29C" w14:textId="77777777">
      <w:pPr>
        <w:spacing w:after="200"/>
        <w:rPr>
          <w:rFonts w:eastAsia="Calibri"/>
          <w:color w:val="000000"/>
        </w:rPr>
      </w:pPr>
      <w:r w:rsidRPr="00A1203C">
        <w:rPr>
          <w:rFonts w:eastAsia="Calibri"/>
        </w:rPr>
        <w:t>Th</w:t>
      </w:r>
      <w:r w:rsidRPr="00A1203C" w:rsidR="00431F03">
        <w:rPr>
          <w:rFonts w:eastAsia="Calibri"/>
        </w:rPr>
        <w:t>is</w:t>
      </w:r>
      <w:r w:rsidRPr="00A1203C">
        <w:rPr>
          <w:rFonts w:eastAsia="Calibri"/>
        </w:rPr>
        <w:t xml:space="preserve"> collection of information does not involve sensitive questions.</w:t>
      </w:r>
    </w:p>
    <w:p w:rsidRPr="00357C8A" w:rsidR="00357C8A" w:rsidP="006705EA" w:rsidRDefault="00CB474A" w14:paraId="6C4288EE"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441B8D" w:rsidR="00813214" w:rsidP="00441B8D" w:rsidRDefault="00357C8A" w14:paraId="4F8BFFA1" w14:textId="77777777">
      <w:pPr>
        <w:spacing w:after="200"/>
        <w:ind w:left="360"/>
        <w:rPr>
          <w:rFonts w:eastAsia="Calibri"/>
          <w:i/>
        </w:rPr>
      </w:pPr>
      <w:r w:rsidRPr="00CB474A">
        <w:rPr>
          <w:rFonts w:eastAsia="Calibri"/>
          <w:i/>
        </w:rPr>
        <w:t>12a.  Annualized Hour Burden Estimate</w:t>
      </w:r>
    </w:p>
    <w:p w:rsidRPr="00441B8D" w:rsidR="00813214" w:rsidP="00813214" w:rsidRDefault="00813214" w14:paraId="48DAB65A" w14:textId="77777777">
      <w:pPr>
        <w:ind w:firstLine="720"/>
        <w:contextualSpacing/>
        <w:jc w:val="center"/>
      </w:pPr>
      <w:r w:rsidRPr="00441B8D">
        <w:t>Table 1</w:t>
      </w:r>
      <w:r w:rsidRPr="00441B8D" w:rsidR="00122C76">
        <w:t>.--</w:t>
      </w:r>
      <w:r w:rsidRPr="00441B8D">
        <w:t>Estimated Annual Recordkeeping Burden</w:t>
      </w:r>
      <w:r w:rsidRPr="00441B8D">
        <w:rPr>
          <w:vertAlign w:val="superscript"/>
        </w:rPr>
        <w:t>1</w:t>
      </w:r>
    </w:p>
    <w:tbl>
      <w:tblPr>
        <w:tblW w:w="48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7"/>
        <w:gridCol w:w="1442"/>
        <w:gridCol w:w="1439"/>
        <w:gridCol w:w="1170"/>
        <w:gridCol w:w="1595"/>
        <w:gridCol w:w="1016"/>
      </w:tblGrid>
      <w:tr w:rsidRPr="00BC3EC3" w:rsidR="006C21DC" w:rsidTr="00BC3EC3" w14:paraId="5EFAB6EE" w14:textId="77777777">
        <w:trPr>
          <w:trHeight w:val="872"/>
        </w:trPr>
        <w:tc>
          <w:tcPr>
            <w:tcW w:w="1379" w:type="pct"/>
            <w:shd w:val="clear" w:color="auto" w:fill="auto"/>
          </w:tcPr>
          <w:p w:rsidRPr="00122C76" w:rsidR="00813214" w:rsidP="006D66E3" w:rsidRDefault="00813214" w14:paraId="099285FF" w14:textId="77777777">
            <w:pPr>
              <w:contextualSpacing/>
              <w:jc w:val="center"/>
              <w:rPr>
                <w:sz w:val="20"/>
                <w:szCs w:val="20"/>
              </w:rPr>
            </w:pPr>
            <w:r w:rsidRPr="00122C76">
              <w:rPr>
                <w:sz w:val="20"/>
                <w:szCs w:val="20"/>
              </w:rPr>
              <w:t>21 CFR Section</w:t>
            </w:r>
            <w:r w:rsidR="00122C76">
              <w:rPr>
                <w:sz w:val="20"/>
                <w:szCs w:val="20"/>
              </w:rPr>
              <w:t>;</w:t>
            </w:r>
          </w:p>
          <w:p w:rsidRPr="00122C76" w:rsidR="00813214" w:rsidP="006D66E3" w:rsidRDefault="00813214" w14:paraId="552B3F4F" w14:textId="77777777">
            <w:pPr>
              <w:contextualSpacing/>
              <w:jc w:val="center"/>
              <w:rPr>
                <w:sz w:val="20"/>
                <w:szCs w:val="20"/>
              </w:rPr>
            </w:pPr>
            <w:r w:rsidRPr="00122C76">
              <w:rPr>
                <w:sz w:val="20"/>
                <w:szCs w:val="20"/>
              </w:rPr>
              <w:t>Activity</w:t>
            </w:r>
          </w:p>
        </w:tc>
        <w:tc>
          <w:tcPr>
            <w:tcW w:w="784" w:type="pct"/>
            <w:shd w:val="clear" w:color="auto" w:fill="auto"/>
          </w:tcPr>
          <w:p w:rsidRPr="00122C76" w:rsidR="00813214" w:rsidP="006D66E3" w:rsidRDefault="00813214" w14:paraId="772891F6" w14:textId="77777777">
            <w:pPr>
              <w:contextualSpacing/>
              <w:jc w:val="center"/>
              <w:rPr>
                <w:sz w:val="20"/>
                <w:szCs w:val="20"/>
              </w:rPr>
            </w:pPr>
            <w:r w:rsidRPr="00122C76">
              <w:rPr>
                <w:sz w:val="20"/>
                <w:szCs w:val="20"/>
              </w:rPr>
              <w:t>No. of Recordkeepers</w:t>
            </w:r>
          </w:p>
        </w:tc>
        <w:tc>
          <w:tcPr>
            <w:tcW w:w="782" w:type="pct"/>
            <w:shd w:val="clear" w:color="auto" w:fill="auto"/>
          </w:tcPr>
          <w:p w:rsidRPr="00122C76" w:rsidR="00813214" w:rsidP="006D66E3" w:rsidRDefault="00813214" w14:paraId="6A748985" w14:textId="77777777">
            <w:pPr>
              <w:contextualSpacing/>
              <w:jc w:val="center"/>
              <w:rPr>
                <w:sz w:val="20"/>
                <w:szCs w:val="20"/>
              </w:rPr>
            </w:pPr>
            <w:r w:rsidRPr="00122C76">
              <w:rPr>
                <w:bCs/>
                <w:sz w:val="20"/>
                <w:szCs w:val="20"/>
              </w:rPr>
              <w:t>No. of Records per Recordkeeper</w:t>
            </w:r>
          </w:p>
        </w:tc>
        <w:tc>
          <w:tcPr>
            <w:tcW w:w="636" w:type="pct"/>
            <w:shd w:val="clear" w:color="auto" w:fill="auto"/>
          </w:tcPr>
          <w:p w:rsidRPr="00122C76" w:rsidR="00813214" w:rsidP="006D66E3" w:rsidRDefault="00813214" w14:paraId="13CC9699" w14:textId="77777777">
            <w:pPr>
              <w:contextualSpacing/>
              <w:jc w:val="center"/>
              <w:rPr>
                <w:sz w:val="20"/>
                <w:szCs w:val="20"/>
              </w:rPr>
            </w:pPr>
            <w:r w:rsidRPr="00122C76">
              <w:rPr>
                <w:sz w:val="20"/>
                <w:szCs w:val="20"/>
              </w:rPr>
              <w:t>Total Annual Records</w:t>
            </w:r>
          </w:p>
        </w:tc>
        <w:tc>
          <w:tcPr>
            <w:tcW w:w="867" w:type="pct"/>
            <w:shd w:val="clear" w:color="auto" w:fill="auto"/>
          </w:tcPr>
          <w:p w:rsidRPr="00122C76" w:rsidR="00813214" w:rsidP="006D66E3" w:rsidRDefault="00813214" w14:paraId="2ABA38E9" w14:textId="77777777">
            <w:pPr>
              <w:contextualSpacing/>
              <w:jc w:val="center"/>
              <w:rPr>
                <w:sz w:val="20"/>
                <w:szCs w:val="20"/>
              </w:rPr>
            </w:pPr>
            <w:r w:rsidRPr="00122C76">
              <w:rPr>
                <w:bCs/>
                <w:sz w:val="20"/>
                <w:szCs w:val="20"/>
              </w:rPr>
              <w:t>Average Burden per Recordkeeping</w:t>
            </w:r>
          </w:p>
        </w:tc>
        <w:tc>
          <w:tcPr>
            <w:tcW w:w="552" w:type="pct"/>
            <w:shd w:val="clear" w:color="auto" w:fill="auto"/>
          </w:tcPr>
          <w:p w:rsidRPr="00122C76" w:rsidR="00813214" w:rsidP="006D66E3" w:rsidRDefault="00813214" w14:paraId="45260781" w14:textId="77777777">
            <w:pPr>
              <w:contextualSpacing/>
              <w:jc w:val="center"/>
              <w:rPr>
                <w:sz w:val="20"/>
                <w:szCs w:val="20"/>
              </w:rPr>
            </w:pPr>
            <w:r w:rsidRPr="00122C76">
              <w:rPr>
                <w:sz w:val="20"/>
                <w:szCs w:val="20"/>
              </w:rPr>
              <w:t>Total Hours</w:t>
            </w:r>
          </w:p>
        </w:tc>
      </w:tr>
      <w:tr w:rsidRPr="00BC3EC3" w:rsidR="006C21DC" w:rsidTr="006D66E3" w14:paraId="588BF704" w14:textId="77777777">
        <w:trPr>
          <w:trHeight w:val="440"/>
        </w:trPr>
        <w:tc>
          <w:tcPr>
            <w:tcW w:w="1379" w:type="pct"/>
            <w:shd w:val="clear" w:color="auto" w:fill="auto"/>
          </w:tcPr>
          <w:p w:rsidRPr="00122C76" w:rsidR="00813214" w:rsidP="006D66E3" w:rsidRDefault="00813214" w14:paraId="5348A4D9" w14:textId="77777777">
            <w:pPr>
              <w:contextualSpacing/>
              <w:rPr>
                <w:sz w:val="20"/>
                <w:szCs w:val="20"/>
              </w:rPr>
            </w:pPr>
            <w:r w:rsidRPr="00BC3EC3">
              <w:rPr>
                <w:sz w:val="20"/>
                <w:szCs w:val="20"/>
              </w:rPr>
              <w:t>1.337, 1.345, and 1.352</w:t>
            </w:r>
            <w:r w:rsidR="00122C76">
              <w:rPr>
                <w:sz w:val="20"/>
                <w:szCs w:val="20"/>
              </w:rPr>
              <w:t>;</w:t>
            </w:r>
            <w:r w:rsidRPr="00122C76">
              <w:rPr>
                <w:sz w:val="20"/>
                <w:szCs w:val="20"/>
              </w:rPr>
              <w:t xml:space="preserve"> Records maintenance</w:t>
            </w:r>
          </w:p>
        </w:tc>
        <w:tc>
          <w:tcPr>
            <w:tcW w:w="784" w:type="pct"/>
            <w:shd w:val="clear" w:color="auto" w:fill="auto"/>
          </w:tcPr>
          <w:p w:rsidRPr="00122C76" w:rsidR="00813214" w:rsidP="006D66E3" w:rsidRDefault="00813214" w14:paraId="24E8F140" w14:textId="77777777">
            <w:pPr>
              <w:contextualSpacing/>
              <w:jc w:val="right"/>
              <w:rPr>
                <w:sz w:val="20"/>
                <w:szCs w:val="20"/>
              </w:rPr>
            </w:pPr>
            <w:r w:rsidRPr="00122C76">
              <w:rPr>
                <w:sz w:val="20"/>
                <w:szCs w:val="20"/>
              </w:rPr>
              <w:t>379,493</w:t>
            </w:r>
          </w:p>
        </w:tc>
        <w:tc>
          <w:tcPr>
            <w:tcW w:w="782" w:type="pct"/>
            <w:shd w:val="clear" w:color="auto" w:fill="auto"/>
          </w:tcPr>
          <w:p w:rsidRPr="00122C76" w:rsidR="00813214" w:rsidP="006D66E3" w:rsidRDefault="00813214" w14:paraId="177BE49E" w14:textId="77777777">
            <w:pPr>
              <w:contextualSpacing/>
              <w:jc w:val="right"/>
              <w:rPr>
                <w:sz w:val="20"/>
                <w:szCs w:val="20"/>
              </w:rPr>
            </w:pPr>
            <w:r w:rsidRPr="00122C76">
              <w:rPr>
                <w:sz w:val="20"/>
                <w:szCs w:val="20"/>
              </w:rPr>
              <w:t>1</w:t>
            </w:r>
          </w:p>
        </w:tc>
        <w:tc>
          <w:tcPr>
            <w:tcW w:w="636" w:type="pct"/>
            <w:shd w:val="clear" w:color="auto" w:fill="auto"/>
          </w:tcPr>
          <w:p w:rsidRPr="00122C76" w:rsidR="00813214" w:rsidP="006D66E3" w:rsidRDefault="00813214" w14:paraId="06FE3600" w14:textId="77777777">
            <w:pPr>
              <w:contextualSpacing/>
              <w:jc w:val="right"/>
              <w:rPr>
                <w:sz w:val="20"/>
                <w:szCs w:val="20"/>
              </w:rPr>
            </w:pPr>
            <w:r w:rsidRPr="00122C76">
              <w:rPr>
                <w:sz w:val="20"/>
                <w:szCs w:val="20"/>
              </w:rPr>
              <w:t>379,493</w:t>
            </w:r>
          </w:p>
        </w:tc>
        <w:tc>
          <w:tcPr>
            <w:tcW w:w="867" w:type="pct"/>
            <w:shd w:val="clear" w:color="auto" w:fill="auto"/>
          </w:tcPr>
          <w:p w:rsidRPr="00122C76" w:rsidR="00813214" w:rsidP="006D66E3" w:rsidRDefault="00813214" w14:paraId="616A651B" w14:textId="77777777">
            <w:pPr>
              <w:contextualSpacing/>
              <w:jc w:val="right"/>
              <w:rPr>
                <w:sz w:val="20"/>
                <w:szCs w:val="20"/>
              </w:rPr>
            </w:pPr>
            <w:r w:rsidRPr="00122C76">
              <w:rPr>
                <w:sz w:val="20"/>
                <w:szCs w:val="20"/>
              </w:rPr>
              <w:t>6.61</w:t>
            </w:r>
          </w:p>
        </w:tc>
        <w:tc>
          <w:tcPr>
            <w:tcW w:w="552" w:type="pct"/>
            <w:shd w:val="clear" w:color="auto" w:fill="auto"/>
          </w:tcPr>
          <w:p w:rsidRPr="00495910" w:rsidR="00813214" w:rsidP="006D66E3" w:rsidRDefault="00813214" w14:paraId="49B5A51C" w14:textId="77777777">
            <w:pPr>
              <w:contextualSpacing/>
              <w:jc w:val="right"/>
              <w:rPr>
                <w:sz w:val="20"/>
                <w:szCs w:val="20"/>
              </w:rPr>
            </w:pPr>
            <w:r w:rsidRPr="00122C76">
              <w:rPr>
                <w:sz w:val="20"/>
                <w:szCs w:val="20"/>
              </w:rPr>
              <w:t>2,50</w:t>
            </w:r>
            <w:r w:rsidRPr="00122C76" w:rsidR="006C21DC">
              <w:rPr>
                <w:sz w:val="20"/>
                <w:szCs w:val="20"/>
              </w:rPr>
              <w:t>8</w:t>
            </w:r>
            <w:r w:rsidRPr="00495910">
              <w:rPr>
                <w:sz w:val="20"/>
                <w:szCs w:val="20"/>
              </w:rPr>
              <w:t>,</w:t>
            </w:r>
            <w:r w:rsidRPr="00495910" w:rsidR="006C21DC">
              <w:rPr>
                <w:sz w:val="20"/>
                <w:szCs w:val="20"/>
              </w:rPr>
              <w:t>449</w:t>
            </w:r>
          </w:p>
        </w:tc>
      </w:tr>
      <w:tr w:rsidRPr="00BC3EC3" w:rsidR="006C21DC" w:rsidTr="006D66E3" w14:paraId="5819D1CD" w14:textId="77777777">
        <w:trPr>
          <w:trHeight w:val="521"/>
        </w:trPr>
        <w:tc>
          <w:tcPr>
            <w:tcW w:w="1379" w:type="pct"/>
            <w:shd w:val="clear" w:color="auto" w:fill="auto"/>
          </w:tcPr>
          <w:p w:rsidRPr="00122C76" w:rsidR="00813214" w:rsidP="006D66E3" w:rsidRDefault="00813214" w14:paraId="0C90381C" w14:textId="77777777">
            <w:pPr>
              <w:contextualSpacing/>
              <w:rPr>
                <w:sz w:val="20"/>
                <w:szCs w:val="20"/>
              </w:rPr>
            </w:pPr>
            <w:r w:rsidRPr="00BC3EC3">
              <w:rPr>
                <w:sz w:val="20"/>
                <w:szCs w:val="20"/>
              </w:rPr>
              <w:t>1.337</w:t>
            </w:r>
            <w:r w:rsidRPr="00640332">
              <w:rPr>
                <w:sz w:val="20"/>
                <w:szCs w:val="20"/>
              </w:rPr>
              <w:t>, 1.345, and 1.352</w:t>
            </w:r>
            <w:r w:rsidR="00122C76">
              <w:rPr>
                <w:sz w:val="20"/>
                <w:szCs w:val="20"/>
              </w:rPr>
              <w:t>;</w:t>
            </w:r>
            <w:r w:rsidRPr="00122C76">
              <w:rPr>
                <w:sz w:val="20"/>
                <w:szCs w:val="20"/>
              </w:rPr>
              <w:t xml:space="preserve"> Learning for new firms</w:t>
            </w:r>
          </w:p>
        </w:tc>
        <w:tc>
          <w:tcPr>
            <w:tcW w:w="784" w:type="pct"/>
            <w:shd w:val="clear" w:color="auto" w:fill="auto"/>
          </w:tcPr>
          <w:p w:rsidRPr="00122C76" w:rsidR="00813214" w:rsidP="006D66E3" w:rsidRDefault="00813214" w14:paraId="13C553FB" w14:textId="77777777">
            <w:pPr>
              <w:contextualSpacing/>
              <w:jc w:val="right"/>
              <w:rPr>
                <w:sz w:val="20"/>
                <w:szCs w:val="20"/>
              </w:rPr>
            </w:pPr>
            <w:r w:rsidRPr="00122C76">
              <w:rPr>
                <w:sz w:val="20"/>
                <w:szCs w:val="20"/>
              </w:rPr>
              <w:t>18,975</w:t>
            </w:r>
          </w:p>
        </w:tc>
        <w:tc>
          <w:tcPr>
            <w:tcW w:w="782" w:type="pct"/>
            <w:shd w:val="clear" w:color="auto" w:fill="auto"/>
          </w:tcPr>
          <w:p w:rsidRPr="00122C76" w:rsidR="00813214" w:rsidP="006D66E3" w:rsidRDefault="00813214" w14:paraId="14337471" w14:textId="77777777">
            <w:pPr>
              <w:contextualSpacing/>
              <w:jc w:val="right"/>
              <w:rPr>
                <w:sz w:val="20"/>
                <w:szCs w:val="20"/>
              </w:rPr>
            </w:pPr>
            <w:r w:rsidRPr="00122C76">
              <w:rPr>
                <w:sz w:val="20"/>
                <w:szCs w:val="20"/>
              </w:rPr>
              <w:t>1</w:t>
            </w:r>
          </w:p>
        </w:tc>
        <w:tc>
          <w:tcPr>
            <w:tcW w:w="636" w:type="pct"/>
            <w:shd w:val="clear" w:color="auto" w:fill="auto"/>
          </w:tcPr>
          <w:p w:rsidRPr="00495910" w:rsidR="00813214" w:rsidP="006D66E3" w:rsidRDefault="00813214" w14:paraId="1506C5A1" w14:textId="77777777">
            <w:pPr>
              <w:contextualSpacing/>
              <w:jc w:val="right"/>
              <w:rPr>
                <w:sz w:val="20"/>
                <w:szCs w:val="20"/>
              </w:rPr>
            </w:pPr>
            <w:r w:rsidRPr="00495910">
              <w:rPr>
                <w:sz w:val="20"/>
                <w:szCs w:val="20"/>
              </w:rPr>
              <w:t>18,975</w:t>
            </w:r>
          </w:p>
        </w:tc>
        <w:tc>
          <w:tcPr>
            <w:tcW w:w="867" w:type="pct"/>
            <w:shd w:val="clear" w:color="auto" w:fill="auto"/>
          </w:tcPr>
          <w:p w:rsidRPr="00495910" w:rsidR="00813214" w:rsidP="006D66E3" w:rsidRDefault="00813214" w14:paraId="3FD87C44" w14:textId="77777777">
            <w:pPr>
              <w:contextualSpacing/>
              <w:jc w:val="right"/>
              <w:rPr>
                <w:sz w:val="20"/>
                <w:szCs w:val="20"/>
              </w:rPr>
            </w:pPr>
            <w:r w:rsidRPr="00495910">
              <w:rPr>
                <w:sz w:val="20"/>
                <w:szCs w:val="20"/>
              </w:rPr>
              <w:t>4.50</w:t>
            </w:r>
          </w:p>
        </w:tc>
        <w:tc>
          <w:tcPr>
            <w:tcW w:w="552" w:type="pct"/>
            <w:shd w:val="clear" w:color="auto" w:fill="auto"/>
          </w:tcPr>
          <w:p w:rsidRPr="00410E35" w:rsidR="00813214" w:rsidP="006D66E3" w:rsidRDefault="00813214" w14:paraId="6F24212E" w14:textId="77777777">
            <w:pPr>
              <w:contextualSpacing/>
              <w:jc w:val="right"/>
              <w:rPr>
                <w:sz w:val="20"/>
                <w:szCs w:val="20"/>
              </w:rPr>
            </w:pPr>
            <w:r w:rsidRPr="007C7520">
              <w:rPr>
                <w:sz w:val="20"/>
                <w:szCs w:val="20"/>
              </w:rPr>
              <w:t>85,</w:t>
            </w:r>
            <w:r w:rsidRPr="00410E35">
              <w:rPr>
                <w:sz w:val="20"/>
                <w:szCs w:val="20"/>
              </w:rPr>
              <w:t>388</w:t>
            </w:r>
          </w:p>
        </w:tc>
      </w:tr>
      <w:tr w:rsidRPr="00BC3EC3" w:rsidR="00813214" w:rsidTr="006D66E3" w14:paraId="2DF419BA" w14:textId="77777777">
        <w:tc>
          <w:tcPr>
            <w:tcW w:w="4448" w:type="pct"/>
            <w:gridSpan w:val="5"/>
            <w:shd w:val="clear" w:color="auto" w:fill="auto"/>
          </w:tcPr>
          <w:p w:rsidRPr="00BC3EC3" w:rsidR="00813214" w:rsidP="006D66E3" w:rsidRDefault="00813214" w14:paraId="71929B7B" w14:textId="77777777">
            <w:pPr>
              <w:contextualSpacing/>
              <w:rPr>
                <w:sz w:val="20"/>
                <w:szCs w:val="20"/>
              </w:rPr>
            </w:pPr>
            <w:r w:rsidRPr="00BC3EC3">
              <w:rPr>
                <w:sz w:val="20"/>
                <w:szCs w:val="20"/>
              </w:rPr>
              <w:t>Total</w:t>
            </w:r>
          </w:p>
        </w:tc>
        <w:tc>
          <w:tcPr>
            <w:tcW w:w="552" w:type="pct"/>
            <w:shd w:val="clear" w:color="auto" w:fill="auto"/>
          </w:tcPr>
          <w:p w:rsidRPr="00BC3EC3" w:rsidR="00813214" w:rsidP="006D66E3" w:rsidRDefault="00813214" w14:paraId="2063C11C" w14:textId="77777777">
            <w:pPr>
              <w:contextualSpacing/>
              <w:jc w:val="right"/>
              <w:rPr>
                <w:sz w:val="20"/>
                <w:szCs w:val="20"/>
              </w:rPr>
            </w:pPr>
            <w:r w:rsidRPr="00BC3EC3">
              <w:rPr>
                <w:sz w:val="20"/>
                <w:szCs w:val="20"/>
              </w:rPr>
              <w:t>2,59</w:t>
            </w:r>
            <w:r w:rsidRPr="00BC3EC3" w:rsidR="006C21DC">
              <w:rPr>
                <w:sz w:val="20"/>
                <w:szCs w:val="20"/>
              </w:rPr>
              <w:t>3</w:t>
            </w:r>
            <w:r w:rsidRPr="00BC3EC3">
              <w:rPr>
                <w:sz w:val="20"/>
                <w:szCs w:val="20"/>
              </w:rPr>
              <w:t>,</w:t>
            </w:r>
            <w:r w:rsidRPr="00BC3EC3" w:rsidR="006C21DC">
              <w:rPr>
                <w:sz w:val="20"/>
                <w:szCs w:val="20"/>
              </w:rPr>
              <w:t>837</w:t>
            </w:r>
          </w:p>
        </w:tc>
      </w:tr>
    </w:tbl>
    <w:p w:rsidRPr="00D607E3" w:rsidR="007C7520" w:rsidP="00813214" w:rsidRDefault="00813214" w14:paraId="088BC426" w14:textId="77777777">
      <w:pPr>
        <w:rPr>
          <w:sz w:val="20"/>
          <w:szCs w:val="20"/>
        </w:rPr>
      </w:pPr>
      <w:bookmarkStart w:name="_Hlk25312605" w:id="3"/>
      <w:r w:rsidRPr="00D607E3">
        <w:rPr>
          <w:sz w:val="20"/>
          <w:szCs w:val="20"/>
          <w:vertAlign w:val="superscript"/>
        </w:rPr>
        <w:t>1</w:t>
      </w:r>
      <w:bookmarkEnd w:id="3"/>
      <w:r w:rsidRPr="00D607E3">
        <w:rPr>
          <w:sz w:val="20"/>
          <w:szCs w:val="20"/>
        </w:rPr>
        <w:t xml:space="preserve"> There are no capital costs or operating and maintenance costs associated with this collection of information.</w:t>
      </w:r>
    </w:p>
    <w:p w:rsidRPr="00D607E3" w:rsidR="00813214" w:rsidP="00BC3EC3" w:rsidRDefault="00813214" w14:paraId="74F09588" w14:textId="77777777">
      <w:pPr>
        <w:rPr>
          <w:sz w:val="20"/>
          <w:szCs w:val="20"/>
        </w:rPr>
      </w:pPr>
    </w:p>
    <w:p w:rsidR="00CA1D69" w:rsidP="00CB474A" w:rsidRDefault="00BE2B8A" w14:paraId="4CA5774B" w14:textId="77777777">
      <w:pPr>
        <w:spacing w:after="200"/>
        <w:rPr>
          <w:rFonts w:eastAsia="Calibri"/>
        </w:rPr>
      </w:pPr>
      <w:r w:rsidRPr="00BE2B8A">
        <w:rPr>
          <w:rFonts w:eastAsia="Calibri"/>
        </w:rPr>
        <w:t xml:space="preserve">Based on a review of the information collection since our last request for OMB approval, we have made adjustments to our burden estimate to account for advances in information and communication technology (ICT) that have occurred in the last decade.  Because the transition from paper-based to electronic records systems is widespread, we estimate that the average burden per recordkeeping has decreased </w:t>
      </w:r>
      <w:r w:rsidR="007C7520">
        <w:rPr>
          <w:rFonts w:eastAsia="Calibri"/>
        </w:rPr>
        <w:t>about</w:t>
      </w:r>
      <w:r w:rsidRPr="00BE2B8A" w:rsidR="007C7520">
        <w:rPr>
          <w:rFonts w:eastAsia="Calibri"/>
        </w:rPr>
        <w:t xml:space="preserve"> </w:t>
      </w:r>
      <w:r w:rsidRPr="00BE2B8A">
        <w:rPr>
          <w:rFonts w:eastAsia="Calibri"/>
        </w:rPr>
        <w:t xml:space="preserve">50 percent.  With regards to records maintenance, we estimate that approximately 379,493 facilities each spend </w:t>
      </w:r>
      <w:r w:rsidR="007C7520">
        <w:rPr>
          <w:rFonts w:eastAsia="Calibri"/>
        </w:rPr>
        <w:t xml:space="preserve">about </w:t>
      </w:r>
      <w:r w:rsidRPr="00BE2B8A">
        <w:rPr>
          <w:rFonts w:eastAsia="Calibri"/>
        </w:rPr>
        <w:t>half the amount of time from the 13.228 hours previously reported to 6.61 hours collecting, recording, and checking for accuracy of the limited amount of additional information required by the regulations, for a total of 2,50</w:t>
      </w:r>
      <w:r w:rsidR="006C21DC">
        <w:rPr>
          <w:rFonts w:eastAsia="Calibri"/>
        </w:rPr>
        <w:t>8</w:t>
      </w:r>
      <w:r w:rsidRPr="00BE2B8A">
        <w:rPr>
          <w:rFonts w:eastAsia="Calibri"/>
        </w:rPr>
        <w:t>,</w:t>
      </w:r>
      <w:r w:rsidR="006C21DC">
        <w:rPr>
          <w:rFonts w:eastAsia="Calibri"/>
        </w:rPr>
        <w:t>449</w:t>
      </w:r>
      <w:r w:rsidRPr="00BE2B8A">
        <w:rPr>
          <w:rFonts w:eastAsia="Calibri"/>
        </w:rPr>
        <w:t xml:space="preserve"> hours annually.  </w:t>
      </w:r>
    </w:p>
    <w:p w:rsidR="00441B8D" w:rsidP="00441B8D" w:rsidRDefault="00BE2B8A" w14:paraId="02DE5FE0" w14:textId="77777777">
      <w:pPr>
        <w:spacing w:after="200"/>
        <w:rPr>
          <w:rFonts w:eastAsia="Calibri"/>
        </w:rPr>
      </w:pPr>
      <w:r w:rsidRPr="00BE2B8A">
        <w:rPr>
          <w:rFonts w:eastAsia="Calibri"/>
        </w:rPr>
        <w:t>In addition, we estimate that new firms entering the affected businesses incur a burden from learning the regulatory requirements and understanding the records required for compliance.  In this regard, we estimate the number of new firms entering the affected businesses is 5 percent of 379,493, or 18,975 firms.  Thus, we estimate that approximately 18,975 facilities each spends on average 4.5 hours learning about the recordkeeping and records access requirements, for a total of 85,388 hours annually.  This estimate reflects a reduction from 4.79 to 4.5 average hours per facility to account for the increase in facilities using internet</w:t>
      </w:r>
      <w:r w:rsidR="00410E35">
        <w:rPr>
          <w:rFonts w:eastAsia="Calibri"/>
        </w:rPr>
        <w:t>, which</w:t>
      </w:r>
      <w:r w:rsidRPr="00BE2B8A">
        <w:rPr>
          <w:rFonts w:eastAsia="Calibri"/>
        </w:rPr>
        <w:t xml:space="preserve"> increased from 71 to 99 percent.  We estimate that approximately the same number of firms (18,975) exits the affected businesses in any given year, resulting in no growth in the number of total firms reported on line 1 of </w:t>
      </w:r>
      <w:r w:rsidR="00410E35">
        <w:rPr>
          <w:rFonts w:eastAsia="Calibri"/>
        </w:rPr>
        <w:t>T</w:t>
      </w:r>
      <w:r w:rsidRPr="00BE2B8A">
        <w:rPr>
          <w:rFonts w:eastAsia="Calibri"/>
        </w:rPr>
        <w:t>able 1.  Therefore, the total annual recordkeeping burden is estimated to be 2,59</w:t>
      </w:r>
      <w:r w:rsidR="006C21DC">
        <w:rPr>
          <w:rFonts w:eastAsia="Calibri"/>
        </w:rPr>
        <w:t>3</w:t>
      </w:r>
      <w:r w:rsidRPr="00BE2B8A">
        <w:rPr>
          <w:rFonts w:eastAsia="Calibri"/>
        </w:rPr>
        <w:t>,</w:t>
      </w:r>
      <w:r w:rsidR="006C21DC">
        <w:rPr>
          <w:rFonts w:eastAsia="Calibri"/>
        </w:rPr>
        <w:t>837</w:t>
      </w:r>
      <w:r w:rsidRPr="00BE2B8A">
        <w:rPr>
          <w:rFonts w:eastAsia="Calibri"/>
        </w:rPr>
        <w:t xml:space="preserve"> hours.</w:t>
      </w:r>
    </w:p>
    <w:p w:rsidRPr="00441B8D" w:rsidR="00357C8A" w:rsidP="00441B8D" w:rsidRDefault="00441B8D" w14:paraId="2810CFDF" w14:textId="77777777">
      <w:pPr>
        <w:spacing w:after="200"/>
        <w:rPr>
          <w:rFonts w:eastAsia="Calibri"/>
        </w:rPr>
      </w:pPr>
      <w:r>
        <w:rPr>
          <w:rFonts w:eastAsia="Calibri"/>
        </w:rPr>
        <w:tab/>
      </w:r>
      <w:r w:rsidRPr="00CB474A" w:rsidR="00357C8A">
        <w:rPr>
          <w:rFonts w:eastAsia="Calibri"/>
          <w:i/>
        </w:rPr>
        <w:t>12b</w:t>
      </w:r>
      <w:bookmarkStart w:name="_GoBack" w:id="4"/>
      <w:bookmarkEnd w:id="4"/>
      <w:r w:rsidRPr="00CB474A" w:rsidR="00357C8A">
        <w:rPr>
          <w:rFonts w:eastAsia="Calibri"/>
          <w:i/>
        </w:rPr>
        <w:t>.  Annualized Cost Burden Estimate</w:t>
      </w:r>
    </w:p>
    <w:p w:rsidR="00CB474A" w:rsidP="00CB474A" w:rsidRDefault="00441B8D" w14:paraId="28035A09" w14:textId="77777777">
      <w:pPr>
        <w:rPr>
          <w:bCs/>
        </w:rPr>
      </w:pPr>
      <w:r>
        <w:tab/>
      </w:r>
      <w:r w:rsidRPr="00807BA0" w:rsidR="00E375CC">
        <w:t>The annual hour cost burden to recordkeepers is $</w:t>
      </w:r>
      <w:r w:rsidR="00277A39">
        <w:rPr>
          <w:bCs/>
        </w:rPr>
        <w:t>97</w:t>
      </w:r>
      <w:r w:rsidRPr="00807BA0" w:rsidR="00E375CC">
        <w:rPr>
          <w:bCs/>
        </w:rPr>
        <w:t>,</w:t>
      </w:r>
      <w:r w:rsidR="00277A39">
        <w:rPr>
          <w:bCs/>
        </w:rPr>
        <w:t>683</w:t>
      </w:r>
      <w:r w:rsidRPr="00807BA0" w:rsidR="00E375CC">
        <w:rPr>
          <w:bCs/>
        </w:rPr>
        <w:t>,</w:t>
      </w:r>
      <w:r w:rsidR="00277A39">
        <w:rPr>
          <w:bCs/>
        </w:rPr>
        <w:t>901</w:t>
      </w:r>
      <w:r w:rsidRPr="00807BA0" w:rsidR="00E375CC">
        <w:rPr>
          <w:bCs/>
        </w:rPr>
        <w:t>.</w:t>
      </w:r>
      <w:r w:rsidR="00410E35">
        <w:rPr>
          <w:bCs/>
        </w:rPr>
        <w:t>42</w:t>
      </w:r>
      <w:r w:rsidRPr="00807BA0" w:rsidR="00410E35">
        <w:t xml:space="preserve"> </w:t>
      </w:r>
      <w:r w:rsidRPr="00807BA0" w:rsidR="00E375CC">
        <w:t xml:space="preserve">per year.  </w:t>
      </w:r>
      <w:r w:rsidRPr="00807BA0" w:rsidR="00E375CC">
        <w:rPr>
          <w:bCs/>
        </w:rPr>
        <w:t xml:space="preserve">We estimate that the average hourly wage for the employee maintaining records would be equivalent to a </w:t>
      </w:r>
      <w:r w:rsidRPr="00807BA0" w:rsidR="00E375CC">
        <w:rPr>
          <w:color w:val="000000"/>
        </w:rPr>
        <w:t xml:space="preserve">GS-5/Step-1 </w:t>
      </w:r>
      <w:r w:rsidRPr="00807BA0" w:rsidR="00E375CC">
        <w:rPr>
          <w:bCs/>
        </w:rPr>
        <w:t>level in the locality pay area of Washington-Baltimore in 20</w:t>
      </w:r>
      <w:r w:rsidR="00E375CC">
        <w:rPr>
          <w:bCs/>
        </w:rPr>
        <w:t>20</w:t>
      </w:r>
      <w:r w:rsidRPr="00807BA0" w:rsidR="00E375CC">
        <w:rPr>
          <w:bCs/>
        </w:rPr>
        <w:t>, approximately $</w:t>
      </w:r>
      <w:r w:rsidR="00E375CC">
        <w:rPr>
          <w:bCs/>
        </w:rPr>
        <w:t>18</w:t>
      </w:r>
      <w:r w:rsidRPr="00807BA0" w:rsidR="00E375CC">
        <w:rPr>
          <w:bCs/>
        </w:rPr>
        <w:t>.</w:t>
      </w:r>
      <w:r w:rsidR="00E375CC">
        <w:rPr>
          <w:bCs/>
        </w:rPr>
        <w:t>83</w:t>
      </w:r>
      <w:r w:rsidRPr="00807BA0" w:rsidR="00E375CC">
        <w:rPr>
          <w:bCs/>
        </w:rPr>
        <w:t xml:space="preserve">/hour.  Doubling this wage to account for overhead costs, we </w:t>
      </w:r>
      <w:r w:rsidR="00E375CC">
        <w:rPr>
          <w:bCs/>
        </w:rPr>
        <w:t xml:space="preserve">double our </w:t>
      </w:r>
      <w:r w:rsidRPr="00807BA0" w:rsidR="00E375CC">
        <w:rPr>
          <w:bCs/>
        </w:rPr>
        <w:t xml:space="preserve">estimate </w:t>
      </w:r>
      <w:r w:rsidR="00E375CC">
        <w:rPr>
          <w:bCs/>
        </w:rPr>
        <w:t xml:space="preserve">of </w:t>
      </w:r>
      <w:r w:rsidRPr="00807BA0" w:rsidR="00E375CC">
        <w:rPr>
          <w:bCs/>
        </w:rPr>
        <w:t>the average hourly cost to recordkeepers to be $3</w:t>
      </w:r>
      <w:r w:rsidR="00E375CC">
        <w:rPr>
          <w:bCs/>
        </w:rPr>
        <w:t>7</w:t>
      </w:r>
      <w:r w:rsidRPr="00807BA0" w:rsidR="00E375CC">
        <w:rPr>
          <w:bCs/>
        </w:rPr>
        <w:t>.</w:t>
      </w:r>
      <w:r w:rsidR="00E375CC">
        <w:rPr>
          <w:bCs/>
        </w:rPr>
        <w:t>66</w:t>
      </w:r>
      <w:r w:rsidRPr="00807BA0" w:rsidR="00E375CC">
        <w:rPr>
          <w:bCs/>
        </w:rPr>
        <w:t>/hour.  Thus, the overall estimated cost incurred by the recordkeepers is $</w:t>
      </w:r>
      <w:r w:rsidR="00277A39">
        <w:rPr>
          <w:bCs/>
        </w:rPr>
        <w:t>97</w:t>
      </w:r>
      <w:r w:rsidRPr="00807BA0" w:rsidR="00E375CC">
        <w:rPr>
          <w:bCs/>
        </w:rPr>
        <w:t>,</w:t>
      </w:r>
      <w:r w:rsidR="006C21DC">
        <w:rPr>
          <w:bCs/>
        </w:rPr>
        <w:t>683</w:t>
      </w:r>
      <w:r w:rsidR="00501D34">
        <w:rPr>
          <w:bCs/>
        </w:rPr>
        <w:t>,</w:t>
      </w:r>
      <w:r w:rsidR="006C21DC">
        <w:rPr>
          <w:bCs/>
        </w:rPr>
        <w:t>901</w:t>
      </w:r>
      <w:r w:rsidRPr="00807BA0" w:rsidR="00E375CC">
        <w:rPr>
          <w:bCs/>
        </w:rPr>
        <w:t>.</w:t>
      </w:r>
      <w:r w:rsidR="006C21DC">
        <w:rPr>
          <w:bCs/>
        </w:rPr>
        <w:t>42</w:t>
      </w:r>
      <w:r w:rsidRPr="00807BA0" w:rsidR="00277A39">
        <w:rPr>
          <w:bCs/>
        </w:rPr>
        <w:t xml:space="preserve"> </w:t>
      </w:r>
      <w:r w:rsidRPr="00807BA0" w:rsidR="00E375CC">
        <w:rPr>
          <w:bCs/>
        </w:rPr>
        <w:t>(</w:t>
      </w:r>
      <w:r w:rsidR="00277A39">
        <w:rPr>
          <w:bCs/>
        </w:rPr>
        <w:t>2</w:t>
      </w:r>
      <w:r w:rsidRPr="00807BA0" w:rsidR="00E375CC">
        <w:rPr>
          <w:bCs/>
        </w:rPr>
        <w:t>,</w:t>
      </w:r>
      <w:r w:rsidR="00277A39">
        <w:rPr>
          <w:bCs/>
        </w:rPr>
        <w:t>59</w:t>
      </w:r>
      <w:r w:rsidR="006C21DC">
        <w:rPr>
          <w:bCs/>
        </w:rPr>
        <w:t>3</w:t>
      </w:r>
      <w:r w:rsidRPr="00807BA0" w:rsidR="00E375CC">
        <w:rPr>
          <w:bCs/>
        </w:rPr>
        <w:t>,</w:t>
      </w:r>
      <w:r w:rsidR="006C21DC">
        <w:rPr>
          <w:bCs/>
        </w:rPr>
        <w:t>837</w:t>
      </w:r>
      <w:r w:rsidRPr="00807BA0" w:rsidR="00277A39">
        <w:rPr>
          <w:bCs/>
        </w:rPr>
        <w:t xml:space="preserve"> </w:t>
      </w:r>
      <w:r w:rsidRPr="00807BA0" w:rsidR="00E375CC">
        <w:rPr>
          <w:bCs/>
        </w:rPr>
        <w:t>burden hours x $3</w:t>
      </w:r>
      <w:r w:rsidR="00277A39">
        <w:rPr>
          <w:bCs/>
        </w:rPr>
        <w:t>7</w:t>
      </w:r>
      <w:r w:rsidRPr="00807BA0" w:rsidR="00E375CC">
        <w:rPr>
          <w:bCs/>
        </w:rPr>
        <w:t>.</w:t>
      </w:r>
      <w:r w:rsidR="00277A39">
        <w:rPr>
          <w:bCs/>
        </w:rPr>
        <w:t>6</w:t>
      </w:r>
      <w:r w:rsidR="00E375CC">
        <w:rPr>
          <w:bCs/>
        </w:rPr>
        <w:t>6</w:t>
      </w:r>
      <w:r w:rsidRPr="00807BA0" w:rsidR="00E375CC">
        <w:rPr>
          <w:bCs/>
        </w:rPr>
        <w:t>/hr).</w:t>
      </w:r>
    </w:p>
    <w:p w:rsidR="00D607E3" w:rsidP="00CB474A" w:rsidRDefault="00CB474A" w14:paraId="23A1C258" w14:textId="77777777">
      <w:r>
        <w:rPr>
          <w:bCs/>
        </w:rPr>
        <w:br w:type="page"/>
      </w:r>
    </w:p>
    <w:p w:rsidRPr="00CB474A" w:rsidR="00D607E3" w:rsidP="00BC3EC3" w:rsidRDefault="00410E35" w14:paraId="0FA970DB" w14:textId="77777777">
      <w:pPr>
        <w:pStyle w:val="BodyText2"/>
        <w:ind w:left="720"/>
        <w:jc w:val="center"/>
        <w:rPr>
          <w:szCs w:val="24"/>
        </w:rPr>
      </w:pPr>
      <w:r w:rsidRPr="00CB474A">
        <w:rPr>
          <w:szCs w:val="24"/>
        </w:rPr>
        <w:t>Table 2.</w:t>
      </w:r>
      <w:r w:rsidRPr="00CB474A" w:rsidR="00236450">
        <w:rPr>
          <w:szCs w:val="24"/>
        </w:rPr>
        <w:t>--</w:t>
      </w:r>
      <w:r w:rsidRPr="00CB474A">
        <w:rPr>
          <w:szCs w:val="24"/>
        </w:rPr>
        <w:t>Estimate</w:t>
      </w:r>
      <w:r w:rsidRPr="00CB474A" w:rsidR="00236450">
        <w:rPr>
          <w:szCs w:val="24"/>
        </w:rPr>
        <w:t>d Annual</w:t>
      </w:r>
      <w:r w:rsidRPr="00CB474A">
        <w:rPr>
          <w:szCs w:val="24"/>
        </w:rPr>
        <w:t xml:space="preserve"> Cost Burden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1980"/>
        <w:gridCol w:w="1980"/>
        <w:gridCol w:w="2160"/>
      </w:tblGrid>
      <w:tr w:rsidRPr="00BC3EC3" w:rsidR="00E375CC" w:rsidTr="00CB474A" w14:paraId="72B8E04F" w14:textId="77777777">
        <w:trPr>
          <w:trHeight w:val="332"/>
        </w:trPr>
        <w:tc>
          <w:tcPr>
            <w:tcW w:w="2790" w:type="dxa"/>
            <w:shd w:val="clear" w:color="auto" w:fill="auto"/>
          </w:tcPr>
          <w:p w:rsidRPr="00BC3EC3" w:rsidR="00E375CC" w:rsidP="00B66E77" w:rsidRDefault="00E375CC" w14:paraId="725B2E96" w14:textId="77777777">
            <w:pPr>
              <w:rPr>
                <w:sz w:val="20"/>
                <w:szCs w:val="20"/>
              </w:rPr>
            </w:pPr>
            <w:r w:rsidRPr="00BC3EC3">
              <w:rPr>
                <w:sz w:val="20"/>
                <w:szCs w:val="20"/>
              </w:rPr>
              <w:t>Activity</w:t>
            </w:r>
          </w:p>
        </w:tc>
        <w:tc>
          <w:tcPr>
            <w:tcW w:w="1980" w:type="dxa"/>
            <w:shd w:val="clear" w:color="auto" w:fill="auto"/>
          </w:tcPr>
          <w:p w:rsidRPr="00BC3EC3" w:rsidR="00E375CC" w:rsidP="00BC3EC3" w:rsidRDefault="00E375CC" w14:paraId="2F173711" w14:textId="77777777">
            <w:pPr>
              <w:jc w:val="center"/>
              <w:rPr>
                <w:sz w:val="20"/>
                <w:szCs w:val="20"/>
              </w:rPr>
            </w:pPr>
            <w:r w:rsidRPr="00BC3EC3">
              <w:rPr>
                <w:sz w:val="20"/>
                <w:szCs w:val="20"/>
              </w:rPr>
              <w:t>Total Burden Hours</w:t>
            </w:r>
          </w:p>
        </w:tc>
        <w:tc>
          <w:tcPr>
            <w:tcW w:w="1980" w:type="dxa"/>
            <w:shd w:val="clear" w:color="auto" w:fill="auto"/>
          </w:tcPr>
          <w:p w:rsidRPr="00BC3EC3" w:rsidR="00E375CC" w:rsidP="00BC3EC3" w:rsidRDefault="00E375CC" w14:paraId="28A84358" w14:textId="77777777">
            <w:pPr>
              <w:jc w:val="center"/>
              <w:rPr>
                <w:sz w:val="20"/>
                <w:szCs w:val="20"/>
              </w:rPr>
            </w:pPr>
            <w:r w:rsidRPr="00BC3EC3">
              <w:rPr>
                <w:sz w:val="20"/>
                <w:szCs w:val="20"/>
              </w:rPr>
              <w:t>Hourly Wage Rate</w:t>
            </w:r>
          </w:p>
        </w:tc>
        <w:tc>
          <w:tcPr>
            <w:tcW w:w="2160" w:type="dxa"/>
            <w:shd w:val="clear" w:color="auto" w:fill="auto"/>
          </w:tcPr>
          <w:p w:rsidRPr="00BC3EC3" w:rsidR="00E375CC" w:rsidP="00BC3EC3" w:rsidRDefault="00E375CC" w14:paraId="5A2C5B56" w14:textId="77777777">
            <w:pPr>
              <w:jc w:val="center"/>
              <w:rPr>
                <w:sz w:val="20"/>
                <w:szCs w:val="20"/>
              </w:rPr>
            </w:pPr>
            <w:r w:rsidRPr="00BC3EC3">
              <w:rPr>
                <w:sz w:val="20"/>
                <w:szCs w:val="20"/>
              </w:rPr>
              <w:t>Total Respondent Costs</w:t>
            </w:r>
          </w:p>
        </w:tc>
      </w:tr>
      <w:tr w:rsidRPr="00BC3EC3" w:rsidR="00E375CC" w:rsidTr="00CB474A" w14:paraId="2F70E130" w14:textId="77777777">
        <w:trPr>
          <w:trHeight w:val="269"/>
        </w:trPr>
        <w:tc>
          <w:tcPr>
            <w:tcW w:w="2790" w:type="dxa"/>
            <w:shd w:val="clear" w:color="auto" w:fill="auto"/>
          </w:tcPr>
          <w:p w:rsidRPr="00BC3EC3" w:rsidR="00E375CC" w:rsidP="00B66E77" w:rsidRDefault="00E375CC" w14:paraId="39823062" w14:textId="77777777">
            <w:pPr>
              <w:rPr>
                <w:sz w:val="20"/>
                <w:szCs w:val="20"/>
              </w:rPr>
            </w:pPr>
            <w:r w:rsidRPr="00BC3EC3">
              <w:rPr>
                <w:sz w:val="20"/>
                <w:szCs w:val="20"/>
              </w:rPr>
              <w:t>Records Maintenance</w:t>
            </w:r>
          </w:p>
        </w:tc>
        <w:tc>
          <w:tcPr>
            <w:tcW w:w="1980" w:type="dxa"/>
            <w:shd w:val="clear" w:color="auto" w:fill="auto"/>
          </w:tcPr>
          <w:p w:rsidRPr="00BC3EC3" w:rsidR="00E375CC" w:rsidP="00B2141D" w:rsidRDefault="00CA1D69" w14:paraId="5286F8D7" w14:textId="77777777">
            <w:pPr>
              <w:jc w:val="right"/>
              <w:rPr>
                <w:sz w:val="20"/>
                <w:szCs w:val="20"/>
              </w:rPr>
            </w:pPr>
            <w:r w:rsidRPr="00BC3EC3">
              <w:rPr>
                <w:sz w:val="20"/>
                <w:szCs w:val="20"/>
              </w:rPr>
              <w:t>2,50</w:t>
            </w:r>
            <w:r w:rsidRPr="00BC3EC3" w:rsidR="006C21DC">
              <w:rPr>
                <w:sz w:val="20"/>
                <w:szCs w:val="20"/>
              </w:rPr>
              <w:t>8</w:t>
            </w:r>
            <w:r w:rsidRPr="00BC3EC3">
              <w:rPr>
                <w:sz w:val="20"/>
                <w:szCs w:val="20"/>
              </w:rPr>
              <w:t>,</w:t>
            </w:r>
            <w:r w:rsidRPr="00BC3EC3" w:rsidR="006C21DC">
              <w:rPr>
                <w:sz w:val="20"/>
                <w:szCs w:val="20"/>
              </w:rPr>
              <w:t>449</w:t>
            </w:r>
          </w:p>
        </w:tc>
        <w:tc>
          <w:tcPr>
            <w:tcW w:w="1980" w:type="dxa"/>
            <w:shd w:val="clear" w:color="auto" w:fill="auto"/>
          </w:tcPr>
          <w:p w:rsidRPr="00BC3EC3" w:rsidR="00E375CC" w:rsidP="00B2141D" w:rsidRDefault="00E375CC" w14:paraId="1F0536C2" w14:textId="77777777">
            <w:pPr>
              <w:jc w:val="right"/>
              <w:rPr>
                <w:sz w:val="20"/>
                <w:szCs w:val="20"/>
              </w:rPr>
            </w:pPr>
            <w:r w:rsidRPr="00BC3EC3">
              <w:rPr>
                <w:sz w:val="20"/>
                <w:szCs w:val="20"/>
              </w:rPr>
              <w:t>$37.66</w:t>
            </w:r>
          </w:p>
        </w:tc>
        <w:tc>
          <w:tcPr>
            <w:tcW w:w="2160" w:type="dxa"/>
            <w:shd w:val="clear" w:color="auto" w:fill="auto"/>
          </w:tcPr>
          <w:p w:rsidRPr="00BC3EC3" w:rsidR="00E375CC" w:rsidP="00B2141D" w:rsidRDefault="00E375CC" w14:paraId="26128479" w14:textId="77777777">
            <w:pPr>
              <w:jc w:val="right"/>
              <w:rPr>
                <w:sz w:val="20"/>
                <w:szCs w:val="20"/>
              </w:rPr>
            </w:pPr>
            <w:r w:rsidRPr="00BC3EC3">
              <w:rPr>
                <w:sz w:val="20"/>
                <w:szCs w:val="20"/>
              </w:rPr>
              <w:t>$</w:t>
            </w:r>
            <w:r w:rsidRPr="00BC3EC3" w:rsidR="00CA1D69">
              <w:rPr>
                <w:sz w:val="20"/>
                <w:szCs w:val="20"/>
              </w:rPr>
              <w:t>94</w:t>
            </w:r>
            <w:r w:rsidRPr="00BC3EC3">
              <w:rPr>
                <w:sz w:val="20"/>
                <w:szCs w:val="20"/>
              </w:rPr>
              <w:t>,</w:t>
            </w:r>
            <w:r w:rsidRPr="00BC3EC3" w:rsidR="006C21DC">
              <w:rPr>
                <w:sz w:val="20"/>
                <w:szCs w:val="20"/>
              </w:rPr>
              <w:t>468</w:t>
            </w:r>
            <w:r w:rsidRPr="00BC3EC3">
              <w:rPr>
                <w:sz w:val="20"/>
                <w:szCs w:val="20"/>
              </w:rPr>
              <w:t>,</w:t>
            </w:r>
            <w:r w:rsidRPr="00BC3EC3" w:rsidR="006C21DC">
              <w:rPr>
                <w:sz w:val="20"/>
                <w:szCs w:val="20"/>
              </w:rPr>
              <w:t>189</w:t>
            </w:r>
            <w:r w:rsidRPr="00BC3EC3">
              <w:rPr>
                <w:sz w:val="20"/>
                <w:szCs w:val="20"/>
              </w:rPr>
              <w:t>.</w:t>
            </w:r>
            <w:r w:rsidRPr="00BC3EC3" w:rsidR="006C21DC">
              <w:rPr>
                <w:sz w:val="20"/>
                <w:szCs w:val="20"/>
              </w:rPr>
              <w:t>34</w:t>
            </w:r>
          </w:p>
        </w:tc>
      </w:tr>
      <w:tr w:rsidRPr="00BC3EC3" w:rsidR="00E375CC" w:rsidTr="00CB474A" w14:paraId="5BC6CE1B" w14:textId="77777777">
        <w:tc>
          <w:tcPr>
            <w:tcW w:w="2790" w:type="dxa"/>
            <w:shd w:val="clear" w:color="auto" w:fill="auto"/>
          </w:tcPr>
          <w:p w:rsidRPr="00BC3EC3" w:rsidR="00E375CC" w:rsidP="00B66E77" w:rsidRDefault="00E375CC" w14:paraId="187BB001" w14:textId="77777777">
            <w:pPr>
              <w:rPr>
                <w:sz w:val="20"/>
                <w:szCs w:val="20"/>
              </w:rPr>
            </w:pPr>
            <w:r w:rsidRPr="00BC3EC3">
              <w:rPr>
                <w:sz w:val="20"/>
                <w:szCs w:val="20"/>
              </w:rPr>
              <w:t>Learning for New Firms</w:t>
            </w:r>
          </w:p>
        </w:tc>
        <w:tc>
          <w:tcPr>
            <w:tcW w:w="1980" w:type="dxa"/>
            <w:shd w:val="clear" w:color="auto" w:fill="auto"/>
          </w:tcPr>
          <w:p w:rsidRPr="00BC3EC3" w:rsidR="00E375CC" w:rsidP="00B2141D" w:rsidRDefault="00CA1D69" w14:paraId="5C1BC75D" w14:textId="77777777">
            <w:pPr>
              <w:jc w:val="right"/>
              <w:rPr>
                <w:sz w:val="20"/>
                <w:szCs w:val="20"/>
              </w:rPr>
            </w:pPr>
            <w:r w:rsidRPr="00BC3EC3">
              <w:rPr>
                <w:sz w:val="20"/>
                <w:szCs w:val="20"/>
              </w:rPr>
              <w:t>85</w:t>
            </w:r>
            <w:r w:rsidRPr="00BC3EC3" w:rsidR="00E375CC">
              <w:rPr>
                <w:sz w:val="20"/>
                <w:szCs w:val="20"/>
              </w:rPr>
              <w:t>,</w:t>
            </w:r>
            <w:r w:rsidRPr="00BC3EC3">
              <w:rPr>
                <w:sz w:val="20"/>
                <w:szCs w:val="20"/>
              </w:rPr>
              <w:t>388</w:t>
            </w:r>
          </w:p>
        </w:tc>
        <w:tc>
          <w:tcPr>
            <w:tcW w:w="1980" w:type="dxa"/>
            <w:shd w:val="clear" w:color="auto" w:fill="auto"/>
          </w:tcPr>
          <w:p w:rsidRPr="00BC3EC3" w:rsidR="00E375CC" w:rsidP="00B2141D" w:rsidRDefault="00E375CC" w14:paraId="30BC330C" w14:textId="77777777">
            <w:pPr>
              <w:jc w:val="right"/>
              <w:rPr>
                <w:sz w:val="20"/>
                <w:szCs w:val="20"/>
              </w:rPr>
            </w:pPr>
            <w:r w:rsidRPr="00BC3EC3">
              <w:rPr>
                <w:sz w:val="20"/>
                <w:szCs w:val="20"/>
              </w:rPr>
              <w:t>$37.66</w:t>
            </w:r>
          </w:p>
        </w:tc>
        <w:tc>
          <w:tcPr>
            <w:tcW w:w="2160" w:type="dxa"/>
            <w:shd w:val="clear" w:color="auto" w:fill="auto"/>
          </w:tcPr>
          <w:p w:rsidRPr="00BC3EC3" w:rsidR="00E375CC" w:rsidP="00B2141D" w:rsidRDefault="00E375CC" w14:paraId="3EFF1B4A" w14:textId="77777777">
            <w:pPr>
              <w:jc w:val="right"/>
              <w:rPr>
                <w:sz w:val="20"/>
                <w:szCs w:val="20"/>
              </w:rPr>
            </w:pPr>
            <w:r w:rsidRPr="00BC3EC3">
              <w:rPr>
                <w:sz w:val="20"/>
                <w:szCs w:val="20"/>
              </w:rPr>
              <w:t>$3,</w:t>
            </w:r>
            <w:r w:rsidRPr="00BC3EC3" w:rsidR="00CA1D69">
              <w:rPr>
                <w:sz w:val="20"/>
                <w:szCs w:val="20"/>
              </w:rPr>
              <w:t>215</w:t>
            </w:r>
            <w:r w:rsidRPr="00BC3EC3">
              <w:rPr>
                <w:sz w:val="20"/>
                <w:szCs w:val="20"/>
              </w:rPr>
              <w:t>,</w:t>
            </w:r>
            <w:r w:rsidRPr="00BC3EC3" w:rsidR="00CA1D69">
              <w:rPr>
                <w:sz w:val="20"/>
                <w:szCs w:val="20"/>
              </w:rPr>
              <w:t>712</w:t>
            </w:r>
            <w:r w:rsidRPr="00BC3EC3">
              <w:rPr>
                <w:sz w:val="20"/>
                <w:szCs w:val="20"/>
              </w:rPr>
              <w:t>.</w:t>
            </w:r>
            <w:r w:rsidRPr="00BC3EC3" w:rsidR="00CA1D69">
              <w:rPr>
                <w:sz w:val="20"/>
                <w:szCs w:val="20"/>
              </w:rPr>
              <w:t>08</w:t>
            </w:r>
          </w:p>
        </w:tc>
      </w:tr>
      <w:tr w:rsidRPr="00BC3EC3" w:rsidR="00E375CC" w:rsidTr="00CB474A" w14:paraId="118EA939" w14:textId="77777777">
        <w:tc>
          <w:tcPr>
            <w:tcW w:w="6750" w:type="dxa"/>
            <w:gridSpan w:val="3"/>
            <w:shd w:val="clear" w:color="auto" w:fill="auto"/>
          </w:tcPr>
          <w:p w:rsidRPr="00BC3EC3" w:rsidR="00E375CC" w:rsidP="00B66E77" w:rsidRDefault="00E375CC" w14:paraId="74DDD50C" w14:textId="77777777">
            <w:pPr>
              <w:rPr>
                <w:sz w:val="20"/>
                <w:szCs w:val="20"/>
              </w:rPr>
            </w:pPr>
            <w:r w:rsidRPr="00BC3EC3">
              <w:rPr>
                <w:sz w:val="20"/>
                <w:szCs w:val="20"/>
              </w:rPr>
              <w:t>Total</w:t>
            </w:r>
          </w:p>
        </w:tc>
        <w:tc>
          <w:tcPr>
            <w:tcW w:w="2160" w:type="dxa"/>
            <w:shd w:val="clear" w:color="auto" w:fill="auto"/>
          </w:tcPr>
          <w:p w:rsidRPr="00BC3EC3" w:rsidR="00E375CC" w:rsidP="00B2141D" w:rsidRDefault="00E375CC" w14:paraId="7D431522" w14:textId="77777777">
            <w:pPr>
              <w:jc w:val="right"/>
              <w:rPr>
                <w:sz w:val="20"/>
                <w:szCs w:val="20"/>
              </w:rPr>
            </w:pPr>
            <w:r w:rsidRPr="00BC3EC3">
              <w:rPr>
                <w:sz w:val="20"/>
                <w:szCs w:val="20"/>
              </w:rPr>
              <w:t>$</w:t>
            </w:r>
            <w:r w:rsidRPr="00BC3EC3" w:rsidR="00CA1D69">
              <w:rPr>
                <w:sz w:val="20"/>
                <w:szCs w:val="20"/>
              </w:rPr>
              <w:t>97</w:t>
            </w:r>
            <w:r w:rsidRPr="00BC3EC3">
              <w:rPr>
                <w:sz w:val="20"/>
                <w:szCs w:val="20"/>
              </w:rPr>
              <w:t>,</w:t>
            </w:r>
            <w:r w:rsidRPr="00BC3EC3" w:rsidR="006C21DC">
              <w:rPr>
                <w:sz w:val="20"/>
                <w:szCs w:val="20"/>
              </w:rPr>
              <w:t>683</w:t>
            </w:r>
            <w:r w:rsidRPr="00BC3EC3">
              <w:rPr>
                <w:sz w:val="20"/>
                <w:szCs w:val="20"/>
              </w:rPr>
              <w:t>,</w:t>
            </w:r>
            <w:r w:rsidRPr="00BC3EC3" w:rsidR="006C21DC">
              <w:rPr>
                <w:sz w:val="20"/>
                <w:szCs w:val="20"/>
              </w:rPr>
              <w:t>901</w:t>
            </w:r>
            <w:r w:rsidRPr="00BC3EC3">
              <w:rPr>
                <w:sz w:val="20"/>
                <w:szCs w:val="20"/>
              </w:rPr>
              <w:t>.</w:t>
            </w:r>
            <w:r w:rsidRPr="00BC3EC3" w:rsidR="006C21DC">
              <w:rPr>
                <w:sz w:val="20"/>
                <w:szCs w:val="20"/>
              </w:rPr>
              <w:t>42</w:t>
            </w:r>
          </w:p>
        </w:tc>
      </w:tr>
    </w:tbl>
    <w:p w:rsidR="00E375CC" w:rsidP="00E375CC" w:rsidRDefault="00E375CC" w14:paraId="28FEAA87" w14:textId="77777777">
      <w:pPr>
        <w:pStyle w:val="BodyText2"/>
      </w:pPr>
    </w:p>
    <w:p w:rsidRPr="00357C8A" w:rsidR="00357C8A" w:rsidP="006705EA" w:rsidRDefault="00357C8A" w14:paraId="4CE0C71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A2634C" w14:paraId="6641E90F" w14:textId="77777777">
      <w:pPr>
        <w:spacing w:after="200" w:line="276" w:lineRule="auto"/>
        <w:rPr>
          <w:rFonts w:eastAsia="Calibri"/>
          <w:u w:val="single"/>
        </w:rPr>
      </w:pPr>
      <w:r w:rsidRPr="00A2634C">
        <w:rPr>
          <w:rFonts w:eastAsia="Calibri"/>
        </w:rPr>
        <w:t>There are no capital, start-up, operating or maintenance costs associated with this information collection.</w:t>
      </w:r>
    </w:p>
    <w:p w:rsidRPr="00357C8A" w:rsidR="00357C8A" w:rsidP="006705EA" w:rsidRDefault="00357C8A" w14:paraId="0996D76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A2634C" w14:paraId="7AD1E33A" w14:textId="77777777">
      <w:pPr>
        <w:spacing w:after="200"/>
        <w:rPr>
          <w:rFonts w:eastAsia="Calibri"/>
        </w:rPr>
      </w:pPr>
      <w:r w:rsidRPr="00A2634C">
        <w:rPr>
          <w:rFonts w:eastAsia="Calibri"/>
        </w:rPr>
        <w:t>Our review of the retained records occurs as part of inspection activities.  We devote approximately 5 hours per inspection to the inspection of records.  We estimate the cost to the Federal government for the review of records retained by a firm to be $4</w:t>
      </w:r>
      <w:r>
        <w:rPr>
          <w:rFonts w:eastAsia="Calibri"/>
        </w:rPr>
        <w:t>91</w:t>
      </w:r>
      <w:r w:rsidRPr="00A2634C">
        <w:rPr>
          <w:rFonts w:eastAsia="Calibri"/>
        </w:rPr>
        <w:t>.</w:t>
      </w:r>
      <w:r>
        <w:rPr>
          <w:rFonts w:eastAsia="Calibri"/>
        </w:rPr>
        <w:t>9</w:t>
      </w:r>
      <w:r w:rsidRPr="00A2634C">
        <w:rPr>
          <w:rFonts w:eastAsia="Calibri"/>
        </w:rPr>
        <w:t>0 per review.  In this calculation of cost, we estimate the hourly cost for review and evaluation to be $4</w:t>
      </w:r>
      <w:r>
        <w:rPr>
          <w:rFonts w:eastAsia="Calibri"/>
        </w:rPr>
        <w:t>9</w:t>
      </w:r>
      <w:r w:rsidRPr="00A2634C">
        <w:rPr>
          <w:rFonts w:eastAsia="Calibri"/>
        </w:rPr>
        <w:t>.</w:t>
      </w:r>
      <w:r>
        <w:rPr>
          <w:rFonts w:eastAsia="Calibri"/>
        </w:rPr>
        <w:t>19</w:t>
      </w:r>
      <w:r w:rsidRPr="00A2634C">
        <w:rPr>
          <w:rFonts w:eastAsia="Calibri"/>
        </w:rPr>
        <w:t xml:space="preserve"> per hour, the GS-13/Step-1 rate for the Washington-Baltimore locality pay area for the year 20</w:t>
      </w:r>
      <w:r>
        <w:rPr>
          <w:rFonts w:eastAsia="Calibri"/>
        </w:rPr>
        <w:t>20</w:t>
      </w:r>
      <w:r w:rsidRPr="00A2634C">
        <w:rPr>
          <w:rFonts w:eastAsia="Calibri"/>
        </w:rPr>
        <w:t>.  Five hours multiplied by $4</w:t>
      </w:r>
      <w:r>
        <w:rPr>
          <w:rFonts w:eastAsia="Calibri"/>
        </w:rPr>
        <w:t>9.19</w:t>
      </w:r>
      <w:r w:rsidRPr="00A2634C">
        <w:rPr>
          <w:rFonts w:eastAsia="Calibri"/>
        </w:rPr>
        <w:t xml:space="preserve"> per hour equals $2</w:t>
      </w:r>
      <w:r>
        <w:rPr>
          <w:rFonts w:eastAsia="Calibri"/>
        </w:rPr>
        <w:t>45.95</w:t>
      </w:r>
      <w:r w:rsidRPr="00A2634C">
        <w:rPr>
          <w:rFonts w:eastAsia="Calibri"/>
        </w:rPr>
        <w:t>.  To account for overhead, this cost is increased by 100 percent, making the total annualized cost to the Federal government $4</w:t>
      </w:r>
      <w:r>
        <w:rPr>
          <w:rFonts w:eastAsia="Calibri"/>
        </w:rPr>
        <w:t>91.90</w:t>
      </w:r>
      <w:r w:rsidRPr="00A2634C">
        <w:rPr>
          <w:rFonts w:eastAsia="Calibri"/>
        </w:rPr>
        <w:t xml:space="preserve"> per review.  If we inspected 1,000 firms annually, we estimate that the total annual cost to the Federal government would be $4</w:t>
      </w:r>
      <w:r>
        <w:rPr>
          <w:rFonts w:eastAsia="Calibri"/>
        </w:rPr>
        <w:t>91</w:t>
      </w:r>
      <w:r w:rsidRPr="00A2634C">
        <w:rPr>
          <w:rFonts w:eastAsia="Calibri"/>
        </w:rPr>
        <w:t>,</w:t>
      </w:r>
      <w:r>
        <w:rPr>
          <w:rFonts w:eastAsia="Calibri"/>
        </w:rPr>
        <w:t>9</w:t>
      </w:r>
      <w:r w:rsidRPr="00A2634C">
        <w:rPr>
          <w:rFonts w:eastAsia="Calibri"/>
        </w:rPr>
        <w:t>00 ($4</w:t>
      </w:r>
      <w:r>
        <w:rPr>
          <w:rFonts w:eastAsia="Calibri"/>
        </w:rPr>
        <w:t>91.90</w:t>
      </w:r>
      <w:r w:rsidRPr="00A2634C">
        <w:rPr>
          <w:rFonts w:eastAsia="Calibri"/>
        </w:rPr>
        <w:t xml:space="preserve"> x 1,000).</w:t>
      </w:r>
    </w:p>
    <w:p w:rsidR="00357C8A" w:rsidP="006705EA" w:rsidRDefault="00357C8A" w14:paraId="61072859"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B66E77" w:rsidR="00357C8A" w:rsidP="00357C8A" w:rsidRDefault="00CB474A" w14:paraId="6AA3B6F8" w14:textId="77777777">
      <w:pPr>
        <w:spacing w:after="200"/>
        <w:rPr>
          <w:rFonts w:eastAsia="Calibri"/>
          <w:color w:val="000000"/>
        </w:rPr>
      </w:pPr>
      <w:r>
        <w:rPr>
          <w:rFonts w:eastAsia="Calibri"/>
        </w:rPr>
        <w:t>We have adjusted our estimate of burden for the information collection</w:t>
      </w:r>
      <w:r w:rsidR="00A77C14">
        <w:rPr>
          <w:rFonts w:eastAsia="Calibri"/>
        </w:rPr>
        <w:t xml:space="preserve"> to </w:t>
      </w:r>
      <w:r w:rsidR="004C347E">
        <w:rPr>
          <w:rFonts w:eastAsia="Calibri"/>
        </w:rPr>
        <w:t xml:space="preserve">reflect </w:t>
      </w:r>
      <w:r w:rsidR="00A77C14">
        <w:rPr>
          <w:rFonts w:eastAsia="Calibri"/>
        </w:rPr>
        <w:t xml:space="preserve">current recordkeeping practices.  As more respondents transition </w:t>
      </w:r>
      <w:r w:rsidRPr="00277A39" w:rsidR="00277A39">
        <w:rPr>
          <w:rFonts w:eastAsia="Calibri"/>
        </w:rPr>
        <w:t>from paper-based to electronic records systems</w:t>
      </w:r>
      <w:r w:rsidR="00A77C14">
        <w:rPr>
          <w:rFonts w:eastAsia="Calibri"/>
        </w:rPr>
        <w:t>, we believe greater recordkeeping efficiencies are achieved</w:t>
      </w:r>
      <w:r w:rsidR="004C347E">
        <w:rPr>
          <w:rFonts w:eastAsia="Calibri"/>
        </w:rPr>
        <w:t xml:space="preserve"> and we </w:t>
      </w:r>
      <w:r w:rsidR="00A77C14">
        <w:rPr>
          <w:rFonts w:eastAsia="Calibri"/>
        </w:rPr>
        <w:t xml:space="preserve">have therefore decreased our estimate of the </w:t>
      </w:r>
      <w:r w:rsidR="000F4F20">
        <w:rPr>
          <w:rFonts w:eastAsia="Calibri"/>
        </w:rPr>
        <w:t xml:space="preserve">hourly </w:t>
      </w:r>
      <w:r w:rsidR="00A77C14">
        <w:rPr>
          <w:rFonts w:eastAsia="Calibri"/>
        </w:rPr>
        <w:t xml:space="preserve">recordkeeping burden by 50%, resulting in </w:t>
      </w:r>
      <w:r w:rsidR="001F4B5A">
        <w:rPr>
          <w:rFonts w:eastAsia="Calibri"/>
        </w:rPr>
        <w:t>2,51</w:t>
      </w:r>
      <w:r w:rsidR="006C21DC">
        <w:rPr>
          <w:rFonts w:eastAsia="Calibri"/>
        </w:rPr>
        <w:t>7</w:t>
      </w:r>
      <w:r w:rsidR="001F4B5A">
        <w:rPr>
          <w:rFonts w:eastAsia="Calibri"/>
        </w:rPr>
        <w:t>,</w:t>
      </w:r>
      <w:r w:rsidR="006C21DC">
        <w:rPr>
          <w:rFonts w:eastAsia="Calibri"/>
        </w:rPr>
        <w:t>053</w:t>
      </w:r>
      <w:r w:rsidR="001F4B5A">
        <w:rPr>
          <w:rFonts w:eastAsia="Calibri"/>
        </w:rPr>
        <w:t xml:space="preserve"> </w:t>
      </w:r>
      <w:r w:rsidR="00441B8D">
        <w:rPr>
          <w:rFonts w:eastAsia="Calibri"/>
        </w:rPr>
        <w:t xml:space="preserve">fewer </w:t>
      </w:r>
      <w:r w:rsidR="001F4B5A">
        <w:rPr>
          <w:rFonts w:eastAsia="Calibri"/>
        </w:rPr>
        <w:t xml:space="preserve">hours </w:t>
      </w:r>
      <w:r w:rsidRPr="00A1203C" w:rsidR="00A1203C">
        <w:rPr>
          <w:rFonts w:eastAsia="Calibri"/>
        </w:rPr>
        <w:t>since last OMB approval</w:t>
      </w:r>
      <w:r w:rsidR="001F4B5A">
        <w:rPr>
          <w:rFonts w:eastAsia="Calibri"/>
        </w:rPr>
        <w:t>.</w:t>
      </w:r>
    </w:p>
    <w:p w:rsidRPr="00357C8A" w:rsidR="00357C8A" w:rsidP="006705EA" w:rsidRDefault="00357C8A" w14:paraId="25AF43B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B66E77" w:rsidR="00357C8A" w:rsidP="00357C8A" w:rsidRDefault="00A1203C" w14:paraId="4FC6052B" w14:textId="77777777">
      <w:pPr>
        <w:spacing w:after="200"/>
        <w:rPr>
          <w:rFonts w:eastAsia="Calibri"/>
          <w:color w:val="000000"/>
        </w:rPr>
      </w:pPr>
      <w:r w:rsidRPr="00A1203C">
        <w:t xml:space="preserve">The information </w:t>
      </w:r>
      <w:r>
        <w:t>c</w:t>
      </w:r>
      <w:r w:rsidRPr="00A1203C">
        <w:t>ollect</w:t>
      </w:r>
      <w:r>
        <w:t>ed</w:t>
      </w:r>
      <w:r w:rsidRPr="00A1203C">
        <w:t xml:space="preserve"> will not be published</w:t>
      </w:r>
      <w:r>
        <w:t xml:space="preserve"> or tabulated.</w:t>
      </w:r>
    </w:p>
    <w:p w:rsidRPr="00357C8A" w:rsidR="00357C8A" w:rsidP="006705EA" w:rsidRDefault="00357C8A" w14:paraId="7AC1313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B66E77" w:rsidR="00357C8A" w:rsidP="00357C8A" w:rsidRDefault="00A1203C" w14:paraId="6089E8B7" w14:textId="77777777">
      <w:pPr>
        <w:spacing w:after="200"/>
        <w:rPr>
          <w:rFonts w:eastAsia="Calibri"/>
          <w:color w:val="000000"/>
        </w:rPr>
      </w:pPr>
      <w:r w:rsidRPr="00A1203C">
        <w:rPr>
          <w:rFonts w:eastAsia="Calibri"/>
        </w:rPr>
        <w:t>There are no reasons why display of the expiration date for OMB approval of the information collection would be inappropriate.</w:t>
      </w:r>
    </w:p>
    <w:p w:rsidRPr="00357C8A" w:rsidR="00357C8A" w:rsidP="006705EA" w:rsidRDefault="00357C8A" w14:paraId="25B1975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A1203C" w:rsidRDefault="007E59A8" w14:paraId="2906A1F2" w14:textId="77777777">
      <w:pPr>
        <w:spacing w:after="200"/>
        <w:rPr>
          <w:rFonts w:eastAsia="Calibri"/>
        </w:rPr>
      </w:pPr>
      <w:r w:rsidRPr="007E59A8">
        <w:rPr>
          <w:rFonts w:eastAsia="Calibri"/>
        </w:rPr>
        <w:t>There are no exceptions to the certification</w:t>
      </w:r>
      <w:r w:rsidR="00540186">
        <w:rPr>
          <w:rFonts w:eastAsia="Calibri"/>
        </w:rPr>
        <w:t>.</w:t>
      </w:r>
      <w:r w:rsidRPr="00357C8A" w:rsidDel="00A1203C" w:rsidR="00A1203C">
        <w:rPr>
          <w:rFonts w:eastAsia="Calibri"/>
        </w:rPr>
        <w:t xml:space="preserve"> </w:t>
      </w:r>
    </w:p>
    <w:sectPr w:rsidRPr="00C20690" w:rsidR="00544138" w:rsidSect="00CB474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BA0CC" w14:textId="77777777" w:rsidR="00283D5C" w:rsidRDefault="00283D5C">
      <w:r>
        <w:separator/>
      </w:r>
    </w:p>
  </w:endnote>
  <w:endnote w:type="continuationSeparator" w:id="0">
    <w:p w14:paraId="75003321" w14:textId="77777777" w:rsidR="00283D5C" w:rsidRDefault="0028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399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1C2D3"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668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536E037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AB88" w14:textId="77777777" w:rsidR="00283D5C" w:rsidRDefault="00283D5C">
      <w:r>
        <w:separator/>
      </w:r>
    </w:p>
  </w:footnote>
  <w:footnote w:type="continuationSeparator" w:id="0">
    <w:p w14:paraId="24EC4BC5" w14:textId="77777777" w:rsidR="00283D5C" w:rsidRDefault="00283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56EE"/>
    <w:rsid w:val="00075DE8"/>
    <w:rsid w:val="00087439"/>
    <w:rsid w:val="000C1260"/>
    <w:rsid w:val="000C560C"/>
    <w:rsid w:val="000D080B"/>
    <w:rsid w:val="000D48FD"/>
    <w:rsid w:val="000D79CC"/>
    <w:rsid w:val="000E1C64"/>
    <w:rsid w:val="000F4F20"/>
    <w:rsid w:val="000F7119"/>
    <w:rsid w:val="00100739"/>
    <w:rsid w:val="0010493E"/>
    <w:rsid w:val="001075D3"/>
    <w:rsid w:val="00107885"/>
    <w:rsid w:val="00114FC4"/>
    <w:rsid w:val="00122C76"/>
    <w:rsid w:val="0012329C"/>
    <w:rsid w:val="00134FA7"/>
    <w:rsid w:val="00137950"/>
    <w:rsid w:val="00152F29"/>
    <w:rsid w:val="00174D54"/>
    <w:rsid w:val="00175199"/>
    <w:rsid w:val="0017702C"/>
    <w:rsid w:val="00185270"/>
    <w:rsid w:val="001A3B5A"/>
    <w:rsid w:val="001A77E5"/>
    <w:rsid w:val="001B7CE9"/>
    <w:rsid w:val="001D495A"/>
    <w:rsid w:val="001E244C"/>
    <w:rsid w:val="001E3A85"/>
    <w:rsid w:val="001F1437"/>
    <w:rsid w:val="001F4B5A"/>
    <w:rsid w:val="00200251"/>
    <w:rsid w:val="00206799"/>
    <w:rsid w:val="002074FE"/>
    <w:rsid w:val="00210E83"/>
    <w:rsid w:val="002215D9"/>
    <w:rsid w:val="0022425B"/>
    <w:rsid w:val="002259EF"/>
    <w:rsid w:val="00236450"/>
    <w:rsid w:val="00242ED1"/>
    <w:rsid w:val="002444BB"/>
    <w:rsid w:val="00246FE0"/>
    <w:rsid w:val="00254069"/>
    <w:rsid w:val="00270748"/>
    <w:rsid w:val="002734E5"/>
    <w:rsid w:val="002746DB"/>
    <w:rsid w:val="00277A39"/>
    <w:rsid w:val="00280CAF"/>
    <w:rsid w:val="00282F09"/>
    <w:rsid w:val="00283D5C"/>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28FA"/>
    <w:rsid w:val="003113FF"/>
    <w:rsid w:val="00312622"/>
    <w:rsid w:val="00312CCF"/>
    <w:rsid w:val="0032277F"/>
    <w:rsid w:val="00336B69"/>
    <w:rsid w:val="0034302B"/>
    <w:rsid w:val="00346B0F"/>
    <w:rsid w:val="00350523"/>
    <w:rsid w:val="0035189D"/>
    <w:rsid w:val="00355B62"/>
    <w:rsid w:val="00357C8A"/>
    <w:rsid w:val="003740BC"/>
    <w:rsid w:val="0037456B"/>
    <w:rsid w:val="003801A3"/>
    <w:rsid w:val="00381EC6"/>
    <w:rsid w:val="00383D90"/>
    <w:rsid w:val="003870AE"/>
    <w:rsid w:val="003A1A27"/>
    <w:rsid w:val="003A50CC"/>
    <w:rsid w:val="003A663E"/>
    <w:rsid w:val="003B42B3"/>
    <w:rsid w:val="003B6384"/>
    <w:rsid w:val="003C0FE2"/>
    <w:rsid w:val="003C4EBB"/>
    <w:rsid w:val="003D1531"/>
    <w:rsid w:val="003E4EC6"/>
    <w:rsid w:val="003E527E"/>
    <w:rsid w:val="003E553E"/>
    <w:rsid w:val="003E5AD8"/>
    <w:rsid w:val="003E7078"/>
    <w:rsid w:val="003F3DF5"/>
    <w:rsid w:val="003F73B8"/>
    <w:rsid w:val="0040297E"/>
    <w:rsid w:val="00410E35"/>
    <w:rsid w:val="00411D11"/>
    <w:rsid w:val="00414494"/>
    <w:rsid w:val="00415E23"/>
    <w:rsid w:val="0041670D"/>
    <w:rsid w:val="00423272"/>
    <w:rsid w:val="00424061"/>
    <w:rsid w:val="00431F03"/>
    <w:rsid w:val="00441B8D"/>
    <w:rsid w:val="00442A3C"/>
    <w:rsid w:val="00443969"/>
    <w:rsid w:val="00447D74"/>
    <w:rsid w:val="00450A74"/>
    <w:rsid w:val="004546BF"/>
    <w:rsid w:val="00465350"/>
    <w:rsid w:val="00476B91"/>
    <w:rsid w:val="004846BF"/>
    <w:rsid w:val="00494912"/>
    <w:rsid w:val="00495910"/>
    <w:rsid w:val="004A5323"/>
    <w:rsid w:val="004A5A99"/>
    <w:rsid w:val="004C347E"/>
    <w:rsid w:val="004C6979"/>
    <w:rsid w:val="004D13A2"/>
    <w:rsid w:val="004D3E7A"/>
    <w:rsid w:val="004F594B"/>
    <w:rsid w:val="004F61E1"/>
    <w:rsid w:val="00501D34"/>
    <w:rsid w:val="0053380B"/>
    <w:rsid w:val="00540186"/>
    <w:rsid w:val="00543194"/>
    <w:rsid w:val="00544138"/>
    <w:rsid w:val="00554E34"/>
    <w:rsid w:val="00584583"/>
    <w:rsid w:val="00590E90"/>
    <w:rsid w:val="00590EEB"/>
    <w:rsid w:val="005A24D1"/>
    <w:rsid w:val="005A4099"/>
    <w:rsid w:val="005C38B2"/>
    <w:rsid w:val="005C5029"/>
    <w:rsid w:val="005C55C2"/>
    <w:rsid w:val="005C71CA"/>
    <w:rsid w:val="005C745C"/>
    <w:rsid w:val="005D4DF5"/>
    <w:rsid w:val="005E42BA"/>
    <w:rsid w:val="00611D6B"/>
    <w:rsid w:val="006326EC"/>
    <w:rsid w:val="00640332"/>
    <w:rsid w:val="00663A42"/>
    <w:rsid w:val="006641C7"/>
    <w:rsid w:val="0066431E"/>
    <w:rsid w:val="006705EA"/>
    <w:rsid w:val="00670BE2"/>
    <w:rsid w:val="006834D7"/>
    <w:rsid w:val="006916D9"/>
    <w:rsid w:val="006A0E05"/>
    <w:rsid w:val="006A26C6"/>
    <w:rsid w:val="006A465A"/>
    <w:rsid w:val="006A79A9"/>
    <w:rsid w:val="006A7D5D"/>
    <w:rsid w:val="006C21DC"/>
    <w:rsid w:val="006D0C12"/>
    <w:rsid w:val="006D5D57"/>
    <w:rsid w:val="006D66E3"/>
    <w:rsid w:val="006E2538"/>
    <w:rsid w:val="006E302F"/>
    <w:rsid w:val="006F1B39"/>
    <w:rsid w:val="006F4D6D"/>
    <w:rsid w:val="00705086"/>
    <w:rsid w:val="00722001"/>
    <w:rsid w:val="007450F1"/>
    <w:rsid w:val="00751E66"/>
    <w:rsid w:val="00754497"/>
    <w:rsid w:val="00787C39"/>
    <w:rsid w:val="00792947"/>
    <w:rsid w:val="00795DF3"/>
    <w:rsid w:val="007A373C"/>
    <w:rsid w:val="007B225C"/>
    <w:rsid w:val="007C44F0"/>
    <w:rsid w:val="007C7520"/>
    <w:rsid w:val="007C75B1"/>
    <w:rsid w:val="007D3DFC"/>
    <w:rsid w:val="007E2F07"/>
    <w:rsid w:val="007E59A8"/>
    <w:rsid w:val="0080776D"/>
    <w:rsid w:val="00810145"/>
    <w:rsid w:val="008108FA"/>
    <w:rsid w:val="00810FF1"/>
    <w:rsid w:val="00813214"/>
    <w:rsid w:val="00822336"/>
    <w:rsid w:val="00823DFA"/>
    <w:rsid w:val="008320CF"/>
    <w:rsid w:val="00842DB7"/>
    <w:rsid w:val="00843752"/>
    <w:rsid w:val="0084479F"/>
    <w:rsid w:val="0085725E"/>
    <w:rsid w:val="008704DF"/>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1D72"/>
    <w:rsid w:val="00953B64"/>
    <w:rsid w:val="009646A7"/>
    <w:rsid w:val="00970A88"/>
    <w:rsid w:val="009818A1"/>
    <w:rsid w:val="009A1674"/>
    <w:rsid w:val="009B38BE"/>
    <w:rsid w:val="009B4DF2"/>
    <w:rsid w:val="009C684F"/>
    <w:rsid w:val="009D074C"/>
    <w:rsid w:val="009D6E73"/>
    <w:rsid w:val="009F1669"/>
    <w:rsid w:val="009F1F1D"/>
    <w:rsid w:val="009F2B4F"/>
    <w:rsid w:val="009F3C63"/>
    <w:rsid w:val="009F66B5"/>
    <w:rsid w:val="00A02F10"/>
    <w:rsid w:val="00A1203C"/>
    <w:rsid w:val="00A16221"/>
    <w:rsid w:val="00A20A7D"/>
    <w:rsid w:val="00A22C3A"/>
    <w:rsid w:val="00A2634C"/>
    <w:rsid w:val="00A35D42"/>
    <w:rsid w:val="00A46CCF"/>
    <w:rsid w:val="00A506DE"/>
    <w:rsid w:val="00A53451"/>
    <w:rsid w:val="00A70426"/>
    <w:rsid w:val="00A707CC"/>
    <w:rsid w:val="00A71410"/>
    <w:rsid w:val="00A77C14"/>
    <w:rsid w:val="00A91E9A"/>
    <w:rsid w:val="00A93ED9"/>
    <w:rsid w:val="00A96221"/>
    <w:rsid w:val="00AC2DBB"/>
    <w:rsid w:val="00AC6A99"/>
    <w:rsid w:val="00AD6048"/>
    <w:rsid w:val="00B055EF"/>
    <w:rsid w:val="00B06B5B"/>
    <w:rsid w:val="00B2141D"/>
    <w:rsid w:val="00B23769"/>
    <w:rsid w:val="00B41789"/>
    <w:rsid w:val="00B41FC6"/>
    <w:rsid w:val="00B66E77"/>
    <w:rsid w:val="00B81808"/>
    <w:rsid w:val="00B827D9"/>
    <w:rsid w:val="00B86DFA"/>
    <w:rsid w:val="00B936D0"/>
    <w:rsid w:val="00BB15FB"/>
    <w:rsid w:val="00BC3EC3"/>
    <w:rsid w:val="00BD0332"/>
    <w:rsid w:val="00BD3D5B"/>
    <w:rsid w:val="00BE2B8A"/>
    <w:rsid w:val="00BE3600"/>
    <w:rsid w:val="00C01F6F"/>
    <w:rsid w:val="00C0223B"/>
    <w:rsid w:val="00C041EA"/>
    <w:rsid w:val="00C04444"/>
    <w:rsid w:val="00C13BBD"/>
    <w:rsid w:val="00C149AB"/>
    <w:rsid w:val="00C16929"/>
    <w:rsid w:val="00C20690"/>
    <w:rsid w:val="00C36020"/>
    <w:rsid w:val="00C40694"/>
    <w:rsid w:val="00C479BF"/>
    <w:rsid w:val="00C5124B"/>
    <w:rsid w:val="00C70542"/>
    <w:rsid w:val="00C75CBF"/>
    <w:rsid w:val="00CA1D69"/>
    <w:rsid w:val="00CB474A"/>
    <w:rsid w:val="00CC2894"/>
    <w:rsid w:val="00CD77C3"/>
    <w:rsid w:val="00CE112C"/>
    <w:rsid w:val="00CF55D4"/>
    <w:rsid w:val="00D01600"/>
    <w:rsid w:val="00D56058"/>
    <w:rsid w:val="00D607E3"/>
    <w:rsid w:val="00D608DA"/>
    <w:rsid w:val="00D634AE"/>
    <w:rsid w:val="00D730BF"/>
    <w:rsid w:val="00D852F4"/>
    <w:rsid w:val="00DB1110"/>
    <w:rsid w:val="00DB3730"/>
    <w:rsid w:val="00DC371B"/>
    <w:rsid w:val="00DC3788"/>
    <w:rsid w:val="00DC5369"/>
    <w:rsid w:val="00DC76C7"/>
    <w:rsid w:val="00DD09F5"/>
    <w:rsid w:val="00DD0E02"/>
    <w:rsid w:val="00DD4201"/>
    <w:rsid w:val="00DD5E9F"/>
    <w:rsid w:val="00DE5711"/>
    <w:rsid w:val="00DF2322"/>
    <w:rsid w:val="00DF6014"/>
    <w:rsid w:val="00E00EA0"/>
    <w:rsid w:val="00E021CB"/>
    <w:rsid w:val="00E138F1"/>
    <w:rsid w:val="00E2309D"/>
    <w:rsid w:val="00E26758"/>
    <w:rsid w:val="00E36957"/>
    <w:rsid w:val="00E375CC"/>
    <w:rsid w:val="00E4357B"/>
    <w:rsid w:val="00E443A7"/>
    <w:rsid w:val="00E45904"/>
    <w:rsid w:val="00E57C22"/>
    <w:rsid w:val="00E6260F"/>
    <w:rsid w:val="00E63DE5"/>
    <w:rsid w:val="00E647AF"/>
    <w:rsid w:val="00E647C7"/>
    <w:rsid w:val="00E65A37"/>
    <w:rsid w:val="00E65EF7"/>
    <w:rsid w:val="00E77B48"/>
    <w:rsid w:val="00E857FB"/>
    <w:rsid w:val="00E91799"/>
    <w:rsid w:val="00E97DF8"/>
    <w:rsid w:val="00EA09A8"/>
    <w:rsid w:val="00EA21FE"/>
    <w:rsid w:val="00EA34E3"/>
    <w:rsid w:val="00EB7538"/>
    <w:rsid w:val="00EC1868"/>
    <w:rsid w:val="00EE6468"/>
    <w:rsid w:val="00F005BC"/>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26A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E375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2020-09-28T18:50:00Z</dcterms:created>
  <dcterms:modified xsi:type="dcterms:W3CDTF">2020-09-28T18:50:00Z</dcterms:modified>
</cp:coreProperties>
</file>