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70BAA" w:rsidR="00770BAA" w:rsidP="00770BAA" w:rsidRDefault="00770BAA">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b/>
          <w:spacing w:val="-5"/>
          <w:kern w:val="20"/>
          <w:sz w:val="24"/>
          <w:szCs w:val="20"/>
        </w:rPr>
      </w:pPr>
      <w:bookmarkStart w:name="252.223-7001" w:id="0"/>
      <w:bookmarkStart w:name="BM252223" w:id="1"/>
      <w:bookmarkStart w:name="_GoBack" w:id="2"/>
      <w:bookmarkEnd w:id="2"/>
      <w:r w:rsidRPr="00770BAA">
        <w:rPr>
          <w:rFonts w:ascii="Century Schoolbook" w:hAnsi="Century Schoolbook" w:eastAsia="Times New Roman" w:cs="Times New Roman"/>
          <w:b/>
          <w:spacing w:val="-5"/>
          <w:kern w:val="20"/>
          <w:sz w:val="24"/>
          <w:szCs w:val="20"/>
        </w:rPr>
        <w:t>252.223-</w:t>
      </w:r>
      <w:bookmarkEnd w:id="0"/>
      <w:r w:rsidRPr="00770BAA">
        <w:rPr>
          <w:rFonts w:ascii="Century Schoolbook" w:hAnsi="Century Schoolbook" w:eastAsia="Times New Roman" w:cs="Times New Roman"/>
          <w:b/>
          <w:spacing w:val="-5"/>
          <w:kern w:val="20"/>
          <w:sz w:val="24"/>
          <w:szCs w:val="20"/>
        </w:rPr>
        <w:t>7001  Hazard Warning Labels.</w:t>
      </w:r>
    </w:p>
    <w:p w:rsidRPr="00770BAA" w:rsidR="00770BAA" w:rsidP="00770BAA" w:rsidRDefault="00770BAA">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 xml:space="preserve">As prescribed in </w:t>
      </w:r>
      <w:hyperlink w:tgtFrame="_blank" w:history="1" w:anchor="223.303" r:id="rId4">
        <w:r w:rsidRPr="00770BAA">
          <w:rPr>
            <w:rFonts w:ascii="Century Schoolbook" w:hAnsi="Century Schoolbook" w:eastAsia="Times New Roman" w:cs="Times New Roman"/>
            <w:color w:val="0000FF"/>
            <w:spacing w:val="-5"/>
            <w:kern w:val="20"/>
            <w:sz w:val="24"/>
            <w:szCs w:val="20"/>
            <w:u w:val="single"/>
          </w:rPr>
          <w:t>223.303</w:t>
        </w:r>
      </w:hyperlink>
      <w:r w:rsidRPr="00770BAA">
        <w:rPr>
          <w:rFonts w:ascii="Century Schoolbook" w:hAnsi="Century Schoolbook" w:eastAsia="Times New Roman" w:cs="Times New Roman"/>
          <w:spacing w:val="-5"/>
          <w:kern w:val="20"/>
          <w:sz w:val="24"/>
          <w:szCs w:val="20"/>
        </w:rPr>
        <w:t>, use the following clause:</w:t>
      </w:r>
    </w:p>
    <w:p w:rsidRPr="00770BAA" w:rsidR="00770BAA" w:rsidP="00770BAA" w:rsidRDefault="00770BAA">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770BAA" w:rsidP="00770BAA" w:rsidRDefault="00770BAA">
      <w:pPr>
        <w:tabs>
          <w:tab w:val="left" w:pos="360"/>
          <w:tab w:val="left" w:pos="810"/>
          <w:tab w:val="left" w:pos="1210"/>
          <w:tab w:val="left" w:pos="1656"/>
          <w:tab w:val="left" w:pos="2131"/>
          <w:tab w:val="left" w:pos="2520"/>
        </w:tabs>
        <w:spacing w:after="0" w:line="240" w:lineRule="exact"/>
        <w:jc w:val="center"/>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HAZARD WARNING LABELS (DEC 1991)</w:t>
      </w:r>
    </w:p>
    <w:p w:rsidRPr="00770BAA" w:rsidR="00770BAA" w:rsidP="00770BAA" w:rsidRDefault="00770BAA">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770BAA" w:rsidP="00770BAA" w:rsidRDefault="00770BAA">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ab/>
        <w:t>(a)  “Hazardous material,” as used in this clause, is defined in the Hazardous Material Identification and Material Safety Data clause of this contract.</w:t>
      </w:r>
    </w:p>
    <w:p w:rsidRPr="00770BAA" w:rsidR="00770BAA" w:rsidP="00770BAA" w:rsidRDefault="00770BAA">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770BAA" w:rsidP="00770BAA" w:rsidRDefault="00770BAA">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ab/>
        <w:t>(b)  The Contractor shall label the item package (unit container) of any hazardous material to be delivered under this contract in accordance with the Hazard Communication Standard (29 CFR 1910.1200 et seq).  The Standard requires that the hazard warning label conform to the requirements of the standard unless the material is otherwise subject to the labelling requirements of one of the following statutes:</w:t>
      </w:r>
    </w:p>
    <w:p w:rsidRPr="00770BAA" w:rsidR="00770BAA" w:rsidP="00770BAA" w:rsidRDefault="00770BAA">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770BAA" w:rsidP="00770BAA" w:rsidRDefault="00770BAA">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t>(1)  Federal Insecticide, Fungicide and Rodenticide Act;</w:t>
      </w:r>
    </w:p>
    <w:p w:rsidRPr="00770BAA" w:rsidR="00770BAA" w:rsidP="00770BAA" w:rsidRDefault="00770BAA">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770BAA" w:rsidP="00770BAA" w:rsidRDefault="00770BAA">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t>(2)  Federal Food, Drug and Cosmetics Act;</w:t>
      </w:r>
    </w:p>
    <w:p w:rsidRPr="00770BAA" w:rsidR="00770BAA" w:rsidP="00770BAA" w:rsidRDefault="00770BAA">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770BAA" w:rsidP="00770BAA" w:rsidRDefault="00770BAA">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t>(3)  Consumer Product Safety Act;</w:t>
      </w:r>
    </w:p>
    <w:p w:rsidRPr="00770BAA" w:rsidR="00770BAA" w:rsidP="00770BAA" w:rsidRDefault="00770BAA">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770BAA" w:rsidP="00770BAA" w:rsidRDefault="00770BAA">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t>(4)  Federal Hazardous Substances Act; or</w:t>
      </w:r>
    </w:p>
    <w:p w:rsidRPr="00770BAA" w:rsidR="00770BAA" w:rsidP="00770BAA" w:rsidRDefault="00770BAA">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770BAA" w:rsidP="00770BAA" w:rsidRDefault="00770BAA">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t>(5)  Federal Alcohol Administration Act.</w:t>
      </w:r>
    </w:p>
    <w:p w:rsidRPr="00770BAA" w:rsidR="00770BAA" w:rsidP="00770BAA" w:rsidRDefault="00770BAA">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770BAA" w:rsidP="00770BAA" w:rsidRDefault="00770BAA">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ab/>
        <w:t>(c)  The Offeror shall list which hazardous material listed in the Hazardous Material Identification and Material Safety Data clause of this contract will be labelled in accordance with one of the Acts in paragraphs (b)(1) through (5) of this clause instead of the Hazard Communication Standard.  Any hazardous material not listed will be interpreted to mean that a label is required in accordance with the Hazard Communication Standard.</w:t>
      </w:r>
    </w:p>
    <w:p w:rsidRPr="00770BAA" w:rsidR="00770BAA" w:rsidP="00770BAA" w:rsidRDefault="00770BAA">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tbl>
      <w:tblPr>
        <w:tblW w:w="0" w:type="auto"/>
        <w:tblInd w:w="91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270"/>
        <w:gridCol w:w="4230"/>
        <w:gridCol w:w="270"/>
        <w:gridCol w:w="319"/>
        <w:gridCol w:w="2060"/>
        <w:gridCol w:w="321"/>
      </w:tblGrid>
      <w:tr w:rsidRPr="00770BAA" w:rsidR="00770BAA" w:rsidTr="00770BAA">
        <w:tc>
          <w:tcPr>
            <w:tcW w:w="270" w:type="dxa"/>
            <w:tcBorders>
              <w:top w:val="single" w:color="auto" w:sz="6" w:space="0"/>
              <w:left w:val="single" w:color="auto" w:sz="6" w:space="0"/>
              <w:bottom w:val="nil"/>
              <w:right w:val="nil"/>
            </w:tcBorders>
          </w:tcPr>
          <w:p w:rsidRPr="00770BAA" w:rsidR="00770BAA" w:rsidP="00770BAA" w:rsidRDefault="00770BAA">
            <w:pPr>
              <w:keepNext/>
              <w:keepLines/>
              <w:tabs>
                <w:tab w:val="left" w:pos="360"/>
                <w:tab w:val="left" w:pos="810"/>
                <w:tab w:val="left" w:pos="1210"/>
                <w:tab w:val="left" w:pos="1656"/>
                <w:tab w:val="left" w:pos="2131"/>
                <w:tab w:val="left" w:pos="2520"/>
              </w:tabs>
              <w:spacing w:before="40" w:after="0" w:line="240" w:lineRule="exact"/>
              <w:rPr>
                <w:rFonts w:ascii="Century Schoolbook" w:hAnsi="Century Schoolbook" w:eastAsia="Times New Roman" w:cs="Times New Roman"/>
                <w:spacing w:val="-5"/>
                <w:kern w:val="20"/>
                <w:sz w:val="24"/>
                <w:szCs w:val="20"/>
              </w:rPr>
            </w:pPr>
          </w:p>
        </w:tc>
        <w:tc>
          <w:tcPr>
            <w:tcW w:w="4230" w:type="dxa"/>
            <w:tcBorders>
              <w:top w:val="single" w:color="auto" w:sz="6" w:space="0"/>
              <w:left w:val="nil"/>
              <w:bottom w:val="nil"/>
              <w:right w:val="nil"/>
            </w:tcBorders>
            <w:hideMark/>
          </w:tcPr>
          <w:p w:rsidRPr="00770BAA" w:rsidR="00770BAA" w:rsidP="00770BAA" w:rsidRDefault="00770BAA">
            <w:pPr>
              <w:keepNext/>
              <w:keepLines/>
              <w:tabs>
                <w:tab w:val="left" w:pos="360"/>
                <w:tab w:val="left" w:pos="810"/>
                <w:tab w:val="left" w:pos="1210"/>
                <w:tab w:val="left" w:pos="1656"/>
                <w:tab w:val="left" w:pos="2131"/>
                <w:tab w:val="left" w:pos="2520"/>
              </w:tabs>
              <w:spacing w:before="40"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MATERIAL (If None, Insert “None.”)</w:t>
            </w:r>
          </w:p>
        </w:tc>
        <w:tc>
          <w:tcPr>
            <w:tcW w:w="270" w:type="dxa"/>
            <w:tcBorders>
              <w:top w:val="single" w:color="auto" w:sz="6" w:space="0"/>
              <w:left w:val="nil"/>
              <w:bottom w:val="nil"/>
              <w:right w:val="nil"/>
            </w:tcBorders>
          </w:tcPr>
          <w:p w:rsidRPr="00770BAA" w:rsidR="00770BAA" w:rsidP="00770BAA" w:rsidRDefault="00770BAA">
            <w:pPr>
              <w:keepNext/>
              <w:keepLines/>
              <w:tabs>
                <w:tab w:val="left" w:pos="360"/>
                <w:tab w:val="left" w:pos="810"/>
                <w:tab w:val="left" w:pos="1210"/>
                <w:tab w:val="left" w:pos="1656"/>
                <w:tab w:val="left" w:pos="2131"/>
                <w:tab w:val="left" w:pos="2520"/>
              </w:tabs>
              <w:spacing w:before="40" w:after="0" w:line="240" w:lineRule="exact"/>
              <w:jc w:val="center"/>
              <w:rPr>
                <w:rFonts w:ascii="Century Schoolbook" w:hAnsi="Century Schoolbook" w:eastAsia="Times New Roman" w:cs="Times New Roman"/>
                <w:spacing w:val="-5"/>
                <w:kern w:val="20"/>
                <w:sz w:val="24"/>
                <w:szCs w:val="20"/>
              </w:rPr>
            </w:pPr>
          </w:p>
        </w:tc>
        <w:tc>
          <w:tcPr>
            <w:tcW w:w="319" w:type="dxa"/>
            <w:tcBorders>
              <w:top w:val="single" w:color="auto" w:sz="6" w:space="0"/>
              <w:left w:val="single" w:color="auto" w:sz="6" w:space="0"/>
              <w:bottom w:val="nil"/>
              <w:right w:val="nil"/>
            </w:tcBorders>
          </w:tcPr>
          <w:p w:rsidRPr="00770BAA" w:rsidR="00770BAA" w:rsidP="00770BAA" w:rsidRDefault="00770BAA">
            <w:pPr>
              <w:keepNext/>
              <w:keepLines/>
              <w:tabs>
                <w:tab w:val="left" w:pos="360"/>
                <w:tab w:val="left" w:pos="810"/>
                <w:tab w:val="left" w:pos="1210"/>
                <w:tab w:val="left" w:pos="1656"/>
                <w:tab w:val="left" w:pos="2131"/>
                <w:tab w:val="left" w:pos="2520"/>
              </w:tabs>
              <w:spacing w:before="40" w:after="0" w:line="240" w:lineRule="exact"/>
              <w:jc w:val="center"/>
              <w:rPr>
                <w:rFonts w:ascii="Century Schoolbook" w:hAnsi="Century Schoolbook" w:eastAsia="Times New Roman" w:cs="Times New Roman"/>
                <w:spacing w:val="-5"/>
                <w:kern w:val="20"/>
                <w:sz w:val="24"/>
                <w:szCs w:val="20"/>
              </w:rPr>
            </w:pPr>
          </w:p>
        </w:tc>
        <w:tc>
          <w:tcPr>
            <w:tcW w:w="2060" w:type="dxa"/>
            <w:tcBorders>
              <w:top w:val="single" w:color="auto" w:sz="6" w:space="0"/>
              <w:left w:val="nil"/>
              <w:bottom w:val="single" w:color="auto" w:sz="6" w:space="0"/>
              <w:right w:val="nil"/>
            </w:tcBorders>
            <w:hideMark/>
          </w:tcPr>
          <w:p w:rsidRPr="00770BAA" w:rsidR="00770BAA" w:rsidP="00770BAA" w:rsidRDefault="00770BAA">
            <w:pPr>
              <w:keepNext/>
              <w:keepLines/>
              <w:tabs>
                <w:tab w:val="left" w:pos="360"/>
                <w:tab w:val="left" w:pos="810"/>
                <w:tab w:val="left" w:pos="1210"/>
                <w:tab w:val="left" w:pos="1656"/>
                <w:tab w:val="left" w:pos="2131"/>
                <w:tab w:val="left" w:pos="2520"/>
              </w:tabs>
              <w:spacing w:before="40" w:after="0" w:line="240" w:lineRule="exact"/>
              <w:jc w:val="center"/>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ACT</w:t>
            </w:r>
          </w:p>
        </w:tc>
        <w:tc>
          <w:tcPr>
            <w:tcW w:w="321" w:type="dxa"/>
            <w:tcBorders>
              <w:top w:val="single" w:color="auto" w:sz="6" w:space="0"/>
              <w:left w:val="nil"/>
              <w:bottom w:val="nil"/>
              <w:right w:val="single" w:color="auto" w:sz="6" w:space="0"/>
            </w:tcBorders>
          </w:tcPr>
          <w:p w:rsidRPr="00770BAA" w:rsidR="00770BAA" w:rsidP="00770BAA" w:rsidRDefault="00770BAA">
            <w:pPr>
              <w:keepNext/>
              <w:keepLines/>
              <w:tabs>
                <w:tab w:val="left" w:pos="360"/>
                <w:tab w:val="left" w:pos="810"/>
                <w:tab w:val="left" w:pos="1210"/>
                <w:tab w:val="left" w:pos="1656"/>
                <w:tab w:val="left" w:pos="2131"/>
                <w:tab w:val="left" w:pos="2520"/>
              </w:tabs>
              <w:spacing w:before="40" w:after="0" w:line="240" w:lineRule="exact"/>
              <w:jc w:val="center"/>
              <w:rPr>
                <w:rFonts w:ascii="Century Schoolbook" w:hAnsi="Century Schoolbook" w:eastAsia="Times New Roman" w:cs="Times New Roman"/>
                <w:spacing w:val="-5"/>
                <w:kern w:val="20"/>
                <w:sz w:val="24"/>
                <w:szCs w:val="20"/>
              </w:rPr>
            </w:pPr>
          </w:p>
        </w:tc>
      </w:tr>
      <w:tr w:rsidRPr="00770BAA" w:rsidR="00770BAA" w:rsidTr="00770BAA">
        <w:tc>
          <w:tcPr>
            <w:tcW w:w="270" w:type="dxa"/>
            <w:tcBorders>
              <w:top w:val="single" w:color="auto" w:sz="6" w:space="0"/>
              <w:left w:val="single" w:color="auto" w:sz="6" w:space="0"/>
              <w:bottom w:val="nil"/>
              <w:right w:val="nil"/>
            </w:tcBorders>
          </w:tcPr>
          <w:p w:rsidRPr="00770BAA" w:rsidR="00770BAA" w:rsidP="00770BAA" w:rsidRDefault="00770BAA">
            <w:pPr>
              <w:keepNext/>
              <w:keepLines/>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tc>
        <w:tc>
          <w:tcPr>
            <w:tcW w:w="4230" w:type="dxa"/>
            <w:tcBorders>
              <w:top w:val="single" w:color="auto" w:sz="6" w:space="0"/>
              <w:left w:val="nil"/>
              <w:bottom w:val="single" w:color="auto" w:sz="6" w:space="0"/>
              <w:right w:val="nil"/>
            </w:tcBorders>
          </w:tcPr>
          <w:p w:rsidRPr="00770BAA" w:rsidR="00770BAA" w:rsidP="00770BAA" w:rsidRDefault="00770BAA">
            <w:pPr>
              <w:keepNext/>
              <w:keepLines/>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tc>
        <w:tc>
          <w:tcPr>
            <w:tcW w:w="270" w:type="dxa"/>
            <w:tcBorders>
              <w:top w:val="single" w:color="auto" w:sz="6" w:space="0"/>
              <w:left w:val="nil"/>
              <w:bottom w:val="nil"/>
              <w:right w:val="nil"/>
            </w:tcBorders>
          </w:tcPr>
          <w:p w:rsidRPr="00770BAA" w:rsidR="00770BAA" w:rsidP="00770BAA" w:rsidRDefault="00770BAA">
            <w:pPr>
              <w:keepNext/>
              <w:keepLines/>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tc>
        <w:tc>
          <w:tcPr>
            <w:tcW w:w="319" w:type="dxa"/>
            <w:tcBorders>
              <w:top w:val="single" w:color="auto" w:sz="6" w:space="0"/>
              <w:left w:val="single" w:color="auto" w:sz="6" w:space="0"/>
              <w:bottom w:val="nil"/>
              <w:right w:val="nil"/>
            </w:tcBorders>
          </w:tcPr>
          <w:p w:rsidRPr="00770BAA" w:rsidR="00770BAA" w:rsidP="00770BAA" w:rsidRDefault="00770BAA">
            <w:pPr>
              <w:keepNext/>
              <w:keepLines/>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tc>
        <w:tc>
          <w:tcPr>
            <w:tcW w:w="2060" w:type="dxa"/>
            <w:tcBorders>
              <w:top w:val="single" w:color="auto" w:sz="6" w:space="0"/>
              <w:left w:val="nil"/>
              <w:bottom w:val="single" w:color="auto" w:sz="6" w:space="0"/>
              <w:right w:val="nil"/>
            </w:tcBorders>
          </w:tcPr>
          <w:p w:rsidRPr="00770BAA" w:rsidR="00770BAA" w:rsidP="00770BAA" w:rsidRDefault="00770BAA">
            <w:pPr>
              <w:keepNext/>
              <w:keepLines/>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tc>
        <w:tc>
          <w:tcPr>
            <w:tcW w:w="321" w:type="dxa"/>
            <w:tcBorders>
              <w:top w:val="single" w:color="auto" w:sz="6" w:space="0"/>
              <w:left w:val="nil"/>
              <w:bottom w:val="nil"/>
              <w:right w:val="single" w:color="auto" w:sz="6" w:space="0"/>
            </w:tcBorders>
          </w:tcPr>
          <w:p w:rsidRPr="00770BAA" w:rsidR="00770BAA" w:rsidP="00770BAA" w:rsidRDefault="00770BAA">
            <w:pPr>
              <w:keepNext/>
              <w:keepLines/>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tc>
      </w:tr>
      <w:tr w:rsidRPr="00770BAA" w:rsidR="00770BAA" w:rsidTr="00770BAA">
        <w:tc>
          <w:tcPr>
            <w:tcW w:w="270" w:type="dxa"/>
            <w:tcBorders>
              <w:top w:val="nil"/>
              <w:left w:val="single" w:color="auto" w:sz="6" w:space="0"/>
              <w:bottom w:val="nil"/>
              <w:right w:val="nil"/>
            </w:tcBorders>
          </w:tcPr>
          <w:p w:rsidRPr="00770BAA" w:rsidR="00770BAA" w:rsidP="00770BAA" w:rsidRDefault="00770BAA">
            <w:pPr>
              <w:keepNext/>
              <w:keepLines/>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tc>
        <w:tc>
          <w:tcPr>
            <w:tcW w:w="4230" w:type="dxa"/>
            <w:tcBorders>
              <w:top w:val="single" w:color="auto" w:sz="6" w:space="0"/>
              <w:left w:val="nil"/>
              <w:bottom w:val="single" w:color="auto" w:sz="6" w:space="0"/>
              <w:right w:val="nil"/>
            </w:tcBorders>
          </w:tcPr>
          <w:p w:rsidRPr="00770BAA" w:rsidR="00770BAA" w:rsidP="00770BAA" w:rsidRDefault="00770BAA">
            <w:pPr>
              <w:keepNext/>
              <w:keepLines/>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tc>
        <w:tc>
          <w:tcPr>
            <w:tcW w:w="270" w:type="dxa"/>
            <w:tcBorders>
              <w:top w:val="nil"/>
              <w:left w:val="nil"/>
              <w:bottom w:val="nil"/>
              <w:right w:val="nil"/>
            </w:tcBorders>
          </w:tcPr>
          <w:p w:rsidRPr="00770BAA" w:rsidR="00770BAA" w:rsidP="00770BAA" w:rsidRDefault="00770BAA">
            <w:pPr>
              <w:keepNext/>
              <w:keepLines/>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tc>
        <w:tc>
          <w:tcPr>
            <w:tcW w:w="319" w:type="dxa"/>
            <w:tcBorders>
              <w:top w:val="nil"/>
              <w:left w:val="single" w:color="auto" w:sz="6" w:space="0"/>
              <w:bottom w:val="nil"/>
              <w:right w:val="nil"/>
            </w:tcBorders>
          </w:tcPr>
          <w:p w:rsidRPr="00770BAA" w:rsidR="00770BAA" w:rsidP="00770BAA" w:rsidRDefault="00770BAA">
            <w:pPr>
              <w:keepNext/>
              <w:keepLines/>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tc>
        <w:tc>
          <w:tcPr>
            <w:tcW w:w="2060" w:type="dxa"/>
            <w:tcBorders>
              <w:top w:val="single" w:color="auto" w:sz="6" w:space="0"/>
              <w:left w:val="nil"/>
              <w:bottom w:val="single" w:color="auto" w:sz="6" w:space="0"/>
              <w:right w:val="nil"/>
            </w:tcBorders>
          </w:tcPr>
          <w:p w:rsidRPr="00770BAA" w:rsidR="00770BAA" w:rsidP="00770BAA" w:rsidRDefault="00770BAA">
            <w:pPr>
              <w:keepNext/>
              <w:keepLines/>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tc>
        <w:tc>
          <w:tcPr>
            <w:tcW w:w="321" w:type="dxa"/>
            <w:tcBorders>
              <w:top w:val="nil"/>
              <w:left w:val="nil"/>
              <w:bottom w:val="nil"/>
              <w:right w:val="single" w:color="auto" w:sz="6" w:space="0"/>
            </w:tcBorders>
          </w:tcPr>
          <w:p w:rsidRPr="00770BAA" w:rsidR="00770BAA" w:rsidP="00770BAA" w:rsidRDefault="00770BAA">
            <w:pPr>
              <w:keepNext/>
              <w:keepLines/>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tc>
      </w:tr>
      <w:tr w:rsidRPr="00770BAA" w:rsidR="00770BAA" w:rsidTr="00770BAA">
        <w:tc>
          <w:tcPr>
            <w:tcW w:w="270" w:type="dxa"/>
            <w:tcBorders>
              <w:top w:val="nil"/>
              <w:left w:val="single" w:color="auto" w:sz="6" w:space="0"/>
              <w:bottom w:val="single" w:color="auto" w:sz="6" w:space="0"/>
              <w:right w:val="nil"/>
            </w:tcBorders>
          </w:tcPr>
          <w:p w:rsidRPr="00770BAA" w:rsidR="00770BAA" w:rsidP="00770BAA" w:rsidRDefault="00770BAA">
            <w:pPr>
              <w:keepNext/>
              <w:keepLines/>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tc>
        <w:tc>
          <w:tcPr>
            <w:tcW w:w="4230" w:type="dxa"/>
            <w:tcBorders>
              <w:top w:val="single" w:color="auto" w:sz="6" w:space="0"/>
              <w:left w:val="nil"/>
              <w:bottom w:val="single" w:color="auto" w:sz="6" w:space="0"/>
              <w:right w:val="nil"/>
            </w:tcBorders>
          </w:tcPr>
          <w:p w:rsidRPr="00770BAA" w:rsidR="00770BAA" w:rsidP="00770BAA" w:rsidRDefault="00770BAA">
            <w:pPr>
              <w:keepNext/>
              <w:keepLines/>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tc>
        <w:tc>
          <w:tcPr>
            <w:tcW w:w="270" w:type="dxa"/>
            <w:tcBorders>
              <w:top w:val="nil"/>
              <w:left w:val="nil"/>
              <w:bottom w:val="single" w:color="auto" w:sz="6" w:space="0"/>
              <w:right w:val="nil"/>
            </w:tcBorders>
          </w:tcPr>
          <w:p w:rsidRPr="00770BAA" w:rsidR="00770BAA" w:rsidP="00770BAA" w:rsidRDefault="00770BAA">
            <w:pPr>
              <w:keepNext/>
              <w:keepLines/>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tc>
        <w:tc>
          <w:tcPr>
            <w:tcW w:w="319" w:type="dxa"/>
            <w:tcBorders>
              <w:top w:val="nil"/>
              <w:left w:val="single" w:color="auto" w:sz="6" w:space="0"/>
              <w:bottom w:val="single" w:color="auto" w:sz="6" w:space="0"/>
              <w:right w:val="nil"/>
            </w:tcBorders>
          </w:tcPr>
          <w:p w:rsidRPr="00770BAA" w:rsidR="00770BAA" w:rsidP="00770BAA" w:rsidRDefault="00770BAA">
            <w:pPr>
              <w:keepNext/>
              <w:keepLines/>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tc>
        <w:tc>
          <w:tcPr>
            <w:tcW w:w="2060" w:type="dxa"/>
            <w:tcBorders>
              <w:top w:val="single" w:color="auto" w:sz="6" w:space="0"/>
              <w:left w:val="nil"/>
              <w:bottom w:val="single" w:color="auto" w:sz="6" w:space="0"/>
              <w:right w:val="nil"/>
            </w:tcBorders>
          </w:tcPr>
          <w:p w:rsidRPr="00770BAA" w:rsidR="00770BAA" w:rsidP="00770BAA" w:rsidRDefault="00770BAA">
            <w:pPr>
              <w:keepNext/>
              <w:keepLines/>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tc>
        <w:tc>
          <w:tcPr>
            <w:tcW w:w="321" w:type="dxa"/>
            <w:tcBorders>
              <w:top w:val="nil"/>
              <w:left w:val="nil"/>
              <w:bottom w:val="single" w:color="auto" w:sz="6" w:space="0"/>
              <w:right w:val="single" w:color="auto" w:sz="6" w:space="0"/>
            </w:tcBorders>
          </w:tcPr>
          <w:p w:rsidRPr="00770BAA" w:rsidR="00770BAA" w:rsidP="00770BAA" w:rsidRDefault="00770BAA">
            <w:pPr>
              <w:keepNext/>
              <w:keepLines/>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tc>
      </w:tr>
    </w:tbl>
    <w:p w:rsidRPr="00770BAA" w:rsidR="00770BAA" w:rsidP="00770BAA" w:rsidRDefault="00770BAA">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770BAA" w:rsidP="00770BAA" w:rsidRDefault="00770BAA">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ab/>
        <w:t>(d)  The apparently successful Offeror agrees to submit, before award, a copy of the hazard warning label for all hazardous materials not listed in paragraph (c) of this clause.  The Offeror shall submit the label with the Material Safety Data Sheet being furnished under the Hazardous Material Identification and Material Safety Data clause of this contract.</w:t>
      </w:r>
    </w:p>
    <w:p w:rsidRPr="00770BAA" w:rsidR="00770BAA" w:rsidP="00770BAA" w:rsidRDefault="00770BAA">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770BAA" w:rsidP="00770BAA" w:rsidRDefault="00770BAA">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ab/>
        <w:t>(e)  The Contractor shall also comply with MIL-STD-129, Marking for Shipment and Storage (including revisions adopted during the term of this contract).</w:t>
      </w:r>
    </w:p>
    <w:p w:rsidRPr="00770BAA" w:rsidR="00770BAA" w:rsidP="00770BAA" w:rsidRDefault="00770BAA">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770BAA" w:rsidP="00770BAA" w:rsidRDefault="00770BAA">
      <w:pPr>
        <w:tabs>
          <w:tab w:val="left" w:pos="360"/>
          <w:tab w:val="left" w:pos="810"/>
          <w:tab w:val="left" w:pos="1210"/>
          <w:tab w:val="left" w:pos="1656"/>
          <w:tab w:val="left" w:pos="2131"/>
          <w:tab w:val="left" w:pos="2520"/>
        </w:tabs>
        <w:spacing w:after="0" w:line="240" w:lineRule="exact"/>
        <w:jc w:val="center"/>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(End of clause)</w:t>
      </w:r>
    </w:p>
    <w:p w:rsidRPr="00770BAA" w:rsidR="00770BAA" w:rsidP="00770BAA" w:rsidRDefault="00770BAA">
      <w:pPr>
        <w:tabs>
          <w:tab w:val="left" w:pos="360"/>
          <w:tab w:val="left" w:pos="810"/>
          <w:tab w:val="left" w:pos="1210"/>
          <w:tab w:val="left" w:pos="1656"/>
          <w:tab w:val="left" w:pos="2131"/>
          <w:tab w:val="left" w:pos="2520"/>
        </w:tabs>
        <w:spacing w:after="0" w:line="240" w:lineRule="exact"/>
        <w:jc w:val="center"/>
        <w:rPr>
          <w:rFonts w:ascii="Century Schoolbook" w:hAnsi="Century Schoolbook" w:eastAsia="Times New Roman" w:cs="Times New Roman"/>
          <w:spacing w:val="-5"/>
          <w:kern w:val="20"/>
          <w:sz w:val="24"/>
          <w:szCs w:val="20"/>
        </w:rPr>
      </w:pPr>
    </w:p>
    <w:p w:rsidR="00770BAA" w:rsidP="00770BAA" w:rsidRDefault="00770BAA">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bookmarkEnd w:id="1"/>
    <w:p w:rsidRPr="00770BAA" w:rsidR="00770BAA" w:rsidP="00770BAA" w:rsidRDefault="00770BAA">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sectPr w:rsidRPr="00770BAA" w:rsidR="00770B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BAA"/>
    <w:rsid w:val="001C7549"/>
    <w:rsid w:val="003676D8"/>
    <w:rsid w:val="003F1187"/>
    <w:rsid w:val="00770BAA"/>
    <w:rsid w:val="008D712C"/>
    <w:rsid w:val="00E01D42"/>
    <w:rsid w:val="00E6028F"/>
    <w:rsid w:val="00F0288A"/>
    <w:rsid w:val="00F45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1816FF-DAE1-4E3C-A74B-ABF57545F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11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1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944009">
      <w:bodyDiv w:val="1"/>
      <w:marLeft w:val="0"/>
      <w:marRight w:val="0"/>
      <w:marTop w:val="0"/>
      <w:marBottom w:val="0"/>
      <w:divBdr>
        <w:top w:val="none" w:sz="0" w:space="0" w:color="auto"/>
        <w:left w:val="none" w:sz="0" w:space="0" w:color="auto"/>
        <w:bottom w:val="none" w:sz="0" w:space="0" w:color="auto"/>
        <w:right w:val="none" w:sz="0" w:space="0" w:color="auto"/>
      </w:divBdr>
    </w:div>
    <w:div w:id="187095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cq.osd.mil/dpap/dars/dfars/html/current/223_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JITSPP</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overstme</dc:creator>
  <cp:keywords/>
  <dc:description/>
  <cp:lastModifiedBy>Johnson, Jennifer D CIV OSD OUSD A-S (USA)</cp:lastModifiedBy>
  <cp:revision>2</cp:revision>
  <cp:lastPrinted>2017-08-08T20:31:00Z</cp:lastPrinted>
  <dcterms:created xsi:type="dcterms:W3CDTF">2020-11-16T15:56:00Z</dcterms:created>
  <dcterms:modified xsi:type="dcterms:W3CDTF">2020-11-16T15:56:00Z</dcterms:modified>
</cp:coreProperties>
</file>