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0" w:name="252.223-7001"/>
      <w:bookmarkStart w:id="1" w:name="BM252223"/>
      <w:bookmarkStart w:id="2" w:name="_GoBack"/>
      <w:bookmarkEnd w:id="2"/>
      <w:r w:rsidRPr="00770BAA">
        <w:rPr>
          <w:rFonts w:ascii="Century Schoolbook" w:eastAsia="Times New Roman" w:hAnsi="Century Schoolbook" w:cs="Times New Roman"/>
          <w:b/>
          <w:spacing w:val="-5"/>
          <w:kern w:val="20"/>
          <w:sz w:val="24"/>
          <w:szCs w:val="20"/>
        </w:rPr>
        <w:t>252.223-</w:t>
      </w:r>
      <w:bookmarkEnd w:id="0"/>
      <w:r w:rsidRPr="00770BAA">
        <w:rPr>
          <w:rFonts w:ascii="Century Schoolbook" w:eastAsia="Times New Roman" w:hAnsi="Century Schoolbook" w:cs="Times New Roman"/>
          <w:b/>
          <w:spacing w:val="-5"/>
          <w:kern w:val="20"/>
          <w:sz w:val="24"/>
          <w:szCs w:val="20"/>
        </w:rPr>
        <w:t>7001  Hazard Warning Labels.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 xml:space="preserve">As prescribed in </w:t>
      </w:r>
      <w:hyperlink r:id="rId5" w:anchor="223.303" w:tgtFrame="_blank" w:history="1">
        <w:r w:rsidRPr="00770BAA">
          <w:rPr>
            <w:rFonts w:ascii="Century Schoolbook" w:eastAsia="Times New Roman" w:hAnsi="Century Schoolbook" w:cs="Times New Roman"/>
            <w:color w:val="0000FF"/>
            <w:spacing w:val="-5"/>
            <w:kern w:val="20"/>
            <w:sz w:val="24"/>
            <w:szCs w:val="20"/>
            <w:u w:val="single"/>
          </w:rPr>
          <w:t>223.303</w:t>
        </w:r>
      </w:hyperlink>
      <w:r w:rsidRPr="00770BAA">
        <w:rPr>
          <w:rFonts w:ascii="Century Schoolbook" w:eastAsia="Times New Roman" w:hAnsi="Century Schoolbook" w:cs="Times New Roman"/>
          <w:spacing w:val="-5"/>
          <w:kern w:val="20"/>
          <w:sz w:val="24"/>
          <w:szCs w:val="20"/>
        </w:rPr>
        <w:t>, use the following clause: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HAZARD WARNING LABELS (DEC 1991)</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(a)  “Hazardous material,” as used in this clause, is defined in the Hazardous Material Identification and Material Safety Data clause of this contract.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(1)  Federal Insecticide, Fungicide and Rodenticide 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(2)  Federal Food, Drug and Cosmetics 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(3)  Consumer Product Safety 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(4)  Federal Hazardous Substances Act; or</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(5)  Federal Alcohol Administration 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bl>
      <w:tblPr>
        <w:tblW w:w="0" w:type="auto"/>
        <w:tblInd w:w="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0"/>
        <w:gridCol w:w="4230"/>
        <w:gridCol w:w="270"/>
        <w:gridCol w:w="319"/>
        <w:gridCol w:w="2060"/>
        <w:gridCol w:w="321"/>
      </w:tblGrid>
      <w:tr w:rsidR="00770BAA" w:rsidRPr="00770BAA" w:rsidTr="00770BAA">
        <w:tc>
          <w:tcPr>
            <w:tcW w:w="270" w:type="dxa"/>
            <w:tcBorders>
              <w:top w:val="single" w:sz="6" w:space="0" w:color="auto"/>
              <w:left w:val="single" w:sz="6" w:space="0" w:color="auto"/>
              <w:bottom w:val="nil"/>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before="40" w:after="0" w:line="240" w:lineRule="exact"/>
              <w:rPr>
                <w:rFonts w:ascii="Century Schoolbook" w:eastAsia="Times New Roman" w:hAnsi="Century Schoolbook" w:cs="Times New Roman"/>
                <w:spacing w:val="-5"/>
                <w:kern w:val="20"/>
                <w:sz w:val="24"/>
                <w:szCs w:val="20"/>
              </w:rPr>
            </w:pPr>
          </w:p>
        </w:tc>
        <w:tc>
          <w:tcPr>
            <w:tcW w:w="4230" w:type="dxa"/>
            <w:tcBorders>
              <w:top w:val="single" w:sz="6" w:space="0" w:color="auto"/>
              <w:left w:val="nil"/>
              <w:bottom w:val="nil"/>
              <w:right w:val="nil"/>
            </w:tcBorders>
            <w:hideMark/>
          </w:tcPr>
          <w:p w:rsidR="00770BAA" w:rsidRPr="00770BAA" w:rsidRDefault="00770BAA" w:rsidP="00770BAA">
            <w:pPr>
              <w:keepNext/>
              <w:keepLines/>
              <w:tabs>
                <w:tab w:val="left" w:pos="360"/>
                <w:tab w:val="left" w:pos="810"/>
                <w:tab w:val="left" w:pos="1210"/>
                <w:tab w:val="left" w:pos="1656"/>
                <w:tab w:val="left" w:pos="2131"/>
                <w:tab w:val="left" w:pos="2520"/>
              </w:tabs>
              <w:spacing w:before="40"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MATERIAL (If None, Insert “None.”)</w:t>
            </w:r>
          </w:p>
        </w:tc>
        <w:tc>
          <w:tcPr>
            <w:tcW w:w="270" w:type="dxa"/>
            <w:tcBorders>
              <w:top w:val="single" w:sz="6" w:space="0" w:color="auto"/>
              <w:left w:val="nil"/>
              <w:bottom w:val="nil"/>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before="40" w:after="0" w:line="240" w:lineRule="exact"/>
              <w:jc w:val="center"/>
              <w:rPr>
                <w:rFonts w:ascii="Century Schoolbook" w:eastAsia="Times New Roman" w:hAnsi="Century Schoolbook" w:cs="Times New Roman"/>
                <w:spacing w:val="-5"/>
                <w:kern w:val="20"/>
                <w:sz w:val="24"/>
                <w:szCs w:val="20"/>
              </w:rPr>
            </w:pPr>
          </w:p>
        </w:tc>
        <w:tc>
          <w:tcPr>
            <w:tcW w:w="319" w:type="dxa"/>
            <w:tcBorders>
              <w:top w:val="single" w:sz="6" w:space="0" w:color="auto"/>
              <w:left w:val="single" w:sz="6" w:space="0" w:color="auto"/>
              <w:bottom w:val="nil"/>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before="40" w:after="0" w:line="240" w:lineRule="exact"/>
              <w:jc w:val="center"/>
              <w:rPr>
                <w:rFonts w:ascii="Century Schoolbook" w:eastAsia="Times New Roman" w:hAnsi="Century Schoolbook" w:cs="Times New Roman"/>
                <w:spacing w:val="-5"/>
                <w:kern w:val="20"/>
                <w:sz w:val="24"/>
                <w:szCs w:val="20"/>
              </w:rPr>
            </w:pPr>
          </w:p>
        </w:tc>
        <w:tc>
          <w:tcPr>
            <w:tcW w:w="2060" w:type="dxa"/>
            <w:tcBorders>
              <w:top w:val="single" w:sz="6" w:space="0" w:color="auto"/>
              <w:left w:val="nil"/>
              <w:bottom w:val="single" w:sz="6" w:space="0" w:color="auto"/>
              <w:right w:val="nil"/>
            </w:tcBorders>
            <w:hideMark/>
          </w:tcPr>
          <w:p w:rsidR="00770BAA" w:rsidRPr="00770BAA" w:rsidRDefault="00770BAA" w:rsidP="00770BAA">
            <w:pPr>
              <w:keepNext/>
              <w:keepLines/>
              <w:tabs>
                <w:tab w:val="left" w:pos="360"/>
                <w:tab w:val="left" w:pos="810"/>
                <w:tab w:val="left" w:pos="1210"/>
                <w:tab w:val="left" w:pos="1656"/>
                <w:tab w:val="left" w:pos="2131"/>
                <w:tab w:val="left" w:pos="2520"/>
              </w:tabs>
              <w:spacing w:before="40" w:after="0" w:line="240" w:lineRule="exact"/>
              <w:jc w:val="center"/>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ACT</w:t>
            </w:r>
          </w:p>
        </w:tc>
        <w:tc>
          <w:tcPr>
            <w:tcW w:w="321" w:type="dxa"/>
            <w:tcBorders>
              <w:top w:val="single" w:sz="6" w:space="0" w:color="auto"/>
              <w:left w:val="nil"/>
              <w:bottom w:val="nil"/>
              <w:right w:val="single" w:sz="6" w:space="0" w:color="auto"/>
            </w:tcBorders>
          </w:tcPr>
          <w:p w:rsidR="00770BAA" w:rsidRPr="00770BAA" w:rsidRDefault="00770BAA" w:rsidP="00770BAA">
            <w:pPr>
              <w:keepNext/>
              <w:keepLines/>
              <w:tabs>
                <w:tab w:val="left" w:pos="360"/>
                <w:tab w:val="left" w:pos="810"/>
                <w:tab w:val="left" w:pos="1210"/>
                <w:tab w:val="left" w:pos="1656"/>
                <w:tab w:val="left" w:pos="2131"/>
                <w:tab w:val="left" w:pos="2520"/>
              </w:tabs>
              <w:spacing w:before="40" w:after="0" w:line="240" w:lineRule="exact"/>
              <w:jc w:val="center"/>
              <w:rPr>
                <w:rFonts w:ascii="Century Schoolbook" w:eastAsia="Times New Roman" w:hAnsi="Century Schoolbook" w:cs="Times New Roman"/>
                <w:spacing w:val="-5"/>
                <w:kern w:val="20"/>
                <w:sz w:val="24"/>
                <w:szCs w:val="20"/>
              </w:rPr>
            </w:pPr>
          </w:p>
        </w:tc>
      </w:tr>
      <w:tr w:rsidR="00770BAA" w:rsidRPr="00770BAA" w:rsidTr="00770BAA">
        <w:tc>
          <w:tcPr>
            <w:tcW w:w="270" w:type="dxa"/>
            <w:tcBorders>
              <w:top w:val="single" w:sz="6" w:space="0" w:color="auto"/>
              <w:left w:val="single" w:sz="6" w:space="0" w:color="auto"/>
              <w:bottom w:val="nil"/>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4230" w:type="dxa"/>
            <w:tcBorders>
              <w:top w:val="single" w:sz="6" w:space="0" w:color="auto"/>
              <w:left w:val="nil"/>
              <w:bottom w:val="single" w:sz="6" w:space="0" w:color="auto"/>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70" w:type="dxa"/>
            <w:tcBorders>
              <w:top w:val="single" w:sz="6" w:space="0" w:color="auto"/>
              <w:left w:val="nil"/>
              <w:bottom w:val="nil"/>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319" w:type="dxa"/>
            <w:tcBorders>
              <w:top w:val="single" w:sz="6" w:space="0" w:color="auto"/>
              <w:left w:val="single" w:sz="6" w:space="0" w:color="auto"/>
              <w:bottom w:val="nil"/>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060" w:type="dxa"/>
            <w:tcBorders>
              <w:top w:val="single" w:sz="6" w:space="0" w:color="auto"/>
              <w:left w:val="nil"/>
              <w:bottom w:val="single" w:sz="6" w:space="0" w:color="auto"/>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321" w:type="dxa"/>
            <w:tcBorders>
              <w:top w:val="single" w:sz="6" w:space="0" w:color="auto"/>
              <w:left w:val="nil"/>
              <w:bottom w:val="nil"/>
              <w:right w:val="single" w:sz="6" w:space="0" w:color="auto"/>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r w:rsidR="00770BAA" w:rsidRPr="00770BAA" w:rsidTr="00770BAA">
        <w:tc>
          <w:tcPr>
            <w:tcW w:w="270" w:type="dxa"/>
            <w:tcBorders>
              <w:top w:val="nil"/>
              <w:left w:val="single" w:sz="6" w:space="0" w:color="auto"/>
              <w:bottom w:val="nil"/>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4230" w:type="dxa"/>
            <w:tcBorders>
              <w:top w:val="single" w:sz="6" w:space="0" w:color="auto"/>
              <w:left w:val="nil"/>
              <w:bottom w:val="single" w:sz="6" w:space="0" w:color="auto"/>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70" w:type="dxa"/>
            <w:tcBorders>
              <w:top w:val="nil"/>
              <w:left w:val="nil"/>
              <w:bottom w:val="nil"/>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319" w:type="dxa"/>
            <w:tcBorders>
              <w:top w:val="nil"/>
              <w:left w:val="single" w:sz="6" w:space="0" w:color="auto"/>
              <w:bottom w:val="nil"/>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060" w:type="dxa"/>
            <w:tcBorders>
              <w:top w:val="single" w:sz="6" w:space="0" w:color="auto"/>
              <w:left w:val="nil"/>
              <w:bottom w:val="single" w:sz="6" w:space="0" w:color="auto"/>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321" w:type="dxa"/>
            <w:tcBorders>
              <w:top w:val="nil"/>
              <w:left w:val="nil"/>
              <w:bottom w:val="nil"/>
              <w:right w:val="single" w:sz="6" w:space="0" w:color="auto"/>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r w:rsidR="00770BAA" w:rsidRPr="00770BAA" w:rsidTr="00770BAA">
        <w:tc>
          <w:tcPr>
            <w:tcW w:w="270" w:type="dxa"/>
            <w:tcBorders>
              <w:top w:val="nil"/>
              <w:left w:val="single" w:sz="6" w:space="0" w:color="auto"/>
              <w:bottom w:val="single" w:sz="6" w:space="0" w:color="auto"/>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4230" w:type="dxa"/>
            <w:tcBorders>
              <w:top w:val="single" w:sz="6" w:space="0" w:color="auto"/>
              <w:left w:val="nil"/>
              <w:bottom w:val="single" w:sz="6" w:space="0" w:color="auto"/>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70" w:type="dxa"/>
            <w:tcBorders>
              <w:top w:val="nil"/>
              <w:left w:val="nil"/>
              <w:bottom w:val="single" w:sz="6" w:space="0" w:color="auto"/>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319" w:type="dxa"/>
            <w:tcBorders>
              <w:top w:val="nil"/>
              <w:left w:val="single" w:sz="6" w:space="0" w:color="auto"/>
              <w:bottom w:val="single" w:sz="6" w:space="0" w:color="auto"/>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060" w:type="dxa"/>
            <w:tcBorders>
              <w:top w:val="single" w:sz="6" w:space="0" w:color="auto"/>
              <w:left w:val="nil"/>
              <w:bottom w:val="single" w:sz="6" w:space="0" w:color="auto"/>
              <w:right w:val="nil"/>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321" w:type="dxa"/>
            <w:tcBorders>
              <w:top w:val="nil"/>
              <w:left w:val="nil"/>
              <w:bottom w:val="single" w:sz="6" w:space="0" w:color="auto"/>
              <w:right w:val="single" w:sz="6" w:space="0" w:color="auto"/>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bl>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(e)  The Contractor shall also comply with MIL-STD-129, Marking for Shipment and Storage (including revisions adopted during the term of this contract).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(End of clause)</w:t>
      </w:r>
    </w:p>
    <w:p w:rsidR="00770BAA" w:rsidRPr="00770BAA" w:rsidRDefault="00770BAA" w:rsidP="00770BA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3" w:name="252.223-7002"/>
      <w:r w:rsidRPr="00770BAA">
        <w:rPr>
          <w:rFonts w:ascii="Century Schoolbook" w:eastAsia="Times New Roman" w:hAnsi="Century Schoolbook" w:cs="Times New Roman"/>
          <w:b/>
          <w:spacing w:val="-5"/>
          <w:kern w:val="20"/>
          <w:sz w:val="24"/>
          <w:szCs w:val="20"/>
        </w:rPr>
        <w:t>252.223-</w:t>
      </w:r>
      <w:bookmarkEnd w:id="3"/>
      <w:r w:rsidRPr="00770BAA">
        <w:rPr>
          <w:rFonts w:ascii="Century Schoolbook" w:eastAsia="Times New Roman" w:hAnsi="Century Schoolbook" w:cs="Times New Roman"/>
          <w:b/>
          <w:spacing w:val="-5"/>
          <w:kern w:val="20"/>
          <w:sz w:val="24"/>
          <w:szCs w:val="20"/>
        </w:rPr>
        <w:t>7002  Safety Precautions for Ammunition and Explosives.</w:t>
      </w:r>
    </w:p>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 xml:space="preserve">As prescribed in </w:t>
      </w:r>
      <w:hyperlink r:id="rId6" w:anchor="223.370-5" w:tgtFrame="_blank" w:history="1">
        <w:r w:rsidRPr="00770BAA">
          <w:rPr>
            <w:rFonts w:ascii="Century Schoolbook" w:eastAsia="Times New Roman" w:hAnsi="Century Schoolbook" w:cs="Times New Roman"/>
            <w:color w:val="0000FF"/>
            <w:spacing w:val="-5"/>
            <w:kern w:val="20"/>
            <w:sz w:val="24"/>
            <w:szCs w:val="20"/>
            <w:u w:val="single"/>
          </w:rPr>
          <w:t>223.370-5</w:t>
        </w:r>
      </w:hyperlink>
      <w:r w:rsidRPr="00770BAA">
        <w:rPr>
          <w:rFonts w:ascii="Century Schoolbook" w:eastAsia="Times New Roman" w:hAnsi="Century Schoolbook" w:cs="Times New Roman"/>
          <w:spacing w:val="-5"/>
          <w:kern w:val="20"/>
          <w:sz w:val="24"/>
          <w:szCs w:val="20"/>
        </w:rPr>
        <w:t>, use the following clause: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caps/>
          <w:spacing w:val="-5"/>
          <w:kern w:val="20"/>
          <w:sz w:val="24"/>
          <w:szCs w:val="20"/>
        </w:rPr>
      </w:pPr>
      <w:r w:rsidRPr="00770BAA">
        <w:rPr>
          <w:rFonts w:ascii="Century Schoolbook" w:eastAsia="Times New Roman" w:hAnsi="Century Schoolbook" w:cs="Times New Roman"/>
          <w:caps/>
          <w:spacing w:val="-5"/>
          <w:kern w:val="20"/>
          <w:sz w:val="24"/>
          <w:szCs w:val="20"/>
        </w:rPr>
        <w:t>SAFETY PRECAUTIONS FOR AMMUNITION AND EXPLOSIVES (MAY 1994)</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caps/>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 xml:space="preserve">(a)  </w:t>
      </w:r>
      <w:r w:rsidRPr="00770BAA">
        <w:rPr>
          <w:rFonts w:ascii="Century Schoolbook" w:eastAsia="Times New Roman" w:hAnsi="Century Schoolbook" w:cs="Times New Roman"/>
          <w:i/>
          <w:spacing w:val="-5"/>
          <w:kern w:val="20"/>
          <w:sz w:val="24"/>
          <w:szCs w:val="20"/>
        </w:rPr>
        <w:t>Definition</w:t>
      </w:r>
      <w:r w:rsidRPr="00770BAA">
        <w:rPr>
          <w:rFonts w:ascii="Century Schoolbook" w:eastAsia="Times New Roman" w:hAnsi="Century Schoolbook" w:cs="Times New Roman"/>
          <w:spacing w:val="-5"/>
          <w:kern w:val="20"/>
          <w:sz w:val="24"/>
          <w:szCs w:val="20"/>
        </w:rPr>
        <w:t>.  “Ammunition and explosives,” as used in this clause—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(1)  Means liquid and solid propellants and explosives, pyrotechnics, incendiaries and smokes in the following forms: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  Bulk,</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(ii)  Ammunition;</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(iii)  Rockets;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(iv)  Missiles;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(v)  Warheads;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(vi)  Devices; and</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(vii)  Components of (i) through (vi), except for wholly inert items.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ind w:right="-54"/>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(2)  This definition does not include the following, unless the Contractor is using or incorporating these materials for initiation, propulsion, or detonation as an integral or component part of an explosive, an ammunition or explosive end item, or of a weapon system—</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  Inert components containing no explosives, propellants, or pyrotechnics;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(ii)  Flammable liquids;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(iii)  Acids;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(iv)  Oxidizers;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(v)  Powdered metals; or</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(vi)  Other materials having fire or explosive characteristics.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 xml:space="preserve">(b)  </w:t>
      </w:r>
      <w:r w:rsidRPr="00770BAA">
        <w:rPr>
          <w:rFonts w:ascii="Century Schoolbook" w:eastAsia="Times New Roman" w:hAnsi="Century Schoolbook" w:cs="Times New Roman"/>
          <w:i/>
          <w:spacing w:val="-5"/>
          <w:kern w:val="20"/>
          <w:sz w:val="24"/>
          <w:szCs w:val="20"/>
        </w:rPr>
        <w:t>Safety requirements</w:t>
      </w:r>
      <w:r w:rsidRPr="00770BAA">
        <w:rPr>
          <w:rFonts w:ascii="Century Schoolbook" w:eastAsia="Times New Roman" w:hAnsi="Century Schoolbook" w:cs="Times New Roman"/>
          <w:spacing w:val="-5"/>
          <w:kern w:val="20"/>
          <w:sz w:val="24"/>
          <w:szCs w:val="20"/>
        </w:rPr>
        <w: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(2)  The Contractor shall allow the Government access to the Contractor's facilities, personnel, and safety program documentation.  The Contractor shall allow authorized Government representatives to evaluate safety programs, implementation, and facilities.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i/>
          <w:spacing w:val="-5"/>
          <w:kern w:val="20"/>
          <w:sz w:val="24"/>
          <w:szCs w:val="20"/>
        </w:rPr>
      </w:pPr>
      <w:r w:rsidRPr="00770BAA">
        <w:rPr>
          <w:rFonts w:ascii="Century Schoolbook" w:eastAsia="Times New Roman" w:hAnsi="Century Schoolbook" w:cs="Times New Roman"/>
          <w:spacing w:val="-5"/>
          <w:kern w:val="20"/>
          <w:sz w:val="24"/>
          <w:szCs w:val="20"/>
        </w:rPr>
        <w:tab/>
        <w:t xml:space="preserve">(c)  </w:t>
      </w:r>
      <w:r w:rsidRPr="00770BAA">
        <w:rPr>
          <w:rFonts w:ascii="Century Schoolbook" w:eastAsia="Times New Roman" w:hAnsi="Century Schoolbook" w:cs="Times New Roman"/>
          <w:i/>
          <w:spacing w:val="-5"/>
          <w:kern w:val="20"/>
          <w:sz w:val="24"/>
          <w:szCs w:val="20"/>
        </w:rPr>
        <w:t>Noncompliance with the manual.</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i/>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 xml:space="preserve">(1)  If the Contracting Officer notifies the Contractor of any noncompliance with the manual or schedule provisions, the Contractor shall take immediate steps to correct the noncompliance.  The Contractor is not entitled to reimbursement of costs incurred to </w:t>
      </w:r>
      <w:r w:rsidRPr="00770BAA">
        <w:rPr>
          <w:rFonts w:ascii="Century Schoolbook" w:eastAsia="Times New Roman" w:hAnsi="Century Schoolbook" w:cs="Times New Roman"/>
          <w:spacing w:val="-5"/>
          <w:kern w:val="20"/>
          <w:sz w:val="24"/>
          <w:szCs w:val="20"/>
        </w:rPr>
        <w:lastRenderedPageBreak/>
        <w:t>correct noncompliances unless such reimbursement is specified elsewhere in the contract.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(4)  The Contracting Officer may remove Government personnel at any time the Contractor is in noncompliance with any safety requirement of this clause.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 xml:space="preserve">(d)  </w:t>
      </w:r>
      <w:r w:rsidRPr="00770BAA">
        <w:rPr>
          <w:rFonts w:ascii="Century Schoolbook" w:eastAsia="Times New Roman" w:hAnsi="Century Schoolbook" w:cs="Times New Roman"/>
          <w:i/>
          <w:spacing w:val="-5"/>
          <w:kern w:val="20"/>
          <w:sz w:val="24"/>
          <w:szCs w:val="20"/>
        </w:rPr>
        <w:t>Mishaps</w:t>
      </w:r>
      <w:r w:rsidRPr="00770BAA">
        <w:rPr>
          <w:rFonts w:ascii="Century Schoolbook" w:eastAsia="Times New Roman" w:hAnsi="Century Schoolbook" w:cs="Times New Roman"/>
          <w:spacing w:val="-5"/>
          <w:kern w:val="20"/>
          <w:sz w:val="24"/>
          <w:szCs w:val="20"/>
        </w:rPr>
        <w:t>.  If a mishap involving ammunition or explosives occurs, the Contractor shall—</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(1)  Notify the Contracting Officer immediately;</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(2)  Conduct an investigation in accordance with other provisions of this contract or as required by the Contracting Officer; and</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(3)  Submit a written report to the Contracting Officer.</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 xml:space="preserve">(e)  </w:t>
      </w:r>
      <w:r w:rsidRPr="00770BAA">
        <w:rPr>
          <w:rFonts w:ascii="Century Schoolbook" w:eastAsia="Times New Roman" w:hAnsi="Century Schoolbook" w:cs="Times New Roman"/>
          <w:i/>
          <w:spacing w:val="-5"/>
          <w:kern w:val="20"/>
          <w:sz w:val="24"/>
          <w:szCs w:val="20"/>
        </w:rPr>
        <w:t>Contractor responsibility for safety</w:t>
      </w:r>
      <w:r w:rsidRPr="00770BAA">
        <w:rPr>
          <w:rFonts w:ascii="Century Schoolbook" w:eastAsia="Times New Roman" w:hAnsi="Century Schoolbook" w:cs="Times New Roman"/>
          <w:spacing w:val="-5"/>
          <w:kern w:val="20"/>
          <w:sz w:val="24"/>
          <w:szCs w:val="20"/>
        </w:rPr>
        <w: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(1)  Nothing in this clause, nor any Government action or failure to act in surveillance of this contract, shall relieve the Contractor of its responsibility for the safety of—</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  The Contractor's personnel and property;</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(ii)  The Government's personnel and property; or</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(iii)  The general public.</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 xml:space="preserve">(f)  </w:t>
      </w:r>
      <w:r w:rsidRPr="00770BAA">
        <w:rPr>
          <w:rFonts w:ascii="Century Schoolbook" w:eastAsia="Times New Roman" w:hAnsi="Century Schoolbook" w:cs="Times New Roman"/>
          <w:i/>
          <w:spacing w:val="-5"/>
          <w:kern w:val="20"/>
          <w:sz w:val="24"/>
          <w:szCs w:val="20"/>
        </w:rPr>
        <w:t>Contractor responsibility for contract performance</w:t>
      </w:r>
      <w:r w:rsidRPr="00770BAA">
        <w:rPr>
          <w:rFonts w:ascii="Century Schoolbook" w:eastAsia="Times New Roman" w:hAnsi="Century Schoolbook" w:cs="Times New Roman"/>
          <w:spacing w:val="-5"/>
          <w:kern w:val="20"/>
          <w:sz w:val="24"/>
          <w:szCs w:val="20"/>
        </w:rPr>
        <w: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(1)  Neither the number or frequency of inspections performed by the Government, nor the degree of surveillance exercised by the Government, relieve the Contractor of its responsibility for contract performance.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(2)  If the Government acts or fails to act in surveillance or enforcement of the safety requirements of this contract, this does not impose or add to any liability of the Government.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 xml:space="preserve">(g)  </w:t>
      </w:r>
      <w:r w:rsidRPr="00770BAA">
        <w:rPr>
          <w:rFonts w:ascii="Century Schoolbook" w:eastAsia="Times New Roman" w:hAnsi="Century Schoolbook" w:cs="Times New Roman"/>
          <w:i/>
          <w:spacing w:val="-5"/>
          <w:kern w:val="20"/>
          <w:sz w:val="24"/>
          <w:szCs w:val="20"/>
        </w:rPr>
        <w:t>Subcontractors</w:t>
      </w:r>
      <w:r w:rsidRPr="00770BAA">
        <w:rPr>
          <w:rFonts w:ascii="Century Schoolbook" w:eastAsia="Times New Roman" w:hAnsi="Century Schoolbook" w:cs="Times New Roman"/>
          <w:spacing w:val="-5"/>
          <w:kern w:val="20"/>
          <w:sz w:val="24"/>
          <w:szCs w:val="20"/>
        </w:rPr>
        <w: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(1)  The Contractor shall insert this clause, including this paragraph (g), in every subcontract that involves ammunition or explosives.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  The clause shall include a provision allowing authorized Government safety representatives to evaluate subcontractor safety programs, implementation, and facilities as the Government determines necessary.</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 xml:space="preserve">(ii)  </w:t>
      </w:r>
      <w:r w:rsidRPr="00770BAA">
        <w:rPr>
          <w:rFonts w:ascii="Century Schoolbook" w:eastAsia="Times New Roman" w:hAnsi="Century Schoolbook" w:cs="Times New Roman"/>
          <w:b/>
          <w:spacing w:val="-5"/>
          <w:kern w:val="20"/>
          <w:sz w:val="24"/>
          <w:szCs w:val="20"/>
        </w:rPr>
        <w:t>NOTE:</w:t>
      </w:r>
      <w:r w:rsidRPr="00770BAA">
        <w:rPr>
          <w:rFonts w:ascii="Century Schoolbook" w:eastAsia="Times New Roman" w:hAnsi="Century Schoolbook" w:cs="Times New Roman"/>
          <w:spacing w:val="-5"/>
          <w:kern w:val="20"/>
          <w:sz w:val="24"/>
          <w:szCs w:val="20"/>
        </w:rPr>
        <w:t xml:space="preserv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(2)  The Contractor agrees to ensure that the subcontractor complies with all contract safety requirements.  The Contractor will determine the best method for verifying the adequacy of the subcontractor's compliance.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(End of clause)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4" w:name="252.223-7003"/>
      <w:r w:rsidRPr="00770BAA">
        <w:rPr>
          <w:rFonts w:ascii="Century Schoolbook" w:eastAsia="Times New Roman" w:hAnsi="Century Schoolbook" w:cs="Times New Roman"/>
          <w:b/>
          <w:spacing w:val="-5"/>
          <w:kern w:val="20"/>
          <w:sz w:val="24"/>
          <w:szCs w:val="20"/>
        </w:rPr>
        <w:t>252.223-</w:t>
      </w:r>
      <w:bookmarkEnd w:id="4"/>
      <w:r w:rsidRPr="00770BAA">
        <w:rPr>
          <w:rFonts w:ascii="Century Schoolbook" w:eastAsia="Times New Roman" w:hAnsi="Century Schoolbook" w:cs="Times New Roman"/>
          <w:b/>
          <w:spacing w:val="-5"/>
          <w:kern w:val="20"/>
          <w:sz w:val="24"/>
          <w:szCs w:val="20"/>
        </w:rPr>
        <w:t>7003  Change in Place of Performance--Ammunition and Explosives.</w:t>
      </w:r>
    </w:p>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 xml:space="preserve">As prescribed in </w:t>
      </w:r>
      <w:hyperlink r:id="rId7" w:anchor="223.370-5" w:tgtFrame="_blank" w:history="1">
        <w:r w:rsidRPr="00770BAA">
          <w:rPr>
            <w:rFonts w:ascii="Century Schoolbook" w:eastAsia="Times New Roman" w:hAnsi="Century Schoolbook" w:cs="Times New Roman"/>
            <w:color w:val="0000FF"/>
            <w:spacing w:val="-5"/>
            <w:kern w:val="20"/>
            <w:sz w:val="24"/>
            <w:szCs w:val="20"/>
            <w:u w:val="single"/>
          </w:rPr>
          <w:t>223.370-5</w:t>
        </w:r>
      </w:hyperlink>
      <w:r w:rsidRPr="00770BAA">
        <w:rPr>
          <w:rFonts w:ascii="Century Schoolbook" w:eastAsia="Times New Roman" w:hAnsi="Century Schoolbook" w:cs="Times New Roman"/>
          <w:spacing w:val="-5"/>
          <w:kern w:val="20"/>
          <w:sz w:val="24"/>
          <w:szCs w:val="20"/>
        </w:rPr>
        <w:t>, use the following clause: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CHANGE IN PLACE OF PERFORMANCE</w:t>
      </w:r>
      <w:r w:rsidRPr="00770BAA">
        <w:rPr>
          <w:rFonts w:ascii="Century Schoolbook" w:eastAsia="Times New Roman" w:hAnsi="Century Schoolbook" w:cs="Times New Roman"/>
          <w:b/>
          <w:spacing w:val="-5"/>
          <w:kern w:val="20"/>
          <w:sz w:val="24"/>
          <w:szCs w:val="20"/>
        </w:rPr>
        <w:t>--</w:t>
      </w:r>
      <w:r w:rsidRPr="00770BAA">
        <w:rPr>
          <w:rFonts w:ascii="Century Schoolbook" w:eastAsia="Times New Roman" w:hAnsi="Century Schoolbook" w:cs="Times New Roman"/>
          <w:spacing w:val="-5"/>
          <w:kern w:val="20"/>
          <w:sz w:val="24"/>
          <w:szCs w:val="20"/>
        </w:rPr>
        <w:t>AMMUNITION AND EXPLOSIVES (DEC 1991)</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(c)  If a contract results from this offer, the Contractor agrees not to change any place of performance previously cited without the advance written approval of the Contracting Officer.</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Default="00770BAA" w:rsidP="00770BA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(End of clause)</w:t>
      </w:r>
    </w:p>
    <w:p w:rsid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5" w:name="252.223-7007"/>
      <w:r w:rsidRPr="00770BAA">
        <w:rPr>
          <w:rFonts w:ascii="Century Schoolbook" w:eastAsia="Times New Roman" w:hAnsi="Century Schoolbook" w:cs="Times New Roman"/>
          <w:b/>
          <w:spacing w:val="-5"/>
          <w:kern w:val="20"/>
          <w:sz w:val="24"/>
          <w:szCs w:val="20"/>
        </w:rPr>
        <w:t>252.223-</w:t>
      </w:r>
      <w:bookmarkEnd w:id="5"/>
      <w:r w:rsidRPr="00770BAA">
        <w:rPr>
          <w:rFonts w:ascii="Century Schoolbook" w:eastAsia="Times New Roman" w:hAnsi="Century Schoolbook" w:cs="Times New Roman"/>
          <w:b/>
          <w:spacing w:val="-5"/>
          <w:kern w:val="20"/>
          <w:sz w:val="24"/>
          <w:szCs w:val="20"/>
        </w:rPr>
        <w:t>7007  Safeguarding Sensitive Conventional Arms, Ammunition, and Explosives.</w:t>
      </w:r>
    </w:p>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 xml:space="preserve">As prescribed in </w:t>
      </w:r>
      <w:hyperlink r:id="rId8" w:anchor="223.7203" w:tgtFrame="_blank" w:history="1">
        <w:r w:rsidRPr="00770BAA">
          <w:rPr>
            <w:rFonts w:ascii="Century Schoolbook" w:eastAsia="Times New Roman" w:hAnsi="Century Schoolbook" w:cs="Times New Roman"/>
            <w:color w:val="0000FF"/>
            <w:spacing w:val="-5"/>
            <w:kern w:val="20"/>
            <w:sz w:val="24"/>
            <w:szCs w:val="20"/>
            <w:u w:val="single"/>
          </w:rPr>
          <w:t>223.7203</w:t>
        </w:r>
      </w:hyperlink>
      <w:r w:rsidRPr="00770BAA">
        <w:rPr>
          <w:rFonts w:ascii="Century Schoolbook" w:eastAsia="Times New Roman" w:hAnsi="Century Schoolbook" w:cs="Times New Roman"/>
          <w:spacing w:val="-5"/>
          <w:kern w:val="20"/>
          <w:sz w:val="24"/>
          <w:szCs w:val="20"/>
        </w:rPr>
        <w:t>, use the following clause: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 xml:space="preserve">SAFEGUARDING SENSITIVE CONVENTIONAL ARMS, AMMUNITION, </w:t>
      </w:r>
      <w:r w:rsidRPr="00770BAA">
        <w:rPr>
          <w:rFonts w:ascii="Century Schoolbook" w:eastAsia="Times New Roman" w:hAnsi="Century Schoolbook" w:cs="Times New Roman"/>
          <w:spacing w:val="-5"/>
          <w:kern w:val="20"/>
          <w:sz w:val="24"/>
          <w:szCs w:val="20"/>
        </w:rPr>
        <w:br/>
        <w:t>AND EXPLOSIVES (SEP 1999)</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 xml:space="preserve">(a)  </w:t>
      </w:r>
      <w:r w:rsidRPr="00770BAA">
        <w:rPr>
          <w:rFonts w:ascii="Century Schoolbook" w:eastAsia="Times New Roman" w:hAnsi="Century Schoolbook" w:cs="Times New Roman"/>
          <w:i/>
          <w:spacing w:val="-5"/>
          <w:kern w:val="20"/>
          <w:sz w:val="24"/>
          <w:szCs w:val="20"/>
        </w:rPr>
        <w:t>Definition</w:t>
      </w:r>
      <w:r w:rsidRPr="00770BAA">
        <w:rPr>
          <w:rFonts w:ascii="Century Schoolbook" w:eastAsia="Times New Roman" w:hAnsi="Century Schoolbook" w:cs="Times New Roman"/>
          <w:spacing w:val="-5"/>
          <w:kern w:val="20"/>
          <w:sz w:val="24"/>
          <w:szCs w:val="20"/>
        </w:rPr>
        <w:t>.  “Arms, ammunition, and explosives (AA&amp;E),” as used in this clause, means those items within the scope (chapter 1, paragraph B) of DoD 5100.76-M, Physical Security of Sensitive Conventional Arms, Ammunition, and Explosives.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(b)  The requirements of DoD 5100.76-M apply to the following items of AA&amp;E being developed, produced, manufactured, or purchased for the Government, or provided to the Contractor as Government-furnished property under this contract: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67"/>
        <w:gridCol w:w="3067"/>
        <w:gridCol w:w="2596"/>
      </w:tblGrid>
      <w:tr w:rsidR="00770BAA" w:rsidRPr="00770BAA" w:rsidTr="00770BAA">
        <w:tc>
          <w:tcPr>
            <w:tcW w:w="3067" w:type="dxa"/>
            <w:tcBorders>
              <w:top w:val="single" w:sz="6" w:space="0" w:color="auto"/>
              <w:left w:val="single" w:sz="6" w:space="0" w:color="auto"/>
              <w:bottom w:val="single" w:sz="6" w:space="0" w:color="auto"/>
              <w:right w:val="single" w:sz="6" w:space="0" w:color="auto"/>
            </w:tcBorders>
          </w:tcPr>
          <w:p w:rsidR="00770BAA" w:rsidRPr="00770BAA" w:rsidRDefault="00770BAA" w:rsidP="00770BAA">
            <w:pPr>
              <w:keepNext/>
              <w:keepLines/>
              <w:tabs>
                <w:tab w:val="left" w:pos="360"/>
                <w:tab w:val="left" w:pos="810"/>
                <w:tab w:val="left" w:pos="1210"/>
                <w:tab w:val="left" w:pos="1656"/>
                <w:tab w:val="left" w:pos="2131"/>
                <w:tab w:val="left" w:pos="2520"/>
              </w:tabs>
              <w:spacing w:before="40"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keepNext/>
              <w:keepLines/>
              <w:tabs>
                <w:tab w:val="left" w:pos="360"/>
                <w:tab w:val="left" w:pos="810"/>
                <w:tab w:val="left" w:pos="1210"/>
                <w:tab w:val="left" w:pos="1656"/>
                <w:tab w:val="left" w:pos="2131"/>
                <w:tab w:val="left" w:pos="2520"/>
              </w:tabs>
              <w:spacing w:before="40"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NOMENCLATURE</w:t>
            </w:r>
          </w:p>
        </w:tc>
        <w:tc>
          <w:tcPr>
            <w:tcW w:w="3067" w:type="dxa"/>
            <w:tcBorders>
              <w:top w:val="single" w:sz="6" w:space="0" w:color="auto"/>
              <w:left w:val="single" w:sz="6" w:space="0" w:color="auto"/>
              <w:bottom w:val="single" w:sz="6" w:space="0" w:color="auto"/>
              <w:right w:val="single" w:sz="6" w:space="0" w:color="auto"/>
            </w:tcBorders>
            <w:hideMark/>
          </w:tcPr>
          <w:p w:rsidR="00770BAA" w:rsidRPr="00770BAA" w:rsidRDefault="00770BAA" w:rsidP="00770BAA">
            <w:pPr>
              <w:keepNext/>
              <w:keepLines/>
              <w:tabs>
                <w:tab w:val="left" w:pos="360"/>
                <w:tab w:val="left" w:pos="810"/>
                <w:tab w:val="left" w:pos="1210"/>
                <w:tab w:val="left" w:pos="1656"/>
                <w:tab w:val="left" w:pos="2131"/>
                <w:tab w:val="left" w:pos="2520"/>
              </w:tabs>
              <w:spacing w:before="40"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 xml:space="preserve">NATIONAL </w:t>
            </w:r>
            <w:r w:rsidRPr="00770BAA">
              <w:rPr>
                <w:rFonts w:ascii="Century Schoolbook" w:eastAsia="Times New Roman" w:hAnsi="Century Schoolbook" w:cs="Times New Roman"/>
                <w:spacing w:val="-5"/>
                <w:kern w:val="20"/>
                <w:sz w:val="24"/>
                <w:szCs w:val="20"/>
              </w:rPr>
              <w:br/>
              <w:t>STOCK NUMBER</w:t>
            </w:r>
          </w:p>
        </w:tc>
        <w:tc>
          <w:tcPr>
            <w:tcW w:w="2596" w:type="dxa"/>
            <w:tcBorders>
              <w:top w:val="single" w:sz="6" w:space="0" w:color="auto"/>
              <w:left w:val="single" w:sz="6" w:space="0" w:color="auto"/>
              <w:bottom w:val="single" w:sz="6" w:space="0" w:color="auto"/>
              <w:right w:val="single" w:sz="6" w:space="0" w:color="auto"/>
            </w:tcBorders>
            <w:hideMark/>
          </w:tcPr>
          <w:p w:rsidR="00770BAA" w:rsidRPr="00770BAA" w:rsidRDefault="00770BAA" w:rsidP="00770BAA">
            <w:pPr>
              <w:keepNext/>
              <w:keepLines/>
              <w:tabs>
                <w:tab w:val="left" w:pos="360"/>
                <w:tab w:val="left" w:pos="810"/>
                <w:tab w:val="left" w:pos="1210"/>
                <w:tab w:val="left" w:pos="1656"/>
                <w:tab w:val="left" w:pos="2131"/>
                <w:tab w:val="left" w:pos="2520"/>
              </w:tabs>
              <w:spacing w:before="40"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SENSITIVITY/</w:t>
            </w:r>
            <w:r w:rsidRPr="00770BAA">
              <w:rPr>
                <w:rFonts w:ascii="Century Schoolbook" w:eastAsia="Times New Roman" w:hAnsi="Century Schoolbook" w:cs="Times New Roman"/>
                <w:spacing w:val="-5"/>
                <w:kern w:val="20"/>
                <w:sz w:val="24"/>
                <w:szCs w:val="20"/>
              </w:rPr>
              <w:br/>
              <w:t>CATEGORY</w:t>
            </w:r>
          </w:p>
        </w:tc>
      </w:tr>
      <w:tr w:rsidR="00770BAA" w:rsidRPr="00770BAA" w:rsidTr="00770BAA">
        <w:tc>
          <w:tcPr>
            <w:tcW w:w="3067" w:type="dxa"/>
            <w:tcBorders>
              <w:top w:val="single" w:sz="6" w:space="0" w:color="auto"/>
              <w:left w:val="single" w:sz="6" w:space="0" w:color="auto"/>
              <w:bottom w:val="single" w:sz="6" w:space="0" w:color="auto"/>
              <w:right w:val="single" w:sz="6" w:space="0" w:color="auto"/>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3067" w:type="dxa"/>
            <w:tcBorders>
              <w:top w:val="single" w:sz="6" w:space="0" w:color="auto"/>
              <w:left w:val="single" w:sz="6" w:space="0" w:color="auto"/>
              <w:bottom w:val="single" w:sz="6" w:space="0" w:color="auto"/>
              <w:right w:val="single" w:sz="6" w:space="0" w:color="auto"/>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596" w:type="dxa"/>
            <w:tcBorders>
              <w:top w:val="single" w:sz="6" w:space="0" w:color="auto"/>
              <w:left w:val="single" w:sz="6" w:space="0" w:color="auto"/>
              <w:bottom w:val="single" w:sz="6" w:space="0" w:color="auto"/>
              <w:right w:val="single" w:sz="6" w:space="0" w:color="auto"/>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r w:rsidR="00770BAA" w:rsidRPr="00770BAA" w:rsidTr="00770BAA">
        <w:tc>
          <w:tcPr>
            <w:tcW w:w="3067" w:type="dxa"/>
            <w:tcBorders>
              <w:top w:val="single" w:sz="6" w:space="0" w:color="auto"/>
              <w:left w:val="single" w:sz="6" w:space="0" w:color="auto"/>
              <w:bottom w:val="single" w:sz="6" w:space="0" w:color="auto"/>
              <w:right w:val="single" w:sz="6" w:space="0" w:color="auto"/>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3067" w:type="dxa"/>
            <w:tcBorders>
              <w:top w:val="single" w:sz="6" w:space="0" w:color="auto"/>
              <w:left w:val="single" w:sz="6" w:space="0" w:color="auto"/>
              <w:bottom w:val="single" w:sz="6" w:space="0" w:color="auto"/>
              <w:right w:val="single" w:sz="6" w:space="0" w:color="auto"/>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596" w:type="dxa"/>
            <w:tcBorders>
              <w:top w:val="single" w:sz="6" w:space="0" w:color="auto"/>
              <w:left w:val="single" w:sz="6" w:space="0" w:color="auto"/>
              <w:bottom w:val="single" w:sz="6" w:space="0" w:color="auto"/>
              <w:right w:val="single" w:sz="6" w:space="0" w:color="auto"/>
            </w:tcBorders>
          </w:tcPr>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bl>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(c)  The Contractor shall comply with the requirements of DoD 5100.76-M, as specified in the statement of work.  The edition of DoD 5100.76-M in effect on the date of issuance of the solicitation for this contract shall apply.</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(e)  The Contractor shall notify the cognizant DSS field office of any subcontract involving AA&amp;E within 10 days after award of the subcontract.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(f)  The Contractor shall ensure that the requirements of this clause are included in all subcontracts, at every tier</w:t>
      </w:r>
      <w:r w:rsidRPr="00770BAA">
        <w:rPr>
          <w:rFonts w:ascii="Century Schoolbook" w:eastAsia="Times New Roman" w:hAnsi="Century Schoolbook" w:cs="Times New Roman"/>
          <w:spacing w:val="-5"/>
          <w:kern w:val="20"/>
          <w:sz w:val="24"/>
          <w:szCs w:val="20"/>
        </w:rPr>
        <w:sym w:font="Symbol" w:char="F0BE"/>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(1)  For the development, production, manufacture, or purchase of AA&amp;E; or</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(2)  When AA&amp;E will be provided to the subcontractor as Government-furnished property.</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(End of clause)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bookmarkEnd w:id="1"/>
    <w:sectPr w:rsidR="00770BAA" w:rsidRPr="0077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AA"/>
    <w:rsid w:val="001C7549"/>
    <w:rsid w:val="003F1187"/>
    <w:rsid w:val="00770BAA"/>
    <w:rsid w:val="00CF10E8"/>
    <w:rsid w:val="00E6028F"/>
    <w:rsid w:val="00F0288A"/>
    <w:rsid w:val="00F4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1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44009">
      <w:bodyDiv w:val="1"/>
      <w:marLeft w:val="0"/>
      <w:marRight w:val="0"/>
      <w:marTop w:val="0"/>
      <w:marBottom w:val="0"/>
      <w:divBdr>
        <w:top w:val="none" w:sz="0" w:space="0" w:color="auto"/>
        <w:left w:val="none" w:sz="0" w:space="0" w:color="auto"/>
        <w:bottom w:val="none" w:sz="0" w:space="0" w:color="auto"/>
        <w:right w:val="none" w:sz="0" w:space="0" w:color="auto"/>
      </w:divBdr>
    </w:div>
    <w:div w:id="18709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23_72.htm" TargetMode="External"/><Relationship Id="rId3" Type="http://schemas.openxmlformats.org/officeDocument/2006/relationships/settings" Target="settings.xml"/><Relationship Id="rId7" Type="http://schemas.openxmlformats.org/officeDocument/2006/relationships/hyperlink" Target="http://www.acq.osd.mil/dpap/dars/dfars/html/current/223_3.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q.osd.mil/dpap/dars/dfars/html/current/223_3.htm" TargetMode="External"/><Relationship Id="rId5" Type="http://schemas.openxmlformats.org/officeDocument/2006/relationships/hyperlink" Target="http://www.acq.osd.mil/dpap/dars/dfars/html/current/223_3.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overstme</dc:creator>
  <cp:keywords/>
  <dc:description/>
  <cp:lastModifiedBy>SYSTEM</cp:lastModifiedBy>
  <cp:revision>2</cp:revision>
  <cp:lastPrinted>2017-08-08T20:31:00Z</cp:lastPrinted>
  <dcterms:created xsi:type="dcterms:W3CDTF">2017-10-18T18:43:00Z</dcterms:created>
  <dcterms:modified xsi:type="dcterms:W3CDTF">2017-10-18T18:43:00Z</dcterms:modified>
</cp:coreProperties>
</file>