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801" w:rsidR="00B322A3" w:rsidP="00954FE2" w:rsidRDefault="00B322A3" w14:paraId="2D4E9B0A" w14:textId="76BF88D0">
      <w:pPr>
        <w:pStyle w:val="BodyText"/>
        <w:jc w:val="center"/>
        <w:rPr>
          <w:sz w:val="28"/>
          <w:szCs w:val="28"/>
        </w:rPr>
      </w:pPr>
      <w:bookmarkStart w:name="_GoBack" w:id="0"/>
      <w:bookmarkEnd w:id="0"/>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C318C2" w14:paraId="6A1AD193" w14:textId="0D532080">
      <w:pPr>
        <w:pStyle w:val="BodyText"/>
        <w:jc w:val="center"/>
        <w:rPr>
          <w:sz w:val="28"/>
          <w:szCs w:val="28"/>
        </w:rPr>
      </w:pPr>
      <w:r>
        <w:rPr>
          <w:sz w:val="28"/>
          <w:szCs w:val="28"/>
        </w:rPr>
        <w:t>Small Business</w:t>
      </w:r>
      <w:r w:rsidRPr="00740801">
        <w:rPr>
          <w:sz w:val="28"/>
          <w:szCs w:val="28"/>
        </w:rPr>
        <w:t xml:space="preserve"> </w:t>
      </w:r>
      <w:r w:rsidRPr="00740801" w:rsidR="0064223A">
        <w:rPr>
          <w:sz w:val="28"/>
          <w:szCs w:val="28"/>
        </w:rPr>
        <w:t>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4912960E">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w:t>
      </w:r>
      <w:r w:rsidR="00C318C2">
        <w:rPr>
          <w:rFonts w:ascii="Times New Roman" w:hAnsi="Times New Roman" w:eastAsia="Times New Roman" w:cs="Times New Roman"/>
          <w:sz w:val="24"/>
          <w:szCs w:val="24"/>
          <w:lang w:bidi="he-IL"/>
        </w:rPr>
        <w:t>Small Business</w:t>
      </w:r>
      <w:r w:rsidRPr="00740801" w:rsidR="00C318C2">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1">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00BC3CF9" w:rsidP="00AC36BA" w:rsidRDefault="00215992" w14:paraId="0485AE99" w14:textId="73C7BECC">
      <w:pPr>
        <w:spacing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Planning for the survey began</w:t>
      </w:r>
      <w:r w:rsidR="00151DF9">
        <w:rPr>
          <w:rFonts w:ascii="Times New Roman" w:hAnsi="Times New Roman" w:eastAsia="Times New Roman" w:cs="Times New Roman"/>
          <w:sz w:val="24"/>
          <w:szCs w:val="24"/>
          <w:lang w:bidi="he-IL"/>
        </w:rPr>
        <w:t xml:space="preserve"> in</w:t>
      </w:r>
      <w:r w:rsidRPr="00740801">
        <w:rPr>
          <w:rFonts w:ascii="Times New Roman" w:hAnsi="Times New Roman" w:eastAsia="Times New Roman" w:cs="Times New Roman"/>
          <w:sz w:val="24"/>
          <w:szCs w:val="24"/>
          <w:lang w:bidi="he-IL"/>
        </w:rPr>
        <w:t xml:space="preserve"> March 2020, and with OMB emergency clearance granted on April </w:t>
      </w:r>
      <w:r w:rsidR="00151DF9">
        <w:rPr>
          <w:rFonts w:ascii="Times New Roman" w:hAnsi="Times New Roman" w:eastAsia="Times New Roman" w:cs="Times New Roman"/>
          <w:sz w:val="24"/>
          <w:szCs w:val="24"/>
          <w:lang w:bidi="he-IL"/>
        </w:rPr>
        <w:t>22</w:t>
      </w:r>
      <w:r w:rsidRPr="00740801">
        <w:rPr>
          <w:rFonts w:ascii="Times New Roman" w:hAnsi="Times New Roman" w:eastAsia="Times New Roman" w:cs="Times New Roman"/>
          <w:sz w:val="24"/>
          <w:szCs w:val="24"/>
          <w:lang w:bidi="he-IL"/>
        </w:rPr>
        <w:t>, 2020</w:t>
      </w:r>
      <w:r w:rsidRPr="00740801" w:rsidR="004C03BE">
        <w:rPr>
          <w:rFonts w:ascii="Times New Roman" w:hAnsi="Times New Roman" w:eastAsia="Times New Roman" w:cs="Times New Roman"/>
          <w:sz w:val="24"/>
          <w:szCs w:val="24"/>
          <w:lang w:bidi="he-IL"/>
        </w:rPr>
        <w:t xml:space="preserve"> for </w:t>
      </w:r>
      <w:r w:rsidR="00151DF9">
        <w:rPr>
          <w:rFonts w:ascii="Times New Roman" w:hAnsi="Times New Roman" w:eastAsia="Times New Roman" w:cs="Times New Roman"/>
          <w:sz w:val="24"/>
          <w:szCs w:val="24"/>
          <w:lang w:bidi="he-IL"/>
        </w:rPr>
        <w:t>180 days o</w:t>
      </w:r>
      <w:r w:rsidRPr="00740801" w:rsidR="004C03BE">
        <w:rPr>
          <w:rFonts w:ascii="Times New Roman" w:hAnsi="Times New Roman" w:eastAsia="Times New Roman" w:cs="Times New Roman"/>
          <w:sz w:val="24"/>
          <w:szCs w:val="24"/>
          <w:lang w:bidi="he-IL"/>
        </w:rPr>
        <w:t>f data collection</w:t>
      </w:r>
      <w:r w:rsidRPr="00740801" w:rsidR="009456F5">
        <w:rPr>
          <w:rFonts w:ascii="Times New Roman" w:hAnsi="Times New Roman" w:eastAsia="Times New Roman" w:cs="Times New Roman"/>
          <w:sz w:val="24"/>
          <w:szCs w:val="24"/>
          <w:lang w:bidi="he-IL"/>
        </w:rPr>
        <w:t xml:space="preserve"> (OMB No. 0607-101</w:t>
      </w:r>
      <w:r w:rsidR="00151DF9">
        <w:rPr>
          <w:rFonts w:ascii="Times New Roman" w:hAnsi="Times New Roman" w:eastAsia="Times New Roman" w:cs="Times New Roman"/>
          <w:sz w:val="24"/>
          <w:szCs w:val="24"/>
          <w:lang w:bidi="he-IL"/>
        </w:rPr>
        <w:t>4</w:t>
      </w:r>
      <w:r w:rsidRPr="00740801" w:rsidR="00A86D0E">
        <w:rPr>
          <w:rFonts w:ascii="Times New Roman" w:hAnsi="Times New Roman" w:eastAsia="Times New Roman" w:cs="Times New Roman"/>
          <w:sz w:val="24"/>
          <w:szCs w:val="24"/>
          <w:lang w:bidi="he-IL"/>
        </w:rPr>
        <w:t xml:space="preserve">, Exp. </w:t>
      </w:r>
      <w:r w:rsidR="00151DF9">
        <w:rPr>
          <w:rFonts w:ascii="Times New Roman" w:hAnsi="Times New Roman" w:eastAsia="Times New Roman" w:cs="Times New Roman"/>
          <w:sz w:val="24"/>
          <w:szCs w:val="24"/>
          <w:lang w:bidi="he-IL"/>
        </w:rPr>
        <w:t>10</w:t>
      </w:r>
      <w:r w:rsidRPr="00740801" w:rsidR="00A86D0E">
        <w:rPr>
          <w:rFonts w:ascii="Times New Roman" w:hAnsi="Times New Roman" w:eastAsia="Times New Roman" w:cs="Times New Roman"/>
          <w:sz w:val="24"/>
          <w:szCs w:val="24"/>
          <w:lang w:bidi="he-IL"/>
        </w:rPr>
        <w:t>/31/2020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w:t>
      </w:r>
      <w:r w:rsidR="00151DF9">
        <w:rPr>
          <w:rFonts w:ascii="Times New Roman" w:hAnsi="Times New Roman" w:eastAsia="Times New Roman" w:cs="Times New Roman"/>
          <w:sz w:val="24"/>
          <w:szCs w:val="24"/>
          <w:lang w:bidi="he-IL"/>
        </w:rPr>
        <w:t>Small Business</w:t>
      </w:r>
      <w:r w:rsidRPr="00740801">
        <w:rPr>
          <w:rFonts w:ascii="Times New Roman" w:hAnsi="Times New Roman" w:eastAsia="Times New Roman" w:cs="Times New Roman"/>
          <w:sz w:val="24"/>
          <w:szCs w:val="24"/>
          <w:lang w:bidi="he-IL"/>
        </w:rPr>
        <w:t xml:space="preserve"> Pulse Survey on April 2</w:t>
      </w:r>
      <w:r w:rsidR="005D1D9E">
        <w:rPr>
          <w:rFonts w:ascii="Times New Roman" w:hAnsi="Times New Roman" w:eastAsia="Times New Roman" w:cs="Times New Roman"/>
          <w:sz w:val="24"/>
          <w:szCs w:val="24"/>
          <w:lang w:bidi="he-IL"/>
        </w:rPr>
        <w:t>6</w:t>
      </w:r>
      <w:r w:rsidRPr="00740801">
        <w:rPr>
          <w:rFonts w:ascii="Times New Roman" w:hAnsi="Times New Roman" w:eastAsia="Times New Roman" w:cs="Times New Roman"/>
          <w:sz w:val="24"/>
          <w:szCs w:val="24"/>
          <w:lang w:bidi="he-IL"/>
        </w:rPr>
        <w:t xml:space="preserve">, 2020.  </w:t>
      </w:r>
      <w:r w:rsidRPr="00740801" w:rsidR="00341045">
        <w:rPr>
          <w:rFonts w:ascii="Times New Roman" w:hAnsi="Times New Roman" w:eastAsia="Times New Roman" w:cs="Times New Roman"/>
          <w:sz w:val="24"/>
          <w:szCs w:val="24"/>
          <w:lang w:bidi="he-IL"/>
        </w:rPr>
        <w:t xml:space="preserve">Data were first released on May </w:t>
      </w:r>
      <w:r w:rsidR="00EB58B7">
        <w:rPr>
          <w:rFonts w:ascii="Times New Roman" w:hAnsi="Times New Roman" w:eastAsia="Times New Roman" w:cs="Times New Roman"/>
          <w:sz w:val="24"/>
          <w:szCs w:val="24"/>
          <w:lang w:bidi="he-IL"/>
        </w:rPr>
        <w:t>14</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w:t>
      </w:r>
      <w:r w:rsidR="00611334">
        <w:rPr>
          <w:rFonts w:ascii="Times New Roman" w:hAnsi="Times New Roman" w:eastAsia="Times New Roman" w:cs="Times New Roman"/>
          <w:sz w:val="24"/>
          <w:szCs w:val="24"/>
          <w:lang w:bidi="he-IL"/>
        </w:rPr>
        <w:t>for small businesses</w:t>
      </w:r>
      <w:r w:rsidR="008F4CB0">
        <w:rPr>
          <w:rFonts w:ascii="Times New Roman" w:hAnsi="Times New Roman" w:eastAsia="Times New Roman" w:cs="Times New Roman"/>
          <w:sz w:val="24"/>
          <w:szCs w:val="24"/>
          <w:lang w:bidi="he-IL"/>
        </w:rPr>
        <w:t xml:space="preserve">. </w:t>
      </w:r>
      <w:r w:rsidR="00E131E0">
        <w:rPr>
          <w:rFonts w:ascii="Times New Roman" w:hAnsi="Times New Roman" w:eastAsia="Times New Roman" w:cs="Times New Roman"/>
          <w:sz w:val="24"/>
          <w:szCs w:val="24"/>
          <w:lang w:bidi="he-IL"/>
        </w:rPr>
        <w:t xml:space="preserve">This Information Collection Request (ICR) is submitted for the purposes </w:t>
      </w:r>
      <w:r w:rsidR="0034746B">
        <w:rPr>
          <w:rFonts w:ascii="Times New Roman" w:hAnsi="Times New Roman" w:eastAsia="Times New Roman" w:cs="Times New Roman"/>
          <w:sz w:val="24"/>
          <w:szCs w:val="24"/>
          <w:lang w:bidi="he-IL"/>
        </w:rPr>
        <w:t xml:space="preserve">of requesting regular clearance, which would authorize continued collection of </w:t>
      </w:r>
      <w:r w:rsidR="009C27DC">
        <w:rPr>
          <w:rFonts w:ascii="Times New Roman" w:hAnsi="Times New Roman" w:eastAsia="Times New Roman" w:cs="Times New Roman"/>
          <w:sz w:val="24"/>
          <w:szCs w:val="24"/>
          <w:lang w:bidi="he-IL"/>
        </w:rPr>
        <w:t xml:space="preserve">the Small Business </w:t>
      </w:r>
      <w:r w:rsidR="0034746B">
        <w:rPr>
          <w:rFonts w:ascii="Times New Roman" w:hAnsi="Times New Roman" w:eastAsia="Times New Roman" w:cs="Times New Roman"/>
          <w:sz w:val="24"/>
          <w:szCs w:val="24"/>
          <w:lang w:bidi="he-IL"/>
        </w:rPr>
        <w:t xml:space="preserve">Pulse Survey data </w:t>
      </w:r>
      <w:r w:rsidR="00E131E0">
        <w:rPr>
          <w:rFonts w:ascii="Times New Roman" w:hAnsi="Times New Roman" w:eastAsia="Times New Roman" w:cs="Times New Roman"/>
          <w:sz w:val="24"/>
          <w:szCs w:val="24"/>
          <w:lang w:bidi="he-IL"/>
        </w:rPr>
        <w:t xml:space="preserve">once the emergency clearance expires on October 31, 2020. </w:t>
      </w:r>
      <w:r w:rsidR="00493F37">
        <w:rPr>
          <w:rFonts w:ascii="Times New Roman" w:hAnsi="Times New Roman" w:eastAsia="Times New Roman" w:cs="Times New Roman"/>
          <w:sz w:val="24"/>
          <w:szCs w:val="24"/>
          <w:lang w:bidi="he-IL"/>
        </w:rPr>
        <w:t>The coronavirus</w:t>
      </w:r>
      <w:r w:rsidR="0034746B">
        <w:rPr>
          <w:rFonts w:ascii="Times New Roman" w:hAnsi="Times New Roman" w:eastAsia="Times New Roman" w:cs="Times New Roman"/>
          <w:sz w:val="24"/>
          <w:szCs w:val="24"/>
          <w:lang w:bidi="he-IL"/>
        </w:rPr>
        <w:t xml:space="preserve"> pandemic and the period of recovery from it </w:t>
      </w:r>
      <w:r w:rsidR="00493F37">
        <w:rPr>
          <w:rFonts w:ascii="Times New Roman" w:hAnsi="Times New Roman" w:eastAsia="Times New Roman" w:cs="Times New Roman"/>
          <w:sz w:val="24"/>
          <w:szCs w:val="24"/>
          <w:lang w:bidi="he-IL"/>
        </w:rPr>
        <w:t>continue</w:t>
      </w:r>
      <w:r w:rsidR="00150063">
        <w:rPr>
          <w:rFonts w:ascii="Times New Roman" w:hAnsi="Times New Roman" w:eastAsia="Times New Roman" w:cs="Times New Roman"/>
          <w:sz w:val="24"/>
          <w:szCs w:val="24"/>
          <w:lang w:bidi="he-IL"/>
        </w:rPr>
        <w:t>s</w:t>
      </w:r>
      <w:r w:rsidR="00493F37">
        <w:rPr>
          <w:rFonts w:ascii="Times New Roman" w:hAnsi="Times New Roman" w:eastAsia="Times New Roman" w:cs="Times New Roman"/>
          <w:sz w:val="24"/>
          <w:szCs w:val="24"/>
          <w:lang w:bidi="he-IL"/>
        </w:rPr>
        <w:t>, so</w:t>
      </w:r>
      <w:r w:rsidR="0034746B">
        <w:rPr>
          <w:rFonts w:ascii="Times New Roman" w:hAnsi="Times New Roman" w:eastAsia="Times New Roman" w:cs="Times New Roman"/>
          <w:sz w:val="24"/>
          <w:szCs w:val="24"/>
          <w:lang w:bidi="he-IL"/>
        </w:rPr>
        <w:t xml:space="preserve"> we are requesting clearance to conduct the survey </w:t>
      </w:r>
      <w:r w:rsidRPr="00D52200" w:rsidR="00D52200">
        <w:rPr>
          <w:rFonts w:ascii="Times New Roman" w:hAnsi="Times New Roman" w:eastAsia="Times New Roman" w:cs="Times New Roman"/>
          <w:sz w:val="24"/>
          <w:szCs w:val="24"/>
          <w:lang w:bidi="he-IL"/>
        </w:rPr>
        <w:t>beyond the emergency clearance expiration</w:t>
      </w:r>
      <w:r w:rsidR="00D52200">
        <w:rPr>
          <w:rFonts w:ascii="Times New Roman" w:hAnsi="Times New Roman" w:eastAsia="Times New Roman" w:cs="Times New Roman"/>
          <w:sz w:val="24"/>
          <w:szCs w:val="24"/>
          <w:lang w:bidi="he-IL"/>
        </w:rPr>
        <w:t>.</w:t>
      </w:r>
    </w:p>
    <w:p w:rsidR="009C27DC" w:rsidP="00AC36BA" w:rsidRDefault="00A42D65" w14:paraId="7FDE8178" w14:textId="285EC4A6">
      <w:pPr>
        <w:spacing w:after="0" w:line="240" w:lineRule="auto"/>
        <w:rPr>
          <w:rFonts w:ascii="Times New Roman" w:hAnsi="Times New Roman" w:eastAsia="Times New Roman" w:cs="Times New Roman"/>
          <w:sz w:val="24"/>
          <w:szCs w:val="24"/>
          <w:lang w:bidi="he-IL"/>
        </w:rPr>
      </w:pPr>
      <w:r w:rsidRPr="00A42D65">
        <w:rPr>
          <w:rFonts w:ascii="Times New Roman" w:hAnsi="Times New Roman" w:eastAsia="Times New Roman" w:cs="Times New Roman"/>
          <w:sz w:val="24"/>
          <w:szCs w:val="24"/>
          <w:lang w:bidi="he-IL"/>
        </w:rPr>
        <w:t xml:space="preserve">For the purposes of referencing prior ICRs, we refer to the initial approval by OMB to conduct the Small Business Pulse Survey as “Phase 1” (April – June, 2020), and the second approved clearance as “Phase 2” (August – October, 2020). </w:t>
      </w:r>
      <w:r w:rsidRPr="00B37F0A" w:rsidR="00B37F0A">
        <w:rPr>
          <w:rFonts w:ascii="Times New Roman" w:hAnsi="Times New Roman" w:eastAsia="Times New Roman" w:cs="Times New Roman"/>
          <w:sz w:val="24"/>
          <w:szCs w:val="24"/>
          <w:lang w:bidi="he-IL"/>
        </w:rPr>
        <w:t>This ICR requests regular (non-emergency) approval to conduct “Phase 3”, starting November, 2020. The first cycle of Phase 3 is proposed to begin November, 2020 and end January</w:t>
      </w:r>
      <w:r w:rsidR="00150063">
        <w:rPr>
          <w:rFonts w:ascii="Times New Roman" w:hAnsi="Times New Roman" w:eastAsia="Times New Roman" w:cs="Times New Roman"/>
          <w:sz w:val="24"/>
          <w:szCs w:val="24"/>
          <w:lang w:bidi="he-IL"/>
        </w:rPr>
        <w:t>,</w:t>
      </w:r>
      <w:r w:rsidRPr="00B37F0A" w:rsidR="00B37F0A">
        <w:rPr>
          <w:rFonts w:ascii="Times New Roman" w:hAnsi="Times New Roman" w:eastAsia="Times New Roman" w:cs="Times New Roman"/>
          <w:sz w:val="24"/>
          <w:szCs w:val="24"/>
          <w:lang w:bidi="he-IL"/>
        </w:rPr>
        <w:t xml:space="preserve"> 2020. Then, the Census Bureau plans for a break of </w:t>
      </w:r>
      <w:r w:rsidR="00B31610">
        <w:rPr>
          <w:rFonts w:ascii="Times New Roman" w:hAnsi="Times New Roman" w:eastAsia="Times New Roman" w:cs="Times New Roman"/>
          <w:sz w:val="24"/>
          <w:szCs w:val="24"/>
          <w:lang w:bidi="he-IL"/>
        </w:rPr>
        <w:t xml:space="preserve">at least </w:t>
      </w:r>
      <w:r w:rsidRPr="00B37F0A" w:rsidR="00B37F0A">
        <w:rPr>
          <w:rFonts w:ascii="Times New Roman" w:hAnsi="Times New Roman" w:eastAsia="Times New Roman" w:cs="Times New Roman"/>
          <w:sz w:val="24"/>
          <w:szCs w:val="24"/>
          <w:lang w:bidi="he-IL"/>
        </w:rPr>
        <w:t>4 weeks to afford for evaluation</w:t>
      </w:r>
      <w:r w:rsidR="008418FE">
        <w:rPr>
          <w:rFonts w:ascii="Times New Roman" w:hAnsi="Times New Roman" w:eastAsia="Times New Roman" w:cs="Times New Roman"/>
          <w:sz w:val="24"/>
          <w:szCs w:val="24"/>
          <w:lang w:bidi="he-IL"/>
        </w:rPr>
        <w:t>.</w:t>
      </w:r>
      <w:r w:rsidRPr="00B37F0A" w:rsidR="00B37F0A">
        <w:rPr>
          <w:rFonts w:ascii="Times New Roman" w:hAnsi="Times New Roman" w:eastAsia="Times New Roman" w:cs="Times New Roman"/>
          <w:sz w:val="24"/>
          <w:szCs w:val="24"/>
          <w:lang w:bidi="he-IL"/>
        </w:rPr>
        <w:t xml:space="preserve"> </w:t>
      </w:r>
    </w:p>
    <w:p w:rsidR="00A42D65" w:rsidP="00AC36BA" w:rsidRDefault="00A42D65" w14:paraId="597A11D5" w14:textId="77777777">
      <w:pPr>
        <w:spacing w:after="0" w:line="240" w:lineRule="auto"/>
        <w:rPr>
          <w:rFonts w:ascii="Times New Roman" w:hAnsi="Times New Roman" w:eastAsia="Times New Roman" w:cs="Times New Roman"/>
          <w:sz w:val="24"/>
          <w:szCs w:val="24"/>
          <w:lang w:bidi="he-IL"/>
        </w:rPr>
      </w:pPr>
    </w:p>
    <w:p w:rsidRPr="00740801" w:rsidR="00840A78" w:rsidP="00AC36BA" w:rsidRDefault="003E21F1" w14:paraId="0FACA7C4" w14:textId="20430F0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Given the rapid response nature of this survey, the Census Bureau continued to make adjustments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w:t>
      </w:r>
      <w:r w:rsidR="00C70178">
        <w:rPr>
          <w:rFonts w:ascii="Times New Roman" w:hAnsi="Times New Roman" w:eastAsia="Times New Roman" w:cs="Times New Roman"/>
          <w:sz w:val="24"/>
          <w:szCs w:val="24"/>
          <w:lang w:bidi="he-IL"/>
        </w:rPr>
        <w:t>Small Business</w:t>
      </w:r>
      <w:r w:rsidRPr="00740801" w:rsidR="00C70178">
        <w:rPr>
          <w:rFonts w:ascii="Times New Roman" w:hAnsi="Times New Roman" w:eastAsia="Times New Roman" w:cs="Times New Roman"/>
          <w:sz w:val="24"/>
          <w:szCs w:val="24"/>
          <w:lang w:bidi="he-IL"/>
        </w:rPr>
        <w:t xml:space="preserve"> </w:t>
      </w:r>
      <w:r w:rsidRPr="00740801" w:rsidR="00264862">
        <w:rPr>
          <w:rFonts w:ascii="Times New Roman" w:hAnsi="Times New Roman" w:eastAsia="Times New Roman" w:cs="Times New Roman"/>
          <w:sz w:val="24"/>
          <w:szCs w:val="24"/>
          <w:lang w:bidi="he-IL"/>
        </w:rPr>
        <w:t xml:space="preserve">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Pr="00740801" w:rsidR="00802877">
        <w:rPr>
          <w:rFonts w:ascii="Times New Roman" w:hAnsi="Times New Roman" w:eastAsia="Times New Roman" w:cs="Times New Roman"/>
          <w:sz w:val="24"/>
          <w:szCs w:val="24"/>
          <w:lang w:bidi="he-IL"/>
        </w:rPr>
        <w:t>changing the survey on a co</w:t>
      </w:r>
      <w:r w:rsidRPr="00740801" w:rsidR="00264862">
        <w:rPr>
          <w:rFonts w:ascii="Times New Roman" w:hAnsi="Times New Roman" w:eastAsia="Times New Roman" w:cs="Times New Roman"/>
          <w:sz w:val="24"/>
          <w:szCs w:val="24"/>
          <w:lang w:bidi="he-IL"/>
        </w:rPr>
        <w:t>ntinuous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493F37">
        <w:rPr>
          <w:rFonts w:ascii="Times New Roman" w:hAnsi="Times New Roman" w:eastAsia="Times New Roman" w:cs="Times New Roman"/>
          <w:sz w:val="24"/>
          <w:szCs w:val="24"/>
          <w:lang w:bidi="he-IL"/>
        </w:rPr>
        <w:t>was</w:t>
      </w:r>
      <w:r w:rsidR="0034746B">
        <w:rPr>
          <w:rFonts w:ascii="Times New Roman" w:hAnsi="Times New Roman" w:eastAsia="Times New Roman" w:cs="Times New Roman"/>
          <w:sz w:val="24"/>
          <w:szCs w:val="24"/>
          <w:lang w:bidi="he-IL"/>
        </w:rPr>
        <w:t xml:space="preserve"> launched in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AC36BA" w:rsidR="00C85C0D" w:rsidP="00AC36BA" w:rsidRDefault="00C85C0D" w14:paraId="1C94339F" w14:textId="5356578B">
      <w:pPr>
        <w:spacing w:line="240" w:lineRule="auto"/>
        <w:textAlignment w:val="baseline"/>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lastRenderedPageBreak/>
        <w:t xml:space="preserve">The Census Bureau’s approach to Phase 3 will be </w:t>
      </w:r>
      <w:r w:rsidR="00D4547F">
        <w:rPr>
          <w:rFonts w:ascii="Times New Roman" w:hAnsi="Times New Roman" w:eastAsia="Times New Roman" w:cs="Times New Roman"/>
          <w:sz w:val="24"/>
          <w:szCs w:val="24"/>
          <w:lang w:bidi="he-IL"/>
        </w:rPr>
        <w:t xml:space="preserve">similar </w:t>
      </w:r>
      <w:r>
        <w:rPr>
          <w:rFonts w:ascii="Times New Roman" w:hAnsi="Times New Roman" w:eastAsia="Times New Roman" w:cs="Times New Roman"/>
          <w:sz w:val="24"/>
          <w:szCs w:val="24"/>
          <w:lang w:bidi="he-IL"/>
        </w:rPr>
        <w:t xml:space="preserve">to Phase 2, including the content, contact strategies, </w:t>
      </w:r>
      <w:r w:rsidR="00D6456E">
        <w:rPr>
          <w:rFonts w:ascii="Times New Roman" w:hAnsi="Times New Roman" w:eastAsia="Times New Roman" w:cs="Times New Roman"/>
          <w:sz w:val="24"/>
          <w:szCs w:val="24"/>
          <w:lang w:bidi="he-IL"/>
        </w:rPr>
        <w:t xml:space="preserve">mode, </w:t>
      </w:r>
      <w:r>
        <w:rPr>
          <w:rFonts w:ascii="Times New Roman" w:hAnsi="Times New Roman" w:eastAsia="Times New Roman" w:cs="Times New Roman"/>
          <w:sz w:val="24"/>
          <w:szCs w:val="24"/>
          <w:lang w:bidi="he-IL"/>
        </w:rPr>
        <w:t>data collection cycle and sampling approach.  However, we will continue to monitor data needs over the course of the pandemic and its recovery</w:t>
      </w:r>
      <w:r w:rsidR="00D6456E">
        <w:rPr>
          <w:rFonts w:ascii="Times New Roman" w:hAnsi="Times New Roman" w:eastAsia="Times New Roman" w:cs="Times New Roman"/>
          <w:sz w:val="24"/>
          <w:szCs w:val="24"/>
          <w:lang w:bidi="he-IL"/>
        </w:rPr>
        <w:t xml:space="preserve">.  </w:t>
      </w:r>
      <w:r w:rsidRPr="00AC36BA" w:rsidR="00D6456E">
        <w:rPr>
          <w:rFonts w:ascii="Times New Roman" w:hAnsi="Times New Roman" w:eastAsia="Times New Roman" w:cs="Times New Roman"/>
          <w:sz w:val="24"/>
          <w:szCs w:val="24"/>
          <w:lang w:bidi="he-IL"/>
        </w:rPr>
        <w:t xml:space="preserve">Should changes be warranted in questionnaire content or other aspects of the survey, the Census Bureau will pursue </w:t>
      </w:r>
      <w:r w:rsidRPr="00AC36BA">
        <w:rPr>
          <w:rFonts w:ascii="Times New Roman" w:hAnsi="Times New Roman" w:eastAsia="Times New Roman" w:cs="Times New Roman"/>
          <w:sz w:val="24"/>
          <w:szCs w:val="24"/>
          <w:lang w:bidi="he-IL"/>
        </w:rPr>
        <w:t xml:space="preserve">approval from OMB </w:t>
      </w:r>
      <w:r w:rsidRPr="00AC36BA" w:rsidR="00D6456E">
        <w:rPr>
          <w:rFonts w:ascii="Times New Roman" w:hAnsi="Times New Roman" w:eastAsia="Times New Roman" w:cs="Times New Roman"/>
          <w:sz w:val="24"/>
          <w:szCs w:val="24"/>
          <w:lang w:bidi="he-IL"/>
        </w:rPr>
        <w:t xml:space="preserve">for such changes through </w:t>
      </w:r>
      <w:r w:rsidR="00B31610">
        <w:rPr>
          <w:rFonts w:ascii="Times New Roman" w:hAnsi="Times New Roman" w:eastAsia="Times New Roman" w:cs="Times New Roman"/>
          <w:sz w:val="24"/>
          <w:szCs w:val="24"/>
          <w:lang w:bidi="he-IL"/>
        </w:rPr>
        <w:t>the process described in Supporting Statement A</w:t>
      </w:r>
      <w:r w:rsidRPr="0049003D" w:rsidR="0049003D">
        <w:rPr>
          <w:rFonts w:ascii="Times New Roman" w:hAnsi="Times New Roman" w:eastAsia="Times New Roman" w:cs="Times New Roman"/>
          <w:sz w:val="24"/>
          <w:szCs w:val="24"/>
          <w:lang w:bidi="he-IL"/>
        </w:rPr>
        <w:t>.</w:t>
      </w:r>
    </w:p>
    <w:p w:rsidRPr="00740801" w:rsidR="00A23B6E" w:rsidP="00AC36BA" w:rsidRDefault="00573A31" w14:paraId="74660F8A" w14:textId="6DE8E00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w:t>
      </w:r>
      <w:r w:rsidR="00C85C0D">
        <w:rPr>
          <w:rFonts w:ascii="Times New Roman" w:hAnsi="Times New Roman" w:eastAsia="Times New Roman" w:cs="Times New Roman"/>
          <w:sz w:val="24"/>
          <w:szCs w:val="24"/>
          <w:lang w:bidi="he-IL"/>
        </w:rPr>
        <w:t>in Phases 1 and 2</w:t>
      </w:r>
      <w:r w:rsidRPr="00740801">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 xml:space="preserve">we will provide all information about sampling, weighting, post-survey processing, and cognitive testing results on our website to maximize transparency for the public.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FC5683" w:rsidR="00B322A3" w:rsidP="00D71531" w:rsidRDefault="000C0F61" w14:paraId="669E28FA" w14:textId="7F1EBC78">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Pr="00740801" w:rsidR="00080146" w:rsidP="00FC5683" w:rsidRDefault="00080146" w14:paraId="593150A3" w14:textId="77777777">
      <w:pPr>
        <w:pStyle w:val="ListParagraph"/>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eastAsia="Times New Roman" w:cs="Times New Roman"/>
          <w:sz w:val="24"/>
          <w:szCs w:val="24"/>
          <w:lang w:bidi="he-IL"/>
        </w:rPr>
      </w:pPr>
    </w:p>
    <w:p w:rsidR="001F01AF" w:rsidP="00FC5683" w:rsidRDefault="001F01AF" w14:paraId="6B790722" w14:textId="34412CBB">
      <w:pPr>
        <w:pStyle w:val="paragraph"/>
        <w:ind w:left="900"/>
        <w:textAlignment w:val="baseline"/>
        <w:rPr>
          <w:rStyle w:val="eop"/>
        </w:rPr>
      </w:pPr>
      <w:r w:rsidRPr="00FC5683">
        <w:rPr>
          <w:rStyle w:val="eop"/>
        </w:rPr>
        <w:t>The target population is all non-farm, single-location employer businesses (receipts ≥ $1,000) with 1-499 employees in the 50 states, DC and Puerto Rico, and in industries covered in the Economic Census. The Business Register contains validated e-mail addresses for</w:t>
      </w:r>
      <w:r w:rsidR="003B262B">
        <w:rPr>
          <w:rStyle w:val="eop"/>
        </w:rPr>
        <w:t xml:space="preserve"> approximately</w:t>
      </w:r>
      <w:r w:rsidRPr="00FC5683">
        <w:rPr>
          <w:rStyle w:val="eop"/>
        </w:rPr>
        <w:t xml:space="preserve"> </w:t>
      </w:r>
      <w:r w:rsidR="003B262B">
        <w:rPr>
          <w:rStyle w:val="eop"/>
        </w:rPr>
        <w:t>940</w:t>
      </w:r>
      <w:r w:rsidR="00F23393">
        <w:rPr>
          <w:rStyle w:val="eop"/>
        </w:rPr>
        <w:t>k</w:t>
      </w:r>
      <w:r w:rsidRPr="00FC5683">
        <w:rPr>
          <w:rStyle w:val="eop"/>
        </w:rPr>
        <w:t xml:space="preserve"> businesses in the target population.</w:t>
      </w:r>
      <w:r w:rsidR="00D6174B">
        <w:rPr>
          <w:rStyle w:val="eop"/>
        </w:rPr>
        <w:t xml:space="preserve"> </w:t>
      </w:r>
      <w:r w:rsidRPr="00FC5683">
        <w:rPr>
          <w:rStyle w:val="eop"/>
        </w:rPr>
        <w:t xml:space="preserve">These email addresses </w:t>
      </w:r>
      <w:r w:rsidR="00856541">
        <w:rPr>
          <w:rStyle w:val="eop"/>
        </w:rPr>
        <w:t>were</w:t>
      </w:r>
      <w:r w:rsidRPr="00FC5683">
        <w:rPr>
          <w:rStyle w:val="eop"/>
        </w:rPr>
        <w:t xml:space="preserve"> updated and supplemented with emails collected via other means, such as the Census Bureau’s Customer Respondent Management tool used for respondent communication across economic surveys, to identify the best contact for the business. For further discussion of the target population and use of e</w:t>
      </w:r>
      <w:r w:rsidRPr="00FC5683" w:rsidR="001B2489">
        <w:rPr>
          <w:rStyle w:val="eop"/>
        </w:rPr>
        <w:t xml:space="preserve">mail address, see Attachment </w:t>
      </w:r>
      <w:r w:rsidR="003672C4">
        <w:rPr>
          <w:rStyle w:val="eop"/>
        </w:rPr>
        <w:t>D</w:t>
      </w:r>
      <w:r w:rsidRPr="00FC5683" w:rsidR="001B2489">
        <w:rPr>
          <w:rStyle w:val="eop"/>
        </w:rPr>
        <w:t>.</w:t>
      </w:r>
    </w:p>
    <w:p w:rsidR="00E272BF" w:rsidP="00FC5683" w:rsidRDefault="00E272BF" w14:paraId="73587A11" w14:textId="77777777">
      <w:pPr>
        <w:pStyle w:val="paragraph"/>
        <w:ind w:left="900"/>
        <w:textAlignment w:val="baseline"/>
        <w:rPr>
          <w:rStyle w:val="eop"/>
        </w:rPr>
      </w:pPr>
    </w:p>
    <w:p w:rsidRPr="00FC5683" w:rsidR="00E272BF" w:rsidP="00FC5683" w:rsidRDefault="00E272BF" w14:paraId="19A9AD59" w14:textId="55CAA9CC">
      <w:pPr>
        <w:pStyle w:val="paragraph"/>
        <w:ind w:left="900"/>
        <w:textAlignment w:val="baseline"/>
        <w:rPr>
          <w:rStyle w:val="eop"/>
        </w:rPr>
      </w:pPr>
      <w:r w:rsidRPr="00B31610">
        <w:rPr>
          <w:rStyle w:val="eop"/>
        </w:rPr>
        <w:t xml:space="preserve">The full e-mail sample was subdivided into the same nine groups determined for Phases 1 and 2.  Units responding in Phase 1 or 2 as permanently out of business or identified as out of scope to the survey were removed from the Phase 3 sample.  The businesses in each Phase 3 group (approximately </w:t>
      </w:r>
      <w:r w:rsidR="009306A2">
        <w:rPr>
          <w:rStyle w:val="eop"/>
        </w:rPr>
        <w:t>100,000</w:t>
      </w:r>
      <w:r w:rsidRPr="00B31610">
        <w:rPr>
          <w:rStyle w:val="eop"/>
        </w:rPr>
        <w:t xml:space="preserve"> units) will receive an email with a survey link one week out of the nine week data collection period.  This collection minimizes respondent burden while also providing the data needed to publish estimates by industry and geography.  Weighting class adjustments are applied to the sample so that each week's sample is representative of the universe.  The init</w:t>
      </w:r>
      <w:r w:rsidR="002E79C1">
        <w:rPr>
          <w:rStyle w:val="eop"/>
        </w:rPr>
        <w:t>i</w:t>
      </w:r>
      <w:r w:rsidRPr="00B31610">
        <w:rPr>
          <w:rStyle w:val="eop"/>
        </w:rPr>
        <w:t>al weight for each unit is set to the count of the total number of in-scope units in the universe (cases with and without email addresses) in the same state by 3-digit NAICS industry, divided by the number of the units in the same grouping with an email address.  Non-response adjustments are also applied to account for unit nonresponse.  Within each 2-digit NAICS, nonresponse adjustment factors are calculated for businesses by three employment size classes, to account for differential response by business size:  4 or fewer employees</w:t>
      </w:r>
      <w:r w:rsidR="00150063">
        <w:rPr>
          <w:rStyle w:val="eop"/>
        </w:rPr>
        <w:t>;</w:t>
      </w:r>
      <w:r w:rsidRPr="00B31610">
        <w:rPr>
          <w:rStyle w:val="eop"/>
        </w:rPr>
        <w:t xml:space="preserve"> between 5 and 19 employees; and 20 or more employees.  For a particular week, the nonresponse adjustment factors are the sum of the sampling weights of all businesses in the weekly panel divided by the sum of the sampling weights of all responding businesses in period.  These factors are applied to adjust the sampling weights for all respondents in the same adjustment cell.  </w:t>
      </w:r>
    </w:p>
    <w:p w:rsidRPr="00FC5683" w:rsidR="001F01AF" w:rsidP="00FC5683" w:rsidRDefault="001F01AF" w14:paraId="1D138164" w14:textId="77777777">
      <w:pPr>
        <w:pStyle w:val="paragraph"/>
        <w:ind w:left="900"/>
        <w:textAlignment w:val="baseline"/>
        <w:rPr>
          <w:rStyle w:val="eop"/>
        </w:rPr>
      </w:pP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00B322A3" w:rsidP="00D71531" w:rsidRDefault="00C53E42" w14:paraId="1F16306C" w14:textId="73DBA79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 xml:space="preserve">  Procedures for Collecting Information</w:t>
      </w:r>
    </w:p>
    <w:p w:rsidRPr="00740801" w:rsidR="00080146" w:rsidP="00FC5683" w:rsidRDefault="00080146" w14:paraId="4CBA12C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eastAsia="Times New Roman" w:cs="Times New Roman"/>
          <w:b/>
          <w:sz w:val="24"/>
          <w:szCs w:val="24"/>
          <w:lang w:bidi="he-IL"/>
        </w:rPr>
      </w:pPr>
    </w:p>
    <w:p w:rsidRPr="0093023F" w:rsidR="0093023F" w:rsidP="00FC5683" w:rsidRDefault="0093023F" w14:paraId="14E9F9CE" w14:textId="5E25798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r w:rsidRPr="0093023F">
        <w:rPr>
          <w:rStyle w:val="eop"/>
          <w:rFonts w:ascii="Times New Roman" w:hAnsi="Times New Roman" w:eastAsia="Times New Roman" w:cs="Times New Roman"/>
          <w:sz w:val="24"/>
          <w:szCs w:val="24"/>
        </w:rPr>
        <w:lastRenderedPageBreak/>
        <w:t>Businesses will be contacted via email based on known email addresses that have been collected across economic programs. The sample will be split so that ~100,000 different respondents are selected weekly to reduce burden and survey fatigue.  Emails will be delivered in increments of 25,000</w:t>
      </w:r>
      <w:r w:rsidR="003A7D33">
        <w:rPr>
          <w:rStyle w:val="eop"/>
          <w:rFonts w:ascii="Times New Roman" w:hAnsi="Times New Roman" w:eastAsia="Times New Roman" w:cs="Times New Roman"/>
          <w:sz w:val="24"/>
          <w:szCs w:val="24"/>
        </w:rPr>
        <w:t xml:space="preserve"> every Monday</w:t>
      </w:r>
      <w:r w:rsidRPr="0093023F">
        <w:rPr>
          <w:rStyle w:val="eop"/>
          <w:rFonts w:ascii="Times New Roman" w:hAnsi="Times New Roman" w:eastAsia="Times New Roman" w:cs="Times New Roman"/>
          <w:sz w:val="24"/>
          <w:szCs w:val="24"/>
        </w:rPr>
        <w:t xml:space="preserve"> between the hours of </w:t>
      </w:r>
      <w:r w:rsidR="00856541">
        <w:rPr>
          <w:rStyle w:val="eop"/>
          <w:rFonts w:ascii="Times New Roman" w:hAnsi="Times New Roman" w:eastAsia="Times New Roman" w:cs="Times New Roman"/>
          <w:sz w:val="24"/>
          <w:szCs w:val="24"/>
        </w:rPr>
        <w:t>6</w:t>
      </w:r>
      <w:r w:rsidRPr="0093023F" w:rsidR="00856541">
        <w:rPr>
          <w:rStyle w:val="eop"/>
          <w:rFonts w:ascii="Times New Roman" w:hAnsi="Times New Roman" w:eastAsia="Times New Roman" w:cs="Times New Roman"/>
          <w:sz w:val="24"/>
          <w:szCs w:val="24"/>
        </w:rPr>
        <w:t>AM</w:t>
      </w:r>
      <w:r w:rsidRPr="0093023F">
        <w:rPr>
          <w:rStyle w:val="eop"/>
          <w:rFonts w:ascii="Times New Roman" w:hAnsi="Times New Roman" w:eastAsia="Times New Roman" w:cs="Times New Roman"/>
          <w:sz w:val="24"/>
          <w:szCs w:val="24"/>
        </w:rPr>
        <w:t>-</w:t>
      </w:r>
      <w:r w:rsidR="00856541">
        <w:rPr>
          <w:rStyle w:val="eop"/>
          <w:rFonts w:ascii="Times New Roman" w:hAnsi="Times New Roman" w:eastAsia="Times New Roman" w:cs="Times New Roman"/>
          <w:sz w:val="24"/>
          <w:szCs w:val="24"/>
        </w:rPr>
        <w:t>8</w:t>
      </w:r>
      <w:r w:rsidRPr="0093023F" w:rsidR="00856541">
        <w:rPr>
          <w:rStyle w:val="eop"/>
          <w:rFonts w:ascii="Times New Roman" w:hAnsi="Times New Roman" w:eastAsia="Times New Roman" w:cs="Times New Roman"/>
          <w:sz w:val="24"/>
          <w:szCs w:val="24"/>
        </w:rPr>
        <w:t xml:space="preserve">PM </w:t>
      </w:r>
      <w:r w:rsidR="00A32789">
        <w:rPr>
          <w:rStyle w:val="eop"/>
          <w:rFonts w:ascii="Times New Roman" w:hAnsi="Times New Roman" w:eastAsia="Times New Roman" w:cs="Times New Roman"/>
          <w:sz w:val="24"/>
          <w:szCs w:val="24"/>
        </w:rPr>
        <w:t>over a</w:t>
      </w:r>
      <w:r w:rsidRPr="0093023F">
        <w:rPr>
          <w:rStyle w:val="eop"/>
          <w:rFonts w:ascii="Times New Roman" w:hAnsi="Times New Roman" w:eastAsia="Times New Roman" w:cs="Times New Roman"/>
          <w:sz w:val="24"/>
          <w:szCs w:val="24"/>
        </w:rPr>
        <w:t xml:space="preserve"> nine week</w:t>
      </w:r>
      <w:r w:rsidR="00A32789">
        <w:rPr>
          <w:rStyle w:val="eop"/>
          <w:rFonts w:ascii="Times New Roman" w:hAnsi="Times New Roman" w:eastAsia="Times New Roman" w:cs="Times New Roman"/>
          <w:sz w:val="24"/>
          <w:szCs w:val="24"/>
        </w:rPr>
        <w:t xml:space="preserve"> period</w:t>
      </w:r>
      <w:r w:rsidRPr="0093023F">
        <w:rPr>
          <w:rStyle w:val="eop"/>
          <w:rFonts w:ascii="Times New Roman" w:hAnsi="Times New Roman" w:eastAsia="Times New Roman" w:cs="Times New Roman"/>
          <w:sz w:val="24"/>
          <w:szCs w:val="24"/>
        </w:rPr>
        <w:t>. An hour will be allowed for the delivery of the 25,000 emails and an hour will be allowed after the conclusion of the sending batch to gauge optimal timing of email delivery.  The respondent can respond at any point</w:t>
      </w:r>
      <w:r w:rsidR="004661F1">
        <w:rPr>
          <w:rStyle w:val="eop"/>
          <w:rFonts w:ascii="Times New Roman" w:hAnsi="Times New Roman" w:eastAsia="Times New Roman" w:cs="Times New Roman"/>
          <w:sz w:val="24"/>
          <w:szCs w:val="24"/>
        </w:rPr>
        <w:t xml:space="preserve"> during the nine week phase</w:t>
      </w:r>
      <w:r w:rsidRPr="0093023F">
        <w:rPr>
          <w:rStyle w:val="eop"/>
          <w:rFonts w:ascii="Times New Roman" w:hAnsi="Times New Roman" w:eastAsia="Times New Roman" w:cs="Times New Roman"/>
          <w:sz w:val="24"/>
          <w:szCs w:val="24"/>
        </w:rPr>
        <w:t xml:space="preserve">, but their response will be allocated to the week in which they responded. (The methodology to describe how we will handle this allowance in producing the estimates is available in Attachment </w:t>
      </w:r>
      <w:r w:rsidR="003672C4">
        <w:rPr>
          <w:rStyle w:val="eop"/>
          <w:rFonts w:ascii="Times New Roman" w:hAnsi="Times New Roman" w:eastAsia="Times New Roman" w:cs="Times New Roman"/>
          <w:sz w:val="24"/>
          <w:szCs w:val="24"/>
        </w:rPr>
        <w:t>D</w:t>
      </w:r>
      <w:r w:rsidRPr="0093023F">
        <w:rPr>
          <w:rStyle w:val="eop"/>
          <w:rFonts w:ascii="Times New Roman" w:hAnsi="Times New Roman" w:eastAsia="Times New Roman" w:cs="Times New Roman"/>
          <w:sz w:val="24"/>
          <w:szCs w:val="24"/>
        </w:rPr>
        <w:t xml:space="preserve">.)  The email will include a Thursday due date. Businesses that have not responded before Wednesday morning will receive a due date reminder email on Wednesday. </w:t>
      </w:r>
    </w:p>
    <w:p w:rsidRPr="0093023F" w:rsidR="0093023F" w:rsidP="00FC5683" w:rsidRDefault="0093023F" w14:paraId="6F21112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p>
    <w:p w:rsidR="004164D7" w:rsidP="00D71531" w:rsidRDefault="0093023F" w14:paraId="750CF9BC" w14:textId="3D767480">
      <w:pPr>
        <w:pStyle w:val="paragraph"/>
        <w:ind w:left="900"/>
        <w:textAlignment w:val="baseline"/>
        <w:rPr>
          <w:rStyle w:val="eop"/>
        </w:rPr>
      </w:pPr>
      <w:r w:rsidRPr="0093023F">
        <w:rPr>
          <w:rStyle w:val="eop"/>
        </w:rPr>
        <w:t xml:space="preserve">Data collection for the </w:t>
      </w:r>
      <w:r w:rsidR="008314C6">
        <w:rPr>
          <w:rStyle w:val="eop"/>
        </w:rPr>
        <w:t>Small Business Pulse Survey</w:t>
      </w:r>
      <w:r w:rsidR="007773A9">
        <w:rPr>
          <w:rStyle w:val="eop"/>
        </w:rPr>
        <w:t xml:space="preserve"> </w:t>
      </w:r>
      <w:r w:rsidRPr="0093023F">
        <w:rPr>
          <w:rStyle w:val="eop"/>
        </w:rPr>
        <w:t>will be conducted using an initial email invitation to the in-scope population</w:t>
      </w:r>
      <w:r w:rsidR="0061619C">
        <w:rPr>
          <w:rStyle w:val="eop"/>
        </w:rPr>
        <w:t xml:space="preserve"> (Attachment </w:t>
      </w:r>
      <w:r w:rsidR="001B7689">
        <w:rPr>
          <w:rStyle w:val="eop"/>
        </w:rPr>
        <w:t>B)</w:t>
      </w:r>
      <w:r w:rsidRPr="0093023F">
        <w:rPr>
          <w:rStyle w:val="eop"/>
        </w:rPr>
        <w:t>.  The email invitation will describe the purpose of the survey collection and will contain the authentication code that is linked to the business’s EIN in our internal database.  The website address will direct respondents to a landing page that provides motivational text to encourage response, links to releases of the data products, and a direct link to the Centurion landing page to respond to the survey.</w:t>
      </w:r>
    </w:p>
    <w:p w:rsidR="004164D7" w:rsidP="00D71531" w:rsidRDefault="004164D7" w14:paraId="599B254E" w14:textId="77777777">
      <w:pPr>
        <w:pStyle w:val="paragraph"/>
        <w:ind w:left="900"/>
        <w:textAlignment w:val="baseline"/>
        <w:rPr>
          <w:rStyle w:val="eop"/>
        </w:rPr>
      </w:pPr>
    </w:p>
    <w:p w:rsidRPr="004164D7" w:rsidR="004164D7" w:rsidP="00CD62BF" w:rsidRDefault="004164D7" w14:paraId="46FF9BC5" w14:textId="77777777">
      <w:pPr>
        <w:pStyle w:val="paragraph"/>
        <w:ind w:left="900"/>
        <w:textAlignment w:val="baseline"/>
      </w:pPr>
      <w:r w:rsidRPr="004164D7">
        <w:t xml:space="preserve">The data collection schedule by week with corresponding due dates is as follows: </w:t>
      </w:r>
    </w:p>
    <w:p w:rsidRPr="004164D7" w:rsidR="004164D7" w:rsidP="004164D7" w:rsidRDefault="004164D7" w14:paraId="5707A484" w14:textId="77777777">
      <w:pPr>
        <w:spacing w:after="0" w:line="240" w:lineRule="auto"/>
        <w:ind w:left="720"/>
        <w:textAlignment w:val="baseline"/>
        <w:rPr>
          <w:rFonts w:ascii="Times New Roman" w:hAnsi="Times New Roman" w:eastAsia="Times New Roman" w:cs="Calibri"/>
          <w:color w:val="000000"/>
          <w:sz w:val="24"/>
          <w:szCs w:val="24"/>
        </w:rPr>
      </w:pPr>
    </w:p>
    <w:tbl>
      <w:tblPr>
        <w:tblW w:w="0" w:type="auto"/>
        <w:tblInd w:w="8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1530"/>
        <w:gridCol w:w="3827"/>
        <w:gridCol w:w="1620"/>
      </w:tblGrid>
      <w:tr w:rsidRPr="004164D7" w:rsidR="004164D7" w:rsidTr="00CD62BF" w14:paraId="1AD67CE6" w14:textId="77777777">
        <w:tc>
          <w:tcPr>
            <w:tcW w:w="1530" w:type="dxa"/>
            <w:tcMar>
              <w:top w:w="0" w:type="dxa"/>
              <w:left w:w="108" w:type="dxa"/>
              <w:bottom w:w="0" w:type="dxa"/>
              <w:right w:w="108" w:type="dxa"/>
            </w:tcMar>
            <w:vAlign w:val="center"/>
            <w:hideMark/>
          </w:tcPr>
          <w:p w:rsidRPr="00CD62BF" w:rsidR="004164D7" w:rsidP="004164D7" w:rsidRDefault="004164D7" w14:paraId="5B3F2E86"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Reference Week</w:t>
            </w:r>
          </w:p>
        </w:tc>
        <w:tc>
          <w:tcPr>
            <w:tcW w:w="3827" w:type="dxa"/>
            <w:tcMar>
              <w:top w:w="0" w:type="dxa"/>
              <w:left w:w="108" w:type="dxa"/>
              <w:bottom w:w="0" w:type="dxa"/>
              <w:right w:w="108" w:type="dxa"/>
            </w:tcMar>
            <w:vAlign w:val="center"/>
            <w:hideMark/>
          </w:tcPr>
          <w:p w:rsidRPr="00CD62BF" w:rsidR="004164D7" w:rsidP="004164D7" w:rsidRDefault="004164D7" w14:paraId="21E8AAF7"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Dates</w:t>
            </w:r>
          </w:p>
        </w:tc>
        <w:tc>
          <w:tcPr>
            <w:tcW w:w="1620" w:type="dxa"/>
            <w:tcMar>
              <w:top w:w="0" w:type="dxa"/>
              <w:left w:w="108" w:type="dxa"/>
              <w:bottom w:w="0" w:type="dxa"/>
              <w:right w:w="108" w:type="dxa"/>
            </w:tcMar>
            <w:vAlign w:val="center"/>
            <w:hideMark/>
          </w:tcPr>
          <w:p w:rsidRPr="00CD62BF" w:rsidR="004164D7" w:rsidP="004164D7" w:rsidRDefault="004164D7" w14:paraId="75F388DD"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Due Date</w:t>
            </w:r>
          </w:p>
        </w:tc>
      </w:tr>
      <w:tr w:rsidRPr="004164D7" w:rsidR="004164D7" w:rsidTr="00CD62BF" w14:paraId="529506CB"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31824BB6" w14:textId="77777777">
            <w:pPr>
              <w:spacing w:after="0" w:line="240" w:lineRule="auto"/>
              <w:rPr>
                <w:rFonts w:ascii="Times New Roman" w:hAnsi="Times New Roman" w:eastAsia="Times New Roman" w:cs="Times New Roman"/>
                <w:sz w:val="24"/>
                <w:szCs w:val="24"/>
              </w:rPr>
            </w:pPr>
          </w:p>
        </w:tc>
        <w:tc>
          <w:tcPr>
            <w:tcW w:w="3827" w:type="dxa"/>
            <w:tcMar>
              <w:top w:w="0" w:type="dxa"/>
              <w:left w:w="108" w:type="dxa"/>
              <w:bottom w:w="0" w:type="dxa"/>
              <w:right w:w="108" w:type="dxa"/>
            </w:tcMar>
            <w:vAlign w:val="center"/>
          </w:tcPr>
          <w:p w:rsidRPr="00CD62BF" w:rsidR="004164D7" w:rsidP="004164D7" w:rsidRDefault="004164D7" w14:paraId="6E9F5BE2" w14:textId="77777777">
            <w:pPr>
              <w:spacing w:after="0" w:line="240" w:lineRule="auto"/>
              <w:rPr>
                <w:rFonts w:ascii="Times New Roman" w:hAnsi="Times New Roman" w:eastAsia="Times New Roman" w:cs="Times New Roman"/>
                <w:sz w:val="24"/>
                <w:szCs w:val="24"/>
              </w:rPr>
            </w:pPr>
          </w:p>
        </w:tc>
        <w:tc>
          <w:tcPr>
            <w:tcW w:w="1620" w:type="dxa"/>
            <w:tcMar>
              <w:top w:w="0" w:type="dxa"/>
              <w:left w:w="108" w:type="dxa"/>
              <w:bottom w:w="0" w:type="dxa"/>
              <w:right w:w="108" w:type="dxa"/>
            </w:tcMar>
            <w:vAlign w:val="center"/>
          </w:tcPr>
          <w:p w:rsidRPr="00CD62BF" w:rsidR="004164D7" w:rsidP="004164D7" w:rsidRDefault="004164D7" w14:paraId="7294D3FA" w14:textId="77777777">
            <w:pPr>
              <w:spacing w:after="0" w:line="240" w:lineRule="auto"/>
              <w:rPr>
                <w:rFonts w:ascii="Times New Roman" w:hAnsi="Times New Roman" w:eastAsia="Times New Roman" w:cs="Times New Roman"/>
                <w:sz w:val="24"/>
                <w:szCs w:val="24"/>
              </w:rPr>
            </w:pPr>
          </w:p>
        </w:tc>
      </w:tr>
      <w:tr w:rsidRPr="004164D7" w:rsidR="004164D7" w:rsidTr="00CD62BF" w14:paraId="5B6DBF69"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3A328605"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1</w:t>
            </w:r>
          </w:p>
        </w:tc>
        <w:tc>
          <w:tcPr>
            <w:tcW w:w="3827" w:type="dxa"/>
            <w:tcMar>
              <w:top w:w="0" w:type="dxa"/>
              <w:left w:w="108" w:type="dxa"/>
              <w:bottom w:w="0" w:type="dxa"/>
              <w:right w:w="108" w:type="dxa"/>
            </w:tcMar>
            <w:vAlign w:val="center"/>
            <w:hideMark/>
          </w:tcPr>
          <w:p w:rsidRPr="00CD62BF" w:rsidR="004164D7" w:rsidP="004164D7" w:rsidRDefault="00736984" w14:paraId="3F4C335A" w14:textId="45AD99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November</w:t>
            </w:r>
            <w:r w:rsidRPr="00CD62BF" w:rsidR="004164D7">
              <w:rPr>
                <w:rFonts w:ascii="Times New Roman" w:hAnsi="Times New Roman" w:eastAsia="Times New Roman" w:cs="Times New Roman"/>
                <w:color w:val="000000"/>
                <w:sz w:val="24"/>
                <w:szCs w:val="24"/>
              </w:rPr>
              <w:t xml:space="preserve"> 9 - </w:t>
            </w:r>
            <w:r w:rsidR="00697FBB">
              <w:rPr>
                <w:rFonts w:ascii="Times New Roman" w:hAnsi="Times New Roman" w:eastAsia="Times New Roman" w:cs="Times New Roman"/>
                <w:color w:val="000000"/>
                <w:sz w:val="24"/>
                <w:szCs w:val="24"/>
              </w:rPr>
              <w:t>November</w:t>
            </w:r>
            <w:r w:rsidRPr="00CD62BF" w:rsidR="004164D7">
              <w:rPr>
                <w:rFonts w:ascii="Times New Roman" w:hAnsi="Times New Roman" w:eastAsia="Times New Roman" w:cs="Times New Roman"/>
                <w:color w:val="000000"/>
                <w:sz w:val="24"/>
                <w:szCs w:val="24"/>
              </w:rPr>
              <w:t xml:space="preserve"> </w:t>
            </w:r>
            <w:r w:rsidR="00697FBB">
              <w:rPr>
                <w:rFonts w:ascii="Times New Roman" w:hAnsi="Times New Roman" w:eastAsia="Times New Roman" w:cs="Times New Roman"/>
                <w:color w:val="000000"/>
                <w:sz w:val="24"/>
                <w:szCs w:val="24"/>
              </w:rPr>
              <w:t>15</w:t>
            </w:r>
          </w:p>
        </w:tc>
        <w:tc>
          <w:tcPr>
            <w:tcW w:w="1620" w:type="dxa"/>
            <w:tcMar>
              <w:top w:w="0" w:type="dxa"/>
              <w:left w:w="108" w:type="dxa"/>
              <w:bottom w:w="0" w:type="dxa"/>
              <w:right w:w="108" w:type="dxa"/>
            </w:tcMar>
            <w:vAlign w:val="center"/>
            <w:hideMark/>
          </w:tcPr>
          <w:p w:rsidRPr="00CD62BF" w:rsidR="004164D7" w:rsidP="004164D7" w:rsidRDefault="00697FBB" w14:paraId="695ACCC0" w14:textId="32144BE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Nov</w:t>
            </w:r>
            <w:r w:rsidR="00A0786D">
              <w:rPr>
                <w:rFonts w:ascii="Times New Roman" w:hAnsi="Times New Roman" w:eastAsia="Times New Roman" w:cs="Times New Roman"/>
                <w:color w:val="000000"/>
                <w:sz w:val="24"/>
                <w:szCs w:val="24"/>
              </w:rPr>
              <w:t>ember</w:t>
            </w:r>
            <w:r w:rsidRPr="00CD62BF" w:rsidR="004164D7">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12</w:t>
            </w:r>
          </w:p>
        </w:tc>
      </w:tr>
      <w:tr w:rsidRPr="004164D7" w:rsidR="004164D7" w:rsidTr="00CD62BF" w14:paraId="23CF1DCC"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1C54FAEF"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2</w:t>
            </w:r>
          </w:p>
        </w:tc>
        <w:tc>
          <w:tcPr>
            <w:tcW w:w="3827" w:type="dxa"/>
            <w:tcMar>
              <w:top w:w="0" w:type="dxa"/>
              <w:left w:w="108" w:type="dxa"/>
              <w:bottom w:w="0" w:type="dxa"/>
              <w:right w:w="108" w:type="dxa"/>
            </w:tcMar>
            <w:vAlign w:val="center"/>
          </w:tcPr>
          <w:p w:rsidRPr="00CD62BF" w:rsidR="004164D7" w:rsidP="004164D7" w:rsidRDefault="00697FBB" w14:paraId="032B69DC" w14:textId="1F0ECD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November </w:t>
            </w:r>
            <w:r w:rsidR="00A0786D">
              <w:rPr>
                <w:rFonts w:ascii="Times New Roman" w:hAnsi="Times New Roman" w:eastAsia="Times New Roman" w:cs="Times New Roman"/>
                <w:sz w:val="24"/>
                <w:szCs w:val="24"/>
              </w:rPr>
              <w:t>16</w:t>
            </w:r>
            <w:r w:rsidRPr="00CD62BF" w:rsidR="004164D7">
              <w:rPr>
                <w:rFonts w:ascii="Times New Roman" w:hAnsi="Times New Roman" w:eastAsia="Times New Roman" w:cs="Times New Roman"/>
                <w:sz w:val="24"/>
                <w:szCs w:val="24"/>
              </w:rPr>
              <w:t xml:space="preserve"> </w:t>
            </w:r>
            <w:r w:rsidR="00A0786D">
              <w:rPr>
                <w:rFonts w:ascii="Times New Roman" w:hAnsi="Times New Roman" w:eastAsia="Times New Roman" w:cs="Times New Roman"/>
                <w:sz w:val="24"/>
                <w:szCs w:val="24"/>
              </w:rPr>
              <w:t>–</w:t>
            </w:r>
            <w:r w:rsidRPr="00CD62BF" w:rsidR="004164D7">
              <w:rPr>
                <w:rFonts w:ascii="Times New Roman" w:hAnsi="Times New Roman" w:eastAsia="Times New Roman" w:cs="Times New Roman"/>
                <w:sz w:val="24"/>
                <w:szCs w:val="24"/>
              </w:rPr>
              <w:t xml:space="preserve"> </w:t>
            </w:r>
            <w:r w:rsidR="00A0786D">
              <w:rPr>
                <w:rFonts w:ascii="Times New Roman" w:hAnsi="Times New Roman" w:eastAsia="Times New Roman" w:cs="Times New Roman"/>
                <w:sz w:val="24"/>
                <w:szCs w:val="24"/>
              </w:rPr>
              <w:t>November 22</w:t>
            </w:r>
          </w:p>
        </w:tc>
        <w:tc>
          <w:tcPr>
            <w:tcW w:w="1620" w:type="dxa"/>
            <w:tcMar>
              <w:top w:w="0" w:type="dxa"/>
              <w:left w:w="108" w:type="dxa"/>
              <w:bottom w:w="0" w:type="dxa"/>
              <w:right w:w="108" w:type="dxa"/>
            </w:tcMar>
            <w:vAlign w:val="center"/>
          </w:tcPr>
          <w:p w:rsidRPr="00CD62BF" w:rsidR="004164D7" w:rsidP="004164D7" w:rsidRDefault="00A0786D" w14:paraId="3388D7E4" w14:textId="08A171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November</w:t>
            </w:r>
            <w:r w:rsidRPr="00CD62BF" w:rsidR="004164D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19</w:t>
            </w:r>
          </w:p>
        </w:tc>
      </w:tr>
      <w:tr w:rsidRPr="004164D7" w:rsidR="004164D7" w:rsidTr="00CD62BF" w14:paraId="53DA1C54"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5BB6EF07"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3</w:t>
            </w:r>
          </w:p>
        </w:tc>
        <w:tc>
          <w:tcPr>
            <w:tcW w:w="3827" w:type="dxa"/>
            <w:tcMar>
              <w:top w:w="0" w:type="dxa"/>
              <w:left w:w="108" w:type="dxa"/>
              <w:bottom w:w="0" w:type="dxa"/>
              <w:right w:w="108" w:type="dxa"/>
            </w:tcMar>
            <w:vAlign w:val="center"/>
          </w:tcPr>
          <w:p w:rsidRPr="00CD62BF" w:rsidR="004164D7" w:rsidP="004164D7" w:rsidRDefault="00A0786D" w14:paraId="13FCCA2B" w14:textId="0BAC8D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November 23 – November 29</w:t>
            </w:r>
          </w:p>
        </w:tc>
        <w:tc>
          <w:tcPr>
            <w:tcW w:w="1620" w:type="dxa"/>
            <w:tcMar>
              <w:top w:w="0" w:type="dxa"/>
              <w:left w:w="108" w:type="dxa"/>
              <w:bottom w:w="0" w:type="dxa"/>
              <w:right w:w="108" w:type="dxa"/>
            </w:tcMar>
            <w:vAlign w:val="center"/>
          </w:tcPr>
          <w:p w:rsidRPr="00CD62BF" w:rsidR="004164D7" w:rsidP="004164D7" w:rsidRDefault="00A0786D" w14:paraId="63E4994D" w14:textId="7C892CB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November 26</w:t>
            </w:r>
          </w:p>
        </w:tc>
      </w:tr>
      <w:tr w:rsidRPr="004164D7" w:rsidR="004164D7" w:rsidTr="00CD62BF" w14:paraId="1035C55D"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717D97EE"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4</w:t>
            </w:r>
          </w:p>
        </w:tc>
        <w:tc>
          <w:tcPr>
            <w:tcW w:w="3827" w:type="dxa"/>
            <w:tcMar>
              <w:top w:w="0" w:type="dxa"/>
              <w:left w:w="108" w:type="dxa"/>
              <w:bottom w:w="0" w:type="dxa"/>
              <w:right w:w="108" w:type="dxa"/>
            </w:tcMar>
            <w:vAlign w:val="center"/>
          </w:tcPr>
          <w:p w:rsidRPr="00CD62BF" w:rsidR="004164D7" w:rsidP="004164D7" w:rsidRDefault="002B089B" w14:paraId="7A3A885C" w14:textId="4219B9A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November 30</w:t>
            </w:r>
            <w:r w:rsidRPr="00CD62BF" w:rsidR="004164D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00CD62BF" w:rsidR="004164D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December 6</w:t>
            </w:r>
          </w:p>
        </w:tc>
        <w:tc>
          <w:tcPr>
            <w:tcW w:w="1620" w:type="dxa"/>
            <w:tcMar>
              <w:top w:w="0" w:type="dxa"/>
              <w:left w:w="108" w:type="dxa"/>
              <w:bottom w:w="0" w:type="dxa"/>
              <w:right w:w="108" w:type="dxa"/>
            </w:tcMar>
            <w:vAlign w:val="center"/>
          </w:tcPr>
          <w:p w:rsidRPr="00CD62BF" w:rsidR="004164D7" w:rsidP="004164D7" w:rsidRDefault="00A0786D" w14:paraId="328E17DA" w14:textId="135445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w:t>
            </w:r>
            <w:r w:rsidR="002B089B">
              <w:rPr>
                <w:rFonts w:ascii="Times New Roman" w:hAnsi="Times New Roman" w:eastAsia="Times New Roman" w:cs="Times New Roman"/>
                <w:sz w:val="24"/>
                <w:szCs w:val="24"/>
              </w:rPr>
              <w:t xml:space="preserve"> 3</w:t>
            </w:r>
          </w:p>
        </w:tc>
      </w:tr>
      <w:tr w:rsidRPr="004164D7" w:rsidR="004164D7" w:rsidTr="00CD62BF" w14:paraId="2F6B358E"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79E138FA"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5</w:t>
            </w:r>
          </w:p>
        </w:tc>
        <w:tc>
          <w:tcPr>
            <w:tcW w:w="3827" w:type="dxa"/>
            <w:tcMar>
              <w:top w:w="0" w:type="dxa"/>
              <w:left w:w="108" w:type="dxa"/>
              <w:bottom w:w="0" w:type="dxa"/>
              <w:right w:w="108" w:type="dxa"/>
            </w:tcMar>
            <w:vAlign w:val="center"/>
          </w:tcPr>
          <w:p w:rsidRPr="00CD62BF" w:rsidR="004164D7" w:rsidP="004164D7" w:rsidRDefault="002B089B" w14:paraId="5053D7DD" w14:textId="20B659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 7 – December 13</w:t>
            </w:r>
          </w:p>
        </w:tc>
        <w:tc>
          <w:tcPr>
            <w:tcW w:w="1620" w:type="dxa"/>
            <w:tcMar>
              <w:top w:w="0" w:type="dxa"/>
              <w:left w:w="108" w:type="dxa"/>
              <w:bottom w:w="0" w:type="dxa"/>
              <w:right w:w="108" w:type="dxa"/>
            </w:tcMar>
            <w:vAlign w:val="center"/>
          </w:tcPr>
          <w:p w:rsidRPr="00CD62BF" w:rsidR="004164D7" w:rsidP="004164D7" w:rsidRDefault="00A0786D" w14:paraId="3B8D1BAB" w14:textId="1149A8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w:t>
            </w:r>
            <w:r w:rsidR="002B089B">
              <w:rPr>
                <w:rFonts w:ascii="Times New Roman" w:hAnsi="Times New Roman" w:eastAsia="Times New Roman" w:cs="Times New Roman"/>
                <w:sz w:val="24"/>
                <w:szCs w:val="24"/>
              </w:rPr>
              <w:t xml:space="preserve"> 10</w:t>
            </w:r>
          </w:p>
        </w:tc>
      </w:tr>
      <w:tr w:rsidRPr="004164D7" w:rsidR="004164D7" w:rsidTr="00CD62BF" w14:paraId="764BF509"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3EF25889"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6</w:t>
            </w:r>
          </w:p>
        </w:tc>
        <w:tc>
          <w:tcPr>
            <w:tcW w:w="3827" w:type="dxa"/>
            <w:tcMar>
              <w:top w:w="0" w:type="dxa"/>
              <w:left w:w="108" w:type="dxa"/>
              <w:bottom w:w="0" w:type="dxa"/>
              <w:right w:w="108" w:type="dxa"/>
            </w:tcMar>
            <w:vAlign w:val="center"/>
          </w:tcPr>
          <w:p w:rsidRPr="00CD62BF" w:rsidR="004164D7" w:rsidP="004164D7" w:rsidRDefault="002B089B" w14:paraId="723B5256" w14:textId="6ED6F9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 14 – December 20</w:t>
            </w:r>
          </w:p>
        </w:tc>
        <w:tc>
          <w:tcPr>
            <w:tcW w:w="1620" w:type="dxa"/>
            <w:tcMar>
              <w:top w:w="0" w:type="dxa"/>
              <w:left w:w="108" w:type="dxa"/>
              <w:bottom w:w="0" w:type="dxa"/>
              <w:right w:w="108" w:type="dxa"/>
            </w:tcMar>
            <w:vAlign w:val="center"/>
          </w:tcPr>
          <w:p w:rsidRPr="00CD62BF" w:rsidR="004164D7" w:rsidP="004164D7" w:rsidRDefault="00A0786D" w14:paraId="68D2B3E3" w14:textId="55CE233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w:t>
            </w:r>
            <w:r w:rsidR="002B089B">
              <w:rPr>
                <w:rFonts w:ascii="Times New Roman" w:hAnsi="Times New Roman" w:eastAsia="Times New Roman" w:cs="Times New Roman"/>
                <w:sz w:val="24"/>
                <w:szCs w:val="24"/>
              </w:rPr>
              <w:t xml:space="preserve"> 17</w:t>
            </w:r>
          </w:p>
        </w:tc>
      </w:tr>
      <w:tr w:rsidRPr="004164D7" w:rsidR="004164D7" w:rsidTr="00CD62BF" w14:paraId="4E3D90DE"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5B0457D9"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7</w:t>
            </w:r>
          </w:p>
        </w:tc>
        <w:tc>
          <w:tcPr>
            <w:tcW w:w="3827" w:type="dxa"/>
            <w:tcMar>
              <w:top w:w="0" w:type="dxa"/>
              <w:left w:w="108" w:type="dxa"/>
              <w:bottom w:w="0" w:type="dxa"/>
              <w:right w:w="108" w:type="dxa"/>
            </w:tcMar>
            <w:vAlign w:val="center"/>
          </w:tcPr>
          <w:p w:rsidRPr="00CD62BF" w:rsidR="004164D7" w:rsidP="004164D7" w:rsidRDefault="002B089B" w14:paraId="50AB0A28" w14:textId="6313AE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 21 – December 27</w:t>
            </w:r>
            <w:r w:rsidRPr="00CD62BF" w:rsidR="004164D7">
              <w:rPr>
                <w:rFonts w:ascii="Times New Roman" w:hAnsi="Times New Roman" w:eastAsia="Times New Roman" w:cs="Times New Roman"/>
                <w:sz w:val="24"/>
                <w:szCs w:val="24"/>
              </w:rPr>
              <w:t xml:space="preserve"> </w:t>
            </w:r>
          </w:p>
        </w:tc>
        <w:tc>
          <w:tcPr>
            <w:tcW w:w="1620" w:type="dxa"/>
            <w:tcMar>
              <w:top w:w="0" w:type="dxa"/>
              <w:left w:w="108" w:type="dxa"/>
              <w:bottom w:w="0" w:type="dxa"/>
              <w:right w:w="108" w:type="dxa"/>
            </w:tcMar>
            <w:vAlign w:val="center"/>
          </w:tcPr>
          <w:p w:rsidRPr="00CD62BF" w:rsidR="004164D7" w:rsidP="004164D7" w:rsidRDefault="002B089B" w14:paraId="4CB170B4" w14:textId="041F11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 24</w:t>
            </w:r>
          </w:p>
        </w:tc>
      </w:tr>
      <w:tr w:rsidRPr="004164D7" w:rsidR="004164D7" w:rsidTr="00CD62BF" w14:paraId="03924C07" w14:textId="77777777">
        <w:trPr>
          <w:trHeight w:val="288"/>
        </w:trPr>
        <w:tc>
          <w:tcPr>
            <w:tcW w:w="1530" w:type="dxa"/>
            <w:tcMar>
              <w:top w:w="0" w:type="dxa"/>
              <w:left w:w="108" w:type="dxa"/>
              <w:bottom w:w="0" w:type="dxa"/>
              <w:right w:w="108" w:type="dxa"/>
            </w:tcMar>
            <w:vAlign w:val="center"/>
            <w:hideMark/>
          </w:tcPr>
          <w:p w:rsidRPr="00CD62BF" w:rsidR="004164D7" w:rsidP="004164D7" w:rsidRDefault="004164D7" w14:paraId="2AEB6892" w14:textId="77777777">
            <w:pPr>
              <w:spacing w:after="0" w:line="240" w:lineRule="auto"/>
              <w:rPr>
                <w:rFonts w:ascii="Times New Roman" w:hAnsi="Times New Roman" w:eastAsia="Times New Roman" w:cs="Times New Roman"/>
                <w:sz w:val="24"/>
                <w:szCs w:val="24"/>
              </w:rPr>
            </w:pPr>
            <w:r w:rsidRPr="00CD62BF">
              <w:rPr>
                <w:rFonts w:ascii="Times New Roman" w:hAnsi="Times New Roman" w:eastAsia="Times New Roman" w:cs="Times New Roman"/>
                <w:color w:val="000000"/>
                <w:sz w:val="24"/>
                <w:szCs w:val="24"/>
              </w:rPr>
              <w:t>8</w:t>
            </w:r>
          </w:p>
        </w:tc>
        <w:tc>
          <w:tcPr>
            <w:tcW w:w="3827" w:type="dxa"/>
            <w:tcMar>
              <w:top w:w="0" w:type="dxa"/>
              <w:left w:w="108" w:type="dxa"/>
              <w:bottom w:w="0" w:type="dxa"/>
              <w:right w:w="108" w:type="dxa"/>
            </w:tcMar>
            <w:vAlign w:val="center"/>
          </w:tcPr>
          <w:p w:rsidRPr="00CD62BF" w:rsidR="004164D7" w:rsidP="004164D7" w:rsidRDefault="002B089B" w14:paraId="24176D4D" w14:textId="6DD178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December 28 </w:t>
            </w:r>
            <w:r w:rsidR="00164F61">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Jan</w:t>
            </w:r>
            <w:r w:rsidR="00164F61">
              <w:rPr>
                <w:rFonts w:ascii="Times New Roman" w:hAnsi="Times New Roman" w:eastAsia="Times New Roman" w:cs="Times New Roman"/>
                <w:sz w:val="24"/>
                <w:szCs w:val="24"/>
              </w:rPr>
              <w:t>uary 3</w:t>
            </w:r>
          </w:p>
        </w:tc>
        <w:tc>
          <w:tcPr>
            <w:tcW w:w="1620" w:type="dxa"/>
            <w:tcMar>
              <w:top w:w="0" w:type="dxa"/>
              <w:left w:w="108" w:type="dxa"/>
              <w:bottom w:w="0" w:type="dxa"/>
              <w:right w:w="108" w:type="dxa"/>
            </w:tcMar>
            <w:vAlign w:val="center"/>
          </w:tcPr>
          <w:p w:rsidRPr="00CD62BF" w:rsidR="004164D7" w:rsidP="004164D7" w:rsidRDefault="00164F61" w14:paraId="31C8E8A8" w14:textId="2DA993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December 31</w:t>
            </w:r>
          </w:p>
        </w:tc>
      </w:tr>
      <w:tr w:rsidRPr="004164D7" w:rsidR="004164D7" w:rsidTr="00CD62BF" w14:paraId="200273E3" w14:textId="77777777">
        <w:trPr>
          <w:trHeight w:val="288"/>
        </w:trPr>
        <w:tc>
          <w:tcPr>
            <w:tcW w:w="1530" w:type="dxa"/>
            <w:tcMar>
              <w:top w:w="0" w:type="dxa"/>
              <w:left w:w="108" w:type="dxa"/>
              <w:bottom w:w="0" w:type="dxa"/>
              <w:right w:w="108" w:type="dxa"/>
            </w:tcMar>
            <w:vAlign w:val="center"/>
          </w:tcPr>
          <w:p w:rsidRPr="00CD62BF" w:rsidR="004164D7" w:rsidP="004164D7" w:rsidRDefault="004164D7" w14:paraId="1E7B579A" w14:textId="77777777">
            <w:pPr>
              <w:spacing w:after="0" w:line="240" w:lineRule="auto"/>
              <w:rPr>
                <w:rFonts w:ascii="Times New Roman" w:hAnsi="Times New Roman" w:eastAsia="Times New Roman" w:cs="Times New Roman"/>
                <w:color w:val="000000"/>
                <w:sz w:val="24"/>
                <w:szCs w:val="24"/>
              </w:rPr>
            </w:pPr>
            <w:r w:rsidRPr="00CD62BF">
              <w:rPr>
                <w:rFonts w:ascii="Times New Roman" w:hAnsi="Times New Roman" w:eastAsia="Times New Roman" w:cs="Times New Roman"/>
                <w:color w:val="000000"/>
                <w:sz w:val="24"/>
                <w:szCs w:val="24"/>
              </w:rPr>
              <w:t>9</w:t>
            </w:r>
          </w:p>
        </w:tc>
        <w:tc>
          <w:tcPr>
            <w:tcW w:w="3827" w:type="dxa"/>
            <w:tcMar>
              <w:top w:w="0" w:type="dxa"/>
              <w:left w:w="108" w:type="dxa"/>
              <w:bottom w:w="0" w:type="dxa"/>
              <w:right w:w="108" w:type="dxa"/>
            </w:tcMar>
            <w:vAlign w:val="center"/>
          </w:tcPr>
          <w:p w:rsidRPr="00CD62BF" w:rsidR="004164D7" w:rsidP="004164D7" w:rsidRDefault="00164F61" w14:paraId="7CDC651D" w14:textId="575ED30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January 4 – January 10</w:t>
            </w:r>
          </w:p>
        </w:tc>
        <w:tc>
          <w:tcPr>
            <w:tcW w:w="1620" w:type="dxa"/>
            <w:tcMar>
              <w:top w:w="0" w:type="dxa"/>
              <w:left w:w="108" w:type="dxa"/>
              <w:bottom w:w="0" w:type="dxa"/>
              <w:right w:w="108" w:type="dxa"/>
            </w:tcMar>
            <w:vAlign w:val="center"/>
          </w:tcPr>
          <w:p w:rsidRPr="00CD62BF" w:rsidR="004164D7" w:rsidP="004164D7" w:rsidRDefault="00164F61" w14:paraId="2E201640" w14:textId="268FCF5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January 7</w:t>
            </w:r>
          </w:p>
        </w:tc>
      </w:tr>
    </w:tbl>
    <w:p w:rsidR="00C92494" w:rsidP="00CD62BF" w:rsidRDefault="00C92494" w14:paraId="652ACC02" w14:textId="77777777">
      <w:pPr>
        <w:pStyle w:val="BodyText"/>
        <w:rPr>
          <w:b w:val="0"/>
        </w:rPr>
      </w:pPr>
    </w:p>
    <w:p w:rsidRPr="00740801" w:rsidR="00D81AFC" w:rsidP="00CD62BF" w:rsidRDefault="00D81AFC" w14:paraId="51DA60F8" w14:textId="5F6E8697">
      <w:pPr>
        <w:pStyle w:val="paragraph"/>
        <w:textAlignment w:val="baseline"/>
        <w:rPr>
          <w:rStyle w:val="eop"/>
          <w:rFonts w:asciiTheme="minorHAnsi" w:hAnsiTheme="minorHAnsi" w:eastAsiaTheme="minorHAnsi" w:cstheme="minorBidi"/>
          <w:sz w:val="22"/>
          <w:szCs w:val="22"/>
        </w:rPr>
      </w:pPr>
    </w:p>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080146" w:rsidR="00080146" w:rsidP="00080146" w:rsidRDefault="00080146" w14:paraId="149939E7" w14:textId="06DC1F5A">
      <w:pPr>
        <w:pStyle w:val="BodyText"/>
        <w:ind w:left="900"/>
        <w:rPr>
          <w:b w:val="0"/>
        </w:rPr>
      </w:pPr>
      <w:r w:rsidRPr="00080146">
        <w:t xml:space="preserve"> </w:t>
      </w:r>
      <w:r w:rsidRPr="00080146">
        <w:rPr>
          <w:b w:val="0"/>
        </w:rPr>
        <w:t xml:space="preserve">The Census Bureau has put in a place the following to maximize response: </w:t>
      </w:r>
    </w:p>
    <w:p w:rsidRPr="00080146" w:rsidR="00080146" w:rsidP="00080146" w:rsidRDefault="00080146" w14:paraId="554F0F02" w14:textId="77777777">
      <w:pPr>
        <w:pStyle w:val="BodyText"/>
        <w:ind w:left="900"/>
        <w:rPr>
          <w:b w:val="0"/>
        </w:rPr>
      </w:pPr>
    </w:p>
    <w:p w:rsidRPr="00D6312D" w:rsidR="00080146" w:rsidP="00CD62BF" w:rsidRDefault="00080146" w14:paraId="54FFB37D" w14:textId="68EA869E">
      <w:pPr>
        <w:pStyle w:val="BodyText"/>
        <w:numPr>
          <w:ilvl w:val="2"/>
          <w:numId w:val="1"/>
        </w:numPr>
        <w:ind w:left="1440"/>
        <w:rPr>
          <w:b w:val="0"/>
        </w:rPr>
      </w:pPr>
      <w:r w:rsidRPr="00D6312D">
        <w:rPr>
          <w:b w:val="0"/>
        </w:rPr>
        <w:t xml:space="preserve">Respondents will receive an email invitation with a direct link to complete the survey.  They will simply need to enter the authentication code credential into the </w:t>
      </w:r>
      <w:r w:rsidRPr="00D6312D">
        <w:rPr>
          <w:b w:val="0"/>
        </w:rPr>
        <w:lastRenderedPageBreak/>
        <w:t>Centurion instrument.</w:t>
      </w:r>
    </w:p>
    <w:p w:rsidRPr="00D6312D" w:rsidR="00080146" w:rsidP="00CD62BF" w:rsidRDefault="00080146" w14:paraId="7095B499" w14:textId="0A12EF65">
      <w:pPr>
        <w:pStyle w:val="BodyText"/>
        <w:numPr>
          <w:ilvl w:val="2"/>
          <w:numId w:val="1"/>
        </w:numPr>
        <w:ind w:left="1440"/>
        <w:rPr>
          <w:b w:val="0"/>
        </w:rPr>
      </w:pPr>
      <w:r w:rsidRPr="00D6312D">
        <w:rPr>
          <w:b w:val="0"/>
        </w:rPr>
        <w:t xml:space="preserve">The collection instrument is optimized for electronic response, including the option to respond via a mobile device.  </w:t>
      </w:r>
    </w:p>
    <w:p w:rsidRPr="00D6312D" w:rsidR="00080146" w:rsidP="00CD62BF" w:rsidRDefault="00080146" w14:paraId="3A3E4AE4" w14:textId="3425675B">
      <w:pPr>
        <w:pStyle w:val="BodyText"/>
        <w:numPr>
          <w:ilvl w:val="2"/>
          <w:numId w:val="1"/>
        </w:numPr>
        <w:ind w:left="1440"/>
        <w:rPr>
          <w:b w:val="0"/>
        </w:rPr>
      </w:pPr>
      <w:r w:rsidRPr="00D6312D">
        <w:rPr>
          <w:b w:val="0"/>
        </w:rPr>
        <w:t xml:space="preserve">All questions are checkbox responses in order to limit burden and maximize response. </w:t>
      </w:r>
    </w:p>
    <w:p w:rsidRPr="00D6312D" w:rsidR="00080146" w:rsidP="00CD62BF" w:rsidRDefault="00080146" w14:paraId="02CBE9AB" w14:textId="432A1750">
      <w:pPr>
        <w:pStyle w:val="BodyText"/>
        <w:numPr>
          <w:ilvl w:val="2"/>
          <w:numId w:val="1"/>
        </w:numPr>
        <w:ind w:left="1440"/>
        <w:rPr>
          <w:b w:val="0"/>
        </w:rPr>
      </w:pPr>
      <w:r w:rsidRPr="00D6312D">
        <w:rPr>
          <w:b w:val="0"/>
        </w:rPr>
        <w:t xml:space="preserve">A landing page was developed </w:t>
      </w:r>
      <w:r w:rsidRPr="00D6312D" w:rsidR="00D8670E">
        <w:rPr>
          <w:b w:val="0"/>
        </w:rPr>
        <w:t xml:space="preserve">for </w:t>
      </w:r>
      <w:r w:rsidRPr="00D6312D">
        <w:rPr>
          <w:b w:val="0"/>
        </w:rPr>
        <w:t>census.gov that provides motivational text to encourage response, links to releases of the data products, and a direct link to the Centurion landing page.</w:t>
      </w:r>
    </w:p>
    <w:p w:rsidRPr="00D6312D" w:rsidR="00075EBF" w:rsidP="00CD62BF" w:rsidRDefault="00080146" w14:paraId="333268C8" w14:textId="7235844D">
      <w:pPr>
        <w:pStyle w:val="BodyText"/>
        <w:numPr>
          <w:ilvl w:val="2"/>
          <w:numId w:val="1"/>
        </w:numPr>
        <w:ind w:left="1440"/>
        <w:rPr>
          <w:b w:val="0"/>
        </w:rPr>
      </w:pPr>
      <w:r w:rsidRPr="00D6312D">
        <w:rPr>
          <w:b w:val="0"/>
        </w:rPr>
        <w:t xml:space="preserve">We expect that </w:t>
      </w:r>
      <w:r w:rsidRPr="00D6312D" w:rsidR="009D2419">
        <w:rPr>
          <w:b w:val="0"/>
        </w:rPr>
        <w:t xml:space="preserve">near </w:t>
      </w:r>
      <w:r w:rsidRPr="00D6312D">
        <w:rPr>
          <w:b w:val="0"/>
        </w:rPr>
        <w:t>real-time survey results displayed on the dashboard will generate interest in the products and businesses will see value in responding.</w:t>
      </w:r>
    </w:p>
    <w:p w:rsidRPr="00D6312D" w:rsidR="00075EBF" w:rsidP="00CD62BF" w:rsidRDefault="00075EBF" w14:paraId="397A0912" w14:textId="6AB8160A">
      <w:pPr>
        <w:pStyle w:val="BodyText"/>
        <w:numPr>
          <w:ilvl w:val="0"/>
          <w:numId w:val="5"/>
        </w:numPr>
        <w:ind w:left="1440"/>
        <w:rPr>
          <w:b w:val="0"/>
        </w:rPr>
      </w:pPr>
      <w:r w:rsidRPr="00D6312D">
        <w:rPr>
          <w:b w:val="0"/>
        </w:rPr>
        <w:t>Businesses that have not responded before Wednesday morning will receive a due date reminder email that same day.</w:t>
      </w:r>
    </w:p>
    <w:p w:rsidRPr="0093023F" w:rsidR="0093023F" w:rsidP="0093023F" w:rsidRDefault="0093023F" w14:paraId="367ECA60" w14:textId="77777777">
      <w:pPr>
        <w:pStyle w:val="BodyText"/>
        <w:ind w:left="900"/>
        <w:rPr>
          <w:b w:val="0"/>
        </w:rPr>
      </w:pPr>
    </w:p>
    <w:p w:rsidR="0093023F" w:rsidRDefault="0093023F" w14:paraId="0E759679" w14:textId="66FCC8D1">
      <w:pPr>
        <w:pStyle w:val="BodyText"/>
        <w:ind w:left="900"/>
        <w:rPr>
          <w:b w:val="0"/>
        </w:rPr>
      </w:pPr>
      <w:bookmarkStart w:name="_Hlk54706687" w:id="1"/>
      <w:r w:rsidRPr="0093023F">
        <w:rPr>
          <w:b w:val="0"/>
        </w:rPr>
        <w:t>We anticipate a lower response rate</w:t>
      </w:r>
      <w:r w:rsidR="00D6312D">
        <w:rPr>
          <w:b w:val="0"/>
        </w:rPr>
        <w:t>, compared to previous phases,</w:t>
      </w:r>
      <w:r w:rsidRPr="0093023F">
        <w:rPr>
          <w:b w:val="0"/>
        </w:rPr>
        <w:t xml:space="preserve"> due to possible survey fatigue as well as the potential for business deaths leading to a smaller target population. For further discussion of response rates and nonresponse bias, see Attachment </w:t>
      </w:r>
      <w:r w:rsidR="003672C4">
        <w:rPr>
          <w:b w:val="0"/>
        </w:rPr>
        <w:t>D</w:t>
      </w:r>
      <w:r w:rsidRPr="0093023F">
        <w:rPr>
          <w:b w:val="0"/>
        </w:rPr>
        <w:t>.</w:t>
      </w:r>
    </w:p>
    <w:p w:rsidR="00D6312D" w:rsidRDefault="00D6312D" w14:paraId="0AB0E381" w14:textId="0B0F9101">
      <w:pPr>
        <w:pStyle w:val="BodyText"/>
        <w:ind w:left="900"/>
        <w:rPr>
          <w:b w:val="0"/>
        </w:rPr>
      </w:pPr>
    </w:p>
    <w:p w:rsidRPr="00740801" w:rsidR="00D6312D" w:rsidRDefault="00D6312D" w14:paraId="6F3A936D" w14:textId="6FCA96C1">
      <w:pPr>
        <w:pStyle w:val="BodyText"/>
        <w:ind w:left="900"/>
        <w:rPr>
          <w:b w:val="0"/>
        </w:rPr>
      </w:pPr>
      <w:r>
        <w:rPr>
          <w:b w:val="0"/>
        </w:rPr>
        <w:t>Phase 1 and 2 survey response rate</w:t>
      </w:r>
      <w:r w:rsidR="008314C6">
        <w:rPr>
          <w:b w:val="0"/>
        </w:rPr>
        <w:t>s</w:t>
      </w:r>
      <w:r>
        <w:rPr>
          <w:b w:val="0"/>
        </w:rPr>
        <w:t xml:space="preserve"> w</w:t>
      </w:r>
      <w:r w:rsidR="008314C6">
        <w:rPr>
          <w:b w:val="0"/>
        </w:rPr>
        <w:t>ere</w:t>
      </w:r>
      <w:r>
        <w:rPr>
          <w:b w:val="0"/>
        </w:rPr>
        <w:t xml:space="preserve"> approximately 26% </w:t>
      </w:r>
      <w:r w:rsidR="0073003A">
        <w:rPr>
          <w:b w:val="0"/>
        </w:rPr>
        <w:t>and 23%</w:t>
      </w:r>
      <w:r w:rsidR="008314C6">
        <w:rPr>
          <w:b w:val="0"/>
        </w:rPr>
        <w:t>,</w:t>
      </w:r>
      <w:r w:rsidR="0073003A">
        <w:rPr>
          <w:b w:val="0"/>
        </w:rPr>
        <w:t xml:space="preserve"> respectively. </w:t>
      </w:r>
    </w:p>
    <w:bookmarkEnd w:id="1"/>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2"/>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2"/>
    <w:p w:rsidR="00A83076" w:rsidP="00080146" w:rsidRDefault="00E7052A" w14:paraId="1F302365" w14:textId="2619F7C1">
      <w:pPr>
        <w:spacing w:after="0" w:line="240" w:lineRule="auto"/>
        <w:ind w:left="900"/>
        <w:rPr>
          <w:rFonts w:ascii="Times New Roman" w:hAnsi="Times New Roman" w:eastAsia="Times New Roman" w:cs="Times New Roman"/>
          <w:color w:val="000000"/>
          <w:sz w:val="24"/>
          <w:szCs w:val="24"/>
        </w:rPr>
      </w:pPr>
      <w:r w:rsidRPr="00E7052A">
        <w:rPr>
          <w:rFonts w:ascii="Times New Roman" w:hAnsi="Times New Roman" w:eastAsia="Times New Roman" w:cs="Times New Roman"/>
          <w:color w:val="000000"/>
          <w:sz w:val="24"/>
          <w:szCs w:val="24"/>
        </w:rPr>
        <w:t>In order to field the first phase quickly, questions were reviewed by Census Bureau staff who are experts in the field of questionnaire design. The process for expert review in lieu of in-field expert review was approved by the Methodology and Standards Council at the Census Bureau. Cognitive testing was later performed concurrent with the P</w:t>
      </w:r>
      <w:r w:rsidR="007773A9">
        <w:rPr>
          <w:rFonts w:ascii="Times New Roman" w:hAnsi="Times New Roman" w:eastAsia="Times New Roman" w:cs="Times New Roman"/>
          <w:color w:val="000000"/>
          <w:sz w:val="24"/>
          <w:szCs w:val="24"/>
        </w:rPr>
        <w:t xml:space="preserve">hase </w:t>
      </w:r>
      <w:r w:rsidRPr="00E7052A">
        <w:rPr>
          <w:rFonts w:ascii="Times New Roman" w:hAnsi="Times New Roman" w:eastAsia="Times New Roman" w:cs="Times New Roman"/>
          <w:color w:val="000000"/>
          <w:sz w:val="24"/>
          <w:szCs w:val="24"/>
        </w:rPr>
        <w:t>1 collection, and findings and recommendations were reviewed and implemented where feasible.</w:t>
      </w:r>
    </w:p>
    <w:p w:rsidR="00E7052A" w:rsidP="00080146" w:rsidRDefault="00E7052A" w14:paraId="331C971A" w14:textId="77777777">
      <w:pPr>
        <w:spacing w:after="0" w:line="240" w:lineRule="auto"/>
        <w:ind w:left="900"/>
        <w:rPr>
          <w:rFonts w:ascii="Times New Roman" w:hAnsi="Times New Roman" w:eastAsia="Times New Roman" w:cs="Times New Roman"/>
          <w:color w:val="000000"/>
          <w:sz w:val="24"/>
          <w:szCs w:val="24"/>
        </w:rPr>
      </w:pPr>
    </w:p>
    <w:p w:rsidR="00F50302" w:rsidP="00080146" w:rsidRDefault="00F50302" w14:paraId="54A3B768" w14:textId="7E3FC895">
      <w:pPr>
        <w:spacing w:after="0" w:line="240" w:lineRule="auto"/>
        <w:ind w:left="900"/>
        <w:rPr>
          <w:rFonts w:ascii="Times New Roman" w:hAnsi="Times New Roman" w:eastAsia="Times New Roman" w:cs="Times New Roman"/>
          <w:color w:val="000000"/>
          <w:sz w:val="24"/>
          <w:szCs w:val="24"/>
        </w:rPr>
      </w:pPr>
      <w:r w:rsidRPr="00F50302">
        <w:rPr>
          <w:rFonts w:ascii="Times New Roman" w:hAnsi="Times New Roman" w:eastAsia="Times New Roman" w:cs="Times New Roman"/>
          <w:color w:val="000000"/>
          <w:sz w:val="24"/>
          <w:szCs w:val="24"/>
        </w:rPr>
        <w:t>Prior to collection</w:t>
      </w:r>
      <w:r w:rsidR="009D2419">
        <w:rPr>
          <w:rFonts w:ascii="Times New Roman" w:hAnsi="Times New Roman" w:eastAsia="Times New Roman" w:cs="Times New Roman"/>
          <w:color w:val="000000"/>
          <w:sz w:val="24"/>
          <w:szCs w:val="24"/>
        </w:rPr>
        <w:t xml:space="preserve"> of the Phase 2 content</w:t>
      </w:r>
      <w:r w:rsidR="00C70178">
        <w:rPr>
          <w:rFonts w:ascii="Times New Roman" w:hAnsi="Times New Roman" w:eastAsia="Times New Roman" w:cs="Times New Roman"/>
          <w:color w:val="000000"/>
          <w:sz w:val="24"/>
          <w:szCs w:val="24"/>
        </w:rPr>
        <w:t>,</w:t>
      </w:r>
      <w:r w:rsidRPr="00F50302">
        <w:rPr>
          <w:rFonts w:ascii="Times New Roman" w:hAnsi="Times New Roman" w:eastAsia="Times New Roman" w:cs="Times New Roman"/>
          <w:color w:val="000000"/>
          <w:sz w:val="24"/>
          <w:szCs w:val="24"/>
        </w:rPr>
        <w:t xml:space="preserve"> two rounds of cognitive testing were conducted from June 24, 2020 through July 13, 2020.  Twenty-six interviews were conducted during the first round of testing, and fourteen were conducted during the second round of testing.  Both rounds of testing included small businesses across all in-scope sectors that were sampled during </w:t>
      </w:r>
      <w:r w:rsidR="002B7FC9">
        <w:rPr>
          <w:rFonts w:ascii="Times New Roman" w:hAnsi="Times New Roman" w:eastAsia="Times New Roman" w:cs="Times New Roman"/>
          <w:color w:val="000000"/>
          <w:sz w:val="24"/>
          <w:szCs w:val="24"/>
        </w:rPr>
        <w:t>week</w:t>
      </w:r>
      <w:r w:rsidRPr="00F50302">
        <w:rPr>
          <w:rFonts w:ascii="Times New Roman" w:hAnsi="Times New Roman" w:eastAsia="Times New Roman" w:cs="Times New Roman"/>
          <w:color w:val="000000"/>
          <w:sz w:val="24"/>
          <w:szCs w:val="24"/>
        </w:rPr>
        <w:t xml:space="preserve"> 4 of the Phase 1 Small Business Pulse Survey.  During cognitive interviews respondents answered all questions and were asked retrospective cognitive probes that focused on new questions for the Phase 2 survey.  </w:t>
      </w:r>
    </w:p>
    <w:p w:rsidR="0049003D" w:rsidP="00080146" w:rsidRDefault="0049003D" w14:paraId="137E91A3" w14:textId="3EF02DA9">
      <w:pPr>
        <w:spacing w:after="0" w:line="240" w:lineRule="auto"/>
        <w:ind w:left="900"/>
        <w:rPr>
          <w:rFonts w:ascii="Times New Roman" w:hAnsi="Times New Roman" w:eastAsia="Times New Roman" w:cs="Times New Roman"/>
          <w:color w:val="000000"/>
          <w:sz w:val="24"/>
          <w:szCs w:val="24"/>
        </w:rPr>
      </w:pPr>
    </w:p>
    <w:p w:rsidR="0041557C" w:rsidP="00080146" w:rsidRDefault="0049003D" w14:paraId="3C28A70E" w14:textId="47960D8E">
      <w:pPr>
        <w:spacing w:after="0" w:line="240" w:lineRule="auto"/>
        <w:ind w:left="900"/>
        <w:rPr>
          <w:rFonts w:ascii="Times New Roman" w:hAnsi="Times New Roman" w:eastAsia="Times New Roman" w:cs="Times New Roman"/>
          <w:color w:val="000000"/>
          <w:sz w:val="24"/>
          <w:szCs w:val="24"/>
        </w:rPr>
      </w:pPr>
      <w:bookmarkStart w:name="_Hlk54707072" w:id="3"/>
      <w:r>
        <w:rPr>
          <w:rFonts w:ascii="Times New Roman" w:hAnsi="Times New Roman" w:eastAsia="Times New Roman" w:cs="Times New Roman"/>
          <w:color w:val="000000"/>
          <w:sz w:val="24"/>
          <w:szCs w:val="24"/>
        </w:rPr>
        <w:t>We will take a similar course for Phase 3: feedback from Federal agency partners, data users and other stakeholders on diminishing, changing or emerging data needs will inform changes to the questionnaire.</w:t>
      </w:r>
      <w:r w:rsidR="00A83076">
        <w:rPr>
          <w:rFonts w:ascii="Times New Roman" w:hAnsi="Times New Roman" w:eastAsia="Times New Roman" w:cs="Times New Roman"/>
          <w:color w:val="000000"/>
          <w:sz w:val="24"/>
          <w:szCs w:val="24"/>
        </w:rPr>
        <w:t xml:space="preserve"> </w:t>
      </w:r>
      <w:r w:rsidRPr="0041557C" w:rsidR="0041557C">
        <w:rPr>
          <w:rFonts w:ascii="Times New Roman" w:hAnsi="Times New Roman" w:eastAsia="Times New Roman" w:cs="Times New Roman"/>
          <w:color w:val="000000"/>
          <w:sz w:val="24"/>
          <w:szCs w:val="24"/>
        </w:rPr>
        <w:t xml:space="preserve">If changes are warranted, the Census Bureau will submit those requests via </w:t>
      </w:r>
      <w:r w:rsidR="00CD62BF">
        <w:rPr>
          <w:rFonts w:ascii="Times New Roman" w:hAnsi="Times New Roman" w:eastAsia="Times New Roman" w:cs="Times New Roman"/>
          <w:color w:val="000000"/>
          <w:sz w:val="24"/>
          <w:szCs w:val="24"/>
        </w:rPr>
        <w:t>the process outlined in Supporting Statement A</w:t>
      </w:r>
      <w:r w:rsidRPr="0041557C" w:rsidR="0041557C">
        <w:rPr>
          <w:rFonts w:ascii="Times New Roman" w:hAnsi="Times New Roman" w:eastAsia="Times New Roman" w:cs="Times New Roman"/>
          <w:color w:val="000000"/>
          <w:sz w:val="24"/>
          <w:szCs w:val="24"/>
        </w:rPr>
        <w:t xml:space="preserve">. </w:t>
      </w:r>
    </w:p>
    <w:p w:rsidR="0041557C" w:rsidP="00080146" w:rsidRDefault="0041557C" w14:paraId="7D5EFA2F" w14:textId="77777777">
      <w:pPr>
        <w:spacing w:after="0" w:line="240" w:lineRule="auto"/>
        <w:ind w:left="900"/>
        <w:rPr>
          <w:rFonts w:ascii="Times New Roman" w:hAnsi="Times New Roman" w:eastAsia="Times New Roman" w:cs="Times New Roman"/>
          <w:color w:val="000000"/>
          <w:sz w:val="24"/>
          <w:szCs w:val="24"/>
        </w:rPr>
      </w:pPr>
    </w:p>
    <w:bookmarkEnd w:id="3"/>
    <w:p w:rsidRPr="00740801" w:rsidR="00D71531" w:rsidP="00FC5683" w:rsidRDefault="00F50302" w14:paraId="32EB0494" w14:textId="390D06DF">
      <w:pPr>
        <w:ind w:left="900"/>
        <w:rPr>
          <w:rFonts w:ascii="Times New Roman" w:hAnsi="Times New Roman" w:eastAsia="Times New Roman" w:cs="Times New Roman"/>
          <w:b/>
          <w:sz w:val="24"/>
          <w:szCs w:val="24"/>
          <w:lang w:bidi="he-IL"/>
        </w:rPr>
      </w:pPr>
      <w:r w:rsidRPr="00F50302">
        <w:rPr>
          <w:rFonts w:ascii="Times New Roman" w:hAnsi="Times New Roman" w:eastAsia="Times New Roman" w:cs="Times New Roman"/>
          <w:color w:val="000000"/>
          <w:sz w:val="24"/>
          <w:szCs w:val="24"/>
        </w:rPr>
        <w:lastRenderedPageBreak/>
        <w:t xml:space="preserve">The Census Bureau will release these data </w:t>
      </w:r>
      <w:r w:rsidR="00B41687">
        <w:rPr>
          <w:rFonts w:ascii="Times New Roman" w:hAnsi="Times New Roman" w:eastAsia="Times New Roman" w:cs="Times New Roman"/>
          <w:color w:val="000000"/>
          <w:sz w:val="24"/>
          <w:szCs w:val="24"/>
        </w:rPr>
        <w:t>through</w:t>
      </w:r>
      <w:r w:rsidRPr="00F50302">
        <w:rPr>
          <w:rFonts w:ascii="Times New Roman" w:hAnsi="Times New Roman" w:eastAsia="Times New Roman" w:cs="Times New Roman"/>
          <w:color w:val="000000"/>
          <w:sz w:val="24"/>
          <w:szCs w:val="24"/>
        </w:rPr>
        <w:t xml:space="preserve"> its Experimental Statistical Product Series.  Information on the Series is available at https://www.census.gov/data/experimental-data-products.html#.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080146" w:rsidP="00D71531" w:rsidRDefault="00080146" w14:paraId="6FE11FD4" w14:textId="77777777">
      <w:pPr>
        <w:spacing w:after="0" w:line="240" w:lineRule="auto"/>
        <w:ind w:left="540"/>
        <w:rPr>
          <w:rFonts w:ascii="Times New Roman" w:hAnsi="Times New Roman" w:eastAsia="Times New Roman" w:cs="Times New Roman"/>
          <w:b/>
          <w:sz w:val="24"/>
          <w:szCs w:val="24"/>
          <w:lang w:bidi="he-IL"/>
        </w:rPr>
      </w:pPr>
    </w:p>
    <w:p w:rsidRPr="00740801" w:rsidR="003A2EFF" w:rsidP="00FC5683" w:rsidRDefault="00080146" w14:paraId="17364AF5" w14:textId="5C702CB2">
      <w:pPr>
        <w:numPr>
          <w:ilvl w:val="12"/>
          <w:numId w:val="0"/>
        </w:numPr>
        <w:tabs>
          <w:tab w:val="left" w:pos="480"/>
          <w:tab w:val="left" w:pos="990"/>
          <w:tab w:val="left" w:pos="1440"/>
          <w:tab w:val="left" w:pos="1920"/>
          <w:tab w:val="left" w:pos="2400"/>
          <w:tab w:val="left" w:pos="5850"/>
          <w:tab w:val="left" w:pos="9240"/>
        </w:tabs>
        <w:spacing w:after="0" w:line="240" w:lineRule="auto"/>
        <w:ind w:left="900"/>
        <w:rPr>
          <w:rFonts w:ascii="Times New Roman" w:hAnsi="Times New Roman" w:cs="Times New Roman"/>
          <w:sz w:val="24"/>
          <w:szCs w:val="24"/>
        </w:rPr>
      </w:pPr>
      <w:r w:rsidRPr="00080146">
        <w:rPr>
          <w:rFonts w:ascii="Times New Roman" w:hAnsi="Times New Roman" w:cs="Times New Roman"/>
          <w:sz w:val="24"/>
          <w:szCs w:val="24"/>
        </w:rPr>
        <w:t>Nick Orsini, Associate Director for Economic Programs, may be contacted (301-763-6959) regarding the statistical and data collection aspects of the Small Business Pulse Survey.</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2"/>
      <w:footerReference w:type="even" r:id="rId13"/>
      <w:footerReference w:type="default" r:id="rId14"/>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86209" w14:textId="77777777" w:rsidR="00D73796" w:rsidRDefault="00D73796">
      <w:pPr>
        <w:spacing w:after="0" w:line="240" w:lineRule="auto"/>
      </w:pPr>
      <w:r>
        <w:separator/>
      </w:r>
    </w:p>
  </w:endnote>
  <w:endnote w:type="continuationSeparator" w:id="0">
    <w:p w14:paraId="1C6C42DA" w14:textId="77777777" w:rsidR="00D73796" w:rsidRDefault="00D73796">
      <w:pPr>
        <w:spacing w:after="0" w:line="240" w:lineRule="auto"/>
      </w:pPr>
      <w:r>
        <w:continuationSeparator/>
      </w:r>
    </w:p>
  </w:endnote>
  <w:endnote w:type="continuationNotice" w:id="1">
    <w:p w14:paraId="3499F5C6" w14:textId="77777777" w:rsidR="00D73796" w:rsidRDefault="00D73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6"/>
      <w:id w:val="506803326"/>
    </w:sdtPr>
    <w:sdtEndPr/>
    <w:sdtContent>
      <w:p w14:paraId="1B7DDE34" w14:textId="77777777"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A32789" w:rsidRDefault="00A3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3"/>
      <w:id w:val="57210534"/>
    </w:sdtPr>
    <w:sdtEndPr/>
    <w:sdtContent>
      <w:p w14:paraId="6B866527" w14:textId="2396A5E1"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D62BF">
          <w:rPr>
            <w:noProof/>
            <w:color w:val="000000"/>
          </w:rPr>
          <w:t>1</w:t>
        </w:r>
        <w:r>
          <w:rPr>
            <w:color w:val="000000"/>
          </w:rPr>
          <w:fldChar w:fldCharType="end"/>
        </w:r>
      </w:p>
    </w:sdtContent>
  </w:sdt>
  <w:sdt>
    <w:sdtPr>
      <w:tag w:val="goog_rdk_44"/>
      <w:id w:val="-1686517044"/>
    </w:sdtPr>
    <w:sdtEndPr/>
    <w:sdtContent>
      <w:p w14:paraId="1DE36EEC" w14:textId="77777777" w:rsidR="00A32789" w:rsidRDefault="004A3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B43D0" w14:textId="77777777" w:rsidR="00D73796" w:rsidRDefault="00D73796">
      <w:pPr>
        <w:spacing w:after="0" w:line="240" w:lineRule="auto"/>
      </w:pPr>
      <w:r>
        <w:separator/>
      </w:r>
    </w:p>
  </w:footnote>
  <w:footnote w:type="continuationSeparator" w:id="0">
    <w:p w14:paraId="114B69AD" w14:textId="77777777" w:rsidR="00D73796" w:rsidRDefault="00D73796">
      <w:pPr>
        <w:spacing w:after="0" w:line="240" w:lineRule="auto"/>
      </w:pPr>
      <w:r>
        <w:continuationSeparator/>
      </w:r>
    </w:p>
  </w:footnote>
  <w:footnote w:type="continuationNotice" w:id="1">
    <w:p w14:paraId="4A0C44CD" w14:textId="77777777" w:rsidR="00D73796" w:rsidRDefault="00D73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5"/>
      <w:id w:val="-764226697"/>
    </w:sdtPr>
    <w:sdtEndPr/>
    <w:sdtContent>
      <w:p w14:paraId="689E17CC" w14:textId="77777777" w:rsidR="00A32789" w:rsidRDefault="004A3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9480F"/>
    <w:multiLevelType w:val="hybridMultilevel"/>
    <w:tmpl w:val="70A4CBC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99B43902">
      <w:numFmt w:val="bullet"/>
      <w:lvlText w:val="•"/>
      <w:lvlJc w:val="left"/>
      <w:pPr>
        <w:ind w:left="2520" w:hanging="360"/>
      </w:pPr>
      <w:rPr>
        <w:rFonts w:ascii="Times New Roman" w:eastAsia="Times New Roman" w:hAnsi="Times New Roman" w:cs="Times New Roman"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C146E1A"/>
    <w:multiLevelType w:val="hybridMultilevel"/>
    <w:tmpl w:val="71B6B388"/>
    <w:lvl w:ilvl="0" w:tplc="F494760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4D845BA"/>
    <w:multiLevelType w:val="hybridMultilevel"/>
    <w:tmpl w:val="428A2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8165B3F"/>
    <w:multiLevelType w:val="hybridMultilevel"/>
    <w:tmpl w:val="86E0B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0736B"/>
    <w:rsid w:val="00037030"/>
    <w:rsid w:val="00042EDB"/>
    <w:rsid w:val="0004546C"/>
    <w:rsid w:val="00047A7A"/>
    <w:rsid w:val="00075EBF"/>
    <w:rsid w:val="00080146"/>
    <w:rsid w:val="000A6DCB"/>
    <w:rsid w:val="000C0F61"/>
    <w:rsid w:val="000C6D69"/>
    <w:rsid w:val="000E326C"/>
    <w:rsid w:val="001075DF"/>
    <w:rsid w:val="00125C54"/>
    <w:rsid w:val="0014148F"/>
    <w:rsid w:val="001463D8"/>
    <w:rsid w:val="00150063"/>
    <w:rsid w:val="00151DF9"/>
    <w:rsid w:val="0015518D"/>
    <w:rsid w:val="001623AC"/>
    <w:rsid w:val="00164BD2"/>
    <w:rsid w:val="00164F61"/>
    <w:rsid w:val="00176A63"/>
    <w:rsid w:val="00196DA9"/>
    <w:rsid w:val="001A08AC"/>
    <w:rsid w:val="001A3982"/>
    <w:rsid w:val="001B2489"/>
    <w:rsid w:val="001B7689"/>
    <w:rsid w:val="001F01AF"/>
    <w:rsid w:val="001F3D89"/>
    <w:rsid w:val="00201D03"/>
    <w:rsid w:val="00215992"/>
    <w:rsid w:val="00226F53"/>
    <w:rsid w:val="00233895"/>
    <w:rsid w:val="00264862"/>
    <w:rsid w:val="00296CA9"/>
    <w:rsid w:val="002B089B"/>
    <w:rsid w:val="002B7FC9"/>
    <w:rsid w:val="002C19CB"/>
    <w:rsid w:val="002C790C"/>
    <w:rsid w:val="002D1342"/>
    <w:rsid w:val="002E79C1"/>
    <w:rsid w:val="00341045"/>
    <w:rsid w:val="0034746B"/>
    <w:rsid w:val="003672C4"/>
    <w:rsid w:val="00386E9C"/>
    <w:rsid w:val="00397008"/>
    <w:rsid w:val="003A2EFF"/>
    <w:rsid w:val="003A7D33"/>
    <w:rsid w:val="003B262B"/>
    <w:rsid w:val="003D1060"/>
    <w:rsid w:val="003E21F1"/>
    <w:rsid w:val="003E7848"/>
    <w:rsid w:val="003F3AAE"/>
    <w:rsid w:val="0040187C"/>
    <w:rsid w:val="00406513"/>
    <w:rsid w:val="0041557C"/>
    <w:rsid w:val="004164D7"/>
    <w:rsid w:val="004661F1"/>
    <w:rsid w:val="00470743"/>
    <w:rsid w:val="004714B6"/>
    <w:rsid w:val="0048195C"/>
    <w:rsid w:val="00487796"/>
    <w:rsid w:val="0049003D"/>
    <w:rsid w:val="00493F37"/>
    <w:rsid w:val="00493FAF"/>
    <w:rsid w:val="004A3E9E"/>
    <w:rsid w:val="004B53B3"/>
    <w:rsid w:val="004C03BE"/>
    <w:rsid w:val="004C576F"/>
    <w:rsid w:val="004E10E3"/>
    <w:rsid w:val="00510E5B"/>
    <w:rsid w:val="005116FB"/>
    <w:rsid w:val="00535BFF"/>
    <w:rsid w:val="00537226"/>
    <w:rsid w:val="005451A8"/>
    <w:rsid w:val="00573A31"/>
    <w:rsid w:val="005807A8"/>
    <w:rsid w:val="005D1D9E"/>
    <w:rsid w:val="005E3E84"/>
    <w:rsid w:val="005E43BD"/>
    <w:rsid w:val="005E70B0"/>
    <w:rsid w:val="005F402F"/>
    <w:rsid w:val="005F7A6A"/>
    <w:rsid w:val="00611334"/>
    <w:rsid w:val="0061619C"/>
    <w:rsid w:val="0062515E"/>
    <w:rsid w:val="00625ED9"/>
    <w:rsid w:val="00630254"/>
    <w:rsid w:val="0064223A"/>
    <w:rsid w:val="00680807"/>
    <w:rsid w:val="00697FBB"/>
    <w:rsid w:val="006B7289"/>
    <w:rsid w:val="006D3FDB"/>
    <w:rsid w:val="00721883"/>
    <w:rsid w:val="0073003A"/>
    <w:rsid w:val="00736984"/>
    <w:rsid w:val="00740801"/>
    <w:rsid w:val="007773A9"/>
    <w:rsid w:val="00791988"/>
    <w:rsid w:val="00792206"/>
    <w:rsid w:val="007B2278"/>
    <w:rsid w:val="007B4A36"/>
    <w:rsid w:val="007B56C7"/>
    <w:rsid w:val="007E4711"/>
    <w:rsid w:val="00802877"/>
    <w:rsid w:val="00813CE6"/>
    <w:rsid w:val="008314C6"/>
    <w:rsid w:val="00840A78"/>
    <w:rsid w:val="008418FE"/>
    <w:rsid w:val="00855AD0"/>
    <w:rsid w:val="00856541"/>
    <w:rsid w:val="00860994"/>
    <w:rsid w:val="00871B6A"/>
    <w:rsid w:val="008772D4"/>
    <w:rsid w:val="00886BB8"/>
    <w:rsid w:val="008A489E"/>
    <w:rsid w:val="008C46B1"/>
    <w:rsid w:val="008E25B6"/>
    <w:rsid w:val="008F4CB0"/>
    <w:rsid w:val="0093023F"/>
    <w:rsid w:val="009306A2"/>
    <w:rsid w:val="0093632B"/>
    <w:rsid w:val="00936D6F"/>
    <w:rsid w:val="009456F5"/>
    <w:rsid w:val="00954FE2"/>
    <w:rsid w:val="00956905"/>
    <w:rsid w:val="00973B52"/>
    <w:rsid w:val="009C27DC"/>
    <w:rsid w:val="009D2419"/>
    <w:rsid w:val="009D7887"/>
    <w:rsid w:val="00A02520"/>
    <w:rsid w:val="00A0786D"/>
    <w:rsid w:val="00A21DA6"/>
    <w:rsid w:val="00A23502"/>
    <w:rsid w:val="00A23B6E"/>
    <w:rsid w:val="00A32789"/>
    <w:rsid w:val="00A42D65"/>
    <w:rsid w:val="00A4626F"/>
    <w:rsid w:val="00A552E1"/>
    <w:rsid w:val="00A65E61"/>
    <w:rsid w:val="00A83076"/>
    <w:rsid w:val="00A86D0E"/>
    <w:rsid w:val="00A90BA6"/>
    <w:rsid w:val="00A91E29"/>
    <w:rsid w:val="00AC0FAA"/>
    <w:rsid w:val="00AC36BA"/>
    <w:rsid w:val="00AF20AD"/>
    <w:rsid w:val="00AF720F"/>
    <w:rsid w:val="00B1012F"/>
    <w:rsid w:val="00B10EE1"/>
    <w:rsid w:val="00B203E0"/>
    <w:rsid w:val="00B31610"/>
    <w:rsid w:val="00B320B4"/>
    <w:rsid w:val="00B322A3"/>
    <w:rsid w:val="00B37F0A"/>
    <w:rsid w:val="00B41687"/>
    <w:rsid w:val="00B52B6F"/>
    <w:rsid w:val="00B75565"/>
    <w:rsid w:val="00BA0F9A"/>
    <w:rsid w:val="00BC3CF9"/>
    <w:rsid w:val="00BF720E"/>
    <w:rsid w:val="00C31191"/>
    <w:rsid w:val="00C318C2"/>
    <w:rsid w:val="00C51F3D"/>
    <w:rsid w:val="00C53E42"/>
    <w:rsid w:val="00C6392C"/>
    <w:rsid w:val="00C70178"/>
    <w:rsid w:val="00C73231"/>
    <w:rsid w:val="00C85C0D"/>
    <w:rsid w:val="00C92494"/>
    <w:rsid w:val="00CC6CCF"/>
    <w:rsid w:val="00CD62BF"/>
    <w:rsid w:val="00CE152A"/>
    <w:rsid w:val="00D147AF"/>
    <w:rsid w:val="00D4547F"/>
    <w:rsid w:val="00D52200"/>
    <w:rsid w:val="00D6174B"/>
    <w:rsid w:val="00D6312D"/>
    <w:rsid w:val="00D637F9"/>
    <w:rsid w:val="00D6456E"/>
    <w:rsid w:val="00D67515"/>
    <w:rsid w:val="00D71531"/>
    <w:rsid w:val="00D73796"/>
    <w:rsid w:val="00D764FA"/>
    <w:rsid w:val="00D81AFC"/>
    <w:rsid w:val="00D8670E"/>
    <w:rsid w:val="00D909A0"/>
    <w:rsid w:val="00E131E0"/>
    <w:rsid w:val="00E15A69"/>
    <w:rsid w:val="00E269D1"/>
    <w:rsid w:val="00E272BF"/>
    <w:rsid w:val="00E7052A"/>
    <w:rsid w:val="00E85561"/>
    <w:rsid w:val="00E95549"/>
    <w:rsid w:val="00EB58B7"/>
    <w:rsid w:val="00EB5DC6"/>
    <w:rsid w:val="00EC0852"/>
    <w:rsid w:val="00EC6F71"/>
    <w:rsid w:val="00ED05E7"/>
    <w:rsid w:val="00F04421"/>
    <w:rsid w:val="00F23393"/>
    <w:rsid w:val="00F252C4"/>
    <w:rsid w:val="00F26D51"/>
    <w:rsid w:val="00F43EB7"/>
    <w:rsid w:val="00F445B1"/>
    <w:rsid w:val="00F50302"/>
    <w:rsid w:val="00F55B37"/>
    <w:rsid w:val="00F63DAF"/>
    <w:rsid w:val="00F702B6"/>
    <w:rsid w:val="00F8221D"/>
    <w:rsid w:val="00F825F7"/>
    <w:rsid w:val="00FA1591"/>
    <w:rsid w:val="00FC05D9"/>
    <w:rsid w:val="00FC1500"/>
    <w:rsid w:val="00FC5683"/>
    <w:rsid w:val="00FC7AC3"/>
    <w:rsid w:val="00FE51CA"/>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paragraph" w:styleId="Revision">
    <w:name w:val="Revision"/>
    <w:hidden/>
    <w:uiPriority w:val="99"/>
    <w:semiHidden/>
    <w:rsid w:val="00A55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953688">
      <w:bodyDiv w:val="1"/>
      <w:marLeft w:val="0"/>
      <w:marRight w:val="0"/>
      <w:marTop w:val="0"/>
      <w:marBottom w:val="0"/>
      <w:divBdr>
        <w:top w:val="none" w:sz="0" w:space="0" w:color="auto"/>
        <w:left w:val="none" w:sz="0" w:space="0" w:color="auto"/>
        <w:bottom w:val="none" w:sz="0" w:space="0" w:color="auto"/>
        <w:right w:val="none" w:sz="0" w:space="0" w:color="auto"/>
      </w:divBdr>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Thomas J Smith (CENSUS/EMD FED)</cp:lastModifiedBy>
  <cp:revision>2</cp:revision>
  <dcterms:created xsi:type="dcterms:W3CDTF">2020-10-30T19:37:00Z</dcterms:created>
  <dcterms:modified xsi:type="dcterms:W3CDTF">2020-10-30T19:37:00Z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