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023" w:rsidP="004E48D9" w:rsidRDefault="00375023" w14:paraId="172148F1" w14:textId="28B2C8ED">
      <w:pPr>
        <w:pStyle w:val="DefaultText"/>
        <w:spacing w:line="360" w:lineRule="auto"/>
        <w:rPr>
          <w:rStyle w:val="InitialStyle"/>
          <w:b/>
          <w:u w:val="single"/>
        </w:rPr>
      </w:pPr>
      <w:bookmarkStart w:name="_Toc142106607" w:id="0"/>
      <w:bookmarkStart w:name="_GoBack" w:id="1"/>
      <w:bookmarkEnd w:id="1"/>
      <w:r>
        <w:rPr>
          <w:rStyle w:val="InitialStyle"/>
          <w:b/>
          <w:u w:val="single"/>
        </w:rPr>
        <w:t>Health Managem</w:t>
      </w:r>
      <w:r w:rsidR="00537F04">
        <w:rPr>
          <w:rStyle w:val="InitialStyle"/>
          <w:b/>
          <w:u w:val="single"/>
        </w:rPr>
        <w:t>ent on U.S. Feedlots, 2020 Study</w:t>
      </w:r>
    </w:p>
    <w:p w:rsidRPr="004D3ABD" w:rsidR="004E48D9" w:rsidP="004E48D9" w:rsidRDefault="004E48D9" w14:paraId="72F7F20E" w14:textId="77777777">
      <w:pPr>
        <w:pStyle w:val="DefaultText"/>
        <w:spacing w:line="360" w:lineRule="auto"/>
        <w:rPr>
          <w:caps/>
        </w:rPr>
      </w:pPr>
      <w:r w:rsidRPr="005B4C2D">
        <w:rPr>
          <w:b/>
        </w:rPr>
        <w:t>B.</w:t>
      </w:r>
      <w:r w:rsidR="00375023">
        <w:rPr>
          <w:b/>
        </w:rPr>
        <w:t xml:space="preserve"> </w:t>
      </w:r>
      <w:r w:rsidRPr="004D3ABD">
        <w:rPr>
          <w:b/>
          <w:caps/>
        </w:rPr>
        <w:t>Collections of Information Employing Statistical Methods</w:t>
      </w:r>
      <w:bookmarkEnd w:id="0"/>
    </w:p>
    <w:p w:rsidRPr="004D3ABD" w:rsidR="004E48D9" w:rsidP="004E48D9" w:rsidRDefault="00D5075A" w14:paraId="0D05C69E" w14:textId="2A8C845E">
      <w:pPr>
        <w:pStyle w:val="ListParagraph"/>
        <w:numPr>
          <w:ilvl w:val="0"/>
          <w:numId w:val="6"/>
        </w:numPr>
        <w:spacing w:after="240"/>
        <w:rPr>
          <w:rStyle w:val="InitialStyle"/>
          <w:rFonts w:ascii="Times New Roman" w:hAnsi="Times New Roman"/>
          <w:b/>
          <w:caps/>
        </w:rPr>
      </w:pPr>
      <w:bookmarkStart w:name="_Toc120517344" w:id="2"/>
      <w:bookmarkStart w:name="_Toc121289103" w:id="3"/>
      <w:bookmarkStart w:name="_Toc133308572" w:id="4"/>
      <w:bookmarkStart w:name="_Toc142106608" w:id="5"/>
      <w:r w:rsidRPr="004D3ABD">
        <w:rPr>
          <w:rFonts w:ascii="Times New Roman" w:hAnsi="Times New Roman"/>
          <w:b/>
          <w:caps/>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2"/>
      <w:bookmarkEnd w:id="3"/>
      <w:bookmarkEnd w:id="4"/>
      <w:bookmarkEnd w:id="5"/>
    </w:p>
    <w:p w:rsidR="00EB34B1" w:rsidP="004E48D9" w:rsidRDefault="004E48D9" w14:paraId="31A14DC0" w14:textId="781F22CF">
      <w:pPr>
        <w:pStyle w:val="DefaultText"/>
        <w:rPr>
          <w:rStyle w:val="InitialStyle"/>
        </w:rPr>
      </w:pPr>
      <w:r w:rsidRPr="005B4C2D">
        <w:rPr>
          <w:rStyle w:val="InitialStyle"/>
        </w:rPr>
        <w:t xml:space="preserve">The </w:t>
      </w:r>
      <w:r w:rsidR="00375023">
        <w:t xml:space="preserve">Health Management on U.S. Feedlots study </w:t>
      </w:r>
      <w:r w:rsidR="004C0CE1">
        <w:rPr>
          <w:rStyle w:val="InitialStyle"/>
        </w:rPr>
        <w:t>has two components</w:t>
      </w:r>
      <w:r w:rsidR="00D5075A">
        <w:rPr>
          <w:rStyle w:val="InitialStyle"/>
        </w:rPr>
        <w:t>, both part of the same study</w:t>
      </w:r>
      <w:r w:rsidR="004C0CE1">
        <w:rPr>
          <w:rStyle w:val="InitialStyle"/>
        </w:rPr>
        <w:t>:</w:t>
      </w:r>
      <w:r w:rsidR="00375023">
        <w:rPr>
          <w:rStyle w:val="InitialStyle"/>
        </w:rPr>
        <w:t xml:space="preserve"> </w:t>
      </w:r>
      <w:r w:rsidR="00D5075A">
        <w:rPr>
          <w:rStyle w:val="InitialStyle"/>
        </w:rPr>
        <w:t xml:space="preserve">a </w:t>
      </w:r>
      <w:r w:rsidR="00EB34B1">
        <w:rPr>
          <w:rStyle w:val="InitialStyle"/>
        </w:rPr>
        <w:t xml:space="preserve">large </w:t>
      </w:r>
      <w:r w:rsidR="000062B9">
        <w:rPr>
          <w:rStyle w:val="InitialStyle"/>
        </w:rPr>
        <w:t xml:space="preserve">capacity feedlot </w:t>
      </w:r>
      <w:r w:rsidR="00EB34B1">
        <w:rPr>
          <w:rStyle w:val="InitialStyle"/>
        </w:rPr>
        <w:t xml:space="preserve">component and a small </w:t>
      </w:r>
      <w:r w:rsidR="000062B9">
        <w:rPr>
          <w:rStyle w:val="InitialStyle"/>
        </w:rPr>
        <w:t xml:space="preserve">capacity feedlot </w:t>
      </w:r>
      <w:r w:rsidR="00EB34B1">
        <w:rPr>
          <w:rStyle w:val="InitialStyle"/>
        </w:rPr>
        <w:t>component.</w:t>
      </w:r>
      <w:r w:rsidR="00375023">
        <w:rPr>
          <w:rStyle w:val="InitialStyle"/>
        </w:rPr>
        <w:t xml:space="preserve"> </w:t>
      </w:r>
      <w:r w:rsidR="004C0CE1">
        <w:rPr>
          <w:rStyle w:val="InitialStyle"/>
        </w:rPr>
        <w:t xml:space="preserve">The </w:t>
      </w:r>
      <w:r w:rsidRPr="005B4C2D" w:rsidR="004C0CE1">
        <w:rPr>
          <w:rStyle w:val="InitialStyle"/>
        </w:rPr>
        <w:t xml:space="preserve">potential respondent universe </w:t>
      </w:r>
      <w:r w:rsidR="004C0CE1">
        <w:rPr>
          <w:rStyle w:val="InitialStyle"/>
        </w:rPr>
        <w:t xml:space="preserve">for the large component is </w:t>
      </w:r>
      <w:r w:rsidR="00F85A32">
        <w:rPr>
          <w:rStyle w:val="InitialStyle"/>
        </w:rPr>
        <w:t>feedlot</w:t>
      </w:r>
      <w:r w:rsidR="003B5E77">
        <w:rPr>
          <w:rStyle w:val="InitialStyle"/>
        </w:rPr>
        <w:t xml:space="preserve">s </w:t>
      </w:r>
      <w:r w:rsidR="00897E9D">
        <w:rPr>
          <w:rStyle w:val="InitialStyle"/>
        </w:rPr>
        <w:t xml:space="preserve">with 1,000 or more </w:t>
      </w:r>
      <w:r w:rsidR="00C820D0">
        <w:rPr>
          <w:rStyle w:val="InitialStyle"/>
        </w:rPr>
        <w:t>feedlot</w:t>
      </w:r>
      <w:r w:rsidR="00F16209">
        <w:rPr>
          <w:rStyle w:val="InitialStyle"/>
        </w:rPr>
        <w:t xml:space="preserve"> capacity </w:t>
      </w:r>
      <w:r w:rsidR="00B136AD">
        <w:rPr>
          <w:rStyle w:val="InitialStyle"/>
        </w:rPr>
        <w:t xml:space="preserve">in </w:t>
      </w:r>
      <w:r w:rsidR="00D5075A">
        <w:rPr>
          <w:rStyle w:val="InitialStyle"/>
        </w:rPr>
        <w:t xml:space="preserve">17 </w:t>
      </w:r>
      <w:r w:rsidR="00B136AD">
        <w:rPr>
          <w:rStyle w:val="InitialStyle"/>
        </w:rPr>
        <w:t>states</w:t>
      </w:r>
      <w:r w:rsidR="0027331F">
        <w:rPr>
          <w:rStyle w:val="FootnoteReference"/>
        </w:rPr>
        <w:footnoteReference w:id="1"/>
      </w:r>
      <w:r w:rsidR="006C5FB7">
        <w:rPr>
          <w:rStyle w:val="InitialStyle"/>
        </w:rPr>
        <w:t>.</w:t>
      </w:r>
      <w:r w:rsidR="00375023">
        <w:rPr>
          <w:rStyle w:val="InitialStyle"/>
        </w:rPr>
        <w:t xml:space="preserve"> </w:t>
      </w:r>
      <w:r w:rsidR="00EB34B1">
        <w:rPr>
          <w:rStyle w:val="InitialStyle"/>
        </w:rPr>
        <w:t>For the small component, the potential</w:t>
      </w:r>
      <w:r w:rsidR="003B5E77">
        <w:rPr>
          <w:rStyle w:val="InitialStyle"/>
        </w:rPr>
        <w:t xml:space="preserve"> respondent universe is feedlots </w:t>
      </w:r>
      <w:r w:rsidR="00EB34B1">
        <w:rPr>
          <w:rStyle w:val="InitialStyle"/>
        </w:rPr>
        <w:t xml:space="preserve">with 50-999 head capacity in </w:t>
      </w:r>
      <w:r w:rsidR="00D5075A">
        <w:rPr>
          <w:rStyle w:val="InitialStyle"/>
        </w:rPr>
        <w:t xml:space="preserve">18 </w:t>
      </w:r>
      <w:r w:rsidR="00EB34B1">
        <w:rPr>
          <w:rStyle w:val="InitialStyle"/>
        </w:rPr>
        <w:t>states</w:t>
      </w:r>
      <w:r w:rsidR="0027331F">
        <w:rPr>
          <w:rStyle w:val="FootnoteReference"/>
        </w:rPr>
        <w:footnoteReference w:id="2"/>
      </w:r>
      <w:r w:rsidR="000062B9">
        <w:rPr>
          <w:rStyle w:val="InitialStyle"/>
        </w:rPr>
        <w:t>.</w:t>
      </w:r>
      <w:r w:rsidR="00375023">
        <w:rPr>
          <w:rStyle w:val="InitialStyle"/>
        </w:rPr>
        <w:t xml:space="preserve"> </w:t>
      </w:r>
      <w:r w:rsidR="00652788">
        <w:rPr>
          <w:rStyle w:val="InitialStyle"/>
        </w:rPr>
        <w:t xml:space="preserve"> </w:t>
      </w:r>
      <w:r w:rsidR="00C839FE">
        <w:rPr>
          <w:rStyle w:val="InitialStyle"/>
        </w:rPr>
        <w:t>Cattle on feed are defined as steers and he</w:t>
      </w:r>
      <w:r w:rsidR="0046393A">
        <w:rPr>
          <w:rStyle w:val="InitialStyle"/>
        </w:rPr>
        <w:t>ifers being fed a ration of grai</w:t>
      </w:r>
      <w:r w:rsidR="00C839FE">
        <w:rPr>
          <w:rStyle w:val="InitialStyle"/>
        </w:rPr>
        <w:t>n, silage, hay, and/or protein supplement for slaughter market that are expected to produce a carcass that will grade select or better.</w:t>
      </w:r>
      <w:r w:rsidR="00652788">
        <w:rPr>
          <w:rStyle w:val="InitialStyle"/>
        </w:rPr>
        <w:t xml:space="preserve"> </w:t>
      </w:r>
      <w:r w:rsidR="00C839FE">
        <w:rPr>
          <w:rStyle w:val="InitialStyle"/>
        </w:rPr>
        <w:t>It excludes cattle being “backgrounded only” for later sale as feeders or later placement in another feedlot (</w:t>
      </w:r>
      <w:hyperlink w:history="1" r:id="rId8">
        <w:r w:rsidRPr="000062B9" w:rsidR="00C839FE">
          <w:rPr>
            <w:rStyle w:val="Hyperlink"/>
          </w:rPr>
          <w:t xml:space="preserve">NASS Cattle on Feed, </w:t>
        </w:r>
        <w:r w:rsidRPr="000062B9" w:rsidR="000062B9">
          <w:rPr>
            <w:rStyle w:val="Hyperlink"/>
          </w:rPr>
          <w:t xml:space="preserve">June </w:t>
        </w:r>
        <w:r w:rsidRPr="000062B9" w:rsidR="00C839FE">
          <w:rPr>
            <w:rStyle w:val="Hyperlink"/>
          </w:rPr>
          <w:t>2019</w:t>
        </w:r>
      </w:hyperlink>
      <w:r w:rsidR="00C839FE">
        <w:rPr>
          <w:rStyle w:val="InitialStyle"/>
        </w:rPr>
        <w:t>).</w:t>
      </w:r>
    </w:p>
    <w:p w:rsidR="00EB34B1" w:rsidP="004E48D9" w:rsidRDefault="00EB34B1" w14:paraId="14309AFD" w14:textId="77777777">
      <w:pPr>
        <w:pStyle w:val="DefaultText"/>
        <w:rPr>
          <w:rStyle w:val="InitialStyle"/>
        </w:rPr>
      </w:pPr>
    </w:p>
    <w:p w:rsidR="008E1BAC" w:rsidP="004E48D9" w:rsidRDefault="008B3CC0" w14:paraId="27B6A664" w14:textId="1D4B3A98">
      <w:pPr>
        <w:pStyle w:val="DefaultText"/>
        <w:rPr>
          <w:rStyle w:val="InitialStyle"/>
        </w:rPr>
      </w:pPr>
      <w:r>
        <w:rPr>
          <w:rStyle w:val="InitialStyle"/>
        </w:rPr>
        <w:t xml:space="preserve">Feedlots with 1,000 or more head </w:t>
      </w:r>
      <w:r w:rsidR="0027331F">
        <w:rPr>
          <w:rStyle w:val="InitialStyle"/>
        </w:rPr>
        <w:t xml:space="preserve">inventories </w:t>
      </w:r>
      <w:r>
        <w:rPr>
          <w:rStyle w:val="InitialStyle"/>
        </w:rPr>
        <w:t xml:space="preserve">account for </w:t>
      </w:r>
      <w:r w:rsidR="008E1BAC">
        <w:rPr>
          <w:rStyle w:val="InitialStyle"/>
        </w:rPr>
        <w:t xml:space="preserve">approximately </w:t>
      </w:r>
      <w:r w:rsidR="0027331F">
        <w:rPr>
          <w:rStyle w:val="InitialStyle"/>
        </w:rPr>
        <w:t xml:space="preserve">78 </w:t>
      </w:r>
      <w:r w:rsidR="00897E9D">
        <w:rPr>
          <w:rStyle w:val="InitialStyle"/>
        </w:rPr>
        <w:t xml:space="preserve">percent of all cattle on </w:t>
      </w:r>
      <w:r w:rsidR="008E1BAC">
        <w:rPr>
          <w:rStyle w:val="InitialStyle"/>
        </w:rPr>
        <w:t>feed in the U.S</w:t>
      </w:r>
      <w:r w:rsidR="0027331F">
        <w:rPr>
          <w:rStyle w:val="InitialStyle"/>
        </w:rPr>
        <w:t>.</w:t>
      </w:r>
      <w:r w:rsidR="008E1BAC">
        <w:rPr>
          <w:rStyle w:val="InitialStyle"/>
        </w:rPr>
        <w:t xml:space="preserve"> </w:t>
      </w:r>
      <w:r w:rsidR="00EE4E69">
        <w:rPr>
          <w:rStyle w:val="InitialStyle"/>
        </w:rPr>
        <w:t xml:space="preserve">The </w:t>
      </w:r>
      <w:r w:rsidR="00D5075A">
        <w:rPr>
          <w:rStyle w:val="InitialStyle"/>
        </w:rPr>
        <w:t xml:space="preserve">17 </w:t>
      </w:r>
      <w:r w:rsidR="00AB358E">
        <w:rPr>
          <w:rStyle w:val="InitialStyle"/>
        </w:rPr>
        <w:t>S</w:t>
      </w:r>
      <w:r w:rsidR="00EE4E69">
        <w:rPr>
          <w:rStyle w:val="InitialStyle"/>
        </w:rPr>
        <w:t xml:space="preserve">tates </w:t>
      </w:r>
      <w:r w:rsidR="00EB34B1">
        <w:rPr>
          <w:rStyle w:val="InitialStyle"/>
        </w:rPr>
        <w:t xml:space="preserve">for the large component </w:t>
      </w:r>
      <w:r w:rsidR="00EE4E69">
        <w:rPr>
          <w:rStyle w:val="InitialStyle"/>
        </w:rPr>
        <w:t>were chosen because</w:t>
      </w:r>
      <w:r w:rsidR="00AA5281">
        <w:rPr>
          <w:rStyle w:val="InitialStyle"/>
        </w:rPr>
        <w:t xml:space="preserve"> </w:t>
      </w:r>
      <w:r w:rsidR="008C2308">
        <w:rPr>
          <w:rStyle w:val="InitialStyle"/>
        </w:rPr>
        <w:t xml:space="preserve">they account for </w:t>
      </w:r>
      <w:r w:rsidR="0027331F">
        <w:rPr>
          <w:rStyle w:val="InitialStyle"/>
        </w:rPr>
        <w:t xml:space="preserve">95.4 </w:t>
      </w:r>
      <w:r w:rsidR="00803DDF">
        <w:rPr>
          <w:rStyle w:val="InitialStyle"/>
        </w:rPr>
        <w:t xml:space="preserve">percent </w:t>
      </w:r>
      <w:r w:rsidR="00EE4E69">
        <w:rPr>
          <w:rStyle w:val="InitialStyle"/>
        </w:rPr>
        <w:t xml:space="preserve">of </w:t>
      </w:r>
      <w:r w:rsidR="00897E9D">
        <w:rPr>
          <w:rStyle w:val="InitialStyle"/>
        </w:rPr>
        <w:t xml:space="preserve">the cattle on </w:t>
      </w:r>
      <w:r w:rsidR="00337710">
        <w:rPr>
          <w:rStyle w:val="InitialStyle"/>
        </w:rPr>
        <w:t>feed on</w:t>
      </w:r>
      <w:r w:rsidR="00EE4E69">
        <w:rPr>
          <w:rStyle w:val="InitialStyle"/>
        </w:rPr>
        <w:t xml:space="preserve"> </w:t>
      </w:r>
      <w:r w:rsidR="003B5E77">
        <w:rPr>
          <w:rStyle w:val="InitialStyle"/>
        </w:rPr>
        <w:t>feedlots</w:t>
      </w:r>
      <w:r w:rsidR="00EE4E69">
        <w:rPr>
          <w:rStyle w:val="InitialStyle"/>
        </w:rPr>
        <w:t xml:space="preserve"> </w:t>
      </w:r>
      <w:r>
        <w:rPr>
          <w:rStyle w:val="InitialStyle"/>
        </w:rPr>
        <w:t>with 1,000 or more head</w:t>
      </w:r>
      <w:r w:rsidR="0027331F">
        <w:rPr>
          <w:rStyle w:val="InitialStyle"/>
        </w:rPr>
        <w:t xml:space="preserve"> inventories</w:t>
      </w:r>
      <w:r w:rsidR="00ED00F1">
        <w:rPr>
          <w:rStyle w:val="InitialStyle"/>
        </w:rPr>
        <w:t xml:space="preserve">, and </w:t>
      </w:r>
      <w:r w:rsidR="0027331F">
        <w:rPr>
          <w:rStyle w:val="InitialStyle"/>
        </w:rPr>
        <w:t xml:space="preserve">94.2 </w:t>
      </w:r>
      <w:r w:rsidR="00ED00F1">
        <w:rPr>
          <w:rStyle w:val="InitialStyle"/>
        </w:rPr>
        <w:t xml:space="preserve">percent of </w:t>
      </w:r>
      <w:r w:rsidR="003B5E77">
        <w:rPr>
          <w:rStyle w:val="InitialStyle"/>
        </w:rPr>
        <w:t>feedlots</w:t>
      </w:r>
      <w:r w:rsidR="00ED00F1">
        <w:rPr>
          <w:rStyle w:val="InitialStyle"/>
        </w:rPr>
        <w:t xml:space="preserve"> with 1,000 or more head </w:t>
      </w:r>
      <w:r w:rsidR="0027331F">
        <w:rPr>
          <w:rStyle w:val="InitialStyle"/>
        </w:rPr>
        <w:t>inventory (</w:t>
      </w:r>
      <w:hyperlink w:history="1" r:id="rId9">
        <w:r w:rsidRPr="0027331F" w:rsidR="0027331F">
          <w:rPr>
            <w:rStyle w:val="Hyperlink"/>
          </w:rPr>
          <w:t>NASS 2017 Census of Agriculture</w:t>
        </w:r>
      </w:hyperlink>
      <w:r w:rsidR="0027331F">
        <w:rPr>
          <w:rStyle w:val="InitialStyle"/>
        </w:rPr>
        <w:t>)</w:t>
      </w:r>
      <w:r w:rsidR="0027331F">
        <w:rPr>
          <w:rStyle w:val="FootnoteReference"/>
        </w:rPr>
        <w:footnoteReference w:id="3"/>
      </w:r>
      <w:r w:rsidR="0027331F">
        <w:rPr>
          <w:rStyle w:val="InitialStyle"/>
        </w:rPr>
        <w:t>.</w:t>
      </w:r>
    </w:p>
    <w:p w:rsidR="008E1BAC" w:rsidP="004E48D9" w:rsidRDefault="008E1BAC" w14:paraId="251A12F0" w14:textId="77777777">
      <w:pPr>
        <w:pStyle w:val="DefaultText"/>
        <w:rPr>
          <w:rStyle w:val="InitialStyle"/>
        </w:rPr>
      </w:pPr>
    </w:p>
    <w:p w:rsidR="002330B6" w:rsidP="004E48D9" w:rsidRDefault="008E1BAC" w14:paraId="74553509" w14:textId="05A0ACF1">
      <w:pPr>
        <w:pStyle w:val="DefaultText"/>
        <w:rPr>
          <w:rStyle w:val="InitialStyle"/>
        </w:rPr>
      </w:pPr>
      <w:r>
        <w:rPr>
          <w:rStyle w:val="InitialStyle"/>
        </w:rPr>
        <w:t xml:space="preserve">Although large feedlots account for </w:t>
      </w:r>
      <w:r w:rsidR="0027331F">
        <w:rPr>
          <w:rStyle w:val="InitialStyle"/>
        </w:rPr>
        <w:t xml:space="preserve">78 </w:t>
      </w:r>
      <w:r>
        <w:rPr>
          <w:rStyle w:val="InitialStyle"/>
        </w:rPr>
        <w:t xml:space="preserve">percent of U.S. </w:t>
      </w:r>
      <w:r w:rsidR="00897E9D">
        <w:rPr>
          <w:rStyle w:val="InitialStyle"/>
        </w:rPr>
        <w:t xml:space="preserve">cattle on feed, the </w:t>
      </w:r>
      <w:r w:rsidR="002D68BF">
        <w:rPr>
          <w:rStyle w:val="InitialStyle"/>
        </w:rPr>
        <w:t xml:space="preserve">Study </w:t>
      </w:r>
      <w:r>
        <w:rPr>
          <w:rStyle w:val="InitialStyle"/>
        </w:rPr>
        <w:t>includes a small component because small feedlots may have different management practices than large feedlots.</w:t>
      </w:r>
      <w:r w:rsidR="0027331F">
        <w:rPr>
          <w:rStyle w:val="InitialStyle"/>
        </w:rPr>
        <w:t xml:space="preserve"> Also, small feedlots account for 91.5 percent of all feedlots with 50 or more head inventory in the U.S.</w:t>
      </w:r>
      <w:r w:rsidR="00375023">
        <w:rPr>
          <w:rStyle w:val="InitialStyle"/>
        </w:rPr>
        <w:t xml:space="preserve"> </w:t>
      </w:r>
      <w:r w:rsidR="008B3CC0">
        <w:rPr>
          <w:rStyle w:val="InitialStyle"/>
        </w:rPr>
        <w:t xml:space="preserve">The </w:t>
      </w:r>
      <w:r w:rsidR="00D5075A">
        <w:rPr>
          <w:rStyle w:val="InitialStyle"/>
        </w:rPr>
        <w:t xml:space="preserve">18 </w:t>
      </w:r>
      <w:r w:rsidR="008B3CC0">
        <w:rPr>
          <w:rStyle w:val="InitialStyle"/>
        </w:rPr>
        <w:t xml:space="preserve">states </w:t>
      </w:r>
      <w:r w:rsidR="0027331F">
        <w:rPr>
          <w:rStyle w:val="InitialStyle"/>
        </w:rPr>
        <w:t xml:space="preserve">chosen </w:t>
      </w:r>
      <w:r w:rsidR="008B3CC0">
        <w:rPr>
          <w:rStyle w:val="InitialStyle"/>
        </w:rPr>
        <w:t>for the small component account for</w:t>
      </w:r>
      <w:r w:rsidR="00803DDF">
        <w:rPr>
          <w:rStyle w:val="InitialStyle"/>
        </w:rPr>
        <w:t xml:space="preserve"> </w:t>
      </w:r>
      <w:r w:rsidR="0027331F">
        <w:rPr>
          <w:rStyle w:val="InitialStyle"/>
        </w:rPr>
        <w:t xml:space="preserve">95.5 </w:t>
      </w:r>
      <w:r w:rsidR="00803DDF">
        <w:rPr>
          <w:rStyle w:val="InitialStyle"/>
        </w:rPr>
        <w:t xml:space="preserve">percent of the inventory on </w:t>
      </w:r>
      <w:r w:rsidR="003B5E77">
        <w:rPr>
          <w:rStyle w:val="InitialStyle"/>
        </w:rPr>
        <w:t>feedlots</w:t>
      </w:r>
      <w:r w:rsidR="00803DDF">
        <w:rPr>
          <w:rStyle w:val="InitialStyle"/>
        </w:rPr>
        <w:t xml:space="preserve"> with 50-999 head and </w:t>
      </w:r>
      <w:r w:rsidR="0027331F">
        <w:rPr>
          <w:rStyle w:val="InitialStyle"/>
        </w:rPr>
        <w:t xml:space="preserve">93.9 </w:t>
      </w:r>
      <w:r w:rsidR="00803DDF">
        <w:rPr>
          <w:rStyle w:val="InitialStyle"/>
        </w:rPr>
        <w:t xml:space="preserve">percent of </w:t>
      </w:r>
      <w:r w:rsidR="003B5E77">
        <w:rPr>
          <w:rStyle w:val="InitialStyle"/>
        </w:rPr>
        <w:t>feedlots</w:t>
      </w:r>
      <w:r w:rsidR="00803DDF">
        <w:rPr>
          <w:rStyle w:val="InitialStyle"/>
        </w:rPr>
        <w:t xml:space="preserve"> with 50-999 head.</w:t>
      </w:r>
      <w:r w:rsidR="00375023">
        <w:rPr>
          <w:rStyle w:val="InitialStyle"/>
        </w:rPr>
        <w:t xml:space="preserve"> </w:t>
      </w:r>
    </w:p>
    <w:p w:rsidR="00717ACA" w:rsidP="004E48D9" w:rsidRDefault="00717ACA" w14:paraId="67552C1E" w14:textId="77777777">
      <w:pPr>
        <w:pStyle w:val="DefaultText"/>
        <w:rPr>
          <w:rStyle w:val="InitialStyle"/>
        </w:rPr>
      </w:pPr>
    </w:p>
    <w:p w:rsidR="00ED00F1" w:rsidP="004E48D9" w:rsidRDefault="002D68BF" w14:paraId="4BBF5239" w14:textId="576B40FC">
      <w:pPr>
        <w:pStyle w:val="DefaultText"/>
        <w:rPr>
          <w:rStyle w:val="InitialStyle"/>
        </w:rPr>
      </w:pPr>
      <w:r>
        <w:rPr>
          <w:rStyle w:val="InitialStyle"/>
        </w:rPr>
        <w:lastRenderedPageBreak/>
        <w:t>NASS will select a</w:t>
      </w:r>
      <w:r w:rsidR="00072C05">
        <w:rPr>
          <w:rStyle w:val="InitialStyle"/>
        </w:rPr>
        <w:t xml:space="preserve">ll </w:t>
      </w:r>
      <w:r w:rsidR="003B5E77">
        <w:rPr>
          <w:rStyle w:val="InitialStyle"/>
        </w:rPr>
        <w:t>feedlots</w:t>
      </w:r>
      <w:r w:rsidR="002330B6">
        <w:rPr>
          <w:rStyle w:val="InitialStyle"/>
        </w:rPr>
        <w:t xml:space="preserve"> </w:t>
      </w:r>
      <w:r w:rsidR="00072C05">
        <w:rPr>
          <w:rStyle w:val="InitialStyle"/>
        </w:rPr>
        <w:t xml:space="preserve">with 1,000 or more </w:t>
      </w:r>
      <w:r w:rsidR="00ED00F1">
        <w:rPr>
          <w:rStyle w:val="InitialStyle"/>
        </w:rPr>
        <w:t>head</w:t>
      </w:r>
      <w:r w:rsidR="00072C05">
        <w:rPr>
          <w:rStyle w:val="InitialStyle"/>
        </w:rPr>
        <w:t xml:space="preserve"> capacity in the </w:t>
      </w:r>
      <w:r w:rsidR="00EC14EA">
        <w:rPr>
          <w:rStyle w:val="InitialStyle"/>
        </w:rPr>
        <w:t xml:space="preserve">17 </w:t>
      </w:r>
      <w:r w:rsidR="00072C05">
        <w:rPr>
          <w:rStyle w:val="InitialStyle"/>
        </w:rPr>
        <w:t xml:space="preserve">States on </w:t>
      </w:r>
      <w:r>
        <w:rPr>
          <w:rStyle w:val="InitialStyle"/>
        </w:rPr>
        <w:t>their</w:t>
      </w:r>
      <w:r w:rsidR="002330B6">
        <w:rPr>
          <w:rStyle w:val="InitialStyle"/>
        </w:rPr>
        <w:t xml:space="preserve"> list frame</w:t>
      </w:r>
      <w:r w:rsidR="00072C05">
        <w:rPr>
          <w:rStyle w:val="InitialStyle"/>
        </w:rPr>
        <w:t xml:space="preserve"> to be in the survey</w:t>
      </w:r>
      <w:r w:rsidR="002330B6">
        <w:rPr>
          <w:rStyle w:val="InitialStyle"/>
        </w:rPr>
        <w:t>.</w:t>
      </w:r>
      <w:r w:rsidR="00375023">
        <w:rPr>
          <w:rStyle w:val="InitialStyle"/>
        </w:rPr>
        <w:t xml:space="preserve"> </w:t>
      </w:r>
      <w:r w:rsidR="00ED00F1">
        <w:rPr>
          <w:rStyle w:val="InitialStyle"/>
        </w:rPr>
        <w:t xml:space="preserve">Thus, there is no sampling for the large component of the </w:t>
      </w:r>
      <w:r w:rsidR="00662306">
        <w:rPr>
          <w:rStyle w:val="InitialStyle"/>
        </w:rPr>
        <w:t>s</w:t>
      </w:r>
      <w:r w:rsidR="00ED00F1">
        <w:rPr>
          <w:rStyle w:val="InitialStyle"/>
        </w:rPr>
        <w:t>tudy.</w:t>
      </w:r>
      <w:r w:rsidR="00375023">
        <w:rPr>
          <w:rStyle w:val="InitialStyle"/>
        </w:rPr>
        <w:t xml:space="preserve"> </w:t>
      </w:r>
      <w:r w:rsidR="00803DDF">
        <w:rPr>
          <w:rStyle w:val="InitialStyle"/>
        </w:rPr>
        <w:t xml:space="preserve">About </w:t>
      </w:r>
      <w:r w:rsidR="00ED00F1">
        <w:rPr>
          <w:rStyle w:val="InitialStyle"/>
        </w:rPr>
        <w:t>2,</w:t>
      </w:r>
      <w:r w:rsidR="006D4AF6">
        <w:rPr>
          <w:rStyle w:val="InitialStyle"/>
        </w:rPr>
        <w:t>200</w:t>
      </w:r>
      <w:r w:rsidR="00803DDF">
        <w:rPr>
          <w:rStyle w:val="InitialStyle"/>
        </w:rPr>
        <w:t xml:space="preserve"> feedlots meet these criteria (</w:t>
      </w:r>
      <w:hyperlink w:history="1" r:id="rId10">
        <w:r w:rsidRPr="00EC14EA" w:rsidR="00803DDF">
          <w:rPr>
            <w:rStyle w:val="Hyperlink"/>
          </w:rPr>
          <w:t xml:space="preserve">NASS Cattle on Feed, </w:t>
        </w:r>
        <w:r w:rsidRPr="00EC14EA" w:rsidR="00EC14EA">
          <w:rPr>
            <w:rStyle w:val="Hyperlink"/>
          </w:rPr>
          <w:t xml:space="preserve">Mar </w:t>
        </w:r>
        <w:r w:rsidRPr="00EC14EA" w:rsidR="00803DDF">
          <w:rPr>
            <w:rStyle w:val="Hyperlink"/>
          </w:rPr>
          <w:t>201</w:t>
        </w:r>
        <w:r w:rsidRPr="00EC14EA" w:rsidR="00EC14EA">
          <w:rPr>
            <w:rStyle w:val="Hyperlink"/>
          </w:rPr>
          <w:t>9</w:t>
        </w:r>
      </w:hyperlink>
      <w:r w:rsidR="00803DDF">
        <w:rPr>
          <w:rStyle w:val="InitialStyle"/>
        </w:rPr>
        <w:t>).</w:t>
      </w:r>
      <w:r w:rsidR="00625CE2">
        <w:rPr>
          <w:rStyle w:val="InitialStyle"/>
        </w:rPr>
        <w:t xml:space="preserve"> </w:t>
      </w:r>
      <w:r w:rsidR="00ED00F1">
        <w:rPr>
          <w:rStyle w:val="InitialStyle"/>
        </w:rPr>
        <w:t xml:space="preserve">For the small component, a sample of </w:t>
      </w:r>
      <w:r w:rsidR="008D4DA6">
        <w:rPr>
          <w:rStyle w:val="InitialStyle"/>
        </w:rPr>
        <w:t xml:space="preserve">about </w:t>
      </w:r>
      <w:r w:rsidR="00756FB6">
        <w:rPr>
          <w:rStyle w:val="InitialStyle"/>
        </w:rPr>
        <w:t>3,193</w:t>
      </w:r>
      <w:r w:rsidR="00ED00F1">
        <w:rPr>
          <w:rStyle w:val="InitialStyle"/>
        </w:rPr>
        <w:t xml:space="preserve"> </w:t>
      </w:r>
      <w:r w:rsidR="003B5E77">
        <w:rPr>
          <w:rStyle w:val="InitialStyle"/>
        </w:rPr>
        <w:t>feedlot</w:t>
      </w:r>
      <w:r w:rsidR="00ED00F1">
        <w:rPr>
          <w:rStyle w:val="InitialStyle"/>
        </w:rPr>
        <w:t xml:space="preserve">s will be selected from </w:t>
      </w:r>
      <w:r w:rsidR="003B5E77">
        <w:rPr>
          <w:rStyle w:val="InitialStyle"/>
        </w:rPr>
        <w:t>feedlot</w:t>
      </w:r>
      <w:r w:rsidR="00ED00F1">
        <w:rPr>
          <w:rStyle w:val="InitialStyle"/>
        </w:rPr>
        <w:t xml:space="preserve">s with 50-999 head capacity in the </w:t>
      </w:r>
      <w:r w:rsidR="00EC14EA">
        <w:rPr>
          <w:rStyle w:val="InitialStyle"/>
        </w:rPr>
        <w:t xml:space="preserve">18 </w:t>
      </w:r>
      <w:r w:rsidR="00ED00F1">
        <w:rPr>
          <w:rStyle w:val="InitialStyle"/>
        </w:rPr>
        <w:t>states (</w:t>
      </w:r>
      <w:hyperlink w:history="1" r:id="rId11">
        <w:r w:rsidRPr="0027331F" w:rsidR="00EC14EA">
          <w:rPr>
            <w:rStyle w:val="Hyperlink"/>
          </w:rPr>
          <w:t>NASS 2017 Census of Agriculture</w:t>
        </w:r>
      </w:hyperlink>
      <w:r w:rsidR="00ED00F1">
        <w:rPr>
          <w:rStyle w:val="InitialStyle"/>
        </w:rPr>
        <w:t xml:space="preserve">). </w:t>
      </w:r>
      <w:r w:rsidR="00717ACA">
        <w:rPr>
          <w:rStyle w:val="InitialStyle"/>
        </w:rPr>
        <w:t xml:space="preserve">Expected response rates within each of the components are presented in Table </w:t>
      </w:r>
      <w:r w:rsidR="00B66079">
        <w:rPr>
          <w:rStyle w:val="InitialStyle"/>
        </w:rPr>
        <w:t>C</w:t>
      </w:r>
      <w:r w:rsidR="00717ACA">
        <w:rPr>
          <w:rStyle w:val="InitialStyle"/>
        </w:rPr>
        <w:t xml:space="preserve">.1 in Appendix </w:t>
      </w:r>
      <w:r w:rsidR="00B66079">
        <w:rPr>
          <w:rStyle w:val="InitialStyle"/>
        </w:rPr>
        <w:t>C</w:t>
      </w:r>
      <w:r w:rsidR="00717ACA">
        <w:rPr>
          <w:rStyle w:val="InitialStyle"/>
        </w:rPr>
        <w:t>.</w:t>
      </w:r>
    </w:p>
    <w:p w:rsidRPr="005B4C2D" w:rsidR="00B136AD" w:rsidP="004E48D9" w:rsidRDefault="00B136AD" w14:paraId="05C22D20" w14:textId="77777777">
      <w:pPr>
        <w:pStyle w:val="DefaultText"/>
        <w:rPr>
          <w:rStyle w:val="InitialStyle"/>
        </w:rPr>
      </w:pPr>
      <w:bookmarkStart w:name="_Toc120517345" w:id="6"/>
      <w:bookmarkStart w:name="_Toc121289104" w:id="7"/>
      <w:bookmarkStart w:name="_Toc133308573" w:id="8"/>
      <w:bookmarkStart w:name="_Toc142106609" w:id="9"/>
    </w:p>
    <w:p w:rsidRPr="005B4C2D" w:rsidR="004E48D9" w:rsidP="00DF6069" w:rsidRDefault="004E48D9" w14:paraId="7EE298DF" w14:textId="43A63377">
      <w:pPr>
        <w:pStyle w:val="DefaultText"/>
        <w:ind w:left="720" w:hanging="720"/>
        <w:rPr>
          <w:rStyle w:val="InitialStyle"/>
          <w:b/>
          <w:u w:val="single"/>
        </w:rPr>
      </w:pPr>
      <w:r w:rsidRPr="005B4C2D">
        <w:rPr>
          <w:rStyle w:val="InitialStyle"/>
          <w:b/>
        </w:rPr>
        <w:t xml:space="preserve">2. </w:t>
      </w:r>
      <w:r w:rsidR="005B4C2D">
        <w:rPr>
          <w:rStyle w:val="InitialStyle"/>
          <w:b/>
        </w:rPr>
        <w:tab/>
      </w:r>
      <w:r w:rsidRPr="004D3ABD">
        <w:rPr>
          <w:rStyle w:val="InitialStyle"/>
          <w:b/>
          <w:caps/>
        </w:rPr>
        <w:t>Describe the procedures for the collection of information including:</w:t>
      </w:r>
      <w:bookmarkEnd w:id="6"/>
      <w:bookmarkEnd w:id="7"/>
      <w:bookmarkEnd w:id="8"/>
      <w:bookmarkEnd w:id="9"/>
    </w:p>
    <w:p w:rsidRPr="004D3ABD" w:rsidR="004E48D9" w:rsidP="004E48D9" w:rsidRDefault="004E48D9" w14:paraId="560F907B" w14:textId="77777777">
      <w:pPr>
        <w:pStyle w:val="Heading3"/>
        <w:numPr>
          <w:ilvl w:val="0"/>
          <w:numId w:val="1"/>
        </w:numPr>
        <w:rPr>
          <w:rFonts w:ascii="Times New Roman" w:hAnsi="Times New Roman" w:cs="Times New Roman"/>
          <w:caps/>
          <w:sz w:val="24"/>
          <w:szCs w:val="24"/>
        </w:rPr>
      </w:pPr>
      <w:bookmarkStart w:name="_Toc120517346" w:id="10"/>
      <w:bookmarkStart w:name="_Toc121289105" w:id="11"/>
      <w:bookmarkStart w:name="_Toc133308574" w:id="12"/>
      <w:bookmarkStart w:name="_Toc142106610" w:id="13"/>
      <w:r w:rsidRPr="004D3ABD">
        <w:rPr>
          <w:rFonts w:ascii="Times New Roman" w:hAnsi="Times New Roman" w:cs="Times New Roman"/>
          <w:caps/>
          <w:sz w:val="24"/>
          <w:szCs w:val="24"/>
          <w:u w:val="single"/>
        </w:rPr>
        <w:t>Statistical methodology for stratification and sample selection</w:t>
      </w:r>
      <w:r w:rsidRPr="004D3ABD">
        <w:rPr>
          <w:rFonts w:ascii="Times New Roman" w:hAnsi="Times New Roman" w:cs="Times New Roman"/>
          <w:caps/>
          <w:sz w:val="24"/>
          <w:szCs w:val="24"/>
        </w:rPr>
        <w:t>:</w:t>
      </w:r>
      <w:bookmarkEnd w:id="10"/>
      <w:bookmarkEnd w:id="11"/>
      <w:bookmarkEnd w:id="12"/>
      <w:bookmarkEnd w:id="13"/>
    </w:p>
    <w:p w:rsidRPr="005B4C2D" w:rsidR="004E48D9" w:rsidP="004E48D9" w:rsidRDefault="004E48D9" w14:paraId="2E26A70F" w14:textId="77777777">
      <w:pPr>
        <w:pStyle w:val="DefaultText"/>
        <w:rPr>
          <w:rStyle w:val="InitialStyle"/>
        </w:rPr>
      </w:pPr>
    </w:p>
    <w:p w:rsidR="00C45E98" w:rsidP="00C45E98" w:rsidRDefault="00662306" w14:paraId="1BE3C544" w14:textId="2318091D">
      <w:pPr>
        <w:pStyle w:val="DefaultText"/>
        <w:rPr>
          <w:rStyle w:val="InitialStyle"/>
        </w:rPr>
      </w:pPr>
      <w:r>
        <w:rPr>
          <w:rStyle w:val="InitialStyle"/>
        </w:rPr>
        <w:t>For the large component of the s</w:t>
      </w:r>
      <w:r w:rsidR="00737230">
        <w:rPr>
          <w:rStyle w:val="InitialStyle"/>
        </w:rPr>
        <w:t>tudy, t</w:t>
      </w:r>
      <w:r w:rsidR="00F85A32">
        <w:rPr>
          <w:rStyle w:val="InitialStyle"/>
        </w:rPr>
        <w:t>here is no sample selection because all of the</w:t>
      </w:r>
      <w:r w:rsidR="006813BB">
        <w:rPr>
          <w:rStyle w:val="InitialStyle"/>
        </w:rPr>
        <w:t xml:space="preserve"> approximately 2,</w:t>
      </w:r>
      <w:r w:rsidR="008D4DA6">
        <w:rPr>
          <w:rStyle w:val="InitialStyle"/>
        </w:rPr>
        <w:t>2</w:t>
      </w:r>
      <w:r w:rsidR="006813BB">
        <w:rPr>
          <w:rStyle w:val="InitialStyle"/>
        </w:rPr>
        <w:t xml:space="preserve">00 feedlot </w:t>
      </w:r>
      <w:r w:rsidR="003B5E77">
        <w:rPr>
          <w:rStyle w:val="InitialStyle"/>
        </w:rPr>
        <w:t>feedlot</w:t>
      </w:r>
      <w:r w:rsidR="006813BB">
        <w:rPr>
          <w:rStyle w:val="InitialStyle"/>
        </w:rPr>
        <w:t xml:space="preserve">s with 1,000 or more head capacity </w:t>
      </w:r>
      <w:r w:rsidR="00803E44">
        <w:rPr>
          <w:rStyle w:val="InitialStyle"/>
        </w:rPr>
        <w:t xml:space="preserve">in the </w:t>
      </w:r>
      <w:r w:rsidR="006A0FFB">
        <w:rPr>
          <w:rStyle w:val="InitialStyle"/>
        </w:rPr>
        <w:t xml:space="preserve">17 </w:t>
      </w:r>
      <w:r w:rsidR="00803E44">
        <w:rPr>
          <w:rStyle w:val="InitialStyle"/>
        </w:rPr>
        <w:t xml:space="preserve">States </w:t>
      </w:r>
      <w:r w:rsidR="00AB358E">
        <w:rPr>
          <w:rStyle w:val="InitialStyle"/>
        </w:rPr>
        <w:t>will be included in the survey</w:t>
      </w:r>
      <w:r w:rsidR="006813BB">
        <w:rPr>
          <w:rStyle w:val="InitialStyle"/>
        </w:rPr>
        <w:t xml:space="preserve"> (NASS unpublished)</w:t>
      </w:r>
      <w:r w:rsidR="00AB0F39">
        <w:rPr>
          <w:rStyle w:val="InitialStyle"/>
        </w:rPr>
        <w:t>.</w:t>
      </w:r>
    </w:p>
    <w:p w:rsidR="00AB0F39" w:rsidP="004E48D9" w:rsidRDefault="00737230" w14:paraId="0C137AE0" w14:textId="77777777">
      <w:pPr>
        <w:pStyle w:val="DefaultText"/>
        <w:rPr>
          <w:rStyle w:val="InitialStyle"/>
        </w:rPr>
      </w:pPr>
      <w:r>
        <w:rPr>
          <w:rStyle w:val="InitialStyle"/>
        </w:rPr>
        <w:t xml:space="preserve"> </w:t>
      </w:r>
    </w:p>
    <w:p w:rsidR="00737230" w:rsidP="004E48D9" w:rsidRDefault="00737230" w14:paraId="625DAD8D" w14:textId="1F0DFFB4">
      <w:pPr>
        <w:pStyle w:val="DefaultText"/>
        <w:rPr>
          <w:rStyle w:val="InitialStyle"/>
        </w:rPr>
      </w:pPr>
      <w:r>
        <w:rPr>
          <w:rStyle w:val="InitialStyle"/>
        </w:rPr>
        <w:t xml:space="preserve">For the small component, eligible </w:t>
      </w:r>
      <w:r w:rsidR="003B5E77">
        <w:rPr>
          <w:rStyle w:val="InitialStyle"/>
        </w:rPr>
        <w:t>feedlot</w:t>
      </w:r>
      <w:r>
        <w:rPr>
          <w:rStyle w:val="InitialStyle"/>
        </w:rPr>
        <w:t xml:space="preserve">s with 50-999 </w:t>
      </w:r>
      <w:r w:rsidR="00C820D0">
        <w:rPr>
          <w:rStyle w:val="InitialStyle"/>
        </w:rPr>
        <w:t>feedlot</w:t>
      </w:r>
      <w:r>
        <w:rPr>
          <w:rStyle w:val="InitialStyle"/>
        </w:rPr>
        <w:t xml:space="preserve"> capacity </w:t>
      </w:r>
      <w:r w:rsidR="00803E44">
        <w:rPr>
          <w:rStyle w:val="InitialStyle"/>
        </w:rPr>
        <w:t xml:space="preserve">in the </w:t>
      </w:r>
      <w:r w:rsidR="006A0FFB">
        <w:rPr>
          <w:rStyle w:val="InitialStyle"/>
        </w:rPr>
        <w:t xml:space="preserve">18 </w:t>
      </w:r>
      <w:r w:rsidR="00803E44">
        <w:rPr>
          <w:rStyle w:val="InitialStyle"/>
        </w:rPr>
        <w:t xml:space="preserve">States </w:t>
      </w:r>
      <w:r>
        <w:rPr>
          <w:rStyle w:val="InitialStyle"/>
        </w:rPr>
        <w:t>from NASS’ List Frame will be stratified by State and by size (50-</w:t>
      </w:r>
      <w:r w:rsidR="006A0FFB">
        <w:rPr>
          <w:rStyle w:val="InitialStyle"/>
        </w:rPr>
        <w:t>9</w:t>
      </w:r>
      <w:r>
        <w:rPr>
          <w:rStyle w:val="InitialStyle"/>
        </w:rPr>
        <w:t xml:space="preserve">9, </w:t>
      </w:r>
      <w:r w:rsidR="006A0FFB">
        <w:rPr>
          <w:rStyle w:val="InitialStyle"/>
        </w:rPr>
        <w:t>100</w:t>
      </w:r>
      <w:r w:rsidR="00A83109">
        <w:rPr>
          <w:rStyle w:val="InitialStyle"/>
        </w:rPr>
        <w:t>-</w:t>
      </w:r>
      <w:r w:rsidR="006A0FFB">
        <w:rPr>
          <w:rStyle w:val="InitialStyle"/>
        </w:rPr>
        <w:t>199, 200-499, and 500-999</w:t>
      </w:r>
      <w:r w:rsidR="00A83109">
        <w:rPr>
          <w:rStyle w:val="InitialStyle"/>
        </w:rPr>
        <w:t>).</w:t>
      </w:r>
      <w:r w:rsidR="00375023">
        <w:rPr>
          <w:rStyle w:val="InitialStyle"/>
        </w:rPr>
        <w:t xml:space="preserve"> </w:t>
      </w:r>
      <w:r w:rsidR="00821EA2">
        <w:rPr>
          <w:rStyle w:val="InitialStyle"/>
        </w:rPr>
        <w:t>APHIS will allocate t</w:t>
      </w:r>
      <w:r w:rsidR="00A83109">
        <w:rPr>
          <w:rStyle w:val="InitialStyle"/>
        </w:rPr>
        <w:t xml:space="preserve">he total sample to strata based on a weighted average of inventory and number of </w:t>
      </w:r>
      <w:r w:rsidR="003B5E77">
        <w:rPr>
          <w:rStyle w:val="InitialStyle"/>
        </w:rPr>
        <w:t>feedlot</w:t>
      </w:r>
      <w:r w:rsidR="00A83109">
        <w:rPr>
          <w:rStyle w:val="InitialStyle"/>
        </w:rPr>
        <w:t>s in each stratum.</w:t>
      </w:r>
      <w:r w:rsidR="00375023">
        <w:rPr>
          <w:rStyle w:val="InitialStyle"/>
        </w:rPr>
        <w:t xml:space="preserve"> </w:t>
      </w:r>
      <w:r w:rsidR="00A83109">
        <w:rPr>
          <w:rStyle w:val="InitialStyle"/>
        </w:rPr>
        <w:t>Within each stratum, a simple random sample will be chosen.</w:t>
      </w:r>
    </w:p>
    <w:p w:rsidRPr="004D3ABD" w:rsidR="004E48D9" w:rsidP="004D3ABD" w:rsidRDefault="004E48D9" w14:paraId="3ED7F3AF" w14:textId="77777777">
      <w:pPr>
        <w:pStyle w:val="Heading3"/>
        <w:numPr>
          <w:ilvl w:val="0"/>
          <w:numId w:val="1"/>
        </w:numPr>
        <w:rPr>
          <w:rFonts w:ascii="Times New Roman" w:hAnsi="Times New Roman" w:cs="Times New Roman"/>
          <w:caps/>
          <w:sz w:val="24"/>
          <w:szCs w:val="24"/>
          <w:u w:val="single"/>
        </w:rPr>
      </w:pPr>
      <w:bookmarkStart w:name="_Toc120517347" w:id="14"/>
      <w:bookmarkStart w:name="_Toc121289106" w:id="15"/>
      <w:bookmarkStart w:name="_Toc133308575" w:id="16"/>
      <w:bookmarkStart w:name="_Toc142106611" w:id="17"/>
      <w:r w:rsidRPr="004D3ABD">
        <w:rPr>
          <w:rFonts w:ascii="Times New Roman" w:hAnsi="Times New Roman" w:cs="Times New Roman"/>
          <w:caps/>
          <w:sz w:val="24"/>
          <w:szCs w:val="24"/>
          <w:u w:val="single"/>
        </w:rPr>
        <w:t>Estimation procedure:</w:t>
      </w:r>
      <w:bookmarkEnd w:id="14"/>
      <w:bookmarkEnd w:id="15"/>
      <w:bookmarkEnd w:id="16"/>
      <w:bookmarkEnd w:id="17"/>
    </w:p>
    <w:p w:rsidRPr="005B4C2D" w:rsidR="004E48D9" w:rsidP="004E48D9" w:rsidRDefault="004E48D9" w14:paraId="7DAC44E8" w14:textId="77777777">
      <w:pPr>
        <w:pStyle w:val="DefaultText"/>
      </w:pPr>
    </w:p>
    <w:p w:rsidRPr="005B4C2D" w:rsidR="004E48D9" w:rsidP="004E48D9" w:rsidRDefault="00821EA2" w14:paraId="54DC6B4C" w14:textId="2577F9A0">
      <w:pPr>
        <w:pStyle w:val="DefaultText"/>
      </w:pPr>
      <w:r>
        <w:t>The study is two-phase f</w:t>
      </w:r>
      <w:r w:rsidR="0001298A">
        <w:t xml:space="preserve">or both large and small components. For the large component, probabilities of selection are equal to one while in the small component, probabilities of selection will be unequal across sampling strata. </w:t>
      </w:r>
      <w:r>
        <w:t>APHIS will construct s</w:t>
      </w:r>
      <w:r w:rsidR="0001298A">
        <w:t xml:space="preserve">ampling weights using this information combined with response information in order to adjust selection probabilities by nonresponse observed in the sample. </w:t>
      </w:r>
      <w:r>
        <w:t>We will perform t</w:t>
      </w:r>
      <w:r w:rsidRPr="005B4C2D" w:rsidR="004E48D9">
        <w:t xml:space="preserve">he statistical estimation using either SAS survey procedures </w:t>
      </w:r>
      <w:r w:rsidR="0001298A">
        <w:t>and/</w:t>
      </w:r>
      <w:r w:rsidRPr="005B4C2D" w:rsidR="004E48D9">
        <w:t>or SUDAAN.</w:t>
      </w:r>
      <w:r w:rsidR="00375023">
        <w:t xml:space="preserve"> </w:t>
      </w:r>
      <w:r w:rsidRPr="005B4C2D" w:rsidR="004E48D9">
        <w:t>Both software packages use a Taylor series expansion to estimate variances</w:t>
      </w:r>
      <w:r w:rsidR="00AB358E">
        <w:t xml:space="preserve"> appropriate to the </w:t>
      </w:r>
      <w:r w:rsidR="009A201B">
        <w:t xml:space="preserve">survey </w:t>
      </w:r>
      <w:r w:rsidR="00AB358E">
        <w:t>design</w:t>
      </w:r>
      <w:r w:rsidRPr="005B4C2D" w:rsidR="004E48D9">
        <w:t>.</w:t>
      </w:r>
    </w:p>
    <w:p w:rsidRPr="005B4C2D" w:rsidR="004E48D9" w:rsidP="004E48D9" w:rsidRDefault="004E48D9" w14:paraId="270D158F" w14:textId="77777777">
      <w:pPr>
        <w:pStyle w:val="DefaultText"/>
        <w:rPr>
          <w:rStyle w:val="InitialStyle"/>
        </w:rPr>
      </w:pPr>
    </w:p>
    <w:p w:rsidRPr="004D3ABD" w:rsidR="004E48D9" w:rsidP="004E48D9" w:rsidRDefault="004E48D9" w14:paraId="3C00C559" w14:textId="77777777">
      <w:pPr>
        <w:pStyle w:val="Heading3"/>
        <w:numPr>
          <w:ilvl w:val="0"/>
          <w:numId w:val="2"/>
        </w:numPr>
        <w:rPr>
          <w:rStyle w:val="InitialStyle"/>
          <w:rFonts w:ascii="Times New Roman" w:hAnsi="Times New Roman" w:cs="Times New Roman"/>
          <w:caps/>
          <w:sz w:val="24"/>
          <w:szCs w:val="24"/>
        </w:rPr>
      </w:pPr>
      <w:bookmarkStart w:name="_Toc120517349" w:id="18"/>
      <w:bookmarkStart w:name="_Toc121289108" w:id="19"/>
      <w:bookmarkStart w:name="_Toc133308576" w:id="20"/>
      <w:bookmarkStart w:name="_Toc142106612" w:id="21"/>
      <w:r w:rsidRPr="004D3ABD">
        <w:rPr>
          <w:rStyle w:val="InitialStyle"/>
          <w:rFonts w:ascii="Times New Roman" w:hAnsi="Times New Roman" w:cs="Times New Roman"/>
          <w:caps/>
          <w:sz w:val="24"/>
          <w:szCs w:val="24"/>
          <w:u w:val="single"/>
        </w:rPr>
        <w:t xml:space="preserve">Degree of </w:t>
      </w:r>
      <w:r w:rsidRPr="004D3ABD" w:rsidR="001D0BA4">
        <w:rPr>
          <w:rStyle w:val="InitialStyle"/>
          <w:rFonts w:ascii="Times New Roman" w:hAnsi="Times New Roman" w:cs="Times New Roman"/>
          <w:caps/>
          <w:sz w:val="24"/>
          <w:szCs w:val="24"/>
          <w:u w:val="single"/>
        </w:rPr>
        <w:t>precision</w:t>
      </w:r>
      <w:r w:rsidRPr="004D3ABD">
        <w:rPr>
          <w:rStyle w:val="InitialStyle"/>
          <w:rFonts w:ascii="Times New Roman" w:hAnsi="Times New Roman" w:cs="Times New Roman"/>
          <w:caps/>
          <w:sz w:val="24"/>
          <w:szCs w:val="24"/>
          <w:u w:val="single"/>
        </w:rPr>
        <w:t xml:space="preserve"> needed for the purpose described in the justification</w:t>
      </w:r>
      <w:r w:rsidRPr="004D3ABD">
        <w:rPr>
          <w:rStyle w:val="InitialStyle"/>
          <w:rFonts w:ascii="Times New Roman" w:hAnsi="Times New Roman" w:cs="Times New Roman"/>
          <w:caps/>
          <w:sz w:val="24"/>
          <w:szCs w:val="24"/>
        </w:rPr>
        <w:t>:</w:t>
      </w:r>
      <w:bookmarkEnd w:id="18"/>
      <w:bookmarkEnd w:id="19"/>
      <w:bookmarkEnd w:id="20"/>
      <w:bookmarkEnd w:id="21"/>
    </w:p>
    <w:p w:rsidR="0029415E" w:rsidP="004E48D9" w:rsidRDefault="0029415E" w14:paraId="049FBC3B" w14:textId="77777777">
      <w:pPr>
        <w:rPr>
          <w:rStyle w:val="InitialStyle"/>
        </w:rPr>
      </w:pPr>
      <w:bookmarkStart w:name="_Toc142106613" w:id="22"/>
      <w:bookmarkStart w:name="_Toc133308578" w:id="23"/>
    </w:p>
    <w:p w:rsidR="005D3C23" w:rsidP="00B55D98" w:rsidRDefault="004E48D9" w14:paraId="235EBFB9" w14:textId="50A96543">
      <w:pPr>
        <w:rPr>
          <w:rStyle w:val="InitialStyle"/>
        </w:rPr>
      </w:pPr>
      <w:r w:rsidRPr="005B4C2D">
        <w:rPr>
          <w:rStyle w:val="InitialStyle"/>
        </w:rPr>
        <w:t>The overall NAH</w:t>
      </w:r>
      <w:r w:rsidR="00294655">
        <w:rPr>
          <w:rStyle w:val="InitialStyle"/>
        </w:rPr>
        <w:t>M</w:t>
      </w:r>
      <w:r w:rsidRPr="005B4C2D">
        <w:rPr>
          <w:rStyle w:val="InitialStyle"/>
        </w:rPr>
        <w:t xml:space="preserve">S program goal is to develop descriptive statistics with a coefficient of variation </w:t>
      </w:r>
      <w:r w:rsidR="00F447E8">
        <w:rPr>
          <w:rStyle w:val="InitialStyle"/>
        </w:rPr>
        <w:t xml:space="preserve">(CV) </w:t>
      </w:r>
      <w:r w:rsidRPr="005B4C2D">
        <w:rPr>
          <w:rStyle w:val="InitialStyle"/>
        </w:rPr>
        <w:t>less than 20 percent.</w:t>
      </w:r>
      <w:r w:rsidR="00375023">
        <w:rPr>
          <w:rStyle w:val="InitialStyle"/>
        </w:rPr>
        <w:t xml:space="preserve"> </w:t>
      </w:r>
      <w:r w:rsidR="005D3C23">
        <w:rPr>
          <w:rStyle w:val="InitialStyle"/>
        </w:rPr>
        <w:t xml:space="preserve">If possible, given adequate response rates, </w:t>
      </w:r>
      <w:r w:rsidR="00EB0E37">
        <w:rPr>
          <w:rStyle w:val="InitialStyle"/>
        </w:rPr>
        <w:t xml:space="preserve">APHIS will produce </w:t>
      </w:r>
      <w:r w:rsidR="005D3C23">
        <w:rPr>
          <w:rStyle w:val="InitialStyle"/>
        </w:rPr>
        <w:t xml:space="preserve">estimates by size category (small and large capacities). </w:t>
      </w:r>
    </w:p>
    <w:p w:rsidR="005D3C23" w:rsidP="00B55D98" w:rsidRDefault="005D3C23" w14:paraId="309CEE72" w14:textId="77777777">
      <w:pPr>
        <w:rPr>
          <w:rStyle w:val="InitialStyle"/>
        </w:rPr>
      </w:pPr>
    </w:p>
    <w:p w:rsidRPr="00E546F0" w:rsidR="005D3C23" w:rsidP="005D3C23" w:rsidRDefault="005D3C23" w14:paraId="20314765" w14:textId="64E85CFC">
      <w:pPr>
        <w:autoSpaceDE w:val="0"/>
        <w:autoSpaceDN w:val="0"/>
        <w:adjustRightInd w:val="0"/>
        <w:spacing w:after="240"/>
      </w:pPr>
      <w:r>
        <w:rPr>
          <w:rStyle w:val="InitialStyle"/>
        </w:rPr>
        <w:t xml:space="preserve">In order to meet the precision criteria within each of the two reporting stratification categories, </w:t>
      </w:r>
      <w:r w:rsidR="00EB0E37">
        <w:rPr>
          <w:rStyle w:val="InitialStyle"/>
        </w:rPr>
        <w:t>APHIS</w:t>
      </w:r>
      <w:r>
        <w:rPr>
          <w:rStyle w:val="InitialStyle"/>
        </w:rPr>
        <w:t xml:space="preserve"> require</w:t>
      </w:r>
      <w:r w:rsidR="00EB0E37">
        <w:rPr>
          <w:rStyle w:val="InitialStyle"/>
        </w:rPr>
        <w:t>s</w:t>
      </w:r>
      <w:r>
        <w:rPr>
          <w:rStyle w:val="InitialStyle"/>
        </w:rPr>
        <w:t xml:space="preserve"> approximately 433 feedlots assuming that a simple random sample with a perfect response rate is taken. </w:t>
      </w:r>
      <w:r w:rsidRPr="00E546F0">
        <w:t xml:space="preserve">However, due to practical considerations, we must account for the expected response of </w:t>
      </w:r>
      <w:r>
        <w:t xml:space="preserve">approximately </w:t>
      </w:r>
      <w:r w:rsidR="00E1696B">
        <w:t>30</w:t>
      </w:r>
      <w:r w:rsidR="00E1696B">
        <w:rPr>
          <w:vertAlign w:val="superscript"/>
        </w:rPr>
        <w:t xml:space="preserve"> </w:t>
      </w:r>
      <w:r w:rsidRPr="00E546F0">
        <w:t>percent at Phase I</w:t>
      </w:r>
      <w:r w:rsidR="00E1696B">
        <w:t xml:space="preserve">, </w:t>
      </w:r>
      <w:r w:rsidRPr="00E546F0">
        <w:t xml:space="preserve">an expected response of </w:t>
      </w:r>
      <w:r w:rsidR="00E1696B">
        <w:t>53 percent</w:t>
      </w:r>
      <w:r w:rsidRPr="00E546F0">
        <w:t xml:space="preserve"> at Phase II, and an expected des</w:t>
      </w:r>
      <w:r w:rsidR="00E1696B">
        <w:t>ign effect of approximately 2</w:t>
      </w:r>
      <w:r w:rsidRPr="00E546F0">
        <w:t xml:space="preserve"> to obtain </w:t>
      </w:r>
      <w:r w:rsidRPr="00E546F0">
        <w:lastRenderedPageBreak/>
        <w:t xml:space="preserve">estimates with appropriate standard errors. An overall sample size of approximately </w:t>
      </w:r>
      <w:r w:rsidR="00501AAE">
        <w:t>5,450</w:t>
      </w:r>
      <w:r w:rsidRPr="00E546F0">
        <w:t xml:space="preserve"> </w:t>
      </w:r>
      <w:r w:rsidR="00501AAE">
        <w:t>feedlots</w:t>
      </w:r>
      <w:r w:rsidRPr="00E546F0">
        <w:t xml:space="preserve"> is required after adjusting for these factors to produce estimates with CV not exceeding 20 percent within each of the reporting stratification cells. </w:t>
      </w:r>
      <w:r w:rsidR="00501AAE">
        <w:t>However, due to the limited number of large capacity feedlots in the population, the number of large feedlots in the sample is capped at the number of large feedlots in the population, reducing the required sample size to 5,393.</w:t>
      </w:r>
    </w:p>
    <w:p w:rsidRPr="00E546F0" w:rsidR="005D3C23" w:rsidP="005D3C23" w:rsidRDefault="00501AAE" w14:paraId="1D8CB6F9" w14:textId="36BA5A55">
      <w:pPr>
        <w:autoSpaceDE w:val="0"/>
        <w:autoSpaceDN w:val="0"/>
        <w:adjustRightInd w:val="0"/>
        <w:spacing w:after="240"/>
      </w:pPr>
      <w:r>
        <w:t>Table</w:t>
      </w:r>
      <w:r w:rsidRPr="00E546F0" w:rsidR="005D3C23">
        <w:t xml:space="preserve"> </w:t>
      </w:r>
      <w:r>
        <w:t>B</w:t>
      </w:r>
      <w:r w:rsidRPr="00E546F0" w:rsidR="005D3C23">
        <w:t xml:space="preserve">.1 in Appendix </w:t>
      </w:r>
      <w:r>
        <w:t>B</w:t>
      </w:r>
      <w:r w:rsidRPr="00E546F0" w:rsidR="005D3C23">
        <w:t xml:space="preserve"> show</w:t>
      </w:r>
      <w:r>
        <w:t>s</w:t>
      </w:r>
      <w:r w:rsidRPr="00E546F0" w:rsidR="005D3C23">
        <w:t xml:space="preserve"> estimates of precision based on the total sample of </w:t>
      </w:r>
      <w:r>
        <w:t>5,393</w:t>
      </w:r>
      <w:r w:rsidRPr="00E546F0" w:rsidR="005D3C23">
        <w:t xml:space="preserve">, for </w:t>
      </w:r>
      <w:r>
        <w:t>size category</w:t>
      </w:r>
      <w:r w:rsidRPr="00E546F0" w:rsidR="005D3C23">
        <w:t xml:space="preserve"> cells, and nationally, for Phase I and Phase II.  Response rates from previous studies (see Table </w:t>
      </w:r>
      <w:r>
        <w:t>C</w:t>
      </w:r>
      <w:r w:rsidRPr="00E546F0" w:rsidR="005D3C23">
        <w:t xml:space="preserve">.1 in Appendix </w:t>
      </w:r>
      <w:r>
        <w:t>C</w:t>
      </w:r>
      <w:r w:rsidRPr="00E546F0" w:rsidR="005D3C23">
        <w:t xml:space="preserve"> for response rate information from </w:t>
      </w:r>
      <w:r>
        <w:t xml:space="preserve">previous </w:t>
      </w:r>
      <w:r w:rsidRPr="00E546F0" w:rsidR="005D3C23">
        <w:t xml:space="preserve">NAHMS </w:t>
      </w:r>
      <w:r>
        <w:t>studies) and a design effect of 2</w:t>
      </w:r>
      <w:r w:rsidRPr="00E546F0" w:rsidR="005D3C23">
        <w:t xml:space="preserve"> (calculated using information from </w:t>
      </w:r>
      <w:r>
        <w:t>previous studies) were assumed.</w:t>
      </w:r>
      <w:r w:rsidRPr="00E546F0" w:rsidR="005D3C23">
        <w:t xml:space="preserve"> All of the estimated CVs for Phase </w:t>
      </w:r>
      <w:proofErr w:type="gramStart"/>
      <w:r w:rsidRPr="00E546F0" w:rsidR="005D3C23">
        <w:t>I</w:t>
      </w:r>
      <w:proofErr w:type="gramEnd"/>
      <w:r w:rsidRPr="00E546F0" w:rsidR="005D3C23">
        <w:t xml:space="preserve"> and </w:t>
      </w:r>
      <w:r>
        <w:t>all but one</w:t>
      </w:r>
      <w:r w:rsidRPr="00E546F0" w:rsidR="005D3C23">
        <w:t xml:space="preserve"> of the CVs for Phase II are expected to be within the desired range with the given allocation.  </w:t>
      </w:r>
    </w:p>
    <w:p w:rsidR="00B55D98" w:rsidP="00ED5D1E" w:rsidRDefault="00FB6DA7" w14:paraId="768D67A2" w14:textId="2E62D101">
      <w:pPr>
        <w:rPr>
          <w:rStyle w:val="InitialStyle"/>
        </w:rPr>
      </w:pPr>
      <w:r>
        <w:t xml:space="preserve">APHIS will report estimates at the national level and by feedlot capacity category (Small and Large). Where possible, APHIS will report estimates by Size-Region category. </w:t>
      </w:r>
      <w:r w:rsidRPr="00E546F0" w:rsidR="005D3C23">
        <w:t>Reporting strata for Phase II estimates may be adjusted dependi</w:t>
      </w:r>
      <w:r w:rsidR="00501AAE">
        <w:t xml:space="preserve">ng on the number of respondents. </w:t>
      </w:r>
      <w:r w:rsidRPr="00E546F0" w:rsidR="005D3C23">
        <w:t xml:space="preserve">In general, if sample sizes are too small or CVs too large for any estimates, those estimates are not published or are reported at a more aggregate level.  </w:t>
      </w:r>
    </w:p>
    <w:bookmarkEnd w:id="22"/>
    <w:p w:rsidRPr="009A6001" w:rsidR="0005608B" w:rsidP="00DA6815" w:rsidRDefault="0005608B" w14:paraId="29CDB427" w14:textId="77777777"/>
    <w:p w:rsidRPr="004D3ABD" w:rsidR="004E48D9" w:rsidP="00365421" w:rsidRDefault="004E48D9" w14:paraId="53851136" w14:textId="77777777">
      <w:pPr>
        <w:numPr>
          <w:ilvl w:val="0"/>
          <w:numId w:val="20"/>
        </w:numPr>
        <w:rPr>
          <w:b/>
          <w:caps/>
        </w:rPr>
      </w:pPr>
      <w:r w:rsidRPr="004D3ABD">
        <w:rPr>
          <w:b/>
          <w:caps/>
          <w:u w:val="single"/>
        </w:rPr>
        <w:t>Unusual problems requiring specialized sampling procedures and data collection cycles</w:t>
      </w:r>
      <w:r w:rsidRPr="004D3ABD">
        <w:rPr>
          <w:b/>
          <w:caps/>
        </w:rPr>
        <w:t>:</w:t>
      </w:r>
    </w:p>
    <w:bookmarkEnd w:id="23"/>
    <w:p w:rsidRPr="005B4C2D" w:rsidR="004E48D9" w:rsidP="004E48D9" w:rsidRDefault="004E48D9" w14:paraId="32F224AD" w14:textId="77777777">
      <w:pPr>
        <w:pStyle w:val="DefaultText"/>
        <w:rPr>
          <w:rStyle w:val="InitialStyle"/>
        </w:rPr>
      </w:pPr>
    </w:p>
    <w:p w:rsidR="004E48D9" w:rsidP="004E48D9" w:rsidRDefault="004E48D9" w14:paraId="0E75D572" w14:textId="77777777">
      <w:pPr>
        <w:pStyle w:val="DefaultText"/>
        <w:rPr>
          <w:rStyle w:val="InitialStyle"/>
        </w:rPr>
      </w:pPr>
      <w:r w:rsidRPr="005B4C2D">
        <w:rPr>
          <w:rStyle w:val="InitialStyle"/>
        </w:rPr>
        <w:t>There are no unusual problems requiring specialized sampling procedures and data collection cycles.</w:t>
      </w:r>
    </w:p>
    <w:p w:rsidR="002825B3" w:rsidP="004E48D9" w:rsidRDefault="002825B3" w14:paraId="0BDF93BD" w14:textId="77777777">
      <w:pPr>
        <w:pStyle w:val="DefaultText"/>
        <w:rPr>
          <w:rStyle w:val="InitialStyle"/>
        </w:rPr>
      </w:pPr>
    </w:p>
    <w:p w:rsidRPr="004D3ABD" w:rsidR="002825B3" w:rsidP="002825B3" w:rsidRDefault="002825B3" w14:paraId="6218B6E6" w14:textId="449DB349">
      <w:pPr>
        <w:pStyle w:val="DefaultText"/>
        <w:numPr>
          <w:ilvl w:val="0"/>
          <w:numId w:val="20"/>
        </w:numPr>
        <w:rPr>
          <w:rStyle w:val="InitialStyle"/>
          <w:b/>
          <w:caps/>
          <w:u w:val="single"/>
        </w:rPr>
      </w:pPr>
      <w:r w:rsidRPr="004D3ABD">
        <w:rPr>
          <w:rStyle w:val="InitialStyle"/>
          <w:b/>
          <w:caps/>
          <w:u w:val="single"/>
        </w:rPr>
        <w:t>Any use of periodic (less frequent than annual) data collection cycles to reduce burden.</w:t>
      </w:r>
    </w:p>
    <w:p w:rsidRPr="00ED5D1E" w:rsidR="002825B3" w:rsidP="00ED5D1E" w:rsidRDefault="002825B3" w14:paraId="70F3D82D" w14:textId="77777777">
      <w:pPr>
        <w:pStyle w:val="DefaultText"/>
        <w:ind w:left="360"/>
        <w:rPr>
          <w:rStyle w:val="InitialStyle"/>
          <w:u w:val="single"/>
        </w:rPr>
      </w:pPr>
    </w:p>
    <w:p w:rsidRPr="005B4C2D" w:rsidR="002825B3" w:rsidRDefault="002825B3" w14:paraId="1B336DD0" w14:textId="27207615">
      <w:pPr>
        <w:pStyle w:val="DefaultText"/>
        <w:rPr>
          <w:rStyle w:val="InitialStyle"/>
        </w:rPr>
      </w:pPr>
      <w:r w:rsidRPr="002825B3">
        <w:rPr>
          <w:rStyle w:val="InitialStyle"/>
        </w:rPr>
        <w:t xml:space="preserve">The data collection described is not planned to be </w:t>
      </w:r>
      <w:r w:rsidR="005D3C23">
        <w:rPr>
          <w:rStyle w:val="InitialStyle"/>
        </w:rPr>
        <w:t>carried out</w:t>
      </w:r>
      <w:r w:rsidRPr="002825B3">
        <w:rPr>
          <w:rStyle w:val="InitialStyle"/>
        </w:rPr>
        <w:t xml:space="preserve"> on an annual or less than annual frequency basis for either component of this study.</w:t>
      </w:r>
    </w:p>
    <w:p w:rsidRPr="005B4C2D" w:rsidR="004E48D9" w:rsidP="004E48D9" w:rsidRDefault="004E48D9" w14:paraId="598A2CA9" w14:textId="77777777">
      <w:pPr>
        <w:pStyle w:val="DefaultText"/>
        <w:rPr>
          <w:rStyle w:val="InitialStyle"/>
        </w:rPr>
      </w:pPr>
    </w:p>
    <w:p w:rsidRPr="00DF6069" w:rsidR="004E48D9" w:rsidP="00ED5D1E" w:rsidRDefault="004E48D9" w14:paraId="24E03CB8" w14:textId="37A92ACD">
      <w:pPr>
        <w:pStyle w:val="ListParagraph"/>
        <w:numPr>
          <w:ilvl w:val="0"/>
          <w:numId w:val="10"/>
        </w:numPr>
        <w:rPr>
          <w:rFonts w:ascii="Times New Roman" w:hAnsi="Times New Roman"/>
          <w:szCs w:val="24"/>
        </w:rPr>
      </w:pPr>
      <w:bookmarkStart w:name="_Toc120517351" w:id="24"/>
      <w:bookmarkStart w:name="_Toc121289110" w:id="25"/>
      <w:bookmarkStart w:name="_Toc133308579" w:id="26"/>
      <w:bookmarkStart w:name="_Toc142106614" w:id="27"/>
      <w:r w:rsidRPr="004D3ABD">
        <w:rPr>
          <w:rFonts w:ascii="Times New Roman" w:hAnsi="Times New Roman"/>
          <w:b/>
          <w:caps/>
          <w:szCs w:val="24"/>
        </w:rPr>
        <w:t>D</w:t>
      </w:r>
      <w:r w:rsidRPr="004D3ABD" w:rsidR="002825B3">
        <w:rPr>
          <w:rFonts w:ascii="Times New Roman" w:hAnsi="Times New Roman"/>
          <w:b/>
          <w:bCs/>
          <w:iCs/>
          <w:caps/>
          <w:snapToGrid/>
          <w:szCs w:val="24"/>
        </w:rPr>
        <w:t>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2825B3" w:rsidR="002825B3">
        <w:rPr>
          <w:rFonts w:ascii="Times New Roman" w:hAnsi="Times New Roman"/>
          <w:b/>
          <w:bCs/>
          <w:iCs/>
          <w:snapToGrid/>
          <w:szCs w:val="24"/>
        </w:rPr>
        <w:t>.</w:t>
      </w:r>
      <w:bookmarkEnd w:id="24"/>
      <w:bookmarkEnd w:id="25"/>
      <w:bookmarkEnd w:id="26"/>
      <w:bookmarkEnd w:id="27"/>
    </w:p>
    <w:p w:rsidRPr="004D3ABD" w:rsidR="002018DF" w:rsidP="002018DF" w:rsidRDefault="00501AAE" w14:paraId="498612D8" w14:textId="6FDBBC55">
      <w:pPr>
        <w:pStyle w:val="Heading3"/>
        <w:rPr>
          <w:rFonts w:ascii="Times New Roman" w:hAnsi="Times New Roman" w:cs="Times New Roman"/>
          <w:caps/>
          <w:sz w:val="24"/>
          <w:szCs w:val="24"/>
        </w:rPr>
      </w:pPr>
      <w:bookmarkStart w:name="_Toc120517352" w:id="28"/>
      <w:bookmarkStart w:name="_Toc121289111" w:id="29"/>
      <w:bookmarkStart w:name="_Toc133308580" w:id="30"/>
      <w:bookmarkStart w:name="_Toc142106615" w:id="31"/>
      <w:r w:rsidRPr="004D3ABD">
        <w:rPr>
          <w:rStyle w:val="InitialStyle"/>
          <w:rFonts w:ascii="Times New Roman" w:hAnsi="Times New Roman" w:cs="Times New Roman"/>
          <w:caps/>
          <w:sz w:val="24"/>
          <w:szCs w:val="24"/>
          <w:u w:val="single"/>
        </w:rPr>
        <w:t>Questionnaire design and training</w:t>
      </w:r>
      <w:r w:rsidRPr="004D3ABD" w:rsidR="004E48D9">
        <w:rPr>
          <w:rStyle w:val="InitialStyle"/>
          <w:rFonts w:ascii="Times New Roman" w:hAnsi="Times New Roman" w:cs="Times New Roman"/>
          <w:caps/>
          <w:sz w:val="24"/>
          <w:szCs w:val="24"/>
        </w:rPr>
        <w:t>:</w:t>
      </w:r>
      <w:bookmarkEnd w:id="28"/>
      <w:bookmarkEnd w:id="29"/>
      <w:bookmarkEnd w:id="30"/>
      <w:bookmarkEnd w:id="31"/>
    </w:p>
    <w:p w:rsidRPr="005B4C2D" w:rsidR="004E48D9" w:rsidP="00ED5D1E" w:rsidRDefault="004E48D9" w14:paraId="54BA5E7E" w14:textId="44D7F0A5">
      <w:pPr>
        <w:pStyle w:val="DefaultText"/>
        <w:numPr>
          <w:ilvl w:val="0"/>
          <w:numId w:val="3"/>
        </w:numPr>
        <w:rPr>
          <w:rStyle w:val="InitialStyle"/>
        </w:rPr>
      </w:pPr>
      <w:r w:rsidRPr="005B4C2D">
        <w:rPr>
          <w:rStyle w:val="InitialStyle"/>
        </w:rPr>
        <w:t>Minimizing collection of data to that which is absolutely necessary</w:t>
      </w:r>
      <w:r w:rsidR="00501AAE">
        <w:rPr>
          <w:rStyle w:val="InitialStyle"/>
        </w:rPr>
        <w:t>.</w:t>
      </w:r>
      <w:r w:rsidR="00164982">
        <w:rPr>
          <w:rStyle w:val="InitialStyle"/>
        </w:rPr>
        <w:t xml:space="preserve"> </w:t>
      </w:r>
      <w:r w:rsidR="00821EA2">
        <w:rPr>
          <w:rStyle w:val="InitialStyle"/>
        </w:rPr>
        <w:t>APHIS has solicited i</w:t>
      </w:r>
      <w:r w:rsidR="00164982">
        <w:rPr>
          <w:rStyle w:val="InitialStyle"/>
        </w:rPr>
        <w:t xml:space="preserve">ndustry and producer input in the questionnaire to ensure that information collected is relevant and timely.  Based on this feedback, </w:t>
      </w:r>
      <w:r w:rsidR="00821EA2">
        <w:rPr>
          <w:rStyle w:val="InitialStyle"/>
        </w:rPr>
        <w:t xml:space="preserve">we </w:t>
      </w:r>
      <w:r w:rsidR="00164982">
        <w:rPr>
          <w:rStyle w:val="InitialStyle"/>
        </w:rPr>
        <w:t xml:space="preserve">have </w:t>
      </w:r>
      <w:r w:rsidR="00821EA2">
        <w:rPr>
          <w:rStyle w:val="InitialStyle"/>
        </w:rPr>
        <w:t>r</w:t>
      </w:r>
      <w:r w:rsidR="00164982">
        <w:rPr>
          <w:rStyle w:val="InitialStyle"/>
        </w:rPr>
        <w:t>educe</w:t>
      </w:r>
      <w:r w:rsidR="00821EA2">
        <w:rPr>
          <w:rStyle w:val="InitialStyle"/>
        </w:rPr>
        <w:t>d</w:t>
      </w:r>
      <w:r w:rsidR="00164982">
        <w:rPr>
          <w:rStyle w:val="InitialStyle"/>
        </w:rPr>
        <w:t xml:space="preserve"> the number and complexity of questions compared to previous surveys of a similar scope.  </w:t>
      </w:r>
    </w:p>
    <w:p w:rsidRPr="005B4C2D" w:rsidR="004E48D9" w:rsidP="00ED5D1E" w:rsidRDefault="00821EA2" w14:paraId="69CE2539" w14:textId="7257D89A">
      <w:pPr>
        <w:pStyle w:val="DefaultText"/>
        <w:numPr>
          <w:ilvl w:val="0"/>
          <w:numId w:val="4"/>
        </w:numPr>
        <w:rPr>
          <w:rStyle w:val="InitialStyle"/>
        </w:rPr>
      </w:pPr>
      <w:r>
        <w:rPr>
          <w:rStyle w:val="InitialStyle"/>
        </w:rPr>
        <w:t>We conducted m</w:t>
      </w:r>
      <w:r w:rsidR="000D3C51">
        <w:rPr>
          <w:rStyle w:val="InitialStyle"/>
        </w:rPr>
        <w:t xml:space="preserve">eetings and discussions with industry representatives </w:t>
      </w:r>
      <w:r w:rsidR="002D2A6A">
        <w:rPr>
          <w:rStyle w:val="InitialStyle"/>
        </w:rPr>
        <w:t>from the National Cattlemen’s Beef Association, (</w:t>
      </w:r>
      <w:r w:rsidR="00765738">
        <w:rPr>
          <w:rStyle w:val="InitialStyle"/>
        </w:rPr>
        <w:t>NCBA</w:t>
      </w:r>
      <w:r w:rsidR="000D3C51">
        <w:rPr>
          <w:rStyle w:val="InitialStyle"/>
        </w:rPr>
        <w:t xml:space="preserve">) get </w:t>
      </w:r>
      <w:r>
        <w:rPr>
          <w:rStyle w:val="InitialStyle"/>
        </w:rPr>
        <w:t>their</w:t>
      </w:r>
      <w:r w:rsidR="000D3C51">
        <w:rPr>
          <w:rStyle w:val="InitialStyle"/>
        </w:rPr>
        <w:t xml:space="preserve"> support</w:t>
      </w:r>
      <w:r w:rsidRPr="005B4C2D" w:rsidR="004E48D9">
        <w:rPr>
          <w:rStyle w:val="InitialStyle"/>
        </w:rPr>
        <w:t>.</w:t>
      </w:r>
      <w:r w:rsidR="00375023">
        <w:rPr>
          <w:rStyle w:val="InitialStyle"/>
        </w:rPr>
        <w:t xml:space="preserve"> </w:t>
      </w:r>
      <w:r w:rsidR="000D3C51">
        <w:rPr>
          <w:rStyle w:val="InitialStyle"/>
        </w:rPr>
        <w:t xml:space="preserve">The initial </w:t>
      </w:r>
      <w:r w:rsidR="00E91923">
        <w:rPr>
          <w:rStyle w:val="InitialStyle"/>
        </w:rPr>
        <w:t>pre-</w:t>
      </w:r>
      <w:r w:rsidR="000D3C51">
        <w:rPr>
          <w:rStyle w:val="InitialStyle"/>
        </w:rPr>
        <w:t xml:space="preserve">survey </w:t>
      </w:r>
      <w:r w:rsidR="00E91923">
        <w:rPr>
          <w:rStyle w:val="InitialStyle"/>
        </w:rPr>
        <w:t xml:space="preserve">mailing </w:t>
      </w:r>
      <w:r>
        <w:rPr>
          <w:rStyle w:val="InitialStyle"/>
        </w:rPr>
        <w:lastRenderedPageBreak/>
        <w:t xml:space="preserve">to selected participants </w:t>
      </w:r>
      <w:r w:rsidR="000D3C51">
        <w:rPr>
          <w:rStyle w:val="InitialStyle"/>
        </w:rPr>
        <w:t xml:space="preserve">will include a letter of support from </w:t>
      </w:r>
      <w:r>
        <w:rPr>
          <w:rStyle w:val="InitialStyle"/>
        </w:rPr>
        <w:t>NCBA and other</w:t>
      </w:r>
      <w:r w:rsidR="00765738">
        <w:rPr>
          <w:rStyle w:val="InitialStyle"/>
        </w:rPr>
        <w:t xml:space="preserve"> </w:t>
      </w:r>
      <w:r w:rsidR="00FB6DA7">
        <w:rPr>
          <w:rStyle w:val="InitialStyle"/>
        </w:rPr>
        <w:t xml:space="preserve">feedlot </w:t>
      </w:r>
      <w:r w:rsidR="000D3C51">
        <w:rPr>
          <w:rStyle w:val="InitialStyle"/>
        </w:rPr>
        <w:t>industry representatives.</w:t>
      </w:r>
    </w:p>
    <w:p w:rsidRPr="005B4C2D" w:rsidR="002018DF" w:rsidP="00ED5D1E" w:rsidRDefault="00EB0E37" w14:paraId="41DDC295" w14:textId="584A0FEF">
      <w:pPr>
        <w:pStyle w:val="DefaultText"/>
        <w:numPr>
          <w:ilvl w:val="0"/>
          <w:numId w:val="23"/>
        </w:numPr>
        <w:rPr>
          <w:rStyle w:val="InitialStyle"/>
        </w:rPr>
      </w:pPr>
      <w:r>
        <w:rPr>
          <w:rStyle w:val="InitialStyle"/>
        </w:rPr>
        <w:t>APHIS</w:t>
      </w:r>
      <w:r w:rsidR="00F92CFE">
        <w:rPr>
          <w:rStyle w:val="InitialStyle"/>
        </w:rPr>
        <w:t xml:space="preserve"> will develop </w:t>
      </w:r>
      <w:r w:rsidR="000D3C51">
        <w:rPr>
          <w:rStyle w:val="InitialStyle"/>
        </w:rPr>
        <w:t xml:space="preserve">specialized </w:t>
      </w:r>
      <w:r w:rsidR="002018DF">
        <w:rPr>
          <w:rStyle w:val="InitialStyle"/>
        </w:rPr>
        <w:t xml:space="preserve">training </w:t>
      </w:r>
      <w:r w:rsidRPr="00D36F02" w:rsidR="00266A95">
        <w:rPr>
          <w:rStyle w:val="InitialStyle"/>
        </w:rPr>
        <w:t xml:space="preserve">for </w:t>
      </w:r>
      <w:r w:rsidR="00625CE2">
        <w:rPr>
          <w:rStyle w:val="InitialStyle"/>
        </w:rPr>
        <w:t>both the Phase I and Phase II</w:t>
      </w:r>
      <w:r w:rsidR="00A83109">
        <w:rPr>
          <w:rStyle w:val="InitialStyle"/>
        </w:rPr>
        <w:t xml:space="preserve"> data collectors</w:t>
      </w:r>
      <w:r w:rsidRPr="00D36F02" w:rsidR="00266A95">
        <w:rPr>
          <w:rStyle w:val="InitialStyle"/>
        </w:rPr>
        <w:t xml:space="preserve"> </w:t>
      </w:r>
      <w:r w:rsidR="000D3C51">
        <w:rPr>
          <w:rStyle w:val="InitialStyle"/>
        </w:rPr>
        <w:t xml:space="preserve">to address </w:t>
      </w:r>
      <w:r w:rsidR="00A83109">
        <w:rPr>
          <w:rStyle w:val="InitialStyle"/>
        </w:rPr>
        <w:t>any potential</w:t>
      </w:r>
      <w:r w:rsidRPr="00D36F02" w:rsidR="00266A95">
        <w:rPr>
          <w:rStyle w:val="InitialStyle"/>
        </w:rPr>
        <w:t xml:space="preserve"> difficu</w:t>
      </w:r>
      <w:r w:rsidR="00C67054">
        <w:rPr>
          <w:rStyle w:val="InitialStyle"/>
        </w:rPr>
        <w:t xml:space="preserve">lties with </w:t>
      </w:r>
      <w:r w:rsidR="00625CE2">
        <w:rPr>
          <w:rStyle w:val="InitialStyle"/>
        </w:rPr>
        <w:t xml:space="preserve">procedures or items on the </w:t>
      </w:r>
      <w:r w:rsidR="00C67054">
        <w:rPr>
          <w:rStyle w:val="InitialStyle"/>
        </w:rPr>
        <w:t>question</w:t>
      </w:r>
      <w:r w:rsidR="00625CE2">
        <w:rPr>
          <w:rStyle w:val="InitialStyle"/>
        </w:rPr>
        <w:t>naires</w:t>
      </w:r>
      <w:r w:rsidR="002018DF">
        <w:rPr>
          <w:rStyle w:val="InitialStyle"/>
        </w:rPr>
        <w:t>.</w:t>
      </w:r>
    </w:p>
    <w:p w:rsidR="00501AAE" w:rsidRDefault="00A83109" w14:paraId="69F46456" w14:textId="5737089A">
      <w:pPr>
        <w:pStyle w:val="DefaultText"/>
        <w:numPr>
          <w:ilvl w:val="0"/>
          <w:numId w:val="5"/>
        </w:numPr>
        <w:rPr>
          <w:rStyle w:val="InitialStyle"/>
        </w:rPr>
      </w:pPr>
      <w:r>
        <w:rPr>
          <w:rStyle w:val="InitialStyle"/>
        </w:rPr>
        <w:t xml:space="preserve">When NASS enumerators visit the </w:t>
      </w:r>
      <w:r w:rsidR="003B5E77">
        <w:rPr>
          <w:rStyle w:val="InitialStyle"/>
        </w:rPr>
        <w:t>feedlot</w:t>
      </w:r>
      <w:r w:rsidR="009205AF">
        <w:rPr>
          <w:rStyle w:val="InitialStyle"/>
        </w:rPr>
        <w:t xml:space="preserve"> to solicit consent for study participation</w:t>
      </w:r>
      <w:r w:rsidR="00026355">
        <w:rPr>
          <w:rStyle w:val="InitialStyle"/>
        </w:rPr>
        <w:t xml:space="preserve"> and administer the NASS questionnaire</w:t>
      </w:r>
      <w:r w:rsidR="000B1084">
        <w:rPr>
          <w:rStyle w:val="InitialStyle"/>
        </w:rPr>
        <w:t xml:space="preserve">, the enumerators will </w:t>
      </w:r>
      <w:r w:rsidR="00625CE2">
        <w:rPr>
          <w:rStyle w:val="InitialStyle"/>
        </w:rPr>
        <w:t>provide information on Phase II of the study and its benefits and will provide a link to the Phase II questionnaire to ensure the participant is aware of what will be covered in that phase of the study</w:t>
      </w:r>
      <w:r w:rsidR="009205AF">
        <w:rPr>
          <w:rStyle w:val="InitialStyle"/>
        </w:rPr>
        <w:t>.</w:t>
      </w:r>
      <w:r w:rsidR="00375023">
        <w:rPr>
          <w:rStyle w:val="InitialStyle"/>
        </w:rPr>
        <w:t xml:space="preserve"> </w:t>
      </w:r>
    </w:p>
    <w:p w:rsidRPr="00560E9C" w:rsidR="00501AAE" w:rsidP="00501AAE" w:rsidRDefault="00501AAE" w14:paraId="4DC3C1F3" w14:textId="2F1D92AB">
      <w:pPr>
        <w:numPr>
          <w:ilvl w:val="0"/>
          <w:numId w:val="5"/>
        </w:numPr>
        <w:autoSpaceDE w:val="0"/>
        <w:autoSpaceDN w:val="0"/>
        <w:adjustRightInd w:val="0"/>
      </w:pPr>
      <w:r w:rsidRPr="00560E9C">
        <w:t>APHIS will build on its efforts to collect data using an electronic data capture system</w:t>
      </w:r>
      <w:r w:rsidR="00EB0E37">
        <w:t>.</w:t>
      </w:r>
      <w:r w:rsidRPr="00560E9C">
        <w:t xml:space="preserve"> </w:t>
      </w:r>
      <w:r w:rsidR="00821EA2">
        <w:t xml:space="preserve">We plan to collect a portion </w:t>
      </w:r>
      <w:r w:rsidR="00FB6DA7">
        <w:t xml:space="preserve">of </w:t>
      </w:r>
      <w:r w:rsidRPr="00560E9C">
        <w:t xml:space="preserve">the data for this study using </w:t>
      </w:r>
      <w:r w:rsidR="00821EA2">
        <w:t>an</w:t>
      </w:r>
      <w:r w:rsidRPr="00560E9C">
        <w:t xml:space="preserve"> electronic data capture system during </w:t>
      </w:r>
      <w:r w:rsidRPr="00560E9C" w:rsidR="00821EA2">
        <w:t xml:space="preserve">Phase II </w:t>
      </w:r>
      <w:r w:rsidRPr="00560E9C">
        <w:t xml:space="preserve">in-person interviews. </w:t>
      </w:r>
      <w:r w:rsidR="001E2A77">
        <w:t xml:space="preserve">We will train </w:t>
      </w:r>
      <w:r w:rsidRPr="00560E9C">
        <w:t xml:space="preserve">APHIS data collectors who collect data in this way on collection of data and data security using this system.  </w:t>
      </w:r>
    </w:p>
    <w:p w:rsidR="00501AAE" w:rsidP="00ED5D1E" w:rsidRDefault="00501AAE" w14:paraId="64EF5CB0" w14:textId="77777777">
      <w:pPr>
        <w:pStyle w:val="DefaultText"/>
        <w:rPr>
          <w:rStyle w:val="InitialStyle"/>
        </w:rPr>
      </w:pPr>
    </w:p>
    <w:p w:rsidR="00501AAE" w:rsidP="004D3ABD" w:rsidRDefault="00501AAE" w14:paraId="1CAB2AD2" w14:textId="6D96728F">
      <w:pPr>
        <w:pStyle w:val="Heading3"/>
        <w:rPr>
          <w:rStyle w:val="InitialStyle"/>
          <w:u w:val="single"/>
        </w:rPr>
      </w:pPr>
      <w:r w:rsidRPr="004D3ABD">
        <w:rPr>
          <w:rStyle w:val="InitialStyle"/>
          <w:rFonts w:ascii="Times New Roman" w:hAnsi="Times New Roman" w:cs="Times New Roman"/>
          <w:caps/>
          <w:sz w:val="24"/>
          <w:szCs w:val="24"/>
          <w:u w:val="single"/>
        </w:rPr>
        <w:t>Contacting respondents:</w:t>
      </w:r>
    </w:p>
    <w:p w:rsidRPr="00560E9C" w:rsidR="00501AAE" w:rsidP="00501AAE" w:rsidRDefault="00501AAE" w14:paraId="4C24D544" w14:textId="5E6F5E1B">
      <w:pPr>
        <w:numPr>
          <w:ilvl w:val="0"/>
          <w:numId w:val="5"/>
        </w:numPr>
        <w:autoSpaceDE w:val="0"/>
        <w:autoSpaceDN w:val="0"/>
        <w:adjustRightInd w:val="0"/>
      </w:pPr>
      <w:r w:rsidRPr="00560E9C">
        <w:t xml:space="preserve">NASS will send a pre-survey letter to selected </w:t>
      </w:r>
      <w:r w:rsidR="003B5E77">
        <w:t>feedlot</w:t>
      </w:r>
      <w:r w:rsidRPr="00560E9C">
        <w:t xml:space="preserve">s to inform them of the study objectives and benefits as well as timelines and what they can expect if they decide to participate.  </w:t>
      </w:r>
    </w:p>
    <w:p w:rsidRPr="005B4C2D" w:rsidR="00501AAE" w:rsidP="00501AAE" w:rsidRDefault="001E2A77" w14:paraId="10DF46C0" w14:textId="5DF7A3DF">
      <w:pPr>
        <w:pStyle w:val="DefaultText"/>
        <w:numPr>
          <w:ilvl w:val="0"/>
          <w:numId w:val="5"/>
        </w:numPr>
        <w:rPr>
          <w:rStyle w:val="InitialStyle"/>
        </w:rPr>
      </w:pPr>
      <w:r>
        <w:rPr>
          <w:rStyle w:val="InitialStyle"/>
        </w:rPr>
        <w:t>We conducted meetings and discussions with industry representatives from the National Cattlemen’s Beef Association, (NCBA) get their support</w:t>
      </w:r>
      <w:r w:rsidRPr="005B4C2D">
        <w:rPr>
          <w:rStyle w:val="InitialStyle"/>
        </w:rPr>
        <w:t>.</w:t>
      </w:r>
      <w:r>
        <w:rPr>
          <w:rStyle w:val="InitialStyle"/>
        </w:rPr>
        <w:t xml:space="preserve"> The initial pre-survey mailing to selected participants will include a letter of support from NCBA and other </w:t>
      </w:r>
      <w:r w:rsidR="00C820D0">
        <w:rPr>
          <w:rStyle w:val="InitialStyle"/>
        </w:rPr>
        <w:t>feedlot</w:t>
      </w:r>
      <w:r>
        <w:rPr>
          <w:rStyle w:val="InitialStyle"/>
        </w:rPr>
        <w:t xml:space="preserve"> industry representatives.</w:t>
      </w:r>
    </w:p>
    <w:p w:rsidRPr="00560E9C" w:rsidR="00501AAE" w:rsidP="00501AAE" w:rsidRDefault="00501AAE" w14:paraId="43DD9D05" w14:textId="73DE1CCD">
      <w:pPr>
        <w:numPr>
          <w:ilvl w:val="0"/>
          <w:numId w:val="5"/>
        </w:numPr>
        <w:autoSpaceDE w:val="0"/>
        <w:autoSpaceDN w:val="0"/>
        <w:adjustRightInd w:val="0"/>
      </w:pPr>
      <w:r w:rsidRPr="00560E9C">
        <w:t xml:space="preserve">NASS enumerators will </w:t>
      </w:r>
      <w:r w:rsidR="00FB6DA7">
        <w:t xml:space="preserve">use an established contact protocol (including up to 7 phone calls and 3 visits in person) </w:t>
      </w:r>
      <w:r w:rsidRPr="00560E9C">
        <w:t xml:space="preserve">followed by an on farm visit </w:t>
      </w:r>
      <w:r w:rsidR="00FB6DA7">
        <w:t xml:space="preserve">at a scheduled time </w:t>
      </w:r>
      <w:r w:rsidRPr="00560E9C">
        <w:t>before they are listed as a refu</w:t>
      </w:r>
      <w:r w:rsidR="001E2A77">
        <w:t xml:space="preserve">sed or inaccessible </w:t>
      </w:r>
      <w:r w:rsidR="003B5E77">
        <w:t>feedlot</w:t>
      </w:r>
      <w:r w:rsidR="001E2A77">
        <w:t xml:space="preserve">. </w:t>
      </w:r>
      <w:r w:rsidRPr="00560E9C">
        <w:t xml:space="preserve">NASS enumerators have gone through specific training to help them answer questions of reluctant producers so as to maximize response rates.  </w:t>
      </w:r>
    </w:p>
    <w:p w:rsidRPr="00560E9C" w:rsidR="00501AAE" w:rsidP="00501AAE" w:rsidRDefault="00501AAE" w14:paraId="27DDAB20" w14:textId="3E7BE7A7">
      <w:pPr>
        <w:numPr>
          <w:ilvl w:val="0"/>
          <w:numId w:val="5"/>
        </w:numPr>
        <w:autoSpaceDE w:val="0"/>
        <w:autoSpaceDN w:val="0"/>
        <w:adjustRightInd w:val="0"/>
      </w:pPr>
      <w:r w:rsidRPr="00560E9C">
        <w:t>The APHIS data collectors will contact farms that have consented to continue in Phase II of the study and set up a convenient time for the producer to complete the questionnaire. Training for the APHIS data collectors will include specific suggestions from the NASS trainers based upon their experience in working with specific producers to maximize response.</w:t>
      </w:r>
    </w:p>
    <w:p w:rsidRPr="00625CE2" w:rsidR="00501AAE" w:rsidP="00ED5D1E" w:rsidRDefault="001E2A77" w14:paraId="3FB5C199" w14:textId="15618BD6">
      <w:pPr>
        <w:numPr>
          <w:ilvl w:val="0"/>
          <w:numId w:val="5"/>
        </w:numPr>
        <w:autoSpaceDE w:val="0"/>
        <w:autoSpaceDN w:val="0"/>
        <w:adjustRightInd w:val="0"/>
        <w:spacing w:after="240"/>
        <w:rPr>
          <w:rStyle w:val="InitialStyle"/>
        </w:rPr>
      </w:pPr>
      <w:r>
        <w:t>We will provide t</w:t>
      </w:r>
      <w:r w:rsidR="00501AAE">
        <w:t>raining and informational materials</w:t>
      </w:r>
      <w:r w:rsidRPr="00560E9C" w:rsidR="00501AAE">
        <w:t xml:space="preserve"> to APHIS data collectors in order to guide them through study specifics, benefits, and commitments by the producer in order to maximize participant conversion.</w:t>
      </w:r>
    </w:p>
    <w:p w:rsidRPr="005B4C2D" w:rsidR="004E48D9" w:rsidP="00987009" w:rsidRDefault="00987009" w14:paraId="5C8E8BCF" w14:textId="77777777">
      <w:pPr>
        <w:pStyle w:val="Heading3"/>
        <w:rPr>
          <w:rStyle w:val="InitialStyle"/>
        </w:rPr>
      </w:pPr>
      <w:r w:rsidRPr="004D3ABD">
        <w:rPr>
          <w:rStyle w:val="InitialStyle"/>
          <w:rFonts w:ascii="Times New Roman" w:hAnsi="Times New Roman" w:cs="Times New Roman"/>
          <w:caps/>
          <w:sz w:val="24"/>
          <w:szCs w:val="24"/>
          <w:u w:val="single"/>
        </w:rPr>
        <w:t>Non-response adjustment:</w:t>
      </w:r>
      <w:r w:rsidRPr="005B4C2D" w:rsidR="004E48D9">
        <w:rPr>
          <w:rStyle w:val="InitialStyle"/>
        </w:rPr>
        <w:tab/>
      </w:r>
    </w:p>
    <w:p w:rsidRPr="00560E9C" w:rsidR="009F26DB" w:rsidP="009F26DB" w:rsidRDefault="009F26DB" w14:paraId="47BE58C1" w14:textId="3E0F4A1E">
      <w:pPr>
        <w:numPr>
          <w:ilvl w:val="0"/>
          <w:numId w:val="26"/>
        </w:numPr>
        <w:autoSpaceDE w:val="0"/>
        <w:autoSpaceDN w:val="0"/>
        <w:adjustRightInd w:val="0"/>
      </w:pPr>
      <w:r w:rsidRPr="00560E9C">
        <w:t xml:space="preserve">Baseline </w:t>
      </w:r>
      <w:r w:rsidR="00625CE2">
        <w:t xml:space="preserve">expected response rates are taken from the NAHMS Feedlot 2011 and NAHMS Antimicrobial Use and Stewardship on U.S. Feedlots, 2017 and are shown in Table </w:t>
      </w:r>
      <w:r w:rsidR="00B66079">
        <w:t>C</w:t>
      </w:r>
      <w:r w:rsidR="00625CE2">
        <w:t xml:space="preserve">.1 in Appendix </w:t>
      </w:r>
      <w:r w:rsidR="00B66079">
        <w:t>C</w:t>
      </w:r>
      <w:r w:rsidR="00625CE2">
        <w:t>.</w:t>
      </w:r>
    </w:p>
    <w:p w:rsidRPr="00560E9C" w:rsidR="006751FC" w:rsidP="006751FC" w:rsidRDefault="006751FC" w14:paraId="78C323B0" w14:textId="77777777">
      <w:pPr>
        <w:numPr>
          <w:ilvl w:val="0"/>
          <w:numId w:val="26"/>
        </w:numPr>
        <w:autoSpaceDE w:val="0"/>
        <w:autoSpaceDN w:val="0"/>
        <w:adjustRightInd w:val="0"/>
        <w:spacing w:after="240"/>
      </w:pPr>
      <w:r>
        <w:t>APHIS will adjust s</w:t>
      </w:r>
      <w:r w:rsidRPr="00560E9C">
        <w:t>election weights adjusted for nonresponse</w:t>
      </w:r>
      <w:r>
        <w:t xml:space="preserve"> using NASS-supplied stratification variables</w:t>
      </w:r>
      <w:r w:rsidRPr="00560E9C">
        <w:t xml:space="preserve">. </w:t>
      </w:r>
      <w:r>
        <w:t>We will transfer w</w:t>
      </w:r>
      <w:r w:rsidRPr="00560E9C">
        <w:t xml:space="preserve">eights of eligible non-respondents to responding </w:t>
      </w:r>
      <w:r>
        <w:t>feedlot</w:t>
      </w:r>
      <w:r w:rsidRPr="00560E9C">
        <w:t xml:space="preserve">s that are most similar based on available data, including the </w:t>
      </w:r>
      <w:r>
        <w:t>State</w:t>
      </w:r>
      <w:r w:rsidRPr="00560E9C">
        <w:t xml:space="preserve"> and size category stratification variables. The nonresponse adjustment will use the method of propensity scores, </w:t>
      </w:r>
      <w:r>
        <w:t>in which</w:t>
      </w:r>
      <w:r w:rsidRPr="00560E9C">
        <w:t xml:space="preserve"> a logistic regression model is constructed to predict the probability of responding. The inverse of this probability is the nonresponse adjustment.</w:t>
      </w:r>
    </w:p>
    <w:p w:rsidRPr="00560E9C" w:rsidR="009F26DB" w:rsidP="009F26DB" w:rsidRDefault="009F26DB" w14:paraId="6C5FBF39" w14:textId="63C71928">
      <w:pPr>
        <w:numPr>
          <w:ilvl w:val="0"/>
          <w:numId w:val="26"/>
        </w:numPr>
        <w:autoSpaceDE w:val="0"/>
        <w:autoSpaceDN w:val="0"/>
        <w:adjustRightInd w:val="0"/>
      </w:pPr>
      <w:r w:rsidRPr="00560E9C">
        <w:lastRenderedPageBreak/>
        <w:t xml:space="preserve">If the respondents differ substantially from the non-respondents, then there is potential for bias.  NASS’ List Frame data may be available for both respondents and non-respondents to allow for examination of potential differences in type of responding and non-responding </w:t>
      </w:r>
      <w:r w:rsidR="003B5E77">
        <w:t>feedlot</w:t>
      </w:r>
      <w:r w:rsidRPr="00560E9C">
        <w:t xml:space="preserve">s. If needed, </w:t>
      </w:r>
      <w:r w:rsidR="001E2A77">
        <w:t xml:space="preserve">APHIS will perform </w:t>
      </w:r>
      <w:r w:rsidRPr="00560E9C">
        <w:t>a nonresponse bias analysis to investigate unexpected response patterns to guide future sampling efforts.</w:t>
      </w:r>
      <w:r w:rsidR="006751FC">
        <w:t xml:space="preserve"> If </w:t>
      </w:r>
      <w:r w:rsidR="006F6C2E">
        <w:t xml:space="preserve">significant nonresponse bias is found, the factors contributing to the bias will be incorporated into the nonresponse weight adjustment using post-stratification raking procedures. </w:t>
      </w:r>
    </w:p>
    <w:p w:rsidRPr="00ED5D1E" w:rsidR="009F26DB" w:rsidP="004D3ABD" w:rsidRDefault="009F26DB" w14:paraId="6BF6DDAA" w14:textId="10B8D752">
      <w:pPr>
        <w:pStyle w:val="Heading3"/>
        <w:rPr>
          <w:u w:val="single"/>
        </w:rPr>
      </w:pPr>
      <w:r w:rsidRPr="004D3ABD">
        <w:rPr>
          <w:rStyle w:val="InitialStyle"/>
          <w:rFonts w:ascii="Times New Roman" w:hAnsi="Times New Roman" w:cs="Times New Roman"/>
          <w:caps/>
          <w:sz w:val="24"/>
          <w:szCs w:val="24"/>
        </w:rPr>
        <w:t>Sampling and design strategies:</w:t>
      </w:r>
    </w:p>
    <w:p w:rsidRPr="00560E9C" w:rsidR="009F26DB" w:rsidP="009F26DB" w:rsidRDefault="009F26DB" w14:paraId="78A2C4AE" w14:textId="10861936">
      <w:pPr>
        <w:numPr>
          <w:ilvl w:val="0"/>
          <w:numId w:val="26"/>
        </w:numPr>
        <w:autoSpaceDE w:val="0"/>
        <w:autoSpaceDN w:val="0"/>
        <w:adjustRightInd w:val="0"/>
      </w:pPr>
      <w:r w:rsidRPr="00560E9C">
        <w:t xml:space="preserve">Sampling from the NASS List Frame after the NASS 2017 Census of Agriculture will help to maintain adequate response rates by avoiding </w:t>
      </w:r>
      <w:r w:rsidR="003B5E77">
        <w:t>feedlot</w:t>
      </w:r>
      <w:r w:rsidRPr="00560E9C">
        <w:t xml:space="preserve">s that are out of scope, out of business, or otherwise do not have animals at the time of contact. </w:t>
      </w:r>
    </w:p>
    <w:p w:rsidRPr="00560E9C" w:rsidR="009F26DB" w:rsidP="009F26DB" w:rsidRDefault="009F26DB" w14:paraId="17604638" w14:textId="44F227E8">
      <w:pPr>
        <w:numPr>
          <w:ilvl w:val="0"/>
          <w:numId w:val="26"/>
        </w:numPr>
        <w:autoSpaceDE w:val="0"/>
        <w:autoSpaceDN w:val="0"/>
        <w:adjustRightInd w:val="0"/>
      </w:pPr>
      <w:r>
        <w:t xml:space="preserve">Because 11 of 12 States </w:t>
      </w:r>
      <w:r w:rsidRPr="00560E9C">
        <w:t xml:space="preserve">included in NASS’ </w:t>
      </w:r>
      <w:r>
        <w:t>Monthly Cattle on Feed</w:t>
      </w:r>
      <w:r w:rsidRPr="00560E9C">
        <w:t xml:space="preserve"> Report</w:t>
      </w:r>
      <w:r>
        <w:t xml:space="preserve"> are included in the large component</w:t>
      </w:r>
      <w:r w:rsidRPr="00560E9C">
        <w:t xml:space="preserve">, they will have the greatest likelihood of having been updated in the List Frame during the last </w:t>
      </w:r>
      <w:r>
        <w:t>month</w:t>
      </w:r>
      <w:r w:rsidRPr="00560E9C">
        <w:t xml:space="preserve"> compared to other potential States. </w:t>
      </w:r>
    </w:p>
    <w:p w:rsidRPr="00560E9C" w:rsidR="009F26DB" w:rsidP="009F26DB" w:rsidRDefault="009F26DB" w14:paraId="63728152" w14:textId="3B0BAF8A">
      <w:pPr>
        <w:numPr>
          <w:ilvl w:val="0"/>
          <w:numId w:val="26"/>
        </w:numPr>
        <w:autoSpaceDE w:val="0"/>
        <w:autoSpaceDN w:val="0"/>
        <w:adjustRightInd w:val="0"/>
      </w:pPr>
      <w:r>
        <w:t>Face-to-face enumerated questionnaires are planned for both phases</w:t>
      </w:r>
      <w:r w:rsidRPr="00560E9C">
        <w:t xml:space="preserve">. Face-to-face enumeration has historically been shown to produce </w:t>
      </w:r>
      <w:r w:rsidR="001E2A77">
        <w:t>higher</w:t>
      </w:r>
      <w:r w:rsidRPr="00560E9C" w:rsidR="001E2A77">
        <w:t xml:space="preserve"> </w:t>
      </w:r>
      <w:r w:rsidRPr="00560E9C">
        <w:t xml:space="preserve">response rates in NAHMS studies than those in studies implementing mail-out or phone-based surveys. </w:t>
      </w:r>
    </w:p>
    <w:p w:rsidRPr="005B4C2D" w:rsidR="004E48D9" w:rsidP="00FE76DA" w:rsidRDefault="004E48D9" w14:paraId="05FA80D0" w14:textId="6396AA52">
      <w:pPr>
        <w:pStyle w:val="Heading2"/>
        <w:numPr>
          <w:ilvl w:val="0"/>
          <w:numId w:val="13"/>
        </w:numPr>
        <w:rPr>
          <w:rStyle w:val="InitialStyle"/>
          <w:rFonts w:ascii="Times New Roman" w:hAnsi="Times New Roman" w:cs="Times New Roman"/>
          <w:i w:val="0"/>
          <w:sz w:val="24"/>
          <w:szCs w:val="24"/>
        </w:rPr>
      </w:pPr>
      <w:bookmarkStart w:name="_Toc120517355" w:id="32"/>
      <w:bookmarkStart w:name="_Toc121289114" w:id="33"/>
      <w:bookmarkStart w:name="_Toc133308583" w:id="34"/>
      <w:bookmarkStart w:name="_Toc142106618" w:id="35"/>
      <w:r w:rsidRPr="002D68BF">
        <w:rPr>
          <w:rStyle w:val="InitialStyle"/>
          <w:rFonts w:ascii="Times New Roman" w:hAnsi="Times New Roman" w:cs="Times New Roman"/>
          <w:i w:val="0"/>
          <w:caps/>
          <w:sz w:val="24"/>
          <w:szCs w:val="24"/>
        </w:rPr>
        <w:t>D</w:t>
      </w:r>
      <w:r w:rsidRPr="002D68BF" w:rsidR="002825B3">
        <w:rPr>
          <w:rFonts w:ascii="Times New Roman" w:hAnsi="Times New Roman" w:cs="Times New Roman"/>
          <w:i w:val="0"/>
          <w:caps/>
          <w:sz w:val="24"/>
          <w:szCs w:val="24"/>
        </w:rPr>
        <w:t>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Pr="002825B3" w:rsidR="002825B3">
        <w:rPr>
          <w:rFonts w:ascii="Times New Roman" w:hAnsi="Times New Roman" w:cs="Times New Roman"/>
          <w:i w:val="0"/>
          <w:sz w:val="24"/>
          <w:szCs w:val="24"/>
        </w:rPr>
        <w:t>.</w:t>
      </w:r>
      <w:bookmarkEnd w:id="32"/>
      <w:bookmarkEnd w:id="33"/>
      <w:bookmarkEnd w:id="34"/>
      <w:bookmarkEnd w:id="35"/>
    </w:p>
    <w:p w:rsidRPr="005B4C2D" w:rsidR="004E48D9" w:rsidP="004E48D9" w:rsidRDefault="004E48D9" w14:paraId="762C67BA" w14:textId="77777777">
      <w:pPr>
        <w:pStyle w:val="DefaultText"/>
        <w:rPr>
          <w:rStyle w:val="InitialStyle"/>
        </w:rPr>
      </w:pPr>
    </w:p>
    <w:p w:rsidRPr="00475964" w:rsidR="006A0FFB" w:rsidP="006A0FFB" w:rsidRDefault="001E2A77" w14:paraId="12FB3580" w14:textId="2B6748E6">
      <w:pPr>
        <w:pStyle w:val="BODY11Indent"/>
        <w:spacing w:after="240"/>
        <w:ind w:left="0"/>
        <w:rPr>
          <w:bCs w:val="0"/>
          <w:snapToGrid w:val="0"/>
          <w:sz w:val="24"/>
          <w:szCs w:val="20"/>
        </w:rPr>
      </w:pPr>
      <w:r w:rsidRPr="00475964">
        <w:rPr>
          <w:bCs w:val="0"/>
          <w:snapToGrid w:val="0"/>
          <w:sz w:val="24"/>
          <w:szCs w:val="20"/>
        </w:rPr>
        <w:t xml:space="preserve">APHIS </w:t>
      </w:r>
      <w:r>
        <w:rPr>
          <w:bCs w:val="0"/>
          <w:snapToGrid w:val="0"/>
          <w:sz w:val="24"/>
          <w:szCs w:val="20"/>
        </w:rPr>
        <w:t>will pretest q</w:t>
      </w:r>
      <w:r w:rsidR="002825B3">
        <w:rPr>
          <w:bCs w:val="0"/>
          <w:snapToGrid w:val="0"/>
          <w:sz w:val="24"/>
          <w:szCs w:val="20"/>
        </w:rPr>
        <w:t>uestionnaires</w:t>
      </w:r>
      <w:r w:rsidRPr="00475964" w:rsidR="006A0FFB">
        <w:rPr>
          <w:bCs w:val="0"/>
          <w:snapToGrid w:val="0"/>
          <w:sz w:val="24"/>
          <w:szCs w:val="20"/>
        </w:rPr>
        <w:t xml:space="preserve"> prior to field enumeration, involving fewer than 10 respondents. </w:t>
      </w:r>
      <w:r w:rsidR="006B461D">
        <w:rPr>
          <w:bCs w:val="0"/>
          <w:snapToGrid w:val="0"/>
          <w:sz w:val="24"/>
          <w:szCs w:val="20"/>
        </w:rPr>
        <w:t xml:space="preserve">For the APHIS pretests, </w:t>
      </w:r>
      <w:r w:rsidR="000F6951">
        <w:rPr>
          <w:bCs w:val="0"/>
          <w:snapToGrid w:val="0"/>
          <w:sz w:val="24"/>
          <w:szCs w:val="20"/>
        </w:rPr>
        <w:t>one component of the pre</w:t>
      </w:r>
      <w:r w:rsidR="006B461D">
        <w:rPr>
          <w:bCs w:val="0"/>
          <w:snapToGrid w:val="0"/>
          <w:sz w:val="24"/>
          <w:szCs w:val="20"/>
        </w:rPr>
        <w:t xml:space="preserve">testing will </w:t>
      </w:r>
      <w:r w:rsidR="000F6951">
        <w:rPr>
          <w:bCs w:val="0"/>
          <w:snapToGrid w:val="0"/>
          <w:sz w:val="24"/>
          <w:szCs w:val="20"/>
        </w:rPr>
        <w:t>focus on</w:t>
      </w:r>
      <w:r w:rsidR="006B461D">
        <w:rPr>
          <w:bCs w:val="0"/>
          <w:snapToGrid w:val="0"/>
          <w:sz w:val="24"/>
          <w:szCs w:val="20"/>
        </w:rPr>
        <w:t xml:space="preserve"> the formatting of </w:t>
      </w:r>
      <w:r w:rsidR="009F78FC">
        <w:rPr>
          <w:bCs w:val="0"/>
          <w:snapToGrid w:val="0"/>
          <w:sz w:val="24"/>
          <w:szCs w:val="20"/>
        </w:rPr>
        <w:t>the antibiotic use section</w:t>
      </w:r>
      <w:r w:rsidR="006B461D">
        <w:rPr>
          <w:bCs w:val="0"/>
          <w:snapToGrid w:val="0"/>
          <w:sz w:val="24"/>
          <w:szCs w:val="20"/>
        </w:rPr>
        <w:t xml:space="preserve"> of the </w:t>
      </w:r>
      <w:r w:rsidR="009F78FC">
        <w:rPr>
          <w:bCs w:val="0"/>
          <w:snapToGrid w:val="0"/>
          <w:sz w:val="24"/>
          <w:szCs w:val="20"/>
        </w:rPr>
        <w:t>Phase II</w:t>
      </w:r>
      <w:r w:rsidR="006B461D">
        <w:rPr>
          <w:bCs w:val="0"/>
          <w:snapToGrid w:val="0"/>
          <w:sz w:val="24"/>
          <w:szCs w:val="20"/>
        </w:rPr>
        <w:t xml:space="preserve"> Questionnaire. With regards to this specialized </w:t>
      </w:r>
      <w:r w:rsidR="000F6951">
        <w:rPr>
          <w:bCs w:val="0"/>
          <w:snapToGrid w:val="0"/>
          <w:sz w:val="24"/>
          <w:szCs w:val="20"/>
        </w:rPr>
        <w:t>focus</w:t>
      </w:r>
      <w:r w:rsidR="006B461D">
        <w:rPr>
          <w:bCs w:val="0"/>
          <w:snapToGrid w:val="0"/>
          <w:sz w:val="24"/>
          <w:szCs w:val="20"/>
        </w:rPr>
        <w:t xml:space="preserve">, original and alternative formatting </w:t>
      </w:r>
      <w:r w:rsidR="000F6951">
        <w:rPr>
          <w:bCs w:val="0"/>
          <w:snapToGrid w:val="0"/>
          <w:sz w:val="24"/>
          <w:szCs w:val="20"/>
        </w:rPr>
        <w:t xml:space="preserve">for this question </w:t>
      </w:r>
      <w:r w:rsidR="006B461D">
        <w:rPr>
          <w:bCs w:val="0"/>
          <w:snapToGrid w:val="0"/>
          <w:sz w:val="24"/>
          <w:szCs w:val="20"/>
        </w:rPr>
        <w:t xml:space="preserve">have been included in the OMB package submission to make </w:t>
      </w:r>
      <w:r w:rsidR="002B131E">
        <w:rPr>
          <w:bCs w:val="0"/>
          <w:snapToGrid w:val="0"/>
          <w:sz w:val="24"/>
          <w:szCs w:val="20"/>
        </w:rPr>
        <w:t>the options available during pretesting transparent</w:t>
      </w:r>
      <w:r w:rsidR="006B461D">
        <w:rPr>
          <w:bCs w:val="0"/>
          <w:snapToGrid w:val="0"/>
          <w:sz w:val="24"/>
          <w:szCs w:val="20"/>
        </w:rPr>
        <w:t xml:space="preserve">. </w:t>
      </w:r>
      <w:r>
        <w:rPr>
          <w:bCs w:val="0"/>
          <w:snapToGrid w:val="0"/>
          <w:sz w:val="24"/>
          <w:szCs w:val="20"/>
        </w:rPr>
        <w:t xml:space="preserve">A </w:t>
      </w:r>
      <w:r w:rsidRPr="00475964" w:rsidR="006A0FFB">
        <w:rPr>
          <w:bCs w:val="0"/>
          <w:snapToGrid w:val="0"/>
          <w:sz w:val="24"/>
          <w:szCs w:val="20"/>
        </w:rPr>
        <w:t>N</w:t>
      </w:r>
      <w:r w:rsidR="006B461D">
        <w:rPr>
          <w:bCs w:val="0"/>
          <w:snapToGrid w:val="0"/>
          <w:sz w:val="24"/>
          <w:szCs w:val="20"/>
        </w:rPr>
        <w:t xml:space="preserve">ASS </w:t>
      </w:r>
      <w:r w:rsidR="009F78FC">
        <w:rPr>
          <w:bCs w:val="0"/>
          <w:snapToGrid w:val="0"/>
          <w:sz w:val="24"/>
          <w:szCs w:val="20"/>
        </w:rPr>
        <w:t>survey methodologist</w:t>
      </w:r>
      <w:r>
        <w:rPr>
          <w:bCs w:val="0"/>
          <w:snapToGrid w:val="0"/>
          <w:sz w:val="24"/>
          <w:szCs w:val="20"/>
        </w:rPr>
        <w:t xml:space="preserve"> </w:t>
      </w:r>
      <w:r w:rsidR="006B461D">
        <w:rPr>
          <w:bCs w:val="0"/>
          <w:snapToGrid w:val="0"/>
          <w:sz w:val="24"/>
          <w:szCs w:val="20"/>
        </w:rPr>
        <w:t xml:space="preserve">will </w:t>
      </w:r>
      <w:r w:rsidR="009F78FC">
        <w:rPr>
          <w:bCs w:val="0"/>
          <w:snapToGrid w:val="0"/>
          <w:sz w:val="24"/>
          <w:szCs w:val="20"/>
        </w:rPr>
        <w:t xml:space="preserve">have federal employees with feedlot expertise </w:t>
      </w:r>
      <w:r w:rsidR="006B461D">
        <w:rPr>
          <w:bCs w:val="0"/>
          <w:snapToGrid w:val="0"/>
          <w:sz w:val="24"/>
          <w:szCs w:val="20"/>
        </w:rPr>
        <w:t xml:space="preserve">review </w:t>
      </w:r>
      <w:r w:rsidR="009F78FC">
        <w:rPr>
          <w:bCs w:val="0"/>
          <w:snapToGrid w:val="0"/>
          <w:sz w:val="24"/>
          <w:szCs w:val="20"/>
        </w:rPr>
        <w:t xml:space="preserve">the Phase I questionnaire </w:t>
      </w:r>
      <w:r w:rsidR="006B461D">
        <w:rPr>
          <w:bCs w:val="0"/>
          <w:snapToGrid w:val="0"/>
          <w:sz w:val="24"/>
          <w:szCs w:val="20"/>
        </w:rPr>
        <w:t xml:space="preserve">and </w:t>
      </w:r>
      <w:r w:rsidRPr="00475964" w:rsidR="006A0FFB">
        <w:rPr>
          <w:bCs w:val="0"/>
          <w:snapToGrid w:val="0"/>
          <w:sz w:val="24"/>
          <w:szCs w:val="20"/>
        </w:rPr>
        <w:t>perform pretests</w:t>
      </w:r>
      <w:r>
        <w:rPr>
          <w:bCs w:val="0"/>
          <w:snapToGrid w:val="0"/>
          <w:sz w:val="24"/>
          <w:szCs w:val="20"/>
        </w:rPr>
        <w:t xml:space="preserve"> on</w:t>
      </w:r>
      <w:r w:rsidRPr="001E2A77">
        <w:rPr>
          <w:bCs w:val="0"/>
          <w:snapToGrid w:val="0"/>
          <w:sz w:val="24"/>
          <w:szCs w:val="20"/>
        </w:rPr>
        <w:t xml:space="preserve"> </w:t>
      </w:r>
      <w:r w:rsidRPr="00475964">
        <w:rPr>
          <w:bCs w:val="0"/>
          <w:snapToGrid w:val="0"/>
          <w:sz w:val="24"/>
          <w:szCs w:val="20"/>
        </w:rPr>
        <w:t xml:space="preserve">the questionnaire on </w:t>
      </w:r>
      <w:r>
        <w:rPr>
          <w:bCs w:val="0"/>
          <w:snapToGrid w:val="0"/>
          <w:sz w:val="24"/>
          <w:szCs w:val="20"/>
        </w:rPr>
        <w:t>fewer than 20</w:t>
      </w:r>
      <w:r w:rsidRPr="00475964">
        <w:rPr>
          <w:bCs w:val="0"/>
          <w:snapToGrid w:val="0"/>
          <w:sz w:val="24"/>
          <w:szCs w:val="20"/>
        </w:rPr>
        <w:t xml:space="preserve"> </w:t>
      </w:r>
      <w:r w:rsidR="003B5E77">
        <w:rPr>
          <w:bCs w:val="0"/>
          <w:snapToGrid w:val="0"/>
          <w:sz w:val="24"/>
          <w:szCs w:val="20"/>
        </w:rPr>
        <w:t>feedlot</w:t>
      </w:r>
      <w:r w:rsidRPr="00475964">
        <w:rPr>
          <w:bCs w:val="0"/>
          <w:snapToGrid w:val="0"/>
          <w:sz w:val="24"/>
          <w:szCs w:val="20"/>
        </w:rPr>
        <w:t>s</w:t>
      </w:r>
      <w:r w:rsidR="00752C6F">
        <w:rPr>
          <w:bCs w:val="0"/>
          <w:snapToGrid w:val="0"/>
          <w:sz w:val="24"/>
          <w:szCs w:val="20"/>
        </w:rPr>
        <w:t xml:space="preserve">, under a </w:t>
      </w:r>
      <w:r>
        <w:rPr>
          <w:bCs w:val="0"/>
          <w:snapToGrid w:val="0"/>
          <w:sz w:val="24"/>
          <w:szCs w:val="20"/>
        </w:rPr>
        <w:t xml:space="preserve">NASS </w:t>
      </w:r>
      <w:r w:rsidR="00752C6F">
        <w:rPr>
          <w:bCs w:val="0"/>
          <w:snapToGrid w:val="0"/>
          <w:sz w:val="24"/>
          <w:szCs w:val="20"/>
        </w:rPr>
        <w:t>generic OMB clearance</w:t>
      </w:r>
      <w:r w:rsidRPr="00475964" w:rsidR="006A0FFB">
        <w:rPr>
          <w:bCs w:val="0"/>
          <w:snapToGrid w:val="0"/>
          <w:sz w:val="24"/>
          <w:szCs w:val="20"/>
        </w:rPr>
        <w:t xml:space="preserve">. </w:t>
      </w:r>
    </w:p>
    <w:p w:rsidR="006A0FFB" w:rsidP="006A0FFB" w:rsidRDefault="001E2A77" w14:paraId="4A4035DB" w14:textId="1057CDE6">
      <w:pPr>
        <w:pStyle w:val="BODY11Indent"/>
        <w:spacing w:after="240"/>
        <w:ind w:left="0"/>
        <w:rPr>
          <w:bCs w:val="0"/>
          <w:snapToGrid w:val="0"/>
          <w:sz w:val="24"/>
          <w:szCs w:val="20"/>
        </w:rPr>
      </w:pPr>
      <w:r>
        <w:rPr>
          <w:bCs w:val="0"/>
          <w:snapToGrid w:val="0"/>
          <w:sz w:val="24"/>
          <w:szCs w:val="20"/>
        </w:rPr>
        <w:t>APHIS will use the r</w:t>
      </w:r>
      <w:r w:rsidRPr="00475964" w:rsidR="006A0FFB">
        <w:rPr>
          <w:bCs w:val="0"/>
          <w:snapToGrid w:val="0"/>
          <w:sz w:val="24"/>
          <w:szCs w:val="20"/>
        </w:rPr>
        <w:t xml:space="preserve">esults of these pretests to refine the questionnaires in order to reduce respondent burden and improve the usefulness of the information. </w:t>
      </w:r>
      <w:r>
        <w:rPr>
          <w:bCs w:val="0"/>
          <w:snapToGrid w:val="0"/>
          <w:sz w:val="24"/>
          <w:szCs w:val="20"/>
        </w:rPr>
        <w:t xml:space="preserve">We will </w:t>
      </w:r>
      <w:r w:rsidR="00B467AA">
        <w:rPr>
          <w:bCs w:val="0"/>
          <w:snapToGrid w:val="0"/>
          <w:sz w:val="24"/>
          <w:szCs w:val="20"/>
        </w:rPr>
        <w:t xml:space="preserve">also </w:t>
      </w:r>
      <w:r>
        <w:rPr>
          <w:bCs w:val="0"/>
          <w:snapToGrid w:val="0"/>
          <w:sz w:val="24"/>
          <w:szCs w:val="20"/>
        </w:rPr>
        <w:t xml:space="preserve">use the </w:t>
      </w:r>
      <w:r w:rsidR="00B467AA">
        <w:rPr>
          <w:bCs w:val="0"/>
          <w:snapToGrid w:val="0"/>
          <w:sz w:val="24"/>
          <w:szCs w:val="20"/>
        </w:rPr>
        <w:t xml:space="preserve">pretested and </w:t>
      </w:r>
      <w:r w:rsidRPr="00475964" w:rsidR="006A0FFB">
        <w:rPr>
          <w:bCs w:val="0"/>
          <w:snapToGrid w:val="0"/>
          <w:sz w:val="24"/>
          <w:szCs w:val="20"/>
        </w:rPr>
        <w:t xml:space="preserve">revised questions from previous iterations of NAHMS </w:t>
      </w:r>
      <w:r w:rsidR="002825B3">
        <w:rPr>
          <w:bCs w:val="0"/>
          <w:snapToGrid w:val="0"/>
          <w:sz w:val="24"/>
          <w:szCs w:val="20"/>
        </w:rPr>
        <w:t>Feedlot studies</w:t>
      </w:r>
      <w:r w:rsidR="00B467AA">
        <w:rPr>
          <w:bCs w:val="0"/>
          <w:snapToGrid w:val="0"/>
          <w:sz w:val="24"/>
          <w:szCs w:val="20"/>
        </w:rPr>
        <w:t>, where possible</w:t>
      </w:r>
      <w:r w:rsidRPr="00475964" w:rsidR="006A0FFB">
        <w:rPr>
          <w:bCs w:val="0"/>
          <w:snapToGrid w:val="0"/>
          <w:sz w:val="24"/>
          <w:szCs w:val="20"/>
        </w:rPr>
        <w:t xml:space="preserve">. </w:t>
      </w:r>
      <w:r>
        <w:rPr>
          <w:bCs w:val="0"/>
          <w:snapToGrid w:val="0"/>
          <w:sz w:val="24"/>
          <w:szCs w:val="20"/>
        </w:rPr>
        <w:t>The f</w:t>
      </w:r>
      <w:r w:rsidRPr="00475964" w:rsidR="006A0FFB">
        <w:rPr>
          <w:bCs w:val="0"/>
          <w:snapToGrid w:val="0"/>
          <w:sz w:val="24"/>
          <w:szCs w:val="20"/>
        </w:rPr>
        <w:t>inal questionnaires</w:t>
      </w:r>
      <w:r>
        <w:rPr>
          <w:bCs w:val="0"/>
          <w:snapToGrid w:val="0"/>
          <w:sz w:val="24"/>
          <w:szCs w:val="20"/>
        </w:rPr>
        <w:t xml:space="preserve"> utilized by the Phase </w:t>
      </w:r>
      <w:proofErr w:type="gramStart"/>
      <w:r>
        <w:rPr>
          <w:bCs w:val="0"/>
          <w:snapToGrid w:val="0"/>
          <w:sz w:val="24"/>
          <w:szCs w:val="20"/>
        </w:rPr>
        <w:t>I</w:t>
      </w:r>
      <w:proofErr w:type="gramEnd"/>
      <w:r>
        <w:rPr>
          <w:bCs w:val="0"/>
          <w:snapToGrid w:val="0"/>
          <w:sz w:val="24"/>
          <w:szCs w:val="20"/>
        </w:rPr>
        <w:t xml:space="preserve"> and Phase II data collectors</w:t>
      </w:r>
      <w:r w:rsidRPr="00475964" w:rsidR="006A0FFB">
        <w:rPr>
          <w:bCs w:val="0"/>
          <w:snapToGrid w:val="0"/>
          <w:sz w:val="24"/>
          <w:szCs w:val="20"/>
        </w:rPr>
        <w:t xml:space="preserve"> will have been reviewed by a variety of experts, including academic researchers, </w:t>
      </w:r>
      <w:r w:rsidR="002825B3">
        <w:rPr>
          <w:bCs w:val="0"/>
          <w:snapToGrid w:val="0"/>
          <w:sz w:val="24"/>
          <w:szCs w:val="20"/>
        </w:rPr>
        <w:t>industry</w:t>
      </w:r>
      <w:r w:rsidRPr="00475964" w:rsidR="006A0FFB">
        <w:rPr>
          <w:bCs w:val="0"/>
          <w:snapToGrid w:val="0"/>
          <w:sz w:val="24"/>
          <w:szCs w:val="20"/>
        </w:rPr>
        <w:t xml:space="preserve"> representatives, extension agents, veterinarians, health specialists, and epidemiologists.</w:t>
      </w:r>
    </w:p>
    <w:p w:rsidR="003751DB" w:rsidP="00B1230C" w:rsidRDefault="003751DB" w14:paraId="73338930" w14:textId="77777777">
      <w:pPr>
        <w:pStyle w:val="DefaultText"/>
        <w:ind w:left="720" w:hanging="720"/>
        <w:rPr>
          <w:rStyle w:val="InitialStyle"/>
          <w:b/>
        </w:rPr>
      </w:pPr>
      <w:bookmarkStart w:name="_Toc120517356" w:id="36"/>
      <w:bookmarkStart w:name="_Toc121289115" w:id="37"/>
      <w:bookmarkStart w:name="_Toc133308584" w:id="38"/>
      <w:bookmarkStart w:name="_Toc142106619" w:id="39"/>
    </w:p>
    <w:p w:rsidRPr="00B1230C" w:rsidR="004E48D9" w:rsidP="00625CE2" w:rsidRDefault="00B1230C" w14:paraId="1B22FE0F" w14:textId="145AA496">
      <w:pPr>
        <w:pStyle w:val="DefaultText"/>
        <w:tabs>
          <w:tab w:val="left" w:pos="360"/>
        </w:tabs>
        <w:ind w:left="360" w:hanging="360"/>
        <w:rPr>
          <w:rStyle w:val="InitialStyle"/>
          <w:b/>
        </w:rPr>
      </w:pPr>
      <w:r>
        <w:rPr>
          <w:rStyle w:val="InitialStyle"/>
          <w:b/>
        </w:rPr>
        <w:t>5.</w:t>
      </w:r>
      <w:r>
        <w:rPr>
          <w:rStyle w:val="InitialStyle"/>
          <w:b/>
        </w:rPr>
        <w:tab/>
      </w:r>
      <w:r w:rsidRPr="002D68BF">
        <w:rPr>
          <w:rStyle w:val="InitialStyle"/>
          <w:b/>
          <w:caps/>
        </w:rPr>
        <w:t>P</w:t>
      </w:r>
      <w:r w:rsidRPr="002D68BF" w:rsidR="002825B3">
        <w:rPr>
          <w:b/>
          <w:caps/>
        </w:rPr>
        <w:t xml:space="preserve">rovide the name and telephone number of individuals consulted on statistical aspects of the design and the name </w:t>
      </w:r>
      <w:r w:rsidRPr="002D68BF" w:rsidR="002825B3">
        <w:rPr>
          <w:b/>
          <w:caps/>
        </w:rPr>
        <w:lastRenderedPageBreak/>
        <w:t>of the agency unit, contractor(s), grantee(s), or other person(s) who will actually collect and/or analyze the information for the agency</w:t>
      </w:r>
      <w:r w:rsidRPr="002825B3" w:rsidR="002825B3">
        <w:rPr>
          <w:b/>
        </w:rPr>
        <w:t>.</w:t>
      </w:r>
      <w:bookmarkEnd w:id="36"/>
      <w:bookmarkEnd w:id="37"/>
      <w:bookmarkEnd w:id="38"/>
      <w:bookmarkEnd w:id="39"/>
    </w:p>
    <w:p w:rsidRPr="005B4C2D" w:rsidR="004E48D9" w:rsidP="004E48D9" w:rsidRDefault="004E48D9" w14:paraId="28795699" w14:textId="77777777">
      <w:pPr>
        <w:pStyle w:val="DefaultText"/>
        <w:rPr>
          <w:rStyle w:val="InitialStyle"/>
          <w:b/>
        </w:rPr>
      </w:pPr>
    </w:p>
    <w:p w:rsidRPr="00475964" w:rsidR="006A0FFB" w:rsidP="006A0FFB" w:rsidRDefault="006A0FFB" w14:paraId="297734ED" w14:textId="77777777">
      <w:pPr>
        <w:pStyle w:val="BODY11Indent"/>
        <w:rPr>
          <w:sz w:val="24"/>
        </w:rPr>
      </w:pPr>
      <w:r w:rsidRPr="00475964">
        <w:rPr>
          <w:sz w:val="24"/>
        </w:rPr>
        <w:t xml:space="preserve">The statistical aspects of </w:t>
      </w:r>
      <w:r>
        <w:rPr>
          <w:sz w:val="24"/>
        </w:rPr>
        <w:t>the design were coordinated by:</w:t>
      </w:r>
    </w:p>
    <w:p w:rsidRPr="00475964" w:rsidR="006A0FFB" w:rsidP="006A0FFB" w:rsidRDefault="006A0FFB" w14:paraId="5D363486" w14:textId="40D8F391">
      <w:pPr>
        <w:pStyle w:val="BODY11Indent"/>
        <w:spacing w:after="240"/>
        <w:rPr>
          <w:sz w:val="24"/>
        </w:rPr>
      </w:pPr>
      <w:r w:rsidRPr="00475964">
        <w:rPr>
          <w:sz w:val="24"/>
        </w:rPr>
        <w:t>-</w:t>
      </w:r>
      <w:r w:rsidRPr="00475964">
        <w:rPr>
          <w:sz w:val="24"/>
        </w:rPr>
        <w:tab/>
        <w:t>Mr. Matthew Branan, Mathematical Statistician, USDA, APHIS,</w:t>
      </w:r>
      <w:r>
        <w:rPr>
          <w:sz w:val="24"/>
        </w:rPr>
        <w:t xml:space="preserve"> VS, NAHMS, Fort Collins, CO</w:t>
      </w:r>
      <w:r w:rsidR="006B461D">
        <w:rPr>
          <w:sz w:val="24"/>
        </w:rPr>
        <w:t xml:space="preserve"> </w:t>
      </w:r>
      <w:r w:rsidRPr="00475964" w:rsidR="006B461D">
        <w:rPr>
          <w:sz w:val="24"/>
        </w:rPr>
        <w:t>(970-494-7349)</w:t>
      </w:r>
      <w:r>
        <w:rPr>
          <w:sz w:val="24"/>
        </w:rPr>
        <w:t xml:space="preserve">.  </w:t>
      </w:r>
    </w:p>
    <w:p w:rsidRPr="00475964" w:rsidR="006A0FFB" w:rsidP="006A0FFB" w:rsidRDefault="006A0FFB" w14:paraId="0389DD03" w14:textId="77777777">
      <w:pPr>
        <w:pStyle w:val="BODY11Indent"/>
        <w:rPr>
          <w:sz w:val="24"/>
        </w:rPr>
      </w:pPr>
      <w:r w:rsidRPr="00475964">
        <w:rPr>
          <w:sz w:val="24"/>
        </w:rPr>
        <w:t>For questionnaire design and methodolo</w:t>
      </w:r>
      <w:r>
        <w:rPr>
          <w:sz w:val="24"/>
        </w:rPr>
        <w:t>gy, NAHMS will coordinate with:</w:t>
      </w:r>
    </w:p>
    <w:p w:rsidRPr="00475964" w:rsidR="006A0FFB" w:rsidP="006A0FFB" w:rsidRDefault="006A0FFB" w14:paraId="5AF077E2" w14:textId="11CDDB17">
      <w:pPr>
        <w:pStyle w:val="BODY11Indent"/>
        <w:spacing w:after="240"/>
        <w:rPr>
          <w:sz w:val="24"/>
        </w:rPr>
      </w:pPr>
      <w:r w:rsidRPr="00475964">
        <w:rPr>
          <w:sz w:val="24"/>
        </w:rPr>
        <w:t>-</w:t>
      </w:r>
      <w:r w:rsidRPr="00475964">
        <w:rPr>
          <w:sz w:val="24"/>
        </w:rPr>
        <w:tab/>
      </w:r>
      <w:r w:rsidR="0040137B">
        <w:rPr>
          <w:sz w:val="24"/>
        </w:rPr>
        <w:t xml:space="preserve">Mr. </w:t>
      </w:r>
      <w:r w:rsidR="006B461D">
        <w:rPr>
          <w:sz w:val="24"/>
        </w:rPr>
        <w:t>Kenneth Pick</w:t>
      </w:r>
      <w:r w:rsidRPr="00475964">
        <w:rPr>
          <w:sz w:val="24"/>
        </w:rPr>
        <w:t>, USDA, NASS, Methodology Division Standards and Survey Development Methodology Branch,</w:t>
      </w:r>
      <w:r>
        <w:rPr>
          <w:sz w:val="24"/>
        </w:rPr>
        <w:t xml:space="preserve"> Washington, DC (202-720-</w:t>
      </w:r>
      <w:r w:rsidR="006B461D">
        <w:rPr>
          <w:sz w:val="24"/>
        </w:rPr>
        <w:t>7490</w:t>
      </w:r>
      <w:r>
        <w:rPr>
          <w:sz w:val="24"/>
        </w:rPr>
        <w:t>).</w:t>
      </w:r>
    </w:p>
    <w:p w:rsidRPr="00475964" w:rsidR="006A0FFB" w:rsidP="006A0FFB" w:rsidRDefault="006A0FFB" w14:paraId="5633F0FE" w14:textId="77777777">
      <w:pPr>
        <w:pStyle w:val="BODY11Indent"/>
        <w:rPr>
          <w:sz w:val="24"/>
        </w:rPr>
      </w:pPr>
      <w:r w:rsidRPr="00475964">
        <w:rPr>
          <w:sz w:val="24"/>
        </w:rPr>
        <w:t>NASS review of the OMB package submission will be coor</w:t>
      </w:r>
      <w:r>
        <w:rPr>
          <w:sz w:val="24"/>
        </w:rPr>
        <w:t>dinated with:</w:t>
      </w:r>
    </w:p>
    <w:p w:rsidRPr="00475964" w:rsidR="006A0FFB" w:rsidP="006A0FFB" w:rsidRDefault="006A0FFB" w14:paraId="21B11C96" w14:textId="215AB6A2">
      <w:pPr>
        <w:pStyle w:val="BODY11Indent"/>
        <w:spacing w:after="240"/>
        <w:rPr>
          <w:sz w:val="24"/>
        </w:rPr>
      </w:pPr>
      <w:r w:rsidRPr="00475964">
        <w:rPr>
          <w:sz w:val="24"/>
        </w:rPr>
        <w:t>-</w:t>
      </w:r>
      <w:r w:rsidRPr="00475964">
        <w:rPr>
          <w:sz w:val="24"/>
        </w:rPr>
        <w:tab/>
      </w:r>
      <w:r w:rsidR="0040137B">
        <w:rPr>
          <w:sz w:val="24"/>
        </w:rPr>
        <w:t xml:space="preserve">Mr. </w:t>
      </w:r>
      <w:r w:rsidRPr="00475964">
        <w:rPr>
          <w:sz w:val="24"/>
        </w:rPr>
        <w:t>David Hancock, USDA, NASS, Methodology Division Standards and Survey Development Methodology Branch,</w:t>
      </w:r>
      <w:r>
        <w:rPr>
          <w:sz w:val="24"/>
        </w:rPr>
        <w:t xml:space="preserve"> Washington, DC (202-690-2388).</w:t>
      </w:r>
    </w:p>
    <w:p w:rsidRPr="00475964" w:rsidR="006A0FFB" w:rsidP="006A0FFB" w:rsidRDefault="006A0FFB" w14:paraId="22A277F1" w14:textId="77777777">
      <w:pPr>
        <w:pStyle w:val="BODY11Indent"/>
        <w:rPr>
          <w:sz w:val="24"/>
        </w:rPr>
      </w:pPr>
      <w:r w:rsidRPr="00475964">
        <w:rPr>
          <w:sz w:val="24"/>
        </w:rPr>
        <w:t xml:space="preserve">The actual data collection will be conducted by NASS enumerators (Phase I) and </w:t>
      </w:r>
      <w:r>
        <w:rPr>
          <w:sz w:val="24"/>
        </w:rPr>
        <w:t>APHIS</w:t>
      </w:r>
      <w:r w:rsidRPr="00475964">
        <w:rPr>
          <w:sz w:val="24"/>
        </w:rPr>
        <w:t>-designated data collectors (Phase II).  Contact p</w:t>
      </w:r>
      <w:r>
        <w:rPr>
          <w:sz w:val="24"/>
        </w:rPr>
        <w:t>ersons for data collection are:</w:t>
      </w:r>
    </w:p>
    <w:p w:rsidRPr="00475964" w:rsidR="006A0FFB" w:rsidP="006A0FFB" w:rsidRDefault="006A0FFB" w14:paraId="4DE01D09" w14:textId="77777777">
      <w:pPr>
        <w:pStyle w:val="BODY11Indent"/>
        <w:spacing w:after="240"/>
        <w:rPr>
          <w:sz w:val="24"/>
        </w:rPr>
      </w:pPr>
      <w:r w:rsidRPr="00475964">
        <w:rPr>
          <w:sz w:val="24"/>
        </w:rPr>
        <w:t>-</w:t>
      </w:r>
      <w:r w:rsidRPr="00475964">
        <w:rPr>
          <w:sz w:val="24"/>
        </w:rPr>
        <w:tab/>
        <w:t>Mr. Gerald Tillman, Chief, Survey Administration Branch, USDA, NASS, Washingt</w:t>
      </w:r>
      <w:r>
        <w:rPr>
          <w:sz w:val="24"/>
        </w:rPr>
        <w:t>on, D.C. 20250, (202-720-3895).</w:t>
      </w:r>
    </w:p>
    <w:p w:rsidRPr="00475964" w:rsidR="006A0FFB" w:rsidP="006A0FFB" w:rsidRDefault="006A0FFB" w14:paraId="29C6BCDC" w14:textId="77777777">
      <w:pPr>
        <w:pStyle w:val="BODY11Indent"/>
        <w:spacing w:after="240"/>
        <w:rPr>
          <w:sz w:val="24"/>
        </w:rPr>
      </w:pPr>
      <w:r w:rsidRPr="00475964">
        <w:rPr>
          <w:sz w:val="24"/>
        </w:rPr>
        <w:t>-</w:t>
      </w:r>
      <w:r w:rsidRPr="00475964">
        <w:rPr>
          <w:sz w:val="24"/>
        </w:rPr>
        <w:tab/>
        <w:t>Dr.  Bruce Wagner, Director, Centers for Epidemiology and Animal Health, USDA, APHIS, VS, F</w:t>
      </w:r>
      <w:r>
        <w:rPr>
          <w:sz w:val="24"/>
        </w:rPr>
        <w:t>ort Collins, CO (970-494-7256).</w:t>
      </w:r>
    </w:p>
    <w:p w:rsidRPr="00475964" w:rsidR="006A0FFB" w:rsidP="006A0FFB" w:rsidRDefault="006A0FFB" w14:paraId="48480E8D" w14:textId="776966FE">
      <w:pPr>
        <w:pStyle w:val="BODY11Indent"/>
        <w:spacing w:after="240"/>
        <w:rPr>
          <w:sz w:val="24"/>
        </w:rPr>
      </w:pPr>
      <w:r w:rsidRPr="00475964">
        <w:rPr>
          <w:sz w:val="24"/>
        </w:rPr>
        <w:t>-</w:t>
      </w:r>
      <w:r w:rsidRPr="00475964">
        <w:rPr>
          <w:sz w:val="24"/>
        </w:rPr>
        <w:tab/>
        <w:t xml:space="preserve">Dr. </w:t>
      </w:r>
      <w:r w:rsidR="001D017B">
        <w:rPr>
          <w:sz w:val="24"/>
        </w:rPr>
        <w:t>Burke Healey</w:t>
      </w:r>
      <w:r w:rsidRPr="00475964">
        <w:rPr>
          <w:sz w:val="24"/>
        </w:rPr>
        <w:t>, Deputy Administrator, Veterinary Services, USDA, APHIS, Wa</w:t>
      </w:r>
      <w:r>
        <w:rPr>
          <w:sz w:val="24"/>
        </w:rPr>
        <w:t>shington, D.C.  (202-799-714</w:t>
      </w:r>
      <w:r w:rsidR="001D017B">
        <w:rPr>
          <w:sz w:val="24"/>
        </w:rPr>
        <w:t>7</w:t>
      </w:r>
      <w:r>
        <w:rPr>
          <w:sz w:val="24"/>
        </w:rPr>
        <w:t>).</w:t>
      </w:r>
    </w:p>
    <w:p w:rsidRPr="00475964" w:rsidR="006A0FFB" w:rsidP="006A0FFB" w:rsidRDefault="006A0FFB" w14:paraId="0F630DC5" w14:textId="77777777">
      <w:pPr>
        <w:pStyle w:val="BODY11Indent"/>
        <w:rPr>
          <w:sz w:val="24"/>
        </w:rPr>
      </w:pPr>
      <w:r w:rsidRPr="00475964">
        <w:rPr>
          <w:sz w:val="24"/>
        </w:rPr>
        <w:t xml:space="preserve">Analysis of the data will be accomplished by </w:t>
      </w:r>
      <w:r>
        <w:rPr>
          <w:sz w:val="24"/>
        </w:rPr>
        <w:t>APHIS</w:t>
      </w:r>
      <w:r w:rsidRPr="00475964">
        <w:rPr>
          <w:sz w:val="24"/>
        </w:rPr>
        <w:t xml:space="preserve"> veterinarians, epidemiologists, and statisticians under </w:t>
      </w:r>
      <w:r>
        <w:rPr>
          <w:sz w:val="24"/>
        </w:rPr>
        <w:t>the direction of:</w:t>
      </w:r>
    </w:p>
    <w:p w:rsidRPr="00560E9C" w:rsidR="006A0FFB" w:rsidP="006A0FFB" w:rsidRDefault="006A0FFB" w14:paraId="6613EA2C" w14:textId="77777777">
      <w:pPr>
        <w:pStyle w:val="BODY11Indent"/>
        <w:spacing w:after="240"/>
        <w:rPr>
          <w:sz w:val="24"/>
        </w:rPr>
      </w:pPr>
      <w:r w:rsidRPr="00475964">
        <w:rPr>
          <w:sz w:val="24"/>
        </w:rPr>
        <w:t>-</w:t>
      </w:r>
      <w:r w:rsidRPr="00475964">
        <w:rPr>
          <w:sz w:val="24"/>
        </w:rPr>
        <w:tab/>
        <w:t>Dr. Amy Delgado, Director, Monitoring and Modeling, USDA APHIS, VS, CEAH, Fort Collins, CO (970-494-7302).</w:t>
      </w:r>
    </w:p>
    <w:p w:rsidR="00861BAA" w:rsidP="00861BAA" w:rsidRDefault="00861BAA" w14:paraId="0E1E3789" w14:textId="77777777">
      <w:pPr>
        <w:autoSpaceDE w:val="0"/>
        <w:autoSpaceDN w:val="0"/>
        <w:adjustRightInd w:val="0"/>
        <w:rPr>
          <w:b/>
        </w:rPr>
      </w:pPr>
    </w:p>
    <w:p w:rsidR="000D4CD4" w:rsidP="00861BAA" w:rsidRDefault="00861BAA" w14:paraId="76EDED7F" w14:textId="77777777">
      <w:pPr>
        <w:autoSpaceDE w:val="0"/>
        <w:autoSpaceDN w:val="0"/>
        <w:adjustRightInd w:val="0"/>
        <w:rPr>
          <w:b/>
        </w:rPr>
      </w:pPr>
      <w:r>
        <w:rPr>
          <w:b/>
        </w:rPr>
        <w:br w:type="page"/>
      </w:r>
    </w:p>
    <w:p w:rsidR="000D4CD4" w:rsidP="000D4CD4" w:rsidRDefault="000D4CD4" w14:paraId="5EA42DA8" w14:textId="77777777">
      <w:pPr>
        <w:rPr>
          <w:b/>
        </w:rPr>
      </w:pPr>
      <w:r w:rsidRPr="00BC53EC">
        <w:rPr>
          <w:b/>
        </w:rPr>
        <w:lastRenderedPageBreak/>
        <w:t>Appendix A: State selection</w:t>
      </w:r>
    </w:p>
    <w:p w:rsidRPr="00BC53EC" w:rsidR="008B0FFA" w:rsidP="000D4CD4" w:rsidRDefault="008B0FFA" w14:paraId="69E9660B" w14:textId="77777777">
      <w:pPr>
        <w:rPr>
          <w:b/>
        </w:rPr>
      </w:pPr>
    </w:p>
    <w:p w:rsidRPr="00BC53EC" w:rsidR="000D4CD4" w:rsidP="000D4CD4" w:rsidRDefault="000D4CD4" w14:paraId="5B7865F0" w14:textId="20673F0F">
      <w:r w:rsidRPr="00BC53EC">
        <w:t xml:space="preserve">State selection was performed based on the percentage of </w:t>
      </w:r>
      <w:r w:rsidR="008B0FFA">
        <w:t>feedlots</w:t>
      </w:r>
      <w:r w:rsidRPr="00BC53EC">
        <w:t xml:space="preserve"> and of inventory by State, for geographic representativeness, and expected response burden.</w:t>
      </w:r>
    </w:p>
    <w:p w:rsidRPr="00BC53EC" w:rsidR="000D4CD4" w:rsidP="000D4CD4" w:rsidRDefault="000D4CD4" w14:paraId="34EB9536" w14:textId="77777777"/>
    <w:p w:rsidRPr="00BC53EC" w:rsidR="000D4CD4" w:rsidP="000D4CD4" w:rsidRDefault="000D4CD4" w14:paraId="4CC7F71B" w14:textId="33970F3C">
      <w:r w:rsidRPr="00BC53EC">
        <w:t xml:space="preserve">Table A.1. Number and percentage of </w:t>
      </w:r>
      <w:r w:rsidR="00875199">
        <w:t>feedlots</w:t>
      </w:r>
      <w:r w:rsidRPr="00BC53EC" w:rsidR="00875199">
        <w:t xml:space="preserve"> </w:t>
      </w:r>
      <w:r w:rsidRPr="00BC53EC">
        <w:t xml:space="preserve">and number and percentage of </w:t>
      </w:r>
      <w:r w:rsidR="00C820D0">
        <w:t>feedlot</w:t>
      </w:r>
      <w:r w:rsidRPr="00BC53EC">
        <w:t xml:space="preserve"> inventory by size class</w:t>
      </w:r>
      <w:r>
        <w:t xml:space="preserve"> (as measured by inventory of cattle on feed)</w:t>
      </w:r>
      <w:r w:rsidRPr="00BC53EC">
        <w:t xml:space="preserve">. </w:t>
      </w:r>
    </w:p>
    <w:tbl>
      <w:tblPr>
        <w:tblW w:w="3632" w:type="pct"/>
        <w:tblBorders>
          <w:top w:val="single" w:color="auto" w:sz="4" w:space="0"/>
          <w:bottom w:val="single" w:color="auto" w:sz="4" w:space="0"/>
        </w:tblBorders>
        <w:tblLook w:val="04A0" w:firstRow="1" w:lastRow="0" w:firstColumn="1" w:lastColumn="0" w:noHBand="0" w:noVBand="1"/>
      </w:tblPr>
      <w:tblGrid>
        <w:gridCol w:w="2862"/>
        <w:gridCol w:w="1809"/>
        <w:gridCol w:w="1929"/>
      </w:tblGrid>
      <w:tr w:rsidRPr="00BC53EC" w:rsidR="000D4CD4" w:rsidTr="00ED5D1E" w14:paraId="108EED4C" w14:textId="77777777">
        <w:trPr>
          <w:trHeight w:val="300"/>
        </w:trPr>
        <w:tc>
          <w:tcPr>
            <w:tcW w:w="2090" w:type="pct"/>
            <w:tcBorders>
              <w:top w:val="single" w:color="auto" w:sz="4" w:space="0"/>
              <w:bottom w:val="single" w:color="auto" w:sz="4" w:space="0"/>
            </w:tcBorders>
            <w:shd w:val="clear" w:color="auto" w:fill="auto"/>
            <w:noWrap/>
            <w:vAlign w:val="bottom"/>
            <w:hideMark/>
          </w:tcPr>
          <w:p w:rsidRPr="00BC53EC" w:rsidR="000D4CD4" w:rsidP="00B22ED7" w:rsidRDefault="000D4CD4" w14:paraId="2E5FB362" w14:textId="3D838581">
            <w:pPr>
              <w:rPr>
                <w:color w:val="000000"/>
              </w:rPr>
            </w:pPr>
            <w:r w:rsidRPr="00BC53EC">
              <w:rPr>
                <w:color w:val="000000"/>
              </w:rPr>
              <w:t>Size class</w:t>
            </w:r>
            <w:r>
              <w:rPr>
                <w:color w:val="000000"/>
              </w:rPr>
              <w:t xml:space="preserve"> (inventory)</w:t>
            </w:r>
          </w:p>
        </w:tc>
        <w:tc>
          <w:tcPr>
            <w:tcW w:w="1499" w:type="pct"/>
            <w:tcBorders>
              <w:top w:val="single" w:color="auto" w:sz="4" w:space="0"/>
              <w:bottom w:val="single" w:color="auto" w:sz="4" w:space="0"/>
            </w:tcBorders>
            <w:shd w:val="clear" w:color="auto" w:fill="auto"/>
            <w:noWrap/>
            <w:vAlign w:val="bottom"/>
            <w:hideMark/>
          </w:tcPr>
          <w:p w:rsidRPr="00BC53EC" w:rsidR="000D4CD4" w:rsidP="00875199" w:rsidRDefault="000D4CD4" w14:paraId="5CE56188" w14:textId="63C25D4A">
            <w:pPr>
              <w:jc w:val="right"/>
              <w:rPr>
                <w:color w:val="000000"/>
              </w:rPr>
            </w:pPr>
            <w:r w:rsidRPr="00BC53EC">
              <w:rPr>
                <w:color w:val="000000"/>
              </w:rPr>
              <w:t xml:space="preserve">Percent </w:t>
            </w:r>
            <w:r w:rsidR="00875199">
              <w:rPr>
                <w:color w:val="000000"/>
              </w:rPr>
              <w:t>Feedlots</w:t>
            </w:r>
          </w:p>
        </w:tc>
        <w:tc>
          <w:tcPr>
            <w:tcW w:w="1411" w:type="pct"/>
            <w:tcBorders>
              <w:top w:val="single" w:color="auto" w:sz="4" w:space="0"/>
              <w:bottom w:val="single" w:color="auto" w:sz="4" w:space="0"/>
            </w:tcBorders>
            <w:shd w:val="clear" w:color="auto" w:fill="auto"/>
            <w:noWrap/>
            <w:vAlign w:val="bottom"/>
            <w:hideMark/>
          </w:tcPr>
          <w:p w:rsidRPr="00BC53EC" w:rsidR="000D4CD4" w:rsidP="00B22ED7" w:rsidRDefault="000D4CD4" w14:paraId="66DB9278" w14:textId="77777777">
            <w:pPr>
              <w:jc w:val="right"/>
              <w:rPr>
                <w:color w:val="000000"/>
              </w:rPr>
            </w:pPr>
            <w:r w:rsidRPr="00BC53EC">
              <w:rPr>
                <w:color w:val="000000"/>
              </w:rPr>
              <w:t>Percent Inventory</w:t>
            </w:r>
          </w:p>
        </w:tc>
      </w:tr>
      <w:tr w:rsidRPr="00BC53EC" w:rsidR="000D4CD4" w:rsidTr="00ED5D1E" w14:paraId="59FAE6BC" w14:textId="77777777">
        <w:trPr>
          <w:trHeight w:val="300"/>
        </w:trPr>
        <w:tc>
          <w:tcPr>
            <w:tcW w:w="2090" w:type="pct"/>
            <w:tcBorders>
              <w:top w:val="single" w:color="auto" w:sz="4" w:space="0"/>
            </w:tcBorders>
            <w:shd w:val="clear" w:color="auto" w:fill="auto"/>
            <w:noWrap/>
            <w:vAlign w:val="bottom"/>
            <w:hideMark/>
          </w:tcPr>
          <w:p w:rsidRPr="00BC53EC" w:rsidR="000D4CD4" w:rsidP="00ED5D1E" w:rsidRDefault="000D4CD4" w14:paraId="56323F12" w14:textId="48577E9E">
            <w:pPr>
              <w:rPr>
                <w:color w:val="000000"/>
              </w:rPr>
            </w:pPr>
            <w:r>
              <w:rPr>
                <w:color w:val="000000"/>
              </w:rPr>
              <w:t>Small (50-999 head)</w:t>
            </w:r>
          </w:p>
        </w:tc>
        <w:tc>
          <w:tcPr>
            <w:tcW w:w="1499" w:type="pct"/>
            <w:tcBorders>
              <w:top w:val="single" w:color="auto" w:sz="4" w:space="0"/>
            </w:tcBorders>
            <w:shd w:val="clear" w:color="auto" w:fill="auto"/>
            <w:noWrap/>
            <w:vAlign w:val="bottom"/>
            <w:hideMark/>
          </w:tcPr>
          <w:p w:rsidRPr="000D4CD4" w:rsidR="000D4CD4" w:rsidP="00B22ED7" w:rsidRDefault="000D4CD4" w14:paraId="787A0494" w14:textId="2F895BCC">
            <w:pPr>
              <w:jc w:val="right"/>
              <w:rPr>
                <w:b/>
                <w:color w:val="000000"/>
              </w:rPr>
            </w:pPr>
            <w:r w:rsidRPr="000D4CD4">
              <w:rPr>
                <w:b/>
                <w:color w:val="000000"/>
              </w:rPr>
              <w:t>91.5</w:t>
            </w:r>
          </w:p>
        </w:tc>
        <w:tc>
          <w:tcPr>
            <w:tcW w:w="1411" w:type="pct"/>
            <w:tcBorders>
              <w:top w:val="single" w:color="auto" w:sz="4" w:space="0"/>
            </w:tcBorders>
            <w:shd w:val="clear" w:color="auto" w:fill="auto"/>
            <w:noWrap/>
            <w:vAlign w:val="bottom"/>
            <w:hideMark/>
          </w:tcPr>
          <w:p w:rsidRPr="00ED5D1E" w:rsidR="000D4CD4" w:rsidP="00B22ED7" w:rsidRDefault="000D4CD4" w14:paraId="7C0EAC74" w14:textId="67036782">
            <w:pPr>
              <w:jc w:val="right"/>
              <w:rPr>
                <w:color w:val="000000"/>
              </w:rPr>
            </w:pPr>
            <w:r w:rsidRPr="00ED5D1E">
              <w:rPr>
                <w:color w:val="000000"/>
              </w:rPr>
              <w:t>21.5</w:t>
            </w:r>
          </w:p>
        </w:tc>
      </w:tr>
      <w:tr w:rsidRPr="00BC53EC" w:rsidR="000D4CD4" w:rsidTr="00ED5D1E" w14:paraId="0F2C930C" w14:textId="77777777">
        <w:trPr>
          <w:trHeight w:val="300"/>
        </w:trPr>
        <w:tc>
          <w:tcPr>
            <w:tcW w:w="2090" w:type="pct"/>
            <w:shd w:val="clear" w:color="auto" w:fill="auto"/>
            <w:noWrap/>
            <w:vAlign w:val="bottom"/>
            <w:hideMark/>
          </w:tcPr>
          <w:p w:rsidRPr="00BC53EC" w:rsidR="000D4CD4" w:rsidP="00ED5D1E" w:rsidRDefault="000D4CD4" w14:paraId="0972993C" w14:textId="2D499C1E">
            <w:pPr>
              <w:rPr>
                <w:color w:val="000000"/>
              </w:rPr>
            </w:pPr>
            <w:r>
              <w:rPr>
                <w:color w:val="000000"/>
              </w:rPr>
              <w:t>Large (1,000 or more head)</w:t>
            </w:r>
          </w:p>
        </w:tc>
        <w:tc>
          <w:tcPr>
            <w:tcW w:w="1499" w:type="pct"/>
            <w:shd w:val="clear" w:color="auto" w:fill="auto"/>
            <w:noWrap/>
            <w:vAlign w:val="bottom"/>
            <w:hideMark/>
          </w:tcPr>
          <w:p w:rsidRPr="00BC53EC" w:rsidR="000D4CD4" w:rsidP="00B22ED7" w:rsidRDefault="000D4CD4" w14:paraId="2643C613" w14:textId="5ECE5403">
            <w:pPr>
              <w:jc w:val="right"/>
              <w:rPr>
                <w:color w:val="000000"/>
              </w:rPr>
            </w:pPr>
            <w:r>
              <w:rPr>
                <w:color w:val="000000"/>
              </w:rPr>
              <w:t>8.5</w:t>
            </w:r>
          </w:p>
        </w:tc>
        <w:tc>
          <w:tcPr>
            <w:tcW w:w="1411" w:type="pct"/>
            <w:shd w:val="clear" w:color="auto" w:fill="auto"/>
            <w:noWrap/>
            <w:vAlign w:val="bottom"/>
            <w:hideMark/>
          </w:tcPr>
          <w:p w:rsidRPr="00ED5D1E" w:rsidR="000D4CD4" w:rsidP="00B22ED7" w:rsidRDefault="000D4CD4" w14:paraId="1112895E" w14:textId="2E490891">
            <w:pPr>
              <w:jc w:val="right"/>
              <w:rPr>
                <w:b/>
                <w:color w:val="000000"/>
              </w:rPr>
            </w:pPr>
            <w:r w:rsidRPr="00ED5D1E">
              <w:rPr>
                <w:b/>
                <w:color w:val="000000"/>
              </w:rPr>
              <w:t>78.5</w:t>
            </w:r>
          </w:p>
        </w:tc>
      </w:tr>
    </w:tbl>
    <w:p w:rsidRPr="00BC53EC" w:rsidR="000D4CD4" w:rsidP="000D4CD4" w:rsidRDefault="000D4CD4" w14:paraId="3C11FA2B" w14:textId="381BA1A3">
      <w:r w:rsidRPr="00BC53EC">
        <w:t xml:space="preserve">* Population-level information is taken from the </w:t>
      </w:r>
      <w:hyperlink w:history="1" r:id="rId12">
        <w:r w:rsidRPr="0027331F">
          <w:rPr>
            <w:rStyle w:val="Hyperlink"/>
          </w:rPr>
          <w:t>NASS 2017 Census of Agriculture</w:t>
        </w:r>
      </w:hyperlink>
      <w:r w:rsidRPr="00BC53EC">
        <w:t>.</w:t>
      </w:r>
    </w:p>
    <w:p w:rsidR="000D4CD4" w:rsidP="000D4CD4" w:rsidRDefault="000D4CD4" w14:paraId="18B7100D" w14:textId="77777777"/>
    <w:p w:rsidRPr="00BC53EC" w:rsidR="001E5E76" w:rsidP="001E5E76" w:rsidRDefault="001E5E76" w14:paraId="39A182A5" w14:textId="08C68097">
      <w:r w:rsidRPr="00BC53EC">
        <w:t>Table A.</w:t>
      </w:r>
      <w:r>
        <w:t>2</w:t>
      </w:r>
      <w:r w:rsidRPr="00BC53EC">
        <w:t xml:space="preserve">. Number and percentage of </w:t>
      </w:r>
      <w:r w:rsidR="00875199">
        <w:t>feedlots</w:t>
      </w:r>
      <w:r w:rsidRPr="00BC53EC">
        <w:t xml:space="preserve"> and of </w:t>
      </w:r>
      <w:r w:rsidR="00C820D0">
        <w:t>feedlot</w:t>
      </w:r>
      <w:r w:rsidRPr="00BC53EC">
        <w:t xml:space="preserve"> inventory on </w:t>
      </w:r>
      <w:r w:rsidR="003B5E77">
        <w:t>feedlot</w:t>
      </w:r>
      <w:r w:rsidRPr="00BC53EC">
        <w:t xml:space="preserve">s with </w:t>
      </w:r>
      <w:r>
        <w:t>1,000 or more head inventories</w:t>
      </w:r>
      <w:r w:rsidRPr="00BC53EC">
        <w:t>, by State. Note, columns may not sum to totals due to rounding.</w:t>
      </w:r>
    </w:p>
    <w:p w:rsidRPr="00BC53EC" w:rsidR="001E5E76" w:rsidP="001E5E76" w:rsidRDefault="001E5E76" w14:paraId="041DD9B3" w14:textId="77777777">
      <w:pPr>
        <w:rPr>
          <w:vanish/>
        </w:rPr>
      </w:pPr>
    </w:p>
    <w:p w:rsidRPr="00BC53EC" w:rsidR="001E5E76" w:rsidP="001E5E76" w:rsidRDefault="001E5E76" w14:paraId="08354EC5" w14:textId="77777777">
      <w:pPr>
        <w:rPr>
          <w:b/>
        </w:rPr>
      </w:pPr>
    </w:p>
    <w:tbl>
      <w:tblPr>
        <w:tblW w:w="3830" w:type="pct"/>
        <w:tblBorders>
          <w:top w:val="single" w:color="auto" w:sz="4" w:space="0"/>
          <w:bottom w:val="single" w:color="auto" w:sz="4" w:space="0"/>
        </w:tblBorders>
        <w:tblLook w:val="04A0" w:firstRow="1" w:lastRow="0" w:firstColumn="1" w:lastColumn="0" w:noHBand="0" w:noVBand="1"/>
      </w:tblPr>
      <w:tblGrid>
        <w:gridCol w:w="2916"/>
        <w:gridCol w:w="2049"/>
        <w:gridCol w:w="1929"/>
      </w:tblGrid>
      <w:tr w:rsidRPr="00BC53EC" w:rsidR="001E5E76" w:rsidTr="00B22ED7" w14:paraId="2D85F3AC" w14:textId="77777777">
        <w:trPr>
          <w:trHeight w:val="300"/>
        </w:trPr>
        <w:tc>
          <w:tcPr>
            <w:tcW w:w="2115" w:type="pct"/>
            <w:tcBorders>
              <w:top w:val="single" w:color="auto" w:sz="4" w:space="0"/>
              <w:bottom w:val="single" w:color="auto" w:sz="4" w:space="0"/>
            </w:tcBorders>
            <w:shd w:val="clear" w:color="auto" w:fill="auto"/>
            <w:noWrap/>
            <w:vAlign w:val="bottom"/>
            <w:hideMark/>
          </w:tcPr>
          <w:p w:rsidRPr="00BC53EC" w:rsidR="001E5E76" w:rsidP="00B22ED7" w:rsidRDefault="001E5E76" w14:paraId="001B8B86" w14:textId="77777777">
            <w:pPr>
              <w:rPr>
                <w:color w:val="000000"/>
              </w:rPr>
            </w:pPr>
            <w:r w:rsidRPr="00BC53EC">
              <w:rPr>
                <w:color w:val="000000"/>
              </w:rPr>
              <w:t>State</w:t>
            </w:r>
          </w:p>
        </w:tc>
        <w:tc>
          <w:tcPr>
            <w:tcW w:w="1486" w:type="pct"/>
            <w:tcBorders>
              <w:top w:val="single" w:color="auto" w:sz="4" w:space="0"/>
              <w:bottom w:val="single" w:color="auto" w:sz="4" w:space="0"/>
            </w:tcBorders>
            <w:shd w:val="clear" w:color="auto" w:fill="auto"/>
            <w:noWrap/>
            <w:vAlign w:val="bottom"/>
            <w:hideMark/>
          </w:tcPr>
          <w:p w:rsidRPr="00BC53EC" w:rsidR="001E5E76" w:rsidP="00875199" w:rsidRDefault="001E5E76" w14:paraId="3BC450BF" w14:textId="676132AE">
            <w:pPr>
              <w:jc w:val="right"/>
              <w:rPr>
                <w:color w:val="000000"/>
              </w:rPr>
            </w:pPr>
            <w:r w:rsidRPr="00BC53EC">
              <w:rPr>
                <w:color w:val="000000"/>
              </w:rPr>
              <w:t xml:space="preserve">Percent </w:t>
            </w:r>
            <w:r w:rsidR="00875199">
              <w:rPr>
                <w:color w:val="000000"/>
              </w:rPr>
              <w:t>Feedlots</w:t>
            </w:r>
          </w:p>
        </w:tc>
        <w:tc>
          <w:tcPr>
            <w:tcW w:w="1399" w:type="pct"/>
            <w:tcBorders>
              <w:top w:val="single" w:color="auto" w:sz="4" w:space="0"/>
              <w:bottom w:val="single" w:color="auto" w:sz="4" w:space="0"/>
            </w:tcBorders>
            <w:shd w:val="clear" w:color="auto" w:fill="auto"/>
            <w:noWrap/>
            <w:vAlign w:val="bottom"/>
            <w:hideMark/>
          </w:tcPr>
          <w:p w:rsidRPr="00BC53EC" w:rsidR="001E5E76" w:rsidP="00B22ED7" w:rsidRDefault="001E5E76" w14:paraId="755A8AA6" w14:textId="77777777">
            <w:pPr>
              <w:jc w:val="right"/>
              <w:rPr>
                <w:color w:val="000000"/>
              </w:rPr>
            </w:pPr>
            <w:r w:rsidRPr="00BC53EC">
              <w:rPr>
                <w:color w:val="000000"/>
              </w:rPr>
              <w:t>Percent Inventory</w:t>
            </w:r>
          </w:p>
        </w:tc>
      </w:tr>
      <w:tr w:rsidRPr="00BC53EC" w:rsidR="001E5E76" w:rsidTr="00B22ED7" w14:paraId="59E465F9" w14:textId="77777777">
        <w:trPr>
          <w:trHeight w:val="300"/>
        </w:trPr>
        <w:tc>
          <w:tcPr>
            <w:tcW w:w="2115" w:type="pct"/>
            <w:tcBorders>
              <w:top w:val="single" w:color="auto" w:sz="4" w:space="0"/>
            </w:tcBorders>
            <w:shd w:val="clear" w:color="auto" w:fill="auto"/>
            <w:noWrap/>
            <w:vAlign w:val="bottom"/>
          </w:tcPr>
          <w:p w:rsidRPr="00ED5D1E" w:rsidR="001E5E76" w:rsidP="00B22ED7" w:rsidRDefault="001E5E76" w14:paraId="06E1E095" w14:textId="77777777">
            <w:pPr>
              <w:rPr>
                <w:b/>
                <w:color w:val="000000"/>
              </w:rPr>
            </w:pPr>
            <w:r w:rsidRPr="00ED5D1E">
              <w:rPr>
                <w:rFonts w:ascii="Calibri" w:hAnsi="Calibri" w:cs="Calibri"/>
                <w:b/>
                <w:color w:val="000000"/>
                <w:sz w:val="22"/>
                <w:szCs w:val="22"/>
              </w:rPr>
              <w:t>Texas</w:t>
            </w:r>
          </w:p>
        </w:tc>
        <w:tc>
          <w:tcPr>
            <w:tcW w:w="1486" w:type="pct"/>
            <w:tcBorders>
              <w:top w:val="single" w:color="auto" w:sz="4" w:space="0"/>
            </w:tcBorders>
            <w:shd w:val="clear" w:color="auto" w:fill="auto"/>
            <w:noWrap/>
            <w:vAlign w:val="bottom"/>
          </w:tcPr>
          <w:p w:rsidRPr="00ED5D1E" w:rsidR="001E5E76" w:rsidP="00B22ED7" w:rsidRDefault="001E5E76" w14:paraId="22717877" w14:textId="77777777">
            <w:pPr>
              <w:jc w:val="right"/>
              <w:rPr>
                <w:b/>
                <w:color w:val="000000"/>
              </w:rPr>
            </w:pPr>
            <w:r w:rsidRPr="00ED5D1E">
              <w:rPr>
                <w:rFonts w:ascii="Calibri" w:hAnsi="Calibri" w:cs="Calibri"/>
                <w:b/>
                <w:color w:val="000000"/>
                <w:sz w:val="22"/>
                <w:szCs w:val="22"/>
              </w:rPr>
              <w:t>7.1</w:t>
            </w:r>
          </w:p>
        </w:tc>
        <w:tc>
          <w:tcPr>
            <w:tcW w:w="1399" w:type="pct"/>
            <w:tcBorders>
              <w:top w:val="single" w:color="auto" w:sz="4" w:space="0"/>
            </w:tcBorders>
            <w:shd w:val="clear" w:color="auto" w:fill="auto"/>
            <w:noWrap/>
            <w:vAlign w:val="bottom"/>
          </w:tcPr>
          <w:p w:rsidRPr="00ED5D1E" w:rsidR="001E5E76" w:rsidP="00B22ED7" w:rsidRDefault="001E5E76" w14:paraId="762739E1" w14:textId="77777777">
            <w:pPr>
              <w:jc w:val="right"/>
              <w:rPr>
                <w:b/>
                <w:color w:val="000000"/>
              </w:rPr>
            </w:pPr>
            <w:r w:rsidRPr="00ED5D1E">
              <w:rPr>
                <w:rFonts w:ascii="Calibri" w:hAnsi="Calibri" w:cs="Calibri"/>
                <w:b/>
                <w:color w:val="000000"/>
                <w:sz w:val="22"/>
                <w:szCs w:val="22"/>
              </w:rPr>
              <w:t>22.7</w:t>
            </w:r>
          </w:p>
        </w:tc>
      </w:tr>
      <w:tr w:rsidRPr="00BC53EC" w:rsidR="001E5E76" w:rsidTr="00B22ED7" w14:paraId="3870999E" w14:textId="77777777">
        <w:trPr>
          <w:trHeight w:val="300"/>
        </w:trPr>
        <w:tc>
          <w:tcPr>
            <w:tcW w:w="2115" w:type="pct"/>
            <w:shd w:val="clear" w:color="auto" w:fill="auto"/>
            <w:noWrap/>
            <w:vAlign w:val="bottom"/>
          </w:tcPr>
          <w:p w:rsidRPr="00ED5D1E" w:rsidR="001E5E76" w:rsidP="00B22ED7" w:rsidRDefault="001E5E76" w14:paraId="2A28D767" w14:textId="77777777">
            <w:pPr>
              <w:rPr>
                <w:b/>
                <w:color w:val="000000"/>
              </w:rPr>
            </w:pPr>
            <w:r w:rsidRPr="00ED5D1E">
              <w:rPr>
                <w:rFonts w:ascii="Calibri" w:hAnsi="Calibri" w:cs="Calibri"/>
                <w:b/>
                <w:color w:val="000000"/>
                <w:sz w:val="22"/>
                <w:szCs w:val="22"/>
              </w:rPr>
              <w:t>Nebraska</w:t>
            </w:r>
          </w:p>
        </w:tc>
        <w:tc>
          <w:tcPr>
            <w:tcW w:w="1486" w:type="pct"/>
            <w:shd w:val="clear" w:color="auto" w:fill="auto"/>
            <w:noWrap/>
            <w:vAlign w:val="bottom"/>
          </w:tcPr>
          <w:p w:rsidRPr="00ED5D1E" w:rsidR="001E5E76" w:rsidP="00B22ED7" w:rsidRDefault="001E5E76" w14:paraId="7BDC4B01" w14:textId="77777777">
            <w:pPr>
              <w:jc w:val="right"/>
              <w:rPr>
                <w:b/>
                <w:color w:val="000000"/>
              </w:rPr>
            </w:pPr>
            <w:r w:rsidRPr="00ED5D1E">
              <w:rPr>
                <w:rFonts w:ascii="Calibri" w:hAnsi="Calibri" w:cs="Calibri"/>
                <w:b/>
                <w:color w:val="000000"/>
                <w:sz w:val="22"/>
                <w:szCs w:val="22"/>
              </w:rPr>
              <w:t>30.3</w:t>
            </w:r>
          </w:p>
        </w:tc>
        <w:tc>
          <w:tcPr>
            <w:tcW w:w="1399" w:type="pct"/>
            <w:shd w:val="clear" w:color="auto" w:fill="auto"/>
            <w:noWrap/>
            <w:vAlign w:val="bottom"/>
          </w:tcPr>
          <w:p w:rsidRPr="00ED5D1E" w:rsidR="001E5E76" w:rsidP="00B22ED7" w:rsidRDefault="001E5E76" w14:paraId="4D36553B" w14:textId="77777777">
            <w:pPr>
              <w:jc w:val="right"/>
              <w:rPr>
                <w:b/>
                <w:color w:val="000000"/>
              </w:rPr>
            </w:pPr>
            <w:r w:rsidRPr="00ED5D1E">
              <w:rPr>
                <w:rFonts w:ascii="Calibri" w:hAnsi="Calibri" w:cs="Calibri"/>
                <w:b/>
                <w:color w:val="000000"/>
                <w:sz w:val="22"/>
                <w:szCs w:val="22"/>
              </w:rPr>
              <w:t>22.4</w:t>
            </w:r>
          </w:p>
        </w:tc>
      </w:tr>
      <w:tr w:rsidRPr="00BC53EC" w:rsidR="001E5E76" w:rsidTr="00B22ED7" w14:paraId="04685629" w14:textId="77777777">
        <w:trPr>
          <w:trHeight w:val="300"/>
        </w:trPr>
        <w:tc>
          <w:tcPr>
            <w:tcW w:w="2115" w:type="pct"/>
            <w:shd w:val="clear" w:color="auto" w:fill="auto"/>
            <w:noWrap/>
            <w:vAlign w:val="bottom"/>
          </w:tcPr>
          <w:p w:rsidRPr="00ED5D1E" w:rsidR="001E5E76" w:rsidP="00B22ED7" w:rsidRDefault="001E5E76" w14:paraId="52C20C6D" w14:textId="77777777">
            <w:pPr>
              <w:rPr>
                <w:b/>
                <w:color w:val="000000"/>
              </w:rPr>
            </w:pPr>
            <w:r w:rsidRPr="00ED5D1E">
              <w:rPr>
                <w:rFonts w:ascii="Calibri" w:hAnsi="Calibri" w:cs="Calibri"/>
                <w:b/>
                <w:color w:val="000000"/>
                <w:sz w:val="22"/>
                <w:szCs w:val="22"/>
              </w:rPr>
              <w:t>Kansas</w:t>
            </w:r>
          </w:p>
        </w:tc>
        <w:tc>
          <w:tcPr>
            <w:tcW w:w="1486" w:type="pct"/>
            <w:shd w:val="clear" w:color="auto" w:fill="auto"/>
            <w:noWrap/>
            <w:vAlign w:val="bottom"/>
          </w:tcPr>
          <w:p w:rsidRPr="00ED5D1E" w:rsidR="001E5E76" w:rsidP="00B22ED7" w:rsidRDefault="001E5E76" w14:paraId="79639D1E" w14:textId="77777777">
            <w:pPr>
              <w:jc w:val="right"/>
              <w:rPr>
                <w:b/>
                <w:color w:val="000000"/>
              </w:rPr>
            </w:pPr>
            <w:r w:rsidRPr="00ED5D1E">
              <w:rPr>
                <w:rFonts w:ascii="Calibri" w:hAnsi="Calibri" w:cs="Calibri"/>
                <w:b/>
                <w:color w:val="000000"/>
                <w:sz w:val="22"/>
                <w:szCs w:val="22"/>
              </w:rPr>
              <w:t>8.6</w:t>
            </w:r>
          </w:p>
        </w:tc>
        <w:tc>
          <w:tcPr>
            <w:tcW w:w="1399" w:type="pct"/>
            <w:shd w:val="clear" w:color="auto" w:fill="auto"/>
            <w:noWrap/>
            <w:vAlign w:val="bottom"/>
          </w:tcPr>
          <w:p w:rsidRPr="00ED5D1E" w:rsidR="001E5E76" w:rsidP="00B22ED7" w:rsidRDefault="001E5E76" w14:paraId="7D8F7AD6" w14:textId="77777777">
            <w:pPr>
              <w:jc w:val="right"/>
              <w:rPr>
                <w:b/>
                <w:color w:val="000000"/>
              </w:rPr>
            </w:pPr>
            <w:r w:rsidRPr="00ED5D1E">
              <w:rPr>
                <w:rFonts w:ascii="Calibri" w:hAnsi="Calibri" w:cs="Calibri"/>
                <w:b/>
                <w:color w:val="000000"/>
                <w:sz w:val="22"/>
                <w:szCs w:val="22"/>
              </w:rPr>
              <w:t>19.9</w:t>
            </w:r>
          </w:p>
        </w:tc>
      </w:tr>
      <w:tr w:rsidRPr="00BC53EC" w:rsidR="001E5E76" w:rsidTr="00B22ED7" w14:paraId="20B5C994" w14:textId="77777777">
        <w:trPr>
          <w:trHeight w:val="300"/>
        </w:trPr>
        <w:tc>
          <w:tcPr>
            <w:tcW w:w="2115" w:type="pct"/>
            <w:shd w:val="clear" w:color="auto" w:fill="auto"/>
            <w:noWrap/>
            <w:vAlign w:val="bottom"/>
          </w:tcPr>
          <w:p w:rsidRPr="00ED5D1E" w:rsidR="001E5E76" w:rsidP="00B22ED7" w:rsidRDefault="001E5E76" w14:paraId="31BE2475" w14:textId="77777777">
            <w:pPr>
              <w:rPr>
                <w:b/>
                <w:color w:val="000000"/>
              </w:rPr>
            </w:pPr>
            <w:r w:rsidRPr="00ED5D1E">
              <w:rPr>
                <w:rFonts w:ascii="Calibri" w:hAnsi="Calibri" w:cs="Calibri"/>
                <w:b/>
                <w:color w:val="000000"/>
                <w:sz w:val="22"/>
                <w:szCs w:val="22"/>
              </w:rPr>
              <w:t>Colorado</w:t>
            </w:r>
          </w:p>
        </w:tc>
        <w:tc>
          <w:tcPr>
            <w:tcW w:w="1486" w:type="pct"/>
            <w:shd w:val="clear" w:color="auto" w:fill="auto"/>
            <w:noWrap/>
            <w:vAlign w:val="bottom"/>
          </w:tcPr>
          <w:p w:rsidRPr="00ED5D1E" w:rsidR="001E5E76" w:rsidP="00B22ED7" w:rsidRDefault="001E5E76" w14:paraId="668973DE" w14:textId="77777777">
            <w:pPr>
              <w:jc w:val="right"/>
              <w:rPr>
                <w:b/>
                <w:color w:val="000000"/>
              </w:rPr>
            </w:pPr>
            <w:r w:rsidRPr="00ED5D1E">
              <w:rPr>
                <w:rFonts w:ascii="Calibri" w:hAnsi="Calibri" w:cs="Calibri"/>
                <w:b/>
                <w:color w:val="000000"/>
                <w:sz w:val="22"/>
                <w:szCs w:val="22"/>
              </w:rPr>
              <w:t>5.4</w:t>
            </w:r>
          </w:p>
        </w:tc>
        <w:tc>
          <w:tcPr>
            <w:tcW w:w="1399" w:type="pct"/>
            <w:shd w:val="clear" w:color="auto" w:fill="auto"/>
            <w:noWrap/>
            <w:vAlign w:val="bottom"/>
          </w:tcPr>
          <w:p w:rsidRPr="00ED5D1E" w:rsidR="001E5E76" w:rsidP="00B22ED7" w:rsidRDefault="001E5E76" w14:paraId="422F03E9" w14:textId="77777777">
            <w:pPr>
              <w:jc w:val="right"/>
              <w:rPr>
                <w:b/>
                <w:color w:val="000000"/>
              </w:rPr>
            </w:pPr>
            <w:r w:rsidRPr="00ED5D1E">
              <w:rPr>
                <w:rFonts w:ascii="Calibri" w:hAnsi="Calibri" w:cs="Calibri"/>
                <w:b/>
                <w:color w:val="000000"/>
                <w:sz w:val="22"/>
                <w:szCs w:val="22"/>
              </w:rPr>
              <w:t>8.4</w:t>
            </w:r>
          </w:p>
        </w:tc>
      </w:tr>
      <w:tr w:rsidRPr="00BC53EC" w:rsidR="001E5E76" w:rsidTr="00B22ED7" w14:paraId="1D78117D" w14:textId="77777777">
        <w:trPr>
          <w:trHeight w:val="300"/>
        </w:trPr>
        <w:tc>
          <w:tcPr>
            <w:tcW w:w="2115" w:type="pct"/>
            <w:shd w:val="clear" w:color="auto" w:fill="auto"/>
            <w:noWrap/>
            <w:vAlign w:val="bottom"/>
          </w:tcPr>
          <w:p w:rsidRPr="00ED5D1E" w:rsidR="001E5E76" w:rsidP="00B22ED7" w:rsidRDefault="001E5E76" w14:paraId="7902F4A0" w14:textId="77777777">
            <w:pPr>
              <w:rPr>
                <w:b/>
                <w:color w:val="000000"/>
              </w:rPr>
            </w:pPr>
            <w:r w:rsidRPr="00ED5D1E">
              <w:rPr>
                <w:rFonts w:ascii="Calibri" w:hAnsi="Calibri" w:cs="Calibri"/>
                <w:b/>
                <w:color w:val="000000"/>
                <w:sz w:val="22"/>
                <w:szCs w:val="22"/>
              </w:rPr>
              <w:t>Iowa</w:t>
            </w:r>
          </w:p>
        </w:tc>
        <w:tc>
          <w:tcPr>
            <w:tcW w:w="1486" w:type="pct"/>
            <w:shd w:val="clear" w:color="auto" w:fill="auto"/>
            <w:noWrap/>
            <w:vAlign w:val="bottom"/>
          </w:tcPr>
          <w:p w:rsidRPr="00ED5D1E" w:rsidR="001E5E76" w:rsidP="00B22ED7" w:rsidRDefault="001E5E76" w14:paraId="016F915E" w14:textId="77777777">
            <w:pPr>
              <w:jc w:val="right"/>
              <w:rPr>
                <w:b/>
                <w:color w:val="000000"/>
              </w:rPr>
            </w:pPr>
            <w:r w:rsidRPr="00ED5D1E">
              <w:rPr>
                <w:rFonts w:ascii="Calibri" w:hAnsi="Calibri" w:cs="Calibri"/>
                <w:b/>
                <w:color w:val="000000"/>
                <w:sz w:val="22"/>
                <w:szCs w:val="22"/>
              </w:rPr>
              <w:t>20.1</w:t>
            </w:r>
          </w:p>
        </w:tc>
        <w:tc>
          <w:tcPr>
            <w:tcW w:w="1399" w:type="pct"/>
            <w:shd w:val="clear" w:color="auto" w:fill="auto"/>
            <w:noWrap/>
            <w:vAlign w:val="bottom"/>
          </w:tcPr>
          <w:p w:rsidRPr="00ED5D1E" w:rsidR="001E5E76" w:rsidP="00B22ED7" w:rsidRDefault="001E5E76" w14:paraId="302884B6" w14:textId="77777777">
            <w:pPr>
              <w:jc w:val="right"/>
              <w:rPr>
                <w:b/>
                <w:color w:val="000000"/>
              </w:rPr>
            </w:pPr>
            <w:r w:rsidRPr="00ED5D1E">
              <w:rPr>
                <w:rFonts w:ascii="Calibri" w:hAnsi="Calibri" w:cs="Calibri"/>
                <w:b/>
                <w:color w:val="000000"/>
                <w:sz w:val="22"/>
                <w:szCs w:val="22"/>
              </w:rPr>
              <w:t>5.9</w:t>
            </w:r>
          </w:p>
        </w:tc>
      </w:tr>
      <w:tr w:rsidRPr="00BC53EC" w:rsidR="001E5E76" w:rsidTr="00B22ED7" w14:paraId="500A80AA" w14:textId="77777777">
        <w:trPr>
          <w:trHeight w:val="300"/>
        </w:trPr>
        <w:tc>
          <w:tcPr>
            <w:tcW w:w="2115" w:type="pct"/>
            <w:shd w:val="clear" w:color="auto" w:fill="auto"/>
            <w:noWrap/>
            <w:vAlign w:val="bottom"/>
          </w:tcPr>
          <w:p w:rsidRPr="00ED5D1E" w:rsidR="001E5E76" w:rsidP="00B22ED7" w:rsidRDefault="001E5E76" w14:paraId="22439F72" w14:textId="77777777">
            <w:pPr>
              <w:rPr>
                <w:b/>
                <w:color w:val="000000"/>
              </w:rPr>
            </w:pPr>
            <w:r w:rsidRPr="00ED5D1E">
              <w:rPr>
                <w:rFonts w:ascii="Calibri" w:hAnsi="Calibri" w:cs="Calibri"/>
                <w:b/>
                <w:color w:val="000000"/>
                <w:sz w:val="22"/>
                <w:szCs w:val="22"/>
              </w:rPr>
              <w:t>California</w:t>
            </w:r>
          </w:p>
        </w:tc>
        <w:tc>
          <w:tcPr>
            <w:tcW w:w="1486" w:type="pct"/>
            <w:shd w:val="clear" w:color="auto" w:fill="auto"/>
            <w:noWrap/>
            <w:vAlign w:val="bottom"/>
          </w:tcPr>
          <w:p w:rsidRPr="00ED5D1E" w:rsidR="001E5E76" w:rsidP="00B22ED7" w:rsidRDefault="001E5E76" w14:paraId="1748AEFF" w14:textId="77777777">
            <w:pPr>
              <w:jc w:val="right"/>
              <w:rPr>
                <w:b/>
                <w:color w:val="000000"/>
              </w:rPr>
            </w:pPr>
            <w:r w:rsidRPr="00ED5D1E">
              <w:rPr>
                <w:rFonts w:ascii="Calibri" w:hAnsi="Calibri" w:cs="Calibri"/>
                <w:b/>
                <w:color w:val="000000"/>
                <w:sz w:val="22"/>
                <w:szCs w:val="22"/>
              </w:rPr>
              <w:t>1.4</w:t>
            </w:r>
          </w:p>
        </w:tc>
        <w:tc>
          <w:tcPr>
            <w:tcW w:w="1399" w:type="pct"/>
            <w:shd w:val="clear" w:color="auto" w:fill="auto"/>
            <w:noWrap/>
            <w:vAlign w:val="bottom"/>
          </w:tcPr>
          <w:p w:rsidRPr="00ED5D1E" w:rsidR="001E5E76" w:rsidP="00B22ED7" w:rsidRDefault="001E5E76" w14:paraId="5A6E2EE9" w14:textId="77777777">
            <w:pPr>
              <w:jc w:val="right"/>
              <w:rPr>
                <w:b/>
                <w:color w:val="000000"/>
              </w:rPr>
            </w:pPr>
            <w:r w:rsidRPr="00ED5D1E">
              <w:rPr>
                <w:rFonts w:ascii="Calibri" w:hAnsi="Calibri" w:cs="Calibri"/>
                <w:b/>
                <w:color w:val="000000"/>
                <w:sz w:val="22"/>
                <w:szCs w:val="22"/>
              </w:rPr>
              <w:t>4.3</w:t>
            </w:r>
          </w:p>
        </w:tc>
      </w:tr>
      <w:tr w:rsidRPr="00BC53EC" w:rsidR="001E5E76" w:rsidTr="00B22ED7" w14:paraId="3ED971C6" w14:textId="77777777">
        <w:trPr>
          <w:trHeight w:val="300"/>
        </w:trPr>
        <w:tc>
          <w:tcPr>
            <w:tcW w:w="2115" w:type="pct"/>
            <w:shd w:val="clear" w:color="auto" w:fill="auto"/>
            <w:noWrap/>
            <w:vAlign w:val="bottom"/>
          </w:tcPr>
          <w:p w:rsidRPr="00ED5D1E" w:rsidR="001E5E76" w:rsidP="00B22ED7" w:rsidRDefault="001E5E76" w14:paraId="3DF6DE03" w14:textId="77777777">
            <w:pPr>
              <w:rPr>
                <w:b/>
                <w:color w:val="000000"/>
              </w:rPr>
            </w:pPr>
            <w:r w:rsidRPr="00ED5D1E">
              <w:rPr>
                <w:rFonts w:ascii="Calibri" w:hAnsi="Calibri" w:cs="Calibri"/>
                <w:b/>
                <w:color w:val="000000"/>
                <w:sz w:val="22"/>
                <w:szCs w:val="22"/>
              </w:rPr>
              <w:t>Oklahoma</w:t>
            </w:r>
          </w:p>
        </w:tc>
        <w:tc>
          <w:tcPr>
            <w:tcW w:w="1486" w:type="pct"/>
            <w:shd w:val="clear" w:color="auto" w:fill="auto"/>
            <w:noWrap/>
            <w:vAlign w:val="bottom"/>
          </w:tcPr>
          <w:p w:rsidRPr="00ED5D1E" w:rsidR="001E5E76" w:rsidP="00B22ED7" w:rsidRDefault="001E5E76" w14:paraId="42AFF447" w14:textId="77777777">
            <w:pPr>
              <w:jc w:val="right"/>
              <w:rPr>
                <w:b/>
                <w:color w:val="000000"/>
              </w:rPr>
            </w:pPr>
            <w:r w:rsidRPr="00ED5D1E">
              <w:rPr>
                <w:rFonts w:ascii="Calibri" w:hAnsi="Calibri" w:cs="Calibri"/>
                <w:b/>
                <w:color w:val="000000"/>
                <w:sz w:val="22"/>
                <w:szCs w:val="22"/>
              </w:rPr>
              <w:t>1.0</w:t>
            </w:r>
          </w:p>
        </w:tc>
        <w:tc>
          <w:tcPr>
            <w:tcW w:w="1399" w:type="pct"/>
            <w:shd w:val="clear" w:color="auto" w:fill="auto"/>
            <w:noWrap/>
            <w:vAlign w:val="bottom"/>
          </w:tcPr>
          <w:p w:rsidRPr="00ED5D1E" w:rsidR="001E5E76" w:rsidP="00B22ED7" w:rsidRDefault="001E5E76" w14:paraId="733B23CD" w14:textId="77777777">
            <w:pPr>
              <w:jc w:val="right"/>
              <w:rPr>
                <w:b/>
                <w:color w:val="000000"/>
              </w:rPr>
            </w:pPr>
            <w:r w:rsidRPr="00ED5D1E">
              <w:rPr>
                <w:rFonts w:ascii="Calibri" w:hAnsi="Calibri" w:cs="Calibri"/>
                <w:b/>
                <w:color w:val="000000"/>
                <w:sz w:val="22"/>
                <w:szCs w:val="22"/>
              </w:rPr>
              <w:t>2.7</w:t>
            </w:r>
          </w:p>
        </w:tc>
      </w:tr>
      <w:tr w:rsidRPr="00BC53EC" w:rsidR="001E5E76" w:rsidTr="00B22ED7" w14:paraId="2CCAF48C" w14:textId="77777777">
        <w:trPr>
          <w:trHeight w:val="300"/>
        </w:trPr>
        <w:tc>
          <w:tcPr>
            <w:tcW w:w="2115" w:type="pct"/>
            <w:shd w:val="clear" w:color="auto" w:fill="auto"/>
            <w:noWrap/>
            <w:vAlign w:val="bottom"/>
          </w:tcPr>
          <w:p w:rsidRPr="00ED5D1E" w:rsidR="001E5E76" w:rsidP="00B22ED7" w:rsidRDefault="001E5E76" w14:paraId="36EE8DF9" w14:textId="77777777">
            <w:pPr>
              <w:rPr>
                <w:b/>
                <w:color w:val="000000"/>
              </w:rPr>
            </w:pPr>
            <w:r w:rsidRPr="00ED5D1E">
              <w:rPr>
                <w:rFonts w:ascii="Calibri" w:hAnsi="Calibri" w:cs="Calibri"/>
                <w:b/>
                <w:color w:val="000000"/>
                <w:sz w:val="22"/>
                <w:szCs w:val="22"/>
              </w:rPr>
              <w:t>Idaho</w:t>
            </w:r>
          </w:p>
        </w:tc>
        <w:tc>
          <w:tcPr>
            <w:tcW w:w="1486" w:type="pct"/>
            <w:shd w:val="clear" w:color="auto" w:fill="auto"/>
            <w:noWrap/>
            <w:vAlign w:val="bottom"/>
          </w:tcPr>
          <w:p w:rsidRPr="00ED5D1E" w:rsidR="001E5E76" w:rsidP="00B22ED7" w:rsidRDefault="001E5E76" w14:paraId="78C96983" w14:textId="77777777">
            <w:pPr>
              <w:jc w:val="right"/>
              <w:rPr>
                <w:b/>
                <w:color w:val="000000"/>
              </w:rPr>
            </w:pPr>
            <w:r w:rsidRPr="00ED5D1E">
              <w:rPr>
                <w:rFonts w:ascii="Calibri" w:hAnsi="Calibri" w:cs="Calibri"/>
                <w:b/>
                <w:color w:val="000000"/>
                <w:sz w:val="22"/>
                <w:szCs w:val="22"/>
              </w:rPr>
              <w:t>1.3</w:t>
            </w:r>
          </w:p>
        </w:tc>
        <w:tc>
          <w:tcPr>
            <w:tcW w:w="1399" w:type="pct"/>
            <w:shd w:val="clear" w:color="auto" w:fill="auto"/>
            <w:noWrap/>
            <w:vAlign w:val="bottom"/>
          </w:tcPr>
          <w:p w:rsidRPr="00ED5D1E" w:rsidR="001E5E76" w:rsidP="00B22ED7" w:rsidRDefault="001E5E76" w14:paraId="61E1C18C" w14:textId="77777777">
            <w:pPr>
              <w:jc w:val="right"/>
              <w:rPr>
                <w:b/>
                <w:color w:val="000000"/>
              </w:rPr>
            </w:pPr>
            <w:r w:rsidRPr="00ED5D1E">
              <w:rPr>
                <w:rFonts w:ascii="Calibri" w:hAnsi="Calibri" w:cs="Calibri"/>
                <w:b/>
                <w:color w:val="000000"/>
                <w:sz w:val="22"/>
                <w:szCs w:val="22"/>
              </w:rPr>
              <w:t>2.2</w:t>
            </w:r>
          </w:p>
        </w:tc>
      </w:tr>
      <w:tr w:rsidRPr="00BC53EC" w:rsidR="001E5E76" w:rsidTr="00B22ED7" w14:paraId="2D02AA5C" w14:textId="77777777">
        <w:trPr>
          <w:trHeight w:val="300"/>
        </w:trPr>
        <w:tc>
          <w:tcPr>
            <w:tcW w:w="2115" w:type="pct"/>
            <w:shd w:val="clear" w:color="auto" w:fill="auto"/>
            <w:noWrap/>
            <w:vAlign w:val="bottom"/>
          </w:tcPr>
          <w:p w:rsidRPr="00ED5D1E" w:rsidR="001E5E76" w:rsidP="00B22ED7" w:rsidRDefault="001E5E76" w14:paraId="01146CCA" w14:textId="77777777">
            <w:pPr>
              <w:rPr>
                <w:b/>
                <w:color w:val="000000"/>
              </w:rPr>
            </w:pPr>
            <w:r w:rsidRPr="00ED5D1E">
              <w:rPr>
                <w:rFonts w:ascii="Calibri" w:hAnsi="Calibri" w:cs="Calibri"/>
                <w:b/>
                <w:color w:val="000000"/>
                <w:sz w:val="22"/>
                <w:szCs w:val="22"/>
              </w:rPr>
              <w:t>South Dakota</w:t>
            </w:r>
          </w:p>
        </w:tc>
        <w:tc>
          <w:tcPr>
            <w:tcW w:w="1486" w:type="pct"/>
            <w:shd w:val="clear" w:color="auto" w:fill="auto"/>
            <w:noWrap/>
            <w:vAlign w:val="bottom"/>
          </w:tcPr>
          <w:p w:rsidRPr="00ED5D1E" w:rsidR="001E5E76" w:rsidP="00B22ED7" w:rsidRDefault="001E5E76" w14:paraId="079E3144" w14:textId="77777777">
            <w:pPr>
              <w:jc w:val="right"/>
              <w:rPr>
                <w:b/>
                <w:color w:val="000000"/>
              </w:rPr>
            </w:pPr>
            <w:r w:rsidRPr="00ED5D1E">
              <w:rPr>
                <w:rFonts w:ascii="Calibri" w:hAnsi="Calibri" w:cs="Calibri"/>
                <w:b/>
                <w:color w:val="000000"/>
                <w:sz w:val="22"/>
                <w:szCs w:val="22"/>
              </w:rPr>
              <w:t>6.8</w:t>
            </w:r>
          </w:p>
        </w:tc>
        <w:tc>
          <w:tcPr>
            <w:tcW w:w="1399" w:type="pct"/>
            <w:shd w:val="clear" w:color="auto" w:fill="auto"/>
            <w:noWrap/>
            <w:vAlign w:val="bottom"/>
          </w:tcPr>
          <w:p w:rsidRPr="00ED5D1E" w:rsidR="001E5E76" w:rsidP="00B22ED7" w:rsidRDefault="001E5E76" w14:paraId="5AD4B3CD" w14:textId="77777777">
            <w:pPr>
              <w:jc w:val="right"/>
              <w:rPr>
                <w:b/>
                <w:color w:val="000000"/>
              </w:rPr>
            </w:pPr>
            <w:r w:rsidRPr="00ED5D1E">
              <w:rPr>
                <w:rFonts w:ascii="Calibri" w:hAnsi="Calibri" w:cs="Calibri"/>
                <w:b/>
                <w:color w:val="000000"/>
                <w:sz w:val="22"/>
                <w:szCs w:val="22"/>
              </w:rPr>
              <w:t>2.2</w:t>
            </w:r>
          </w:p>
        </w:tc>
      </w:tr>
      <w:tr w:rsidRPr="00BC53EC" w:rsidR="001E5E76" w:rsidTr="00B22ED7" w14:paraId="62B8358E" w14:textId="77777777">
        <w:trPr>
          <w:trHeight w:val="300"/>
        </w:trPr>
        <w:tc>
          <w:tcPr>
            <w:tcW w:w="2115" w:type="pct"/>
            <w:shd w:val="clear" w:color="auto" w:fill="auto"/>
            <w:noWrap/>
            <w:vAlign w:val="bottom"/>
          </w:tcPr>
          <w:p w:rsidRPr="00ED5D1E" w:rsidR="001E5E76" w:rsidP="00B22ED7" w:rsidRDefault="001E5E76" w14:paraId="5A4E5659" w14:textId="77777777">
            <w:pPr>
              <w:rPr>
                <w:b/>
                <w:color w:val="000000"/>
              </w:rPr>
            </w:pPr>
            <w:r w:rsidRPr="00ED5D1E">
              <w:rPr>
                <w:rFonts w:ascii="Calibri" w:hAnsi="Calibri" w:cs="Calibri"/>
                <w:b/>
                <w:color w:val="000000"/>
                <w:sz w:val="22"/>
                <w:szCs w:val="22"/>
              </w:rPr>
              <w:t>Washington</w:t>
            </w:r>
          </w:p>
        </w:tc>
        <w:tc>
          <w:tcPr>
            <w:tcW w:w="1486" w:type="pct"/>
            <w:shd w:val="clear" w:color="auto" w:fill="auto"/>
            <w:noWrap/>
            <w:vAlign w:val="bottom"/>
          </w:tcPr>
          <w:p w:rsidRPr="00ED5D1E" w:rsidR="001E5E76" w:rsidP="00B22ED7" w:rsidRDefault="001E5E76" w14:paraId="0A5386C0" w14:textId="77777777">
            <w:pPr>
              <w:jc w:val="right"/>
              <w:rPr>
                <w:b/>
                <w:color w:val="000000"/>
              </w:rPr>
            </w:pPr>
            <w:r w:rsidRPr="00ED5D1E">
              <w:rPr>
                <w:rFonts w:ascii="Calibri" w:hAnsi="Calibri" w:cs="Calibri"/>
                <w:b/>
                <w:color w:val="000000"/>
                <w:sz w:val="22"/>
                <w:szCs w:val="22"/>
              </w:rPr>
              <w:t>0.9</w:t>
            </w:r>
          </w:p>
        </w:tc>
        <w:tc>
          <w:tcPr>
            <w:tcW w:w="1399" w:type="pct"/>
            <w:shd w:val="clear" w:color="auto" w:fill="auto"/>
            <w:noWrap/>
            <w:vAlign w:val="bottom"/>
          </w:tcPr>
          <w:p w:rsidRPr="00ED5D1E" w:rsidR="001E5E76" w:rsidP="00B22ED7" w:rsidRDefault="001E5E76" w14:paraId="4165353D" w14:textId="77777777">
            <w:pPr>
              <w:jc w:val="right"/>
              <w:rPr>
                <w:b/>
                <w:color w:val="000000"/>
              </w:rPr>
            </w:pPr>
            <w:r w:rsidRPr="00ED5D1E">
              <w:rPr>
                <w:rFonts w:ascii="Calibri" w:hAnsi="Calibri" w:cs="Calibri"/>
                <w:b/>
                <w:color w:val="000000"/>
                <w:sz w:val="22"/>
                <w:szCs w:val="22"/>
              </w:rPr>
              <w:t>1.8</w:t>
            </w:r>
          </w:p>
        </w:tc>
      </w:tr>
      <w:tr w:rsidRPr="00BC53EC" w:rsidR="001E5E76" w:rsidTr="00B22ED7" w14:paraId="76EEBD34" w14:textId="77777777">
        <w:trPr>
          <w:trHeight w:val="300"/>
        </w:trPr>
        <w:tc>
          <w:tcPr>
            <w:tcW w:w="2115" w:type="pct"/>
            <w:shd w:val="clear" w:color="auto" w:fill="auto"/>
            <w:noWrap/>
            <w:vAlign w:val="bottom"/>
          </w:tcPr>
          <w:p w:rsidRPr="00ED5D1E" w:rsidR="001E5E76" w:rsidP="00B22ED7" w:rsidRDefault="001E5E76" w14:paraId="4FEB84F7" w14:textId="77777777">
            <w:pPr>
              <w:rPr>
                <w:b/>
                <w:color w:val="000000"/>
              </w:rPr>
            </w:pPr>
            <w:r w:rsidRPr="00ED5D1E">
              <w:rPr>
                <w:rFonts w:ascii="Calibri" w:hAnsi="Calibri" w:cs="Calibri"/>
                <w:b/>
                <w:color w:val="000000"/>
                <w:sz w:val="22"/>
                <w:szCs w:val="22"/>
              </w:rPr>
              <w:t>Minnesota</w:t>
            </w:r>
          </w:p>
        </w:tc>
        <w:tc>
          <w:tcPr>
            <w:tcW w:w="1486" w:type="pct"/>
            <w:shd w:val="clear" w:color="auto" w:fill="auto"/>
            <w:noWrap/>
            <w:vAlign w:val="bottom"/>
          </w:tcPr>
          <w:p w:rsidRPr="00ED5D1E" w:rsidR="001E5E76" w:rsidP="00B22ED7" w:rsidRDefault="001E5E76" w14:paraId="1958E5A7" w14:textId="77777777">
            <w:pPr>
              <w:jc w:val="right"/>
              <w:rPr>
                <w:b/>
                <w:color w:val="000000"/>
              </w:rPr>
            </w:pPr>
            <w:r w:rsidRPr="00ED5D1E">
              <w:rPr>
                <w:rFonts w:ascii="Calibri" w:hAnsi="Calibri" w:cs="Calibri"/>
                <w:b/>
                <w:color w:val="000000"/>
                <w:sz w:val="22"/>
                <w:szCs w:val="22"/>
              </w:rPr>
              <w:t>5.7</w:t>
            </w:r>
          </w:p>
        </w:tc>
        <w:tc>
          <w:tcPr>
            <w:tcW w:w="1399" w:type="pct"/>
            <w:shd w:val="clear" w:color="auto" w:fill="auto"/>
            <w:noWrap/>
            <w:vAlign w:val="bottom"/>
          </w:tcPr>
          <w:p w:rsidRPr="00ED5D1E" w:rsidR="001E5E76" w:rsidP="00B22ED7" w:rsidRDefault="001E5E76" w14:paraId="026EFD0E" w14:textId="77777777">
            <w:pPr>
              <w:jc w:val="right"/>
              <w:rPr>
                <w:b/>
                <w:color w:val="000000"/>
              </w:rPr>
            </w:pPr>
            <w:r w:rsidRPr="00ED5D1E">
              <w:rPr>
                <w:rFonts w:ascii="Calibri" w:hAnsi="Calibri" w:cs="Calibri"/>
                <w:b/>
                <w:color w:val="000000"/>
                <w:sz w:val="22"/>
                <w:szCs w:val="22"/>
              </w:rPr>
              <w:t>1.5</w:t>
            </w:r>
          </w:p>
        </w:tc>
      </w:tr>
      <w:tr w:rsidRPr="00BC53EC" w:rsidR="001E5E76" w:rsidTr="00B22ED7" w14:paraId="0F10AF3A" w14:textId="77777777">
        <w:trPr>
          <w:trHeight w:val="300"/>
        </w:trPr>
        <w:tc>
          <w:tcPr>
            <w:tcW w:w="2115" w:type="pct"/>
            <w:shd w:val="clear" w:color="auto" w:fill="auto"/>
            <w:noWrap/>
            <w:vAlign w:val="bottom"/>
          </w:tcPr>
          <w:p w:rsidRPr="00BC53EC" w:rsidR="001E5E76" w:rsidP="00B22ED7" w:rsidRDefault="001E5E76" w14:paraId="3FDD59CC" w14:textId="77777777">
            <w:pPr>
              <w:rPr>
                <w:color w:val="000000"/>
              </w:rPr>
            </w:pPr>
            <w:r>
              <w:rPr>
                <w:rFonts w:ascii="Calibri" w:hAnsi="Calibri" w:cs="Calibri"/>
                <w:color w:val="000000"/>
                <w:sz w:val="22"/>
                <w:szCs w:val="22"/>
              </w:rPr>
              <w:t>Oregon</w:t>
            </w:r>
          </w:p>
        </w:tc>
        <w:tc>
          <w:tcPr>
            <w:tcW w:w="1486" w:type="pct"/>
            <w:shd w:val="clear" w:color="auto" w:fill="auto"/>
            <w:noWrap/>
            <w:vAlign w:val="bottom"/>
          </w:tcPr>
          <w:p w:rsidRPr="00BC53EC" w:rsidR="001E5E76" w:rsidP="00B22ED7" w:rsidRDefault="001E5E76" w14:paraId="29CAB2DD" w14:textId="77777777">
            <w:pPr>
              <w:jc w:val="right"/>
              <w:rPr>
                <w:color w:val="000000"/>
              </w:rPr>
            </w:pPr>
            <w:r>
              <w:rPr>
                <w:rFonts w:ascii="Calibri" w:hAnsi="Calibri" w:cs="Calibri"/>
                <w:color w:val="000000"/>
                <w:sz w:val="22"/>
                <w:szCs w:val="22"/>
              </w:rPr>
              <w:t>0.5</w:t>
            </w:r>
          </w:p>
        </w:tc>
        <w:tc>
          <w:tcPr>
            <w:tcW w:w="1399" w:type="pct"/>
            <w:shd w:val="clear" w:color="auto" w:fill="auto"/>
            <w:noWrap/>
            <w:vAlign w:val="bottom"/>
          </w:tcPr>
          <w:p w:rsidRPr="00BC53EC" w:rsidR="001E5E76" w:rsidP="00B22ED7" w:rsidRDefault="001E5E76" w14:paraId="603C9443" w14:textId="77777777">
            <w:pPr>
              <w:jc w:val="right"/>
              <w:rPr>
                <w:color w:val="000000"/>
              </w:rPr>
            </w:pPr>
            <w:r>
              <w:rPr>
                <w:rFonts w:ascii="Calibri" w:hAnsi="Calibri" w:cs="Calibri"/>
                <w:color w:val="000000"/>
                <w:sz w:val="22"/>
                <w:szCs w:val="22"/>
              </w:rPr>
              <w:t>0.7</w:t>
            </w:r>
          </w:p>
        </w:tc>
      </w:tr>
      <w:tr w:rsidRPr="00BC53EC" w:rsidR="001E5E76" w:rsidTr="00ED5D1E" w14:paraId="7C6732EF" w14:textId="77777777">
        <w:trPr>
          <w:trHeight w:val="300"/>
        </w:trPr>
        <w:tc>
          <w:tcPr>
            <w:tcW w:w="2115" w:type="pct"/>
            <w:tcBorders>
              <w:bottom w:val="nil"/>
            </w:tcBorders>
            <w:shd w:val="clear" w:color="auto" w:fill="auto"/>
            <w:noWrap/>
            <w:vAlign w:val="bottom"/>
          </w:tcPr>
          <w:p w:rsidRPr="00ED5D1E" w:rsidR="001E5E76" w:rsidP="00B22ED7" w:rsidRDefault="001E5E76" w14:paraId="0E1EF23B" w14:textId="77777777">
            <w:pPr>
              <w:rPr>
                <w:b/>
                <w:color w:val="000000"/>
              </w:rPr>
            </w:pPr>
            <w:r w:rsidRPr="00ED5D1E">
              <w:rPr>
                <w:rFonts w:ascii="Calibri" w:hAnsi="Calibri" w:cs="Calibri"/>
                <w:b/>
                <w:color w:val="000000"/>
                <w:sz w:val="22"/>
                <w:szCs w:val="22"/>
              </w:rPr>
              <w:t>Illinois</w:t>
            </w:r>
          </w:p>
        </w:tc>
        <w:tc>
          <w:tcPr>
            <w:tcW w:w="1486" w:type="pct"/>
            <w:tcBorders>
              <w:bottom w:val="nil"/>
            </w:tcBorders>
            <w:shd w:val="clear" w:color="auto" w:fill="auto"/>
            <w:noWrap/>
            <w:vAlign w:val="bottom"/>
          </w:tcPr>
          <w:p w:rsidRPr="00ED5D1E" w:rsidR="001E5E76" w:rsidP="00B22ED7" w:rsidRDefault="001E5E76" w14:paraId="543F70B6" w14:textId="77777777">
            <w:pPr>
              <w:jc w:val="right"/>
              <w:rPr>
                <w:b/>
                <w:color w:val="000000"/>
              </w:rPr>
            </w:pPr>
            <w:r w:rsidRPr="00ED5D1E">
              <w:rPr>
                <w:rFonts w:ascii="Calibri" w:hAnsi="Calibri" w:cs="Calibri"/>
                <w:b/>
                <w:color w:val="000000"/>
                <w:sz w:val="22"/>
                <w:szCs w:val="22"/>
              </w:rPr>
              <w:t>2.5</w:t>
            </w:r>
          </w:p>
        </w:tc>
        <w:tc>
          <w:tcPr>
            <w:tcW w:w="1399" w:type="pct"/>
            <w:tcBorders>
              <w:bottom w:val="nil"/>
            </w:tcBorders>
            <w:shd w:val="clear" w:color="auto" w:fill="auto"/>
            <w:noWrap/>
            <w:vAlign w:val="bottom"/>
          </w:tcPr>
          <w:p w:rsidRPr="00ED5D1E" w:rsidR="001E5E76" w:rsidP="00B22ED7" w:rsidRDefault="001E5E76" w14:paraId="20D3E790" w14:textId="77777777">
            <w:pPr>
              <w:jc w:val="right"/>
              <w:rPr>
                <w:b/>
                <w:color w:val="000000"/>
              </w:rPr>
            </w:pPr>
            <w:r w:rsidRPr="00ED5D1E">
              <w:rPr>
                <w:rFonts w:ascii="Calibri" w:hAnsi="Calibri" w:cs="Calibri"/>
                <w:b/>
                <w:color w:val="000000"/>
                <w:sz w:val="22"/>
                <w:szCs w:val="22"/>
              </w:rPr>
              <w:t>0.5</w:t>
            </w:r>
          </w:p>
        </w:tc>
      </w:tr>
      <w:tr w:rsidRPr="00BC53EC" w:rsidR="001E5E76" w:rsidTr="00ED5D1E" w14:paraId="7185BA59" w14:textId="77777777">
        <w:trPr>
          <w:trHeight w:val="300"/>
        </w:trPr>
        <w:tc>
          <w:tcPr>
            <w:tcW w:w="2115" w:type="pct"/>
            <w:tcBorders>
              <w:top w:val="nil"/>
              <w:bottom w:val="nil"/>
            </w:tcBorders>
            <w:shd w:val="clear" w:color="auto" w:fill="auto"/>
            <w:noWrap/>
            <w:vAlign w:val="bottom"/>
          </w:tcPr>
          <w:p w:rsidRPr="00B70F41" w:rsidR="001E5E76" w:rsidP="00B22ED7" w:rsidRDefault="001E5E76" w14:paraId="1E1A00CC" w14:textId="77777777">
            <w:pPr>
              <w:rPr>
                <w:b/>
                <w:color w:val="000000"/>
              </w:rPr>
            </w:pPr>
            <w:r w:rsidRPr="00ED5D1E">
              <w:rPr>
                <w:rFonts w:ascii="Calibri" w:hAnsi="Calibri" w:cs="Calibri"/>
                <w:b/>
                <w:color w:val="000000"/>
                <w:sz w:val="22"/>
                <w:szCs w:val="22"/>
              </w:rPr>
              <w:t>Wyoming</w:t>
            </w:r>
          </w:p>
        </w:tc>
        <w:tc>
          <w:tcPr>
            <w:tcW w:w="1486" w:type="pct"/>
            <w:tcBorders>
              <w:top w:val="nil"/>
              <w:bottom w:val="nil"/>
            </w:tcBorders>
            <w:shd w:val="clear" w:color="auto" w:fill="auto"/>
            <w:noWrap/>
            <w:vAlign w:val="bottom"/>
          </w:tcPr>
          <w:p w:rsidRPr="00B70F41" w:rsidR="001E5E76" w:rsidP="00B22ED7" w:rsidRDefault="001E5E76" w14:paraId="669D6341" w14:textId="77777777">
            <w:pPr>
              <w:jc w:val="right"/>
              <w:rPr>
                <w:b/>
                <w:color w:val="000000"/>
              </w:rPr>
            </w:pPr>
            <w:r w:rsidRPr="00ED5D1E">
              <w:rPr>
                <w:rFonts w:ascii="Calibri" w:hAnsi="Calibri" w:cs="Calibri"/>
                <w:b/>
                <w:color w:val="000000"/>
                <w:sz w:val="22"/>
                <w:szCs w:val="22"/>
              </w:rPr>
              <w:t>0.9</w:t>
            </w:r>
          </w:p>
        </w:tc>
        <w:tc>
          <w:tcPr>
            <w:tcW w:w="1399" w:type="pct"/>
            <w:tcBorders>
              <w:top w:val="nil"/>
              <w:bottom w:val="nil"/>
            </w:tcBorders>
            <w:shd w:val="clear" w:color="auto" w:fill="auto"/>
            <w:noWrap/>
            <w:vAlign w:val="bottom"/>
          </w:tcPr>
          <w:p w:rsidRPr="00B70F41" w:rsidR="001E5E76" w:rsidP="00B22ED7" w:rsidRDefault="001E5E76" w14:paraId="3EF5A9F4" w14:textId="77777777">
            <w:pPr>
              <w:jc w:val="right"/>
              <w:rPr>
                <w:b/>
                <w:color w:val="000000"/>
              </w:rPr>
            </w:pPr>
            <w:r w:rsidRPr="00ED5D1E">
              <w:rPr>
                <w:rFonts w:ascii="Calibri" w:hAnsi="Calibri" w:cs="Calibri"/>
                <w:b/>
                <w:color w:val="000000"/>
                <w:sz w:val="22"/>
                <w:szCs w:val="22"/>
              </w:rPr>
              <w:t>0.5</w:t>
            </w:r>
          </w:p>
        </w:tc>
      </w:tr>
      <w:tr w:rsidRPr="00BC53EC" w:rsidR="001E5E76" w:rsidTr="00ED5D1E" w14:paraId="0CBFF136" w14:textId="77777777">
        <w:trPr>
          <w:trHeight w:val="300"/>
        </w:trPr>
        <w:tc>
          <w:tcPr>
            <w:tcW w:w="2115" w:type="pct"/>
            <w:tcBorders>
              <w:top w:val="nil"/>
              <w:bottom w:val="nil"/>
            </w:tcBorders>
            <w:shd w:val="clear" w:color="auto" w:fill="auto"/>
            <w:noWrap/>
            <w:vAlign w:val="bottom"/>
          </w:tcPr>
          <w:p w:rsidRPr="00BC53EC" w:rsidR="001E5E76" w:rsidP="00B22ED7" w:rsidRDefault="001E5E76" w14:paraId="324AD7D4" w14:textId="77777777">
            <w:pPr>
              <w:rPr>
                <w:color w:val="000000"/>
              </w:rPr>
            </w:pPr>
            <w:r>
              <w:rPr>
                <w:rFonts w:ascii="Calibri" w:hAnsi="Calibri" w:cs="Calibri"/>
                <w:color w:val="000000"/>
                <w:sz w:val="22"/>
                <w:szCs w:val="22"/>
              </w:rPr>
              <w:t>New Mexico</w:t>
            </w:r>
          </w:p>
        </w:tc>
        <w:tc>
          <w:tcPr>
            <w:tcW w:w="1486" w:type="pct"/>
            <w:tcBorders>
              <w:top w:val="nil"/>
              <w:bottom w:val="nil"/>
            </w:tcBorders>
            <w:shd w:val="clear" w:color="auto" w:fill="auto"/>
            <w:noWrap/>
            <w:vAlign w:val="bottom"/>
          </w:tcPr>
          <w:p w:rsidRPr="00BC53EC" w:rsidR="001E5E76" w:rsidP="00B22ED7" w:rsidRDefault="001E5E76" w14:paraId="7C469E47" w14:textId="77777777">
            <w:pPr>
              <w:jc w:val="right"/>
              <w:rPr>
                <w:color w:val="000000"/>
              </w:rPr>
            </w:pPr>
            <w:r>
              <w:rPr>
                <w:rFonts w:ascii="Calibri" w:hAnsi="Calibri" w:cs="Calibri"/>
                <w:color w:val="000000"/>
                <w:sz w:val="22"/>
                <w:szCs w:val="22"/>
              </w:rPr>
              <w:t>0.3</w:t>
            </w:r>
          </w:p>
        </w:tc>
        <w:tc>
          <w:tcPr>
            <w:tcW w:w="1399" w:type="pct"/>
            <w:tcBorders>
              <w:top w:val="nil"/>
              <w:bottom w:val="nil"/>
            </w:tcBorders>
            <w:shd w:val="clear" w:color="auto" w:fill="auto"/>
            <w:noWrap/>
            <w:vAlign w:val="bottom"/>
          </w:tcPr>
          <w:p w:rsidRPr="00BC53EC" w:rsidR="001E5E76" w:rsidP="00B22ED7" w:rsidRDefault="001E5E76" w14:paraId="3C3307D3" w14:textId="77777777">
            <w:pPr>
              <w:jc w:val="right"/>
              <w:rPr>
                <w:color w:val="000000"/>
              </w:rPr>
            </w:pPr>
            <w:r>
              <w:rPr>
                <w:rFonts w:ascii="Calibri" w:hAnsi="Calibri" w:cs="Calibri"/>
                <w:color w:val="000000"/>
                <w:sz w:val="22"/>
                <w:szCs w:val="22"/>
              </w:rPr>
              <w:t>0.4</w:t>
            </w:r>
          </w:p>
        </w:tc>
      </w:tr>
      <w:tr w:rsidRPr="00BC53EC" w:rsidR="001E5E76" w:rsidTr="00ED5D1E" w14:paraId="77F19487" w14:textId="77777777">
        <w:trPr>
          <w:trHeight w:val="300"/>
        </w:trPr>
        <w:tc>
          <w:tcPr>
            <w:tcW w:w="2115" w:type="pct"/>
            <w:tcBorders>
              <w:top w:val="nil"/>
              <w:bottom w:val="nil"/>
            </w:tcBorders>
            <w:shd w:val="clear" w:color="auto" w:fill="auto"/>
            <w:noWrap/>
            <w:vAlign w:val="bottom"/>
          </w:tcPr>
          <w:p w:rsidRPr="00BC53EC" w:rsidR="001E5E76" w:rsidP="00B22ED7" w:rsidRDefault="001E5E76" w14:paraId="3A956A00" w14:textId="77777777">
            <w:pPr>
              <w:rPr>
                <w:color w:val="000000"/>
              </w:rPr>
            </w:pPr>
            <w:r>
              <w:rPr>
                <w:rFonts w:ascii="Calibri" w:hAnsi="Calibri" w:cs="Calibri"/>
                <w:color w:val="000000"/>
                <w:sz w:val="22"/>
                <w:szCs w:val="22"/>
              </w:rPr>
              <w:t>Michigan</w:t>
            </w:r>
          </w:p>
        </w:tc>
        <w:tc>
          <w:tcPr>
            <w:tcW w:w="1486" w:type="pct"/>
            <w:tcBorders>
              <w:top w:val="nil"/>
              <w:bottom w:val="nil"/>
            </w:tcBorders>
            <w:shd w:val="clear" w:color="auto" w:fill="auto"/>
            <w:noWrap/>
            <w:vAlign w:val="bottom"/>
          </w:tcPr>
          <w:p w:rsidRPr="00BC53EC" w:rsidR="001E5E76" w:rsidP="00B22ED7" w:rsidRDefault="001E5E76" w14:paraId="1110637C" w14:textId="77777777">
            <w:pPr>
              <w:jc w:val="right"/>
              <w:rPr>
                <w:color w:val="000000"/>
              </w:rPr>
            </w:pPr>
            <w:r>
              <w:rPr>
                <w:rFonts w:ascii="Calibri" w:hAnsi="Calibri" w:cs="Calibri"/>
                <w:color w:val="000000"/>
                <w:sz w:val="22"/>
                <w:szCs w:val="22"/>
              </w:rPr>
              <w:t>0.8</w:t>
            </w:r>
          </w:p>
        </w:tc>
        <w:tc>
          <w:tcPr>
            <w:tcW w:w="1399" w:type="pct"/>
            <w:tcBorders>
              <w:top w:val="nil"/>
              <w:bottom w:val="nil"/>
            </w:tcBorders>
            <w:shd w:val="clear" w:color="auto" w:fill="auto"/>
            <w:noWrap/>
            <w:vAlign w:val="bottom"/>
          </w:tcPr>
          <w:p w:rsidRPr="00BC53EC" w:rsidR="001E5E76" w:rsidP="00B22ED7" w:rsidRDefault="001E5E76" w14:paraId="3CC54B96" w14:textId="77777777">
            <w:pPr>
              <w:jc w:val="right"/>
              <w:rPr>
                <w:color w:val="000000"/>
              </w:rPr>
            </w:pPr>
            <w:r>
              <w:rPr>
                <w:rFonts w:ascii="Calibri" w:hAnsi="Calibri" w:cs="Calibri"/>
                <w:color w:val="000000"/>
                <w:sz w:val="22"/>
                <w:szCs w:val="22"/>
              </w:rPr>
              <w:t>0.3</w:t>
            </w:r>
          </w:p>
        </w:tc>
      </w:tr>
      <w:tr w:rsidRPr="00BC53EC" w:rsidR="001E5E76" w:rsidTr="00ED5D1E" w14:paraId="128F13C8" w14:textId="77777777">
        <w:trPr>
          <w:trHeight w:val="300"/>
        </w:trPr>
        <w:tc>
          <w:tcPr>
            <w:tcW w:w="2115" w:type="pct"/>
            <w:tcBorders>
              <w:top w:val="nil"/>
              <w:bottom w:val="nil"/>
            </w:tcBorders>
            <w:shd w:val="clear" w:color="auto" w:fill="auto"/>
            <w:noWrap/>
            <w:vAlign w:val="bottom"/>
          </w:tcPr>
          <w:p w:rsidRPr="00ED5D1E" w:rsidR="001E5E76" w:rsidP="00B22ED7" w:rsidRDefault="001E5E76" w14:paraId="09DBF37C" w14:textId="77777777">
            <w:pPr>
              <w:rPr>
                <w:b/>
                <w:color w:val="000000"/>
              </w:rPr>
            </w:pPr>
            <w:r w:rsidRPr="00ED5D1E">
              <w:rPr>
                <w:rFonts w:ascii="Calibri" w:hAnsi="Calibri" w:cs="Calibri"/>
                <w:b/>
                <w:color w:val="000000"/>
                <w:sz w:val="22"/>
                <w:szCs w:val="22"/>
              </w:rPr>
              <w:t>Montana</w:t>
            </w:r>
          </w:p>
        </w:tc>
        <w:tc>
          <w:tcPr>
            <w:tcW w:w="1486" w:type="pct"/>
            <w:tcBorders>
              <w:top w:val="nil"/>
              <w:bottom w:val="nil"/>
            </w:tcBorders>
            <w:shd w:val="clear" w:color="auto" w:fill="auto"/>
            <w:noWrap/>
            <w:vAlign w:val="bottom"/>
          </w:tcPr>
          <w:p w:rsidRPr="00ED5D1E" w:rsidR="001E5E76" w:rsidP="00B22ED7" w:rsidRDefault="001E5E76" w14:paraId="56189A03" w14:textId="77777777">
            <w:pPr>
              <w:jc w:val="right"/>
              <w:rPr>
                <w:b/>
                <w:color w:val="000000"/>
              </w:rPr>
            </w:pPr>
            <w:r w:rsidRPr="00ED5D1E">
              <w:rPr>
                <w:rFonts w:ascii="Calibri" w:hAnsi="Calibri" w:cs="Calibri"/>
                <w:b/>
                <w:color w:val="000000"/>
                <w:sz w:val="22"/>
                <w:szCs w:val="22"/>
              </w:rPr>
              <w:t>0.4</w:t>
            </w:r>
          </w:p>
        </w:tc>
        <w:tc>
          <w:tcPr>
            <w:tcW w:w="1399" w:type="pct"/>
            <w:tcBorders>
              <w:top w:val="nil"/>
              <w:bottom w:val="nil"/>
            </w:tcBorders>
            <w:shd w:val="clear" w:color="auto" w:fill="auto"/>
            <w:noWrap/>
            <w:vAlign w:val="bottom"/>
          </w:tcPr>
          <w:p w:rsidRPr="00ED5D1E" w:rsidR="001E5E76" w:rsidP="00B22ED7" w:rsidRDefault="001E5E76" w14:paraId="08D94740" w14:textId="77777777">
            <w:pPr>
              <w:jc w:val="right"/>
              <w:rPr>
                <w:b/>
                <w:color w:val="000000"/>
              </w:rPr>
            </w:pPr>
            <w:r w:rsidRPr="00ED5D1E">
              <w:rPr>
                <w:rFonts w:ascii="Calibri" w:hAnsi="Calibri" w:cs="Calibri"/>
                <w:b/>
                <w:color w:val="000000"/>
                <w:sz w:val="22"/>
                <w:szCs w:val="22"/>
              </w:rPr>
              <w:t>0.2</w:t>
            </w:r>
          </w:p>
        </w:tc>
      </w:tr>
      <w:tr w:rsidRPr="00BC53EC" w:rsidR="001E5E76" w:rsidTr="00ED5D1E" w14:paraId="30CD01F5" w14:textId="77777777">
        <w:trPr>
          <w:trHeight w:val="300"/>
        </w:trPr>
        <w:tc>
          <w:tcPr>
            <w:tcW w:w="2115" w:type="pct"/>
            <w:tcBorders>
              <w:top w:val="nil"/>
              <w:bottom w:val="nil"/>
            </w:tcBorders>
            <w:shd w:val="clear" w:color="auto" w:fill="auto"/>
            <w:noWrap/>
            <w:vAlign w:val="bottom"/>
          </w:tcPr>
          <w:p w:rsidRPr="00ED5D1E" w:rsidR="001E5E76" w:rsidP="00B22ED7" w:rsidRDefault="001E5E76" w14:paraId="15F6959C" w14:textId="77777777">
            <w:pPr>
              <w:rPr>
                <w:b/>
                <w:color w:val="000000"/>
              </w:rPr>
            </w:pPr>
            <w:r w:rsidRPr="00ED5D1E">
              <w:rPr>
                <w:rFonts w:ascii="Calibri" w:hAnsi="Calibri" w:cs="Calibri"/>
                <w:b/>
                <w:color w:val="000000"/>
                <w:sz w:val="22"/>
                <w:szCs w:val="22"/>
              </w:rPr>
              <w:t>Missouri</w:t>
            </w:r>
          </w:p>
        </w:tc>
        <w:tc>
          <w:tcPr>
            <w:tcW w:w="1486" w:type="pct"/>
            <w:tcBorders>
              <w:top w:val="nil"/>
              <w:bottom w:val="nil"/>
            </w:tcBorders>
            <w:shd w:val="clear" w:color="auto" w:fill="auto"/>
            <w:noWrap/>
            <w:vAlign w:val="bottom"/>
          </w:tcPr>
          <w:p w:rsidRPr="00ED5D1E" w:rsidR="001E5E76" w:rsidP="00B22ED7" w:rsidRDefault="001E5E76" w14:paraId="2FD62CC2" w14:textId="77777777">
            <w:pPr>
              <w:jc w:val="right"/>
              <w:rPr>
                <w:b/>
                <w:color w:val="000000"/>
              </w:rPr>
            </w:pPr>
            <w:r w:rsidRPr="00ED5D1E">
              <w:rPr>
                <w:rFonts w:ascii="Calibri" w:hAnsi="Calibri" w:cs="Calibri"/>
                <w:b/>
                <w:color w:val="000000"/>
                <w:sz w:val="22"/>
                <w:szCs w:val="22"/>
              </w:rPr>
              <w:t>0.5</w:t>
            </w:r>
          </w:p>
        </w:tc>
        <w:tc>
          <w:tcPr>
            <w:tcW w:w="1399" w:type="pct"/>
            <w:tcBorders>
              <w:top w:val="nil"/>
              <w:bottom w:val="nil"/>
            </w:tcBorders>
            <w:shd w:val="clear" w:color="auto" w:fill="auto"/>
            <w:noWrap/>
            <w:vAlign w:val="bottom"/>
          </w:tcPr>
          <w:p w:rsidRPr="00ED5D1E" w:rsidR="001E5E76" w:rsidP="00B22ED7" w:rsidRDefault="001E5E76" w14:paraId="467FD2F6" w14:textId="77777777">
            <w:pPr>
              <w:jc w:val="right"/>
              <w:rPr>
                <w:b/>
                <w:color w:val="000000"/>
              </w:rPr>
            </w:pPr>
            <w:r w:rsidRPr="00ED5D1E">
              <w:rPr>
                <w:rFonts w:ascii="Calibri" w:hAnsi="Calibri" w:cs="Calibri"/>
                <w:b/>
                <w:color w:val="000000"/>
                <w:sz w:val="22"/>
                <w:szCs w:val="22"/>
              </w:rPr>
              <w:t>0.1</w:t>
            </w:r>
          </w:p>
        </w:tc>
      </w:tr>
      <w:tr w:rsidRPr="00BC53EC" w:rsidR="001E5E76" w:rsidTr="00ED5D1E" w14:paraId="6E9707A8" w14:textId="77777777">
        <w:trPr>
          <w:trHeight w:val="300"/>
        </w:trPr>
        <w:tc>
          <w:tcPr>
            <w:tcW w:w="2115" w:type="pct"/>
            <w:tcBorders>
              <w:top w:val="nil"/>
              <w:bottom w:val="nil"/>
            </w:tcBorders>
            <w:shd w:val="clear" w:color="auto" w:fill="auto"/>
            <w:noWrap/>
            <w:vAlign w:val="bottom"/>
          </w:tcPr>
          <w:p w:rsidRPr="00BC53EC" w:rsidR="001E5E76" w:rsidP="00B22ED7" w:rsidRDefault="001E5E76" w14:paraId="43D0DEA2" w14:textId="77777777">
            <w:pPr>
              <w:rPr>
                <w:color w:val="000000"/>
              </w:rPr>
            </w:pPr>
            <w:r>
              <w:rPr>
                <w:rFonts w:ascii="Calibri" w:hAnsi="Calibri" w:cs="Calibri"/>
                <w:color w:val="000000"/>
                <w:sz w:val="22"/>
                <w:szCs w:val="22"/>
              </w:rPr>
              <w:t>Indiana</w:t>
            </w:r>
          </w:p>
        </w:tc>
        <w:tc>
          <w:tcPr>
            <w:tcW w:w="1486" w:type="pct"/>
            <w:tcBorders>
              <w:top w:val="nil"/>
              <w:bottom w:val="nil"/>
            </w:tcBorders>
            <w:shd w:val="clear" w:color="auto" w:fill="auto"/>
            <w:noWrap/>
            <w:vAlign w:val="bottom"/>
          </w:tcPr>
          <w:p w:rsidRPr="00BC53EC" w:rsidR="001E5E76" w:rsidP="00B22ED7" w:rsidRDefault="001E5E76" w14:paraId="3EF9C365" w14:textId="77777777">
            <w:pPr>
              <w:jc w:val="right"/>
              <w:rPr>
                <w:color w:val="000000"/>
              </w:rPr>
            </w:pPr>
            <w:r>
              <w:rPr>
                <w:rFonts w:ascii="Calibri" w:hAnsi="Calibri" w:cs="Calibri"/>
                <w:color w:val="000000"/>
                <w:sz w:val="22"/>
                <w:szCs w:val="22"/>
              </w:rPr>
              <w:t>0.5</w:t>
            </w:r>
          </w:p>
        </w:tc>
        <w:tc>
          <w:tcPr>
            <w:tcW w:w="1399" w:type="pct"/>
            <w:tcBorders>
              <w:top w:val="nil"/>
              <w:bottom w:val="nil"/>
            </w:tcBorders>
            <w:shd w:val="clear" w:color="auto" w:fill="auto"/>
            <w:noWrap/>
            <w:vAlign w:val="bottom"/>
          </w:tcPr>
          <w:p w:rsidRPr="00BC53EC" w:rsidR="001E5E76" w:rsidP="00B22ED7" w:rsidRDefault="001E5E76" w14:paraId="0EC9CBAB" w14:textId="77777777">
            <w:pPr>
              <w:jc w:val="right"/>
              <w:rPr>
                <w:color w:val="000000"/>
              </w:rPr>
            </w:pPr>
            <w:r>
              <w:rPr>
                <w:rFonts w:ascii="Calibri" w:hAnsi="Calibri" w:cs="Calibri"/>
                <w:color w:val="000000"/>
                <w:sz w:val="22"/>
                <w:szCs w:val="22"/>
              </w:rPr>
              <w:t>0.1</w:t>
            </w:r>
          </w:p>
        </w:tc>
      </w:tr>
      <w:tr w:rsidRPr="00BC53EC" w:rsidR="001E5E76" w:rsidTr="00ED5D1E" w14:paraId="620B38BC" w14:textId="77777777">
        <w:trPr>
          <w:trHeight w:val="300"/>
        </w:trPr>
        <w:tc>
          <w:tcPr>
            <w:tcW w:w="2115" w:type="pct"/>
            <w:tcBorders>
              <w:top w:val="nil"/>
              <w:bottom w:val="nil"/>
            </w:tcBorders>
            <w:shd w:val="clear" w:color="auto" w:fill="auto"/>
            <w:noWrap/>
            <w:vAlign w:val="bottom"/>
          </w:tcPr>
          <w:p w:rsidRPr="00ED5D1E" w:rsidR="001E5E76" w:rsidP="00B22ED7" w:rsidRDefault="001E5E76" w14:paraId="330D9C23" w14:textId="77777777">
            <w:pPr>
              <w:rPr>
                <w:b/>
                <w:color w:val="000000"/>
              </w:rPr>
            </w:pPr>
            <w:r w:rsidRPr="00ED5D1E">
              <w:rPr>
                <w:rFonts w:ascii="Calibri" w:hAnsi="Calibri" w:cs="Calibri"/>
                <w:b/>
                <w:color w:val="000000"/>
                <w:sz w:val="22"/>
                <w:szCs w:val="22"/>
              </w:rPr>
              <w:t>Utah</w:t>
            </w:r>
          </w:p>
        </w:tc>
        <w:tc>
          <w:tcPr>
            <w:tcW w:w="1486" w:type="pct"/>
            <w:tcBorders>
              <w:top w:val="nil"/>
              <w:bottom w:val="nil"/>
            </w:tcBorders>
            <w:shd w:val="clear" w:color="auto" w:fill="auto"/>
            <w:noWrap/>
            <w:vAlign w:val="bottom"/>
          </w:tcPr>
          <w:p w:rsidRPr="00ED5D1E" w:rsidR="001E5E76" w:rsidP="00B22ED7" w:rsidRDefault="001E5E76" w14:paraId="2C2BB7F8" w14:textId="77777777">
            <w:pPr>
              <w:jc w:val="right"/>
              <w:rPr>
                <w:b/>
                <w:color w:val="000000"/>
              </w:rPr>
            </w:pPr>
            <w:r w:rsidRPr="00ED5D1E">
              <w:rPr>
                <w:rFonts w:ascii="Calibri" w:hAnsi="Calibri" w:cs="Calibri"/>
                <w:b/>
                <w:color w:val="000000"/>
                <w:sz w:val="22"/>
                <w:szCs w:val="22"/>
              </w:rPr>
              <w:t>0.3</w:t>
            </w:r>
          </w:p>
        </w:tc>
        <w:tc>
          <w:tcPr>
            <w:tcW w:w="1399" w:type="pct"/>
            <w:tcBorders>
              <w:top w:val="nil"/>
              <w:bottom w:val="nil"/>
            </w:tcBorders>
            <w:shd w:val="clear" w:color="auto" w:fill="auto"/>
            <w:noWrap/>
            <w:vAlign w:val="bottom"/>
          </w:tcPr>
          <w:p w:rsidRPr="00ED5D1E" w:rsidR="001E5E76" w:rsidP="00B22ED7" w:rsidRDefault="001E5E76" w14:paraId="243D62FD" w14:textId="77777777">
            <w:pPr>
              <w:jc w:val="right"/>
              <w:rPr>
                <w:b/>
                <w:color w:val="000000"/>
              </w:rPr>
            </w:pPr>
            <w:r w:rsidRPr="00ED5D1E">
              <w:rPr>
                <w:rFonts w:ascii="Calibri" w:hAnsi="Calibri" w:cs="Calibri"/>
                <w:b/>
                <w:color w:val="000000"/>
                <w:sz w:val="22"/>
                <w:szCs w:val="22"/>
              </w:rPr>
              <w:t>0.1</w:t>
            </w:r>
          </w:p>
        </w:tc>
      </w:tr>
      <w:tr w:rsidRPr="00BC53EC" w:rsidR="001E5E76" w:rsidTr="00ED5D1E" w14:paraId="0BF4802B" w14:textId="77777777">
        <w:trPr>
          <w:trHeight w:val="300"/>
        </w:trPr>
        <w:tc>
          <w:tcPr>
            <w:tcW w:w="2115" w:type="pct"/>
            <w:tcBorders>
              <w:top w:val="nil"/>
              <w:bottom w:val="nil"/>
            </w:tcBorders>
            <w:shd w:val="clear" w:color="auto" w:fill="auto"/>
            <w:noWrap/>
            <w:vAlign w:val="bottom"/>
          </w:tcPr>
          <w:p w:rsidRPr="00B70F41" w:rsidR="001E5E76" w:rsidP="00B22ED7" w:rsidRDefault="001E5E76" w14:paraId="638C604F" w14:textId="77777777">
            <w:pPr>
              <w:rPr>
                <w:b/>
                <w:color w:val="000000"/>
              </w:rPr>
            </w:pPr>
            <w:r w:rsidRPr="00ED5D1E">
              <w:rPr>
                <w:rFonts w:ascii="Calibri" w:hAnsi="Calibri" w:cs="Calibri"/>
                <w:b/>
                <w:color w:val="000000"/>
                <w:sz w:val="22"/>
                <w:szCs w:val="22"/>
              </w:rPr>
              <w:t>North Dakota</w:t>
            </w:r>
          </w:p>
        </w:tc>
        <w:tc>
          <w:tcPr>
            <w:tcW w:w="1486" w:type="pct"/>
            <w:tcBorders>
              <w:top w:val="nil"/>
              <w:bottom w:val="nil"/>
            </w:tcBorders>
            <w:shd w:val="clear" w:color="auto" w:fill="auto"/>
            <w:noWrap/>
            <w:vAlign w:val="bottom"/>
          </w:tcPr>
          <w:p w:rsidRPr="00ED5D1E" w:rsidR="001E5E76" w:rsidP="00B22ED7" w:rsidRDefault="001E5E76" w14:paraId="1B5792A4" w14:textId="77777777">
            <w:pPr>
              <w:jc w:val="right"/>
              <w:rPr>
                <w:b/>
                <w:color w:val="000000"/>
              </w:rPr>
            </w:pPr>
            <w:r w:rsidRPr="00ED5D1E">
              <w:rPr>
                <w:rFonts w:ascii="Calibri" w:hAnsi="Calibri" w:cs="Calibri"/>
                <w:b/>
                <w:color w:val="000000"/>
                <w:sz w:val="22"/>
                <w:szCs w:val="22"/>
              </w:rPr>
              <w:t>1.0</w:t>
            </w:r>
          </w:p>
        </w:tc>
        <w:tc>
          <w:tcPr>
            <w:tcW w:w="1399" w:type="pct"/>
            <w:tcBorders>
              <w:top w:val="nil"/>
              <w:bottom w:val="nil"/>
            </w:tcBorders>
            <w:shd w:val="clear" w:color="auto" w:fill="auto"/>
            <w:noWrap/>
            <w:vAlign w:val="bottom"/>
          </w:tcPr>
          <w:p w:rsidRPr="00ED5D1E" w:rsidR="001E5E76" w:rsidP="00B22ED7" w:rsidRDefault="001E5E76" w14:paraId="09A14C30" w14:textId="77777777">
            <w:pPr>
              <w:jc w:val="right"/>
              <w:rPr>
                <w:b/>
                <w:color w:val="000000"/>
              </w:rPr>
            </w:pPr>
            <w:r w:rsidRPr="00ED5D1E">
              <w:rPr>
                <w:rFonts w:ascii="Calibri" w:hAnsi="Calibri" w:cs="Calibri"/>
                <w:b/>
                <w:color w:val="000000"/>
                <w:sz w:val="22"/>
                <w:szCs w:val="22"/>
              </w:rPr>
              <w:t>0.0</w:t>
            </w:r>
          </w:p>
        </w:tc>
      </w:tr>
      <w:tr w:rsidRPr="00BC53EC" w:rsidR="001E5E76" w:rsidTr="00ED5D1E" w14:paraId="02C74A0D" w14:textId="77777777">
        <w:trPr>
          <w:trHeight w:val="300"/>
        </w:trPr>
        <w:tc>
          <w:tcPr>
            <w:tcW w:w="2115" w:type="pct"/>
            <w:tcBorders>
              <w:top w:val="nil"/>
              <w:bottom w:val="nil"/>
            </w:tcBorders>
            <w:shd w:val="clear" w:color="auto" w:fill="auto"/>
            <w:noWrap/>
            <w:vAlign w:val="bottom"/>
          </w:tcPr>
          <w:p w:rsidRPr="00BC53EC" w:rsidR="001E5E76" w:rsidP="00B22ED7" w:rsidRDefault="001E5E76" w14:paraId="3DE5A3F9" w14:textId="77777777">
            <w:pPr>
              <w:rPr>
                <w:b/>
                <w:color w:val="000000"/>
              </w:rPr>
            </w:pPr>
            <w:r>
              <w:rPr>
                <w:rFonts w:ascii="Calibri" w:hAnsi="Calibri" w:cs="Calibri"/>
                <w:color w:val="000000"/>
                <w:sz w:val="22"/>
                <w:szCs w:val="22"/>
              </w:rPr>
              <w:t>Ohio</w:t>
            </w:r>
          </w:p>
        </w:tc>
        <w:tc>
          <w:tcPr>
            <w:tcW w:w="1486" w:type="pct"/>
            <w:tcBorders>
              <w:top w:val="nil"/>
              <w:bottom w:val="nil"/>
            </w:tcBorders>
            <w:shd w:val="clear" w:color="auto" w:fill="auto"/>
            <w:noWrap/>
            <w:vAlign w:val="bottom"/>
          </w:tcPr>
          <w:p w:rsidRPr="00BC53EC" w:rsidR="001E5E76" w:rsidP="00B22ED7" w:rsidRDefault="001E5E76" w14:paraId="2DD063B2" w14:textId="77777777">
            <w:pPr>
              <w:jc w:val="right"/>
              <w:rPr>
                <w:color w:val="000000"/>
              </w:rPr>
            </w:pPr>
            <w:r>
              <w:rPr>
                <w:rFonts w:ascii="Calibri" w:hAnsi="Calibri" w:cs="Calibri"/>
                <w:color w:val="000000"/>
                <w:sz w:val="22"/>
                <w:szCs w:val="22"/>
              </w:rPr>
              <w:t>0.8</w:t>
            </w:r>
          </w:p>
        </w:tc>
        <w:tc>
          <w:tcPr>
            <w:tcW w:w="1399" w:type="pct"/>
            <w:tcBorders>
              <w:top w:val="nil"/>
              <w:bottom w:val="nil"/>
            </w:tcBorders>
            <w:shd w:val="clear" w:color="auto" w:fill="auto"/>
            <w:noWrap/>
            <w:vAlign w:val="bottom"/>
          </w:tcPr>
          <w:p w:rsidRPr="00BC53EC" w:rsidR="001E5E76" w:rsidP="00B22ED7" w:rsidRDefault="001E5E76" w14:paraId="2E8D6E25" w14:textId="77777777">
            <w:pPr>
              <w:jc w:val="right"/>
              <w:rPr>
                <w:color w:val="000000"/>
              </w:rPr>
            </w:pPr>
            <w:r>
              <w:rPr>
                <w:rFonts w:ascii="Calibri" w:hAnsi="Calibri" w:cs="Calibri"/>
                <w:color w:val="000000"/>
                <w:sz w:val="22"/>
                <w:szCs w:val="22"/>
              </w:rPr>
              <w:t>0.0</w:t>
            </w:r>
          </w:p>
        </w:tc>
      </w:tr>
      <w:tr w:rsidRPr="00BC53EC" w:rsidR="001E5E76" w:rsidTr="00ED5D1E" w14:paraId="76C0C5E7" w14:textId="77777777">
        <w:trPr>
          <w:trHeight w:val="300"/>
        </w:trPr>
        <w:tc>
          <w:tcPr>
            <w:tcW w:w="2115" w:type="pct"/>
            <w:tcBorders>
              <w:top w:val="nil"/>
            </w:tcBorders>
            <w:shd w:val="clear" w:color="auto" w:fill="auto"/>
            <w:noWrap/>
            <w:vAlign w:val="bottom"/>
          </w:tcPr>
          <w:p w:rsidRPr="00BC53EC" w:rsidR="001E5E76" w:rsidP="00B22ED7" w:rsidRDefault="001E5E76" w14:paraId="32708893" w14:textId="77777777">
            <w:pPr>
              <w:rPr>
                <w:b/>
                <w:color w:val="000000"/>
              </w:rPr>
            </w:pPr>
            <w:r>
              <w:rPr>
                <w:rFonts w:ascii="Calibri" w:hAnsi="Calibri" w:cs="Calibri"/>
                <w:color w:val="000000"/>
                <w:sz w:val="22"/>
                <w:szCs w:val="22"/>
              </w:rPr>
              <w:t>Wisconsin</w:t>
            </w:r>
          </w:p>
        </w:tc>
        <w:tc>
          <w:tcPr>
            <w:tcW w:w="1486" w:type="pct"/>
            <w:tcBorders>
              <w:top w:val="nil"/>
            </w:tcBorders>
            <w:shd w:val="clear" w:color="auto" w:fill="auto"/>
            <w:noWrap/>
            <w:vAlign w:val="bottom"/>
          </w:tcPr>
          <w:p w:rsidRPr="00BC53EC" w:rsidR="001E5E76" w:rsidP="00B22ED7" w:rsidRDefault="001E5E76" w14:paraId="22343D8F" w14:textId="77777777">
            <w:pPr>
              <w:jc w:val="right"/>
              <w:rPr>
                <w:color w:val="000000"/>
              </w:rPr>
            </w:pPr>
            <w:r>
              <w:rPr>
                <w:rFonts w:ascii="Calibri" w:hAnsi="Calibri" w:cs="Calibri"/>
                <w:color w:val="000000"/>
                <w:sz w:val="22"/>
                <w:szCs w:val="22"/>
              </w:rPr>
              <w:t>0.7</w:t>
            </w:r>
          </w:p>
        </w:tc>
        <w:tc>
          <w:tcPr>
            <w:tcW w:w="1399" w:type="pct"/>
            <w:tcBorders>
              <w:top w:val="nil"/>
            </w:tcBorders>
            <w:shd w:val="clear" w:color="auto" w:fill="auto"/>
            <w:noWrap/>
            <w:vAlign w:val="bottom"/>
          </w:tcPr>
          <w:p w:rsidRPr="00BC53EC" w:rsidR="001E5E76" w:rsidP="00B22ED7" w:rsidRDefault="001E5E76" w14:paraId="492A4C5F" w14:textId="77777777">
            <w:pPr>
              <w:jc w:val="right"/>
              <w:rPr>
                <w:color w:val="000000"/>
              </w:rPr>
            </w:pPr>
            <w:r>
              <w:rPr>
                <w:rFonts w:ascii="Calibri" w:hAnsi="Calibri" w:cs="Calibri"/>
                <w:color w:val="000000"/>
                <w:sz w:val="22"/>
                <w:szCs w:val="22"/>
              </w:rPr>
              <w:t>0.0</w:t>
            </w:r>
          </w:p>
        </w:tc>
      </w:tr>
      <w:tr w:rsidRPr="00BC53EC" w:rsidR="001E5E76" w:rsidTr="00B22ED7" w14:paraId="33EA1D60" w14:textId="77777777">
        <w:trPr>
          <w:trHeight w:val="300"/>
        </w:trPr>
        <w:tc>
          <w:tcPr>
            <w:tcW w:w="2115" w:type="pct"/>
            <w:shd w:val="clear" w:color="auto" w:fill="auto"/>
            <w:noWrap/>
            <w:vAlign w:val="bottom"/>
          </w:tcPr>
          <w:p w:rsidRPr="00BC53EC" w:rsidR="001E5E76" w:rsidP="00B22ED7" w:rsidRDefault="001E5E76" w14:paraId="5C75369D" w14:textId="77777777">
            <w:pPr>
              <w:rPr>
                <w:b/>
                <w:color w:val="000000"/>
              </w:rPr>
            </w:pPr>
            <w:r>
              <w:rPr>
                <w:rFonts w:ascii="Calibri" w:hAnsi="Calibri" w:cs="Calibri"/>
                <w:color w:val="000000"/>
                <w:sz w:val="22"/>
                <w:szCs w:val="22"/>
              </w:rPr>
              <w:t>Arizona</w:t>
            </w:r>
          </w:p>
        </w:tc>
        <w:tc>
          <w:tcPr>
            <w:tcW w:w="1486" w:type="pct"/>
            <w:shd w:val="clear" w:color="auto" w:fill="auto"/>
            <w:noWrap/>
            <w:vAlign w:val="bottom"/>
          </w:tcPr>
          <w:p w:rsidRPr="00BC53EC" w:rsidR="001E5E76" w:rsidP="00B22ED7" w:rsidRDefault="001E5E76" w14:paraId="17BCFD14" w14:textId="77777777">
            <w:pPr>
              <w:jc w:val="right"/>
              <w:rPr>
                <w:color w:val="000000"/>
              </w:rPr>
            </w:pPr>
            <w:r>
              <w:rPr>
                <w:rFonts w:ascii="Calibri" w:hAnsi="Calibri" w:cs="Calibri"/>
                <w:color w:val="000000"/>
                <w:sz w:val="22"/>
                <w:szCs w:val="22"/>
              </w:rPr>
              <w:t>0.4</w:t>
            </w:r>
          </w:p>
        </w:tc>
        <w:tc>
          <w:tcPr>
            <w:tcW w:w="1399" w:type="pct"/>
            <w:shd w:val="clear" w:color="auto" w:fill="auto"/>
            <w:noWrap/>
            <w:vAlign w:val="bottom"/>
          </w:tcPr>
          <w:p w:rsidRPr="00BC53EC" w:rsidR="001E5E76" w:rsidP="00B22ED7" w:rsidRDefault="001E5E76" w14:paraId="4845AC27" w14:textId="77777777">
            <w:pPr>
              <w:jc w:val="right"/>
              <w:rPr>
                <w:color w:val="000000"/>
              </w:rPr>
            </w:pPr>
            <w:r>
              <w:rPr>
                <w:rFonts w:ascii="Calibri" w:hAnsi="Calibri" w:cs="Calibri"/>
                <w:color w:val="000000"/>
                <w:sz w:val="22"/>
                <w:szCs w:val="22"/>
              </w:rPr>
              <w:t>0.0</w:t>
            </w:r>
          </w:p>
        </w:tc>
      </w:tr>
      <w:tr w:rsidRPr="00BC53EC" w:rsidR="001E5E76" w:rsidTr="00B22ED7" w14:paraId="6CCBE869" w14:textId="77777777">
        <w:trPr>
          <w:trHeight w:val="300"/>
        </w:trPr>
        <w:tc>
          <w:tcPr>
            <w:tcW w:w="2115" w:type="pct"/>
            <w:shd w:val="clear" w:color="auto" w:fill="auto"/>
            <w:noWrap/>
            <w:vAlign w:val="bottom"/>
          </w:tcPr>
          <w:p w:rsidRPr="00BC53EC" w:rsidR="001E5E76" w:rsidP="00B22ED7" w:rsidRDefault="001E5E76" w14:paraId="3775B11C" w14:textId="77777777">
            <w:pPr>
              <w:rPr>
                <w:b/>
                <w:color w:val="000000"/>
              </w:rPr>
            </w:pPr>
            <w:r>
              <w:rPr>
                <w:rFonts w:ascii="Calibri" w:hAnsi="Calibri" w:cs="Calibri"/>
                <w:color w:val="000000"/>
                <w:sz w:val="22"/>
                <w:szCs w:val="22"/>
              </w:rPr>
              <w:t>Pennsylvania</w:t>
            </w:r>
          </w:p>
        </w:tc>
        <w:tc>
          <w:tcPr>
            <w:tcW w:w="1486" w:type="pct"/>
            <w:shd w:val="clear" w:color="auto" w:fill="auto"/>
            <w:noWrap/>
            <w:vAlign w:val="bottom"/>
          </w:tcPr>
          <w:p w:rsidRPr="00BC53EC" w:rsidR="001E5E76" w:rsidP="00B22ED7" w:rsidRDefault="001E5E76" w14:paraId="391852B8" w14:textId="77777777">
            <w:pPr>
              <w:jc w:val="right"/>
              <w:rPr>
                <w:color w:val="000000"/>
              </w:rPr>
            </w:pPr>
            <w:r>
              <w:rPr>
                <w:rFonts w:ascii="Calibri" w:hAnsi="Calibri" w:cs="Calibri"/>
                <w:color w:val="000000"/>
                <w:sz w:val="22"/>
                <w:szCs w:val="22"/>
              </w:rPr>
              <w:t>0.4</w:t>
            </w:r>
          </w:p>
        </w:tc>
        <w:tc>
          <w:tcPr>
            <w:tcW w:w="1399" w:type="pct"/>
            <w:shd w:val="clear" w:color="auto" w:fill="auto"/>
            <w:noWrap/>
            <w:vAlign w:val="bottom"/>
          </w:tcPr>
          <w:p w:rsidRPr="00BC53EC" w:rsidR="001E5E76" w:rsidP="00B22ED7" w:rsidRDefault="001E5E76" w14:paraId="752A249F" w14:textId="77777777">
            <w:pPr>
              <w:jc w:val="right"/>
              <w:rPr>
                <w:color w:val="000000"/>
              </w:rPr>
            </w:pPr>
            <w:r>
              <w:rPr>
                <w:rFonts w:ascii="Calibri" w:hAnsi="Calibri" w:cs="Calibri"/>
                <w:color w:val="000000"/>
                <w:sz w:val="22"/>
                <w:szCs w:val="22"/>
              </w:rPr>
              <w:t>0.0</w:t>
            </w:r>
          </w:p>
        </w:tc>
      </w:tr>
      <w:tr w:rsidRPr="00BC53EC" w:rsidR="001E5E76" w:rsidTr="00B22ED7" w14:paraId="38D8D6A9" w14:textId="77777777">
        <w:trPr>
          <w:trHeight w:val="300"/>
        </w:trPr>
        <w:tc>
          <w:tcPr>
            <w:tcW w:w="2115" w:type="pct"/>
            <w:shd w:val="clear" w:color="auto" w:fill="auto"/>
            <w:noWrap/>
            <w:vAlign w:val="bottom"/>
          </w:tcPr>
          <w:p w:rsidRPr="00BC53EC" w:rsidR="001E5E76" w:rsidP="00B22ED7" w:rsidRDefault="001E5E76" w14:paraId="659FFFB3" w14:textId="77777777">
            <w:pPr>
              <w:rPr>
                <w:b/>
                <w:color w:val="000000"/>
              </w:rPr>
            </w:pPr>
            <w:r>
              <w:rPr>
                <w:rFonts w:ascii="Calibri" w:hAnsi="Calibri" w:cs="Calibri"/>
                <w:color w:val="000000"/>
                <w:sz w:val="22"/>
                <w:szCs w:val="22"/>
              </w:rPr>
              <w:t>Maryland</w:t>
            </w:r>
          </w:p>
        </w:tc>
        <w:tc>
          <w:tcPr>
            <w:tcW w:w="1486" w:type="pct"/>
            <w:shd w:val="clear" w:color="auto" w:fill="auto"/>
            <w:noWrap/>
            <w:vAlign w:val="bottom"/>
          </w:tcPr>
          <w:p w:rsidRPr="00BC53EC" w:rsidR="001E5E76" w:rsidP="00B22ED7" w:rsidRDefault="001E5E76" w14:paraId="46216419" w14:textId="77777777">
            <w:pPr>
              <w:jc w:val="right"/>
              <w:rPr>
                <w:color w:val="000000"/>
              </w:rPr>
            </w:pPr>
            <w:r>
              <w:rPr>
                <w:rFonts w:ascii="Calibri" w:hAnsi="Calibri" w:cs="Calibri"/>
                <w:color w:val="000000"/>
                <w:sz w:val="22"/>
                <w:szCs w:val="22"/>
              </w:rPr>
              <w:t>0.2</w:t>
            </w:r>
          </w:p>
        </w:tc>
        <w:tc>
          <w:tcPr>
            <w:tcW w:w="1399" w:type="pct"/>
            <w:shd w:val="clear" w:color="auto" w:fill="auto"/>
            <w:noWrap/>
            <w:vAlign w:val="bottom"/>
          </w:tcPr>
          <w:p w:rsidRPr="00BC53EC" w:rsidR="001E5E76" w:rsidP="00B22ED7" w:rsidRDefault="001E5E76" w14:paraId="0A09E668" w14:textId="77777777">
            <w:pPr>
              <w:jc w:val="right"/>
              <w:rPr>
                <w:color w:val="000000"/>
              </w:rPr>
            </w:pPr>
            <w:r>
              <w:rPr>
                <w:rFonts w:ascii="Calibri" w:hAnsi="Calibri" w:cs="Calibri"/>
                <w:color w:val="000000"/>
                <w:sz w:val="22"/>
                <w:szCs w:val="22"/>
              </w:rPr>
              <w:t>0.0</w:t>
            </w:r>
          </w:p>
        </w:tc>
      </w:tr>
      <w:tr w:rsidRPr="00BC53EC" w:rsidR="001E5E76" w:rsidTr="00B22ED7" w14:paraId="4C33BE80" w14:textId="77777777">
        <w:trPr>
          <w:trHeight w:val="300"/>
        </w:trPr>
        <w:tc>
          <w:tcPr>
            <w:tcW w:w="2115" w:type="pct"/>
            <w:shd w:val="clear" w:color="auto" w:fill="auto"/>
            <w:noWrap/>
            <w:vAlign w:val="bottom"/>
          </w:tcPr>
          <w:p w:rsidRPr="00BC53EC" w:rsidR="001E5E76" w:rsidP="00B22ED7" w:rsidRDefault="001E5E76" w14:paraId="71AFD1AE" w14:textId="77777777">
            <w:pPr>
              <w:rPr>
                <w:b/>
                <w:color w:val="000000"/>
              </w:rPr>
            </w:pPr>
            <w:r>
              <w:rPr>
                <w:rFonts w:ascii="Calibri" w:hAnsi="Calibri" w:cs="Calibri"/>
                <w:color w:val="000000"/>
                <w:sz w:val="22"/>
                <w:szCs w:val="22"/>
              </w:rPr>
              <w:t>Nevada</w:t>
            </w:r>
          </w:p>
        </w:tc>
        <w:tc>
          <w:tcPr>
            <w:tcW w:w="1486" w:type="pct"/>
            <w:shd w:val="clear" w:color="auto" w:fill="auto"/>
            <w:noWrap/>
            <w:vAlign w:val="bottom"/>
          </w:tcPr>
          <w:p w:rsidRPr="00BC53EC" w:rsidR="001E5E76" w:rsidP="00B22ED7" w:rsidRDefault="001E5E76" w14:paraId="010BFA93" w14:textId="77777777">
            <w:pPr>
              <w:jc w:val="right"/>
              <w:rPr>
                <w:color w:val="000000"/>
              </w:rPr>
            </w:pPr>
            <w:r>
              <w:rPr>
                <w:rFonts w:ascii="Calibri" w:hAnsi="Calibri" w:cs="Calibri"/>
                <w:color w:val="000000"/>
                <w:sz w:val="22"/>
                <w:szCs w:val="22"/>
              </w:rPr>
              <w:t>0.1</w:t>
            </w:r>
          </w:p>
        </w:tc>
        <w:tc>
          <w:tcPr>
            <w:tcW w:w="1399" w:type="pct"/>
            <w:shd w:val="clear" w:color="auto" w:fill="auto"/>
            <w:noWrap/>
            <w:vAlign w:val="bottom"/>
          </w:tcPr>
          <w:p w:rsidRPr="00BC53EC" w:rsidR="001E5E76" w:rsidP="00B22ED7" w:rsidRDefault="001E5E76" w14:paraId="43987E58" w14:textId="77777777">
            <w:pPr>
              <w:jc w:val="right"/>
              <w:rPr>
                <w:color w:val="000000"/>
              </w:rPr>
            </w:pPr>
            <w:r>
              <w:rPr>
                <w:rFonts w:ascii="Calibri" w:hAnsi="Calibri" w:cs="Calibri"/>
                <w:color w:val="000000"/>
                <w:sz w:val="22"/>
                <w:szCs w:val="22"/>
              </w:rPr>
              <w:t>0.0</w:t>
            </w:r>
          </w:p>
        </w:tc>
      </w:tr>
      <w:tr w:rsidRPr="00BC53EC" w:rsidR="001E5E76" w:rsidTr="00B22ED7" w14:paraId="7619B859" w14:textId="77777777">
        <w:trPr>
          <w:trHeight w:val="300"/>
        </w:trPr>
        <w:tc>
          <w:tcPr>
            <w:tcW w:w="2115" w:type="pct"/>
            <w:shd w:val="clear" w:color="auto" w:fill="auto"/>
            <w:noWrap/>
            <w:vAlign w:val="bottom"/>
          </w:tcPr>
          <w:p w:rsidRPr="00BC53EC" w:rsidR="001E5E76" w:rsidP="00B22ED7" w:rsidRDefault="001E5E76" w14:paraId="78201335" w14:textId="77777777">
            <w:pPr>
              <w:rPr>
                <w:b/>
                <w:color w:val="000000"/>
              </w:rPr>
            </w:pPr>
            <w:r>
              <w:rPr>
                <w:rFonts w:ascii="Calibri" w:hAnsi="Calibri" w:cs="Calibri"/>
                <w:color w:val="000000"/>
                <w:sz w:val="22"/>
                <w:szCs w:val="22"/>
              </w:rPr>
              <w:lastRenderedPageBreak/>
              <w:t>Tennessee</w:t>
            </w:r>
          </w:p>
        </w:tc>
        <w:tc>
          <w:tcPr>
            <w:tcW w:w="1486" w:type="pct"/>
            <w:shd w:val="clear" w:color="auto" w:fill="auto"/>
            <w:noWrap/>
            <w:vAlign w:val="bottom"/>
          </w:tcPr>
          <w:p w:rsidRPr="00BC53EC" w:rsidR="001E5E76" w:rsidP="00B22ED7" w:rsidRDefault="001E5E76" w14:paraId="018DC8E0" w14:textId="77777777">
            <w:pPr>
              <w:jc w:val="right"/>
              <w:rPr>
                <w:color w:val="000000"/>
              </w:rPr>
            </w:pPr>
            <w:r>
              <w:rPr>
                <w:rFonts w:ascii="Calibri" w:hAnsi="Calibri" w:cs="Calibri"/>
                <w:color w:val="000000"/>
                <w:sz w:val="22"/>
                <w:szCs w:val="22"/>
              </w:rPr>
              <w:t>0.1</w:t>
            </w:r>
          </w:p>
        </w:tc>
        <w:tc>
          <w:tcPr>
            <w:tcW w:w="1399" w:type="pct"/>
            <w:shd w:val="clear" w:color="auto" w:fill="auto"/>
            <w:noWrap/>
            <w:vAlign w:val="bottom"/>
          </w:tcPr>
          <w:p w:rsidRPr="00BC53EC" w:rsidR="001E5E76" w:rsidP="00B22ED7" w:rsidRDefault="001E5E76" w14:paraId="375FED27" w14:textId="77777777">
            <w:pPr>
              <w:jc w:val="right"/>
              <w:rPr>
                <w:color w:val="000000"/>
              </w:rPr>
            </w:pPr>
            <w:r>
              <w:rPr>
                <w:rFonts w:ascii="Calibri" w:hAnsi="Calibri" w:cs="Calibri"/>
                <w:color w:val="000000"/>
                <w:sz w:val="22"/>
                <w:szCs w:val="22"/>
              </w:rPr>
              <w:t>0.0</w:t>
            </w:r>
          </w:p>
        </w:tc>
      </w:tr>
      <w:tr w:rsidRPr="00BC53EC" w:rsidR="001E5E76" w:rsidTr="00B22ED7" w14:paraId="60082141" w14:textId="77777777">
        <w:trPr>
          <w:trHeight w:val="300"/>
        </w:trPr>
        <w:tc>
          <w:tcPr>
            <w:tcW w:w="2115" w:type="pct"/>
            <w:shd w:val="clear" w:color="auto" w:fill="auto"/>
            <w:noWrap/>
            <w:vAlign w:val="bottom"/>
          </w:tcPr>
          <w:p w:rsidRPr="00BC53EC" w:rsidR="001E5E76" w:rsidP="00B22ED7" w:rsidRDefault="001E5E76" w14:paraId="53C22910" w14:textId="77777777">
            <w:pPr>
              <w:rPr>
                <w:b/>
                <w:color w:val="000000"/>
              </w:rPr>
            </w:pPr>
            <w:r>
              <w:rPr>
                <w:rFonts w:ascii="Calibri" w:hAnsi="Calibri" w:cs="Calibri"/>
                <w:color w:val="000000"/>
                <w:sz w:val="22"/>
                <w:szCs w:val="22"/>
              </w:rPr>
              <w:t>Virginia</w:t>
            </w:r>
          </w:p>
        </w:tc>
        <w:tc>
          <w:tcPr>
            <w:tcW w:w="1486" w:type="pct"/>
            <w:shd w:val="clear" w:color="auto" w:fill="auto"/>
            <w:noWrap/>
            <w:vAlign w:val="bottom"/>
          </w:tcPr>
          <w:p w:rsidRPr="00BC53EC" w:rsidR="001E5E76" w:rsidP="00B22ED7" w:rsidRDefault="001E5E76" w14:paraId="5AAE3908" w14:textId="77777777">
            <w:pPr>
              <w:jc w:val="right"/>
              <w:rPr>
                <w:color w:val="000000"/>
              </w:rPr>
            </w:pPr>
            <w:r>
              <w:rPr>
                <w:rFonts w:ascii="Calibri" w:hAnsi="Calibri" w:cs="Calibri"/>
                <w:color w:val="000000"/>
                <w:sz w:val="22"/>
                <w:szCs w:val="22"/>
              </w:rPr>
              <w:t>0.1</w:t>
            </w:r>
          </w:p>
        </w:tc>
        <w:tc>
          <w:tcPr>
            <w:tcW w:w="1399" w:type="pct"/>
            <w:shd w:val="clear" w:color="auto" w:fill="auto"/>
            <w:noWrap/>
            <w:vAlign w:val="bottom"/>
          </w:tcPr>
          <w:p w:rsidRPr="00BC53EC" w:rsidR="001E5E76" w:rsidP="00B22ED7" w:rsidRDefault="001E5E76" w14:paraId="68CEC929" w14:textId="77777777">
            <w:pPr>
              <w:jc w:val="right"/>
              <w:rPr>
                <w:color w:val="000000"/>
              </w:rPr>
            </w:pPr>
            <w:r>
              <w:rPr>
                <w:rFonts w:ascii="Calibri" w:hAnsi="Calibri" w:cs="Calibri"/>
                <w:color w:val="000000"/>
                <w:sz w:val="22"/>
                <w:szCs w:val="22"/>
              </w:rPr>
              <w:t>0.0</w:t>
            </w:r>
          </w:p>
        </w:tc>
      </w:tr>
      <w:tr w:rsidRPr="00BC53EC" w:rsidR="001E5E76" w:rsidTr="00B22ED7" w14:paraId="696B7690" w14:textId="77777777">
        <w:trPr>
          <w:trHeight w:val="300"/>
        </w:trPr>
        <w:tc>
          <w:tcPr>
            <w:tcW w:w="2115" w:type="pct"/>
            <w:shd w:val="clear" w:color="auto" w:fill="auto"/>
            <w:noWrap/>
            <w:vAlign w:val="bottom"/>
          </w:tcPr>
          <w:p w:rsidRPr="00BC53EC" w:rsidR="001E5E76" w:rsidP="00B22ED7" w:rsidRDefault="001E5E76" w14:paraId="32F0A204" w14:textId="77777777">
            <w:pPr>
              <w:rPr>
                <w:b/>
                <w:color w:val="000000"/>
              </w:rPr>
            </w:pPr>
            <w:r>
              <w:rPr>
                <w:rFonts w:ascii="Calibri" w:hAnsi="Calibri" w:cs="Calibri"/>
                <w:color w:val="000000"/>
                <w:sz w:val="22"/>
                <w:szCs w:val="22"/>
              </w:rPr>
              <w:t>Delaware</w:t>
            </w:r>
          </w:p>
        </w:tc>
        <w:tc>
          <w:tcPr>
            <w:tcW w:w="1486" w:type="pct"/>
            <w:shd w:val="clear" w:color="auto" w:fill="auto"/>
            <w:noWrap/>
            <w:vAlign w:val="bottom"/>
          </w:tcPr>
          <w:p w:rsidRPr="00BC53EC" w:rsidR="001E5E76" w:rsidP="00B22ED7" w:rsidRDefault="001E5E76" w14:paraId="54844067" w14:textId="77777777">
            <w:pPr>
              <w:jc w:val="right"/>
              <w:rPr>
                <w:color w:val="000000"/>
              </w:rPr>
            </w:pPr>
            <w:r>
              <w:rPr>
                <w:rFonts w:ascii="Calibri" w:hAnsi="Calibri" w:cs="Calibri"/>
                <w:color w:val="000000"/>
                <w:sz w:val="22"/>
                <w:szCs w:val="22"/>
              </w:rPr>
              <w:t>0.1</w:t>
            </w:r>
          </w:p>
        </w:tc>
        <w:tc>
          <w:tcPr>
            <w:tcW w:w="1399" w:type="pct"/>
            <w:shd w:val="clear" w:color="auto" w:fill="auto"/>
            <w:noWrap/>
            <w:vAlign w:val="bottom"/>
          </w:tcPr>
          <w:p w:rsidRPr="00BC53EC" w:rsidR="001E5E76" w:rsidP="00B22ED7" w:rsidRDefault="001E5E76" w14:paraId="70A79E29" w14:textId="77777777">
            <w:pPr>
              <w:jc w:val="right"/>
              <w:rPr>
                <w:color w:val="000000"/>
              </w:rPr>
            </w:pPr>
            <w:r>
              <w:rPr>
                <w:rFonts w:ascii="Calibri" w:hAnsi="Calibri" w:cs="Calibri"/>
                <w:color w:val="000000"/>
                <w:sz w:val="22"/>
                <w:szCs w:val="22"/>
              </w:rPr>
              <w:t>0.0</w:t>
            </w:r>
          </w:p>
        </w:tc>
      </w:tr>
      <w:tr w:rsidRPr="00BC53EC" w:rsidR="001E5E76" w:rsidTr="00B22ED7" w14:paraId="28DDBA35" w14:textId="77777777">
        <w:trPr>
          <w:trHeight w:val="300"/>
        </w:trPr>
        <w:tc>
          <w:tcPr>
            <w:tcW w:w="2115" w:type="pct"/>
            <w:shd w:val="clear" w:color="auto" w:fill="auto"/>
            <w:noWrap/>
            <w:vAlign w:val="bottom"/>
          </w:tcPr>
          <w:p w:rsidRPr="00BC53EC" w:rsidR="001E5E76" w:rsidP="00B22ED7" w:rsidRDefault="001E5E76" w14:paraId="5AB07343" w14:textId="77777777">
            <w:pPr>
              <w:rPr>
                <w:b/>
                <w:color w:val="000000"/>
              </w:rPr>
            </w:pPr>
            <w:r>
              <w:rPr>
                <w:rFonts w:ascii="Calibri" w:hAnsi="Calibri" w:cs="Calibri"/>
                <w:color w:val="000000"/>
                <w:sz w:val="22"/>
                <w:szCs w:val="22"/>
              </w:rPr>
              <w:t>Georgia</w:t>
            </w:r>
          </w:p>
        </w:tc>
        <w:tc>
          <w:tcPr>
            <w:tcW w:w="1486" w:type="pct"/>
            <w:shd w:val="clear" w:color="auto" w:fill="auto"/>
            <w:noWrap/>
            <w:vAlign w:val="bottom"/>
          </w:tcPr>
          <w:p w:rsidRPr="00BC53EC" w:rsidR="001E5E76" w:rsidP="00B22ED7" w:rsidRDefault="001E5E76" w14:paraId="3E42C255" w14:textId="77777777">
            <w:pPr>
              <w:jc w:val="right"/>
              <w:rPr>
                <w:color w:val="000000"/>
              </w:rPr>
            </w:pPr>
            <w:r>
              <w:rPr>
                <w:rFonts w:ascii="Calibri" w:hAnsi="Calibri" w:cs="Calibri"/>
                <w:color w:val="000000"/>
                <w:sz w:val="22"/>
                <w:szCs w:val="22"/>
              </w:rPr>
              <w:t>0.1</w:t>
            </w:r>
          </w:p>
        </w:tc>
        <w:tc>
          <w:tcPr>
            <w:tcW w:w="1399" w:type="pct"/>
            <w:shd w:val="clear" w:color="auto" w:fill="auto"/>
            <w:noWrap/>
            <w:vAlign w:val="bottom"/>
          </w:tcPr>
          <w:p w:rsidRPr="00BC53EC" w:rsidR="001E5E76" w:rsidP="00B22ED7" w:rsidRDefault="001E5E76" w14:paraId="22260D6C" w14:textId="77777777">
            <w:pPr>
              <w:jc w:val="right"/>
              <w:rPr>
                <w:color w:val="000000"/>
              </w:rPr>
            </w:pPr>
            <w:r>
              <w:rPr>
                <w:rFonts w:ascii="Calibri" w:hAnsi="Calibri" w:cs="Calibri"/>
                <w:color w:val="000000"/>
                <w:sz w:val="22"/>
                <w:szCs w:val="22"/>
              </w:rPr>
              <w:t>0.0</w:t>
            </w:r>
          </w:p>
        </w:tc>
      </w:tr>
      <w:tr w:rsidRPr="00BC53EC" w:rsidR="001E5E76" w:rsidTr="00B22ED7" w14:paraId="125D0F78" w14:textId="77777777">
        <w:trPr>
          <w:trHeight w:val="300"/>
        </w:trPr>
        <w:tc>
          <w:tcPr>
            <w:tcW w:w="2115" w:type="pct"/>
            <w:shd w:val="clear" w:color="auto" w:fill="auto"/>
            <w:noWrap/>
            <w:vAlign w:val="bottom"/>
          </w:tcPr>
          <w:p w:rsidRPr="00BC53EC" w:rsidR="001E5E76" w:rsidP="00B22ED7" w:rsidRDefault="001E5E76" w14:paraId="5D3D5227" w14:textId="77777777">
            <w:pPr>
              <w:rPr>
                <w:b/>
                <w:color w:val="000000"/>
              </w:rPr>
            </w:pPr>
            <w:r>
              <w:rPr>
                <w:rFonts w:ascii="Calibri" w:hAnsi="Calibri" w:cs="Calibri"/>
                <w:color w:val="000000"/>
                <w:sz w:val="22"/>
                <w:szCs w:val="22"/>
              </w:rPr>
              <w:t>Kentucky</w:t>
            </w:r>
          </w:p>
        </w:tc>
        <w:tc>
          <w:tcPr>
            <w:tcW w:w="1486" w:type="pct"/>
            <w:shd w:val="clear" w:color="auto" w:fill="auto"/>
            <w:noWrap/>
            <w:vAlign w:val="bottom"/>
          </w:tcPr>
          <w:p w:rsidRPr="00BC53EC" w:rsidR="001E5E76" w:rsidP="00B22ED7" w:rsidRDefault="001E5E76" w14:paraId="14858646" w14:textId="77777777">
            <w:pPr>
              <w:jc w:val="right"/>
              <w:rPr>
                <w:color w:val="000000"/>
              </w:rPr>
            </w:pPr>
            <w:r>
              <w:rPr>
                <w:rFonts w:ascii="Calibri" w:hAnsi="Calibri" w:cs="Calibri"/>
                <w:color w:val="000000"/>
                <w:sz w:val="22"/>
                <w:szCs w:val="22"/>
              </w:rPr>
              <w:t>0.1</w:t>
            </w:r>
          </w:p>
        </w:tc>
        <w:tc>
          <w:tcPr>
            <w:tcW w:w="1399" w:type="pct"/>
            <w:shd w:val="clear" w:color="auto" w:fill="auto"/>
            <w:noWrap/>
            <w:vAlign w:val="bottom"/>
          </w:tcPr>
          <w:p w:rsidRPr="00BC53EC" w:rsidR="001E5E76" w:rsidP="00B22ED7" w:rsidRDefault="001E5E76" w14:paraId="617CF8AE" w14:textId="77777777">
            <w:pPr>
              <w:jc w:val="right"/>
              <w:rPr>
                <w:color w:val="000000"/>
              </w:rPr>
            </w:pPr>
            <w:r>
              <w:rPr>
                <w:rFonts w:ascii="Calibri" w:hAnsi="Calibri" w:cs="Calibri"/>
                <w:color w:val="000000"/>
                <w:sz w:val="22"/>
                <w:szCs w:val="22"/>
              </w:rPr>
              <w:t>0.0</w:t>
            </w:r>
          </w:p>
        </w:tc>
      </w:tr>
      <w:tr w:rsidRPr="00BC53EC" w:rsidR="001E5E76" w:rsidTr="00B22ED7" w14:paraId="04C2999B" w14:textId="77777777">
        <w:trPr>
          <w:trHeight w:val="300"/>
        </w:trPr>
        <w:tc>
          <w:tcPr>
            <w:tcW w:w="2115" w:type="pct"/>
            <w:shd w:val="clear" w:color="auto" w:fill="auto"/>
            <w:noWrap/>
            <w:vAlign w:val="bottom"/>
          </w:tcPr>
          <w:p w:rsidRPr="00BC53EC" w:rsidR="001E5E76" w:rsidP="00B22ED7" w:rsidRDefault="001E5E76" w14:paraId="1727236C" w14:textId="77777777">
            <w:pPr>
              <w:rPr>
                <w:b/>
                <w:color w:val="000000"/>
              </w:rPr>
            </w:pPr>
            <w:r>
              <w:rPr>
                <w:rFonts w:ascii="Calibri" w:hAnsi="Calibri" w:cs="Calibri"/>
                <w:color w:val="000000"/>
                <w:sz w:val="22"/>
                <w:szCs w:val="22"/>
              </w:rPr>
              <w:t>Maine</w:t>
            </w:r>
          </w:p>
        </w:tc>
        <w:tc>
          <w:tcPr>
            <w:tcW w:w="1486" w:type="pct"/>
            <w:shd w:val="clear" w:color="auto" w:fill="auto"/>
            <w:noWrap/>
            <w:vAlign w:val="bottom"/>
          </w:tcPr>
          <w:p w:rsidRPr="00BC53EC" w:rsidR="001E5E76" w:rsidP="00B22ED7" w:rsidRDefault="001E5E76" w14:paraId="53869BE2" w14:textId="77777777">
            <w:pPr>
              <w:jc w:val="right"/>
              <w:rPr>
                <w:color w:val="000000"/>
              </w:rPr>
            </w:pPr>
            <w:r>
              <w:rPr>
                <w:rFonts w:ascii="Calibri" w:hAnsi="Calibri" w:cs="Calibri"/>
                <w:color w:val="000000"/>
                <w:sz w:val="22"/>
                <w:szCs w:val="22"/>
              </w:rPr>
              <w:t>0.1</w:t>
            </w:r>
          </w:p>
        </w:tc>
        <w:tc>
          <w:tcPr>
            <w:tcW w:w="1399" w:type="pct"/>
            <w:shd w:val="clear" w:color="auto" w:fill="auto"/>
            <w:noWrap/>
            <w:vAlign w:val="bottom"/>
          </w:tcPr>
          <w:p w:rsidRPr="00BC53EC" w:rsidR="001E5E76" w:rsidP="00B22ED7" w:rsidRDefault="001E5E76" w14:paraId="6E170909" w14:textId="77777777">
            <w:pPr>
              <w:jc w:val="right"/>
              <w:rPr>
                <w:color w:val="000000"/>
              </w:rPr>
            </w:pPr>
            <w:r>
              <w:rPr>
                <w:rFonts w:ascii="Calibri" w:hAnsi="Calibri" w:cs="Calibri"/>
                <w:color w:val="000000"/>
                <w:sz w:val="22"/>
                <w:szCs w:val="22"/>
              </w:rPr>
              <w:t>0.0</w:t>
            </w:r>
          </w:p>
        </w:tc>
      </w:tr>
      <w:tr w:rsidRPr="00BC53EC" w:rsidR="001E5E76" w:rsidTr="00B22ED7" w14:paraId="0C5C4FE8" w14:textId="77777777">
        <w:trPr>
          <w:trHeight w:val="300"/>
        </w:trPr>
        <w:tc>
          <w:tcPr>
            <w:tcW w:w="2115" w:type="pct"/>
            <w:shd w:val="clear" w:color="auto" w:fill="auto"/>
            <w:noWrap/>
            <w:vAlign w:val="bottom"/>
          </w:tcPr>
          <w:p w:rsidRPr="00BC53EC" w:rsidR="001E5E76" w:rsidP="00B22ED7" w:rsidRDefault="001E5E76" w14:paraId="388B8230" w14:textId="77777777">
            <w:pPr>
              <w:rPr>
                <w:b/>
                <w:color w:val="000000"/>
              </w:rPr>
            </w:pPr>
            <w:r>
              <w:rPr>
                <w:rFonts w:ascii="Calibri" w:hAnsi="Calibri" w:cs="Calibri"/>
                <w:color w:val="000000"/>
                <w:sz w:val="22"/>
                <w:szCs w:val="22"/>
              </w:rPr>
              <w:t>Mississippi</w:t>
            </w:r>
          </w:p>
        </w:tc>
        <w:tc>
          <w:tcPr>
            <w:tcW w:w="1486" w:type="pct"/>
            <w:shd w:val="clear" w:color="auto" w:fill="auto"/>
            <w:noWrap/>
            <w:vAlign w:val="bottom"/>
          </w:tcPr>
          <w:p w:rsidRPr="00BC53EC" w:rsidR="001E5E76" w:rsidP="00B22ED7" w:rsidRDefault="001E5E76" w14:paraId="5B0E2BBA" w14:textId="77777777">
            <w:pPr>
              <w:jc w:val="right"/>
              <w:rPr>
                <w:color w:val="000000"/>
              </w:rPr>
            </w:pPr>
            <w:r>
              <w:rPr>
                <w:rFonts w:ascii="Calibri" w:hAnsi="Calibri" w:cs="Calibri"/>
                <w:color w:val="000000"/>
                <w:sz w:val="22"/>
                <w:szCs w:val="22"/>
              </w:rPr>
              <w:t>0.1</w:t>
            </w:r>
          </w:p>
        </w:tc>
        <w:tc>
          <w:tcPr>
            <w:tcW w:w="1399" w:type="pct"/>
            <w:shd w:val="clear" w:color="auto" w:fill="auto"/>
            <w:noWrap/>
            <w:vAlign w:val="bottom"/>
          </w:tcPr>
          <w:p w:rsidRPr="00BC53EC" w:rsidR="001E5E76" w:rsidP="00B22ED7" w:rsidRDefault="001E5E76" w14:paraId="49B05291" w14:textId="77777777">
            <w:pPr>
              <w:jc w:val="right"/>
              <w:rPr>
                <w:color w:val="000000"/>
              </w:rPr>
            </w:pPr>
            <w:r>
              <w:rPr>
                <w:rFonts w:ascii="Calibri" w:hAnsi="Calibri" w:cs="Calibri"/>
                <w:color w:val="000000"/>
                <w:sz w:val="22"/>
                <w:szCs w:val="22"/>
              </w:rPr>
              <w:t>0.0</w:t>
            </w:r>
          </w:p>
        </w:tc>
      </w:tr>
      <w:tr w:rsidRPr="00BC53EC" w:rsidR="001E5E76" w:rsidTr="00B22ED7" w14:paraId="47C08782" w14:textId="77777777">
        <w:trPr>
          <w:trHeight w:val="300"/>
        </w:trPr>
        <w:tc>
          <w:tcPr>
            <w:tcW w:w="2115" w:type="pct"/>
            <w:shd w:val="clear" w:color="auto" w:fill="auto"/>
            <w:noWrap/>
            <w:vAlign w:val="bottom"/>
          </w:tcPr>
          <w:p w:rsidRPr="00BC53EC" w:rsidR="001E5E76" w:rsidP="00B22ED7" w:rsidRDefault="001E5E76" w14:paraId="4C7238D8" w14:textId="77777777">
            <w:pPr>
              <w:rPr>
                <w:b/>
                <w:color w:val="000000"/>
              </w:rPr>
            </w:pPr>
            <w:r>
              <w:rPr>
                <w:rFonts w:ascii="Calibri" w:hAnsi="Calibri" w:cs="Calibri"/>
                <w:color w:val="000000"/>
                <w:sz w:val="22"/>
                <w:szCs w:val="22"/>
              </w:rPr>
              <w:t>New York</w:t>
            </w:r>
          </w:p>
        </w:tc>
        <w:tc>
          <w:tcPr>
            <w:tcW w:w="1486" w:type="pct"/>
            <w:shd w:val="clear" w:color="auto" w:fill="auto"/>
            <w:noWrap/>
            <w:vAlign w:val="bottom"/>
          </w:tcPr>
          <w:p w:rsidRPr="00BC53EC" w:rsidR="001E5E76" w:rsidP="00B22ED7" w:rsidRDefault="001E5E76" w14:paraId="54FB8DD6" w14:textId="77777777">
            <w:pPr>
              <w:jc w:val="right"/>
              <w:rPr>
                <w:color w:val="000000"/>
              </w:rPr>
            </w:pPr>
            <w:r>
              <w:rPr>
                <w:rFonts w:ascii="Calibri" w:hAnsi="Calibri" w:cs="Calibri"/>
                <w:color w:val="000000"/>
                <w:sz w:val="22"/>
                <w:szCs w:val="22"/>
              </w:rPr>
              <w:t>0.1</w:t>
            </w:r>
          </w:p>
        </w:tc>
        <w:tc>
          <w:tcPr>
            <w:tcW w:w="1399" w:type="pct"/>
            <w:shd w:val="clear" w:color="auto" w:fill="auto"/>
            <w:noWrap/>
            <w:vAlign w:val="bottom"/>
          </w:tcPr>
          <w:p w:rsidRPr="00BC53EC" w:rsidR="001E5E76" w:rsidP="00B22ED7" w:rsidRDefault="001E5E76" w14:paraId="517D1CA3" w14:textId="77777777">
            <w:pPr>
              <w:jc w:val="right"/>
              <w:rPr>
                <w:color w:val="000000"/>
              </w:rPr>
            </w:pPr>
            <w:r>
              <w:rPr>
                <w:rFonts w:ascii="Calibri" w:hAnsi="Calibri" w:cs="Calibri"/>
                <w:color w:val="000000"/>
                <w:sz w:val="22"/>
                <w:szCs w:val="22"/>
              </w:rPr>
              <w:t>0.0</w:t>
            </w:r>
          </w:p>
        </w:tc>
      </w:tr>
      <w:tr w:rsidRPr="00BC53EC" w:rsidR="001E5E76" w:rsidTr="00B22ED7" w14:paraId="6D028AF0" w14:textId="77777777">
        <w:trPr>
          <w:trHeight w:val="300"/>
        </w:trPr>
        <w:tc>
          <w:tcPr>
            <w:tcW w:w="2115" w:type="pct"/>
            <w:shd w:val="clear" w:color="auto" w:fill="auto"/>
            <w:noWrap/>
            <w:vAlign w:val="bottom"/>
          </w:tcPr>
          <w:p w:rsidR="001E5E76" w:rsidP="00B22ED7" w:rsidRDefault="001E5E76" w14:paraId="401B6E74" w14:textId="77777777">
            <w:pPr>
              <w:rPr>
                <w:rFonts w:ascii="Calibri" w:hAnsi="Calibri" w:cs="Calibri"/>
                <w:color w:val="000000"/>
                <w:sz w:val="22"/>
                <w:szCs w:val="22"/>
              </w:rPr>
            </w:pPr>
            <w:r>
              <w:rPr>
                <w:rFonts w:ascii="Calibri" w:hAnsi="Calibri" w:cs="Calibri"/>
                <w:color w:val="000000"/>
                <w:sz w:val="22"/>
                <w:szCs w:val="22"/>
              </w:rPr>
              <w:t>U.S. Total</w:t>
            </w:r>
          </w:p>
        </w:tc>
        <w:tc>
          <w:tcPr>
            <w:tcW w:w="1486" w:type="pct"/>
            <w:shd w:val="clear" w:color="auto" w:fill="auto"/>
            <w:noWrap/>
            <w:vAlign w:val="bottom"/>
          </w:tcPr>
          <w:p w:rsidR="001E5E76" w:rsidP="00B22ED7" w:rsidRDefault="001E5E76" w14:paraId="77692504" w14:textId="77777777">
            <w:pPr>
              <w:jc w:val="right"/>
              <w:rPr>
                <w:rFonts w:ascii="Calibri" w:hAnsi="Calibri" w:cs="Calibri"/>
                <w:color w:val="000000"/>
                <w:sz w:val="22"/>
                <w:szCs w:val="22"/>
              </w:rPr>
            </w:pPr>
            <w:r>
              <w:rPr>
                <w:rFonts w:ascii="Calibri" w:hAnsi="Calibri" w:cs="Calibri"/>
                <w:color w:val="000000"/>
                <w:sz w:val="22"/>
                <w:szCs w:val="22"/>
              </w:rPr>
              <w:t>100.0</w:t>
            </w:r>
          </w:p>
        </w:tc>
        <w:tc>
          <w:tcPr>
            <w:tcW w:w="1399" w:type="pct"/>
            <w:shd w:val="clear" w:color="auto" w:fill="auto"/>
            <w:noWrap/>
            <w:vAlign w:val="bottom"/>
          </w:tcPr>
          <w:p w:rsidR="001E5E76" w:rsidP="00B22ED7" w:rsidRDefault="001E5E76" w14:paraId="17BDF23B" w14:textId="77777777">
            <w:pPr>
              <w:jc w:val="right"/>
              <w:rPr>
                <w:rFonts w:ascii="Calibri" w:hAnsi="Calibri" w:cs="Calibri"/>
                <w:color w:val="000000"/>
                <w:sz w:val="22"/>
                <w:szCs w:val="22"/>
              </w:rPr>
            </w:pPr>
            <w:r>
              <w:rPr>
                <w:rFonts w:ascii="Calibri" w:hAnsi="Calibri" w:cs="Calibri"/>
                <w:color w:val="000000"/>
                <w:sz w:val="22"/>
                <w:szCs w:val="22"/>
              </w:rPr>
              <w:t>100.0</w:t>
            </w:r>
          </w:p>
        </w:tc>
      </w:tr>
    </w:tbl>
    <w:p w:rsidR="001E5E76" w:rsidP="000D4CD4" w:rsidRDefault="001E5E76" w14:paraId="218F4924" w14:textId="2CE92AD4">
      <w:r w:rsidRPr="00BC53EC">
        <w:t xml:space="preserve">* Population-level information is taken from the </w:t>
      </w:r>
      <w:hyperlink w:history="1" r:id="rId13">
        <w:r w:rsidRPr="0027331F">
          <w:rPr>
            <w:rStyle w:val="Hyperlink"/>
          </w:rPr>
          <w:t>NASS 2017 Census of Agriculture</w:t>
        </w:r>
      </w:hyperlink>
      <w:r w:rsidRPr="00BC53EC">
        <w:t>.</w:t>
      </w:r>
    </w:p>
    <w:p w:rsidRPr="00BC53EC" w:rsidR="001E5E76" w:rsidP="000D4CD4" w:rsidRDefault="001E5E76" w14:paraId="10F59D55" w14:textId="77777777"/>
    <w:p w:rsidRPr="00BC53EC" w:rsidR="000D4CD4" w:rsidP="000D4CD4" w:rsidRDefault="000D4CD4" w14:paraId="41EF80B0" w14:textId="24EFBBFE">
      <w:r w:rsidRPr="00BC53EC">
        <w:t>Table A.</w:t>
      </w:r>
      <w:r w:rsidR="001E5E76">
        <w:t>3</w:t>
      </w:r>
      <w:r w:rsidRPr="00BC53EC">
        <w:t xml:space="preserve">. Number and percentage of </w:t>
      </w:r>
      <w:r w:rsidR="00875199">
        <w:t>feedlots</w:t>
      </w:r>
      <w:r w:rsidRPr="00BC53EC">
        <w:t xml:space="preserve"> and of </w:t>
      </w:r>
      <w:r w:rsidR="00C820D0">
        <w:t>feedlot</w:t>
      </w:r>
      <w:r w:rsidRPr="00BC53EC">
        <w:t xml:space="preserve"> inventory on </w:t>
      </w:r>
      <w:r w:rsidR="003B5E77">
        <w:t>feedlot</w:t>
      </w:r>
      <w:r w:rsidRPr="00BC53EC">
        <w:t xml:space="preserve">s with </w:t>
      </w:r>
      <w:r w:rsidR="00786015">
        <w:t>50-999 head inventories</w:t>
      </w:r>
      <w:r w:rsidRPr="00BC53EC">
        <w:t>, by State. Note, columns may not sum to totals due to rounding.</w:t>
      </w:r>
    </w:p>
    <w:p w:rsidRPr="00BC53EC" w:rsidR="000D4CD4" w:rsidP="000D4CD4" w:rsidRDefault="000D4CD4" w14:paraId="1C28C219" w14:textId="77777777">
      <w:pPr>
        <w:rPr>
          <w:vanish/>
        </w:rPr>
      </w:pPr>
    </w:p>
    <w:p w:rsidRPr="00BC53EC" w:rsidR="000D4CD4" w:rsidP="000D4CD4" w:rsidRDefault="000D4CD4" w14:paraId="62AAEA9C" w14:textId="77777777">
      <w:pPr>
        <w:rPr>
          <w:b/>
        </w:rPr>
      </w:pPr>
    </w:p>
    <w:tbl>
      <w:tblPr>
        <w:tblW w:w="3830" w:type="pct"/>
        <w:tblBorders>
          <w:top w:val="single" w:color="auto" w:sz="4" w:space="0"/>
          <w:bottom w:val="single" w:color="auto" w:sz="4" w:space="0"/>
        </w:tblBorders>
        <w:tblLook w:val="04A0" w:firstRow="1" w:lastRow="0" w:firstColumn="1" w:lastColumn="0" w:noHBand="0" w:noVBand="1"/>
      </w:tblPr>
      <w:tblGrid>
        <w:gridCol w:w="2916"/>
        <w:gridCol w:w="2049"/>
        <w:gridCol w:w="1929"/>
      </w:tblGrid>
      <w:tr w:rsidRPr="00BC53EC" w:rsidR="00294C30" w:rsidTr="00ED5D1E" w14:paraId="08E7CE33" w14:textId="77777777">
        <w:trPr>
          <w:trHeight w:val="300"/>
        </w:trPr>
        <w:tc>
          <w:tcPr>
            <w:tcW w:w="2115" w:type="pct"/>
            <w:tcBorders>
              <w:top w:val="single" w:color="auto" w:sz="4" w:space="0"/>
              <w:bottom w:val="single" w:color="auto" w:sz="4" w:space="0"/>
            </w:tcBorders>
            <w:shd w:val="clear" w:color="auto" w:fill="auto"/>
            <w:noWrap/>
            <w:vAlign w:val="bottom"/>
            <w:hideMark/>
          </w:tcPr>
          <w:p w:rsidRPr="00BC53EC" w:rsidR="00294C30" w:rsidP="00B22ED7" w:rsidRDefault="00294C30" w14:paraId="51F73EFC" w14:textId="77777777">
            <w:pPr>
              <w:rPr>
                <w:color w:val="000000"/>
              </w:rPr>
            </w:pPr>
            <w:r w:rsidRPr="00BC53EC">
              <w:rPr>
                <w:color w:val="000000"/>
              </w:rPr>
              <w:t>State</w:t>
            </w:r>
          </w:p>
        </w:tc>
        <w:tc>
          <w:tcPr>
            <w:tcW w:w="1486" w:type="pct"/>
            <w:tcBorders>
              <w:top w:val="single" w:color="auto" w:sz="4" w:space="0"/>
              <w:bottom w:val="single" w:color="auto" w:sz="4" w:space="0"/>
            </w:tcBorders>
            <w:shd w:val="clear" w:color="auto" w:fill="auto"/>
            <w:noWrap/>
            <w:vAlign w:val="bottom"/>
            <w:hideMark/>
          </w:tcPr>
          <w:p w:rsidRPr="00BC53EC" w:rsidR="00294C30" w:rsidP="00B22ED7" w:rsidRDefault="00294C30" w14:paraId="081718DB" w14:textId="36077018">
            <w:pPr>
              <w:jc w:val="right"/>
              <w:rPr>
                <w:color w:val="000000"/>
              </w:rPr>
            </w:pPr>
            <w:r w:rsidRPr="00BC53EC">
              <w:rPr>
                <w:color w:val="000000"/>
              </w:rPr>
              <w:t xml:space="preserve">Percent </w:t>
            </w:r>
            <w:r w:rsidR="00875199">
              <w:rPr>
                <w:color w:val="000000"/>
              </w:rPr>
              <w:t>Feedlots</w:t>
            </w:r>
          </w:p>
        </w:tc>
        <w:tc>
          <w:tcPr>
            <w:tcW w:w="1399" w:type="pct"/>
            <w:tcBorders>
              <w:top w:val="single" w:color="auto" w:sz="4" w:space="0"/>
              <w:bottom w:val="single" w:color="auto" w:sz="4" w:space="0"/>
            </w:tcBorders>
            <w:shd w:val="clear" w:color="auto" w:fill="auto"/>
            <w:noWrap/>
            <w:vAlign w:val="bottom"/>
            <w:hideMark/>
          </w:tcPr>
          <w:p w:rsidRPr="00BC53EC" w:rsidR="00294C30" w:rsidP="00B22ED7" w:rsidRDefault="00294C30" w14:paraId="79212DD2" w14:textId="77777777">
            <w:pPr>
              <w:jc w:val="right"/>
              <w:rPr>
                <w:color w:val="000000"/>
              </w:rPr>
            </w:pPr>
            <w:r w:rsidRPr="00BC53EC">
              <w:rPr>
                <w:color w:val="000000"/>
              </w:rPr>
              <w:t>Percent Inventory</w:t>
            </w:r>
          </w:p>
        </w:tc>
      </w:tr>
      <w:tr w:rsidRPr="00BC53EC" w:rsidR="001E5E76" w:rsidTr="00ED5D1E" w14:paraId="43F819A9" w14:textId="77777777">
        <w:trPr>
          <w:trHeight w:val="300"/>
        </w:trPr>
        <w:tc>
          <w:tcPr>
            <w:tcW w:w="2115" w:type="pct"/>
            <w:tcBorders>
              <w:top w:val="single" w:color="auto" w:sz="4" w:space="0"/>
            </w:tcBorders>
            <w:shd w:val="clear" w:color="auto" w:fill="auto"/>
            <w:noWrap/>
            <w:vAlign w:val="bottom"/>
          </w:tcPr>
          <w:p w:rsidRPr="00ED5D1E" w:rsidR="001E5E76" w:rsidP="001E5E76" w:rsidRDefault="001E5E76" w14:paraId="3FDE2636" w14:textId="73321719">
            <w:pPr>
              <w:rPr>
                <w:b/>
                <w:color w:val="000000"/>
              </w:rPr>
            </w:pPr>
            <w:r w:rsidRPr="00ED5D1E">
              <w:rPr>
                <w:rFonts w:ascii="Calibri" w:hAnsi="Calibri" w:cs="Calibri"/>
                <w:b/>
                <w:color w:val="000000"/>
                <w:sz w:val="22"/>
                <w:szCs w:val="22"/>
              </w:rPr>
              <w:t>Iowa</w:t>
            </w:r>
          </w:p>
        </w:tc>
        <w:tc>
          <w:tcPr>
            <w:tcW w:w="1486" w:type="pct"/>
            <w:tcBorders>
              <w:top w:val="single" w:color="auto" w:sz="4" w:space="0"/>
            </w:tcBorders>
            <w:shd w:val="clear" w:color="auto" w:fill="auto"/>
            <w:noWrap/>
            <w:vAlign w:val="bottom"/>
          </w:tcPr>
          <w:p w:rsidRPr="00ED5D1E" w:rsidR="001E5E76" w:rsidP="001E5E76" w:rsidRDefault="001E5E76" w14:paraId="49475488" w14:textId="1FDAE791">
            <w:pPr>
              <w:jc w:val="right"/>
              <w:rPr>
                <w:b/>
                <w:color w:val="000000"/>
              </w:rPr>
            </w:pPr>
            <w:r w:rsidRPr="00ED5D1E">
              <w:rPr>
                <w:rFonts w:ascii="Calibri" w:hAnsi="Calibri" w:cs="Calibri"/>
                <w:b/>
                <w:color w:val="000000"/>
                <w:sz w:val="22"/>
                <w:szCs w:val="22"/>
              </w:rPr>
              <w:t>23.0</w:t>
            </w:r>
          </w:p>
        </w:tc>
        <w:tc>
          <w:tcPr>
            <w:tcW w:w="1399" w:type="pct"/>
            <w:tcBorders>
              <w:top w:val="single" w:color="auto" w:sz="4" w:space="0"/>
            </w:tcBorders>
            <w:shd w:val="clear" w:color="auto" w:fill="auto"/>
            <w:noWrap/>
            <w:vAlign w:val="bottom"/>
          </w:tcPr>
          <w:p w:rsidRPr="00ED5D1E" w:rsidR="001E5E76" w:rsidP="001E5E76" w:rsidRDefault="001E5E76" w14:paraId="5082C623" w14:textId="0D80A5C1">
            <w:pPr>
              <w:jc w:val="right"/>
              <w:rPr>
                <w:b/>
                <w:color w:val="000000"/>
              </w:rPr>
            </w:pPr>
            <w:r w:rsidRPr="00ED5D1E">
              <w:rPr>
                <w:rFonts w:ascii="Calibri" w:hAnsi="Calibri" w:cs="Calibri"/>
                <w:b/>
                <w:color w:val="000000"/>
                <w:sz w:val="22"/>
                <w:szCs w:val="22"/>
              </w:rPr>
              <w:t>29.2</w:t>
            </w:r>
          </w:p>
        </w:tc>
      </w:tr>
      <w:tr w:rsidRPr="00BC53EC" w:rsidR="001E5E76" w:rsidTr="00ED5D1E" w14:paraId="7DD07392" w14:textId="77777777">
        <w:trPr>
          <w:trHeight w:val="300"/>
        </w:trPr>
        <w:tc>
          <w:tcPr>
            <w:tcW w:w="2115" w:type="pct"/>
            <w:shd w:val="clear" w:color="auto" w:fill="auto"/>
            <w:noWrap/>
            <w:vAlign w:val="bottom"/>
          </w:tcPr>
          <w:p w:rsidRPr="00ED5D1E" w:rsidR="001E5E76" w:rsidP="001E5E76" w:rsidRDefault="001E5E76" w14:paraId="1FFD4648" w14:textId="02B3B5D3">
            <w:pPr>
              <w:rPr>
                <w:b/>
                <w:color w:val="000000"/>
              </w:rPr>
            </w:pPr>
            <w:r w:rsidRPr="00ED5D1E">
              <w:rPr>
                <w:rFonts w:ascii="Calibri" w:hAnsi="Calibri" w:cs="Calibri"/>
                <w:b/>
                <w:color w:val="000000"/>
                <w:sz w:val="22"/>
                <w:szCs w:val="22"/>
              </w:rPr>
              <w:t>Minnesota</w:t>
            </w:r>
          </w:p>
        </w:tc>
        <w:tc>
          <w:tcPr>
            <w:tcW w:w="1486" w:type="pct"/>
            <w:shd w:val="clear" w:color="auto" w:fill="auto"/>
            <w:noWrap/>
            <w:vAlign w:val="bottom"/>
          </w:tcPr>
          <w:p w:rsidRPr="00ED5D1E" w:rsidR="001E5E76" w:rsidP="001E5E76" w:rsidRDefault="001E5E76" w14:paraId="6B6B51B8" w14:textId="568938B3">
            <w:pPr>
              <w:jc w:val="right"/>
              <w:rPr>
                <w:b/>
                <w:color w:val="000000"/>
              </w:rPr>
            </w:pPr>
            <w:r w:rsidRPr="00ED5D1E">
              <w:rPr>
                <w:rFonts w:ascii="Calibri" w:hAnsi="Calibri" w:cs="Calibri"/>
                <w:b/>
                <w:color w:val="000000"/>
                <w:sz w:val="22"/>
                <w:szCs w:val="22"/>
              </w:rPr>
              <w:t>12.4</w:t>
            </w:r>
          </w:p>
        </w:tc>
        <w:tc>
          <w:tcPr>
            <w:tcW w:w="1399" w:type="pct"/>
            <w:shd w:val="clear" w:color="auto" w:fill="auto"/>
            <w:noWrap/>
            <w:vAlign w:val="bottom"/>
          </w:tcPr>
          <w:p w:rsidRPr="00ED5D1E" w:rsidR="001E5E76" w:rsidP="001E5E76" w:rsidRDefault="001E5E76" w14:paraId="0F2AF39C" w14:textId="6331D5F5">
            <w:pPr>
              <w:jc w:val="right"/>
              <w:rPr>
                <w:b/>
                <w:color w:val="000000"/>
              </w:rPr>
            </w:pPr>
            <w:r w:rsidRPr="00ED5D1E">
              <w:rPr>
                <w:rFonts w:ascii="Calibri" w:hAnsi="Calibri" w:cs="Calibri"/>
                <w:b/>
                <w:color w:val="000000"/>
                <w:sz w:val="22"/>
                <w:szCs w:val="22"/>
              </w:rPr>
              <w:t>12.3</w:t>
            </w:r>
          </w:p>
        </w:tc>
      </w:tr>
      <w:tr w:rsidRPr="00BC53EC" w:rsidR="001E5E76" w:rsidTr="00ED5D1E" w14:paraId="1E658150" w14:textId="77777777">
        <w:trPr>
          <w:trHeight w:val="300"/>
        </w:trPr>
        <w:tc>
          <w:tcPr>
            <w:tcW w:w="2115" w:type="pct"/>
            <w:shd w:val="clear" w:color="auto" w:fill="auto"/>
            <w:noWrap/>
            <w:vAlign w:val="bottom"/>
          </w:tcPr>
          <w:p w:rsidRPr="00ED5D1E" w:rsidR="001E5E76" w:rsidP="001E5E76" w:rsidRDefault="001E5E76" w14:paraId="40EEA851" w14:textId="61F56E7C">
            <w:pPr>
              <w:rPr>
                <w:b/>
                <w:color w:val="000000"/>
              </w:rPr>
            </w:pPr>
            <w:r w:rsidRPr="00ED5D1E">
              <w:rPr>
                <w:rFonts w:ascii="Calibri" w:hAnsi="Calibri" w:cs="Calibri"/>
                <w:b/>
                <w:color w:val="000000"/>
                <w:sz w:val="22"/>
                <w:szCs w:val="22"/>
              </w:rPr>
              <w:t>Nebraska</w:t>
            </w:r>
          </w:p>
        </w:tc>
        <w:tc>
          <w:tcPr>
            <w:tcW w:w="1486" w:type="pct"/>
            <w:shd w:val="clear" w:color="auto" w:fill="auto"/>
            <w:noWrap/>
            <w:vAlign w:val="bottom"/>
          </w:tcPr>
          <w:p w:rsidRPr="00ED5D1E" w:rsidR="001E5E76" w:rsidP="001E5E76" w:rsidRDefault="001E5E76" w14:paraId="24AD4504" w14:textId="72B591AF">
            <w:pPr>
              <w:jc w:val="right"/>
              <w:rPr>
                <w:b/>
                <w:color w:val="000000"/>
              </w:rPr>
            </w:pPr>
            <w:r w:rsidRPr="00ED5D1E">
              <w:rPr>
                <w:rFonts w:ascii="Calibri" w:hAnsi="Calibri" w:cs="Calibri"/>
                <w:b/>
                <w:color w:val="000000"/>
                <w:sz w:val="22"/>
                <w:szCs w:val="22"/>
              </w:rPr>
              <w:t>7.4</w:t>
            </w:r>
          </w:p>
        </w:tc>
        <w:tc>
          <w:tcPr>
            <w:tcW w:w="1399" w:type="pct"/>
            <w:shd w:val="clear" w:color="auto" w:fill="auto"/>
            <w:noWrap/>
            <w:vAlign w:val="bottom"/>
          </w:tcPr>
          <w:p w:rsidRPr="00ED5D1E" w:rsidR="001E5E76" w:rsidP="001E5E76" w:rsidRDefault="001E5E76" w14:paraId="263D72B0" w14:textId="15E0F907">
            <w:pPr>
              <w:jc w:val="right"/>
              <w:rPr>
                <w:b/>
                <w:color w:val="000000"/>
              </w:rPr>
            </w:pPr>
            <w:r w:rsidRPr="00ED5D1E">
              <w:rPr>
                <w:rFonts w:ascii="Calibri" w:hAnsi="Calibri" w:cs="Calibri"/>
                <w:b/>
                <w:color w:val="000000"/>
                <w:sz w:val="22"/>
                <w:szCs w:val="22"/>
              </w:rPr>
              <w:t>9.7</w:t>
            </w:r>
          </w:p>
        </w:tc>
      </w:tr>
      <w:tr w:rsidRPr="00BC53EC" w:rsidR="001E5E76" w:rsidTr="00ED5D1E" w14:paraId="39EB6FC8" w14:textId="77777777">
        <w:trPr>
          <w:trHeight w:val="300"/>
        </w:trPr>
        <w:tc>
          <w:tcPr>
            <w:tcW w:w="2115" w:type="pct"/>
            <w:shd w:val="clear" w:color="auto" w:fill="auto"/>
            <w:noWrap/>
            <w:vAlign w:val="bottom"/>
          </w:tcPr>
          <w:p w:rsidRPr="00ED5D1E" w:rsidR="001E5E76" w:rsidP="001E5E76" w:rsidRDefault="001E5E76" w14:paraId="371E9675" w14:textId="4FD11360">
            <w:pPr>
              <w:rPr>
                <w:b/>
                <w:color w:val="000000"/>
              </w:rPr>
            </w:pPr>
            <w:r w:rsidRPr="00ED5D1E">
              <w:rPr>
                <w:rFonts w:ascii="Calibri" w:hAnsi="Calibri" w:cs="Calibri"/>
                <w:b/>
                <w:color w:val="000000"/>
                <w:sz w:val="22"/>
                <w:szCs w:val="22"/>
              </w:rPr>
              <w:t>South Dakota</w:t>
            </w:r>
          </w:p>
        </w:tc>
        <w:tc>
          <w:tcPr>
            <w:tcW w:w="1486" w:type="pct"/>
            <w:shd w:val="clear" w:color="auto" w:fill="auto"/>
            <w:noWrap/>
            <w:vAlign w:val="bottom"/>
          </w:tcPr>
          <w:p w:rsidRPr="00ED5D1E" w:rsidR="001E5E76" w:rsidP="001E5E76" w:rsidRDefault="001E5E76" w14:paraId="7191176C" w14:textId="05D9B46F">
            <w:pPr>
              <w:jc w:val="right"/>
              <w:rPr>
                <w:b/>
                <w:color w:val="000000"/>
              </w:rPr>
            </w:pPr>
            <w:r w:rsidRPr="00ED5D1E">
              <w:rPr>
                <w:rFonts w:ascii="Calibri" w:hAnsi="Calibri" w:cs="Calibri"/>
                <w:b/>
                <w:color w:val="000000"/>
                <w:sz w:val="22"/>
                <w:szCs w:val="22"/>
              </w:rPr>
              <w:t>6.7</w:t>
            </w:r>
          </w:p>
        </w:tc>
        <w:tc>
          <w:tcPr>
            <w:tcW w:w="1399" w:type="pct"/>
            <w:shd w:val="clear" w:color="auto" w:fill="auto"/>
            <w:noWrap/>
            <w:vAlign w:val="bottom"/>
          </w:tcPr>
          <w:p w:rsidRPr="00ED5D1E" w:rsidR="001E5E76" w:rsidP="001E5E76" w:rsidRDefault="001E5E76" w14:paraId="663C7F45" w14:textId="6AF95986">
            <w:pPr>
              <w:jc w:val="right"/>
              <w:rPr>
                <w:b/>
                <w:color w:val="000000"/>
              </w:rPr>
            </w:pPr>
            <w:r w:rsidRPr="00ED5D1E">
              <w:rPr>
                <w:rFonts w:ascii="Calibri" w:hAnsi="Calibri" w:cs="Calibri"/>
                <w:b/>
                <w:color w:val="000000"/>
                <w:sz w:val="22"/>
                <w:szCs w:val="22"/>
              </w:rPr>
              <w:t>8.9</w:t>
            </w:r>
          </w:p>
        </w:tc>
      </w:tr>
      <w:tr w:rsidRPr="00BC53EC" w:rsidR="001E5E76" w:rsidTr="00ED5D1E" w14:paraId="59A9F382" w14:textId="77777777">
        <w:trPr>
          <w:trHeight w:val="300"/>
        </w:trPr>
        <w:tc>
          <w:tcPr>
            <w:tcW w:w="2115" w:type="pct"/>
            <w:shd w:val="clear" w:color="auto" w:fill="auto"/>
            <w:noWrap/>
            <w:vAlign w:val="bottom"/>
          </w:tcPr>
          <w:p w:rsidRPr="00ED5D1E" w:rsidR="001E5E76" w:rsidP="001E5E76" w:rsidRDefault="001E5E76" w14:paraId="182C0CD9" w14:textId="329CAFB9">
            <w:pPr>
              <w:rPr>
                <w:b/>
                <w:color w:val="000000"/>
              </w:rPr>
            </w:pPr>
            <w:r w:rsidRPr="00ED5D1E">
              <w:rPr>
                <w:rFonts w:ascii="Calibri" w:hAnsi="Calibri" w:cs="Calibri"/>
                <w:b/>
                <w:color w:val="000000"/>
                <w:sz w:val="22"/>
                <w:szCs w:val="22"/>
              </w:rPr>
              <w:t>Wisconsin</w:t>
            </w:r>
          </w:p>
        </w:tc>
        <w:tc>
          <w:tcPr>
            <w:tcW w:w="1486" w:type="pct"/>
            <w:shd w:val="clear" w:color="auto" w:fill="auto"/>
            <w:noWrap/>
            <w:vAlign w:val="bottom"/>
          </w:tcPr>
          <w:p w:rsidRPr="00ED5D1E" w:rsidR="001E5E76" w:rsidP="001E5E76" w:rsidRDefault="001E5E76" w14:paraId="6AEF1C5E" w14:textId="5A171B50">
            <w:pPr>
              <w:jc w:val="right"/>
              <w:rPr>
                <w:b/>
                <w:color w:val="000000"/>
              </w:rPr>
            </w:pPr>
            <w:r w:rsidRPr="00ED5D1E">
              <w:rPr>
                <w:rFonts w:ascii="Calibri" w:hAnsi="Calibri" w:cs="Calibri"/>
                <w:b/>
                <w:color w:val="000000"/>
                <w:sz w:val="22"/>
                <w:szCs w:val="22"/>
              </w:rPr>
              <w:t>11.0</w:t>
            </w:r>
          </w:p>
        </w:tc>
        <w:tc>
          <w:tcPr>
            <w:tcW w:w="1399" w:type="pct"/>
            <w:shd w:val="clear" w:color="auto" w:fill="auto"/>
            <w:noWrap/>
            <w:vAlign w:val="bottom"/>
          </w:tcPr>
          <w:p w:rsidRPr="00ED5D1E" w:rsidR="001E5E76" w:rsidP="001E5E76" w:rsidRDefault="001E5E76" w14:paraId="72203BFB" w14:textId="162B7CA4">
            <w:pPr>
              <w:jc w:val="right"/>
              <w:rPr>
                <w:b/>
                <w:color w:val="000000"/>
              </w:rPr>
            </w:pPr>
            <w:r w:rsidRPr="00ED5D1E">
              <w:rPr>
                <w:rFonts w:ascii="Calibri" w:hAnsi="Calibri" w:cs="Calibri"/>
                <w:b/>
                <w:color w:val="000000"/>
                <w:sz w:val="22"/>
                <w:szCs w:val="22"/>
              </w:rPr>
              <w:t>7.3</w:t>
            </w:r>
          </w:p>
        </w:tc>
      </w:tr>
      <w:tr w:rsidRPr="00BC53EC" w:rsidR="001E5E76" w:rsidTr="00ED5D1E" w14:paraId="02B4074E" w14:textId="77777777">
        <w:trPr>
          <w:trHeight w:val="300"/>
        </w:trPr>
        <w:tc>
          <w:tcPr>
            <w:tcW w:w="2115" w:type="pct"/>
            <w:shd w:val="clear" w:color="auto" w:fill="auto"/>
            <w:noWrap/>
            <w:vAlign w:val="bottom"/>
          </w:tcPr>
          <w:p w:rsidRPr="00ED5D1E" w:rsidR="001E5E76" w:rsidP="001E5E76" w:rsidRDefault="001E5E76" w14:paraId="67EFAEA5" w14:textId="76D40EB0">
            <w:pPr>
              <w:rPr>
                <w:b/>
                <w:color w:val="000000"/>
              </w:rPr>
            </w:pPr>
            <w:r w:rsidRPr="00ED5D1E">
              <w:rPr>
                <w:rFonts w:ascii="Calibri" w:hAnsi="Calibri" w:cs="Calibri"/>
                <w:b/>
                <w:color w:val="000000"/>
                <w:sz w:val="22"/>
                <w:szCs w:val="22"/>
              </w:rPr>
              <w:t>Illinois</w:t>
            </w:r>
          </w:p>
        </w:tc>
        <w:tc>
          <w:tcPr>
            <w:tcW w:w="1486" w:type="pct"/>
            <w:shd w:val="clear" w:color="auto" w:fill="auto"/>
            <w:noWrap/>
            <w:vAlign w:val="bottom"/>
          </w:tcPr>
          <w:p w:rsidRPr="00ED5D1E" w:rsidR="001E5E76" w:rsidP="001E5E76" w:rsidRDefault="001E5E76" w14:paraId="2FB9424B" w14:textId="078C097C">
            <w:pPr>
              <w:jc w:val="right"/>
              <w:rPr>
                <w:b/>
                <w:color w:val="000000"/>
              </w:rPr>
            </w:pPr>
            <w:r w:rsidRPr="00ED5D1E">
              <w:rPr>
                <w:rFonts w:ascii="Calibri" w:hAnsi="Calibri" w:cs="Calibri"/>
                <w:b/>
                <w:color w:val="000000"/>
                <w:sz w:val="22"/>
                <w:szCs w:val="22"/>
              </w:rPr>
              <w:t>6.0</w:t>
            </w:r>
          </w:p>
        </w:tc>
        <w:tc>
          <w:tcPr>
            <w:tcW w:w="1399" w:type="pct"/>
            <w:shd w:val="clear" w:color="auto" w:fill="auto"/>
            <w:noWrap/>
            <w:vAlign w:val="bottom"/>
          </w:tcPr>
          <w:p w:rsidRPr="00ED5D1E" w:rsidR="001E5E76" w:rsidP="001E5E76" w:rsidRDefault="001E5E76" w14:paraId="71311308" w14:textId="216CD7DA">
            <w:pPr>
              <w:jc w:val="right"/>
              <w:rPr>
                <w:b/>
                <w:color w:val="000000"/>
              </w:rPr>
            </w:pPr>
            <w:r w:rsidRPr="00ED5D1E">
              <w:rPr>
                <w:rFonts w:ascii="Calibri" w:hAnsi="Calibri" w:cs="Calibri"/>
                <w:b/>
                <w:color w:val="000000"/>
                <w:sz w:val="22"/>
                <w:szCs w:val="22"/>
              </w:rPr>
              <w:t>5.0</w:t>
            </w:r>
          </w:p>
        </w:tc>
      </w:tr>
      <w:tr w:rsidRPr="00BC53EC" w:rsidR="001E5E76" w:rsidTr="00ED5D1E" w14:paraId="6C581C75" w14:textId="77777777">
        <w:trPr>
          <w:trHeight w:val="300"/>
        </w:trPr>
        <w:tc>
          <w:tcPr>
            <w:tcW w:w="2115" w:type="pct"/>
            <w:shd w:val="clear" w:color="auto" w:fill="auto"/>
            <w:noWrap/>
            <w:vAlign w:val="bottom"/>
          </w:tcPr>
          <w:p w:rsidRPr="00ED5D1E" w:rsidR="001E5E76" w:rsidP="001E5E76" w:rsidRDefault="001E5E76" w14:paraId="4F88F64E" w14:textId="1C2D6392">
            <w:pPr>
              <w:rPr>
                <w:b/>
                <w:color w:val="000000"/>
              </w:rPr>
            </w:pPr>
            <w:r w:rsidRPr="00ED5D1E">
              <w:rPr>
                <w:rFonts w:ascii="Calibri" w:hAnsi="Calibri" w:cs="Calibri"/>
                <w:b/>
                <w:color w:val="000000"/>
                <w:sz w:val="22"/>
                <w:szCs w:val="22"/>
              </w:rPr>
              <w:t>Ohio</w:t>
            </w:r>
          </w:p>
        </w:tc>
        <w:tc>
          <w:tcPr>
            <w:tcW w:w="1486" w:type="pct"/>
            <w:shd w:val="clear" w:color="auto" w:fill="auto"/>
            <w:noWrap/>
            <w:vAlign w:val="bottom"/>
          </w:tcPr>
          <w:p w:rsidRPr="00ED5D1E" w:rsidR="001E5E76" w:rsidP="001E5E76" w:rsidRDefault="001E5E76" w14:paraId="411E323D" w14:textId="3D20DAFA">
            <w:pPr>
              <w:jc w:val="right"/>
              <w:rPr>
                <w:b/>
                <w:color w:val="000000"/>
              </w:rPr>
            </w:pPr>
            <w:r w:rsidRPr="00ED5D1E">
              <w:rPr>
                <w:rFonts w:ascii="Calibri" w:hAnsi="Calibri" w:cs="Calibri"/>
                <w:b/>
                <w:color w:val="000000"/>
                <w:sz w:val="22"/>
                <w:szCs w:val="22"/>
              </w:rPr>
              <w:t>5.2</w:t>
            </w:r>
          </w:p>
        </w:tc>
        <w:tc>
          <w:tcPr>
            <w:tcW w:w="1399" w:type="pct"/>
            <w:shd w:val="clear" w:color="auto" w:fill="auto"/>
            <w:noWrap/>
            <w:vAlign w:val="bottom"/>
          </w:tcPr>
          <w:p w:rsidRPr="00ED5D1E" w:rsidR="001E5E76" w:rsidP="001E5E76" w:rsidRDefault="001E5E76" w14:paraId="3E7A13D8" w14:textId="5BD08AA2">
            <w:pPr>
              <w:jc w:val="right"/>
              <w:rPr>
                <w:b/>
                <w:color w:val="000000"/>
              </w:rPr>
            </w:pPr>
            <w:r w:rsidRPr="00ED5D1E">
              <w:rPr>
                <w:rFonts w:ascii="Calibri" w:hAnsi="Calibri" w:cs="Calibri"/>
                <w:b/>
                <w:color w:val="000000"/>
                <w:sz w:val="22"/>
                <w:szCs w:val="22"/>
              </w:rPr>
              <w:t>4.4</w:t>
            </w:r>
          </w:p>
        </w:tc>
      </w:tr>
      <w:tr w:rsidRPr="00BC53EC" w:rsidR="001E5E76" w:rsidTr="00ED5D1E" w14:paraId="296194E0" w14:textId="77777777">
        <w:trPr>
          <w:trHeight w:val="300"/>
        </w:trPr>
        <w:tc>
          <w:tcPr>
            <w:tcW w:w="2115" w:type="pct"/>
            <w:shd w:val="clear" w:color="auto" w:fill="auto"/>
            <w:noWrap/>
            <w:vAlign w:val="bottom"/>
          </w:tcPr>
          <w:p w:rsidRPr="00ED5D1E" w:rsidR="001E5E76" w:rsidP="001E5E76" w:rsidRDefault="001E5E76" w14:paraId="0B48B04A" w14:textId="19C65D15">
            <w:pPr>
              <w:rPr>
                <w:b/>
                <w:color w:val="000000"/>
              </w:rPr>
            </w:pPr>
            <w:r w:rsidRPr="00ED5D1E">
              <w:rPr>
                <w:rFonts w:ascii="Calibri" w:hAnsi="Calibri" w:cs="Calibri"/>
                <w:b/>
                <w:color w:val="000000"/>
                <w:sz w:val="22"/>
                <w:szCs w:val="22"/>
              </w:rPr>
              <w:t>Kansas</w:t>
            </w:r>
          </w:p>
        </w:tc>
        <w:tc>
          <w:tcPr>
            <w:tcW w:w="1486" w:type="pct"/>
            <w:shd w:val="clear" w:color="auto" w:fill="auto"/>
            <w:noWrap/>
            <w:vAlign w:val="bottom"/>
          </w:tcPr>
          <w:p w:rsidRPr="00ED5D1E" w:rsidR="001E5E76" w:rsidP="001E5E76" w:rsidRDefault="001E5E76" w14:paraId="065EAF53" w14:textId="7D1950EF">
            <w:pPr>
              <w:jc w:val="right"/>
              <w:rPr>
                <w:b/>
                <w:color w:val="000000"/>
              </w:rPr>
            </w:pPr>
            <w:r w:rsidRPr="00ED5D1E">
              <w:rPr>
                <w:rFonts w:ascii="Calibri" w:hAnsi="Calibri" w:cs="Calibri"/>
                <w:b/>
                <w:color w:val="000000"/>
                <w:sz w:val="22"/>
                <w:szCs w:val="22"/>
              </w:rPr>
              <w:t>3.5</w:t>
            </w:r>
          </w:p>
        </w:tc>
        <w:tc>
          <w:tcPr>
            <w:tcW w:w="1399" w:type="pct"/>
            <w:shd w:val="clear" w:color="auto" w:fill="auto"/>
            <w:noWrap/>
            <w:vAlign w:val="bottom"/>
          </w:tcPr>
          <w:p w:rsidRPr="00ED5D1E" w:rsidR="001E5E76" w:rsidP="001E5E76" w:rsidRDefault="001E5E76" w14:paraId="7978C66F" w14:textId="547D52C1">
            <w:pPr>
              <w:jc w:val="right"/>
              <w:rPr>
                <w:b/>
                <w:color w:val="000000"/>
              </w:rPr>
            </w:pPr>
            <w:r w:rsidRPr="00ED5D1E">
              <w:rPr>
                <w:rFonts w:ascii="Calibri" w:hAnsi="Calibri" w:cs="Calibri"/>
                <w:b/>
                <w:color w:val="000000"/>
                <w:sz w:val="22"/>
                <w:szCs w:val="22"/>
              </w:rPr>
              <w:t>4.3</w:t>
            </w:r>
          </w:p>
        </w:tc>
      </w:tr>
      <w:tr w:rsidRPr="00BC53EC" w:rsidR="001E5E76" w:rsidTr="00ED5D1E" w14:paraId="510A6109" w14:textId="77777777">
        <w:trPr>
          <w:trHeight w:val="300"/>
        </w:trPr>
        <w:tc>
          <w:tcPr>
            <w:tcW w:w="2115" w:type="pct"/>
            <w:shd w:val="clear" w:color="auto" w:fill="auto"/>
            <w:noWrap/>
            <w:vAlign w:val="bottom"/>
          </w:tcPr>
          <w:p w:rsidRPr="00ED5D1E" w:rsidR="001E5E76" w:rsidP="001E5E76" w:rsidRDefault="001E5E76" w14:paraId="1F99154B" w14:textId="5D0ED05E">
            <w:pPr>
              <w:rPr>
                <w:b/>
                <w:color w:val="000000"/>
              </w:rPr>
            </w:pPr>
            <w:r w:rsidRPr="00ED5D1E">
              <w:rPr>
                <w:rFonts w:ascii="Calibri" w:hAnsi="Calibri" w:cs="Calibri"/>
                <w:b/>
                <w:color w:val="000000"/>
                <w:sz w:val="22"/>
                <w:szCs w:val="22"/>
              </w:rPr>
              <w:t>Michigan</w:t>
            </w:r>
          </w:p>
        </w:tc>
        <w:tc>
          <w:tcPr>
            <w:tcW w:w="1486" w:type="pct"/>
            <w:shd w:val="clear" w:color="auto" w:fill="auto"/>
            <w:noWrap/>
            <w:vAlign w:val="bottom"/>
          </w:tcPr>
          <w:p w:rsidRPr="00ED5D1E" w:rsidR="001E5E76" w:rsidP="001E5E76" w:rsidRDefault="001E5E76" w14:paraId="2A3EB985" w14:textId="37013003">
            <w:pPr>
              <w:jc w:val="right"/>
              <w:rPr>
                <w:b/>
                <w:color w:val="000000"/>
              </w:rPr>
            </w:pPr>
            <w:r w:rsidRPr="00ED5D1E">
              <w:rPr>
                <w:rFonts w:ascii="Calibri" w:hAnsi="Calibri" w:cs="Calibri"/>
                <w:b/>
                <w:color w:val="000000"/>
                <w:sz w:val="22"/>
                <w:szCs w:val="22"/>
              </w:rPr>
              <w:t>3.9</w:t>
            </w:r>
          </w:p>
        </w:tc>
        <w:tc>
          <w:tcPr>
            <w:tcW w:w="1399" w:type="pct"/>
            <w:shd w:val="clear" w:color="auto" w:fill="auto"/>
            <w:noWrap/>
            <w:vAlign w:val="bottom"/>
          </w:tcPr>
          <w:p w:rsidRPr="00ED5D1E" w:rsidR="001E5E76" w:rsidP="001E5E76" w:rsidRDefault="001E5E76" w14:paraId="435FE614" w14:textId="464783AE">
            <w:pPr>
              <w:jc w:val="right"/>
              <w:rPr>
                <w:b/>
                <w:color w:val="000000"/>
              </w:rPr>
            </w:pPr>
            <w:r w:rsidRPr="00ED5D1E">
              <w:rPr>
                <w:rFonts w:ascii="Calibri" w:hAnsi="Calibri" w:cs="Calibri"/>
                <w:b/>
                <w:color w:val="000000"/>
                <w:sz w:val="22"/>
                <w:szCs w:val="22"/>
              </w:rPr>
              <w:t>3.4</w:t>
            </w:r>
          </w:p>
        </w:tc>
      </w:tr>
      <w:tr w:rsidRPr="00BC53EC" w:rsidR="001E5E76" w:rsidTr="00ED5D1E" w14:paraId="2D133D5F" w14:textId="77777777">
        <w:trPr>
          <w:trHeight w:val="300"/>
        </w:trPr>
        <w:tc>
          <w:tcPr>
            <w:tcW w:w="2115" w:type="pct"/>
            <w:shd w:val="clear" w:color="auto" w:fill="auto"/>
            <w:noWrap/>
            <w:vAlign w:val="bottom"/>
          </w:tcPr>
          <w:p w:rsidRPr="00ED5D1E" w:rsidR="001E5E76" w:rsidP="001E5E76" w:rsidRDefault="001E5E76" w14:paraId="163972F5" w14:textId="241CB948">
            <w:pPr>
              <w:rPr>
                <w:b/>
                <w:color w:val="000000"/>
              </w:rPr>
            </w:pPr>
            <w:r w:rsidRPr="00ED5D1E">
              <w:rPr>
                <w:rFonts w:ascii="Calibri" w:hAnsi="Calibri" w:cs="Calibri"/>
                <w:b/>
                <w:color w:val="000000"/>
                <w:sz w:val="22"/>
                <w:szCs w:val="22"/>
              </w:rPr>
              <w:t>Pennsylvania</w:t>
            </w:r>
          </w:p>
        </w:tc>
        <w:tc>
          <w:tcPr>
            <w:tcW w:w="1486" w:type="pct"/>
            <w:shd w:val="clear" w:color="auto" w:fill="auto"/>
            <w:noWrap/>
            <w:vAlign w:val="bottom"/>
          </w:tcPr>
          <w:p w:rsidRPr="00ED5D1E" w:rsidR="001E5E76" w:rsidP="001E5E76" w:rsidRDefault="001E5E76" w14:paraId="594A33DA" w14:textId="757D210E">
            <w:pPr>
              <w:jc w:val="right"/>
              <w:rPr>
                <w:b/>
                <w:color w:val="000000"/>
              </w:rPr>
            </w:pPr>
            <w:r w:rsidRPr="00ED5D1E">
              <w:rPr>
                <w:rFonts w:ascii="Calibri" w:hAnsi="Calibri" w:cs="Calibri"/>
                <w:b/>
                <w:color w:val="000000"/>
                <w:sz w:val="22"/>
                <w:szCs w:val="22"/>
              </w:rPr>
              <w:t>4.6</w:t>
            </w:r>
          </w:p>
        </w:tc>
        <w:tc>
          <w:tcPr>
            <w:tcW w:w="1399" w:type="pct"/>
            <w:shd w:val="clear" w:color="auto" w:fill="auto"/>
            <w:noWrap/>
            <w:vAlign w:val="bottom"/>
          </w:tcPr>
          <w:p w:rsidRPr="00ED5D1E" w:rsidR="001E5E76" w:rsidP="001E5E76" w:rsidRDefault="001E5E76" w14:paraId="0EB41195" w14:textId="6DF6FA6B">
            <w:pPr>
              <w:jc w:val="right"/>
              <w:rPr>
                <w:b/>
                <w:color w:val="000000"/>
              </w:rPr>
            </w:pPr>
            <w:r w:rsidRPr="00ED5D1E">
              <w:rPr>
                <w:rFonts w:ascii="Calibri" w:hAnsi="Calibri" w:cs="Calibri"/>
                <w:b/>
                <w:color w:val="000000"/>
                <w:sz w:val="22"/>
                <w:szCs w:val="22"/>
              </w:rPr>
              <w:t>3.0</w:t>
            </w:r>
          </w:p>
        </w:tc>
      </w:tr>
      <w:tr w:rsidRPr="00BC53EC" w:rsidR="001E5E76" w:rsidTr="00ED5D1E" w14:paraId="4673ED74" w14:textId="77777777">
        <w:trPr>
          <w:trHeight w:val="300"/>
        </w:trPr>
        <w:tc>
          <w:tcPr>
            <w:tcW w:w="2115" w:type="pct"/>
            <w:shd w:val="clear" w:color="auto" w:fill="auto"/>
            <w:noWrap/>
            <w:vAlign w:val="bottom"/>
          </w:tcPr>
          <w:p w:rsidRPr="00ED5D1E" w:rsidR="001E5E76" w:rsidP="001E5E76" w:rsidRDefault="001E5E76" w14:paraId="562640D9" w14:textId="08B93BDC">
            <w:pPr>
              <w:rPr>
                <w:b/>
                <w:color w:val="000000"/>
              </w:rPr>
            </w:pPr>
            <w:r w:rsidRPr="00ED5D1E">
              <w:rPr>
                <w:rFonts w:ascii="Calibri" w:hAnsi="Calibri" w:cs="Calibri"/>
                <w:b/>
                <w:color w:val="000000"/>
                <w:sz w:val="22"/>
                <w:szCs w:val="22"/>
              </w:rPr>
              <w:t>Indiana</w:t>
            </w:r>
          </w:p>
        </w:tc>
        <w:tc>
          <w:tcPr>
            <w:tcW w:w="1486" w:type="pct"/>
            <w:shd w:val="clear" w:color="auto" w:fill="auto"/>
            <w:noWrap/>
            <w:vAlign w:val="bottom"/>
          </w:tcPr>
          <w:p w:rsidRPr="00ED5D1E" w:rsidR="001E5E76" w:rsidP="001E5E76" w:rsidRDefault="001E5E76" w14:paraId="178F0C6B" w14:textId="7286123D">
            <w:pPr>
              <w:jc w:val="right"/>
              <w:rPr>
                <w:b/>
                <w:color w:val="000000"/>
              </w:rPr>
            </w:pPr>
            <w:r w:rsidRPr="00ED5D1E">
              <w:rPr>
                <w:rFonts w:ascii="Calibri" w:hAnsi="Calibri" w:cs="Calibri"/>
                <w:b/>
                <w:color w:val="000000"/>
                <w:sz w:val="22"/>
                <w:szCs w:val="22"/>
              </w:rPr>
              <w:t>2.8</w:t>
            </w:r>
          </w:p>
        </w:tc>
        <w:tc>
          <w:tcPr>
            <w:tcW w:w="1399" w:type="pct"/>
            <w:shd w:val="clear" w:color="auto" w:fill="auto"/>
            <w:noWrap/>
            <w:vAlign w:val="bottom"/>
          </w:tcPr>
          <w:p w:rsidRPr="00ED5D1E" w:rsidR="001E5E76" w:rsidP="001E5E76" w:rsidRDefault="001E5E76" w14:paraId="65DC108D" w14:textId="0BFE464C">
            <w:pPr>
              <w:jc w:val="right"/>
              <w:rPr>
                <w:b/>
                <w:color w:val="000000"/>
              </w:rPr>
            </w:pPr>
            <w:r w:rsidRPr="00ED5D1E">
              <w:rPr>
                <w:rFonts w:ascii="Calibri" w:hAnsi="Calibri" w:cs="Calibri"/>
                <w:b/>
                <w:color w:val="000000"/>
                <w:sz w:val="22"/>
                <w:szCs w:val="22"/>
              </w:rPr>
              <w:t>1.9</w:t>
            </w:r>
          </w:p>
        </w:tc>
      </w:tr>
      <w:tr w:rsidRPr="00BC53EC" w:rsidR="001E5E76" w:rsidTr="00ED5D1E" w14:paraId="0FA363B5" w14:textId="77777777">
        <w:trPr>
          <w:trHeight w:val="300"/>
        </w:trPr>
        <w:tc>
          <w:tcPr>
            <w:tcW w:w="2115" w:type="pct"/>
            <w:tcBorders>
              <w:bottom w:val="nil"/>
            </w:tcBorders>
            <w:shd w:val="clear" w:color="auto" w:fill="auto"/>
            <w:noWrap/>
            <w:vAlign w:val="bottom"/>
          </w:tcPr>
          <w:p w:rsidRPr="00ED5D1E" w:rsidR="001E5E76" w:rsidP="001E5E76" w:rsidRDefault="001E5E76" w14:paraId="68695B1F" w14:textId="6055D543">
            <w:pPr>
              <w:rPr>
                <w:b/>
                <w:color w:val="000000"/>
              </w:rPr>
            </w:pPr>
            <w:r w:rsidRPr="00ED5D1E">
              <w:rPr>
                <w:rFonts w:ascii="Calibri" w:hAnsi="Calibri" w:cs="Calibri"/>
                <w:b/>
                <w:color w:val="000000"/>
                <w:sz w:val="22"/>
                <w:szCs w:val="22"/>
              </w:rPr>
              <w:t>North Dakota</w:t>
            </w:r>
          </w:p>
        </w:tc>
        <w:tc>
          <w:tcPr>
            <w:tcW w:w="1486" w:type="pct"/>
            <w:tcBorders>
              <w:bottom w:val="nil"/>
            </w:tcBorders>
            <w:shd w:val="clear" w:color="auto" w:fill="auto"/>
            <w:noWrap/>
            <w:vAlign w:val="bottom"/>
          </w:tcPr>
          <w:p w:rsidRPr="00ED5D1E" w:rsidR="001E5E76" w:rsidP="001E5E76" w:rsidRDefault="001E5E76" w14:paraId="07F2AD22" w14:textId="654E05FF">
            <w:pPr>
              <w:jc w:val="right"/>
              <w:rPr>
                <w:b/>
                <w:color w:val="000000"/>
              </w:rPr>
            </w:pPr>
            <w:r w:rsidRPr="00ED5D1E">
              <w:rPr>
                <w:rFonts w:ascii="Calibri" w:hAnsi="Calibri" w:cs="Calibri"/>
                <w:b/>
                <w:color w:val="000000"/>
                <w:sz w:val="22"/>
                <w:szCs w:val="22"/>
              </w:rPr>
              <w:t>1.9</w:t>
            </w:r>
          </w:p>
        </w:tc>
        <w:tc>
          <w:tcPr>
            <w:tcW w:w="1399" w:type="pct"/>
            <w:tcBorders>
              <w:bottom w:val="nil"/>
            </w:tcBorders>
            <w:shd w:val="clear" w:color="auto" w:fill="auto"/>
            <w:noWrap/>
            <w:vAlign w:val="bottom"/>
          </w:tcPr>
          <w:p w:rsidRPr="00ED5D1E" w:rsidR="001E5E76" w:rsidP="001E5E76" w:rsidRDefault="001E5E76" w14:paraId="03E8A8E1" w14:textId="748B029D">
            <w:pPr>
              <w:jc w:val="right"/>
              <w:rPr>
                <w:b/>
                <w:color w:val="000000"/>
              </w:rPr>
            </w:pPr>
            <w:r w:rsidRPr="00ED5D1E">
              <w:rPr>
                <w:rFonts w:ascii="Calibri" w:hAnsi="Calibri" w:cs="Calibri"/>
                <w:b/>
                <w:color w:val="000000"/>
                <w:sz w:val="22"/>
                <w:szCs w:val="22"/>
              </w:rPr>
              <w:t>1.8</w:t>
            </w:r>
          </w:p>
        </w:tc>
      </w:tr>
      <w:tr w:rsidRPr="00BC53EC" w:rsidR="001E5E76" w:rsidTr="00ED5D1E" w14:paraId="2A3198B8" w14:textId="77777777">
        <w:trPr>
          <w:trHeight w:val="300"/>
        </w:trPr>
        <w:tc>
          <w:tcPr>
            <w:tcW w:w="2115" w:type="pct"/>
            <w:tcBorders>
              <w:top w:val="nil"/>
              <w:bottom w:val="nil"/>
            </w:tcBorders>
            <w:shd w:val="clear" w:color="auto" w:fill="auto"/>
            <w:noWrap/>
            <w:vAlign w:val="bottom"/>
          </w:tcPr>
          <w:p w:rsidRPr="00ED5D1E" w:rsidR="001E5E76" w:rsidP="001E5E76" w:rsidRDefault="001E5E76" w14:paraId="0A34D16D" w14:textId="4554C236">
            <w:pPr>
              <w:rPr>
                <w:b/>
                <w:color w:val="000000"/>
              </w:rPr>
            </w:pPr>
            <w:r w:rsidRPr="00ED5D1E">
              <w:rPr>
                <w:rFonts w:ascii="Calibri" w:hAnsi="Calibri" w:cs="Calibri"/>
                <w:b/>
                <w:color w:val="000000"/>
                <w:sz w:val="22"/>
                <w:szCs w:val="22"/>
              </w:rPr>
              <w:t>Missouri</w:t>
            </w:r>
          </w:p>
        </w:tc>
        <w:tc>
          <w:tcPr>
            <w:tcW w:w="1486" w:type="pct"/>
            <w:tcBorders>
              <w:top w:val="nil"/>
              <w:bottom w:val="nil"/>
            </w:tcBorders>
            <w:shd w:val="clear" w:color="auto" w:fill="auto"/>
            <w:noWrap/>
            <w:vAlign w:val="bottom"/>
          </w:tcPr>
          <w:p w:rsidRPr="00ED5D1E" w:rsidR="001E5E76" w:rsidP="001E5E76" w:rsidRDefault="001E5E76" w14:paraId="76725A37" w14:textId="000CB50E">
            <w:pPr>
              <w:jc w:val="right"/>
              <w:rPr>
                <w:b/>
                <w:color w:val="000000"/>
              </w:rPr>
            </w:pPr>
            <w:r w:rsidRPr="00ED5D1E">
              <w:rPr>
                <w:rFonts w:ascii="Calibri" w:hAnsi="Calibri" w:cs="Calibri"/>
                <w:b/>
                <w:color w:val="000000"/>
                <w:sz w:val="22"/>
                <w:szCs w:val="22"/>
              </w:rPr>
              <w:t>2.5</w:t>
            </w:r>
          </w:p>
        </w:tc>
        <w:tc>
          <w:tcPr>
            <w:tcW w:w="1399" w:type="pct"/>
            <w:tcBorders>
              <w:top w:val="nil"/>
              <w:bottom w:val="nil"/>
            </w:tcBorders>
            <w:shd w:val="clear" w:color="auto" w:fill="auto"/>
            <w:noWrap/>
            <w:vAlign w:val="bottom"/>
          </w:tcPr>
          <w:p w:rsidRPr="00ED5D1E" w:rsidR="001E5E76" w:rsidP="001E5E76" w:rsidRDefault="001E5E76" w14:paraId="1BFBE94B" w14:textId="15B0DE28">
            <w:pPr>
              <w:jc w:val="right"/>
              <w:rPr>
                <w:b/>
                <w:color w:val="000000"/>
              </w:rPr>
            </w:pPr>
            <w:r w:rsidRPr="00ED5D1E">
              <w:rPr>
                <w:rFonts w:ascii="Calibri" w:hAnsi="Calibri" w:cs="Calibri"/>
                <w:b/>
                <w:color w:val="000000"/>
                <w:sz w:val="22"/>
                <w:szCs w:val="22"/>
              </w:rPr>
              <w:t>1.7</w:t>
            </w:r>
          </w:p>
        </w:tc>
      </w:tr>
      <w:tr w:rsidRPr="00BC53EC" w:rsidR="001E5E76" w:rsidTr="00ED5D1E" w14:paraId="04AEDD71" w14:textId="77777777">
        <w:trPr>
          <w:trHeight w:val="300"/>
        </w:trPr>
        <w:tc>
          <w:tcPr>
            <w:tcW w:w="2115" w:type="pct"/>
            <w:tcBorders>
              <w:top w:val="nil"/>
              <w:bottom w:val="nil"/>
            </w:tcBorders>
            <w:shd w:val="clear" w:color="auto" w:fill="auto"/>
            <w:noWrap/>
            <w:vAlign w:val="bottom"/>
          </w:tcPr>
          <w:p w:rsidRPr="00B70F41" w:rsidR="001E5E76" w:rsidP="001E5E76" w:rsidRDefault="001E5E76" w14:paraId="4BBCA6B5" w14:textId="4C800D9C">
            <w:pPr>
              <w:rPr>
                <w:b/>
                <w:color w:val="000000"/>
              </w:rPr>
            </w:pPr>
            <w:r w:rsidRPr="00ED5D1E">
              <w:rPr>
                <w:rFonts w:ascii="Calibri" w:hAnsi="Calibri" w:cs="Calibri"/>
                <w:b/>
                <w:color w:val="000000"/>
                <w:sz w:val="22"/>
                <w:szCs w:val="22"/>
              </w:rPr>
              <w:t>Colorado</w:t>
            </w:r>
          </w:p>
        </w:tc>
        <w:tc>
          <w:tcPr>
            <w:tcW w:w="1486" w:type="pct"/>
            <w:tcBorders>
              <w:top w:val="nil"/>
              <w:bottom w:val="nil"/>
            </w:tcBorders>
            <w:shd w:val="clear" w:color="auto" w:fill="auto"/>
            <w:noWrap/>
            <w:vAlign w:val="bottom"/>
          </w:tcPr>
          <w:p w:rsidRPr="00B70F41" w:rsidR="001E5E76" w:rsidP="001E5E76" w:rsidRDefault="001E5E76" w14:paraId="7ACEA07D" w14:textId="765EDEF9">
            <w:pPr>
              <w:jc w:val="right"/>
              <w:rPr>
                <w:b/>
                <w:color w:val="000000"/>
              </w:rPr>
            </w:pPr>
            <w:r w:rsidRPr="00ED5D1E">
              <w:rPr>
                <w:rFonts w:ascii="Calibri" w:hAnsi="Calibri" w:cs="Calibri"/>
                <w:b/>
                <w:color w:val="000000"/>
                <w:sz w:val="22"/>
                <w:szCs w:val="22"/>
              </w:rPr>
              <w:t>0.9</w:t>
            </w:r>
          </w:p>
        </w:tc>
        <w:tc>
          <w:tcPr>
            <w:tcW w:w="1399" w:type="pct"/>
            <w:tcBorders>
              <w:top w:val="nil"/>
              <w:bottom w:val="nil"/>
            </w:tcBorders>
            <w:shd w:val="clear" w:color="auto" w:fill="auto"/>
            <w:noWrap/>
            <w:vAlign w:val="bottom"/>
          </w:tcPr>
          <w:p w:rsidRPr="00B70F41" w:rsidR="001E5E76" w:rsidP="001E5E76" w:rsidRDefault="001E5E76" w14:paraId="63EFE19B" w14:textId="10452801">
            <w:pPr>
              <w:jc w:val="right"/>
              <w:rPr>
                <w:b/>
                <w:color w:val="000000"/>
              </w:rPr>
            </w:pPr>
            <w:r w:rsidRPr="00ED5D1E">
              <w:rPr>
                <w:rFonts w:ascii="Calibri" w:hAnsi="Calibri" w:cs="Calibri"/>
                <w:b/>
                <w:color w:val="000000"/>
                <w:sz w:val="22"/>
                <w:szCs w:val="22"/>
              </w:rPr>
              <w:t>0.9</w:t>
            </w:r>
          </w:p>
        </w:tc>
      </w:tr>
      <w:tr w:rsidRPr="00BC53EC" w:rsidR="001E5E76" w:rsidTr="00ED5D1E" w14:paraId="75325BB8" w14:textId="77777777">
        <w:trPr>
          <w:trHeight w:val="300"/>
        </w:trPr>
        <w:tc>
          <w:tcPr>
            <w:tcW w:w="2115" w:type="pct"/>
            <w:tcBorders>
              <w:top w:val="nil"/>
              <w:bottom w:val="nil"/>
            </w:tcBorders>
            <w:shd w:val="clear" w:color="auto" w:fill="auto"/>
            <w:noWrap/>
            <w:vAlign w:val="bottom"/>
          </w:tcPr>
          <w:p w:rsidRPr="00ED5D1E" w:rsidR="001E5E76" w:rsidP="001E5E76" w:rsidRDefault="001E5E76" w14:paraId="2C4DD359" w14:textId="24CF3CDA">
            <w:pPr>
              <w:rPr>
                <w:b/>
                <w:color w:val="000000"/>
              </w:rPr>
            </w:pPr>
            <w:r w:rsidRPr="00ED5D1E">
              <w:rPr>
                <w:rFonts w:ascii="Calibri" w:hAnsi="Calibri" w:cs="Calibri"/>
                <w:b/>
                <w:color w:val="000000"/>
                <w:sz w:val="22"/>
                <w:szCs w:val="22"/>
              </w:rPr>
              <w:t>Texas</w:t>
            </w:r>
          </w:p>
        </w:tc>
        <w:tc>
          <w:tcPr>
            <w:tcW w:w="1486" w:type="pct"/>
            <w:tcBorders>
              <w:top w:val="nil"/>
              <w:bottom w:val="nil"/>
            </w:tcBorders>
            <w:shd w:val="clear" w:color="auto" w:fill="auto"/>
            <w:noWrap/>
            <w:vAlign w:val="bottom"/>
          </w:tcPr>
          <w:p w:rsidRPr="00ED5D1E" w:rsidR="001E5E76" w:rsidP="001E5E76" w:rsidRDefault="001E5E76" w14:paraId="6F3BD098" w14:textId="05C2512F">
            <w:pPr>
              <w:jc w:val="right"/>
              <w:rPr>
                <w:b/>
                <w:color w:val="000000"/>
              </w:rPr>
            </w:pPr>
            <w:r w:rsidRPr="00ED5D1E">
              <w:rPr>
                <w:rFonts w:ascii="Calibri" w:hAnsi="Calibri" w:cs="Calibri"/>
                <w:b/>
                <w:color w:val="000000"/>
                <w:sz w:val="22"/>
                <w:szCs w:val="22"/>
              </w:rPr>
              <w:t>1.2</w:t>
            </w:r>
          </w:p>
        </w:tc>
        <w:tc>
          <w:tcPr>
            <w:tcW w:w="1399" w:type="pct"/>
            <w:tcBorders>
              <w:top w:val="nil"/>
              <w:bottom w:val="nil"/>
            </w:tcBorders>
            <w:shd w:val="clear" w:color="auto" w:fill="auto"/>
            <w:noWrap/>
            <w:vAlign w:val="bottom"/>
          </w:tcPr>
          <w:p w:rsidRPr="00ED5D1E" w:rsidR="001E5E76" w:rsidP="001E5E76" w:rsidRDefault="001E5E76" w14:paraId="64BE5792" w14:textId="4A286EA9">
            <w:pPr>
              <w:jc w:val="right"/>
              <w:rPr>
                <w:b/>
                <w:color w:val="000000"/>
              </w:rPr>
            </w:pPr>
            <w:r w:rsidRPr="00ED5D1E">
              <w:rPr>
                <w:rFonts w:ascii="Calibri" w:hAnsi="Calibri" w:cs="Calibri"/>
                <w:b/>
                <w:color w:val="000000"/>
                <w:sz w:val="22"/>
                <w:szCs w:val="22"/>
              </w:rPr>
              <w:t>0.7</w:t>
            </w:r>
          </w:p>
        </w:tc>
      </w:tr>
      <w:tr w:rsidRPr="00BC53EC" w:rsidR="001E5E76" w:rsidTr="00ED5D1E" w14:paraId="6DBBC743" w14:textId="77777777">
        <w:trPr>
          <w:trHeight w:val="300"/>
        </w:trPr>
        <w:tc>
          <w:tcPr>
            <w:tcW w:w="2115" w:type="pct"/>
            <w:tcBorders>
              <w:top w:val="nil"/>
              <w:bottom w:val="nil"/>
            </w:tcBorders>
            <w:shd w:val="clear" w:color="auto" w:fill="auto"/>
            <w:noWrap/>
            <w:vAlign w:val="bottom"/>
          </w:tcPr>
          <w:p w:rsidRPr="00ED5D1E" w:rsidR="001E5E76" w:rsidP="001E5E76" w:rsidRDefault="001E5E76" w14:paraId="27F5A053" w14:textId="6161111A">
            <w:pPr>
              <w:rPr>
                <w:b/>
                <w:color w:val="000000"/>
              </w:rPr>
            </w:pPr>
            <w:r w:rsidRPr="00ED5D1E">
              <w:rPr>
                <w:rFonts w:ascii="Calibri" w:hAnsi="Calibri" w:cs="Calibri"/>
                <w:b/>
                <w:color w:val="000000"/>
                <w:sz w:val="22"/>
                <w:szCs w:val="22"/>
              </w:rPr>
              <w:t>Wyoming</w:t>
            </w:r>
          </w:p>
        </w:tc>
        <w:tc>
          <w:tcPr>
            <w:tcW w:w="1486" w:type="pct"/>
            <w:tcBorders>
              <w:top w:val="nil"/>
              <w:bottom w:val="nil"/>
            </w:tcBorders>
            <w:shd w:val="clear" w:color="auto" w:fill="auto"/>
            <w:noWrap/>
            <w:vAlign w:val="bottom"/>
          </w:tcPr>
          <w:p w:rsidRPr="00ED5D1E" w:rsidR="001E5E76" w:rsidP="001E5E76" w:rsidRDefault="001E5E76" w14:paraId="589B912B" w14:textId="4954126C">
            <w:pPr>
              <w:jc w:val="right"/>
              <w:rPr>
                <w:b/>
                <w:color w:val="000000"/>
              </w:rPr>
            </w:pPr>
            <w:r w:rsidRPr="00ED5D1E">
              <w:rPr>
                <w:rFonts w:ascii="Calibri" w:hAnsi="Calibri" w:cs="Calibri"/>
                <w:b/>
                <w:color w:val="000000"/>
                <w:sz w:val="22"/>
                <w:szCs w:val="22"/>
              </w:rPr>
              <w:t>0.5</w:t>
            </w:r>
          </w:p>
        </w:tc>
        <w:tc>
          <w:tcPr>
            <w:tcW w:w="1399" w:type="pct"/>
            <w:tcBorders>
              <w:top w:val="nil"/>
              <w:bottom w:val="nil"/>
            </w:tcBorders>
            <w:shd w:val="clear" w:color="auto" w:fill="auto"/>
            <w:noWrap/>
            <w:vAlign w:val="bottom"/>
          </w:tcPr>
          <w:p w:rsidRPr="00ED5D1E" w:rsidR="001E5E76" w:rsidP="001E5E76" w:rsidRDefault="001E5E76" w14:paraId="631D1502" w14:textId="582F5B33">
            <w:pPr>
              <w:jc w:val="right"/>
              <w:rPr>
                <w:b/>
                <w:color w:val="000000"/>
              </w:rPr>
            </w:pPr>
            <w:r w:rsidRPr="00ED5D1E">
              <w:rPr>
                <w:rFonts w:ascii="Calibri" w:hAnsi="Calibri" w:cs="Calibri"/>
                <w:b/>
                <w:color w:val="000000"/>
                <w:sz w:val="22"/>
                <w:szCs w:val="22"/>
              </w:rPr>
              <w:t>0.6</w:t>
            </w:r>
          </w:p>
        </w:tc>
      </w:tr>
      <w:tr w:rsidRPr="00BC53EC" w:rsidR="001E5E76" w:rsidTr="00ED5D1E" w14:paraId="50930386" w14:textId="77777777">
        <w:trPr>
          <w:trHeight w:val="300"/>
        </w:trPr>
        <w:tc>
          <w:tcPr>
            <w:tcW w:w="2115" w:type="pct"/>
            <w:tcBorders>
              <w:top w:val="nil"/>
              <w:bottom w:val="nil"/>
            </w:tcBorders>
            <w:shd w:val="clear" w:color="auto" w:fill="auto"/>
            <w:noWrap/>
            <w:vAlign w:val="bottom"/>
          </w:tcPr>
          <w:p w:rsidRPr="00BC53EC" w:rsidR="001E5E76" w:rsidP="001E5E76" w:rsidRDefault="001E5E76" w14:paraId="57D857DD" w14:textId="3CFC5F27">
            <w:pPr>
              <w:rPr>
                <w:color w:val="000000"/>
              </w:rPr>
            </w:pPr>
            <w:r>
              <w:rPr>
                <w:rFonts w:ascii="Calibri" w:hAnsi="Calibri" w:cs="Calibri"/>
                <w:color w:val="000000"/>
                <w:sz w:val="22"/>
                <w:szCs w:val="22"/>
              </w:rPr>
              <w:t>Montana</w:t>
            </w:r>
          </w:p>
        </w:tc>
        <w:tc>
          <w:tcPr>
            <w:tcW w:w="1486" w:type="pct"/>
            <w:tcBorders>
              <w:top w:val="nil"/>
              <w:bottom w:val="nil"/>
            </w:tcBorders>
            <w:shd w:val="clear" w:color="auto" w:fill="auto"/>
            <w:noWrap/>
            <w:vAlign w:val="bottom"/>
          </w:tcPr>
          <w:p w:rsidRPr="00BC53EC" w:rsidR="001E5E76" w:rsidP="001E5E76" w:rsidRDefault="001E5E76" w14:paraId="58970962" w14:textId="16F1260D">
            <w:pPr>
              <w:jc w:val="right"/>
              <w:rPr>
                <w:color w:val="000000"/>
              </w:rPr>
            </w:pPr>
            <w:r>
              <w:rPr>
                <w:rFonts w:ascii="Calibri" w:hAnsi="Calibri" w:cs="Calibri"/>
                <w:color w:val="000000"/>
                <w:sz w:val="22"/>
                <w:szCs w:val="22"/>
              </w:rPr>
              <w:t>0.7</w:t>
            </w:r>
          </w:p>
        </w:tc>
        <w:tc>
          <w:tcPr>
            <w:tcW w:w="1399" w:type="pct"/>
            <w:tcBorders>
              <w:top w:val="nil"/>
              <w:bottom w:val="nil"/>
            </w:tcBorders>
            <w:shd w:val="clear" w:color="auto" w:fill="auto"/>
            <w:noWrap/>
            <w:vAlign w:val="bottom"/>
          </w:tcPr>
          <w:p w:rsidRPr="00BC53EC" w:rsidR="001E5E76" w:rsidP="001E5E76" w:rsidRDefault="001E5E76" w14:paraId="354FC706" w14:textId="06C2486A">
            <w:pPr>
              <w:jc w:val="right"/>
              <w:rPr>
                <w:color w:val="000000"/>
              </w:rPr>
            </w:pPr>
            <w:r>
              <w:rPr>
                <w:rFonts w:ascii="Calibri" w:hAnsi="Calibri" w:cs="Calibri"/>
                <w:color w:val="000000"/>
                <w:sz w:val="22"/>
                <w:szCs w:val="22"/>
              </w:rPr>
              <w:t>0.5</w:t>
            </w:r>
          </w:p>
        </w:tc>
      </w:tr>
      <w:tr w:rsidRPr="00BC53EC" w:rsidR="001E5E76" w:rsidTr="00ED5D1E" w14:paraId="24A11C4A" w14:textId="77777777">
        <w:trPr>
          <w:trHeight w:val="300"/>
        </w:trPr>
        <w:tc>
          <w:tcPr>
            <w:tcW w:w="2115" w:type="pct"/>
            <w:tcBorders>
              <w:top w:val="nil"/>
              <w:bottom w:val="nil"/>
            </w:tcBorders>
            <w:shd w:val="clear" w:color="auto" w:fill="auto"/>
            <w:noWrap/>
            <w:vAlign w:val="bottom"/>
          </w:tcPr>
          <w:p w:rsidRPr="00BC53EC" w:rsidR="001E5E76" w:rsidP="001E5E76" w:rsidRDefault="001E5E76" w14:paraId="32FB1D6C" w14:textId="4DBE11B0">
            <w:pPr>
              <w:rPr>
                <w:color w:val="000000"/>
              </w:rPr>
            </w:pPr>
            <w:r>
              <w:rPr>
                <w:rFonts w:ascii="Calibri" w:hAnsi="Calibri" w:cs="Calibri"/>
                <w:color w:val="000000"/>
                <w:sz w:val="22"/>
                <w:szCs w:val="22"/>
              </w:rPr>
              <w:t>Utah</w:t>
            </w:r>
          </w:p>
        </w:tc>
        <w:tc>
          <w:tcPr>
            <w:tcW w:w="1486" w:type="pct"/>
            <w:tcBorders>
              <w:top w:val="nil"/>
              <w:bottom w:val="nil"/>
            </w:tcBorders>
            <w:shd w:val="clear" w:color="auto" w:fill="auto"/>
            <w:noWrap/>
            <w:vAlign w:val="bottom"/>
          </w:tcPr>
          <w:p w:rsidRPr="00BC53EC" w:rsidR="001E5E76" w:rsidP="001E5E76" w:rsidRDefault="001E5E76" w14:paraId="561B2FE1" w14:textId="2645F6AA">
            <w:pPr>
              <w:jc w:val="right"/>
              <w:rPr>
                <w:color w:val="000000"/>
              </w:rPr>
            </w:pPr>
            <w:r>
              <w:rPr>
                <w:rFonts w:ascii="Calibri" w:hAnsi="Calibri" w:cs="Calibri"/>
                <w:color w:val="000000"/>
                <w:sz w:val="22"/>
                <w:szCs w:val="22"/>
              </w:rPr>
              <w:t>0.6</w:t>
            </w:r>
          </w:p>
        </w:tc>
        <w:tc>
          <w:tcPr>
            <w:tcW w:w="1399" w:type="pct"/>
            <w:tcBorders>
              <w:top w:val="nil"/>
              <w:bottom w:val="nil"/>
            </w:tcBorders>
            <w:shd w:val="clear" w:color="auto" w:fill="auto"/>
            <w:noWrap/>
            <w:vAlign w:val="bottom"/>
          </w:tcPr>
          <w:p w:rsidRPr="00BC53EC" w:rsidR="001E5E76" w:rsidP="001E5E76" w:rsidRDefault="001E5E76" w14:paraId="6C08B1FD" w14:textId="61DA9B33">
            <w:pPr>
              <w:jc w:val="right"/>
              <w:rPr>
                <w:color w:val="000000"/>
              </w:rPr>
            </w:pPr>
            <w:r>
              <w:rPr>
                <w:rFonts w:ascii="Calibri" w:hAnsi="Calibri" w:cs="Calibri"/>
                <w:color w:val="000000"/>
                <w:sz w:val="22"/>
                <w:szCs w:val="22"/>
              </w:rPr>
              <w:t>0.5</w:t>
            </w:r>
          </w:p>
        </w:tc>
      </w:tr>
      <w:tr w:rsidRPr="00BC53EC" w:rsidR="001E5E76" w:rsidTr="00ED5D1E" w14:paraId="23CB85B1" w14:textId="77777777">
        <w:trPr>
          <w:trHeight w:val="300"/>
        </w:trPr>
        <w:tc>
          <w:tcPr>
            <w:tcW w:w="2115" w:type="pct"/>
            <w:tcBorders>
              <w:top w:val="nil"/>
              <w:bottom w:val="nil"/>
            </w:tcBorders>
            <w:shd w:val="clear" w:color="auto" w:fill="auto"/>
            <w:noWrap/>
            <w:vAlign w:val="bottom"/>
          </w:tcPr>
          <w:p w:rsidRPr="00BC53EC" w:rsidR="001E5E76" w:rsidP="001E5E76" w:rsidRDefault="001E5E76" w14:paraId="53C71394" w14:textId="5A1E0A22">
            <w:pPr>
              <w:rPr>
                <w:color w:val="000000"/>
              </w:rPr>
            </w:pPr>
            <w:r>
              <w:rPr>
                <w:rFonts w:ascii="Calibri" w:hAnsi="Calibri" w:cs="Calibri"/>
                <w:color w:val="000000"/>
                <w:sz w:val="22"/>
                <w:szCs w:val="22"/>
              </w:rPr>
              <w:t>New York</w:t>
            </w:r>
          </w:p>
        </w:tc>
        <w:tc>
          <w:tcPr>
            <w:tcW w:w="1486" w:type="pct"/>
            <w:tcBorders>
              <w:top w:val="nil"/>
              <w:bottom w:val="nil"/>
            </w:tcBorders>
            <w:shd w:val="clear" w:color="auto" w:fill="auto"/>
            <w:noWrap/>
            <w:vAlign w:val="bottom"/>
          </w:tcPr>
          <w:p w:rsidRPr="00BC53EC" w:rsidR="001E5E76" w:rsidP="001E5E76" w:rsidRDefault="001E5E76" w14:paraId="4D9E1A7A" w14:textId="5A3981FC">
            <w:pPr>
              <w:jc w:val="right"/>
              <w:rPr>
                <w:color w:val="000000"/>
              </w:rPr>
            </w:pPr>
            <w:r>
              <w:rPr>
                <w:rFonts w:ascii="Calibri" w:hAnsi="Calibri" w:cs="Calibri"/>
                <w:color w:val="000000"/>
                <w:sz w:val="22"/>
                <w:szCs w:val="22"/>
              </w:rPr>
              <w:t>0.9</w:t>
            </w:r>
          </w:p>
        </w:tc>
        <w:tc>
          <w:tcPr>
            <w:tcW w:w="1399" w:type="pct"/>
            <w:tcBorders>
              <w:top w:val="nil"/>
              <w:bottom w:val="nil"/>
            </w:tcBorders>
            <w:shd w:val="clear" w:color="auto" w:fill="auto"/>
            <w:noWrap/>
            <w:vAlign w:val="bottom"/>
          </w:tcPr>
          <w:p w:rsidRPr="00BC53EC" w:rsidR="001E5E76" w:rsidP="001E5E76" w:rsidRDefault="001E5E76" w14:paraId="456A8DB7" w14:textId="09EDDC9D">
            <w:pPr>
              <w:jc w:val="right"/>
              <w:rPr>
                <w:color w:val="000000"/>
              </w:rPr>
            </w:pPr>
            <w:r>
              <w:rPr>
                <w:rFonts w:ascii="Calibri" w:hAnsi="Calibri" w:cs="Calibri"/>
                <w:color w:val="000000"/>
                <w:sz w:val="22"/>
                <w:szCs w:val="22"/>
              </w:rPr>
              <w:t>0.5</w:t>
            </w:r>
          </w:p>
        </w:tc>
      </w:tr>
      <w:tr w:rsidRPr="00BC53EC" w:rsidR="001E5E76" w:rsidTr="00ED5D1E" w14:paraId="5DA2E461" w14:textId="77777777">
        <w:trPr>
          <w:trHeight w:val="300"/>
        </w:trPr>
        <w:tc>
          <w:tcPr>
            <w:tcW w:w="2115" w:type="pct"/>
            <w:tcBorders>
              <w:top w:val="nil"/>
              <w:bottom w:val="nil"/>
            </w:tcBorders>
            <w:shd w:val="clear" w:color="auto" w:fill="auto"/>
            <w:noWrap/>
            <w:vAlign w:val="bottom"/>
          </w:tcPr>
          <w:p w:rsidRPr="00BC53EC" w:rsidR="001E5E76" w:rsidP="001E5E76" w:rsidRDefault="001E5E76" w14:paraId="51D49378" w14:textId="7EED33EF">
            <w:pPr>
              <w:rPr>
                <w:color w:val="000000"/>
              </w:rPr>
            </w:pPr>
            <w:r>
              <w:rPr>
                <w:rFonts w:ascii="Calibri" w:hAnsi="Calibri" w:cs="Calibri"/>
                <w:color w:val="000000"/>
                <w:sz w:val="22"/>
                <w:szCs w:val="22"/>
              </w:rPr>
              <w:t>Kentucky</w:t>
            </w:r>
          </w:p>
        </w:tc>
        <w:tc>
          <w:tcPr>
            <w:tcW w:w="1486" w:type="pct"/>
            <w:tcBorders>
              <w:top w:val="nil"/>
              <w:bottom w:val="nil"/>
            </w:tcBorders>
            <w:shd w:val="clear" w:color="auto" w:fill="auto"/>
            <w:noWrap/>
            <w:vAlign w:val="bottom"/>
          </w:tcPr>
          <w:p w:rsidRPr="00BC53EC" w:rsidR="001E5E76" w:rsidP="001E5E76" w:rsidRDefault="001E5E76" w14:paraId="3058C102" w14:textId="65B9A2BD">
            <w:pPr>
              <w:jc w:val="right"/>
              <w:rPr>
                <w:color w:val="000000"/>
              </w:rPr>
            </w:pPr>
            <w:r>
              <w:rPr>
                <w:rFonts w:ascii="Calibri" w:hAnsi="Calibri" w:cs="Calibri"/>
                <w:color w:val="000000"/>
                <w:sz w:val="22"/>
                <w:szCs w:val="22"/>
              </w:rPr>
              <w:t>0.8</w:t>
            </w:r>
          </w:p>
        </w:tc>
        <w:tc>
          <w:tcPr>
            <w:tcW w:w="1399" w:type="pct"/>
            <w:tcBorders>
              <w:top w:val="nil"/>
              <w:bottom w:val="nil"/>
            </w:tcBorders>
            <w:shd w:val="clear" w:color="auto" w:fill="auto"/>
            <w:noWrap/>
            <w:vAlign w:val="bottom"/>
          </w:tcPr>
          <w:p w:rsidRPr="00BC53EC" w:rsidR="001E5E76" w:rsidP="001E5E76" w:rsidRDefault="001E5E76" w14:paraId="57F142F7" w14:textId="62A04403">
            <w:pPr>
              <w:jc w:val="right"/>
              <w:rPr>
                <w:color w:val="000000"/>
              </w:rPr>
            </w:pPr>
            <w:r>
              <w:rPr>
                <w:rFonts w:ascii="Calibri" w:hAnsi="Calibri" w:cs="Calibri"/>
                <w:color w:val="000000"/>
                <w:sz w:val="22"/>
                <w:szCs w:val="22"/>
              </w:rPr>
              <w:t>0.4</w:t>
            </w:r>
          </w:p>
        </w:tc>
      </w:tr>
      <w:tr w:rsidRPr="00BC53EC" w:rsidR="001E5E76" w:rsidTr="00ED5D1E" w14:paraId="1BDD79F5" w14:textId="77777777">
        <w:trPr>
          <w:trHeight w:val="300"/>
        </w:trPr>
        <w:tc>
          <w:tcPr>
            <w:tcW w:w="2115" w:type="pct"/>
            <w:tcBorders>
              <w:top w:val="nil"/>
              <w:bottom w:val="nil"/>
            </w:tcBorders>
            <w:shd w:val="clear" w:color="auto" w:fill="auto"/>
            <w:noWrap/>
            <w:vAlign w:val="bottom"/>
          </w:tcPr>
          <w:p w:rsidRPr="00BC53EC" w:rsidR="001E5E76" w:rsidP="001E5E76" w:rsidRDefault="001E5E76" w14:paraId="4D205798" w14:textId="10C4BE7F">
            <w:pPr>
              <w:rPr>
                <w:b/>
                <w:color w:val="000000"/>
              </w:rPr>
            </w:pPr>
            <w:r>
              <w:rPr>
                <w:rFonts w:ascii="Calibri" w:hAnsi="Calibri" w:cs="Calibri"/>
                <w:color w:val="000000"/>
                <w:sz w:val="22"/>
                <w:szCs w:val="22"/>
              </w:rPr>
              <w:t>Virginia</w:t>
            </w:r>
          </w:p>
        </w:tc>
        <w:tc>
          <w:tcPr>
            <w:tcW w:w="1486" w:type="pct"/>
            <w:tcBorders>
              <w:top w:val="nil"/>
              <w:bottom w:val="nil"/>
            </w:tcBorders>
            <w:shd w:val="clear" w:color="auto" w:fill="auto"/>
            <w:noWrap/>
            <w:vAlign w:val="bottom"/>
          </w:tcPr>
          <w:p w:rsidRPr="00BC53EC" w:rsidR="001E5E76" w:rsidP="001E5E76" w:rsidRDefault="001E5E76" w14:paraId="6FB1E710" w14:textId="66287E33">
            <w:pPr>
              <w:jc w:val="right"/>
              <w:rPr>
                <w:color w:val="000000"/>
              </w:rPr>
            </w:pPr>
            <w:r>
              <w:rPr>
                <w:rFonts w:ascii="Calibri" w:hAnsi="Calibri" w:cs="Calibri"/>
                <w:color w:val="000000"/>
                <w:sz w:val="22"/>
                <w:szCs w:val="22"/>
              </w:rPr>
              <w:t>0.8</w:t>
            </w:r>
          </w:p>
        </w:tc>
        <w:tc>
          <w:tcPr>
            <w:tcW w:w="1399" w:type="pct"/>
            <w:tcBorders>
              <w:top w:val="nil"/>
              <w:bottom w:val="nil"/>
            </w:tcBorders>
            <w:shd w:val="clear" w:color="auto" w:fill="auto"/>
            <w:noWrap/>
            <w:vAlign w:val="bottom"/>
          </w:tcPr>
          <w:p w:rsidRPr="00BC53EC" w:rsidR="001E5E76" w:rsidP="001E5E76" w:rsidRDefault="001E5E76" w14:paraId="16FA500B" w14:textId="1D222D02">
            <w:pPr>
              <w:jc w:val="right"/>
              <w:rPr>
                <w:color w:val="000000"/>
              </w:rPr>
            </w:pPr>
            <w:r>
              <w:rPr>
                <w:rFonts w:ascii="Calibri" w:hAnsi="Calibri" w:cs="Calibri"/>
                <w:color w:val="000000"/>
                <w:sz w:val="22"/>
                <w:szCs w:val="22"/>
              </w:rPr>
              <w:t>0.4</w:t>
            </w:r>
          </w:p>
        </w:tc>
      </w:tr>
      <w:tr w:rsidRPr="00BC53EC" w:rsidR="001E5E76" w:rsidTr="00ED5D1E" w14:paraId="4420AB30" w14:textId="77777777">
        <w:trPr>
          <w:trHeight w:val="300"/>
        </w:trPr>
        <w:tc>
          <w:tcPr>
            <w:tcW w:w="2115" w:type="pct"/>
            <w:tcBorders>
              <w:top w:val="nil"/>
              <w:bottom w:val="nil"/>
            </w:tcBorders>
            <w:shd w:val="clear" w:color="auto" w:fill="auto"/>
            <w:noWrap/>
            <w:vAlign w:val="bottom"/>
          </w:tcPr>
          <w:p w:rsidRPr="00125AE0" w:rsidR="001E5E76" w:rsidP="001E5E76" w:rsidRDefault="001E5E76" w14:paraId="4A73F12A" w14:textId="5A825ACE">
            <w:pPr>
              <w:rPr>
                <w:b/>
                <w:color w:val="000000"/>
              </w:rPr>
            </w:pPr>
            <w:r w:rsidRPr="00ED5D1E">
              <w:rPr>
                <w:rFonts w:ascii="Calibri" w:hAnsi="Calibri" w:cs="Calibri"/>
                <w:b/>
                <w:color w:val="000000"/>
                <w:sz w:val="22"/>
                <w:szCs w:val="22"/>
              </w:rPr>
              <w:t>Idaho</w:t>
            </w:r>
          </w:p>
        </w:tc>
        <w:tc>
          <w:tcPr>
            <w:tcW w:w="1486" w:type="pct"/>
            <w:tcBorders>
              <w:top w:val="nil"/>
              <w:bottom w:val="nil"/>
            </w:tcBorders>
            <w:shd w:val="clear" w:color="auto" w:fill="auto"/>
            <w:noWrap/>
            <w:vAlign w:val="bottom"/>
          </w:tcPr>
          <w:p w:rsidRPr="00ED5D1E" w:rsidR="001E5E76" w:rsidP="001E5E76" w:rsidRDefault="001E5E76" w14:paraId="1E7DC298" w14:textId="0B716AD7">
            <w:pPr>
              <w:jc w:val="right"/>
              <w:rPr>
                <w:b/>
                <w:color w:val="000000"/>
              </w:rPr>
            </w:pPr>
            <w:r w:rsidRPr="00ED5D1E">
              <w:rPr>
                <w:rFonts w:ascii="Calibri" w:hAnsi="Calibri" w:cs="Calibri"/>
                <w:b/>
                <w:color w:val="000000"/>
                <w:sz w:val="22"/>
                <w:szCs w:val="22"/>
              </w:rPr>
              <w:t>0.4</w:t>
            </w:r>
          </w:p>
        </w:tc>
        <w:tc>
          <w:tcPr>
            <w:tcW w:w="1399" w:type="pct"/>
            <w:tcBorders>
              <w:top w:val="nil"/>
              <w:bottom w:val="nil"/>
            </w:tcBorders>
            <w:shd w:val="clear" w:color="auto" w:fill="auto"/>
            <w:noWrap/>
            <w:vAlign w:val="bottom"/>
          </w:tcPr>
          <w:p w:rsidRPr="00ED5D1E" w:rsidR="001E5E76" w:rsidP="001E5E76" w:rsidRDefault="001E5E76" w14:paraId="599F021B" w14:textId="74F4E428">
            <w:pPr>
              <w:jc w:val="right"/>
              <w:rPr>
                <w:b/>
                <w:color w:val="000000"/>
              </w:rPr>
            </w:pPr>
            <w:r w:rsidRPr="00ED5D1E">
              <w:rPr>
                <w:rFonts w:ascii="Calibri" w:hAnsi="Calibri" w:cs="Calibri"/>
                <w:b/>
                <w:color w:val="000000"/>
                <w:sz w:val="22"/>
                <w:szCs w:val="22"/>
              </w:rPr>
              <w:t>0.4</w:t>
            </w:r>
          </w:p>
        </w:tc>
      </w:tr>
      <w:tr w:rsidRPr="00BC53EC" w:rsidR="001E5E76" w:rsidTr="00ED5D1E" w14:paraId="20843CE9" w14:textId="77777777">
        <w:trPr>
          <w:trHeight w:val="300"/>
        </w:trPr>
        <w:tc>
          <w:tcPr>
            <w:tcW w:w="2115" w:type="pct"/>
            <w:tcBorders>
              <w:top w:val="nil"/>
            </w:tcBorders>
            <w:shd w:val="clear" w:color="auto" w:fill="auto"/>
            <w:noWrap/>
            <w:vAlign w:val="bottom"/>
          </w:tcPr>
          <w:p w:rsidRPr="00B70F41" w:rsidR="001E5E76" w:rsidP="001E5E76" w:rsidRDefault="001E5E76" w14:paraId="272924D1" w14:textId="6DD7D5D7">
            <w:pPr>
              <w:rPr>
                <w:b/>
                <w:color w:val="000000"/>
              </w:rPr>
            </w:pPr>
            <w:r w:rsidRPr="00ED5D1E">
              <w:rPr>
                <w:rFonts w:ascii="Calibri" w:hAnsi="Calibri" w:cs="Calibri"/>
                <w:b/>
                <w:color w:val="000000"/>
                <w:sz w:val="22"/>
                <w:szCs w:val="22"/>
              </w:rPr>
              <w:t>California</w:t>
            </w:r>
          </w:p>
        </w:tc>
        <w:tc>
          <w:tcPr>
            <w:tcW w:w="1486" w:type="pct"/>
            <w:tcBorders>
              <w:top w:val="nil"/>
            </w:tcBorders>
            <w:shd w:val="clear" w:color="auto" w:fill="auto"/>
            <w:noWrap/>
            <w:vAlign w:val="bottom"/>
          </w:tcPr>
          <w:p w:rsidRPr="00ED5D1E" w:rsidR="001E5E76" w:rsidP="001E5E76" w:rsidRDefault="001E5E76" w14:paraId="707624F0" w14:textId="7E8F515A">
            <w:pPr>
              <w:jc w:val="right"/>
              <w:rPr>
                <w:b/>
                <w:color w:val="000000"/>
              </w:rPr>
            </w:pPr>
            <w:r w:rsidRPr="00ED5D1E">
              <w:rPr>
                <w:rFonts w:ascii="Calibri" w:hAnsi="Calibri" w:cs="Calibri"/>
                <w:b/>
                <w:color w:val="000000"/>
                <w:sz w:val="22"/>
                <w:szCs w:val="22"/>
              </w:rPr>
              <w:t>0.2</w:t>
            </w:r>
          </w:p>
        </w:tc>
        <w:tc>
          <w:tcPr>
            <w:tcW w:w="1399" w:type="pct"/>
            <w:tcBorders>
              <w:top w:val="nil"/>
            </w:tcBorders>
            <w:shd w:val="clear" w:color="auto" w:fill="auto"/>
            <w:noWrap/>
            <w:vAlign w:val="bottom"/>
          </w:tcPr>
          <w:p w:rsidRPr="00ED5D1E" w:rsidR="001E5E76" w:rsidP="001E5E76" w:rsidRDefault="001E5E76" w14:paraId="7F74022C" w14:textId="7DFFF481">
            <w:pPr>
              <w:jc w:val="right"/>
              <w:rPr>
                <w:b/>
                <w:color w:val="000000"/>
              </w:rPr>
            </w:pPr>
            <w:r w:rsidRPr="00ED5D1E">
              <w:rPr>
                <w:rFonts w:ascii="Calibri" w:hAnsi="Calibri" w:cs="Calibri"/>
                <w:b/>
                <w:color w:val="000000"/>
                <w:sz w:val="22"/>
                <w:szCs w:val="22"/>
              </w:rPr>
              <w:t>0.3</w:t>
            </w:r>
          </w:p>
        </w:tc>
      </w:tr>
      <w:tr w:rsidRPr="00BC53EC" w:rsidR="001E5E76" w:rsidTr="00294C30" w14:paraId="5B24F58A" w14:textId="77777777">
        <w:trPr>
          <w:trHeight w:val="300"/>
        </w:trPr>
        <w:tc>
          <w:tcPr>
            <w:tcW w:w="2115" w:type="pct"/>
            <w:shd w:val="clear" w:color="auto" w:fill="auto"/>
            <w:noWrap/>
            <w:vAlign w:val="bottom"/>
          </w:tcPr>
          <w:p w:rsidRPr="00ED5D1E" w:rsidR="001E5E76" w:rsidP="001E5E76" w:rsidRDefault="001E5E76" w14:paraId="704A1B5E" w14:textId="2FE6DBF8">
            <w:pPr>
              <w:rPr>
                <w:color w:val="000000"/>
              </w:rPr>
            </w:pPr>
            <w:r w:rsidRPr="00125AE0">
              <w:rPr>
                <w:rFonts w:ascii="Calibri" w:hAnsi="Calibri" w:cs="Calibri"/>
                <w:color w:val="000000"/>
                <w:sz w:val="22"/>
                <w:szCs w:val="22"/>
              </w:rPr>
              <w:t>Oklahoma</w:t>
            </w:r>
          </w:p>
        </w:tc>
        <w:tc>
          <w:tcPr>
            <w:tcW w:w="1486" w:type="pct"/>
            <w:shd w:val="clear" w:color="auto" w:fill="auto"/>
            <w:noWrap/>
            <w:vAlign w:val="bottom"/>
          </w:tcPr>
          <w:p w:rsidRPr="00125AE0" w:rsidR="001E5E76" w:rsidP="001E5E76" w:rsidRDefault="001E5E76" w14:paraId="6608C940" w14:textId="3566DD67">
            <w:pPr>
              <w:jc w:val="right"/>
              <w:rPr>
                <w:color w:val="000000"/>
              </w:rPr>
            </w:pPr>
            <w:r w:rsidRPr="00125AE0">
              <w:rPr>
                <w:rFonts w:ascii="Calibri" w:hAnsi="Calibri" w:cs="Calibri"/>
                <w:color w:val="000000"/>
                <w:sz w:val="22"/>
                <w:szCs w:val="22"/>
              </w:rPr>
              <w:t>0.4</w:t>
            </w:r>
          </w:p>
        </w:tc>
        <w:tc>
          <w:tcPr>
            <w:tcW w:w="1399" w:type="pct"/>
            <w:shd w:val="clear" w:color="auto" w:fill="auto"/>
            <w:noWrap/>
            <w:vAlign w:val="bottom"/>
          </w:tcPr>
          <w:p w:rsidRPr="00125AE0" w:rsidR="001E5E76" w:rsidP="001E5E76" w:rsidRDefault="001E5E76" w14:paraId="7A1D8FDC" w14:textId="65BE8693">
            <w:pPr>
              <w:jc w:val="right"/>
              <w:rPr>
                <w:color w:val="000000"/>
              </w:rPr>
            </w:pPr>
            <w:r w:rsidRPr="00125AE0">
              <w:rPr>
                <w:rFonts w:ascii="Calibri" w:hAnsi="Calibri" w:cs="Calibri"/>
                <w:color w:val="000000"/>
                <w:sz w:val="22"/>
                <w:szCs w:val="22"/>
              </w:rPr>
              <w:t>0.2</w:t>
            </w:r>
          </w:p>
        </w:tc>
      </w:tr>
      <w:tr w:rsidRPr="00BC53EC" w:rsidR="001E5E76" w:rsidTr="00294C30" w14:paraId="20359B86" w14:textId="77777777">
        <w:trPr>
          <w:trHeight w:val="300"/>
        </w:trPr>
        <w:tc>
          <w:tcPr>
            <w:tcW w:w="2115" w:type="pct"/>
            <w:shd w:val="clear" w:color="auto" w:fill="auto"/>
            <w:noWrap/>
            <w:vAlign w:val="bottom"/>
          </w:tcPr>
          <w:p w:rsidRPr="00BC53EC" w:rsidR="001E5E76" w:rsidP="001E5E76" w:rsidRDefault="001E5E76" w14:paraId="77FFB484" w14:textId="56FE6C2E">
            <w:pPr>
              <w:rPr>
                <w:b/>
                <w:color w:val="000000"/>
              </w:rPr>
            </w:pPr>
            <w:r>
              <w:rPr>
                <w:rFonts w:ascii="Calibri" w:hAnsi="Calibri" w:cs="Calibri"/>
                <w:color w:val="000000"/>
                <w:sz w:val="22"/>
                <w:szCs w:val="22"/>
              </w:rPr>
              <w:t>Oregon</w:t>
            </w:r>
          </w:p>
        </w:tc>
        <w:tc>
          <w:tcPr>
            <w:tcW w:w="1486" w:type="pct"/>
            <w:shd w:val="clear" w:color="auto" w:fill="auto"/>
            <w:noWrap/>
            <w:vAlign w:val="bottom"/>
          </w:tcPr>
          <w:p w:rsidRPr="00BC53EC" w:rsidR="001E5E76" w:rsidP="001E5E76" w:rsidRDefault="001E5E76" w14:paraId="27BD245D" w14:textId="2B8759DC">
            <w:pPr>
              <w:jc w:val="right"/>
              <w:rPr>
                <w:color w:val="000000"/>
              </w:rPr>
            </w:pPr>
            <w:r>
              <w:rPr>
                <w:rFonts w:ascii="Calibri" w:hAnsi="Calibri" w:cs="Calibri"/>
                <w:color w:val="000000"/>
                <w:sz w:val="22"/>
                <w:szCs w:val="22"/>
              </w:rPr>
              <w:t>0.4</w:t>
            </w:r>
          </w:p>
        </w:tc>
        <w:tc>
          <w:tcPr>
            <w:tcW w:w="1399" w:type="pct"/>
            <w:shd w:val="clear" w:color="auto" w:fill="auto"/>
            <w:noWrap/>
            <w:vAlign w:val="bottom"/>
          </w:tcPr>
          <w:p w:rsidRPr="00BC53EC" w:rsidR="001E5E76" w:rsidP="001E5E76" w:rsidRDefault="001E5E76" w14:paraId="1E28D9BB" w14:textId="44932945">
            <w:pPr>
              <w:jc w:val="right"/>
              <w:rPr>
                <w:color w:val="000000"/>
              </w:rPr>
            </w:pPr>
            <w:r>
              <w:rPr>
                <w:rFonts w:ascii="Calibri" w:hAnsi="Calibri" w:cs="Calibri"/>
                <w:color w:val="000000"/>
                <w:sz w:val="22"/>
                <w:szCs w:val="22"/>
              </w:rPr>
              <w:t>0.2</w:t>
            </w:r>
          </w:p>
        </w:tc>
      </w:tr>
      <w:tr w:rsidRPr="00BC53EC" w:rsidR="001E5E76" w:rsidTr="00294C30" w14:paraId="5A7E7890" w14:textId="77777777">
        <w:trPr>
          <w:trHeight w:val="300"/>
        </w:trPr>
        <w:tc>
          <w:tcPr>
            <w:tcW w:w="2115" w:type="pct"/>
            <w:shd w:val="clear" w:color="auto" w:fill="auto"/>
            <w:noWrap/>
            <w:vAlign w:val="bottom"/>
          </w:tcPr>
          <w:p w:rsidRPr="00BC53EC" w:rsidR="001E5E76" w:rsidP="001E5E76" w:rsidRDefault="001E5E76" w14:paraId="59ED0AFE" w14:textId="18C41098">
            <w:pPr>
              <w:rPr>
                <w:b/>
                <w:color w:val="000000"/>
              </w:rPr>
            </w:pPr>
            <w:r>
              <w:rPr>
                <w:rFonts w:ascii="Calibri" w:hAnsi="Calibri" w:cs="Calibri"/>
                <w:color w:val="000000"/>
                <w:sz w:val="22"/>
                <w:szCs w:val="22"/>
              </w:rPr>
              <w:t>Maryland</w:t>
            </w:r>
          </w:p>
        </w:tc>
        <w:tc>
          <w:tcPr>
            <w:tcW w:w="1486" w:type="pct"/>
            <w:shd w:val="clear" w:color="auto" w:fill="auto"/>
            <w:noWrap/>
            <w:vAlign w:val="bottom"/>
          </w:tcPr>
          <w:p w:rsidRPr="00BC53EC" w:rsidR="001E5E76" w:rsidP="001E5E76" w:rsidRDefault="001E5E76" w14:paraId="75CBA4D6" w14:textId="74984FF7">
            <w:pPr>
              <w:jc w:val="right"/>
              <w:rPr>
                <w:color w:val="000000"/>
              </w:rPr>
            </w:pPr>
            <w:r>
              <w:rPr>
                <w:rFonts w:ascii="Calibri" w:hAnsi="Calibri" w:cs="Calibri"/>
                <w:color w:val="000000"/>
                <w:sz w:val="22"/>
                <w:szCs w:val="22"/>
              </w:rPr>
              <w:t>0.3</w:t>
            </w:r>
          </w:p>
        </w:tc>
        <w:tc>
          <w:tcPr>
            <w:tcW w:w="1399" w:type="pct"/>
            <w:shd w:val="clear" w:color="auto" w:fill="auto"/>
            <w:noWrap/>
            <w:vAlign w:val="bottom"/>
          </w:tcPr>
          <w:p w:rsidRPr="00BC53EC" w:rsidR="001E5E76" w:rsidP="001E5E76" w:rsidRDefault="001E5E76" w14:paraId="207F9B88" w14:textId="57BC8050">
            <w:pPr>
              <w:jc w:val="right"/>
              <w:rPr>
                <w:color w:val="000000"/>
              </w:rPr>
            </w:pPr>
            <w:r>
              <w:rPr>
                <w:rFonts w:ascii="Calibri" w:hAnsi="Calibri" w:cs="Calibri"/>
                <w:color w:val="000000"/>
                <w:sz w:val="22"/>
                <w:szCs w:val="22"/>
              </w:rPr>
              <w:t>0.1</w:t>
            </w:r>
          </w:p>
        </w:tc>
      </w:tr>
      <w:tr w:rsidRPr="00BC53EC" w:rsidR="001E5E76" w:rsidTr="00294C30" w14:paraId="57078BB8" w14:textId="77777777">
        <w:trPr>
          <w:trHeight w:val="300"/>
        </w:trPr>
        <w:tc>
          <w:tcPr>
            <w:tcW w:w="2115" w:type="pct"/>
            <w:shd w:val="clear" w:color="auto" w:fill="auto"/>
            <w:noWrap/>
            <w:vAlign w:val="bottom"/>
          </w:tcPr>
          <w:p w:rsidRPr="00BC53EC" w:rsidR="001E5E76" w:rsidP="001E5E76" w:rsidRDefault="001E5E76" w14:paraId="1E5BFA0D" w14:textId="5D9F580F">
            <w:pPr>
              <w:rPr>
                <w:b/>
                <w:color w:val="000000"/>
              </w:rPr>
            </w:pPr>
            <w:r>
              <w:rPr>
                <w:rFonts w:ascii="Calibri" w:hAnsi="Calibri" w:cs="Calibri"/>
                <w:color w:val="000000"/>
                <w:sz w:val="22"/>
                <w:szCs w:val="22"/>
              </w:rPr>
              <w:t>Washington</w:t>
            </w:r>
          </w:p>
        </w:tc>
        <w:tc>
          <w:tcPr>
            <w:tcW w:w="1486" w:type="pct"/>
            <w:shd w:val="clear" w:color="auto" w:fill="auto"/>
            <w:noWrap/>
            <w:vAlign w:val="bottom"/>
          </w:tcPr>
          <w:p w:rsidRPr="00BC53EC" w:rsidR="001E5E76" w:rsidP="001E5E76" w:rsidRDefault="001E5E76" w14:paraId="49948769" w14:textId="30379091">
            <w:pPr>
              <w:jc w:val="right"/>
              <w:rPr>
                <w:color w:val="000000"/>
              </w:rPr>
            </w:pPr>
            <w:r>
              <w:rPr>
                <w:rFonts w:ascii="Calibri" w:hAnsi="Calibri" w:cs="Calibri"/>
                <w:color w:val="000000"/>
                <w:sz w:val="22"/>
                <w:szCs w:val="22"/>
              </w:rPr>
              <w:t>0.2</w:t>
            </w:r>
          </w:p>
        </w:tc>
        <w:tc>
          <w:tcPr>
            <w:tcW w:w="1399" w:type="pct"/>
            <w:shd w:val="clear" w:color="auto" w:fill="auto"/>
            <w:noWrap/>
            <w:vAlign w:val="bottom"/>
          </w:tcPr>
          <w:p w:rsidRPr="00BC53EC" w:rsidR="001E5E76" w:rsidP="001E5E76" w:rsidRDefault="001E5E76" w14:paraId="621B93F2" w14:textId="667F1151">
            <w:pPr>
              <w:jc w:val="right"/>
              <w:rPr>
                <w:color w:val="000000"/>
              </w:rPr>
            </w:pPr>
            <w:r>
              <w:rPr>
                <w:rFonts w:ascii="Calibri" w:hAnsi="Calibri" w:cs="Calibri"/>
                <w:color w:val="000000"/>
                <w:sz w:val="22"/>
                <w:szCs w:val="22"/>
              </w:rPr>
              <w:t>0.1</w:t>
            </w:r>
          </w:p>
        </w:tc>
      </w:tr>
      <w:tr w:rsidRPr="00BC53EC" w:rsidR="001E5E76" w:rsidTr="00294C30" w14:paraId="5DB7723C" w14:textId="77777777">
        <w:trPr>
          <w:trHeight w:val="300"/>
        </w:trPr>
        <w:tc>
          <w:tcPr>
            <w:tcW w:w="2115" w:type="pct"/>
            <w:shd w:val="clear" w:color="auto" w:fill="auto"/>
            <w:noWrap/>
            <w:vAlign w:val="bottom"/>
          </w:tcPr>
          <w:p w:rsidRPr="00BC53EC" w:rsidR="001E5E76" w:rsidP="001E5E76" w:rsidRDefault="001E5E76" w14:paraId="2CEF9495" w14:textId="7C04CE0D">
            <w:pPr>
              <w:rPr>
                <w:b/>
                <w:color w:val="000000"/>
              </w:rPr>
            </w:pPr>
            <w:r>
              <w:rPr>
                <w:rFonts w:ascii="Calibri" w:hAnsi="Calibri" w:cs="Calibri"/>
                <w:color w:val="000000"/>
                <w:sz w:val="22"/>
                <w:szCs w:val="22"/>
              </w:rPr>
              <w:t>New Mexico</w:t>
            </w:r>
          </w:p>
        </w:tc>
        <w:tc>
          <w:tcPr>
            <w:tcW w:w="1486" w:type="pct"/>
            <w:shd w:val="clear" w:color="auto" w:fill="auto"/>
            <w:noWrap/>
            <w:vAlign w:val="bottom"/>
          </w:tcPr>
          <w:p w:rsidRPr="00BC53EC" w:rsidR="001E5E76" w:rsidP="001E5E76" w:rsidRDefault="001E5E76" w14:paraId="7E23E5FA" w14:textId="24B35A37">
            <w:pPr>
              <w:jc w:val="right"/>
              <w:rPr>
                <w:color w:val="000000"/>
              </w:rPr>
            </w:pPr>
            <w:r>
              <w:rPr>
                <w:rFonts w:ascii="Calibri" w:hAnsi="Calibri" w:cs="Calibri"/>
                <w:color w:val="000000"/>
                <w:sz w:val="22"/>
                <w:szCs w:val="22"/>
              </w:rPr>
              <w:t>0.1</w:t>
            </w:r>
          </w:p>
        </w:tc>
        <w:tc>
          <w:tcPr>
            <w:tcW w:w="1399" w:type="pct"/>
            <w:shd w:val="clear" w:color="auto" w:fill="auto"/>
            <w:noWrap/>
            <w:vAlign w:val="bottom"/>
          </w:tcPr>
          <w:p w:rsidRPr="00BC53EC" w:rsidR="001E5E76" w:rsidP="001E5E76" w:rsidRDefault="001E5E76" w14:paraId="423A9D75" w14:textId="73555107">
            <w:pPr>
              <w:jc w:val="right"/>
              <w:rPr>
                <w:color w:val="000000"/>
              </w:rPr>
            </w:pPr>
            <w:r>
              <w:rPr>
                <w:rFonts w:ascii="Calibri" w:hAnsi="Calibri" w:cs="Calibri"/>
                <w:color w:val="000000"/>
                <w:sz w:val="22"/>
                <w:szCs w:val="22"/>
              </w:rPr>
              <w:t>0.1</w:t>
            </w:r>
          </w:p>
        </w:tc>
      </w:tr>
      <w:tr w:rsidRPr="00BC53EC" w:rsidR="001E5E76" w:rsidTr="00294C30" w14:paraId="61BE488C" w14:textId="77777777">
        <w:trPr>
          <w:trHeight w:val="300"/>
        </w:trPr>
        <w:tc>
          <w:tcPr>
            <w:tcW w:w="2115" w:type="pct"/>
            <w:shd w:val="clear" w:color="auto" w:fill="auto"/>
            <w:noWrap/>
            <w:vAlign w:val="bottom"/>
          </w:tcPr>
          <w:p w:rsidRPr="00BC53EC" w:rsidR="001E5E76" w:rsidP="001E5E76" w:rsidRDefault="001E5E76" w14:paraId="2810BF7E" w14:textId="44018DE2">
            <w:pPr>
              <w:rPr>
                <w:b/>
                <w:color w:val="000000"/>
              </w:rPr>
            </w:pPr>
            <w:r>
              <w:rPr>
                <w:rFonts w:ascii="Calibri" w:hAnsi="Calibri" w:cs="Calibri"/>
                <w:color w:val="000000"/>
                <w:sz w:val="22"/>
                <w:szCs w:val="22"/>
              </w:rPr>
              <w:lastRenderedPageBreak/>
              <w:t>North Carolina</w:t>
            </w:r>
          </w:p>
        </w:tc>
        <w:tc>
          <w:tcPr>
            <w:tcW w:w="1486" w:type="pct"/>
            <w:shd w:val="clear" w:color="auto" w:fill="auto"/>
            <w:noWrap/>
            <w:vAlign w:val="bottom"/>
          </w:tcPr>
          <w:p w:rsidRPr="00BC53EC" w:rsidR="001E5E76" w:rsidP="001E5E76" w:rsidRDefault="001E5E76" w14:paraId="258F00DE" w14:textId="7D263987">
            <w:pPr>
              <w:jc w:val="right"/>
              <w:rPr>
                <w:color w:val="000000"/>
              </w:rPr>
            </w:pPr>
            <w:r>
              <w:rPr>
                <w:rFonts w:ascii="Calibri" w:hAnsi="Calibri" w:cs="Calibri"/>
                <w:color w:val="000000"/>
                <w:sz w:val="22"/>
                <w:szCs w:val="22"/>
              </w:rPr>
              <w:t>0.1</w:t>
            </w:r>
          </w:p>
        </w:tc>
        <w:tc>
          <w:tcPr>
            <w:tcW w:w="1399" w:type="pct"/>
            <w:shd w:val="clear" w:color="auto" w:fill="auto"/>
            <w:noWrap/>
            <w:vAlign w:val="bottom"/>
          </w:tcPr>
          <w:p w:rsidRPr="00BC53EC" w:rsidR="001E5E76" w:rsidP="001E5E76" w:rsidRDefault="001E5E76" w14:paraId="7A21120C" w14:textId="68A33FCE">
            <w:pPr>
              <w:jc w:val="right"/>
              <w:rPr>
                <w:color w:val="000000"/>
              </w:rPr>
            </w:pPr>
            <w:r>
              <w:rPr>
                <w:rFonts w:ascii="Calibri" w:hAnsi="Calibri" w:cs="Calibri"/>
                <w:color w:val="000000"/>
                <w:sz w:val="22"/>
                <w:szCs w:val="22"/>
              </w:rPr>
              <w:t>0.1</w:t>
            </w:r>
          </w:p>
        </w:tc>
      </w:tr>
      <w:tr w:rsidRPr="00BC53EC" w:rsidR="001E5E76" w:rsidTr="00294C30" w14:paraId="221CB6CE" w14:textId="77777777">
        <w:trPr>
          <w:trHeight w:val="300"/>
        </w:trPr>
        <w:tc>
          <w:tcPr>
            <w:tcW w:w="2115" w:type="pct"/>
            <w:shd w:val="clear" w:color="auto" w:fill="auto"/>
            <w:noWrap/>
            <w:vAlign w:val="bottom"/>
          </w:tcPr>
          <w:p w:rsidRPr="00BC53EC" w:rsidR="001E5E76" w:rsidP="001E5E76" w:rsidRDefault="001E5E76" w14:paraId="440F9855" w14:textId="24B5E0FB">
            <w:pPr>
              <w:rPr>
                <w:b/>
                <w:color w:val="000000"/>
              </w:rPr>
            </w:pPr>
            <w:r>
              <w:rPr>
                <w:rFonts w:ascii="Calibri" w:hAnsi="Calibri" w:cs="Calibri"/>
                <w:color w:val="000000"/>
                <w:sz w:val="22"/>
                <w:szCs w:val="22"/>
              </w:rPr>
              <w:t>Nevada</w:t>
            </w:r>
          </w:p>
        </w:tc>
        <w:tc>
          <w:tcPr>
            <w:tcW w:w="1486" w:type="pct"/>
            <w:shd w:val="clear" w:color="auto" w:fill="auto"/>
            <w:noWrap/>
            <w:vAlign w:val="bottom"/>
          </w:tcPr>
          <w:p w:rsidRPr="00BC53EC" w:rsidR="001E5E76" w:rsidP="001E5E76" w:rsidRDefault="001E5E76" w14:paraId="2553D8AF" w14:textId="2866923C">
            <w:pPr>
              <w:jc w:val="right"/>
              <w:rPr>
                <w:color w:val="000000"/>
              </w:rPr>
            </w:pPr>
            <w:r>
              <w:rPr>
                <w:rFonts w:ascii="Calibri" w:hAnsi="Calibri" w:cs="Calibri"/>
                <w:color w:val="000000"/>
                <w:sz w:val="22"/>
                <w:szCs w:val="22"/>
              </w:rPr>
              <w:t>0.1</w:t>
            </w:r>
          </w:p>
        </w:tc>
        <w:tc>
          <w:tcPr>
            <w:tcW w:w="1399" w:type="pct"/>
            <w:shd w:val="clear" w:color="auto" w:fill="auto"/>
            <w:noWrap/>
            <w:vAlign w:val="bottom"/>
          </w:tcPr>
          <w:p w:rsidRPr="00BC53EC" w:rsidR="001E5E76" w:rsidP="001E5E76" w:rsidRDefault="001E5E76" w14:paraId="1CAC8951" w14:textId="0C6B88C4">
            <w:pPr>
              <w:jc w:val="right"/>
              <w:rPr>
                <w:color w:val="000000"/>
              </w:rPr>
            </w:pPr>
            <w:r>
              <w:rPr>
                <w:rFonts w:ascii="Calibri" w:hAnsi="Calibri" w:cs="Calibri"/>
                <w:color w:val="000000"/>
                <w:sz w:val="22"/>
                <w:szCs w:val="22"/>
              </w:rPr>
              <w:t>0.1</w:t>
            </w:r>
          </w:p>
        </w:tc>
      </w:tr>
      <w:tr w:rsidRPr="00BC53EC" w:rsidR="001E5E76" w:rsidTr="00294C30" w14:paraId="2FE0BFC0" w14:textId="77777777">
        <w:trPr>
          <w:trHeight w:val="300"/>
        </w:trPr>
        <w:tc>
          <w:tcPr>
            <w:tcW w:w="2115" w:type="pct"/>
            <w:shd w:val="clear" w:color="auto" w:fill="auto"/>
            <w:noWrap/>
            <w:vAlign w:val="bottom"/>
          </w:tcPr>
          <w:p w:rsidRPr="00BC53EC" w:rsidR="001E5E76" w:rsidP="001E5E76" w:rsidRDefault="001E5E76" w14:paraId="60578CC1" w14:textId="2D9F7363">
            <w:pPr>
              <w:rPr>
                <w:b/>
                <w:color w:val="000000"/>
              </w:rPr>
            </w:pPr>
            <w:r>
              <w:rPr>
                <w:rFonts w:ascii="Calibri" w:hAnsi="Calibri" w:cs="Calibri"/>
                <w:color w:val="000000"/>
                <w:sz w:val="22"/>
                <w:szCs w:val="22"/>
              </w:rPr>
              <w:t>West Virginia</w:t>
            </w:r>
          </w:p>
        </w:tc>
        <w:tc>
          <w:tcPr>
            <w:tcW w:w="1486" w:type="pct"/>
            <w:shd w:val="clear" w:color="auto" w:fill="auto"/>
            <w:noWrap/>
            <w:vAlign w:val="bottom"/>
          </w:tcPr>
          <w:p w:rsidRPr="00BC53EC" w:rsidR="001E5E76" w:rsidP="001E5E76" w:rsidRDefault="001E5E76" w14:paraId="19BFC146" w14:textId="55755C6B">
            <w:pPr>
              <w:jc w:val="right"/>
              <w:rPr>
                <w:color w:val="000000"/>
              </w:rPr>
            </w:pPr>
            <w:r>
              <w:rPr>
                <w:rFonts w:ascii="Calibri" w:hAnsi="Calibri" w:cs="Calibri"/>
                <w:color w:val="000000"/>
                <w:sz w:val="22"/>
                <w:szCs w:val="22"/>
              </w:rPr>
              <w:t>0.1</w:t>
            </w:r>
          </w:p>
        </w:tc>
        <w:tc>
          <w:tcPr>
            <w:tcW w:w="1399" w:type="pct"/>
            <w:shd w:val="clear" w:color="auto" w:fill="auto"/>
            <w:noWrap/>
            <w:vAlign w:val="bottom"/>
          </w:tcPr>
          <w:p w:rsidRPr="00BC53EC" w:rsidR="001E5E76" w:rsidP="001E5E76" w:rsidRDefault="001E5E76" w14:paraId="6C666940" w14:textId="1F6A6785">
            <w:pPr>
              <w:jc w:val="right"/>
              <w:rPr>
                <w:color w:val="000000"/>
              </w:rPr>
            </w:pPr>
            <w:r>
              <w:rPr>
                <w:rFonts w:ascii="Calibri" w:hAnsi="Calibri" w:cs="Calibri"/>
                <w:color w:val="000000"/>
                <w:sz w:val="22"/>
                <w:szCs w:val="22"/>
              </w:rPr>
              <w:t>0.0</w:t>
            </w:r>
          </w:p>
        </w:tc>
      </w:tr>
      <w:tr w:rsidRPr="00BC53EC" w:rsidR="001E5E76" w:rsidTr="00294C30" w14:paraId="5150C790" w14:textId="77777777">
        <w:trPr>
          <w:trHeight w:val="300"/>
        </w:trPr>
        <w:tc>
          <w:tcPr>
            <w:tcW w:w="2115" w:type="pct"/>
            <w:shd w:val="clear" w:color="auto" w:fill="auto"/>
            <w:noWrap/>
            <w:vAlign w:val="bottom"/>
          </w:tcPr>
          <w:p w:rsidRPr="00BC53EC" w:rsidR="001E5E76" w:rsidP="001E5E76" w:rsidRDefault="001E5E76" w14:paraId="721229D6" w14:textId="64F6A968">
            <w:pPr>
              <w:rPr>
                <w:b/>
                <w:color w:val="000000"/>
              </w:rPr>
            </w:pPr>
            <w:r>
              <w:rPr>
                <w:rFonts w:ascii="Calibri" w:hAnsi="Calibri" w:cs="Calibri"/>
                <w:color w:val="000000"/>
                <w:sz w:val="22"/>
                <w:szCs w:val="22"/>
              </w:rPr>
              <w:t>Arizona</w:t>
            </w:r>
          </w:p>
        </w:tc>
        <w:tc>
          <w:tcPr>
            <w:tcW w:w="1486" w:type="pct"/>
            <w:shd w:val="clear" w:color="auto" w:fill="auto"/>
            <w:noWrap/>
            <w:vAlign w:val="bottom"/>
          </w:tcPr>
          <w:p w:rsidRPr="00BC53EC" w:rsidR="001E5E76" w:rsidP="001E5E76" w:rsidRDefault="001E5E76" w14:paraId="3DDBF3A6" w14:textId="5F8D18E6">
            <w:pPr>
              <w:jc w:val="right"/>
              <w:rPr>
                <w:color w:val="000000"/>
              </w:rPr>
            </w:pPr>
            <w:r>
              <w:rPr>
                <w:rFonts w:ascii="Calibri" w:hAnsi="Calibri" w:cs="Calibri"/>
                <w:color w:val="000000"/>
                <w:sz w:val="22"/>
                <w:szCs w:val="22"/>
              </w:rPr>
              <w:t>0.0</w:t>
            </w:r>
          </w:p>
        </w:tc>
        <w:tc>
          <w:tcPr>
            <w:tcW w:w="1399" w:type="pct"/>
            <w:shd w:val="clear" w:color="auto" w:fill="auto"/>
            <w:noWrap/>
            <w:vAlign w:val="bottom"/>
          </w:tcPr>
          <w:p w:rsidRPr="00BC53EC" w:rsidR="001E5E76" w:rsidP="001E5E76" w:rsidRDefault="001E5E76" w14:paraId="3A1EF95A" w14:textId="1D085461">
            <w:pPr>
              <w:jc w:val="right"/>
              <w:rPr>
                <w:color w:val="000000"/>
              </w:rPr>
            </w:pPr>
            <w:r>
              <w:rPr>
                <w:rFonts w:ascii="Calibri" w:hAnsi="Calibri" w:cs="Calibri"/>
                <w:color w:val="000000"/>
                <w:sz w:val="22"/>
                <w:szCs w:val="22"/>
              </w:rPr>
              <w:t>0.0</w:t>
            </w:r>
          </w:p>
        </w:tc>
      </w:tr>
      <w:tr w:rsidRPr="00BC53EC" w:rsidR="001E5E76" w:rsidTr="00294C30" w14:paraId="1FA159B9" w14:textId="77777777">
        <w:trPr>
          <w:trHeight w:val="300"/>
        </w:trPr>
        <w:tc>
          <w:tcPr>
            <w:tcW w:w="2115" w:type="pct"/>
            <w:shd w:val="clear" w:color="auto" w:fill="auto"/>
            <w:noWrap/>
            <w:vAlign w:val="bottom"/>
          </w:tcPr>
          <w:p w:rsidRPr="00BC53EC" w:rsidR="001E5E76" w:rsidP="001E5E76" w:rsidRDefault="001E5E76" w14:paraId="338201FD" w14:textId="264B5373">
            <w:pPr>
              <w:rPr>
                <w:b/>
                <w:color w:val="000000"/>
              </w:rPr>
            </w:pPr>
            <w:r>
              <w:rPr>
                <w:rFonts w:ascii="Calibri" w:hAnsi="Calibri" w:cs="Calibri"/>
                <w:color w:val="000000"/>
                <w:sz w:val="22"/>
                <w:szCs w:val="22"/>
              </w:rPr>
              <w:t>Tennessee</w:t>
            </w:r>
          </w:p>
        </w:tc>
        <w:tc>
          <w:tcPr>
            <w:tcW w:w="1486" w:type="pct"/>
            <w:shd w:val="clear" w:color="auto" w:fill="auto"/>
            <w:noWrap/>
            <w:vAlign w:val="bottom"/>
          </w:tcPr>
          <w:p w:rsidRPr="00BC53EC" w:rsidR="001E5E76" w:rsidP="001E5E76" w:rsidRDefault="001E5E76" w14:paraId="1D9324CC" w14:textId="1E09EC91">
            <w:pPr>
              <w:jc w:val="right"/>
              <w:rPr>
                <w:color w:val="000000"/>
              </w:rPr>
            </w:pPr>
            <w:r>
              <w:rPr>
                <w:rFonts w:ascii="Calibri" w:hAnsi="Calibri" w:cs="Calibri"/>
                <w:color w:val="000000"/>
                <w:sz w:val="22"/>
                <w:szCs w:val="22"/>
              </w:rPr>
              <w:t>0.0</w:t>
            </w:r>
          </w:p>
        </w:tc>
        <w:tc>
          <w:tcPr>
            <w:tcW w:w="1399" w:type="pct"/>
            <w:shd w:val="clear" w:color="auto" w:fill="auto"/>
            <w:noWrap/>
            <w:vAlign w:val="bottom"/>
          </w:tcPr>
          <w:p w:rsidRPr="00BC53EC" w:rsidR="001E5E76" w:rsidP="001E5E76" w:rsidRDefault="001E5E76" w14:paraId="30F77071" w14:textId="121C92C1">
            <w:pPr>
              <w:jc w:val="right"/>
              <w:rPr>
                <w:color w:val="000000"/>
              </w:rPr>
            </w:pPr>
            <w:r>
              <w:rPr>
                <w:rFonts w:ascii="Calibri" w:hAnsi="Calibri" w:cs="Calibri"/>
                <w:color w:val="000000"/>
                <w:sz w:val="22"/>
                <w:szCs w:val="22"/>
              </w:rPr>
              <w:t>0.0</w:t>
            </w:r>
          </w:p>
        </w:tc>
      </w:tr>
      <w:tr w:rsidRPr="00BC53EC" w:rsidR="001E5E76" w:rsidTr="00294C30" w14:paraId="43047419" w14:textId="77777777">
        <w:trPr>
          <w:trHeight w:val="300"/>
        </w:trPr>
        <w:tc>
          <w:tcPr>
            <w:tcW w:w="2115" w:type="pct"/>
            <w:shd w:val="clear" w:color="auto" w:fill="auto"/>
            <w:noWrap/>
            <w:vAlign w:val="bottom"/>
          </w:tcPr>
          <w:p w:rsidRPr="00BC53EC" w:rsidR="001E5E76" w:rsidP="001E5E76" w:rsidRDefault="001E5E76" w14:paraId="13EDC357" w14:textId="0508DD2E">
            <w:pPr>
              <w:rPr>
                <w:b/>
                <w:color w:val="000000"/>
              </w:rPr>
            </w:pPr>
            <w:r>
              <w:rPr>
                <w:rFonts w:ascii="Calibri" w:hAnsi="Calibri" w:cs="Calibri"/>
                <w:color w:val="000000"/>
                <w:sz w:val="22"/>
                <w:szCs w:val="22"/>
              </w:rPr>
              <w:t>Vermont</w:t>
            </w:r>
          </w:p>
        </w:tc>
        <w:tc>
          <w:tcPr>
            <w:tcW w:w="1486" w:type="pct"/>
            <w:shd w:val="clear" w:color="auto" w:fill="auto"/>
            <w:noWrap/>
            <w:vAlign w:val="bottom"/>
          </w:tcPr>
          <w:p w:rsidRPr="00BC53EC" w:rsidR="001E5E76" w:rsidP="001E5E76" w:rsidRDefault="001E5E76" w14:paraId="236B9701" w14:textId="65EF4DB2">
            <w:pPr>
              <w:jc w:val="right"/>
              <w:rPr>
                <w:color w:val="000000"/>
              </w:rPr>
            </w:pPr>
            <w:r>
              <w:rPr>
                <w:rFonts w:ascii="Calibri" w:hAnsi="Calibri" w:cs="Calibri"/>
                <w:color w:val="000000"/>
                <w:sz w:val="22"/>
                <w:szCs w:val="22"/>
              </w:rPr>
              <w:t>0.0</w:t>
            </w:r>
          </w:p>
        </w:tc>
        <w:tc>
          <w:tcPr>
            <w:tcW w:w="1399" w:type="pct"/>
            <w:shd w:val="clear" w:color="auto" w:fill="auto"/>
            <w:noWrap/>
            <w:vAlign w:val="bottom"/>
          </w:tcPr>
          <w:p w:rsidRPr="00BC53EC" w:rsidR="001E5E76" w:rsidP="001E5E76" w:rsidRDefault="001E5E76" w14:paraId="718CD641" w14:textId="02DF12B4">
            <w:pPr>
              <w:jc w:val="right"/>
              <w:rPr>
                <w:color w:val="000000"/>
              </w:rPr>
            </w:pPr>
            <w:r>
              <w:rPr>
                <w:rFonts w:ascii="Calibri" w:hAnsi="Calibri" w:cs="Calibri"/>
                <w:color w:val="000000"/>
                <w:sz w:val="22"/>
                <w:szCs w:val="22"/>
              </w:rPr>
              <w:t>0.0</w:t>
            </w:r>
          </w:p>
        </w:tc>
      </w:tr>
      <w:tr w:rsidRPr="00BC53EC" w:rsidR="001E5E76" w:rsidTr="00294C30" w14:paraId="69B82157" w14:textId="77777777">
        <w:trPr>
          <w:trHeight w:val="300"/>
        </w:trPr>
        <w:tc>
          <w:tcPr>
            <w:tcW w:w="2115" w:type="pct"/>
            <w:shd w:val="clear" w:color="auto" w:fill="auto"/>
            <w:noWrap/>
            <w:vAlign w:val="bottom"/>
          </w:tcPr>
          <w:p w:rsidRPr="00BC53EC" w:rsidR="001E5E76" w:rsidP="001E5E76" w:rsidRDefault="001E5E76" w14:paraId="74B7D451" w14:textId="3C08FE4D">
            <w:pPr>
              <w:rPr>
                <w:b/>
                <w:color w:val="000000"/>
              </w:rPr>
            </w:pPr>
            <w:r>
              <w:rPr>
                <w:rFonts w:ascii="Calibri" w:hAnsi="Calibri" w:cs="Calibri"/>
                <w:color w:val="000000"/>
                <w:sz w:val="22"/>
                <w:szCs w:val="22"/>
              </w:rPr>
              <w:t>New Jersey</w:t>
            </w:r>
          </w:p>
        </w:tc>
        <w:tc>
          <w:tcPr>
            <w:tcW w:w="1486" w:type="pct"/>
            <w:shd w:val="clear" w:color="auto" w:fill="auto"/>
            <w:noWrap/>
            <w:vAlign w:val="bottom"/>
          </w:tcPr>
          <w:p w:rsidRPr="00BC53EC" w:rsidR="001E5E76" w:rsidP="001E5E76" w:rsidRDefault="001E5E76" w14:paraId="4B592621" w14:textId="3E185718">
            <w:pPr>
              <w:jc w:val="right"/>
              <w:rPr>
                <w:color w:val="000000"/>
              </w:rPr>
            </w:pPr>
            <w:r>
              <w:rPr>
                <w:rFonts w:ascii="Calibri" w:hAnsi="Calibri" w:cs="Calibri"/>
                <w:color w:val="000000"/>
                <w:sz w:val="22"/>
                <w:szCs w:val="22"/>
              </w:rPr>
              <w:t>0.1</w:t>
            </w:r>
          </w:p>
        </w:tc>
        <w:tc>
          <w:tcPr>
            <w:tcW w:w="1399" w:type="pct"/>
            <w:shd w:val="clear" w:color="auto" w:fill="auto"/>
            <w:noWrap/>
            <w:vAlign w:val="bottom"/>
          </w:tcPr>
          <w:p w:rsidRPr="00BC53EC" w:rsidR="001E5E76" w:rsidP="001E5E76" w:rsidRDefault="001E5E76" w14:paraId="36189FD3" w14:textId="05280410">
            <w:pPr>
              <w:jc w:val="right"/>
              <w:rPr>
                <w:color w:val="000000"/>
              </w:rPr>
            </w:pPr>
            <w:r>
              <w:rPr>
                <w:rFonts w:ascii="Calibri" w:hAnsi="Calibri" w:cs="Calibri"/>
                <w:color w:val="000000"/>
                <w:sz w:val="22"/>
                <w:szCs w:val="22"/>
              </w:rPr>
              <w:t>0.0</w:t>
            </w:r>
          </w:p>
        </w:tc>
      </w:tr>
      <w:tr w:rsidRPr="00BC53EC" w:rsidR="001E5E76" w:rsidTr="00294C30" w14:paraId="1A55EEB4" w14:textId="77777777">
        <w:trPr>
          <w:trHeight w:val="300"/>
        </w:trPr>
        <w:tc>
          <w:tcPr>
            <w:tcW w:w="2115" w:type="pct"/>
            <w:shd w:val="clear" w:color="auto" w:fill="auto"/>
            <w:noWrap/>
            <w:vAlign w:val="bottom"/>
          </w:tcPr>
          <w:p w:rsidR="001E5E76" w:rsidP="001E5E76" w:rsidRDefault="001E5E76" w14:paraId="32137384" w14:textId="57588460">
            <w:pPr>
              <w:rPr>
                <w:rFonts w:ascii="Calibri" w:hAnsi="Calibri" w:cs="Calibri"/>
                <w:color w:val="000000"/>
                <w:sz w:val="22"/>
                <w:szCs w:val="22"/>
              </w:rPr>
            </w:pPr>
            <w:r>
              <w:rPr>
                <w:rFonts w:ascii="Calibri" w:hAnsi="Calibri" w:cs="Calibri"/>
                <w:color w:val="000000"/>
                <w:sz w:val="22"/>
                <w:szCs w:val="22"/>
              </w:rPr>
              <w:t>Massachusetts</w:t>
            </w:r>
          </w:p>
        </w:tc>
        <w:tc>
          <w:tcPr>
            <w:tcW w:w="1486" w:type="pct"/>
            <w:shd w:val="clear" w:color="auto" w:fill="auto"/>
            <w:noWrap/>
            <w:vAlign w:val="bottom"/>
          </w:tcPr>
          <w:p w:rsidR="001E5E76" w:rsidP="001E5E76" w:rsidRDefault="001E5E76" w14:paraId="2F434C65" w14:textId="6B3089C4">
            <w:pPr>
              <w:jc w:val="right"/>
              <w:rPr>
                <w:rFonts w:ascii="Calibri" w:hAnsi="Calibri" w:cs="Calibri"/>
                <w:color w:val="000000"/>
                <w:sz w:val="22"/>
                <w:szCs w:val="22"/>
              </w:rPr>
            </w:pPr>
            <w:r>
              <w:rPr>
                <w:rFonts w:ascii="Calibri" w:hAnsi="Calibri" w:cs="Calibri"/>
                <w:color w:val="000000"/>
                <w:sz w:val="22"/>
                <w:szCs w:val="22"/>
              </w:rPr>
              <w:t>0.0</w:t>
            </w:r>
          </w:p>
        </w:tc>
        <w:tc>
          <w:tcPr>
            <w:tcW w:w="1399" w:type="pct"/>
            <w:shd w:val="clear" w:color="auto" w:fill="auto"/>
            <w:noWrap/>
            <w:vAlign w:val="bottom"/>
          </w:tcPr>
          <w:p w:rsidR="001E5E76" w:rsidP="001E5E76" w:rsidRDefault="001E5E76" w14:paraId="43D6966F" w14:textId="402207A2">
            <w:pPr>
              <w:jc w:val="right"/>
              <w:rPr>
                <w:rFonts w:ascii="Calibri" w:hAnsi="Calibri" w:cs="Calibri"/>
                <w:color w:val="000000"/>
                <w:sz w:val="22"/>
                <w:szCs w:val="22"/>
              </w:rPr>
            </w:pPr>
            <w:r>
              <w:rPr>
                <w:rFonts w:ascii="Calibri" w:hAnsi="Calibri" w:cs="Calibri"/>
                <w:color w:val="000000"/>
                <w:sz w:val="22"/>
                <w:szCs w:val="22"/>
              </w:rPr>
              <w:t>0.0</w:t>
            </w:r>
          </w:p>
        </w:tc>
      </w:tr>
      <w:tr w:rsidRPr="00BC53EC" w:rsidR="001E5E76" w:rsidTr="00294C30" w14:paraId="7DD24F9D" w14:textId="77777777">
        <w:trPr>
          <w:trHeight w:val="300"/>
        </w:trPr>
        <w:tc>
          <w:tcPr>
            <w:tcW w:w="2115" w:type="pct"/>
            <w:shd w:val="clear" w:color="auto" w:fill="auto"/>
            <w:noWrap/>
            <w:vAlign w:val="bottom"/>
          </w:tcPr>
          <w:p w:rsidR="001E5E76" w:rsidP="001E5E76" w:rsidRDefault="001E5E76" w14:paraId="0C4BB989" w14:textId="6AE85721">
            <w:pPr>
              <w:rPr>
                <w:rFonts w:ascii="Calibri" w:hAnsi="Calibri" w:cs="Calibri"/>
                <w:color w:val="000000"/>
                <w:sz w:val="22"/>
                <w:szCs w:val="22"/>
              </w:rPr>
            </w:pPr>
            <w:r>
              <w:rPr>
                <w:rFonts w:ascii="Calibri" w:hAnsi="Calibri" w:cs="Calibri"/>
                <w:color w:val="000000"/>
                <w:sz w:val="22"/>
                <w:szCs w:val="22"/>
              </w:rPr>
              <w:t>Maine</w:t>
            </w:r>
          </w:p>
        </w:tc>
        <w:tc>
          <w:tcPr>
            <w:tcW w:w="1486" w:type="pct"/>
            <w:shd w:val="clear" w:color="auto" w:fill="auto"/>
            <w:noWrap/>
            <w:vAlign w:val="bottom"/>
          </w:tcPr>
          <w:p w:rsidR="001E5E76" w:rsidP="001E5E76" w:rsidRDefault="001E5E76" w14:paraId="50196934" w14:textId="748BAD30">
            <w:pPr>
              <w:jc w:val="right"/>
              <w:rPr>
                <w:rFonts w:ascii="Calibri" w:hAnsi="Calibri" w:cs="Calibri"/>
                <w:color w:val="000000"/>
                <w:sz w:val="22"/>
                <w:szCs w:val="22"/>
              </w:rPr>
            </w:pPr>
            <w:r>
              <w:rPr>
                <w:rFonts w:ascii="Calibri" w:hAnsi="Calibri" w:cs="Calibri"/>
                <w:color w:val="000000"/>
                <w:sz w:val="22"/>
                <w:szCs w:val="22"/>
              </w:rPr>
              <w:t>0.0</w:t>
            </w:r>
          </w:p>
        </w:tc>
        <w:tc>
          <w:tcPr>
            <w:tcW w:w="1399" w:type="pct"/>
            <w:shd w:val="clear" w:color="auto" w:fill="auto"/>
            <w:noWrap/>
            <w:vAlign w:val="bottom"/>
          </w:tcPr>
          <w:p w:rsidR="001E5E76" w:rsidP="001E5E76" w:rsidRDefault="001E5E76" w14:paraId="79E5BEB6" w14:textId="2D7FF463">
            <w:pPr>
              <w:jc w:val="right"/>
              <w:rPr>
                <w:rFonts w:ascii="Calibri" w:hAnsi="Calibri" w:cs="Calibri"/>
                <w:color w:val="000000"/>
                <w:sz w:val="22"/>
                <w:szCs w:val="22"/>
              </w:rPr>
            </w:pPr>
            <w:r>
              <w:rPr>
                <w:rFonts w:ascii="Calibri" w:hAnsi="Calibri" w:cs="Calibri"/>
                <w:color w:val="000000"/>
                <w:sz w:val="22"/>
                <w:szCs w:val="22"/>
              </w:rPr>
              <w:t>0.0</w:t>
            </w:r>
          </w:p>
        </w:tc>
      </w:tr>
      <w:tr w:rsidRPr="00BC53EC" w:rsidR="001E5E76" w:rsidTr="00294C30" w14:paraId="06EA79E3" w14:textId="77777777">
        <w:trPr>
          <w:trHeight w:val="300"/>
        </w:trPr>
        <w:tc>
          <w:tcPr>
            <w:tcW w:w="2115" w:type="pct"/>
            <w:shd w:val="clear" w:color="auto" w:fill="auto"/>
            <w:noWrap/>
            <w:vAlign w:val="bottom"/>
          </w:tcPr>
          <w:p w:rsidR="001E5E76" w:rsidP="001E5E76" w:rsidRDefault="001E5E76" w14:paraId="6E3159F8" w14:textId="7B68EB57">
            <w:pPr>
              <w:rPr>
                <w:rFonts w:ascii="Calibri" w:hAnsi="Calibri" w:cs="Calibri"/>
                <w:color w:val="000000"/>
                <w:sz w:val="22"/>
                <w:szCs w:val="22"/>
              </w:rPr>
            </w:pPr>
            <w:r>
              <w:rPr>
                <w:rFonts w:ascii="Calibri" w:hAnsi="Calibri" w:cs="Calibri"/>
                <w:color w:val="000000"/>
                <w:sz w:val="22"/>
                <w:szCs w:val="22"/>
              </w:rPr>
              <w:t>Delaware</w:t>
            </w:r>
          </w:p>
        </w:tc>
        <w:tc>
          <w:tcPr>
            <w:tcW w:w="1486" w:type="pct"/>
            <w:shd w:val="clear" w:color="auto" w:fill="auto"/>
            <w:noWrap/>
            <w:vAlign w:val="bottom"/>
          </w:tcPr>
          <w:p w:rsidR="001E5E76" w:rsidP="001E5E76" w:rsidRDefault="001E5E76" w14:paraId="76557C5F" w14:textId="20CF4DD0">
            <w:pPr>
              <w:jc w:val="right"/>
              <w:rPr>
                <w:rFonts w:ascii="Calibri" w:hAnsi="Calibri" w:cs="Calibri"/>
                <w:color w:val="000000"/>
                <w:sz w:val="22"/>
                <w:szCs w:val="22"/>
              </w:rPr>
            </w:pPr>
            <w:r>
              <w:rPr>
                <w:rFonts w:ascii="Calibri" w:hAnsi="Calibri" w:cs="Calibri"/>
                <w:color w:val="000000"/>
                <w:sz w:val="22"/>
                <w:szCs w:val="22"/>
              </w:rPr>
              <w:t>0.0</w:t>
            </w:r>
          </w:p>
        </w:tc>
        <w:tc>
          <w:tcPr>
            <w:tcW w:w="1399" w:type="pct"/>
            <w:shd w:val="clear" w:color="auto" w:fill="auto"/>
            <w:noWrap/>
            <w:vAlign w:val="bottom"/>
          </w:tcPr>
          <w:p w:rsidR="001E5E76" w:rsidP="001E5E76" w:rsidRDefault="001E5E76" w14:paraId="48913D53" w14:textId="4BE8E1DA">
            <w:pPr>
              <w:jc w:val="right"/>
              <w:rPr>
                <w:rFonts w:ascii="Calibri" w:hAnsi="Calibri" w:cs="Calibri"/>
                <w:color w:val="000000"/>
                <w:sz w:val="22"/>
                <w:szCs w:val="22"/>
              </w:rPr>
            </w:pPr>
            <w:r>
              <w:rPr>
                <w:rFonts w:ascii="Calibri" w:hAnsi="Calibri" w:cs="Calibri"/>
                <w:color w:val="000000"/>
                <w:sz w:val="22"/>
                <w:szCs w:val="22"/>
              </w:rPr>
              <w:t>0.0</w:t>
            </w:r>
          </w:p>
        </w:tc>
      </w:tr>
      <w:tr w:rsidRPr="00BC53EC" w:rsidR="001E5E76" w:rsidTr="00294C30" w14:paraId="73A436AF" w14:textId="77777777">
        <w:trPr>
          <w:trHeight w:val="300"/>
        </w:trPr>
        <w:tc>
          <w:tcPr>
            <w:tcW w:w="2115" w:type="pct"/>
            <w:shd w:val="clear" w:color="auto" w:fill="auto"/>
            <w:noWrap/>
            <w:vAlign w:val="bottom"/>
          </w:tcPr>
          <w:p w:rsidR="001E5E76" w:rsidP="001E5E76" w:rsidRDefault="001E5E76" w14:paraId="2A90A7E3" w14:textId="7DD4419A">
            <w:pPr>
              <w:rPr>
                <w:rFonts w:ascii="Calibri" w:hAnsi="Calibri" w:cs="Calibri"/>
                <w:color w:val="000000"/>
                <w:sz w:val="22"/>
                <w:szCs w:val="22"/>
              </w:rPr>
            </w:pPr>
            <w:r>
              <w:rPr>
                <w:rFonts w:ascii="Calibri" w:hAnsi="Calibri" w:cs="Calibri"/>
                <w:color w:val="000000"/>
                <w:sz w:val="22"/>
                <w:szCs w:val="22"/>
              </w:rPr>
              <w:t>Alaska</w:t>
            </w:r>
          </w:p>
        </w:tc>
        <w:tc>
          <w:tcPr>
            <w:tcW w:w="1486" w:type="pct"/>
            <w:shd w:val="clear" w:color="auto" w:fill="auto"/>
            <w:noWrap/>
            <w:vAlign w:val="bottom"/>
          </w:tcPr>
          <w:p w:rsidR="001E5E76" w:rsidP="001E5E76" w:rsidRDefault="001E5E76" w14:paraId="0A856771" w14:textId="402D585D">
            <w:pPr>
              <w:jc w:val="right"/>
              <w:rPr>
                <w:rFonts w:ascii="Calibri" w:hAnsi="Calibri" w:cs="Calibri"/>
                <w:color w:val="000000"/>
                <w:sz w:val="22"/>
                <w:szCs w:val="22"/>
              </w:rPr>
            </w:pPr>
            <w:r>
              <w:rPr>
                <w:rFonts w:ascii="Calibri" w:hAnsi="Calibri" w:cs="Calibri"/>
                <w:color w:val="000000"/>
                <w:sz w:val="22"/>
                <w:szCs w:val="22"/>
              </w:rPr>
              <w:t>0.0</w:t>
            </w:r>
          </w:p>
        </w:tc>
        <w:tc>
          <w:tcPr>
            <w:tcW w:w="1399" w:type="pct"/>
            <w:shd w:val="clear" w:color="auto" w:fill="auto"/>
            <w:noWrap/>
            <w:vAlign w:val="bottom"/>
          </w:tcPr>
          <w:p w:rsidR="001E5E76" w:rsidP="001E5E76" w:rsidRDefault="001E5E76" w14:paraId="3ADE0CF7" w14:textId="26A3BE67">
            <w:pPr>
              <w:jc w:val="right"/>
              <w:rPr>
                <w:rFonts w:ascii="Calibri" w:hAnsi="Calibri" w:cs="Calibri"/>
                <w:color w:val="000000"/>
                <w:sz w:val="22"/>
                <w:szCs w:val="22"/>
              </w:rPr>
            </w:pPr>
            <w:r>
              <w:rPr>
                <w:rFonts w:ascii="Calibri" w:hAnsi="Calibri" w:cs="Calibri"/>
                <w:color w:val="000000"/>
                <w:sz w:val="22"/>
                <w:szCs w:val="22"/>
              </w:rPr>
              <w:t>0.0</w:t>
            </w:r>
          </w:p>
        </w:tc>
      </w:tr>
      <w:tr w:rsidRPr="00BC53EC" w:rsidR="001E5E76" w:rsidTr="00294C30" w14:paraId="7A493019" w14:textId="77777777">
        <w:trPr>
          <w:trHeight w:val="300"/>
        </w:trPr>
        <w:tc>
          <w:tcPr>
            <w:tcW w:w="2115" w:type="pct"/>
            <w:shd w:val="clear" w:color="auto" w:fill="auto"/>
            <w:noWrap/>
            <w:vAlign w:val="bottom"/>
          </w:tcPr>
          <w:p w:rsidR="001E5E76" w:rsidP="001E5E76" w:rsidRDefault="001E5E76" w14:paraId="66D684F0" w14:textId="508D8A45">
            <w:pPr>
              <w:rPr>
                <w:rFonts w:ascii="Calibri" w:hAnsi="Calibri" w:cs="Calibri"/>
                <w:color w:val="000000"/>
                <w:sz w:val="22"/>
                <w:szCs w:val="22"/>
              </w:rPr>
            </w:pPr>
            <w:r>
              <w:rPr>
                <w:rFonts w:ascii="Calibri" w:hAnsi="Calibri" w:cs="Calibri"/>
                <w:color w:val="000000"/>
                <w:sz w:val="22"/>
                <w:szCs w:val="22"/>
              </w:rPr>
              <w:t>Louisiana</w:t>
            </w:r>
          </w:p>
        </w:tc>
        <w:tc>
          <w:tcPr>
            <w:tcW w:w="1486" w:type="pct"/>
            <w:shd w:val="clear" w:color="auto" w:fill="auto"/>
            <w:noWrap/>
            <w:vAlign w:val="bottom"/>
          </w:tcPr>
          <w:p w:rsidR="001E5E76" w:rsidP="001E5E76" w:rsidRDefault="001E5E76" w14:paraId="4EB6DF40" w14:textId="72CC4E5B">
            <w:pPr>
              <w:jc w:val="right"/>
              <w:rPr>
                <w:rFonts w:ascii="Calibri" w:hAnsi="Calibri" w:cs="Calibri"/>
                <w:color w:val="000000"/>
                <w:sz w:val="22"/>
                <w:szCs w:val="22"/>
              </w:rPr>
            </w:pPr>
            <w:r>
              <w:rPr>
                <w:rFonts w:ascii="Calibri" w:hAnsi="Calibri" w:cs="Calibri"/>
                <w:color w:val="000000"/>
                <w:sz w:val="22"/>
                <w:szCs w:val="22"/>
              </w:rPr>
              <w:t>0.0</w:t>
            </w:r>
          </w:p>
        </w:tc>
        <w:tc>
          <w:tcPr>
            <w:tcW w:w="1399" w:type="pct"/>
            <w:shd w:val="clear" w:color="auto" w:fill="auto"/>
            <w:noWrap/>
            <w:vAlign w:val="bottom"/>
          </w:tcPr>
          <w:p w:rsidR="001E5E76" w:rsidP="001E5E76" w:rsidRDefault="001E5E76" w14:paraId="589F81F3" w14:textId="22E6EA34">
            <w:pPr>
              <w:jc w:val="right"/>
              <w:rPr>
                <w:rFonts w:ascii="Calibri" w:hAnsi="Calibri" w:cs="Calibri"/>
                <w:color w:val="000000"/>
                <w:sz w:val="22"/>
                <w:szCs w:val="22"/>
              </w:rPr>
            </w:pPr>
            <w:r>
              <w:rPr>
                <w:rFonts w:ascii="Calibri" w:hAnsi="Calibri" w:cs="Calibri"/>
                <w:color w:val="000000"/>
                <w:sz w:val="22"/>
                <w:szCs w:val="22"/>
              </w:rPr>
              <w:t>0.0</w:t>
            </w:r>
          </w:p>
        </w:tc>
      </w:tr>
      <w:tr w:rsidRPr="00BC53EC" w:rsidR="001E5E76" w:rsidTr="00294C30" w14:paraId="0533C561" w14:textId="77777777">
        <w:trPr>
          <w:trHeight w:val="300"/>
        </w:trPr>
        <w:tc>
          <w:tcPr>
            <w:tcW w:w="2115" w:type="pct"/>
            <w:shd w:val="clear" w:color="auto" w:fill="auto"/>
            <w:noWrap/>
            <w:vAlign w:val="bottom"/>
          </w:tcPr>
          <w:p w:rsidR="001E5E76" w:rsidP="001E5E76" w:rsidRDefault="001E5E76" w14:paraId="6F507FC5" w14:textId="18D63369">
            <w:pPr>
              <w:rPr>
                <w:rFonts w:ascii="Calibri" w:hAnsi="Calibri" w:cs="Calibri"/>
                <w:color w:val="000000"/>
                <w:sz w:val="22"/>
                <w:szCs w:val="22"/>
              </w:rPr>
            </w:pPr>
            <w:r>
              <w:rPr>
                <w:rFonts w:ascii="Calibri" w:hAnsi="Calibri" w:cs="Calibri"/>
                <w:color w:val="000000"/>
                <w:sz w:val="22"/>
                <w:szCs w:val="22"/>
              </w:rPr>
              <w:t>New Hampshire</w:t>
            </w:r>
          </w:p>
        </w:tc>
        <w:tc>
          <w:tcPr>
            <w:tcW w:w="1486" w:type="pct"/>
            <w:shd w:val="clear" w:color="auto" w:fill="auto"/>
            <w:noWrap/>
            <w:vAlign w:val="bottom"/>
          </w:tcPr>
          <w:p w:rsidR="001E5E76" w:rsidP="001E5E76" w:rsidRDefault="001E5E76" w14:paraId="7E428B78" w14:textId="0FB38B29">
            <w:pPr>
              <w:jc w:val="right"/>
              <w:rPr>
                <w:rFonts w:ascii="Calibri" w:hAnsi="Calibri" w:cs="Calibri"/>
                <w:color w:val="000000"/>
                <w:sz w:val="22"/>
                <w:szCs w:val="22"/>
              </w:rPr>
            </w:pPr>
            <w:r>
              <w:rPr>
                <w:rFonts w:ascii="Calibri" w:hAnsi="Calibri" w:cs="Calibri"/>
                <w:color w:val="000000"/>
                <w:sz w:val="22"/>
                <w:szCs w:val="22"/>
              </w:rPr>
              <w:t>0.0</w:t>
            </w:r>
          </w:p>
        </w:tc>
        <w:tc>
          <w:tcPr>
            <w:tcW w:w="1399" w:type="pct"/>
            <w:shd w:val="clear" w:color="auto" w:fill="auto"/>
            <w:noWrap/>
            <w:vAlign w:val="bottom"/>
          </w:tcPr>
          <w:p w:rsidR="001E5E76" w:rsidP="001E5E76" w:rsidRDefault="001E5E76" w14:paraId="59ED71CE" w14:textId="75EE5532">
            <w:pPr>
              <w:jc w:val="right"/>
              <w:rPr>
                <w:rFonts w:ascii="Calibri" w:hAnsi="Calibri" w:cs="Calibri"/>
                <w:color w:val="000000"/>
                <w:sz w:val="22"/>
                <w:szCs w:val="22"/>
              </w:rPr>
            </w:pPr>
            <w:r>
              <w:rPr>
                <w:rFonts w:ascii="Calibri" w:hAnsi="Calibri" w:cs="Calibri"/>
                <w:color w:val="000000"/>
                <w:sz w:val="22"/>
                <w:szCs w:val="22"/>
              </w:rPr>
              <w:t>0.0</w:t>
            </w:r>
          </w:p>
        </w:tc>
      </w:tr>
      <w:tr w:rsidRPr="00BC53EC" w:rsidR="00786015" w:rsidTr="00294C30" w14:paraId="1DA58696" w14:textId="77777777">
        <w:trPr>
          <w:trHeight w:val="300"/>
        </w:trPr>
        <w:tc>
          <w:tcPr>
            <w:tcW w:w="2115" w:type="pct"/>
            <w:shd w:val="clear" w:color="auto" w:fill="auto"/>
            <w:noWrap/>
            <w:vAlign w:val="bottom"/>
          </w:tcPr>
          <w:p w:rsidR="00786015" w:rsidP="00294C30" w:rsidRDefault="00786015" w14:paraId="74519D7D" w14:textId="7228E3FC">
            <w:pPr>
              <w:rPr>
                <w:rFonts w:ascii="Calibri" w:hAnsi="Calibri" w:cs="Calibri"/>
                <w:color w:val="000000"/>
                <w:sz w:val="22"/>
                <w:szCs w:val="22"/>
              </w:rPr>
            </w:pPr>
            <w:r>
              <w:rPr>
                <w:rFonts w:ascii="Calibri" w:hAnsi="Calibri" w:cs="Calibri"/>
                <w:color w:val="000000"/>
                <w:sz w:val="22"/>
                <w:szCs w:val="22"/>
              </w:rPr>
              <w:t>U.S. Total</w:t>
            </w:r>
          </w:p>
        </w:tc>
        <w:tc>
          <w:tcPr>
            <w:tcW w:w="1486" w:type="pct"/>
            <w:shd w:val="clear" w:color="auto" w:fill="auto"/>
            <w:noWrap/>
            <w:vAlign w:val="bottom"/>
          </w:tcPr>
          <w:p w:rsidR="00786015" w:rsidP="00294C30" w:rsidRDefault="00786015" w14:paraId="7A13B89F" w14:textId="25BF1CEE">
            <w:pPr>
              <w:jc w:val="right"/>
              <w:rPr>
                <w:rFonts w:ascii="Calibri" w:hAnsi="Calibri" w:cs="Calibri"/>
                <w:color w:val="000000"/>
                <w:sz w:val="22"/>
                <w:szCs w:val="22"/>
              </w:rPr>
            </w:pPr>
            <w:r>
              <w:rPr>
                <w:rFonts w:ascii="Calibri" w:hAnsi="Calibri" w:cs="Calibri"/>
                <w:color w:val="000000"/>
                <w:sz w:val="22"/>
                <w:szCs w:val="22"/>
              </w:rPr>
              <w:t>100.0</w:t>
            </w:r>
          </w:p>
        </w:tc>
        <w:tc>
          <w:tcPr>
            <w:tcW w:w="1399" w:type="pct"/>
            <w:shd w:val="clear" w:color="auto" w:fill="auto"/>
            <w:noWrap/>
            <w:vAlign w:val="bottom"/>
          </w:tcPr>
          <w:p w:rsidR="00786015" w:rsidP="00294C30" w:rsidRDefault="00786015" w14:paraId="619EA179" w14:textId="2FC59CF8">
            <w:pPr>
              <w:jc w:val="right"/>
              <w:rPr>
                <w:rFonts w:ascii="Calibri" w:hAnsi="Calibri" w:cs="Calibri"/>
                <w:color w:val="000000"/>
                <w:sz w:val="22"/>
                <w:szCs w:val="22"/>
              </w:rPr>
            </w:pPr>
            <w:r>
              <w:rPr>
                <w:rFonts w:ascii="Calibri" w:hAnsi="Calibri" w:cs="Calibri"/>
                <w:color w:val="000000"/>
                <w:sz w:val="22"/>
                <w:szCs w:val="22"/>
              </w:rPr>
              <w:t>100.0</w:t>
            </w:r>
          </w:p>
        </w:tc>
      </w:tr>
    </w:tbl>
    <w:p w:rsidR="000D4CD4" w:rsidP="00861BAA" w:rsidRDefault="000D4CD4" w14:paraId="13D44B6C" w14:textId="433A2211">
      <w:pPr>
        <w:autoSpaceDE w:val="0"/>
        <w:autoSpaceDN w:val="0"/>
        <w:adjustRightInd w:val="0"/>
        <w:rPr>
          <w:b/>
        </w:rPr>
      </w:pPr>
      <w:r w:rsidRPr="00BC53EC">
        <w:t xml:space="preserve">* Population-level information is taken from the </w:t>
      </w:r>
      <w:hyperlink w:history="1" r:id="rId14">
        <w:r w:rsidRPr="0027331F">
          <w:rPr>
            <w:rStyle w:val="Hyperlink"/>
          </w:rPr>
          <w:t>NASS 201</w:t>
        </w:r>
        <w:r w:rsidRPr="0027331F" w:rsidR="00294C30">
          <w:rPr>
            <w:rStyle w:val="Hyperlink"/>
          </w:rPr>
          <w:t>7</w:t>
        </w:r>
        <w:r w:rsidRPr="0027331F">
          <w:rPr>
            <w:rStyle w:val="Hyperlink"/>
          </w:rPr>
          <w:t xml:space="preserve"> Census of Agriculture</w:t>
        </w:r>
      </w:hyperlink>
      <w:r w:rsidRPr="00BC53EC">
        <w:t>.</w:t>
      </w:r>
      <w:r w:rsidRPr="00BC53EC">
        <w:rPr>
          <w:b/>
        </w:rPr>
        <w:br w:type="page"/>
      </w:r>
    </w:p>
    <w:p w:rsidR="00861BAA" w:rsidP="00861BAA" w:rsidRDefault="00861BAA" w14:paraId="53F6ACC5" w14:textId="74B5F27B">
      <w:pPr>
        <w:autoSpaceDE w:val="0"/>
        <w:autoSpaceDN w:val="0"/>
        <w:adjustRightInd w:val="0"/>
        <w:rPr>
          <w:b/>
        </w:rPr>
      </w:pPr>
      <w:r w:rsidRPr="00CC7174">
        <w:rPr>
          <w:b/>
        </w:rPr>
        <w:lastRenderedPageBreak/>
        <w:t xml:space="preserve">Appendix </w:t>
      </w:r>
      <w:r w:rsidR="00125AE0">
        <w:rPr>
          <w:b/>
        </w:rPr>
        <w:t>B</w:t>
      </w:r>
      <w:r w:rsidRPr="00CC7174">
        <w:rPr>
          <w:b/>
        </w:rPr>
        <w:t>:</w:t>
      </w:r>
      <w:r w:rsidR="00375023">
        <w:rPr>
          <w:b/>
        </w:rPr>
        <w:t xml:space="preserve"> </w:t>
      </w:r>
      <w:r>
        <w:rPr>
          <w:b/>
        </w:rPr>
        <w:t>Precision of Estimates</w:t>
      </w:r>
    </w:p>
    <w:p w:rsidRPr="00CC7174" w:rsidR="008B0FFA" w:rsidP="00861BAA" w:rsidRDefault="008B0FFA" w14:paraId="208D5B04" w14:textId="77777777">
      <w:pPr>
        <w:autoSpaceDE w:val="0"/>
        <w:autoSpaceDN w:val="0"/>
        <w:adjustRightInd w:val="0"/>
        <w:rPr>
          <w:b/>
        </w:rPr>
      </w:pPr>
    </w:p>
    <w:p w:rsidR="00861BAA" w:rsidP="00861BAA" w:rsidRDefault="00861BAA" w14:paraId="394EF09C" w14:textId="4919265F">
      <w:pPr>
        <w:autoSpaceDE w:val="0"/>
        <w:autoSpaceDN w:val="0"/>
        <w:adjustRightInd w:val="0"/>
        <w:rPr>
          <w:color w:val="000000"/>
        </w:rPr>
      </w:pPr>
      <w:r>
        <w:rPr>
          <w:color w:val="000000"/>
        </w:rPr>
        <w:t xml:space="preserve">Estimates of percent of </w:t>
      </w:r>
      <w:r w:rsidR="003B5E77">
        <w:rPr>
          <w:color w:val="000000"/>
        </w:rPr>
        <w:t>feedlot</w:t>
      </w:r>
      <w:r>
        <w:rPr>
          <w:color w:val="000000"/>
        </w:rPr>
        <w:t>s and percent of animals will be reported at the national level and by size category.</w:t>
      </w:r>
      <w:r w:rsidR="00375023">
        <w:rPr>
          <w:color w:val="000000"/>
        </w:rPr>
        <w:t xml:space="preserve"> </w:t>
      </w:r>
    </w:p>
    <w:p w:rsidR="00861BAA" w:rsidP="00861BAA" w:rsidRDefault="00861BAA" w14:paraId="247171DB" w14:textId="77777777">
      <w:pPr>
        <w:autoSpaceDE w:val="0"/>
        <w:autoSpaceDN w:val="0"/>
        <w:adjustRightInd w:val="0"/>
        <w:rPr>
          <w:color w:val="000000"/>
        </w:rPr>
      </w:pPr>
    </w:p>
    <w:p w:rsidR="00861BAA" w:rsidP="00861BAA" w:rsidRDefault="00F77F88" w14:paraId="2F29A897" w14:textId="77777777">
      <w:pPr>
        <w:autoSpaceDE w:val="0"/>
        <w:autoSpaceDN w:val="0"/>
        <w:adjustRightInd w:val="0"/>
        <w:rPr>
          <w:color w:val="000000"/>
        </w:rPr>
      </w:pPr>
      <w:r>
        <w:rPr>
          <w:color w:val="000000"/>
        </w:rPr>
        <w:t xml:space="preserve">Estimates of precision </w:t>
      </w:r>
      <w:r w:rsidR="00F83AC7">
        <w:rPr>
          <w:color w:val="000000"/>
        </w:rPr>
        <w:t xml:space="preserve">for proportions of .5 and .1 </w:t>
      </w:r>
      <w:r>
        <w:rPr>
          <w:color w:val="000000"/>
        </w:rPr>
        <w:t>are shown in Table 1.</w:t>
      </w:r>
      <w:r w:rsidR="00375023">
        <w:rPr>
          <w:color w:val="000000"/>
        </w:rPr>
        <w:t xml:space="preserve"> </w:t>
      </w:r>
      <w:r>
        <w:rPr>
          <w:color w:val="000000"/>
        </w:rPr>
        <w:t>As an example,</w:t>
      </w:r>
      <w:r w:rsidR="002F749E">
        <w:rPr>
          <w:color w:val="000000"/>
        </w:rPr>
        <w:t xml:space="preserve"> </w:t>
      </w:r>
      <w:r>
        <w:rPr>
          <w:color w:val="000000"/>
        </w:rPr>
        <w:t>f</w:t>
      </w:r>
      <w:r w:rsidR="002F749E">
        <w:rPr>
          <w:color w:val="000000"/>
        </w:rPr>
        <w:t xml:space="preserve">or the size category 1000-7999 and an expected proportion of 0.5, </w:t>
      </w:r>
      <w:r>
        <w:rPr>
          <w:color w:val="000000"/>
        </w:rPr>
        <w:t xml:space="preserve">the </w:t>
      </w:r>
      <w:r w:rsidR="002F749E">
        <w:rPr>
          <w:color w:val="000000"/>
        </w:rPr>
        <w:t>coefficient of variation</w:t>
      </w:r>
      <w:r w:rsidR="00563B0D">
        <w:rPr>
          <w:color w:val="000000"/>
        </w:rPr>
        <w:t xml:space="preserve"> (CV)</w:t>
      </w:r>
      <w:r w:rsidR="002F749E">
        <w:rPr>
          <w:color w:val="000000"/>
        </w:rPr>
        <w:t xml:space="preserve"> is </w:t>
      </w:r>
      <w:r w:rsidR="00E662AD">
        <w:rPr>
          <w:color w:val="000000"/>
        </w:rPr>
        <w:t>5</w:t>
      </w:r>
      <w:r w:rsidR="002F749E">
        <w:rPr>
          <w:color w:val="000000"/>
        </w:rPr>
        <w:t>%.</w:t>
      </w:r>
      <w:r w:rsidR="00375023">
        <w:rPr>
          <w:color w:val="000000"/>
        </w:rPr>
        <w:t xml:space="preserve"> </w:t>
      </w:r>
      <w:r w:rsidR="00E662AD">
        <w:rPr>
          <w:color w:val="000000"/>
        </w:rPr>
        <w:t xml:space="preserve">Only one of the estimated </w:t>
      </w:r>
      <w:r w:rsidR="00563B0D">
        <w:rPr>
          <w:color w:val="000000"/>
        </w:rPr>
        <w:t>CV</w:t>
      </w:r>
      <w:r w:rsidR="00E662AD">
        <w:rPr>
          <w:color w:val="000000"/>
        </w:rPr>
        <w:t>’s</w:t>
      </w:r>
      <w:r w:rsidR="00563B0D">
        <w:rPr>
          <w:color w:val="000000"/>
        </w:rPr>
        <w:t xml:space="preserve"> in the examples presented in Table 1 </w:t>
      </w:r>
      <w:r w:rsidR="00E662AD">
        <w:rPr>
          <w:color w:val="000000"/>
        </w:rPr>
        <w:t>exceeds</w:t>
      </w:r>
      <w:r w:rsidR="00563B0D">
        <w:rPr>
          <w:color w:val="000000"/>
        </w:rPr>
        <w:t xml:space="preserve"> </w:t>
      </w:r>
      <w:r w:rsidR="00552D3D">
        <w:rPr>
          <w:color w:val="000000"/>
        </w:rPr>
        <w:t>20</w:t>
      </w:r>
      <w:r w:rsidR="00563B0D">
        <w:rPr>
          <w:color w:val="000000"/>
        </w:rPr>
        <w:t>%.</w:t>
      </w:r>
      <w:r w:rsidR="00375023">
        <w:rPr>
          <w:color w:val="000000"/>
        </w:rPr>
        <w:t xml:space="preserve"> </w:t>
      </w:r>
      <w:r w:rsidR="00E662AD">
        <w:rPr>
          <w:color w:val="000000"/>
        </w:rPr>
        <w:t>We believe these CV’s err on the high side because the effective sample sizes will likely be higher than those shown here for a design effect of 2.</w:t>
      </w:r>
    </w:p>
    <w:p w:rsidR="00861BAA" w:rsidP="00861BAA" w:rsidRDefault="00861BAA" w14:paraId="6C356E03" w14:textId="77777777">
      <w:pPr>
        <w:autoSpaceDE w:val="0"/>
        <w:autoSpaceDN w:val="0"/>
        <w:adjustRightInd w:val="0"/>
        <w:rPr>
          <w:color w:val="000000"/>
        </w:rPr>
      </w:pPr>
    </w:p>
    <w:p w:rsidR="00861BAA" w:rsidP="00861BAA" w:rsidRDefault="00861BAA" w14:paraId="58CA5C07" w14:textId="6918D5C4">
      <w:pPr>
        <w:autoSpaceDE w:val="0"/>
        <w:autoSpaceDN w:val="0"/>
        <w:adjustRightInd w:val="0"/>
        <w:rPr>
          <w:color w:val="000000"/>
        </w:rPr>
      </w:pPr>
      <w:r w:rsidRPr="00D3269F">
        <w:rPr>
          <w:color w:val="000000"/>
        </w:rPr>
        <w:t xml:space="preserve">Table </w:t>
      </w:r>
      <w:r w:rsidR="00125AE0">
        <w:rPr>
          <w:color w:val="000000"/>
        </w:rPr>
        <w:t>B.</w:t>
      </w:r>
      <w:r>
        <w:rPr>
          <w:color w:val="000000"/>
        </w:rPr>
        <w:t>1</w:t>
      </w:r>
      <w:r w:rsidRPr="00D3269F">
        <w:rPr>
          <w:color w:val="000000"/>
        </w:rPr>
        <w:t>.</w:t>
      </w:r>
      <w:r w:rsidR="00375023">
        <w:rPr>
          <w:color w:val="000000"/>
        </w:rPr>
        <w:t xml:space="preserve"> </w:t>
      </w:r>
      <w:r w:rsidR="00C20D56">
        <w:rPr>
          <w:color w:val="000000"/>
        </w:rPr>
        <w:t>Precision of estimates</w:t>
      </w:r>
      <w:r>
        <w:rPr>
          <w:color w:val="000000"/>
        </w:rPr>
        <w:t>, by reporting class</w:t>
      </w:r>
      <w:r w:rsidR="00C20D56">
        <w:rPr>
          <w:color w:val="000000"/>
        </w:rPr>
        <w:t xml:space="preserve"> and by expected proportion, at 95% confidence</w:t>
      </w:r>
      <w:r w:rsidRPr="00D3269F">
        <w:rPr>
          <w:color w:val="000000"/>
        </w:rPr>
        <w:t>.</w:t>
      </w:r>
    </w:p>
    <w:tbl>
      <w:tblPr>
        <w:tblStyle w:val="TableGrid"/>
        <w:tblW w:w="8277"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078"/>
        <w:gridCol w:w="1300"/>
        <w:gridCol w:w="1299"/>
        <w:gridCol w:w="1300"/>
        <w:gridCol w:w="1300"/>
      </w:tblGrid>
      <w:tr w:rsidR="00125AE0" w:rsidTr="00ED5D1E" w14:paraId="4D40AE2F" w14:textId="77777777">
        <w:tc>
          <w:tcPr>
            <w:tcW w:w="3078" w:type="dxa"/>
            <w:tcBorders>
              <w:top w:val="single" w:color="auto" w:sz="4" w:space="0"/>
              <w:bottom w:val="single" w:color="auto" w:sz="4" w:space="0"/>
            </w:tcBorders>
            <w:vAlign w:val="bottom"/>
          </w:tcPr>
          <w:p w:rsidRPr="00F336A0" w:rsidR="00125AE0" w:rsidP="00B22ED7" w:rsidRDefault="00125AE0" w14:paraId="75B8297A" w14:textId="48DCC40C">
            <w:pPr>
              <w:rPr>
                <w:b/>
              </w:rPr>
            </w:pPr>
            <w:r w:rsidRPr="00F336A0">
              <w:rPr>
                <w:b/>
              </w:rPr>
              <w:t xml:space="preserve">Size of </w:t>
            </w:r>
            <w:r w:rsidR="003B5E77">
              <w:rPr>
                <w:b/>
              </w:rPr>
              <w:t>feedlot</w:t>
            </w:r>
            <w:r w:rsidRPr="00F336A0">
              <w:rPr>
                <w:b/>
              </w:rPr>
              <w:t xml:space="preserve"> </w:t>
            </w:r>
            <w:r w:rsidRPr="006C2CCE">
              <w:t>(</w:t>
            </w:r>
            <w:r>
              <w:t>capacity</w:t>
            </w:r>
            <w:r w:rsidRPr="006C2CCE">
              <w:t>)</w:t>
            </w:r>
          </w:p>
        </w:tc>
        <w:tc>
          <w:tcPr>
            <w:tcW w:w="1300" w:type="dxa"/>
            <w:tcBorders>
              <w:top w:val="single" w:color="auto" w:sz="4" w:space="0"/>
              <w:bottom w:val="single" w:color="auto" w:sz="4" w:space="0"/>
            </w:tcBorders>
            <w:vAlign w:val="bottom"/>
          </w:tcPr>
          <w:p w:rsidRPr="00F336A0" w:rsidR="00125AE0" w:rsidP="00B22ED7" w:rsidRDefault="00125AE0" w14:paraId="1558F2F1" w14:textId="77777777">
            <w:pPr>
              <w:jc w:val="right"/>
              <w:rPr>
                <w:b/>
              </w:rPr>
            </w:pPr>
            <w:r>
              <w:rPr>
                <w:b/>
              </w:rPr>
              <w:t>Estimated overall sample size*</w:t>
            </w:r>
          </w:p>
        </w:tc>
        <w:tc>
          <w:tcPr>
            <w:tcW w:w="1299" w:type="dxa"/>
            <w:tcBorders>
              <w:top w:val="single" w:color="auto" w:sz="4" w:space="0"/>
              <w:bottom w:val="single" w:color="auto" w:sz="4" w:space="0"/>
            </w:tcBorders>
            <w:vAlign w:val="bottom"/>
          </w:tcPr>
          <w:p w:rsidRPr="00F336A0" w:rsidR="00125AE0" w:rsidP="00B22ED7" w:rsidRDefault="00125AE0" w14:paraId="106CBC4E" w14:textId="77777777">
            <w:pPr>
              <w:jc w:val="right"/>
              <w:rPr>
                <w:b/>
              </w:rPr>
            </w:pPr>
            <w:r>
              <w:rPr>
                <w:b/>
              </w:rPr>
              <w:t>Proportion estimate</w:t>
            </w:r>
          </w:p>
        </w:tc>
        <w:tc>
          <w:tcPr>
            <w:tcW w:w="1300" w:type="dxa"/>
            <w:tcBorders>
              <w:top w:val="single" w:color="auto" w:sz="4" w:space="0"/>
              <w:bottom w:val="single" w:color="auto" w:sz="4" w:space="0"/>
            </w:tcBorders>
            <w:vAlign w:val="bottom"/>
          </w:tcPr>
          <w:p w:rsidR="00125AE0" w:rsidP="00B22ED7" w:rsidRDefault="00125AE0" w14:paraId="3680AB04" w14:textId="77777777">
            <w:pPr>
              <w:jc w:val="right"/>
              <w:rPr>
                <w:b/>
              </w:rPr>
            </w:pPr>
            <w:r>
              <w:rPr>
                <w:b/>
              </w:rPr>
              <w:t>Phase I CV estimate (%)</w:t>
            </w:r>
          </w:p>
        </w:tc>
        <w:tc>
          <w:tcPr>
            <w:tcW w:w="1300" w:type="dxa"/>
            <w:tcBorders>
              <w:top w:val="single" w:color="auto" w:sz="4" w:space="0"/>
              <w:bottom w:val="single" w:color="auto" w:sz="4" w:space="0"/>
            </w:tcBorders>
            <w:vAlign w:val="bottom"/>
          </w:tcPr>
          <w:p w:rsidR="00125AE0" w:rsidP="00B22ED7" w:rsidRDefault="00125AE0" w14:paraId="012D9884" w14:textId="77777777">
            <w:pPr>
              <w:jc w:val="right"/>
              <w:rPr>
                <w:b/>
              </w:rPr>
            </w:pPr>
            <w:r>
              <w:rPr>
                <w:b/>
              </w:rPr>
              <w:t>Phase II CV estimate (%)</w:t>
            </w:r>
          </w:p>
        </w:tc>
      </w:tr>
      <w:tr w:rsidR="00125AE0" w:rsidTr="00ED5D1E" w14:paraId="3B728B80" w14:textId="77777777">
        <w:tc>
          <w:tcPr>
            <w:tcW w:w="3078" w:type="dxa"/>
            <w:vMerge w:val="restart"/>
            <w:tcBorders>
              <w:top w:val="single" w:color="auto" w:sz="4" w:space="0"/>
            </w:tcBorders>
          </w:tcPr>
          <w:p w:rsidR="001E2323" w:rsidP="00B22ED7" w:rsidRDefault="00125AE0" w14:paraId="7F776BAB" w14:textId="77777777">
            <w:r w:rsidRPr="00F50BBB">
              <w:rPr>
                <w:b/>
              </w:rPr>
              <w:t>Small</w:t>
            </w:r>
            <w:r>
              <w:t xml:space="preserve">     </w:t>
            </w:r>
          </w:p>
          <w:p w:rsidR="00125AE0" w:rsidP="00B22ED7" w:rsidRDefault="00125AE0" w14:paraId="45671DB0" w14:textId="236A8AA4">
            <w:r>
              <w:t>(50-999 head)</w:t>
            </w:r>
          </w:p>
        </w:tc>
        <w:tc>
          <w:tcPr>
            <w:tcW w:w="1300" w:type="dxa"/>
            <w:tcBorders>
              <w:top w:val="single" w:color="auto" w:sz="4" w:space="0"/>
            </w:tcBorders>
          </w:tcPr>
          <w:p w:rsidR="00125AE0" w:rsidRDefault="00125AE0" w14:paraId="0B228AC6" w14:textId="1ACB7033">
            <w:pPr>
              <w:jc w:val="right"/>
            </w:pPr>
            <w:r>
              <w:t>3,</w:t>
            </w:r>
            <w:r w:rsidR="00EC14EA">
              <w:t>1</w:t>
            </w:r>
            <w:r w:rsidR="0093637D">
              <w:t>93</w:t>
            </w:r>
          </w:p>
        </w:tc>
        <w:tc>
          <w:tcPr>
            <w:tcW w:w="1299" w:type="dxa"/>
            <w:tcBorders>
              <w:top w:val="single" w:color="auto" w:sz="4" w:space="0"/>
            </w:tcBorders>
          </w:tcPr>
          <w:p w:rsidR="00125AE0" w:rsidP="00B22ED7" w:rsidRDefault="00125AE0" w14:paraId="473272F2" w14:textId="77777777">
            <w:pPr>
              <w:jc w:val="right"/>
            </w:pPr>
            <w:r>
              <w:t>0.50</w:t>
            </w:r>
          </w:p>
        </w:tc>
        <w:tc>
          <w:tcPr>
            <w:tcW w:w="1300" w:type="dxa"/>
            <w:tcBorders>
              <w:top w:val="single" w:color="auto" w:sz="4" w:space="0"/>
            </w:tcBorders>
          </w:tcPr>
          <w:p w:rsidR="00125AE0" w:rsidP="00B22ED7" w:rsidRDefault="00125AE0" w14:paraId="75707D69" w14:textId="77777777">
            <w:pPr>
              <w:jc w:val="right"/>
            </w:pPr>
            <w:r>
              <w:t>4.7</w:t>
            </w:r>
          </w:p>
        </w:tc>
        <w:tc>
          <w:tcPr>
            <w:tcW w:w="1300" w:type="dxa"/>
            <w:tcBorders>
              <w:top w:val="single" w:color="auto" w:sz="4" w:space="0"/>
            </w:tcBorders>
          </w:tcPr>
          <w:p w:rsidR="00125AE0" w:rsidP="00B22ED7" w:rsidRDefault="00125AE0" w14:paraId="77881AA1" w14:textId="77777777">
            <w:pPr>
              <w:jc w:val="right"/>
            </w:pPr>
            <w:r>
              <w:t>6.6</w:t>
            </w:r>
          </w:p>
        </w:tc>
      </w:tr>
      <w:tr w:rsidR="00125AE0" w:rsidTr="00ED5D1E" w14:paraId="1C4EBC77" w14:textId="77777777">
        <w:tc>
          <w:tcPr>
            <w:tcW w:w="3078" w:type="dxa"/>
            <w:vMerge/>
          </w:tcPr>
          <w:p w:rsidRPr="00F50BBB" w:rsidR="00125AE0" w:rsidP="00B22ED7" w:rsidRDefault="00125AE0" w14:paraId="345E6E77" w14:textId="77777777">
            <w:pPr>
              <w:rPr>
                <w:b/>
              </w:rPr>
            </w:pPr>
          </w:p>
        </w:tc>
        <w:tc>
          <w:tcPr>
            <w:tcW w:w="1300" w:type="dxa"/>
          </w:tcPr>
          <w:p w:rsidR="00125AE0" w:rsidP="00B22ED7" w:rsidRDefault="00125AE0" w14:paraId="678FB77B" w14:textId="77777777">
            <w:pPr>
              <w:jc w:val="right"/>
            </w:pPr>
          </w:p>
        </w:tc>
        <w:tc>
          <w:tcPr>
            <w:tcW w:w="1299" w:type="dxa"/>
          </w:tcPr>
          <w:p w:rsidR="00125AE0" w:rsidP="00B22ED7" w:rsidRDefault="00125AE0" w14:paraId="0F7ED4FC" w14:textId="77777777">
            <w:pPr>
              <w:jc w:val="right"/>
            </w:pPr>
            <w:r>
              <w:t>0.25</w:t>
            </w:r>
          </w:p>
        </w:tc>
        <w:tc>
          <w:tcPr>
            <w:tcW w:w="1300" w:type="dxa"/>
          </w:tcPr>
          <w:p w:rsidR="00125AE0" w:rsidP="00B22ED7" w:rsidRDefault="00125AE0" w14:paraId="0FBD7F39" w14:textId="77777777">
            <w:pPr>
              <w:jc w:val="right"/>
            </w:pPr>
            <w:r>
              <w:t>8.1</w:t>
            </w:r>
          </w:p>
        </w:tc>
        <w:tc>
          <w:tcPr>
            <w:tcW w:w="1300" w:type="dxa"/>
          </w:tcPr>
          <w:p w:rsidR="00125AE0" w:rsidP="00B22ED7" w:rsidRDefault="00125AE0" w14:paraId="73C65F9B" w14:textId="77777777">
            <w:pPr>
              <w:jc w:val="right"/>
            </w:pPr>
            <w:r>
              <w:t>11.5</w:t>
            </w:r>
          </w:p>
        </w:tc>
      </w:tr>
      <w:tr w:rsidR="00125AE0" w:rsidTr="00ED5D1E" w14:paraId="72274529" w14:textId="77777777">
        <w:tc>
          <w:tcPr>
            <w:tcW w:w="3078" w:type="dxa"/>
            <w:vMerge/>
          </w:tcPr>
          <w:p w:rsidR="00125AE0" w:rsidP="00B22ED7" w:rsidRDefault="00125AE0" w14:paraId="13A0DE26" w14:textId="77777777"/>
        </w:tc>
        <w:tc>
          <w:tcPr>
            <w:tcW w:w="1300" w:type="dxa"/>
          </w:tcPr>
          <w:p w:rsidR="00125AE0" w:rsidP="00B22ED7" w:rsidRDefault="00125AE0" w14:paraId="7ED84E35" w14:textId="77777777">
            <w:pPr>
              <w:jc w:val="right"/>
            </w:pPr>
          </w:p>
        </w:tc>
        <w:tc>
          <w:tcPr>
            <w:tcW w:w="1299" w:type="dxa"/>
          </w:tcPr>
          <w:p w:rsidR="00125AE0" w:rsidP="00B22ED7" w:rsidRDefault="00125AE0" w14:paraId="4B3D44AF" w14:textId="77777777">
            <w:pPr>
              <w:jc w:val="right"/>
            </w:pPr>
            <w:r>
              <w:t>0.10</w:t>
            </w:r>
          </w:p>
        </w:tc>
        <w:tc>
          <w:tcPr>
            <w:tcW w:w="1300" w:type="dxa"/>
          </w:tcPr>
          <w:p w:rsidR="00125AE0" w:rsidP="00B22ED7" w:rsidRDefault="00125AE0" w14:paraId="0880CA1D" w14:textId="77777777">
            <w:pPr>
              <w:jc w:val="right"/>
            </w:pPr>
            <w:r>
              <w:t>14.0</w:t>
            </w:r>
          </w:p>
        </w:tc>
        <w:tc>
          <w:tcPr>
            <w:tcW w:w="1300" w:type="dxa"/>
          </w:tcPr>
          <w:p w:rsidR="00125AE0" w:rsidP="00B22ED7" w:rsidRDefault="00125AE0" w14:paraId="4FD67A86" w14:textId="77777777">
            <w:pPr>
              <w:jc w:val="right"/>
            </w:pPr>
            <w:r>
              <w:t>19.9</w:t>
            </w:r>
          </w:p>
        </w:tc>
      </w:tr>
      <w:tr w:rsidR="00125AE0" w:rsidTr="00ED5D1E" w14:paraId="7FA3CE6F" w14:textId="77777777">
        <w:tc>
          <w:tcPr>
            <w:tcW w:w="3078" w:type="dxa"/>
            <w:vMerge w:val="restart"/>
          </w:tcPr>
          <w:p w:rsidR="001E2323" w:rsidP="00B22ED7" w:rsidRDefault="00125AE0" w14:paraId="2F1675C0" w14:textId="77777777">
            <w:r w:rsidRPr="00F50BBB">
              <w:rPr>
                <w:b/>
              </w:rPr>
              <w:t>Large</w:t>
            </w:r>
            <w:r>
              <w:rPr>
                <w:b/>
                <w:vertAlign w:val="superscript"/>
              </w:rPr>
              <w:t xml:space="preserve"> </w:t>
            </w:r>
            <w:r>
              <w:t xml:space="preserve">     </w:t>
            </w:r>
          </w:p>
          <w:p w:rsidR="00125AE0" w:rsidP="00B22ED7" w:rsidRDefault="00125AE0" w14:paraId="679537F8" w14:textId="0BB02490">
            <w:r>
              <w:t>(1,000 or more head)</w:t>
            </w:r>
          </w:p>
        </w:tc>
        <w:tc>
          <w:tcPr>
            <w:tcW w:w="1300" w:type="dxa"/>
          </w:tcPr>
          <w:p w:rsidR="00125AE0" w:rsidRDefault="00125AE0" w14:paraId="7173D2C4" w14:textId="71DC07FD">
            <w:pPr>
              <w:jc w:val="right"/>
            </w:pPr>
            <w:r>
              <w:t>2,</w:t>
            </w:r>
            <w:r w:rsidR="00EC14EA">
              <w:t>2</w:t>
            </w:r>
            <w:r>
              <w:t>00</w:t>
            </w:r>
          </w:p>
        </w:tc>
        <w:tc>
          <w:tcPr>
            <w:tcW w:w="1299" w:type="dxa"/>
          </w:tcPr>
          <w:p w:rsidR="00125AE0" w:rsidP="00B22ED7" w:rsidRDefault="00125AE0" w14:paraId="0369A729" w14:textId="77777777">
            <w:pPr>
              <w:jc w:val="right"/>
            </w:pPr>
            <w:r>
              <w:t>0.50</w:t>
            </w:r>
          </w:p>
        </w:tc>
        <w:tc>
          <w:tcPr>
            <w:tcW w:w="1300" w:type="dxa"/>
          </w:tcPr>
          <w:p w:rsidR="00125AE0" w:rsidP="00B22ED7" w:rsidRDefault="00125AE0" w14:paraId="073E9069" w14:textId="77777777">
            <w:pPr>
              <w:jc w:val="right"/>
            </w:pPr>
            <w:r>
              <w:t>4.9</w:t>
            </w:r>
          </w:p>
        </w:tc>
        <w:tc>
          <w:tcPr>
            <w:tcW w:w="1300" w:type="dxa"/>
          </w:tcPr>
          <w:p w:rsidR="00125AE0" w:rsidP="00B22ED7" w:rsidRDefault="00125AE0" w14:paraId="0636CEAF" w14:textId="77777777">
            <w:pPr>
              <w:jc w:val="right"/>
            </w:pPr>
            <w:r>
              <w:t>6.8</w:t>
            </w:r>
          </w:p>
        </w:tc>
      </w:tr>
      <w:tr w:rsidR="00125AE0" w:rsidTr="00ED5D1E" w14:paraId="192B6299" w14:textId="77777777">
        <w:tc>
          <w:tcPr>
            <w:tcW w:w="3078" w:type="dxa"/>
            <w:vMerge/>
          </w:tcPr>
          <w:p w:rsidRPr="00F50BBB" w:rsidR="00125AE0" w:rsidP="00B22ED7" w:rsidRDefault="00125AE0" w14:paraId="4A3387BD" w14:textId="77777777">
            <w:pPr>
              <w:rPr>
                <w:b/>
              </w:rPr>
            </w:pPr>
          </w:p>
        </w:tc>
        <w:tc>
          <w:tcPr>
            <w:tcW w:w="1300" w:type="dxa"/>
          </w:tcPr>
          <w:p w:rsidR="00125AE0" w:rsidP="00B22ED7" w:rsidRDefault="00125AE0" w14:paraId="19CE916B" w14:textId="77777777">
            <w:pPr>
              <w:jc w:val="right"/>
            </w:pPr>
          </w:p>
        </w:tc>
        <w:tc>
          <w:tcPr>
            <w:tcW w:w="1299" w:type="dxa"/>
          </w:tcPr>
          <w:p w:rsidR="00125AE0" w:rsidP="00B22ED7" w:rsidRDefault="00125AE0" w14:paraId="24AD7B2F" w14:textId="77777777">
            <w:pPr>
              <w:jc w:val="right"/>
            </w:pPr>
            <w:r>
              <w:t>0.25</w:t>
            </w:r>
          </w:p>
        </w:tc>
        <w:tc>
          <w:tcPr>
            <w:tcW w:w="1300" w:type="dxa"/>
          </w:tcPr>
          <w:p w:rsidR="00125AE0" w:rsidP="00B22ED7" w:rsidRDefault="00125AE0" w14:paraId="2E5B6E3A" w14:textId="77777777">
            <w:pPr>
              <w:jc w:val="right"/>
            </w:pPr>
            <w:r>
              <w:t>8.4</w:t>
            </w:r>
          </w:p>
        </w:tc>
        <w:tc>
          <w:tcPr>
            <w:tcW w:w="1300" w:type="dxa"/>
          </w:tcPr>
          <w:p w:rsidR="00125AE0" w:rsidP="00B22ED7" w:rsidRDefault="00125AE0" w14:paraId="04A06ABC" w14:textId="77777777">
            <w:pPr>
              <w:jc w:val="right"/>
            </w:pPr>
            <w:r>
              <w:t>11.7</w:t>
            </w:r>
          </w:p>
        </w:tc>
      </w:tr>
      <w:tr w:rsidR="00125AE0" w:rsidTr="00ED5D1E" w14:paraId="2057BACE" w14:textId="77777777">
        <w:tc>
          <w:tcPr>
            <w:tcW w:w="3078" w:type="dxa"/>
            <w:vMerge/>
          </w:tcPr>
          <w:p w:rsidR="00125AE0" w:rsidP="00B22ED7" w:rsidRDefault="00125AE0" w14:paraId="3072592E" w14:textId="77777777"/>
        </w:tc>
        <w:tc>
          <w:tcPr>
            <w:tcW w:w="1300" w:type="dxa"/>
          </w:tcPr>
          <w:p w:rsidR="00125AE0" w:rsidP="00B22ED7" w:rsidRDefault="00125AE0" w14:paraId="3AE246B3" w14:textId="77777777">
            <w:pPr>
              <w:jc w:val="right"/>
            </w:pPr>
          </w:p>
        </w:tc>
        <w:tc>
          <w:tcPr>
            <w:tcW w:w="1299" w:type="dxa"/>
          </w:tcPr>
          <w:p w:rsidR="00125AE0" w:rsidP="00B22ED7" w:rsidRDefault="00125AE0" w14:paraId="15BF0C68" w14:textId="77777777">
            <w:pPr>
              <w:jc w:val="right"/>
            </w:pPr>
            <w:r>
              <w:t>0.10</w:t>
            </w:r>
          </w:p>
        </w:tc>
        <w:tc>
          <w:tcPr>
            <w:tcW w:w="1300" w:type="dxa"/>
          </w:tcPr>
          <w:p w:rsidR="00125AE0" w:rsidP="00B22ED7" w:rsidRDefault="00125AE0" w14:paraId="5D4BC147" w14:textId="77777777">
            <w:pPr>
              <w:jc w:val="right"/>
            </w:pPr>
            <w:r>
              <w:t>14.6</w:t>
            </w:r>
          </w:p>
        </w:tc>
        <w:tc>
          <w:tcPr>
            <w:tcW w:w="1300" w:type="dxa"/>
          </w:tcPr>
          <w:p w:rsidRPr="00ED5D1E" w:rsidR="00125AE0" w:rsidP="00B22ED7" w:rsidRDefault="00125AE0" w14:paraId="3E42B648" w14:textId="77777777">
            <w:pPr>
              <w:jc w:val="right"/>
              <w:rPr>
                <w:b/>
              </w:rPr>
            </w:pPr>
            <w:r w:rsidRPr="00ED5D1E">
              <w:rPr>
                <w:b/>
              </w:rPr>
              <w:t>20.3</w:t>
            </w:r>
          </w:p>
        </w:tc>
      </w:tr>
      <w:tr w:rsidR="00125AE0" w:rsidTr="00ED5D1E" w14:paraId="46A006B5" w14:textId="77777777">
        <w:tc>
          <w:tcPr>
            <w:tcW w:w="3078" w:type="dxa"/>
            <w:vMerge w:val="restart"/>
          </w:tcPr>
          <w:p w:rsidRPr="00722B50" w:rsidR="00125AE0" w:rsidP="00B22ED7" w:rsidRDefault="00125AE0" w14:paraId="60A631B9" w14:textId="77777777">
            <w:pPr>
              <w:rPr>
                <w:b/>
              </w:rPr>
            </w:pPr>
            <w:r w:rsidRPr="00722B50">
              <w:rPr>
                <w:b/>
              </w:rPr>
              <w:t>Total</w:t>
            </w:r>
          </w:p>
        </w:tc>
        <w:tc>
          <w:tcPr>
            <w:tcW w:w="1300" w:type="dxa"/>
          </w:tcPr>
          <w:p w:rsidRPr="00ED5D1E" w:rsidR="00125AE0" w:rsidRDefault="00125AE0" w14:paraId="24022A1E" w14:textId="2FE91501">
            <w:pPr>
              <w:jc w:val="right"/>
            </w:pPr>
            <w:r w:rsidRPr="00ED5D1E">
              <w:rPr>
                <w:rFonts w:ascii="Calibri" w:hAnsi="Calibri"/>
                <w:color w:val="000000"/>
              </w:rPr>
              <w:t>5,</w:t>
            </w:r>
            <w:r w:rsidR="0093637D">
              <w:rPr>
                <w:rFonts w:ascii="Calibri" w:hAnsi="Calibri"/>
                <w:color w:val="000000"/>
              </w:rPr>
              <w:t>393</w:t>
            </w:r>
          </w:p>
        </w:tc>
        <w:tc>
          <w:tcPr>
            <w:tcW w:w="1299" w:type="dxa"/>
          </w:tcPr>
          <w:p w:rsidR="00125AE0" w:rsidP="00B22ED7" w:rsidRDefault="00125AE0" w14:paraId="02168576" w14:textId="77777777">
            <w:pPr>
              <w:jc w:val="right"/>
            </w:pPr>
            <w:r>
              <w:t>0.50</w:t>
            </w:r>
          </w:p>
        </w:tc>
        <w:tc>
          <w:tcPr>
            <w:tcW w:w="1300" w:type="dxa"/>
          </w:tcPr>
          <w:p w:rsidR="00125AE0" w:rsidP="00B22ED7" w:rsidRDefault="00125AE0" w14:paraId="350ABB10" w14:textId="77777777">
            <w:pPr>
              <w:jc w:val="right"/>
            </w:pPr>
            <w:r>
              <w:t>3.6</w:t>
            </w:r>
          </w:p>
        </w:tc>
        <w:tc>
          <w:tcPr>
            <w:tcW w:w="1300" w:type="dxa"/>
          </w:tcPr>
          <w:p w:rsidR="00125AE0" w:rsidP="00B22ED7" w:rsidRDefault="00125AE0" w14:paraId="77B71B52" w14:textId="77777777">
            <w:pPr>
              <w:jc w:val="right"/>
            </w:pPr>
            <w:r>
              <w:t>4.9</w:t>
            </w:r>
          </w:p>
        </w:tc>
      </w:tr>
      <w:tr w:rsidR="00125AE0" w:rsidTr="00ED5D1E" w14:paraId="2D38DB5D" w14:textId="77777777">
        <w:tc>
          <w:tcPr>
            <w:tcW w:w="3078" w:type="dxa"/>
            <w:vMerge/>
          </w:tcPr>
          <w:p w:rsidRPr="00722B50" w:rsidR="00125AE0" w:rsidP="00B22ED7" w:rsidRDefault="00125AE0" w14:paraId="042E3994" w14:textId="77777777">
            <w:pPr>
              <w:rPr>
                <w:b/>
              </w:rPr>
            </w:pPr>
          </w:p>
        </w:tc>
        <w:tc>
          <w:tcPr>
            <w:tcW w:w="1300" w:type="dxa"/>
          </w:tcPr>
          <w:p w:rsidRPr="000536D5" w:rsidR="00125AE0" w:rsidP="00B22ED7" w:rsidRDefault="00125AE0" w14:paraId="15B820FB" w14:textId="77777777">
            <w:pPr>
              <w:jc w:val="right"/>
              <w:rPr>
                <w:rFonts w:ascii="Calibri" w:hAnsi="Calibri"/>
                <w:b/>
                <w:color w:val="000000"/>
              </w:rPr>
            </w:pPr>
          </w:p>
        </w:tc>
        <w:tc>
          <w:tcPr>
            <w:tcW w:w="1299" w:type="dxa"/>
          </w:tcPr>
          <w:p w:rsidR="00125AE0" w:rsidP="00B22ED7" w:rsidRDefault="00125AE0" w14:paraId="53D5F24F" w14:textId="77777777">
            <w:pPr>
              <w:jc w:val="right"/>
            </w:pPr>
            <w:r>
              <w:t>0.25</w:t>
            </w:r>
          </w:p>
        </w:tc>
        <w:tc>
          <w:tcPr>
            <w:tcW w:w="1300" w:type="dxa"/>
          </w:tcPr>
          <w:p w:rsidR="00125AE0" w:rsidP="00B22ED7" w:rsidRDefault="00125AE0" w14:paraId="51BD9238" w14:textId="77777777">
            <w:pPr>
              <w:jc w:val="right"/>
            </w:pPr>
            <w:r>
              <w:t>6.2</w:t>
            </w:r>
          </w:p>
        </w:tc>
        <w:tc>
          <w:tcPr>
            <w:tcW w:w="1300" w:type="dxa"/>
          </w:tcPr>
          <w:p w:rsidR="00125AE0" w:rsidP="00B22ED7" w:rsidRDefault="00125AE0" w14:paraId="709F6028" w14:textId="77777777">
            <w:pPr>
              <w:jc w:val="right"/>
            </w:pPr>
            <w:r>
              <w:t>8.6</w:t>
            </w:r>
          </w:p>
        </w:tc>
      </w:tr>
      <w:tr w:rsidR="00125AE0" w:rsidTr="00ED5D1E" w14:paraId="68004055" w14:textId="77777777">
        <w:tc>
          <w:tcPr>
            <w:tcW w:w="3078" w:type="dxa"/>
            <w:vMerge/>
            <w:tcBorders>
              <w:bottom w:val="single" w:color="auto" w:sz="4" w:space="0"/>
            </w:tcBorders>
          </w:tcPr>
          <w:p w:rsidR="00125AE0" w:rsidP="00B22ED7" w:rsidRDefault="00125AE0" w14:paraId="794449EF" w14:textId="77777777"/>
        </w:tc>
        <w:tc>
          <w:tcPr>
            <w:tcW w:w="1300" w:type="dxa"/>
            <w:tcBorders>
              <w:bottom w:val="single" w:color="auto" w:sz="4" w:space="0"/>
            </w:tcBorders>
          </w:tcPr>
          <w:p w:rsidR="00125AE0" w:rsidP="00B22ED7" w:rsidRDefault="00125AE0" w14:paraId="53633014" w14:textId="77777777">
            <w:pPr>
              <w:jc w:val="right"/>
            </w:pPr>
          </w:p>
        </w:tc>
        <w:tc>
          <w:tcPr>
            <w:tcW w:w="1299" w:type="dxa"/>
            <w:tcBorders>
              <w:bottom w:val="single" w:color="auto" w:sz="4" w:space="0"/>
            </w:tcBorders>
          </w:tcPr>
          <w:p w:rsidR="00125AE0" w:rsidP="00B22ED7" w:rsidRDefault="00125AE0" w14:paraId="1F384EBA" w14:textId="77777777">
            <w:pPr>
              <w:jc w:val="right"/>
            </w:pPr>
            <w:r>
              <w:t>0.10</w:t>
            </w:r>
          </w:p>
        </w:tc>
        <w:tc>
          <w:tcPr>
            <w:tcW w:w="1300" w:type="dxa"/>
            <w:tcBorders>
              <w:bottom w:val="single" w:color="auto" w:sz="4" w:space="0"/>
            </w:tcBorders>
          </w:tcPr>
          <w:p w:rsidR="00125AE0" w:rsidP="00B22ED7" w:rsidRDefault="00125AE0" w14:paraId="4E30F8C8" w14:textId="77777777">
            <w:pPr>
              <w:jc w:val="right"/>
            </w:pPr>
            <w:r>
              <w:t>10.7</w:t>
            </w:r>
          </w:p>
        </w:tc>
        <w:tc>
          <w:tcPr>
            <w:tcW w:w="1300" w:type="dxa"/>
            <w:tcBorders>
              <w:bottom w:val="single" w:color="auto" w:sz="4" w:space="0"/>
            </w:tcBorders>
          </w:tcPr>
          <w:p w:rsidR="00125AE0" w:rsidP="00B22ED7" w:rsidRDefault="00125AE0" w14:paraId="47C4E7DF" w14:textId="77777777">
            <w:pPr>
              <w:jc w:val="right"/>
            </w:pPr>
            <w:r>
              <w:t>14.8</w:t>
            </w:r>
          </w:p>
        </w:tc>
      </w:tr>
    </w:tbl>
    <w:p w:rsidRPr="00BE1FD3" w:rsidR="00861BAA" w:rsidP="00861BAA" w:rsidRDefault="00125AE0" w14:paraId="29F1AED7" w14:textId="6CE9E59E">
      <w:pPr>
        <w:autoSpaceDE w:val="0"/>
        <w:autoSpaceDN w:val="0"/>
        <w:adjustRightInd w:val="0"/>
        <w:rPr>
          <w:sz w:val="22"/>
          <w:szCs w:val="22"/>
        </w:rPr>
      </w:pPr>
      <w:r>
        <w:rPr>
          <w:color w:val="000000"/>
          <w:vertAlign w:val="superscript"/>
        </w:rPr>
        <w:t>*</w:t>
      </w:r>
      <w:r>
        <w:rPr>
          <w:color w:val="000000"/>
        </w:rPr>
        <w:t xml:space="preserve"> </w:t>
      </w:r>
      <w:r w:rsidR="001E2323">
        <w:rPr>
          <w:color w:val="000000"/>
        </w:rPr>
        <w:t>Sample size</w:t>
      </w:r>
      <w:r>
        <w:rPr>
          <w:color w:val="000000"/>
        </w:rPr>
        <w:t xml:space="preserve"> approximations presented here.</w:t>
      </w:r>
    </w:p>
    <w:p w:rsidR="004D7613" w:rsidP="00861BAA" w:rsidRDefault="004D7613" w14:paraId="37CD2747" w14:textId="77777777">
      <w:pPr>
        <w:autoSpaceDE w:val="0"/>
        <w:autoSpaceDN w:val="0"/>
        <w:adjustRightInd w:val="0"/>
      </w:pPr>
    </w:p>
    <w:p w:rsidR="00FD2271" w:rsidP="00ED5D1E" w:rsidRDefault="00C20D56" w14:paraId="4BC15B8D" w14:textId="3C32A2AD">
      <w:pPr>
        <w:pStyle w:val="Heading1"/>
        <w:rPr>
          <w:rFonts w:ascii="Times New Roman" w:hAnsi="Times New Roman" w:cs="Times New Roman"/>
          <w:bCs w:val="0"/>
          <w:sz w:val="24"/>
          <w:szCs w:val="24"/>
        </w:rPr>
      </w:pPr>
      <w:bookmarkStart w:name="_Toc142106621" w:id="40"/>
      <w:r>
        <w:rPr>
          <w:rFonts w:ascii="Times New Roman" w:hAnsi="Times New Roman" w:cs="Times New Roman"/>
          <w:sz w:val="24"/>
          <w:szCs w:val="24"/>
        </w:rPr>
        <w:br w:type="page"/>
      </w:r>
      <w:r w:rsidRPr="00ED5D1E">
        <w:rPr>
          <w:rFonts w:ascii="Times New Roman" w:hAnsi="Times New Roman" w:cs="Times New Roman"/>
          <w:sz w:val="24"/>
          <w:szCs w:val="24"/>
        </w:rPr>
        <w:lastRenderedPageBreak/>
        <w:t>A</w:t>
      </w:r>
      <w:r w:rsidRPr="00ED5D1E" w:rsidR="004E48D9">
        <w:rPr>
          <w:rFonts w:ascii="Times New Roman" w:hAnsi="Times New Roman" w:cs="Times New Roman"/>
          <w:sz w:val="24"/>
          <w:szCs w:val="24"/>
        </w:rPr>
        <w:t xml:space="preserve">ppendix </w:t>
      </w:r>
      <w:r w:rsidRPr="00ED5D1E" w:rsidR="00125AE0">
        <w:rPr>
          <w:rFonts w:ascii="Times New Roman" w:hAnsi="Times New Roman" w:cs="Times New Roman"/>
          <w:sz w:val="24"/>
          <w:szCs w:val="24"/>
        </w:rPr>
        <w:t>C</w:t>
      </w:r>
      <w:r w:rsidRPr="00ED5D1E" w:rsidR="004E48D9">
        <w:rPr>
          <w:rFonts w:ascii="Times New Roman" w:hAnsi="Times New Roman" w:cs="Times New Roman"/>
          <w:sz w:val="24"/>
          <w:szCs w:val="24"/>
        </w:rPr>
        <w:t xml:space="preserve">: </w:t>
      </w:r>
      <w:r w:rsidRPr="00ED5D1E" w:rsidR="00125AE0">
        <w:rPr>
          <w:rFonts w:ascii="Times New Roman" w:hAnsi="Times New Roman" w:cs="Times New Roman"/>
          <w:bCs w:val="0"/>
          <w:sz w:val="24"/>
          <w:szCs w:val="24"/>
        </w:rPr>
        <w:t xml:space="preserve">Estimated </w:t>
      </w:r>
      <w:r w:rsidRPr="00ED5D1E" w:rsidR="00ED5D1E">
        <w:rPr>
          <w:rFonts w:ascii="Times New Roman" w:hAnsi="Times New Roman" w:cs="Times New Roman"/>
          <w:bCs w:val="0"/>
          <w:sz w:val="24"/>
          <w:szCs w:val="24"/>
        </w:rPr>
        <w:t>R</w:t>
      </w:r>
      <w:r w:rsidRPr="00ED5D1E" w:rsidR="00125AE0">
        <w:rPr>
          <w:rFonts w:ascii="Times New Roman" w:hAnsi="Times New Roman" w:cs="Times New Roman"/>
          <w:bCs w:val="0"/>
          <w:sz w:val="24"/>
          <w:szCs w:val="24"/>
        </w:rPr>
        <w:t xml:space="preserve">esponse </w:t>
      </w:r>
      <w:bookmarkEnd w:id="40"/>
      <w:r w:rsidRPr="00ED5D1E" w:rsidR="00ED5D1E">
        <w:rPr>
          <w:rFonts w:ascii="Times New Roman" w:hAnsi="Times New Roman" w:cs="Times New Roman"/>
          <w:bCs w:val="0"/>
          <w:sz w:val="24"/>
          <w:szCs w:val="24"/>
        </w:rPr>
        <w:t>R</w:t>
      </w:r>
      <w:r w:rsidRPr="00ED5D1E" w:rsidR="00125AE0">
        <w:rPr>
          <w:rFonts w:ascii="Times New Roman" w:hAnsi="Times New Roman" w:cs="Times New Roman"/>
          <w:bCs w:val="0"/>
          <w:sz w:val="24"/>
          <w:szCs w:val="24"/>
        </w:rPr>
        <w:t>ates</w:t>
      </w:r>
    </w:p>
    <w:p w:rsidRPr="008B0FFA" w:rsidR="008B0FFA" w:rsidP="008B0FFA" w:rsidRDefault="008B0FFA" w14:paraId="03243EE4" w14:textId="77777777"/>
    <w:p w:rsidR="005B3811" w:rsidP="005B3811" w:rsidRDefault="005B3811" w14:paraId="7930072D" w14:textId="097BD99B">
      <w:r>
        <w:t xml:space="preserve">Note: There are many different methodologies for calculating and reporting response rates. The rate we choose to report here are the “raw” response rates. These are ratios of total numbers of subjects completing the respective Phase questionnaire to the total numbers of subjects selected from the NASS list frame for the given study. These “raw” rates give the best estimate of the </w:t>
      </w:r>
      <w:r w:rsidR="002E29DD">
        <w:t xml:space="preserve">real </w:t>
      </w:r>
      <w:r>
        <w:t xml:space="preserve">proportion of sampled subjects giving complete data for the study as they take into account both response propensity of eligible subjects and list frame </w:t>
      </w:r>
      <w:proofErr w:type="spellStart"/>
      <w:r w:rsidR="002E29DD">
        <w:t>covereage</w:t>
      </w:r>
      <w:proofErr w:type="spellEnd"/>
      <w:r w:rsidR="002E29DD">
        <w:t xml:space="preserve"> </w:t>
      </w:r>
      <w:r>
        <w:t>quality since it does not filter out ineligible subjects.</w:t>
      </w:r>
    </w:p>
    <w:p w:rsidRPr="005B3811" w:rsidR="005B3811" w:rsidP="005B3811" w:rsidRDefault="005B3811" w14:paraId="42902FED" w14:textId="77777777"/>
    <w:p w:rsidR="004A694B" w:rsidP="004A694B" w:rsidRDefault="004A694B" w14:paraId="3AE3DB26" w14:textId="5AF3FB79">
      <w:pPr>
        <w:rPr>
          <w:rFonts w:eastAsiaTheme="minorEastAsia"/>
        </w:rPr>
      </w:pPr>
      <w:r>
        <w:rPr>
          <w:rFonts w:eastAsiaTheme="minorEastAsia"/>
        </w:rPr>
        <w:t xml:space="preserve">The response rates from the </w:t>
      </w:r>
      <w:r w:rsidR="00C204B5">
        <w:rPr>
          <w:rFonts w:eastAsiaTheme="minorEastAsia"/>
        </w:rPr>
        <w:t>Antimicrobial</w:t>
      </w:r>
      <w:r>
        <w:rPr>
          <w:rFonts w:eastAsiaTheme="minorEastAsia"/>
        </w:rPr>
        <w:t xml:space="preserve"> Use (AMU) and Stewardship on U.S. Feedlots, 2017, are presented below. The response rates to this study were lower than are typical for NAHMS studies in general, and for NAHMS studies of cattle on feed (</w:t>
      </w:r>
      <w:proofErr w:type="spellStart"/>
      <w:r>
        <w:rPr>
          <w:rFonts w:eastAsiaTheme="minorEastAsia"/>
        </w:rPr>
        <w:t>CoF</w:t>
      </w:r>
      <w:proofErr w:type="spellEnd"/>
      <w:r>
        <w:rPr>
          <w:rFonts w:eastAsiaTheme="minorEastAsia"/>
        </w:rPr>
        <w:t xml:space="preserve">). </w:t>
      </w:r>
      <w:r w:rsidR="00C820D0">
        <w:rPr>
          <w:rFonts w:eastAsiaTheme="minorEastAsia"/>
        </w:rPr>
        <w:t xml:space="preserve">For this reason, </w:t>
      </w:r>
      <w:r>
        <w:rPr>
          <w:rFonts w:eastAsiaTheme="minorEastAsia"/>
        </w:rPr>
        <w:t>the response rates from the NAHMS Feedlot 2011 study</w:t>
      </w:r>
      <w:r w:rsidR="00C820D0">
        <w:rPr>
          <w:rFonts w:eastAsiaTheme="minorEastAsia"/>
        </w:rPr>
        <w:t xml:space="preserve"> are included</w:t>
      </w:r>
      <w:r>
        <w:rPr>
          <w:rFonts w:eastAsiaTheme="minorEastAsia"/>
        </w:rPr>
        <w:t xml:space="preserve"> in the table as well. We have reason to believe, since the study design has changed positively since the 2017 study, and because the list frame from which the final sample will be taken will have been updated using the Census of Agriculture 2017 </w:t>
      </w:r>
      <w:proofErr w:type="gramStart"/>
      <w:r>
        <w:rPr>
          <w:rFonts w:eastAsiaTheme="minorEastAsia"/>
        </w:rPr>
        <w:t>data, that</w:t>
      </w:r>
      <w:proofErr w:type="gramEnd"/>
      <w:r>
        <w:rPr>
          <w:rFonts w:eastAsiaTheme="minorEastAsia"/>
        </w:rPr>
        <w:t xml:space="preserve"> the expected response rates for the 2020 study will not be as they were in the 2017 study. For this reason, the expected response rates for small capacity feedlots and large capacity feedlots at both phases of the study will be closer to the average of the 2017 and 2011 response rates, if not greater. </w:t>
      </w:r>
    </w:p>
    <w:p w:rsidR="004A694B" w:rsidP="004A694B" w:rsidRDefault="004A694B" w14:paraId="004B8965" w14:textId="77777777">
      <w:pPr>
        <w:rPr>
          <w:rFonts w:eastAsiaTheme="minorEastAsia"/>
        </w:rPr>
      </w:pPr>
    </w:p>
    <w:p w:rsidR="004A694B" w:rsidP="004A694B" w:rsidRDefault="004A694B" w14:paraId="525B1180" w14:textId="50D8DDCC">
      <w:r>
        <w:t xml:space="preserve">Table </w:t>
      </w:r>
      <w:r w:rsidR="00501AAE">
        <w:t>C.</w:t>
      </w:r>
      <w:r>
        <w:rPr>
          <w:noProof/>
        </w:rPr>
        <w:fldChar w:fldCharType="begin"/>
      </w:r>
      <w:r>
        <w:rPr>
          <w:noProof/>
        </w:rPr>
        <w:instrText xml:space="preserve"> SEQ Table \* ARABIC </w:instrText>
      </w:r>
      <w:r>
        <w:rPr>
          <w:noProof/>
        </w:rPr>
        <w:fldChar w:fldCharType="separate"/>
      </w:r>
      <w:r w:rsidR="001D017B">
        <w:rPr>
          <w:noProof/>
        </w:rPr>
        <w:t>1</w:t>
      </w:r>
      <w:r>
        <w:rPr>
          <w:noProof/>
        </w:rPr>
        <w:fldChar w:fldCharType="end"/>
      </w:r>
      <w:r w:rsidR="00501AAE">
        <w:t>.</w:t>
      </w:r>
      <w:r>
        <w:t xml:space="preserve"> Response rates from the Cattle on Feed 2017 study and Feedlot 2011 studies.</w:t>
      </w:r>
    </w:p>
    <w:tbl>
      <w:tblPr>
        <w:tblStyle w:val="TableGrid"/>
        <w:tblW w:w="5000" w:type="pct"/>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90"/>
        <w:gridCol w:w="2340"/>
        <w:gridCol w:w="90"/>
        <w:gridCol w:w="2880"/>
      </w:tblGrid>
      <w:tr w:rsidR="00E96C55" w:rsidTr="00ED5D1E" w14:paraId="7AE6CF62" w14:textId="77777777">
        <w:trPr>
          <w:trHeight w:val="537"/>
        </w:trPr>
        <w:tc>
          <w:tcPr>
            <w:tcW w:w="2050" w:type="pct"/>
            <w:tcBorders>
              <w:top w:val="single" w:color="auto" w:sz="4" w:space="0"/>
              <w:bottom w:val="single" w:color="auto" w:sz="4" w:space="0"/>
            </w:tcBorders>
            <w:vAlign w:val="center"/>
          </w:tcPr>
          <w:p w:rsidRPr="00F34EB4" w:rsidR="004A694B" w:rsidRDefault="004A694B" w14:paraId="0ABB4D65" w14:textId="77777777">
            <w:pPr>
              <w:rPr>
                <w:b/>
              </w:rPr>
            </w:pPr>
            <w:r>
              <w:rPr>
                <w:b/>
              </w:rPr>
              <w:t>Study - Study Component</w:t>
            </w:r>
          </w:p>
        </w:tc>
        <w:tc>
          <w:tcPr>
            <w:tcW w:w="1350" w:type="pct"/>
            <w:gridSpan w:val="2"/>
            <w:tcBorders>
              <w:top w:val="single" w:color="auto" w:sz="4" w:space="0"/>
              <w:bottom w:val="single" w:color="auto" w:sz="4" w:space="0"/>
            </w:tcBorders>
            <w:vAlign w:val="center"/>
          </w:tcPr>
          <w:p w:rsidRPr="00ED5D1E" w:rsidR="004A694B" w:rsidRDefault="004A694B" w14:paraId="4E94D2C3" w14:textId="0B43AEA2">
            <w:pPr>
              <w:jc w:val="right"/>
              <w:rPr>
                <w:b/>
                <w:vertAlign w:val="superscript"/>
              </w:rPr>
            </w:pPr>
            <w:r w:rsidRPr="00F34EB4">
              <w:rPr>
                <w:b/>
              </w:rPr>
              <w:t>Phase I response rate (%)</w:t>
            </w:r>
            <w:r w:rsidR="0093637D">
              <w:rPr>
                <w:b/>
                <w:vertAlign w:val="superscript"/>
              </w:rPr>
              <w:t>1</w:t>
            </w:r>
          </w:p>
        </w:tc>
        <w:tc>
          <w:tcPr>
            <w:tcW w:w="1600" w:type="pct"/>
            <w:tcBorders>
              <w:top w:val="single" w:color="auto" w:sz="4" w:space="0"/>
              <w:bottom w:val="single" w:color="auto" w:sz="4" w:space="0"/>
              <w:right w:val="nil"/>
            </w:tcBorders>
            <w:vAlign w:val="center"/>
          </w:tcPr>
          <w:p w:rsidRPr="00F34EB4" w:rsidR="004A694B" w:rsidRDefault="004A694B" w14:paraId="3E667016" w14:textId="77777777">
            <w:pPr>
              <w:jc w:val="right"/>
              <w:rPr>
                <w:b/>
              </w:rPr>
            </w:pPr>
            <w:r w:rsidRPr="00F34EB4">
              <w:rPr>
                <w:b/>
              </w:rPr>
              <w:t>Phase II response rate (%)</w:t>
            </w:r>
          </w:p>
        </w:tc>
      </w:tr>
      <w:tr w:rsidR="00E96C55" w:rsidTr="00E96C55" w14:paraId="22C9FF30" w14:textId="77777777">
        <w:trPr>
          <w:trHeight w:val="291"/>
        </w:trPr>
        <w:tc>
          <w:tcPr>
            <w:tcW w:w="2050" w:type="pct"/>
            <w:vAlign w:val="center"/>
          </w:tcPr>
          <w:p w:rsidR="00933127" w:rsidP="00B22ED7" w:rsidRDefault="004A694B" w14:paraId="69D818FB" w14:textId="17322D33">
            <w:r w:rsidRPr="00ED5D1E">
              <w:rPr>
                <w:b/>
              </w:rPr>
              <w:t>Feedlot 2011</w:t>
            </w:r>
            <w:r w:rsidR="0093637D">
              <w:rPr>
                <w:b/>
                <w:vertAlign w:val="superscript"/>
              </w:rPr>
              <w:t>2</w:t>
            </w:r>
            <w:r>
              <w:t xml:space="preserve"> </w:t>
            </w:r>
          </w:p>
          <w:p w:rsidR="004A694B" w:rsidP="00B22ED7" w:rsidRDefault="004A694B" w14:paraId="30DB84DF" w14:textId="22433D09">
            <w:r>
              <w:t>(</w:t>
            </w:r>
            <m:oMath>
              <m:sSub>
                <m:sSubPr>
                  <m:ctrlPr>
                    <w:rPr>
                      <w:rFonts w:ascii="Cambria Math" w:hAnsi="Cambria Math"/>
                      <w:i/>
                    </w:rPr>
                  </m:ctrlPr>
                </m:sSubPr>
                <m:e>
                  <m:r>
                    <w:rPr>
                      <w:rFonts w:ascii="Cambria Math" w:hAnsi="Cambria Math"/>
                    </w:rPr>
                    <m:t>δ</m:t>
                  </m:r>
                </m:e>
                <m:sub>
                  <m:r>
                    <w:rPr>
                      <w:rFonts w:ascii="Cambria Math" w:hAnsi="Cambria Math"/>
                    </w:rPr>
                    <m:t>1</m:t>
                  </m:r>
                </m:sub>
              </m:sSub>
            </m:oMath>
            <w:r>
              <w:rPr>
                <w:rFonts w:eastAsiaTheme="minorEastAsia"/>
              </w:rPr>
              <w:t xml:space="preserve"> and </w:t>
            </w:r>
            <m:oMath>
              <m:sSub>
                <m:sSubPr>
                  <m:ctrlPr>
                    <w:rPr>
                      <w:rFonts w:ascii="Cambria Math" w:hAnsi="Cambria Math" w:eastAsiaTheme="minorEastAsia"/>
                      <w:i/>
                    </w:rPr>
                  </m:ctrlPr>
                </m:sSubPr>
                <m:e>
                  <m:r>
                    <w:rPr>
                      <w:rFonts w:ascii="Cambria Math" w:hAnsi="Cambria Math" w:eastAsiaTheme="minorEastAsia"/>
                    </w:rPr>
                    <m:t>δ</m:t>
                  </m:r>
                </m:e>
                <m:sub>
                  <m:r>
                    <w:rPr>
                      <w:rFonts w:ascii="Cambria Math" w:hAnsi="Cambria Math" w:eastAsiaTheme="minorEastAsia"/>
                    </w:rPr>
                    <m:t>2</m:t>
                  </m:r>
                </m:sub>
              </m:sSub>
            </m:oMath>
            <w:r>
              <w:rPr>
                <w:rFonts w:eastAsiaTheme="minorEastAsia"/>
              </w:rPr>
              <w:t>, respectively</w:t>
            </w:r>
            <w:r>
              <w:t>)</w:t>
            </w:r>
          </w:p>
        </w:tc>
        <w:tc>
          <w:tcPr>
            <w:tcW w:w="1300" w:type="pct"/>
            <w:vAlign w:val="center"/>
          </w:tcPr>
          <w:p w:rsidR="004A694B" w:rsidRDefault="004A694B" w14:paraId="7085279D" w14:textId="77777777">
            <w:pPr>
              <w:jc w:val="right"/>
            </w:pPr>
            <w:r>
              <w:t>40.5</w:t>
            </w:r>
          </w:p>
        </w:tc>
        <w:tc>
          <w:tcPr>
            <w:tcW w:w="1650" w:type="pct"/>
            <w:gridSpan w:val="2"/>
            <w:tcBorders>
              <w:right w:val="nil"/>
            </w:tcBorders>
            <w:vAlign w:val="center"/>
          </w:tcPr>
          <w:p w:rsidR="004A694B" w:rsidP="00B22ED7" w:rsidRDefault="004A694B" w14:paraId="3F4DB29D" w14:textId="77777777">
            <w:pPr>
              <w:jc w:val="right"/>
            </w:pPr>
            <w:r>
              <w:t>65.1</w:t>
            </w:r>
          </w:p>
        </w:tc>
      </w:tr>
      <w:tr w:rsidR="004A694B" w:rsidTr="00ED5D1E" w14:paraId="548CAA32" w14:textId="77777777">
        <w:trPr>
          <w:trHeight w:val="291"/>
        </w:trPr>
        <w:tc>
          <w:tcPr>
            <w:tcW w:w="2050" w:type="pct"/>
            <w:vAlign w:val="center"/>
          </w:tcPr>
          <w:p w:rsidR="004A694B" w:rsidP="004A694B" w:rsidRDefault="004A694B" w14:paraId="73F26181" w14:textId="77777777">
            <w:r w:rsidRPr="00ED5D1E">
              <w:rPr>
                <w:b/>
              </w:rPr>
              <w:t xml:space="preserve">AMU </w:t>
            </w:r>
            <w:proofErr w:type="spellStart"/>
            <w:r w:rsidRPr="00ED5D1E">
              <w:rPr>
                <w:b/>
              </w:rPr>
              <w:t>CoF</w:t>
            </w:r>
            <w:proofErr w:type="spellEnd"/>
            <w:r w:rsidRPr="00ED5D1E">
              <w:rPr>
                <w:b/>
              </w:rPr>
              <w:t xml:space="preserve"> 2017 – Large</w:t>
            </w:r>
            <w:r>
              <w:t xml:space="preserve"> </w:t>
            </w:r>
          </w:p>
          <w:p w:rsidR="004A694B" w:rsidP="004A694B" w:rsidRDefault="004A694B" w14:paraId="47DFB9A6" w14:textId="34937D03">
            <w:r>
              <w:t>(</w:t>
            </w:r>
            <m:oMath>
              <m:sSub>
                <m:sSubPr>
                  <m:ctrlPr>
                    <w:rPr>
                      <w:rFonts w:ascii="Cambria Math" w:hAnsi="Cambria Math"/>
                      <w:i/>
                    </w:rPr>
                  </m:ctrlPr>
                </m:sSubPr>
                <m:e>
                  <m:sSup>
                    <m:sSupPr>
                      <m:ctrlPr>
                        <w:rPr>
                          <w:rFonts w:ascii="Cambria Math" w:hAnsi="Cambria Math"/>
                          <w:i/>
                        </w:rPr>
                      </m:ctrlPr>
                    </m:sSupPr>
                    <m:e>
                      <m:r>
                        <w:rPr>
                          <w:rFonts w:ascii="Cambria Math" w:hAnsi="Cambria Math"/>
                        </w:rPr>
                        <m:t>ρ</m:t>
                      </m:r>
                    </m:e>
                    <m:sup>
                      <m:r>
                        <w:rPr>
                          <w:rFonts w:ascii="Cambria Math" w:hAnsi="Cambria Math"/>
                        </w:rPr>
                        <m:t>L</m:t>
                      </m:r>
                    </m:sup>
                  </m:sSup>
                </m:e>
                <m:sub>
                  <m:r>
                    <w:rPr>
                      <w:rFonts w:ascii="Cambria Math" w:hAnsi="Cambria Math"/>
                    </w:rPr>
                    <m:t>1</m:t>
                  </m:r>
                </m:sub>
              </m:sSub>
            </m:oMath>
            <w:r>
              <w:rPr>
                <w:rFonts w:eastAsiaTheme="minorEastAsia"/>
              </w:rPr>
              <w:t xml:space="preserve"> and </w:t>
            </w:r>
            <m:oMath>
              <m:sSub>
                <m:sSubPr>
                  <m:ctrlPr>
                    <w:rPr>
                      <w:rFonts w:ascii="Cambria Math" w:hAnsi="Cambria Math" w:eastAsiaTheme="minorEastAsia"/>
                      <w:i/>
                    </w:rPr>
                  </m:ctrlPr>
                </m:sSubPr>
                <m:e>
                  <m:sSup>
                    <m:sSupPr>
                      <m:ctrlPr>
                        <w:rPr>
                          <w:rFonts w:ascii="Cambria Math" w:hAnsi="Cambria Math" w:eastAsiaTheme="minorEastAsia"/>
                          <w:i/>
                        </w:rPr>
                      </m:ctrlPr>
                    </m:sSupPr>
                    <m:e>
                      <m:r>
                        <w:rPr>
                          <w:rFonts w:ascii="Cambria Math" w:hAnsi="Cambria Math" w:eastAsiaTheme="minorEastAsia"/>
                        </w:rPr>
                        <m:t>ρ</m:t>
                      </m:r>
                    </m:e>
                    <m:sup>
                      <m:r>
                        <w:rPr>
                          <w:rFonts w:ascii="Cambria Math" w:hAnsi="Cambria Math" w:eastAsiaTheme="minorEastAsia"/>
                        </w:rPr>
                        <m:t>L</m:t>
                      </m:r>
                    </m:sup>
                  </m:sSup>
                </m:e>
                <m:sub>
                  <m:r>
                    <w:rPr>
                      <w:rFonts w:ascii="Cambria Math" w:hAnsi="Cambria Math" w:eastAsiaTheme="minorEastAsia"/>
                    </w:rPr>
                    <m:t>2</m:t>
                  </m:r>
                </m:sub>
              </m:sSub>
            </m:oMath>
            <w:r>
              <w:rPr>
                <w:rFonts w:eastAsiaTheme="minorEastAsia"/>
              </w:rPr>
              <w:t>, respectively</w:t>
            </w:r>
            <w:r>
              <w:t>)</w:t>
            </w:r>
          </w:p>
        </w:tc>
        <w:tc>
          <w:tcPr>
            <w:tcW w:w="1300" w:type="pct"/>
            <w:vAlign w:val="center"/>
          </w:tcPr>
          <w:p w:rsidR="004A694B" w:rsidRDefault="004A694B" w14:paraId="6CE1DFEE" w14:textId="7CC4F230">
            <w:pPr>
              <w:jc w:val="right"/>
            </w:pPr>
            <w:r>
              <w:t>23.2</w:t>
            </w:r>
          </w:p>
        </w:tc>
        <w:tc>
          <w:tcPr>
            <w:tcW w:w="1650" w:type="pct"/>
            <w:gridSpan w:val="2"/>
            <w:tcBorders>
              <w:right w:val="nil"/>
            </w:tcBorders>
            <w:vAlign w:val="center"/>
          </w:tcPr>
          <w:p w:rsidR="004A694B" w:rsidP="004A694B" w:rsidRDefault="004A694B" w14:paraId="3058AA5E" w14:textId="2A8C11D4">
            <w:pPr>
              <w:jc w:val="right"/>
            </w:pPr>
            <w:r>
              <w:t>47.1</w:t>
            </w:r>
          </w:p>
        </w:tc>
      </w:tr>
      <w:tr w:rsidR="004A694B" w:rsidTr="00ED5D1E" w14:paraId="02B164FF" w14:textId="77777777">
        <w:trPr>
          <w:trHeight w:val="291"/>
        </w:trPr>
        <w:tc>
          <w:tcPr>
            <w:tcW w:w="2050" w:type="pct"/>
            <w:vAlign w:val="center"/>
          </w:tcPr>
          <w:p w:rsidR="004A694B" w:rsidP="00B22ED7" w:rsidRDefault="004A694B" w14:paraId="192FAC57" w14:textId="77777777">
            <w:r w:rsidRPr="00ED5D1E">
              <w:rPr>
                <w:b/>
              </w:rPr>
              <w:t xml:space="preserve">AMU </w:t>
            </w:r>
            <w:proofErr w:type="spellStart"/>
            <w:r w:rsidRPr="00ED5D1E">
              <w:rPr>
                <w:b/>
              </w:rPr>
              <w:t>CoF</w:t>
            </w:r>
            <w:proofErr w:type="spellEnd"/>
            <w:r w:rsidRPr="00ED5D1E">
              <w:rPr>
                <w:b/>
              </w:rPr>
              <w:t xml:space="preserve"> 2017 – Small</w:t>
            </w:r>
            <w:r>
              <w:t xml:space="preserve"> </w:t>
            </w:r>
          </w:p>
          <w:p w:rsidR="004A694B" w:rsidP="00B22ED7" w:rsidRDefault="004A694B" w14:paraId="664DB579" w14:textId="54F34DAF">
            <w:r>
              <w:t>(</w:t>
            </w:r>
            <m:oMath>
              <m:sSub>
                <m:sSubPr>
                  <m:ctrlPr>
                    <w:rPr>
                      <w:rFonts w:ascii="Cambria Math" w:hAnsi="Cambria Math"/>
                      <w:i/>
                    </w:rPr>
                  </m:ctrlPr>
                </m:sSubPr>
                <m:e>
                  <m:sSup>
                    <m:sSupPr>
                      <m:ctrlPr>
                        <w:rPr>
                          <w:rFonts w:ascii="Cambria Math" w:hAnsi="Cambria Math"/>
                          <w:i/>
                        </w:rPr>
                      </m:ctrlPr>
                    </m:sSupPr>
                    <m:e>
                      <m:r>
                        <w:rPr>
                          <w:rFonts w:ascii="Cambria Math" w:hAnsi="Cambria Math"/>
                        </w:rPr>
                        <m:t>ρ</m:t>
                      </m:r>
                    </m:e>
                    <m:sup>
                      <m:r>
                        <w:rPr>
                          <w:rFonts w:ascii="Cambria Math" w:hAnsi="Cambria Math"/>
                        </w:rPr>
                        <m:t>S</m:t>
                      </m:r>
                    </m:sup>
                  </m:sSup>
                </m:e>
                <m:sub>
                  <m:r>
                    <w:rPr>
                      <w:rFonts w:ascii="Cambria Math" w:hAnsi="Cambria Math"/>
                    </w:rPr>
                    <m:t>1</m:t>
                  </m:r>
                </m:sub>
              </m:sSub>
            </m:oMath>
            <w:r>
              <w:rPr>
                <w:rFonts w:eastAsiaTheme="minorEastAsia"/>
              </w:rPr>
              <w:t xml:space="preserve"> and </w:t>
            </w:r>
            <m:oMath>
              <m:sSub>
                <m:sSubPr>
                  <m:ctrlPr>
                    <w:rPr>
                      <w:rFonts w:ascii="Cambria Math" w:hAnsi="Cambria Math" w:eastAsiaTheme="minorEastAsia"/>
                      <w:i/>
                    </w:rPr>
                  </m:ctrlPr>
                </m:sSubPr>
                <m:e>
                  <m:sSup>
                    <m:sSupPr>
                      <m:ctrlPr>
                        <w:rPr>
                          <w:rFonts w:ascii="Cambria Math" w:hAnsi="Cambria Math" w:eastAsiaTheme="minorEastAsia"/>
                          <w:i/>
                        </w:rPr>
                      </m:ctrlPr>
                    </m:sSupPr>
                    <m:e>
                      <m:r>
                        <w:rPr>
                          <w:rFonts w:ascii="Cambria Math" w:hAnsi="Cambria Math" w:eastAsiaTheme="minorEastAsia"/>
                        </w:rPr>
                        <m:t>ρ</m:t>
                      </m:r>
                    </m:e>
                    <m:sup>
                      <m:r>
                        <w:rPr>
                          <w:rFonts w:ascii="Cambria Math" w:hAnsi="Cambria Math" w:eastAsiaTheme="minorEastAsia"/>
                        </w:rPr>
                        <m:t>S</m:t>
                      </m:r>
                    </m:sup>
                  </m:sSup>
                </m:e>
                <m:sub>
                  <m:r>
                    <w:rPr>
                      <w:rFonts w:ascii="Cambria Math" w:hAnsi="Cambria Math" w:eastAsiaTheme="minorEastAsia"/>
                    </w:rPr>
                    <m:t>2</m:t>
                  </m:r>
                </m:sub>
              </m:sSub>
            </m:oMath>
            <w:r>
              <w:rPr>
                <w:rFonts w:eastAsiaTheme="minorEastAsia"/>
              </w:rPr>
              <w:t>, respectively</w:t>
            </w:r>
            <w:r>
              <w:t>)</w:t>
            </w:r>
          </w:p>
        </w:tc>
        <w:tc>
          <w:tcPr>
            <w:tcW w:w="1300" w:type="pct"/>
            <w:vAlign w:val="center"/>
          </w:tcPr>
          <w:p w:rsidR="004A694B" w:rsidRDefault="004A694B" w14:paraId="4E37CD48" w14:textId="77777777">
            <w:pPr>
              <w:jc w:val="right"/>
            </w:pPr>
            <w:r>
              <w:t>16.5</w:t>
            </w:r>
          </w:p>
        </w:tc>
        <w:tc>
          <w:tcPr>
            <w:tcW w:w="1650" w:type="pct"/>
            <w:gridSpan w:val="2"/>
            <w:tcBorders>
              <w:right w:val="nil"/>
            </w:tcBorders>
            <w:vAlign w:val="center"/>
          </w:tcPr>
          <w:p w:rsidR="004A694B" w:rsidP="00B22ED7" w:rsidRDefault="004A694B" w14:paraId="4DCB1354" w14:textId="77777777">
            <w:pPr>
              <w:jc w:val="right"/>
            </w:pPr>
            <w:r>
              <w:t>35.0</w:t>
            </w:r>
          </w:p>
        </w:tc>
      </w:tr>
      <w:tr w:rsidR="004A694B" w:rsidTr="00ED5D1E" w14:paraId="39899A28" w14:textId="77777777">
        <w:trPr>
          <w:trHeight w:val="291"/>
        </w:trPr>
        <w:tc>
          <w:tcPr>
            <w:tcW w:w="2050" w:type="pct"/>
            <w:vAlign w:val="center"/>
          </w:tcPr>
          <w:p w:rsidR="004A694B" w:rsidP="004A694B" w:rsidRDefault="0093637D" w14:paraId="14F828BD" w14:textId="31010C14">
            <w:r w:rsidRPr="00ED5D1E">
              <w:rPr>
                <w:b/>
              </w:rPr>
              <w:t xml:space="preserve">Health Management on U.S. Feedlots, 2020 </w:t>
            </w:r>
            <w:r w:rsidRPr="00ED5D1E" w:rsidR="004A694B">
              <w:rPr>
                <w:b/>
              </w:rPr>
              <w:t>– Large</w:t>
            </w:r>
            <w:r w:rsidR="004A694B">
              <w:t xml:space="preserve"> </w:t>
            </w:r>
          </w:p>
          <w:p w:rsidR="004A694B" w:rsidP="004A694B" w:rsidRDefault="004A694B" w14:paraId="0796EAE0" w14:textId="0F3F9F4C">
            <w:r>
              <w:t>(estimated, see calculations below)</w:t>
            </w:r>
          </w:p>
        </w:tc>
        <w:tc>
          <w:tcPr>
            <w:tcW w:w="1300" w:type="pct"/>
            <w:vAlign w:val="center"/>
          </w:tcPr>
          <w:p w:rsidR="004A694B" w:rsidRDefault="004A694B" w14:paraId="43BD59F5" w14:textId="032B1976">
            <w:pPr>
              <w:jc w:val="right"/>
            </w:pPr>
            <w:r>
              <w:t>31.8</w:t>
            </w:r>
          </w:p>
        </w:tc>
        <w:tc>
          <w:tcPr>
            <w:tcW w:w="1650" w:type="pct"/>
            <w:gridSpan w:val="2"/>
            <w:tcBorders>
              <w:right w:val="nil"/>
            </w:tcBorders>
            <w:vAlign w:val="center"/>
          </w:tcPr>
          <w:p w:rsidR="004A694B" w:rsidP="004A694B" w:rsidRDefault="004A694B" w14:paraId="5230E9E3" w14:textId="277C87FB">
            <w:pPr>
              <w:jc w:val="right"/>
            </w:pPr>
            <w:r>
              <w:t>56.1</w:t>
            </w:r>
          </w:p>
        </w:tc>
      </w:tr>
      <w:tr w:rsidR="004A694B" w:rsidTr="00ED5D1E" w14:paraId="69832120" w14:textId="77777777">
        <w:trPr>
          <w:trHeight w:val="291"/>
        </w:trPr>
        <w:tc>
          <w:tcPr>
            <w:tcW w:w="2050" w:type="pct"/>
            <w:vAlign w:val="center"/>
          </w:tcPr>
          <w:p w:rsidR="0093637D" w:rsidP="004A694B" w:rsidRDefault="0093637D" w14:paraId="502AB3C1" w14:textId="77777777">
            <w:r w:rsidRPr="00774653">
              <w:rPr>
                <w:b/>
              </w:rPr>
              <w:t xml:space="preserve">Health Management on U.S. Feedlots, 2020 – </w:t>
            </w:r>
            <w:r w:rsidRPr="00ED5D1E" w:rsidR="004A694B">
              <w:rPr>
                <w:b/>
              </w:rPr>
              <w:t>Small</w:t>
            </w:r>
            <w:r w:rsidR="004A694B">
              <w:t xml:space="preserve"> </w:t>
            </w:r>
          </w:p>
          <w:p w:rsidR="004A694B" w:rsidP="004A694B" w:rsidRDefault="004A694B" w14:paraId="1D8ADFE8" w14:textId="113EE05D">
            <w:r>
              <w:t>(estimated, see calculations below)</w:t>
            </w:r>
          </w:p>
        </w:tc>
        <w:tc>
          <w:tcPr>
            <w:tcW w:w="1300" w:type="pct"/>
            <w:vAlign w:val="center"/>
          </w:tcPr>
          <w:p w:rsidR="004A694B" w:rsidRDefault="004A694B" w14:paraId="73BC797B" w14:textId="7B3F5681">
            <w:pPr>
              <w:jc w:val="right"/>
            </w:pPr>
            <w:r>
              <w:t>28.5</w:t>
            </w:r>
          </w:p>
        </w:tc>
        <w:tc>
          <w:tcPr>
            <w:tcW w:w="1650" w:type="pct"/>
            <w:gridSpan w:val="2"/>
            <w:tcBorders>
              <w:right w:val="nil"/>
            </w:tcBorders>
            <w:vAlign w:val="center"/>
          </w:tcPr>
          <w:p w:rsidR="004A694B" w:rsidP="004A694B" w:rsidRDefault="004A694B" w14:paraId="208D5859" w14:textId="47E69517">
            <w:pPr>
              <w:jc w:val="right"/>
            </w:pPr>
            <w:r>
              <w:t>50.1</w:t>
            </w:r>
          </w:p>
        </w:tc>
      </w:tr>
    </w:tbl>
    <w:p w:rsidRPr="00ED5D1E" w:rsidR="0093637D" w:rsidP="004A694B" w:rsidRDefault="0093637D" w14:paraId="179411B8" w14:textId="32CF180B">
      <w:pPr>
        <w:rPr>
          <w:rFonts w:eastAsiaTheme="minorEastAsia"/>
        </w:rPr>
      </w:pPr>
      <w:r>
        <w:rPr>
          <w:rFonts w:eastAsiaTheme="minorEastAsia"/>
          <w:vertAlign w:val="superscript"/>
        </w:rPr>
        <w:t xml:space="preserve">1 </w:t>
      </w:r>
      <w:r>
        <w:rPr>
          <w:rFonts w:eastAsiaTheme="minorEastAsia"/>
        </w:rPr>
        <w:t xml:space="preserve">Phase I response rates for AMU 2017 study components is similar to the product of the Phase I complete rate and the rate of </w:t>
      </w:r>
      <w:r w:rsidR="003B5E77">
        <w:rPr>
          <w:rFonts w:eastAsiaTheme="minorEastAsia"/>
        </w:rPr>
        <w:t>feedlot</w:t>
      </w:r>
      <w:r>
        <w:rPr>
          <w:rFonts w:eastAsiaTheme="minorEastAsia"/>
        </w:rPr>
        <w:t>s that consent to participate in Phase II of a typical NAHMS study, since there was no Phase I questionnaire in 2017.</w:t>
      </w:r>
      <w:r w:rsidR="0040137B">
        <w:rPr>
          <w:rFonts w:eastAsiaTheme="minorEastAsia"/>
        </w:rPr>
        <w:t xml:space="preserve"> That means that, on average, we expect </w:t>
      </w:r>
      <m:oMath>
        <m:f>
          <m:fPr>
            <m:ctrlPr>
              <w:rPr>
                <w:rFonts w:ascii="Cambria Math" w:hAnsi="Cambria Math" w:eastAsiaTheme="minorEastAsia"/>
                <w:i/>
              </w:rPr>
            </m:ctrlPr>
          </m:fPr>
          <m:num>
            <m:r>
              <w:rPr>
                <w:rFonts w:ascii="Cambria Math" w:hAnsi="Cambria Math" w:eastAsiaTheme="minorEastAsia"/>
              </w:rPr>
              <m:t>31.8+28.5</m:t>
            </m:r>
          </m:num>
          <m:den>
            <m:r>
              <w:rPr>
                <w:rFonts w:ascii="Cambria Math" w:hAnsi="Cambria Math" w:eastAsiaTheme="minorEastAsia"/>
              </w:rPr>
              <m:t>2</m:t>
            </m:r>
          </m:den>
        </m:f>
        <m:r>
          <w:rPr>
            <w:rFonts w:ascii="Cambria Math" w:hAnsi="Cambria Math" w:eastAsiaTheme="minorEastAsia"/>
          </w:rPr>
          <m:t xml:space="preserve">=30.15 </m:t>
        </m:r>
      </m:oMath>
      <w:r w:rsidR="0040137B">
        <w:rPr>
          <w:rFonts w:eastAsiaTheme="minorEastAsia"/>
        </w:rPr>
        <w:t xml:space="preserve">percent of </w:t>
      </w:r>
      <w:r w:rsidR="00C820D0">
        <w:rPr>
          <w:rFonts w:eastAsiaTheme="minorEastAsia"/>
        </w:rPr>
        <w:t>large feedlots</w:t>
      </w:r>
      <w:r w:rsidR="0040137B">
        <w:rPr>
          <w:rFonts w:eastAsiaTheme="minorEastAsia"/>
        </w:rPr>
        <w:t xml:space="preserve"> to complete Phase I and consent to Phase II. This means that approximately </w:t>
      </w:r>
      <m:oMath>
        <m:rad>
          <m:radPr>
            <m:degHide m:val="1"/>
            <m:ctrlPr>
              <w:rPr>
                <w:rFonts w:ascii="Cambria Math" w:hAnsi="Cambria Math" w:eastAsiaTheme="minorEastAsia"/>
                <w:i/>
              </w:rPr>
            </m:ctrlPr>
          </m:radPr>
          <m:deg/>
          <m:e>
            <m:r>
              <w:rPr>
                <w:rFonts w:ascii="Cambria Math" w:hAnsi="Cambria Math" w:eastAsiaTheme="minorEastAsia"/>
              </w:rPr>
              <m:t>0.3015</m:t>
            </m:r>
          </m:e>
        </m:rad>
        <m:r>
          <w:rPr>
            <w:rFonts w:ascii="Cambria Math" w:hAnsi="Cambria Math" w:eastAsiaTheme="minorEastAsia"/>
          </w:rPr>
          <m:t xml:space="preserve">=0.549→54.9 </m:t>
        </m:r>
      </m:oMath>
      <w:r w:rsidR="0040137B">
        <w:rPr>
          <w:rFonts w:eastAsiaTheme="minorEastAsia"/>
        </w:rPr>
        <w:t xml:space="preserve">percent of </w:t>
      </w:r>
      <w:r w:rsidR="00C820D0">
        <w:rPr>
          <w:rFonts w:eastAsiaTheme="minorEastAsia"/>
        </w:rPr>
        <w:t>large feedlots</w:t>
      </w:r>
      <w:r w:rsidR="0040137B">
        <w:rPr>
          <w:rFonts w:eastAsiaTheme="minorEastAsia"/>
        </w:rPr>
        <w:t xml:space="preserve"> will complete Phase I and 5</w:t>
      </w:r>
      <w:r w:rsidR="006F6EB5">
        <w:rPr>
          <w:rFonts w:eastAsiaTheme="minorEastAsia"/>
        </w:rPr>
        <w:t>4.9</w:t>
      </w:r>
      <w:r w:rsidR="0040137B">
        <w:rPr>
          <w:rFonts w:eastAsiaTheme="minorEastAsia"/>
        </w:rPr>
        <w:t xml:space="preserve"> percent of those will consent to participating in Phase II.</w:t>
      </w:r>
    </w:p>
    <w:p w:rsidR="004A694B" w:rsidP="004A694B" w:rsidRDefault="0093637D" w14:paraId="3A4F9939" w14:textId="1D23E6CA">
      <w:pPr>
        <w:rPr>
          <w:rFonts w:eastAsiaTheme="minorEastAsia"/>
        </w:rPr>
      </w:pPr>
      <w:r>
        <w:rPr>
          <w:rFonts w:eastAsiaTheme="minorEastAsia"/>
          <w:vertAlign w:val="superscript"/>
        </w:rPr>
        <w:t>2</w:t>
      </w:r>
      <w:r w:rsidR="004A694B">
        <w:rPr>
          <w:rFonts w:eastAsiaTheme="minorEastAsia"/>
        </w:rPr>
        <w:t xml:space="preserve"> In-scope </w:t>
      </w:r>
      <w:r w:rsidR="003B5E77">
        <w:rPr>
          <w:rFonts w:eastAsiaTheme="minorEastAsia"/>
        </w:rPr>
        <w:t>feedlot</w:t>
      </w:r>
      <w:r w:rsidR="004A694B">
        <w:rPr>
          <w:rFonts w:eastAsiaTheme="minorEastAsia"/>
        </w:rPr>
        <w:t xml:space="preserve">s for this study included </w:t>
      </w:r>
      <w:r w:rsidR="003B5E77">
        <w:rPr>
          <w:rFonts w:eastAsiaTheme="minorEastAsia"/>
        </w:rPr>
        <w:t>feedlot</w:t>
      </w:r>
      <w:r w:rsidR="004A694B">
        <w:rPr>
          <w:rFonts w:eastAsiaTheme="minorEastAsia"/>
        </w:rPr>
        <w:t>s with 1,000 or more cattle on feed capacity.</w:t>
      </w:r>
    </w:p>
    <w:p w:rsidRPr="009366EF" w:rsidR="004A694B" w:rsidP="004A694B" w:rsidRDefault="004A694B" w14:paraId="72C4246A" w14:textId="77777777">
      <w:pPr>
        <w:rPr>
          <w:rFonts w:eastAsiaTheme="minorEastAsia"/>
        </w:rPr>
      </w:pPr>
    </w:p>
    <w:p w:rsidR="004A694B" w:rsidP="004A694B" w:rsidRDefault="004A694B" w14:paraId="1AB5EFCF" w14:textId="6F57B359">
      <w:pPr>
        <w:rPr>
          <w:rFonts w:eastAsiaTheme="minorEastAsia"/>
        </w:rPr>
      </w:pPr>
      <w:r>
        <w:lastRenderedPageBreak/>
        <w:t xml:space="preserve">Health Management on U.S. Feedlots, 2020 </w:t>
      </w:r>
      <w:r>
        <w:rPr>
          <w:rFonts w:eastAsiaTheme="minorEastAsia"/>
        </w:rPr>
        <w:t xml:space="preserve">– Small estimates response rates for Phase I </w:t>
      </w:r>
      <w:r>
        <w:t>(</w:t>
      </w:r>
      <m:oMath>
        <m:sSub>
          <m:sSubPr>
            <m:ctrlPr>
              <w:rPr>
                <w:rFonts w:ascii="Cambria Math" w:hAnsi="Cambria Math"/>
                <w:i/>
              </w:rPr>
            </m:ctrlPr>
          </m:sSubPr>
          <m:e>
            <m:sSup>
              <m:sSupPr>
                <m:ctrlPr>
                  <w:rPr>
                    <w:rFonts w:ascii="Cambria Math" w:hAnsi="Cambria Math"/>
                    <w:i/>
                  </w:rPr>
                </m:ctrlPr>
              </m:sSupPr>
              <m:e>
                <m:r>
                  <w:rPr>
                    <w:rFonts w:ascii="Cambria Math" w:hAnsi="Cambria Math"/>
                  </w:rPr>
                  <m:t>θ</m:t>
                </m:r>
              </m:e>
              <m:sup>
                <m:r>
                  <w:rPr>
                    <w:rFonts w:ascii="Cambria Math" w:hAnsi="Cambria Math"/>
                  </w:rPr>
                  <m:t>S</m:t>
                </m:r>
              </m:sup>
            </m:sSup>
          </m:e>
          <m:sub>
            <m:r>
              <w:rPr>
                <w:rFonts w:ascii="Cambria Math" w:hAnsi="Cambria Math"/>
              </w:rPr>
              <m:t>1</m:t>
            </m:r>
          </m:sub>
        </m:sSub>
      </m:oMath>
      <w:r>
        <w:t>) and Phase II (</w:t>
      </w:r>
      <m:oMath>
        <m:sSub>
          <m:sSubPr>
            <m:ctrlPr>
              <w:rPr>
                <w:rFonts w:ascii="Cambria Math" w:hAnsi="Cambria Math"/>
                <w:i/>
              </w:rPr>
            </m:ctrlPr>
          </m:sSubPr>
          <m:e>
            <m:sSup>
              <m:sSupPr>
                <m:ctrlPr>
                  <w:rPr>
                    <w:rFonts w:ascii="Cambria Math" w:hAnsi="Cambria Math"/>
                    <w:i/>
                  </w:rPr>
                </m:ctrlPr>
              </m:sSupPr>
              <m:e>
                <m:r>
                  <w:rPr>
                    <w:rFonts w:ascii="Cambria Math" w:hAnsi="Cambria Math"/>
                  </w:rPr>
                  <m:t>θ</m:t>
                </m:r>
              </m:e>
              <m:sup>
                <m:r>
                  <w:rPr>
                    <w:rFonts w:ascii="Cambria Math" w:hAnsi="Cambria Math"/>
                  </w:rPr>
                  <m:t>S</m:t>
                </m:r>
              </m:sup>
            </m:sSup>
          </m:e>
          <m:sub>
            <m:r>
              <w:rPr>
                <w:rFonts w:ascii="Cambria Math" w:hAnsi="Cambria Math"/>
              </w:rPr>
              <m:t>2</m:t>
            </m:r>
          </m:sub>
        </m:sSub>
      </m:oMath>
      <w:r>
        <w:rPr>
          <w:rFonts w:eastAsiaTheme="minorEastAsia"/>
        </w:rPr>
        <w:t>)</w:t>
      </w:r>
    </w:p>
    <w:p w:rsidRPr="00D4217E" w:rsidR="004A694B" w:rsidP="004A694B" w:rsidRDefault="00FE24C1" w14:paraId="50BD9258" w14:textId="77777777">
      <w:pPr>
        <w:rPr>
          <w:rFonts w:eastAsiaTheme="minorEastAsia"/>
        </w:rPr>
      </w:pPr>
      <m:oMathPara>
        <m:oMath>
          <m:sSub>
            <m:sSubPr>
              <m:ctrlPr>
                <w:rPr>
                  <w:rFonts w:ascii="Cambria Math" w:hAnsi="Cambria Math"/>
                  <w:i/>
                </w:rPr>
              </m:ctrlPr>
            </m:sSubPr>
            <m:e>
              <m:sSup>
                <m:sSupPr>
                  <m:ctrlPr>
                    <w:rPr>
                      <w:rFonts w:ascii="Cambria Math" w:hAnsi="Cambria Math"/>
                      <w:i/>
                    </w:rPr>
                  </m:ctrlPr>
                </m:sSupPr>
                <m:e>
                  <m:r>
                    <w:rPr>
                      <w:rFonts w:ascii="Cambria Math" w:hAnsi="Cambria Math"/>
                    </w:rPr>
                    <m:t>θ</m:t>
                  </m:r>
                </m:e>
                <m:sup>
                  <m:r>
                    <w:rPr>
                      <w:rFonts w:ascii="Cambria Math" w:hAnsi="Cambria Math"/>
                    </w:rPr>
                    <m:t>S</m:t>
                  </m:r>
                </m:sup>
              </m:sSup>
            </m:e>
            <m:sub>
              <m:r>
                <w:rPr>
                  <w:rFonts w:ascii="Cambria Math" w:hAnsi="Cambria Math"/>
                </w:rPr>
                <m:t>1</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sSup>
                    <m:sSupPr>
                      <m:ctrlPr>
                        <w:rPr>
                          <w:rFonts w:ascii="Cambria Math" w:hAnsi="Cambria Math"/>
                          <w:i/>
                        </w:rPr>
                      </m:ctrlPr>
                    </m:sSupPr>
                    <m:e>
                      <m:r>
                        <w:rPr>
                          <w:rFonts w:ascii="Cambria Math" w:hAnsi="Cambria Math"/>
                        </w:rPr>
                        <m:t>ρ</m:t>
                      </m:r>
                    </m:e>
                    <m:sup>
                      <m:r>
                        <w:rPr>
                          <w:rFonts w:ascii="Cambria Math" w:hAnsi="Cambria Math"/>
                        </w:rPr>
                        <m:t>S</m:t>
                      </m:r>
                    </m:sup>
                  </m:sSup>
                </m:e>
                <m:sub>
                  <m:r>
                    <w:rPr>
                      <w:rFonts w:ascii="Cambria Math" w:hAnsi="Cambria Math"/>
                    </w:rPr>
                    <m:t>1</m:t>
                  </m:r>
                </m:sub>
              </m:sSub>
              <m:r>
                <m:rPr>
                  <m:sty m:val="p"/>
                </m:rPr>
                <w:rPr>
                  <w:rFonts w:ascii="Cambria Math" w:hAnsi="Cambria Math" w:eastAsiaTheme="minorEastAsia"/>
                </w:rPr>
                <m:t xml:space="preserve"> </m:t>
              </m:r>
              <m:r>
                <w:rPr>
                  <w:rFonts w:ascii="Cambria Math" w:hAnsi="Cambria Math"/>
                </w:rPr>
                <m:t xml:space="preserve">+ </m:t>
              </m:r>
              <m:sSub>
                <m:sSubPr>
                  <m:ctrlPr>
                    <w:rPr>
                      <w:rFonts w:ascii="Cambria Math" w:hAnsi="Cambria Math"/>
                      <w:i/>
                    </w:rPr>
                  </m:ctrlPr>
                </m:sSubPr>
                <m:e>
                  <m:r>
                    <w:rPr>
                      <w:rFonts w:ascii="Cambria Math" w:hAnsi="Cambria Math"/>
                    </w:rPr>
                    <m:t>δ</m:t>
                  </m:r>
                </m:e>
                <m:sub>
                  <m:r>
                    <w:rPr>
                      <w:rFonts w:ascii="Cambria Math" w:hAnsi="Cambria Math"/>
                    </w:rPr>
                    <m:t>1</m:t>
                  </m:r>
                </m:sub>
              </m:sSub>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0.165+0.405</m:t>
              </m:r>
            </m:num>
            <m:den>
              <m:r>
                <w:rPr>
                  <w:rFonts w:ascii="Cambria Math" w:hAnsi="Cambria Math"/>
                </w:rPr>
                <m:t>2</m:t>
              </m:r>
            </m:den>
          </m:f>
          <m:r>
            <w:rPr>
              <w:rFonts w:ascii="Cambria Math" w:hAnsi="Cambria Math"/>
            </w:rPr>
            <m:t>= 0.285</m:t>
          </m:r>
        </m:oMath>
      </m:oMathPara>
    </w:p>
    <w:p w:rsidRPr="00D4217E" w:rsidR="004A694B" w:rsidP="004A694B" w:rsidRDefault="00FE24C1" w14:paraId="13A41203" w14:textId="77777777">
      <w:pPr>
        <w:rPr>
          <w:rFonts w:eastAsiaTheme="minorEastAsia"/>
        </w:rPr>
      </w:pPr>
      <m:oMathPara>
        <m:oMath>
          <m:sSub>
            <m:sSubPr>
              <m:ctrlPr>
                <w:rPr>
                  <w:rFonts w:ascii="Cambria Math" w:hAnsi="Cambria Math"/>
                  <w:i/>
                </w:rPr>
              </m:ctrlPr>
            </m:sSubPr>
            <m:e>
              <m:sSup>
                <m:sSupPr>
                  <m:ctrlPr>
                    <w:rPr>
                      <w:rFonts w:ascii="Cambria Math" w:hAnsi="Cambria Math"/>
                      <w:i/>
                    </w:rPr>
                  </m:ctrlPr>
                </m:sSupPr>
                <m:e>
                  <m:r>
                    <w:rPr>
                      <w:rFonts w:ascii="Cambria Math" w:hAnsi="Cambria Math"/>
                    </w:rPr>
                    <m:t>θ</m:t>
                  </m:r>
                </m:e>
                <m:sup>
                  <m:r>
                    <w:rPr>
                      <w:rFonts w:ascii="Cambria Math" w:hAnsi="Cambria Math"/>
                    </w:rPr>
                    <m:t>S</m:t>
                  </m:r>
                </m:sup>
              </m:sSup>
            </m:e>
            <m:sub>
              <m:r>
                <w:rPr>
                  <w:rFonts w:ascii="Cambria Math" w:hAnsi="Cambria Math"/>
                </w:rPr>
                <m:t>2</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sSup>
                    <m:sSupPr>
                      <m:ctrlPr>
                        <w:rPr>
                          <w:rFonts w:ascii="Cambria Math" w:hAnsi="Cambria Math"/>
                          <w:i/>
                        </w:rPr>
                      </m:ctrlPr>
                    </m:sSupPr>
                    <m:e>
                      <m:r>
                        <w:rPr>
                          <w:rFonts w:ascii="Cambria Math" w:hAnsi="Cambria Math"/>
                        </w:rPr>
                        <m:t>ρ</m:t>
                      </m:r>
                    </m:e>
                    <m:sup>
                      <m:r>
                        <w:rPr>
                          <w:rFonts w:ascii="Cambria Math" w:hAnsi="Cambria Math"/>
                        </w:rPr>
                        <m:t>S</m:t>
                      </m:r>
                    </m:sup>
                  </m:sSup>
                </m:e>
                <m:sub>
                  <m:r>
                    <w:rPr>
                      <w:rFonts w:ascii="Cambria Math" w:hAnsi="Cambria Math"/>
                    </w:rPr>
                    <m:t>2</m:t>
                  </m:r>
                </m:sub>
              </m:sSub>
              <m:r>
                <m:rPr>
                  <m:sty m:val="p"/>
                </m:rPr>
                <w:rPr>
                  <w:rFonts w:ascii="Cambria Math" w:hAnsi="Cambria Math" w:eastAsiaTheme="minorEastAsia"/>
                </w:rPr>
                <m:t xml:space="preserve"> </m:t>
              </m:r>
              <m:r>
                <w:rPr>
                  <w:rFonts w:ascii="Cambria Math" w:hAnsi="Cambria Math"/>
                </w:rPr>
                <m:t xml:space="preserve">+ </m:t>
              </m:r>
              <m:sSub>
                <m:sSubPr>
                  <m:ctrlPr>
                    <w:rPr>
                      <w:rFonts w:ascii="Cambria Math" w:hAnsi="Cambria Math"/>
                      <w:i/>
                    </w:rPr>
                  </m:ctrlPr>
                </m:sSubPr>
                <m:e>
                  <m:r>
                    <w:rPr>
                      <w:rFonts w:ascii="Cambria Math" w:hAnsi="Cambria Math"/>
                    </w:rPr>
                    <m:t>δ</m:t>
                  </m:r>
                </m:e>
                <m:sub>
                  <m:r>
                    <w:rPr>
                      <w:rFonts w:ascii="Cambria Math" w:hAnsi="Cambria Math"/>
                    </w:rPr>
                    <m:t>2</m:t>
                  </m:r>
                </m:sub>
              </m:sSub>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0.350+0.651</m:t>
              </m:r>
            </m:num>
            <m:den>
              <m:r>
                <w:rPr>
                  <w:rFonts w:ascii="Cambria Math" w:hAnsi="Cambria Math"/>
                </w:rPr>
                <m:t>2</m:t>
              </m:r>
            </m:den>
          </m:f>
          <m:r>
            <w:rPr>
              <w:rFonts w:ascii="Cambria Math" w:hAnsi="Cambria Math"/>
            </w:rPr>
            <m:t>= 0.501</m:t>
          </m:r>
        </m:oMath>
      </m:oMathPara>
    </w:p>
    <w:p w:rsidR="004B72B1" w:rsidP="004A694B" w:rsidRDefault="004B72B1" w14:paraId="30C709CD" w14:textId="77777777"/>
    <w:p w:rsidR="004A694B" w:rsidP="004A694B" w:rsidRDefault="004A694B" w14:paraId="1853C0FA" w14:textId="55CCEF16">
      <w:pPr>
        <w:rPr>
          <w:rFonts w:eastAsiaTheme="minorEastAsia"/>
        </w:rPr>
      </w:pPr>
      <w:r>
        <w:t>Health Management on U.S. Feedlots, 2020</w:t>
      </w:r>
      <w:r>
        <w:rPr>
          <w:rFonts w:eastAsiaTheme="minorEastAsia"/>
        </w:rPr>
        <w:t xml:space="preserve"> – </w:t>
      </w:r>
      <w:r w:rsidR="004D3ABD">
        <w:rPr>
          <w:rFonts w:eastAsiaTheme="minorEastAsia"/>
        </w:rPr>
        <w:t xml:space="preserve">Large </w:t>
      </w:r>
      <w:r>
        <w:rPr>
          <w:rFonts w:eastAsiaTheme="minorEastAsia"/>
        </w:rPr>
        <w:t xml:space="preserve">estimates response rates for Phase I </w:t>
      </w:r>
      <w:r>
        <w:t>(</w:t>
      </w:r>
      <m:oMath>
        <m:sSub>
          <m:sSubPr>
            <m:ctrlPr>
              <w:rPr>
                <w:rFonts w:ascii="Cambria Math" w:hAnsi="Cambria Math"/>
                <w:i/>
              </w:rPr>
            </m:ctrlPr>
          </m:sSubPr>
          <m:e>
            <m:sSup>
              <m:sSupPr>
                <m:ctrlPr>
                  <w:rPr>
                    <w:rFonts w:ascii="Cambria Math" w:hAnsi="Cambria Math"/>
                    <w:i/>
                  </w:rPr>
                </m:ctrlPr>
              </m:sSupPr>
              <m:e>
                <m:r>
                  <w:rPr>
                    <w:rFonts w:ascii="Cambria Math" w:hAnsi="Cambria Math"/>
                  </w:rPr>
                  <m:t>θ</m:t>
                </m:r>
              </m:e>
              <m:sup>
                <m:r>
                  <w:rPr>
                    <w:rFonts w:ascii="Cambria Math" w:hAnsi="Cambria Math"/>
                  </w:rPr>
                  <m:t>L</m:t>
                </m:r>
              </m:sup>
            </m:sSup>
          </m:e>
          <m:sub>
            <m:r>
              <w:rPr>
                <w:rFonts w:ascii="Cambria Math" w:hAnsi="Cambria Math"/>
              </w:rPr>
              <m:t>1</m:t>
            </m:r>
          </m:sub>
        </m:sSub>
      </m:oMath>
      <w:r>
        <w:t>) and Phase II (</w:t>
      </w:r>
      <m:oMath>
        <m:sSub>
          <m:sSubPr>
            <m:ctrlPr>
              <w:rPr>
                <w:rFonts w:ascii="Cambria Math" w:hAnsi="Cambria Math"/>
                <w:i/>
              </w:rPr>
            </m:ctrlPr>
          </m:sSubPr>
          <m:e>
            <m:sSup>
              <m:sSupPr>
                <m:ctrlPr>
                  <w:rPr>
                    <w:rFonts w:ascii="Cambria Math" w:hAnsi="Cambria Math"/>
                    <w:i/>
                  </w:rPr>
                </m:ctrlPr>
              </m:sSupPr>
              <m:e>
                <m:r>
                  <w:rPr>
                    <w:rFonts w:ascii="Cambria Math" w:hAnsi="Cambria Math"/>
                  </w:rPr>
                  <m:t>θ</m:t>
                </m:r>
              </m:e>
              <m:sup>
                <m:r>
                  <w:rPr>
                    <w:rFonts w:ascii="Cambria Math" w:hAnsi="Cambria Math"/>
                  </w:rPr>
                  <m:t>L</m:t>
                </m:r>
              </m:sup>
            </m:sSup>
          </m:e>
          <m:sub>
            <m:r>
              <w:rPr>
                <w:rFonts w:ascii="Cambria Math" w:hAnsi="Cambria Math"/>
              </w:rPr>
              <m:t>2</m:t>
            </m:r>
          </m:sub>
        </m:sSub>
      </m:oMath>
      <w:r>
        <w:rPr>
          <w:rFonts w:eastAsiaTheme="minorEastAsia"/>
        </w:rPr>
        <w:t>)</w:t>
      </w:r>
    </w:p>
    <w:p w:rsidRPr="00D4217E" w:rsidR="004A694B" w:rsidP="004A694B" w:rsidRDefault="00FE24C1" w14:paraId="601F0006" w14:textId="77777777">
      <w:pPr>
        <w:rPr>
          <w:rFonts w:eastAsiaTheme="minorEastAsia"/>
        </w:rPr>
      </w:pPr>
      <m:oMathPara>
        <m:oMath>
          <m:sSub>
            <m:sSubPr>
              <m:ctrlPr>
                <w:rPr>
                  <w:rFonts w:ascii="Cambria Math" w:hAnsi="Cambria Math"/>
                  <w:i/>
                </w:rPr>
              </m:ctrlPr>
            </m:sSubPr>
            <m:e>
              <m:sSup>
                <m:sSupPr>
                  <m:ctrlPr>
                    <w:rPr>
                      <w:rFonts w:ascii="Cambria Math" w:hAnsi="Cambria Math"/>
                      <w:i/>
                    </w:rPr>
                  </m:ctrlPr>
                </m:sSupPr>
                <m:e>
                  <m:r>
                    <w:rPr>
                      <w:rFonts w:ascii="Cambria Math" w:hAnsi="Cambria Math"/>
                    </w:rPr>
                    <m:t>θ</m:t>
                  </m:r>
                </m:e>
                <m:sup>
                  <m:r>
                    <w:rPr>
                      <w:rFonts w:ascii="Cambria Math" w:hAnsi="Cambria Math"/>
                    </w:rPr>
                    <m:t>L</m:t>
                  </m:r>
                </m:sup>
              </m:sSup>
            </m:e>
            <m:sub>
              <m:r>
                <w:rPr>
                  <w:rFonts w:ascii="Cambria Math" w:hAnsi="Cambria Math"/>
                </w:rPr>
                <m:t>1</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sSup>
                    <m:sSupPr>
                      <m:ctrlPr>
                        <w:rPr>
                          <w:rFonts w:ascii="Cambria Math" w:hAnsi="Cambria Math"/>
                          <w:i/>
                        </w:rPr>
                      </m:ctrlPr>
                    </m:sSupPr>
                    <m:e>
                      <m:r>
                        <w:rPr>
                          <w:rFonts w:ascii="Cambria Math" w:hAnsi="Cambria Math"/>
                        </w:rPr>
                        <m:t>ρ</m:t>
                      </m:r>
                    </m:e>
                    <m:sup>
                      <m:r>
                        <w:rPr>
                          <w:rFonts w:ascii="Cambria Math" w:hAnsi="Cambria Math"/>
                        </w:rPr>
                        <m:t>L</m:t>
                      </m:r>
                    </m:sup>
                  </m:sSup>
                </m:e>
                <m:sub>
                  <m:r>
                    <w:rPr>
                      <w:rFonts w:ascii="Cambria Math" w:hAnsi="Cambria Math"/>
                    </w:rPr>
                    <m:t>1</m:t>
                  </m:r>
                </m:sub>
              </m:sSub>
              <m:r>
                <m:rPr>
                  <m:sty m:val="p"/>
                </m:rPr>
                <w:rPr>
                  <w:rFonts w:ascii="Cambria Math" w:hAnsi="Cambria Math" w:eastAsiaTheme="minorEastAsia"/>
                </w:rPr>
                <m:t xml:space="preserve"> </m:t>
              </m:r>
              <m:r>
                <w:rPr>
                  <w:rFonts w:ascii="Cambria Math" w:hAnsi="Cambria Math"/>
                </w:rPr>
                <m:t xml:space="preserve">+ </m:t>
              </m:r>
              <m:sSub>
                <m:sSubPr>
                  <m:ctrlPr>
                    <w:rPr>
                      <w:rFonts w:ascii="Cambria Math" w:hAnsi="Cambria Math"/>
                      <w:i/>
                    </w:rPr>
                  </m:ctrlPr>
                </m:sSubPr>
                <m:e>
                  <m:r>
                    <w:rPr>
                      <w:rFonts w:ascii="Cambria Math" w:hAnsi="Cambria Math"/>
                    </w:rPr>
                    <m:t>δ</m:t>
                  </m:r>
                </m:e>
                <m:sub>
                  <m:r>
                    <w:rPr>
                      <w:rFonts w:ascii="Cambria Math" w:hAnsi="Cambria Math"/>
                    </w:rPr>
                    <m:t>1</m:t>
                  </m:r>
                </m:sub>
              </m:sSub>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0.232+0.405</m:t>
              </m:r>
            </m:num>
            <m:den>
              <m:r>
                <w:rPr>
                  <w:rFonts w:ascii="Cambria Math" w:hAnsi="Cambria Math"/>
                </w:rPr>
                <m:t>2</m:t>
              </m:r>
            </m:den>
          </m:f>
          <m:r>
            <w:rPr>
              <w:rFonts w:ascii="Cambria Math" w:hAnsi="Cambria Math"/>
            </w:rPr>
            <m:t>= 0.318</m:t>
          </m:r>
        </m:oMath>
      </m:oMathPara>
    </w:p>
    <w:p w:rsidRPr="00D4217E" w:rsidR="004A694B" w:rsidP="004A694B" w:rsidRDefault="00FE24C1" w14:paraId="2050D1C7" w14:textId="77777777">
      <w:pPr>
        <w:rPr>
          <w:rFonts w:eastAsiaTheme="minorEastAsia"/>
        </w:rPr>
      </w:pPr>
      <m:oMathPara>
        <m:oMath>
          <m:sSub>
            <m:sSubPr>
              <m:ctrlPr>
                <w:rPr>
                  <w:rFonts w:ascii="Cambria Math" w:hAnsi="Cambria Math"/>
                  <w:i/>
                </w:rPr>
              </m:ctrlPr>
            </m:sSubPr>
            <m:e>
              <m:sSup>
                <m:sSupPr>
                  <m:ctrlPr>
                    <w:rPr>
                      <w:rFonts w:ascii="Cambria Math" w:hAnsi="Cambria Math"/>
                      <w:i/>
                    </w:rPr>
                  </m:ctrlPr>
                </m:sSupPr>
                <m:e>
                  <m:r>
                    <w:rPr>
                      <w:rFonts w:ascii="Cambria Math" w:hAnsi="Cambria Math"/>
                    </w:rPr>
                    <m:t>θ</m:t>
                  </m:r>
                </m:e>
                <m:sup>
                  <m:r>
                    <w:rPr>
                      <w:rFonts w:ascii="Cambria Math" w:hAnsi="Cambria Math"/>
                    </w:rPr>
                    <m:t>L</m:t>
                  </m:r>
                </m:sup>
              </m:sSup>
            </m:e>
            <m:sub>
              <m:r>
                <w:rPr>
                  <w:rFonts w:ascii="Cambria Math" w:hAnsi="Cambria Math"/>
                </w:rPr>
                <m:t>2</m:t>
              </m:r>
            </m:sub>
          </m:sSub>
          <m:r>
            <w:rPr>
              <w:rFonts w:ascii="Cambria Math" w:hAnsi="Cambria Math"/>
            </w:rPr>
            <m:t xml:space="preserve">= </m:t>
          </m:r>
          <m:f>
            <m:fPr>
              <m:ctrlPr>
                <w:rPr>
                  <w:rFonts w:ascii="Cambria Math" w:hAnsi="Cambria Math"/>
                  <w:i/>
                </w:rPr>
              </m:ctrlPr>
            </m:fPr>
            <m:num>
              <m:sSub>
                <m:sSubPr>
                  <m:ctrlPr>
                    <w:rPr>
                      <w:rFonts w:ascii="Cambria Math" w:hAnsi="Cambria Math" w:eastAsiaTheme="minorEastAsia"/>
                      <w:i/>
                    </w:rPr>
                  </m:ctrlPr>
                </m:sSubPr>
                <m:e>
                  <m:sSup>
                    <m:sSupPr>
                      <m:ctrlPr>
                        <w:rPr>
                          <w:rFonts w:ascii="Cambria Math" w:hAnsi="Cambria Math" w:eastAsiaTheme="minorEastAsia"/>
                          <w:i/>
                        </w:rPr>
                      </m:ctrlPr>
                    </m:sSupPr>
                    <m:e>
                      <m:r>
                        <w:rPr>
                          <w:rFonts w:ascii="Cambria Math" w:hAnsi="Cambria Math" w:eastAsiaTheme="minorEastAsia"/>
                        </w:rPr>
                        <m:t>ρ</m:t>
                      </m:r>
                    </m:e>
                    <m:sup>
                      <m:r>
                        <w:rPr>
                          <w:rFonts w:ascii="Cambria Math" w:hAnsi="Cambria Math" w:eastAsiaTheme="minorEastAsia"/>
                        </w:rPr>
                        <m:t>L</m:t>
                      </m:r>
                    </m:sup>
                  </m:sSup>
                </m:e>
                <m:sub>
                  <m:r>
                    <w:rPr>
                      <w:rFonts w:ascii="Cambria Math" w:hAnsi="Cambria Math" w:eastAsiaTheme="minorEastAsia"/>
                    </w:rPr>
                    <m:t>2</m:t>
                  </m:r>
                </m:sub>
              </m:sSub>
              <m:r>
                <m:rPr>
                  <m:sty m:val="p"/>
                </m:rPr>
                <w:rPr>
                  <w:rFonts w:ascii="Cambria Math" w:hAnsi="Cambria Math" w:eastAsiaTheme="minorEastAsia"/>
                </w:rPr>
                <m:t xml:space="preserve"> </m:t>
              </m:r>
              <m:r>
                <w:rPr>
                  <w:rFonts w:ascii="Cambria Math" w:hAnsi="Cambria Math"/>
                </w:rPr>
                <m:t xml:space="preserve">+ </m:t>
              </m:r>
              <m:sSub>
                <m:sSubPr>
                  <m:ctrlPr>
                    <w:rPr>
                      <w:rFonts w:ascii="Cambria Math" w:hAnsi="Cambria Math"/>
                      <w:i/>
                    </w:rPr>
                  </m:ctrlPr>
                </m:sSubPr>
                <m:e>
                  <m:r>
                    <w:rPr>
                      <w:rFonts w:ascii="Cambria Math" w:hAnsi="Cambria Math"/>
                    </w:rPr>
                    <m:t>δ</m:t>
                  </m:r>
                </m:e>
                <m:sub>
                  <m:r>
                    <w:rPr>
                      <w:rFonts w:ascii="Cambria Math" w:hAnsi="Cambria Math"/>
                    </w:rPr>
                    <m:t>2</m:t>
                  </m:r>
                </m:sub>
              </m:sSub>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0.471+0.651</m:t>
              </m:r>
            </m:num>
            <m:den>
              <m:r>
                <w:rPr>
                  <w:rFonts w:ascii="Cambria Math" w:hAnsi="Cambria Math"/>
                </w:rPr>
                <m:t>2</m:t>
              </m:r>
            </m:den>
          </m:f>
          <m:r>
            <w:rPr>
              <w:rFonts w:ascii="Cambria Math" w:hAnsi="Cambria Math"/>
            </w:rPr>
            <m:t>= 0.561</m:t>
          </m:r>
        </m:oMath>
      </m:oMathPara>
    </w:p>
    <w:p w:rsidR="00EB0E37" w:rsidRDefault="00EB0E37" w14:paraId="66DB4252" w14:textId="77777777">
      <w:pPr>
        <w:rPr>
          <w:b/>
        </w:rPr>
      </w:pPr>
      <w:r>
        <w:rPr>
          <w:b/>
        </w:rPr>
        <w:br w:type="page"/>
      </w:r>
    </w:p>
    <w:p w:rsidR="009157BC" w:rsidP="00AB358E" w:rsidRDefault="00125AE0" w14:paraId="346DE402" w14:textId="2C522828">
      <w:pPr>
        <w:autoSpaceDE w:val="0"/>
        <w:autoSpaceDN w:val="0"/>
        <w:adjustRightInd w:val="0"/>
      </w:pPr>
      <w:r w:rsidRPr="00ED5D1E">
        <w:rPr>
          <w:b/>
        </w:rPr>
        <w:lastRenderedPageBreak/>
        <w:t>Appendix D:</w:t>
      </w:r>
      <w:r w:rsidRPr="005B4C2D">
        <w:t xml:space="preserve"> </w:t>
      </w:r>
      <w:r w:rsidRPr="00ED5D1E">
        <w:rPr>
          <w:b/>
        </w:rPr>
        <w:t xml:space="preserve">Estimated </w:t>
      </w:r>
      <w:r w:rsidR="00ED5D1E">
        <w:rPr>
          <w:b/>
        </w:rPr>
        <w:t>T</w:t>
      </w:r>
      <w:r w:rsidRPr="00ED5D1E" w:rsidR="00B22ED7">
        <w:rPr>
          <w:b/>
        </w:rPr>
        <w:t xml:space="preserve">ime </w:t>
      </w:r>
      <w:r w:rsidR="00ED5D1E">
        <w:rPr>
          <w:b/>
        </w:rPr>
        <w:t>B</w:t>
      </w:r>
      <w:r w:rsidRPr="00ED5D1E">
        <w:rPr>
          <w:b/>
        </w:rPr>
        <w:t>urden</w:t>
      </w:r>
    </w:p>
    <w:p w:rsidR="00B22ED7" w:rsidP="00AB358E" w:rsidRDefault="00B22ED7" w14:paraId="70633B46" w14:textId="77777777">
      <w:pPr>
        <w:autoSpaceDE w:val="0"/>
        <w:autoSpaceDN w:val="0"/>
        <w:adjustRightInd w:val="0"/>
      </w:pPr>
    </w:p>
    <w:p w:rsidRPr="00BC53EC" w:rsidR="00B22ED7" w:rsidP="00B22ED7" w:rsidRDefault="00B22ED7" w14:paraId="216FE17E" w14:textId="3F679520">
      <w:r w:rsidRPr="00BC53EC">
        <w:t xml:space="preserve">Table </w:t>
      </w:r>
      <w:r w:rsidR="008811AA">
        <w:t>D</w:t>
      </w:r>
      <w:r w:rsidRPr="00BC53EC">
        <w:t xml:space="preserve">.1. Response burden estimates from the NAHMS </w:t>
      </w:r>
      <w:r w:rsidR="00C204B5">
        <w:rPr>
          <w:rFonts w:eastAsiaTheme="minorEastAsia"/>
        </w:rPr>
        <w:t>Antimicrobial</w:t>
      </w:r>
      <w:r w:rsidR="008811AA">
        <w:rPr>
          <w:rFonts w:eastAsiaTheme="minorEastAsia"/>
        </w:rPr>
        <w:t xml:space="preserve"> Use and Stewardship on U.S. Feedlots, 2017 </w:t>
      </w:r>
      <w:r w:rsidRPr="00BC53EC">
        <w:t>Stud</w:t>
      </w:r>
      <w:r w:rsidR="008811AA">
        <w:t>y</w:t>
      </w:r>
      <w:r w:rsidRPr="00BC53EC">
        <w:t xml:space="preserve"> (in minutes). </w:t>
      </w:r>
    </w:p>
    <w:tbl>
      <w:tblPr>
        <w:tblW w:w="0" w:type="auto"/>
        <w:tblLook w:val="04A0" w:firstRow="1" w:lastRow="0" w:firstColumn="1" w:lastColumn="0" w:noHBand="0" w:noVBand="1"/>
      </w:tblPr>
      <w:tblGrid>
        <w:gridCol w:w="1620"/>
        <w:gridCol w:w="1530"/>
        <w:gridCol w:w="1802"/>
        <w:gridCol w:w="1802"/>
      </w:tblGrid>
      <w:tr w:rsidRPr="00BC53EC" w:rsidR="008811AA" w:rsidTr="00ED5D1E" w14:paraId="050FF3E5" w14:textId="614ED553">
        <w:tc>
          <w:tcPr>
            <w:tcW w:w="1620" w:type="dxa"/>
            <w:tcBorders>
              <w:top w:val="single" w:color="auto" w:sz="4" w:space="0"/>
              <w:bottom w:val="single" w:color="auto" w:sz="4" w:space="0"/>
            </w:tcBorders>
            <w:shd w:val="clear" w:color="auto" w:fill="auto"/>
            <w:vAlign w:val="center"/>
          </w:tcPr>
          <w:p w:rsidRPr="00BC53EC" w:rsidR="008811AA" w:rsidP="00B22ED7" w:rsidRDefault="008811AA" w14:paraId="5C2A516C" w14:textId="77777777">
            <w:r w:rsidRPr="00BC53EC">
              <w:t>Survey</w:t>
            </w:r>
          </w:p>
        </w:tc>
        <w:tc>
          <w:tcPr>
            <w:tcW w:w="1530" w:type="dxa"/>
            <w:tcBorders>
              <w:top w:val="single" w:color="auto" w:sz="4" w:space="0"/>
              <w:bottom w:val="single" w:color="auto" w:sz="4" w:space="0"/>
            </w:tcBorders>
            <w:shd w:val="clear" w:color="auto" w:fill="auto"/>
            <w:vAlign w:val="center"/>
          </w:tcPr>
          <w:p w:rsidRPr="00BC53EC" w:rsidR="008811AA" w:rsidRDefault="008811AA" w14:paraId="5E829458" w14:textId="68C10E2F">
            <w:pPr>
              <w:jc w:val="right"/>
            </w:pPr>
            <w:r>
              <w:t>Lower Quartile</w:t>
            </w:r>
            <w:r w:rsidRPr="00BC53EC">
              <w:t xml:space="preserve"> </w:t>
            </w:r>
          </w:p>
        </w:tc>
        <w:tc>
          <w:tcPr>
            <w:tcW w:w="1802" w:type="dxa"/>
            <w:tcBorders>
              <w:top w:val="single" w:color="auto" w:sz="4" w:space="0"/>
              <w:bottom w:val="single" w:color="auto" w:sz="4" w:space="0"/>
            </w:tcBorders>
            <w:vAlign w:val="center"/>
          </w:tcPr>
          <w:p w:rsidRPr="00BC53EC" w:rsidR="008811AA" w:rsidDel="00181145" w:rsidRDefault="008811AA" w14:paraId="59BB649E" w14:textId="00F4963C">
            <w:pPr>
              <w:jc w:val="right"/>
            </w:pPr>
            <w:r>
              <w:t>Median</w:t>
            </w:r>
          </w:p>
        </w:tc>
        <w:tc>
          <w:tcPr>
            <w:tcW w:w="1802" w:type="dxa"/>
            <w:tcBorders>
              <w:top w:val="single" w:color="auto" w:sz="4" w:space="0"/>
              <w:bottom w:val="single" w:color="auto" w:sz="4" w:space="0"/>
            </w:tcBorders>
            <w:vAlign w:val="center"/>
          </w:tcPr>
          <w:p w:rsidR="008811AA" w:rsidRDefault="008811AA" w14:paraId="285AAAFE" w14:textId="0582CA28">
            <w:pPr>
              <w:jc w:val="right"/>
            </w:pPr>
            <w:r>
              <w:t>Upper Quartile</w:t>
            </w:r>
          </w:p>
        </w:tc>
      </w:tr>
      <w:tr w:rsidRPr="00BC53EC" w:rsidR="008811AA" w:rsidTr="00ED5D1E" w14:paraId="3F04DB30" w14:textId="395EA3F2">
        <w:trPr>
          <w:trHeight w:val="1296"/>
        </w:trPr>
        <w:tc>
          <w:tcPr>
            <w:tcW w:w="1620" w:type="dxa"/>
            <w:tcBorders>
              <w:top w:val="single" w:color="auto" w:sz="4" w:space="0"/>
            </w:tcBorders>
            <w:shd w:val="clear" w:color="auto" w:fill="auto"/>
            <w:vAlign w:val="center"/>
          </w:tcPr>
          <w:p w:rsidRPr="00BC53EC" w:rsidR="008811AA" w:rsidP="00B22ED7" w:rsidRDefault="008811AA" w14:paraId="0024CECD" w14:textId="55234AE5">
            <w:r>
              <w:t>Completion time</w:t>
            </w:r>
          </w:p>
        </w:tc>
        <w:tc>
          <w:tcPr>
            <w:tcW w:w="1530" w:type="dxa"/>
            <w:tcBorders>
              <w:top w:val="single" w:color="auto" w:sz="4" w:space="0"/>
            </w:tcBorders>
            <w:shd w:val="clear" w:color="auto" w:fill="auto"/>
            <w:vAlign w:val="center"/>
          </w:tcPr>
          <w:p w:rsidRPr="00BC53EC" w:rsidR="008811AA" w:rsidRDefault="008811AA" w14:paraId="1F1E3E81" w14:textId="2090F3DF">
            <w:pPr>
              <w:jc w:val="right"/>
            </w:pPr>
            <w:r>
              <w:t>30</w:t>
            </w:r>
          </w:p>
        </w:tc>
        <w:tc>
          <w:tcPr>
            <w:tcW w:w="1802" w:type="dxa"/>
            <w:tcBorders>
              <w:top w:val="single" w:color="auto" w:sz="4" w:space="0"/>
            </w:tcBorders>
            <w:vAlign w:val="center"/>
          </w:tcPr>
          <w:p w:rsidRPr="00BC53EC" w:rsidR="008811AA" w:rsidRDefault="008811AA" w14:paraId="3DECC315" w14:textId="73E87718">
            <w:pPr>
              <w:jc w:val="right"/>
            </w:pPr>
            <w:r>
              <w:t>40</w:t>
            </w:r>
          </w:p>
        </w:tc>
        <w:tc>
          <w:tcPr>
            <w:tcW w:w="1802" w:type="dxa"/>
            <w:tcBorders>
              <w:top w:val="single" w:color="auto" w:sz="4" w:space="0"/>
            </w:tcBorders>
            <w:vAlign w:val="center"/>
          </w:tcPr>
          <w:p w:rsidRPr="00BC53EC" w:rsidR="008811AA" w:rsidRDefault="008811AA" w14:paraId="7EC4544D" w14:textId="382DBFB1">
            <w:pPr>
              <w:jc w:val="right"/>
            </w:pPr>
            <w:r>
              <w:t>60</w:t>
            </w:r>
          </w:p>
        </w:tc>
      </w:tr>
      <w:tr w:rsidRPr="00BC53EC" w:rsidR="008811AA" w:rsidTr="00ED5D1E" w14:paraId="51111934" w14:textId="4CE30290">
        <w:trPr>
          <w:trHeight w:val="1296"/>
        </w:trPr>
        <w:tc>
          <w:tcPr>
            <w:tcW w:w="1620" w:type="dxa"/>
            <w:tcBorders>
              <w:bottom w:val="single" w:color="auto" w:sz="4" w:space="0"/>
            </w:tcBorders>
            <w:shd w:val="clear" w:color="auto" w:fill="auto"/>
            <w:vAlign w:val="center"/>
          </w:tcPr>
          <w:p w:rsidRPr="00BC53EC" w:rsidR="008811AA" w:rsidP="00B22ED7" w:rsidRDefault="008811AA" w14:paraId="3859A31E" w14:textId="4E661BC3">
            <w:pPr>
              <w:rPr>
                <w:vertAlign w:val="superscript"/>
              </w:rPr>
            </w:pPr>
            <w:r>
              <w:t>T</w:t>
            </w:r>
            <w:r w:rsidRPr="00BC53EC">
              <w:t>ravel time</w:t>
            </w:r>
            <w:r>
              <w:t xml:space="preserve"> (round trip)</w:t>
            </w:r>
          </w:p>
        </w:tc>
        <w:tc>
          <w:tcPr>
            <w:tcW w:w="1530" w:type="dxa"/>
            <w:tcBorders>
              <w:bottom w:val="single" w:color="auto" w:sz="4" w:space="0"/>
            </w:tcBorders>
            <w:shd w:val="clear" w:color="auto" w:fill="auto"/>
            <w:vAlign w:val="center"/>
          </w:tcPr>
          <w:p w:rsidRPr="00BC53EC" w:rsidR="008811AA" w:rsidRDefault="008811AA" w14:paraId="61D39834" w14:textId="09319677">
            <w:pPr>
              <w:jc w:val="right"/>
            </w:pPr>
            <w:r>
              <w:t>60</w:t>
            </w:r>
          </w:p>
        </w:tc>
        <w:tc>
          <w:tcPr>
            <w:tcW w:w="1802" w:type="dxa"/>
            <w:tcBorders>
              <w:bottom w:val="single" w:color="auto" w:sz="4" w:space="0"/>
            </w:tcBorders>
            <w:vAlign w:val="center"/>
          </w:tcPr>
          <w:p w:rsidRPr="00BC53EC" w:rsidR="008811AA" w:rsidRDefault="008811AA" w14:paraId="7226AEE9" w14:textId="072B70F3">
            <w:pPr>
              <w:jc w:val="right"/>
            </w:pPr>
            <w:r>
              <w:t>120</w:t>
            </w:r>
          </w:p>
        </w:tc>
        <w:tc>
          <w:tcPr>
            <w:tcW w:w="1802" w:type="dxa"/>
            <w:tcBorders>
              <w:bottom w:val="single" w:color="auto" w:sz="4" w:space="0"/>
            </w:tcBorders>
            <w:vAlign w:val="center"/>
          </w:tcPr>
          <w:p w:rsidRPr="00BC53EC" w:rsidR="008811AA" w:rsidRDefault="008811AA" w14:paraId="3BE61A11" w14:textId="2898BD45">
            <w:pPr>
              <w:jc w:val="right"/>
            </w:pPr>
            <w:r>
              <w:t>180</w:t>
            </w:r>
          </w:p>
        </w:tc>
      </w:tr>
    </w:tbl>
    <w:p w:rsidRPr="00AB358E" w:rsidR="00B22ED7" w:rsidP="00AB358E" w:rsidRDefault="00B22ED7" w14:paraId="1B54DB5B" w14:textId="77777777">
      <w:pPr>
        <w:autoSpaceDE w:val="0"/>
        <w:autoSpaceDN w:val="0"/>
        <w:adjustRightInd w:val="0"/>
        <w:rPr>
          <w:color w:val="000000"/>
        </w:rPr>
      </w:pPr>
    </w:p>
    <w:sectPr w:rsidRPr="00AB358E" w:rsidR="00B22ED7" w:rsidSect="00FB4D48">
      <w:footerReference w:type="even" r:id="rId15"/>
      <w:footerReference w:type="default" r:id="rId16"/>
      <w:pgSz w:w="12240" w:h="15840" w:code="1"/>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CDEB2" w14:textId="77777777" w:rsidR="001D017B" w:rsidRDefault="001D017B">
      <w:r>
        <w:separator/>
      </w:r>
    </w:p>
  </w:endnote>
  <w:endnote w:type="continuationSeparator" w:id="0">
    <w:p w14:paraId="2E87A849" w14:textId="77777777" w:rsidR="001D017B" w:rsidRDefault="001D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45B26" w14:textId="77777777" w:rsidR="001D017B" w:rsidRDefault="001D017B" w:rsidP="004E4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79BCD0" w14:textId="77777777" w:rsidR="001D017B" w:rsidRDefault="001D01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5476F" w14:textId="77777777" w:rsidR="001D017B" w:rsidRDefault="001D017B" w:rsidP="004E4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24C1">
      <w:rPr>
        <w:rStyle w:val="PageNumber"/>
        <w:noProof/>
      </w:rPr>
      <w:t>13</w:t>
    </w:r>
    <w:r>
      <w:rPr>
        <w:rStyle w:val="PageNumber"/>
      </w:rPr>
      <w:fldChar w:fldCharType="end"/>
    </w:r>
  </w:p>
  <w:p w14:paraId="14926F2E" w14:textId="77777777" w:rsidR="001D017B" w:rsidRDefault="001D0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AD166" w14:textId="77777777" w:rsidR="001D017B" w:rsidRDefault="001D017B">
      <w:r>
        <w:separator/>
      </w:r>
    </w:p>
  </w:footnote>
  <w:footnote w:type="continuationSeparator" w:id="0">
    <w:p w14:paraId="6C78179A" w14:textId="77777777" w:rsidR="001D017B" w:rsidRDefault="001D017B">
      <w:r>
        <w:continuationSeparator/>
      </w:r>
    </w:p>
  </w:footnote>
  <w:footnote w:id="1">
    <w:p w14:paraId="00484753" w14:textId="4C719272" w:rsidR="001D017B" w:rsidRDefault="001D017B">
      <w:pPr>
        <w:pStyle w:val="FootnoteText"/>
      </w:pPr>
      <w:r>
        <w:rPr>
          <w:rStyle w:val="FootnoteReference"/>
        </w:rPr>
        <w:footnoteRef/>
      </w:r>
      <w:r>
        <w:t xml:space="preserve"> California, Colorado, Idaho, Illinois, Iowa, Kansas, Minnesota, Missouri, Montana, North Dakota, Nebraska, Oklahoma, South Dakota, Texas, Utah, Washington, and Wyoming</w:t>
      </w:r>
    </w:p>
  </w:footnote>
  <w:footnote w:id="2">
    <w:p w14:paraId="10423C38" w14:textId="1EEC145D" w:rsidR="001D017B" w:rsidRDefault="001D017B">
      <w:pPr>
        <w:pStyle w:val="FootnoteText"/>
      </w:pPr>
      <w:r>
        <w:rPr>
          <w:rStyle w:val="FootnoteReference"/>
        </w:rPr>
        <w:footnoteRef/>
      </w:r>
      <w:r>
        <w:t xml:space="preserve"> California, Colorado, Idaho, Illinois, Indiana, Iowa, Kansas, Michigan, Minnesota, Missouri, North Dakota, Nebraska, Ohio, Pennsylvania, South Dakota, Texas, Wisconsin, and Wyoming</w:t>
      </w:r>
    </w:p>
  </w:footnote>
  <w:footnote w:id="3">
    <w:p w14:paraId="5FC39C33" w14:textId="5029B4DF" w:rsidR="001D017B" w:rsidRPr="0027331F" w:rsidRDefault="001D017B">
      <w:pPr>
        <w:pStyle w:val="FootnoteText"/>
      </w:pPr>
      <w:r>
        <w:rPr>
          <w:rStyle w:val="FootnoteReference"/>
        </w:rPr>
        <w:footnoteRef/>
      </w:r>
      <w:r>
        <w:t xml:space="preserve"> The study was designed using population counts from NASS detailing feedlots and feedlot inventory by feedlot </w:t>
      </w:r>
      <w:r>
        <w:rPr>
          <w:i/>
        </w:rPr>
        <w:t>capacity</w:t>
      </w:r>
      <w:r>
        <w:t xml:space="preserve">. These estimates are suppressed in this justification and replaced with design statistics based on NASS data on feedlot </w:t>
      </w:r>
      <w:r>
        <w:rPr>
          <w:i/>
        </w:rPr>
        <w:t>inventory</w:t>
      </w:r>
      <w:r>
        <w:t xml:space="preserve"> from the 2017 Census of Agriculture, where appropriate because population counts by feedlot </w:t>
      </w:r>
      <w:r>
        <w:rPr>
          <w:i/>
        </w:rPr>
        <w:t>capacity</w:t>
      </w:r>
      <w:r>
        <w:t xml:space="preserve"> are not published NASS statistics. Similar results hold for both methods. We make this clear in the justification by using the terms “capacity” and “inventory” to denote which classification variable of feedlots is being used.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1F4D"/>
    <w:multiLevelType w:val="hybridMultilevel"/>
    <w:tmpl w:val="2E3E6ECC"/>
    <w:lvl w:ilvl="0" w:tplc="5D809380">
      <w:numFmt w:val="none"/>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A72C7E"/>
    <w:multiLevelType w:val="hybridMultilevel"/>
    <w:tmpl w:val="52ACF6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2344C8"/>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3" w15:restartNumberingAfterBreak="0">
    <w:nsid w:val="11007359"/>
    <w:multiLevelType w:val="hybridMultilevel"/>
    <w:tmpl w:val="C4380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957A0"/>
    <w:multiLevelType w:val="hybridMultilevel"/>
    <w:tmpl w:val="9324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6" w15:restartNumberingAfterBreak="0">
    <w:nsid w:val="2BF33A71"/>
    <w:multiLevelType w:val="hybridMultilevel"/>
    <w:tmpl w:val="C5E802AE"/>
    <w:lvl w:ilvl="0" w:tplc="AECE9D4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0407F4"/>
    <w:multiLevelType w:val="hybridMultilevel"/>
    <w:tmpl w:val="3E104A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A972E9"/>
    <w:multiLevelType w:val="hybridMultilevel"/>
    <w:tmpl w:val="2C3C436C"/>
    <w:lvl w:ilvl="0" w:tplc="662ADF62">
      <w:numFmt w:val="none"/>
      <w:lvlText w:val=""/>
      <w:lvlJc w:val="left"/>
      <w:pPr>
        <w:tabs>
          <w:tab w:val="num" w:pos="720"/>
        </w:tabs>
        <w:ind w:left="1080" w:hanging="360"/>
      </w:pPr>
      <w:rPr>
        <w:rFonts w:ascii="Wingdings" w:hAnsi="Wingdings" w:hint="default"/>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FDD2FC0"/>
    <w:multiLevelType w:val="multilevel"/>
    <w:tmpl w:val="A45033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7F51D0"/>
    <w:multiLevelType w:val="multilevel"/>
    <w:tmpl w:val="9B64B1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61D0484"/>
    <w:multiLevelType w:val="hybridMultilevel"/>
    <w:tmpl w:val="DB1AF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547E59"/>
    <w:multiLevelType w:val="hybridMultilevel"/>
    <w:tmpl w:val="CBD660C6"/>
    <w:lvl w:ilvl="0" w:tplc="3C98E01A">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143C5D"/>
    <w:multiLevelType w:val="hybridMultilevel"/>
    <w:tmpl w:val="B776C9F6"/>
    <w:lvl w:ilvl="0" w:tplc="8716C8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5210F"/>
    <w:multiLevelType w:val="hybridMultilevel"/>
    <w:tmpl w:val="E294D7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92D6692"/>
    <w:multiLevelType w:val="hybridMultilevel"/>
    <w:tmpl w:val="A98837A2"/>
    <w:lvl w:ilvl="0" w:tplc="662ADF62">
      <w:numFmt w:val="none"/>
      <w:lvlText w:val=""/>
      <w:lvlJc w:val="left"/>
      <w:pPr>
        <w:tabs>
          <w:tab w:val="num" w:pos="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066794"/>
    <w:multiLevelType w:val="hybridMultilevel"/>
    <w:tmpl w:val="E0A6C876"/>
    <w:lvl w:ilvl="0" w:tplc="4A0E695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BD4CB3"/>
    <w:multiLevelType w:val="hybridMultilevel"/>
    <w:tmpl w:val="504CCD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3143120"/>
    <w:multiLevelType w:val="multilevel"/>
    <w:tmpl w:val="67A234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44B5979"/>
    <w:multiLevelType w:val="hybridMultilevel"/>
    <w:tmpl w:val="5E984C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371D01"/>
    <w:multiLevelType w:val="hybridMultilevel"/>
    <w:tmpl w:val="D10A10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91E6000"/>
    <w:multiLevelType w:val="hybridMultilevel"/>
    <w:tmpl w:val="67A2349E"/>
    <w:lvl w:ilvl="0" w:tplc="B06CD2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C3209F2"/>
    <w:multiLevelType w:val="hybridMultilevel"/>
    <w:tmpl w:val="519E9ACC"/>
    <w:lvl w:ilvl="0" w:tplc="2220A12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6E6CA8"/>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4" w15:restartNumberingAfterBreak="0">
    <w:nsid w:val="6F991689"/>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5" w15:restartNumberingAfterBreak="0">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6" w15:restartNumberingAfterBreak="0">
    <w:nsid w:val="76351759"/>
    <w:multiLevelType w:val="hybridMultilevel"/>
    <w:tmpl w:val="AF8E4C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2"/>
  </w:num>
  <w:num w:numId="3">
    <w:abstractNumId w:val="25"/>
  </w:num>
  <w:num w:numId="4">
    <w:abstractNumId w:val="5"/>
  </w:num>
  <w:num w:numId="5">
    <w:abstractNumId w:val="15"/>
  </w:num>
  <w:num w:numId="6">
    <w:abstractNumId w:val="21"/>
  </w:num>
  <w:num w:numId="7">
    <w:abstractNumId w:val="8"/>
  </w:num>
  <w:num w:numId="8">
    <w:abstractNumId w:val="26"/>
  </w:num>
  <w:num w:numId="9">
    <w:abstractNumId w:val="19"/>
  </w:num>
  <w:num w:numId="10">
    <w:abstractNumId w:val="10"/>
  </w:num>
  <w:num w:numId="11">
    <w:abstractNumId w:val="9"/>
  </w:num>
  <w:num w:numId="12">
    <w:abstractNumId w:val="18"/>
  </w:num>
  <w:num w:numId="13">
    <w:abstractNumId w:val="16"/>
  </w:num>
  <w:num w:numId="14">
    <w:abstractNumId w:val="11"/>
  </w:num>
  <w:num w:numId="15">
    <w:abstractNumId w:val="3"/>
  </w:num>
  <w:num w:numId="16">
    <w:abstractNumId w:val="20"/>
  </w:num>
  <w:num w:numId="17">
    <w:abstractNumId w:val="1"/>
  </w:num>
  <w:num w:numId="18">
    <w:abstractNumId w:val="14"/>
  </w:num>
  <w:num w:numId="19">
    <w:abstractNumId w:val="17"/>
  </w:num>
  <w:num w:numId="20">
    <w:abstractNumId w:val="7"/>
  </w:num>
  <w:num w:numId="21">
    <w:abstractNumId w:val="12"/>
  </w:num>
  <w:num w:numId="22">
    <w:abstractNumId w:val="22"/>
  </w:num>
  <w:num w:numId="23">
    <w:abstractNumId w:val="23"/>
  </w:num>
  <w:num w:numId="24">
    <w:abstractNumId w:val="4"/>
  </w:num>
  <w:num w:numId="25">
    <w:abstractNumId w:val="6"/>
  </w:num>
  <w:num w:numId="26">
    <w:abstractNumId w:val="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D9"/>
    <w:rsid w:val="000004AE"/>
    <w:rsid w:val="000062B9"/>
    <w:rsid w:val="000068F7"/>
    <w:rsid w:val="0001298A"/>
    <w:rsid w:val="000165B8"/>
    <w:rsid w:val="0001683F"/>
    <w:rsid w:val="00017DC9"/>
    <w:rsid w:val="00021638"/>
    <w:rsid w:val="0002264E"/>
    <w:rsid w:val="00026355"/>
    <w:rsid w:val="0003420C"/>
    <w:rsid w:val="000343EF"/>
    <w:rsid w:val="00035330"/>
    <w:rsid w:val="000400F9"/>
    <w:rsid w:val="000400FF"/>
    <w:rsid w:val="000439DC"/>
    <w:rsid w:val="00043D10"/>
    <w:rsid w:val="0005608B"/>
    <w:rsid w:val="00067CB3"/>
    <w:rsid w:val="00072C05"/>
    <w:rsid w:val="00081529"/>
    <w:rsid w:val="00082B0B"/>
    <w:rsid w:val="000869AE"/>
    <w:rsid w:val="000973DF"/>
    <w:rsid w:val="000A08F4"/>
    <w:rsid w:val="000A1416"/>
    <w:rsid w:val="000B0C5E"/>
    <w:rsid w:val="000B1084"/>
    <w:rsid w:val="000B475D"/>
    <w:rsid w:val="000C1F4E"/>
    <w:rsid w:val="000C4F9A"/>
    <w:rsid w:val="000D132D"/>
    <w:rsid w:val="000D3C51"/>
    <w:rsid w:val="000D4CD4"/>
    <w:rsid w:val="000E4274"/>
    <w:rsid w:val="000E64BD"/>
    <w:rsid w:val="000F3C90"/>
    <w:rsid w:val="000F65C9"/>
    <w:rsid w:val="000F6951"/>
    <w:rsid w:val="00101330"/>
    <w:rsid w:val="00110D6C"/>
    <w:rsid w:val="001216FD"/>
    <w:rsid w:val="00125AE0"/>
    <w:rsid w:val="00125BA0"/>
    <w:rsid w:val="00127480"/>
    <w:rsid w:val="00127EB6"/>
    <w:rsid w:val="00145F2F"/>
    <w:rsid w:val="0016074E"/>
    <w:rsid w:val="00162F5D"/>
    <w:rsid w:val="00164982"/>
    <w:rsid w:val="001752C5"/>
    <w:rsid w:val="00184070"/>
    <w:rsid w:val="001A0CE1"/>
    <w:rsid w:val="001A554D"/>
    <w:rsid w:val="001A7002"/>
    <w:rsid w:val="001B361A"/>
    <w:rsid w:val="001C2610"/>
    <w:rsid w:val="001C2CC3"/>
    <w:rsid w:val="001C4691"/>
    <w:rsid w:val="001D017B"/>
    <w:rsid w:val="001D0BA4"/>
    <w:rsid w:val="001D71E4"/>
    <w:rsid w:val="001E2323"/>
    <w:rsid w:val="001E2A77"/>
    <w:rsid w:val="001E5E76"/>
    <w:rsid w:val="001F3A72"/>
    <w:rsid w:val="001F44AE"/>
    <w:rsid w:val="002016D2"/>
    <w:rsid w:val="002018DF"/>
    <w:rsid w:val="0020615F"/>
    <w:rsid w:val="00220605"/>
    <w:rsid w:val="00221269"/>
    <w:rsid w:val="00222B21"/>
    <w:rsid w:val="002330B6"/>
    <w:rsid w:val="0023699D"/>
    <w:rsid w:val="0025009A"/>
    <w:rsid w:val="00251AD1"/>
    <w:rsid w:val="00254561"/>
    <w:rsid w:val="00256625"/>
    <w:rsid w:val="00266A95"/>
    <w:rsid w:val="0027331F"/>
    <w:rsid w:val="002825B3"/>
    <w:rsid w:val="002847CF"/>
    <w:rsid w:val="00293FCA"/>
    <w:rsid w:val="0029415E"/>
    <w:rsid w:val="00294655"/>
    <w:rsid w:val="00294C30"/>
    <w:rsid w:val="00296425"/>
    <w:rsid w:val="00297AC3"/>
    <w:rsid w:val="002A6A26"/>
    <w:rsid w:val="002B131E"/>
    <w:rsid w:val="002B2BB1"/>
    <w:rsid w:val="002B58D1"/>
    <w:rsid w:val="002B612C"/>
    <w:rsid w:val="002C34EC"/>
    <w:rsid w:val="002C644E"/>
    <w:rsid w:val="002D2A6A"/>
    <w:rsid w:val="002D3402"/>
    <w:rsid w:val="002D527D"/>
    <w:rsid w:val="002D68BF"/>
    <w:rsid w:val="002E29DD"/>
    <w:rsid w:val="002E6E31"/>
    <w:rsid w:val="002F749E"/>
    <w:rsid w:val="00313EFF"/>
    <w:rsid w:val="00323D1F"/>
    <w:rsid w:val="0032611D"/>
    <w:rsid w:val="00337710"/>
    <w:rsid w:val="003419A7"/>
    <w:rsid w:val="003441DF"/>
    <w:rsid w:val="00345DFB"/>
    <w:rsid w:val="00345E9C"/>
    <w:rsid w:val="0036057C"/>
    <w:rsid w:val="0036443C"/>
    <w:rsid w:val="00365421"/>
    <w:rsid w:val="00371327"/>
    <w:rsid w:val="00372A95"/>
    <w:rsid w:val="00375023"/>
    <w:rsid w:val="003751DB"/>
    <w:rsid w:val="00376791"/>
    <w:rsid w:val="0038422E"/>
    <w:rsid w:val="00385FC9"/>
    <w:rsid w:val="00386E35"/>
    <w:rsid w:val="00395A61"/>
    <w:rsid w:val="003B25F3"/>
    <w:rsid w:val="003B4077"/>
    <w:rsid w:val="003B5850"/>
    <w:rsid w:val="003B5E77"/>
    <w:rsid w:val="003B7343"/>
    <w:rsid w:val="003C717F"/>
    <w:rsid w:val="003D116A"/>
    <w:rsid w:val="003D14CC"/>
    <w:rsid w:val="003D4A00"/>
    <w:rsid w:val="003E7328"/>
    <w:rsid w:val="003F266B"/>
    <w:rsid w:val="003F281A"/>
    <w:rsid w:val="003F5D3C"/>
    <w:rsid w:val="003F5D44"/>
    <w:rsid w:val="0040035F"/>
    <w:rsid w:val="0040137B"/>
    <w:rsid w:val="00402637"/>
    <w:rsid w:val="00407CE7"/>
    <w:rsid w:val="00416375"/>
    <w:rsid w:val="00426140"/>
    <w:rsid w:val="004423AD"/>
    <w:rsid w:val="00444021"/>
    <w:rsid w:val="00455BB4"/>
    <w:rsid w:val="004564F3"/>
    <w:rsid w:val="0046393A"/>
    <w:rsid w:val="00463C3C"/>
    <w:rsid w:val="0046420C"/>
    <w:rsid w:val="00471C67"/>
    <w:rsid w:val="0047274B"/>
    <w:rsid w:val="0047304C"/>
    <w:rsid w:val="00473CD1"/>
    <w:rsid w:val="00475138"/>
    <w:rsid w:val="0049539F"/>
    <w:rsid w:val="0049650F"/>
    <w:rsid w:val="004A0885"/>
    <w:rsid w:val="004A694B"/>
    <w:rsid w:val="004A767C"/>
    <w:rsid w:val="004B0D2D"/>
    <w:rsid w:val="004B72B1"/>
    <w:rsid w:val="004C0CE1"/>
    <w:rsid w:val="004C47C4"/>
    <w:rsid w:val="004C6101"/>
    <w:rsid w:val="004C708B"/>
    <w:rsid w:val="004D3ABD"/>
    <w:rsid w:val="004D7613"/>
    <w:rsid w:val="004E48D9"/>
    <w:rsid w:val="004E7EAA"/>
    <w:rsid w:val="004F20D6"/>
    <w:rsid w:val="00501AAE"/>
    <w:rsid w:val="00507973"/>
    <w:rsid w:val="00521498"/>
    <w:rsid w:val="0052423D"/>
    <w:rsid w:val="005266C4"/>
    <w:rsid w:val="005364AE"/>
    <w:rsid w:val="00537F04"/>
    <w:rsid w:val="00546E53"/>
    <w:rsid w:val="00552D3D"/>
    <w:rsid w:val="00560504"/>
    <w:rsid w:val="0056066E"/>
    <w:rsid w:val="00561B67"/>
    <w:rsid w:val="00562470"/>
    <w:rsid w:val="00563B0D"/>
    <w:rsid w:val="00566D96"/>
    <w:rsid w:val="00570990"/>
    <w:rsid w:val="0057232B"/>
    <w:rsid w:val="005731A3"/>
    <w:rsid w:val="0058567D"/>
    <w:rsid w:val="005954CE"/>
    <w:rsid w:val="00595B0B"/>
    <w:rsid w:val="005A2914"/>
    <w:rsid w:val="005A5DA5"/>
    <w:rsid w:val="005B3811"/>
    <w:rsid w:val="005B4C2D"/>
    <w:rsid w:val="005C333D"/>
    <w:rsid w:val="005D08EE"/>
    <w:rsid w:val="005D25C7"/>
    <w:rsid w:val="005D2B58"/>
    <w:rsid w:val="005D3C23"/>
    <w:rsid w:val="005E167B"/>
    <w:rsid w:val="005E3D15"/>
    <w:rsid w:val="005E5A3F"/>
    <w:rsid w:val="005F70A6"/>
    <w:rsid w:val="00600836"/>
    <w:rsid w:val="00603E29"/>
    <w:rsid w:val="0060558C"/>
    <w:rsid w:val="006059F8"/>
    <w:rsid w:val="00617D59"/>
    <w:rsid w:val="00621CEB"/>
    <w:rsid w:val="00624F1F"/>
    <w:rsid w:val="00625CE2"/>
    <w:rsid w:val="0062700E"/>
    <w:rsid w:val="006311BA"/>
    <w:rsid w:val="006333B6"/>
    <w:rsid w:val="00647CCA"/>
    <w:rsid w:val="00652788"/>
    <w:rsid w:val="006557F0"/>
    <w:rsid w:val="00662306"/>
    <w:rsid w:val="0066799A"/>
    <w:rsid w:val="006751FC"/>
    <w:rsid w:val="00677BB5"/>
    <w:rsid w:val="006813BB"/>
    <w:rsid w:val="00682C21"/>
    <w:rsid w:val="0068453D"/>
    <w:rsid w:val="006851B7"/>
    <w:rsid w:val="00695047"/>
    <w:rsid w:val="006A0FFB"/>
    <w:rsid w:val="006A412E"/>
    <w:rsid w:val="006B461D"/>
    <w:rsid w:val="006B5801"/>
    <w:rsid w:val="006B7E08"/>
    <w:rsid w:val="006C30C1"/>
    <w:rsid w:val="006C3407"/>
    <w:rsid w:val="006C53E2"/>
    <w:rsid w:val="006C5FB7"/>
    <w:rsid w:val="006C6A43"/>
    <w:rsid w:val="006D13F1"/>
    <w:rsid w:val="006D3B79"/>
    <w:rsid w:val="006D4AF6"/>
    <w:rsid w:val="006E085E"/>
    <w:rsid w:val="006E6243"/>
    <w:rsid w:val="006E6873"/>
    <w:rsid w:val="006F0AE3"/>
    <w:rsid w:val="006F1182"/>
    <w:rsid w:val="006F55B6"/>
    <w:rsid w:val="006F6C2E"/>
    <w:rsid w:val="006F6EB5"/>
    <w:rsid w:val="00700D2B"/>
    <w:rsid w:val="0070597D"/>
    <w:rsid w:val="0071390B"/>
    <w:rsid w:val="00717ACA"/>
    <w:rsid w:val="00731604"/>
    <w:rsid w:val="00733241"/>
    <w:rsid w:val="00733256"/>
    <w:rsid w:val="00734B98"/>
    <w:rsid w:val="00735E2C"/>
    <w:rsid w:val="00737230"/>
    <w:rsid w:val="0074746A"/>
    <w:rsid w:val="0075071B"/>
    <w:rsid w:val="00752C6F"/>
    <w:rsid w:val="00754EFF"/>
    <w:rsid w:val="00756C3E"/>
    <w:rsid w:val="00756FB6"/>
    <w:rsid w:val="00757CFE"/>
    <w:rsid w:val="00765738"/>
    <w:rsid w:val="00767BB4"/>
    <w:rsid w:val="00773390"/>
    <w:rsid w:val="00774608"/>
    <w:rsid w:val="007768E1"/>
    <w:rsid w:val="00786015"/>
    <w:rsid w:val="00786981"/>
    <w:rsid w:val="0079169F"/>
    <w:rsid w:val="00794E86"/>
    <w:rsid w:val="00796150"/>
    <w:rsid w:val="007A30E0"/>
    <w:rsid w:val="007B1086"/>
    <w:rsid w:val="007B3CDB"/>
    <w:rsid w:val="007C2843"/>
    <w:rsid w:val="007C2E06"/>
    <w:rsid w:val="007C3EFC"/>
    <w:rsid w:val="007C7D55"/>
    <w:rsid w:val="007D4ACF"/>
    <w:rsid w:val="007D5261"/>
    <w:rsid w:val="007D6586"/>
    <w:rsid w:val="007E151F"/>
    <w:rsid w:val="007F3C17"/>
    <w:rsid w:val="007F3FEE"/>
    <w:rsid w:val="008007FC"/>
    <w:rsid w:val="00803DDF"/>
    <w:rsid w:val="00803E44"/>
    <w:rsid w:val="008062C7"/>
    <w:rsid w:val="008164FA"/>
    <w:rsid w:val="00816CB2"/>
    <w:rsid w:val="00821EA2"/>
    <w:rsid w:val="00823510"/>
    <w:rsid w:val="0082372A"/>
    <w:rsid w:val="008303DF"/>
    <w:rsid w:val="00836A94"/>
    <w:rsid w:val="008546C4"/>
    <w:rsid w:val="0086079C"/>
    <w:rsid w:val="00861BAA"/>
    <w:rsid w:val="00875199"/>
    <w:rsid w:val="0087690A"/>
    <w:rsid w:val="008811AA"/>
    <w:rsid w:val="008840B4"/>
    <w:rsid w:val="00897E9D"/>
    <w:rsid w:val="008A4EEE"/>
    <w:rsid w:val="008A5CEB"/>
    <w:rsid w:val="008B0FFA"/>
    <w:rsid w:val="008B1617"/>
    <w:rsid w:val="008B191F"/>
    <w:rsid w:val="008B2B26"/>
    <w:rsid w:val="008B3CC0"/>
    <w:rsid w:val="008B3ED5"/>
    <w:rsid w:val="008C2308"/>
    <w:rsid w:val="008C6E24"/>
    <w:rsid w:val="008D4DA6"/>
    <w:rsid w:val="008E013D"/>
    <w:rsid w:val="008E1B78"/>
    <w:rsid w:val="008E1BAC"/>
    <w:rsid w:val="008E4315"/>
    <w:rsid w:val="008F3156"/>
    <w:rsid w:val="008F7059"/>
    <w:rsid w:val="00901568"/>
    <w:rsid w:val="00906DB5"/>
    <w:rsid w:val="009157BC"/>
    <w:rsid w:val="009174D9"/>
    <w:rsid w:val="009205AF"/>
    <w:rsid w:val="0092258D"/>
    <w:rsid w:val="00925FD3"/>
    <w:rsid w:val="009266DE"/>
    <w:rsid w:val="00926FAA"/>
    <w:rsid w:val="00933127"/>
    <w:rsid w:val="00933735"/>
    <w:rsid w:val="0093637D"/>
    <w:rsid w:val="009564D9"/>
    <w:rsid w:val="00977D67"/>
    <w:rsid w:val="00987009"/>
    <w:rsid w:val="00993014"/>
    <w:rsid w:val="0099456F"/>
    <w:rsid w:val="009A1FD4"/>
    <w:rsid w:val="009A201B"/>
    <w:rsid w:val="009A6001"/>
    <w:rsid w:val="009A7BCE"/>
    <w:rsid w:val="009A7E33"/>
    <w:rsid w:val="009B277A"/>
    <w:rsid w:val="009C5299"/>
    <w:rsid w:val="009C741C"/>
    <w:rsid w:val="009D0BC8"/>
    <w:rsid w:val="009D2285"/>
    <w:rsid w:val="009D7364"/>
    <w:rsid w:val="009E0316"/>
    <w:rsid w:val="009E57AA"/>
    <w:rsid w:val="009F26DB"/>
    <w:rsid w:val="009F31E2"/>
    <w:rsid w:val="009F5E03"/>
    <w:rsid w:val="009F78FC"/>
    <w:rsid w:val="00A01736"/>
    <w:rsid w:val="00A02960"/>
    <w:rsid w:val="00A05B04"/>
    <w:rsid w:val="00A17EB0"/>
    <w:rsid w:val="00A25F4C"/>
    <w:rsid w:val="00A31EAF"/>
    <w:rsid w:val="00A40C52"/>
    <w:rsid w:val="00A45DAC"/>
    <w:rsid w:val="00A47C54"/>
    <w:rsid w:val="00A73DD2"/>
    <w:rsid w:val="00A76898"/>
    <w:rsid w:val="00A83109"/>
    <w:rsid w:val="00A9016A"/>
    <w:rsid w:val="00A92AC5"/>
    <w:rsid w:val="00A936BB"/>
    <w:rsid w:val="00A93B80"/>
    <w:rsid w:val="00AA0EAF"/>
    <w:rsid w:val="00AA0FD6"/>
    <w:rsid w:val="00AA311E"/>
    <w:rsid w:val="00AA352D"/>
    <w:rsid w:val="00AA48D8"/>
    <w:rsid w:val="00AA5281"/>
    <w:rsid w:val="00AB0F39"/>
    <w:rsid w:val="00AB358E"/>
    <w:rsid w:val="00AB49BF"/>
    <w:rsid w:val="00AC06A3"/>
    <w:rsid w:val="00AC624E"/>
    <w:rsid w:val="00AD4573"/>
    <w:rsid w:val="00AE0F93"/>
    <w:rsid w:val="00B05A30"/>
    <w:rsid w:val="00B074DE"/>
    <w:rsid w:val="00B104DA"/>
    <w:rsid w:val="00B1230C"/>
    <w:rsid w:val="00B136AD"/>
    <w:rsid w:val="00B20444"/>
    <w:rsid w:val="00B22ED7"/>
    <w:rsid w:val="00B23D57"/>
    <w:rsid w:val="00B42B59"/>
    <w:rsid w:val="00B446C7"/>
    <w:rsid w:val="00B467AA"/>
    <w:rsid w:val="00B538B8"/>
    <w:rsid w:val="00B55D98"/>
    <w:rsid w:val="00B6063B"/>
    <w:rsid w:val="00B61BA0"/>
    <w:rsid w:val="00B61D23"/>
    <w:rsid w:val="00B64E1D"/>
    <w:rsid w:val="00B66079"/>
    <w:rsid w:val="00B70F41"/>
    <w:rsid w:val="00B74DFD"/>
    <w:rsid w:val="00B907A3"/>
    <w:rsid w:val="00B942AD"/>
    <w:rsid w:val="00BA79E2"/>
    <w:rsid w:val="00BB06A8"/>
    <w:rsid w:val="00BB0B37"/>
    <w:rsid w:val="00BB7764"/>
    <w:rsid w:val="00BC6A79"/>
    <w:rsid w:val="00BD7B81"/>
    <w:rsid w:val="00BE08AA"/>
    <w:rsid w:val="00BE1FD3"/>
    <w:rsid w:val="00BF3D06"/>
    <w:rsid w:val="00BF6CC1"/>
    <w:rsid w:val="00BF76FC"/>
    <w:rsid w:val="00C204B5"/>
    <w:rsid w:val="00C20D56"/>
    <w:rsid w:val="00C2235B"/>
    <w:rsid w:val="00C22BEA"/>
    <w:rsid w:val="00C31AE8"/>
    <w:rsid w:val="00C35F59"/>
    <w:rsid w:val="00C35FD3"/>
    <w:rsid w:val="00C37BE5"/>
    <w:rsid w:val="00C45E98"/>
    <w:rsid w:val="00C539AD"/>
    <w:rsid w:val="00C53C21"/>
    <w:rsid w:val="00C5493F"/>
    <w:rsid w:val="00C618B9"/>
    <w:rsid w:val="00C64DDB"/>
    <w:rsid w:val="00C67054"/>
    <w:rsid w:val="00C74438"/>
    <w:rsid w:val="00C777C3"/>
    <w:rsid w:val="00C80BAC"/>
    <w:rsid w:val="00C80FAF"/>
    <w:rsid w:val="00C81282"/>
    <w:rsid w:val="00C820D0"/>
    <w:rsid w:val="00C839FE"/>
    <w:rsid w:val="00C90C0E"/>
    <w:rsid w:val="00CA0E0C"/>
    <w:rsid w:val="00CA3C55"/>
    <w:rsid w:val="00CB119B"/>
    <w:rsid w:val="00CB2F5D"/>
    <w:rsid w:val="00CB51D6"/>
    <w:rsid w:val="00CB7A13"/>
    <w:rsid w:val="00CC0148"/>
    <w:rsid w:val="00CC376D"/>
    <w:rsid w:val="00CC6AC0"/>
    <w:rsid w:val="00CC7174"/>
    <w:rsid w:val="00CD537C"/>
    <w:rsid w:val="00CD6BED"/>
    <w:rsid w:val="00CD79C6"/>
    <w:rsid w:val="00CE4592"/>
    <w:rsid w:val="00CF2A5A"/>
    <w:rsid w:val="00CF456B"/>
    <w:rsid w:val="00D00880"/>
    <w:rsid w:val="00D128A6"/>
    <w:rsid w:val="00D13352"/>
    <w:rsid w:val="00D26637"/>
    <w:rsid w:val="00D3269F"/>
    <w:rsid w:val="00D4359C"/>
    <w:rsid w:val="00D5075A"/>
    <w:rsid w:val="00D550FB"/>
    <w:rsid w:val="00D65143"/>
    <w:rsid w:val="00D71E30"/>
    <w:rsid w:val="00D83291"/>
    <w:rsid w:val="00D84487"/>
    <w:rsid w:val="00D86161"/>
    <w:rsid w:val="00D9216B"/>
    <w:rsid w:val="00DA3860"/>
    <w:rsid w:val="00DA6815"/>
    <w:rsid w:val="00DB1DF2"/>
    <w:rsid w:val="00DC77B8"/>
    <w:rsid w:val="00DC7ECE"/>
    <w:rsid w:val="00DE0AE9"/>
    <w:rsid w:val="00DF1F5E"/>
    <w:rsid w:val="00DF22DD"/>
    <w:rsid w:val="00DF2521"/>
    <w:rsid w:val="00DF6069"/>
    <w:rsid w:val="00DF663E"/>
    <w:rsid w:val="00E00793"/>
    <w:rsid w:val="00E00E44"/>
    <w:rsid w:val="00E054EE"/>
    <w:rsid w:val="00E062AF"/>
    <w:rsid w:val="00E1696B"/>
    <w:rsid w:val="00E176FF"/>
    <w:rsid w:val="00E1795B"/>
    <w:rsid w:val="00E21E27"/>
    <w:rsid w:val="00E24729"/>
    <w:rsid w:val="00E267F7"/>
    <w:rsid w:val="00E37A2B"/>
    <w:rsid w:val="00E400CD"/>
    <w:rsid w:val="00E50BEA"/>
    <w:rsid w:val="00E560C3"/>
    <w:rsid w:val="00E662AD"/>
    <w:rsid w:val="00E85419"/>
    <w:rsid w:val="00E85761"/>
    <w:rsid w:val="00E85CDD"/>
    <w:rsid w:val="00E91923"/>
    <w:rsid w:val="00E93C0B"/>
    <w:rsid w:val="00E9441C"/>
    <w:rsid w:val="00E96013"/>
    <w:rsid w:val="00E96C55"/>
    <w:rsid w:val="00EA0C1F"/>
    <w:rsid w:val="00EA487B"/>
    <w:rsid w:val="00EA4892"/>
    <w:rsid w:val="00EB0E37"/>
    <w:rsid w:val="00EB34B1"/>
    <w:rsid w:val="00EB4CA9"/>
    <w:rsid w:val="00EC14EA"/>
    <w:rsid w:val="00EC324A"/>
    <w:rsid w:val="00ED00F1"/>
    <w:rsid w:val="00ED01E5"/>
    <w:rsid w:val="00ED2A4D"/>
    <w:rsid w:val="00ED2D4C"/>
    <w:rsid w:val="00ED4D39"/>
    <w:rsid w:val="00ED5D1E"/>
    <w:rsid w:val="00EE4E69"/>
    <w:rsid w:val="00EE5C1C"/>
    <w:rsid w:val="00F0443F"/>
    <w:rsid w:val="00F07288"/>
    <w:rsid w:val="00F1224D"/>
    <w:rsid w:val="00F16209"/>
    <w:rsid w:val="00F16386"/>
    <w:rsid w:val="00F16898"/>
    <w:rsid w:val="00F17B74"/>
    <w:rsid w:val="00F23D9D"/>
    <w:rsid w:val="00F3340C"/>
    <w:rsid w:val="00F447E8"/>
    <w:rsid w:val="00F45B57"/>
    <w:rsid w:val="00F46EA5"/>
    <w:rsid w:val="00F50BF3"/>
    <w:rsid w:val="00F514B7"/>
    <w:rsid w:val="00F53686"/>
    <w:rsid w:val="00F54444"/>
    <w:rsid w:val="00F624CD"/>
    <w:rsid w:val="00F76BEE"/>
    <w:rsid w:val="00F7778E"/>
    <w:rsid w:val="00F77F88"/>
    <w:rsid w:val="00F802BE"/>
    <w:rsid w:val="00F83AC7"/>
    <w:rsid w:val="00F85A32"/>
    <w:rsid w:val="00F92CFE"/>
    <w:rsid w:val="00F968A6"/>
    <w:rsid w:val="00FA0364"/>
    <w:rsid w:val="00FB3F35"/>
    <w:rsid w:val="00FB4D48"/>
    <w:rsid w:val="00FB5563"/>
    <w:rsid w:val="00FB6DA7"/>
    <w:rsid w:val="00FB7A74"/>
    <w:rsid w:val="00FC7C13"/>
    <w:rsid w:val="00FD212B"/>
    <w:rsid w:val="00FD2271"/>
    <w:rsid w:val="00FE095C"/>
    <w:rsid w:val="00FE24C1"/>
    <w:rsid w:val="00FE32F2"/>
    <w:rsid w:val="00FE5792"/>
    <w:rsid w:val="00FE74DF"/>
    <w:rsid w:val="00FE76DA"/>
    <w:rsid w:val="00FF33E6"/>
    <w:rsid w:val="00FF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CDF2A"/>
  <w15:chartTrackingRefBased/>
  <w15:docId w15:val="{669C7A74-404C-4781-AF78-FC42A689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8D9"/>
    <w:rPr>
      <w:sz w:val="24"/>
      <w:szCs w:val="24"/>
    </w:rPr>
  </w:style>
  <w:style w:type="paragraph" w:styleId="Heading1">
    <w:name w:val="heading 1"/>
    <w:basedOn w:val="Normal"/>
    <w:next w:val="Normal"/>
    <w:link w:val="Heading1Char"/>
    <w:qFormat/>
    <w:rsid w:val="004E48D9"/>
    <w:pPr>
      <w:keepNext/>
      <w:spacing w:before="240" w:after="60"/>
      <w:outlineLvl w:val="0"/>
    </w:pPr>
    <w:rPr>
      <w:rFonts w:ascii="Arial" w:hAnsi="Arial" w:cs="Arial"/>
      <w:b/>
      <w:bCs/>
      <w:kern w:val="32"/>
      <w:sz w:val="32"/>
      <w:szCs w:val="32"/>
    </w:rPr>
  </w:style>
  <w:style w:type="paragraph" w:styleId="Heading2">
    <w:name w:val="heading 2"/>
    <w:aliases w:val="Heading 2 Char"/>
    <w:basedOn w:val="Normal"/>
    <w:next w:val="Normal"/>
    <w:link w:val="Heading2Char1"/>
    <w:qFormat/>
    <w:rsid w:val="004E48D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E48D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4E48D9"/>
    <w:pPr>
      <w:autoSpaceDE w:val="0"/>
      <w:autoSpaceDN w:val="0"/>
      <w:adjustRightInd w:val="0"/>
    </w:pPr>
  </w:style>
  <w:style w:type="character" w:customStyle="1" w:styleId="InitialStyle">
    <w:name w:val="InitialStyle"/>
    <w:rsid w:val="004E48D9"/>
  </w:style>
  <w:style w:type="character" w:customStyle="1" w:styleId="Heading2Char1">
    <w:name w:val="Heading 2 Char1"/>
    <w:aliases w:val="Heading 2 Char Char"/>
    <w:link w:val="Heading2"/>
    <w:rsid w:val="004E48D9"/>
    <w:rPr>
      <w:rFonts w:ascii="Arial" w:hAnsi="Arial" w:cs="Arial"/>
      <w:b/>
      <w:bCs/>
      <w:i/>
      <w:iCs/>
      <w:sz w:val="28"/>
      <w:szCs w:val="28"/>
      <w:lang w:val="en-US" w:eastAsia="en-US" w:bidi="ar-SA"/>
    </w:rPr>
  </w:style>
  <w:style w:type="table" w:styleId="TableGrid">
    <w:name w:val="Table Grid"/>
    <w:basedOn w:val="TableNormal"/>
    <w:uiPriority w:val="59"/>
    <w:rsid w:val="004E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E48D9"/>
    <w:rPr>
      <w:rFonts w:ascii="Arial" w:hAnsi="Arial" w:cs="Arial"/>
      <w:b/>
      <w:bCs/>
      <w:kern w:val="32"/>
      <w:sz w:val="32"/>
      <w:szCs w:val="32"/>
      <w:lang w:val="en-US" w:eastAsia="en-US" w:bidi="ar-SA"/>
    </w:rPr>
  </w:style>
  <w:style w:type="character" w:customStyle="1" w:styleId="DefaultTextChar">
    <w:name w:val="Default Text Char"/>
    <w:link w:val="DefaultText"/>
    <w:rsid w:val="004E48D9"/>
    <w:rPr>
      <w:sz w:val="24"/>
      <w:szCs w:val="24"/>
      <w:lang w:val="en-US" w:eastAsia="en-US" w:bidi="ar-SA"/>
    </w:rPr>
  </w:style>
  <w:style w:type="paragraph" w:styleId="Footer">
    <w:name w:val="footer"/>
    <w:basedOn w:val="Normal"/>
    <w:rsid w:val="004E48D9"/>
    <w:pPr>
      <w:tabs>
        <w:tab w:val="center" w:pos="4320"/>
        <w:tab w:val="right" w:pos="8640"/>
      </w:tabs>
    </w:pPr>
  </w:style>
  <w:style w:type="character" w:styleId="PageNumber">
    <w:name w:val="page number"/>
    <w:basedOn w:val="DefaultParagraphFont"/>
    <w:rsid w:val="004E48D9"/>
  </w:style>
  <w:style w:type="paragraph" w:styleId="BalloonText">
    <w:name w:val="Balloon Text"/>
    <w:basedOn w:val="Normal"/>
    <w:semiHidden/>
    <w:rsid w:val="00FE76DA"/>
    <w:rPr>
      <w:rFonts w:ascii="Tahoma" w:hAnsi="Tahoma" w:cs="Tahoma"/>
      <w:sz w:val="16"/>
      <w:szCs w:val="16"/>
    </w:rPr>
  </w:style>
  <w:style w:type="paragraph" w:styleId="DocumentMap">
    <w:name w:val="Document Map"/>
    <w:basedOn w:val="Normal"/>
    <w:semiHidden/>
    <w:rsid w:val="009A7BCE"/>
    <w:pPr>
      <w:shd w:val="clear" w:color="auto" w:fill="000080"/>
    </w:pPr>
    <w:rPr>
      <w:rFonts w:ascii="Tahoma" w:hAnsi="Tahoma" w:cs="Tahoma"/>
      <w:sz w:val="20"/>
      <w:szCs w:val="20"/>
    </w:rPr>
  </w:style>
  <w:style w:type="character" w:styleId="CommentReference">
    <w:name w:val="annotation reference"/>
    <w:semiHidden/>
    <w:rsid w:val="00E400CD"/>
    <w:rPr>
      <w:sz w:val="16"/>
      <w:szCs w:val="16"/>
    </w:rPr>
  </w:style>
  <w:style w:type="paragraph" w:styleId="CommentText">
    <w:name w:val="annotation text"/>
    <w:basedOn w:val="Normal"/>
    <w:semiHidden/>
    <w:rsid w:val="00E400CD"/>
    <w:rPr>
      <w:sz w:val="20"/>
      <w:szCs w:val="20"/>
    </w:rPr>
  </w:style>
  <w:style w:type="paragraph" w:styleId="CommentSubject">
    <w:name w:val="annotation subject"/>
    <w:basedOn w:val="CommentText"/>
    <w:next w:val="CommentText"/>
    <w:semiHidden/>
    <w:rsid w:val="00E400CD"/>
    <w:rPr>
      <w:b/>
      <w:bCs/>
    </w:rPr>
  </w:style>
  <w:style w:type="character" w:customStyle="1" w:styleId="CharChar1">
    <w:name w:val="Char Char1"/>
    <w:rsid w:val="00FC7C13"/>
    <w:rPr>
      <w:rFonts w:ascii="Arial" w:hAnsi="Arial" w:cs="Arial"/>
      <w:b/>
      <w:bCs/>
      <w:kern w:val="32"/>
      <w:sz w:val="32"/>
      <w:szCs w:val="32"/>
      <w:lang w:val="en-US" w:eastAsia="en-US" w:bidi="ar-SA"/>
    </w:rPr>
  </w:style>
  <w:style w:type="paragraph" w:styleId="FootnoteText">
    <w:name w:val="footnote text"/>
    <w:basedOn w:val="Normal"/>
    <w:semiHidden/>
    <w:rsid w:val="0016074E"/>
    <w:rPr>
      <w:sz w:val="20"/>
      <w:szCs w:val="20"/>
    </w:rPr>
  </w:style>
  <w:style w:type="character" w:styleId="FootnoteReference">
    <w:name w:val="footnote reference"/>
    <w:semiHidden/>
    <w:rsid w:val="0016074E"/>
    <w:rPr>
      <w:vertAlign w:val="superscript"/>
    </w:rPr>
  </w:style>
  <w:style w:type="paragraph" w:styleId="NoSpacing">
    <w:name w:val="No Spacing"/>
    <w:uiPriority w:val="1"/>
    <w:qFormat/>
    <w:rsid w:val="00B136AD"/>
    <w:rPr>
      <w:rFonts w:ascii="Calibri" w:eastAsia="Calibri" w:hAnsi="Calibri"/>
      <w:sz w:val="22"/>
      <w:szCs w:val="22"/>
    </w:rPr>
  </w:style>
  <w:style w:type="paragraph" w:styleId="ListParagraph">
    <w:name w:val="List Paragraph"/>
    <w:basedOn w:val="Normal"/>
    <w:uiPriority w:val="34"/>
    <w:qFormat/>
    <w:rsid w:val="00D5075A"/>
    <w:pPr>
      <w:widowControl w:val="0"/>
      <w:ind w:left="720"/>
      <w:contextualSpacing/>
    </w:pPr>
    <w:rPr>
      <w:rFonts w:ascii="Courier" w:hAnsi="Courier"/>
      <w:snapToGrid w:val="0"/>
      <w:szCs w:val="20"/>
    </w:rPr>
  </w:style>
  <w:style w:type="character" w:styleId="Hyperlink">
    <w:name w:val="Hyperlink"/>
    <w:basedOn w:val="DefaultParagraphFont"/>
    <w:rsid w:val="000062B9"/>
    <w:rPr>
      <w:color w:val="0563C1" w:themeColor="hyperlink"/>
      <w:u w:val="single"/>
    </w:rPr>
  </w:style>
  <w:style w:type="paragraph" w:customStyle="1" w:styleId="BODY11Indent">
    <w:name w:val="BODY 11 Indent"/>
    <w:basedOn w:val="Normal"/>
    <w:rsid w:val="006A0FFB"/>
    <w:pPr>
      <w:ind w:left="720"/>
    </w:pPr>
    <w:rPr>
      <w:bCs/>
      <w:sz w:val="22"/>
    </w:rPr>
  </w:style>
  <w:style w:type="character" w:styleId="PlaceholderText">
    <w:name w:val="Placeholder Text"/>
    <w:basedOn w:val="DefaultParagraphFont"/>
    <w:uiPriority w:val="99"/>
    <w:semiHidden/>
    <w:rsid w:val="004013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250328">
      <w:bodyDiv w:val="1"/>
      <w:marLeft w:val="0"/>
      <w:marRight w:val="0"/>
      <w:marTop w:val="0"/>
      <w:marBottom w:val="0"/>
      <w:divBdr>
        <w:top w:val="none" w:sz="0" w:space="0" w:color="auto"/>
        <w:left w:val="none" w:sz="0" w:space="0" w:color="auto"/>
        <w:bottom w:val="none" w:sz="0" w:space="0" w:color="auto"/>
        <w:right w:val="none" w:sz="0" w:space="0" w:color="auto"/>
      </w:divBdr>
    </w:div>
    <w:div w:id="1277063904">
      <w:bodyDiv w:val="1"/>
      <w:marLeft w:val="0"/>
      <w:marRight w:val="0"/>
      <w:marTop w:val="0"/>
      <w:marBottom w:val="0"/>
      <w:divBdr>
        <w:top w:val="none" w:sz="0" w:space="0" w:color="auto"/>
        <w:left w:val="none" w:sz="0" w:space="0" w:color="auto"/>
        <w:bottom w:val="none" w:sz="0" w:space="0" w:color="auto"/>
        <w:right w:val="none" w:sz="0" w:space="0" w:color="auto"/>
      </w:divBdr>
    </w:div>
    <w:div w:id="16571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wnloads.usda.library.cornell.edu/usda-esmis/files/m326m174z/tm70n577q/jd4736596/cofd0619.pdf" TargetMode="External"/><Relationship Id="rId13" Type="http://schemas.openxmlformats.org/officeDocument/2006/relationships/hyperlink" Target="https://www.nass.usda.gov/Publications/AgCensus/2017/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ss.usda.gov/Publications/AgCensus/2017/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ss.usda.gov/Publications/AgCensus/2017/index.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wnloads.usda.library.cornell.edu/usda-esmis/files/m326m174z/hd76s619t/9g54xq58r/cofd0319.pdf" TargetMode="External"/><Relationship Id="rId4" Type="http://schemas.openxmlformats.org/officeDocument/2006/relationships/settings" Target="settings.xml"/><Relationship Id="rId9" Type="http://schemas.openxmlformats.org/officeDocument/2006/relationships/hyperlink" Target="https://www.nass.usda.gov/Publications/AgCensus/2017/index.php" TargetMode="External"/><Relationship Id="rId14" Type="http://schemas.openxmlformats.org/officeDocument/2006/relationships/hyperlink" Target="https://www.nass.usda.gov/Publications/AgCensus/2017/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20657-E23D-4AF0-94AA-ABAE853D6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13</Pages>
  <Words>3551</Words>
  <Characters>19809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B</vt:lpstr>
    </vt:vector>
  </TitlesOfParts>
  <Company>USDA APHIS</Company>
  <LinksUpToDate>false</LinksUpToDate>
  <CharactersWithSpaces>23314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swarnken</dc:creator>
  <cp:keywords/>
  <cp:lastModifiedBy>Kelley, William N - APHIS</cp:lastModifiedBy>
  <cp:revision>18</cp:revision>
  <cp:lastPrinted>2020-01-15T23:10:00Z</cp:lastPrinted>
  <dcterms:created xsi:type="dcterms:W3CDTF">2020-01-14T17:05:00Z</dcterms:created>
  <dcterms:modified xsi:type="dcterms:W3CDTF">2020-01-21T22:39:00Z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