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C3" w:rsidRDefault="00C47718" w14:paraId="65FD2C9B" w14:textId="77777777">
      <w:pPr>
        <w:jc w:val="left"/>
      </w:pPr>
      <w:r>
        <w:t>A.</w:t>
      </w:r>
      <w:r>
        <w:tab/>
        <w:t>J</w:t>
      </w:r>
      <w:r w:rsidR="00717E61">
        <w:t>USTIFICATION</w:t>
      </w:r>
    </w:p>
    <w:p w:rsidRPr="00717E61" w:rsidR="004517C3" w:rsidP="00717E61" w:rsidRDefault="00C47718" w14:paraId="3CA52C05" w14:textId="77777777">
      <w:pPr>
        <w:jc w:val="left"/>
      </w:pPr>
      <w:r w:rsidRPr="00717E61">
        <w:t>1.</w:t>
      </w:r>
      <w:r w:rsidRPr="00717E61">
        <w:tab/>
        <w:t>Explain the circumstances that make the collection of information necessary.</w:t>
      </w:r>
    </w:p>
    <w:p w:rsidR="004517C3" w:rsidP="00717E61" w:rsidRDefault="007B69DE" w14:paraId="2796A35E" w14:textId="0F2ABA17">
      <w:pPr>
        <w:pBdr>
          <w:top w:val="nil"/>
          <w:left w:val="nil"/>
          <w:bottom w:val="nil"/>
          <w:right w:val="nil"/>
          <w:between w:val="nil"/>
        </w:pBdr>
        <w:jc w:val="both"/>
        <w:rPr>
          <w:b/>
          <w:color w:val="000000"/>
        </w:rPr>
      </w:pPr>
      <w:r w:rsidRPr="003C48A0">
        <w:rPr>
          <w:color w:val="000000"/>
        </w:rPr>
        <w:t>The U.S. Election Assistance Commission</w:t>
      </w:r>
      <w:r>
        <w:rPr>
          <w:color w:val="000000"/>
        </w:rPr>
        <w:t xml:space="preserve"> (</w:t>
      </w:r>
      <w:r w:rsidR="000978E0">
        <w:rPr>
          <w:color w:val="000000"/>
        </w:rPr>
        <w:t>EAC</w:t>
      </w:r>
      <w:r>
        <w:rPr>
          <w:color w:val="000000"/>
        </w:rPr>
        <w:t>)</w:t>
      </w:r>
      <w:r w:rsidR="000978E0">
        <w:rPr>
          <w:color w:val="000000"/>
        </w:rPr>
        <w:t xml:space="preserve"> provides grants to the state election offices for the securing of elections.  In order to provide oversight on these grants that have an end date of until expended </w:t>
      </w:r>
      <w:r w:rsidR="001F27EF">
        <w:rPr>
          <w:color w:val="000000"/>
        </w:rPr>
        <w:t xml:space="preserve">the </w:t>
      </w:r>
      <w:r w:rsidRPr="00474BA9" w:rsidR="001F27EF">
        <w:rPr>
          <w:color w:val="000000"/>
        </w:rPr>
        <w:t>agency need</w:t>
      </w:r>
      <w:r w:rsidRPr="00474BA9" w:rsidR="00F12517">
        <w:rPr>
          <w:color w:val="000000"/>
        </w:rPr>
        <w:t>s</w:t>
      </w:r>
      <w:r w:rsidRPr="00474BA9" w:rsidR="001F27EF">
        <w:rPr>
          <w:color w:val="000000"/>
        </w:rPr>
        <w:t xml:space="preserve"> to </w:t>
      </w:r>
      <w:r w:rsidRPr="00474BA9" w:rsidR="000978E0">
        <w:rPr>
          <w:color w:val="000000"/>
        </w:rPr>
        <w:t xml:space="preserve">have prudent check in points throughout the lifecycle of the award.  </w:t>
      </w:r>
      <w:r w:rsidRPr="00474BA9" w:rsidR="00C47718">
        <w:rPr>
          <w:color w:val="000000"/>
        </w:rPr>
        <w:t xml:space="preserve">EAC </w:t>
      </w:r>
      <w:r w:rsidRPr="00474BA9" w:rsidR="001F27EF">
        <w:rPr>
          <w:color w:val="000000"/>
        </w:rPr>
        <w:t xml:space="preserve">also rolls up any information provided by the states and submits </w:t>
      </w:r>
      <w:r w:rsidRPr="00474BA9" w:rsidR="00C37317">
        <w:rPr>
          <w:color w:val="000000"/>
        </w:rPr>
        <w:t>it</w:t>
      </w:r>
      <w:r w:rsidRPr="00474BA9" w:rsidR="001F27EF">
        <w:rPr>
          <w:color w:val="000000"/>
        </w:rPr>
        <w:t xml:space="preserve"> to Congress as requested mid-year and at the end of the year.  To meet this requirement </w:t>
      </w:r>
      <w:r w:rsidRPr="00474BA9" w:rsidR="003C48A0">
        <w:rPr>
          <w:color w:val="000000"/>
        </w:rPr>
        <w:t>we must establish a streamline</w:t>
      </w:r>
      <w:r w:rsidRPr="00474BA9" w:rsidR="009372D3">
        <w:rPr>
          <w:color w:val="000000"/>
        </w:rPr>
        <w:t>d</w:t>
      </w:r>
      <w:r w:rsidRPr="00474BA9" w:rsidR="003C48A0">
        <w:rPr>
          <w:color w:val="000000"/>
        </w:rPr>
        <w:t xml:space="preserve"> process that reduces the burden on states and makes clear what the expected content for this reporting will be.  </w:t>
      </w:r>
      <w:r w:rsidRPr="00474BA9" w:rsidR="001F27EF">
        <w:rPr>
          <w:color w:val="000000"/>
        </w:rPr>
        <w:t xml:space="preserve">We are also rolling into this report format the existing emergency approval </w:t>
      </w:r>
      <w:r w:rsidRPr="00474BA9" w:rsidR="0083797A">
        <w:rPr>
          <w:color w:val="000000"/>
        </w:rPr>
        <w:t xml:space="preserve">(OMB Control No: 3265-0020) </w:t>
      </w:r>
      <w:r w:rsidRPr="00474BA9" w:rsidR="001F27EF">
        <w:rPr>
          <w:color w:val="000000"/>
        </w:rPr>
        <w:t>for the CARES Act funding provided to grantees that has its own</w:t>
      </w:r>
      <w:r w:rsidR="001F27EF">
        <w:rPr>
          <w:color w:val="000000"/>
        </w:rPr>
        <w:t xml:space="preserve"> targets for reporting on the activities and expenditures.</w:t>
      </w:r>
    </w:p>
    <w:p w:rsidR="004517C3" w:rsidRDefault="00C47718" w14:paraId="59062809" w14:textId="77777777">
      <w:pPr>
        <w:jc w:val="left"/>
      </w:pPr>
      <w:bookmarkStart w:name="_heading=h.30j0zll" w:colFirst="0" w:colLast="0" w:id="0"/>
      <w:bookmarkStart w:name="_heading=h.jiru64iaxdo6" w:colFirst="0" w:colLast="0" w:id="1"/>
      <w:bookmarkEnd w:id="0"/>
      <w:bookmarkEnd w:id="1"/>
      <w:r w:rsidRPr="00717E61">
        <w:t>2. Indicate how, by whom, and for what purpose the information is to be used.</w:t>
      </w:r>
    </w:p>
    <w:p w:rsidRPr="0081555C" w:rsidR="004517C3" w:rsidRDefault="00FC74A4" w14:paraId="5C3AC7C5" w14:textId="23EC5D2A">
      <w:pPr>
        <w:jc w:val="both"/>
        <w:rPr>
          <w:b/>
        </w:rPr>
      </w:pPr>
      <w:r w:rsidRPr="0081555C">
        <w:t>Data from these progress report forms will be used for grant monitoring, feedback to grantees</w:t>
      </w:r>
      <w:r w:rsidR="003041ED">
        <w:t xml:space="preserve">, technical assistance, </w:t>
      </w:r>
      <w:r w:rsidRPr="0081555C">
        <w:t xml:space="preserve">long-term planning, and reporting to Congress. </w:t>
      </w:r>
      <w:r w:rsidRPr="0081555C" w:rsidR="001F27EF">
        <w:t xml:space="preserve">EAC will </w:t>
      </w:r>
      <w:r w:rsidR="001F27EF">
        <w:t>also u</w:t>
      </w:r>
      <w:r w:rsidRPr="0081555C" w:rsidR="001F27EF">
        <w:t>se the data collected to meet the reporting requirements set out in the CARES Act.</w:t>
      </w:r>
    </w:p>
    <w:p w:rsidR="00FC74A4" w:rsidP="00FC74A4" w:rsidRDefault="00FC74A4" w14:paraId="560EBCFD" w14:textId="7282209A">
      <w:pPr>
        <w:jc w:val="left"/>
        <w:rPr>
          <w:b/>
        </w:rPr>
      </w:pPr>
      <w:r w:rsidRPr="0081555C">
        <w:t xml:space="preserve">EAC has developed this form to collect data on program activities such as staffing, voting processes, security and training, communication and other activities unique to the </w:t>
      </w:r>
      <w:r w:rsidR="001F27EF">
        <w:t>HAVA</w:t>
      </w:r>
      <w:r w:rsidRPr="0081555C">
        <w:t xml:space="preserve"> funding. These reports also collect qualitative data on the status of grantee progress, problems encountered and the grantees' assessments </w:t>
      </w:r>
      <w:r w:rsidR="001F27EF">
        <w:t xml:space="preserve">on </w:t>
      </w:r>
      <w:r w:rsidRPr="0081555C" w:rsidR="00C328E7">
        <w:t>how the</w:t>
      </w:r>
      <w:r w:rsidR="001F27EF">
        <w:t>y used the funds to improve elections</w:t>
      </w:r>
      <w:r w:rsidR="00C328E7">
        <w:t>.</w:t>
      </w:r>
    </w:p>
    <w:p w:rsidR="004517C3" w:rsidRDefault="00C47718" w14:paraId="0E750962" w14:textId="77777777">
      <w:pPr>
        <w:keepNext/>
        <w:widowControl/>
        <w:jc w:val="left"/>
        <w:rPr>
          <w:b/>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4517C3" w:rsidRDefault="003363E6" w14:paraId="3AF5B56A" w14:textId="529945A0">
      <w:pPr>
        <w:pBdr>
          <w:top w:val="nil"/>
          <w:left w:val="nil"/>
          <w:bottom w:val="nil"/>
          <w:right w:val="nil"/>
          <w:between w:val="nil"/>
        </w:pBdr>
        <w:jc w:val="both"/>
        <w:rPr>
          <w:b/>
          <w:color w:val="000000"/>
        </w:rPr>
      </w:pPr>
      <w:r w:rsidRPr="003363E6">
        <w:rPr>
          <w:color w:val="000000"/>
        </w:rPr>
        <w:t xml:space="preserve">The EAC plans to use </w:t>
      </w:r>
      <w:r w:rsidR="0068529C">
        <w:rPr>
          <w:color w:val="000000"/>
        </w:rPr>
        <w:t xml:space="preserve">the same </w:t>
      </w:r>
      <w:r w:rsidR="009372D3">
        <w:rPr>
          <w:color w:val="000000"/>
        </w:rPr>
        <w:t xml:space="preserve">online process the grantees </w:t>
      </w:r>
      <w:r w:rsidR="0068529C">
        <w:rPr>
          <w:color w:val="000000"/>
        </w:rPr>
        <w:t>are currently using under the emergency approval for CARES reporting.  The electronic format has made the preparation of necessary data, submission</w:t>
      </w:r>
      <w:r w:rsidR="00A652BA">
        <w:rPr>
          <w:color w:val="000000"/>
        </w:rPr>
        <w:t xml:space="preserve"> by grantees</w:t>
      </w:r>
      <w:r w:rsidR="0068529C">
        <w:rPr>
          <w:color w:val="000000"/>
        </w:rPr>
        <w:t>, and turn around to Congress by EAC simpler</w:t>
      </w:r>
      <w:r w:rsidR="00A652BA">
        <w:rPr>
          <w:color w:val="000000"/>
        </w:rPr>
        <w:t xml:space="preserve"> and more efficient</w:t>
      </w:r>
      <w:r w:rsidR="0068529C">
        <w:rPr>
          <w:color w:val="000000"/>
        </w:rPr>
        <w:t xml:space="preserve">.  The pilot for the CARES reporting has led to a </w:t>
      </w:r>
      <w:r w:rsidRPr="003363E6" w:rsidR="00C47718">
        <w:rPr>
          <w:color w:val="000000"/>
        </w:rPr>
        <w:t>reduce</w:t>
      </w:r>
      <w:r w:rsidR="0068529C">
        <w:rPr>
          <w:color w:val="000000"/>
        </w:rPr>
        <w:t>d</w:t>
      </w:r>
      <w:r w:rsidRPr="003363E6" w:rsidR="00C47718">
        <w:rPr>
          <w:color w:val="000000"/>
        </w:rPr>
        <w:t xml:space="preserve"> response burden associated with the </w:t>
      </w:r>
      <w:r w:rsidRPr="003363E6">
        <w:rPr>
          <w:color w:val="000000"/>
        </w:rPr>
        <w:t>report</w:t>
      </w:r>
      <w:r w:rsidRPr="003363E6" w:rsidR="00C47718">
        <w:rPr>
          <w:color w:val="000000"/>
        </w:rPr>
        <w:t xml:space="preserve"> and </w:t>
      </w:r>
      <w:r w:rsidR="00A652BA">
        <w:rPr>
          <w:color w:val="000000"/>
        </w:rPr>
        <w:t xml:space="preserve">improved </w:t>
      </w:r>
      <w:r w:rsidRPr="003363E6" w:rsidR="00C47718">
        <w:rPr>
          <w:color w:val="000000"/>
        </w:rPr>
        <w:t xml:space="preserve">quality and </w:t>
      </w:r>
      <w:r w:rsidR="00A652BA">
        <w:rPr>
          <w:color w:val="000000"/>
        </w:rPr>
        <w:t xml:space="preserve">accuracy of </w:t>
      </w:r>
      <w:r w:rsidRPr="003363E6" w:rsidR="00C47718">
        <w:rPr>
          <w:color w:val="000000"/>
        </w:rPr>
        <w:t>data submissions.</w:t>
      </w:r>
      <w:r>
        <w:rPr>
          <w:color w:val="000000"/>
        </w:rPr>
        <w:t xml:space="preserve">  </w:t>
      </w:r>
      <w:r w:rsidR="0068529C">
        <w:rPr>
          <w:color w:val="000000"/>
        </w:rPr>
        <w:t>We expect the same to carry through for the other grants through this online reporting process.</w:t>
      </w:r>
    </w:p>
    <w:p w:rsidRPr="00717E61" w:rsidR="004517C3" w:rsidP="00717E61" w:rsidRDefault="00C47718" w14:paraId="7F3D81EA" w14:textId="77777777">
      <w:pPr>
        <w:jc w:val="left"/>
      </w:pPr>
      <w:r w:rsidRPr="00717E61">
        <w:t>4. Describe efforts to identify duplication.</w:t>
      </w:r>
    </w:p>
    <w:p w:rsidR="004517C3" w:rsidRDefault="001538AE" w14:paraId="75ADE91D" w14:textId="2FD6B483">
      <w:pPr>
        <w:pBdr>
          <w:top w:val="nil"/>
          <w:left w:val="nil"/>
          <w:bottom w:val="nil"/>
          <w:right w:val="nil"/>
          <w:between w:val="nil"/>
        </w:pBdr>
        <w:jc w:val="both"/>
        <w:rPr>
          <w:b/>
        </w:rPr>
      </w:pPr>
      <w:r>
        <w:t xml:space="preserve">EAC does not expect grantees to be reporting on </w:t>
      </w:r>
      <w:r w:rsidR="0068529C">
        <w:t>HAVA</w:t>
      </w:r>
      <w:r>
        <w:t xml:space="preserve"> funding expenditures and activities to any other source.  Where possible, EAC has mirrored the federal standardized data elements for progress reporting to reduce variance across federal grants in grantee tracking.  </w:t>
      </w:r>
      <w:r w:rsidR="0068529C">
        <w:t>The report also rolls in the emergency approved data elements for the CARES reporting.</w:t>
      </w:r>
    </w:p>
    <w:p w:rsidRPr="00717E61" w:rsidR="004517C3" w:rsidRDefault="00C47718" w14:paraId="2BD4E829" w14:textId="77777777">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lastRenderedPageBreak/>
        <w:t xml:space="preserve">any methods used to minimize burden. </w:t>
      </w:r>
    </w:p>
    <w:p w:rsidR="004517C3" w:rsidP="00353ED7" w:rsidRDefault="00C47718" w14:paraId="21DB32A8" w14:textId="065536F0">
      <w:pPr>
        <w:pBdr>
          <w:top w:val="nil"/>
          <w:left w:val="nil"/>
          <w:bottom w:val="nil"/>
          <w:right w:val="nil"/>
          <w:between w:val="nil"/>
        </w:pBdr>
        <w:jc w:val="left"/>
        <w:rPr>
          <w:b/>
          <w:color w:val="000000"/>
        </w:rPr>
      </w:pPr>
      <w:r>
        <w:rPr>
          <w:color w:val="000000"/>
        </w:rPr>
        <w:t xml:space="preserve">This information collection does not impact small businesses or other small entities. </w:t>
      </w:r>
      <w:r w:rsidR="009372D3">
        <w:rPr>
          <w:color w:val="000000"/>
        </w:rPr>
        <w:t xml:space="preserve">Only states and territories are required to submit the reports. </w:t>
      </w:r>
      <w:r>
        <w:rPr>
          <w:color w:val="000000"/>
        </w:rPr>
        <w:t xml:space="preserve">The EAC has made efforts to limit the information requested and burden on all participants. The information sought is limited </w:t>
      </w:r>
      <w:r w:rsidR="00353ED7">
        <w:rPr>
          <w:color w:val="000000"/>
        </w:rPr>
        <w:t>to information</w:t>
      </w:r>
      <w:r>
        <w:rPr>
          <w:color w:val="000000"/>
        </w:rPr>
        <w:t xml:space="preserve"> necessary to </w:t>
      </w:r>
      <w:r w:rsidR="008E7D71">
        <w:rPr>
          <w:color w:val="000000"/>
        </w:rPr>
        <w:t xml:space="preserve">provide </w:t>
      </w:r>
      <w:r w:rsidR="00A652BA">
        <w:rPr>
          <w:color w:val="000000"/>
        </w:rPr>
        <w:t xml:space="preserve">grant </w:t>
      </w:r>
      <w:r w:rsidR="008E7D71">
        <w:rPr>
          <w:color w:val="000000"/>
        </w:rPr>
        <w:t xml:space="preserve">oversight and response to congressional inquiries.  </w:t>
      </w:r>
    </w:p>
    <w:p w:rsidR="004517C3" w:rsidRDefault="00C47718" w14:paraId="71330EA0" w14:textId="77777777">
      <w:pPr>
        <w:keepNext/>
        <w:widowControl/>
        <w:jc w:val="left"/>
      </w:pPr>
      <w:r w:rsidRPr="00717E61">
        <w:t>6. Describe the consequence to Federal program or policy activities if the collection is not conducted or is conducted less frequently, as well as any technical or legal obstacles to reducing burden.</w:t>
      </w:r>
    </w:p>
    <w:p w:rsidR="004517C3" w:rsidRDefault="00C47718" w14:paraId="4EC507C9" w14:textId="387C95D7">
      <w:pPr>
        <w:pBdr>
          <w:top w:val="nil"/>
          <w:left w:val="nil"/>
          <w:bottom w:val="nil"/>
          <w:right w:val="nil"/>
          <w:between w:val="nil"/>
        </w:pBdr>
        <w:jc w:val="both"/>
        <w:rPr>
          <w:b/>
          <w:color w:val="000000"/>
        </w:rPr>
      </w:pPr>
      <w:bookmarkStart w:name="_heading=h.ungobr4y424a" w:colFirst="0" w:colLast="0" w:id="2"/>
      <w:bookmarkEnd w:id="2"/>
      <w:r w:rsidRPr="003363E6">
        <w:t xml:space="preserve">If the EAC does not collect this information it will be unable to </w:t>
      </w:r>
      <w:r w:rsidR="008E7D71">
        <w:t xml:space="preserve">perform oversight for its HAVA grants, including the </w:t>
      </w:r>
      <w:r w:rsidRPr="003363E6" w:rsidR="003363E6">
        <w:t xml:space="preserve">2020 </w:t>
      </w:r>
      <w:r w:rsidR="008E7D71">
        <w:t xml:space="preserve">HAVA </w:t>
      </w:r>
      <w:r w:rsidRPr="003363E6" w:rsidR="003363E6">
        <w:t xml:space="preserve">CARES </w:t>
      </w:r>
      <w:r w:rsidR="008E7D71">
        <w:t>funding.  I</w:t>
      </w:r>
      <w:r w:rsidRPr="003363E6">
        <w:t xml:space="preserve">n addition, if the EAC does not collect this information it will </w:t>
      </w:r>
      <w:r w:rsidRPr="003363E6" w:rsidR="003363E6">
        <w:t xml:space="preserve">be unable to report to Congress any performance data related to </w:t>
      </w:r>
      <w:r w:rsidR="008E7D71">
        <w:t>HAVA</w:t>
      </w:r>
      <w:r w:rsidRPr="003363E6" w:rsidR="003363E6">
        <w:t xml:space="preserve"> funding.</w:t>
      </w:r>
    </w:p>
    <w:p w:rsidRPr="00717E61" w:rsidR="004517C3" w:rsidRDefault="00C47718" w14:paraId="77C88701" w14:textId="77777777">
      <w:pPr>
        <w:keepNext/>
        <w:widowControl/>
        <w:jc w:val="left"/>
      </w:pPr>
      <w:r w:rsidRPr="00717E61">
        <w:t>7. Explain any special circumstances that require the collection to be conducted in a manner inconsistent with OMB guidelines.</w:t>
      </w:r>
    </w:p>
    <w:p w:rsidRPr="00353ED7" w:rsidR="004517C3" w:rsidP="00353ED7" w:rsidRDefault="00C47718" w14:paraId="62F01B29" w14:textId="1FB644B3">
      <w:pPr>
        <w:pBdr>
          <w:top w:val="nil"/>
          <w:left w:val="nil"/>
          <w:bottom w:val="nil"/>
          <w:right w:val="nil"/>
          <w:between w:val="nil"/>
        </w:pBdr>
        <w:jc w:val="both"/>
        <w:rPr>
          <w:b/>
        </w:rPr>
      </w:pPr>
      <w:r w:rsidRPr="00353ED7">
        <w:t>There are no special circumstances applicable to this information collection.</w:t>
      </w:r>
      <w:r w:rsidRPr="00353ED7" w:rsidR="00353ED7">
        <w:t xml:space="preserve">  </w:t>
      </w:r>
    </w:p>
    <w:p w:rsidRPr="00870FBA" w:rsidR="00796818" w:rsidP="00796818" w:rsidRDefault="00C47718" w14:paraId="304EE004" w14:textId="77777777">
      <w:pPr>
        <w:ind w:right="-30"/>
        <w:jc w:val="left"/>
      </w:pPr>
      <w:r w:rsidRPr="00717E61">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Pr="00870FBA" w:rsidR="006B3AE4" w:rsidP="00870FBA" w:rsidRDefault="00A652BA" w14:paraId="66A7D13C" w14:textId="63FA4712">
      <w:pPr>
        <w:ind w:right="-30"/>
        <w:jc w:val="left"/>
      </w:pPr>
      <w:r w:rsidRPr="000E07D7">
        <w:t xml:space="preserve">No substantive comments were received on our 60 day posting.  </w:t>
      </w:r>
      <w:r w:rsidRPr="000E07D7" w:rsidR="00CB3B45">
        <w:t>The 60 day</w:t>
      </w:r>
      <w:r w:rsidRPr="000E07D7" w:rsidR="006B3AE4">
        <w:t xml:space="preserve"> </w:t>
      </w:r>
      <w:r w:rsidRPr="000E07D7" w:rsidR="00CB3B45">
        <w:t>notice</w:t>
      </w:r>
      <w:r w:rsidRPr="000E07D7" w:rsidR="006B3AE4">
        <w:t xml:space="preserve"> in the Federal Register </w:t>
      </w:r>
      <w:r w:rsidRPr="000E07D7" w:rsidR="00CB3B45">
        <w:t xml:space="preserve">was published on June 17, 2020 - </w:t>
      </w:r>
      <w:r w:rsidRPr="000E07D7" w:rsidR="006B3AE4">
        <w:t>Document Citation:</w:t>
      </w:r>
      <w:r w:rsidRPr="000E07D7" w:rsidR="00CB3B45">
        <w:t xml:space="preserve"> </w:t>
      </w:r>
      <w:r w:rsidRPr="000E07D7" w:rsidR="006B3AE4">
        <w:t>85 FR 36569</w:t>
      </w:r>
      <w:r w:rsidRPr="000E07D7" w:rsidR="00CB3B45">
        <w:t xml:space="preserve">, </w:t>
      </w:r>
      <w:r w:rsidRPr="000E07D7" w:rsidR="006B3AE4">
        <w:t>Page:</w:t>
      </w:r>
      <w:r w:rsidRPr="000E07D7" w:rsidR="00CB3B45">
        <w:t xml:space="preserve"> </w:t>
      </w:r>
      <w:r w:rsidRPr="000E07D7" w:rsidR="006B3AE4">
        <w:t>36569-36570 (2 pages)</w:t>
      </w:r>
      <w:r w:rsidRPr="000E07D7" w:rsidR="00CB3B45">
        <w:t xml:space="preserve">, </w:t>
      </w:r>
      <w:r w:rsidRPr="000E07D7" w:rsidR="006B3AE4">
        <w:t>Document Number:</w:t>
      </w:r>
      <w:r w:rsidRPr="000E07D7" w:rsidR="00CB3B45">
        <w:t xml:space="preserve"> </w:t>
      </w:r>
      <w:r w:rsidRPr="000E07D7" w:rsidR="006B3AE4">
        <w:t>2020-13032</w:t>
      </w:r>
      <w:r w:rsidRPr="000E07D7" w:rsidR="00CB3B45">
        <w:t xml:space="preserve">. </w:t>
      </w:r>
      <w:r w:rsidRPr="000E07D7" w:rsidR="006B3AE4">
        <w:t xml:space="preserve">The </w:t>
      </w:r>
      <w:r w:rsidRPr="000E07D7" w:rsidR="00CB3B45">
        <w:t xml:space="preserve">30 day notice was published on August 26, 2020 </w:t>
      </w:r>
      <w:r w:rsidRPr="000E07D7" w:rsidR="000E07D7">
        <w:t xml:space="preserve">- </w:t>
      </w:r>
      <w:r w:rsidRPr="00870FBA" w:rsidR="00870FBA">
        <w:t xml:space="preserve">Document Citation: 85 FR 52583, Page: 52583 (1 page), </w:t>
      </w:r>
      <w:r w:rsidRPr="000E07D7" w:rsidR="000E07D7">
        <w:t>Document Number: 2020-18622.</w:t>
      </w:r>
      <w:r w:rsidRPr="00870FBA" w:rsidR="00870FBA">
        <w:t xml:space="preserve"> </w:t>
      </w:r>
    </w:p>
    <w:p w:rsidRPr="00717E61" w:rsidR="004517C3" w:rsidRDefault="00C47718" w14:paraId="37F8CECE" w14:textId="4A1F8802">
      <w:pPr>
        <w:keepNext/>
        <w:widowControl/>
        <w:tabs>
          <w:tab w:val="left" w:pos="450"/>
        </w:tabs>
        <w:jc w:val="left"/>
      </w:pPr>
      <w:r w:rsidRPr="00717E61">
        <w:t>9. Explain any decision to provide any payment or gift to respondents, other than remuneration of contractors or grantees.</w:t>
      </w:r>
    </w:p>
    <w:p w:rsidR="004517C3" w:rsidRDefault="00C47718" w14:paraId="5F2291BF" w14:textId="77777777">
      <w:pPr>
        <w:pBdr>
          <w:top w:val="nil"/>
          <w:left w:val="nil"/>
          <w:bottom w:val="nil"/>
          <w:right w:val="nil"/>
          <w:between w:val="nil"/>
        </w:pBdr>
        <w:ind w:left="720" w:hanging="720"/>
        <w:jc w:val="left"/>
        <w:rPr>
          <w:b/>
          <w:color w:val="000000"/>
        </w:rPr>
      </w:pPr>
      <w:r>
        <w:rPr>
          <w:color w:val="000000"/>
        </w:rPr>
        <w:t>The EAC does not provide any payment or gift to respondents.</w:t>
      </w:r>
    </w:p>
    <w:p w:rsidRPr="00717E61" w:rsidR="004517C3" w:rsidRDefault="00C47718" w14:paraId="4C3E2F37" w14:textId="77777777">
      <w:pPr>
        <w:keepNext/>
        <w:widowControl/>
        <w:jc w:val="left"/>
      </w:pPr>
      <w:r w:rsidRPr="00717E61">
        <w:t>10. Describe any assurance of confidentiality provided to respondents and the basis for the assurance in statute, regulation, or agency policy.</w:t>
      </w:r>
    </w:p>
    <w:p w:rsidR="004517C3" w:rsidP="00A8132B" w:rsidRDefault="00C47718" w14:paraId="08A6413A" w14:textId="1FF4FA39">
      <w:pPr>
        <w:jc w:val="left"/>
        <w:rPr>
          <w:b/>
          <w:color w:val="38761D"/>
        </w:rPr>
      </w:pPr>
      <w:r w:rsidRPr="00A8132B">
        <w:rPr>
          <w:rFonts w:ascii="Georgia" w:hAnsi="Georgia" w:eastAsia="Georgia" w:cs="Georgia"/>
          <w:color w:val="222222"/>
          <w:sz w:val="22"/>
          <w:szCs w:val="22"/>
        </w:rPr>
        <w:t xml:space="preserve">The EAC </w:t>
      </w:r>
      <w:r w:rsidRPr="00A8132B" w:rsidR="00A8132B">
        <w:rPr>
          <w:rFonts w:ascii="Georgia" w:hAnsi="Georgia" w:eastAsia="Georgia" w:cs="Georgia"/>
          <w:color w:val="222222"/>
          <w:sz w:val="22"/>
          <w:szCs w:val="22"/>
        </w:rPr>
        <w:t xml:space="preserve">is intending to collect financial reporting on a </w:t>
      </w:r>
      <w:r w:rsidRPr="00A8132B" w:rsidR="00995911">
        <w:rPr>
          <w:rFonts w:ascii="Georgia" w:hAnsi="Georgia" w:eastAsia="Georgia" w:cs="Georgia"/>
          <w:color w:val="222222"/>
          <w:sz w:val="22"/>
          <w:szCs w:val="22"/>
        </w:rPr>
        <w:t>semiannual</w:t>
      </w:r>
      <w:r w:rsidRPr="00A8132B" w:rsidR="00A8132B">
        <w:rPr>
          <w:rFonts w:ascii="Georgia" w:hAnsi="Georgia" w:eastAsia="Georgia" w:cs="Georgia"/>
          <w:color w:val="222222"/>
          <w:sz w:val="22"/>
          <w:szCs w:val="22"/>
        </w:rPr>
        <w:t xml:space="preserve"> basis using</w:t>
      </w:r>
      <w:r w:rsidR="00CE3E88">
        <w:rPr>
          <w:rFonts w:ascii="Georgia" w:hAnsi="Georgia" w:eastAsia="Georgia" w:cs="Georgia"/>
          <w:color w:val="222222"/>
          <w:sz w:val="22"/>
          <w:szCs w:val="22"/>
        </w:rPr>
        <w:t xml:space="preserve"> the OMB approved government wid</w:t>
      </w:r>
      <w:r w:rsidRPr="00A8132B" w:rsidR="00A8132B">
        <w:rPr>
          <w:rFonts w:ascii="Georgia" w:hAnsi="Georgia" w:eastAsia="Georgia" w:cs="Georgia"/>
          <w:color w:val="222222"/>
          <w:sz w:val="22"/>
          <w:szCs w:val="22"/>
        </w:rPr>
        <w:t xml:space="preserve">e collection cited in </w:t>
      </w:r>
      <w:r w:rsidRPr="00A8132B" w:rsidR="008E7D71">
        <w:t>§ 200.327</w:t>
      </w:r>
      <w:r w:rsidRPr="00A8132B" w:rsidR="00A8132B">
        <w:t xml:space="preserve">.  The terms and conditions of EAC’s HAVA awards will be updated to reflect this requirement for both the financial and </w:t>
      </w:r>
      <w:r w:rsidRPr="00A8132B" w:rsidR="00A8132B">
        <w:lastRenderedPageBreak/>
        <w:t>performance progress reporting.</w:t>
      </w:r>
      <w:r w:rsidR="00A8132B">
        <w:t xml:space="preserve">  </w:t>
      </w:r>
      <w:r w:rsidRPr="003363E6">
        <w:rPr>
          <w:rFonts w:ascii="Georgia" w:hAnsi="Georgia" w:eastAsia="Georgia" w:cs="Georgia"/>
          <w:color w:val="222222"/>
          <w:sz w:val="22"/>
          <w:szCs w:val="22"/>
        </w:rPr>
        <w:t xml:space="preserve">Providing information </w:t>
      </w:r>
      <w:r w:rsidR="00A8132B">
        <w:rPr>
          <w:rFonts w:ascii="Georgia" w:hAnsi="Georgia" w:eastAsia="Georgia" w:cs="Georgia"/>
          <w:color w:val="222222"/>
          <w:sz w:val="22"/>
          <w:szCs w:val="22"/>
        </w:rPr>
        <w:t>will be</w:t>
      </w:r>
      <w:r w:rsidRPr="003363E6" w:rsidR="00353ED7">
        <w:rPr>
          <w:rFonts w:ascii="Georgia" w:hAnsi="Georgia" w:eastAsia="Georgia" w:cs="Georgia"/>
          <w:color w:val="222222"/>
          <w:sz w:val="22"/>
          <w:szCs w:val="22"/>
        </w:rPr>
        <w:t xml:space="preserve"> mandatory</w:t>
      </w:r>
      <w:r w:rsidRPr="003363E6">
        <w:rPr>
          <w:rFonts w:ascii="Georgia" w:hAnsi="Georgia" w:eastAsia="Georgia" w:cs="Georgia"/>
          <w:color w:val="222222"/>
          <w:sz w:val="22"/>
          <w:szCs w:val="22"/>
        </w:rPr>
        <w:t>. The</w:t>
      </w:r>
      <w:r w:rsidRPr="003363E6" w:rsidR="00353ED7">
        <w:rPr>
          <w:rFonts w:ascii="Georgia" w:hAnsi="Georgia" w:eastAsia="Georgia" w:cs="Georgia"/>
          <w:color w:val="222222"/>
          <w:sz w:val="22"/>
          <w:szCs w:val="22"/>
        </w:rPr>
        <w:t xml:space="preserve"> </w:t>
      </w:r>
      <w:r w:rsidRPr="003363E6">
        <w:rPr>
          <w:rFonts w:ascii="Georgia" w:hAnsi="Georgia" w:eastAsia="Georgia" w:cs="Georgia"/>
          <w:color w:val="222222"/>
          <w:sz w:val="22"/>
          <w:szCs w:val="22"/>
        </w:rPr>
        <w:t xml:space="preserve">penalty associated with failing to respond </w:t>
      </w:r>
      <w:r w:rsidRPr="003363E6" w:rsidR="00353ED7">
        <w:rPr>
          <w:rFonts w:ascii="Georgia" w:hAnsi="Georgia" w:eastAsia="Georgia" w:cs="Georgia"/>
          <w:color w:val="222222"/>
          <w:sz w:val="22"/>
          <w:szCs w:val="22"/>
        </w:rPr>
        <w:t>is noncompliance and will require corrective action by the grantee</w:t>
      </w:r>
      <w:r w:rsidRPr="003363E6">
        <w:rPr>
          <w:rFonts w:ascii="Georgia" w:hAnsi="Georgia" w:eastAsia="Georgia" w:cs="Georgia"/>
          <w:color w:val="222222"/>
          <w:sz w:val="22"/>
          <w:szCs w:val="22"/>
        </w:rPr>
        <w:t>. Public Law 93-573 (Privacy Act of 1974) requires that respondents be informed of the purpose and uses to be made of the information collected.</w:t>
      </w:r>
      <w:r>
        <w:rPr>
          <w:rFonts w:ascii="Georgia" w:hAnsi="Georgia" w:eastAsia="Georgia" w:cs="Georgia"/>
          <w:color w:val="222222"/>
          <w:sz w:val="22"/>
          <w:szCs w:val="22"/>
        </w:rPr>
        <w:t xml:space="preserve"> The information collected will be used to </w:t>
      </w:r>
      <w:r w:rsidR="003867A1">
        <w:rPr>
          <w:rFonts w:ascii="Georgia" w:hAnsi="Georgia" w:eastAsia="Georgia" w:cs="Georgia"/>
          <w:color w:val="222222"/>
          <w:sz w:val="22"/>
          <w:szCs w:val="22"/>
        </w:rPr>
        <w:t xml:space="preserve">oversee grant progress and report that </w:t>
      </w:r>
      <w:r w:rsidRPr="003363E6" w:rsidR="003867A1">
        <w:rPr>
          <w:rFonts w:ascii="Georgia" w:hAnsi="Georgia" w:eastAsia="Georgia" w:cs="Georgia"/>
          <w:color w:val="222222"/>
          <w:sz w:val="22"/>
          <w:szCs w:val="22"/>
        </w:rPr>
        <w:t>progress</w:t>
      </w:r>
      <w:r w:rsidR="003867A1">
        <w:rPr>
          <w:rFonts w:ascii="Georgia" w:hAnsi="Georgia" w:eastAsia="Georgia" w:cs="Georgia"/>
          <w:color w:val="222222"/>
          <w:sz w:val="22"/>
          <w:szCs w:val="22"/>
        </w:rPr>
        <w:t xml:space="preserve"> to Congress.  Progress reports are grant record and</w:t>
      </w:r>
      <w:r w:rsidR="00A8132B">
        <w:rPr>
          <w:rFonts w:ascii="Georgia" w:hAnsi="Georgia" w:eastAsia="Georgia" w:cs="Georgia"/>
          <w:color w:val="222222"/>
          <w:sz w:val="22"/>
          <w:szCs w:val="22"/>
        </w:rPr>
        <w:t xml:space="preserve"> currently</w:t>
      </w:r>
      <w:r w:rsidR="003867A1">
        <w:rPr>
          <w:rFonts w:ascii="Georgia" w:hAnsi="Georgia" w:eastAsia="Georgia" w:cs="Georgia"/>
          <w:color w:val="222222"/>
          <w:sz w:val="22"/>
          <w:szCs w:val="22"/>
        </w:rPr>
        <w:t xml:space="preserve"> made public on our website</w:t>
      </w:r>
      <w:r>
        <w:rPr>
          <w:rFonts w:ascii="Georgia" w:hAnsi="Georgia" w:eastAsia="Georgia" w:cs="Georgia"/>
          <w:color w:val="222222"/>
          <w:sz w:val="22"/>
          <w:szCs w:val="22"/>
        </w:rPr>
        <w:t>.</w:t>
      </w:r>
    </w:p>
    <w:p w:rsidRPr="00717E61" w:rsidR="004517C3" w:rsidRDefault="00C47718"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rsidRDefault="00C47718" w14:paraId="26D4E311" w14:textId="77777777">
      <w:pPr>
        <w:pBdr>
          <w:top w:val="nil"/>
          <w:left w:val="nil"/>
          <w:bottom w:val="nil"/>
          <w:right w:val="nil"/>
          <w:between w:val="nil"/>
        </w:pBdr>
        <w:ind w:left="720" w:hanging="720"/>
        <w:jc w:val="left"/>
        <w:rPr>
          <w:b/>
          <w:color w:val="000000"/>
        </w:rPr>
      </w:pPr>
      <w:r>
        <w:rPr>
          <w:color w:val="000000"/>
        </w:rPr>
        <w:t>There are no questions of a sensitive nature.</w:t>
      </w:r>
    </w:p>
    <w:p w:rsidRPr="00717E61" w:rsidR="004517C3" w:rsidRDefault="00C47718" w14:paraId="5017CE54" w14:textId="77777777">
      <w:pPr>
        <w:jc w:val="left"/>
      </w:pPr>
      <w:r w:rsidRPr="00717E61">
        <w:t xml:space="preserve">12. Provide estimates of the hour burden of the collection of information. The statement should indicate the number of respondents, frequency of response, annual hour burden, and an explanation of how the burden was estimated. </w:t>
      </w:r>
    </w:p>
    <w:p w:rsidR="004517C3" w:rsidRDefault="00C47718" w14:paraId="3C534D79" w14:textId="3BEB03DF">
      <w:pPr>
        <w:pBdr>
          <w:top w:val="nil"/>
          <w:left w:val="nil"/>
          <w:bottom w:val="nil"/>
          <w:right w:val="nil"/>
          <w:between w:val="nil"/>
        </w:pBdr>
        <w:jc w:val="both"/>
        <w:rPr>
          <w:b/>
        </w:rPr>
      </w:pPr>
      <w:r>
        <w:t>The estimated re</w:t>
      </w:r>
      <w:r w:rsidR="00D10B0B">
        <w:t>sponse burden is based on the</w:t>
      </w:r>
      <w:r>
        <w:t xml:space="preserve"> similarly-structured </w:t>
      </w:r>
      <w:r w:rsidR="00D10B0B">
        <w:t xml:space="preserve">progress reports administered by other federal agencies.  </w:t>
      </w:r>
      <w:r>
        <w:t xml:space="preserve">Using the </w:t>
      </w:r>
      <w:r w:rsidR="00D10B0B">
        <w:t>fillable form</w:t>
      </w:r>
      <w:r>
        <w:t xml:space="preserve">, we estimate that the </w:t>
      </w:r>
      <w:r w:rsidR="00A8132B">
        <w:t xml:space="preserve">average </w:t>
      </w:r>
      <w:r>
        <w:t xml:space="preserve">burden for the </w:t>
      </w:r>
      <w:r w:rsidR="00D10B0B">
        <w:t xml:space="preserve">complete report </w:t>
      </w:r>
      <w:r w:rsidR="00A8132B">
        <w:t xml:space="preserve">is </w:t>
      </w:r>
      <w:r w:rsidR="00D10B0B">
        <w:t>1 hour</w:t>
      </w:r>
      <w:r>
        <w:t xml:space="preserve">. </w:t>
      </w:r>
    </w:p>
    <w:p w:rsidR="004517C3" w:rsidRDefault="00C47718" w14:paraId="62CFF671" w14:textId="533666AB">
      <w:pPr>
        <w:pBdr>
          <w:top w:val="nil"/>
          <w:left w:val="nil"/>
          <w:bottom w:val="nil"/>
          <w:right w:val="nil"/>
          <w:between w:val="nil"/>
        </w:pBdr>
        <w:jc w:val="left"/>
        <w:rPr>
          <w:b/>
        </w:rPr>
      </w:pPr>
      <w:r>
        <w:t xml:space="preserve">The table below summarizes the burden estimate for the </w:t>
      </w:r>
      <w:r w:rsidR="00D10B0B">
        <w:t>PNR</w:t>
      </w:r>
      <w:r>
        <w:t xml:space="preserve">. </w:t>
      </w:r>
    </w:p>
    <w:tbl>
      <w:tblPr>
        <w:tblStyle w:val="a1"/>
        <w:tblW w:w="8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8705"/>
      </w:tblGrid>
      <w:tr w:rsidRPr="009C249A" w:rsidR="004517C3" w:rsidTr="00946778" w14:paraId="2D784E24" w14:textId="77777777">
        <w:trPr>
          <w:trHeight w:val="327"/>
          <w:jc w:val="center"/>
        </w:trPr>
        <w:tc>
          <w:tcPr>
            <w:tcW w:w="8087" w:type="dxa"/>
            <w:tcBorders>
              <w:left w:val="nil"/>
              <w:bottom w:val="nil"/>
              <w:right w:val="nil"/>
            </w:tcBorders>
          </w:tcPr>
          <w:tbl>
            <w:tblPr>
              <w:tblW w:w="8489" w:type="dxa"/>
              <w:shd w:val="clear" w:color="auto" w:fill="F1F1F1"/>
              <w:tblCellMar>
                <w:top w:w="150" w:type="dxa"/>
                <w:left w:w="150" w:type="dxa"/>
                <w:bottom w:w="150" w:type="dxa"/>
                <w:right w:w="150" w:type="dxa"/>
              </w:tblCellMar>
              <w:tblLook w:val="04A0" w:firstRow="1" w:lastRow="0" w:firstColumn="1" w:lastColumn="0" w:noHBand="0" w:noVBand="1"/>
            </w:tblPr>
            <w:tblGrid>
              <w:gridCol w:w="1963"/>
              <w:gridCol w:w="1964"/>
              <w:gridCol w:w="1336"/>
              <w:gridCol w:w="1345"/>
              <w:gridCol w:w="1024"/>
              <w:gridCol w:w="857"/>
            </w:tblGrid>
            <w:tr w:rsidRPr="00946778" w:rsidR="00333568" w:rsidTr="00333568" w14:paraId="26E31286" w14:textId="77777777">
              <w:trPr>
                <w:tblHeader/>
              </w:trPr>
              <w:tc>
                <w:tcPr>
                  <w:tcW w:w="1156" w:type="pct"/>
                  <w:tcBorders>
                    <w:top w:val="single" w:color="333333" w:sz="6" w:space="0"/>
                    <w:left w:val="nil"/>
                    <w:bottom w:val="single" w:color="333333" w:sz="6" w:space="0"/>
                    <w:right w:val="single" w:color="333333" w:sz="6" w:space="0"/>
                  </w:tcBorders>
                </w:tcPr>
                <w:p w:rsidR="00333568" w:rsidP="00333568" w:rsidRDefault="00333568" w14:paraId="6A8C31C2" w14:textId="77777777">
                  <w:pPr>
                    <w:shd w:val="clear" w:color="auto" w:fill="FFFFFF"/>
                    <w:spacing w:after="150"/>
                    <w:jc w:val="both"/>
                    <w:rPr>
                      <w:rFonts w:ascii="Cambria" w:hAnsi="Cambria" w:cs="Arial"/>
                      <w:color w:val="01203B"/>
                      <w:sz w:val="20"/>
                    </w:rPr>
                  </w:pPr>
                </w:p>
                <w:p w:rsidRPr="00946778" w:rsidR="00333568" w:rsidP="00333568" w:rsidRDefault="00333568" w14:paraId="796FE533" w14:textId="7ACAC0B0">
                  <w:pPr>
                    <w:shd w:val="clear" w:color="auto" w:fill="FFFFFF"/>
                    <w:spacing w:after="150"/>
                    <w:rPr>
                      <w:rFonts w:ascii="Cambria" w:hAnsi="Cambria" w:cs="Arial"/>
                      <w:color w:val="01203B"/>
                      <w:sz w:val="20"/>
                    </w:rPr>
                  </w:pPr>
                  <w:r>
                    <w:rPr>
                      <w:rFonts w:ascii="Cambria" w:hAnsi="Cambria" w:cs="Arial"/>
                      <w:color w:val="01203B"/>
                      <w:sz w:val="20"/>
                    </w:rPr>
                    <w:t xml:space="preserve">EAC Grant </w:t>
                  </w:r>
                </w:p>
              </w:tc>
              <w:tc>
                <w:tcPr>
                  <w:tcW w:w="1157"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333568" w:rsidP="00333568" w:rsidRDefault="00333568" w14:paraId="5F2E44EF" w14:textId="6E20BFED">
                  <w:pPr>
                    <w:shd w:val="clear" w:color="auto" w:fill="FFFFFF"/>
                    <w:spacing w:after="150"/>
                    <w:rPr>
                      <w:rFonts w:ascii="Cambria" w:hAnsi="Cambria" w:cs="Arial"/>
                      <w:color w:val="01203B"/>
                      <w:sz w:val="20"/>
                    </w:rPr>
                  </w:pPr>
                  <w:r w:rsidRPr="00946778">
                    <w:rPr>
                      <w:rFonts w:ascii="Cambria" w:hAnsi="Cambria" w:cs="Arial"/>
                      <w:color w:val="01203B"/>
                      <w:sz w:val="20"/>
                    </w:rPr>
                    <w:t>Instrument</w:t>
                  </w:r>
                </w:p>
              </w:tc>
              <w:tc>
                <w:tcPr>
                  <w:tcW w:w="787" w:type="pct"/>
                  <w:tcBorders>
                    <w:top w:val="single" w:color="333333" w:sz="6" w:space="0"/>
                    <w:left w:val="nil"/>
                    <w:bottom w:val="single" w:color="333333" w:sz="6" w:space="0"/>
                    <w:right w:val="single" w:color="auto" w:sz="4" w:space="0"/>
                  </w:tcBorders>
                  <w:shd w:val="clear" w:color="auto" w:fill="auto"/>
                  <w:tcMar>
                    <w:top w:w="90" w:type="dxa"/>
                    <w:left w:w="90" w:type="dxa"/>
                    <w:bottom w:w="90" w:type="dxa"/>
                    <w:right w:w="90" w:type="dxa"/>
                  </w:tcMar>
                  <w:vAlign w:val="center"/>
                  <w:hideMark/>
                </w:tcPr>
                <w:p w:rsidRPr="00946778" w:rsidR="00333568" w:rsidP="00333568" w:rsidRDefault="00333568" w14:paraId="0D1776A5" w14:textId="77777777">
                  <w:pPr>
                    <w:shd w:val="clear" w:color="auto" w:fill="FFFFFF"/>
                    <w:spacing w:after="150"/>
                    <w:rPr>
                      <w:rFonts w:ascii="Cambria" w:hAnsi="Cambria" w:cs="Arial"/>
                      <w:color w:val="01203B"/>
                      <w:sz w:val="20"/>
                    </w:rPr>
                  </w:pPr>
                  <w:r w:rsidRPr="00946778">
                    <w:rPr>
                      <w:rFonts w:ascii="Cambria" w:hAnsi="Cambria" w:cs="Arial"/>
                      <w:color w:val="01203B"/>
                      <w:sz w:val="20"/>
                    </w:rPr>
                    <w:t>Total number of respondents</w:t>
                  </w:r>
                </w:p>
              </w:tc>
              <w:tc>
                <w:tcPr>
                  <w:tcW w:w="792" w:type="pct"/>
                  <w:tcBorders>
                    <w:top w:val="single" w:color="333333" w:sz="6"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hideMark/>
                </w:tcPr>
                <w:p w:rsidRPr="00946778" w:rsidR="00333568" w:rsidP="00333568" w:rsidRDefault="00333568" w14:paraId="582F480B" w14:textId="32D62E5D">
                  <w:pPr>
                    <w:shd w:val="clear" w:color="auto" w:fill="FFFFFF"/>
                    <w:spacing w:after="150"/>
                    <w:rPr>
                      <w:rFonts w:ascii="Cambria" w:hAnsi="Cambria" w:cs="Arial"/>
                      <w:color w:val="01203B"/>
                      <w:sz w:val="20"/>
                    </w:rPr>
                  </w:pPr>
                  <w:r w:rsidRPr="00946778">
                    <w:rPr>
                      <w:rFonts w:ascii="Cambria" w:hAnsi="Cambria" w:cs="Arial"/>
                      <w:color w:val="01203B"/>
                      <w:sz w:val="20"/>
                    </w:rPr>
                    <w:t xml:space="preserve">Total number of responses per year </w:t>
                  </w:r>
                </w:p>
              </w:tc>
              <w:tc>
                <w:tcPr>
                  <w:tcW w:w="603" w:type="pct"/>
                  <w:tcBorders>
                    <w:top w:val="single" w:color="333333" w:sz="6" w:space="0"/>
                    <w:left w:val="single" w:color="auto" w:sz="4" w:space="0"/>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946778" w:rsidR="00333568" w:rsidP="00333568" w:rsidRDefault="00333568" w14:paraId="28EBBF5D" w14:textId="77777777">
                  <w:pPr>
                    <w:shd w:val="clear" w:color="auto" w:fill="FFFFFF"/>
                    <w:spacing w:after="150"/>
                    <w:rPr>
                      <w:rFonts w:ascii="Cambria" w:hAnsi="Cambria" w:cs="Arial"/>
                      <w:color w:val="01203B"/>
                      <w:sz w:val="20"/>
                    </w:rPr>
                  </w:pPr>
                  <w:r w:rsidRPr="00946778">
                    <w:rPr>
                      <w:rFonts w:ascii="Cambria" w:hAnsi="Cambria" w:cs="Arial"/>
                      <w:color w:val="01203B"/>
                      <w:sz w:val="20"/>
                    </w:rPr>
                    <w:t>Average burden hours per response</w:t>
                  </w:r>
                </w:p>
              </w:tc>
              <w:tc>
                <w:tcPr>
                  <w:tcW w:w="505" w:type="pct"/>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946778" w:rsidR="00333568" w:rsidP="00333568" w:rsidRDefault="00333568" w14:paraId="1ACC3391" w14:textId="77777777">
                  <w:pPr>
                    <w:shd w:val="clear" w:color="auto" w:fill="FFFFFF"/>
                    <w:spacing w:after="150"/>
                    <w:rPr>
                      <w:rFonts w:ascii="Cambria" w:hAnsi="Cambria" w:cs="Arial"/>
                      <w:color w:val="01203B"/>
                      <w:sz w:val="20"/>
                    </w:rPr>
                  </w:pPr>
                  <w:r w:rsidRPr="00946778">
                    <w:rPr>
                      <w:rFonts w:ascii="Cambria" w:hAnsi="Cambria" w:cs="Arial"/>
                      <w:color w:val="01203B"/>
                      <w:sz w:val="20"/>
                    </w:rPr>
                    <w:t>Annual burden hours</w:t>
                  </w:r>
                </w:p>
              </w:tc>
            </w:tr>
            <w:tr w:rsidRPr="00946778" w:rsidR="00333568" w:rsidTr="00333568" w14:paraId="60A34408" w14:textId="77777777">
              <w:tc>
                <w:tcPr>
                  <w:tcW w:w="1156" w:type="pct"/>
                  <w:tcBorders>
                    <w:top w:val="single" w:color="333333" w:sz="6" w:space="0"/>
                    <w:left w:val="nil"/>
                    <w:bottom w:val="single" w:color="auto" w:sz="4" w:space="0"/>
                    <w:right w:val="single" w:color="auto" w:sz="4" w:space="0"/>
                  </w:tcBorders>
                </w:tcPr>
                <w:p w:rsidR="00333568" w:rsidP="00333568" w:rsidRDefault="00333568" w14:paraId="50374C56" w14:textId="6BE2AFD8">
                  <w:pPr>
                    <w:shd w:val="clear" w:color="auto" w:fill="FFFFFF"/>
                    <w:spacing w:after="150"/>
                    <w:rPr>
                      <w:rFonts w:ascii="Cambria" w:hAnsi="Cambria" w:cs="Arial"/>
                      <w:color w:val="01203B"/>
                      <w:sz w:val="20"/>
                    </w:rPr>
                  </w:pPr>
                  <w:r>
                    <w:rPr>
                      <w:rFonts w:ascii="Cambria" w:hAnsi="Cambria" w:cs="Arial"/>
                      <w:color w:val="01203B"/>
                      <w:sz w:val="20"/>
                    </w:rPr>
                    <w:t>251</w:t>
                  </w:r>
                </w:p>
              </w:tc>
              <w:tc>
                <w:tcPr>
                  <w:tcW w:w="1157" w:type="pct"/>
                  <w:tcBorders>
                    <w:top w:val="single" w:color="333333" w:sz="6"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704A7824" w14:textId="315E4876">
                  <w:pPr>
                    <w:shd w:val="clear" w:color="auto" w:fill="FFFFFF"/>
                    <w:spacing w:after="150"/>
                    <w:rPr>
                      <w:rFonts w:ascii="Cambria" w:hAnsi="Cambria" w:cs="Arial"/>
                      <w:color w:val="01203B"/>
                      <w:sz w:val="20"/>
                    </w:rPr>
                  </w:pPr>
                  <w:r>
                    <w:rPr>
                      <w:rFonts w:ascii="Cambria" w:hAnsi="Cambria" w:cs="Arial"/>
                      <w:color w:val="01203B"/>
                      <w:sz w:val="20"/>
                    </w:rPr>
                    <w:t>EAC-</w:t>
                  </w:r>
                  <w:r w:rsidRPr="00946778">
                    <w:rPr>
                      <w:rFonts w:ascii="Cambria" w:hAnsi="Cambria" w:cs="Arial"/>
                      <w:color w:val="01203B"/>
                      <w:sz w:val="20"/>
                    </w:rPr>
                    <w:t>PNR</w:t>
                  </w:r>
                </w:p>
              </w:tc>
              <w:tc>
                <w:tcPr>
                  <w:tcW w:w="787"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841C53" w14:paraId="73EFF8A2" w14:textId="55E84D5A">
                  <w:pPr>
                    <w:shd w:val="clear" w:color="auto" w:fill="FFFFFF"/>
                    <w:spacing w:after="150"/>
                    <w:rPr>
                      <w:rFonts w:ascii="Cambria" w:hAnsi="Cambria" w:cs="Arial"/>
                      <w:color w:val="01203B"/>
                      <w:sz w:val="20"/>
                    </w:rPr>
                  </w:pPr>
                  <w:r>
                    <w:rPr>
                      <w:rFonts w:ascii="Cambria" w:hAnsi="Cambria" w:cs="Arial"/>
                      <w:color w:val="01203B"/>
                      <w:sz w:val="20"/>
                    </w:rPr>
                    <w:t>43</w:t>
                  </w:r>
                </w:p>
              </w:tc>
              <w:tc>
                <w:tcPr>
                  <w:tcW w:w="792"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58224CEC" w14:textId="338B99E6">
                  <w:pPr>
                    <w:shd w:val="clear" w:color="auto" w:fill="FFFFFF"/>
                    <w:spacing w:after="150"/>
                    <w:rPr>
                      <w:rFonts w:ascii="Cambria" w:hAnsi="Cambria" w:cs="Arial"/>
                      <w:color w:val="01203B"/>
                      <w:sz w:val="20"/>
                    </w:rPr>
                  </w:pPr>
                  <w:r>
                    <w:rPr>
                      <w:rFonts w:ascii="Cambria" w:hAnsi="Cambria" w:cs="Arial"/>
                      <w:color w:val="01203B"/>
                      <w:sz w:val="20"/>
                    </w:rPr>
                    <w:t>2</w:t>
                  </w:r>
                </w:p>
              </w:tc>
              <w:tc>
                <w:tcPr>
                  <w:tcW w:w="603"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36EDCD21" w14:textId="77777777">
                  <w:pPr>
                    <w:shd w:val="clear" w:color="auto" w:fill="FFFFFF"/>
                    <w:spacing w:after="150"/>
                    <w:rPr>
                      <w:rFonts w:ascii="Cambria" w:hAnsi="Cambria" w:cs="Arial"/>
                      <w:color w:val="01203B"/>
                      <w:sz w:val="20"/>
                    </w:rPr>
                  </w:pPr>
                  <w:r w:rsidRPr="00946778">
                    <w:rPr>
                      <w:rFonts w:ascii="Cambria" w:hAnsi="Cambria" w:cs="Arial"/>
                      <w:color w:val="01203B"/>
                      <w:sz w:val="20"/>
                    </w:rPr>
                    <w:t>1</w:t>
                  </w:r>
                </w:p>
              </w:tc>
              <w:tc>
                <w:tcPr>
                  <w:tcW w:w="505" w:type="pct"/>
                  <w:tcBorders>
                    <w:top w:val="single" w:color="333333" w:sz="6"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946778" w:rsidR="00333568" w:rsidP="00333568" w:rsidRDefault="00347E08" w14:paraId="39C89FB2" w14:textId="57A81A8F">
                  <w:pPr>
                    <w:shd w:val="clear" w:color="auto" w:fill="FFFFFF"/>
                    <w:spacing w:after="150"/>
                    <w:rPr>
                      <w:rFonts w:ascii="Cambria" w:hAnsi="Cambria" w:cs="Arial"/>
                      <w:color w:val="01203B"/>
                      <w:sz w:val="20"/>
                    </w:rPr>
                  </w:pPr>
                  <w:r>
                    <w:rPr>
                      <w:rFonts w:ascii="Cambria" w:hAnsi="Cambria" w:cs="Arial"/>
                      <w:color w:val="01203B"/>
                      <w:sz w:val="20"/>
                    </w:rPr>
                    <w:t>86</w:t>
                  </w:r>
                </w:p>
              </w:tc>
            </w:tr>
            <w:tr w:rsidRPr="00946778" w:rsidR="00333568" w:rsidTr="00333568" w14:paraId="270AA127" w14:textId="77777777">
              <w:tc>
                <w:tcPr>
                  <w:tcW w:w="1156" w:type="pct"/>
                  <w:tcBorders>
                    <w:top w:val="single" w:color="auto" w:sz="4" w:space="0"/>
                    <w:left w:val="nil"/>
                    <w:bottom w:val="single" w:color="auto" w:sz="4" w:space="0"/>
                    <w:right w:val="single" w:color="auto" w:sz="4" w:space="0"/>
                  </w:tcBorders>
                </w:tcPr>
                <w:p w:rsidRPr="00946778" w:rsidR="00333568" w:rsidP="00333568" w:rsidRDefault="00333568" w14:paraId="4ADB4B53" w14:textId="7280D246">
                  <w:pPr>
                    <w:shd w:val="clear" w:color="auto" w:fill="FFFFFF"/>
                    <w:spacing w:after="150"/>
                    <w:rPr>
                      <w:rFonts w:ascii="Cambria" w:hAnsi="Cambria" w:cs="Arial"/>
                      <w:color w:val="01203B"/>
                      <w:sz w:val="20"/>
                    </w:rPr>
                  </w:pPr>
                  <w:r>
                    <w:rPr>
                      <w:rFonts w:ascii="Cambria" w:hAnsi="Cambria" w:cs="Arial"/>
                      <w:color w:val="01203B"/>
                      <w:sz w:val="20"/>
                    </w:rPr>
                    <w:t>101</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72F1FD51" w14:textId="06357F69">
                  <w:pPr>
                    <w:shd w:val="clear" w:color="auto" w:fill="FFFFFF"/>
                    <w:spacing w:after="150"/>
                    <w:rPr>
                      <w:rFonts w:ascii="Cambria" w:hAnsi="Cambria" w:cs="Arial"/>
                      <w:color w:val="01203B"/>
                      <w:sz w:val="20"/>
                    </w:rPr>
                  </w:pPr>
                  <w:r>
                    <w:rPr>
                      <w:rFonts w:ascii="Cambria" w:hAnsi="Cambria" w:cs="Arial"/>
                      <w:color w:val="01203B"/>
                      <w:sz w:val="20"/>
                    </w:rPr>
                    <w:t>EAC-</w:t>
                  </w:r>
                  <w:r w:rsidRPr="00946778">
                    <w:rPr>
                      <w:rFonts w:ascii="Cambria" w:hAnsi="Cambria" w:cs="Arial"/>
                      <w:color w:val="01203B"/>
                      <w:sz w:val="20"/>
                    </w:rPr>
                    <w:t>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47E08" w14:paraId="48900F07" w14:textId="22A009CC">
                  <w:pPr>
                    <w:shd w:val="clear" w:color="auto" w:fill="FFFFFF"/>
                    <w:spacing w:after="150"/>
                    <w:rPr>
                      <w:rFonts w:ascii="Cambria" w:hAnsi="Cambria" w:cs="Arial"/>
                      <w:color w:val="01203B"/>
                      <w:sz w:val="20"/>
                    </w:rPr>
                  </w:pPr>
                  <w:r>
                    <w:rPr>
                      <w:rFonts w:ascii="Cambria" w:hAnsi="Cambria" w:cs="Arial"/>
                      <w:color w:val="01203B"/>
                      <w:sz w:val="20"/>
                    </w:rPr>
                    <w:t>29</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00333568" w:rsidP="00333568" w:rsidRDefault="00333568" w14:paraId="599D4A18" w14:textId="02AAA927">
                  <w:pPr>
                    <w:shd w:val="clear" w:color="auto" w:fill="FFFFFF"/>
                    <w:spacing w:after="150"/>
                    <w:rPr>
                      <w:rFonts w:ascii="Cambria" w:hAnsi="Cambria" w:cs="Arial"/>
                      <w:color w:val="01203B"/>
                      <w:sz w:val="20"/>
                    </w:rPr>
                  </w:pPr>
                  <w:r>
                    <w:rPr>
                      <w:rFonts w:ascii="Cambria" w:hAnsi="Cambria" w:cs="Arial"/>
                      <w:color w:val="01203B"/>
                      <w:sz w:val="20"/>
                    </w:rPr>
                    <w:t>2</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023070A9" w14:textId="74747CC8">
                  <w:pPr>
                    <w:shd w:val="clear" w:color="auto" w:fill="FFFFFF"/>
                    <w:spacing w:after="150"/>
                    <w:rPr>
                      <w:rFonts w:ascii="Cambria" w:hAnsi="Cambria" w:cs="Arial"/>
                      <w:color w:val="01203B"/>
                      <w:sz w:val="20"/>
                    </w:rPr>
                  </w:pPr>
                  <w:r>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946778" w:rsidR="00333568" w:rsidP="00333568" w:rsidRDefault="00347E08" w14:paraId="175EB320" w14:textId="0A7373AC">
                  <w:pPr>
                    <w:shd w:val="clear" w:color="auto" w:fill="FFFFFF"/>
                    <w:spacing w:after="150"/>
                    <w:rPr>
                      <w:rFonts w:ascii="Cambria" w:hAnsi="Cambria" w:cs="Arial"/>
                      <w:color w:val="01203B"/>
                      <w:sz w:val="20"/>
                    </w:rPr>
                  </w:pPr>
                  <w:r>
                    <w:rPr>
                      <w:rFonts w:ascii="Cambria" w:hAnsi="Cambria" w:cs="Arial"/>
                      <w:color w:val="01203B"/>
                      <w:sz w:val="20"/>
                    </w:rPr>
                    <w:t>58</w:t>
                  </w:r>
                </w:p>
              </w:tc>
            </w:tr>
            <w:tr w:rsidRPr="00946778" w:rsidR="00333568" w:rsidTr="00333568" w14:paraId="3F3831B7" w14:textId="77777777">
              <w:tc>
                <w:tcPr>
                  <w:tcW w:w="1156" w:type="pct"/>
                  <w:tcBorders>
                    <w:top w:val="single" w:color="auto" w:sz="4" w:space="0"/>
                    <w:left w:val="nil"/>
                    <w:bottom w:val="single" w:color="auto" w:sz="4" w:space="0"/>
                    <w:right w:val="single" w:color="auto" w:sz="4" w:space="0"/>
                  </w:tcBorders>
                </w:tcPr>
                <w:p w:rsidRPr="00946778" w:rsidR="00333568" w:rsidP="00333568" w:rsidRDefault="006D1DE5" w14:paraId="53752496" w14:textId="43A9E4B4">
                  <w:pPr>
                    <w:shd w:val="clear" w:color="auto" w:fill="FFFFFF"/>
                    <w:spacing w:after="150"/>
                    <w:rPr>
                      <w:rFonts w:ascii="Cambria" w:hAnsi="Cambria" w:cs="Arial"/>
                      <w:color w:val="01203B"/>
                      <w:sz w:val="20"/>
                    </w:rPr>
                  </w:pPr>
                  <w:r>
                    <w:rPr>
                      <w:rFonts w:ascii="Cambria" w:hAnsi="Cambria" w:cs="Arial"/>
                      <w:color w:val="01203B"/>
                      <w:sz w:val="20"/>
                    </w:rPr>
                    <w:t>Election Security</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2F7F5D13" w14:textId="25A506DC">
                  <w:pPr>
                    <w:shd w:val="clear" w:color="auto" w:fill="FFFFFF"/>
                    <w:spacing w:after="150"/>
                    <w:rPr>
                      <w:rFonts w:ascii="Cambria" w:hAnsi="Cambria" w:cs="Arial"/>
                      <w:color w:val="01203B"/>
                      <w:sz w:val="20"/>
                    </w:rPr>
                  </w:pPr>
                  <w:r>
                    <w:rPr>
                      <w:rFonts w:ascii="Cambria" w:hAnsi="Cambria" w:cs="Arial"/>
                      <w:color w:val="01203B"/>
                      <w:sz w:val="20"/>
                    </w:rPr>
                    <w:t>EAC-</w:t>
                  </w:r>
                  <w:r w:rsidRPr="00946778">
                    <w:rPr>
                      <w:rFonts w:ascii="Cambria" w:hAnsi="Cambria" w:cs="Arial"/>
                      <w:color w:val="01203B"/>
                      <w:sz w:val="20"/>
                    </w:rPr>
                    <w:t>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4422748D" w14:textId="57934843">
                  <w:pPr>
                    <w:shd w:val="clear" w:color="auto" w:fill="FFFFFF"/>
                    <w:spacing w:after="150"/>
                    <w:rPr>
                      <w:rFonts w:ascii="Cambria" w:hAnsi="Cambria" w:cs="Arial"/>
                      <w:color w:val="01203B"/>
                      <w:sz w:val="20"/>
                    </w:rPr>
                  </w:pPr>
                  <w:r w:rsidRPr="00946778">
                    <w:rPr>
                      <w:rFonts w:ascii="Cambria" w:hAnsi="Cambria" w:cs="Arial"/>
                      <w:color w:val="01203B"/>
                      <w:sz w:val="20"/>
                    </w:rPr>
                    <w:t>56</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00333568" w:rsidP="00333568" w:rsidRDefault="00333568" w14:paraId="78DE1D1C" w14:textId="35BDC45E">
                  <w:pPr>
                    <w:shd w:val="clear" w:color="auto" w:fill="FFFFFF"/>
                    <w:spacing w:after="150"/>
                    <w:rPr>
                      <w:rFonts w:ascii="Cambria" w:hAnsi="Cambria" w:cs="Arial"/>
                      <w:color w:val="01203B"/>
                      <w:sz w:val="20"/>
                    </w:rPr>
                  </w:pPr>
                  <w:r>
                    <w:rPr>
                      <w:rFonts w:ascii="Cambria" w:hAnsi="Cambria" w:cs="Arial"/>
                      <w:color w:val="01203B"/>
                      <w:sz w:val="20"/>
                    </w:rPr>
                    <w:t>2</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7C0FBDD8" w14:textId="1AEBD021">
                  <w:pPr>
                    <w:shd w:val="clear" w:color="auto" w:fill="FFFFFF"/>
                    <w:spacing w:after="150"/>
                    <w:rPr>
                      <w:rFonts w:ascii="Cambria" w:hAnsi="Cambria" w:cs="Arial"/>
                      <w:color w:val="01203B"/>
                      <w:sz w:val="20"/>
                    </w:rPr>
                  </w:pPr>
                  <w:r>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946778" w:rsidR="00333568" w:rsidP="00333568" w:rsidRDefault="00333568" w14:paraId="02F2FF48" w14:textId="13D254CE">
                  <w:pPr>
                    <w:shd w:val="clear" w:color="auto" w:fill="FFFFFF"/>
                    <w:spacing w:after="150"/>
                    <w:rPr>
                      <w:rFonts w:ascii="Cambria" w:hAnsi="Cambria" w:cs="Arial"/>
                      <w:color w:val="01203B"/>
                      <w:sz w:val="20"/>
                    </w:rPr>
                  </w:pPr>
                  <w:r>
                    <w:rPr>
                      <w:rFonts w:ascii="Cambria" w:hAnsi="Cambria" w:cs="Arial"/>
                      <w:color w:val="01203B"/>
                      <w:sz w:val="20"/>
                    </w:rPr>
                    <w:t>112</w:t>
                  </w:r>
                </w:p>
              </w:tc>
            </w:tr>
            <w:tr w:rsidRPr="00946778" w:rsidR="00333568" w:rsidTr="00333568" w14:paraId="65E0605F" w14:textId="77777777">
              <w:tc>
                <w:tcPr>
                  <w:tcW w:w="1156" w:type="pct"/>
                  <w:tcBorders>
                    <w:top w:val="single" w:color="auto" w:sz="4" w:space="0"/>
                    <w:left w:val="nil"/>
                    <w:bottom w:val="single" w:color="auto" w:sz="4" w:space="0"/>
                    <w:right w:val="single" w:color="auto" w:sz="4" w:space="0"/>
                  </w:tcBorders>
                </w:tcPr>
                <w:p w:rsidRPr="00946778" w:rsidR="00333568" w:rsidP="00333568" w:rsidRDefault="00333568" w14:paraId="14A0CECB" w14:textId="1D92F8CF">
                  <w:pPr>
                    <w:shd w:val="clear" w:color="auto" w:fill="FFFFFF"/>
                    <w:spacing w:after="150"/>
                    <w:rPr>
                      <w:rFonts w:ascii="Cambria" w:hAnsi="Cambria" w:cs="Arial"/>
                      <w:color w:val="01203B"/>
                      <w:sz w:val="20"/>
                    </w:rPr>
                  </w:pPr>
                  <w:r>
                    <w:rPr>
                      <w:rFonts w:ascii="Cambria" w:hAnsi="Cambria" w:cs="Arial"/>
                      <w:color w:val="01203B"/>
                      <w:sz w:val="20"/>
                    </w:rPr>
                    <w:t>CARES</w:t>
                  </w:r>
                </w:p>
              </w:tc>
              <w:tc>
                <w:tcPr>
                  <w:tcW w:w="1157"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04319AEB" w14:textId="2EC17676">
                  <w:pPr>
                    <w:shd w:val="clear" w:color="auto" w:fill="FFFFFF"/>
                    <w:spacing w:after="150"/>
                    <w:rPr>
                      <w:rFonts w:ascii="Cambria" w:hAnsi="Cambria" w:cs="Arial"/>
                      <w:color w:val="01203B"/>
                      <w:sz w:val="20"/>
                    </w:rPr>
                  </w:pPr>
                  <w:r>
                    <w:rPr>
                      <w:rFonts w:ascii="Cambria" w:hAnsi="Cambria" w:cs="Arial"/>
                      <w:color w:val="01203B"/>
                      <w:sz w:val="20"/>
                    </w:rPr>
                    <w:t>EAC-</w:t>
                  </w:r>
                  <w:r w:rsidRPr="00946778">
                    <w:rPr>
                      <w:rFonts w:ascii="Cambria" w:hAnsi="Cambria" w:cs="Arial"/>
                      <w:color w:val="01203B"/>
                      <w:sz w:val="20"/>
                    </w:rPr>
                    <w:t>PNR</w:t>
                  </w:r>
                </w:p>
              </w:tc>
              <w:tc>
                <w:tcPr>
                  <w:tcW w:w="787"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7E10CF22" w14:textId="76696CC0">
                  <w:pPr>
                    <w:shd w:val="clear" w:color="auto" w:fill="FFFFFF"/>
                    <w:spacing w:after="150"/>
                    <w:rPr>
                      <w:rFonts w:ascii="Cambria" w:hAnsi="Cambria" w:cs="Arial"/>
                      <w:color w:val="01203B"/>
                      <w:sz w:val="20"/>
                    </w:rPr>
                  </w:pPr>
                  <w:r w:rsidRPr="00946778">
                    <w:rPr>
                      <w:rFonts w:ascii="Cambria" w:hAnsi="Cambria" w:cs="Arial"/>
                      <w:color w:val="01203B"/>
                      <w:sz w:val="20"/>
                    </w:rPr>
                    <w:t>56</w:t>
                  </w:r>
                </w:p>
              </w:tc>
              <w:tc>
                <w:tcPr>
                  <w:tcW w:w="792"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00333568" w:rsidP="00333568" w:rsidRDefault="00333568" w14:paraId="65E73A2B" w14:textId="7C31DD57">
                  <w:pPr>
                    <w:shd w:val="clear" w:color="auto" w:fill="FFFFFF"/>
                    <w:spacing w:after="150"/>
                    <w:rPr>
                      <w:rFonts w:ascii="Cambria" w:hAnsi="Cambria" w:cs="Arial"/>
                      <w:color w:val="01203B"/>
                      <w:sz w:val="20"/>
                    </w:rPr>
                  </w:pPr>
                  <w:r>
                    <w:rPr>
                      <w:rFonts w:ascii="Cambria" w:hAnsi="Cambria" w:cs="Arial"/>
                      <w:color w:val="01203B"/>
                      <w:sz w:val="20"/>
                    </w:rPr>
                    <w:t>3*</w:t>
                  </w:r>
                </w:p>
              </w:tc>
              <w:tc>
                <w:tcPr>
                  <w:tcW w:w="60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72AF7655" w14:textId="0FEA4875">
                  <w:pPr>
                    <w:shd w:val="clear" w:color="auto" w:fill="FFFFFF"/>
                    <w:spacing w:after="150"/>
                    <w:rPr>
                      <w:rFonts w:ascii="Cambria" w:hAnsi="Cambria" w:cs="Arial"/>
                      <w:color w:val="01203B"/>
                      <w:sz w:val="20"/>
                    </w:rPr>
                  </w:pPr>
                  <w:r>
                    <w:rPr>
                      <w:rFonts w:ascii="Cambria" w:hAnsi="Cambria" w:cs="Arial"/>
                      <w:color w:val="01203B"/>
                      <w:sz w:val="20"/>
                    </w:rPr>
                    <w:t>1</w:t>
                  </w:r>
                </w:p>
              </w:tc>
              <w:tc>
                <w:tcPr>
                  <w:tcW w:w="505"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946778" w:rsidR="00333568" w:rsidP="00333568" w:rsidRDefault="00333568" w14:paraId="505B9E9A" w14:textId="7741185A">
                  <w:pPr>
                    <w:shd w:val="clear" w:color="auto" w:fill="FFFFFF"/>
                    <w:spacing w:after="150"/>
                    <w:rPr>
                      <w:rFonts w:ascii="Cambria" w:hAnsi="Cambria" w:cs="Arial"/>
                      <w:color w:val="01203B"/>
                      <w:sz w:val="20"/>
                    </w:rPr>
                  </w:pPr>
                  <w:r>
                    <w:rPr>
                      <w:rFonts w:ascii="Cambria" w:hAnsi="Cambria" w:cs="Arial"/>
                      <w:color w:val="01203B"/>
                      <w:sz w:val="20"/>
                    </w:rPr>
                    <w:t>168</w:t>
                  </w:r>
                </w:p>
              </w:tc>
            </w:tr>
            <w:tr w:rsidRPr="00946778" w:rsidR="00333568" w:rsidTr="00333568" w14:paraId="1B316449" w14:textId="77777777">
              <w:tc>
                <w:tcPr>
                  <w:tcW w:w="1156" w:type="pct"/>
                  <w:tcBorders>
                    <w:top w:val="single" w:color="auto" w:sz="4" w:space="0"/>
                    <w:left w:val="nil"/>
                    <w:bottom w:val="single" w:color="333333" w:sz="6" w:space="0"/>
                    <w:right w:val="single" w:color="auto" w:sz="4" w:space="0"/>
                  </w:tcBorders>
                </w:tcPr>
                <w:p w:rsidR="00333568" w:rsidP="00333568" w:rsidRDefault="00333568" w14:paraId="4CE605AC" w14:textId="52522531">
                  <w:pPr>
                    <w:shd w:val="clear" w:color="auto" w:fill="FFFFFF"/>
                    <w:spacing w:after="150"/>
                    <w:rPr>
                      <w:rFonts w:ascii="Cambria" w:hAnsi="Cambria" w:cs="Arial"/>
                      <w:color w:val="01203B"/>
                      <w:sz w:val="20"/>
                    </w:rPr>
                  </w:pPr>
                  <w:r>
                    <w:rPr>
                      <w:rFonts w:ascii="Cambria" w:hAnsi="Cambria" w:cs="Arial"/>
                      <w:color w:val="01203B"/>
                      <w:sz w:val="20"/>
                    </w:rPr>
                    <w:t>TOTAL</w:t>
                  </w:r>
                </w:p>
              </w:tc>
              <w:tc>
                <w:tcPr>
                  <w:tcW w:w="1157" w:type="pct"/>
                  <w:tcBorders>
                    <w:top w:val="single" w:color="auto" w:sz="4" w:space="0"/>
                    <w:left w:val="nil"/>
                    <w:bottom w:val="single" w:color="333333" w:sz="6" w:space="0"/>
                    <w:right w:val="single" w:color="auto" w:sz="4" w:space="0"/>
                  </w:tcBorders>
                  <w:shd w:val="clear" w:color="auto" w:fill="auto"/>
                  <w:tcMar>
                    <w:top w:w="90" w:type="dxa"/>
                    <w:left w:w="90" w:type="dxa"/>
                    <w:bottom w:w="90" w:type="dxa"/>
                    <w:right w:w="90" w:type="dxa"/>
                  </w:tcMar>
                  <w:vAlign w:val="bottom"/>
                </w:tcPr>
                <w:p w:rsidR="00333568" w:rsidP="00333568" w:rsidRDefault="00333568" w14:paraId="2F7471C6" w14:textId="77777777">
                  <w:pPr>
                    <w:shd w:val="clear" w:color="auto" w:fill="FFFFFF"/>
                    <w:spacing w:after="150"/>
                    <w:rPr>
                      <w:rFonts w:ascii="Cambria" w:hAnsi="Cambria" w:cs="Arial"/>
                      <w:color w:val="01203B"/>
                      <w:sz w:val="20"/>
                    </w:rPr>
                  </w:pPr>
                </w:p>
              </w:tc>
              <w:tc>
                <w:tcPr>
                  <w:tcW w:w="787"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213D8E0D" w14:textId="77777777">
                  <w:pPr>
                    <w:shd w:val="clear" w:color="auto" w:fill="FFFFFF"/>
                    <w:spacing w:after="150"/>
                    <w:rPr>
                      <w:rFonts w:ascii="Cambria" w:hAnsi="Cambria" w:cs="Arial"/>
                      <w:color w:val="01203B"/>
                      <w:sz w:val="20"/>
                    </w:rPr>
                  </w:pPr>
                </w:p>
              </w:tc>
              <w:tc>
                <w:tcPr>
                  <w:tcW w:w="792"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00333568" w:rsidP="00333568" w:rsidRDefault="00333568" w14:paraId="517F4963" w14:textId="77777777">
                  <w:pPr>
                    <w:shd w:val="clear" w:color="auto" w:fill="FFFFFF"/>
                    <w:spacing w:after="150"/>
                    <w:rPr>
                      <w:rFonts w:ascii="Cambria" w:hAnsi="Cambria" w:cs="Arial"/>
                      <w:color w:val="01203B"/>
                      <w:sz w:val="20"/>
                    </w:rPr>
                  </w:pPr>
                </w:p>
              </w:tc>
              <w:tc>
                <w:tcPr>
                  <w:tcW w:w="603"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946778" w:rsidR="00333568" w:rsidP="00333568" w:rsidRDefault="00333568" w14:paraId="1B2F2B71" w14:textId="77777777">
                  <w:pPr>
                    <w:shd w:val="clear" w:color="auto" w:fill="FFFFFF"/>
                    <w:spacing w:after="150"/>
                    <w:rPr>
                      <w:rFonts w:ascii="Cambria" w:hAnsi="Cambria" w:cs="Arial"/>
                      <w:color w:val="01203B"/>
                      <w:sz w:val="20"/>
                    </w:rPr>
                  </w:pPr>
                </w:p>
              </w:tc>
              <w:tc>
                <w:tcPr>
                  <w:tcW w:w="505" w:type="pct"/>
                  <w:tcBorders>
                    <w:top w:val="single" w:color="auto" w:sz="4" w:space="0"/>
                    <w:left w:val="single" w:color="auto" w:sz="4" w:space="0"/>
                    <w:bottom w:val="single" w:color="333333" w:sz="6" w:space="0"/>
                    <w:right w:val="nil"/>
                  </w:tcBorders>
                  <w:shd w:val="clear" w:color="auto" w:fill="auto"/>
                  <w:tcMar>
                    <w:top w:w="90" w:type="dxa"/>
                    <w:left w:w="90" w:type="dxa"/>
                    <w:bottom w:w="90" w:type="dxa"/>
                    <w:right w:w="90" w:type="dxa"/>
                  </w:tcMar>
                  <w:vAlign w:val="bottom"/>
                </w:tcPr>
                <w:p w:rsidR="00333568" w:rsidP="00681776" w:rsidRDefault="00681776" w14:paraId="7BA244AC" w14:textId="04623B96">
                  <w:pPr>
                    <w:shd w:val="clear" w:color="auto" w:fill="FFFFFF"/>
                    <w:spacing w:after="150"/>
                    <w:rPr>
                      <w:rFonts w:ascii="Cambria" w:hAnsi="Cambria" w:cs="Arial"/>
                      <w:color w:val="01203B"/>
                      <w:sz w:val="20"/>
                    </w:rPr>
                  </w:pPr>
                  <w:r>
                    <w:rPr>
                      <w:rFonts w:ascii="Cambria" w:hAnsi="Cambria" w:cs="Arial"/>
                      <w:color w:val="01203B"/>
                      <w:sz w:val="20"/>
                    </w:rPr>
                    <w:t>368</w:t>
                  </w:r>
                </w:p>
              </w:tc>
            </w:tr>
          </w:tbl>
          <w:p w:rsidRPr="00946778" w:rsidR="004517C3" w:rsidRDefault="00946778" w14:paraId="7275D4F9" w14:textId="77777777">
            <w:pPr>
              <w:jc w:val="left"/>
              <w:rPr>
                <w:rFonts w:ascii="Cambria" w:hAnsi="Cambria"/>
                <w:sz w:val="20"/>
                <w:szCs w:val="20"/>
                <w:vertAlign w:val="superscript"/>
              </w:rPr>
            </w:pPr>
            <w:r w:rsidRPr="00946778">
              <w:rPr>
                <w:rFonts w:ascii="Cambria" w:hAnsi="Cambria"/>
                <w:sz w:val="20"/>
                <w:szCs w:val="20"/>
                <w:vertAlign w:val="superscript"/>
              </w:rPr>
              <w:t xml:space="preserve">*The total max possible number of reports per respondent is six, however, many grantees will be able to meet the match before the </w:t>
            </w:r>
            <w:r>
              <w:rPr>
                <w:rFonts w:ascii="Cambria" w:hAnsi="Cambria"/>
                <w:sz w:val="20"/>
                <w:szCs w:val="20"/>
                <w:vertAlign w:val="superscript"/>
              </w:rPr>
              <w:t>2-</w:t>
            </w:r>
            <w:r w:rsidRPr="00946778">
              <w:rPr>
                <w:rFonts w:ascii="Cambria" w:hAnsi="Cambria"/>
                <w:sz w:val="20"/>
                <w:szCs w:val="20"/>
                <w:vertAlign w:val="superscript"/>
              </w:rPr>
              <w:t xml:space="preserve">year period due to the activities being restricted to the 2020 elections.  </w:t>
            </w:r>
          </w:p>
        </w:tc>
      </w:tr>
    </w:tbl>
    <w:p w:rsidR="004517C3" w:rsidRDefault="00C47718" w14:paraId="7B5A9450" w14:textId="53333F90">
      <w:pPr>
        <w:spacing w:before="240"/>
        <w:jc w:val="both"/>
        <w:rPr>
          <w:b/>
        </w:rPr>
      </w:pPr>
      <w:r w:rsidRPr="00946778">
        <w:t>The estimated cost of the annualized cost of this burden is: $</w:t>
      </w:r>
      <w:r w:rsidR="002A2D0D">
        <w:t>8,254</w:t>
      </w:r>
      <w:r w:rsidR="003431E6">
        <w:t>.24</w:t>
      </w:r>
      <w:r w:rsidRPr="00946778">
        <w:t>, which is calculated by taking the annualized burden (</w:t>
      </w:r>
      <w:r w:rsidR="003431E6">
        <w:t>368</w:t>
      </w:r>
      <w:r w:rsidRPr="00946778">
        <w:t xml:space="preserve"> hours) and multiplying by an hourly rate of $22.43 (GS-</w:t>
      </w:r>
      <w:r w:rsidRPr="00946778">
        <w:lastRenderedPageBreak/>
        <w:t>8/Step 5 hourly basic rate).</w:t>
      </w:r>
      <w:r>
        <w:t xml:space="preserve"> </w:t>
      </w:r>
    </w:p>
    <w:p w:rsidRPr="00717E61" w:rsidR="004517C3" w:rsidRDefault="00C47718" w14:paraId="5CF8CE13" w14:textId="6410849E">
      <w:pPr>
        <w:jc w:val="left"/>
      </w:pPr>
      <w:r w:rsidRPr="00717E61">
        <w:t xml:space="preserve">13. Provide an estimate for the total annual cost burden to respondents or </w:t>
      </w:r>
      <w:r w:rsidRPr="00717E61" w:rsidR="006D1DE5">
        <w:t>record-keepers</w:t>
      </w:r>
      <w:r w:rsidRPr="00717E61">
        <w:t xml:space="preserve"> resulting from the collection of information.</w:t>
      </w:r>
    </w:p>
    <w:p w:rsidR="004517C3" w:rsidRDefault="00C47718" w14:paraId="5006A969" w14:textId="77777777">
      <w:pPr>
        <w:pBdr>
          <w:top w:val="nil"/>
          <w:left w:val="nil"/>
          <w:bottom w:val="nil"/>
          <w:right w:val="nil"/>
          <w:between w:val="nil"/>
        </w:pBdr>
        <w:ind w:left="720" w:hanging="720"/>
        <w:jc w:val="left"/>
        <w:rPr>
          <w:b/>
          <w:color w:val="000000"/>
        </w:rPr>
      </w:pPr>
      <w:r>
        <w:rPr>
          <w:color w:val="000000"/>
        </w:rPr>
        <w:t>There are no capital or start-up costs associated with this information collection.</w:t>
      </w:r>
    </w:p>
    <w:p w:rsidRPr="00717E61" w:rsidR="004517C3" w:rsidP="00717E61" w:rsidRDefault="00C47718" w14:paraId="2A9DFA50" w14:textId="77777777">
      <w:pPr>
        <w:keepNext/>
        <w:widowControl/>
        <w:jc w:val="left"/>
      </w:pPr>
      <w:r w:rsidRPr="00717E61">
        <w:t>14. Provide estimates of annualized cost to the Federal government.</w:t>
      </w:r>
    </w:p>
    <w:p w:rsidRPr="00727758" w:rsidR="004517C3" w:rsidRDefault="00C47718" w14:paraId="09988863" w14:textId="393FC509">
      <w:pPr>
        <w:pBdr>
          <w:top w:val="nil"/>
          <w:left w:val="nil"/>
          <w:bottom w:val="nil"/>
          <w:right w:val="nil"/>
          <w:between w:val="nil"/>
        </w:pBdr>
        <w:ind w:left="720" w:hanging="720"/>
        <w:jc w:val="both"/>
        <w:rPr>
          <w:b/>
        </w:rPr>
      </w:pPr>
      <w:r w:rsidRPr="00727758">
        <w:t>The estimated annual cos</w:t>
      </w:r>
      <w:r w:rsidR="00DE546D">
        <w:t xml:space="preserve">t to the Federal Government is </w:t>
      </w:r>
      <w:r w:rsidRPr="00727758" w:rsidR="00DE546D">
        <w:t>$</w:t>
      </w:r>
      <w:r w:rsidR="003431E6">
        <w:t>55,896</w:t>
      </w:r>
      <w:bookmarkStart w:name="_GoBack" w:id="3"/>
      <w:bookmarkEnd w:id="3"/>
      <w:r w:rsidRPr="00727758">
        <w:t xml:space="preserve">. </w:t>
      </w:r>
    </w:p>
    <w:p w:rsidR="004517C3" w:rsidP="00A8325D" w:rsidRDefault="00C47718" w14:paraId="3BB4EFB8" w14:textId="19D903EF">
      <w:pPr>
        <w:spacing w:before="240"/>
        <w:jc w:val="both"/>
        <w:rPr>
          <w:b/>
        </w:rPr>
      </w:pPr>
      <w:r w:rsidRPr="00727758">
        <w:t xml:space="preserve">For each data collection iteration, the cost includes: a) </w:t>
      </w:r>
      <w:r w:rsidRPr="00727758" w:rsidR="003F15F2">
        <w:t>$</w:t>
      </w:r>
      <w:r w:rsidR="003431E6">
        <w:t>54</w:t>
      </w:r>
      <w:r w:rsidRPr="00727758" w:rsidR="00A8325D">
        <w:t>,</w:t>
      </w:r>
      <w:r w:rsidR="003431E6">
        <w:t>096</w:t>
      </w:r>
      <w:r w:rsidRPr="00727758" w:rsidR="003F15F2">
        <w:t xml:space="preserve">, for EAC personnel to review each report for data quality and compliance, </w:t>
      </w:r>
      <w:r w:rsidRPr="00727758" w:rsidR="00A8325D">
        <w:t>provide technical assistance to complete the report, clarification on submissions as needed, revision review as applicable, conversion of each report</w:t>
      </w:r>
      <w:r w:rsidRPr="00727758" w:rsidR="003F15F2">
        <w:t xml:space="preserve"> to 508 compliant</w:t>
      </w:r>
      <w:r w:rsidRPr="00727758" w:rsidR="00A8325D">
        <w:t xml:space="preserve"> format</w:t>
      </w:r>
      <w:r w:rsidRPr="00727758" w:rsidR="003F15F2">
        <w:t>, post</w:t>
      </w:r>
      <w:r w:rsidRPr="00727758" w:rsidR="00A8325D">
        <w:t>ing each report</w:t>
      </w:r>
      <w:r w:rsidRPr="00727758" w:rsidR="003F15F2">
        <w:t xml:space="preserve"> to our website, and r</w:t>
      </w:r>
      <w:r w:rsidRPr="00727758" w:rsidR="00A8325D">
        <w:t xml:space="preserve">olling up all the data into a report to Congress. This is </w:t>
      </w:r>
      <w:r w:rsidRPr="00727758" w:rsidR="003F15F2">
        <w:t xml:space="preserve">calculated by </w:t>
      </w:r>
      <w:r w:rsidRPr="00727758" w:rsidR="00852ABC">
        <w:t xml:space="preserve">estimating the burden per report to 1 hour of staff effort </w:t>
      </w:r>
      <w:r w:rsidRPr="00727758" w:rsidR="003F15F2">
        <w:t>(</w:t>
      </w:r>
      <w:r w:rsidR="003431E6">
        <w:t>368</w:t>
      </w:r>
      <w:r w:rsidRPr="00727758" w:rsidR="003F15F2">
        <w:t xml:space="preserve"> hours) and multiplying by an hourly rate of $36.75 (GS-13/Step 1 hourly basic rate)</w:t>
      </w:r>
      <w:r w:rsidRPr="00727758" w:rsidR="00A8325D">
        <w:t xml:space="preserve"> x 4 staff</w:t>
      </w:r>
      <w:r w:rsidR="00DE546D">
        <w:t>, and</w:t>
      </w:r>
      <w:r w:rsidRPr="00727758" w:rsidR="003F15F2">
        <w:t xml:space="preserve"> </w:t>
      </w:r>
      <w:r w:rsidRPr="00727758">
        <w:t xml:space="preserve">b) </w:t>
      </w:r>
      <w:r w:rsidRPr="00727758" w:rsidR="003C0DE1">
        <w:t>$</w:t>
      </w:r>
      <w:r w:rsidRPr="00727758" w:rsidR="00727758">
        <w:t>1,800</w:t>
      </w:r>
      <w:r w:rsidRPr="00727758" w:rsidR="003C0DE1">
        <w:t xml:space="preserve"> for</w:t>
      </w:r>
      <w:r w:rsidRPr="00727758">
        <w:t xml:space="preserve"> online survey software licenses</w:t>
      </w:r>
      <w:r w:rsidRPr="00727758" w:rsidR="00A8325D">
        <w:t xml:space="preserve"> for survey gizmo</w:t>
      </w:r>
      <w:r w:rsidRPr="00727758">
        <w:t xml:space="preserve">. </w:t>
      </w:r>
    </w:p>
    <w:p w:rsidRPr="00717E61" w:rsidR="004517C3" w:rsidRDefault="00C47718" w14:paraId="275D30B3" w14:textId="77777777">
      <w:pPr>
        <w:tabs>
          <w:tab w:val="left" w:pos="540"/>
        </w:tabs>
        <w:jc w:val="left"/>
      </w:pPr>
      <w:r w:rsidRPr="00717E61">
        <w:t>15. Explain the reasons for any program changes or adjustments reported in Items 13 (or 14) of OMB Form 83-I.</w:t>
      </w:r>
    </w:p>
    <w:p w:rsidR="004517C3" w:rsidRDefault="00C47718" w14:paraId="3D22081D" w14:textId="17BAC8F6">
      <w:pPr>
        <w:pBdr>
          <w:top w:val="nil"/>
          <w:left w:val="nil"/>
          <w:bottom w:val="nil"/>
          <w:right w:val="nil"/>
          <w:between w:val="nil"/>
        </w:pBdr>
        <w:jc w:val="left"/>
        <w:rPr>
          <w:b/>
          <w:u w:val="single"/>
        </w:rPr>
      </w:pPr>
      <w:r>
        <w:rPr>
          <w:color w:val="000000"/>
        </w:rPr>
        <w:t>Th</w:t>
      </w:r>
      <w:r w:rsidR="0095446C">
        <w:t xml:space="preserve">is is a new </w:t>
      </w:r>
      <w:r>
        <w:t xml:space="preserve">information collection and there are no changes or adjustments to report.  </w:t>
      </w:r>
      <w:r w:rsidR="00F96B9A">
        <w:t>The emergency approval for the CARES Act is rolled into this request.</w:t>
      </w:r>
    </w:p>
    <w:p w:rsidRPr="00717E61" w:rsidR="004517C3" w:rsidRDefault="00C47718" w14:paraId="5D9E0624" w14:textId="77777777">
      <w:pPr>
        <w:jc w:val="left"/>
      </w:pPr>
      <w:r w:rsidRPr="00717E61">
        <w:t>16. For collections whose results will be published, outline the plans for tabulation and publication.</w:t>
      </w:r>
    </w:p>
    <w:p w:rsidR="004517C3" w:rsidRDefault="00DF665D" w14:paraId="125E8978" w14:textId="06394703">
      <w:pPr>
        <w:pBdr>
          <w:top w:val="nil"/>
          <w:left w:val="nil"/>
          <w:bottom w:val="nil"/>
          <w:right w:val="nil"/>
          <w:between w:val="nil"/>
        </w:pBdr>
        <w:jc w:val="both"/>
        <w:rPr>
          <w:b/>
        </w:rPr>
      </w:pPr>
      <w:r>
        <w:t xml:space="preserve">Grantee </w:t>
      </w:r>
      <w:r w:rsidR="009C249A">
        <w:t xml:space="preserve">report </w:t>
      </w:r>
      <w:r>
        <w:t>submissions will be p</w:t>
      </w:r>
      <w:r w:rsidR="00C47718">
        <w:t>ublicly released on the EAC’s website</w:t>
      </w:r>
      <w:r w:rsidR="009C249A">
        <w:t xml:space="preserve"> as done in the past for other grants</w:t>
      </w:r>
      <w:r w:rsidR="00C47718">
        <w:t>.</w:t>
      </w:r>
      <w:r w:rsidR="004014FC">
        <w:t xml:space="preserve"> </w:t>
      </w:r>
      <w:r w:rsidR="00F96B9A">
        <w:t>The EAC will submit to Congress a report rolling up the impact of the CARES funding on the 2020 elections across the United States.</w:t>
      </w:r>
      <w:r w:rsidR="00CE3E88">
        <w:t xml:space="preserve">  The same will be done for the other grants on a mid-year and annual basis.</w:t>
      </w:r>
    </w:p>
    <w:p w:rsidRPr="00717E61" w:rsidR="004517C3" w:rsidRDefault="00C47718" w14:paraId="4FCC73C5" w14:textId="77777777">
      <w:pPr>
        <w:tabs>
          <w:tab w:val="left" w:pos="540"/>
        </w:tabs>
        <w:jc w:val="left"/>
      </w:pPr>
      <w:r w:rsidRPr="00717E61">
        <w:t>17. If seeking approval to not display the expiration date for OMB approval of the information collection, explain the reasons why display would be inappropriate.</w:t>
      </w:r>
    </w:p>
    <w:p w:rsidR="004517C3" w:rsidRDefault="00C47718" w14:paraId="718228BA" w14:textId="77777777">
      <w:pPr>
        <w:pBdr>
          <w:top w:val="nil"/>
          <w:left w:val="nil"/>
          <w:bottom w:val="nil"/>
          <w:right w:val="nil"/>
          <w:between w:val="nil"/>
        </w:pBdr>
        <w:ind w:left="720" w:hanging="720"/>
        <w:jc w:val="left"/>
        <w:rPr>
          <w:b/>
          <w:color w:val="000000"/>
        </w:rPr>
      </w:pPr>
      <w:r>
        <w:rPr>
          <w:color w:val="000000"/>
        </w:rPr>
        <w:t>Not applicable to this collection.</w:t>
      </w:r>
    </w:p>
    <w:p w:rsidRPr="00717E61" w:rsidR="004517C3" w:rsidRDefault="00C47718" w14:paraId="29615172" w14:textId="77777777">
      <w:pPr>
        <w:jc w:val="left"/>
      </w:pPr>
      <w:r w:rsidRPr="00717E61">
        <w:t>18. Explain each exception to the certification statement identified in Item 19 of OMB Form 83-I.</w:t>
      </w:r>
    </w:p>
    <w:p w:rsidR="004517C3" w:rsidRDefault="00C47718" w14:paraId="157E4F38" w14:textId="7641F776">
      <w:pPr>
        <w:pBdr>
          <w:top w:val="nil"/>
          <w:left w:val="nil"/>
          <w:bottom w:val="nil"/>
          <w:right w:val="nil"/>
          <w:between w:val="nil"/>
        </w:pBdr>
        <w:ind w:left="720" w:hanging="720"/>
        <w:jc w:val="left"/>
        <w:rPr>
          <w:b/>
          <w:color w:val="000000"/>
        </w:rPr>
      </w:pPr>
      <w:r>
        <w:rPr>
          <w:color w:val="000000"/>
        </w:rPr>
        <w:t>The EAC does not request an exception to the certification of this information collection.</w:t>
      </w:r>
    </w:p>
    <w:p w:rsidR="00307140" w:rsidP="004322D8" w:rsidRDefault="00307140" w14:paraId="4671E084" w14:textId="421C5B42">
      <w:pPr>
        <w:pBdr>
          <w:top w:val="nil"/>
          <w:left w:val="nil"/>
          <w:bottom w:val="nil"/>
          <w:right w:val="nil"/>
          <w:between w:val="nil"/>
        </w:pBdr>
        <w:jc w:val="left"/>
        <w:rPr>
          <w:b/>
          <w:color w:val="000000"/>
        </w:rPr>
      </w:pPr>
    </w:p>
    <w:sectPr w:rsidR="00307140" w:rsidSect="004322D8">
      <w:headerReference w:type="even" r:id="rId8"/>
      <w:headerReference w:type="default" r:id="rId9"/>
      <w:footerReference w:type="default" r:id="rId10"/>
      <w:headerReference w:type="first" r:id="rId11"/>
      <w:pgSz w:w="12240" w:h="15840"/>
      <w:pgMar w:top="0" w:right="1700" w:bottom="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7200" w14:textId="77777777" w:rsidR="00696450" w:rsidRDefault="00696450">
      <w:pPr>
        <w:spacing w:after="0"/>
      </w:pPr>
      <w:r>
        <w:separator/>
      </w:r>
    </w:p>
  </w:endnote>
  <w:endnote w:type="continuationSeparator" w:id="0">
    <w:p w14:paraId="21687FE0" w14:textId="77777777" w:rsidR="00696450" w:rsidRDefault="00696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891D" w14:textId="17DF01A0" w:rsidR="004517C3" w:rsidRDefault="00C47718">
    <w:r>
      <w:fldChar w:fldCharType="begin"/>
    </w:r>
    <w:r>
      <w:instrText>PAGE</w:instrText>
    </w:r>
    <w:r>
      <w:fldChar w:fldCharType="separate"/>
    </w:r>
    <w:r w:rsidR="003431E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15D30" w14:textId="77777777" w:rsidR="00696450" w:rsidRDefault="00696450">
      <w:pPr>
        <w:spacing w:after="0"/>
      </w:pPr>
      <w:r>
        <w:separator/>
      </w:r>
    </w:p>
  </w:footnote>
  <w:footnote w:type="continuationSeparator" w:id="0">
    <w:p w14:paraId="098B50F3" w14:textId="77777777" w:rsidR="00696450" w:rsidRDefault="006964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F5CD" w14:textId="77777777" w:rsidR="00B458F6" w:rsidRDefault="003431E6">
    <w:pPr>
      <w:pStyle w:val="Header"/>
    </w:pPr>
    <w:r>
      <w:rPr>
        <w:noProof/>
      </w:rPr>
      <w:pict w14:anchorId="3E44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51" type="#_x0000_t136" alt="" style="position:absolute;left:0;text-align:left;margin-left:0;margin-top:0;width:118pt;height:40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D442" w14:textId="77777777" w:rsidR="004517C3" w:rsidRDefault="003431E6" w:rsidP="001C3554">
    <w:pPr>
      <w:spacing w:after="0"/>
    </w:pPr>
    <w:r>
      <w:rPr>
        <w:noProof/>
      </w:rPr>
      <w:pict w14:anchorId="662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2050" type="#_x0000_t136" alt="" style="position:absolute;left:0;text-align:left;margin-left:0;margin-top:0;width:118pt;height:40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r w:rsidR="00C47718">
      <w:t>Supporting Statement A:</w:t>
    </w:r>
  </w:p>
  <w:p w14:paraId="23A1A87E" w14:textId="77777777" w:rsidR="004517C3" w:rsidRDefault="00C47718" w:rsidP="001C3554">
    <w:pPr>
      <w:spacing w:after="0"/>
      <w:rPr>
        <w:color w:val="FF0000"/>
      </w:rPr>
    </w:pPr>
    <w:r>
      <w:t xml:space="preserve">OMB Control Number: </w:t>
    </w:r>
    <w:r>
      <w:rPr>
        <w:color w:val="FF0000"/>
      </w:rPr>
      <w:t>####-####</w:t>
    </w:r>
  </w:p>
  <w:p w14:paraId="0BC9AC50" w14:textId="77777777" w:rsidR="004517C3" w:rsidRDefault="00C47718" w:rsidP="001C3554">
    <w:pPr>
      <w:spacing w:after="0"/>
    </w:pPr>
    <w:r>
      <w:t>U.S. Election Assistance Commission</w:t>
    </w:r>
  </w:p>
  <w:p w14:paraId="52E437ED" w14:textId="5F9790A4" w:rsidR="004517C3" w:rsidRDefault="008816F5" w:rsidP="001C3554">
    <w:pPr>
      <w:spacing w:after="0"/>
    </w:pPr>
    <w:bookmarkStart w:id="4" w:name="_heading=h.gjdgxs" w:colFirst="0" w:colLast="0"/>
    <w:bookmarkEnd w:id="4"/>
    <w:r>
      <w:t>Prog</w:t>
    </w:r>
    <w:r w:rsidR="009D4F10">
      <w:t>ress Report (EAC-</w:t>
    </w:r>
    <w:r>
      <w:t>PR)</w:t>
    </w:r>
  </w:p>
  <w:p w14:paraId="18426826" w14:textId="67471149" w:rsidR="004517C3" w:rsidRPr="00717E61" w:rsidRDefault="00C47718">
    <w:pPr>
      <w:rPr>
        <w:b/>
        <w:vertAlign w:val="superscript"/>
      </w:rPr>
    </w:pPr>
    <w:r w:rsidRPr="00717E61">
      <w:rPr>
        <w:vertAlign w:val="superscript"/>
      </w:rPr>
      <w:t xml:space="preserve">(Text in </w:t>
    </w:r>
    <w:r w:rsidRPr="00717E61">
      <w:rPr>
        <w:color w:val="FF0000"/>
        <w:vertAlign w:val="superscript"/>
      </w:rPr>
      <w:t>Red</w:t>
    </w:r>
    <w:r w:rsidRPr="00717E61">
      <w:rPr>
        <w:vertAlign w:val="superscript"/>
      </w:rPr>
      <w:t xml:space="preserve"> will need to be changed when data/input is finalized.)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28A" w14:textId="77777777" w:rsidR="00B458F6" w:rsidRDefault="003431E6">
    <w:pPr>
      <w:pStyle w:val="Header"/>
    </w:pPr>
    <w:r>
      <w:rPr>
        <w:noProof/>
      </w:rPr>
      <w:pict w14:anchorId="5439C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49" type="#_x0000_t136" alt="" style="position:absolute;left:0;text-align:left;margin-left:0;margin-top:0;width:118pt;height:40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7"/>
      <w:numFmt w:val="decimal"/>
      <w:lvlText w:val="%1."/>
      <w:lvlJc w:val="left"/>
      <w:pPr>
        <w:ind w:left="520" w:hanging="420"/>
      </w:pPr>
      <w:rPr>
        <w:rFonts w:ascii="Times New Roman" w:hAnsi="Times New Roman" w:cs="Times New Roman"/>
        <w:b w:val="0"/>
        <w:bCs w:val="0"/>
        <w:spacing w:val="-2"/>
        <w:w w:val="99"/>
        <w:sz w:val="24"/>
        <w:szCs w:val="24"/>
      </w:rPr>
    </w:lvl>
    <w:lvl w:ilvl="1">
      <w:numFmt w:val="bullet"/>
      <w:lvlText w:val="•"/>
      <w:lvlJc w:val="left"/>
      <w:pPr>
        <w:ind w:left="1352" w:hanging="420"/>
      </w:pPr>
    </w:lvl>
    <w:lvl w:ilvl="2">
      <w:numFmt w:val="bullet"/>
      <w:lvlText w:val="•"/>
      <w:lvlJc w:val="left"/>
      <w:pPr>
        <w:ind w:left="2184" w:hanging="420"/>
      </w:pPr>
    </w:lvl>
    <w:lvl w:ilvl="3">
      <w:numFmt w:val="bullet"/>
      <w:lvlText w:val="•"/>
      <w:lvlJc w:val="left"/>
      <w:pPr>
        <w:ind w:left="3016" w:hanging="420"/>
      </w:pPr>
    </w:lvl>
    <w:lvl w:ilvl="4">
      <w:numFmt w:val="bullet"/>
      <w:lvlText w:val="•"/>
      <w:lvlJc w:val="left"/>
      <w:pPr>
        <w:ind w:left="3848" w:hanging="420"/>
      </w:pPr>
    </w:lvl>
    <w:lvl w:ilvl="5">
      <w:numFmt w:val="bullet"/>
      <w:lvlText w:val="•"/>
      <w:lvlJc w:val="left"/>
      <w:pPr>
        <w:ind w:left="4680" w:hanging="420"/>
      </w:pPr>
    </w:lvl>
    <w:lvl w:ilvl="6">
      <w:numFmt w:val="bullet"/>
      <w:lvlText w:val="•"/>
      <w:lvlJc w:val="left"/>
      <w:pPr>
        <w:ind w:left="5512" w:hanging="420"/>
      </w:pPr>
    </w:lvl>
    <w:lvl w:ilvl="7">
      <w:numFmt w:val="bullet"/>
      <w:lvlText w:val="•"/>
      <w:lvlJc w:val="left"/>
      <w:pPr>
        <w:ind w:left="6344" w:hanging="420"/>
      </w:pPr>
    </w:lvl>
    <w:lvl w:ilvl="8">
      <w:numFmt w:val="bullet"/>
      <w:lvlText w:val="•"/>
      <w:lvlJc w:val="left"/>
      <w:pPr>
        <w:ind w:left="7176" w:hanging="420"/>
      </w:pPr>
    </w:lvl>
  </w:abstractNum>
  <w:abstractNum w:abstractNumId="1" w15:restartNumberingAfterBreak="0">
    <w:nsid w:val="00000403"/>
    <w:multiLevelType w:val="multilevel"/>
    <w:tmpl w:val="00000886"/>
    <w:lvl w:ilvl="0">
      <w:start w:val="20"/>
      <w:numFmt w:val="decimal"/>
      <w:lvlText w:val="%1."/>
      <w:lvlJc w:val="left"/>
      <w:pPr>
        <w:ind w:left="520" w:hanging="420"/>
      </w:pPr>
      <w:rPr>
        <w:rFonts w:ascii="Times New Roman" w:hAnsi="Times New Roman" w:cs="Times New Roman"/>
        <w:b w:val="0"/>
        <w:bCs w:val="0"/>
        <w:spacing w:val="-3"/>
        <w:w w:val="99"/>
        <w:sz w:val="24"/>
        <w:szCs w:val="24"/>
      </w:rPr>
    </w:lvl>
    <w:lvl w:ilvl="1">
      <w:numFmt w:val="bullet"/>
      <w:lvlText w:val="•"/>
      <w:lvlJc w:val="left"/>
      <w:pPr>
        <w:ind w:left="1352" w:hanging="420"/>
      </w:pPr>
    </w:lvl>
    <w:lvl w:ilvl="2">
      <w:numFmt w:val="bullet"/>
      <w:lvlText w:val="•"/>
      <w:lvlJc w:val="left"/>
      <w:pPr>
        <w:ind w:left="2184" w:hanging="420"/>
      </w:pPr>
    </w:lvl>
    <w:lvl w:ilvl="3">
      <w:numFmt w:val="bullet"/>
      <w:lvlText w:val="•"/>
      <w:lvlJc w:val="left"/>
      <w:pPr>
        <w:ind w:left="3016" w:hanging="420"/>
      </w:pPr>
    </w:lvl>
    <w:lvl w:ilvl="4">
      <w:numFmt w:val="bullet"/>
      <w:lvlText w:val="•"/>
      <w:lvlJc w:val="left"/>
      <w:pPr>
        <w:ind w:left="3848" w:hanging="420"/>
      </w:pPr>
    </w:lvl>
    <w:lvl w:ilvl="5">
      <w:numFmt w:val="bullet"/>
      <w:lvlText w:val="•"/>
      <w:lvlJc w:val="left"/>
      <w:pPr>
        <w:ind w:left="4680" w:hanging="420"/>
      </w:pPr>
    </w:lvl>
    <w:lvl w:ilvl="6">
      <w:numFmt w:val="bullet"/>
      <w:lvlText w:val="•"/>
      <w:lvlJc w:val="left"/>
      <w:pPr>
        <w:ind w:left="5512" w:hanging="420"/>
      </w:pPr>
    </w:lvl>
    <w:lvl w:ilvl="7">
      <w:numFmt w:val="bullet"/>
      <w:lvlText w:val="•"/>
      <w:lvlJc w:val="left"/>
      <w:pPr>
        <w:ind w:left="6344" w:hanging="420"/>
      </w:pPr>
    </w:lvl>
    <w:lvl w:ilvl="8">
      <w:numFmt w:val="bullet"/>
      <w:lvlText w:val="•"/>
      <w:lvlJc w:val="left"/>
      <w:pPr>
        <w:ind w:left="7176" w:hanging="420"/>
      </w:pPr>
    </w:lvl>
  </w:abstractNum>
  <w:abstractNum w:abstractNumId="2" w15:restartNumberingAfterBreak="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C64313"/>
    <w:multiLevelType w:val="multilevel"/>
    <w:tmpl w:val="00000885"/>
    <w:lvl w:ilvl="0">
      <w:start w:val="17"/>
      <w:numFmt w:val="decimal"/>
      <w:lvlText w:val="%1."/>
      <w:lvlJc w:val="left"/>
      <w:pPr>
        <w:ind w:left="520" w:hanging="420"/>
      </w:pPr>
      <w:rPr>
        <w:rFonts w:ascii="Times New Roman" w:hAnsi="Times New Roman" w:cs="Times New Roman"/>
        <w:b w:val="0"/>
        <w:bCs w:val="0"/>
        <w:spacing w:val="-2"/>
        <w:w w:val="99"/>
        <w:sz w:val="24"/>
        <w:szCs w:val="24"/>
      </w:rPr>
    </w:lvl>
    <w:lvl w:ilvl="1">
      <w:numFmt w:val="bullet"/>
      <w:lvlText w:val="•"/>
      <w:lvlJc w:val="left"/>
      <w:pPr>
        <w:ind w:left="1352" w:hanging="420"/>
      </w:pPr>
    </w:lvl>
    <w:lvl w:ilvl="2">
      <w:numFmt w:val="bullet"/>
      <w:lvlText w:val="•"/>
      <w:lvlJc w:val="left"/>
      <w:pPr>
        <w:ind w:left="2184" w:hanging="420"/>
      </w:pPr>
    </w:lvl>
    <w:lvl w:ilvl="3">
      <w:numFmt w:val="bullet"/>
      <w:lvlText w:val="•"/>
      <w:lvlJc w:val="left"/>
      <w:pPr>
        <w:ind w:left="3016" w:hanging="420"/>
      </w:pPr>
    </w:lvl>
    <w:lvl w:ilvl="4">
      <w:numFmt w:val="bullet"/>
      <w:lvlText w:val="•"/>
      <w:lvlJc w:val="left"/>
      <w:pPr>
        <w:ind w:left="3848" w:hanging="420"/>
      </w:pPr>
    </w:lvl>
    <w:lvl w:ilvl="5">
      <w:numFmt w:val="bullet"/>
      <w:lvlText w:val="•"/>
      <w:lvlJc w:val="left"/>
      <w:pPr>
        <w:ind w:left="4680" w:hanging="420"/>
      </w:pPr>
    </w:lvl>
    <w:lvl w:ilvl="6">
      <w:numFmt w:val="bullet"/>
      <w:lvlText w:val="•"/>
      <w:lvlJc w:val="left"/>
      <w:pPr>
        <w:ind w:left="5512" w:hanging="420"/>
      </w:pPr>
    </w:lvl>
    <w:lvl w:ilvl="7">
      <w:numFmt w:val="bullet"/>
      <w:lvlText w:val="•"/>
      <w:lvlJc w:val="left"/>
      <w:pPr>
        <w:ind w:left="6344" w:hanging="420"/>
      </w:pPr>
    </w:lvl>
    <w:lvl w:ilvl="8">
      <w:numFmt w:val="bullet"/>
      <w:lvlText w:val="•"/>
      <w:lvlJc w:val="left"/>
      <w:pPr>
        <w:ind w:left="7176" w:hanging="420"/>
      </w:pPr>
    </w:lvl>
  </w:abstractNum>
  <w:abstractNum w:abstractNumId="4" w15:restartNumberingAfterBreak="0">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C3"/>
    <w:rsid w:val="0001580F"/>
    <w:rsid w:val="000978E0"/>
    <w:rsid w:val="000E07D7"/>
    <w:rsid w:val="00107C61"/>
    <w:rsid w:val="001538AE"/>
    <w:rsid w:val="001C3554"/>
    <w:rsid w:val="001F27EF"/>
    <w:rsid w:val="00235A12"/>
    <w:rsid w:val="002A2D0D"/>
    <w:rsid w:val="003010E2"/>
    <w:rsid w:val="003041ED"/>
    <w:rsid w:val="00307140"/>
    <w:rsid w:val="00312FE9"/>
    <w:rsid w:val="00331E30"/>
    <w:rsid w:val="00333568"/>
    <w:rsid w:val="003363E6"/>
    <w:rsid w:val="003431E6"/>
    <w:rsid w:val="00347E08"/>
    <w:rsid w:val="00353ED7"/>
    <w:rsid w:val="003867A1"/>
    <w:rsid w:val="003C0DE1"/>
    <w:rsid w:val="003C48A0"/>
    <w:rsid w:val="003F15F2"/>
    <w:rsid w:val="003F18DF"/>
    <w:rsid w:val="004014FC"/>
    <w:rsid w:val="004322D8"/>
    <w:rsid w:val="004517C3"/>
    <w:rsid w:val="004563DC"/>
    <w:rsid w:val="00474BA9"/>
    <w:rsid w:val="004E1C41"/>
    <w:rsid w:val="00622707"/>
    <w:rsid w:val="00624659"/>
    <w:rsid w:val="00674F75"/>
    <w:rsid w:val="0068144D"/>
    <w:rsid w:val="00681776"/>
    <w:rsid w:val="0068529C"/>
    <w:rsid w:val="00696450"/>
    <w:rsid w:val="006B3AE4"/>
    <w:rsid w:val="006C2C44"/>
    <w:rsid w:val="006D1DE5"/>
    <w:rsid w:val="00717E61"/>
    <w:rsid w:val="00727758"/>
    <w:rsid w:val="00787137"/>
    <w:rsid w:val="00796818"/>
    <w:rsid w:val="007B69DE"/>
    <w:rsid w:val="007E3A17"/>
    <w:rsid w:val="0081555C"/>
    <w:rsid w:val="0083797A"/>
    <w:rsid w:val="00841C53"/>
    <w:rsid w:val="00852ABC"/>
    <w:rsid w:val="00870FBA"/>
    <w:rsid w:val="008816F5"/>
    <w:rsid w:val="008E7D71"/>
    <w:rsid w:val="00915270"/>
    <w:rsid w:val="009372D3"/>
    <w:rsid w:val="00946778"/>
    <w:rsid w:val="0095446C"/>
    <w:rsid w:val="00995911"/>
    <w:rsid w:val="009C249A"/>
    <w:rsid w:val="009D4F10"/>
    <w:rsid w:val="009F681C"/>
    <w:rsid w:val="00A45A77"/>
    <w:rsid w:val="00A652BA"/>
    <w:rsid w:val="00A8132B"/>
    <w:rsid w:val="00A83190"/>
    <w:rsid w:val="00A8325D"/>
    <w:rsid w:val="00B010DC"/>
    <w:rsid w:val="00B458F6"/>
    <w:rsid w:val="00B650AC"/>
    <w:rsid w:val="00BB19F6"/>
    <w:rsid w:val="00BD699E"/>
    <w:rsid w:val="00C328E7"/>
    <w:rsid w:val="00C37317"/>
    <w:rsid w:val="00C47718"/>
    <w:rsid w:val="00CB3B45"/>
    <w:rsid w:val="00CE3E88"/>
    <w:rsid w:val="00D10B0B"/>
    <w:rsid w:val="00D912BB"/>
    <w:rsid w:val="00DE546D"/>
    <w:rsid w:val="00DF665D"/>
    <w:rsid w:val="00E122C7"/>
    <w:rsid w:val="00E52871"/>
    <w:rsid w:val="00F12517"/>
    <w:rsid w:val="00F344D5"/>
    <w:rsid w:val="00F96B9A"/>
    <w:rsid w:val="00FC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val="0"/>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eastAsiaTheme="minorEastAsia" w:hAnsi="Times"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
    <w:name w:val="Unresolved Mention"/>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 w:type="paragraph" w:styleId="BodyText">
    <w:name w:val="Body Text"/>
    <w:basedOn w:val="Normal"/>
    <w:link w:val="BodyTextChar"/>
    <w:uiPriority w:val="99"/>
    <w:semiHidden/>
    <w:unhideWhenUsed/>
    <w:rsid w:val="00307140"/>
    <w:pPr>
      <w:spacing w:after="120"/>
    </w:pPr>
  </w:style>
  <w:style w:type="character" w:customStyle="1" w:styleId="BodyTextChar">
    <w:name w:val="Body Text Char"/>
    <w:basedOn w:val="DefaultParagraphFont"/>
    <w:link w:val="BodyText"/>
    <w:uiPriority w:val="99"/>
    <w:semiHidden/>
    <w:rsid w:val="00307140"/>
  </w:style>
  <w:style w:type="paragraph" w:styleId="ListParagraph">
    <w:name w:val="List Paragraph"/>
    <w:basedOn w:val="Normal"/>
    <w:uiPriority w:val="1"/>
    <w:qFormat/>
    <w:rsid w:val="00307140"/>
    <w:pPr>
      <w:widowControl/>
      <w:tabs>
        <w:tab w:val="clear" w:pos="360"/>
      </w:tabs>
      <w:autoSpaceDE w:val="0"/>
      <w:autoSpaceDN w:val="0"/>
      <w:adjustRightInd w:val="0"/>
      <w:spacing w:before="50" w:after="0"/>
      <w:ind w:left="520" w:hanging="4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54087">
      <w:bodyDiv w:val="1"/>
      <w:marLeft w:val="0"/>
      <w:marRight w:val="0"/>
      <w:marTop w:val="0"/>
      <w:marBottom w:val="0"/>
      <w:divBdr>
        <w:top w:val="none" w:sz="0" w:space="0" w:color="auto"/>
        <w:left w:val="none" w:sz="0" w:space="0" w:color="auto"/>
        <w:bottom w:val="none" w:sz="0" w:space="0" w:color="auto"/>
        <w:right w:val="none" w:sz="0" w:space="0" w:color="auto"/>
      </w:divBdr>
    </w:div>
    <w:div w:id="1270088056">
      <w:bodyDiv w:val="1"/>
      <w:marLeft w:val="0"/>
      <w:marRight w:val="0"/>
      <w:marTop w:val="0"/>
      <w:marBottom w:val="0"/>
      <w:divBdr>
        <w:top w:val="none" w:sz="0" w:space="0" w:color="auto"/>
        <w:left w:val="none" w:sz="0" w:space="0" w:color="auto"/>
        <w:bottom w:val="none" w:sz="0" w:space="0" w:color="auto"/>
        <w:right w:val="none" w:sz="0" w:space="0" w:color="auto"/>
      </w:divBdr>
    </w:div>
    <w:div w:id="1389257804">
      <w:bodyDiv w:val="1"/>
      <w:marLeft w:val="0"/>
      <w:marRight w:val="0"/>
      <w:marTop w:val="0"/>
      <w:marBottom w:val="0"/>
      <w:divBdr>
        <w:top w:val="none" w:sz="0" w:space="0" w:color="auto"/>
        <w:left w:val="none" w:sz="0" w:space="0" w:color="auto"/>
        <w:bottom w:val="none" w:sz="0" w:space="0" w:color="auto"/>
        <w:right w:val="none" w:sz="0" w:space="0" w:color="auto"/>
      </w:divBdr>
    </w:div>
    <w:div w:id="147980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Kinza Ghaznavi</cp:lastModifiedBy>
  <cp:revision>8</cp:revision>
  <dcterms:created xsi:type="dcterms:W3CDTF">2020-08-26T16:21:00Z</dcterms:created>
  <dcterms:modified xsi:type="dcterms:W3CDTF">2020-08-26T20:38:00Z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