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6D73" w:rsidR="00B75D21" w:rsidP="00B75D21" w:rsidRDefault="00B75D21" w14:paraId="11E9C1E0" w14:textId="77777777">
      <w:pPr>
        <w:suppressAutoHyphens/>
        <w:jc w:val="center"/>
        <w:rPr>
          <w:rFonts w:ascii="Arial" w:hAnsi="Arial" w:cs="Arial"/>
          <w:b/>
          <w:sz w:val="22"/>
          <w:szCs w:val="22"/>
        </w:rPr>
      </w:pPr>
      <w:bookmarkStart w:name="_GoBack" w:id="0"/>
      <w:bookmarkEnd w:id="0"/>
      <w:r>
        <w:rPr>
          <w:rFonts w:ascii="Arial" w:hAnsi="Arial" w:cs="Arial"/>
          <w:b/>
          <w:sz w:val="22"/>
          <w:szCs w:val="22"/>
        </w:rPr>
        <w:t>DE</w:t>
      </w:r>
      <w:r w:rsidRPr="00526D73">
        <w:rPr>
          <w:rFonts w:ascii="Arial" w:hAnsi="Arial" w:cs="Arial"/>
          <w:b/>
          <w:sz w:val="22"/>
          <w:szCs w:val="22"/>
        </w:rPr>
        <w:t xml:space="preserve">PARTMENT OF THE TREASURY </w:t>
      </w:r>
    </w:p>
    <w:p w:rsidRPr="00526D73" w:rsidR="00B75D21" w:rsidP="00B75D21" w:rsidRDefault="00B75D21" w14:paraId="4FBF5731" w14:textId="77777777">
      <w:pPr>
        <w:suppressAutoHyphens/>
        <w:jc w:val="center"/>
        <w:rPr>
          <w:rFonts w:ascii="Arial" w:hAnsi="Arial" w:cs="Arial"/>
          <w:b/>
          <w:sz w:val="28"/>
          <w:szCs w:val="28"/>
        </w:rPr>
      </w:pPr>
    </w:p>
    <w:p w:rsidRPr="00526D73" w:rsidR="00B75D21" w:rsidP="00B75D21" w:rsidRDefault="00B75D21" w14:paraId="7A80D443" w14:textId="77777777">
      <w:pPr>
        <w:suppressAutoHyphens/>
        <w:jc w:val="center"/>
        <w:rPr>
          <w:rFonts w:ascii="Arial" w:hAnsi="Arial" w:cs="Arial"/>
          <w:b/>
          <w:sz w:val="22"/>
          <w:szCs w:val="22"/>
        </w:rPr>
      </w:pPr>
      <w:r w:rsidRPr="00526D73">
        <w:rPr>
          <w:rFonts w:ascii="Arial" w:hAnsi="Arial" w:cs="Arial"/>
          <w:b/>
          <w:sz w:val="22"/>
          <w:szCs w:val="22"/>
        </w:rPr>
        <w:t xml:space="preserve">ALCOHOL AND TOBACCO TAX AND TRADE BUREAU </w:t>
      </w:r>
    </w:p>
    <w:p w:rsidRPr="00526D73" w:rsidR="00B75D21" w:rsidP="00B75D21" w:rsidRDefault="00B75D21" w14:paraId="3B5BFC1C" w14:textId="77777777">
      <w:pPr>
        <w:suppressAutoHyphens/>
        <w:jc w:val="center"/>
        <w:rPr>
          <w:rFonts w:ascii="Arial" w:hAnsi="Arial" w:cs="Arial"/>
          <w:b/>
          <w:sz w:val="28"/>
          <w:szCs w:val="28"/>
        </w:rPr>
      </w:pPr>
    </w:p>
    <w:p w:rsidRPr="00526D73" w:rsidR="00B75D21" w:rsidP="00B75D21" w:rsidRDefault="00B75D21" w14:paraId="52E39C0E" w14:textId="77777777">
      <w:pPr>
        <w:suppressAutoHyphens/>
        <w:jc w:val="center"/>
        <w:rPr>
          <w:rFonts w:ascii="Arial" w:hAnsi="Arial" w:cs="Arial"/>
          <w:b/>
          <w:sz w:val="22"/>
          <w:szCs w:val="22"/>
        </w:rPr>
      </w:pPr>
      <w:r w:rsidRPr="00526D73">
        <w:rPr>
          <w:rFonts w:ascii="Arial" w:hAnsi="Arial" w:cs="Arial"/>
          <w:b/>
          <w:sz w:val="22"/>
          <w:szCs w:val="22"/>
        </w:rPr>
        <w:t xml:space="preserve">Supporting Statement –– Information Collection Request </w:t>
      </w:r>
    </w:p>
    <w:p w:rsidRPr="00526D73" w:rsidR="00B75D21" w:rsidP="00B75D21" w:rsidRDefault="00B75D21" w14:paraId="00E6B5C8" w14:textId="77777777">
      <w:pPr>
        <w:suppressAutoHyphens/>
        <w:jc w:val="center"/>
        <w:rPr>
          <w:rFonts w:ascii="Arial" w:hAnsi="Arial" w:cs="Arial"/>
          <w:b/>
          <w:sz w:val="28"/>
          <w:szCs w:val="28"/>
        </w:rPr>
      </w:pPr>
    </w:p>
    <w:p w:rsidRPr="00526D73" w:rsidR="00B75D21" w:rsidP="00B75D21" w:rsidRDefault="00B75D21" w14:paraId="2DD87454" w14:textId="0F026CB7">
      <w:pPr>
        <w:suppressAutoHyphens/>
        <w:jc w:val="center"/>
        <w:rPr>
          <w:rFonts w:ascii="Arial" w:hAnsi="Arial" w:cs="Arial"/>
          <w:b/>
          <w:sz w:val="22"/>
          <w:szCs w:val="22"/>
          <w:u w:val="single"/>
        </w:rPr>
      </w:pPr>
      <w:r w:rsidRPr="00526D73">
        <w:rPr>
          <w:rFonts w:ascii="Arial" w:hAnsi="Arial" w:cs="Arial"/>
          <w:b/>
          <w:sz w:val="22"/>
          <w:szCs w:val="22"/>
          <w:u w:val="single"/>
        </w:rPr>
        <w:t>OMB Control Number 1513–00</w:t>
      </w:r>
      <w:r>
        <w:rPr>
          <w:rFonts w:ascii="Arial" w:hAnsi="Arial" w:cs="Arial"/>
          <w:b/>
          <w:sz w:val="22"/>
          <w:szCs w:val="22"/>
          <w:u w:val="single"/>
        </w:rPr>
        <w:t>03</w:t>
      </w:r>
      <w:r w:rsidRPr="00526D73">
        <w:rPr>
          <w:rFonts w:ascii="Arial" w:hAnsi="Arial" w:cs="Arial"/>
          <w:b/>
          <w:sz w:val="22"/>
          <w:szCs w:val="22"/>
          <w:u w:val="single"/>
        </w:rPr>
        <w:t xml:space="preserve"> </w:t>
      </w:r>
    </w:p>
    <w:p w:rsidRPr="00B75D21" w:rsidR="00B75D21" w:rsidP="00B75D21" w:rsidRDefault="00B75D21" w14:paraId="63F3769B" w14:textId="77777777">
      <w:pPr>
        <w:suppressAutoHyphens/>
        <w:jc w:val="center"/>
        <w:rPr>
          <w:rFonts w:ascii="Arial" w:hAnsi="Arial" w:cs="Arial"/>
          <w:sz w:val="36"/>
          <w:szCs w:val="36"/>
        </w:rPr>
      </w:pPr>
    </w:p>
    <w:p w:rsidRPr="00B75D21" w:rsidR="009A6532" w:rsidP="00B75D21" w:rsidRDefault="00011328" w14:paraId="627CED0D" w14:textId="0B9F114B">
      <w:pPr>
        <w:jc w:val="center"/>
        <w:rPr>
          <w:rFonts w:ascii="Arial" w:hAnsi="Arial" w:cs="Arial"/>
          <w:b/>
          <w:sz w:val="22"/>
          <w:szCs w:val="22"/>
        </w:rPr>
      </w:pPr>
      <w:r w:rsidRPr="00B75D21">
        <w:rPr>
          <w:rFonts w:ascii="Arial" w:hAnsi="Arial" w:cs="Arial"/>
          <w:b/>
          <w:sz w:val="22"/>
          <w:szCs w:val="22"/>
        </w:rPr>
        <w:t>Referral of Information</w:t>
      </w:r>
      <w:r w:rsidRPr="00B75D21" w:rsidR="00B75D21">
        <w:rPr>
          <w:rFonts w:ascii="Arial" w:hAnsi="Arial" w:cs="Arial"/>
          <w:b/>
          <w:sz w:val="22"/>
          <w:szCs w:val="22"/>
        </w:rPr>
        <w:t xml:space="preserve"> </w:t>
      </w:r>
    </w:p>
    <w:p w:rsidRPr="00B75D21" w:rsidR="00AF1157" w:rsidP="00D73D2D" w:rsidRDefault="00AF1157" w14:paraId="28B2D320" w14:textId="77777777">
      <w:pPr>
        <w:suppressAutoHyphens/>
        <w:rPr>
          <w:rFonts w:ascii="Arial" w:hAnsi="Arial" w:cs="Arial"/>
          <w:sz w:val="36"/>
          <w:szCs w:val="36"/>
        </w:rPr>
      </w:pPr>
    </w:p>
    <w:p w:rsidRPr="007A5D4B" w:rsidR="00AF1157" w:rsidP="00D73D2D" w:rsidRDefault="00AF1157" w14:paraId="6F5A4BF0"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762023CE" w14:textId="77777777">
      <w:pPr>
        <w:suppressAutoHyphens/>
        <w:rPr>
          <w:rFonts w:ascii="Arial" w:hAnsi="Arial" w:cs="Arial"/>
          <w:sz w:val="22"/>
          <w:szCs w:val="22"/>
        </w:rPr>
      </w:pPr>
    </w:p>
    <w:p w:rsidRPr="007A5D4B" w:rsidR="00AF1157" w:rsidP="00D73D2D" w:rsidRDefault="00D73D2D" w14:paraId="4A0A8C26"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8B146B" w:rsidRDefault="00AF1157" w14:paraId="11AF6074" w14:textId="77777777">
      <w:pPr>
        <w:ind w:left="360"/>
        <w:rPr>
          <w:rFonts w:ascii="Arial" w:hAnsi="Arial" w:cs="Arial"/>
          <w:sz w:val="22"/>
          <w:szCs w:val="22"/>
        </w:rPr>
      </w:pPr>
    </w:p>
    <w:p w:rsidR="00CE6A9B" w:rsidP="00514FE2" w:rsidRDefault="00456FE3" w14:paraId="7D64C47A" w14:textId="6AF75F7A">
      <w:pPr>
        <w:ind w:left="360"/>
        <w:rPr>
          <w:rFonts w:ascii="Arial" w:hAnsi="Arial" w:cs="Arial"/>
          <w:sz w:val="22"/>
          <w:szCs w:val="22"/>
        </w:rPr>
      </w:pPr>
      <w:r w:rsidRPr="00456FE3">
        <w:rPr>
          <w:rFonts w:ascii="Arial" w:hAnsi="Arial" w:cs="Arial"/>
          <w:sz w:val="22"/>
          <w:szCs w:val="22"/>
        </w:rPr>
        <w:t xml:space="preserve">The Alcohol and Tobacco Tax and Trade Bureau (TTB) administers chapter 51 (distilled spirits, wine and beer), chapter 52 (tobacco products and cigarette papers and tubes), and sections 4181–4182 (firearms and ammunition excise taxes) of the Internal Revenue Code of 1986, as amended, (IRC, 26 U.S.C.) pursuant to section 1111(d) of the Homeland Security Act of 2002, as codified at 6 U.S.C. 531(d).  </w:t>
      </w:r>
      <w:r>
        <w:rPr>
          <w:rFonts w:ascii="Arial" w:hAnsi="Arial" w:cs="Arial"/>
          <w:sz w:val="22"/>
          <w:szCs w:val="22"/>
        </w:rPr>
        <w:t xml:space="preserve">TTB also administers </w:t>
      </w:r>
      <w:r w:rsidR="00514FE2">
        <w:rPr>
          <w:rFonts w:ascii="Arial" w:hAnsi="Arial" w:cs="Arial"/>
          <w:sz w:val="22"/>
          <w:szCs w:val="22"/>
        </w:rPr>
        <w:t>the</w:t>
      </w:r>
      <w:r w:rsidRPr="00987432" w:rsidR="00514FE2">
        <w:rPr>
          <w:rFonts w:ascii="Arial" w:hAnsi="Arial" w:cs="Arial"/>
          <w:sz w:val="22"/>
          <w:szCs w:val="22"/>
        </w:rPr>
        <w:t xml:space="preserve"> Federal Alcohol Administration Act (FAA Act, 27 U.S.C. </w:t>
      </w:r>
      <w:r w:rsidR="00514FE2">
        <w:rPr>
          <w:rFonts w:ascii="Arial" w:hAnsi="Arial" w:cs="Arial"/>
          <w:sz w:val="22"/>
          <w:szCs w:val="22"/>
        </w:rPr>
        <w:t>chapter 8</w:t>
      </w:r>
      <w:r w:rsidRPr="00987432" w:rsidR="00514FE2">
        <w:rPr>
          <w:rFonts w:ascii="Arial" w:hAnsi="Arial" w:cs="Arial"/>
          <w:sz w:val="22"/>
          <w:szCs w:val="22"/>
        </w:rPr>
        <w:t>)</w:t>
      </w:r>
      <w:r w:rsidR="00514FE2">
        <w:rPr>
          <w:rFonts w:ascii="Arial" w:hAnsi="Arial" w:cs="Arial"/>
          <w:sz w:val="22"/>
          <w:szCs w:val="22"/>
        </w:rPr>
        <w:t>, which governs alcohol industry permits</w:t>
      </w:r>
      <w:r w:rsidR="00CE6A9B">
        <w:rPr>
          <w:rFonts w:ascii="Arial" w:hAnsi="Arial" w:cs="Arial"/>
          <w:sz w:val="22"/>
          <w:szCs w:val="22"/>
        </w:rPr>
        <w:t>, marketing,</w:t>
      </w:r>
      <w:r w:rsidR="00514FE2">
        <w:rPr>
          <w:rFonts w:ascii="Arial" w:hAnsi="Arial" w:cs="Arial"/>
          <w:sz w:val="22"/>
          <w:szCs w:val="22"/>
        </w:rPr>
        <w:t xml:space="preserve"> and trade practices. </w:t>
      </w:r>
      <w:r>
        <w:rPr>
          <w:rFonts w:ascii="Arial" w:hAnsi="Arial" w:cs="Arial"/>
          <w:sz w:val="22"/>
          <w:szCs w:val="22"/>
        </w:rPr>
        <w:t xml:space="preserve"> T</w:t>
      </w:r>
      <w:r w:rsidRPr="00987432" w:rsidR="00514FE2">
        <w:rPr>
          <w:rFonts w:ascii="Arial" w:hAnsi="Arial" w:cs="Arial"/>
          <w:sz w:val="22"/>
          <w:szCs w:val="22"/>
        </w:rPr>
        <w:t xml:space="preserve">he Secretary of the Treasury has delegated certain </w:t>
      </w:r>
      <w:r w:rsidR="00CE6A9B">
        <w:rPr>
          <w:rFonts w:ascii="Arial" w:hAnsi="Arial" w:cs="Arial"/>
          <w:sz w:val="22"/>
          <w:szCs w:val="22"/>
        </w:rPr>
        <w:t xml:space="preserve">IRC and </w:t>
      </w:r>
      <w:r w:rsidR="00514FE2">
        <w:rPr>
          <w:rFonts w:ascii="Arial" w:hAnsi="Arial" w:cs="Arial"/>
          <w:sz w:val="22"/>
          <w:szCs w:val="22"/>
        </w:rPr>
        <w:t xml:space="preserve">FAA Act </w:t>
      </w:r>
      <w:r w:rsidR="00CE6A9B">
        <w:rPr>
          <w:rFonts w:ascii="Arial" w:hAnsi="Arial" w:cs="Arial"/>
          <w:sz w:val="22"/>
          <w:szCs w:val="22"/>
        </w:rPr>
        <w:t>a</w:t>
      </w:r>
      <w:r w:rsidRPr="00987432" w:rsidR="00514FE2">
        <w:rPr>
          <w:rFonts w:ascii="Arial" w:hAnsi="Arial" w:cs="Arial"/>
          <w:sz w:val="22"/>
          <w:szCs w:val="22"/>
        </w:rPr>
        <w:t>dmin</w:t>
      </w:r>
      <w:r w:rsidR="00CE6A9B">
        <w:rPr>
          <w:rFonts w:ascii="Arial" w:hAnsi="Arial" w:cs="Arial"/>
          <w:sz w:val="22"/>
          <w:szCs w:val="22"/>
        </w:rPr>
        <w:t>i</w:t>
      </w:r>
      <w:r w:rsidRPr="00987432" w:rsidR="00514FE2">
        <w:rPr>
          <w:rFonts w:ascii="Arial" w:hAnsi="Arial" w:cs="Arial"/>
          <w:sz w:val="22"/>
          <w:szCs w:val="22"/>
        </w:rPr>
        <w:t>strative and enforcement authorities to TTB</w:t>
      </w:r>
      <w:r w:rsidRPr="00456FE3">
        <w:rPr>
          <w:rFonts w:ascii="Arial" w:hAnsi="Arial" w:cs="Arial"/>
          <w:sz w:val="22"/>
          <w:szCs w:val="22"/>
        </w:rPr>
        <w:t xml:space="preserve"> </w:t>
      </w:r>
      <w:r w:rsidRPr="00987432">
        <w:rPr>
          <w:rFonts w:ascii="Arial" w:hAnsi="Arial" w:cs="Arial"/>
          <w:sz w:val="22"/>
          <w:szCs w:val="22"/>
        </w:rPr>
        <w:t>through Treasury Department Order 120–01</w:t>
      </w:r>
      <w:r w:rsidRPr="00987432" w:rsidR="00514FE2">
        <w:rPr>
          <w:rFonts w:ascii="Arial" w:hAnsi="Arial" w:cs="Arial"/>
          <w:sz w:val="22"/>
          <w:szCs w:val="22"/>
        </w:rPr>
        <w:t xml:space="preserve">. </w:t>
      </w:r>
      <w:r w:rsidR="00CE6A9B">
        <w:rPr>
          <w:rFonts w:ascii="Arial" w:hAnsi="Arial" w:cs="Arial"/>
          <w:sz w:val="22"/>
          <w:szCs w:val="22"/>
        </w:rPr>
        <w:t xml:space="preserve"> The TTB regulations issued under these authorities are contained in 27 CFR chapter I. </w:t>
      </w:r>
    </w:p>
    <w:p w:rsidR="00CE6A9B" w:rsidP="00514FE2" w:rsidRDefault="00CE6A9B" w14:paraId="7F675B63" w14:textId="77777777">
      <w:pPr>
        <w:ind w:left="360"/>
        <w:rPr>
          <w:rFonts w:ascii="Arial" w:hAnsi="Arial" w:cs="Arial"/>
          <w:sz w:val="22"/>
          <w:szCs w:val="22"/>
        </w:rPr>
      </w:pPr>
    </w:p>
    <w:p w:rsidR="00F0465F" w:rsidP="00DD7E7F" w:rsidRDefault="00E63410" w14:paraId="61FF5262" w14:textId="6D8A7111">
      <w:pPr>
        <w:ind w:left="360"/>
        <w:rPr>
          <w:rFonts w:ascii="Arial" w:hAnsi="Arial" w:cs="Arial"/>
          <w:sz w:val="22"/>
          <w:szCs w:val="22"/>
        </w:rPr>
      </w:pPr>
      <w:r w:rsidRPr="00E63410">
        <w:rPr>
          <w:rFonts w:ascii="Arial" w:hAnsi="Arial" w:cs="Arial"/>
          <w:sz w:val="22"/>
          <w:szCs w:val="22"/>
        </w:rPr>
        <w:t>In performing the</w:t>
      </w:r>
      <w:r w:rsidR="00720161">
        <w:rPr>
          <w:rFonts w:ascii="Arial" w:hAnsi="Arial" w:cs="Arial"/>
          <w:sz w:val="22"/>
          <w:szCs w:val="22"/>
        </w:rPr>
        <w:t xml:space="preserve"> Bureau’s</w:t>
      </w:r>
      <w:r w:rsidRPr="00E63410">
        <w:rPr>
          <w:rFonts w:ascii="Arial" w:hAnsi="Arial" w:cs="Arial"/>
          <w:sz w:val="22"/>
          <w:szCs w:val="22"/>
        </w:rPr>
        <w:t xml:space="preserve"> mission, TTB</w:t>
      </w:r>
      <w:r w:rsidR="00EB02F7">
        <w:rPr>
          <w:rFonts w:ascii="Arial" w:hAnsi="Arial" w:cs="Arial"/>
          <w:sz w:val="22"/>
          <w:szCs w:val="22"/>
        </w:rPr>
        <w:t xml:space="preserve"> personnel </w:t>
      </w:r>
      <w:r w:rsidR="00CE6A9B">
        <w:rPr>
          <w:rFonts w:ascii="Arial" w:hAnsi="Arial" w:cs="Arial"/>
          <w:sz w:val="22"/>
          <w:szCs w:val="22"/>
        </w:rPr>
        <w:t xml:space="preserve">occasionally </w:t>
      </w:r>
      <w:r w:rsidRPr="00E63410">
        <w:rPr>
          <w:rFonts w:ascii="Arial" w:hAnsi="Arial" w:cs="Arial"/>
          <w:sz w:val="22"/>
          <w:szCs w:val="22"/>
        </w:rPr>
        <w:t xml:space="preserve">discover </w:t>
      </w:r>
      <w:r w:rsidR="00EB1FAB">
        <w:rPr>
          <w:rFonts w:ascii="Arial" w:hAnsi="Arial" w:cs="Arial"/>
          <w:sz w:val="22"/>
          <w:szCs w:val="22"/>
        </w:rPr>
        <w:t xml:space="preserve">potential </w:t>
      </w:r>
      <w:r w:rsidRPr="00E63410">
        <w:rPr>
          <w:rFonts w:ascii="Arial" w:hAnsi="Arial" w:cs="Arial"/>
          <w:sz w:val="22"/>
          <w:szCs w:val="22"/>
        </w:rPr>
        <w:t xml:space="preserve">violations of statutes and regulations </w:t>
      </w:r>
      <w:r w:rsidR="00EB02F7">
        <w:rPr>
          <w:rFonts w:ascii="Arial" w:hAnsi="Arial" w:cs="Arial"/>
          <w:sz w:val="22"/>
          <w:szCs w:val="22"/>
        </w:rPr>
        <w:t xml:space="preserve">administered by </w:t>
      </w:r>
      <w:r w:rsidR="00494E99">
        <w:rPr>
          <w:rFonts w:ascii="Arial" w:hAnsi="Arial" w:cs="Arial"/>
          <w:sz w:val="22"/>
          <w:szCs w:val="22"/>
        </w:rPr>
        <w:t>State</w:t>
      </w:r>
      <w:r w:rsidR="004F6581">
        <w:rPr>
          <w:rFonts w:ascii="Arial" w:hAnsi="Arial" w:cs="Arial"/>
          <w:sz w:val="22"/>
          <w:szCs w:val="22"/>
        </w:rPr>
        <w:t xml:space="preserve"> and</w:t>
      </w:r>
      <w:r w:rsidR="00494E99">
        <w:rPr>
          <w:rFonts w:ascii="Arial" w:hAnsi="Arial" w:cs="Arial"/>
          <w:sz w:val="22"/>
          <w:szCs w:val="22"/>
        </w:rPr>
        <w:t xml:space="preserve"> local government</w:t>
      </w:r>
      <w:r w:rsidR="00CE6A9B">
        <w:rPr>
          <w:rFonts w:ascii="Arial" w:hAnsi="Arial" w:cs="Arial"/>
          <w:sz w:val="22"/>
          <w:szCs w:val="22"/>
        </w:rPr>
        <w:t xml:space="preserve"> agencies</w:t>
      </w:r>
      <w:r w:rsidR="004313B9">
        <w:rPr>
          <w:rFonts w:ascii="Arial" w:hAnsi="Arial" w:cs="Arial"/>
          <w:sz w:val="22"/>
          <w:szCs w:val="22"/>
        </w:rPr>
        <w:t xml:space="preserve">. </w:t>
      </w:r>
      <w:r w:rsidR="008B713C">
        <w:rPr>
          <w:rFonts w:ascii="Arial" w:hAnsi="Arial" w:cs="Arial"/>
          <w:sz w:val="22"/>
          <w:szCs w:val="22"/>
        </w:rPr>
        <w:t xml:space="preserve"> </w:t>
      </w:r>
      <w:r w:rsidR="00773A5F">
        <w:rPr>
          <w:rFonts w:ascii="Arial" w:hAnsi="Arial" w:cs="Arial"/>
          <w:sz w:val="22"/>
          <w:szCs w:val="22"/>
        </w:rPr>
        <w:t xml:space="preserve">TTB may refer such information to the </w:t>
      </w:r>
      <w:r w:rsidR="00A816FC">
        <w:rPr>
          <w:rFonts w:ascii="Arial" w:hAnsi="Arial" w:cs="Arial"/>
          <w:sz w:val="22"/>
          <w:szCs w:val="22"/>
        </w:rPr>
        <w:t xml:space="preserve">State or local </w:t>
      </w:r>
      <w:r w:rsidR="00773A5F">
        <w:rPr>
          <w:rFonts w:ascii="Arial" w:hAnsi="Arial" w:cs="Arial"/>
          <w:sz w:val="22"/>
          <w:szCs w:val="22"/>
        </w:rPr>
        <w:t xml:space="preserve">agency with jurisdiction over the matter using </w:t>
      </w:r>
      <w:r w:rsidR="008B713C">
        <w:rPr>
          <w:rFonts w:ascii="Arial" w:hAnsi="Arial" w:cs="Arial"/>
          <w:sz w:val="22"/>
          <w:szCs w:val="22"/>
        </w:rPr>
        <w:t>form TTB F 5000.21, Referral of Information</w:t>
      </w:r>
      <w:r w:rsidR="002C1DA5">
        <w:rPr>
          <w:rFonts w:ascii="Arial" w:hAnsi="Arial" w:cs="Arial"/>
          <w:sz w:val="22"/>
          <w:szCs w:val="22"/>
        </w:rPr>
        <w:t>,</w:t>
      </w:r>
      <w:r w:rsidRPr="002C1DA5" w:rsidR="002C1DA5">
        <w:rPr>
          <w:rFonts w:ascii="Arial" w:hAnsi="Arial" w:cs="Arial"/>
          <w:sz w:val="22"/>
          <w:szCs w:val="22"/>
        </w:rPr>
        <w:t xml:space="preserve"> </w:t>
      </w:r>
      <w:r w:rsidR="00C263DB">
        <w:rPr>
          <w:rFonts w:ascii="Arial" w:hAnsi="Arial" w:cs="Arial"/>
          <w:sz w:val="22"/>
          <w:szCs w:val="22"/>
        </w:rPr>
        <w:t xml:space="preserve">in cases where the IRC’s taxpayer privacy provisions at 26 U.S.C 6103 or other provisions of Federal law do not </w:t>
      </w:r>
      <w:r w:rsidR="002C1DA5">
        <w:rPr>
          <w:rFonts w:ascii="Arial" w:hAnsi="Arial" w:cs="Arial"/>
          <w:sz w:val="22"/>
          <w:szCs w:val="22"/>
        </w:rPr>
        <w:t>prohibit</w:t>
      </w:r>
      <w:r w:rsidR="00C263DB">
        <w:rPr>
          <w:rFonts w:ascii="Arial" w:hAnsi="Arial" w:cs="Arial"/>
          <w:sz w:val="22"/>
          <w:szCs w:val="22"/>
        </w:rPr>
        <w:t xml:space="preserve"> disclose of such information.  </w:t>
      </w:r>
      <w:r w:rsidR="002C1DA5">
        <w:rPr>
          <w:rFonts w:ascii="Arial" w:hAnsi="Arial" w:cs="Arial"/>
          <w:sz w:val="22"/>
          <w:szCs w:val="22"/>
        </w:rPr>
        <w:t xml:space="preserve">In addition, </w:t>
      </w:r>
      <w:r w:rsidR="00C263DB">
        <w:rPr>
          <w:rFonts w:ascii="Arial" w:hAnsi="Arial" w:cs="Arial"/>
          <w:sz w:val="22"/>
          <w:szCs w:val="22"/>
        </w:rPr>
        <w:t xml:space="preserve">and specific to this information collection, </w:t>
      </w:r>
      <w:r w:rsidR="008B713C">
        <w:rPr>
          <w:rFonts w:ascii="Arial" w:hAnsi="Arial" w:cs="Arial"/>
          <w:sz w:val="22"/>
          <w:szCs w:val="22"/>
        </w:rPr>
        <w:t xml:space="preserve">TTB F 5000.21 includes a section for the </w:t>
      </w:r>
      <w:r w:rsidR="00A816FC">
        <w:rPr>
          <w:rFonts w:ascii="Arial" w:hAnsi="Arial" w:cs="Arial"/>
          <w:sz w:val="22"/>
          <w:szCs w:val="22"/>
        </w:rPr>
        <w:t xml:space="preserve">State or local </w:t>
      </w:r>
      <w:r w:rsidR="008B713C">
        <w:rPr>
          <w:rFonts w:ascii="Arial" w:hAnsi="Arial" w:cs="Arial"/>
          <w:sz w:val="22"/>
          <w:szCs w:val="22"/>
        </w:rPr>
        <w:t xml:space="preserve">agency to respond </w:t>
      </w:r>
      <w:r w:rsidR="00C263DB">
        <w:rPr>
          <w:rFonts w:ascii="Arial" w:hAnsi="Arial" w:cs="Arial"/>
          <w:sz w:val="22"/>
          <w:szCs w:val="22"/>
        </w:rPr>
        <w:t xml:space="preserve">voluntarily </w:t>
      </w:r>
      <w:r w:rsidR="008B713C">
        <w:rPr>
          <w:rFonts w:ascii="Arial" w:hAnsi="Arial" w:cs="Arial"/>
          <w:sz w:val="22"/>
          <w:szCs w:val="22"/>
        </w:rPr>
        <w:t xml:space="preserve">to TTB regarding </w:t>
      </w:r>
      <w:r w:rsidR="00773A5F">
        <w:rPr>
          <w:rFonts w:ascii="Arial" w:hAnsi="Arial" w:cs="Arial"/>
          <w:sz w:val="22"/>
          <w:szCs w:val="22"/>
        </w:rPr>
        <w:t xml:space="preserve">its </w:t>
      </w:r>
      <w:r w:rsidR="008B713C">
        <w:rPr>
          <w:rFonts w:ascii="Arial" w:hAnsi="Arial" w:cs="Arial"/>
          <w:sz w:val="22"/>
          <w:szCs w:val="22"/>
        </w:rPr>
        <w:t>action on the referra</w:t>
      </w:r>
      <w:r w:rsidR="005B7621">
        <w:rPr>
          <w:rFonts w:ascii="Arial" w:hAnsi="Arial" w:cs="Arial"/>
          <w:sz w:val="22"/>
          <w:szCs w:val="22"/>
        </w:rPr>
        <w:t>l of information</w:t>
      </w:r>
      <w:r w:rsidR="008B713C">
        <w:rPr>
          <w:rFonts w:ascii="Arial" w:hAnsi="Arial" w:cs="Arial"/>
          <w:sz w:val="22"/>
          <w:szCs w:val="22"/>
        </w:rPr>
        <w:t xml:space="preserve">. </w:t>
      </w:r>
    </w:p>
    <w:p w:rsidR="00A816FC" w:rsidP="002E2465" w:rsidRDefault="00A816FC" w14:paraId="1D384734" w14:textId="77777777">
      <w:pPr>
        <w:ind w:left="360"/>
        <w:rPr>
          <w:rFonts w:ascii="Arial" w:hAnsi="Arial" w:cs="Arial"/>
          <w:sz w:val="22"/>
          <w:szCs w:val="22"/>
        </w:rPr>
      </w:pPr>
    </w:p>
    <w:p w:rsidR="002E2465" w:rsidP="002E2465" w:rsidRDefault="002E2465" w14:paraId="6E510848" w14:textId="1536D222">
      <w:pPr>
        <w:ind w:left="360"/>
        <w:rPr>
          <w:rFonts w:ascii="Arial" w:hAnsi="Arial" w:cs="Arial"/>
          <w:sz w:val="22"/>
          <w:szCs w:val="22"/>
        </w:rPr>
      </w:pPr>
      <w:r w:rsidRPr="009537C2">
        <w:rPr>
          <w:rFonts w:ascii="Arial" w:hAnsi="Arial" w:cs="Arial"/>
          <w:sz w:val="22"/>
          <w:szCs w:val="22"/>
        </w:rPr>
        <w:t>T</w:t>
      </w:r>
      <w:r w:rsidR="0052616A">
        <w:rPr>
          <w:rFonts w:ascii="Arial" w:hAnsi="Arial" w:cs="Arial"/>
          <w:sz w:val="22"/>
          <w:szCs w:val="22"/>
        </w:rPr>
        <w:t>TB F 5000.21</w:t>
      </w:r>
      <w:r w:rsidRPr="009537C2">
        <w:rPr>
          <w:rFonts w:ascii="Arial" w:hAnsi="Arial" w:cs="Arial"/>
          <w:sz w:val="22"/>
          <w:szCs w:val="22"/>
        </w:rPr>
        <w:t xml:space="preserve"> provides </w:t>
      </w:r>
      <w:r>
        <w:rPr>
          <w:rFonts w:ascii="Arial" w:hAnsi="Arial" w:cs="Arial"/>
          <w:sz w:val="22"/>
          <w:szCs w:val="22"/>
        </w:rPr>
        <w:t xml:space="preserve">TTB with </w:t>
      </w:r>
      <w:r w:rsidRPr="009537C2">
        <w:rPr>
          <w:rFonts w:ascii="Arial" w:hAnsi="Arial" w:cs="Arial"/>
          <w:sz w:val="22"/>
          <w:szCs w:val="22"/>
        </w:rPr>
        <w:t>a consistent means of conveying information</w:t>
      </w:r>
      <w:r w:rsidR="00A32FAE">
        <w:rPr>
          <w:rFonts w:ascii="Arial" w:hAnsi="Arial" w:cs="Arial"/>
          <w:sz w:val="22"/>
          <w:szCs w:val="22"/>
        </w:rPr>
        <w:t xml:space="preserve"> regarding suspected criminal and civil violations</w:t>
      </w:r>
      <w:r w:rsidRPr="009537C2">
        <w:rPr>
          <w:rFonts w:ascii="Arial" w:hAnsi="Arial" w:cs="Arial"/>
          <w:sz w:val="22"/>
          <w:szCs w:val="22"/>
        </w:rPr>
        <w:t xml:space="preserve"> to </w:t>
      </w:r>
      <w:r w:rsidR="00743010">
        <w:rPr>
          <w:rFonts w:ascii="Arial" w:hAnsi="Arial" w:cs="Arial"/>
          <w:sz w:val="22"/>
          <w:szCs w:val="22"/>
        </w:rPr>
        <w:t xml:space="preserve">State and local </w:t>
      </w:r>
      <w:r w:rsidRPr="009537C2">
        <w:rPr>
          <w:rFonts w:ascii="Arial" w:hAnsi="Arial" w:cs="Arial"/>
          <w:sz w:val="22"/>
          <w:szCs w:val="22"/>
        </w:rPr>
        <w:t xml:space="preserve">agencies, and it facilitates </w:t>
      </w:r>
      <w:r w:rsidRPr="009537C2" w:rsidR="005B7621">
        <w:rPr>
          <w:rFonts w:ascii="Arial" w:hAnsi="Arial" w:cs="Arial"/>
          <w:sz w:val="22"/>
          <w:szCs w:val="22"/>
        </w:rPr>
        <w:t>information sharing</w:t>
      </w:r>
      <w:r w:rsidRPr="009537C2">
        <w:rPr>
          <w:rFonts w:ascii="Arial" w:hAnsi="Arial" w:cs="Arial"/>
          <w:sz w:val="22"/>
          <w:szCs w:val="22"/>
        </w:rPr>
        <w:t xml:space="preserve"> between </w:t>
      </w:r>
      <w:r w:rsidR="00743010">
        <w:rPr>
          <w:rFonts w:ascii="Arial" w:hAnsi="Arial" w:cs="Arial"/>
          <w:sz w:val="22"/>
          <w:szCs w:val="22"/>
        </w:rPr>
        <w:t xml:space="preserve">TTB and those </w:t>
      </w:r>
      <w:r w:rsidRPr="009537C2">
        <w:rPr>
          <w:rFonts w:ascii="Arial" w:hAnsi="Arial" w:cs="Arial"/>
          <w:sz w:val="22"/>
          <w:szCs w:val="22"/>
        </w:rPr>
        <w:t xml:space="preserve">agencies to support enforcement efforts.  The response </w:t>
      </w:r>
      <w:r w:rsidR="00B75D21">
        <w:rPr>
          <w:rFonts w:ascii="Arial" w:hAnsi="Arial" w:cs="Arial"/>
          <w:sz w:val="22"/>
          <w:szCs w:val="22"/>
        </w:rPr>
        <w:t xml:space="preserve">TTB </w:t>
      </w:r>
      <w:r w:rsidRPr="009537C2">
        <w:rPr>
          <w:rFonts w:ascii="Arial" w:hAnsi="Arial" w:cs="Arial"/>
          <w:sz w:val="22"/>
          <w:szCs w:val="22"/>
        </w:rPr>
        <w:t>request</w:t>
      </w:r>
      <w:r w:rsidR="00B75D21">
        <w:rPr>
          <w:rFonts w:ascii="Arial" w:hAnsi="Arial" w:cs="Arial"/>
          <w:sz w:val="22"/>
          <w:szCs w:val="22"/>
        </w:rPr>
        <w:t>s</w:t>
      </w:r>
      <w:r w:rsidRPr="009537C2">
        <w:rPr>
          <w:rFonts w:ascii="Arial" w:hAnsi="Arial" w:cs="Arial"/>
          <w:sz w:val="22"/>
          <w:szCs w:val="22"/>
        </w:rPr>
        <w:t xml:space="preserve"> from </w:t>
      </w:r>
      <w:r w:rsidR="00743010">
        <w:rPr>
          <w:rFonts w:ascii="Arial" w:hAnsi="Arial" w:cs="Arial"/>
          <w:sz w:val="22"/>
          <w:szCs w:val="22"/>
        </w:rPr>
        <w:t xml:space="preserve">State and local </w:t>
      </w:r>
      <w:r w:rsidRPr="009537C2">
        <w:rPr>
          <w:rFonts w:ascii="Arial" w:hAnsi="Arial" w:cs="Arial"/>
          <w:sz w:val="22"/>
          <w:szCs w:val="22"/>
        </w:rPr>
        <w:t>agencies also provides</w:t>
      </w:r>
      <w:r>
        <w:rPr>
          <w:rFonts w:ascii="Arial" w:hAnsi="Arial" w:cs="Arial"/>
          <w:sz w:val="22"/>
          <w:szCs w:val="22"/>
        </w:rPr>
        <w:t xml:space="preserve"> TTB with</w:t>
      </w:r>
      <w:r w:rsidRPr="009537C2">
        <w:rPr>
          <w:rFonts w:ascii="Arial" w:hAnsi="Arial" w:cs="Arial"/>
          <w:sz w:val="22"/>
          <w:szCs w:val="22"/>
        </w:rPr>
        <w:t xml:space="preserve"> information</w:t>
      </w:r>
      <w:r>
        <w:rPr>
          <w:rFonts w:ascii="Arial" w:hAnsi="Arial" w:cs="Arial"/>
          <w:sz w:val="22"/>
          <w:szCs w:val="22"/>
        </w:rPr>
        <w:t xml:space="preserve"> on t</w:t>
      </w:r>
      <w:r w:rsidRPr="009537C2">
        <w:rPr>
          <w:rFonts w:ascii="Arial" w:hAnsi="Arial" w:cs="Arial"/>
          <w:sz w:val="22"/>
          <w:szCs w:val="22"/>
        </w:rPr>
        <w:t>he utility of the referral</w:t>
      </w:r>
      <w:r>
        <w:rPr>
          <w:rFonts w:ascii="Arial" w:hAnsi="Arial" w:cs="Arial"/>
          <w:sz w:val="22"/>
          <w:szCs w:val="22"/>
        </w:rPr>
        <w:t>s</w:t>
      </w:r>
      <w:r w:rsidRPr="009537C2">
        <w:rPr>
          <w:rFonts w:ascii="Arial" w:hAnsi="Arial" w:cs="Arial"/>
          <w:sz w:val="22"/>
          <w:szCs w:val="22"/>
        </w:rPr>
        <w:t xml:space="preserve"> and </w:t>
      </w:r>
      <w:r>
        <w:rPr>
          <w:rFonts w:ascii="Arial" w:hAnsi="Arial" w:cs="Arial"/>
          <w:sz w:val="22"/>
          <w:szCs w:val="22"/>
        </w:rPr>
        <w:t xml:space="preserve">on </w:t>
      </w:r>
      <w:r w:rsidRPr="009537C2">
        <w:rPr>
          <w:rFonts w:ascii="Arial" w:hAnsi="Arial" w:cs="Arial"/>
          <w:sz w:val="22"/>
          <w:szCs w:val="22"/>
        </w:rPr>
        <w:t xml:space="preserve">potential enforcement actions that </w:t>
      </w:r>
      <w:r w:rsidR="00743010">
        <w:rPr>
          <w:rFonts w:ascii="Arial" w:hAnsi="Arial" w:cs="Arial"/>
          <w:sz w:val="22"/>
          <w:szCs w:val="22"/>
        </w:rPr>
        <w:t xml:space="preserve">such </w:t>
      </w:r>
      <w:r w:rsidRPr="009537C2">
        <w:rPr>
          <w:rFonts w:ascii="Arial" w:hAnsi="Arial" w:cs="Arial"/>
          <w:sz w:val="22"/>
          <w:szCs w:val="22"/>
        </w:rPr>
        <w:t>agenc</w:t>
      </w:r>
      <w:r>
        <w:rPr>
          <w:rFonts w:ascii="Arial" w:hAnsi="Arial" w:cs="Arial"/>
          <w:sz w:val="22"/>
          <w:szCs w:val="22"/>
        </w:rPr>
        <w:t>ies</w:t>
      </w:r>
      <w:r w:rsidRPr="009537C2">
        <w:rPr>
          <w:rFonts w:ascii="Arial" w:hAnsi="Arial" w:cs="Arial"/>
          <w:sz w:val="22"/>
          <w:szCs w:val="22"/>
        </w:rPr>
        <w:t xml:space="preserve"> take against entities </w:t>
      </w:r>
      <w:r>
        <w:rPr>
          <w:rFonts w:ascii="Arial" w:hAnsi="Arial" w:cs="Arial"/>
          <w:sz w:val="22"/>
          <w:szCs w:val="22"/>
        </w:rPr>
        <w:t xml:space="preserve">that </w:t>
      </w:r>
      <w:r w:rsidRPr="009537C2">
        <w:rPr>
          <w:rFonts w:ascii="Arial" w:hAnsi="Arial" w:cs="Arial"/>
          <w:sz w:val="22"/>
          <w:szCs w:val="22"/>
        </w:rPr>
        <w:t xml:space="preserve">TTB </w:t>
      </w:r>
      <w:r>
        <w:rPr>
          <w:rFonts w:ascii="Arial" w:hAnsi="Arial" w:cs="Arial"/>
          <w:sz w:val="22"/>
          <w:szCs w:val="22"/>
        </w:rPr>
        <w:t xml:space="preserve">also </w:t>
      </w:r>
      <w:r w:rsidRPr="009537C2">
        <w:rPr>
          <w:rFonts w:ascii="Arial" w:hAnsi="Arial" w:cs="Arial"/>
          <w:sz w:val="22"/>
          <w:szCs w:val="22"/>
        </w:rPr>
        <w:t>may regulate.</w:t>
      </w:r>
      <w:r>
        <w:rPr>
          <w:rFonts w:ascii="Arial" w:hAnsi="Arial" w:cs="Arial"/>
          <w:sz w:val="22"/>
          <w:szCs w:val="22"/>
        </w:rPr>
        <w:t xml:space="preserve"> </w:t>
      </w:r>
    </w:p>
    <w:p w:rsidR="00743010" w:rsidP="002E2465" w:rsidRDefault="00743010" w14:paraId="5C50425A" w14:textId="77777777">
      <w:pPr>
        <w:ind w:left="360"/>
        <w:rPr>
          <w:rFonts w:ascii="Arial" w:hAnsi="Arial" w:cs="Arial"/>
          <w:sz w:val="22"/>
          <w:szCs w:val="22"/>
        </w:rPr>
      </w:pPr>
    </w:p>
    <w:p w:rsidR="00743010" w:rsidP="00743010" w:rsidRDefault="00743010" w14:paraId="5853B0FF" w14:textId="36AB9C9B">
      <w:pPr>
        <w:ind w:left="360"/>
        <w:rPr>
          <w:rFonts w:ascii="Arial" w:hAnsi="Arial" w:cs="Arial"/>
          <w:sz w:val="22"/>
          <w:szCs w:val="22"/>
        </w:rPr>
      </w:pPr>
      <w:r>
        <w:rPr>
          <w:rFonts w:ascii="Arial" w:hAnsi="Arial" w:cs="Arial"/>
          <w:sz w:val="22"/>
          <w:szCs w:val="22"/>
        </w:rPr>
        <w:t>(</w:t>
      </w:r>
      <w:r w:rsidR="00B75D21">
        <w:rPr>
          <w:rFonts w:ascii="Arial" w:hAnsi="Arial" w:cs="Arial"/>
          <w:sz w:val="22"/>
          <w:szCs w:val="22"/>
        </w:rPr>
        <w:t xml:space="preserve">TTB also uses TTB F 5000.21 to refer information </w:t>
      </w:r>
      <w:r w:rsidR="00281F9E">
        <w:rPr>
          <w:rFonts w:ascii="Arial" w:hAnsi="Arial" w:cs="Arial"/>
          <w:sz w:val="22"/>
          <w:szCs w:val="22"/>
        </w:rPr>
        <w:t xml:space="preserve">regarding </w:t>
      </w:r>
      <w:r w:rsidR="00B75D21">
        <w:rPr>
          <w:rFonts w:ascii="Arial" w:hAnsi="Arial" w:cs="Arial"/>
          <w:sz w:val="22"/>
          <w:szCs w:val="22"/>
        </w:rPr>
        <w:t>suspected criminal and civil violation</w:t>
      </w:r>
      <w:r w:rsidR="00281F9E">
        <w:rPr>
          <w:rFonts w:ascii="Arial" w:hAnsi="Arial" w:cs="Arial"/>
          <w:sz w:val="22"/>
          <w:szCs w:val="22"/>
        </w:rPr>
        <w:t xml:space="preserve">s to other Federal agencies and receive replies from them, but the </w:t>
      </w:r>
      <w:r>
        <w:rPr>
          <w:rFonts w:ascii="Arial" w:hAnsi="Arial" w:cs="Arial"/>
          <w:sz w:val="22"/>
          <w:szCs w:val="22"/>
        </w:rPr>
        <w:t xml:space="preserve">use of this form internally within the Federal government is not subject to the requirements of the Paperwork Reduction Act.  As such, the responses to the questions in this Supporting Statement only consider the form’s use to refer information to, and receive replies from, State and local government agencies.) </w:t>
      </w:r>
    </w:p>
    <w:p w:rsidR="002E2465" w:rsidP="005B7621" w:rsidRDefault="002E2465" w14:paraId="5E7CA19E" w14:textId="77777777">
      <w:pPr>
        <w:ind w:left="360"/>
        <w:rPr>
          <w:rFonts w:ascii="Arial" w:hAnsi="Arial" w:cs="Arial"/>
          <w:sz w:val="22"/>
          <w:szCs w:val="22"/>
        </w:rPr>
      </w:pPr>
    </w:p>
    <w:p w:rsidRPr="00ED4A03" w:rsidR="002E2465" w:rsidP="005B7621" w:rsidRDefault="002E2465" w14:paraId="4B814C52" w14:textId="7FF0939B">
      <w:pPr>
        <w:suppressAutoHyphens/>
        <w:spacing w:after="120"/>
        <w:ind w:left="360"/>
        <w:rPr>
          <w:rFonts w:ascii="Arial" w:hAnsi="Arial" w:cs="Arial"/>
          <w:sz w:val="22"/>
          <w:szCs w:val="22"/>
        </w:rPr>
      </w:pPr>
      <w:r w:rsidRPr="00ED4A03">
        <w:rPr>
          <w:rFonts w:ascii="Arial" w:hAnsi="Arial" w:cs="Arial"/>
          <w:sz w:val="22"/>
          <w:szCs w:val="22"/>
        </w:rPr>
        <w:t>Th</w:t>
      </w:r>
      <w:r>
        <w:rPr>
          <w:rFonts w:ascii="Arial" w:hAnsi="Arial" w:cs="Arial"/>
          <w:sz w:val="22"/>
          <w:szCs w:val="22"/>
        </w:rPr>
        <w:t>is</w:t>
      </w:r>
      <w:r w:rsidRPr="00ED4A03">
        <w:rPr>
          <w:rFonts w:ascii="Arial" w:hAnsi="Arial" w:cs="Arial"/>
          <w:sz w:val="22"/>
          <w:szCs w:val="22"/>
        </w:rPr>
        <w:t xml:space="preserve"> information collection is aligned with–– </w:t>
      </w:r>
    </w:p>
    <w:p w:rsidRPr="00ED4A03" w:rsidR="002E2465" w:rsidP="005B7621" w:rsidRDefault="002E2465" w14:paraId="3A59BF54" w14:textId="2201E3D0">
      <w:pPr>
        <w:numPr>
          <w:ilvl w:val="0"/>
          <w:numId w:val="1"/>
        </w:numPr>
        <w:suppressAutoHyphens/>
        <w:spacing w:after="120"/>
        <w:ind w:left="1080"/>
        <w:rPr>
          <w:rFonts w:ascii="Arial" w:hAnsi="Arial" w:cs="Arial"/>
          <w:sz w:val="22"/>
          <w:szCs w:val="22"/>
        </w:rPr>
      </w:pPr>
      <w:r w:rsidRPr="00B75D21">
        <w:rPr>
          <w:rFonts w:ascii="Arial" w:hAnsi="Arial" w:cs="Arial"/>
          <w:sz w:val="22"/>
          <w:szCs w:val="22"/>
          <w:u w:val="single"/>
        </w:rPr>
        <w:t>Line of Business/Sub-function:</w:t>
      </w:r>
      <w:r w:rsidRPr="00ED4A03">
        <w:rPr>
          <w:rFonts w:ascii="Arial" w:hAnsi="Arial" w:cs="Arial"/>
          <w:sz w:val="22"/>
          <w:szCs w:val="22"/>
        </w:rPr>
        <w:t xml:space="preserve">  </w:t>
      </w:r>
      <w:r w:rsidR="00A32FAE">
        <w:rPr>
          <w:rFonts w:ascii="Arial" w:hAnsi="Arial" w:cs="Arial"/>
          <w:sz w:val="22"/>
          <w:szCs w:val="22"/>
        </w:rPr>
        <w:t>Law Enforcement/Substance Control</w:t>
      </w:r>
      <w:r>
        <w:rPr>
          <w:rFonts w:ascii="Arial" w:hAnsi="Arial" w:cs="Arial"/>
          <w:sz w:val="22"/>
          <w:szCs w:val="22"/>
        </w:rPr>
        <w:t xml:space="preserve">. </w:t>
      </w:r>
    </w:p>
    <w:p w:rsidRPr="00360E6C" w:rsidR="002E2465" w:rsidP="005B7621" w:rsidRDefault="002E2465" w14:paraId="200DD5AE" w14:textId="413219FB">
      <w:pPr>
        <w:numPr>
          <w:ilvl w:val="0"/>
          <w:numId w:val="1"/>
        </w:numPr>
        <w:suppressAutoHyphens/>
        <w:ind w:left="1080"/>
        <w:rPr>
          <w:rFonts w:ascii="Arial" w:hAnsi="Arial" w:cs="Arial"/>
          <w:sz w:val="22"/>
          <w:szCs w:val="22"/>
        </w:rPr>
      </w:pPr>
      <w:r w:rsidRPr="00B75D21">
        <w:rPr>
          <w:rFonts w:ascii="Arial" w:hAnsi="Arial" w:cs="Arial"/>
          <w:sz w:val="22"/>
          <w:szCs w:val="22"/>
          <w:u w:val="single"/>
        </w:rPr>
        <w:t>IT Investment:</w:t>
      </w:r>
      <w:r w:rsidRPr="00360E6C">
        <w:rPr>
          <w:rFonts w:ascii="Arial" w:hAnsi="Arial" w:cs="Arial"/>
          <w:sz w:val="22"/>
          <w:szCs w:val="22"/>
        </w:rPr>
        <w:t xml:space="preserve">  </w:t>
      </w:r>
      <w:r w:rsidR="00A32FAE">
        <w:rPr>
          <w:rFonts w:ascii="Arial" w:hAnsi="Arial" w:cs="Arial"/>
          <w:sz w:val="22"/>
          <w:szCs w:val="22"/>
        </w:rPr>
        <w:t>None</w:t>
      </w:r>
      <w:r w:rsidRPr="00360E6C">
        <w:rPr>
          <w:rFonts w:ascii="Arial" w:hAnsi="Arial" w:cs="Arial"/>
          <w:sz w:val="22"/>
          <w:szCs w:val="22"/>
        </w:rPr>
        <w:t xml:space="preserve">. </w:t>
      </w:r>
    </w:p>
    <w:p w:rsidRPr="00090251" w:rsidR="005E4F99" w:rsidP="005B7621" w:rsidRDefault="005E4F99" w14:paraId="6D54FE9A" w14:textId="77777777">
      <w:pPr>
        <w:suppressAutoHyphens/>
        <w:rPr>
          <w:rFonts w:ascii="Arial" w:hAnsi="Arial" w:cs="Arial"/>
          <w:sz w:val="36"/>
          <w:szCs w:val="36"/>
        </w:rPr>
      </w:pPr>
    </w:p>
    <w:p w:rsidRPr="007A5D4B" w:rsidR="00AF1157" w:rsidP="00D73D2D" w:rsidRDefault="00AF1157" w14:paraId="70B83A9A"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0329F4" w:rsidRDefault="00AF1157" w14:paraId="66AD0C12" w14:textId="77777777">
      <w:pPr>
        <w:suppressAutoHyphens/>
        <w:ind w:left="360"/>
        <w:rPr>
          <w:rFonts w:ascii="Arial" w:hAnsi="Arial" w:cs="Arial"/>
          <w:sz w:val="22"/>
          <w:szCs w:val="22"/>
        </w:rPr>
      </w:pPr>
    </w:p>
    <w:p w:rsidR="00360E6C" w:rsidP="00360E6C" w:rsidRDefault="00360E6C" w14:paraId="78A79972" w14:textId="0D9A33BD">
      <w:pPr>
        <w:ind w:left="360"/>
        <w:rPr>
          <w:rFonts w:ascii="Arial" w:hAnsi="Arial" w:cs="Arial"/>
          <w:sz w:val="22"/>
          <w:szCs w:val="22"/>
        </w:rPr>
      </w:pPr>
      <w:r>
        <w:rPr>
          <w:rFonts w:ascii="Arial" w:hAnsi="Arial" w:cs="Arial"/>
          <w:sz w:val="22"/>
          <w:szCs w:val="22"/>
        </w:rPr>
        <w:t xml:space="preserve">When </w:t>
      </w:r>
      <w:r w:rsidRPr="00E63410">
        <w:rPr>
          <w:rFonts w:ascii="Arial" w:hAnsi="Arial" w:cs="Arial"/>
          <w:sz w:val="22"/>
          <w:szCs w:val="22"/>
        </w:rPr>
        <w:t>TTB</w:t>
      </w:r>
      <w:r>
        <w:rPr>
          <w:rFonts w:ascii="Arial" w:hAnsi="Arial" w:cs="Arial"/>
          <w:sz w:val="22"/>
          <w:szCs w:val="22"/>
        </w:rPr>
        <w:t xml:space="preserve"> personnel </w:t>
      </w:r>
      <w:r w:rsidRPr="00E63410">
        <w:rPr>
          <w:rFonts w:ascii="Arial" w:hAnsi="Arial" w:cs="Arial"/>
          <w:sz w:val="22"/>
          <w:szCs w:val="22"/>
        </w:rPr>
        <w:t xml:space="preserve">discover </w:t>
      </w:r>
      <w:r>
        <w:rPr>
          <w:rFonts w:ascii="Arial" w:hAnsi="Arial" w:cs="Arial"/>
          <w:sz w:val="22"/>
          <w:szCs w:val="22"/>
        </w:rPr>
        <w:t xml:space="preserve">potential </w:t>
      </w:r>
      <w:r w:rsidRPr="00E63410">
        <w:rPr>
          <w:rFonts w:ascii="Arial" w:hAnsi="Arial" w:cs="Arial"/>
          <w:sz w:val="22"/>
          <w:szCs w:val="22"/>
        </w:rPr>
        <w:t xml:space="preserve">violations of statutes and regulations </w:t>
      </w:r>
      <w:r>
        <w:rPr>
          <w:rFonts w:ascii="Arial" w:hAnsi="Arial" w:cs="Arial"/>
          <w:sz w:val="22"/>
          <w:szCs w:val="22"/>
        </w:rPr>
        <w:t>administered by State</w:t>
      </w:r>
      <w:r w:rsidR="004F6581">
        <w:rPr>
          <w:rFonts w:ascii="Arial" w:hAnsi="Arial" w:cs="Arial"/>
          <w:sz w:val="22"/>
          <w:szCs w:val="22"/>
        </w:rPr>
        <w:t xml:space="preserve"> and</w:t>
      </w:r>
      <w:r>
        <w:rPr>
          <w:rFonts w:ascii="Arial" w:hAnsi="Arial" w:cs="Arial"/>
          <w:sz w:val="22"/>
          <w:szCs w:val="22"/>
        </w:rPr>
        <w:t xml:space="preserve"> local government agencies, </w:t>
      </w:r>
      <w:r w:rsidR="00144008">
        <w:rPr>
          <w:rFonts w:ascii="Arial" w:hAnsi="Arial" w:cs="Arial"/>
          <w:sz w:val="22"/>
          <w:szCs w:val="22"/>
        </w:rPr>
        <w:t xml:space="preserve">and </w:t>
      </w:r>
      <w:r w:rsidR="005B7621">
        <w:rPr>
          <w:rFonts w:ascii="Arial" w:hAnsi="Arial" w:cs="Arial"/>
          <w:sz w:val="22"/>
          <w:szCs w:val="22"/>
        </w:rPr>
        <w:t>Federal law does not otherwise prohibit the disclosure of such information</w:t>
      </w:r>
      <w:r w:rsidR="00144008">
        <w:rPr>
          <w:rFonts w:ascii="Arial" w:hAnsi="Arial" w:cs="Arial"/>
          <w:sz w:val="22"/>
          <w:szCs w:val="22"/>
        </w:rPr>
        <w:t xml:space="preserve">, TTB </w:t>
      </w:r>
      <w:r w:rsidR="00B3778D">
        <w:rPr>
          <w:rFonts w:ascii="Arial" w:hAnsi="Arial" w:cs="Arial"/>
          <w:sz w:val="22"/>
          <w:szCs w:val="22"/>
        </w:rPr>
        <w:t xml:space="preserve">personnel </w:t>
      </w:r>
      <w:r w:rsidR="00773A5F">
        <w:rPr>
          <w:rFonts w:ascii="Arial" w:hAnsi="Arial" w:cs="Arial"/>
          <w:sz w:val="22"/>
          <w:szCs w:val="22"/>
        </w:rPr>
        <w:t>may use TTB F 5000.21, Part</w:t>
      </w:r>
      <w:r>
        <w:rPr>
          <w:rFonts w:ascii="Arial" w:hAnsi="Arial" w:cs="Arial"/>
          <w:sz w:val="22"/>
          <w:szCs w:val="22"/>
        </w:rPr>
        <w:t xml:space="preserve"> I to refer such information to the agency with jurisdiction over the matter.  </w:t>
      </w:r>
      <w:r w:rsidR="0035157E">
        <w:rPr>
          <w:rFonts w:ascii="Arial" w:hAnsi="Arial" w:cs="Arial"/>
          <w:sz w:val="22"/>
          <w:szCs w:val="22"/>
        </w:rPr>
        <w:t xml:space="preserve">TTB </w:t>
      </w:r>
      <w:r w:rsidR="00773A5F">
        <w:rPr>
          <w:rFonts w:ascii="Arial" w:hAnsi="Arial" w:cs="Arial"/>
          <w:sz w:val="22"/>
          <w:szCs w:val="22"/>
        </w:rPr>
        <w:t xml:space="preserve">also </w:t>
      </w:r>
      <w:r w:rsidR="0035157E">
        <w:rPr>
          <w:rFonts w:ascii="Arial" w:hAnsi="Arial" w:cs="Arial"/>
          <w:sz w:val="22"/>
          <w:szCs w:val="22"/>
        </w:rPr>
        <w:t xml:space="preserve">may </w:t>
      </w:r>
      <w:r w:rsidR="00B75D21">
        <w:rPr>
          <w:rFonts w:ascii="Arial" w:hAnsi="Arial" w:cs="Arial"/>
          <w:sz w:val="22"/>
          <w:szCs w:val="22"/>
        </w:rPr>
        <w:t xml:space="preserve">attach supporting documentation to </w:t>
      </w:r>
      <w:r w:rsidR="0035157E">
        <w:rPr>
          <w:rFonts w:ascii="Arial" w:hAnsi="Arial" w:cs="Arial"/>
          <w:sz w:val="22"/>
          <w:szCs w:val="22"/>
        </w:rPr>
        <w:t xml:space="preserve">the form.  </w:t>
      </w:r>
      <w:r>
        <w:rPr>
          <w:rFonts w:ascii="Arial" w:hAnsi="Arial" w:cs="Arial"/>
          <w:sz w:val="22"/>
          <w:szCs w:val="22"/>
        </w:rPr>
        <w:t xml:space="preserve">Part II of the form allows </w:t>
      </w:r>
      <w:r w:rsidR="00743010">
        <w:rPr>
          <w:rFonts w:ascii="Arial" w:hAnsi="Arial" w:cs="Arial"/>
          <w:sz w:val="22"/>
          <w:szCs w:val="22"/>
        </w:rPr>
        <w:t xml:space="preserve">the State and local </w:t>
      </w:r>
      <w:r>
        <w:rPr>
          <w:rFonts w:ascii="Arial" w:hAnsi="Arial" w:cs="Arial"/>
          <w:sz w:val="22"/>
          <w:szCs w:val="22"/>
        </w:rPr>
        <w:t xml:space="preserve">agencies receiving such referrals to respond </w:t>
      </w:r>
      <w:r w:rsidR="005B7621">
        <w:rPr>
          <w:rFonts w:ascii="Arial" w:hAnsi="Arial" w:cs="Arial"/>
          <w:sz w:val="22"/>
          <w:szCs w:val="22"/>
        </w:rPr>
        <w:t xml:space="preserve">voluntarily </w:t>
      </w:r>
      <w:r>
        <w:rPr>
          <w:rFonts w:ascii="Arial" w:hAnsi="Arial" w:cs="Arial"/>
          <w:sz w:val="22"/>
          <w:szCs w:val="22"/>
        </w:rPr>
        <w:t>to TTB regarding the</w:t>
      </w:r>
      <w:r w:rsidR="00B75D21">
        <w:rPr>
          <w:rFonts w:ascii="Arial" w:hAnsi="Arial" w:cs="Arial"/>
          <w:sz w:val="22"/>
          <w:szCs w:val="22"/>
        </w:rPr>
        <w:t xml:space="preserve"> actions they take concerning such referrals. </w:t>
      </w:r>
    </w:p>
    <w:p w:rsidR="00360E6C" w:rsidP="00360E6C" w:rsidRDefault="00360E6C" w14:paraId="50B6A4EC" w14:textId="77777777">
      <w:pPr>
        <w:ind w:left="360"/>
        <w:rPr>
          <w:rFonts w:ascii="Arial" w:hAnsi="Arial" w:cs="Arial"/>
          <w:sz w:val="22"/>
          <w:szCs w:val="22"/>
        </w:rPr>
      </w:pPr>
    </w:p>
    <w:p w:rsidR="00360E6C" w:rsidP="00360E6C" w:rsidRDefault="00011328" w14:paraId="434FF243" w14:textId="1094BE36">
      <w:pPr>
        <w:ind w:left="360"/>
        <w:rPr>
          <w:rFonts w:ascii="Arial" w:hAnsi="Arial" w:cs="Arial"/>
          <w:sz w:val="22"/>
          <w:szCs w:val="22"/>
        </w:rPr>
      </w:pPr>
      <w:r>
        <w:rPr>
          <w:rFonts w:ascii="Arial" w:hAnsi="Arial" w:cs="Arial"/>
          <w:sz w:val="22"/>
          <w:szCs w:val="22"/>
        </w:rPr>
        <w:t>Th</w:t>
      </w:r>
      <w:r w:rsidR="00360E6C">
        <w:rPr>
          <w:rFonts w:ascii="Arial" w:hAnsi="Arial" w:cs="Arial"/>
          <w:sz w:val="22"/>
          <w:szCs w:val="22"/>
        </w:rPr>
        <w:t xml:space="preserve">is </w:t>
      </w:r>
      <w:r>
        <w:rPr>
          <w:rFonts w:ascii="Arial" w:hAnsi="Arial" w:cs="Arial"/>
          <w:sz w:val="22"/>
          <w:szCs w:val="22"/>
        </w:rPr>
        <w:t xml:space="preserve">referral </w:t>
      </w:r>
      <w:r w:rsidR="00360E6C">
        <w:rPr>
          <w:rFonts w:ascii="Arial" w:hAnsi="Arial" w:cs="Arial"/>
          <w:sz w:val="22"/>
          <w:szCs w:val="22"/>
        </w:rPr>
        <w:t xml:space="preserve">form serves TTB as </w:t>
      </w:r>
      <w:r>
        <w:rPr>
          <w:rFonts w:ascii="Arial" w:hAnsi="Arial" w:cs="Arial"/>
          <w:sz w:val="22"/>
          <w:szCs w:val="22"/>
        </w:rPr>
        <w:t>a</w:t>
      </w:r>
      <w:r w:rsidR="00360E6C">
        <w:rPr>
          <w:rFonts w:ascii="Arial" w:hAnsi="Arial" w:cs="Arial"/>
          <w:sz w:val="22"/>
          <w:szCs w:val="22"/>
        </w:rPr>
        <w:t xml:space="preserve"> communication and </w:t>
      </w:r>
      <w:r>
        <w:rPr>
          <w:rFonts w:ascii="Arial" w:hAnsi="Arial" w:cs="Arial"/>
          <w:sz w:val="22"/>
          <w:szCs w:val="22"/>
        </w:rPr>
        <w:t>evaluation tool</w:t>
      </w:r>
      <w:r w:rsidR="00360E6C">
        <w:rPr>
          <w:rFonts w:ascii="Arial" w:hAnsi="Arial" w:cs="Arial"/>
          <w:sz w:val="22"/>
          <w:szCs w:val="22"/>
        </w:rPr>
        <w:t xml:space="preserve">.  The form </w:t>
      </w:r>
      <w:r>
        <w:rPr>
          <w:rFonts w:ascii="Arial" w:hAnsi="Arial" w:cs="Arial"/>
          <w:sz w:val="22"/>
          <w:szCs w:val="22"/>
        </w:rPr>
        <w:t xml:space="preserve">provides TTB </w:t>
      </w:r>
      <w:r w:rsidR="00BD456D">
        <w:rPr>
          <w:rFonts w:ascii="Arial" w:hAnsi="Arial" w:cs="Arial"/>
          <w:sz w:val="22"/>
          <w:szCs w:val="22"/>
        </w:rPr>
        <w:t>with</w:t>
      </w:r>
      <w:r>
        <w:rPr>
          <w:rFonts w:ascii="Arial" w:hAnsi="Arial" w:cs="Arial"/>
          <w:sz w:val="22"/>
          <w:szCs w:val="22"/>
        </w:rPr>
        <w:t xml:space="preserve"> a consistent means of providing </w:t>
      </w:r>
      <w:r w:rsidR="00743010">
        <w:rPr>
          <w:rFonts w:ascii="Arial" w:hAnsi="Arial" w:cs="Arial"/>
          <w:sz w:val="22"/>
          <w:szCs w:val="22"/>
        </w:rPr>
        <w:t xml:space="preserve">State and local government </w:t>
      </w:r>
      <w:r>
        <w:rPr>
          <w:rFonts w:ascii="Arial" w:hAnsi="Arial" w:cs="Arial"/>
          <w:sz w:val="22"/>
          <w:szCs w:val="22"/>
        </w:rPr>
        <w:t>agencies with information</w:t>
      </w:r>
      <w:r w:rsidR="00B5099E">
        <w:rPr>
          <w:rFonts w:ascii="Arial" w:hAnsi="Arial" w:cs="Arial"/>
          <w:sz w:val="22"/>
          <w:szCs w:val="22"/>
        </w:rPr>
        <w:t xml:space="preserve"> regarding potential </w:t>
      </w:r>
      <w:r w:rsidR="00A32FAE">
        <w:rPr>
          <w:rFonts w:ascii="Arial" w:hAnsi="Arial" w:cs="Arial"/>
          <w:sz w:val="22"/>
          <w:szCs w:val="22"/>
        </w:rPr>
        <w:t xml:space="preserve">criminal and civil </w:t>
      </w:r>
      <w:r w:rsidR="00B5099E">
        <w:rPr>
          <w:rFonts w:ascii="Arial" w:hAnsi="Arial" w:cs="Arial"/>
          <w:sz w:val="22"/>
          <w:szCs w:val="22"/>
        </w:rPr>
        <w:t>violations of the statutes and regulations that they administer</w:t>
      </w:r>
      <w:r w:rsidR="00360E6C">
        <w:rPr>
          <w:rFonts w:ascii="Arial" w:hAnsi="Arial" w:cs="Arial"/>
          <w:sz w:val="22"/>
          <w:szCs w:val="22"/>
        </w:rPr>
        <w:t>,</w:t>
      </w:r>
      <w:r>
        <w:rPr>
          <w:rFonts w:ascii="Arial" w:hAnsi="Arial" w:cs="Arial"/>
          <w:sz w:val="22"/>
          <w:szCs w:val="22"/>
        </w:rPr>
        <w:t xml:space="preserve"> and </w:t>
      </w:r>
      <w:r w:rsidR="00360E6C">
        <w:rPr>
          <w:rFonts w:ascii="Arial" w:hAnsi="Arial" w:cs="Arial"/>
          <w:sz w:val="22"/>
          <w:szCs w:val="22"/>
        </w:rPr>
        <w:t xml:space="preserve">it </w:t>
      </w:r>
      <w:r>
        <w:rPr>
          <w:rFonts w:ascii="Arial" w:hAnsi="Arial" w:cs="Arial"/>
          <w:sz w:val="22"/>
          <w:szCs w:val="22"/>
        </w:rPr>
        <w:t xml:space="preserve">facilitates </w:t>
      </w:r>
      <w:r w:rsidR="005B7621">
        <w:rPr>
          <w:rFonts w:ascii="Arial" w:hAnsi="Arial" w:cs="Arial"/>
          <w:sz w:val="22"/>
          <w:szCs w:val="22"/>
        </w:rPr>
        <w:t>information sharing</w:t>
      </w:r>
      <w:r>
        <w:rPr>
          <w:rFonts w:ascii="Arial" w:hAnsi="Arial" w:cs="Arial"/>
          <w:sz w:val="22"/>
          <w:szCs w:val="22"/>
        </w:rPr>
        <w:t xml:space="preserve"> between agencies to support enforcement efforts.  </w:t>
      </w:r>
      <w:r w:rsidRPr="009537C2" w:rsidR="00360E6C">
        <w:rPr>
          <w:rFonts w:ascii="Arial" w:hAnsi="Arial" w:cs="Arial"/>
          <w:sz w:val="22"/>
          <w:szCs w:val="22"/>
        </w:rPr>
        <w:t>The response request</w:t>
      </w:r>
      <w:r w:rsidR="00360E6C">
        <w:rPr>
          <w:rFonts w:ascii="Arial" w:hAnsi="Arial" w:cs="Arial"/>
          <w:sz w:val="22"/>
          <w:szCs w:val="22"/>
        </w:rPr>
        <w:t>ed</w:t>
      </w:r>
      <w:r w:rsidRPr="009537C2" w:rsidR="00360E6C">
        <w:rPr>
          <w:rFonts w:ascii="Arial" w:hAnsi="Arial" w:cs="Arial"/>
          <w:sz w:val="22"/>
          <w:szCs w:val="22"/>
        </w:rPr>
        <w:t xml:space="preserve"> from </w:t>
      </w:r>
      <w:r w:rsidR="00743010">
        <w:rPr>
          <w:rFonts w:ascii="Arial" w:hAnsi="Arial" w:cs="Arial"/>
          <w:sz w:val="22"/>
          <w:szCs w:val="22"/>
        </w:rPr>
        <w:t xml:space="preserve">those </w:t>
      </w:r>
      <w:r w:rsidRPr="009537C2" w:rsidR="00360E6C">
        <w:rPr>
          <w:rFonts w:ascii="Arial" w:hAnsi="Arial" w:cs="Arial"/>
          <w:sz w:val="22"/>
          <w:szCs w:val="22"/>
        </w:rPr>
        <w:t>agencies provides</w:t>
      </w:r>
      <w:r w:rsidR="00360E6C">
        <w:rPr>
          <w:rFonts w:ascii="Arial" w:hAnsi="Arial" w:cs="Arial"/>
          <w:sz w:val="22"/>
          <w:szCs w:val="22"/>
        </w:rPr>
        <w:t xml:space="preserve"> TTB with</w:t>
      </w:r>
      <w:r w:rsidRPr="009537C2" w:rsidR="00360E6C">
        <w:rPr>
          <w:rFonts w:ascii="Arial" w:hAnsi="Arial" w:cs="Arial"/>
          <w:sz w:val="22"/>
          <w:szCs w:val="22"/>
        </w:rPr>
        <w:t xml:space="preserve"> information</w:t>
      </w:r>
      <w:r w:rsidR="00360E6C">
        <w:rPr>
          <w:rFonts w:ascii="Arial" w:hAnsi="Arial" w:cs="Arial"/>
          <w:sz w:val="22"/>
          <w:szCs w:val="22"/>
        </w:rPr>
        <w:t xml:space="preserve"> on t</w:t>
      </w:r>
      <w:r w:rsidRPr="009537C2" w:rsidR="00360E6C">
        <w:rPr>
          <w:rFonts w:ascii="Arial" w:hAnsi="Arial" w:cs="Arial"/>
          <w:sz w:val="22"/>
          <w:szCs w:val="22"/>
        </w:rPr>
        <w:t>he utility of the referral</w:t>
      </w:r>
      <w:r w:rsidR="00360E6C">
        <w:rPr>
          <w:rFonts w:ascii="Arial" w:hAnsi="Arial" w:cs="Arial"/>
          <w:sz w:val="22"/>
          <w:szCs w:val="22"/>
        </w:rPr>
        <w:t>s</w:t>
      </w:r>
      <w:r w:rsidRPr="009537C2" w:rsidR="00360E6C">
        <w:rPr>
          <w:rFonts w:ascii="Arial" w:hAnsi="Arial" w:cs="Arial"/>
          <w:sz w:val="22"/>
          <w:szCs w:val="22"/>
        </w:rPr>
        <w:t xml:space="preserve"> and </w:t>
      </w:r>
      <w:r w:rsidR="00360E6C">
        <w:rPr>
          <w:rFonts w:ascii="Arial" w:hAnsi="Arial" w:cs="Arial"/>
          <w:sz w:val="22"/>
          <w:szCs w:val="22"/>
        </w:rPr>
        <w:t xml:space="preserve">on </w:t>
      </w:r>
      <w:r w:rsidRPr="009537C2" w:rsidR="00360E6C">
        <w:rPr>
          <w:rFonts w:ascii="Arial" w:hAnsi="Arial" w:cs="Arial"/>
          <w:sz w:val="22"/>
          <w:szCs w:val="22"/>
        </w:rPr>
        <w:t xml:space="preserve">potential enforcement actions that </w:t>
      </w:r>
      <w:r w:rsidR="00743010">
        <w:rPr>
          <w:rFonts w:ascii="Arial" w:hAnsi="Arial" w:cs="Arial"/>
          <w:sz w:val="22"/>
          <w:szCs w:val="22"/>
        </w:rPr>
        <w:t xml:space="preserve">those </w:t>
      </w:r>
      <w:r w:rsidRPr="009537C2" w:rsidR="00360E6C">
        <w:rPr>
          <w:rFonts w:ascii="Arial" w:hAnsi="Arial" w:cs="Arial"/>
          <w:sz w:val="22"/>
          <w:szCs w:val="22"/>
        </w:rPr>
        <w:t>agenc</w:t>
      </w:r>
      <w:r w:rsidR="00360E6C">
        <w:rPr>
          <w:rFonts w:ascii="Arial" w:hAnsi="Arial" w:cs="Arial"/>
          <w:sz w:val="22"/>
          <w:szCs w:val="22"/>
        </w:rPr>
        <w:t>ies</w:t>
      </w:r>
      <w:r w:rsidRPr="009537C2" w:rsidR="00360E6C">
        <w:rPr>
          <w:rFonts w:ascii="Arial" w:hAnsi="Arial" w:cs="Arial"/>
          <w:sz w:val="22"/>
          <w:szCs w:val="22"/>
        </w:rPr>
        <w:t xml:space="preserve"> take against entities </w:t>
      </w:r>
      <w:r w:rsidR="00360E6C">
        <w:rPr>
          <w:rFonts w:ascii="Arial" w:hAnsi="Arial" w:cs="Arial"/>
          <w:sz w:val="22"/>
          <w:szCs w:val="22"/>
        </w:rPr>
        <w:t xml:space="preserve">that </w:t>
      </w:r>
      <w:r w:rsidRPr="009537C2" w:rsidR="00360E6C">
        <w:rPr>
          <w:rFonts w:ascii="Arial" w:hAnsi="Arial" w:cs="Arial"/>
          <w:sz w:val="22"/>
          <w:szCs w:val="22"/>
        </w:rPr>
        <w:t xml:space="preserve">TTB </w:t>
      </w:r>
      <w:r w:rsidR="00360E6C">
        <w:rPr>
          <w:rFonts w:ascii="Arial" w:hAnsi="Arial" w:cs="Arial"/>
          <w:sz w:val="22"/>
          <w:szCs w:val="22"/>
        </w:rPr>
        <w:t xml:space="preserve">also </w:t>
      </w:r>
      <w:r w:rsidRPr="009537C2" w:rsidR="00360E6C">
        <w:rPr>
          <w:rFonts w:ascii="Arial" w:hAnsi="Arial" w:cs="Arial"/>
          <w:sz w:val="22"/>
          <w:szCs w:val="22"/>
        </w:rPr>
        <w:t>may regulate.</w:t>
      </w:r>
      <w:r w:rsidR="00360E6C">
        <w:rPr>
          <w:rFonts w:ascii="Arial" w:hAnsi="Arial" w:cs="Arial"/>
          <w:sz w:val="22"/>
          <w:szCs w:val="22"/>
        </w:rPr>
        <w:t xml:space="preserve"> </w:t>
      </w:r>
    </w:p>
    <w:p w:rsidRPr="00090251" w:rsidR="00011328" w:rsidP="00360E6C" w:rsidRDefault="00011328" w14:paraId="15967CA2" w14:textId="77777777">
      <w:pPr>
        <w:rPr>
          <w:rFonts w:ascii="Arial" w:hAnsi="Arial" w:cs="Arial"/>
          <w:sz w:val="36"/>
          <w:szCs w:val="36"/>
        </w:rPr>
      </w:pPr>
    </w:p>
    <w:p w:rsidRPr="007A5D4B" w:rsidR="00AF1157" w:rsidP="00D73D2D" w:rsidRDefault="00CA7E3C" w14:paraId="49380DAC"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D73D2D" w:rsidRDefault="00AF1157" w14:paraId="06714984" w14:textId="77777777">
      <w:pPr>
        <w:suppressAutoHyphens/>
        <w:rPr>
          <w:rFonts w:ascii="Arial" w:hAnsi="Arial" w:cs="Arial"/>
          <w:sz w:val="22"/>
          <w:szCs w:val="22"/>
        </w:rPr>
      </w:pPr>
    </w:p>
    <w:p w:rsidR="003D3C6F" w:rsidP="00AA3F8F" w:rsidRDefault="00F10C50" w14:paraId="443919D8" w14:textId="5430ADF7">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w:t>
      </w:r>
      <w:r w:rsidRPr="00F10C50" w:rsidR="005B7621">
        <w:rPr>
          <w:rFonts w:ascii="Arial" w:hAnsi="Arial" w:cs="Arial"/>
          <w:sz w:val="22"/>
          <w:szCs w:val="22"/>
        </w:rPr>
        <w:t>case-by-case</w:t>
      </w:r>
      <w:r w:rsidRPr="00F10C50">
        <w:rPr>
          <w:rFonts w:ascii="Arial" w:hAnsi="Arial" w:cs="Arial"/>
          <w:sz w:val="22"/>
          <w:szCs w:val="22"/>
        </w:rPr>
        <w:t xml:space="preserve"> basis, the use of improved information technology for the collection and maintenance of required information. </w:t>
      </w:r>
      <w:r w:rsidR="000E2957">
        <w:rPr>
          <w:rFonts w:ascii="Arial" w:hAnsi="Arial" w:cs="Arial"/>
          <w:sz w:val="22"/>
          <w:szCs w:val="22"/>
        </w:rPr>
        <w:t xml:space="preserve"> </w:t>
      </w:r>
    </w:p>
    <w:p w:rsidR="003D3C6F" w:rsidP="00AA3F8F" w:rsidRDefault="003D3C6F" w14:paraId="0F982B71" w14:textId="77777777">
      <w:pPr>
        <w:tabs>
          <w:tab w:val="left" w:pos="8496"/>
        </w:tabs>
        <w:suppressAutoHyphens/>
        <w:spacing w:line="240" w:lineRule="atLeast"/>
        <w:ind w:left="360"/>
        <w:rPr>
          <w:rFonts w:ascii="Arial" w:hAnsi="Arial" w:cs="Arial"/>
          <w:sz w:val="22"/>
          <w:szCs w:val="22"/>
        </w:rPr>
      </w:pPr>
    </w:p>
    <w:p w:rsidR="003D3C6F" w:rsidP="00AA3F8F" w:rsidRDefault="00AD4E23" w14:paraId="5BC740DA" w14:textId="5757CC56">
      <w:pPr>
        <w:tabs>
          <w:tab w:val="left" w:pos="8496"/>
        </w:tabs>
        <w:suppressAutoHyphens/>
        <w:spacing w:line="240" w:lineRule="atLeast"/>
        <w:ind w:left="360"/>
        <w:rPr>
          <w:rFonts w:ascii="Arial" w:hAnsi="Arial" w:cs="Arial"/>
          <w:sz w:val="22"/>
          <w:szCs w:val="22"/>
        </w:rPr>
      </w:pPr>
      <w:r>
        <w:rPr>
          <w:rFonts w:ascii="Arial" w:hAnsi="Arial" w:cs="Arial"/>
          <w:sz w:val="22"/>
          <w:szCs w:val="22"/>
        </w:rPr>
        <w:t>Currently,</w:t>
      </w:r>
      <w:r w:rsidR="00B3778D">
        <w:rPr>
          <w:rFonts w:ascii="Arial" w:hAnsi="Arial" w:cs="Arial"/>
          <w:sz w:val="22"/>
          <w:szCs w:val="22"/>
        </w:rPr>
        <w:t xml:space="preserve"> TTB F 5000.21 i</w:t>
      </w:r>
      <w:r>
        <w:rPr>
          <w:rFonts w:ascii="Arial" w:hAnsi="Arial" w:cs="Arial"/>
          <w:sz w:val="22"/>
          <w:szCs w:val="22"/>
        </w:rPr>
        <w:t xml:space="preserve">s available to TTB personnel on the Bureau’s internal </w:t>
      </w:r>
      <w:r w:rsidR="008804D8">
        <w:rPr>
          <w:rFonts w:ascii="Arial" w:hAnsi="Arial" w:cs="Arial"/>
          <w:sz w:val="22"/>
          <w:szCs w:val="22"/>
        </w:rPr>
        <w:t xml:space="preserve">intranet </w:t>
      </w:r>
      <w:r>
        <w:rPr>
          <w:rFonts w:ascii="Arial" w:hAnsi="Arial" w:cs="Arial"/>
          <w:sz w:val="22"/>
          <w:szCs w:val="22"/>
        </w:rPr>
        <w:t xml:space="preserve">website as a fillable-printable form.  </w:t>
      </w:r>
      <w:r w:rsidR="003D3C6F">
        <w:rPr>
          <w:rFonts w:ascii="Arial" w:hAnsi="Arial" w:cs="Arial"/>
          <w:sz w:val="22"/>
          <w:szCs w:val="22"/>
        </w:rPr>
        <w:t>Because</w:t>
      </w:r>
      <w:r w:rsidR="00144008">
        <w:rPr>
          <w:rFonts w:ascii="Arial" w:hAnsi="Arial" w:cs="Arial"/>
          <w:sz w:val="22"/>
          <w:szCs w:val="22"/>
        </w:rPr>
        <w:t xml:space="preserve"> </w:t>
      </w:r>
      <w:r w:rsidR="005B7621">
        <w:rPr>
          <w:rFonts w:ascii="Arial" w:hAnsi="Arial" w:cs="Arial"/>
          <w:sz w:val="22"/>
          <w:szCs w:val="22"/>
        </w:rPr>
        <w:t xml:space="preserve">TTB and external agencies complete </w:t>
      </w:r>
      <w:r w:rsidR="0040305D">
        <w:rPr>
          <w:rFonts w:ascii="Arial" w:hAnsi="Arial" w:cs="Arial"/>
          <w:sz w:val="22"/>
          <w:szCs w:val="22"/>
        </w:rPr>
        <w:t>portions</w:t>
      </w:r>
      <w:r w:rsidR="008804D8">
        <w:rPr>
          <w:rFonts w:ascii="Arial" w:hAnsi="Arial" w:cs="Arial"/>
          <w:sz w:val="22"/>
          <w:szCs w:val="22"/>
        </w:rPr>
        <w:t xml:space="preserve"> of </w:t>
      </w:r>
      <w:r w:rsidR="00144008">
        <w:rPr>
          <w:rFonts w:ascii="Arial" w:hAnsi="Arial" w:cs="Arial"/>
          <w:sz w:val="22"/>
          <w:szCs w:val="22"/>
        </w:rPr>
        <w:t>th</w:t>
      </w:r>
      <w:r w:rsidR="005B7621">
        <w:rPr>
          <w:rFonts w:ascii="Arial" w:hAnsi="Arial" w:cs="Arial"/>
          <w:sz w:val="22"/>
          <w:szCs w:val="22"/>
        </w:rPr>
        <w:t>at</w:t>
      </w:r>
      <w:r w:rsidR="00144008">
        <w:rPr>
          <w:rFonts w:ascii="Arial" w:hAnsi="Arial" w:cs="Arial"/>
          <w:sz w:val="22"/>
          <w:szCs w:val="22"/>
        </w:rPr>
        <w:t xml:space="preserve"> form</w:t>
      </w:r>
      <w:r w:rsidR="005B7621">
        <w:rPr>
          <w:rFonts w:ascii="Arial" w:hAnsi="Arial" w:cs="Arial"/>
          <w:sz w:val="22"/>
          <w:szCs w:val="22"/>
        </w:rPr>
        <w:t>,</w:t>
      </w:r>
      <w:r w:rsidR="003E6709">
        <w:rPr>
          <w:rFonts w:ascii="Arial" w:hAnsi="Arial" w:cs="Arial"/>
          <w:sz w:val="22"/>
          <w:szCs w:val="22"/>
        </w:rPr>
        <w:t xml:space="preserve"> and </w:t>
      </w:r>
      <w:r w:rsidR="007F15FF">
        <w:rPr>
          <w:rFonts w:ascii="Arial" w:hAnsi="Arial" w:cs="Arial"/>
          <w:sz w:val="22"/>
          <w:szCs w:val="22"/>
        </w:rPr>
        <w:t xml:space="preserve">because this form contains information </w:t>
      </w:r>
      <w:r w:rsidR="003E6709">
        <w:rPr>
          <w:rFonts w:ascii="Arial" w:hAnsi="Arial" w:cs="Arial"/>
          <w:sz w:val="22"/>
          <w:szCs w:val="22"/>
        </w:rPr>
        <w:t>un</w:t>
      </w:r>
      <w:r w:rsidR="007F15FF">
        <w:rPr>
          <w:rFonts w:ascii="Arial" w:hAnsi="Arial" w:cs="Arial"/>
          <w:sz w:val="22"/>
          <w:szCs w:val="22"/>
        </w:rPr>
        <w:t xml:space="preserve">ique to each referral of information, </w:t>
      </w:r>
      <w:r w:rsidR="003D3C6F">
        <w:rPr>
          <w:rFonts w:ascii="Arial" w:hAnsi="Arial" w:cs="Arial"/>
          <w:sz w:val="22"/>
          <w:szCs w:val="22"/>
        </w:rPr>
        <w:t xml:space="preserve">TTB does not believe that </w:t>
      </w:r>
      <w:r w:rsidR="003E6709">
        <w:rPr>
          <w:rFonts w:ascii="Arial" w:hAnsi="Arial" w:cs="Arial"/>
          <w:sz w:val="22"/>
          <w:szCs w:val="22"/>
        </w:rPr>
        <w:t xml:space="preserve">this form is </w:t>
      </w:r>
      <w:r w:rsidR="003D3C6F">
        <w:rPr>
          <w:rFonts w:ascii="Arial" w:hAnsi="Arial" w:cs="Arial"/>
          <w:sz w:val="22"/>
          <w:szCs w:val="22"/>
        </w:rPr>
        <w:t>su</w:t>
      </w:r>
      <w:r>
        <w:rPr>
          <w:rFonts w:ascii="Arial" w:hAnsi="Arial" w:cs="Arial"/>
          <w:sz w:val="22"/>
          <w:szCs w:val="22"/>
        </w:rPr>
        <w:t xml:space="preserve">sceptible to the use of automated, electronic, or other technological collection techniques at this time. </w:t>
      </w:r>
    </w:p>
    <w:p w:rsidRPr="00090251" w:rsidR="00AF1157" w:rsidP="00D73D2D" w:rsidRDefault="00AF1157" w14:paraId="73A9AF1C" w14:textId="77777777">
      <w:pPr>
        <w:suppressAutoHyphens/>
        <w:rPr>
          <w:rFonts w:ascii="Arial" w:hAnsi="Arial" w:cs="Arial"/>
          <w:sz w:val="36"/>
          <w:szCs w:val="36"/>
        </w:rPr>
      </w:pPr>
    </w:p>
    <w:p w:rsidRPr="007A5D4B" w:rsidR="00AF1157" w:rsidP="00D73D2D" w:rsidRDefault="00CA7E3C" w14:paraId="4FAFB770"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D73D2D" w:rsidRDefault="00AF1157" w14:paraId="231D1DAE" w14:textId="77777777">
      <w:pPr>
        <w:suppressAutoHyphens/>
        <w:ind w:left="480" w:hanging="480"/>
        <w:rPr>
          <w:rFonts w:ascii="Arial" w:hAnsi="Arial" w:cs="Arial"/>
          <w:sz w:val="22"/>
          <w:szCs w:val="22"/>
        </w:rPr>
      </w:pPr>
    </w:p>
    <w:p w:rsidR="00186F70" w:rsidP="00AD4E23" w:rsidRDefault="00AD4E23" w14:paraId="2F7F03C2" w14:textId="3937DEA7">
      <w:pPr>
        <w:ind w:left="360"/>
        <w:rPr>
          <w:rFonts w:ascii="Arial" w:hAnsi="Arial" w:cs="Arial"/>
          <w:sz w:val="22"/>
          <w:szCs w:val="22"/>
        </w:rPr>
      </w:pPr>
      <w:r>
        <w:rPr>
          <w:rFonts w:ascii="Arial" w:hAnsi="Arial" w:cs="Arial"/>
          <w:sz w:val="22"/>
          <w:szCs w:val="22"/>
        </w:rPr>
        <w:t xml:space="preserve">The information </w:t>
      </w:r>
      <w:r w:rsidR="0040305D">
        <w:rPr>
          <w:rFonts w:ascii="Arial" w:hAnsi="Arial" w:cs="Arial"/>
          <w:sz w:val="22"/>
          <w:szCs w:val="22"/>
        </w:rPr>
        <w:t xml:space="preserve">TTB </w:t>
      </w:r>
      <w:r>
        <w:rPr>
          <w:rFonts w:ascii="Arial" w:hAnsi="Arial" w:cs="Arial"/>
          <w:sz w:val="22"/>
          <w:szCs w:val="22"/>
        </w:rPr>
        <w:t>provide</w:t>
      </w:r>
      <w:r w:rsidR="0040305D">
        <w:rPr>
          <w:rFonts w:ascii="Arial" w:hAnsi="Arial" w:cs="Arial"/>
          <w:sz w:val="22"/>
          <w:szCs w:val="22"/>
        </w:rPr>
        <w:t xml:space="preserve">s </w:t>
      </w:r>
      <w:r w:rsidR="00743010">
        <w:rPr>
          <w:rFonts w:ascii="Arial" w:hAnsi="Arial" w:cs="Arial"/>
          <w:sz w:val="22"/>
          <w:szCs w:val="22"/>
        </w:rPr>
        <w:t xml:space="preserve">State and local government </w:t>
      </w:r>
      <w:r w:rsidR="00186F70">
        <w:rPr>
          <w:rFonts w:ascii="Arial" w:hAnsi="Arial" w:cs="Arial"/>
          <w:sz w:val="22"/>
          <w:szCs w:val="22"/>
        </w:rPr>
        <w:t>agencies regarding potential violations of statutes and regulation</w:t>
      </w:r>
      <w:r w:rsidR="00F84698">
        <w:rPr>
          <w:rFonts w:ascii="Arial" w:hAnsi="Arial" w:cs="Arial"/>
          <w:sz w:val="22"/>
          <w:szCs w:val="22"/>
        </w:rPr>
        <w:t>s</w:t>
      </w:r>
      <w:r w:rsidR="00186F70">
        <w:rPr>
          <w:rFonts w:ascii="Arial" w:hAnsi="Arial" w:cs="Arial"/>
          <w:sz w:val="22"/>
          <w:szCs w:val="22"/>
        </w:rPr>
        <w:t xml:space="preserve"> that they administer, and the response </w:t>
      </w:r>
      <w:r w:rsidR="0040305D">
        <w:rPr>
          <w:rFonts w:ascii="Arial" w:hAnsi="Arial" w:cs="Arial"/>
          <w:sz w:val="22"/>
          <w:szCs w:val="22"/>
        </w:rPr>
        <w:t xml:space="preserve">those agencies </w:t>
      </w:r>
      <w:r w:rsidR="00186F70">
        <w:rPr>
          <w:rFonts w:ascii="Arial" w:hAnsi="Arial" w:cs="Arial"/>
          <w:sz w:val="22"/>
          <w:szCs w:val="22"/>
        </w:rPr>
        <w:t>provide</w:t>
      </w:r>
      <w:r w:rsidR="0040305D">
        <w:rPr>
          <w:rFonts w:ascii="Arial" w:hAnsi="Arial" w:cs="Arial"/>
          <w:sz w:val="22"/>
          <w:szCs w:val="22"/>
        </w:rPr>
        <w:t xml:space="preserve"> </w:t>
      </w:r>
      <w:r w:rsidR="00186F70">
        <w:rPr>
          <w:rFonts w:ascii="Arial" w:hAnsi="Arial" w:cs="Arial"/>
          <w:sz w:val="22"/>
          <w:szCs w:val="22"/>
        </w:rPr>
        <w:t xml:space="preserve">to TTB, is unique to each referral and is pertinent only to </w:t>
      </w:r>
      <w:r w:rsidR="00144008">
        <w:rPr>
          <w:rFonts w:ascii="Arial" w:hAnsi="Arial" w:cs="Arial"/>
          <w:sz w:val="22"/>
          <w:szCs w:val="22"/>
        </w:rPr>
        <w:t xml:space="preserve">TTB and </w:t>
      </w:r>
      <w:r w:rsidR="00186F70">
        <w:rPr>
          <w:rFonts w:ascii="Arial" w:hAnsi="Arial" w:cs="Arial"/>
          <w:sz w:val="22"/>
          <w:szCs w:val="22"/>
        </w:rPr>
        <w:t xml:space="preserve">the agency </w:t>
      </w:r>
      <w:r w:rsidR="0040305D">
        <w:rPr>
          <w:rFonts w:ascii="Arial" w:hAnsi="Arial" w:cs="Arial"/>
          <w:sz w:val="22"/>
          <w:szCs w:val="22"/>
        </w:rPr>
        <w:t xml:space="preserve">in question.  </w:t>
      </w:r>
      <w:r w:rsidR="00186F70">
        <w:rPr>
          <w:rFonts w:ascii="Arial" w:hAnsi="Arial" w:cs="Arial"/>
          <w:sz w:val="22"/>
          <w:szCs w:val="22"/>
        </w:rPr>
        <w:t xml:space="preserve">As far as TTB is able to determine, similar information is not available elsewhere. </w:t>
      </w:r>
    </w:p>
    <w:p w:rsidRPr="00090251" w:rsidR="007A5D4B" w:rsidP="007A5D4B" w:rsidRDefault="007A5D4B" w14:paraId="6DC33AA6" w14:textId="77777777">
      <w:pPr>
        <w:suppressAutoHyphens/>
        <w:rPr>
          <w:rFonts w:ascii="Arial" w:hAnsi="Arial" w:cs="Arial"/>
          <w:sz w:val="36"/>
          <w:szCs w:val="36"/>
        </w:rPr>
      </w:pPr>
    </w:p>
    <w:p w:rsidRPr="007A5D4B" w:rsidR="00AF1157" w:rsidP="00D73D2D" w:rsidRDefault="007A5D4B" w14:paraId="75ADE7A4" w14:textId="77777777">
      <w:pPr>
        <w:suppressAutoHyphens/>
        <w:rPr>
          <w:rFonts w:ascii="Arial" w:hAnsi="Arial" w:cs="Arial"/>
          <w:i/>
          <w:sz w:val="22"/>
          <w:szCs w:val="22"/>
        </w:rPr>
      </w:pPr>
      <w:r w:rsidRPr="007A5D4B">
        <w:rPr>
          <w:rFonts w:ascii="Arial" w:hAnsi="Arial" w:cs="Arial"/>
          <w:i/>
          <w:sz w:val="22"/>
          <w:szCs w:val="22"/>
        </w:rPr>
        <w:t xml:space="preserve">5.  </w:t>
      </w:r>
      <w:r w:rsidRPr="007A5D4B" w:rsidR="00AF1157">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7A5D4B" w:rsidRDefault="007A5D4B" w14:paraId="2B9C69CD" w14:textId="77777777">
      <w:pPr>
        <w:suppressAutoHyphens/>
        <w:ind w:left="480" w:hanging="480"/>
        <w:rPr>
          <w:rFonts w:ascii="Arial" w:hAnsi="Arial" w:cs="Arial"/>
          <w:sz w:val="22"/>
          <w:szCs w:val="22"/>
        </w:rPr>
      </w:pPr>
    </w:p>
    <w:p w:rsidRPr="00E9091C" w:rsidR="007A5D4B" w:rsidP="004D086A" w:rsidRDefault="004F6581" w14:paraId="2A93B49E" w14:textId="53A97B38">
      <w:pPr>
        <w:ind w:left="360"/>
        <w:rPr>
          <w:rFonts w:ascii="Arial" w:hAnsi="Arial" w:cs="Arial"/>
          <w:sz w:val="22"/>
          <w:szCs w:val="22"/>
        </w:rPr>
      </w:pPr>
      <w:r>
        <w:rPr>
          <w:rFonts w:ascii="Arial" w:hAnsi="Arial" w:cs="Arial"/>
          <w:sz w:val="22"/>
          <w:szCs w:val="22"/>
        </w:rPr>
        <w:lastRenderedPageBreak/>
        <w:t xml:space="preserve">This information collection does not have a significant impact on small entities.  </w:t>
      </w:r>
      <w:r w:rsidR="00E51C20">
        <w:rPr>
          <w:rFonts w:ascii="Arial" w:hAnsi="Arial" w:cs="Arial"/>
          <w:sz w:val="22"/>
          <w:szCs w:val="22"/>
        </w:rPr>
        <w:t xml:space="preserve">The requested response </w:t>
      </w:r>
      <w:r>
        <w:rPr>
          <w:rFonts w:ascii="Arial" w:hAnsi="Arial" w:cs="Arial"/>
          <w:sz w:val="22"/>
          <w:szCs w:val="22"/>
        </w:rPr>
        <w:t xml:space="preserve">from </w:t>
      </w:r>
      <w:r w:rsidR="00281F9E">
        <w:rPr>
          <w:rFonts w:ascii="Arial" w:hAnsi="Arial" w:cs="Arial"/>
          <w:sz w:val="22"/>
          <w:szCs w:val="22"/>
        </w:rPr>
        <w:t xml:space="preserve">a </w:t>
      </w:r>
      <w:r w:rsidR="00743010">
        <w:rPr>
          <w:rFonts w:ascii="Arial" w:hAnsi="Arial" w:cs="Arial"/>
          <w:sz w:val="22"/>
          <w:szCs w:val="22"/>
        </w:rPr>
        <w:t xml:space="preserve">State </w:t>
      </w:r>
      <w:r w:rsidR="00281F9E">
        <w:rPr>
          <w:rFonts w:ascii="Arial" w:hAnsi="Arial" w:cs="Arial"/>
          <w:sz w:val="22"/>
          <w:szCs w:val="22"/>
        </w:rPr>
        <w:t xml:space="preserve">or </w:t>
      </w:r>
      <w:r w:rsidR="00743010">
        <w:rPr>
          <w:rFonts w:ascii="Arial" w:hAnsi="Arial" w:cs="Arial"/>
          <w:sz w:val="22"/>
          <w:szCs w:val="22"/>
        </w:rPr>
        <w:t xml:space="preserve">local </w:t>
      </w:r>
      <w:r>
        <w:rPr>
          <w:rFonts w:ascii="Arial" w:hAnsi="Arial" w:cs="Arial"/>
          <w:sz w:val="22"/>
          <w:szCs w:val="22"/>
        </w:rPr>
        <w:t xml:space="preserve">government </w:t>
      </w:r>
      <w:r w:rsidR="00281F9E">
        <w:rPr>
          <w:rFonts w:ascii="Arial" w:hAnsi="Arial" w:cs="Arial"/>
          <w:sz w:val="22"/>
          <w:szCs w:val="22"/>
        </w:rPr>
        <w:t xml:space="preserve">to which TTB has referred information </w:t>
      </w:r>
      <w:r>
        <w:rPr>
          <w:rFonts w:ascii="Arial" w:hAnsi="Arial" w:cs="Arial"/>
          <w:sz w:val="22"/>
          <w:szCs w:val="22"/>
        </w:rPr>
        <w:t>agency is voluntary</w:t>
      </w:r>
      <w:r w:rsidR="00281F9E">
        <w:rPr>
          <w:rFonts w:ascii="Arial" w:hAnsi="Arial" w:cs="Arial"/>
          <w:sz w:val="22"/>
          <w:szCs w:val="22"/>
        </w:rPr>
        <w:t>,</w:t>
      </w:r>
      <w:r>
        <w:rPr>
          <w:rFonts w:ascii="Arial" w:hAnsi="Arial" w:cs="Arial"/>
          <w:sz w:val="22"/>
          <w:szCs w:val="22"/>
        </w:rPr>
        <w:t xml:space="preserve"> and </w:t>
      </w:r>
      <w:r w:rsidR="00E51C20">
        <w:rPr>
          <w:rFonts w:ascii="Arial" w:hAnsi="Arial" w:cs="Arial"/>
          <w:sz w:val="22"/>
          <w:szCs w:val="22"/>
        </w:rPr>
        <w:t>is</w:t>
      </w:r>
      <w:r w:rsidR="00186F70">
        <w:rPr>
          <w:rFonts w:ascii="Arial" w:hAnsi="Arial" w:cs="Arial"/>
          <w:sz w:val="22"/>
          <w:szCs w:val="22"/>
        </w:rPr>
        <w:t xml:space="preserve"> </w:t>
      </w:r>
      <w:r w:rsidR="00F84698">
        <w:rPr>
          <w:rFonts w:ascii="Arial" w:hAnsi="Arial" w:cs="Arial"/>
          <w:sz w:val="22"/>
          <w:szCs w:val="22"/>
        </w:rPr>
        <w:t xml:space="preserve">the </w:t>
      </w:r>
      <w:r w:rsidR="00186F70">
        <w:rPr>
          <w:rFonts w:ascii="Arial" w:hAnsi="Arial" w:cs="Arial"/>
          <w:sz w:val="22"/>
          <w:szCs w:val="22"/>
        </w:rPr>
        <w:t xml:space="preserve">minimum necessary to inform TTB of </w:t>
      </w:r>
      <w:r>
        <w:rPr>
          <w:rFonts w:ascii="Arial" w:hAnsi="Arial" w:cs="Arial"/>
          <w:sz w:val="22"/>
          <w:szCs w:val="22"/>
        </w:rPr>
        <w:t xml:space="preserve">the </w:t>
      </w:r>
      <w:r w:rsidR="00186F70">
        <w:rPr>
          <w:rFonts w:ascii="Arial" w:hAnsi="Arial" w:cs="Arial"/>
          <w:sz w:val="22"/>
          <w:szCs w:val="22"/>
        </w:rPr>
        <w:t>agency’s action regarding a referral</w:t>
      </w:r>
      <w:r>
        <w:rPr>
          <w:rFonts w:ascii="Arial" w:hAnsi="Arial" w:cs="Arial"/>
          <w:sz w:val="22"/>
          <w:szCs w:val="22"/>
        </w:rPr>
        <w:t>.</w:t>
      </w:r>
      <w:r w:rsidR="00186F70">
        <w:rPr>
          <w:rFonts w:ascii="Arial" w:hAnsi="Arial" w:cs="Arial"/>
          <w:sz w:val="22"/>
          <w:szCs w:val="22"/>
        </w:rPr>
        <w:t xml:space="preserve"> </w:t>
      </w:r>
    </w:p>
    <w:p w:rsidRPr="00090251" w:rsidR="007A5D4B" w:rsidP="007A5D4B" w:rsidRDefault="007A5D4B" w14:paraId="7F84CE63" w14:textId="77777777">
      <w:pPr>
        <w:suppressAutoHyphens/>
        <w:rPr>
          <w:rFonts w:ascii="Arial" w:hAnsi="Arial" w:cs="Arial"/>
          <w:sz w:val="36"/>
          <w:szCs w:val="36"/>
        </w:rPr>
      </w:pPr>
    </w:p>
    <w:p w:rsidRPr="007A5D4B" w:rsidR="00AF1157" w:rsidP="00D73D2D" w:rsidRDefault="007A5D4B" w14:paraId="24EEA6A0" w14:textId="77777777">
      <w:pPr>
        <w:suppressAutoHyphens/>
        <w:rPr>
          <w:rFonts w:ascii="Arial" w:hAnsi="Arial" w:cs="Arial"/>
          <w:i/>
          <w:sz w:val="22"/>
          <w:szCs w:val="22"/>
        </w:rPr>
      </w:pPr>
      <w:r w:rsidRPr="007A5D4B">
        <w:rPr>
          <w:rFonts w:ascii="Arial" w:hAnsi="Arial" w:cs="Arial"/>
          <w:i/>
          <w:sz w:val="22"/>
          <w:szCs w:val="22"/>
        </w:rPr>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Pr="007A5D4B" w:rsidR="00AF1157" w:rsidP="00D73D2D" w:rsidRDefault="00AF1157" w14:paraId="727B08EF" w14:textId="77777777">
      <w:pPr>
        <w:suppressAutoHyphens/>
        <w:ind w:left="480" w:hanging="480"/>
        <w:rPr>
          <w:rFonts w:ascii="Arial" w:hAnsi="Arial" w:cs="Arial"/>
          <w:sz w:val="22"/>
          <w:szCs w:val="22"/>
        </w:rPr>
      </w:pPr>
    </w:p>
    <w:p w:rsidR="007A5D4B" w:rsidP="00243228" w:rsidRDefault="00243228" w14:paraId="7512BD98" w14:textId="275E13A8">
      <w:pPr>
        <w:suppressAutoHyphens/>
        <w:ind w:left="360"/>
        <w:rPr>
          <w:rFonts w:ascii="Arial" w:hAnsi="Arial" w:cs="Arial"/>
          <w:sz w:val="22"/>
          <w:szCs w:val="22"/>
        </w:rPr>
      </w:pPr>
      <w:r>
        <w:rPr>
          <w:rFonts w:ascii="Arial" w:hAnsi="Arial" w:cs="Arial"/>
          <w:sz w:val="22"/>
          <w:szCs w:val="22"/>
        </w:rPr>
        <w:t xml:space="preserve">If </w:t>
      </w:r>
      <w:r w:rsidR="005B7621">
        <w:rPr>
          <w:rFonts w:ascii="Arial" w:hAnsi="Arial" w:cs="Arial"/>
          <w:sz w:val="22"/>
          <w:szCs w:val="22"/>
        </w:rPr>
        <w:t xml:space="preserve">TTB did not conduct this collection of </w:t>
      </w:r>
      <w:r>
        <w:rPr>
          <w:rFonts w:ascii="Arial" w:hAnsi="Arial" w:cs="Arial"/>
          <w:sz w:val="22"/>
          <w:szCs w:val="22"/>
        </w:rPr>
        <w:t>information</w:t>
      </w:r>
      <w:r w:rsidR="005B7621">
        <w:rPr>
          <w:rFonts w:ascii="Arial" w:hAnsi="Arial" w:cs="Arial"/>
          <w:sz w:val="22"/>
          <w:szCs w:val="22"/>
        </w:rPr>
        <w:t xml:space="preserve">, it </w:t>
      </w:r>
      <w:r>
        <w:rPr>
          <w:rFonts w:ascii="Arial" w:hAnsi="Arial" w:cs="Arial"/>
          <w:sz w:val="22"/>
          <w:szCs w:val="22"/>
        </w:rPr>
        <w:t xml:space="preserve">would </w:t>
      </w:r>
      <w:r w:rsidRPr="00572EBA" w:rsidR="00D353B6">
        <w:rPr>
          <w:rFonts w:ascii="Arial" w:hAnsi="Arial" w:cs="Arial"/>
          <w:sz w:val="22"/>
          <w:szCs w:val="22"/>
        </w:rPr>
        <w:t>not have a standardized vehicle to notify</w:t>
      </w:r>
      <w:r>
        <w:rPr>
          <w:rFonts w:ascii="Arial" w:hAnsi="Arial" w:cs="Arial"/>
          <w:sz w:val="22"/>
          <w:szCs w:val="22"/>
        </w:rPr>
        <w:t xml:space="preserve"> </w:t>
      </w:r>
      <w:r w:rsidR="005B7621">
        <w:rPr>
          <w:rFonts w:ascii="Arial" w:hAnsi="Arial" w:cs="Arial"/>
          <w:sz w:val="22"/>
          <w:szCs w:val="22"/>
        </w:rPr>
        <w:t xml:space="preserve">State and local government </w:t>
      </w:r>
      <w:r>
        <w:rPr>
          <w:rFonts w:ascii="Arial" w:hAnsi="Arial" w:cs="Arial"/>
          <w:sz w:val="22"/>
          <w:szCs w:val="22"/>
        </w:rPr>
        <w:t xml:space="preserve">agencies of </w:t>
      </w:r>
      <w:r w:rsidRPr="00572EBA" w:rsidR="00D353B6">
        <w:rPr>
          <w:rFonts w:ascii="Arial" w:hAnsi="Arial" w:cs="Arial"/>
          <w:sz w:val="22"/>
          <w:szCs w:val="22"/>
        </w:rPr>
        <w:t>potential civil and criminal violations</w:t>
      </w:r>
      <w:r w:rsidR="00B3778D">
        <w:rPr>
          <w:rFonts w:ascii="Arial" w:hAnsi="Arial" w:cs="Arial"/>
          <w:sz w:val="22"/>
          <w:szCs w:val="22"/>
        </w:rPr>
        <w:t xml:space="preserve"> under their jur</w:t>
      </w:r>
      <w:r w:rsidR="006C442E">
        <w:rPr>
          <w:rFonts w:ascii="Arial" w:hAnsi="Arial" w:cs="Arial"/>
          <w:sz w:val="22"/>
          <w:szCs w:val="22"/>
        </w:rPr>
        <w:t>isdiction</w:t>
      </w:r>
      <w:r>
        <w:rPr>
          <w:rFonts w:ascii="Arial" w:hAnsi="Arial" w:cs="Arial"/>
          <w:sz w:val="22"/>
          <w:szCs w:val="22"/>
        </w:rPr>
        <w:t xml:space="preserve">, and </w:t>
      </w:r>
      <w:r w:rsidR="00606D6B">
        <w:rPr>
          <w:rFonts w:ascii="Arial" w:hAnsi="Arial" w:cs="Arial"/>
          <w:sz w:val="22"/>
          <w:szCs w:val="22"/>
        </w:rPr>
        <w:t xml:space="preserve">those </w:t>
      </w:r>
      <w:r>
        <w:rPr>
          <w:rFonts w:ascii="Arial" w:hAnsi="Arial" w:cs="Arial"/>
          <w:sz w:val="22"/>
          <w:szCs w:val="22"/>
        </w:rPr>
        <w:t xml:space="preserve">agencies would not have a standardized </w:t>
      </w:r>
      <w:r w:rsidR="00144008">
        <w:rPr>
          <w:rFonts w:ascii="Arial" w:hAnsi="Arial" w:cs="Arial"/>
          <w:sz w:val="22"/>
          <w:szCs w:val="22"/>
        </w:rPr>
        <w:t>method t</w:t>
      </w:r>
      <w:r>
        <w:rPr>
          <w:rFonts w:ascii="Arial" w:hAnsi="Arial" w:cs="Arial"/>
          <w:sz w:val="22"/>
          <w:szCs w:val="22"/>
        </w:rPr>
        <w:t xml:space="preserve">o provide TTB with information concerning their response to such referrals.  </w:t>
      </w:r>
      <w:r w:rsidR="006C442E">
        <w:rPr>
          <w:rFonts w:ascii="Arial" w:hAnsi="Arial" w:cs="Arial"/>
          <w:sz w:val="22"/>
          <w:szCs w:val="22"/>
        </w:rPr>
        <w:t xml:space="preserve">This would hinder </w:t>
      </w:r>
      <w:r w:rsidR="002169D4">
        <w:rPr>
          <w:rFonts w:ascii="Arial" w:hAnsi="Arial" w:cs="Arial"/>
          <w:sz w:val="22"/>
          <w:szCs w:val="22"/>
        </w:rPr>
        <w:t xml:space="preserve">information sharing between TTB and </w:t>
      </w:r>
      <w:r w:rsidR="00D72C31">
        <w:rPr>
          <w:rFonts w:ascii="Arial" w:hAnsi="Arial" w:cs="Arial"/>
          <w:sz w:val="22"/>
          <w:szCs w:val="22"/>
        </w:rPr>
        <w:t xml:space="preserve">those </w:t>
      </w:r>
      <w:r w:rsidR="002169D4">
        <w:rPr>
          <w:rFonts w:ascii="Arial" w:hAnsi="Arial" w:cs="Arial"/>
          <w:sz w:val="22"/>
          <w:szCs w:val="22"/>
        </w:rPr>
        <w:t xml:space="preserve">agencies. </w:t>
      </w:r>
      <w:r w:rsidR="005B7621">
        <w:rPr>
          <w:rFonts w:ascii="Arial" w:hAnsi="Arial" w:cs="Arial"/>
          <w:sz w:val="22"/>
          <w:szCs w:val="22"/>
        </w:rPr>
        <w:t xml:space="preserve"> Additionally, </w:t>
      </w:r>
      <w:r w:rsidRPr="005B7621" w:rsidR="005B7621">
        <w:rPr>
          <w:rFonts w:ascii="Arial" w:hAnsi="Arial" w:cs="Arial"/>
          <w:sz w:val="22"/>
          <w:szCs w:val="22"/>
        </w:rPr>
        <w:t xml:space="preserve">State and local agencies to which TTB has referred information respond to this collection only on an occasional, as-needed basis, and, as such, </w:t>
      </w:r>
      <w:r w:rsidR="005B7621">
        <w:rPr>
          <w:rFonts w:ascii="Arial" w:hAnsi="Arial" w:cs="Arial"/>
          <w:sz w:val="22"/>
          <w:szCs w:val="22"/>
        </w:rPr>
        <w:t xml:space="preserve">TTB has determined that </w:t>
      </w:r>
      <w:r w:rsidRPr="005B7621" w:rsidR="005B7621">
        <w:rPr>
          <w:rFonts w:ascii="Arial" w:hAnsi="Arial" w:cs="Arial"/>
          <w:sz w:val="22"/>
          <w:szCs w:val="22"/>
        </w:rPr>
        <w:t xml:space="preserve">it cannot conducted </w:t>
      </w:r>
      <w:r w:rsidR="005B7621">
        <w:rPr>
          <w:rFonts w:ascii="Arial" w:hAnsi="Arial" w:cs="Arial"/>
          <w:sz w:val="22"/>
          <w:szCs w:val="22"/>
        </w:rPr>
        <w:t xml:space="preserve">this collection less frequently. </w:t>
      </w:r>
    </w:p>
    <w:p w:rsidRPr="00090251" w:rsidR="00572EBA" w:rsidP="007A5D4B" w:rsidRDefault="00572EBA" w14:paraId="6B006B53" w14:textId="77777777">
      <w:pPr>
        <w:suppressAutoHyphens/>
        <w:rPr>
          <w:rFonts w:ascii="Arial" w:hAnsi="Arial" w:cs="Arial"/>
          <w:sz w:val="36"/>
          <w:szCs w:val="36"/>
        </w:rPr>
      </w:pPr>
    </w:p>
    <w:p w:rsidRPr="00170BF7" w:rsidR="00281F9E" w:rsidP="00281F9E" w:rsidRDefault="00281F9E" w14:paraId="1B519C06" w14:textId="77777777">
      <w:pPr>
        <w:suppressAutoHyphens/>
        <w:rPr>
          <w:rFonts w:ascii="Arial" w:hAnsi="Arial" w:cs="Arial"/>
          <w:i/>
          <w:sz w:val="22"/>
          <w:szCs w:val="22"/>
        </w:rPr>
      </w:pPr>
      <w:r w:rsidRPr="00170BF7">
        <w:rPr>
          <w:rFonts w:ascii="Arial" w:hAnsi="Arial" w:cs="Arial"/>
          <w:i/>
          <w:sz w:val="22"/>
          <w:szCs w:val="22"/>
        </w:rPr>
        <w:t>7.  Are there any special circumstances associated with this information collection that would require it to be conducted in a manner inconsistent with OMB guidelines?  (See 5</w:t>
      </w:r>
      <w:r>
        <w:rPr>
          <w:rFonts w:ascii="Arial" w:hAnsi="Arial" w:cs="Arial"/>
          <w:i/>
          <w:sz w:val="22"/>
          <w:szCs w:val="22"/>
        </w:rPr>
        <w:t> </w:t>
      </w:r>
      <w:r w:rsidRPr="00170BF7">
        <w:rPr>
          <w:rFonts w:ascii="Arial" w:hAnsi="Arial" w:cs="Arial"/>
          <w:i/>
          <w:sz w:val="22"/>
          <w:szCs w:val="22"/>
        </w:rPr>
        <w:t xml:space="preserve">CFR 1320.5(d)(2).) </w:t>
      </w:r>
    </w:p>
    <w:p w:rsidRPr="007A5D4B" w:rsidR="00281F9E" w:rsidP="00281F9E" w:rsidRDefault="00281F9E" w14:paraId="24DB5ED5" w14:textId="77777777">
      <w:pPr>
        <w:rPr>
          <w:rFonts w:ascii="Arial" w:hAnsi="Arial" w:cs="Arial"/>
          <w:sz w:val="22"/>
          <w:szCs w:val="22"/>
        </w:rPr>
      </w:pPr>
    </w:p>
    <w:p w:rsidRPr="007A5D4B" w:rsidR="00281F9E" w:rsidP="00281F9E" w:rsidRDefault="00281F9E" w14:paraId="0ED1E441" w14:textId="77777777">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Pr>
          <w:rFonts w:ascii="Arial" w:hAnsi="Arial" w:cs="Arial"/>
          <w:sz w:val="22"/>
          <w:szCs w:val="22"/>
        </w:rPr>
        <w:t xml:space="preserve"> </w:t>
      </w:r>
    </w:p>
    <w:p w:rsidRPr="000B6799" w:rsidR="00EC4FC3" w:rsidP="00D73D2D" w:rsidRDefault="00EC4FC3" w14:paraId="3B450FDF" w14:textId="77777777">
      <w:pPr>
        <w:rPr>
          <w:rFonts w:ascii="Arial" w:hAnsi="Arial" w:cs="Arial"/>
          <w:sz w:val="36"/>
          <w:szCs w:val="36"/>
        </w:rPr>
      </w:pPr>
    </w:p>
    <w:p w:rsidRPr="007A5D4B" w:rsidR="005C282B" w:rsidP="00D73D2D" w:rsidRDefault="007A5D4B" w14:paraId="637EBAEC"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D73D2D" w:rsidRDefault="005C282B" w14:paraId="0FD5D291" w14:textId="77777777">
      <w:pPr>
        <w:suppressAutoHyphens/>
        <w:ind w:left="480" w:hanging="480"/>
        <w:rPr>
          <w:rFonts w:ascii="Arial" w:hAnsi="Arial" w:cs="Arial"/>
          <w:sz w:val="22"/>
          <w:szCs w:val="22"/>
        </w:rPr>
      </w:pPr>
    </w:p>
    <w:p w:rsidR="00D414AB" w:rsidP="004D086A" w:rsidRDefault="004D1808" w14:paraId="18FBCE8F" w14:textId="3F3F4CE1">
      <w:pPr>
        <w:ind w:left="360"/>
        <w:rPr>
          <w:rFonts w:ascii="Arial" w:hAnsi="Arial" w:cs="Arial"/>
          <w:sz w:val="22"/>
          <w:szCs w:val="22"/>
        </w:rPr>
      </w:pPr>
      <w:r>
        <w:rPr>
          <w:rFonts w:ascii="Arial" w:hAnsi="Arial" w:cs="Arial"/>
          <w:sz w:val="22"/>
          <w:szCs w:val="22"/>
        </w:rPr>
        <w:t>To solicit comments from the public</w:t>
      </w:r>
      <w:r w:rsidR="00D72C31">
        <w:rPr>
          <w:rFonts w:ascii="Arial" w:hAnsi="Arial" w:cs="Arial"/>
          <w:sz w:val="22"/>
          <w:szCs w:val="22"/>
        </w:rPr>
        <w:t xml:space="preserve"> and government agencies</w:t>
      </w:r>
      <w:r>
        <w:rPr>
          <w:rFonts w:ascii="Arial" w:hAnsi="Arial" w:cs="Arial"/>
          <w:sz w:val="22"/>
          <w:szCs w:val="22"/>
        </w:rPr>
        <w:t>, TTB published a “</w:t>
      </w:r>
      <w:r w:rsidRPr="007A5D4B" w:rsidR="00734B25">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AC7A2E">
        <w:rPr>
          <w:rFonts w:ascii="Arial" w:hAnsi="Arial" w:cs="Arial"/>
          <w:sz w:val="22"/>
          <w:szCs w:val="22"/>
        </w:rPr>
        <w:t>May</w:t>
      </w:r>
      <w:r w:rsidRPr="00AC70D2" w:rsidR="00AC7A2E">
        <w:rPr>
          <w:rFonts w:ascii="Arial" w:hAnsi="Arial" w:cs="Arial"/>
          <w:sz w:val="22"/>
          <w:szCs w:val="22"/>
        </w:rPr>
        <w:t xml:space="preserve"> </w:t>
      </w:r>
      <w:r w:rsidR="00AC7A2E">
        <w:rPr>
          <w:rFonts w:ascii="Arial" w:hAnsi="Arial" w:cs="Arial"/>
          <w:sz w:val="22"/>
          <w:szCs w:val="22"/>
        </w:rPr>
        <w:t>7</w:t>
      </w:r>
      <w:r w:rsidRPr="00AC70D2" w:rsidR="002A0EC9">
        <w:rPr>
          <w:rFonts w:ascii="Arial" w:hAnsi="Arial" w:cs="Arial"/>
          <w:sz w:val="22"/>
          <w:szCs w:val="22"/>
        </w:rPr>
        <w:t xml:space="preserve">, </w:t>
      </w:r>
      <w:r w:rsidR="00AC7A2E">
        <w:rPr>
          <w:rFonts w:ascii="Arial" w:hAnsi="Arial" w:cs="Arial"/>
          <w:sz w:val="22"/>
          <w:szCs w:val="22"/>
        </w:rPr>
        <w:t>2020</w:t>
      </w:r>
      <w:r w:rsidRPr="00AC70D2" w:rsidR="008603B9">
        <w:rPr>
          <w:rFonts w:ascii="Arial" w:hAnsi="Arial" w:cs="Arial"/>
          <w:sz w:val="22"/>
          <w:szCs w:val="22"/>
        </w:rPr>
        <w:t xml:space="preserve">, at </w:t>
      </w:r>
      <w:r w:rsidR="00AC7A2E">
        <w:rPr>
          <w:rFonts w:ascii="Arial" w:hAnsi="Arial" w:cs="Arial"/>
          <w:sz w:val="22"/>
          <w:szCs w:val="22"/>
        </w:rPr>
        <w:t>85</w:t>
      </w:r>
      <w:r w:rsidRPr="00AC70D2" w:rsidR="00AC7A2E">
        <w:rPr>
          <w:rFonts w:ascii="Arial" w:hAnsi="Arial" w:cs="Arial"/>
          <w:sz w:val="22"/>
          <w:szCs w:val="22"/>
        </w:rPr>
        <w:t xml:space="preserve"> </w:t>
      </w:r>
      <w:r w:rsidRPr="00AC70D2" w:rsidR="008603B9">
        <w:rPr>
          <w:rFonts w:ascii="Arial" w:hAnsi="Arial" w:cs="Arial"/>
          <w:sz w:val="22"/>
          <w:szCs w:val="22"/>
        </w:rPr>
        <w:t xml:space="preserve">FR </w:t>
      </w:r>
      <w:r w:rsidR="00AC7A2E">
        <w:rPr>
          <w:rFonts w:ascii="Arial" w:hAnsi="Arial" w:cs="Arial"/>
          <w:sz w:val="22"/>
          <w:szCs w:val="22"/>
        </w:rPr>
        <w:t>27272</w:t>
      </w:r>
      <w:r w:rsidR="008603B9">
        <w:rPr>
          <w:rFonts w:ascii="Arial" w:hAnsi="Arial" w:cs="Arial"/>
          <w:sz w:val="22"/>
          <w:szCs w:val="22"/>
        </w:rPr>
        <w:t xml:space="preserve">.  </w:t>
      </w:r>
      <w:r w:rsidRPr="00606D6B">
        <w:rPr>
          <w:rFonts w:ascii="Arial" w:hAnsi="Arial" w:cs="Arial"/>
          <w:sz w:val="22"/>
          <w:szCs w:val="22"/>
        </w:rPr>
        <w:t xml:space="preserve">TTB received </w:t>
      </w:r>
      <w:r w:rsidRPr="00606D6B" w:rsidR="008603B9">
        <w:rPr>
          <w:rFonts w:ascii="Arial" w:hAnsi="Arial" w:cs="Arial"/>
          <w:sz w:val="22"/>
          <w:szCs w:val="22"/>
        </w:rPr>
        <w:t xml:space="preserve">no </w:t>
      </w:r>
      <w:r w:rsidRPr="00606D6B" w:rsidR="00734B25">
        <w:rPr>
          <w:rFonts w:ascii="Arial" w:hAnsi="Arial" w:cs="Arial"/>
          <w:sz w:val="22"/>
          <w:szCs w:val="22"/>
        </w:rPr>
        <w:t>comments</w:t>
      </w:r>
      <w:r w:rsidRPr="00606D6B" w:rsidR="005E4F9B">
        <w:rPr>
          <w:rFonts w:ascii="Arial" w:hAnsi="Arial" w:cs="Arial"/>
          <w:sz w:val="22"/>
          <w:szCs w:val="22"/>
        </w:rPr>
        <w:t xml:space="preserve"> </w:t>
      </w:r>
      <w:r w:rsidRPr="00606D6B" w:rsidR="008603B9">
        <w:rPr>
          <w:rFonts w:ascii="Arial" w:hAnsi="Arial" w:cs="Arial"/>
          <w:sz w:val="22"/>
          <w:szCs w:val="22"/>
        </w:rPr>
        <w:t xml:space="preserve">on this information collection </w:t>
      </w:r>
      <w:r w:rsidRPr="00606D6B" w:rsidR="005E4F9B">
        <w:rPr>
          <w:rFonts w:ascii="Arial" w:hAnsi="Arial" w:cs="Arial"/>
          <w:sz w:val="22"/>
          <w:szCs w:val="22"/>
        </w:rPr>
        <w:t>in response</w:t>
      </w:r>
      <w:r w:rsidRPr="00606D6B" w:rsidR="00734B25">
        <w:rPr>
          <w:rFonts w:ascii="Arial" w:hAnsi="Arial" w:cs="Arial"/>
          <w:sz w:val="22"/>
          <w:szCs w:val="22"/>
        </w:rPr>
        <w:t>.</w:t>
      </w:r>
      <w:r w:rsidR="005E4F9B">
        <w:rPr>
          <w:rFonts w:ascii="Arial" w:hAnsi="Arial" w:cs="Arial"/>
          <w:sz w:val="22"/>
          <w:szCs w:val="22"/>
        </w:rPr>
        <w:t xml:space="preserve"> </w:t>
      </w:r>
    </w:p>
    <w:p w:rsidRPr="00090251" w:rsidR="00734B25" w:rsidP="00D73D2D" w:rsidRDefault="00734B25" w14:paraId="0F2FFB2D" w14:textId="77777777">
      <w:pPr>
        <w:suppressAutoHyphens/>
        <w:rPr>
          <w:rFonts w:ascii="Arial" w:hAnsi="Arial" w:cs="Arial"/>
          <w:sz w:val="36"/>
          <w:szCs w:val="36"/>
        </w:rPr>
      </w:pPr>
    </w:p>
    <w:p w:rsidRPr="00D656EA" w:rsidR="00EC4FC3" w:rsidP="00D73D2D" w:rsidRDefault="005E4F9B" w14:paraId="3EC39BCE" w14:textId="77777777">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D73D2D" w:rsidRDefault="00EC4FC3" w14:paraId="713CF8FD" w14:textId="77777777">
      <w:pPr>
        <w:suppressAutoHyphens/>
        <w:rPr>
          <w:rFonts w:ascii="Arial" w:hAnsi="Arial" w:cs="Arial"/>
          <w:sz w:val="22"/>
          <w:szCs w:val="22"/>
        </w:rPr>
      </w:pPr>
    </w:p>
    <w:p w:rsidRPr="007A5D4B" w:rsidR="00EC4FC3" w:rsidP="004D086A" w:rsidRDefault="00EC4FC3" w14:paraId="4B28E2DE" w14:textId="4FCECA1A">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281F9E">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090251" w:rsidR="00EC4FC3" w:rsidP="00D73D2D" w:rsidRDefault="00EC4FC3" w14:paraId="7A943A48" w14:textId="77777777">
      <w:pPr>
        <w:suppressAutoHyphens/>
        <w:rPr>
          <w:rFonts w:ascii="Arial" w:hAnsi="Arial" w:cs="Arial"/>
          <w:sz w:val="36"/>
          <w:szCs w:val="36"/>
        </w:rPr>
      </w:pPr>
    </w:p>
    <w:p w:rsidRPr="00D656EA" w:rsidR="00EC4FC3" w:rsidP="00D73D2D" w:rsidRDefault="00D656EA" w14:paraId="238CE1FB"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D73D2D" w:rsidRDefault="00EC4FC3" w14:paraId="6EC61D8B" w14:textId="77777777">
      <w:pPr>
        <w:rPr>
          <w:rFonts w:ascii="Arial" w:hAnsi="Arial" w:cs="Arial"/>
          <w:sz w:val="22"/>
          <w:szCs w:val="22"/>
        </w:rPr>
      </w:pPr>
    </w:p>
    <w:p w:rsidR="00E51AD7" w:rsidP="004D086A" w:rsidRDefault="005B7621" w14:paraId="416842A6" w14:textId="46051C77">
      <w:pPr>
        <w:ind w:left="360"/>
        <w:rPr>
          <w:rFonts w:ascii="Arial" w:hAnsi="Arial" w:cs="Arial"/>
          <w:sz w:val="22"/>
          <w:szCs w:val="22"/>
        </w:rPr>
      </w:pPr>
      <w:r>
        <w:rPr>
          <w:rFonts w:ascii="Arial" w:hAnsi="Arial" w:cs="Arial"/>
          <w:sz w:val="22"/>
          <w:szCs w:val="22"/>
        </w:rPr>
        <w:t>TTB provides n</w:t>
      </w:r>
      <w:r w:rsidRPr="00853E85" w:rsidR="00E51AD7">
        <w:rPr>
          <w:rFonts w:ascii="Arial" w:hAnsi="Arial" w:cs="Arial"/>
          <w:sz w:val="22"/>
          <w:szCs w:val="22"/>
        </w:rPr>
        <w:t xml:space="preserve">o specific assurance of confidentiality </w:t>
      </w:r>
      <w:r>
        <w:rPr>
          <w:rFonts w:ascii="Arial" w:hAnsi="Arial" w:cs="Arial"/>
          <w:sz w:val="22"/>
          <w:szCs w:val="22"/>
        </w:rPr>
        <w:t xml:space="preserve">for this information collection.  </w:t>
      </w:r>
      <w:r w:rsidRPr="00853E85" w:rsidR="00E51AD7">
        <w:rPr>
          <w:rFonts w:ascii="Arial" w:hAnsi="Arial" w:cs="Arial"/>
          <w:sz w:val="22"/>
          <w:szCs w:val="22"/>
        </w:rPr>
        <w:t>However, Federal law at 5</w:t>
      </w:r>
      <w:r w:rsidRPr="00853E85" w:rsidR="00853E85">
        <w:rPr>
          <w:rFonts w:ascii="Arial" w:hAnsi="Arial" w:cs="Arial"/>
          <w:sz w:val="22"/>
          <w:szCs w:val="22"/>
        </w:rPr>
        <w:t> </w:t>
      </w:r>
      <w:r w:rsidRPr="00853E85" w:rsidR="00E51AD7">
        <w:rPr>
          <w:rFonts w:ascii="Arial" w:hAnsi="Arial" w:cs="Arial"/>
          <w:sz w:val="22"/>
          <w:szCs w:val="22"/>
        </w:rPr>
        <w:t xml:space="preserve">U.S.C. 552 protects the confidentiality of proprietary information obtained by the Government from regulated businesses and individuals, </w:t>
      </w:r>
      <w:r w:rsidR="006F1801">
        <w:rPr>
          <w:rFonts w:ascii="Arial" w:hAnsi="Arial" w:cs="Arial"/>
          <w:sz w:val="22"/>
          <w:szCs w:val="22"/>
        </w:rPr>
        <w:t xml:space="preserve">while </w:t>
      </w:r>
      <w:r w:rsidRPr="00853E85" w:rsidR="00E51AD7">
        <w:rPr>
          <w:rFonts w:ascii="Arial" w:hAnsi="Arial" w:cs="Arial"/>
          <w:sz w:val="22"/>
          <w:szCs w:val="22"/>
        </w:rPr>
        <w:t xml:space="preserve">26 U.S.C. 6103 prohibits disclosure of tax returns and related information unless </w:t>
      </w:r>
      <w:r w:rsidR="006F1801">
        <w:rPr>
          <w:rFonts w:ascii="Arial" w:hAnsi="Arial" w:cs="Arial"/>
          <w:sz w:val="22"/>
          <w:szCs w:val="22"/>
        </w:rPr>
        <w:t xml:space="preserve">that section authorizes such </w:t>
      </w:r>
      <w:r w:rsidRPr="00853E85" w:rsidR="00E51AD7">
        <w:rPr>
          <w:rFonts w:ascii="Arial" w:hAnsi="Arial" w:cs="Arial"/>
          <w:sz w:val="22"/>
          <w:szCs w:val="22"/>
        </w:rPr>
        <w:t>disclosure</w:t>
      </w:r>
      <w:r w:rsidR="006F1801">
        <w:rPr>
          <w:rFonts w:ascii="Arial" w:hAnsi="Arial" w:cs="Arial"/>
          <w:sz w:val="22"/>
          <w:szCs w:val="22"/>
        </w:rPr>
        <w:t xml:space="preserve">. </w:t>
      </w:r>
      <w:r w:rsidRPr="00853E85" w:rsidR="00853E85">
        <w:rPr>
          <w:rFonts w:ascii="Arial" w:hAnsi="Arial" w:cs="Arial"/>
          <w:sz w:val="22"/>
          <w:szCs w:val="22"/>
        </w:rPr>
        <w:t xml:space="preserve"> </w:t>
      </w:r>
      <w:r w:rsidR="00144008">
        <w:rPr>
          <w:rFonts w:ascii="Arial" w:hAnsi="Arial" w:cs="Arial"/>
          <w:sz w:val="22"/>
          <w:szCs w:val="22"/>
        </w:rPr>
        <w:t>TTB notes that 26 U.S.C. 6103 specifically authorize</w:t>
      </w:r>
      <w:r w:rsidR="00084AFE">
        <w:rPr>
          <w:rFonts w:ascii="Arial" w:hAnsi="Arial" w:cs="Arial"/>
          <w:sz w:val="22"/>
          <w:szCs w:val="22"/>
        </w:rPr>
        <w:t>s, under certain circumstances,</w:t>
      </w:r>
      <w:r w:rsidR="00144008">
        <w:rPr>
          <w:rFonts w:ascii="Arial" w:hAnsi="Arial" w:cs="Arial"/>
          <w:sz w:val="22"/>
          <w:szCs w:val="22"/>
        </w:rPr>
        <w:t xml:space="preserve"> disclosure of tax return and taxpayer information </w:t>
      </w:r>
      <w:r w:rsidR="00084AFE">
        <w:rPr>
          <w:rFonts w:ascii="Arial" w:hAnsi="Arial" w:cs="Arial"/>
          <w:sz w:val="22"/>
          <w:szCs w:val="22"/>
        </w:rPr>
        <w:t xml:space="preserve">to </w:t>
      </w:r>
      <w:r>
        <w:rPr>
          <w:rFonts w:ascii="Arial" w:hAnsi="Arial" w:cs="Arial"/>
          <w:sz w:val="22"/>
          <w:szCs w:val="22"/>
        </w:rPr>
        <w:t>S</w:t>
      </w:r>
      <w:r w:rsidR="00084AFE">
        <w:rPr>
          <w:rFonts w:ascii="Arial" w:hAnsi="Arial" w:cs="Arial"/>
          <w:sz w:val="22"/>
          <w:szCs w:val="22"/>
        </w:rPr>
        <w:t xml:space="preserve">tate and local tax and law enforcement authorities for audit, enforcement, and investigative purposes.  </w:t>
      </w:r>
      <w:r w:rsidR="006F1801">
        <w:rPr>
          <w:rFonts w:ascii="Arial" w:hAnsi="Arial" w:cs="Arial"/>
          <w:sz w:val="22"/>
          <w:szCs w:val="22"/>
        </w:rPr>
        <w:lastRenderedPageBreak/>
        <w:t>TTB further notes that it m</w:t>
      </w:r>
      <w:r w:rsidRPr="00853E85" w:rsidR="00853E85">
        <w:rPr>
          <w:rFonts w:ascii="Arial" w:hAnsi="Arial" w:cs="Arial"/>
          <w:sz w:val="22"/>
          <w:szCs w:val="22"/>
        </w:rPr>
        <w:t>aintains th</w:t>
      </w:r>
      <w:r w:rsidR="00606D6B">
        <w:rPr>
          <w:rFonts w:ascii="Arial" w:hAnsi="Arial" w:cs="Arial"/>
          <w:sz w:val="22"/>
          <w:szCs w:val="22"/>
        </w:rPr>
        <w:t xml:space="preserve">is information collection in </w:t>
      </w:r>
      <w:r w:rsidRPr="00853E85" w:rsidR="00853E85">
        <w:rPr>
          <w:rFonts w:ascii="Arial" w:hAnsi="Arial" w:cs="Arial"/>
          <w:sz w:val="22"/>
          <w:szCs w:val="22"/>
        </w:rPr>
        <w:t xml:space="preserve">secure file rooms </w:t>
      </w:r>
      <w:r w:rsidR="002A0EC9">
        <w:rPr>
          <w:rFonts w:ascii="Arial" w:hAnsi="Arial" w:cs="Arial"/>
          <w:sz w:val="22"/>
          <w:szCs w:val="22"/>
        </w:rPr>
        <w:t>w</w:t>
      </w:r>
      <w:r w:rsidRPr="00853E85" w:rsidR="00853E85">
        <w:rPr>
          <w:rFonts w:ascii="Arial" w:hAnsi="Arial" w:cs="Arial"/>
          <w:sz w:val="22"/>
          <w:szCs w:val="22"/>
        </w:rPr>
        <w:t>ith controlled access.</w:t>
      </w:r>
      <w:r w:rsidR="00853E85">
        <w:rPr>
          <w:rFonts w:ascii="Arial" w:hAnsi="Arial" w:cs="Arial"/>
          <w:sz w:val="22"/>
          <w:szCs w:val="22"/>
        </w:rPr>
        <w:t xml:space="preserve"> </w:t>
      </w:r>
    </w:p>
    <w:p w:rsidRPr="00A5320B" w:rsidR="00AF1157" w:rsidP="00D73D2D" w:rsidRDefault="00AF1157" w14:paraId="57D1BC89" w14:textId="77777777">
      <w:pPr>
        <w:suppressAutoHyphens/>
        <w:rPr>
          <w:rFonts w:ascii="Arial" w:hAnsi="Arial" w:cs="Arial"/>
          <w:sz w:val="36"/>
          <w:szCs w:val="36"/>
        </w:rPr>
      </w:pPr>
    </w:p>
    <w:p w:rsidRPr="00965E7F" w:rsidR="00A201BF" w:rsidP="00A201BF" w:rsidRDefault="00A201BF" w14:paraId="243AB2A1"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A201BF" w:rsidP="00A201BF" w:rsidRDefault="00A201BF" w14:paraId="7AE3A2AD" w14:textId="77777777">
      <w:pPr>
        <w:rPr>
          <w:rFonts w:ascii="Arial" w:hAnsi="Arial" w:cs="Arial"/>
          <w:i/>
          <w:sz w:val="22"/>
          <w:szCs w:val="22"/>
        </w:rPr>
      </w:pPr>
    </w:p>
    <w:p w:rsidR="00A5167D" w:rsidP="00A201BF" w:rsidRDefault="00A5167D" w14:paraId="09E4BF09" w14:textId="7A34CBB3">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 xml:space="preserve">This information collection contains no questions </w:t>
      </w:r>
      <w:r w:rsidR="00FE68E2">
        <w:rPr>
          <w:rFonts w:ascii="Arial" w:hAnsi="Arial" w:cs="Arial"/>
          <w:sz w:val="22"/>
          <w:szCs w:val="22"/>
        </w:rPr>
        <w:t xml:space="preserve">to the respondent </w:t>
      </w:r>
      <w:r w:rsidRPr="00A5167D">
        <w:rPr>
          <w:rFonts w:ascii="Arial" w:hAnsi="Arial" w:cs="Arial"/>
          <w:sz w:val="22"/>
          <w:szCs w:val="22"/>
        </w:rPr>
        <w:t>of a sensitive nature.  In addition, this information collection does not collect personally identifiable information (PII) in an electronic system.  Therefore, no Privacy Impact Assessment (PIA) or System of Records Notice (SORN) is required for this collection.</w:t>
      </w:r>
    </w:p>
    <w:p w:rsidRPr="00A5320B" w:rsidR="00A201BF" w:rsidP="00D73D2D" w:rsidRDefault="00A201BF" w14:paraId="27817D3C" w14:textId="77777777">
      <w:pPr>
        <w:suppressAutoHyphens/>
        <w:rPr>
          <w:rFonts w:ascii="Arial" w:hAnsi="Arial" w:cs="Arial"/>
          <w:sz w:val="36"/>
          <w:szCs w:val="36"/>
        </w:rPr>
      </w:pPr>
    </w:p>
    <w:p w:rsidRPr="00AF060A" w:rsidR="00AF1157" w:rsidP="00D73D2D" w:rsidRDefault="00AF060A" w14:paraId="2DAE2CC8" w14:textId="77777777">
      <w:pPr>
        <w:suppressAutoHyphens/>
        <w:rPr>
          <w:rFonts w:ascii="Arial" w:hAnsi="Arial" w:cs="Arial"/>
          <w:i/>
          <w:sz w:val="22"/>
          <w:szCs w:val="22"/>
        </w:rPr>
      </w:pPr>
      <w:r w:rsidRPr="00AF060A">
        <w:rPr>
          <w:rFonts w:ascii="Arial" w:hAnsi="Arial" w:cs="Arial"/>
          <w:i/>
          <w:sz w:val="22"/>
          <w:szCs w:val="22"/>
        </w:rPr>
        <w:t xml:space="preserve">12.  </w:t>
      </w:r>
      <w:r w:rsidRPr="00AF060A" w:rsidR="00AF1157">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rsidRPr="007A5D4B" w:rsidR="00AF1157" w:rsidP="00D73D2D" w:rsidRDefault="00AF1157" w14:paraId="0DF8C129" w14:textId="77777777">
      <w:pPr>
        <w:suppressAutoHyphens/>
        <w:rPr>
          <w:rFonts w:ascii="Arial" w:hAnsi="Arial" w:cs="Arial"/>
          <w:sz w:val="22"/>
          <w:szCs w:val="22"/>
        </w:rPr>
      </w:pPr>
    </w:p>
    <w:p w:rsidR="00CA5CD2" w:rsidP="0042718A" w:rsidRDefault="00281F9E" w14:paraId="18668E38" w14:textId="4ECF6A33">
      <w:pPr>
        <w:ind w:left="360"/>
        <w:rPr>
          <w:rFonts w:ascii="Arial" w:hAnsi="Arial" w:cs="Arial"/>
          <w:sz w:val="22"/>
          <w:szCs w:val="22"/>
        </w:rPr>
      </w:pPr>
      <w:r w:rsidRPr="00281F9E">
        <w:rPr>
          <w:rFonts w:ascii="Arial" w:hAnsi="Arial" w:cs="Arial"/>
          <w:sz w:val="22"/>
          <w:szCs w:val="22"/>
          <w:u w:val="single"/>
        </w:rPr>
        <w:t>Burden estimate:</w:t>
      </w:r>
      <w:r>
        <w:rPr>
          <w:rFonts w:ascii="Arial" w:hAnsi="Arial" w:cs="Arial"/>
          <w:sz w:val="22"/>
          <w:szCs w:val="22"/>
        </w:rPr>
        <w:t xml:space="preserve">  Based on recent data</w:t>
      </w:r>
      <w:r w:rsidR="00C263DB">
        <w:rPr>
          <w:rFonts w:ascii="Arial" w:hAnsi="Arial" w:cs="Arial"/>
          <w:sz w:val="22"/>
          <w:szCs w:val="22"/>
        </w:rPr>
        <w:t xml:space="preserve"> from TTB’s Field Operations office</w:t>
      </w:r>
      <w:r>
        <w:rPr>
          <w:rFonts w:ascii="Arial" w:hAnsi="Arial" w:cs="Arial"/>
          <w:sz w:val="22"/>
          <w:szCs w:val="22"/>
        </w:rPr>
        <w:t xml:space="preserve">, the Bureau </w:t>
      </w:r>
      <w:r w:rsidRPr="00CA5CD2" w:rsidR="002C1DA5">
        <w:rPr>
          <w:rFonts w:ascii="Arial" w:hAnsi="Arial" w:cs="Arial"/>
          <w:sz w:val="22"/>
          <w:szCs w:val="22"/>
        </w:rPr>
        <w:t xml:space="preserve">estimates </w:t>
      </w:r>
      <w:r w:rsidR="00C263DB">
        <w:rPr>
          <w:rFonts w:ascii="Arial" w:hAnsi="Arial" w:cs="Arial"/>
          <w:sz w:val="22"/>
          <w:szCs w:val="22"/>
        </w:rPr>
        <w:t xml:space="preserve">that it will provide information to 125 State and local government agencies </w:t>
      </w:r>
      <w:r w:rsidRPr="00CA5CD2" w:rsidR="002C1DA5">
        <w:rPr>
          <w:rFonts w:ascii="Arial" w:hAnsi="Arial" w:cs="Arial"/>
          <w:sz w:val="22"/>
          <w:szCs w:val="22"/>
        </w:rPr>
        <w:t>using TTB F 5000.21</w:t>
      </w:r>
      <w:r w:rsidR="00C263DB">
        <w:rPr>
          <w:rFonts w:ascii="Arial" w:hAnsi="Arial" w:cs="Arial"/>
          <w:sz w:val="22"/>
          <w:szCs w:val="22"/>
        </w:rPr>
        <w:t xml:space="preserve"> annually</w:t>
      </w:r>
      <w:r w:rsidRPr="00CA5CD2" w:rsidR="002C1DA5">
        <w:rPr>
          <w:rFonts w:ascii="Arial" w:hAnsi="Arial" w:cs="Arial"/>
          <w:sz w:val="22"/>
          <w:szCs w:val="22"/>
        </w:rPr>
        <w:t xml:space="preserve">, </w:t>
      </w:r>
      <w:r w:rsidR="00C263DB">
        <w:rPr>
          <w:rFonts w:ascii="Arial" w:hAnsi="Arial" w:cs="Arial"/>
          <w:sz w:val="22"/>
          <w:szCs w:val="22"/>
        </w:rPr>
        <w:t xml:space="preserve">with each such agency making one </w:t>
      </w:r>
      <w:r w:rsidRPr="00CA5CD2" w:rsidR="002C1DA5">
        <w:rPr>
          <w:rFonts w:ascii="Arial" w:hAnsi="Arial" w:cs="Arial"/>
          <w:sz w:val="22"/>
          <w:szCs w:val="22"/>
        </w:rPr>
        <w:t>response</w:t>
      </w:r>
      <w:r w:rsidR="00C263DB">
        <w:rPr>
          <w:rFonts w:ascii="Arial" w:hAnsi="Arial" w:cs="Arial"/>
          <w:sz w:val="22"/>
          <w:szCs w:val="22"/>
        </w:rPr>
        <w:t xml:space="preserve"> on that form, for a total of 125 responses.  </w:t>
      </w:r>
      <w:r w:rsidRPr="00CA5CD2" w:rsidR="00CA5CD2">
        <w:rPr>
          <w:rFonts w:ascii="Arial" w:hAnsi="Arial" w:cs="Arial"/>
          <w:sz w:val="22"/>
          <w:szCs w:val="22"/>
        </w:rPr>
        <w:t xml:space="preserve">TTB </w:t>
      </w:r>
      <w:r>
        <w:rPr>
          <w:rFonts w:ascii="Arial" w:hAnsi="Arial" w:cs="Arial"/>
          <w:sz w:val="22"/>
          <w:szCs w:val="22"/>
        </w:rPr>
        <w:t xml:space="preserve">further </w:t>
      </w:r>
      <w:r w:rsidRPr="00CA5CD2" w:rsidR="00CA5CD2">
        <w:rPr>
          <w:rFonts w:ascii="Arial" w:hAnsi="Arial" w:cs="Arial"/>
          <w:sz w:val="22"/>
          <w:szCs w:val="22"/>
        </w:rPr>
        <w:t>estimates that</w:t>
      </w:r>
      <w:r w:rsidR="00CA5CD2">
        <w:rPr>
          <w:rFonts w:ascii="Arial" w:hAnsi="Arial" w:cs="Arial"/>
          <w:sz w:val="22"/>
          <w:szCs w:val="22"/>
        </w:rPr>
        <w:t xml:space="preserve"> </w:t>
      </w:r>
      <w:r w:rsidR="00D72C31">
        <w:rPr>
          <w:rFonts w:ascii="Arial" w:hAnsi="Arial" w:cs="Arial"/>
          <w:sz w:val="22"/>
          <w:szCs w:val="22"/>
        </w:rPr>
        <w:t xml:space="preserve">State or local responding </w:t>
      </w:r>
      <w:r w:rsidR="00CA5CD2">
        <w:rPr>
          <w:rFonts w:ascii="Arial" w:hAnsi="Arial" w:cs="Arial"/>
          <w:sz w:val="22"/>
          <w:szCs w:val="22"/>
        </w:rPr>
        <w:t>agenc</w:t>
      </w:r>
      <w:r w:rsidR="00752DDD">
        <w:rPr>
          <w:rFonts w:ascii="Arial" w:hAnsi="Arial" w:cs="Arial"/>
          <w:sz w:val="22"/>
          <w:szCs w:val="22"/>
        </w:rPr>
        <w:t>ies</w:t>
      </w:r>
      <w:r w:rsidR="00CA5CD2">
        <w:rPr>
          <w:rFonts w:ascii="Arial" w:hAnsi="Arial" w:cs="Arial"/>
          <w:sz w:val="22"/>
          <w:szCs w:val="22"/>
        </w:rPr>
        <w:t xml:space="preserve"> require </w:t>
      </w:r>
      <w:r w:rsidRPr="00CA5CD2" w:rsidR="00CA5CD2">
        <w:rPr>
          <w:rFonts w:ascii="Arial" w:hAnsi="Arial" w:cs="Arial"/>
          <w:sz w:val="22"/>
          <w:szCs w:val="22"/>
        </w:rPr>
        <w:t xml:space="preserve">1 hour to complete </w:t>
      </w:r>
      <w:r w:rsidR="00752DDD">
        <w:rPr>
          <w:rFonts w:ascii="Arial" w:hAnsi="Arial" w:cs="Arial"/>
          <w:sz w:val="22"/>
          <w:szCs w:val="22"/>
        </w:rPr>
        <w:t xml:space="preserve">a </w:t>
      </w:r>
      <w:r w:rsidRPr="00CA5CD2" w:rsidR="00CA5CD2">
        <w:rPr>
          <w:rFonts w:ascii="Arial" w:hAnsi="Arial" w:cs="Arial"/>
          <w:sz w:val="22"/>
          <w:szCs w:val="22"/>
        </w:rPr>
        <w:t xml:space="preserve">response </w:t>
      </w:r>
      <w:r w:rsidR="00CA5CD2">
        <w:rPr>
          <w:rFonts w:ascii="Arial" w:hAnsi="Arial" w:cs="Arial"/>
          <w:sz w:val="22"/>
          <w:szCs w:val="22"/>
        </w:rPr>
        <w:t>on TTB F 5000.21</w:t>
      </w:r>
      <w:r w:rsidRPr="00CA5CD2" w:rsidR="00CA5CD2">
        <w:rPr>
          <w:rFonts w:ascii="Arial" w:hAnsi="Arial" w:cs="Arial"/>
          <w:sz w:val="22"/>
          <w:szCs w:val="22"/>
        </w:rPr>
        <w:t xml:space="preserve">, for an estimated total of </w:t>
      </w:r>
      <w:r w:rsidR="00D72C31">
        <w:rPr>
          <w:rFonts w:ascii="Arial" w:hAnsi="Arial" w:cs="Arial"/>
          <w:sz w:val="22"/>
          <w:szCs w:val="22"/>
        </w:rPr>
        <w:t>1</w:t>
      </w:r>
      <w:r>
        <w:rPr>
          <w:rFonts w:ascii="Arial" w:hAnsi="Arial" w:cs="Arial"/>
          <w:sz w:val="22"/>
          <w:szCs w:val="22"/>
        </w:rPr>
        <w:t>25</w:t>
      </w:r>
      <w:r w:rsidRPr="00CA5CD2" w:rsidR="00CA5CD2">
        <w:rPr>
          <w:rFonts w:ascii="Arial" w:hAnsi="Arial" w:cs="Arial"/>
          <w:sz w:val="22"/>
          <w:szCs w:val="22"/>
        </w:rPr>
        <w:t xml:space="preserve"> annual burden hours. </w:t>
      </w:r>
    </w:p>
    <w:p w:rsidR="00281F9E" w:rsidP="0042718A" w:rsidRDefault="00281F9E" w14:paraId="08FFC971" w14:textId="66C5BC13">
      <w:pPr>
        <w:ind w:left="360"/>
        <w:rPr>
          <w:rFonts w:ascii="Arial" w:hAnsi="Arial" w:cs="Arial"/>
          <w:sz w:val="22"/>
          <w:szCs w:val="22"/>
        </w:rPr>
      </w:pPr>
    </w:p>
    <w:p w:rsidRPr="006006B3" w:rsidR="00281F9E" w:rsidP="00281F9E" w:rsidRDefault="00281F9E" w14:paraId="5FA8EAFF" w14:textId="60E16D6F">
      <w:pPr>
        <w:ind w:left="360"/>
        <w:rPr>
          <w:rFonts w:ascii="Arial" w:hAnsi="Arial" w:cs="Arial"/>
          <w:sz w:val="22"/>
          <w:szCs w:val="22"/>
        </w:rPr>
      </w:pPr>
      <w:r w:rsidRPr="006006B3">
        <w:rPr>
          <w:rFonts w:ascii="Arial" w:hAnsi="Arial" w:cs="Arial"/>
          <w:sz w:val="22"/>
          <w:szCs w:val="22"/>
          <w:u w:val="single"/>
        </w:rPr>
        <w:t>Respondent Labor Costs:</w:t>
      </w:r>
      <w:r w:rsidRPr="006006B3">
        <w:rPr>
          <w:rFonts w:ascii="Arial" w:hAnsi="Arial" w:cs="Arial"/>
          <w:sz w:val="22"/>
          <w:szCs w:val="22"/>
        </w:rPr>
        <w:t xml:space="preserve">  TTB estimates the per-respondent and total labor cost burden for </w:t>
      </w:r>
      <w:r w:rsidRPr="006006B3" w:rsidR="004929A0">
        <w:rPr>
          <w:rFonts w:ascii="Arial" w:hAnsi="Arial" w:cs="Arial"/>
          <w:sz w:val="22"/>
          <w:szCs w:val="22"/>
        </w:rPr>
        <w:t xml:space="preserve">State and local government respondents to this information collection </w:t>
      </w:r>
      <w:r w:rsidRPr="006006B3">
        <w:rPr>
          <w:rFonts w:ascii="Arial" w:hAnsi="Arial" w:cs="Arial"/>
          <w:sz w:val="22"/>
          <w:szCs w:val="22"/>
        </w:rPr>
        <w:t xml:space="preserve">as follows: </w:t>
      </w:r>
    </w:p>
    <w:p w:rsidRPr="006006B3" w:rsidR="00281F9E" w:rsidP="00281F9E" w:rsidRDefault="00281F9E" w14:paraId="6E4C1BEA" w14:textId="77777777">
      <w:pPr>
        <w:ind w:left="360"/>
        <w:rPr>
          <w:rFonts w:ascii="Arial" w:hAnsi="Arial" w:cs="Arial"/>
          <w:sz w:val="22"/>
          <w:szCs w:val="22"/>
        </w:rPr>
      </w:pPr>
    </w:p>
    <w:p w:rsidR="00281F9E" w:rsidP="00281F9E" w:rsidRDefault="00281F9E" w14:paraId="78D7D3B2" w14:textId="7D0ECA6E">
      <w:pPr>
        <w:ind w:left="360"/>
        <w:rPr>
          <w:rFonts w:ascii="Arial" w:hAnsi="Arial" w:cs="Arial"/>
          <w:sz w:val="22"/>
          <w:szCs w:val="22"/>
        </w:rPr>
      </w:pPr>
      <w:r w:rsidRPr="006006B3">
        <w:rPr>
          <w:rFonts w:ascii="Arial" w:hAnsi="Arial" w:cs="Arial"/>
          <w:sz w:val="22"/>
          <w:szCs w:val="22"/>
        </w:rPr>
        <w:t xml:space="preserve">Average fully-loaded labor rate for </w:t>
      </w:r>
      <w:r w:rsidRPr="006006B3" w:rsidR="004929A0">
        <w:rPr>
          <w:rFonts w:ascii="Arial" w:hAnsi="Arial" w:cs="Arial"/>
          <w:sz w:val="22"/>
          <w:szCs w:val="22"/>
        </w:rPr>
        <w:t xml:space="preserve">Detectives and Criminal Investigators (State and local governments) </w:t>
      </w:r>
      <w:r w:rsidRPr="006006B3">
        <w:rPr>
          <w:rFonts w:ascii="Arial" w:hAnsi="Arial" w:cs="Arial"/>
          <w:sz w:val="22"/>
          <w:szCs w:val="22"/>
        </w:rPr>
        <w:t>= $</w:t>
      </w:r>
      <w:r w:rsidRPr="006006B3" w:rsidR="004929A0">
        <w:rPr>
          <w:rFonts w:ascii="Arial" w:hAnsi="Arial" w:cs="Arial"/>
          <w:sz w:val="22"/>
          <w:szCs w:val="22"/>
        </w:rPr>
        <w:t xml:space="preserve">66.18 per </w:t>
      </w:r>
      <w:r w:rsidRPr="006006B3">
        <w:rPr>
          <w:rFonts w:ascii="Arial" w:hAnsi="Arial" w:cs="Arial"/>
          <w:sz w:val="22"/>
          <w:szCs w:val="22"/>
        </w:rPr>
        <w:t>hour x 1 hour per response = $</w:t>
      </w:r>
      <w:r w:rsidRPr="006006B3" w:rsidR="004929A0">
        <w:rPr>
          <w:rFonts w:ascii="Arial" w:hAnsi="Arial" w:cs="Arial"/>
          <w:sz w:val="22"/>
          <w:szCs w:val="22"/>
        </w:rPr>
        <w:t>66.18</w:t>
      </w:r>
      <w:r w:rsidRPr="006006B3">
        <w:rPr>
          <w:rFonts w:ascii="Arial" w:hAnsi="Arial" w:cs="Arial"/>
          <w:sz w:val="22"/>
          <w:szCs w:val="22"/>
        </w:rPr>
        <w:t xml:space="preserve"> per response x </w:t>
      </w:r>
      <w:r w:rsidRPr="006006B3" w:rsidR="004929A0">
        <w:rPr>
          <w:rFonts w:ascii="Arial" w:hAnsi="Arial" w:cs="Arial"/>
          <w:sz w:val="22"/>
          <w:szCs w:val="22"/>
        </w:rPr>
        <w:t xml:space="preserve">125 </w:t>
      </w:r>
      <w:r w:rsidRPr="006006B3">
        <w:rPr>
          <w:rFonts w:ascii="Arial" w:hAnsi="Arial" w:cs="Arial"/>
          <w:sz w:val="22"/>
          <w:szCs w:val="22"/>
        </w:rPr>
        <w:t>annual responses = $</w:t>
      </w:r>
      <w:r w:rsidRPr="006006B3" w:rsidR="004929A0">
        <w:rPr>
          <w:rFonts w:ascii="Arial" w:hAnsi="Arial" w:cs="Arial"/>
          <w:sz w:val="22"/>
          <w:szCs w:val="22"/>
        </w:rPr>
        <w:t>8,272.50</w:t>
      </w:r>
      <w:r w:rsidRPr="006006B3">
        <w:rPr>
          <w:rFonts w:ascii="Arial" w:hAnsi="Arial" w:cs="Arial"/>
          <w:sz w:val="22"/>
          <w:szCs w:val="22"/>
        </w:rPr>
        <w:t xml:space="preserve"> in total respondent labor costs.</w:t>
      </w:r>
      <w:r w:rsidRPr="006006B3">
        <w:rPr>
          <w:rStyle w:val="FootnoteReference"/>
          <w:rFonts w:ascii="Arial" w:hAnsi="Arial" w:cs="Arial" w:eastAsiaTheme="majorEastAsia"/>
          <w:sz w:val="22"/>
          <w:szCs w:val="22"/>
        </w:rPr>
        <w:footnoteReference w:id="1"/>
      </w:r>
      <w:r>
        <w:rPr>
          <w:rFonts w:ascii="Arial" w:hAnsi="Arial" w:cs="Arial"/>
          <w:sz w:val="22"/>
          <w:szCs w:val="22"/>
        </w:rPr>
        <w:t xml:space="preserve"> </w:t>
      </w:r>
    </w:p>
    <w:p w:rsidRPr="00A5320B" w:rsidR="00AF060A" w:rsidP="00D73D2D" w:rsidRDefault="00AF060A" w14:paraId="5D6DD10D" w14:textId="77777777">
      <w:pPr>
        <w:rPr>
          <w:rFonts w:ascii="Arial" w:hAnsi="Arial" w:cs="Arial"/>
          <w:sz w:val="36"/>
          <w:szCs w:val="36"/>
        </w:rPr>
      </w:pPr>
    </w:p>
    <w:p w:rsidRPr="00AF060A" w:rsidR="00101DE7" w:rsidP="00D73D2D" w:rsidRDefault="00AF060A" w14:paraId="58F9B7FD" w14:textId="77777777">
      <w:pPr>
        <w:suppressAutoHyphens/>
        <w:rPr>
          <w:rFonts w:ascii="Arial" w:hAnsi="Arial" w:cs="Arial"/>
          <w:i/>
          <w:sz w:val="22"/>
          <w:szCs w:val="22"/>
        </w:rPr>
      </w:pPr>
      <w:r w:rsidRPr="00AF060A">
        <w:rPr>
          <w:rFonts w:ascii="Arial" w:hAnsi="Arial" w:cs="Arial"/>
          <w:i/>
          <w:sz w:val="22"/>
          <w:szCs w:val="22"/>
        </w:rPr>
        <w:t xml:space="preserve">13.  </w:t>
      </w:r>
      <w:r w:rsidRPr="00AF060A" w:rsidR="00101DE7">
        <w:rPr>
          <w:rFonts w:ascii="Arial" w:hAnsi="Arial" w:cs="Arial"/>
          <w:i/>
          <w:sz w:val="22"/>
          <w:szCs w:val="22"/>
        </w:rPr>
        <w:t>What is the estimated annual cost burden to respondents or record keepers resulting from this information collection request (excluding the value of the hour burden</w:t>
      </w:r>
      <w:r w:rsidRPr="00AF060A" w:rsidR="0033260C">
        <w:rPr>
          <w:rFonts w:ascii="Arial" w:hAnsi="Arial" w:cs="Arial"/>
          <w:i/>
          <w:sz w:val="22"/>
          <w:szCs w:val="22"/>
        </w:rPr>
        <w:t xml:space="preserve"> </w:t>
      </w:r>
      <w:r w:rsidRPr="00AF060A" w:rsidR="00101DE7">
        <w:rPr>
          <w:rFonts w:ascii="Arial" w:hAnsi="Arial" w:cs="Arial"/>
          <w:i/>
          <w:sz w:val="22"/>
          <w:szCs w:val="22"/>
        </w:rPr>
        <w:t>in Question 12 above)?</w:t>
      </w:r>
      <w:r w:rsidRPr="00AF060A">
        <w:rPr>
          <w:rFonts w:ascii="Arial" w:hAnsi="Arial" w:cs="Arial"/>
          <w:i/>
          <w:sz w:val="22"/>
          <w:szCs w:val="22"/>
        </w:rPr>
        <w:t xml:space="preserve"> </w:t>
      </w:r>
    </w:p>
    <w:p w:rsidRPr="007A5D4B" w:rsidR="00101DE7" w:rsidP="00D73D2D" w:rsidRDefault="00101DE7" w14:paraId="7F143DB2" w14:textId="77777777">
      <w:pPr>
        <w:suppressAutoHyphens/>
        <w:ind w:left="480" w:hanging="480"/>
        <w:rPr>
          <w:rFonts w:ascii="Arial" w:hAnsi="Arial" w:cs="Arial"/>
          <w:sz w:val="22"/>
          <w:szCs w:val="22"/>
        </w:rPr>
      </w:pPr>
    </w:p>
    <w:p w:rsidRPr="002167BF" w:rsidR="00281F9E" w:rsidP="00281F9E" w:rsidRDefault="00752DDD" w14:paraId="03D1BBF4" w14:textId="7C607C87">
      <w:pPr>
        <w:ind w:left="360"/>
        <w:rPr>
          <w:rFonts w:ascii="Arial" w:hAnsi="Arial" w:cs="Arial"/>
          <w:sz w:val="22"/>
          <w:szCs w:val="22"/>
        </w:rPr>
      </w:pPr>
      <w:r>
        <w:rPr>
          <w:rFonts w:ascii="Arial" w:hAnsi="Arial" w:cs="Arial"/>
          <w:sz w:val="22"/>
          <w:szCs w:val="22"/>
        </w:rPr>
        <w:t xml:space="preserve">State and local government agencies to which TTB has referred information complete a response to this information collection only on </w:t>
      </w:r>
      <w:r w:rsidR="00281F9E">
        <w:rPr>
          <w:rFonts w:ascii="Arial" w:hAnsi="Arial" w:cs="Arial"/>
          <w:sz w:val="22"/>
          <w:szCs w:val="22"/>
        </w:rPr>
        <w:t xml:space="preserve">an </w:t>
      </w:r>
      <w:r w:rsidR="008A27B8">
        <w:rPr>
          <w:rFonts w:ascii="Arial" w:hAnsi="Arial" w:cs="Arial"/>
          <w:sz w:val="22"/>
          <w:szCs w:val="22"/>
        </w:rPr>
        <w:t>occasional</w:t>
      </w:r>
      <w:r w:rsidR="00327FE9">
        <w:rPr>
          <w:rFonts w:ascii="Arial" w:hAnsi="Arial" w:cs="Arial"/>
          <w:sz w:val="22"/>
          <w:szCs w:val="22"/>
        </w:rPr>
        <w:t>, voluntary</w:t>
      </w:r>
      <w:r w:rsidR="008A27B8">
        <w:rPr>
          <w:rFonts w:ascii="Arial" w:hAnsi="Arial" w:cs="Arial"/>
          <w:sz w:val="22"/>
          <w:szCs w:val="22"/>
        </w:rPr>
        <w:t xml:space="preserve"> </w:t>
      </w:r>
      <w:r w:rsidR="00281F9E">
        <w:rPr>
          <w:rFonts w:ascii="Arial" w:hAnsi="Arial" w:cs="Arial"/>
          <w:sz w:val="22"/>
          <w:szCs w:val="22"/>
        </w:rPr>
        <w:t>basis using information that is readily available to the respondent.  As such, th</w:t>
      </w:r>
      <w:r w:rsidRPr="002167BF" w:rsidR="00281F9E">
        <w:rPr>
          <w:rFonts w:ascii="Arial" w:hAnsi="Arial" w:cs="Arial"/>
          <w:sz w:val="22"/>
          <w:szCs w:val="22"/>
        </w:rPr>
        <w:t xml:space="preserve">ere </w:t>
      </w:r>
      <w:r w:rsidR="00281F9E">
        <w:rPr>
          <w:rFonts w:ascii="Arial" w:hAnsi="Arial" w:cs="Arial"/>
          <w:sz w:val="22"/>
          <w:szCs w:val="22"/>
        </w:rPr>
        <w:t xml:space="preserve">are no annual costs to the respondent associated with this </w:t>
      </w:r>
      <w:r w:rsidRPr="002167BF" w:rsidR="00281F9E">
        <w:rPr>
          <w:rFonts w:ascii="Arial" w:hAnsi="Arial" w:cs="Arial"/>
          <w:sz w:val="22"/>
          <w:szCs w:val="22"/>
        </w:rPr>
        <w:t>collection</w:t>
      </w:r>
      <w:r w:rsidR="00281F9E">
        <w:rPr>
          <w:rFonts w:ascii="Arial" w:hAnsi="Arial" w:cs="Arial"/>
          <w:sz w:val="22"/>
          <w:szCs w:val="22"/>
        </w:rPr>
        <w:t xml:space="preserve"> other than mailing costs, which TTB estimates to be no more than $2.00 per res</w:t>
      </w:r>
      <w:r w:rsidR="008A27B8">
        <w:rPr>
          <w:rFonts w:ascii="Arial" w:hAnsi="Arial" w:cs="Arial"/>
          <w:sz w:val="22"/>
          <w:szCs w:val="22"/>
        </w:rPr>
        <w:t>ponse, for a total of cost of $250</w:t>
      </w:r>
      <w:r w:rsidR="00281F9E">
        <w:rPr>
          <w:rFonts w:ascii="Arial" w:hAnsi="Arial" w:cs="Arial"/>
          <w:sz w:val="22"/>
          <w:szCs w:val="22"/>
        </w:rPr>
        <w:t xml:space="preserve">.00 for </w:t>
      </w:r>
      <w:r w:rsidR="008A27B8">
        <w:rPr>
          <w:rFonts w:ascii="Arial" w:hAnsi="Arial" w:cs="Arial"/>
          <w:sz w:val="22"/>
          <w:szCs w:val="22"/>
        </w:rPr>
        <w:t>125</w:t>
      </w:r>
      <w:r w:rsidR="00281F9E">
        <w:rPr>
          <w:rFonts w:ascii="Arial" w:hAnsi="Arial" w:cs="Arial"/>
          <w:sz w:val="22"/>
          <w:szCs w:val="22"/>
        </w:rPr>
        <w:t xml:space="preserve"> annual responses</w:t>
      </w:r>
      <w:r w:rsidRPr="002167BF" w:rsidR="00281F9E">
        <w:rPr>
          <w:rFonts w:ascii="Arial" w:hAnsi="Arial" w:cs="Arial"/>
          <w:sz w:val="22"/>
          <w:szCs w:val="22"/>
        </w:rPr>
        <w:t xml:space="preserve">. </w:t>
      </w:r>
    </w:p>
    <w:p w:rsidRPr="00A5320B" w:rsidR="00AF1157" w:rsidP="00D73D2D" w:rsidRDefault="00AF1157" w14:paraId="1873C728" w14:textId="77777777">
      <w:pPr>
        <w:suppressAutoHyphens/>
        <w:rPr>
          <w:rFonts w:ascii="Arial" w:hAnsi="Arial" w:cs="Arial"/>
          <w:sz w:val="36"/>
          <w:szCs w:val="36"/>
        </w:rPr>
      </w:pPr>
    </w:p>
    <w:p w:rsidR="00752DDD" w:rsidRDefault="00752DDD" w14:paraId="7B98CD7C" w14:textId="77777777">
      <w:pPr>
        <w:rPr>
          <w:rFonts w:ascii="Arial" w:hAnsi="Arial" w:cs="Arial"/>
          <w:i/>
          <w:sz w:val="22"/>
          <w:szCs w:val="22"/>
        </w:rPr>
      </w:pPr>
      <w:r>
        <w:rPr>
          <w:rFonts w:ascii="Arial" w:hAnsi="Arial" w:cs="Arial"/>
          <w:i/>
          <w:sz w:val="22"/>
          <w:szCs w:val="22"/>
        </w:rPr>
        <w:br w:type="page"/>
      </w:r>
    </w:p>
    <w:p w:rsidRPr="00C953E2" w:rsidR="008A27B8" w:rsidP="008A27B8" w:rsidRDefault="008A27B8" w14:paraId="5CF1D944" w14:textId="0156D793">
      <w:pPr>
        <w:suppressAutoHyphens/>
        <w:ind w:left="480" w:hanging="480"/>
        <w:rPr>
          <w:rFonts w:ascii="Arial" w:hAnsi="Arial" w:cs="Arial"/>
          <w:i/>
          <w:sz w:val="22"/>
          <w:szCs w:val="22"/>
        </w:rPr>
      </w:pPr>
      <w:r w:rsidRPr="00B84F75">
        <w:rPr>
          <w:rFonts w:ascii="Arial" w:hAnsi="Arial" w:cs="Arial"/>
          <w:i/>
          <w:sz w:val="22"/>
          <w:szCs w:val="22"/>
        </w:rPr>
        <w:lastRenderedPageBreak/>
        <w:t>14.  What is the annualized cost to the Federal Government?</w:t>
      </w:r>
      <w:r w:rsidRPr="00C953E2">
        <w:rPr>
          <w:rFonts w:ascii="Arial" w:hAnsi="Arial" w:cs="Arial"/>
          <w:i/>
          <w:sz w:val="22"/>
          <w:szCs w:val="22"/>
        </w:rPr>
        <w:t xml:space="preserve"> </w:t>
      </w:r>
    </w:p>
    <w:p w:rsidRPr="00C953E2" w:rsidR="008A27B8" w:rsidP="008A27B8" w:rsidRDefault="008A27B8" w14:paraId="4528ED07" w14:textId="77777777">
      <w:pPr>
        <w:suppressAutoHyphens/>
        <w:ind w:left="480" w:hanging="480"/>
        <w:rPr>
          <w:rFonts w:ascii="Arial" w:hAnsi="Arial" w:cs="Arial"/>
          <w:sz w:val="22"/>
          <w:szCs w:val="22"/>
        </w:rPr>
      </w:pPr>
    </w:p>
    <w:p w:rsidR="008A27B8" w:rsidP="008A27B8" w:rsidRDefault="006006B3" w14:paraId="592D2454" w14:textId="7BD9AF10">
      <w:pPr>
        <w:ind w:left="360"/>
        <w:rPr>
          <w:rFonts w:ascii="Arial" w:hAnsi="Arial" w:cs="Arial"/>
          <w:sz w:val="22"/>
          <w:szCs w:val="22"/>
        </w:rPr>
      </w:pPr>
      <w:r>
        <w:rPr>
          <w:rFonts w:ascii="Arial" w:hAnsi="Arial" w:cs="Arial"/>
          <w:sz w:val="22"/>
          <w:szCs w:val="22"/>
        </w:rPr>
        <w:t>Based on currently salary and benefit costs of a GS–13, step 5, Federal employee, TTB e</w:t>
      </w:r>
      <w:r w:rsidRPr="00C953E2" w:rsidR="008A27B8">
        <w:rPr>
          <w:rFonts w:ascii="Arial" w:hAnsi="Arial" w:cs="Arial"/>
          <w:sz w:val="22"/>
          <w:szCs w:val="22"/>
        </w:rPr>
        <w:t xml:space="preserve">stimates of annual cost to the Federal Government </w:t>
      </w:r>
      <w:r>
        <w:rPr>
          <w:rFonts w:ascii="Arial" w:hAnsi="Arial" w:cs="Arial"/>
          <w:sz w:val="22"/>
          <w:szCs w:val="22"/>
        </w:rPr>
        <w:t xml:space="preserve">for this information collection as follows: </w:t>
      </w:r>
    </w:p>
    <w:p w:rsidRPr="00C953E2" w:rsidR="006006B3" w:rsidP="008A27B8" w:rsidRDefault="006006B3" w14:paraId="0CF9270B" w14:textId="77777777">
      <w:pPr>
        <w:ind w:left="360"/>
        <w:rPr>
          <w:rFonts w:ascii="Arial" w:hAnsi="Arial" w:cs="Arial"/>
          <w:sz w:val="22"/>
          <w:szCs w:val="22"/>
        </w:rPr>
      </w:pPr>
    </w:p>
    <w:tbl>
      <w:tblPr>
        <w:tblW w:w="4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288" w:type="dxa"/>
        </w:tblCellMar>
        <w:tblLook w:val="04A0" w:firstRow="1" w:lastRow="0" w:firstColumn="1" w:lastColumn="0" w:noHBand="0" w:noVBand="1"/>
      </w:tblPr>
      <w:tblGrid>
        <w:gridCol w:w="2995"/>
        <w:gridCol w:w="1865"/>
      </w:tblGrid>
      <w:tr w:rsidRPr="00C953E2" w:rsidR="008A27B8" w:rsidTr="001743C7" w14:paraId="0BBE07DA" w14:textId="77777777">
        <w:trPr>
          <w:trHeight w:val="576"/>
          <w:jc w:val="center"/>
        </w:trPr>
        <w:tc>
          <w:tcPr>
            <w:tcW w:w="3118" w:type="dxa"/>
            <w:shd w:val="clear" w:color="auto" w:fill="auto"/>
            <w:vAlign w:val="center"/>
          </w:tcPr>
          <w:p w:rsidRPr="00C953E2" w:rsidR="008A27B8" w:rsidP="001743C7" w:rsidRDefault="008A27B8" w14:paraId="33D795D0" w14:textId="7A59210C">
            <w:pPr>
              <w:ind w:left="72"/>
              <w:rPr>
                <w:rFonts w:ascii="Arial" w:hAnsi="Arial" w:cs="Arial"/>
                <w:sz w:val="22"/>
                <w:szCs w:val="22"/>
              </w:rPr>
            </w:pPr>
            <w:r w:rsidRPr="00C953E2">
              <w:rPr>
                <w:rFonts w:ascii="Arial" w:hAnsi="Arial" w:cs="Arial"/>
                <w:sz w:val="22"/>
                <w:szCs w:val="22"/>
              </w:rPr>
              <w:t>Overhead</w:t>
            </w:r>
            <w:r w:rsidR="002C69AA">
              <w:rPr>
                <w:rFonts w:ascii="Arial" w:hAnsi="Arial" w:cs="Arial"/>
                <w:sz w:val="22"/>
                <w:szCs w:val="22"/>
              </w:rPr>
              <w:t xml:space="preserve"> &amp; mailing costs</w:t>
            </w:r>
          </w:p>
        </w:tc>
        <w:tc>
          <w:tcPr>
            <w:tcW w:w="1742" w:type="dxa"/>
            <w:shd w:val="clear" w:color="auto" w:fill="auto"/>
            <w:vAlign w:val="center"/>
          </w:tcPr>
          <w:p w:rsidRPr="00C953E2" w:rsidR="008A27B8" w:rsidP="00B84F75" w:rsidRDefault="008A27B8" w14:paraId="709B2A98" w14:textId="2F48EA85">
            <w:pPr>
              <w:ind w:left="360"/>
              <w:jc w:val="right"/>
              <w:rPr>
                <w:rFonts w:ascii="Arial" w:hAnsi="Arial" w:cs="Arial"/>
                <w:sz w:val="22"/>
                <w:szCs w:val="22"/>
              </w:rPr>
            </w:pPr>
            <w:r w:rsidRPr="00C953E2">
              <w:rPr>
                <w:rFonts w:ascii="Arial" w:hAnsi="Arial" w:cs="Arial"/>
                <w:sz w:val="22"/>
                <w:szCs w:val="22"/>
              </w:rPr>
              <w:t>$</w:t>
            </w:r>
            <w:r w:rsidR="00B84F75">
              <w:rPr>
                <w:rFonts w:ascii="Arial" w:hAnsi="Arial" w:cs="Arial"/>
                <w:sz w:val="22"/>
                <w:szCs w:val="22"/>
              </w:rPr>
              <w:t>375.00</w:t>
            </w:r>
          </w:p>
        </w:tc>
      </w:tr>
      <w:tr w:rsidRPr="00C953E2" w:rsidR="008A27B8" w:rsidTr="001743C7" w14:paraId="738E0A3B" w14:textId="77777777">
        <w:trPr>
          <w:trHeight w:val="576"/>
          <w:jc w:val="center"/>
        </w:trPr>
        <w:tc>
          <w:tcPr>
            <w:tcW w:w="3118" w:type="dxa"/>
            <w:tcBorders>
              <w:bottom w:val="single" w:color="auto" w:sz="12" w:space="0"/>
            </w:tcBorders>
            <w:shd w:val="clear" w:color="auto" w:fill="auto"/>
            <w:vAlign w:val="center"/>
          </w:tcPr>
          <w:p w:rsidRPr="00C953E2" w:rsidR="008A27B8" w:rsidP="001743C7" w:rsidRDefault="008A27B8" w14:paraId="143FE8C6" w14:textId="77777777">
            <w:pPr>
              <w:ind w:left="72"/>
              <w:rPr>
                <w:rFonts w:ascii="Arial" w:hAnsi="Arial" w:cs="Arial"/>
                <w:sz w:val="22"/>
                <w:szCs w:val="22"/>
              </w:rPr>
            </w:pPr>
            <w:r w:rsidRPr="00C953E2">
              <w:rPr>
                <w:rFonts w:ascii="Arial" w:hAnsi="Arial" w:cs="Arial"/>
                <w:sz w:val="22"/>
                <w:szCs w:val="22"/>
              </w:rPr>
              <w:t>Salary costs (review, supervisory, etc.)</w:t>
            </w:r>
            <w:r w:rsidRPr="00C953E2">
              <w:rPr>
                <w:rStyle w:val="FootnoteReference"/>
                <w:rFonts w:ascii="Arial" w:hAnsi="Arial" w:cs="Arial" w:eastAsiaTheme="majorEastAsia"/>
                <w:sz w:val="22"/>
                <w:szCs w:val="22"/>
              </w:rPr>
              <w:footnoteReference w:id="2"/>
            </w:r>
          </w:p>
        </w:tc>
        <w:tc>
          <w:tcPr>
            <w:tcW w:w="1742" w:type="dxa"/>
            <w:tcBorders>
              <w:bottom w:val="single" w:color="auto" w:sz="12" w:space="0"/>
            </w:tcBorders>
            <w:shd w:val="clear" w:color="auto" w:fill="auto"/>
            <w:vAlign w:val="center"/>
          </w:tcPr>
          <w:p w:rsidRPr="00C953E2" w:rsidR="008A27B8" w:rsidP="00B84F75" w:rsidRDefault="008A27B8" w14:paraId="72D1BEB5" w14:textId="40537D17">
            <w:pPr>
              <w:ind w:left="360"/>
              <w:jc w:val="right"/>
              <w:rPr>
                <w:rFonts w:ascii="Arial" w:hAnsi="Arial" w:cs="Arial"/>
                <w:sz w:val="22"/>
                <w:szCs w:val="22"/>
              </w:rPr>
            </w:pPr>
            <w:r w:rsidRPr="00C953E2">
              <w:rPr>
                <w:rFonts w:ascii="Arial" w:hAnsi="Arial" w:cs="Arial"/>
                <w:sz w:val="22"/>
                <w:szCs w:val="22"/>
              </w:rPr>
              <w:t>$</w:t>
            </w:r>
            <w:r w:rsidR="00B84F75">
              <w:rPr>
                <w:rFonts w:ascii="Arial" w:hAnsi="Arial" w:cs="Arial"/>
                <w:sz w:val="22"/>
                <w:szCs w:val="22"/>
              </w:rPr>
              <w:t>10,495</w:t>
            </w:r>
            <w:r w:rsidRPr="00C953E2">
              <w:rPr>
                <w:rFonts w:ascii="Arial" w:hAnsi="Arial" w:cs="Arial"/>
                <w:sz w:val="22"/>
                <w:szCs w:val="22"/>
              </w:rPr>
              <w:t>.00</w:t>
            </w:r>
          </w:p>
        </w:tc>
      </w:tr>
      <w:tr w:rsidRPr="00C953E2" w:rsidR="008A27B8" w:rsidTr="001743C7" w14:paraId="1487C020" w14:textId="77777777">
        <w:trPr>
          <w:trHeight w:val="576"/>
          <w:jc w:val="center"/>
        </w:trPr>
        <w:tc>
          <w:tcPr>
            <w:tcW w:w="3118" w:type="dxa"/>
            <w:tcBorders>
              <w:top w:val="single" w:color="auto" w:sz="12" w:space="0"/>
            </w:tcBorders>
            <w:shd w:val="clear" w:color="auto" w:fill="auto"/>
            <w:vAlign w:val="center"/>
          </w:tcPr>
          <w:p w:rsidRPr="00C953E2" w:rsidR="008A27B8" w:rsidP="001743C7" w:rsidRDefault="008A27B8" w14:paraId="2B2B699A" w14:textId="77777777">
            <w:pPr>
              <w:ind w:left="72"/>
              <w:rPr>
                <w:rFonts w:ascii="Arial" w:hAnsi="Arial" w:cs="Arial"/>
                <w:sz w:val="22"/>
                <w:szCs w:val="22"/>
              </w:rPr>
            </w:pPr>
            <w:r w:rsidRPr="00C953E2">
              <w:rPr>
                <w:rFonts w:ascii="Arial" w:hAnsi="Arial" w:cs="Arial"/>
                <w:sz w:val="22"/>
                <w:szCs w:val="22"/>
              </w:rPr>
              <w:t xml:space="preserve">TOTAL COSTS </w:t>
            </w:r>
          </w:p>
        </w:tc>
        <w:tc>
          <w:tcPr>
            <w:tcW w:w="1742" w:type="dxa"/>
            <w:tcBorders>
              <w:top w:val="single" w:color="auto" w:sz="12" w:space="0"/>
            </w:tcBorders>
            <w:shd w:val="clear" w:color="auto" w:fill="auto"/>
            <w:vAlign w:val="center"/>
          </w:tcPr>
          <w:p w:rsidRPr="00C953E2" w:rsidR="008A27B8" w:rsidP="00B84F75" w:rsidRDefault="008A27B8" w14:paraId="3B7F0FA3" w14:textId="689C9969">
            <w:pPr>
              <w:ind w:left="360"/>
              <w:jc w:val="right"/>
              <w:rPr>
                <w:rFonts w:ascii="Arial" w:hAnsi="Arial" w:cs="Arial"/>
                <w:sz w:val="22"/>
                <w:szCs w:val="22"/>
              </w:rPr>
            </w:pPr>
            <w:r w:rsidRPr="00C953E2">
              <w:rPr>
                <w:rFonts w:ascii="Arial" w:hAnsi="Arial" w:cs="Arial"/>
                <w:sz w:val="22"/>
                <w:szCs w:val="22"/>
              </w:rPr>
              <w:t>$</w:t>
            </w:r>
            <w:r w:rsidR="00B84F75">
              <w:rPr>
                <w:rFonts w:ascii="Arial" w:hAnsi="Arial" w:cs="Arial"/>
                <w:sz w:val="22"/>
                <w:szCs w:val="22"/>
              </w:rPr>
              <w:t>10,870</w:t>
            </w:r>
            <w:r w:rsidRPr="00C953E2">
              <w:rPr>
                <w:rFonts w:ascii="Arial" w:hAnsi="Arial" w:cs="Arial"/>
                <w:sz w:val="22"/>
                <w:szCs w:val="22"/>
              </w:rPr>
              <w:t>.00</w:t>
            </w:r>
          </w:p>
        </w:tc>
      </w:tr>
    </w:tbl>
    <w:p w:rsidRPr="00C953E2" w:rsidR="008A27B8" w:rsidP="008A27B8" w:rsidRDefault="008A27B8" w14:paraId="36E25249" w14:textId="77777777">
      <w:pPr>
        <w:ind w:left="360"/>
        <w:rPr>
          <w:rFonts w:ascii="Arial" w:hAnsi="Arial" w:cs="Arial"/>
          <w:sz w:val="22"/>
          <w:szCs w:val="22"/>
        </w:rPr>
      </w:pPr>
    </w:p>
    <w:p w:rsidR="008A27B8" w:rsidP="008A27B8" w:rsidRDefault="008A27B8" w14:paraId="237B7903" w14:textId="77777777">
      <w:pPr>
        <w:ind w:left="360"/>
        <w:rPr>
          <w:rFonts w:ascii="Arial" w:hAnsi="Arial" w:cs="Arial"/>
          <w:sz w:val="22"/>
          <w:szCs w:val="22"/>
        </w:rPr>
      </w:pPr>
      <w:r w:rsidRPr="00C953E2">
        <w:rPr>
          <w:rFonts w:ascii="Arial" w:hAnsi="Arial" w:cs="Arial"/>
          <w:sz w:val="22"/>
          <w:szCs w:val="22"/>
        </w:rPr>
        <w:t xml:space="preserve">Printing and distribution costs to the Federal government have decreased to $0.00 in TTB’s cost estimate due to the availability of TTB forms to the public on the TTB website at </w:t>
      </w:r>
      <w:r w:rsidRPr="00C953E2">
        <w:rPr>
          <w:rFonts w:ascii="Arial" w:hAnsi="Arial" w:cs="Arial"/>
          <w:i/>
          <w:sz w:val="22"/>
          <w:szCs w:val="22"/>
        </w:rPr>
        <w:t>https://www.ttb.gov/forms</w:t>
      </w:r>
      <w:r w:rsidRPr="00C953E2">
        <w:rPr>
          <w:rFonts w:ascii="Arial" w:hAnsi="Arial" w:cs="Arial"/>
          <w:sz w:val="22"/>
          <w:szCs w:val="22"/>
        </w:rPr>
        <w:t>.</w:t>
      </w:r>
      <w:r w:rsidRPr="007A5D4B">
        <w:rPr>
          <w:rFonts w:ascii="Arial" w:hAnsi="Arial" w:cs="Arial"/>
          <w:sz w:val="22"/>
          <w:szCs w:val="22"/>
        </w:rPr>
        <w:t xml:space="preserve"> </w:t>
      </w:r>
    </w:p>
    <w:p w:rsidRPr="00A5320B" w:rsidR="00D6325C" w:rsidP="00D73D2D" w:rsidRDefault="00D6325C" w14:paraId="54CCBC52" w14:textId="77777777">
      <w:pPr>
        <w:rPr>
          <w:rFonts w:ascii="Arial" w:hAnsi="Arial" w:cs="Arial"/>
          <w:sz w:val="36"/>
          <w:szCs w:val="36"/>
        </w:rPr>
      </w:pPr>
    </w:p>
    <w:p w:rsidRPr="00AF060A" w:rsidR="00AF1157" w:rsidP="00D73D2D" w:rsidRDefault="00AF060A" w14:paraId="4D617FD0" w14:textId="5DAC6FC1">
      <w:pPr>
        <w:suppressAutoHyphens/>
        <w:rPr>
          <w:rFonts w:ascii="Arial" w:hAnsi="Arial" w:cs="Arial"/>
          <w:i/>
          <w:sz w:val="22"/>
          <w:szCs w:val="22"/>
        </w:rPr>
      </w:pPr>
      <w:r w:rsidRPr="00AF060A">
        <w:rPr>
          <w:rFonts w:ascii="Arial" w:hAnsi="Arial" w:cs="Arial"/>
          <w:i/>
          <w:sz w:val="22"/>
          <w:szCs w:val="22"/>
        </w:rPr>
        <w:t xml:space="preserve">15.  </w:t>
      </w:r>
      <w:r w:rsidRPr="00AF060A" w:rsidR="00AF1157">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P="00D73D2D" w:rsidRDefault="00AF1157" w14:paraId="3071293A" w14:textId="77777777">
      <w:pPr>
        <w:suppressAutoHyphens/>
        <w:rPr>
          <w:rFonts w:ascii="Arial" w:hAnsi="Arial" w:cs="Arial"/>
          <w:sz w:val="22"/>
          <w:szCs w:val="22"/>
        </w:rPr>
      </w:pPr>
    </w:p>
    <w:p w:rsidRPr="0069718A" w:rsidR="00C263DB" w:rsidP="00752DDD" w:rsidRDefault="0069718A" w14:paraId="3AF9C422" w14:textId="5A598B85">
      <w:pPr>
        <w:ind w:left="360"/>
        <w:rPr>
          <w:rFonts w:ascii="Arial" w:hAnsi="Arial" w:cs="Arial"/>
          <w:sz w:val="22"/>
          <w:szCs w:val="22"/>
        </w:rPr>
      </w:pPr>
      <w:r w:rsidRPr="00A0142C">
        <w:rPr>
          <w:rFonts w:ascii="Arial" w:hAnsi="Arial" w:cs="Arial"/>
          <w:sz w:val="22"/>
          <w:szCs w:val="22"/>
        </w:rPr>
        <w:t xml:space="preserve">There are no program changes associated with this </w:t>
      </w:r>
      <w:r w:rsidR="00752DDD">
        <w:rPr>
          <w:rFonts w:ascii="Arial" w:hAnsi="Arial" w:cs="Arial"/>
          <w:sz w:val="22"/>
          <w:szCs w:val="22"/>
        </w:rPr>
        <w:t xml:space="preserve">information </w:t>
      </w:r>
      <w:r w:rsidRPr="00A0142C">
        <w:rPr>
          <w:rFonts w:ascii="Arial" w:hAnsi="Arial" w:cs="Arial"/>
          <w:sz w:val="22"/>
          <w:szCs w:val="22"/>
        </w:rPr>
        <w:t>collection.</w:t>
      </w:r>
      <w:r w:rsidRPr="0069718A">
        <w:rPr>
          <w:rFonts w:ascii="Arial" w:hAnsi="Arial" w:cs="Arial"/>
          <w:sz w:val="22"/>
          <w:szCs w:val="22"/>
        </w:rPr>
        <w:t xml:space="preserve"> </w:t>
      </w:r>
      <w:r w:rsidR="00C263DB">
        <w:rPr>
          <w:rFonts w:ascii="Arial" w:hAnsi="Arial" w:cs="Arial"/>
          <w:sz w:val="22"/>
          <w:szCs w:val="22"/>
        </w:rPr>
        <w:t xml:space="preserve"> As for adjustments, due to changes in agency estimates, </w:t>
      </w:r>
      <w:r w:rsidR="00D72C31">
        <w:rPr>
          <w:rFonts w:ascii="Arial" w:hAnsi="Arial" w:cs="Arial"/>
          <w:sz w:val="22"/>
          <w:szCs w:val="22"/>
        </w:rPr>
        <w:t xml:space="preserve">TTB is </w:t>
      </w:r>
      <w:r w:rsidR="00407DBC">
        <w:rPr>
          <w:rFonts w:ascii="Arial" w:hAnsi="Arial" w:cs="Arial"/>
          <w:sz w:val="22"/>
          <w:szCs w:val="22"/>
        </w:rPr>
        <w:t xml:space="preserve">increasing </w:t>
      </w:r>
      <w:r w:rsidR="00D72C31">
        <w:rPr>
          <w:rFonts w:ascii="Arial" w:hAnsi="Arial" w:cs="Arial"/>
          <w:sz w:val="22"/>
          <w:szCs w:val="22"/>
        </w:rPr>
        <w:t>th</w:t>
      </w:r>
      <w:r w:rsidR="00752DDD">
        <w:rPr>
          <w:rFonts w:ascii="Arial" w:hAnsi="Arial" w:cs="Arial"/>
          <w:sz w:val="22"/>
          <w:szCs w:val="22"/>
        </w:rPr>
        <w:t xml:space="preserve">is collection’s </w:t>
      </w:r>
      <w:r w:rsidR="00D72C31">
        <w:rPr>
          <w:rFonts w:ascii="Arial" w:hAnsi="Arial" w:cs="Arial"/>
          <w:sz w:val="22"/>
          <w:szCs w:val="22"/>
        </w:rPr>
        <w:t xml:space="preserve">number </w:t>
      </w:r>
      <w:r w:rsidR="00752DDD">
        <w:rPr>
          <w:rFonts w:ascii="Arial" w:hAnsi="Arial" w:cs="Arial"/>
          <w:sz w:val="22"/>
          <w:szCs w:val="22"/>
        </w:rPr>
        <w:t xml:space="preserve">of annual </w:t>
      </w:r>
      <w:r w:rsidR="00D72C31">
        <w:rPr>
          <w:rFonts w:ascii="Arial" w:hAnsi="Arial" w:cs="Arial"/>
          <w:sz w:val="22"/>
          <w:szCs w:val="22"/>
        </w:rPr>
        <w:t xml:space="preserve">of State and local government respondents </w:t>
      </w:r>
      <w:r w:rsidR="00752DDD">
        <w:rPr>
          <w:rFonts w:ascii="Arial" w:hAnsi="Arial" w:cs="Arial"/>
          <w:sz w:val="22"/>
          <w:szCs w:val="22"/>
        </w:rPr>
        <w:t xml:space="preserve">and responses </w:t>
      </w:r>
      <w:r w:rsidR="00D72C31">
        <w:rPr>
          <w:rFonts w:ascii="Arial" w:hAnsi="Arial" w:cs="Arial"/>
          <w:sz w:val="22"/>
          <w:szCs w:val="22"/>
        </w:rPr>
        <w:t xml:space="preserve">from </w:t>
      </w:r>
      <w:r w:rsidR="00407DBC">
        <w:rPr>
          <w:rFonts w:ascii="Arial" w:hAnsi="Arial" w:cs="Arial"/>
          <w:sz w:val="22"/>
          <w:szCs w:val="22"/>
        </w:rPr>
        <w:t xml:space="preserve">100 </w:t>
      </w:r>
      <w:r w:rsidR="00D72C31">
        <w:rPr>
          <w:rFonts w:ascii="Arial" w:hAnsi="Arial" w:cs="Arial"/>
          <w:sz w:val="22"/>
          <w:szCs w:val="22"/>
        </w:rPr>
        <w:t>to 1</w:t>
      </w:r>
      <w:r w:rsidR="00407DBC">
        <w:rPr>
          <w:rFonts w:ascii="Arial" w:hAnsi="Arial" w:cs="Arial"/>
          <w:sz w:val="22"/>
          <w:szCs w:val="22"/>
        </w:rPr>
        <w:t>25</w:t>
      </w:r>
      <w:r w:rsidR="00D72C31">
        <w:rPr>
          <w:rFonts w:ascii="Arial" w:hAnsi="Arial" w:cs="Arial"/>
          <w:sz w:val="22"/>
          <w:szCs w:val="22"/>
        </w:rPr>
        <w:t xml:space="preserve">.  </w:t>
      </w:r>
      <w:r w:rsidR="00752DDD">
        <w:rPr>
          <w:rFonts w:ascii="Arial" w:hAnsi="Arial" w:cs="Arial"/>
          <w:sz w:val="22"/>
          <w:szCs w:val="22"/>
        </w:rPr>
        <w:t xml:space="preserve">In turn, that increase in respondents and responses </w:t>
      </w:r>
      <w:r w:rsidR="008A27B8">
        <w:rPr>
          <w:rFonts w:ascii="Arial" w:hAnsi="Arial" w:cs="Arial"/>
          <w:sz w:val="22"/>
          <w:szCs w:val="22"/>
        </w:rPr>
        <w:t>increases th</w:t>
      </w:r>
      <w:r w:rsidR="00752DDD">
        <w:rPr>
          <w:rFonts w:ascii="Arial" w:hAnsi="Arial" w:cs="Arial"/>
          <w:sz w:val="22"/>
          <w:szCs w:val="22"/>
        </w:rPr>
        <w:t xml:space="preserve">is </w:t>
      </w:r>
      <w:r w:rsidR="008A27B8">
        <w:rPr>
          <w:rFonts w:ascii="Arial" w:hAnsi="Arial" w:cs="Arial"/>
          <w:sz w:val="22"/>
          <w:szCs w:val="22"/>
        </w:rPr>
        <w:t xml:space="preserve">collection’s estimated burden hours from 100 to 125. </w:t>
      </w:r>
      <w:r w:rsidR="00752DDD">
        <w:rPr>
          <w:rFonts w:ascii="Arial" w:hAnsi="Arial" w:cs="Arial"/>
          <w:sz w:val="22"/>
          <w:szCs w:val="22"/>
        </w:rPr>
        <w:t xml:space="preserve"> Additionally, </w:t>
      </w:r>
      <w:r w:rsidRPr="00C263DB" w:rsidR="00C263DB">
        <w:rPr>
          <w:rFonts w:ascii="Arial" w:hAnsi="Arial" w:cs="Arial"/>
          <w:sz w:val="22"/>
          <w:szCs w:val="22"/>
        </w:rPr>
        <w:t xml:space="preserve">TTB is </w:t>
      </w:r>
      <w:r w:rsidR="00752DDD">
        <w:rPr>
          <w:rFonts w:ascii="Arial" w:hAnsi="Arial" w:cs="Arial"/>
          <w:sz w:val="22"/>
          <w:szCs w:val="22"/>
        </w:rPr>
        <w:t xml:space="preserve">now </w:t>
      </w:r>
      <w:r w:rsidRPr="00C263DB" w:rsidR="00C263DB">
        <w:rPr>
          <w:rFonts w:ascii="Arial" w:hAnsi="Arial" w:cs="Arial"/>
          <w:sz w:val="22"/>
          <w:szCs w:val="22"/>
        </w:rPr>
        <w:t>accounting for respondent mailing costs in order to capture all potential out-of-pocket respondent costs related to this information collection</w:t>
      </w:r>
      <w:r w:rsidR="00752DDD">
        <w:rPr>
          <w:rFonts w:ascii="Arial" w:hAnsi="Arial" w:cs="Arial"/>
          <w:sz w:val="22"/>
          <w:szCs w:val="22"/>
        </w:rPr>
        <w:t xml:space="preserve">, which TTB estimates to be </w:t>
      </w:r>
      <w:r w:rsidRPr="00C263DB" w:rsidR="00C263DB">
        <w:rPr>
          <w:rFonts w:ascii="Arial" w:hAnsi="Arial" w:cs="Arial"/>
          <w:sz w:val="22"/>
          <w:szCs w:val="22"/>
        </w:rPr>
        <w:t>no more than $2.00 per response, for a total of cost of $</w:t>
      </w:r>
      <w:r w:rsidR="00752DDD">
        <w:rPr>
          <w:rFonts w:ascii="Arial" w:hAnsi="Arial" w:cs="Arial"/>
          <w:sz w:val="22"/>
          <w:szCs w:val="22"/>
        </w:rPr>
        <w:t>250</w:t>
      </w:r>
      <w:r w:rsidRPr="00C263DB" w:rsidR="00C263DB">
        <w:rPr>
          <w:rFonts w:ascii="Arial" w:hAnsi="Arial" w:cs="Arial"/>
          <w:sz w:val="22"/>
          <w:szCs w:val="22"/>
        </w:rPr>
        <w:t xml:space="preserve">.00 for </w:t>
      </w:r>
      <w:r w:rsidR="00752DDD">
        <w:rPr>
          <w:rFonts w:ascii="Arial" w:hAnsi="Arial" w:cs="Arial"/>
          <w:sz w:val="22"/>
          <w:szCs w:val="22"/>
        </w:rPr>
        <w:t>125</w:t>
      </w:r>
      <w:r w:rsidRPr="00C263DB" w:rsidR="00C263DB">
        <w:rPr>
          <w:rFonts w:ascii="Arial" w:hAnsi="Arial" w:cs="Arial"/>
          <w:sz w:val="22"/>
          <w:szCs w:val="22"/>
        </w:rPr>
        <w:t xml:space="preserve"> annual responses.</w:t>
      </w:r>
      <w:r w:rsidR="00752DDD">
        <w:rPr>
          <w:rFonts w:ascii="Arial" w:hAnsi="Arial" w:cs="Arial"/>
          <w:sz w:val="22"/>
          <w:szCs w:val="22"/>
        </w:rPr>
        <w:t xml:space="preserve"> </w:t>
      </w:r>
    </w:p>
    <w:p w:rsidRPr="000B6799" w:rsidR="00AF060A" w:rsidP="00AF060A" w:rsidRDefault="00AF060A" w14:paraId="4E60DD8B" w14:textId="77777777">
      <w:pPr>
        <w:suppressAutoHyphens/>
        <w:rPr>
          <w:rFonts w:ascii="Arial" w:hAnsi="Arial" w:cs="Arial"/>
          <w:sz w:val="36"/>
          <w:szCs w:val="36"/>
        </w:rPr>
      </w:pPr>
    </w:p>
    <w:p w:rsidRPr="00AF060A" w:rsidR="00AF1157" w:rsidP="00D73D2D" w:rsidRDefault="00AF060A" w14:paraId="751FEFD7" w14:textId="77777777">
      <w:pPr>
        <w:suppressAutoHyphens/>
        <w:rPr>
          <w:rFonts w:ascii="Arial" w:hAnsi="Arial" w:cs="Arial"/>
          <w:i/>
          <w:sz w:val="22"/>
          <w:szCs w:val="22"/>
        </w:rPr>
      </w:pPr>
      <w:r w:rsidRPr="00AF060A">
        <w:rPr>
          <w:rFonts w:ascii="Arial" w:hAnsi="Arial" w:cs="Arial"/>
          <w:i/>
          <w:sz w:val="22"/>
          <w:szCs w:val="22"/>
        </w:rPr>
        <w:t xml:space="preserve">16.  </w:t>
      </w:r>
      <w:r w:rsidRPr="00AF060A"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D73D2D" w:rsidRDefault="00AF1157" w14:paraId="65410B3B" w14:textId="77777777">
      <w:pPr>
        <w:suppressAutoHyphens/>
        <w:ind w:left="480" w:hanging="480"/>
        <w:rPr>
          <w:rFonts w:ascii="Arial" w:hAnsi="Arial" w:cs="Arial"/>
          <w:sz w:val="22"/>
          <w:szCs w:val="22"/>
        </w:rPr>
      </w:pPr>
    </w:p>
    <w:p w:rsidRPr="007A5D4B" w:rsidR="00AF1157" w:rsidP="004D086A" w:rsidRDefault="00276081" w14:paraId="0B58C7A7" w14:textId="4F495CEF">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8A27B8">
        <w:rPr>
          <w:rFonts w:ascii="Arial" w:hAnsi="Arial" w:cs="Arial"/>
          <w:sz w:val="22"/>
          <w:szCs w:val="22"/>
        </w:rPr>
        <w:t xml:space="preserve">information </w:t>
      </w:r>
      <w:r w:rsidRPr="0069718A" w:rsidR="00AF1157">
        <w:rPr>
          <w:rFonts w:ascii="Arial" w:hAnsi="Arial" w:cs="Arial"/>
          <w:sz w:val="22"/>
          <w:szCs w:val="22"/>
        </w:rPr>
        <w:t>collection.</w:t>
      </w:r>
      <w:r w:rsidR="00AF060A">
        <w:rPr>
          <w:rFonts w:ascii="Arial" w:hAnsi="Arial" w:cs="Arial"/>
          <w:sz w:val="22"/>
          <w:szCs w:val="22"/>
        </w:rPr>
        <w:t xml:space="preserve"> </w:t>
      </w:r>
    </w:p>
    <w:p w:rsidRPr="00A5320B" w:rsidR="00AF1157" w:rsidP="00D73D2D" w:rsidRDefault="00AF1157" w14:paraId="67F016C0" w14:textId="77777777">
      <w:pPr>
        <w:suppressAutoHyphens/>
        <w:rPr>
          <w:rFonts w:ascii="Arial" w:hAnsi="Arial" w:cs="Arial"/>
          <w:sz w:val="36"/>
          <w:szCs w:val="36"/>
        </w:rPr>
      </w:pPr>
    </w:p>
    <w:p w:rsidRPr="0016226D" w:rsidR="00AF1157" w:rsidP="00D73D2D" w:rsidRDefault="00AF060A" w14:paraId="00A5AFBA" w14:textId="77777777">
      <w:pPr>
        <w:suppressAutoHyphens/>
        <w:rPr>
          <w:rFonts w:ascii="Arial" w:hAnsi="Arial" w:cs="Arial"/>
          <w:i/>
          <w:sz w:val="22"/>
          <w:szCs w:val="22"/>
        </w:rPr>
      </w:pPr>
      <w:r w:rsidRPr="0016226D">
        <w:rPr>
          <w:rFonts w:ascii="Arial" w:hAnsi="Arial" w:cs="Arial"/>
          <w:i/>
          <w:sz w:val="22"/>
          <w:szCs w:val="22"/>
        </w:rPr>
        <w:t xml:space="preserve">17.  </w:t>
      </w:r>
      <w:r w:rsidRPr="0016226D" w:rsidR="00AF1157">
        <w:rPr>
          <w:rFonts w:ascii="Arial" w:hAnsi="Arial" w:cs="Arial"/>
          <w:i/>
          <w:sz w:val="22"/>
          <w:szCs w:val="22"/>
        </w:rPr>
        <w:t>If seeking approval to not display the expiration date for OMB approval of this information collection, what are the reasons that the display would be inappropriate?</w:t>
      </w:r>
      <w:r w:rsidRPr="0016226D" w:rsidR="004D086A">
        <w:rPr>
          <w:rFonts w:ascii="Arial" w:hAnsi="Arial" w:cs="Arial"/>
          <w:i/>
          <w:sz w:val="22"/>
          <w:szCs w:val="22"/>
        </w:rPr>
        <w:t xml:space="preserve"> </w:t>
      </w:r>
    </w:p>
    <w:p w:rsidRPr="007A5D4B" w:rsidR="00AF1157" w:rsidP="00D73D2D" w:rsidRDefault="00AF1157" w14:paraId="6F531C3A" w14:textId="77777777">
      <w:pPr>
        <w:suppressAutoHyphens/>
        <w:rPr>
          <w:rFonts w:ascii="Arial" w:hAnsi="Arial" w:cs="Arial"/>
          <w:sz w:val="22"/>
          <w:szCs w:val="22"/>
        </w:rPr>
      </w:pPr>
    </w:p>
    <w:p w:rsidRPr="00627AFF" w:rsidR="008A27B8" w:rsidP="008A27B8" w:rsidRDefault="008A27B8" w14:paraId="295A79AA" w14:textId="0B021E47">
      <w:pPr>
        <w:autoSpaceDE w:val="0"/>
        <w:autoSpaceDN w:val="0"/>
        <w:ind w:left="360"/>
        <w:rPr>
          <w:rFonts w:ascii="Arial" w:hAnsi="Arial" w:cs="Arial"/>
          <w:sz w:val="22"/>
          <w:szCs w:val="22"/>
        </w:rPr>
      </w:pPr>
      <w:r w:rsidRPr="00627AFF">
        <w:rPr>
          <w:rFonts w:ascii="Arial" w:hAnsi="Arial" w:cs="Arial"/>
          <w:sz w:val="22"/>
          <w:szCs w:val="22"/>
        </w:rPr>
        <w:t>As a cost saving measure</w:t>
      </w:r>
      <w:r>
        <w:rPr>
          <w:rFonts w:ascii="Arial" w:hAnsi="Arial" w:cs="Arial"/>
          <w:sz w:val="22"/>
          <w:szCs w:val="22"/>
        </w:rPr>
        <w:t xml:space="preserve">, </w:t>
      </w:r>
      <w:r w:rsidRPr="00627AFF">
        <w:rPr>
          <w:rFonts w:ascii="Arial" w:hAnsi="Arial" w:cs="Arial"/>
          <w:sz w:val="22"/>
          <w:szCs w:val="22"/>
        </w:rPr>
        <w:t>TTB is seeking approval not to display the expiration date for OMB approval of this information collection on its related form, TTB F 5</w:t>
      </w:r>
      <w:r>
        <w:rPr>
          <w:rFonts w:ascii="Arial" w:hAnsi="Arial" w:cs="Arial"/>
          <w:sz w:val="22"/>
          <w:szCs w:val="22"/>
        </w:rPr>
        <w:t>000.21</w:t>
      </w:r>
      <w:r w:rsidRPr="00627AFF">
        <w:rPr>
          <w:rFonts w:ascii="Arial" w:hAnsi="Arial" w:cs="Arial"/>
          <w:sz w:val="22"/>
          <w:szCs w:val="22"/>
        </w:rPr>
        <w:t xml:space="preserve">.  By not displaying that date on the form, TTB will not have to update the form on its </w:t>
      </w:r>
      <w:r>
        <w:rPr>
          <w:rFonts w:ascii="Arial" w:hAnsi="Arial" w:cs="Arial"/>
          <w:sz w:val="22"/>
          <w:szCs w:val="22"/>
        </w:rPr>
        <w:t xml:space="preserve">intranet </w:t>
      </w:r>
      <w:r w:rsidRPr="00627AFF">
        <w:rPr>
          <w:rFonts w:ascii="Arial" w:hAnsi="Arial" w:cs="Arial"/>
          <w:sz w:val="22"/>
          <w:szCs w:val="22"/>
        </w:rPr>
        <w:t>website each time OMB reapprove</w:t>
      </w:r>
      <w:r>
        <w:rPr>
          <w:rFonts w:ascii="Arial" w:hAnsi="Arial" w:cs="Arial"/>
          <w:sz w:val="22"/>
          <w:szCs w:val="22"/>
        </w:rPr>
        <w:t xml:space="preserve">s this information collection. </w:t>
      </w:r>
    </w:p>
    <w:p w:rsidRPr="000B6799" w:rsidR="00014CEB" w:rsidP="00EA09F5" w:rsidRDefault="00014CEB" w14:paraId="5220243B" w14:textId="77777777">
      <w:pPr>
        <w:autoSpaceDE w:val="0"/>
        <w:autoSpaceDN w:val="0"/>
        <w:rPr>
          <w:rFonts w:ascii="Arial" w:hAnsi="Arial" w:cs="Arial"/>
          <w:sz w:val="36"/>
          <w:szCs w:val="36"/>
        </w:rPr>
      </w:pPr>
    </w:p>
    <w:p w:rsidR="00752DDD" w:rsidRDefault="00752DDD" w14:paraId="4DFB24BA" w14:textId="77777777">
      <w:pPr>
        <w:rPr>
          <w:rFonts w:ascii="Arial" w:hAnsi="Arial" w:cs="Arial"/>
          <w:i/>
          <w:sz w:val="22"/>
          <w:szCs w:val="22"/>
        </w:rPr>
      </w:pPr>
      <w:r>
        <w:rPr>
          <w:rFonts w:ascii="Arial" w:hAnsi="Arial" w:cs="Arial"/>
          <w:i/>
          <w:sz w:val="22"/>
          <w:szCs w:val="22"/>
        </w:rPr>
        <w:br w:type="page"/>
      </w:r>
    </w:p>
    <w:p w:rsidRPr="00FD18EE" w:rsidR="00AF1157" w:rsidP="00D73D2D" w:rsidRDefault="00BA1A21" w14:paraId="361ADB3A" w14:textId="52602869">
      <w:pPr>
        <w:suppressAutoHyphens/>
        <w:rPr>
          <w:rFonts w:ascii="Arial" w:hAnsi="Arial" w:cs="Arial"/>
          <w:i/>
          <w:sz w:val="22"/>
          <w:szCs w:val="22"/>
        </w:rPr>
      </w:pPr>
      <w:r w:rsidRPr="00FD18EE">
        <w:rPr>
          <w:rFonts w:ascii="Arial" w:hAnsi="Arial" w:cs="Arial"/>
          <w:i/>
          <w:sz w:val="22"/>
          <w:szCs w:val="22"/>
        </w:rPr>
        <w:lastRenderedPageBreak/>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FD18EE" w:rsidR="00AF1157" w:rsidP="00BA1A21" w:rsidRDefault="00AF1157" w14:paraId="3F591A36" w14:textId="77777777">
      <w:pPr>
        <w:suppressAutoHyphens/>
        <w:ind w:left="360"/>
        <w:rPr>
          <w:rFonts w:ascii="Arial" w:hAnsi="Arial" w:cs="Arial"/>
          <w:sz w:val="22"/>
          <w:szCs w:val="22"/>
        </w:rPr>
      </w:pPr>
    </w:p>
    <w:p w:rsidRPr="00A5320B" w:rsidR="00851169" w:rsidP="00A5320B" w:rsidRDefault="00851169" w14:paraId="584F50CC" w14:textId="77777777">
      <w:pPr>
        <w:spacing w:after="80"/>
        <w:ind w:left="360"/>
        <w:rPr>
          <w:rFonts w:ascii="Arial" w:hAnsi="Arial" w:cs="Arial"/>
          <w:sz w:val="22"/>
          <w:szCs w:val="22"/>
        </w:rPr>
      </w:pPr>
      <w:r w:rsidRPr="00A5320B">
        <w:rPr>
          <w:rFonts w:ascii="Arial" w:hAnsi="Arial" w:cs="Arial"/>
          <w:sz w:val="22"/>
          <w:szCs w:val="22"/>
        </w:rPr>
        <w:t xml:space="preserve">(c)  See item 5 above. </w:t>
      </w:r>
    </w:p>
    <w:p w:rsidRPr="00A5320B" w:rsidR="00851169" w:rsidP="00A5320B" w:rsidRDefault="00851169" w14:paraId="75DB9160" w14:textId="77777777">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rsidRPr="00A5320B" w:rsidR="00851169" w:rsidP="00A5320B" w:rsidRDefault="00851169" w14:paraId="036505F7" w14:textId="77777777">
      <w:pPr>
        <w:spacing w:after="80"/>
        <w:ind w:left="360"/>
        <w:rPr>
          <w:rFonts w:ascii="Arial" w:hAnsi="Arial" w:cs="Arial"/>
          <w:sz w:val="22"/>
          <w:szCs w:val="22"/>
        </w:rPr>
      </w:pPr>
      <w:r w:rsidRPr="00A5320B">
        <w:rPr>
          <w:rFonts w:ascii="Arial" w:hAnsi="Arial" w:cs="Arial"/>
          <w:sz w:val="22"/>
          <w:szCs w:val="22"/>
        </w:rPr>
        <w:t xml:space="preserve">(i)   No statistics are involved. </w:t>
      </w:r>
    </w:p>
    <w:p w:rsidRPr="00A5320B" w:rsidR="00851169" w:rsidP="00851169" w:rsidRDefault="00851169" w14:paraId="55A29265" w14:textId="77777777">
      <w:pPr>
        <w:ind w:left="360"/>
        <w:rPr>
          <w:rFonts w:ascii="Arial" w:hAnsi="Arial" w:cs="Arial"/>
          <w:sz w:val="22"/>
          <w:szCs w:val="22"/>
        </w:rPr>
      </w:pPr>
      <w:r w:rsidRPr="00A5320B">
        <w:rPr>
          <w:rFonts w:ascii="Arial" w:hAnsi="Arial" w:cs="Arial"/>
          <w:sz w:val="22"/>
          <w:szCs w:val="22"/>
        </w:rPr>
        <w:t xml:space="preserve">(j)   See item 3 above. </w:t>
      </w:r>
    </w:p>
    <w:p w:rsidRPr="00EA09F5" w:rsidR="00E115FD" w:rsidP="00D73D2D" w:rsidRDefault="00E115FD" w14:paraId="4EF3E09E" w14:textId="77777777">
      <w:pPr>
        <w:rPr>
          <w:rFonts w:ascii="Arial" w:hAnsi="Arial" w:cs="Arial"/>
          <w:sz w:val="36"/>
          <w:szCs w:val="36"/>
        </w:rPr>
      </w:pPr>
    </w:p>
    <w:p w:rsidRPr="00EA09F5" w:rsidR="00851169" w:rsidP="00D73D2D" w:rsidRDefault="00851169" w14:paraId="7CFCE835" w14:textId="77777777">
      <w:pPr>
        <w:rPr>
          <w:rFonts w:ascii="Arial" w:hAnsi="Arial" w:cs="Arial"/>
          <w:sz w:val="36"/>
          <w:szCs w:val="36"/>
        </w:rPr>
      </w:pPr>
    </w:p>
    <w:p w:rsidRPr="007A5D4B" w:rsidR="00BD3333" w:rsidP="00D73D2D" w:rsidRDefault="00BD3333" w14:paraId="0D653F27"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D73D2D" w:rsidRDefault="00BD3333" w14:paraId="0034856D" w14:textId="77777777">
      <w:pPr>
        <w:pStyle w:val="Header"/>
        <w:tabs>
          <w:tab w:val="clear" w:pos="4320"/>
          <w:tab w:val="clear" w:pos="8640"/>
        </w:tabs>
        <w:rPr>
          <w:rFonts w:ascii="Arial" w:hAnsi="Arial" w:cs="Arial"/>
          <w:sz w:val="22"/>
          <w:szCs w:val="22"/>
        </w:rPr>
      </w:pPr>
    </w:p>
    <w:p w:rsidRPr="007A5D4B" w:rsidR="00BD3333" w:rsidP="00BA1A21" w:rsidRDefault="00BD3333" w14:paraId="79EF5A4C" w14:textId="327E2F3B">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8A27B8">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p w:rsidRPr="007A5D4B" w:rsidR="00BA1A21" w:rsidP="00D73D2D" w:rsidRDefault="00BA1A21" w14:paraId="6E67FC2F" w14:textId="77777777">
      <w:pPr>
        <w:suppressAutoHyphens/>
        <w:rPr>
          <w:rFonts w:ascii="Arial" w:hAnsi="Arial" w:cs="Arial"/>
          <w:sz w:val="22"/>
          <w:szCs w:val="22"/>
        </w:rPr>
      </w:pPr>
    </w:p>
    <w:sectPr w:rsidRPr="007A5D4B" w:rsidR="00BA1A21"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5FB8F" w14:textId="77777777" w:rsidR="00D72C31" w:rsidRDefault="00D72C31">
      <w:r>
        <w:separator/>
      </w:r>
    </w:p>
  </w:endnote>
  <w:endnote w:type="continuationSeparator" w:id="0">
    <w:p w14:paraId="5B4E22E1" w14:textId="77777777" w:rsidR="00D72C31" w:rsidRDefault="00D7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155E0" w14:textId="0E8A1352" w:rsidR="00D72C31" w:rsidRPr="007A5D4B" w:rsidRDefault="00D72C31" w:rsidP="002E2465">
    <w:pPr>
      <w:pStyle w:val="Footer"/>
      <w:tabs>
        <w:tab w:val="clear" w:pos="4320"/>
        <w:tab w:val="clear" w:pos="8640"/>
        <w:tab w:val="right" w:pos="936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0958" w14:textId="6189B9D3" w:rsidR="00D72C31" w:rsidRPr="007A5D4B" w:rsidRDefault="00D72C31" w:rsidP="002E2465">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1513–0003 Supporting Statement</w:t>
    </w:r>
    <w:r w:rsidR="00281F9E">
      <w:rPr>
        <w:rFonts w:ascii="Arial" w:hAnsi="Arial" w:cs="Arial"/>
        <w:sz w:val="20"/>
        <w:szCs w:val="20"/>
      </w:rPr>
      <w:t xml:space="preserve"> (08–2020)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3F656" w14:textId="77777777" w:rsidR="00D72C31" w:rsidRDefault="00D72C31">
      <w:r>
        <w:separator/>
      </w:r>
    </w:p>
  </w:footnote>
  <w:footnote w:type="continuationSeparator" w:id="0">
    <w:p w14:paraId="48C6BD0C" w14:textId="77777777" w:rsidR="00D72C31" w:rsidRDefault="00D72C31">
      <w:r>
        <w:continuationSeparator/>
      </w:r>
    </w:p>
  </w:footnote>
  <w:footnote w:id="1">
    <w:p w14:paraId="0AE13EE4" w14:textId="4E8D1B0D" w:rsidR="00281F9E" w:rsidRPr="00F55CC6" w:rsidRDefault="00281F9E" w:rsidP="00281F9E">
      <w:pPr>
        <w:pStyle w:val="FootnoteText"/>
        <w:rPr>
          <w:rFonts w:ascii="Arial" w:hAnsi="Arial" w:cs="Arial"/>
          <w:sz w:val="18"/>
          <w:szCs w:val="18"/>
        </w:rPr>
      </w:pPr>
      <w:r w:rsidRPr="00F55CC6">
        <w:rPr>
          <w:rStyle w:val="FootnoteReference"/>
          <w:rFonts w:ascii="Arial" w:eastAsiaTheme="majorEastAsia" w:hAnsi="Arial" w:cs="Arial"/>
          <w:sz w:val="22"/>
          <w:szCs w:val="22"/>
        </w:rPr>
        <w:footnoteRef/>
      </w:r>
      <w:r w:rsidRPr="00F55CC6">
        <w:rPr>
          <w:rFonts w:ascii="Arial" w:hAnsi="Arial" w:cs="Arial"/>
          <w:sz w:val="22"/>
          <w:szCs w:val="22"/>
        </w:rPr>
        <w:t xml:space="preserve"> </w:t>
      </w:r>
      <w:r w:rsidR="004929A0">
        <w:rPr>
          <w:rFonts w:ascii="Arial" w:hAnsi="Arial" w:cs="Arial"/>
          <w:sz w:val="18"/>
          <w:szCs w:val="18"/>
        </w:rPr>
        <w:t xml:space="preserve">Per the </w:t>
      </w:r>
      <w:r>
        <w:rPr>
          <w:rFonts w:ascii="Arial" w:hAnsi="Arial" w:cs="Arial"/>
          <w:sz w:val="18"/>
          <w:szCs w:val="18"/>
        </w:rPr>
        <w:t xml:space="preserve">latest U.S. Department of Labor, Bureau of Labor Statistics, </w:t>
      </w:r>
      <w:r w:rsidR="004929A0">
        <w:rPr>
          <w:rFonts w:ascii="Arial" w:hAnsi="Arial" w:cs="Arial"/>
          <w:sz w:val="18"/>
          <w:szCs w:val="18"/>
        </w:rPr>
        <w:t>wage estimates f</w:t>
      </w:r>
      <w:r w:rsidRPr="00F55CC6">
        <w:rPr>
          <w:rFonts w:ascii="Arial" w:hAnsi="Arial" w:cs="Arial"/>
          <w:sz w:val="18"/>
          <w:szCs w:val="18"/>
        </w:rPr>
        <w:t xml:space="preserve">or </w:t>
      </w:r>
      <w:r w:rsidR="004929A0" w:rsidRPr="004929A0">
        <w:rPr>
          <w:rFonts w:ascii="Arial" w:hAnsi="Arial" w:cs="Arial"/>
          <w:sz w:val="18"/>
          <w:szCs w:val="18"/>
        </w:rPr>
        <w:t>Federal, state, and local government, including government-owned schools and hospitals and the U.S. Postal Service</w:t>
      </w:r>
      <w:r w:rsidR="004929A0">
        <w:rPr>
          <w:rFonts w:ascii="Arial" w:hAnsi="Arial" w:cs="Arial"/>
          <w:sz w:val="18"/>
          <w:szCs w:val="18"/>
        </w:rPr>
        <w:t xml:space="preserve">:  The average fully-loaded labor rate (hourly wage plus benefit costs) for Detectives and Criminal Investigators is $66.18 per hour ($41.36 wage/hour + $24.82 benefit costs; obtained by multiplying hourly wage by 1.6).  </w:t>
      </w:r>
      <w:r>
        <w:rPr>
          <w:rFonts w:ascii="Arial" w:hAnsi="Arial" w:cs="Arial"/>
          <w:sz w:val="18"/>
          <w:szCs w:val="18"/>
        </w:rPr>
        <w:t>See Bureau of Labor Statistics wage information at</w:t>
      </w:r>
      <w:r w:rsidR="004929A0">
        <w:rPr>
          <w:rFonts w:ascii="Arial" w:hAnsi="Arial" w:cs="Arial"/>
          <w:sz w:val="18"/>
          <w:szCs w:val="18"/>
        </w:rPr>
        <w:t xml:space="preserve"> </w:t>
      </w:r>
      <w:r w:rsidR="004929A0" w:rsidRPr="004929A0">
        <w:rPr>
          <w:rFonts w:ascii="Arial" w:hAnsi="Arial" w:cs="Arial"/>
          <w:i/>
          <w:sz w:val="18"/>
          <w:szCs w:val="18"/>
        </w:rPr>
        <w:t>https://www.bls.gov/oes/current/999001.htm#33-0000</w:t>
      </w:r>
      <w:r w:rsidR="004929A0">
        <w:rPr>
          <w:rFonts w:ascii="Arial" w:hAnsi="Arial" w:cs="Arial"/>
          <w:sz w:val="18"/>
          <w:szCs w:val="18"/>
        </w:rPr>
        <w:t xml:space="preserve">. </w:t>
      </w:r>
    </w:p>
  </w:footnote>
  <w:footnote w:id="2">
    <w:p w14:paraId="52DE2E4C" w14:textId="6B40FAF3" w:rsidR="008A27B8" w:rsidRPr="00C953E2" w:rsidRDefault="008A27B8" w:rsidP="008A27B8">
      <w:pPr>
        <w:pStyle w:val="FootnoteText"/>
        <w:rPr>
          <w:rFonts w:ascii="Arial" w:hAnsi="Arial" w:cs="Arial"/>
          <w:sz w:val="18"/>
          <w:szCs w:val="18"/>
        </w:rPr>
      </w:pPr>
      <w:r w:rsidRPr="00C953E2">
        <w:rPr>
          <w:rStyle w:val="FootnoteReference"/>
          <w:rFonts w:ascii="Arial" w:eastAsiaTheme="majorEastAsia" w:hAnsi="Arial" w:cs="Arial"/>
          <w:sz w:val="22"/>
          <w:szCs w:val="22"/>
        </w:rPr>
        <w:footnoteRef/>
      </w:r>
      <w:r w:rsidRPr="00C953E2">
        <w:rPr>
          <w:rFonts w:ascii="Arial" w:hAnsi="Arial" w:cs="Arial"/>
          <w:sz w:val="22"/>
          <w:szCs w:val="22"/>
        </w:rPr>
        <w:t xml:space="preserve"> </w:t>
      </w:r>
      <w:r w:rsidRPr="00C953E2">
        <w:rPr>
          <w:rFonts w:ascii="Arial" w:hAnsi="Arial" w:cs="Arial"/>
          <w:sz w:val="18"/>
          <w:szCs w:val="18"/>
        </w:rPr>
        <w:t xml:space="preserve">TTB estimates that each </w:t>
      </w:r>
      <w:r w:rsidR="006006B3">
        <w:rPr>
          <w:rFonts w:ascii="Arial" w:hAnsi="Arial" w:cs="Arial"/>
          <w:sz w:val="18"/>
          <w:szCs w:val="18"/>
        </w:rPr>
        <w:t>request for information r</w:t>
      </w:r>
      <w:r w:rsidRPr="00C953E2">
        <w:rPr>
          <w:rFonts w:ascii="Arial" w:hAnsi="Arial" w:cs="Arial"/>
          <w:sz w:val="18"/>
          <w:szCs w:val="18"/>
        </w:rPr>
        <w:t>equires</w:t>
      </w:r>
      <w:r w:rsidR="006006B3">
        <w:rPr>
          <w:rFonts w:ascii="Arial" w:hAnsi="Arial" w:cs="Arial"/>
          <w:sz w:val="18"/>
          <w:szCs w:val="18"/>
        </w:rPr>
        <w:t>, at most,</w:t>
      </w:r>
      <w:r w:rsidRPr="00C953E2">
        <w:rPr>
          <w:rFonts w:ascii="Arial" w:hAnsi="Arial" w:cs="Arial"/>
          <w:sz w:val="18"/>
          <w:szCs w:val="18"/>
        </w:rPr>
        <w:t xml:space="preserve"> 1 hour of </w:t>
      </w:r>
      <w:r w:rsidR="006006B3">
        <w:rPr>
          <w:rFonts w:ascii="Arial" w:hAnsi="Arial" w:cs="Arial"/>
          <w:sz w:val="18"/>
          <w:szCs w:val="18"/>
        </w:rPr>
        <w:t xml:space="preserve">preparation and </w:t>
      </w:r>
      <w:r w:rsidRPr="00C953E2">
        <w:rPr>
          <w:rFonts w:ascii="Arial" w:hAnsi="Arial" w:cs="Arial"/>
          <w:sz w:val="18"/>
          <w:szCs w:val="18"/>
        </w:rPr>
        <w:t>review by a GS-</w:t>
      </w:r>
      <w:r w:rsidR="006006B3">
        <w:rPr>
          <w:rFonts w:ascii="Arial" w:hAnsi="Arial" w:cs="Arial"/>
          <w:sz w:val="18"/>
          <w:szCs w:val="18"/>
        </w:rPr>
        <w:t>13 investigator or auditor</w:t>
      </w:r>
      <w:r w:rsidRPr="00C953E2">
        <w:rPr>
          <w:rFonts w:ascii="Arial" w:hAnsi="Arial" w:cs="Arial"/>
          <w:sz w:val="18"/>
          <w:szCs w:val="18"/>
        </w:rPr>
        <w:t xml:space="preserve">.  </w:t>
      </w:r>
      <w:r w:rsidR="00EB5237">
        <w:rPr>
          <w:rFonts w:ascii="Arial" w:hAnsi="Arial" w:cs="Arial"/>
          <w:sz w:val="18"/>
          <w:szCs w:val="18"/>
        </w:rPr>
        <w:t xml:space="preserve">TTB estimates the </w:t>
      </w:r>
      <w:proofErr w:type="spellStart"/>
      <w:r w:rsidR="00EB5237">
        <w:rPr>
          <w:rFonts w:ascii="Arial" w:hAnsi="Arial" w:cs="Arial"/>
          <w:sz w:val="18"/>
          <w:szCs w:val="18"/>
        </w:rPr>
        <w:t>fuly</w:t>
      </w:r>
      <w:proofErr w:type="spellEnd"/>
      <w:r w:rsidR="00EB5237">
        <w:rPr>
          <w:rFonts w:ascii="Arial" w:hAnsi="Arial" w:cs="Arial"/>
          <w:sz w:val="18"/>
          <w:szCs w:val="18"/>
        </w:rPr>
        <w:t>-lo</w:t>
      </w:r>
      <w:r w:rsidRPr="00C953E2">
        <w:rPr>
          <w:rFonts w:ascii="Arial" w:hAnsi="Arial" w:cs="Arial"/>
          <w:sz w:val="18"/>
          <w:szCs w:val="18"/>
        </w:rPr>
        <w:t>aded labor rate (hourly wage plus benefit costs) for a GS–1</w:t>
      </w:r>
      <w:r w:rsidR="006006B3">
        <w:rPr>
          <w:rFonts w:ascii="Arial" w:hAnsi="Arial" w:cs="Arial"/>
          <w:sz w:val="18"/>
          <w:szCs w:val="18"/>
        </w:rPr>
        <w:t>3</w:t>
      </w:r>
      <w:r w:rsidRPr="00C953E2">
        <w:rPr>
          <w:rFonts w:ascii="Arial" w:hAnsi="Arial" w:cs="Arial"/>
          <w:sz w:val="18"/>
          <w:szCs w:val="18"/>
        </w:rPr>
        <w:t xml:space="preserve">, step 5 Federal employee in Cincinnati, Ohio (the location of TTB’s National Revenue Center) </w:t>
      </w:r>
      <w:r w:rsidR="00EB5237">
        <w:rPr>
          <w:rFonts w:ascii="Arial" w:hAnsi="Arial" w:cs="Arial"/>
          <w:sz w:val="18"/>
          <w:szCs w:val="18"/>
        </w:rPr>
        <w:t xml:space="preserve">to be </w:t>
      </w:r>
      <w:r w:rsidRPr="00C953E2">
        <w:rPr>
          <w:rFonts w:ascii="Arial" w:hAnsi="Arial" w:cs="Arial"/>
          <w:sz w:val="18"/>
          <w:szCs w:val="18"/>
        </w:rPr>
        <w:t>$</w:t>
      </w:r>
      <w:r w:rsidR="00101BB1">
        <w:rPr>
          <w:rFonts w:ascii="Arial" w:hAnsi="Arial" w:cs="Arial"/>
          <w:sz w:val="18"/>
          <w:szCs w:val="18"/>
        </w:rPr>
        <w:t>83.96</w:t>
      </w:r>
      <w:r w:rsidRPr="00C953E2">
        <w:rPr>
          <w:rFonts w:ascii="Arial" w:hAnsi="Arial" w:cs="Arial"/>
          <w:sz w:val="18"/>
          <w:szCs w:val="18"/>
        </w:rPr>
        <w:t xml:space="preserve"> per hour ($</w:t>
      </w:r>
      <w:r w:rsidR="002C69AA">
        <w:rPr>
          <w:rFonts w:ascii="Arial" w:hAnsi="Arial" w:cs="Arial"/>
          <w:sz w:val="18"/>
          <w:szCs w:val="18"/>
        </w:rPr>
        <w:t>51.51 wage/hour + $32.45</w:t>
      </w:r>
      <w:r w:rsidRPr="00C953E2">
        <w:rPr>
          <w:rFonts w:ascii="Arial" w:hAnsi="Arial" w:cs="Arial"/>
          <w:sz w:val="18"/>
          <w:szCs w:val="18"/>
        </w:rPr>
        <w:t xml:space="preserve"> in benefit costs</w:t>
      </w:r>
      <w:r w:rsidR="002C69AA">
        <w:rPr>
          <w:rFonts w:ascii="Arial" w:hAnsi="Arial" w:cs="Arial"/>
          <w:sz w:val="18"/>
          <w:szCs w:val="18"/>
        </w:rPr>
        <w:t>, obtained by multiplying hour wage by 1.63</w:t>
      </w:r>
      <w:r w:rsidRPr="00C953E2">
        <w:rPr>
          <w:rFonts w:ascii="Arial" w:hAnsi="Arial" w:cs="Arial"/>
          <w:sz w:val="18"/>
          <w:szCs w:val="18"/>
        </w:rPr>
        <w:t>)</w:t>
      </w:r>
      <w:r w:rsidR="00EB5237">
        <w:rPr>
          <w:rFonts w:ascii="Arial" w:hAnsi="Arial" w:cs="Arial"/>
          <w:sz w:val="18"/>
          <w:szCs w:val="18"/>
        </w:rPr>
        <w:t>.  As such</w:t>
      </w:r>
      <w:r w:rsidRPr="00C953E2">
        <w:rPr>
          <w:rFonts w:ascii="Arial" w:hAnsi="Arial" w:cs="Arial"/>
          <w:sz w:val="18"/>
          <w:szCs w:val="18"/>
        </w:rPr>
        <w:t xml:space="preserve">, TTB estimates that </w:t>
      </w:r>
      <w:r w:rsidR="002C69AA">
        <w:rPr>
          <w:rFonts w:ascii="Arial" w:hAnsi="Arial" w:cs="Arial"/>
          <w:sz w:val="18"/>
          <w:szCs w:val="18"/>
        </w:rPr>
        <w:t>125</w:t>
      </w:r>
      <w:r w:rsidRPr="00C953E2">
        <w:rPr>
          <w:rFonts w:ascii="Arial" w:hAnsi="Arial" w:cs="Arial"/>
          <w:sz w:val="18"/>
          <w:szCs w:val="18"/>
        </w:rPr>
        <w:t xml:space="preserve"> annual re</w:t>
      </w:r>
      <w:r w:rsidR="00EB5237">
        <w:rPr>
          <w:rFonts w:ascii="Arial" w:hAnsi="Arial" w:cs="Arial"/>
          <w:sz w:val="18"/>
          <w:szCs w:val="18"/>
        </w:rPr>
        <w:t xml:space="preserve">ferrals of </w:t>
      </w:r>
      <w:r w:rsidRPr="00C953E2">
        <w:rPr>
          <w:rFonts w:ascii="Arial" w:hAnsi="Arial" w:cs="Arial"/>
          <w:sz w:val="18"/>
          <w:szCs w:val="18"/>
        </w:rPr>
        <w:t>information</w:t>
      </w:r>
      <w:r w:rsidR="00EB5237">
        <w:rPr>
          <w:rFonts w:ascii="Arial" w:hAnsi="Arial" w:cs="Arial"/>
          <w:sz w:val="18"/>
          <w:szCs w:val="18"/>
        </w:rPr>
        <w:t xml:space="preserve"> </w:t>
      </w:r>
      <w:r w:rsidRPr="00C953E2">
        <w:rPr>
          <w:rFonts w:ascii="Arial" w:hAnsi="Arial" w:cs="Arial"/>
          <w:sz w:val="18"/>
          <w:szCs w:val="18"/>
        </w:rPr>
        <w:t>result in $</w:t>
      </w:r>
      <w:r w:rsidR="002C69AA">
        <w:rPr>
          <w:rFonts w:ascii="Arial" w:hAnsi="Arial" w:cs="Arial"/>
          <w:sz w:val="18"/>
          <w:szCs w:val="18"/>
        </w:rPr>
        <w:t xml:space="preserve">10,495.00 </w:t>
      </w:r>
      <w:r w:rsidRPr="00C953E2">
        <w:rPr>
          <w:rFonts w:ascii="Arial" w:hAnsi="Arial" w:cs="Arial"/>
          <w:sz w:val="18"/>
          <w:szCs w:val="18"/>
        </w:rPr>
        <w:t xml:space="preserve">in </w:t>
      </w:r>
      <w:r w:rsidR="00EB5237">
        <w:rPr>
          <w:rFonts w:ascii="Arial" w:hAnsi="Arial" w:cs="Arial"/>
          <w:sz w:val="18"/>
          <w:szCs w:val="18"/>
        </w:rPr>
        <w:t xml:space="preserve">labor costs to the </w:t>
      </w:r>
      <w:r w:rsidRPr="00C953E2">
        <w:rPr>
          <w:rFonts w:ascii="Arial" w:hAnsi="Arial" w:cs="Arial"/>
          <w:sz w:val="18"/>
          <w:szCs w:val="18"/>
        </w:rPr>
        <w:t>Federal Government</w:t>
      </w:r>
      <w:r w:rsidR="00EB5237">
        <w:rPr>
          <w:rFonts w:ascii="Arial" w:hAnsi="Arial" w:cs="Arial"/>
          <w:sz w:val="18"/>
          <w:szCs w:val="18"/>
        </w:rPr>
        <w:t xml:space="preserve">.  </w:t>
      </w:r>
      <w:r>
        <w:rPr>
          <w:rFonts w:ascii="Arial" w:hAnsi="Arial" w:cs="Arial"/>
          <w:sz w:val="18"/>
          <w:szCs w:val="18"/>
        </w:rPr>
        <w:t>See</w:t>
      </w:r>
      <w:r w:rsidR="006006B3">
        <w:rPr>
          <w:rFonts w:ascii="Arial" w:hAnsi="Arial" w:cs="Arial"/>
          <w:sz w:val="18"/>
          <w:szCs w:val="18"/>
        </w:rPr>
        <w:t xml:space="preserve"> </w:t>
      </w:r>
      <w:r w:rsidR="006006B3" w:rsidRPr="002C69AA">
        <w:rPr>
          <w:rFonts w:ascii="Arial" w:hAnsi="Arial" w:cs="Arial"/>
          <w:i/>
          <w:sz w:val="18"/>
          <w:szCs w:val="18"/>
        </w:rPr>
        <w:t>https://www.opm.gov/policy-data-oversight/pay-leave/salaries-wages/salary-tables/pdf/2020/CIN_h.pdf</w:t>
      </w:r>
      <w:r w:rsidR="006006B3">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90866" w14:textId="73283E23" w:rsidR="00D72C31" w:rsidRPr="007A5D4B" w:rsidRDefault="00D72C3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B5237">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89D3A" w14:textId="77777777" w:rsidR="00D72C31" w:rsidRPr="007A5D4B" w:rsidRDefault="00D72C3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2FAC"/>
    <w:rsid w:val="00011328"/>
    <w:rsid w:val="00012E43"/>
    <w:rsid w:val="00014CEB"/>
    <w:rsid w:val="0003032C"/>
    <w:rsid w:val="00030CEB"/>
    <w:rsid w:val="000329F4"/>
    <w:rsid w:val="00034E30"/>
    <w:rsid w:val="00037AD4"/>
    <w:rsid w:val="0004708F"/>
    <w:rsid w:val="000473AC"/>
    <w:rsid w:val="0004764C"/>
    <w:rsid w:val="0007164D"/>
    <w:rsid w:val="00074898"/>
    <w:rsid w:val="00084AFE"/>
    <w:rsid w:val="00090251"/>
    <w:rsid w:val="00095F53"/>
    <w:rsid w:val="000A2E33"/>
    <w:rsid w:val="000A4E1A"/>
    <w:rsid w:val="000B3E08"/>
    <w:rsid w:val="000B6799"/>
    <w:rsid w:val="000D6313"/>
    <w:rsid w:val="000E2122"/>
    <w:rsid w:val="000E2957"/>
    <w:rsid w:val="00101BB1"/>
    <w:rsid w:val="00101DE7"/>
    <w:rsid w:val="001128F1"/>
    <w:rsid w:val="00113791"/>
    <w:rsid w:val="00144008"/>
    <w:rsid w:val="001608E4"/>
    <w:rsid w:val="0016226D"/>
    <w:rsid w:val="00186F70"/>
    <w:rsid w:val="001926FB"/>
    <w:rsid w:val="001E7BDE"/>
    <w:rsid w:val="001F2913"/>
    <w:rsid w:val="001F4D50"/>
    <w:rsid w:val="00207E00"/>
    <w:rsid w:val="002169D4"/>
    <w:rsid w:val="00220140"/>
    <w:rsid w:val="0022156B"/>
    <w:rsid w:val="00243228"/>
    <w:rsid w:val="00250066"/>
    <w:rsid w:val="00260A54"/>
    <w:rsid w:val="002613A5"/>
    <w:rsid w:val="00261E8C"/>
    <w:rsid w:val="0026518B"/>
    <w:rsid w:val="00273CEE"/>
    <w:rsid w:val="00276081"/>
    <w:rsid w:val="00281F9E"/>
    <w:rsid w:val="002A0EC9"/>
    <w:rsid w:val="002B47FB"/>
    <w:rsid w:val="002C1DA5"/>
    <w:rsid w:val="002C69AA"/>
    <w:rsid w:val="002D1324"/>
    <w:rsid w:val="002E2465"/>
    <w:rsid w:val="002E6145"/>
    <w:rsid w:val="00327FE9"/>
    <w:rsid w:val="003301DA"/>
    <w:rsid w:val="0033260C"/>
    <w:rsid w:val="0035157E"/>
    <w:rsid w:val="00360E6C"/>
    <w:rsid w:val="00381FFC"/>
    <w:rsid w:val="0038747C"/>
    <w:rsid w:val="003A25EE"/>
    <w:rsid w:val="003A4DFA"/>
    <w:rsid w:val="003C1FD2"/>
    <w:rsid w:val="003D0535"/>
    <w:rsid w:val="003D3C6F"/>
    <w:rsid w:val="003E6709"/>
    <w:rsid w:val="0040305D"/>
    <w:rsid w:val="00407DBC"/>
    <w:rsid w:val="0042718A"/>
    <w:rsid w:val="004313B9"/>
    <w:rsid w:val="0044522E"/>
    <w:rsid w:val="00447B6B"/>
    <w:rsid w:val="00456FE3"/>
    <w:rsid w:val="004744C7"/>
    <w:rsid w:val="004929A0"/>
    <w:rsid w:val="00494E99"/>
    <w:rsid w:val="004A3DE5"/>
    <w:rsid w:val="004B3A92"/>
    <w:rsid w:val="004C1FFE"/>
    <w:rsid w:val="004C3724"/>
    <w:rsid w:val="004C6EDD"/>
    <w:rsid w:val="004D086A"/>
    <w:rsid w:val="004D1808"/>
    <w:rsid w:val="004D3468"/>
    <w:rsid w:val="004D4299"/>
    <w:rsid w:val="004E2C89"/>
    <w:rsid w:val="004F62C7"/>
    <w:rsid w:val="004F6581"/>
    <w:rsid w:val="0050368E"/>
    <w:rsid w:val="00514FE2"/>
    <w:rsid w:val="0052616A"/>
    <w:rsid w:val="005278E4"/>
    <w:rsid w:val="00536D29"/>
    <w:rsid w:val="00541C19"/>
    <w:rsid w:val="00543079"/>
    <w:rsid w:val="00544763"/>
    <w:rsid w:val="00560D98"/>
    <w:rsid w:val="00572EBA"/>
    <w:rsid w:val="00593B56"/>
    <w:rsid w:val="005A6AF2"/>
    <w:rsid w:val="005B7621"/>
    <w:rsid w:val="005C282B"/>
    <w:rsid w:val="005D389E"/>
    <w:rsid w:val="005E24BD"/>
    <w:rsid w:val="005E4F99"/>
    <w:rsid w:val="005E4F9B"/>
    <w:rsid w:val="005F2C64"/>
    <w:rsid w:val="006006B3"/>
    <w:rsid w:val="0060225A"/>
    <w:rsid w:val="00606D6B"/>
    <w:rsid w:val="006244FF"/>
    <w:rsid w:val="00631780"/>
    <w:rsid w:val="00631967"/>
    <w:rsid w:val="00642B84"/>
    <w:rsid w:val="00660A41"/>
    <w:rsid w:val="00663972"/>
    <w:rsid w:val="00664DDF"/>
    <w:rsid w:val="0069718A"/>
    <w:rsid w:val="006A35C6"/>
    <w:rsid w:val="006C442E"/>
    <w:rsid w:val="006D1616"/>
    <w:rsid w:val="006F1801"/>
    <w:rsid w:val="006F2142"/>
    <w:rsid w:val="00712363"/>
    <w:rsid w:val="0071796A"/>
    <w:rsid w:val="00720161"/>
    <w:rsid w:val="00721C76"/>
    <w:rsid w:val="00732C0A"/>
    <w:rsid w:val="00734B25"/>
    <w:rsid w:val="00736DD6"/>
    <w:rsid w:val="00743010"/>
    <w:rsid w:val="00752DDD"/>
    <w:rsid w:val="00773A5F"/>
    <w:rsid w:val="007A5D4B"/>
    <w:rsid w:val="007B4A8D"/>
    <w:rsid w:val="007B4E08"/>
    <w:rsid w:val="007C291F"/>
    <w:rsid w:val="007D5727"/>
    <w:rsid w:val="007E319C"/>
    <w:rsid w:val="007E57D5"/>
    <w:rsid w:val="007F15FF"/>
    <w:rsid w:val="007F40E3"/>
    <w:rsid w:val="00804B0C"/>
    <w:rsid w:val="00811A04"/>
    <w:rsid w:val="00827956"/>
    <w:rsid w:val="0084080D"/>
    <w:rsid w:val="0084640C"/>
    <w:rsid w:val="00847AD2"/>
    <w:rsid w:val="00851169"/>
    <w:rsid w:val="00853E85"/>
    <w:rsid w:val="008603B9"/>
    <w:rsid w:val="0087141E"/>
    <w:rsid w:val="00874C51"/>
    <w:rsid w:val="008804D8"/>
    <w:rsid w:val="008A27B8"/>
    <w:rsid w:val="008B146B"/>
    <w:rsid w:val="008B713C"/>
    <w:rsid w:val="008C399F"/>
    <w:rsid w:val="008C412A"/>
    <w:rsid w:val="008C6852"/>
    <w:rsid w:val="008D706C"/>
    <w:rsid w:val="009062BF"/>
    <w:rsid w:val="00950FF6"/>
    <w:rsid w:val="009537C2"/>
    <w:rsid w:val="0096457D"/>
    <w:rsid w:val="00965E7F"/>
    <w:rsid w:val="00987432"/>
    <w:rsid w:val="00990656"/>
    <w:rsid w:val="009A1B0B"/>
    <w:rsid w:val="009A1CD5"/>
    <w:rsid w:val="009A6532"/>
    <w:rsid w:val="009E4E4C"/>
    <w:rsid w:val="009F4586"/>
    <w:rsid w:val="009F7674"/>
    <w:rsid w:val="00A00C3B"/>
    <w:rsid w:val="00A0142C"/>
    <w:rsid w:val="00A17E04"/>
    <w:rsid w:val="00A201BF"/>
    <w:rsid w:val="00A32FAE"/>
    <w:rsid w:val="00A5167D"/>
    <w:rsid w:val="00A5320B"/>
    <w:rsid w:val="00A61A29"/>
    <w:rsid w:val="00A62596"/>
    <w:rsid w:val="00A816FC"/>
    <w:rsid w:val="00A83F42"/>
    <w:rsid w:val="00AA3F8F"/>
    <w:rsid w:val="00AA6881"/>
    <w:rsid w:val="00AA78CE"/>
    <w:rsid w:val="00AC02B0"/>
    <w:rsid w:val="00AC686F"/>
    <w:rsid w:val="00AC70D2"/>
    <w:rsid w:val="00AC7A2E"/>
    <w:rsid w:val="00AD4E23"/>
    <w:rsid w:val="00AE1B88"/>
    <w:rsid w:val="00AE41AD"/>
    <w:rsid w:val="00AF060A"/>
    <w:rsid w:val="00AF1157"/>
    <w:rsid w:val="00AF5420"/>
    <w:rsid w:val="00B06EE5"/>
    <w:rsid w:val="00B1047F"/>
    <w:rsid w:val="00B23FF6"/>
    <w:rsid w:val="00B31E02"/>
    <w:rsid w:val="00B3778D"/>
    <w:rsid w:val="00B4139D"/>
    <w:rsid w:val="00B508E9"/>
    <w:rsid w:val="00B5099E"/>
    <w:rsid w:val="00B72AC4"/>
    <w:rsid w:val="00B75D21"/>
    <w:rsid w:val="00B84F75"/>
    <w:rsid w:val="00B95061"/>
    <w:rsid w:val="00BA1A21"/>
    <w:rsid w:val="00BA5202"/>
    <w:rsid w:val="00BB67E5"/>
    <w:rsid w:val="00BC1D1F"/>
    <w:rsid w:val="00BD3333"/>
    <w:rsid w:val="00BD456D"/>
    <w:rsid w:val="00BE3C19"/>
    <w:rsid w:val="00BF2F18"/>
    <w:rsid w:val="00C1362D"/>
    <w:rsid w:val="00C263DB"/>
    <w:rsid w:val="00C271EA"/>
    <w:rsid w:val="00C71838"/>
    <w:rsid w:val="00C841E5"/>
    <w:rsid w:val="00CA07BF"/>
    <w:rsid w:val="00CA5CD2"/>
    <w:rsid w:val="00CA7E3C"/>
    <w:rsid w:val="00CC2DE7"/>
    <w:rsid w:val="00CD21EC"/>
    <w:rsid w:val="00CE0E09"/>
    <w:rsid w:val="00CE6A9B"/>
    <w:rsid w:val="00CF1C87"/>
    <w:rsid w:val="00D004D6"/>
    <w:rsid w:val="00D01AA2"/>
    <w:rsid w:val="00D03A61"/>
    <w:rsid w:val="00D059BB"/>
    <w:rsid w:val="00D353B6"/>
    <w:rsid w:val="00D414AB"/>
    <w:rsid w:val="00D50640"/>
    <w:rsid w:val="00D56B01"/>
    <w:rsid w:val="00D57DA1"/>
    <w:rsid w:val="00D6325C"/>
    <w:rsid w:val="00D656EA"/>
    <w:rsid w:val="00D72C31"/>
    <w:rsid w:val="00D73D2D"/>
    <w:rsid w:val="00D742EE"/>
    <w:rsid w:val="00D76DF0"/>
    <w:rsid w:val="00D85E10"/>
    <w:rsid w:val="00DA29D8"/>
    <w:rsid w:val="00DD4D2B"/>
    <w:rsid w:val="00DD7E7F"/>
    <w:rsid w:val="00DE2622"/>
    <w:rsid w:val="00DF5F98"/>
    <w:rsid w:val="00E115FD"/>
    <w:rsid w:val="00E23671"/>
    <w:rsid w:val="00E303BC"/>
    <w:rsid w:val="00E323CD"/>
    <w:rsid w:val="00E35BC8"/>
    <w:rsid w:val="00E414F9"/>
    <w:rsid w:val="00E41ED9"/>
    <w:rsid w:val="00E45CBA"/>
    <w:rsid w:val="00E51AD7"/>
    <w:rsid w:val="00E51C20"/>
    <w:rsid w:val="00E56E11"/>
    <w:rsid w:val="00E63410"/>
    <w:rsid w:val="00E7165A"/>
    <w:rsid w:val="00E86B1B"/>
    <w:rsid w:val="00E9091C"/>
    <w:rsid w:val="00EA09F5"/>
    <w:rsid w:val="00EB02F7"/>
    <w:rsid w:val="00EB1FAB"/>
    <w:rsid w:val="00EB5237"/>
    <w:rsid w:val="00EC4FC3"/>
    <w:rsid w:val="00EC5911"/>
    <w:rsid w:val="00EC78AB"/>
    <w:rsid w:val="00ED4A03"/>
    <w:rsid w:val="00ED7233"/>
    <w:rsid w:val="00EE4237"/>
    <w:rsid w:val="00EE6DFD"/>
    <w:rsid w:val="00F03208"/>
    <w:rsid w:val="00F0465F"/>
    <w:rsid w:val="00F058FA"/>
    <w:rsid w:val="00F10C50"/>
    <w:rsid w:val="00F36439"/>
    <w:rsid w:val="00F46C26"/>
    <w:rsid w:val="00F51EFF"/>
    <w:rsid w:val="00F60530"/>
    <w:rsid w:val="00F618E0"/>
    <w:rsid w:val="00F835D6"/>
    <w:rsid w:val="00F84698"/>
    <w:rsid w:val="00F90AC0"/>
    <w:rsid w:val="00F94CBA"/>
    <w:rsid w:val="00F95A6D"/>
    <w:rsid w:val="00FA228E"/>
    <w:rsid w:val="00FD18EE"/>
    <w:rsid w:val="00FD3BDA"/>
    <w:rsid w:val="00FE21CA"/>
    <w:rsid w:val="00FE29D6"/>
    <w:rsid w:val="00FE6568"/>
    <w:rsid w:val="00FE68E2"/>
    <w:rsid w:val="00FF0C74"/>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46952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3">
    <w:name w:val="heading 3"/>
    <w:basedOn w:val="Normal"/>
    <w:next w:val="Normal"/>
    <w:link w:val="Heading3Char"/>
    <w:semiHidden/>
    <w:unhideWhenUsed/>
    <w:qFormat/>
    <w:rsid w:val="00FD3BDA"/>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3Char">
    <w:name w:val="Heading 3 Char"/>
    <w:basedOn w:val="DefaultParagraphFont"/>
    <w:link w:val="Heading3"/>
    <w:semiHidden/>
    <w:rsid w:val="00FD3BDA"/>
    <w:rPr>
      <w:rFonts w:asciiTheme="majorHAnsi" w:eastAsiaTheme="majorEastAsia" w:hAnsiTheme="majorHAnsi" w:cstheme="majorBidi"/>
      <w:b/>
      <w:bCs/>
      <w:sz w:val="26"/>
      <w:szCs w:val="26"/>
    </w:rPr>
  </w:style>
  <w:style w:type="character" w:styleId="FootnoteReference">
    <w:name w:val="footnote reference"/>
    <w:basedOn w:val="DefaultParagraphFont"/>
    <w:uiPriority w:val="99"/>
    <w:rsid w:val="00281F9E"/>
    <w:rPr>
      <w:vertAlign w:val="superscript"/>
    </w:rPr>
  </w:style>
  <w:style w:type="paragraph" w:styleId="FootnoteText">
    <w:name w:val="footnote text"/>
    <w:basedOn w:val="Normal"/>
    <w:link w:val="FootnoteTextChar"/>
    <w:rsid w:val="00281F9E"/>
    <w:rPr>
      <w:sz w:val="20"/>
      <w:szCs w:val="20"/>
    </w:rPr>
  </w:style>
  <w:style w:type="character" w:customStyle="1" w:styleId="FootnoteTextChar">
    <w:name w:val="Footnote Text Char"/>
    <w:basedOn w:val="DefaultParagraphFont"/>
    <w:link w:val="FootnoteText"/>
    <w:rsid w:val="00281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9380">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826823815">
      <w:bodyDiv w:val="1"/>
      <w:marLeft w:val="0"/>
      <w:marRight w:val="0"/>
      <w:marTop w:val="0"/>
      <w:marBottom w:val="0"/>
      <w:divBdr>
        <w:top w:val="none" w:sz="0" w:space="0" w:color="auto"/>
        <w:left w:val="none" w:sz="0" w:space="0" w:color="auto"/>
        <w:bottom w:val="none" w:sz="0" w:space="0" w:color="auto"/>
        <w:right w:val="none" w:sz="0" w:space="0" w:color="auto"/>
      </w:divBdr>
    </w:div>
    <w:div w:id="84347885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5681">
      <w:bodyDiv w:val="1"/>
      <w:marLeft w:val="0"/>
      <w:marRight w:val="0"/>
      <w:marTop w:val="0"/>
      <w:marBottom w:val="0"/>
      <w:divBdr>
        <w:top w:val="none" w:sz="0" w:space="0" w:color="auto"/>
        <w:left w:val="none" w:sz="0" w:space="0" w:color="auto"/>
        <w:bottom w:val="none" w:sz="0" w:space="0" w:color="auto"/>
        <w:right w:val="none" w:sz="0" w:space="0" w:color="auto"/>
      </w:divBdr>
      <w:divsChild>
        <w:div w:id="113256019">
          <w:marLeft w:val="0"/>
          <w:marRight w:val="0"/>
          <w:marTop w:val="0"/>
          <w:marBottom w:val="0"/>
          <w:divBdr>
            <w:top w:val="none" w:sz="0" w:space="0" w:color="auto"/>
            <w:left w:val="none" w:sz="0" w:space="0" w:color="auto"/>
            <w:bottom w:val="none" w:sz="0" w:space="0" w:color="auto"/>
            <w:right w:val="none" w:sz="0" w:space="0" w:color="auto"/>
          </w:divBdr>
          <w:divsChild>
            <w:div w:id="19455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2031905997">
      <w:bodyDiv w:val="1"/>
      <w:marLeft w:val="0"/>
      <w:marRight w:val="0"/>
      <w:marTop w:val="0"/>
      <w:marBottom w:val="0"/>
      <w:divBdr>
        <w:top w:val="none" w:sz="0" w:space="0" w:color="auto"/>
        <w:left w:val="none" w:sz="0" w:space="0" w:color="auto"/>
        <w:bottom w:val="none" w:sz="0" w:space="0" w:color="auto"/>
        <w:right w:val="none" w:sz="0" w:space="0" w:color="auto"/>
      </w:divBdr>
      <w:divsChild>
        <w:div w:id="307517496">
          <w:marLeft w:val="0"/>
          <w:marRight w:val="0"/>
          <w:marTop w:val="0"/>
          <w:marBottom w:val="0"/>
          <w:divBdr>
            <w:top w:val="none" w:sz="0" w:space="0" w:color="auto"/>
            <w:left w:val="none" w:sz="0" w:space="0" w:color="auto"/>
            <w:bottom w:val="none" w:sz="0" w:space="0" w:color="auto"/>
            <w:right w:val="none" w:sz="0" w:space="0" w:color="auto"/>
          </w:divBdr>
          <w:divsChild>
            <w:div w:id="9267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2020-08-06T20:44:00Z</dcterms:created>
  <dcterms:modified xsi:type="dcterms:W3CDTF">2020-08-18T02:15:00Z</dcterms:modified>
</cp:coreProperties>
</file>