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4806AE" w:rsidRDefault="00AF1157" w14:paraId="74839754" w14:textId="77777777">
      <w:pPr>
        <w:suppressAutoHyphens/>
        <w:jc w:val="center"/>
        <w:rPr>
          <w:rFonts w:ascii="Arial" w:hAnsi="Arial" w:cs="Arial"/>
          <w:b/>
          <w:sz w:val="22"/>
          <w:szCs w:val="22"/>
        </w:rPr>
      </w:pPr>
      <w:bookmarkStart w:name="_GoBack" w:id="0"/>
      <w:bookmarkEnd w:id="0"/>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4806AE" w:rsidRDefault="00AF1157" w14:paraId="77516F04" w14:textId="77777777">
      <w:pPr>
        <w:suppressAutoHyphens/>
        <w:jc w:val="center"/>
        <w:rPr>
          <w:rFonts w:ascii="Arial" w:hAnsi="Arial" w:cs="Arial"/>
          <w:b/>
          <w:sz w:val="22"/>
          <w:szCs w:val="22"/>
        </w:rPr>
      </w:pPr>
    </w:p>
    <w:p w:rsidRPr="007A5D4B" w:rsidR="00AF1157" w:rsidP="004806AE" w:rsidRDefault="00AF1157" w14:paraId="0A1CF640"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894BE8" w:rsidR="00AF1157" w:rsidP="004806AE" w:rsidRDefault="00AF1157" w14:paraId="141FAA3A" w14:textId="77777777">
      <w:pPr>
        <w:suppressAutoHyphens/>
        <w:jc w:val="center"/>
        <w:rPr>
          <w:rFonts w:ascii="Arial" w:hAnsi="Arial" w:cs="Arial"/>
          <w:b/>
        </w:rPr>
      </w:pPr>
    </w:p>
    <w:p w:rsidRPr="007A5D4B" w:rsidR="00AF1157" w:rsidP="004806AE" w:rsidRDefault="00AF1157" w14:paraId="1DD236A8"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894BE8" w:rsidR="00AF1157" w:rsidP="004806AE" w:rsidRDefault="00AF1157" w14:paraId="24879EBA" w14:textId="77777777">
      <w:pPr>
        <w:suppressAutoHyphens/>
        <w:jc w:val="center"/>
        <w:rPr>
          <w:rFonts w:ascii="Arial" w:hAnsi="Arial" w:cs="Arial"/>
          <w:b/>
          <w:sz w:val="28"/>
          <w:szCs w:val="28"/>
        </w:rPr>
      </w:pPr>
    </w:p>
    <w:p w:rsidRPr="00894BE8" w:rsidR="00AF1157" w:rsidP="004806AE" w:rsidRDefault="00AF1157" w14:paraId="01E11B4B" w14:textId="60BA4401">
      <w:pPr>
        <w:suppressAutoHyphens/>
        <w:jc w:val="center"/>
        <w:rPr>
          <w:rFonts w:ascii="Arial" w:hAnsi="Arial" w:cs="Arial"/>
          <w:b/>
          <w:sz w:val="22"/>
          <w:szCs w:val="22"/>
          <w:u w:val="single"/>
        </w:rPr>
      </w:pPr>
      <w:r w:rsidRPr="00894BE8">
        <w:rPr>
          <w:rFonts w:ascii="Arial" w:hAnsi="Arial" w:cs="Arial"/>
          <w:b/>
          <w:sz w:val="22"/>
          <w:szCs w:val="22"/>
          <w:u w:val="single"/>
        </w:rPr>
        <w:t>OMB Control Number 1513</w:t>
      </w:r>
      <w:r w:rsidRPr="00894BE8" w:rsidR="00D73D2D">
        <w:rPr>
          <w:rFonts w:ascii="Arial" w:hAnsi="Arial" w:cs="Arial"/>
          <w:b/>
          <w:sz w:val="22"/>
          <w:szCs w:val="22"/>
          <w:u w:val="single"/>
        </w:rPr>
        <w:t>–</w:t>
      </w:r>
      <w:r w:rsidRPr="00894BE8" w:rsidR="00894BE8">
        <w:rPr>
          <w:rFonts w:ascii="Arial" w:hAnsi="Arial" w:cs="Arial"/>
          <w:b/>
          <w:sz w:val="22"/>
          <w:szCs w:val="22"/>
          <w:u w:val="single"/>
        </w:rPr>
        <w:t>0139</w:t>
      </w:r>
      <w:r w:rsidRPr="00894BE8" w:rsidR="00C54805">
        <w:rPr>
          <w:rFonts w:ascii="Arial" w:hAnsi="Arial" w:cs="Arial"/>
          <w:b/>
          <w:sz w:val="22"/>
          <w:szCs w:val="22"/>
          <w:u w:val="single"/>
        </w:rPr>
        <w:t xml:space="preserve"> </w:t>
      </w:r>
    </w:p>
    <w:p w:rsidRPr="00894BE8" w:rsidR="00AF1157" w:rsidP="002278D0" w:rsidRDefault="00AF1157" w14:paraId="33E0B7EE" w14:textId="77777777">
      <w:pPr>
        <w:suppressAutoHyphens/>
        <w:jc w:val="center"/>
        <w:rPr>
          <w:rFonts w:ascii="Arial" w:hAnsi="Arial" w:cs="Arial"/>
          <w:b/>
        </w:rPr>
      </w:pPr>
    </w:p>
    <w:p w:rsidRPr="002278D0" w:rsidR="007A7208" w:rsidP="002278D0" w:rsidRDefault="0015584F" w14:paraId="5A42BC80" w14:textId="0C0691DD">
      <w:pPr>
        <w:jc w:val="center"/>
        <w:rPr>
          <w:rFonts w:ascii="Arial" w:hAnsi="Arial" w:cs="Arial"/>
          <w:b/>
          <w:sz w:val="22"/>
          <w:szCs w:val="22"/>
        </w:rPr>
      </w:pPr>
      <w:r w:rsidRPr="002278D0">
        <w:rPr>
          <w:rFonts w:ascii="Arial" w:hAnsi="Arial" w:cs="Arial"/>
          <w:b/>
          <w:sz w:val="22"/>
          <w:szCs w:val="22"/>
        </w:rPr>
        <w:t>Record of Carbon Dioxide Measure</w:t>
      </w:r>
      <w:r w:rsidRPr="002278D0" w:rsidR="00D812C2">
        <w:rPr>
          <w:rFonts w:ascii="Arial" w:hAnsi="Arial" w:cs="Arial"/>
          <w:b/>
          <w:sz w:val="22"/>
          <w:szCs w:val="22"/>
        </w:rPr>
        <w:t xml:space="preserve">ment in Effervescent </w:t>
      </w:r>
      <w:r w:rsidRPr="002278D0" w:rsidR="00B00753">
        <w:rPr>
          <w:rFonts w:ascii="Arial" w:hAnsi="Arial" w:cs="Arial"/>
          <w:b/>
          <w:sz w:val="22"/>
          <w:szCs w:val="22"/>
        </w:rPr>
        <w:t xml:space="preserve">Products Taxed as </w:t>
      </w:r>
      <w:r w:rsidRPr="002278D0" w:rsidR="00D812C2">
        <w:rPr>
          <w:rFonts w:ascii="Arial" w:hAnsi="Arial" w:cs="Arial"/>
          <w:b/>
          <w:sz w:val="22"/>
          <w:szCs w:val="22"/>
        </w:rPr>
        <w:t>Hard Cider</w:t>
      </w:r>
      <w:r w:rsidR="002278D0">
        <w:rPr>
          <w:rFonts w:ascii="Arial" w:hAnsi="Arial" w:cs="Arial"/>
          <w:b/>
          <w:sz w:val="22"/>
          <w:szCs w:val="22"/>
        </w:rPr>
        <w:t xml:space="preserve"> </w:t>
      </w:r>
    </w:p>
    <w:p w:rsidRPr="007A5D4B" w:rsidR="00AF1157" w:rsidP="004806AE" w:rsidRDefault="00AF1157" w14:paraId="521D4788" w14:textId="77777777">
      <w:pPr>
        <w:suppressAutoHyphens/>
        <w:rPr>
          <w:rFonts w:ascii="Arial" w:hAnsi="Arial" w:cs="Arial"/>
          <w:sz w:val="22"/>
          <w:szCs w:val="22"/>
        </w:rPr>
      </w:pPr>
    </w:p>
    <w:p w:rsidRPr="007A5D4B" w:rsidR="00D73D2D" w:rsidP="000E68C5" w:rsidRDefault="00D73D2D" w14:paraId="484DFADB" w14:textId="77777777">
      <w:pPr>
        <w:suppressAutoHyphens/>
        <w:rPr>
          <w:rFonts w:ascii="Arial" w:hAnsi="Arial" w:cs="Arial"/>
          <w:sz w:val="22"/>
          <w:szCs w:val="22"/>
        </w:rPr>
      </w:pPr>
    </w:p>
    <w:p w:rsidRPr="007A5D4B" w:rsidR="00AF1157" w:rsidP="000E68C5" w:rsidRDefault="00AF1157" w14:paraId="729D8437"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9618DF" w:rsidRDefault="00AF1157" w14:paraId="1FE617F6" w14:textId="77777777">
      <w:pPr>
        <w:suppressAutoHyphens/>
        <w:rPr>
          <w:rFonts w:ascii="Arial" w:hAnsi="Arial" w:cs="Arial"/>
          <w:sz w:val="22"/>
          <w:szCs w:val="22"/>
        </w:rPr>
      </w:pPr>
    </w:p>
    <w:p w:rsidRPr="007A5D4B" w:rsidR="00AF1157" w:rsidP="004806AE" w:rsidRDefault="00D73D2D" w14:paraId="5931F415" w14:textId="77777777">
      <w:pPr>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987432" w:rsidP="004806AE" w:rsidRDefault="00987432" w14:paraId="6C6DC0EA" w14:textId="77777777">
      <w:pPr>
        <w:rPr>
          <w:rFonts w:ascii="Arial" w:hAnsi="Arial" w:cs="Arial"/>
          <w:sz w:val="22"/>
          <w:szCs w:val="22"/>
          <w:highlight w:val="yellow"/>
        </w:rPr>
      </w:pPr>
    </w:p>
    <w:p w:rsidRPr="007B46B3" w:rsidR="006A358A" w:rsidP="006A358A" w:rsidRDefault="006A358A" w14:paraId="2DB9B67D" w14:textId="77777777">
      <w:pPr>
        <w:ind w:left="360"/>
        <w:rPr>
          <w:rFonts w:ascii="Arial" w:hAnsi="Arial" w:cs="Arial"/>
          <w:sz w:val="22"/>
          <w:szCs w:val="22"/>
        </w:rPr>
      </w:pPr>
      <w:r w:rsidRPr="007B46B3">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(the Secretary) has delegated certain IRC administrative and enforcement authorities to TTB through Treasury Order 120–01. </w:t>
      </w:r>
    </w:p>
    <w:p w:rsidRPr="007B46B3" w:rsidR="006A358A" w:rsidP="00166710" w:rsidRDefault="006A358A" w14:paraId="489A9EF2" w14:textId="77777777">
      <w:pPr>
        <w:ind w:left="360"/>
        <w:rPr>
          <w:rFonts w:ascii="Arial" w:hAnsi="Arial" w:cs="Arial"/>
          <w:sz w:val="22"/>
          <w:szCs w:val="22"/>
        </w:rPr>
      </w:pPr>
    </w:p>
    <w:p w:rsidR="00E2443E" w:rsidP="00EC6BDC" w:rsidRDefault="00CB7E90" w14:paraId="754EC5DE" w14:textId="5F22E9A6">
      <w:pPr>
        <w:ind w:left="360"/>
        <w:rPr>
          <w:rFonts w:ascii="Arial" w:hAnsi="Arial" w:cs="Arial"/>
          <w:sz w:val="22"/>
          <w:szCs w:val="22"/>
        </w:rPr>
      </w:pPr>
      <w:r>
        <w:rPr>
          <w:rFonts w:ascii="Arial" w:hAnsi="Arial" w:cs="Arial"/>
          <w:bCs/>
          <w:sz w:val="22"/>
          <w:szCs w:val="22"/>
        </w:rPr>
        <w:t>The IRC at 26 U.S.C. 5041</w:t>
      </w:r>
      <w:r w:rsidRPr="00CB7E90">
        <w:rPr>
          <w:rFonts w:ascii="Arial" w:hAnsi="Arial" w:cs="Arial"/>
          <w:bCs/>
          <w:sz w:val="22"/>
          <w:szCs w:val="22"/>
        </w:rPr>
        <w:t xml:space="preserve"> imposes </w:t>
      </w:r>
      <w:r w:rsidRPr="00CB7E90">
        <w:rPr>
          <w:rFonts w:ascii="Arial" w:hAnsi="Arial" w:cs="Arial"/>
          <w:sz w:val="22"/>
          <w:szCs w:val="22"/>
        </w:rPr>
        <w:t>six excise tax rates on wine</w:t>
      </w:r>
      <w:r>
        <w:rPr>
          <w:rFonts w:ascii="Arial" w:hAnsi="Arial" w:cs="Arial"/>
          <w:sz w:val="22"/>
          <w:szCs w:val="22"/>
        </w:rPr>
        <w:t xml:space="preserve">, </w:t>
      </w:r>
      <w:r w:rsidR="003A46FB">
        <w:rPr>
          <w:rFonts w:ascii="Arial" w:hAnsi="Arial" w:cs="Arial"/>
          <w:sz w:val="22"/>
          <w:szCs w:val="22"/>
        </w:rPr>
        <w:t>which vary by the alcohol and carbon dioxide content of the wine.</w:t>
      </w:r>
      <w:r w:rsidR="008A2152">
        <w:rPr>
          <w:rStyle w:val="FootnoteReference"/>
          <w:rFonts w:ascii="Arial" w:hAnsi="Arial" w:cs="Arial"/>
          <w:sz w:val="22"/>
          <w:szCs w:val="22"/>
        </w:rPr>
        <w:footnoteReference w:id="1"/>
      </w:r>
      <w:r w:rsidR="003A46FB">
        <w:rPr>
          <w:rFonts w:ascii="Arial" w:hAnsi="Arial" w:cs="Arial"/>
          <w:sz w:val="22"/>
          <w:szCs w:val="22"/>
        </w:rPr>
        <w:t xml:space="preserve">  </w:t>
      </w:r>
      <w:r w:rsidR="00403BCE">
        <w:rPr>
          <w:rFonts w:ascii="Arial" w:hAnsi="Arial" w:cs="Arial"/>
          <w:sz w:val="22"/>
          <w:szCs w:val="22"/>
        </w:rPr>
        <w:t>A</w:t>
      </w:r>
      <w:r w:rsidRPr="00166710" w:rsidR="00403BCE">
        <w:rPr>
          <w:rFonts w:ascii="Arial" w:hAnsi="Arial" w:cs="Arial"/>
          <w:sz w:val="22"/>
          <w:szCs w:val="22"/>
        </w:rPr>
        <w:t xml:space="preserve">s set forth in section 5041(b)(6), the lowest wine tax rate is $0.226 </w:t>
      </w:r>
      <w:r w:rsidR="00894BE8">
        <w:rPr>
          <w:rFonts w:ascii="Arial" w:hAnsi="Arial" w:cs="Arial"/>
          <w:sz w:val="22"/>
          <w:szCs w:val="22"/>
        </w:rPr>
        <w:t xml:space="preserve">(22.6 cents) </w:t>
      </w:r>
      <w:r w:rsidRPr="00166710" w:rsidR="00403BCE">
        <w:rPr>
          <w:rFonts w:ascii="Arial" w:hAnsi="Arial" w:cs="Arial"/>
          <w:sz w:val="22"/>
          <w:szCs w:val="22"/>
        </w:rPr>
        <w:t>per wine gallon for “hard cider,” which</w:t>
      </w:r>
      <w:r w:rsidR="00403BCE">
        <w:rPr>
          <w:rFonts w:ascii="Arial" w:hAnsi="Arial" w:cs="Arial"/>
          <w:sz w:val="22"/>
          <w:szCs w:val="22"/>
        </w:rPr>
        <w:t>, as</w:t>
      </w:r>
      <w:r w:rsidRPr="00166710" w:rsidR="00403BCE">
        <w:rPr>
          <w:rFonts w:ascii="Arial" w:hAnsi="Arial" w:cs="Arial"/>
          <w:sz w:val="22"/>
          <w:szCs w:val="22"/>
        </w:rPr>
        <w:t xml:space="preserve"> defined </w:t>
      </w:r>
      <w:r w:rsidR="003A46FB">
        <w:rPr>
          <w:rFonts w:ascii="Arial" w:hAnsi="Arial" w:cs="Arial"/>
          <w:sz w:val="22"/>
          <w:szCs w:val="22"/>
        </w:rPr>
        <w:t>for tax</w:t>
      </w:r>
      <w:r w:rsidRPr="00166710" w:rsidR="00403BCE">
        <w:rPr>
          <w:rFonts w:ascii="Arial" w:hAnsi="Arial" w:cs="Arial"/>
          <w:sz w:val="22"/>
          <w:szCs w:val="22"/>
        </w:rPr>
        <w:t xml:space="preserve"> purposes in section 5041(g)</w:t>
      </w:r>
      <w:r w:rsidR="00403BCE">
        <w:rPr>
          <w:rFonts w:ascii="Arial" w:hAnsi="Arial" w:cs="Arial"/>
          <w:sz w:val="22"/>
          <w:szCs w:val="22"/>
        </w:rPr>
        <w:t xml:space="preserve">, may </w:t>
      </w:r>
      <w:r w:rsidR="003A46FB">
        <w:rPr>
          <w:rFonts w:ascii="Arial" w:hAnsi="Arial" w:cs="Arial"/>
          <w:sz w:val="22"/>
          <w:szCs w:val="22"/>
        </w:rPr>
        <w:t xml:space="preserve">not </w:t>
      </w:r>
      <w:r w:rsidR="00403BCE">
        <w:rPr>
          <w:rFonts w:ascii="Arial" w:hAnsi="Arial" w:cs="Arial"/>
          <w:sz w:val="22"/>
          <w:szCs w:val="22"/>
        </w:rPr>
        <w:t xml:space="preserve">contain </w:t>
      </w:r>
      <w:r w:rsidR="003A46FB">
        <w:rPr>
          <w:rFonts w:ascii="Arial" w:hAnsi="Arial" w:cs="Arial"/>
          <w:sz w:val="22"/>
          <w:szCs w:val="22"/>
        </w:rPr>
        <w:t xml:space="preserve">more than </w:t>
      </w:r>
      <w:r w:rsidR="00403BCE">
        <w:rPr>
          <w:rFonts w:ascii="Arial" w:hAnsi="Arial" w:cs="Arial"/>
          <w:sz w:val="22"/>
          <w:szCs w:val="22"/>
        </w:rPr>
        <w:t>0.64 gram of carbon dioxide per 100 milliliters of wine</w:t>
      </w:r>
      <w:r w:rsidRPr="00A40B9A" w:rsidR="00403BCE">
        <w:rPr>
          <w:rFonts w:ascii="Arial" w:hAnsi="Arial" w:cs="Arial"/>
          <w:sz w:val="22"/>
          <w:szCs w:val="22"/>
        </w:rPr>
        <w:t>.</w:t>
      </w:r>
      <w:r w:rsidRPr="00A40B9A" w:rsidR="002D0372">
        <w:rPr>
          <w:rStyle w:val="FootnoteReference"/>
          <w:rFonts w:ascii="Arial" w:hAnsi="Arial" w:cs="Arial"/>
          <w:sz w:val="22"/>
          <w:szCs w:val="22"/>
        </w:rPr>
        <w:footnoteReference w:id="2"/>
      </w:r>
      <w:r w:rsidRPr="00A40B9A" w:rsidR="00403BCE">
        <w:rPr>
          <w:rFonts w:ascii="Arial" w:hAnsi="Arial" w:cs="Arial"/>
          <w:sz w:val="22"/>
          <w:szCs w:val="22"/>
        </w:rPr>
        <w:t xml:space="preserve">  </w:t>
      </w:r>
      <w:r w:rsidRPr="00A40B9A" w:rsidR="00A40B9A">
        <w:rPr>
          <w:rFonts w:ascii="Arial" w:hAnsi="Arial" w:cs="Arial"/>
          <w:sz w:val="22"/>
          <w:szCs w:val="22"/>
        </w:rPr>
        <w:t xml:space="preserve">Effervescent </w:t>
      </w:r>
      <w:r w:rsidR="00A40B9A">
        <w:rPr>
          <w:rFonts w:ascii="Arial" w:hAnsi="Arial" w:cs="Arial"/>
          <w:sz w:val="22"/>
          <w:szCs w:val="22"/>
        </w:rPr>
        <w:t>h</w:t>
      </w:r>
      <w:r w:rsidRPr="00A40B9A" w:rsidR="00403BCE">
        <w:rPr>
          <w:rFonts w:ascii="Arial" w:hAnsi="Arial" w:cs="Arial"/>
          <w:sz w:val="22"/>
          <w:szCs w:val="22"/>
        </w:rPr>
        <w:t xml:space="preserve">ard ciders </w:t>
      </w:r>
      <w:r w:rsidRPr="00A40B9A" w:rsidR="00EC6BDC">
        <w:rPr>
          <w:rFonts w:ascii="Arial" w:hAnsi="Arial" w:cs="Arial"/>
          <w:sz w:val="22"/>
          <w:szCs w:val="22"/>
        </w:rPr>
        <w:t xml:space="preserve">exceeding that </w:t>
      </w:r>
      <w:r w:rsidRPr="00A40B9A" w:rsidR="00403BCE">
        <w:rPr>
          <w:rFonts w:ascii="Arial" w:hAnsi="Arial" w:cs="Arial"/>
          <w:sz w:val="22"/>
          <w:szCs w:val="22"/>
        </w:rPr>
        <w:t>carbon dioxide limit are taxed</w:t>
      </w:r>
      <w:r w:rsidRPr="00A40B9A" w:rsidR="00EC6BDC">
        <w:rPr>
          <w:rFonts w:ascii="Arial" w:hAnsi="Arial" w:cs="Arial"/>
          <w:sz w:val="22"/>
          <w:szCs w:val="22"/>
        </w:rPr>
        <w:t xml:space="preserve"> </w:t>
      </w:r>
      <w:r w:rsidR="00C26C37">
        <w:rPr>
          <w:rFonts w:ascii="Arial" w:hAnsi="Arial" w:cs="Arial"/>
          <w:sz w:val="22"/>
          <w:szCs w:val="22"/>
        </w:rPr>
        <w:t xml:space="preserve">at </w:t>
      </w:r>
      <w:r w:rsidR="00403BCE">
        <w:rPr>
          <w:rFonts w:ascii="Arial" w:hAnsi="Arial" w:cs="Arial"/>
          <w:sz w:val="22"/>
          <w:szCs w:val="22"/>
        </w:rPr>
        <w:t>$3.</w:t>
      </w:r>
      <w:r w:rsidRPr="00217DDE" w:rsidR="00217DDE">
        <w:rPr>
          <w:rFonts w:ascii="Arial" w:hAnsi="Arial" w:cs="Arial"/>
          <w:sz w:val="22"/>
          <w:szCs w:val="22"/>
        </w:rPr>
        <w:t xml:space="preserve">40 per wine gallon </w:t>
      </w:r>
      <w:r w:rsidR="003A46FB">
        <w:rPr>
          <w:rFonts w:ascii="Arial" w:hAnsi="Arial" w:cs="Arial"/>
          <w:sz w:val="22"/>
          <w:szCs w:val="22"/>
        </w:rPr>
        <w:t xml:space="preserve">if </w:t>
      </w:r>
      <w:r w:rsidR="004701B0">
        <w:rPr>
          <w:rFonts w:ascii="Arial" w:hAnsi="Arial" w:cs="Arial"/>
          <w:sz w:val="22"/>
          <w:szCs w:val="22"/>
        </w:rPr>
        <w:t xml:space="preserve">naturally </w:t>
      </w:r>
      <w:r w:rsidRPr="00217DDE" w:rsidR="00217DDE">
        <w:rPr>
          <w:rFonts w:ascii="Arial" w:hAnsi="Arial" w:cs="Arial"/>
          <w:sz w:val="22"/>
          <w:szCs w:val="22"/>
        </w:rPr>
        <w:t>sparkling</w:t>
      </w:r>
      <w:r w:rsidR="003A46FB">
        <w:rPr>
          <w:rFonts w:ascii="Arial" w:hAnsi="Arial" w:cs="Arial"/>
          <w:sz w:val="22"/>
          <w:szCs w:val="22"/>
        </w:rPr>
        <w:t xml:space="preserve"> or </w:t>
      </w:r>
      <w:r w:rsidR="00C26C37">
        <w:rPr>
          <w:rFonts w:ascii="Arial" w:hAnsi="Arial" w:cs="Arial"/>
          <w:sz w:val="22"/>
          <w:szCs w:val="22"/>
        </w:rPr>
        <w:t xml:space="preserve">at </w:t>
      </w:r>
      <w:r w:rsidRPr="00217DDE" w:rsidR="00217DDE">
        <w:rPr>
          <w:rFonts w:ascii="Arial" w:hAnsi="Arial" w:cs="Arial"/>
          <w:sz w:val="22"/>
          <w:szCs w:val="22"/>
        </w:rPr>
        <w:t xml:space="preserve">$3.30 per wine gallon </w:t>
      </w:r>
      <w:r w:rsidR="003A46FB">
        <w:rPr>
          <w:rFonts w:ascii="Arial" w:hAnsi="Arial" w:cs="Arial"/>
          <w:sz w:val="22"/>
          <w:szCs w:val="22"/>
        </w:rPr>
        <w:t>if artificially carbonated</w:t>
      </w:r>
      <w:r w:rsidR="00894BE8">
        <w:rPr>
          <w:rFonts w:ascii="Arial" w:hAnsi="Arial" w:cs="Arial"/>
          <w:sz w:val="22"/>
          <w:szCs w:val="22"/>
        </w:rPr>
        <w:t>, per sections 5041(b)(4) and (5)</w:t>
      </w:r>
      <w:r w:rsidR="003A46FB">
        <w:rPr>
          <w:rFonts w:ascii="Arial" w:hAnsi="Arial" w:cs="Arial"/>
          <w:sz w:val="22"/>
          <w:szCs w:val="22"/>
        </w:rPr>
        <w:t>.</w:t>
      </w:r>
      <w:r w:rsidR="00A40B9A">
        <w:rPr>
          <w:rFonts w:ascii="Arial" w:hAnsi="Arial" w:cs="Arial"/>
          <w:sz w:val="22"/>
          <w:szCs w:val="22"/>
        </w:rPr>
        <w:t xml:space="preserve"> </w:t>
      </w:r>
    </w:p>
    <w:p w:rsidR="00E2443E" w:rsidP="00C935A5" w:rsidRDefault="00E2443E" w14:paraId="667FFE99" w14:textId="77777777">
      <w:pPr>
        <w:tabs>
          <w:tab w:val="left" w:pos="-1440"/>
        </w:tabs>
        <w:ind w:left="360"/>
        <w:rPr>
          <w:rFonts w:ascii="Arial" w:hAnsi="Arial" w:cs="Arial"/>
          <w:sz w:val="22"/>
          <w:szCs w:val="22"/>
        </w:rPr>
      </w:pPr>
    </w:p>
    <w:p w:rsidR="002F5FFA" w:rsidP="00C935A5" w:rsidRDefault="00C935A5" w14:paraId="15A8BFBF" w14:textId="7F91D0E0">
      <w:pPr>
        <w:suppressAutoHyphens/>
        <w:spacing w:line="240" w:lineRule="atLeast"/>
        <w:ind w:left="360"/>
        <w:rPr>
          <w:rFonts w:ascii="Arial" w:hAnsi="Arial" w:cs="Arial"/>
          <w:sz w:val="22"/>
          <w:szCs w:val="22"/>
        </w:rPr>
      </w:pPr>
      <w:r>
        <w:rPr>
          <w:rFonts w:ascii="Arial" w:hAnsi="Arial" w:cs="Arial"/>
          <w:sz w:val="22"/>
          <w:szCs w:val="22"/>
        </w:rPr>
        <w:t>Given t</w:t>
      </w:r>
      <w:r w:rsidRPr="00C935A5">
        <w:rPr>
          <w:rFonts w:ascii="Arial" w:hAnsi="Arial" w:cs="Arial"/>
          <w:sz w:val="22"/>
          <w:szCs w:val="22"/>
        </w:rPr>
        <w:t xml:space="preserve">he </w:t>
      </w:r>
      <w:r>
        <w:rPr>
          <w:rFonts w:ascii="Arial" w:hAnsi="Arial" w:cs="Arial"/>
          <w:sz w:val="22"/>
          <w:szCs w:val="22"/>
        </w:rPr>
        <w:t xml:space="preserve">substantial </w:t>
      </w:r>
      <w:r w:rsidRPr="00C935A5">
        <w:rPr>
          <w:rFonts w:ascii="Arial" w:hAnsi="Arial" w:cs="Arial"/>
          <w:sz w:val="22"/>
          <w:szCs w:val="22"/>
        </w:rPr>
        <w:t>tax</w:t>
      </w:r>
      <w:r w:rsidR="00C26C37">
        <w:rPr>
          <w:rFonts w:ascii="Arial" w:hAnsi="Arial" w:cs="Arial"/>
          <w:sz w:val="22"/>
          <w:szCs w:val="22"/>
        </w:rPr>
        <w:t xml:space="preserve"> </w:t>
      </w:r>
      <w:r w:rsidRPr="00C935A5">
        <w:rPr>
          <w:rFonts w:ascii="Arial" w:hAnsi="Arial" w:cs="Arial"/>
          <w:sz w:val="22"/>
          <w:szCs w:val="22"/>
        </w:rPr>
        <w:t>rate differential between hard cider and th</w:t>
      </w:r>
      <w:r>
        <w:rPr>
          <w:rFonts w:ascii="Arial" w:hAnsi="Arial" w:cs="Arial"/>
          <w:sz w:val="22"/>
          <w:szCs w:val="22"/>
        </w:rPr>
        <w:t xml:space="preserve">ose for </w:t>
      </w:r>
      <w:r w:rsidR="00C26C37">
        <w:rPr>
          <w:rFonts w:ascii="Arial" w:hAnsi="Arial" w:cs="Arial"/>
          <w:sz w:val="22"/>
          <w:szCs w:val="22"/>
        </w:rPr>
        <w:t>carbonated wines</w:t>
      </w:r>
      <w:r>
        <w:rPr>
          <w:rFonts w:ascii="Arial" w:hAnsi="Arial" w:cs="Arial"/>
          <w:sz w:val="22"/>
          <w:szCs w:val="22"/>
        </w:rPr>
        <w:t xml:space="preserve">—amounting </w:t>
      </w:r>
      <w:r w:rsidRPr="00C935A5">
        <w:rPr>
          <w:rFonts w:ascii="Arial" w:hAnsi="Arial" w:cs="Arial"/>
          <w:sz w:val="22"/>
          <w:szCs w:val="22"/>
        </w:rPr>
        <w:t xml:space="preserve">to $31,740 </w:t>
      </w:r>
      <w:r w:rsidR="002F5FFA">
        <w:rPr>
          <w:rFonts w:ascii="Arial" w:hAnsi="Arial" w:cs="Arial"/>
          <w:sz w:val="22"/>
          <w:szCs w:val="22"/>
        </w:rPr>
        <w:t xml:space="preserve">per 10,000 gallons </w:t>
      </w:r>
      <w:r w:rsidRPr="00C935A5">
        <w:rPr>
          <w:rFonts w:ascii="Arial" w:hAnsi="Arial" w:cs="Arial"/>
          <w:sz w:val="22"/>
          <w:szCs w:val="22"/>
        </w:rPr>
        <w:t>for naturally sparkling wines</w:t>
      </w:r>
      <w:r>
        <w:rPr>
          <w:rFonts w:ascii="Arial" w:hAnsi="Arial" w:cs="Arial"/>
          <w:sz w:val="22"/>
          <w:szCs w:val="22"/>
        </w:rPr>
        <w:t xml:space="preserve"> and </w:t>
      </w:r>
      <w:r w:rsidRPr="00C935A5">
        <w:rPr>
          <w:rFonts w:ascii="Arial" w:hAnsi="Arial" w:cs="Arial"/>
          <w:sz w:val="22"/>
          <w:szCs w:val="22"/>
        </w:rPr>
        <w:t>$30,740 per 10,000 gallons for artificially carbonated wines</w:t>
      </w:r>
      <w:r>
        <w:rPr>
          <w:rFonts w:ascii="Arial" w:hAnsi="Arial" w:cs="Arial"/>
          <w:sz w:val="22"/>
          <w:szCs w:val="22"/>
        </w:rPr>
        <w:t xml:space="preserve">—the TTB </w:t>
      </w:r>
      <w:r w:rsidR="00894BE8">
        <w:rPr>
          <w:rFonts w:ascii="Arial" w:hAnsi="Arial" w:cs="Arial"/>
          <w:sz w:val="22"/>
          <w:szCs w:val="22"/>
        </w:rPr>
        <w:t xml:space="preserve">wine </w:t>
      </w:r>
      <w:r>
        <w:rPr>
          <w:rFonts w:ascii="Arial" w:hAnsi="Arial" w:cs="Arial"/>
          <w:sz w:val="22"/>
          <w:szCs w:val="22"/>
        </w:rPr>
        <w:t xml:space="preserve">regulations </w:t>
      </w:r>
      <w:r w:rsidR="002F5FFA">
        <w:rPr>
          <w:rFonts w:ascii="Arial" w:hAnsi="Arial" w:cs="Arial"/>
          <w:sz w:val="22"/>
          <w:szCs w:val="22"/>
        </w:rPr>
        <w:t xml:space="preserve">at 27 </w:t>
      </w:r>
      <w:r w:rsidRPr="002F5FFA" w:rsidR="002F5FFA">
        <w:rPr>
          <w:rFonts w:ascii="Arial" w:hAnsi="Arial" w:cs="Arial"/>
          <w:sz w:val="22"/>
          <w:szCs w:val="22"/>
        </w:rPr>
        <w:t>CFR 24.302</w:t>
      </w:r>
      <w:r w:rsidR="002F5FFA">
        <w:rPr>
          <w:rFonts w:ascii="Arial" w:hAnsi="Arial" w:cs="Arial"/>
          <w:sz w:val="22"/>
          <w:szCs w:val="22"/>
        </w:rPr>
        <w:t>(k)</w:t>
      </w:r>
      <w:r w:rsidRPr="002F5FFA" w:rsidR="002F5FFA">
        <w:rPr>
          <w:rFonts w:ascii="Arial" w:hAnsi="Arial" w:cs="Arial"/>
          <w:sz w:val="22"/>
          <w:szCs w:val="22"/>
        </w:rPr>
        <w:t xml:space="preserve"> require </w:t>
      </w:r>
      <w:r w:rsidR="002F5FFA">
        <w:rPr>
          <w:rFonts w:ascii="Arial" w:hAnsi="Arial" w:cs="Arial"/>
          <w:sz w:val="22"/>
          <w:szCs w:val="22"/>
        </w:rPr>
        <w:t xml:space="preserve">wine </w:t>
      </w:r>
      <w:r w:rsidR="00C26C37">
        <w:rPr>
          <w:rFonts w:ascii="Arial" w:hAnsi="Arial" w:cs="Arial"/>
          <w:sz w:val="22"/>
          <w:szCs w:val="22"/>
        </w:rPr>
        <w:t>premises proprietors t</w:t>
      </w:r>
      <w:r w:rsidRPr="002F5FFA" w:rsidR="002F5FFA">
        <w:rPr>
          <w:rFonts w:ascii="Arial" w:hAnsi="Arial" w:cs="Arial"/>
          <w:sz w:val="22"/>
          <w:szCs w:val="22"/>
        </w:rPr>
        <w:t xml:space="preserve">o record the amount of carbon dioxide in </w:t>
      </w:r>
      <w:r w:rsidR="00894BE8">
        <w:rPr>
          <w:rFonts w:ascii="Arial" w:hAnsi="Arial" w:cs="Arial"/>
          <w:sz w:val="22"/>
          <w:szCs w:val="22"/>
        </w:rPr>
        <w:t xml:space="preserve">the </w:t>
      </w:r>
      <w:r w:rsidRPr="002F5FFA" w:rsidR="002F5FFA">
        <w:rPr>
          <w:rFonts w:ascii="Arial" w:hAnsi="Arial" w:cs="Arial"/>
          <w:sz w:val="22"/>
          <w:szCs w:val="22"/>
        </w:rPr>
        <w:t xml:space="preserve">naturally sparkling </w:t>
      </w:r>
      <w:r w:rsidR="002F5FFA">
        <w:rPr>
          <w:rFonts w:ascii="Arial" w:hAnsi="Arial" w:cs="Arial"/>
          <w:sz w:val="22"/>
          <w:szCs w:val="22"/>
        </w:rPr>
        <w:t xml:space="preserve">or </w:t>
      </w:r>
      <w:r w:rsidRPr="002F5FFA" w:rsidR="002F5FFA">
        <w:rPr>
          <w:rFonts w:ascii="Arial" w:hAnsi="Arial" w:cs="Arial"/>
          <w:sz w:val="22"/>
          <w:szCs w:val="22"/>
        </w:rPr>
        <w:t>artificially carbonated hard cider</w:t>
      </w:r>
      <w:r w:rsidR="00A40B9A">
        <w:rPr>
          <w:rFonts w:ascii="Arial" w:hAnsi="Arial" w:cs="Arial"/>
          <w:sz w:val="22"/>
          <w:szCs w:val="22"/>
        </w:rPr>
        <w:t>s</w:t>
      </w:r>
      <w:r w:rsidR="00C26C37">
        <w:rPr>
          <w:rFonts w:ascii="Arial" w:hAnsi="Arial" w:cs="Arial"/>
          <w:sz w:val="22"/>
          <w:szCs w:val="22"/>
        </w:rPr>
        <w:t xml:space="preserve"> that they produce or receive in bond.</w:t>
      </w:r>
      <w:r w:rsidRPr="002F5FFA" w:rsidR="002F5FFA">
        <w:rPr>
          <w:rFonts w:ascii="Arial" w:hAnsi="Arial" w:cs="Arial"/>
          <w:sz w:val="22"/>
          <w:szCs w:val="22"/>
        </w:rPr>
        <w:t xml:space="preserve">  TTB has determined that this recordkeeping requirement is necessary to protect the </w:t>
      </w:r>
      <w:r w:rsidRPr="002F5FFA" w:rsidR="002F5FFA">
        <w:rPr>
          <w:rFonts w:ascii="Arial" w:hAnsi="Arial" w:cs="Arial"/>
          <w:sz w:val="22"/>
          <w:szCs w:val="22"/>
        </w:rPr>
        <w:lastRenderedPageBreak/>
        <w:t>revenue and demonstrate compliance with the st</w:t>
      </w:r>
      <w:r w:rsidR="00C26C37">
        <w:rPr>
          <w:rFonts w:ascii="Arial" w:hAnsi="Arial" w:cs="Arial"/>
          <w:sz w:val="22"/>
          <w:szCs w:val="22"/>
        </w:rPr>
        <w:t>atutory requirements for p</w:t>
      </w:r>
      <w:r w:rsidRPr="002F5FFA" w:rsidR="002F5FFA">
        <w:rPr>
          <w:rFonts w:ascii="Arial" w:hAnsi="Arial" w:cs="Arial"/>
          <w:sz w:val="22"/>
          <w:szCs w:val="22"/>
        </w:rPr>
        <w:t>roducts eligible for the hard cider tax rate</w:t>
      </w:r>
      <w:r w:rsidR="00A40B9A">
        <w:rPr>
          <w:rFonts w:ascii="Arial" w:hAnsi="Arial" w:cs="Arial"/>
          <w:sz w:val="22"/>
          <w:szCs w:val="22"/>
        </w:rPr>
        <w:t>.</w:t>
      </w:r>
      <w:r w:rsidRPr="00A40B9A" w:rsidR="002F5FFA">
        <w:rPr>
          <w:rFonts w:ascii="Arial" w:hAnsi="Arial" w:cs="Arial"/>
          <w:sz w:val="22"/>
          <w:szCs w:val="22"/>
        </w:rPr>
        <w:t xml:space="preserve"> </w:t>
      </w:r>
    </w:p>
    <w:p w:rsidR="002F5FFA" w:rsidP="00C935A5" w:rsidRDefault="002F5FFA" w14:paraId="75D5CBAE" w14:textId="77777777">
      <w:pPr>
        <w:suppressAutoHyphens/>
        <w:spacing w:line="240" w:lineRule="atLeast"/>
        <w:ind w:left="360"/>
        <w:rPr>
          <w:rFonts w:ascii="Arial" w:hAnsi="Arial" w:cs="Arial"/>
          <w:sz w:val="22"/>
          <w:szCs w:val="22"/>
        </w:rPr>
      </w:pPr>
    </w:p>
    <w:p w:rsidRPr="006F0ACC" w:rsidR="00401753" w:rsidP="00772AC4" w:rsidRDefault="00401753" w14:paraId="69F0358F" w14:textId="72B7ADC9">
      <w:pPr>
        <w:suppressAutoHyphens/>
        <w:spacing w:after="120"/>
        <w:ind w:left="360"/>
        <w:rPr>
          <w:rFonts w:ascii="Arial" w:hAnsi="Arial" w:cs="Arial"/>
          <w:sz w:val="22"/>
          <w:szCs w:val="22"/>
        </w:rPr>
      </w:pPr>
      <w:r w:rsidRPr="006F0ACC">
        <w:rPr>
          <w:rFonts w:ascii="Arial" w:hAnsi="Arial" w:cs="Arial"/>
          <w:sz w:val="22"/>
          <w:szCs w:val="22"/>
        </w:rPr>
        <w:t>This information collection is aligned with:</w:t>
      </w:r>
      <w:r w:rsidRPr="006F0ACC" w:rsidR="00D60438">
        <w:rPr>
          <w:rFonts w:ascii="Arial" w:hAnsi="Arial" w:cs="Arial"/>
          <w:sz w:val="22"/>
          <w:szCs w:val="22"/>
        </w:rPr>
        <w:t xml:space="preserve"> </w:t>
      </w:r>
    </w:p>
    <w:p w:rsidRPr="006F0ACC" w:rsidR="00401753" w:rsidP="00772AC4" w:rsidRDefault="00401753" w14:paraId="3F43A1BD" w14:textId="540B8DBA">
      <w:pPr>
        <w:pStyle w:val="ListParagraph"/>
        <w:numPr>
          <w:ilvl w:val="0"/>
          <w:numId w:val="7"/>
        </w:numPr>
        <w:suppressAutoHyphens/>
        <w:spacing w:after="120"/>
        <w:contextualSpacing w:val="0"/>
        <w:rPr>
          <w:rFonts w:ascii="Arial" w:hAnsi="Arial" w:cs="Arial"/>
          <w:sz w:val="22"/>
          <w:szCs w:val="22"/>
        </w:rPr>
      </w:pPr>
      <w:r w:rsidRPr="00772AC4">
        <w:rPr>
          <w:rFonts w:ascii="Arial" w:hAnsi="Arial" w:cs="Arial"/>
          <w:sz w:val="22"/>
          <w:szCs w:val="22"/>
          <w:u w:val="single"/>
        </w:rPr>
        <w:t>Line of Business/Sub-function:</w:t>
      </w:r>
      <w:r w:rsidRPr="006F0ACC">
        <w:rPr>
          <w:rFonts w:ascii="Arial" w:hAnsi="Arial" w:cs="Arial"/>
          <w:sz w:val="22"/>
          <w:szCs w:val="22"/>
        </w:rPr>
        <w:t xml:space="preserve">  General Government/Taxation Management.</w:t>
      </w:r>
      <w:r w:rsidRPr="006F0ACC" w:rsidR="00D60438">
        <w:rPr>
          <w:rFonts w:ascii="Arial" w:hAnsi="Arial" w:cs="Arial"/>
          <w:sz w:val="22"/>
          <w:szCs w:val="22"/>
        </w:rPr>
        <w:t xml:space="preserve"> </w:t>
      </w:r>
    </w:p>
    <w:p w:rsidRPr="006F0ACC" w:rsidR="00401753" w:rsidP="00772AC4" w:rsidRDefault="00401753" w14:paraId="20A0B3FE" w14:textId="275E9C75">
      <w:pPr>
        <w:pStyle w:val="ListParagraph"/>
        <w:numPr>
          <w:ilvl w:val="0"/>
          <w:numId w:val="7"/>
        </w:numPr>
        <w:suppressAutoHyphens/>
        <w:contextualSpacing w:val="0"/>
        <w:rPr>
          <w:rFonts w:ascii="Arial" w:hAnsi="Arial" w:cs="Arial"/>
          <w:sz w:val="22"/>
          <w:szCs w:val="22"/>
        </w:rPr>
      </w:pPr>
      <w:r w:rsidRPr="00772AC4">
        <w:rPr>
          <w:rFonts w:ascii="Arial" w:hAnsi="Arial" w:cs="Arial"/>
          <w:sz w:val="22"/>
          <w:szCs w:val="22"/>
          <w:u w:val="single"/>
        </w:rPr>
        <w:t>IT Investment:</w:t>
      </w:r>
      <w:r w:rsidRPr="006F0ACC">
        <w:rPr>
          <w:rFonts w:ascii="Arial" w:hAnsi="Arial" w:cs="Arial"/>
          <w:sz w:val="22"/>
          <w:szCs w:val="22"/>
        </w:rPr>
        <w:t xml:space="preserve">  </w:t>
      </w:r>
      <w:r w:rsidR="00786283">
        <w:rPr>
          <w:rFonts w:ascii="Arial" w:hAnsi="Arial" w:cs="Arial"/>
          <w:sz w:val="22"/>
          <w:szCs w:val="22"/>
        </w:rPr>
        <w:t>None.</w:t>
      </w:r>
      <w:r w:rsidRPr="006F0ACC" w:rsidR="00D460BA">
        <w:rPr>
          <w:rFonts w:ascii="Arial" w:hAnsi="Arial" w:cs="Arial"/>
          <w:sz w:val="22"/>
          <w:szCs w:val="22"/>
        </w:rPr>
        <w:t xml:space="preserve"> </w:t>
      </w:r>
    </w:p>
    <w:p w:rsidRPr="00090251" w:rsidR="005E4F99" w:rsidRDefault="005E4F99" w14:paraId="5025D311" w14:textId="627445BB">
      <w:pPr>
        <w:suppressAutoHyphens/>
        <w:rPr>
          <w:rFonts w:ascii="Arial" w:hAnsi="Arial" w:cs="Arial"/>
          <w:sz w:val="36"/>
          <w:szCs w:val="36"/>
        </w:rPr>
      </w:pPr>
    </w:p>
    <w:p w:rsidRPr="007A5D4B" w:rsidR="00AF1157" w:rsidRDefault="00AF1157" w14:paraId="561F0B11"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6F3DBD" w:rsidP="00382A92" w:rsidRDefault="006F3DBD" w14:paraId="12378E07" w14:textId="77777777">
      <w:pPr>
        <w:ind w:left="360"/>
        <w:rPr>
          <w:rFonts w:ascii="Arial" w:hAnsi="Arial" w:cs="Arial"/>
          <w:sz w:val="22"/>
          <w:szCs w:val="22"/>
        </w:rPr>
      </w:pPr>
    </w:p>
    <w:p w:rsidRPr="007022A1" w:rsidR="00382A92" w:rsidP="00382A92" w:rsidRDefault="006F3DBD" w14:paraId="77A6F7DB" w14:textId="3B6097CB">
      <w:pPr>
        <w:ind w:left="360"/>
        <w:rPr>
          <w:rFonts w:ascii="Arial" w:hAnsi="Arial" w:cs="Arial"/>
          <w:sz w:val="22"/>
          <w:szCs w:val="22"/>
        </w:rPr>
      </w:pPr>
      <w:r>
        <w:rPr>
          <w:rFonts w:ascii="Arial" w:hAnsi="Arial" w:cs="Arial"/>
          <w:sz w:val="22"/>
          <w:szCs w:val="22"/>
        </w:rPr>
        <w:t>T</w:t>
      </w:r>
      <w:r w:rsidRPr="007022A1" w:rsidR="00382A92">
        <w:rPr>
          <w:rFonts w:ascii="Arial" w:hAnsi="Arial" w:cs="Arial"/>
          <w:sz w:val="22"/>
          <w:szCs w:val="22"/>
        </w:rPr>
        <w:t xml:space="preserve">TB </w:t>
      </w:r>
      <w:r>
        <w:rPr>
          <w:rFonts w:ascii="Arial" w:hAnsi="Arial" w:cs="Arial"/>
          <w:sz w:val="22"/>
          <w:szCs w:val="22"/>
        </w:rPr>
        <w:t xml:space="preserve">requires wine </w:t>
      </w:r>
      <w:r w:rsidR="00C26C37">
        <w:rPr>
          <w:rFonts w:ascii="Arial" w:hAnsi="Arial" w:cs="Arial"/>
          <w:sz w:val="22"/>
          <w:szCs w:val="22"/>
        </w:rPr>
        <w:t xml:space="preserve">premises proprietors </w:t>
      </w:r>
      <w:r>
        <w:rPr>
          <w:rFonts w:ascii="Arial" w:hAnsi="Arial" w:cs="Arial"/>
          <w:sz w:val="22"/>
          <w:szCs w:val="22"/>
        </w:rPr>
        <w:t xml:space="preserve">to </w:t>
      </w:r>
      <w:r w:rsidR="00281B73">
        <w:rPr>
          <w:rFonts w:ascii="Arial" w:hAnsi="Arial" w:cs="Arial"/>
          <w:sz w:val="22"/>
          <w:szCs w:val="22"/>
        </w:rPr>
        <w:t xml:space="preserve">record </w:t>
      </w:r>
      <w:r>
        <w:rPr>
          <w:rFonts w:ascii="Arial" w:hAnsi="Arial" w:cs="Arial"/>
          <w:sz w:val="22"/>
          <w:szCs w:val="22"/>
        </w:rPr>
        <w:t xml:space="preserve">the </w:t>
      </w:r>
      <w:r w:rsidR="00281B73">
        <w:rPr>
          <w:rFonts w:ascii="Arial" w:hAnsi="Arial" w:cs="Arial"/>
          <w:sz w:val="22"/>
          <w:szCs w:val="22"/>
        </w:rPr>
        <w:t xml:space="preserve">amount </w:t>
      </w:r>
      <w:r>
        <w:rPr>
          <w:rFonts w:ascii="Arial" w:hAnsi="Arial" w:cs="Arial"/>
          <w:sz w:val="22"/>
          <w:szCs w:val="22"/>
        </w:rPr>
        <w:t>of carbon dioxide in wines for which they claim the hard cider excise tax rate</w:t>
      </w:r>
      <w:r w:rsidR="00281B73">
        <w:rPr>
          <w:rFonts w:ascii="Arial" w:hAnsi="Arial" w:cs="Arial"/>
          <w:sz w:val="22"/>
          <w:szCs w:val="22"/>
        </w:rPr>
        <w:t xml:space="preserve"> because that rate is significantly lower than those for other types of wines, particularly those </w:t>
      </w:r>
      <w:r w:rsidR="00C26C37">
        <w:rPr>
          <w:rFonts w:ascii="Arial" w:hAnsi="Arial" w:cs="Arial"/>
          <w:sz w:val="22"/>
          <w:szCs w:val="22"/>
        </w:rPr>
        <w:t xml:space="preserve">taxed as </w:t>
      </w:r>
      <w:r w:rsidR="00281B73">
        <w:rPr>
          <w:rFonts w:ascii="Arial" w:hAnsi="Arial" w:cs="Arial"/>
          <w:sz w:val="22"/>
          <w:szCs w:val="22"/>
        </w:rPr>
        <w:t xml:space="preserve">naturally </w:t>
      </w:r>
      <w:r w:rsidR="00C26C37">
        <w:rPr>
          <w:rFonts w:ascii="Arial" w:hAnsi="Arial" w:cs="Arial"/>
          <w:sz w:val="22"/>
          <w:szCs w:val="22"/>
        </w:rPr>
        <w:t xml:space="preserve">or </w:t>
      </w:r>
      <w:r w:rsidR="00281B73">
        <w:rPr>
          <w:rFonts w:ascii="Arial" w:hAnsi="Arial" w:cs="Arial"/>
          <w:sz w:val="22"/>
          <w:szCs w:val="22"/>
        </w:rPr>
        <w:t xml:space="preserve">artificially carbonated wines.  Therefore, to protect the revenue, </w:t>
      </w:r>
      <w:r>
        <w:rPr>
          <w:rFonts w:ascii="Arial" w:hAnsi="Arial" w:cs="Arial"/>
          <w:sz w:val="22"/>
          <w:szCs w:val="22"/>
        </w:rPr>
        <w:t xml:space="preserve">TTB personnel examine the required </w:t>
      </w:r>
      <w:r w:rsidR="00070947">
        <w:rPr>
          <w:rFonts w:ascii="Arial" w:hAnsi="Arial" w:cs="Arial"/>
          <w:sz w:val="22"/>
          <w:szCs w:val="22"/>
        </w:rPr>
        <w:t xml:space="preserve">records </w:t>
      </w:r>
      <w:r w:rsidRPr="007022A1" w:rsidR="00382A92">
        <w:rPr>
          <w:rFonts w:ascii="Arial" w:hAnsi="Arial" w:cs="Arial"/>
          <w:sz w:val="22"/>
          <w:szCs w:val="22"/>
        </w:rPr>
        <w:t>during audits or investigations of winery premises</w:t>
      </w:r>
      <w:r w:rsidR="00D940CA">
        <w:rPr>
          <w:rFonts w:ascii="Arial" w:hAnsi="Arial" w:cs="Arial"/>
          <w:sz w:val="22"/>
          <w:szCs w:val="22"/>
        </w:rPr>
        <w:t xml:space="preserve"> to </w:t>
      </w:r>
      <w:r w:rsidR="003B3471">
        <w:rPr>
          <w:rFonts w:ascii="Arial" w:hAnsi="Arial" w:cs="Arial"/>
          <w:sz w:val="22"/>
          <w:szCs w:val="22"/>
        </w:rPr>
        <w:t xml:space="preserve">verify </w:t>
      </w:r>
      <w:r w:rsidR="00A31A99">
        <w:rPr>
          <w:rFonts w:ascii="Arial" w:hAnsi="Arial" w:cs="Arial"/>
          <w:sz w:val="22"/>
          <w:szCs w:val="22"/>
        </w:rPr>
        <w:t xml:space="preserve">that </w:t>
      </w:r>
      <w:r w:rsidR="00CB5AAB">
        <w:rPr>
          <w:rFonts w:ascii="Arial" w:hAnsi="Arial" w:cs="Arial"/>
          <w:sz w:val="22"/>
          <w:szCs w:val="22"/>
        </w:rPr>
        <w:t>wine</w:t>
      </w:r>
      <w:r w:rsidR="00281B73">
        <w:rPr>
          <w:rFonts w:ascii="Arial" w:hAnsi="Arial" w:cs="Arial"/>
          <w:sz w:val="22"/>
          <w:szCs w:val="22"/>
        </w:rPr>
        <w:t>s</w:t>
      </w:r>
      <w:r w:rsidR="00A31A99">
        <w:rPr>
          <w:rFonts w:ascii="Arial" w:hAnsi="Arial" w:cs="Arial"/>
          <w:sz w:val="22"/>
          <w:szCs w:val="22"/>
        </w:rPr>
        <w:t xml:space="preserve"> </w:t>
      </w:r>
      <w:r>
        <w:rPr>
          <w:rFonts w:ascii="Arial" w:hAnsi="Arial" w:cs="Arial"/>
          <w:sz w:val="22"/>
          <w:szCs w:val="22"/>
        </w:rPr>
        <w:t xml:space="preserve">for which </w:t>
      </w:r>
      <w:r w:rsidR="002E0A5A">
        <w:rPr>
          <w:rFonts w:ascii="Arial" w:hAnsi="Arial" w:cs="Arial"/>
          <w:sz w:val="22"/>
          <w:szCs w:val="22"/>
        </w:rPr>
        <w:t xml:space="preserve">respondents claim </w:t>
      </w:r>
      <w:r>
        <w:rPr>
          <w:rFonts w:ascii="Arial" w:hAnsi="Arial" w:cs="Arial"/>
          <w:sz w:val="22"/>
          <w:szCs w:val="22"/>
        </w:rPr>
        <w:t xml:space="preserve">the </w:t>
      </w:r>
      <w:r w:rsidR="00A31A99">
        <w:rPr>
          <w:rFonts w:ascii="Arial" w:hAnsi="Arial" w:cs="Arial"/>
          <w:sz w:val="22"/>
          <w:szCs w:val="22"/>
        </w:rPr>
        <w:t xml:space="preserve">hard cider tax rate </w:t>
      </w:r>
      <w:r w:rsidR="002E0A5A">
        <w:rPr>
          <w:rFonts w:ascii="Arial" w:hAnsi="Arial" w:cs="Arial"/>
          <w:sz w:val="22"/>
          <w:szCs w:val="22"/>
        </w:rPr>
        <w:t xml:space="preserve">do, in fact, </w:t>
      </w:r>
      <w:r w:rsidR="00A31A99">
        <w:rPr>
          <w:rFonts w:ascii="Arial" w:hAnsi="Arial" w:cs="Arial"/>
          <w:sz w:val="22"/>
          <w:szCs w:val="22"/>
        </w:rPr>
        <w:t xml:space="preserve">meet the IRC’s statutory definition of hard cider. </w:t>
      </w:r>
    </w:p>
    <w:p w:rsidRPr="00090251" w:rsidR="00382A92" w:rsidP="004806AE" w:rsidRDefault="00382A92" w14:paraId="5B7F777B" w14:textId="77777777">
      <w:pPr>
        <w:ind w:left="576" w:hanging="576"/>
        <w:rPr>
          <w:rFonts w:ascii="Arial" w:hAnsi="Arial" w:cs="Arial"/>
          <w:sz w:val="36"/>
          <w:szCs w:val="36"/>
        </w:rPr>
      </w:pPr>
    </w:p>
    <w:p w:rsidRPr="007A5D4B" w:rsidR="00AF1157" w:rsidP="000E68C5" w:rsidRDefault="00CA7E3C" w14:paraId="44178B51"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00AF1157" w:rsidP="000E68C5" w:rsidRDefault="00AF1157" w14:paraId="56486FE7" w14:textId="77777777">
      <w:pPr>
        <w:suppressAutoHyphens/>
        <w:rPr>
          <w:rFonts w:ascii="Arial" w:hAnsi="Arial" w:cs="Arial"/>
          <w:sz w:val="22"/>
          <w:szCs w:val="22"/>
        </w:rPr>
      </w:pPr>
    </w:p>
    <w:p w:rsidRPr="007A5D4B" w:rsidR="00952D42" w:rsidP="008062CC" w:rsidRDefault="00C26C37" w14:paraId="33F9C3B7" w14:textId="24D09D01">
      <w:pPr>
        <w:suppressAutoHyphens/>
        <w:ind w:left="360"/>
        <w:rPr>
          <w:rFonts w:ascii="Arial" w:hAnsi="Arial" w:cs="Arial"/>
          <w:sz w:val="22"/>
          <w:szCs w:val="22"/>
        </w:rPr>
      </w:pPr>
      <w:r>
        <w:rPr>
          <w:rFonts w:ascii="Arial" w:hAnsi="Arial" w:cs="Arial"/>
          <w:sz w:val="22"/>
          <w:szCs w:val="22"/>
        </w:rPr>
        <w:t xml:space="preserve">Respondents </w:t>
      </w:r>
      <w:r w:rsidR="00E85FEF">
        <w:rPr>
          <w:rFonts w:ascii="Arial" w:hAnsi="Arial" w:cs="Arial"/>
          <w:sz w:val="22"/>
          <w:szCs w:val="22"/>
        </w:rPr>
        <w:t xml:space="preserve">may use </w:t>
      </w:r>
      <w:r w:rsidRPr="007022A1" w:rsidR="00E85FEF">
        <w:rPr>
          <w:rFonts w:ascii="Arial" w:hAnsi="Arial" w:cs="Arial"/>
          <w:sz w:val="22"/>
          <w:szCs w:val="22"/>
        </w:rPr>
        <w:t xml:space="preserve">improved technology to comply with the requirements </w:t>
      </w:r>
      <w:r w:rsidR="00E85FEF">
        <w:rPr>
          <w:rFonts w:ascii="Arial" w:hAnsi="Arial" w:cs="Arial"/>
          <w:sz w:val="22"/>
          <w:szCs w:val="22"/>
        </w:rPr>
        <w:t>of this information collection as they see fit</w:t>
      </w:r>
      <w:r w:rsidRPr="007022A1" w:rsidR="00E85FEF">
        <w:rPr>
          <w:rFonts w:ascii="Arial" w:hAnsi="Arial" w:cs="Arial"/>
          <w:sz w:val="22"/>
          <w:szCs w:val="22"/>
        </w:rPr>
        <w:t>.</w:t>
      </w:r>
      <w:r w:rsidR="00E85FEF">
        <w:rPr>
          <w:rFonts w:ascii="Arial" w:hAnsi="Arial" w:cs="Arial"/>
          <w:sz w:val="22"/>
          <w:szCs w:val="22"/>
        </w:rPr>
        <w:t xml:space="preserve">  The TTB regulations do not specify the format of the required </w:t>
      </w:r>
      <w:r>
        <w:rPr>
          <w:rFonts w:ascii="Arial" w:hAnsi="Arial" w:cs="Arial"/>
          <w:sz w:val="22"/>
          <w:szCs w:val="22"/>
        </w:rPr>
        <w:t>c</w:t>
      </w:r>
      <w:r w:rsidR="00D9472F">
        <w:rPr>
          <w:rFonts w:ascii="Arial" w:hAnsi="Arial" w:cs="Arial"/>
          <w:sz w:val="22"/>
          <w:szCs w:val="22"/>
        </w:rPr>
        <w:t xml:space="preserve">arbon dioxide measurement </w:t>
      </w:r>
      <w:r w:rsidR="00E85FEF">
        <w:rPr>
          <w:rFonts w:ascii="Arial" w:hAnsi="Arial" w:cs="Arial"/>
          <w:sz w:val="22"/>
          <w:szCs w:val="22"/>
        </w:rPr>
        <w:t>record</w:t>
      </w:r>
      <w:r w:rsidR="006F3DBD">
        <w:rPr>
          <w:rFonts w:ascii="Arial" w:hAnsi="Arial" w:cs="Arial"/>
          <w:sz w:val="22"/>
          <w:szCs w:val="22"/>
        </w:rPr>
        <w:t>s</w:t>
      </w:r>
      <w:r>
        <w:rPr>
          <w:rFonts w:ascii="Arial" w:hAnsi="Arial" w:cs="Arial"/>
          <w:sz w:val="22"/>
          <w:szCs w:val="22"/>
        </w:rPr>
        <w:t xml:space="preserve"> for products taxed as hard cider</w:t>
      </w:r>
      <w:r w:rsidR="00E85FEF">
        <w:rPr>
          <w:rFonts w:ascii="Arial" w:hAnsi="Arial" w:cs="Arial"/>
          <w:sz w:val="22"/>
          <w:szCs w:val="22"/>
        </w:rPr>
        <w:t xml:space="preserve">. </w:t>
      </w:r>
    </w:p>
    <w:p w:rsidRPr="00090251" w:rsidR="00AF1157" w:rsidP="004806AE" w:rsidRDefault="00AF1157" w14:paraId="0FD6124F" w14:textId="77777777">
      <w:pPr>
        <w:suppressAutoHyphens/>
        <w:rPr>
          <w:rFonts w:ascii="Arial" w:hAnsi="Arial" w:cs="Arial"/>
          <w:sz w:val="36"/>
          <w:szCs w:val="36"/>
        </w:rPr>
      </w:pPr>
    </w:p>
    <w:p w:rsidRPr="007A5D4B" w:rsidR="00AF1157" w:rsidP="000E68C5" w:rsidRDefault="00CA7E3C" w14:paraId="22891779"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00AF1157" w:rsidP="000E68C5" w:rsidRDefault="00AF1157" w14:paraId="00564E55" w14:textId="77777777">
      <w:pPr>
        <w:suppressAutoHyphens/>
        <w:ind w:left="480" w:hanging="480"/>
        <w:rPr>
          <w:rFonts w:ascii="Arial" w:hAnsi="Arial" w:cs="Arial"/>
          <w:sz w:val="22"/>
          <w:szCs w:val="22"/>
        </w:rPr>
      </w:pPr>
    </w:p>
    <w:p w:rsidRPr="007A5D4B" w:rsidR="00B465B7" w:rsidP="008062CC" w:rsidRDefault="00B465B7" w14:paraId="0A07D066" w14:textId="17A4FFBE">
      <w:pPr>
        <w:suppressAutoHyphens/>
        <w:ind w:left="360"/>
        <w:rPr>
          <w:rFonts w:ascii="Arial" w:hAnsi="Arial" w:cs="Arial"/>
          <w:sz w:val="22"/>
          <w:szCs w:val="22"/>
        </w:rPr>
      </w:pPr>
      <w:r w:rsidRPr="007022A1">
        <w:rPr>
          <w:rFonts w:ascii="Arial" w:hAnsi="Arial" w:cs="Arial"/>
          <w:sz w:val="22"/>
          <w:szCs w:val="22"/>
        </w:rPr>
        <w:t>The</w:t>
      </w:r>
      <w:r w:rsidR="00BB33BF">
        <w:rPr>
          <w:rFonts w:ascii="Arial" w:hAnsi="Arial" w:cs="Arial"/>
          <w:sz w:val="22"/>
          <w:szCs w:val="22"/>
        </w:rPr>
        <w:t xml:space="preserve"> carbon dioxide content of a</w:t>
      </w:r>
      <w:r w:rsidR="006F3DBD">
        <w:rPr>
          <w:rFonts w:ascii="Arial" w:hAnsi="Arial" w:cs="Arial"/>
          <w:sz w:val="22"/>
          <w:szCs w:val="22"/>
        </w:rPr>
        <w:t xml:space="preserve"> naturally sparkling or a</w:t>
      </w:r>
      <w:r w:rsidR="00BB33BF">
        <w:rPr>
          <w:rFonts w:ascii="Arial" w:hAnsi="Arial" w:cs="Arial"/>
          <w:sz w:val="22"/>
          <w:szCs w:val="22"/>
        </w:rPr>
        <w:t xml:space="preserve">n artificially carbonated hard cider is </w:t>
      </w:r>
      <w:r w:rsidRPr="007022A1">
        <w:rPr>
          <w:rFonts w:ascii="Arial" w:hAnsi="Arial" w:cs="Arial"/>
          <w:sz w:val="22"/>
          <w:szCs w:val="22"/>
        </w:rPr>
        <w:t xml:space="preserve">specific to </w:t>
      </w:r>
      <w:r w:rsidR="00316404">
        <w:rPr>
          <w:rFonts w:ascii="Arial" w:hAnsi="Arial" w:cs="Arial"/>
          <w:sz w:val="22"/>
          <w:szCs w:val="22"/>
        </w:rPr>
        <w:t xml:space="preserve">each product and </w:t>
      </w:r>
      <w:r w:rsidR="006F3DBD">
        <w:rPr>
          <w:rFonts w:ascii="Arial" w:hAnsi="Arial" w:cs="Arial"/>
          <w:sz w:val="22"/>
          <w:szCs w:val="22"/>
        </w:rPr>
        <w:t>producer</w:t>
      </w:r>
      <w:r w:rsidR="00316404">
        <w:rPr>
          <w:rFonts w:ascii="Arial" w:hAnsi="Arial" w:cs="Arial"/>
          <w:sz w:val="22"/>
          <w:szCs w:val="22"/>
        </w:rPr>
        <w:t xml:space="preserve">.  </w:t>
      </w:r>
      <w:r w:rsidRPr="007022A1">
        <w:rPr>
          <w:rFonts w:ascii="Arial" w:hAnsi="Arial" w:cs="Arial"/>
          <w:sz w:val="22"/>
          <w:szCs w:val="22"/>
        </w:rPr>
        <w:t xml:space="preserve">As far as </w:t>
      </w:r>
      <w:r w:rsidR="006F3DBD">
        <w:rPr>
          <w:rFonts w:ascii="Arial" w:hAnsi="Arial" w:cs="Arial"/>
          <w:sz w:val="22"/>
          <w:szCs w:val="22"/>
        </w:rPr>
        <w:t>TTB</w:t>
      </w:r>
      <w:r w:rsidRPr="007022A1">
        <w:rPr>
          <w:rFonts w:ascii="Arial" w:hAnsi="Arial" w:cs="Arial"/>
          <w:sz w:val="22"/>
          <w:szCs w:val="22"/>
        </w:rPr>
        <w:t xml:space="preserve"> can determine, similar information is not available elsewhere.</w:t>
      </w:r>
      <w:r w:rsidR="00316404">
        <w:rPr>
          <w:rFonts w:ascii="Arial" w:hAnsi="Arial" w:cs="Arial"/>
          <w:sz w:val="22"/>
          <w:szCs w:val="22"/>
        </w:rPr>
        <w:t xml:space="preserve"> </w:t>
      </w:r>
    </w:p>
    <w:p w:rsidRPr="00090251" w:rsidR="007A5D4B" w:rsidP="009618DF" w:rsidRDefault="007A5D4B" w14:paraId="68D29166" w14:textId="77777777">
      <w:pPr>
        <w:suppressAutoHyphens/>
        <w:rPr>
          <w:rFonts w:ascii="Arial" w:hAnsi="Arial" w:cs="Arial"/>
          <w:sz w:val="36"/>
          <w:szCs w:val="36"/>
        </w:rPr>
      </w:pPr>
    </w:p>
    <w:p w:rsidRPr="007A5D4B" w:rsidR="00AF1157" w:rsidRDefault="007A5D4B" w14:paraId="7120F50C" w14:textId="3D592C9E">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007A5D4B" w:rsidRDefault="007A5D4B" w14:paraId="1865B9B5" w14:textId="77777777">
      <w:pPr>
        <w:suppressAutoHyphens/>
        <w:ind w:left="480" w:hanging="480"/>
        <w:rPr>
          <w:rFonts w:ascii="Arial" w:hAnsi="Arial" w:cs="Arial"/>
          <w:sz w:val="22"/>
          <w:szCs w:val="22"/>
        </w:rPr>
      </w:pPr>
    </w:p>
    <w:p w:rsidRPr="007A5D4B" w:rsidR="00380065" w:rsidP="00F42EE0" w:rsidRDefault="006F3DBD" w14:paraId="11922169" w14:textId="707213D1">
      <w:pPr>
        <w:suppressAutoHyphens/>
        <w:ind w:left="360"/>
        <w:rPr>
          <w:rFonts w:ascii="Arial" w:hAnsi="Arial" w:cs="Arial"/>
          <w:sz w:val="22"/>
          <w:szCs w:val="22"/>
        </w:rPr>
      </w:pPr>
      <w:r>
        <w:rPr>
          <w:rFonts w:ascii="Arial" w:hAnsi="Arial" w:cs="Arial"/>
          <w:sz w:val="22"/>
          <w:szCs w:val="22"/>
        </w:rPr>
        <w:t>TTB c</w:t>
      </w:r>
      <w:r w:rsidRPr="007022A1" w:rsidR="00380065">
        <w:rPr>
          <w:rFonts w:ascii="Arial" w:hAnsi="Arial" w:cs="Arial"/>
          <w:sz w:val="22"/>
          <w:szCs w:val="22"/>
        </w:rPr>
        <w:t>onsider</w:t>
      </w:r>
      <w:r>
        <w:rPr>
          <w:rFonts w:ascii="Arial" w:hAnsi="Arial" w:cs="Arial"/>
          <w:sz w:val="22"/>
          <w:szCs w:val="22"/>
        </w:rPr>
        <w:t>s</w:t>
      </w:r>
      <w:r w:rsidR="00380065">
        <w:rPr>
          <w:rFonts w:ascii="Arial" w:hAnsi="Arial" w:cs="Arial"/>
          <w:sz w:val="22"/>
          <w:szCs w:val="22"/>
        </w:rPr>
        <w:t xml:space="preserve"> </w:t>
      </w:r>
      <w:r w:rsidR="00C26C37">
        <w:rPr>
          <w:rFonts w:ascii="Arial" w:hAnsi="Arial" w:cs="Arial"/>
          <w:sz w:val="22"/>
          <w:szCs w:val="22"/>
        </w:rPr>
        <w:t xml:space="preserve">it regulatory requirement to keep carbon dioxide measurement records for wines for </w:t>
      </w:r>
      <w:r w:rsidR="00281B73">
        <w:rPr>
          <w:rFonts w:ascii="Arial" w:hAnsi="Arial" w:cs="Arial"/>
          <w:sz w:val="22"/>
          <w:szCs w:val="22"/>
        </w:rPr>
        <w:t xml:space="preserve">which the hard cider tax rate is claimed </w:t>
      </w:r>
      <w:r w:rsidR="00ED71DC">
        <w:rPr>
          <w:rFonts w:ascii="Arial" w:hAnsi="Arial" w:cs="Arial"/>
          <w:sz w:val="22"/>
          <w:szCs w:val="22"/>
        </w:rPr>
        <w:t xml:space="preserve">to be </w:t>
      </w:r>
      <w:r w:rsidRPr="007022A1" w:rsidR="00380065">
        <w:rPr>
          <w:rFonts w:ascii="Arial" w:hAnsi="Arial" w:cs="Arial"/>
          <w:sz w:val="22"/>
          <w:szCs w:val="22"/>
        </w:rPr>
        <w:t xml:space="preserve">the minimum necessary to ensure compliance with </w:t>
      </w:r>
      <w:r w:rsidR="00281B73">
        <w:rPr>
          <w:rFonts w:ascii="Arial" w:hAnsi="Arial" w:cs="Arial"/>
          <w:sz w:val="22"/>
          <w:szCs w:val="22"/>
        </w:rPr>
        <w:t xml:space="preserve">the IRC’s </w:t>
      </w:r>
      <w:r>
        <w:rPr>
          <w:rFonts w:ascii="Arial" w:hAnsi="Arial" w:cs="Arial"/>
          <w:sz w:val="22"/>
          <w:szCs w:val="22"/>
        </w:rPr>
        <w:t>statutory provisions regarding hard cider</w:t>
      </w:r>
      <w:r w:rsidRPr="007022A1" w:rsidR="00380065">
        <w:rPr>
          <w:rFonts w:ascii="Arial" w:hAnsi="Arial" w:cs="Arial"/>
          <w:sz w:val="22"/>
          <w:szCs w:val="22"/>
        </w:rPr>
        <w:t xml:space="preserve">.  Waiver or reduction of this recordkeeping requirement, simply because the respondent's business is small, </w:t>
      </w:r>
      <w:r w:rsidR="002342AC">
        <w:rPr>
          <w:rFonts w:ascii="Arial" w:hAnsi="Arial" w:cs="Arial"/>
          <w:sz w:val="22"/>
          <w:szCs w:val="22"/>
        </w:rPr>
        <w:t>w</w:t>
      </w:r>
      <w:r w:rsidR="00C26C37">
        <w:rPr>
          <w:rFonts w:ascii="Arial" w:hAnsi="Arial" w:cs="Arial"/>
          <w:sz w:val="22"/>
          <w:szCs w:val="22"/>
        </w:rPr>
        <w:t>ould</w:t>
      </w:r>
      <w:r w:rsidRPr="007022A1" w:rsidR="002342AC">
        <w:rPr>
          <w:rFonts w:ascii="Arial" w:hAnsi="Arial" w:cs="Arial"/>
          <w:sz w:val="22"/>
          <w:szCs w:val="22"/>
        </w:rPr>
        <w:t xml:space="preserve"> </w:t>
      </w:r>
      <w:r w:rsidRPr="007022A1" w:rsidR="00380065">
        <w:rPr>
          <w:rFonts w:ascii="Arial" w:hAnsi="Arial" w:cs="Arial"/>
          <w:sz w:val="22"/>
          <w:szCs w:val="22"/>
        </w:rPr>
        <w:t>jeopardize the revenue</w:t>
      </w:r>
      <w:r w:rsidR="00F42EE0">
        <w:rPr>
          <w:rFonts w:ascii="Arial" w:hAnsi="Arial" w:cs="Arial"/>
          <w:sz w:val="22"/>
          <w:szCs w:val="22"/>
        </w:rPr>
        <w:t xml:space="preserve"> due to the significant tax rate differentials between </w:t>
      </w:r>
      <w:r w:rsidR="00894BE8">
        <w:rPr>
          <w:rFonts w:ascii="Arial" w:hAnsi="Arial" w:cs="Arial"/>
          <w:sz w:val="22"/>
          <w:szCs w:val="22"/>
        </w:rPr>
        <w:t>wines</w:t>
      </w:r>
      <w:r>
        <w:rPr>
          <w:rFonts w:ascii="Arial" w:hAnsi="Arial" w:cs="Arial"/>
          <w:sz w:val="22"/>
          <w:szCs w:val="22"/>
        </w:rPr>
        <w:t xml:space="preserve"> defined as hard cider and other naturally or artificially carbonated wines</w:t>
      </w:r>
      <w:r w:rsidR="00651B1D">
        <w:rPr>
          <w:rFonts w:ascii="Arial" w:hAnsi="Arial" w:cs="Arial"/>
          <w:sz w:val="22"/>
          <w:szCs w:val="22"/>
        </w:rPr>
        <w:t xml:space="preserve">. </w:t>
      </w:r>
      <w:r w:rsidR="00894BE8">
        <w:rPr>
          <w:rFonts w:ascii="Arial" w:hAnsi="Arial" w:cs="Arial"/>
          <w:sz w:val="22"/>
          <w:szCs w:val="22"/>
        </w:rPr>
        <w:t xml:space="preserve"> </w:t>
      </w:r>
      <w:r w:rsidRPr="000C5388" w:rsidR="000C5388">
        <w:rPr>
          <w:rFonts w:ascii="Arial" w:hAnsi="Arial" w:cs="Arial"/>
          <w:sz w:val="22"/>
          <w:szCs w:val="22"/>
        </w:rPr>
        <w:t xml:space="preserve">TTB also believes that this requirement is not overly burdensome on small entities.  Such entities likely produce hard cider only on a seasonal basis and produce a small number of batches, not all of which will be </w:t>
      </w:r>
      <w:r w:rsidR="000C5388">
        <w:rPr>
          <w:rFonts w:ascii="Arial" w:hAnsi="Arial" w:cs="Arial"/>
          <w:sz w:val="22"/>
          <w:szCs w:val="22"/>
        </w:rPr>
        <w:t xml:space="preserve">naturally sparkling or </w:t>
      </w:r>
      <w:r w:rsidRPr="000C5388" w:rsidR="000C5388">
        <w:rPr>
          <w:rFonts w:ascii="Arial" w:hAnsi="Arial" w:cs="Arial"/>
          <w:sz w:val="22"/>
          <w:szCs w:val="22"/>
        </w:rPr>
        <w:t>artificially carbonated and thus subject to the carbon dioxide le</w:t>
      </w:r>
      <w:r w:rsidR="000C5388">
        <w:rPr>
          <w:rFonts w:ascii="Arial" w:hAnsi="Arial" w:cs="Arial"/>
          <w:sz w:val="22"/>
          <w:szCs w:val="22"/>
        </w:rPr>
        <w:t xml:space="preserve">vel recordkeeping requirement. </w:t>
      </w:r>
    </w:p>
    <w:p w:rsidRPr="00090251" w:rsidR="007A5D4B" w:rsidRDefault="007A5D4B" w14:paraId="2E1865A7" w14:textId="77777777">
      <w:pPr>
        <w:suppressAutoHyphens/>
        <w:rPr>
          <w:rFonts w:ascii="Arial" w:hAnsi="Arial" w:cs="Arial"/>
          <w:sz w:val="36"/>
          <w:szCs w:val="36"/>
        </w:rPr>
      </w:pPr>
    </w:p>
    <w:p w:rsidRPr="007A5D4B" w:rsidR="00AF1157" w:rsidRDefault="007A5D4B" w14:paraId="79008D75" w14:textId="77777777">
      <w:pPr>
        <w:suppressAutoHyphens/>
        <w:rPr>
          <w:rFonts w:ascii="Arial" w:hAnsi="Arial" w:cs="Arial"/>
          <w:i/>
          <w:sz w:val="22"/>
          <w:szCs w:val="22"/>
        </w:rPr>
      </w:pPr>
      <w:r w:rsidRPr="007A5D4B">
        <w:rPr>
          <w:rFonts w:ascii="Arial" w:hAnsi="Arial" w:cs="Arial"/>
          <w:i/>
          <w:sz w:val="22"/>
          <w:szCs w:val="22"/>
        </w:rPr>
        <w:lastRenderedPageBreak/>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007456A3" w:rsidP="007456A3" w:rsidRDefault="007456A3" w14:paraId="4ED7F0AB" w14:textId="058141B8">
      <w:pPr>
        <w:suppressAutoHyphens/>
        <w:rPr>
          <w:rFonts w:ascii="Arial" w:hAnsi="Arial" w:cs="Arial"/>
          <w:sz w:val="22"/>
          <w:szCs w:val="22"/>
        </w:rPr>
      </w:pPr>
    </w:p>
    <w:p w:rsidRPr="00805258" w:rsidR="0098772E" w:rsidP="000C5388" w:rsidRDefault="000D71B6" w14:paraId="5AEA49EB" w14:textId="6A86F00D">
      <w:pPr>
        <w:suppressAutoHyphens/>
        <w:ind w:left="360"/>
        <w:rPr>
          <w:rFonts w:ascii="Arial" w:hAnsi="Arial" w:cs="Arial"/>
          <w:sz w:val="22"/>
          <w:szCs w:val="22"/>
        </w:rPr>
      </w:pPr>
      <w:r>
        <w:rPr>
          <w:rFonts w:ascii="Arial" w:hAnsi="Arial" w:cs="Arial"/>
          <w:sz w:val="22"/>
          <w:szCs w:val="22"/>
        </w:rPr>
        <w:t>Under the definitions and excise tax rates set forth in the IRC at 26 U.S.C. 5041, hard cider is taxed at $0.226 (22.6 cents) per wine gallon, while naturally sparkling wine is taxe</w:t>
      </w:r>
      <w:r w:rsidR="008349FB">
        <w:rPr>
          <w:rFonts w:ascii="Arial" w:hAnsi="Arial" w:cs="Arial"/>
          <w:sz w:val="22"/>
          <w:szCs w:val="22"/>
        </w:rPr>
        <w:t>d</w:t>
      </w:r>
      <w:r>
        <w:rPr>
          <w:rFonts w:ascii="Arial" w:hAnsi="Arial" w:cs="Arial"/>
          <w:sz w:val="22"/>
          <w:szCs w:val="22"/>
        </w:rPr>
        <w:t xml:space="preserve"> at $3.40</w:t>
      </w:r>
      <w:r w:rsidR="008349FB">
        <w:rPr>
          <w:rFonts w:ascii="Arial" w:hAnsi="Arial" w:cs="Arial"/>
          <w:sz w:val="22"/>
          <w:szCs w:val="22"/>
        </w:rPr>
        <w:t xml:space="preserve"> per wine gallon, and artificially carbonated wine is taxed at $3.30 per wine gallon.  </w:t>
      </w:r>
      <w:r w:rsidR="007456A3">
        <w:rPr>
          <w:rFonts w:ascii="Arial" w:hAnsi="Arial" w:cs="Arial"/>
          <w:sz w:val="22"/>
          <w:szCs w:val="22"/>
        </w:rPr>
        <w:t>Given t</w:t>
      </w:r>
      <w:r w:rsidRPr="00C935A5" w:rsidR="007456A3">
        <w:rPr>
          <w:rFonts w:ascii="Arial" w:hAnsi="Arial" w:cs="Arial"/>
          <w:sz w:val="22"/>
          <w:szCs w:val="22"/>
        </w:rPr>
        <w:t xml:space="preserve">he </w:t>
      </w:r>
      <w:r w:rsidR="007456A3">
        <w:rPr>
          <w:rFonts w:ascii="Arial" w:hAnsi="Arial" w:cs="Arial"/>
          <w:sz w:val="22"/>
          <w:szCs w:val="22"/>
        </w:rPr>
        <w:t xml:space="preserve">substantial </w:t>
      </w:r>
      <w:r w:rsidRPr="00C935A5" w:rsidR="007456A3">
        <w:rPr>
          <w:rFonts w:ascii="Arial" w:hAnsi="Arial" w:cs="Arial"/>
          <w:sz w:val="22"/>
          <w:szCs w:val="22"/>
        </w:rPr>
        <w:t>tax</w:t>
      </w:r>
      <w:r w:rsidR="007456A3">
        <w:rPr>
          <w:rFonts w:ascii="Arial" w:hAnsi="Arial" w:cs="Arial"/>
          <w:sz w:val="22"/>
          <w:szCs w:val="22"/>
        </w:rPr>
        <w:t xml:space="preserve"> </w:t>
      </w:r>
      <w:r w:rsidRPr="00C935A5" w:rsidR="007456A3">
        <w:rPr>
          <w:rFonts w:ascii="Arial" w:hAnsi="Arial" w:cs="Arial"/>
          <w:sz w:val="22"/>
          <w:szCs w:val="22"/>
        </w:rPr>
        <w:t>rate differential</w:t>
      </w:r>
      <w:r w:rsidR="000C5388">
        <w:rPr>
          <w:rFonts w:ascii="Arial" w:hAnsi="Arial" w:cs="Arial"/>
          <w:sz w:val="22"/>
          <w:szCs w:val="22"/>
        </w:rPr>
        <w:t>s</w:t>
      </w:r>
      <w:r w:rsidRPr="00C935A5" w:rsidR="007456A3">
        <w:rPr>
          <w:rFonts w:ascii="Arial" w:hAnsi="Arial" w:cs="Arial"/>
          <w:sz w:val="22"/>
          <w:szCs w:val="22"/>
        </w:rPr>
        <w:t xml:space="preserve"> between hard cider and th</w:t>
      </w:r>
      <w:r w:rsidR="007456A3">
        <w:rPr>
          <w:rFonts w:ascii="Arial" w:hAnsi="Arial" w:cs="Arial"/>
          <w:sz w:val="22"/>
          <w:szCs w:val="22"/>
        </w:rPr>
        <w:t xml:space="preserve">ose for </w:t>
      </w:r>
      <w:r w:rsidR="008349FB">
        <w:rPr>
          <w:rFonts w:ascii="Arial" w:hAnsi="Arial" w:cs="Arial"/>
          <w:sz w:val="22"/>
          <w:szCs w:val="22"/>
        </w:rPr>
        <w:t xml:space="preserve">naturally and artificially </w:t>
      </w:r>
      <w:r w:rsidR="007456A3">
        <w:rPr>
          <w:rFonts w:ascii="Arial" w:hAnsi="Arial" w:cs="Arial"/>
          <w:sz w:val="22"/>
          <w:szCs w:val="22"/>
        </w:rPr>
        <w:t>carbonated wines</w:t>
      </w:r>
      <w:r>
        <w:rPr>
          <w:rFonts w:ascii="Arial" w:hAnsi="Arial" w:cs="Arial"/>
          <w:sz w:val="22"/>
          <w:szCs w:val="22"/>
        </w:rPr>
        <w:t xml:space="preserve">, </w:t>
      </w:r>
      <w:r w:rsidRPr="00805258" w:rsidR="0098772E">
        <w:rPr>
          <w:rFonts w:ascii="Arial" w:hAnsi="Arial" w:cs="Arial"/>
          <w:sz w:val="22"/>
          <w:szCs w:val="22"/>
        </w:rPr>
        <w:t>TTB believes that the potential for tax fraud</w:t>
      </w:r>
      <w:r>
        <w:rPr>
          <w:rFonts w:ascii="Arial" w:hAnsi="Arial" w:cs="Arial"/>
          <w:sz w:val="22"/>
          <w:szCs w:val="22"/>
        </w:rPr>
        <w:t xml:space="preserve"> by persons</w:t>
      </w:r>
      <w:r w:rsidRPr="00805258" w:rsidR="0098772E">
        <w:rPr>
          <w:rFonts w:ascii="Arial" w:hAnsi="Arial" w:cs="Arial"/>
          <w:sz w:val="22"/>
          <w:szCs w:val="22"/>
        </w:rPr>
        <w:t xml:space="preserve"> claiming the hard cider tax rate </w:t>
      </w:r>
      <w:r w:rsidR="000C5388">
        <w:rPr>
          <w:rFonts w:ascii="Arial" w:hAnsi="Arial" w:cs="Arial"/>
          <w:sz w:val="22"/>
          <w:szCs w:val="22"/>
        </w:rPr>
        <w:t xml:space="preserve">for </w:t>
      </w:r>
      <w:r w:rsidRPr="00805258" w:rsidR="0098772E">
        <w:rPr>
          <w:rFonts w:ascii="Arial" w:hAnsi="Arial" w:cs="Arial"/>
          <w:sz w:val="22"/>
          <w:szCs w:val="22"/>
        </w:rPr>
        <w:t>wine</w:t>
      </w:r>
      <w:r>
        <w:rPr>
          <w:rFonts w:ascii="Arial" w:hAnsi="Arial" w:cs="Arial"/>
          <w:sz w:val="22"/>
          <w:szCs w:val="22"/>
        </w:rPr>
        <w:t>s</w:t>
      </w:r>
      <w:r w:rsidRPr="00805258" w:rsidR="0098772E">
        <w:rPr>
          <w:rFonts w:ascii="Arial" w:hAnsi="Arial" w:cs="Arial"/>
          <w:sz w:val="22"/>
          <w:szCs w:val="22"/>
        </w:rPr>
        <w:t xml:space="preserve"> </w:t>
      </w:r>
      <w:r w:rsidR="008349FB">
        <w:rPr>
          <w:rFonts w:ascii="Arial" w:hAnsi="Arial" w:cs="Arial"/>
          <w:sz w:val="22"/>
          <w:szCs w:val="22"/>
        </w:rPr>
        <w:t xml:space="preserve">that do not qualify for that rate </w:t>
      </w:r>
      <w:r w:rsidRPr="00805258" w:rsidR="0098772E">
        <w:rPr>
          <w:rFonts w:ascii="Arial" w:hAnsi="Arial" w:cs="Arial"/>
          <w:sz w:val="22"/>
          <w:szCs w:val="22"/>
        </w:rPr>
        <w:t>cannot be ignored</w:t>
      </w:r>
      <w:r w:rsidR="000C5388">
        <w:rPr>
          <w:rFonts w:ascii="Arial" w:hAnsi="Arial" w:cs="Arial"/>
          <w:sz w:val="22"/>
          <w:szCs w:val="22"/>
        </w:rPr>
        <w:t xml:space="preserve">.  Therefore, </w:t>
      </w:r>
      <w:r>
        <w:rPr>
          <w:rFonts w:ascii="Arial" w:hAnsi="Arial" w:cs="Arial"/>
          <w:sz w:val="22"/>
          <w:szCs w:val="22"/>
        </w:rPr>
        <w:t xml:space="preserve">the </w:t>
      </w:r>
      <w:r w:rsidRPr="00805258" w:rsidR="0098772E">
        <w:rPr>
          <w:rFonts w:ascii="Arial" w:hAnsi="Arial" w:cs="Arial"/>
          <w:sz w:val="22"/>
          <w:szCs w:val="22"/>
        </w:rPr>
        <w:t xml:space="preserve">TTB </w:t>
      </w:r>
      <w:r>
        <w:rPr>
          <w:rFonts w:ascii="Arial" w:hAnsi="Arial" w:cs="Arial"/>
          <w:sz w:val="22"/>
          <w:szCs w:val="22"/>
        </w:rPr>
        <w:t xml:space="preserve">regulations </w:t>
      </w:r>
      <w:r w:rsidR="000C5388">
        <w:rPr>
          <w:rFonts w:ascii="Arial" w:hAnsi="Arial" w:cs="Arial"/>
          <w:sz w:val="22"/>
          <w:szCs w:val="22"/>
        </w:rPr>
        <w:t xml:space="preserve">require hard cider </w:t>
      </w:r>
      <w:r w:rsidRPr="00805258" w:rsidR="0098772E">
        <w:rPr>
          <w:rFonts w:ascii="Arial" w:hAnsi="Arial" w:cs="Arial"/>
          <w:sz w:val="22"/>
          <w:szCs w:val="22"/>
        </w:rPr>
        <w:t xml:space="preserve">producers to record the </w:t>
      </w:r>
      <w:r w:rsidR="0098772E">
        <w:rPr>
          <w:rFonts w:ascii="Arial" w:hAnsi="Arial" w:cs="Arial"/>
          <w:sz w:val="22"/>
          <w:szCs w:val="22"/>
        </w:rPr>
        <w:t xml:space="preserve">carbon dioxide </w:t>
      </w:r>
      <w:r>
        <w:rPr>
          <w:rFonts w:ascii="Arial" w:hAnsi="Arial" w:cs="Arial"/>
          <w:sz w:val="22"/>
          <w:szCs w:val="22"/>
        </w:rPr>
        <w:t xml:space="preserve">content </w:t>
      </w:r>
      <w:r w:rsidRPr="00805258" w:rsidR="0098772E">
        <w:rPr>
          <w:rFonts w:ascii="Arial" w:hAnsi="Arial" w:cs="Arial"/>
          <w:sz w:val="22"/>
          <w:szCs w:val="22"/>
        </w:rPr>
        <w:t xml:space="preserve">for each batch of </w:t>
      </w:r>
      <w:r>
        <w:rPr>
          <w:rFonts w:ascii="Arial" w:hAnsi="Arial" w:cs="Arial"/>
          <w:sz w:val="22"/>
          <w:szCs w:val="22"/>
        </w:rPr>
        <w:t xml:space="preserve">naturally and </w:t>
      </w:r>
      <w:r w:rsidR="0098772E">
        <w:rPr>
          <w:rFonts w:ascii="Arial" w:hAnsi="Arial" w:cs="Arial"/>
          <w:sz w:val="22"/>
          <w:szCs w:val="22"/>
        </w:rPr>
        <w:t xml:space="preserve">artificially carbonated </w:t>
      </w:r>
      <w:r w:rsidRPr="00805258" w:rsidR="0098772E">
        <w:rPr>
          <w:rFonts w:ascii="Arial" w:hAnsi="Arial" w:cs="Arial"/>
          <w:sz w:val="22"/>
          <w:szCs w:val="22"/>
        </w:rPr>
        <w:t xml:space="preserve">wine </w:t>
      </w:r>
      <w:r>
        <w:rPr>
          <w:rFonts w:ascii="Arial" w:hAnsi="Arial" w:cs="Arial"/>
          <w:sz w:val="22"/>
          <w:szCs w:val="22"/>
        </w:rPr>
        <w:t xml:space="preserve">for which they will claim </w:t>
      </w:r>
      <w:r w:rsidRPr="00805258" w:rsidR="0098772E">
        <w:rPr>
          <w:rFonts w:ascii="Arial" w:hAnsi="Arial" w:cs="Arial"/>
          <w:sz w:val="22"/>
          <w:szCs w:val="22"/>
        </w:rPr>
        <w:t>the hard cider tax rate</w:t>
      </w:r>
      <w:r w:rsidR="008349FB">
        <w:rPr>
          <w:rFonts w:ascii="Arial" w:hAnsi="Arial" w:cs="Arial"/>
          <w:sz w:val="22"/>
          <w:szCs w:val="22"/>
        </w:rPr>
        <w:t xml:space="preserve">.  That requirement </w:t>
      </w:r>
      <w:r>
        <w:rPr>
          <w:rFonts w:ascii="Arial" w:hAnsi="Arial" w:cs="Arial"/>
          <w:sz w:val="22"/>
          <w:szCs w:val="22"/>
        </w:rPr>
        <w:t xml:space="preserve">is necessary to ensure that the wine in question meets the IRC’s statutory definition of hard cider for tax purposes and thus </w:t>
      </w:r>
      <w:r w:rsidRPr="00805258" w:rsidR="0098772E">
        <w:rPr>
          <w:rFonts w:ascii="Arial" w:hAnsi="Arial" w:cs="Arial"/>
          <w:sz w:val="22"/>
          <w:szCs w:val="22"/>
        </w:rPr>
        <w:t>qualifi</w:t>
      </w:r>
      <w:r w:rsidR="008349FB">
        <w:rPr>
          <w:rFonts w:ascii="Arial" w:hAnsi="Arial" w:cs="Arial"/>
          <w:sz w:val="22"/>
          <w:szCs w:val="22"/>
        </w:rPr>
        <w:t>es</w:t>
      </w:r>
      <w:r w:rsidRPr="00805258" w:rsidR="0098772E">
        <w:rPr>
          <w:rFonts w:ascii="Arial" w:hAnsi="Arial" w:cs="Arial"/>
          <w:sz w:val="22"/>
          <w:szCs w:val="22"/>
        </w:rPr>
        <w:t xml:space="preserve"> for the significan</w:t>
      </w:r>
      <w:r w:rsidR="0098772E">
        <w:rPr>
          <w:rFonts w:ascii="Arial" w:hAnsi="Arial" w:cs="Arial"/>
          <w:sz w:val="22"/>
          <w:szCs w:val="22"/>
        </w:rPr>
        <w:t>tly lower hard cider tax rate</w:t>
      </w:r>
      <w:r>
        <w:rPr>
          <w:rFonts w:ascii="Arial" w:hAnsi="Arial" w:cs="Arial"/>
          <w:sz w:val="22"/>
          <w:szCs w:val="22"/>
        </w:rPr>
        <w:t xml:space="preserve"> set forth in the IRC</w:t>
      </w:r>
      <w:r w:rsidR="0098772E">
        <w:rPr>
          <w:rFonts w:ascii="Arial" w:hAnsi="Arial" w:cs="Arial"/>
          <w:sz w:val="22"/>
          <w:szCs w:val="22"/>
        </w:rPr>
        <w:t xml:space="preserve">. </w:t>
      </w:r>
      <w:r>
        <w:rPr>
          <w:rFonts w:ascii="Arial" w:hAnsi="Arial" w:cs="Arial"/>
          <w:sz w:val="22"/>
          <w:szCs w:val="22"/>
        </w:rPr>
        <w:t xml:space="preserve"> Not collecting the required information or collecting it less frequently would </w:t>
      </w:r>
      <w:r w:rsidR="008349FB">
        <w:rPr>
          <w:rFonts w:ascii="Arial" w:hAnsi="Arial" w:cs="Arial"/>
          <w:sz w:val="22"/>
          <w:szCs w:val="22"/>
        </w:rPr>
        <w:t xml:space="preserve">pose </w:t>
      </w:r>
      <w:r>
        <w:rPr>
          <w:rFonts w:ascii="Arial" w:hAnsi="Arial" w:cs="Arial"/>
          <w:sz w:val="22"/>
          <w:szCs w:val="22"/>
        </w:rPr>
        <w:t>substantial jeopard</w:t>
      </w:r>
      <w:r w:rsidR="008349FB">
        <w:rPr>
          <w:rFonts w:ascii="Arial" w:hAnsi="Arial" w:cs="Arial"/>
          <w:sz w:val="22"/>
          <w:szCs w:val="22"/>
        </w:rPr>
        <w:t xml:space="preserve">y to </w:t>
      </w:r>
      <w:r>
        <w:rPr>
          <w:rFonts w:ascii="Arial" w:hAnsi="Arial" w:cs="Arial"/>
          <w:sz w:val="22"/>
          <w:szCs w:val="22"/>
        </w:rPr>
        <w:t xml:space="preserve">the revenue. </w:t>
      </w:r>
    </w:p>
    <w:p w:rsidRPr="00090251" w:rsidR="00DB3DA0" w:rsidP="004806AE" w:rsidRDefault="00DB3DA0" w14:paraId="78EAB830" w14:textId="77777777">
      <w:pPr>
        <w:suppressAutoHyphens/>
        <w:rPr>
          <w:rFonts w:ascii="Arial" w:hAnsi="Arial" w:cs="Arial"/>
          <w:sz w:val="36"/>
          <w:szCs w:val="36"/>
        </w:rPr>
      </w:pPr>
    </w:p>
    <w:p w:rsidRPr="00170BF7" w:rsidR="0098772E" w:rsidP="0098772E" w:rsidRDefault="0098772E" w14:paraId="2540B5BD" w14:textId="77777777">
      <w:pPr>
        <w:suppressAutoHyphens/>
        <w:rPr>
          <w:rFonts w:ascii="Arial" w:hAnsi="Arial" w:cs="Arial"/>
          <w:i/>
          <w:sz w:val="22"/>
          <w:szCs w:val="22"/>
        </w:rPr>
      </w:pPr>
      <w:r w:rsidRPr="00170BF7">
        <w:rPr>
          <w:rFonts w:ascii="Arial" w:hAnsi="Arial" w:cs="Arial"/>
          <w:i/>
          <w:sz w:val="22"/>
          <w:szCs w:val="22"/>
        </w:rPr>
        <w:t>7.  Are there any special circumstances associated with this information collection that would require it to be conducted in a manner inconsistent with OMB guidelines?  (See 5</w:t>
      </w:r>
      <w:r>
        <w:rPr>
          <w:rFonts w:ascii="Arial" w:hAnsi="Arial" w:cs="Arial"/>
          <w:i/>
          <w:sz w:val="22"/>
          <w:szCs w:val="22"/>
        </w:rPr>
        <w:t> </w:t>
      </w:r>
      <w:r w:rsidRPr="00170BF7">
        <w:rPr>
          <w:rFonts w:ascii="Arial" w:hAnsi="Arial" w:cs="Arial"/>
          <w:i/>
          <w:sz w:val="22"/>
          <w:szCs w:val="22"/>
        </w:rPr>
        <w:t xml:space="preserve">CFR 1320.5(d)(2).) </w:t>
      </w:r>
    </w:p>
    <w:p w:rsidRPr="007A5D4B" w:rsidR="0098772E" w:rsidP="0098772E" w:rsidRDefault="0098772E" w14:paraId="3E88E841" w14:textId="77777777">
      <w:pPr>
        <w:rPr>
          <w:rFonts w:ascii="Arial" w:hAnsi="Arial" w:cs="Arial"/>
          <w:sz w:val="22"/>
          <w:szCs w:val="22"/>
        </w:rPr>
      </w:pPr>
    </w:p>
    <w:p w:rsidRPr="007A5D4B" w:rsidR="0098772E" w:rsidP="0098772E" w:rsidRDefault="0098772E" w14:paraId="2542E23A" w14:textId="77777777">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Pr>
          <w:rFonts w:ascii="Arial" w:hAnsi="Arial" w:cs="Arial"/>
          <w:sz w:val="22"/>
          <w:szCs w:val="22"/>
        </w:rPr>
        <w:t xml:space="preserve"> </w:t>
      </w:r>
    </w:p>
    <w:p w:rsidRPr="000B6799" w:rsidR="0098772E" w:rsidP="0098772E" w:rsidRDefault="0098772E" w14:paraId="11ED9208" w14:textId="77777777">
      <w:pPr>
        <w:rPr>
          <w:rFonts w:ascii="Arial" w:hAnsi="Arial" w:cs="Arial"/>
          <w:sz w:val="36"/>
          <w:szCs w:val="36"/>
        </w:rPr>
      </w:pPr>
    </w:p>
    <w:p w:rsidRPr="007A5D4B" w:rsidR="0098772E" w:rsidP="0098772E" w:rsidRDefault="0098772E" w14:paraId="6207F0E8" w14:textId="77777777">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rsidRPr="007A5D4B" w:rsidR="0098772E" w:rsidP="0098772E" w:rsidRDefault="0098772E" w14:paraId="65B1D05E" w14:textId="77777777">
      <w:pPr>
        <w:suppressAutoHyphens/>
        <w:ind w:left="480" w:hanging="480"/>
        <w:rPr>
          <w:rFonts w:ascii="Arial" w:hAnsi="Arial" w:cs="Arial"/>
          <w:sz w:val="22"/>
          <w:szCs w:val="22"/>
        </w:rPr>
      </w:pPr>
    </w:p>
    <w:p w:rsidR="0098772E" w:rsidP="0098772E" w:rsidRDefault="0098772E" w14:paraId="7193890D" w14:textId="77777777">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May 7, 2020, at 85 FR 27272.  </w:t>
      </w:r>
      <w:r w:rsidRPr="005318A7">
        <w:rPr>
          <w:rFonts w:ascii="Arial" w:hAnsi="Arial" w:cs="Arial"/>
          <w:sz w:val="22"/>
          <w:szCs w:val="22"/>
        </w:rPr>
        <w:t xml:space="preserve">TTB received no comments </w:t>
      </w:r>
      <w:r>
        <w:rPr>
          <w:rFonts w:ascii="Arial" w:hAnsi="Arial" w:cs="Arial"/>
          <w:sz w:val="22"/>
          <w:szCs w:val="22"/>
        </w:rPr>
        <w:t xml:space="preserve">regarding </w:t>
      </w:r>
      <w:r w:rsidRPr="005318A7">
        <w:rPr>
          <w:rFonts w:ascii="Arial" w:hAnsi="Arial" w:cs="Arial"/>
          <w:sz w:val="22"/>
          <w:szCs w:val="22"/>
        </w:rPr>
        <w:t>this information collection in response.</w:t>
      </w:r>
      <w:r>
        <w:rPr>
          <w:rFonts w:ascii="Arial" w:hAnsi="Arial" w:cs="Arial"/>
          <w:sz w:val="22"/>
          <w:szCs w:val="22"/>
        </w:rPr>
        <w:t xml:space="preserve"> </w:t>
      </w:r>
    </w:p>
    <w:p w:rsidRPr="00090251" w:rsidR="0098772E" w:rsidP="0098772E" w:rsidRDefault="0098772E" w14:paraId="43FDAEEF" w14:textId="77777777">
      <w:pPr>
        <w:suppressAutoHyphens/>
        <w:rPr>
          <w:rFonts w:ascii="Arial" w:hAnsi="Arial" w:cs="Arial"/>
          <w:sz w:val="36"/>
          <w:szCs w:val="36"/>
        </w:rPr>
      </w:pPr>
    </w:p>
    <w:p w:rsidRPr="00D656EA" w:rsidR="0098772E" w:rsidP="0098772E" w:rsidRDefault="0098772E" w14:paraId="762CE05C" w14:textId="77777777">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rsidRPr="007A5D4B" w:rsidR="0098772E" w:rsidP="0098772E" w:rsidRDefault="0098772E" w14:paraId="32A82BF3" w14:textId="77777777">
      <w:pPr>
        <w:suppressAutoHyphens/>
        <w:rPr>
          <w:rFonts w:ascii="Arial" w:hAnsi="Arial" w:cs="Arial"/>
          <w:sz w:val="22"/>
          <w:szCs w:val="22"/>
        </w:rPr>
      </w:pPr>
    </w:p>
    <w:p w:rsidRPr="007A5D4B" w:rsidR="0098772E" w:rsidP="0098772E" w:rsidRDefault="0098772E" w14:paraId="78AACCEF" w14:textId="77777777">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Pr>
          <w:rFonts w:ascii="Arial" w:hAnsi="Arial" w:cs="Arial"/>
          <w:sz w:val="22"/>
          <w:szCs w:val="22"/>
        </w:rPr>
        <w:t xml:space="preserve">information </w:t>
      </w:r>
      <w:r w:rsidRPr="008603B9">
        <w:rPr>
          <w:rFonts w:ascii="Arial" w:hAnsi="Arial" w:cs="Arial"/>
          <w:sz w:val="22"/>
          <w:szCs w:val="22"/>
        </w:rPr>
        <w:t>collection.</w:t>
      </w:r>
      <w:r>
        <w:rPr>
          <w:rFonts w:ascii="Arial" w:hAnsi="Arial" w:cs="Arial"/>
          <w:sz w:val="22"/>
          <w:szCs w:val="22"/>
        </w:rPr>
        <w:t xml:space="preserve"> </w:t>
      </w:r>
    </w:p>
    <w:p w:rsidRPr="00090251" w:rsidR="00EC4FC3" w:rsidRDefault="00EC4FC3" w14:paraId="5380486F" w14:textId="77777777">
      <w:pPr>
        <w:suppressAutoHyphens/>
        <w:rPr>
          <w:rFonts w:ascii="Arial" w:hAnsi="Arial" w:cs="Arial"/>
          <w:sz w:val="36"/>
          <w:szCs w:val="36"/>
        </w:rPr>
      </w:pPr>
    </w:p>
    <w:p w:rsidR="00EC4FC3" w:rsidRDefault="00D656EA" w14:paraId="7B67A429" w14:textId="4DED1FCE">
      <w:pPr>
        <w:suppressAutoHyphens/>
        <w:rPr>
          <w:rFonts w:ascii="Arial" w:hAnsi="Arial" w:cs="Arial"/>
          <w:i/>
          <w:sz w:val="22"/>
          <w:szCs w:val="22"/>
        </w:rPr>
      </w:pPr>
      <w:r w:rsidRPr="0098772E">
        <w:rPr>
          <w:rFonts w:ascii="Arial" w:hAnsi="Arial" w:cs="Arial"/>
          <w:i/>
          <w:sz w:val="22"/>
          <w:szCs w:val="22"/>
        </w:rPr>
        <w:t>10.</w:t>
      </w:r>
      <w:r w:rsidRPr="0098772E" w:rsidR="00EC4FC3">
        <w:rPr>
          <w:rFonts w:ascii="Arial" w:hAnsi="Arial" w:cs="Arial"/>
          <w:i/>
          <w:sz w:val="22"/>
          <w:szCs w:val="22"/>
        </w:rPr>
        <w:t xml:space="preserve">  What assurance of confidentiality was provided to respondents</w:t>
      </w:r>
      <w:r w:rsidRPr="0098772E">
        <w:rPr>
          <w:rFonts w:ascii="Arial" w:hAnsi="Arial" w:cs="Arial"/>
          <w:i/>
          <w:sz w:val="22"/>
          <w:szCs w:val="22"/>
        </w:rPr>
        <w:t>,</w:t>
      </w:r>
      <w:r w:rsidRPr="0098772E" w:rsidR="00EC4FC3">
        <w:rPr>
          <w:rFonts w:ascii="Arial" w:hAnsi="Arial" w:cs="Arial"/>
          <w:i/>
          <w:sz w:val="22"/>
          <w:szCs w:val="22"/>
        </w:rPr>
        <w:t xml:space="preserve"> and what was the basis for the assurance in statute, regulations,</w:t>
      </w:r>
      <w:r w:rsidRPr="0098772E" w:rsidR="00734B25">
        <w:rPr>
          <w:rFonts w:ascii="Arial" w:hAnsi="Arial" w:cs="Arial"/>
          <w:i/>
          <w:sz w:val="22"/>
          <w:szCs w:val="22"/>
        </w:rPr>
        <w:t xml:space="preserve"> </w:t>
      </w:r>
      <w:r w:rsidRPr="0098772E" w:rsidR="00EC4FC3">
        <w:rPr>
          <w:rFonts w:ascii="Arial" w:hAnsi="Arial" w:cs="Arial"/>
          <w:i/>
          <w:sz w:val="22"/>
          <w:szCs w:val="22"/>
        </w:rPr>
        <w:t>or agency policy?</w:t>
      </w:r>
      <w:r>
        <w:rPr>
          <w:rFonts w:ascii="Arial" w:hAnsi="Arial" w:cs="Arial"/>
          <w:i/>
          <w:sz w:val="22"/>
          <w:szCs w:val="22"/>
        </w:rPr>
        <w:t xml:space="preserve"> </w:t>
      </w:r>
    </w:p>
    <w:p w:rsidRPr="008062CC" w:rsidR="00825756" w:rsidRDefault="00825756" w14:paraId="5211B0EE" w14:textId="77777777">
      <w:pPr>
        <w:suppressAutoHyphens/>
        <w:rPr>
          <w:rFonts w:ascii="Arial" w:hAnsi="Arial" w:cs="Arial"/>
          <w:sz w:val="22"/>
          <w:szCs w:val="22"/>
        </w:rPr>
      </w:pPr>
    </w:p>
    <w:p w:rsidR="00E85FEF" w:rsidP="008062CC" w:rsidRDefault="00825756" w14:paraId="7F575549" w14:textId="228AFA1A">
      <w:pPr>
        <w:suppressAutoHyphens/>
        <w:ind w:left="360"/>
        <w:rPr>
          <w:rFonts w:ascii="Arial" w:hAnsi="Arial" w:cs="Arial"/>
          <w:sz w:val="22"/>
          <w:szCs w:val="22"/>
        </w:rPr>
      </w:pPr>
      <w:r>
        <w:rPr>
          <w:rFonts w:ascii="Arial" w:hAnsi="Arial" w:cs="Arial"/>
          <w:sz w:val="22"/>
          <w:szCs w:val="22"/>
        </w:rPr>
        <w:t xml:space="preserve">The </w:t>
      </w:r>
      <w:r w:rsidR="0098772E">
        <w:rPr>
          <w:rFonts w:ascii="Arial" w:hAnsi="Arial" w:cs="Arial"/>
          <w:sz w:val="22"/>
          <w:szCs w:val="22"/>
        </w:rPr>
        <w:t xml:space="preserve">hard cider </w:t>
      </w:r>
      <w:r w:rsidR="00E85FEF">
        <w:rPr>
          <w:rFonts w:ascii="Arial" w:hAnsi="Arial" w:cs="Arial"/>
          <w:sz w:val="22"/>
          <w:szCs w:val="22"/>
        </w:rPr>
        <w:t>carbon dioxide measurement record</w:t>
      </w:r>
      <w:r w:rsidR="0098772E">
        <w:rPr>
          <w:rFonts w:ascii="Arial" w:hAnsi="Arial" w:cs="Arial"/>
          <w:sz w:val="22"/>
          <w:szCs w:val="22"/>
        </w:rPr>
        <w:t>s</w:t>
      </w:r>
      <w:r w:rsidR="00E85FEF">
        <w:rPr>
          <w:rFonts w:ascii="Arial" w:hAnsi="Arial" w:cs="Arial"/>
          <w:sz w:val="22"/>
          <w:szCs w:val="22"/>
        </w:rPr>
        <w:t xml:space="preserve"> </w:t>
      </w:r>
      <w:r w:rsidR="0098772E">
        <w:rPr>
          <w:rFonts w:ascii="Arial" w:hAnsi="Arial" w:cs="Arial"/>
          <w:sz w:val="22"/>
          <w:szCs w:val="22"/>
        </w:rPr>
        <w:t>required under this collection ar</w:t>
      </w:r>
      <w:r w:rsidR="00E85FEF">
        <w:rPr>
          <w:rFonts w:ascii="Arial" w:hAnsi="Arial" w:cs="Arial"/>
          <w:sz w:val="22"/>
          <w:szCs w:val="22"/>
        </w:rPr>
        <w:t xml:space="preserve">e made and kept </w:t>
      </w:r>
      <w:r>
        <w:rPr>
          <w:rFonts w:ascii="Arial" w:hAnsi="Arial" w:cs="Arial"/>
          <w:sz w:val="22"/>
          <w:szCs w:val="22"/>
        </w:rPr>
        <w:t xml:space="preserve">at </w:t>
      </w:r>
      <w:r w:rsidR="0098772E">
        <w:rPr>
          <w:rFonts w:ascii="Arial" w:hAnsi="Arial" w:cs="Arial"/>
          <w:sz w:val="22"/>
          <w:szCs w:val="22"/>
        </w:rPr>
        <w:t xml:space="preserve">the respondent’s premises </w:t>
      </w:r>
      <w:r>
        <w:rPr>
          <w:rFonts w:ascii="Arial" w:hAnsi="Arial" w:cs="Arial"/>
          <w:sz w:val="22"/>
          <w:szCs w:val="22"/>
        </w:rPr>
        <w:t xml:space="preserve">or </w:t>
      </w:r>
      <w:r w:rsidR="00A31A99">
        <w:rPr>
          <w:rFonts w:ascii="Arial" w:hAnsi="Arial" w:cs="Arial"/>
          <w:sz w:val="22"/>
          <w:szCs w:val="22"/>
        </w:rPr>
        <w:t xml:space="preserve">are </w:t>
      </w:r>
      <w:r>
        <w:rPr>
          <w:rFonts w:ascii="Arial" w:hAnsi="Arial" w:cs="Arial"/>
          <w:sz w:val="22"/>
          <w:szCs w:val="22"/>
        </w:rPr>
        <w:t xml:space="preserve">otherwise under the </w:t>
      </w:r>
      <w:r w:rsidR="0098772E">
        <w:rPr>
          <w:rFonts w:ascii="Arial" w:hAnsi="Arial" w:cs="Arial"/>
          <w:sz w:val="22"/>
          <w:szCs w:val="22"/>
        </w:rPr>
        <w:t xml:space="preserve">respondent’s </w:t>
      </w:r>
      <w:r>
        <w:rPr>
          <w:rFonts w:ascii="Arial" w:hAnsi="Arial" w:cs="Arial"/>
          <w:sz w:val="22"/>
          <w:szCs w:val="22"/>
        </w:rPr>
        <w:t>control</w:t>
      </w:r>
      <w:r w:rsidR="0098772E">
        <w:rPr>
          <w:rFonts w:ascii="Arial" w:hAnsi="Arial" w:cs="Arial"/>
          <w:sz w:val="22"/>
          <w:szCs w:val="22"/>
        </w:rPr>
        <w:t>.</w:t>
      </w:r>
      <w:r w:rsidR="000917D5">
        <w:rPr>
          <w:rFonts w:ascii="Arial" w:hAnsi="Arial" w:cs="Arial"/>
          <w:sz w:val="22"/>
          <w:szCs w:val="22"/>
        </w:rPr>
        <w:t xml:space="preserve">  </w:t>
      </w:r>
      <w:r w:rsidR="00D9472F">
        <w:rPr>
          <w:rFonts w:ascii="Arial" w:hAnsi="Arial" w:cs="Arial"/>
          <w:sz w:val="22"/>
          <w:szCs w:val="22"/>
        </w:rPr>
        <w:t xml:space="preserve">As such, </w:t>
      </w:r>
      <w:r w:rsidR="0098772E">
        <w:rPr>
          <w:rFonts w:ascii="Arial" w:hAnsi="Arial" w:cs="Arial"/>
          <w:sz w:val="22"/>
          <w:szCs w:val="22"/>
        </w:rPr>
        <w:t xml:space="preserve">TTB provides </w:t>
      </w:r>
      <w:r w:rsidR="00D9472F">
        <w:rPr>
          <w:rFonts w:ascii="Arial" w:hAnsi="Arial" w:cs="Arial"/>
          <w:sz w:val="22"/>
          <w:szCs w:val="22"/>
        </w:rPr>
        <w:t>n</w:t>
      </w:r>
      <w:r w:rsidRPr="00BF6020" w:rsidR="00D9472F">
        <w:rPr>
          <w:rFonts w:ascii="Arial" w:hAnsi="Arial" w:cs="Arial"/>
          <w:sz w:val="22"/>
          <w:szCs w:val="22"/>
        </w:rPr>
        <w:t>o specific assurance of confidentiality for this information collect</w:t>
      </w:r>
      <w:r w:rsidR="00D9472F">
        <w:rPr>
          <w:rFonts w:ascii="Arial" w:hAnsi="Arial" w:cs="Arial"/>
          <w:sz w:val="22"/>
          <w:szCs w:val="22"/>
        </w:rPr>
        <w:t>ion.  However, Federal law at 5 </w:t>
      </w:r>
      <w:r w:rsidRPr="00BF6020" w:rsidR="00D9472F">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D9472F">
        <w:rPr>
          <w:rFonts w:ascii="Arial" w:hAnsi="Arial" w:cs="Arial"/>
          <w:sz w:val="22"/>
          <w:szCs w:val="22"/>
        </w:rPr>
        <w:t>tax-</w:t>
      </w:r>
      <w:r w:rsidRPr="00BF6020" w:rsidR="00D9472F">
        <w:rPr>
          <w:rFonts w:ascii="Arial" w:hAnsi="Arial" w:cs="Arial"/>
          <w:sz w:val="22"/>
          <w:szCs w:val="22"/>
        </w:rPr>
        <w:t>related information unless disclosure is specifically authorized by that section.</w:t>
      </w:r>
      <w:r w:rsidR="00D9472F">
        <w:rPr>
          <w:rFonts w:ascii="Arial" w:hAnsi="Arial" w:cs="Arial"/>
          <w:sz w:val="22"/>
          <w:szCs w:val="22"/>
        </w:rPr>
        <w:t xml:space="preserve"> </w:t>
      </w:r>
    </w:p>
    <w:p w:rsidRPr="00A5320B" w:rsidR="00AF1157" w:rsidRDefault="00AF1157" w14:paraId="79CB0EC4" w14:textId="77777777">
      <w:pPr>
        <w:suppressAutoHyphens/>
        <w:rPr>
          <w:rFonts w:ascii="Arial" w:hAnsi="Arial" w:cs="Arial"/>
          <w:sz w:val="36"/>
          <w:szCs w:val="36"/>
        </w:rPr>
      </w:pPr>
    </w:p>
    <w:p w:rsidRPr="00965E7F" w:rsidR="00A201BF" w:rsidRDefault="00A201BF" w14:paraId="7E02685D" w14:textId="77777777">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RDefault="00A201BF" w14:paraId="3D6ABF08" w14:textId="77777777">
      <w:pPr>
        <w:rPr>
          <w:rFonts w:ascii="Arial" w:hAnsi="Arial" w:cs="Arial"/>
          <w:i/>
          <w:sz w:val="22"/>
          <w:szCs w:val="22"/>
        </w:rPr>
      </w:pPr>
    </w:p>
    <w:p w:rsidRPr="00D460BA" w:rsidR="005F3392" w:rsidP="005F3392" w:rsidRDefault="00DC43F8" w14:paraId="432F6A80" w14:textId="51821678">
      <w:pPr>
        <w:widowControl w:val="0"/>
        <w:suppressAutoHyphens/>
        <w:autoSpaceDE w:val="0"/>
        <w:autoSpaceDN w:val="0"/>
        <w:adjustRightInd w:val="0"/>
        <w:ind w:left="360"/>
        <w:rPr>
          <w:rFonts w:ascii="Arial" w:hAnsi="Arial" w:cs="Arial"/>
          <w:sz w:val="22"/>
          <w:szCs w:val="22"/>
        </w:rPr>
      </w:pPr>
      <w:r w:rsidRPr="007022A1">
        <w:rPr>
          <w:rFonts w:ascii="Arial" w:hAnsi="Arial" w:cs="Arial"/>
          <w:sz w:val="22"/>
          <w:szCs w:val="22"/>
        </w:rPr>
        <w:t xml:space="preserve">This information collection contains no questions of a sensitive nature.  In addition, this information collection does not collect </w:t>
      </w:r>
      <w:r w:rsidR="00495531">
        <w:rPr>
          <w:rFonts w:ascii="Arial" w:hAnsi="Arial" w:cs="Arial"/>
          <w:sz w:val="22"/>
          <w:szCs w:val="22"/>
        </w:rPr>
        <w:t xml:space="preserve">any </w:t>
      </w:r>
      <w:r w:rsidRPr="007022A1">
        <w:rPr>
          <w:rFonts w:ascii="Arial" w:hAnsi="Arial" w:cs="Arial"/>
          <w:sz w:val="22"/>
          <w:szCs w:val="22"/>
        </w:rPr>
        <w:t>personally identifiable information (PII).  Therefore, no Privacy Impact Assessment (PIA) or System of Records Notice (SORN) is required for this collection.</w:t>
      </w:r>
      <w:r w:rsidR="008062CC">
        <w:rPr>
          <w:rFonts w:ascii="Arial" w:hAnsi="Arial" w:cs="Arial"/>
          <w:sz w:val="22"/>
          <w:szCs w:val="22"/>
        </w:rPr>
        <w:t xml:space="preserve"> </w:t>
      </w:r>
    </w:p>
    <w:p w:rsidRPr="00D30C51" w:rsidR="00E95D07" w:rsidRDefault="00E95D07" w14:paraId="0D158D1D" w14:textId="28F37A6D">
      <w:pPr>
        <w:rPr>
          <w:rFonts w:ascii="Arial" w:hAnsi="Arial" w:cs="Arial"/>
          <w:sz w:val="36"/>
          <w:szCs w:val="36"/>
        </w:rPr>
      </w:pPr>
    </w:p>
    <w:p w:rsidRPr="00D30C51" w:rsidR="00AF1157" w:rsidP="00F85483" w:rsidRDefault="00AF060A" w14:paraId="0ED3587F" w14:textId="77777777">
      <w:pPr>
        <w:rPr>
          <w:rFonts w:ascii="Arial" w:hAnsi="Arial" w:cs="Arial"/>
          <w:i/>
          <w:sz w:val="22"/>
          <w:szCs w:val="22"/>
        </w:rPr>
      </w:pPr>
      <w:r w:rsidRPr="00D30C51">
        <w:rPr>
          <w:rFonts w:ascii="Arial" w:hAnsi="Arial" w:cs="Arial"/>
          <w:i/>
          <w:sz w:val="22"/>
          <w:szCs w:val="22"/>
        </w:rPr>
        <w:t xml:space="preserve">12.  </w:t>
      </w:r>
      <w:r w:rsidRPr="00D30C51" w:rsidR="00AF1157">
        <w:rPr>
          <w:rFonts w:ascii="Arial" w:hAnsi="Arial" w:cs="Arial"/>
          <w:i/>
          <w:sz w:val="22"/>
          <w:szCs w:val="22"/>
        </w:rPr>
        <w:t>What is the estimated hour burden of this collection of information?</w:t>
      </w:r>
      <w:r w:rsidRPr="00D30C51">
        <w:rPr>
          <w:rFonts w:ascii="Arial" w:hAnsi="Arial" w:cs="Arial"/>
          <w:i/>
          <w:sz w:val="22"/>
          <w:szCs w:val="22"/>
        </w:rPr>
        <w:t xml:space="preserve"> </w:t>
      </w:r>
    </w:p>
    <w:p w:rsidRPr="00D30C51" w:rsidR="004C069E" w:rsidP="00F85483" w:rsidRDefault="004C069E" w14:paraId="5CF6B423" w14:textId="77777777">
      <w:pPr>
        <w:rPr>
          <w:rFonts w:ascii="Arial" w:hAnsi="Arial" w:cs="Arial"/>
          <w:sz w:val="22"/>
          <w:szCs w:val="22"/>
        </w:rPr>
      </w:pPr>
    </w:p>
    <w:p w:rsidRPr="00D30C51" w:rsidR="00395574" w:rsidP="00E405E8" w:rsidRDefault="00395574" w14:paraId="44914774" w14:textId="532AAAA6">
      <w:pPr>
        <w:autoSpaceDE w:val="0"/>
        <w:autoSpaceDN w:val="0"/>
        <w:ind w:left="360"/>
        <w:rPr>
          <w:rFonts w:ascii="Arial" w:hAnsi="Arial" w:cs="Arial"/>
          <w:sz w:val="22"/>
          <w:szCs w:val="22"/>
        </w:rPr>
      </w:pPr>
      <w:r w:rsidRPr="00D30C51">
        <w:rPr>
          <w:rFonts w:ascii="Arial" w:hAnsi="Arial" w:cs="Arial"/>
          <w:sz w:val="22"/>
          <w:szCs w:val="22"/>
          <w:u w:val="single"/>
        </w:rPr>
        <w:t>Estimated burden:</w:t>
      </w:r>
      <w:r w:rsidRPr="00D30C51">
        <w:rPr>
          <w:rFonts w:ascii="Arial" w:hAnsi="Arial" w:cs="Arial"/>
          <w:sz w:val="22"/>
          <w:szCs w:val="22"/>
        </w:rPr>
        <w:t xml:space="preserve">  </w:t>
      </w:r>
      <w:r w:rsidRPr="00D30C51" w:rsidR="000D085E">
        <w:rPr>
          <w:rFonts w:ascii="Arial" w:hAnsi="Arial" w:cs="Arial"/>
          <w:sz w:val="22"/>
          <w:szCs w:val="22"/>
        </w:rPr>
        <w:t>Based on recent data, TTB estimates that</w:t>
      </w:r>
      <w:r w:rsidRPr="00D30C51">
        <w:rPr>
          <w:rFonts w:ascii="Arial" w:hAnsi="Arial" w:cs="Arial"/>
          <w:sz w:val="22"/>
          <w:szCs w:val="22"/>
        </w:rPr>
        <w:t>, annually,</w:t>
      </w:r>
      <w:r w:rsidRPr="00D30C51" w:rsidR="000D085E">
        <w:rPr>
          <w:rFonts w:ascii="Arial" w:hAnsi="Arial" w:cs="Arial"/>
          <w:sz w:val="22"/>
          <w:szCs w:val="22"/>
        </w:rPr>
        <w:t xml:space="preserve"> 820 </w:t>
      </w:r>
      <w:r w:rsidRPr="00D30C51">
        <w:rPr>
          <w:rFonts w:ascii="Arial" w:hAnsi="Arial" w:cs="Arial"/>
          <w:sz w:val="22"/>
          <w:szCs w:val="22"/>
        </w:rPr>
        <w:t xml:space="preserve">respondents will test hard cider products for carbon dioxide content and </w:t>
      </w:r>
      <w:r w:rsidRPr="00D30C51" w:rsidR="000D085E">
        <w:rPr>
          <w:rFonts w:ascii="Arial" w:hAnsi="Arial" w:cs="Arial"/>
          <w:sz w:val="22"/>
          <w:szCs w:val="22"/>
        </w:rPr>
        <w:t xml:space="preserve">keep the required </w:t>
      </w:r>
      <w:r w:rsidRPr="00D30C51">
        <w:rPr>
          <w:rFonts w:ascii="Arial" w:hAnsi="Arial" w:cs="Arial"/>
          <w:sz w:val="22"/>
          <w:szCs w:val="22"/>
        </w:rPr>
        <w:t>m</w:t>
      </w:r>
      <w:r w:rsidRPr="00D30C51" w:rsidR="000D085E">
        <w:rPr>
          <w:rFonts w:ascii="Arial" w:hAnsi="Arial" w:cs="Arial"/>
          <w:sz w:val="22"/>
          <w:szCs w:val="22"/>
        </w:rPr>
        <w:t>easurement</w:t>
      </w:r>
      <w:r w:rsidRPr="00D30C51">
        <w:rPr>
          <w:rFonts w:ascii="Arial" w:hAnsi="Arial" w:cs="Arial"/>
          <w:sz w:val="22"/>
          <w:szCs w:val="22"/>
        </w:rPr>
        <w:t xml:space="preserve"> records.  TTB further estimates that </w:t>
      </w:r>
      <w:r w:rsidRPr="00D30C51" w:rsidR="000D085E">
        <w:rPr>
          <w:rFonts w:ascii="Arial" w:hAnsi="Arial" w:cs="Arial"/>
          <w:sz w:val="22"/>
          <w:szCs w:val="22"/>
        </w:rPr>
        <w:t>each respondent will complete 2</w:t>
      </w:r>
      <w:r w:rsidRPr="00D30C51" w:rsidR="00ED767F">
        <w:rPr>
          <w:rFonts w:ascii="Arial" w:hAnsi="Arial" w:cs="Arial"/>
          <w:sz w:val="22"/>
          <w:szCs w:val="22"/>
        </w:rPr>
        <w:t>5</w:t>
      </w:r>
      <w:r w:rsidRPr="00D30C51" w:rsidR="000D085E">
        <w:rPr>
          <w:rFonts w:ascii="Arial" w:hAnsi="Arial" w:cs="Arial"/>
          <w:sz w:val="22"/>
          <w:szCs w:val="22"/>
        </w:rPr>
        <w:t xml:space="preserve"> </w:t>
      </w:r>
      <w:r w:rsidRPr="00D30C51">
        <w:rPr>
          <w:rFonts w:ascii="Arial" w:hAnsi="Arial" w:cs="Arial"/>
          <w:sz w:val="22"/>
          <w:szCs w:val="22"/>
        </w:rPr>
        <w:t>responses to this information collection, and that each response will require up to 4</w:t>
      </w:r>
      <w:r w:rsidRPr="00D30C51" w:rsidR="009C685E">
        <w:rPr>
          <w:rFonts w:ascii="Arial" w:hAnsi="Arial" w:cs="Arial"/>
          <w:sz w:val="22"/>
          <w:szCs w:val="22"/>
        </w:rPr>
        <w:t xml:space="preserve">.25 </w:t>
      </w:r>
      <w:r w:rsidRPr="00D30C51">
        <w:rPr>
          <w:rFonts w:ascii="Arial" w:hAnsi="Arial" w:cs="Arial"/>
          <w:sz w:val="22"/>
          <w:szCs w:val="22"/>
        </w:rPr>
        <w:t>hours to complete</w:t>
      </w:r>
      <w:r w:rsidRPr="00D30C51" w:rsidR="009C685E">
        <w:rPr>
          <w:rFonts w:ascii="Arial" w:hAnsi="Arial" w:cs="Arial"/>
          <w:sz w:val="22"/>
          <w:szCs w:val="22"/>
        </w:rPr>
        <w:t xml:space="preserve"> (4 hours for testing and 0.25 hour for recordkeeping)</w:t>
      </w:r>
      <w:r w:rsidRPr="00D30C51">
        <w:rPr>
          <w:rFonts w:ascii="Arial" w:hAnsi="Arial" w:cs="Arial"/>
          <w:sz w:val="22"/>
          <w:szCs w:val="22"/>
        </w:rPr>
        <w:t xml:space="preserve">.  Therefore, TTB estimates that the </w:t>
      </w:r>
      <w:r w:rsidRPr="00D30C51" w:rsidR="009C685E">
        <w:rPr>
          <w:rFonts w:ascii="Arial" w:hAnsi="Arial" w:cs="Arial"/>
          <w:sz w:val="22"/>
          <w:szCs w:val="22"/>
        </w:rPr>
        <w:t xml:space="preserve">estimated total annual burden </w:t>
      </w:r>
      <w:r w:rsidRPr="00D30C51">
        <w:rPr>
          <w:rFonts w:ascii="Arial" w:hAnsi="Arial" w:cs="Arial"/>
          <w:sz w:val="22"/>
          <w:szCs w:val="22"/>
        </w:rPr>
        <w:t xml:space="preserve">for this information collection </w:t>
      </w:r>
      <w:r w:rsidRPr="00D30C51" w:rsidR="009C685E">
        <w:rPr>
          <w:rFonts w:ascii="Arial" w:hAnsi="Arial" w:cs="Arial"/>
          <w:sz w:val="22"/>
          <w:szCs w:val="22"/>
        </w:rPr>
        <w:t xml:space="preserve">request </w:t>
      </w:r>
      <w:r w:rsidRPr="00D30C51">
        <w:rPr>
          <w:rFonts w:ascii="Arial" w:hAnsi="Arial" w:cs="Arial"/>
          <w:sz w:val="22"/>
          <w:szCs w:val="22"/>
        </w:rPr>
        <w:t xml:space="preserve">is </w:t>
      </w:r>
      <w:r w:rsidRPr="00D30C51" w:rsidR="00ED767F">
        <w:rPr>
          <w:rFonts w:ascii="Arial" w:hAnsi="Arial" w:cs="Arial"/>
          <w:sz w:val="22"/>
          <w:szCs w:val="22"/>
        </w:rPr>
        <w:t>20,500</w:t>
      </w:r>
      <w:r w:rsidRPr="00D30C51">
        <w:rPr>
          <w:rFonts w:ascii="Arial" w:hAnsi="Arial" w:cs="Arial"/>
          <w:sz w:val="22"/>
          <w:szCs w:val="22"/>
        </w:rPr>
        <w:t xml:space="preserve"> responses and </w:t>
      </w:r>
      <w:r w:rsidRPr="00D30C51" w:rsidR="00ED767F">
        <w:rPr>
          <w:rFonts w:ascii="Arial" w:hAnsi="Arial" w:cs="Arial"/>
          <w:sz w:val="22"/>
          <w:szCs w:val="22"/>
        </w:rPr>
        <w:t>87,125</w:t>
      </w:r>
      <w:r w:rsidRPr="00D30C51">
        <w:rPr>
          <w:rFonts w:ascii="Arial" w:hAnsi="Arial" w:cs="Arial"/>
          <w:sz w:val="22"/>
          <w:szCs w:val="22"/>
        </w:rPr>
        <w:t xml:space="preserve"> hours. </w:t>
      </w:r>
    </w:p>
    <w:p w:rsidRPr="00D30C51" w:rsidR="00395574" w:rsidP="00E405E8" w:rsidRDefault="00395574" w14:paraId="0EAD171D" w14:textId="24431E7E">
      <w:pPr>
        <w:autoSpaceDE w:val="0"/>
        <w:autoSpaceDN w:val="0"/>
        <w:ind w:left="360"/>
        <w:rPr>
          <w:rFonts w:ascii="Arial" w:hAnsi="Arial" w:cs="Arial"/>
          <w:sz w:val="22"/>
          <w:szCs w:val="22"/>
        </w:rPr>
      </w:pPr>
    </w:p>
    <w:p w:rsidRPr="00D30C51" w:rsidR="00395574" w:rsidP="00E405E8" w:rsidRDefault="009C685E" w14:paraId="3DF584EB" w14:textId="5FEB9832">
      <w:pPr>
        <w:autoSpaceDE w:val="0"/>
        <w:autoSpaceDN w:val="0"/>
        <w:ind w:left="360"/>
        <w:rPr>
          <w:rFonts w:ascii="Arial" w:hAnsi="Arial" w:cs="Arial"/>
          <w:sz w:val="22"/>
          <w:szCs w:val="22"/>
        </w:rPr>
      </w:pPr>
      <w:r w:rsidRPr="00D30C51">
        <w:rPr>
          <w:rFonts w:ascii="Arial" w:hAnsi="Arial" w:cs="Arial"/>
          <w:sz w:val="22"/>
          <w:szCs w:val="22"/>
          <w:u w:val="single"/>
        </w:rPr>
        <w:t>Record retention:</w:t>
      </w:r>
      <w:r w:rsidRPr="00D30C51" w:rsidR="0033308C">
        <w:rPr>
          <w:rFonts w:ascii="Arial" w:hAnsi="Arial" w:cs="Arial"/>
          <w:sz w:val="22"/>
          <w:szCs w:val="22"/>
        </w:rPr>
        <w:t xml:space="preserve">  Per the TTB regulations at 27 CFR 24.300(d), all records required under part 24, which includes th</w:t>
      </w:r>
      <w:r w:rsidRPr="00D30C51" w:rsidR="00A20ADD">
        <w:rPr>
          <w:rFonts w:ascii="Arial" w:hAnsi="Arial" w:cs="Arial"/>
          <w:sz w:val="22"/>
          <w:szCs w:val="22"/>
        </w:rPr>
        <w:t xml:space="preserve">is information collection, </w:t>
      </w:r>
      <w:r w:rsidRPr="00D30C51" w:rsidR="0033308C">
        <w:rPr>
          <w:rFonts w:ascii="Arial" w:hAnsi="Arial" w:cs="Arial"/>
          <w:sz w:val="22"/>
          <w:szCs w:val="22"/>
        </w:rPr>
        <w:t xml:space="preserve">must be retained for at least 3 years after the record date. </w:t>
      </w:r>
    </w:p>
    <w:p w:rsidRPr="00D30C51" w:rsidR="00395574" w:rsidP="00E405E8" w:rsidRDefault="00395574" w14:paraId="026B5005" w14:textId="42AB3E64">
      <w:pPr>
        <w:autoSpaceDE w:val="0"/>
        <w:autoSpaceDN w:val="0"/>
        <w:ind w:left="360"/>
        <w:rPr>
          <w:rFonts w:ascii="Arial" w:hAnsi="Arial" w:cs="Arial"/>
          <w:sz w:val="22"/>
          <w:szCs w:val="22"/>
        </w:rPr>
      </w:pPr>
    </w:p>
    <w:p w:rsidRPr="00D30C51" w:rsidR="00535766" w:rsidP="003B3338" w:rsidRDefault="0033308C" w14:paraId="513AC14C" w14:textId="00E4EDAB">
      <w:pPr>
        <w:suppressAutoHyphens/>
        <w:ind w:left="360"/>
        <w:rPr>
          <w:rFonts w:ascii="Arial" w:hAnsi="Arial" w:cs="Arial"/>
          <w:sz w:val="22"/>
          <w:szCs w:val="22"/>
        </w:rPr>
      </w:pPr>
      <w:r w:rsidRPr="00D30C51">
        <w:rPr>
          <w:rFonts w:ascii="Arial" w:hAnsi="Arial" w:cs="Arial"/>
          <w:sz w:val="22"/>
          <w:szCs w:val="22"/>
          <w:u w:val="single"/>
        </w:rPr>
        <w:t>Es</w:t>
      </w:r>
      <w:r w:rsidRPr="00D30C51" w:rsidR="009F2B78">
        <w:rPr>
          <w:rFonts w:ascii="Arial" w:hAnsi="Arial" w:cs="Arial"/>
          <w:sz w:val="22"/>
          <w:szCs w:val="22"/>
          <w:u w:val="single"/>
        </w:rPr>
        <w:t>timated respondent labor costs:</w:t>
      </w:r>
      <w:r w:rsidRPr="00D30C51" w:rsidR="009F2B78">
        <w:rPr>
          <w:rFonts w:ascii="Arial" w:hAnsi="Arial" w:cs="Arial"/>
          <w:sz w:val="22"/>
          <w:szCs w:val="22"/>
        </w:rPr>
        <w:t xml:space="preserve">  </w:t>
      </w:r>
      <w:r w:rsidRPr="00D30C51" w:rsidR="003B3338">
        <w:rPr>
          <w:rFonts w:ascii="Arial" w:hAnsi="Arial" w:cs="Arial"/>
          <w:sz w:val="22"/>
          <w:szCs w:val="22"/>
        </w:rPr>
        <w:t xml:space="preserve">Of the estimated 820 annual respondents to this information collection, </w:t>
      </w:r>
      <w:r w:rsidRPr="00D30C51" w:rsidR="00535766">
        <w:rPr>
          <w:rFonts w:ascii="Arial" w:hAnsi="Arial" w:cs="Arial"/>
          <w:sz w:val="22"/>
          <w:szCs w:val="22"/>
        </w:rPr>
        <w:t xml:space="preserve">TTB estimates that </w:t>
      </w:r>
      <w:r w:rsidRPr="00D30C51" w:rsidR="003B3338">
        <w:rPr>
          <w:rFonts w:ascii="Arial" w:hAnsi="Arial" w:cs="Arial"/>
          <w:sz w:val="22"/>
          <w:szCs w:val="22"/>
        </w:rPr>
        <w:t>200 will conduct the required carbon dioxide measurement</w:t>
      </w:r>
      <w:r w:rsidRPr="00D30C51" w:rsidR="00A13B9C">
        <w:rPr>
          <w:rFonts w:ascii="Arial" w:hAnsi="Arial" w:cs="Arial"/>
          <w:sz w:val="22"/>
          <w:szCs w:val="22"/>
        </w:rPr>
        <w:t xml:space="preserve"> test</w:t>
      </w:r>
      <w:r w:rsidRPr="00D30C51" w:rsidR="003B3338">
        <w:rPr>
          <w:rFonts w:ascii="Arial" w:hAnsi="Arial" w:cs="Arial"/>
          <w:sz w:val="22"/>
          <w:szCs w:val="22"/>
        </w:rPr>
        <w:t xml:space="preserve">s in </w:t>
      </w:r>
      <w:r w:rsidRPr="00D30C51" w:rsidR="00535766">
        <w:rPr>
          <w:rFonts w:ascii="Arial" w:hAnsi="Arial" w:cs="Arial"/>
          <w:sz w:val="22"/>
          <w:szCs w:val="22"/>
        </w:rPr>
        <w:t>their own “in-house” laboratories, while 620 will employ outside laboratories.  Therefore, based on recent wage data for the positions noted in the table below, TTB estimate</w:t>
      </w:r>
      <w:r w:rsidRPr="00D30C51" w:rsidR="00A13B9C">
        <w:rPr>
          <w:rFonts w:ascii="Arial" w:hAnsi="Arial" w:cs="Arial"/>
          <w:sz w:val="22"/>
          <w:szCs w:val="22"/>
        </w:rPr>
        <w:t>s</w:t>
      </w:r>
      <w:r w:rsidRPr="00D30C51" w:rsidR="00535766">
        <w:rPr>
          <w:rFonts w:ascii="Arial" w:hAnsi="Arial" w:cs="Arial"/>
          <w:sz w:val="22"/>
          <w:szCs w:val="22"/>
        </w:rPr>
        <w:t xml:space="preserve"> respondent labor costs for this information collection as follows: </w:t>
      </w:r>
    </w:p>
    <w:p w:rsidRPr="003B3338" w:rsidR="00D30C51" w:rsidP="003B3338" w:rsidRDefault="00D30C51" w14:paraId="51D0E77F" w14:textId="77777777">
      <w:pPr>
        <w:suppressAutoHyphens/>
        <w:ind w:left="360"/>
        <w:rPr>
          <w:rFonts w:ascii="Arial" w:hAnsi="Arial" w:cs="Arial"/>
          <w:sz w:val="22"/>
          <w:szCs w:val="22"/>
        </w:rPr>
      </w:pPr>
    </w:p>
    <w:tbl>
      <w:tblPr>
        <w:tblStyle w:val="TableGrid2"/>
        <w:tblW w:w="8640" w:type="dxa"/>
        <w:jc w:val="center"/>
        <w:tblLayout w:type="fixed"/>
        <w:tblCellMar>
          <w:left w:w="43" w:type="dxa"/>
          <w:right w:w="43" w:type="dxa"/>
        </w:tblCellMar>
        <w:tblLook w:val="04A0" w:firstRow="1" w:lastRow="0" w:firstColumn="1" w:lastColumn="0" w:noHBand="0" w:noVBand="1"/>
      </w:tblPr>
      <w:tblGrid>
        <w:gridCol w:w="1435"/>
        <w:gridCol w:w="3240"/>
        <w:gridCol w:w="1260"/>
        <w:gridCol w:w="1260"/>
        <w:gridCol w:w="1445"/>
      </w:tblGrid>
      <w:tr w:rsidRPr="00D30C51" w:rsidR="00D30C51" w:rsidTr="00D30C51" w14:paraId="12FCFFD0" w14:textId="77777777">
        <w:trPr>
          <w:trHeight w:val="620"/>
          <w:jc w:val="center"/>
        </w:trPr>
        <w:tc>
          <w:tcPr>
            <w:tcW w:w="1435" w:type="dxa"/>
            <w:noWrap/>
            <w:tcMar>
              <w:left w:w="58" w:type="dxa"/>
              <w:right w:w="58" w:type="dxa"/>
            </w:tcMar>
            <w:vAlign w:val="center"/>
          </w:tcPr>
          <w:p w:rsidRPr="003B3338" w:rsidR="00535766" w:rsidP="00A13B9C" w:rsidRDefault="00535766" w14:paraId="600413D7" w14:textId="77777777">
            <w:pPr>
              <w:suppressAutoHyphens/>
              <w:jc w:val="center"/>
              <w:rPr>
                <w:rFonts w:ascii="Arial" w:hAnsi="Arial" w:cs="Arial"/>
                <w:i/>
                <w:sz w:val="20"/>
                <w:szCs w:val="20"/>
              </w:rPr>
            </w:pPr>
            <w:r w:rsidRPr="003B3338">
              <w:rPr>
                <w:rFonts w:ascii="Arial" w:hAnsi="Arial" w:cs="Arial"/>
                <w:i/>
                <w:sz w:val="20"/>
                <w:szCs w:val="20"/>
              </w:rPr>
              <w:t>Respondent Type</w:t>
            </w:r>
          </w:p>
        </w:tc>
        <w:tc>
          <w:tcPr>
            <w:tcW w:w="3240" w:type="dxa"/>
            <w:noWrap/>
            <w:tcMar>
              <w:left w:w="58" w:type="dxa"/>
              <w:right w:w="58" w:type="dxa"/>
            </w:tcMar>
            <w:vAlign w:val="center"/>
          </w:tcPr>
          <w:p w:rsidRPr="003B3338" w:rsidR="00535766" w:rsidP="00A13B9C" w:rsidRDefault="008D5360" w14:paraId="1779F5CD" w14:textId="08280E97">
            <w:pPr>
              <w:suppressAutoHyphens/>
              <w:jc w:val="center"/>
              <w:rPr>
                <w:rFonts w:ascii="Arial" w:hAnsi="Arial" w:cs="Arial"/>
                <w:i/>
                <w:sz w:val="20"/>
                <w:szCs w:val="20"/>
              </w:rPr>
            </w:pPr>
            <w:r w:rsidRPr="00D30C51">
              <w:rPr>
                <w:rFonts w:ascii="Arial" w:hAnsi="Arial" w:cs="Arial"/>
                <w:i/>
                <w:sz w:val="20"/>
                <w:szCs w:val="20"/>
              </w:rPr>
              <w:t>Cost per Response (</w:t>
            </w:r>
            <w:r w:rsidRPr="003B3338" w:rsidR="00535766">
              <w:rPr>
                <w:rFonts w:ascii="Arial" w:hAnsi="Arial" w:cs="Arial"/>
                <w:i/>
                <w:sz w:val="20"/>
                <w:szCs w:val="20"/>
              </w:rPr>
              <w:t xml:space="preserve">Hours per Response </w:t>
            </w:r>
            <w:r w:rsidRPr="00D30C51">
              <w:rPr>
                <w:rFonts w:ascii="Arial" w:hAnsi="Arial" w:cs="Arial"/>
                <w:i/>
                <w:sz w:val="20"/>
                <w:szCs w:val="20"/>
              </w:rPr>
              <w:t>x</w:t>
            </w:r>
            <w:r w:rsidRPr="00D30C51" w:rsidR="00535766">
              <w:rPr>
                <w:rFonts w:ascii="Arial" w:hAnsi="Arial" w:cs="Arial"/>
                <w:i/>
                <w:sz w:val="20"/>
                <w:szCs w:val="20"/>
              </w:rPr>
              <w:t xml:space="preserve"> </w:t>
            </w:r>
            <w:r w:rsidRPr="003B3338" w:rsidR="00535766">
              <w:rPr>
                <w:rFonts w:ascii="Arial" w:hAnsi="Arial" w:cs="Arial"/>
                <w:i/>
                <w:sz w:val="20"/>
                <w:szCs w:val="20"/>
              </w:rPr>
              <w:t>Fully Loaded Labor Rate</w:t>
            </w:r>
            <w:r w:rsidRPr="00D30C51" w:rsidR="00535766">
              <w:rPr>
                <w:rFonts w:ascii="Arial" w:hAnsi="Arial" w:cs="Arial"/>
                <w:i/>
                <w:sz w:val="20"/>
                <w:szCs w:val="20"/>
              </w:rPr>
              <w:t>s</w:t>
            </w:r>
            <w:r w:rsidRPr="00D30C51" w:rsidR="00535766">
              <w:rPr>
                <w:rFonts w:ascii="Arial" w:hAnsi="Arial" w:cs="Arial"/>
                <w:i/>
                <w:sz w:val="20"/>
                <w:szCs w:val="20"/>
                <w:vertAlign w:val="superscript"/>
              </w:rPr>
              <w:footnoteReference w:id="3"/>
            </w:r>
            <w:r w:rsidRPr="00D30C51">
              <w:rPr>
                <w:rFonts w:ascii="Arial" w:hAnsi="Arial" w:cs="Arial"/>
                <w:i/>
                <w:sz w:val="20"/>
                <w:szCs w:val="20"/>
              </w:rPr>
              <w:t>)</w:t>
            </w:r>
          </w:p>
        </w:tc>
        <w:tc>
          <w:tcPr>
            <w:tcW w:w="1260" w:type="dxa"/>
            <w:noWrap/>
            <w:tcMar>
              <w:left w:w="58" w:type="dxa"/>
              <w:right w:w="58" w:type="dxa"/>
            </w:tcMar>
            <w:vAlign w:val="center"/>
          </w:tcPr>
          <w:p w:rsidRPr="00D30C51" w:rsidR="00535766" w:rsidP="00A13B9C" w:rsidRDefault="008D5360" w14:paraId="6D12824F" w14:textId="45C720BD">
            <w:pPr>
              <w:suppressAutoHyphens/>
              <w:jc w:val="center"/>
              <w:rPr>
                <w:rFonts w:ascii="Arial" w:hAnsi="Arial" w:cs="Arial"/>
                <w:i/>
                <w:sz w:val="20"/>
                <w:szCs w:val="20"/>
              </w:rPr>
            </w:pPr>
            <w:r w:rsidRPr="00D30C51">
              <w:rPr>
                <w:rFonts w:ascii="Arial" w:hAnsi="Arial" w:cs="Arial"/>
                <w:i/>
                <w:sz w:val="20"/>
                <w:szCs w:val="20"/>
              </w:rPr>
              <w:t>Respondent cost for 25 annual responses</w:t>
            </w:r>
          </w:p>
        </w:tc>
        <w:tc>
          <w:tcPr>
            <w:tcW w:w="1260" w:type="dxa"/>
            <w:noWrap/>
            <w:tcMar>
              <w:left w:w="58" w:type="dxa"/>
              <w:right w:w="58" w:type="dxa"/>
            </w:tcMar>
            <w:vAlign w:val="center"/>
          </w:tcPr>
          <w:p w:rsidRPr="003B3338" w:rsidR="00535766" w:rsidP="00A13B9C" w:rsidRDefault="00D30C51" w14:paraId="3CD77305" w14:textId="4D2F9175">
            <w:pPr>
              <w:suppressAutoHyphens/>
              <w:jc w:val="center"/>
              <w:rPr>
                <w:rFonts w:ascii="Arial" w:hAnsi="Arial" w:cs="Arial"/>
                <w:i/>
                <w:sz w:val="20"/>
                <w:szCs w:val="20"/>
              </w:rPr>
            </w:pPr>
            <w:r w:rsidRPr="00D30C51">
              <w:rPr>
                <w:rFonts w:ascii="Arial" w:hAnsi="Arial" w:cs="Arial"/>
                <w:i/>
                <w:sz w:val="20"/>
                <w:szCs w:val="20"/>
              </w:rPr>
              <w:t>A</w:t>
            </w:r>
            <w:r w:rsidRPr="00D30C51" w:rsidR="008D5360">
              <w:rPr>
                <w:rFonts w:ascii="Arial" w:hAnsi="Arial" w:cs="Arial"/>
                <w:i/>
                <w:sz w:val="20"/>
                <w:szCs w:val="20"/>
              </w:rPr>
              <w:t>nnual respondents</w:t>
            </w:r>
          </w:p>
        </w:tc>
        <w:tc>
          <w:tcPr>
            <w:tcW w:w="1445" w:type="dxa"/>
            <w:noWrap/>
            <w:tcMar>
              <w:left w:w="58" w:type="dxa"/>
              <w:right w:w="58" w:type="dxa"/>
            </w:tcMar>
            <w:vAlign w:val="center"/>
          </w:tcPr>
          <w:p w:rsidRPr="003B3338" w:rsidR="00535766" w:rsidP="00A13B9C" w:rsidRDefault="00535766" w14:paraId="30644D7A" w14:textId="07FD1434">
            <w:pPr>
              <w:suppressAutoHyphens/>
              <w:jc w:val="center"/>
              <w:rPr>
                <w:rFonts w:ascii="Arial" w:hAnsi="Arial" w:cs="Arial"/>
                <w:i/>
                <w:sz w:val="20"/>
                <w:szCs w:val="20"/>
              </w:rPr>
            </w:pPr>
            <w:r w:rsidRPr="003B3338">
              <w:rPr>
                <w:rFonts w:ascii="Arial" w:hAnsi="Arial" w:cs="Arial"/>
                <w:i/>
                <w:sz w:val="20"/>
                <w:szCs w:val="20"/>
              </w:rPr>
              <w:t xml:space="preserve">Total </w:t>
            </w:r>
            <w:r w:rsidRPr="00D30C51" w:rsidR="008D5360">
              <w:rPr>
                <w:rFonts w:ascii="Arial" w:hAnsi="Arial" w:cs="Arial"/>
                <w:i/>
                <w:sz w:val="20"/>
                <w:szCs w:val="20"/>
              </w:rPr>
              <w:t xml:space="preserve">Respondent </w:t>
            </w:r>
            <w:r w:rsidRPr="003B3338">
              <w:rPr>
                <w:rFonts w:ascii="Arial" w:hAnsi="Arial" w:cs="Arial"/>
                <w:i/>
                <w:sz w:val="20"/>
                <w:szCs w:val="20"/>
              </w:rPr>
              <w:t>Cost</w:t>
            </w:r>
          </w:p>
        </w:tc>
      </w:tr>
      <w:tr w:rsidRPr="00D30C51" w:rsidR="00D30C51" w:rsidTr="00D30C51" w14:paraId="669970C3" w14:textId="77777777">
        <w:trPr>
          <w:trHeight w:val="800"/>
          <w:jc w:val="center"/>
        </w:trPr>
        <w:tc>
          <w:tcPr>
            <w:tcW w:w="1435" w:type="dxa"/>
            <w:noWrap/>
            <w:tcMar>
              <w:left w:w="58" w:type="dxa"/>
              <w:right w:w="58" w:type="dxa"/>
            </w:tcMar>
            <w:vAlign w:val="center"/>
          </w:tcPr>
          <w:p w:rsidRPr="003B3338" w:rsidR="00535766" w:rsidP="00535766" w:rsidRDefault="00535766" w14:paraId="0EEE94C6" w14:textId="5E2F5551">
            <w:pPr>
              <w:suppressAutoHyphens/>
              <w:rPr>
                <w:rFonts w:ascii="Arial" w:hAnsi="Arial" w:cs="Arial"/>
                <w:sz w:val="20"/>
                <w:szCs w:val="20"/>
              </w:rPr>
            </w:pPr>
            <w:r w:rsidRPr="00D30C51">
              <w:rPr>
                <w:rFonts w:ascii="Arial" w:hAnsi="Arial" w:cs="Arial"/>
                <w:sz w:val="20"/>
                <w:szCs w:val="20"/>
              </w:rPr>
              <w:t>In-house Laboratory Chemist</w:t>
            </w:r>
          </w:p>
        </w:tc>
        <w:tc>
          <w:tcPr>
            <w:tcW w:w="3240" w:type="dxa"/>
            <w:noWrap/>
            <w:tcMar>
              <w:left w:w="58" w:type="dxa"/>
              <w:right w:w="58" w:type="dxa"/>
            </w:tcMar>
            <w:vAlign w:val="center"/>
          </w:tcPr>
          <w:p w:rsidRPr="003B3338" w:rsidR="00535766" w:rsidP="00053ECA" w:rsidRDefault="00535766" w14:paraId="0D537165" w14:textId="390415EA">
            <w:pPr>
              <w:suppressAutoHyphens/>
              <w:rPr>
                <w:rFonts w:ascii="Arial" w:hAnsi="Arial" w:cs="Arial"/>
                <w:sz w:val="18"/>
                <w:szCs w:val="18"/>
              </w:rPr>
            </w:pPr>
            <w:r w:rsidRPr="00D30C51">
              <w:rPr>
                <w:rFonts w:ascii="Arial" w:hAnsi="Arial" w:cs="Arial"/>
                <w:sz w:val="18"/>
                <w:szCs w:val="18"/>
              </w:rPr>
              <w:t>4.</w:t>
            </w:r>
            <w:r w:rsidRPr="00D30C51" w:rsidR="008D5360">
              <w:rPr>
                <w:rFonts w:ascii="Arial" w:hAnsi="Arial" w:cs="Arial"/>
                <w:sz w:val="18"/>
                <w:szCs w:val="18"/>
              </w:rPr>
              <w:t>2</w:t>
            </w:r>
            <w:r w:rsidRPr="00D30C51">
              <w:rPr>
                <w:rFonts w:ascii="Arial" w:hAnsi="Arial" w:cs="Arial"/>
                <w:sz w:val="18"/>
                <w:szCs w:val="18"/>
              </w:rPr>
              <w:t>5 h</w:t>
            </w:r>
            <w:r w:rsidRPr="003B3338">
              <w:rPr>
                <w:rFonts w:ascii="Arial" w:hAnsi="Arial" w:cs="Arial"/>
                <w:sz w:val="18"/>
                <w:szCs w:val="18"/>
              </w:rPr>
              <w:t xml:space="preserve">ours </w:t>
            </w:r>
            <w:r w:rsidRPr="00D30C51" w:rsidR="008D5360">
              <w:rPr>
                <w:rFonts w:ascii="Arial" w:hAnsi="Arial" w:cs="Arial"/>
                <w:sz w:val="18"/>
                <w:szCs w:val="18"/>
              </w:rPr>
              <w:t>(testing</w:t>
            </w:r>
            <w:r w:rsidR="0065242B">
              <w:rPr>
                <w:rFonts w:ascii="Arial" w:hAnsi="Arial" w:cs="Arial"/>
                <w:sz w:val="18"/>
                <w:szCs w:val="18"/>
              </w:rPr>
              <w:t xml:space="preserve"> &amp; recordkeping</w:t>
            </w:r>
            <w:r w:rsidRPr="00D30C51">
              <w:rPr>
                <w:rFonts w:ascii="Arial" w:hAnsi="Arial" w:cs="Arial"/>
                <w:sz w:val="18"/>
                <w:szCs w:val="18"/>
              </w:rPr>
              <w:t xml:space="preserve">) </w:t>
            </w:r>
            <w:r w:rsidRPr="00D30C51" w:rsidR="008D5360">
              <w:rPr>
                <w:rFonts w:ascii="Arial" w:hAnsi="Arial" w:cs="Arial"/>
                <w:sz w:val="18"/>
                <w:szCs w:val="18"/>
              </w:rPr>
              <w:t>@ $</w:t>
            </w:r>
            <w:r w:rsidRPr="00D30C51" w:rsidR="009D367A">
              <w:rPr>
                <w:rFonts w:ascii="Arial" w:hAnsi="Arial" w:cs="Arial"/>
                <w:sz w:val="18"/>
                <w:szCs w:val="18"/>
              </w:rPr>
              <w:t>50.70</w:t>
            </w:r>
            <w:r w:rsidRPr="00D30C51" w:rsidR="008D5360">
              <w:rPr>
                <w:rFonts w:ascii="Arial" w:hAnsi="Arial" w:cs="Arial"/>
                <w:sz w:val="18"/>
                <w:szCs w:val="18"/>
              </w:rPr>
              <w:t>/hour = $</w:t>
            </w:r>
            <w:r w:rsidRPr="00D30C51" w:rsidR="009D367A">
              <w:rPr>
                <w:rFonts w:ascii="Arial" w:hAnsi="Arial" w:cs="Arial"/>
                <w:sz w:val="18"/>
                <w:szCs w:val="18"/>
              </w:rPr>
              <w:t>215.48</w:t>
            </w:r>
            <w:r w:rsidRPr="00D30C51" w:rsidR="008D5360">
              <w:rPr>
                <w:rFonts w:ascii="Arial" w:hAnsi="Arial" w:cs="Arial"/>
                <w:sz w:val="18"/>
                <w:szCs w:val="18"/>
              </w:rPr>
              <w:t xml:space="preserve"> per response</w:t>
            </w:r>
            <w:r w:rsidRPr="00D30C51" w:rsidR="009D367A">
              <w:rPr>
                <w:rFonts w:ascii="Arial" w:hAnsi="Arial" w:cs="Arial"/>
                <w:sz w:val="18"/>
                <w:szCs w:val="18"/>
              </w:rPr>
              <w:t>.</w:t>
            </w:r>
            <w:r w:rsidRPr="00D30C51" w:rsidR="008D5360">
              <w:rPr>
                <w:rFonts w:ascii="Arial" w:hAnsi="Arial" w:cs="Arial"/>
                <w:sz w:val="18"/>
                <w:szCs w:val="18"/>
              </w:rPr>
              <w:t xml:space="preserve"> </w:t>
            </w:r>
          </w:p>
        </w:tc>
        <w:tc>
          <w:tcPr>
            <w:tcW w:w="1260" w:type="dxa"/>
            <w:noWrap/>
            <w:tcMar>
              <w:left w:w="58" w:type="dxa"/>
              <w:right w:w="58" w:type="dxa"/>
            </w:tcMar>
            <w:vAlign w:val="center"/>
          </w:tcPr>
          <w:p w:rsidRPr="00D30C51" w:rsidR="00535766" w:rsidP="008D5360" w:rsidRDefault="009D367A" w14:paraId="6CBDB3A2" w14:textId="6A523A30">
            <w:pPr>
              <w:suppressAutoHyphens/>
              <w:jc w:val="center"/>
              <w:rPr>
                <w:rFonts w:ascii="Arial" w:hAnsi="Arial" w:cs="Arial"/>
                <w:sz w:val="20"/>
                <w:szCs w:val="20"/>
              </w:rPr>
            </w:pPr>
            <w:r w:rsidRPr="00D30C51">
              <w:rPr>
                <w:rFonts w:ascii="Arial" w:hAnsi="Arial" w:cs="Arial"/>
                <w:sz w:val="20"/>
                <w:szCs w:val="20"/>
              </w:rPr>
              <w:t>$5,387.00</w:t>
            </w:r>
          </w:p>
        </w:tc>
        <w:tc>
          <w:tcPr>
            <w:tcW w:w="1260" w:type="dxa"/>
            <w:noWrap/>
            <w:tcMar>
              <w:left w:w="58" w:type="dxa"/>
              <w:right w:w="58" w:type="dxa"/>
            </w:tcMar>
            <w:vAlign w:val="center"/>
          </w:tcPr>
          <w:p w:rsidRPr="003B3338" w:rsidR="00535766" w:rsidP="008D5360" w:rsidRDefault="008D5360" w14:paraId="5531E890" w14:textId="47E62C5C">
            <w:pPr>
              <w:suppressAutoHyphens/>
              <w:jc w:val="center"/>
              <w:rPr>
                <w:rFonts w:ascii="Arial" w:hAnsi="Arial" w:cs="Arial"/>
                <w:sz w:val="20"/>
                <w:szCs w:val="20"/>
              </w:rPr>
            </w:pPr>
            <w:r w:rsidRPr="00D30C51">
              <w:rPr>
                <w:rFonts w:ascii="Arial" w:hAnsi="Arial" w:cs="Arial"/>
                <w:sz w:val="20"/>
                <w:szCs w:val="20"/>
              </w:rPr>
              <w:t>200</w:t>
            </w:r>
          </w:p>
        </w:tc>
        <w:tc>
          <w:tcPr>
            <w:tcW w:w="1445" w:type="dxa"/>
            <w:noWrap/>
            <w:tcMar>
              <w:left w:w="58" w:type="dxa"/>
              <w:right w:w="58" w:type="dxa"/>
            </w:tcMar>
            <w:vAlign w:val="center"/>
          </w:tcPr>
          <w:p w:rsidRPr="003B3338" w:rsidR="00535766" w:rsidP="00622244" w:rsidRDefault="009D367A" w14:paraId="76B3B0FA" w14:textId="432BB76F">
            <w:pPr>
              <w:suppressAutoHyphens/>
              <w:jc w:val="center"/>
              <w:rPr>
                <w:rFonts w:ascii="Arial" w:hAnsi="Arial" w:cs="Arial"/>
                <w:sz w:val="20"/>
                <w:szCs w:val="20"/>
              </w:rPr>
            </w:pPr>
            <w:r w:rsidRPr="00D30C51">
              <w:rPr>
                <w:rFonts w:ascii="Arial" w:hAnsi="Arial" w:cs="Arial"/>
                <w:sz w:val="20"/>
                <w:szCs w:val="20"/>
              </w:rPr>
              <w:t>$1,077,400</w:t>
            </w:r>
          </w:p>
        </w:tc>
      </w:tr>
      <w:tr w:rsidRPr="00D30C51" w:rsidR="00D30C51" w:rsidTr="00D30C51" w14:paraId="6B968EA2" w14:textId="77777777">
        <w:trPr>
          <w:trHeight w:val="1115"/>
          <w:jc w:val="center"/>
        </w:trPr>
        <w:tc>
          <w:tcPr>
            <w:tcW w:w="1435" w:type="dxa"/>
            <w:tcBorders>
              <w:bottom w:val="single" w:color="auto" w:sz="12" w:space="0"/>
            </w:tcBorders>
            <w:noWrap/>
            <w:tcMar>
              <w:left w:w="58" w:type="dxa"/>
              <w:right w:w="58" w:type="dxa"/>
            </w:tcMar>
            <w:vAlign w:val="center"/>
          </w:tcPr>
          <w:p w:rsidRPr="003B3338" w:rsidR="00535766" w:rsidP="00A13B9C" w:rsidRDefault="00A13B9C" w14:paraId="2787D21E" w14:textId="73BC4BDF">
            <w:pPr>
              <w:suppressAutoHyphens/>
              <w:rPr>
                <w:rFonts w:ascii="Arial" w:hAnsi="Arial" w:cs="Arial"/>
                <w:sz w:val="20"/>
                <w:szCs w:val="20"/>
              </w:rPr>
            </w:pPr>
            <w:r w:rsidRPr="00D30C51">
              <w:rPr>
                <w:rFonts w:ascii="Arial" w:hAnsi="Arial" w:cs="Arial"/>
                <w:sz w:val="20"/>
                <w:szCs w:val="20"/>
              </w:rPr>
              <w:t>In-house staff using an outside l</w:t>
            </w:r>
            <w:r w:rsidRPr="00D30C51" w:rsidR="008D5360">
              <w:rPr>
                <w:rFonts w:ascii="Arial" w:hAnsi="Arial" w:cs="Arial"/>
                <w:sz w:val="20"/>
                <w:szCs w:val="20"/>
              </w:rPr>
              <w:t xml:space="preserve">aboratory </w:t>
            </w:r>
          </w:p>
        </w:tc>
        <w:tc>
          <w:tcPr>
            <w:tcW w:w="3240" w:type="dxa"/>
            <w:tcBorders>
              <w:bottom w:val="single" w:color="auto" w:sz="12" w:space="0"/>
            </w:tcBorders>
            <w:noWrap/>
            <w:tcMar>
              <w:left w:w="58" w:type="dxa"/>
              <w:right w:w="58" w:type="dxa"/>
            </w:tcMar>
            <w:vAlign w:val="center"/>
          </w:tcPr>
          <w:p w:rsidRPr="003B3338" w:rsidR="00535766" w:rsidP="00053ECA" w:rsidRDefault="00535766" w14:paraId="7CA212F7" w14:textId="60BE9DB6">
            <w:pPr>
              <w:suppressAutoHyphens/>
              <w:rPr>
                <w:rFonts w:ascii="Arial" w:hAnsi="Arial" w:cs="Arial"/>
                <w:sz w:val="18"/>
                <w:szCs w:val="18"/>
              </w:rPr>
            </w:pPr>
            <w:r w:rsidRPr="003B3338">
              <w:rPr>
                <w:rFonts w:ascii="Arial" w:hAnsi="Arial" w:cs="Arial"/>
                <w:sz w:val="18"/>
                <w:szCs w:val="18"/>
              </w:rPr>
              <w:t>1</w:t>
            </w:r>
            <w:r w:rsidRPr="00D30C51" w:rsidR="008D5360">
              <w:rPr>
                <w:rFonts w:ascii="Arial" w:hAnsi="Arial" w:cs="Arial"/>
                <w:sz w:val="18"/>
                <w:szCs w:val="18"/>
              </w:rPr>
              <w:t>.25 hours (</w:t>
            </w:r>
            <w:r w:rsidRPr="00D30C51" w:rsidR="00A13B9C">
              <w:rPr>
                <w:rFonts w:ascii="Arial" w:hAnsi="Arial" w:cs="Arial"/>
                <w:sz w:val="18"/>
                <w:szCs w:val="18"/>
              </w:rPr>
              <w:t xml:space="preserve">in-house staff </w:t>
            </w:r>
            <w:r w:rsidRPr="00D30C51" w:rsidR="008D5360">
              <w:rPr>
                <w:rFonts w:ascii="Arial" w:hAnsi="Arial" w:cs="Arial"/>
                <w:sz w:val="18"/>
                <w:szCs w:val="18"/>
              </w:rPr>
              <w:t xml:space="preserve">preparing samples &amp; shipments, keeping and maintaining records) </w:t>
            </w:r>
            <w:r w:rsidRPr="003B3338" w:rsidR="008D5360">
              <w:rPr>
                <w:rFonts w:ascii="Arial" w:hAnsi="Arial" w:cs="Arial"/>
                <w:sz w:val="18"/>
                <w:szCs w:val="18"/>
              </w:rPr>
              <w:t>@ $</w:t>
            </w:r>
            <w:r w:rsidRPr="00D30C51" w:rsidR="009D367A">
              <w:rPr>
                <w:rFonts w:ascii="Arial" w:hAnsi="Arial" w:cs="Arial"/>
                <w:sz w:val="18"/>
                <w:szCs w:val="18"/>
              </w:rPr>
              <w:t>29.59</w:t>
            </w:r>
            <w:r w:rsidRPr="003B3338" w:rsidR="008D5360">
              <w:rPr>
                <w:rFonts w:ascii="Arial" w:hAnsi="Arial" w:cs="Arial"/>
                <w:sz w:val="18"/>
                <w:szCs w:val="18"/>
              </w:rPr>
              <w:t xml:space="preserve">/hour </w:t>
            </w:r>
            <w:r w:rsidRPr="00D30C51" w:rsidR="008D5360">
              <w:rPr>
                <w:rFonts w:ascii="Arial" w:hAnsi="Arial" w:cs="Arial"/>
                <w:sz w:val="18"/>
                <w:szCs w:val="18"/>
              </w:rPr>
              <w:t>= $</w:t>
            </w:r>
            <w:r w:rsidR="00053ECA">
              <w:rPr>
                <w:rFonts w:ascii="Arial" w:hAnsi="Arial" w:cs="Arial"/>
                <w:sz w:val="18"/>
                <w:szCs w:val="18"/>
              </w:rPr>
              <w:t>36.99</w:t>
            </w:r>
            <w:r w:rsidRPr="00D30C51" w:rsidR="008D5360">
              <w:rPr>
                <w:rFonts w:ascii="Arial" w:hAnsi="Arial" w:cs="Arial"/>
                <w:sz w:val="18"/>
                <w:szCs w:val="18"/>
              </w:rPr>
              <w:t xml:space="preserve"> per response</w:t>
            </w:r>
          </w:p>
        </w:tc>
        <w:tc>
          <w:tcPr>
            <w:tcW w:w="1260" w:type="dxa"/>
            <w:tcBorders>
              <w:bottom w:val="single" w:color="auto" w:sz="12" w:space="0"/>
            </w:tcBorders>
            <w:noWrap/>
            <w:tcMar>
              <w:left w:w="58" w:type="dxa"/>
              <w:right w:w="58" w:type="dxa"/>
            </w:tcMar>
            <w:vAlign w:val="center"/>
          </w:tcPr>
          <w:p w:rsidRPr="00D30C51" w:rsidR="00535766" w:rsidP="00053ECA" w:rsidRDefault="009D367A" w14:paraId="792B58A0" w14:textId="3D83271D">
            <w:pPr>
              <w:suppressAutoHyphens/>
              <w:jc w:val="center"/>
              <w:rPr>
                <w:rFonts w:ascii="Arial" w:hAnsi="Arial" w:cs="Arial"/>
                <w:sz w:val="20"/>
                <w:szCs w:val="20"/>
              </w:rPr>
            </w:pPr>
            <w:r w:rsidRPr="00D30C51">
              <w:rPr>
                <w:rFonts w:ascii="Arial" w:hAnsi="Arial" w:cs="Arial"/>
                <w:sz w:val="20"/>
                <w:szCs w:val="20"/>
              </w:rPr>
              <w:t>$</w:t>
            </w:r>
            <w:r w:rsidR="00053ECA">
              <w:rPr>
                <w:rFonts w:ascii="Arial" w:hAnsi="Arial" w:cs="Arial"/>
                <w:sz w:val="20"/>
                <w:szCs w:val="20"/>
              </w:rPr>
              <w:t>924.75</w:t>
            </w:r>
          </w:p>
        </w:tc>
        <w:tc>
          <w:tcPr>
            <w:tcW w:w="1260" w:type="dxa"/>
            <w:tcBorders>
              <w:bottom w:val="single" w:color="auto" w:sz="12" w:space="0"/>
            </w:tcBorders>
            <w:noWrap/>
            <w:tcMar>
              <w:left w:w="58" w:type="dxa"/>
              <w:right w:w="58" w:type="dxa"/>
            </w:tcMar>
            <w:vAlign w:val="center"/>
          </w:tcPr>
          <w:p w:rsidRPr="003B3338" w:rsidR="00535766" w:rsidP="008D5360" w:rsidRDefault="009D367A" w14:paraId="70BE82C4" w14:textId="00439AE9">
            <w:pPr>
              <w:suppressAutoHyphens/>
              <w:jc w:val="center"/>
              <w:rPr>
                <w:rFonts w:ascii="Arial" w:hAnsi="Arial" w:cs="Arial"/>
                <w:sz w:val="20"/>
                <w:szCs w:val="20"/>
              </w:rPr>
            </w:pPr>
            <w:r w:rsidRPr="00D30C51">
              <w:rPr>
                <w:rFonts w:ascii="Arial" w:hAnsi="Arial" w:cs="Arial"/>
                <w:sz w:val="20"/>
                <w:szCs w:val="20"/>
              </w:rPr>
              <w:t>620</w:t>
            </w:r>
          </w:p>
        </w:tc>
        <w:tc>
          <w:tcPr>
            <w:tcW w:w="1445" w:type="dxa"/>
            <w:tcBorders>
              <w:bottom w:val="single" w:color="auto" w:sz="12" w:space="0"/>
            </w:tcBorders>
            <w:noWrap/>
            <w:tcMar>
              <w:left w:w="58" w:type="dxa"/>
              <w:right w:w="58" w:type="dxa"/>
            </w:tcMar>
            <w:vAlign w:val="center"/>
          </w:tcPr>
          <w:p w:rsidRPr="003B3338" w:rsidR="00535766" w:rsidP="00622244" w:rsidRDefault="00A13B9C" w14:paraId="57AB8EEA" w14:textId="6B1522CD">
            <w:pPr>
              <w:suppressAutoHyphens/>
              <w:jc w:val="center"/>
              <w:rPr>
                <w:rFonts w:ascii="Arial" w:hAnsi="Arial" w:cs="Arial"/>
                <w:sz w:val="20"/>
                <w:szCs w:val="20"/>
              </w:rPr>
            </w:pPr>
            <w:r w:rsidRPr="00D30C51">
              <w:rPr>
                <w:rFonts w:ascii="Arial" w:hAnsi="Arial" w:cs="Arial"/>
                <w:sz w:val="20"/>
                <w:szCs w:val="20"/>
              </w:rPr>
              <w:t>$</w:t>
            </w:r>
            <w:r w:rsidR="00053ECA">
              <w:rPr>
                <w:rFonts w:ascii="Arial" w:hAnsi="Arial" w:cs="Arial"/>
                <w:sz w:val="20"/>
                <w:szCs w:val="20"/>
              </w:rPr>
              <w:t>573,345</w:t>
            </w:r>
          </w:p>
        </w:tc>
      </w:tr>
      <w:tr w:rsidRPr="00A13B9C" w:rsidR="00A13B9C" w:rsidTr="00D30C51" w14:paraId="03D26E8A" w14:textId="77777777">
        <w:trPr>
          <w:trHeight w:val="504"/>
          <w:jc w:val="center"/>
        </w:trPr>
        <w:tc>
          <w:tcPr>
            <w:tcW w:w="4675" w:type="dxa"/>
            <w:gridSpan w:val="2"/>
            <w:tcBorders>
              <w:top w:val="single" w:color="auto" w:sz="12" w:space="0"/>
              <w:left w:val="single" w:color="auto" w:sz="2" w:space="0"/>
              <w:bottom w:val="single" w:color="auto" w:sz="2" w:space="0"/>
              <w:right w:val="single" w:color="auto" w:sz="2" w:space="0"/>
            </w:tcBorders>
            <w:noWrap/>
            <w:tcMar>
              <w:left w:w="58" w:type="dxa"/>
              <w:right w:w="58" w:type="dxa"/>
            </w:tcMar>
            <w:vAlign w:val="center"/>
          </w:tcPr>
          <w:p w:rsidRPr="003B3338" w:rsidR="00535766" w:rsidP="00D30C51" w:rsidRDefault="00535766" w14:paraId="09EABEB6" w14:textId="4D694AE8">
            <w:pPr>
              <w:suppressAutoHyphens/>
              <w:jc w:val="right"/>
              <w:rPr>
                <w:rFonts w:ascii="Arial" w:hAnsi="Arial" w:cs="Arial"/>
                <w:i/>
                <w:sz w:val="20"/>
                <w:szCs w:val="20"/>
              </w:rPr>
            </w:pPr>
            <w:r w:rsidRPr="003B3338">
              <w:rPr>
                <w:rFonts w:ascii="Arial" w:hAnsi="Arial" w:cs="Arial"/>
                <w:i/>
                <w:sz w:val="20"/>
                <w:szCs w:val="20"/>
              </w:rPr>
              <w:t xml:space="preserve">Average </w:t>
            </w:r>
            <w:r w:rsidR="00D30C51">
              <w:rPr>
                <w:rFonts w:ascii="Arial" w:hAnsi="Arial" w:cs="Arial"/>
                <w:i/>
                <w:sz w:val="20"/>
                <w:szCs w:val="20"/>
              </w:rPr>
              <w:t>Respondent</w:t>
            </w:r>
            <w:r w:rsidRPr="003B3338">
              <w:rPr>
                <w:rFonts w:ascii="Arial" w:hAnsi="Arial" w:cs="Arial"/>
                <w:i/>
                <w:sz w:val="20"/>
                <w:szCs w:val="20"/>
              </w:rPr>
              <w:t xml:space="preserve"> Labor Cost / Total Cost </w:t>
            </w:r>
          </w:p>
        </w:tc>
        <w:tc>
          <w:tcPr>
            <w:tcW w:w="1260" w:type="dxa"/>
            <w:tcBorders>
              <w:top w:val="single" w:color="auto" w:sz="12" w:space="0"/>
              <w:left w:val="single" w:color="auto" w:sz="2" w:space="0"/>
              <w:bottom w:val="single" w:color="auto" w:sz="2" w:space="0"/>
              <w:right w:val="single" w:color="auto" w:sz="2" w:space="0"/>
            </w:tcBorders>
            <w:noWrap/>
            <w:tcMar>
              <w:left w:w="58" w:type="dxa"/>
              <w:right w:w="58" w:type="dxa"/>
            </w:tcMar>
            <w:vAlign w:val="center"/>
          </w:tcPr>
          <w:p w:rsidRPr="00A13B9C" w:rsidR="00535766" w:rsidP="00622244" w:rsidRDefault="00A13B9C" w14:paraId="3F45769B" w14:textId="403850A4">
            <w:pPr>
              <w:suppressAutoHyphens/>
              <w:jc w:val="center"/>
              <w:rPr>
                <w:rFonts w:ascii="Arial" w:hAnsi="Arial" w:cs="Arial"/>
                <w:sz w:val="20"/>
                <w:szCs w:val="20"/>
              </w:rPr>
            </w:pPr>
            <w:r w:rsidRPr="00A13B9C">
              <w:rPr>
                <w:rFonts w:ascii="Arial" w:hAnsi="Arial" w:cs="Arial"/>
                <w:sz w:val="20"/>
                <w:szCs w:val="20"/>
              </w:rPr>
              <w:t>$2,</w:t>
            </w:r>
            <w:r w:rsidR="00622244">
              <w:rPr>
                <w:rFonts w:ascii="Arial" w:hAnsi="Arial" w:cs="Arial"/>
                <w:sz w:val="20"/>
                <w:szCs w:val="20"/>
              </w:rPr>
              <w:t>013.10</w:t>
            </w:r>
          </w:p>
        </w:tc>
        <w:tc>
          <w:tcPr>
            <w:tcW w:w="1260" w:type="dxa"/>
            <w:tcBorders>
              <w:top w:val="single" w:color="auto" w:sz="12" w:space="0"/>
              <w:left w:val="single" w:color="auto" w:sz="2" w:space="0"/>
              <w:bottom w:val="single" w:color="auto" w:sz="2" w:space="0"/>
              <w:right w:val="single" w:color="auto" w:sz="2" w:space="0"/>
            </w:tcBorders>
            <w:noWrap/>
            <w:tcMar>
              <w:left w:w="58" w:type="dxa"/>
              <w:right w:w="58" w:type="dxa"/>
            </w:tcMar>
            <w:vAlign w:val="center"/>
          </w:tcPr>
          <w:p w:rsidRPr="003B3338" w:rsidR="00535766" w:rsidP="003B3338" w:rsidRDefault="00A13B9C" w14:paraId="0DA3084A" w14:textId="3151B5A1">
            <w:pPr>
              <w:suppressAutoHyphens/>
              <w:jc w:val="center"/>
              <w:rPr>
                <w:rFonts w:ascii="Arial" w:hAnsi="Arial" w:cs="Arial"/>
                <w:sz w:val="20"/>
                <w:szCs w:val="20"/>
              </w:rPr>
            </w:pPr>
            <w:r w:rsidRPr="00A13B9C">
              <w:rPr>
                <w:rFonts w:ascii="Arial" w:hAnsi="Arial" w:cs="Arial"/>
                <w:sz w:val="20"/>
                <w:szCs w:val="20"/>
              </w:rPr>
              <w:t>820</w:t>
            </w:r>
          </w:p>
        </w:tc>
        <w:tc>
          <w:tcPr>
            <w:tcW w:w="1445" w:type="dxa"/>
            <w:tcBorders>
              <w:top w:val="single" w:color="auto" w:sz="12" w:space="0"/>
              <w:left w:val="single" w:color="auto" w:sz="2" w:space="0"/>
              <w:bottom w:val="single" w:color="auto" w:sz="2" w:space="0"/>
              <w:right w:val="single" w:color="auto" w:sz="2" w:space="0"/>
            </w:tcBorders>
            <w:noWrap/>
            <w:tcMar>
              <w:left w:w="58" w:type="dxa"/>
              <w:right w:w="58" w:type="dxa"/>
            </w:tcMar>
            <w:vAlign w:val="center"/>
          </w:tcPr>
          <w:p w:rsidRPr="003B3338" w:rsidR="00535766" w:rsidP="00622244" w:rsidRDefault="00A13B9C" w14:paraId="4281ACE4" w14:textId="32A8175B">
            <w:pPr>
              <w:suppressAutoHyphens/>
              <w:jc w:val="center"/>
              <w:rPr>
                <w:rFonts w:ascii="Arial" w:hAnsi="Arial" w:cs="Arial"/>
                <w:sz w:val="20"/>
                <w:szCs w:val="20"/>
              </w:rPr>
            </w:pPr>
            <w:r w:rsidRPr="00A13B9C">
              <w:rPr>
                <w:rFonts w:ascii="Arial" w:hAnsi="Arial" w:cs="Arial"/>
                <w:sz w:val="20"/>
                <w:szCs w:val="20"/>
              </w:rPr>
              <w:t>$1,</w:t>
            </w:r>
            <w:r w:rsidR="00053ECA">
              <w:rPr>
                <w:rFonts w:ascii="Arial" w:hAnsi="Arial" w:cs="Arial"/>
                <w:sz w:val="20"/>
                <w:szCs w:val="20"/>
              </w:rPr>
              <w:t>650,745</w:t>
            </w:r>
          </w:p>
        </w:tc>
      </w:tr>
    </w:tbl>
    <w:p w:rsidRPr="00FD3E88" w:rsidR="00625EBB" w:rsidP="00E3303B" w:rsidRDefault="00625EBB" w14:paraId="18E7DCA4" w14:textId="77777777">
      <w:pPr>
        <w:rPr>
          <w:rFonts w:ascii="Arial" w:hAnsi="Arial" w:cs="Arial"/>
          <w:sz w:val="36"/>
          <w:szCs w:val="36"/>
        </w:rPr>
      </w:pPr>
    </w:p>
    <w:p w:rsidRPr="00FD3E88" w:rsidR="00101DE7" w:rsidP="004806AE" w:rsidRDefault="00AF060A" w14:paraId="1C8AF69F" w14:textId="4F96370D">
      <w:pPr>
        <w:suppressAutoHyphens/>
        <w:rPr>
          <w:rFonts w:ascii="Arial" w:hAnsi="Arial" w:cs="Arial"/>
          <w:i/>
          <w:sz w:val="22"/>
          <w:szCs w:val="22"/>
        </w:rPr>
      </w:pPr>
      <w:r w:rsidRPr="00FD3E88">
        <w:rPr>
          <w:rFonts w:ascii="Arial" w:hAnsi="Arial" w:cs="Arial"/>
          <w:i/>
          <w:sz w:val="22"/>
          <w:szCs w:val="22"/>
        </w:rPr>
        <w:t xml:space="preserve">13.  </w:t>
      </w:r>
      <w:r w:rsidRPr="00FD3E88" w:rsidR="00101DE7">
        <w:rPr>
          <w:rFonts w:ascii="Arial" w:hAnsi="Arial" w:cs="Arial"/>
          <w:i/>
          <w:sz w:val="22"/>
          <w:szCs w:val="22"/>
        </w:rPr>
        <w:t>What is the estimated annual cost burden to respondents or record keepers resulting from this information collection request (excluding the value of the hour burden</w:t>
      </w:r>
      <w:r w:rsidRPr="00FD3E88" w:rsidR="0033260C">
        <w:rPr>
          <w:rFonts w:ascii="Arial" w:hAnsi="Arial" w:cs="Arial"/>
          <w:i/>
          <w:sz w:val="22"/>
          <w:szCs w:val="22"/>
        </w:rPr>
        <w:t xml:space="preserve"> </w:t>
      </w:r>
      <w:r w:rsidRPr="00FD3E88" w:rsidR="00101DE7">
        <w:rPr>
          <w:rFonts w:ascii="Arial" w:hAnsi="Arial" w:cs="Arial"/>
          <w:i/>
          <w:sz w:val="22"/>
          <w:szCs w:val="22"/>
        </w:rPr>
        <w:t>in Question 12 above)?</w:t>
      </w:r>
      <w:r w:rsidRPr="00FD3E88">
        <w:rPr>
          <w:rFonts w:ascii="Arial" w:hAnsi="Arial" w:cs="Arial"/>
          <w:i/>
          <w:sz w:val="22"/>
          <w:szCs w:val="22"/>
        </w:rPr>
        <w:t xml:space="preserve"> </w:t>
      </w:r>
    </w:p>
    <w:p w:rsidRPr="00FD3E88" w:rsidR="00101DE7" w:rsidP="000E68C5" w:rsidRDefault="00101DE7" w14:paraId="1A23E4A4" w14:textId="77777777">
      <w:pPr>
        <w:suppressAutoHyphens/>
        <w:ind w:left="480" w:hanging="480"/>
        <w:rPr>
          <w:rFonts w:ascii="Arial" w:hAnsi="Arial" w:cs="Arial"/>
          <w:sz w:val="22"/>
          <w:szCs w:val="22"/>
        </w:rPr>
      </w:pPr>
    </w:p>
    <w:p w:rsidRPr="00FD3E88" w:rsidR="009C078D" w:rsidP="000E68C5" w:rsidRDefault="00924ADA" w14:paraId="6D371E07" w14:textId="4B8514D4">
      <w:pPr>
        <w:suppressAutoHyphens/>
        <w:ind w:left="360"/>
        <w:rPr>
          <w:rFonts w:ascii="Arial" w:hAnsi="Arial" w:cs="Arial"/>
          <w:sz w:val="22"/>
          <w:szCs w:val="22"/>
        </w:rPr>
      </w:pPr>
      <w:r w:rsidRPr="00FD3E88">
        <w:rPr>
          <w:rFonts w:ascii="Arial" w:hAnsi="Arial" w:cs="Arial"/>
          <w:sz w:val="22"/>
          <w:szCs w:val="22"/>
        </w:rPr>
        <w:t xml:space="preserve">Under </w:t>
      </w:r>
      <w:r w:rsidRPr="00FD3E88" w:rsidR="005276D1">
        <w:rPr>
          <w:rFonts w:ascii="Arial" w:hAnsi="Arial" w:cs="Arial"/>
          <w:sz w:val="22"/>
          <w:szCs w:val="22"/>
        </w:rPr>
        <w:t xml:space="preserve">the TTB regulation at </w:t>
      </w:r>
      <w:r w:rsidRPr="00FD3E88">
        <w:rPr>
          <w:rFonts w:ascii="Arial" w:hAnsi="Arial" w:cs="Arial"/>
          <w:sz w:val="22"/>
          <w:szCs w:val="22"/>
        </w:rPr>
        <w:t>27 CFR 24.30</w:t>
      </w:r>
      <w:r w:rsidRPr="00FD3E88" w:rsidR="003E0BD2">
        <w:rPr>
          <w:rFonts w:ascii="Arial" w:hAnsi="Arial" w:cs="Arial"/>
          <w:sz w:val="22"/>
          <w:szCs w:val="22"/>
        </w:rPr>
        <w:t>2</w:t>
      </w:r>
      <w:r w:rsidRPr="00FD3E88" w:rsidR="005276D1">
        <w:rPr>
          <w:rFonts w:ascii="Arial" w:hAnsi="Arial" w:cs="Arial"/>
          <w:sz w:val="22"/>
          <w:szCs w:val="22"/>
        </w:rPr>
        <w:t>(k)</w:t>
      </w:r>
      <w:r w:rsidRPr="00FD3E88">
        <w:rPr>
          <w:rFonts w:ascii="Arial" w:hAnsi="Arial" w:cs="Arial"/>
          <w:sz w:val="22"/>
          <w:szCs w:val="22"/>
        </w:rPr>
        <w:t xml:space="preserve">, to claim the hard cider </w:t>
      </w:r>
      <w:r w:rsidRPr="00FD3E88" w:rsidR="005276D1">
        <w:rPr>
          <w:rFonts w:ascii="Arial" w:hAnsi="Arial" w:cs="Arial"/>
          <w:sz w:val="22"/>
          <w:szCs w:val="22"/>
        </w:rPr>
        <w:t xml:space="preserve">excise </w:t>
      </w:r>
      <w:r w:rsidRPr="00FD3E88">
        <w:rPr>
          <w:rFonts w:ascii="Arial" w:hAnsi="Arial" w:cs="Arial"/>
          <w:sz w:val="22"/>
          <w:szCs w:val="22"/>
        </w:rPr>
        <w:t xml:space="preserve">tax rate for a given product, </w:t>
      </w:r>
      <w:r w:rsidRPr="00FD3E88" w:rsidR="005276D1">
        <w:rPr>
          <w:rFonts w:ascii="Arial" w:hAnsi="Arial" w:cs="Arial"/>
          <w:sz w:val="22"/>
          <w:szCs w:val="22"/>
        </w:rPr>
        <w:t xml:space="preserve">wine </w:t>
      </w:r>
      <w:r w:rsidRPr="00FD3E88">
        <w:rPr>
          <w:rFonts w:ascii="Arial" w:hAnsi="Arial" w:cs="Arial"/>
          <w:sz w:val="22"/>
          <w:szCs w:val="22"/>
        </w:rPr>
        <w:t xml:space="preserve">industry members </w:t>
      </w:r>
      <w:r w:rsidRPr="00FD3E88" w:rsidR="003E0BD2">
        <w:rPr>
          <w:rFonts w:ascii="Arial" w:hAnsi="Arial" w:cs="Arial"/>
          <w:sz w:val="22"/>
          <w:szCs w:val="22"/>
        </w:rPr>
        <w:t xml:space="preserve">are required to </w:t>
      </w:r>
      <w:r w:rsidRPr="00FD3E88">
        <w:rPr>
          <w:rFonts w:ascii="Arial" w:hAnsi="Arial" w:cs="Arial"/>
          <w:sz w:val="22"/>
          <w:szCs w:val="22"/>
        </w:rPr>
        <w:t xml:space="preserve">record the level of carbon dioxide in the product.  </w:t>
      </w:r>
      <w:r w:rsidRPr="00FD3E88" w:rsidR="005276D1">
        <w:rPr>
          <w:rFonts w:ascii="Arial" w:hAnsi="Arial" w:cs="Arial"/>
          <w:sz w:val="22"/>
          <w:szCs w:val="22"/>
        </w:rPr>
        <w:t>Of the estimated 820 annual respondents to this information collection, TTB estimates that 200 will conduct the required carbon dioxide measurement tests in their own “in-house” laboratories</w:t>
      </w:r>
      <w:r w:rsidRPr="00FD3E88" w:rsidR="002535A4">
        <w:rPr>
          <w:rFonts w:ascii="Arial" w:hAnsi="Arial" w:cs="Arial"/>
          <w:sz w:val="22"/>
          <w:szCs w:val="22"/>
        </w:rPr>
        <w:t xml:space="preserve">, </w:t>
      </w:r>
      <w:r w:rsidRPr="00FD3E88" w:rsidR="005276D1">
        <w:rPr>
          <w:rFonts w:ascii="Arial" w:hAnsi="Arial" w:cs="Arial"/>
          <w:sz w:val="22"/>
          <w:szCs w:val="22"/>
        </w:rPr>
        <w:t xml:space="preserve">while 620 will employ outside laboratories. </w:t>
      </w:r>
      <w:r w:rsidRPr="00FD3E88" w:rsidR="009226DF">
        <w:rPr>
          <w:rFonts w:ascii="Arial" w:hAnsi="Arial" w:cs="Arial"/>
          <w:sz w:val="22"/>
          <w:szCs w:val="22"/>
        </w:rPr>
        <w:t xml:space="preserve"> </w:t>
      </w:r>
      <w:r w:rsidRPr="00FD3E88" w:rsidR="002535A4">
        <w:rPr>
          <w:rFonts w:ascii="Arial" w:hAnsi="Arial" w:cs="Arial"/>
          <w:sz w:val="22"/>
          <w:szCs w:val="22"/>
        </w:rPr>
        <w:t xml:space="preserve">Therefore, TTB estimates respondent costs for this information collection as follows: </w:t>
      </w:r>
    </w:p>
    <w:p w:rsidR="009C078D" w:rsidP="000E68C5" w:rsidRDefault="009C078D" w14:paraId="0BBBDC85" w14:textId="24AE933F">
      <w:pPr>
        <w:suppressAutoHyphens/>
        <w:ind w:left="360"/>
        <w:rPr>
          <w:rFonts w:ascii="Arial" w:hAnsi="Arial" w:cs="Arial"/>
          <w:sz w:val="22"/>
          <w:szCs w:val="22"/>
        </w:rPr>
      </w:pPr>
    </w:p>
    <w:tbl>
      <w:tblPr>
        <w:tblStyle w:val="TableGrid3"/>
        <w:tblW w:w="8185" w:type="dxa"/>
        <w:jc w:val="center"/>
        <w:tblCellMar>
          <w:left w:w="58" w:type="dxa"/>
          <w:right w:w="58" w:type="dxa"/>
        </w:tblCellMar>
        <w:tblLook w:val="04A0" w:firstRow="1" w:lastRow="0" w:firstColumn="1" w:lastColumn="0" w:noHBand="0" w:noVBand="1"/>
      </w:tblPr>
      <w:tblGrid>
        <w:gridCol w:w="3685"/>
        <w:gridCol w:w="1090"/>
        <w:gridCol w:w="1681"/>
        <w:gridCol w:w="1729"/>
      </w:tblGrid>
      <w:tr w:rsidRPr="00FD3E88" w:rsidR="00622244" w:rsidTr="00112EC9" w14:paraId="5E4EC276" w14:textId="77777777">
        <w:trPr>
          <w:trHeight w:val="432"/>
          <w:jc w:val="center"/>
        </w:trPr>
        <w:tc>
          <w:tcPr>
            <w:tcW w:w="3685" w:type="dxa"/>
            <w:vAlign w:val="center"/>
          </w:tcPr>
          <w:p w:rsidRPr="00622244" w:rsidR="00622244" w:rsidP="00622244" w:rsidRDefault="00622244" w14:paraId="048328E9" w14:textId="7CDD59BE">
            <w:pPr>
              <w:suppressAutoHyphens/>
              <w:jc w:val="center"/>
              <w:rPr>
                <w:rFonts w:ascii="Arial" w:hAnsi="Arial" w:cs="Arial"/>
                <w:b/>
                <w:sz w:val="20"/>
                <w:szCs w:val="20"/>
              </w:rPr>
            </w:pPr>
            <w:r w:rsidRPr="00622244">
              <w:rPr>
                <w:rFonts w:ascii="Arial" w:hAnsi="Arial" w:cs="Arial"/>
                <w:b/>
                <w:sz w:val="20"/>
                <w:szCs w:val="20"/>
              </w:rPr>
              <w:t>START UP COSTS</w:t>
            </w:r>
          </w:p>
        </w:tc>
        <w:tc>
          <w:tcPr>
            <w:tcW w:w="1090" w:type="dxa"/>
            <w:vAlign w:val="center"/>
          </w:tcPr>
          <w:p w:rsidRPr="00FD3E88" w:rsidR="00622244" w:rsidP="00622244" w:rsidRDefault="00622244" w14:paraId="36C537F4" w14:textId="77777777">
            <w:pPr>
              <w:suppressAutoHyphens/>
              <w:jc w:val="center"/>
              <w:rPr>
                <w:rFonts w:ascii="Arial" w:hAnsi="Arial" w:cs="Arial"/>
                <w:i/>
                <w:sz w:val="20"/>
                <w:szCs w:val="20"/>
              </w:rPr>
            </w:pPr>
            <w:r w:rsidRPr="00FD3E88">
              <w:rPr>
                <w:rFonts w:ascii="Arial" w:hAnsi="Arial" w:cs="Arial"/>
                <w:i/>
                <w:sz w:val="20"/>
                <w:szCs w:val="20"/>
              </w:rPr>
              <w:t>Cost per Response</w:t>
            </w:r>
          </w:p>
        </w:tc>
        <w:tc>
          <w:tcPr>
            <w:tcW w:w="1681" w:type="dxa"/>
            <w:vAlign w:val="center"/>
          </w:tcPr>
          <w:p w:rsidRPr="00FD3E88" w:rsidR="00622244" w:rsidP="00622244" w:rsidRDefault="00622244" w14:paraId="47006627" w14:textId="77777777">
            <w:pPr>
              <w:suppressAutoHyphens/>
              <w:jc w:val="center"/>
              <w:rPr>
                <w:rFonts w:ascii="Arial" w:hAnsi="Arial" w:cs="Arial"/>
                <w:i/>
                <w:sz w:val="20"/>
                <w:szCs w:val="20"/>
              </w:rPr>
            </w:pPr>
            <w:r w:rsidRPr="00FD3E88">
              <w:rPr>
                <w:rFonts w:ascii="Arial" w:hAnsi="Arial" w:cs="Arial"/>
                <w:i/>
                <w:sz w:val="20"/>
                <w:szCs w:val="20"/>
              </w:rPr>
              <w:t>Annualized Costs Per Respondent for 25 Tests</w:t>
            </w:r>
          </w:p>
        </w:tc>
        <w:tc>
          <w:tcPr>
            <w:tcW w:w="1729" w:type="dxa"/>
            <w:vAlign w:val="center"/>
          </w:tcPr>
          <w:p w:rsidRPr="00FD3E88" w:rsidR="00622244" w:rsidP="00622244" w:rsidRDefault="00622244" w14:paraId="755BD030" w14:textId="38A43656">
            <w:pPr>
              <w:suppressAutoHyphens/>
              <w:jc w:val="center"/>
              <w:rPr>
                <w:rFonts w:ascii="Arial" w:hAnsi="Arial" w:cs="Arial"/>
                <w:i/>
                <w:sz w:val="20"/>
                <w:szCs w:val="20"/>
              </w:rPr>
            </w:pPr>
            <w:r w:rsidRPr="00FD3E88">
              <w:rPr>
                <w:rFonts w:ascii="Arial" w:hAnsi="Arial" w:cs="Arial"/>
                <w:i/>
                <w:sz w:val="20"/>
                <w:szCs w:val="20"/>
              </w:rPr>
              <w:t>Total Annualized Costs</w:t>
            </w:r>
          </w:p>
        </w:tc>
      </w:tr>
      <w:tr w:rsidRPr="00FD3E88" w:rsidR="00622244" w:rsidTr="00112EC9" w14:paraId="72074288" w14:textId="77777777">
        <w:trPr>
          <w:trHeight w:val="503"/>
          <w:jc w:val="center"/>
        </w:trPr>
        <w:tc>
          <w:tcPr>
            <w:tcW w:w="3685" w:type="dxa"/>
            <w:vAlign w:val="center"/>
          </w:tcPr>
          <w:p w:rsidRPr="00C3085C" w:rsidR="00622244" w:rsidP="00622244" w:rsidRDefault="00622244" w14:paraId="7108F72D" w14:textId="4CC48558">
            <w:pPr>
              <w:suppressAutoHyphens/>
              <w:rPr>
                <w:rFonts w:ascii="Arial" w:hAnsi="Arial" w:cs="Arial"/>
                <w:b/>
                <w:sz w:val="20"/>
                <w:szCs w:val="20"/>
              </w:rPr>
            </w:pPr>
            <w:r w:rsidRPr="00C3085C">
              <w:rPr>
                <w:rFonts w:ascii="Arial" w:hAnsi="Arial" w:cs="Arial"/>
                <w:b/>
                <w:sz w:val="20"/>
                <w:szCs w:val="20"/>
              </w:rPr>
              <w:t xml:space="preserve">Total Start Up Costs for 200 Respondents Using In-House Laboratories </w:t>
            </w:r>
          </w:p>
        </w:tc>
        <w:tc>
          <w:tcPr>
            <w:tcW w:w="1090" w:type="dxa"/>
            <w:vAlign w:val="center"/>
          </w:tcPr>
          <w:p w:rsidRPr="00C3085C" w:rsidR="00622244" w:rsidP="00112EC9" w:rsidRDefault="00622244" w14:paraId="7FFF69D0" w14:textId="3D66D536">
            <w:pPr>
              <w:suppressAutoHyphens/>
              <w:jc w:val="right"/>
              <w:rPr>
                <w:rFonts w:ascii="Arial" w:hAnsi="Arial" w:cs="Arial"/>
                <w:b/>
                <w:sz w:val="20"/>
                <w:szCs w:val="20"/>
              </w:rPr>
            </w:pPr>
            <w:r w:rsidRPr="00C3085C">
              <w:rPr>
                <w:rFonts w:ascii="Arial" w:hAnsi="Arial" w:cs="Arial"/>
                <w:b/>
                <w:sz w:val="20"/>
                <w:szCs w:val="20"/>
              </w:rPr>
              <w:t>$334</w:t>
            </w:r>
          </w:p>
        </w:tc>
        <w:tc>
          <w:tcPr>
            <w:tcW w:w="1681" w:type="dxa"/>
            <w:vAlign w:val="center"/>
          </w:tcPr>
          <w:p w:rsidRPr="00C3085C" w:rsidR="00622244" w:rsidP="00112EC9" w:rsidRDefault="00622244" w14:paraId="048B4322" w14:textId="04328C08">
            <w:pPr>
              <w:suppressAutoHyphens/>
              <w:jc w:val="right"/>
              <w:rPr>
                <w:rFonts w:ascii="Arial" w:hAnsi="Arial" w:cs="Arial"/>
                <w:b/>
                <w:sz w:val="20"/>
                <w:szCs w:val="20"/>
              </w:rPr>
            </w:pPr>
            <w:r w:rsidRPr="00C3085C">
              <w:rPr>
                <w:rFonts w:ascii="Arial" w:hAnsi="Arial" w:cs="Arial"/>
                <w:b/>
                <w:sz w:val="20"/>
                <w:szCs w:val="20"/>
              </w:rPr>
              <w:t>$8,350</w:t>
            </w:r>
          </w:p>
        </w:tc>
        <w:tc>
          <w:tcPr>
            <w:tcW w:w="1729" w:type="dxa"/>
            <w:vAlign w:val="center"/>
          </w:tcPr>
          <w:p w:rsidRPr="00C3085C" w:rsidR="00622244" w:rsidP="00112EC9" w:rsidRDefault="00622244" w14:paraId="6D9B187C" w14:textId="5E0C424E">
            <w:pPr>
              <w:suppressAutoHyphens/>
              <w:jc w:val="right"/>
              <w:rPr>
                <w:rFonts w:ascii="Arial" w:hAnsi="Arial" w:cs="Arial"/>
                <w:b/>
                <w:sz w:val="20"/>
                <w:szCs w:val="20"/>
              </w:rPr>
            </w:pPr>
            <w:r w:rsidRPr="00C3085C">
              <w:rPr>
                <w:rFonts w:ascii="Arial" w:hAnsi="Arial" w:cs="Arial"/>
                <w:b/>
                <w:sz w:val="20"/>
                <w:szCs w:val="20"/>
              </w:rPr>
              <w:t>$1,670,000.00</w:t>
            </w:r>
          </w:p>
        </w:tc>
      </w:tr>
    </w:tbl>
    <w:p w:rsidR="00622244" w:rsidP="000E68C5" w:rsidRDefault="00622244" w14:paraId="4223B347" w14:textId="27F72E03">
      <w:pPr>
        <w:suppressAutoHyphens/>
        <w:ind w:left="360"/>
        <w:rPr>
          <w:rFonts w:ascii="Arial" w:hAnsi="Arial" w:cs="Arial"/>
          <w:sz w:val="22"/>
          <w:szCs w:val="22"/>
        </w:rPr>
      </w:pPr>
    </w:p>
    <w:p w:rsidRPr="00FD3E88" w:rsidR="00622244" w:rsidP="000E68C5" w:rsidRDefault="00622244" w14:paraId="5E215CB8" w14:textId="77777777">
      <w:pPr>
        <w:suppressAutoHyphens/>
        <w:ind w:left="360"/>
        <w:rPr>
          <w:rFonts w:ascii="Arial" w:hAnsi="Arial" w:cs="Arial"/>
          <w:sz w:val="22"/>
          <w:szCs w:val="22"/>
        </w:rPr>
      </w:pPr>
    </w:p>
    <w:tbl>
      <w:tblPr>
        <w:tblStyle w:val="TableGrid3"/>
        <w:tblW w:w="8185" w:type="dxa"/>
        <w:jc w:val="center"/>
        <w:tblCellMar>
          <w:left w:w="58" w:type="dxa"/>
          <w:right w:w="58" w:type="dxa"/>
        </w:tblCellMar>
        <w:tblLook w:val="04A0" w:firstRow="1" w:lastRow="0" w:firstColumn="1" w:lastColumn="0" w:noHBand="0" w:noVBand="1"/>
      </w:tblPr>
      <w:tblGrid>
        <w:gridCol w:w="3616"/>
        <w:gridCol w:w="1187"/>
        <w:gridCol w:w="1664"/>
        <w:gridCol w:w="1718"/>
      </w:tblGrid>
      <w:tr w:rsidRPr="00FD3E88" w:rsidR="00FD3E88" w:rsidTr="00622244" w14:paraId="2FB1F8AD" w14:textId="77777777">
        <w:trPr>
          <w:trHeight w:val="432"/>
          <w:jc w:val="center"/>
        </w:trPr>
        <w:tc>
          <w:tcPr>
            <w:tcW w:w="3616" w:type="dxa"/>
            <w:vAlign w:val="center"/>
          </w:tcPr>
          <w:p w:rsidRPr="00622244" w:rsidR="008F3AB1" w:rsidP="00622244" w:rsidRDefault="00622244" w14:paraId="1613B5BC" w14:textId="629D6009">
            <w:pPr>
              <w:suppressAutoHyphens/>
              <w:jc w:val="center"/>
              <w:rPr>
                <w:rFonts w:ascii="Arial" w:hAnsi="Arial" w:cs="Arial"/>
                <w:b/>
                <w:sz w:val="20"/>
                <w:szCs w:val="20"/>
              </w:rPr>
            </w:pPr>
            <w:r w:rsidRPr="00622244">
              <w:rPr>
                <w:rFonts w:ascii="Arial" w:hAnsi="Arial" w:cs="Arial"/>
                <w:b/>
                <w:sz w:val="20"/>
                <w:szCs w:val="20"/>
              </w:rPr>
              <w:t>ANNUALIZED COSTS</w:t>
            </w:r>
          </w:p>
        </w:tc>
        <w:tc>
          <w:tcPr>
            <w:tcW w:w="1187" w:type="dxa"/>
            <w:vAlign w:val="center"/>
          </w:tcPr>
          <w:p w:rsidRPr="00FD3E88" w:rsidR="008F3AB1" w:rsidP="009C078D" w:rsidRDefault="008F3AB1" w14:paraId="5958792B" w14:textId="1CE2AB40">
            <w:pPr>
              <w:suppressAutoHyphens/>
              <w:jc w:val="center"/>
              <w:rPr>
                <w:rFonts w:ascii="Arial" w:hAnsi="Arial" w:cs="Arial"/>
                <w:i/>
                <w:sz w:val="20"/>
                <w:szCs w:val="20"/>
              </w:rPr>
            </w:pPr>
            <w:r w:rsidRPr="00FD3E88">
              <w:rPr>
                <w:rFonts w:ascii="Arial" w:hAnsi="Arial" w:cs="Arial"/>
                <w:i/>
                <w:sz w:val="20"/>
                <w:szCs w:val="20"/>
              </w:rPr>
              <w:t>Cost per Response</w:t>
            </w:r>
          </w:p>
        </w:tc>
        <w:tc>
          <w:tcPr>
            <w:tcW w:w="1664" w:type="dxa"/>
            <w:vAlign w:val="center"/>
          </w:tcPr>
          <w:p w:rsidRPr="00FD3E88" w:rsidR="008F3AB1" w:rsidP="009C078D" w:rsidRDefault="008F3AB1" w14:paraId="0D2F9C6E" w14:textId="0170A437">
            <w:pPr>
              <w:suppressAutoHyphens/>
              <w:jc w:val="center"/>
              <w:rPr>
                <w:rFonts w:ascii="Arial" w:hAnsi="Arial" w:cs="Arial"/>
                <w:i/>
                <w:sz w:val="20"/>
                <w:szCs w:val="20"/>
              </w:rPr>
            </w:pPr>
            <w:r w:rsidRPr="00FD3E88">
              <w:rPr>
                <w:rFonts w:ascii="Arial" w:hAnsi="Arial" w:cs="Arial"/>
                <w:i/>
                <w:sz w:val="20"/>
                <w:szCs w:val="20"/>
              </w:rPr>
              <w:t>Annualized Costs Per Respondent for 25 Tests</w:t>
            </w:r>
          </w:p>
        </w:tc>
        <w:tc>
          <w:tcPr>
            <w:tcW w:w="1718" w:type="dxa"/>
            <w:vAlign w:val="center"/>
          </w:tcPr>
          <w:p w:rsidRPr="00FD3E88" w:rsidR="008F3AB1" w:rsidP="00CD524F" w:rsidRDefault="008F3AB1" w14:paraId="7690E519" w14:textId="5143DE9C">
            <w:pPr>
              <w:suppressAutoHyphens/>
              <w:jc w:val="center"/>
              <w:rPr>
                <w:rFonts w:ascii="Arial" w:hAnsi="Arial" w:cs="Arial"/>
                <w:i/>
                <w:sz w:val="20"/>
                <w:szCs w:val="20"/>
              </w:rPr>
            </w:pPr>
            <w:r w:rsidRPr="00FD3E88">
              <w:rPr>
                <w:rFonts w:ascii="Arial" w:hAnsi="Arial" w:cs="Arial"/>
                <w:i/>
                <w:sz w:val="20"/>
                <w:szCs w:val="20"/>
              </w:rPr>
              <w:t xml:space="preserve">Total Annualized Costs </w:t>
            </w:r>
          </w:p>
        </w:tc>
      </w:tr>
      <w:tr w:rsidRPr="00FD3E88" w:rsidR="00622244" w:rsidTr="00622244" w14:paraId="6AAA5DDC" w14:textId="77777777">
        <w:trPr>
          <w:trHeight w:val="503"/>
          <w:jc w:val="center"/>
        </w:trPr>
        <w:tc>
          <w:tcPr>
            <w:tcW w:w="3616" w:type="dxa"/>
            <w:vAlign w:val="center"/>
          </w:tcPr>
          <w:p w:rsidRPr="00FD3E88" w:rsidR="00622244" w:rsidP="00622244" w:rsidRDefault="00622244" w14:paraId="67210D4E" w14:textId="14B6EF80">
            <w:pPr>
              <w:suppressAutoHyphens/>
              <w:rPr>
                <w:rFonts w:ascii="Arial" w:hAnsi="Arial" w:cs="Arial"/>
                <w:sz w:val="20"/>
                <w:szCs w:val="20"/>
              </w:rPr>
            </w:pPr>
            <w:r w:rsidRPr="00FD3E88">
              <w:rPr>
                <w:rFonts w:ascii="Arial" w:hAnsi="Arial" w:cs="Arial"/>
                <w:sz w:val="20"/>
                <w:szCs w:val="20"/>
              </w:rPr>
              <w:t>200 R</w:t>
            </w:r>
            <w:r>
              <w:rPr>
                <w:rFonts w:ascii="Arial" w:hAnsi="Arial" w:cs="Arial"/>
                <w:sz w:val="20"/>
                <w:szCs w:val="20"/>
              </w:rPr>
              <w:t xml:space="preserve">espondents Using In-House Laboratories:  </w:t>
            </w:r>
          </w:p>
        </w:tc>
        <w:tc>
          <w:tcPr>
            <w:tcW w:w="1187" w:type="dxa"/>
            <w:vAlign w:val="center"/>
          </w:tcPr>
          <w:p w:rsidRPr="00FD3E88" w:rsidR="00622244" w:rsidP="00622244" w:rsidRDefault="00622244" w14:paraId="0D0BEC23" w14:textId="14DBDDDA">
            <w:pPr>
              <w:suppressAutoHyphens/>
              <w:jc w:val="right"/>
              <w:rPr>
                <w:rFonts w:ascii="Arial" w:hAnsi="Arial" w:cs="Arial"/>
                <w:sz w:val="20"/>
                <w:szCs w:val="20"/>
              </w:rPr>
            </w:pPr>
            <w:r w:rsidRPr="00664F58">
              <w:rPr>
                <w:rFonts w:ascii="Arial" w:hAnsi="Arial" w:cs="Arial"/>
                <w:b/>
                <w:sz w:val="20"/>
                <w:szCs w:val="20"/>
              </w:rPr>
              <w:t>$247</w:t>
            </w:r>
          </w:p>
        </w:tc>
        <w:tc>
          <w:tcPr>
            <w:tcW w:w="1664" w:type="dxa"/>
            <w:vAlign w:val="center"/>
          </w:tcPr>
          <w:p w:rsidRPr="00FD3E88" w:rsidR="00622244" w:rsidP="00622244" w:rsidRDefault="00622244" w14:paraId="7A0848F1" w14:textId="51DAB156">
            <w:pPr>
              <w:suppressAutoHyphens/>
              <w:jc w:val="right"/>
              <w:rPr>
                <w:rFonts w:ascii="Arial" w:hAnsi="Arial" w:cs="Arial"/>
                <w:sz w:val="20"/>
                <w:szCs w:val="20"/>
              </w:rPr>
            </w:pPr>
            <w:r w:rsidRPr="00664F58">
              <w:rPr>
                <w:rFonts w:ascii="Arial" w:hAnsi="Arial" w:cs="Arial"/>
                <w:b/>
                <w:sz w:val="20"/>
                <w:szCs w:val="20"/>
              </w:rPr>
              <w:t>$6,175</w:t>
            </w:r>
          </w:p>
        </w:tc>
        <w:tc>
          <w:tcPr>
            <w:tcW w:w="1718" w:type="dxa"/>
            <w:vAlign w:val="center"/>
          </w:tcPr>
          <w:p w:rsidRPr="00FD3E88" w:rsidR="00622244" w:rsidP="00622244" w:rsidRDefault="00622244" w14:paraId="2AE33D10" w14:textId="0F1B8AD2">
            <w:pPr>
              <w:suppressAutoHyphens/>
              <w:jc w:val="right"/>
              <w:rPr>
                <w:rFonts w:ascii="Arial" w:hAnsi="Arial" w:cs="Arial"/>
                <w:sz w:val="20"/>
                <w:szCs w:val="20"/>
              </w:rPr>
            </w:pPr>
            <w:r w:rsidRPr="00664F58">
              <w:rPr>
                <w:rFonts w:ascii="Arial" w:hAnsi="Arial" w:cs="Arial"/>
                <w:b/>
                <w:sz w:val="20"/>
                <w:szCs w:val="20"/>
              </w:rPr>
              <w:t>$1,235,000</w:t>
            </w:r>
          </w:p>
        </w:tc>
      </w:tr>
      <w:tr w:rsidRPr="00FD3E88" w:rsidR="00FD3E88" w:rsidTr="00622244" w14:paraId="6BC3B3E1" w14:textId="77777777">
        <w:trPr>
          <w:trHeight w:val="98"/>
          <w:jc w:val="center"/>
        </w:trPr>
        <w:tc>
          <w:tcPr>
            <w:tcW w:w="3616" w:type="dxa"/>
            <w:vAlign w:val="center"/>
          </w:tcPr>
          <w:p w:rsidRPr="00FD3E88" w:rsidR="008F3AB1" w:rsidP="009C078D" w:rsidRDefault="008F3AB1" w14:paraId="714091C2" w14:textId="77777777">
            <w:pPr>
              <w:suppressAutoHyphens/>
              <w:jc w:val="right"/>
              <w:rPr>
                <w:rFonts w:ascii="Arial" w:hAnsi="Arial" w:cs="Arial"/>
                <w:sz w:val="20"/>
                <w:szCs w:val="20"/>
              </w:rPr>
            </w:pPr>
          </w:p>
        </w:tc>
        <w:tc>
          <w:tcPr>
            <w:tcW w:w="1187" w:type="dxa"/>
            <w:vAlign w:val="center"/>
          </w:tcPr>
          <w:p w:rsidRPr="00FD3E88" w:rsidR="008F3AB1" w:rsidP="00CD524F" w:rsidRDefault="008F3AB1" w14:paraId="53E20BCB" w14:textId="77777777">
            <w:pPr>
              <w:suppressAutoHyphens/>
              <w:jc w:val="right"/>
              <w:rPr>
                <w:rFonts w:ascii="Arial" w:hAnsi="Arial" w:cs="Arial"/>
                <w:sz w:val="20"/>
                <w:szCs w:val="20"/>
              </w:rPr>
            </w:pPr>
          </w:p>
        </w:tc>
        <w:tc>
          <w:tcPr>
            <w:tcW w:w="1664" w:type="dxa"/>
            <w:vAlign w:val="center"/>
          </w:tcPr>
          <w:p w:rsidRPr="00FD3E88" w:rsidR="008F3AB1" w:rsidP="00CD524F" w:rsidRDefault="008F3AB1" w14:paraId="5524AB73" w14:textId="25F5704D">
            <w:pPr>
              <w:suppressAutoHyphens/>
              <w:jc w:val="right"/>
              <w:rPr>
                <w:rFonts w:ascii="Arial" w:hAnsi="Arial" w:cs="Arial"/>
                <w:sz w:val="20"/>
                <w:szCs w:val="20"/>
              </w:rPr>
            </w:pPr>
          </w:p>
        </w:tc>
        <w:tc>
          <w:tcPr>
            <w:tcW w:w="1718" w:type="dxa"/>
            <w:vAlign w:val="center"/>
          </w:tcPr>
          <w:p w:rsidRPr="00FD3E88" w:rsidR="008F3AB1" w:rsidP="009C078D" w:rsidRDefault="008F3AB1" w14:paraId="7AD22ADF" w14:textId="77777777">
            <w:pPr>
              <w:suppressAutoHyphens/>
              <w:jc w:val="right"/>
              <w:rPr>
                <w:rFonts w:ascii="Arial" w:hAnsi="Arial" w:cs="Arial"/>
                <w:sz w:val="20"/>
                <w:szCs w:val="20"/>
              </w:rPr>
            </w:pPr>
          </w:p>
        </w:tc>
      </w:tr>
      <w:tr w:rsidRPr="00FD3E88" w:rsidR="00FD3E88" w:rsidTr="00622244" w14:paraId="04853623" w14:textId="77777777">
        <w:trPr>
          <w:trHeight w:val="432"/>
          <w:jc w:val="center"/>
        </w:trPr>
        <w:tc>
          <w:tcPr>
            <w:tcW w:w="3616" w:type="dxa"/>
            <w:vAlign w:val="center"/>
          </w:tcPr>
          <w:p w:rsidRPr="00FD3E88" w:rsidR="008F3AB1" w:rsidP="00622244" w:rsidRDefault="00660DE7" w14:paraId="2C5A3DDC" w14:textId="36EB2864">
            <w:pPr>
              <w:suppressAutoHyphens/>
              <w:rPr>
                <w:rFonts w:ascii="Arial" w:hAnsi="Arial" w:cs="Arial"/>
                <w:sz w:val="20"/>
                <w:szCs w:val="20"/>
              </w:rPr>
            </w:pPr>
            <w:r w:rsidRPr="00FD3E88">
              <w:rPr>
                <w:rFonts w:ascii="Arial" w:hAnsi="Arial" w:cs="Arial"/>
                <w:sz w:val="20"/>
                <w:szCs w:val="20"/>
              </w:rPr>
              <w:t>62</w:t>
            </w:r>
            <w:r w:rsidRPr="00FD3E88" w:rsidR="008F3AB1">
              <w:rPr>
                <w:rFonts w:ascii="Arial" w:hAnsi="Arial" w:cs="Arial"/>
                <w:sz w:val="20"/>
                <w:szCs w:val="20"/>
              </w:rPr>
              <w:t>0 R</w:t>
            </w:r>
            <w:r w:rsidR="00622244">
              <w:rPr>
                <w:rFonts w:ascii="Arial" w:hAnsi="Arial" w:cs="Arial"/>
                <w:sz w:val="20"/>
                <w:szCs w:val="20"/>
              </w:rPr>
              <w:t xml:space="preserve">espondents Using Outside Laboratories: </w:t>
            </w:r>
          </w:p>
        </w:tc>
        <w:tc>
          <w:tcPr>
            <w:tcW w:w="1187" w:type="dxa"/>
            <w:vAlign w:val="center"/>
          </w:tcPr>
          <w:p w:rsidRPr="00FD3E88" w:rsidR="008F3AB1" w:rsidP="00CD524F" w:rsidRDefault="008F3AB1" w14:paraId="53DD3DA4" w14:textId="77777777">
            <w:pPr>
              <w:suppressAutoHyphens/>
              <w:jc w:val="right"/>
              <w:rPr>
                <w:rFonts w:ascii="Arial" w:hAnsi="Arial" w:cs="Arial"/>
                <w:sz w:val="20"/>
                <w:szCs w:val="20"/>
              </w:rPr>
            </w:pPr>
          </w:p>
        </w:tc>
        <w:tc>
          <w:tcPr>
            <w:tcW w:w="1664" w:type="dxa"/>
            <w:vAlign w:val="center"/>
          </w:tcPr>
          <w:p w:rsidRPr="00FD3E88" w:rsidR="008F3AB1" w:rsidP="00CD524F" w:rsidRDefault="008F3AB1" w14:paraId="1D03F31F" w14:textId="49300FDC">
            <w:pPr>
              <w:suppressAutoHyphens/>
              <w:jc w:val="right"/>
              <w:rPr>
                <w:rFonts w:ascii="Arial" w:hAnsi="Arial" w:cs="Arial"/>
                <w:sz w:val="20"/>
                <w:szCs w:val="20"/>
              </w:rPr>
            </w:pPr>
          </w:p>
        </w:tc>
        <w:tc>
          <w:tcPr>
            <w:tcW w:w="1718" w:type="dxa"/>
            <w:vAlign w:val="center"/>
          </w:tcPr>
          <w:p w:rsidRPr="00FD3E88" w:rsidR="008F3AB1" w:rsidP="009C078D" w:rsidRDefault="008F3AB1" w14:paraId="3B92A9B4" w14:textId="77777777">
            <w:pPr>
              <w:suppressAutoHyphens/>
              <w:jc w:val="right"/>
              <w:rPr>
                <w:rFonts w:ascii="Arial" w:hAnsi="Arial" w:cs="Arial"/>
                <w:sz w:val="20"/>
                <w:szCs w:val="20"/>
              </w:rPr>
            </w:pPr>
          </w:p>
        </w:tc>
      </w:tr>
      <w:tr w:rsidRPr="00FD3E88" w:rsidR="00FD3E88" w:rsidTr="00622244" w14:paraId="179162D4" w14:textId="77777777">
        <w:trPr>
          <w:trHeight w:val="432"/>
          <w:jc w:val="center"/>
        </w:trPr>
        <w:tc>
          <w:tcPr>
            <w:tcW w:w="3616" w:type="dxa"/>
            <w:vAlign w:val="center"/>
          </w:tcPr>
          <w:p w:rsidRPr="00FD3E88" w:rsidR="008F3AB1" w:rsidP="008F3AB1" w:rsidRDefault="008F3AB1" w14:paraId="599DE3C8" w14:textId="50CF665D">
            <w:pPr>
              <w:suppressAutoHyphens/>
              <w:jc w:val="right"/>
              <w:rPr>
                <w:rFonts w:ascii="Arial" w:hAnsi="Arial" w:cs="Arial"/>
                <w:sz w:val="20"/>
                <w:szCs w:val="20"/>
              </w:rPr>
            </w:pPr>
            <w:r w:rsidRPr="00FD3E88">
              <w:rPr>
                <w:rFonts w:ascii="Arial" w:hAnsi="Arial" w:cs="Arial"/>
                <w:sz w:val="20"/>
                <w:szCs w:val="20"/>
              </w:rPr>
              <w:t xml:space="preserve">Outside laboratory CO2 Test </w:t>
            </w:r>
          </w:p>
        </w:tc>
        <w:tc>
          <w:tcPr>
            <w:tcW w:w="1187" w:type="dxa"/>
            <w:vAlign w:val="center"/>
          </w:tcPr>
          <w:p w:rsidRPr="00FD3E88" w:rsidR="008F3AB1" w:rsidP="00CD524F" w:rsidRDefault="008F3AB1" w14:paraId="3AAF355E" w14:textId="79F51F1F">
            <w:pPr>
              <w:suppressAutoHyphens/>
              <w:jc w:val="right"/>
              <w:rPr>
                <w:rFonts w:ascii="Arial" w:hAnsi="Arial" w:cs="Arial"/>
                <w:sz w:val="20"/>
                <w:szCs w:val="20"/>
              </w:rPr>
            </w:pPr>
            <w:r w:rsidRPr="00FD3E88">
              <w:rPr>
                <w:rFonts w:ascii="Arial" w:hAnsi="Arial" w:cs="Arial"/>
                <w:sz w:val="20"/>
                <w:szCs w:val="20"/>
              </w:rPr>
              <w:t>$45</w:t>
            </w:r>
            <w:r w:rsidRPr="00FD3E88" w:rsidR="009226DF">
              <w:rPr>
                <w:rStyle w:val="FootnoteReference"/>
                <w:rFonts w:ascii="Arial" w:hAnsi="Arial" w:cs="Arial"/>
                <w:sz w:val="22"/>
                <w:szCs w:val="22"/>
              </w:rPr>
              <w:footnoteReference w:id="4"/>
            </w:r>
          </w:p>
        </w:tc>
        <w:tc>
          <w:tcPr>
            <w:tcW w:w="1664" w:type="dxa"/>
            <w:vAlign w:val="center"/>
          </w:tcPr>
          <w:p w:rsidRPr="00FD3E88" w:rsidR="008F3AB1" w:rsidP="00CD524F" w:rsidRDefault="008F3AB1" w14:paraId="19384ED1" w14:textId="6992AACC">
            <w:pPr>
              <w:suppressAutoHyphens/>
              <w:jc w:val="right"/>
              <w:rPr>
                <w:rFonts w:ascii="Arial" w:hAnsi="Arial" w:cs="Arial"/>
                <w:sz w:val="20"/>
                <w:szCs w:val="20"/>
              </w:rPr>
            </w:pPr>
            <w:r w:rsidRPr="00FD3E88">
              <w:rPr>
                <w:rFonts w:ascii="Arial" w:hAnsi="Arial" w:cs="Arial"/>
                <w:sz w:val="20"/>
                <w:szCs w:val="20"/>
              </w:rPr>
              <w:t xml:space="preserve">$1,125 </w:t>
            </w:r>
          </w:p>
        </w:tc>
        <w:tc>
          <w:tcPr>
            <w:tcW w:w="1718" w:type="dxa"/>
            <w:vAlign w:val="center"/>
          </w:tcPr>
          <w:p w:rsidRPr="00FD3E88" w:rsidR="008F3AB1" w:rsidP="009226DF" w:rsidRDefault="008F3AB1" w14:paraId="203475A1" w14:textId="5CBD493F">
            <w:pPr>
              <w:suppressAutoHyphens/>
              <w:jc w:val="right"/>
              <w:rPr>
                <w:rFonts w:ascii="Arial" w:hAnsi="Arial" w:cs="Arial"/>
                <w:sz w:val="20"/>
                <w:szCs w:val="20"/>
              </w:rPr>
            </w:pPr>
            <w:r w:rsidRPr="00FD3E88">
              <w:rPr>
                <w:rFonts w:ascii="Arial" w:hAnsi="Arial" w:cs="Arial"/>
                <w:sz w:val="20"/>
                <w:szCs w:val="20"/>
              </w:rPr>
              <w:t>$</w:t>
            </w:r>
            <w:r w:rsidRPr="00FD3E88" w:rsidR="009226DF">
              <w:rPr>
                <w:rFonts w:ascii="Arial" w:hAnsi="Arial" w:cs="Arial"/>
                <w:sz w:val="20"/>
                <w:szCs w:val="20"/>
              </w:rPr>
              <w:t>697,500</w:t>
            </w:r>
          </w:p>
        </w:tc>
      </w:tr>
      <w:tr w:rsidRPr="00FD3E88" w:rsidR="00FD3E88" w:rsidTr="00622244" w14:paraId="63C5B09D" w14:textId="77777777">
        <w:trPr>
          <w:trHeight w:val="432"/>
          <w:jc w:val="center"/>
        </w:trPr>
        <w:tc>
          <w:tcPr>
            <w:tcW w:w="3616" w:type="dxa"/>
            <w:tcBorders>
              <w:bottom w:val="single" w:color="auto" w:sz="2" w:space="0"/>
            </w:tcBorders>
            <w:vAlign w:val="center"/>
          </w:tcPr>
          <w:p w:rsidRPr="00FD3E88" w:rsidR="008F3AB1" w:rsidP="008F3AB1" w:rsidRDefault="008F3AB1" w14:paraId="3F89217A" w14:textId="6E506B86">
            <w:pPr>
              <w:suppressAutoHyphens/>
              <w:jc w:val="right"/>
              <w:rPr>
                <w:rFonts w:ascii="Arial" w:hAnsi="Arial" w:cs="Arial"/>
                <w:sz w:val="20"/>
                <w:szCs w:val="20"/>
              </w:rPr>
            </w:pPr>
            <w:r w:rsidRPr="00FD3E88">
              <w:rPr>
                <w:rFonts w:ascii="Arial" w:hAnsi="Arial" w:cs="Arial"/>
                <w:sz w:val="20"/>
                <w:szCs w:val="20"/>
              </w:rPr>
              <w:t xml:space="preserve">Shipping costs &amp; supplies </w:t>
            </w:r>
          </w:p>
        </w:tc>
        <w:tc>
          <w:tcPr>
            <w:tcW w:w="1187" w:type="dxa"/>
            <w:tcBorders>
              <w:bottom w:val="single" w:color="auto" w:sz="2" w:space="0"/>
            </w:tcBorders>
            <w:vAlign w:val="center"/>
          </w:tcPr>
          <w:p w:rsidRPr="00FD3E88" w:rsidR="008F3AB1" w:rsidP="00CD524F" w:rsidRDefault="008F3AB1" w14:paraId="6AD3FAD7" w14:textId="6B35F20C">
            <w:pPr>
              <w:suppressAutoHyphens/>
              <w:jc w:val="right"/>
              <w:rPr>
                <w:rFonts w:ascii="Arial" w:hAnsi="Arial" w:cs="Arial"/>
                <w:sz w:val="20"/>
                <w:szCs w:val="20"/>
              </w:rPr>
            </w:pPr>
            <w:r w:rsidRPr="00FD3E88">
              <w:rPr>
                <w:rFonts w:ascii="Arial" w:hAnsi="Arial" w:cs="Arial"/>
                <w:sz w:val="20"/>
                <w:szCs w:val="20"/>
              </w:rPr>
              <w:t>$20</w:t>
            </w:r>
          </w:p>
        </w:tc>
        <w:tc>
          <w:tcPr>
            <w:tcW w:w="1664" w:type="dxa"/>
            <w:tcBorders>
              <w:bottom w:val="single" w:color="auto" w:sz="2" w:space="0"/>
            </w:tcBorders>
            <w:vAlign w:val="center"/>
          </w:tcPr>
          <w:p w:rsidRPr="00FD3E88" w:rsidR="008F3AB1" w:rsidP="00CD524F" w:rsidRDefault="008F3AB1" w14:paraId="0AD62395" w14:textId="6E9F2825">
            <w:pPr>
              <w:suppressAutoHyphens/>
              <w:jc w:val="right"/>
              <w:rPr>
                <w:rFonts w:ascii="Arial" w:hAnsi="Arial" w:cs="Arial"/>
                <w:sz w:val="20"/>
                <w:szCs w:val="20"/>
              </w:rPr>
            </w:pPr>
            <w:r w:rsidRPr="00FD3E88">
              <w:rPr>
                <w:rFonts w:ascii="Arial" w:hAnsi="Arial" w:cs="Arial"/>
                <w:sz w:val="20"/>
                <w:szCs w:val="20"/>
              </w:rPr>
              <w:t xml:space="preserve">$500  </w:t>
            </w:r>
          </w:p>
        </w:tc>
        <w:tc>
          <w:tcPr>
            <w:tcW w:w="1718" w:type="dxa"/>
            <w:tcBorders>
              <w:bottom w:val="single" w:color="auto" w:sz="2" w:space="0"/>
            </w:tcBorders>
            <w:vAlign w:val="center"/>
          </w:tcPr>
          <w:p w:rsidRPr="00FD3E88" w:rsidR="008F3AB1" w:rsidP="009226DF" w:rsidRDefault="00660DE7" w14:paraId="541FD1EF" w14:textId="07EC9946">
            <w:pPr>
              <w:suppressAutoHyphens/>
              <w:jc w:val="right"/>
              <w:rPr>
                <w:rFonts w:ascii="Arial" w:hAnsi="Arial" w:cs="Arial"/>
                <w:sz w:val="20"/>
                <w:szCs w:val="20"/>
              </w:rPr>
            </w:pPr>
            <w:r w:rsidRPr="00FD3E88">
              <w:rPr>
                <w:rFonts w:ascii="Arial" w:hAnsi="Arial" w:cs="Arial"/>
                <w:sz w:val="20"/>
                <w:szCs w:val="20"/>
              </w:rPr>
              <w:t>$</w:t>
            </w:r>
            <w:r w:rsidRPr="00FD3E88" w:rsidR="009226DF">
              <w:rPr>
                <w:rFonts w:ascii="Arial" w:hAnsi="Arial" w:cs="Arial"/>
                <w:sz w:val="20"/>
                <w:szCs w:val="20"/>
              </w:rPr>
              <w:t>310,000</w:t>
            </w:r>
          </w:p>
        </w:tc>
      </w:tr>
      <w:tr w:rsidRPr="00FD3E88" w:rsidR="00FD3E88" w:rsidTr="00622244" w14:paraId="6E22AC6F" w14:textId="77777777">
        <w:trPr>
          <w:trHeight w:val="562"/>
          <w:jc w:val="center"/>
        </w:trPr>
        <w:tc>
          <w:tcPr>
            <w:tcW w:w="3616" w:type="dxa"/>
            <w:tcBorders>
              <w:top w:val="single" w:color="auto" w:sz="2" w:space="0"/>
              <w:left w:val="single" w:color="auto" w:sz="2" w:space="0"/>
              <w:bottom w:val="single" w:color="auto" w:sz="12" w:space="0"/>
              <w:right w:val="single" w:color="auto" w:sz="2" w:space="0"/>
            </w:tcBorders>
            <w:vAlign w:val="center"/>
          </w:tcPr>
          <w:p w:rsidRPr="00664F58" w:rsidR="008F3AB1" w:rsidP="00664F58" w:rsidRDefault="008F3AB1" w14:paraId="32155B5E" w14:textId="6409A849">
            <w:pPr>
              <w:suppressAutoHyphens/>
              <w:jc w:val="right"/>
              <w:rPr>
                <w:rFonts w:ascii="Arial" w:hAnsi="Arial" w:cs="Arial"/>
                <w:b/>
                <w:sz w:val="20"/>
                <w:szCs w:val="20"/>
              </w:rPr>
            </w:pPr>
            <w:r w:rsidRPr="00664F58">
              <w:rPr>
                <w:rFonts w:ascii="Arial" w:hAnsi="Arial" w:cs="Arial"/>
                <w:b/>
                <w:sz w:val="20"/>
                <w:szCs w:val="20"/>
              </w:rPr>
              <w:t>Total</w:t>
            </w:r>
            <w:r w:rsidRPr="00664F58" w:rsidR="00664F58">
              <w:rPr>
                <w:rFonts w:ascii="Arial" w:hAnsi="Arial" w:cs="Arial"/>
                <w:b/>
                <w:sz w:val="20"/>
                <w:szCs w:val="20"/>
              </w:rPr>
              <w:t xml:space="preserve"> Annualized Costs</w:t>
            </w:r>
            <w:r w:rsidRPr="00664F58">
              <w:rPr>
                <w:rFonts w:ascii="Arial" w:hAnsi="Arial" w:cs="Arial"/>
                <w:b/>
                <w:sz w:val="20"/>
                <w:szCs w:val="20"/>
              </w:rPr>
              <w:t xml:space="preserve"> for 620 Respondents Using Outside Labs</w:t>
            </w:r>
          </w:p>
        </w:tc>
        <w:tc>
          <w:tcPr>
            <w:tcW w:w="1187" w:type="dxa"/>
            <w:tcBorders>
              <w:top w:val="single" w:color="auto" w:sz="2" w:space="0"/>
              <w:left w:val="single" w:color="auto" w:sz="2" w:space="0"/>
              <w:bottom w:val="single" w:color="auto" w:sz="12" w:space="0"/>
              <w:right w:val="single" w:color="auto" w:sz="2" w:space="0"/>
            </w:tcBorders>
            <w:vAlign w:val="center"/>
          </w:tcPr>
          <w:p w:rsidRPr="00664F58" w:rsidR="008F3AB1" w:rsidP="009C078D" w:rsidRDefault="008F3AB1" w14:paraId="14E8E0B1" w14:textId="43FBDA67">
            <w:pPr>
              <w:suppressAutoHyphens/>
              <w:jc w:val="right"/>
              <w:rPr>
                <w:rFonts w:ascii="Arial" w:hAnsi="Arial" w:cs="Arial"/>
                <w:b/>
                <w:sz w:val="20"/>
                <w:szCs w:val="20"/>
              </w:rPr>
            </w:pPr>
            <w:r w:rsidRPr="00664F58">
              <w:rPr>
                <w:rFonts w:ascii="Arial" w:hAnsi="Arial" w:cs="Arial"/>
                <w:b/>
                <w:sz w:val="20"/>
                <w:szCs w:val="20"/>
              </w:rPr>
              <w:t>$65</w:t>
            </w:r>
          </w:p>
        </w:tc>
        <w:tc>
          <w:tcPr>
            <w:tcW w:w="1664" w:type="dxa"/>
            <w:tcBorders>
              <w:top w:val="single" w:color="auto" w:sz="2" w:space="0"/>
              <w:left w:val="single" w:color="auto" w:sz="2" w:space="0"/>
              <w:bottom w:val="single" w:color="auto" w:sz="12" w:space="0"/>
              <w:right w:val="single" w:color="auto" w:sz="2" w:space="0"/>
            </w:tcBorders>
            <w:vAlign w:val="center"/>
          </w:tcPr>
          <w:p w:rsidRPr="00664F58" w:rsidR="008F3AB1" w:rsidP="009C078D" w:rsidRDefault="008F3AB1" w14:paraId="785EE0F0" w14:textId="7E50BD41">
            <w:pPr>
              <w:suppressAutoHyphens/>
              <w:jc w:val="right"/>
              <w:rPr>
                <w:rFonts w:ascii="Arial" w:hAnsi="Arial" w:cs="Arial"/>
                <w:b/>
                <w:sz w:val="20"/>
                <w:szCs w:val="20"/>
              </w:rPr>
            </w:pPr>
            <w:r w:rsidRPr="00664F58">
              <w:rPr>
                <w:rFonts w:ascii="Arial" w:hAnsi="Arial" w:cs="Arial"/>
                <w:b/>
                <w:sz w:val="20"/>
                <w:szCs w:val="20"/>
              </w:rPr>
              <w:t>$1,625</w:t>
            </w:r>
          </w:p>
        </w:tc>
        <w:tc>
          <w:tcPr>
            <w:tcW w:w="1718" w:type="dxa"/>
            <w:tcBorders>
              <w:top w:val="single" w:color="auto" w:sz="2" w:space="0"/>
              <w:left w:val="single" w:color="auto" w:sz="2" w:space="0"/>
              <w:bottom w:val="single" w:color="auto" w:sz="12" w:space="0"/>
              <w:right w:val="single" w:color="auto" w:sz="2" w:space="0"/>
            </w:tcBorders>
            <w:vAlign w:val="center"/>
          </w:tcPr>
          <w:p w:rsidRPr="00664F58" w:rsidR="008F3AB1" w:rsidP="009C078D" w:rsidRDefault="009226DF" w14:paraId="6AE85570" w14:textId="249B0909">
            <w:pPr>
              <w:suppressAutoHyphens/>
              <w:jc w:val="right"/>
              <w:rPr>
                <w:rFonts w:ascii="Arial" w:hAnsi="Arial" w:cs="Arial"/>
                <w:b/>
                <w:sz w:val="20"/>
                <w:szCs w:val="20"/>
              </w:rPr>
            </w:pPr>
            <w:r w:rsidRPr="00664F58">
              <w:rPr>
                <w:rFonts w:ascii="Arial" w:hAnsi="Arial" w:cs="Arial"/>
                <w:b/>
                <w:sz w:val="20"/>
                <w:szCs w:val="20"/>
              </w:rPr>
              <w:t>$1,007,500</w:t>
            </w:r>
          </w:p>
        </w:tc>
      </w:tr>
      <w:tr w:rsidRPr="00FD3E88" w:rsidR="00FD3E88" w:rsidTr="00622244" w14:paraId="5E6B127A" w14:textId="77777777">
        <w:trPr>
          <w:trHeight w:val="537"/>
          <w:jc w:val="center"/>
        </w:trPr>
        <w:tc>
          <w:tcPr>
            <w:tcW w:w="3616" w:type="dxa"/>
            <w:tcBorders>
              <w:top w:val="single" w:color="auto" w:sz="12" w:space="0"/>
              <w:bottom w:val="single" w:color="auto" w:sz="2" w:space="0"/>
            </w:tcBorders>
            <w:vAlign w:val="center"/>
          </w:tcPr>
          <w:p w:rsidRPr="00664F58" w:rsidR="008F3AB1" w:rsidP="009C078D" w:rsidRDefault="009226DF" w14:paraId="433E1D2E" w14:textId="1F7A31F3">
            <w:pPr>
              <w:suppressAutoHyphens/>
              <w:jc w:val="right"/>
              <w:rPr>
                <w:rFonts w:ascii="Arial" w:hAnsi="Arial" w:cs="Arial"/>
                <w:b/>
                <w:i/>
                <w:sz w:val="20"/>
                <w:szCs w:val="20"/>
              </w:rPr>
            </w:pPr>
            <w:r w:rsidRPr="00664F58">
              <w:rPr>
                <w:rFonts w:ascii="Arial" w:hAnsi="Arial" w:cs="Arial"/>
                <w:b/>
                <w:i/>
                <w:sz w:val="20"/>
                <w:szCs w:val="20"/>
              </w:rPr>
              <w:t xml:space="preserve">TOTAL </w:t>
            </w:r>
            <w:r w:rsidRPr="00664F58" w:rsidR="002535A4">
              <w:rPr>
                <w:rFonts w:ascii="Arial" w:hAnsi="Arial" w:cs="Arial"/>
                <w:b/>
                <w:i/>
                <w:sz w:val="20"/>
                <w:szCs w:val="20"/>
              </w:rPr>
              <w:t xml:space="preserve">ANNUALIZED </w:t>
            </w:r>
            <w:r w:rsidRPr="00664F58">
              <w:rPr>
                <w:rFonts w:ascii="Arial" w:hAnsi="Arial" w:cs="Arial"/>
                <w:b/>
                <w:i/>
                <w:sz w:val="20"/>
                <w:szCs w:val="20"/>
              </w:rPr>
              <w:t>COST</w:t>
            </w:r>
            <w:r w:rsidRPr="00664F58" w:rsidR="002535A4">
              <w:rPr>
                <w:rFonts w:ascii="Arial" w:hAnsi="Arial" w:cs="Arial"/>
                <w:b/>
                <w:i/>
                <w:sz w:val="20"/>
                <w:szCs w:val="20"/>
              </w:rPr>
              <w:t>S</w:t>
            </w:r>
            <w:r w:rsidRPr="00664F58">
              <w:rPr>
                <w:rFonts w:ascii="Arial" w:hAnsi="Arial" w:cs="Arial"/>
                <w:b/>
                <w:i/>
                <w:sz w:val="20"/>
                <w:szCs w:val="20"/>
              </w:rPr>
              <w:t xml:space="preserve"> FOR 820 RESPONDENTS: </w:t>
            </w:r>
          </w:p>
        </w:tc>
        <w:tc>
          <w:tcPr>
            <w:tcW w:w="1187" w:type="dxa"/>
            <w:tcBorders>
              <w:top w:val="single" w:color="auto" w:sz="12" w:space="0"/>
              <w:bottom w:val="single" w:color="auto" w:sz="2" w:space="0"/>
            </w:tcBorders>
            <w:vAlign w:val="center"/>
          </w:tcPr>
          <w:p w:rsidRPr="00664F58" w:rsidR="008F3AB1" w:rsidP="00622244" w:rsidRDefault="009226DF" w14:paraId="46CFAE28" w14:textId="400DF4CD">
            <w:pPr>
              <w:suppressAutoHyphens/>
              <w:jc w:val="right"/>
              <w:rPr>
                <w:rFonts w:ascii="Arial" w:hAnsi="Arial" w:cs="Arial"/>
                <w:b/>
                <w:i/>
                <w:sz w:val="18"/>
                <w:szCs w:val="18"/>
              </w:rPr>
            </w:pPr>
            <w:r w:rsidRPr="00664F58">
              <w:rPr>
                <w:rFonts w:ascii="Arial" w:hAnsi="Arial" w:cs="Arial"/>
                <w:b/>
                <w:i/>
                <w:sz w:val="18"/>
                <w:szCs w:val="18"/>
              </w:rPr>
              <w:t>($109.39)</w:t>
            </w:r>
            <w:r w:rsidR="00C3085C">
              <w:rPr>
                <w:rFonts w:ascii="Arial" w:hAnsi="Arial" w:cs="Arial"/>
                <w:b/>
                <w:i/>
                <w:sz w:val="18"/>
                <w:szCs w:val="18"/>
              </w:rPr>
              <w:t xml:space="preserve">* </w:t>
            </w:r>
          </w:p>
        </w:tc>
        <w:tc>
          <w:tcPr>
            <w:tcW w:w="1664" w:type="dxa"/>
            <w:tcBorders>
              <w:top w:val="single" w:color="auto" w:sz="12" w:space="0"/>
              <w:bottom w:val="single" w:color="auto" w:sz="2" w:space="0"/>
            </w:tcBorders>
            <w:vAlign w:val="center"/>
          </w:tcPr>
          <w:p w:rsidRPr="00664F58" w:rsidR="008F3AB1" w:rsidP="00C3085C" w:rsidRDefault="009226DF" w14:paraId="40F2351E" w14:textId="66194022">
            <w:pPr>
              <w:suppressAutoHyphens/>
              <w:jc w:val="right"/>
              <w:rPr>
                <w:rFonts w:ascii="Arial" w:hAnsi="Arial" w:cs="Arial"/>
                <w:b/>
                <w:i/>
                <w:sz w:val="18"/>
                <w:szCs w:val="18"/>
              </w:rPr>
            </w:pPr>
            <w:r w:rsidRPr="00664F58">
              <w:rPr>
                <w:rFonts w:ascii="Arial" w:hAnsi="Arial" w:cs="Arial"/>
                <w:b/>
                <w:i/>
                <w:sz w:val="18"/>
                <w:szCs w:val="18"/>
              </w:rPr>
              <w:t>($2,734.7</w:t>
            </w:r>
            <w:r w:rsidR="00622244">
              <w:rPr>
                <w:rFonts w:ascii="Arial" w:hAnsi="Arial" w:cs="Arial"/>
                <w:b/>
                <w:i/>
                <w:sz w:val="18"/>
                <w:szCs w:val="18"/>
              </w:rPr>
              <w:t>6</w:t>
            </w:r>
            <w:r w:rsidR="00C3085C">
              <w:rPr>
                <w:rFonts w:ascii="Arial" w:hAnsi="Arial" w:cs="Arial"/>
                <w:b/>
                <w:i/>
                <w:sz w:val="18"/>
                <w:szCs w:val="18"/>
              </w:rPr>
              <w:t xml:space="preserve">)* </w:t>
            </w:r>
          </w:p>
        </w:tc>
        <w:tc>
          <w:tcPr>
            <w:tcW w:w="1718" w:type="dxa"/>
            <w:tcBorders>
              <w:top w:val="single" w:color="auto" w:sz="12" w:space="0"/>
              <w:bottom w:val="single" w:color="auto" w:sz="2" w:space="0"/>
            </w:tcBorders>
            <w:vAlign w:val="center"/>
          </w:tcPr>
          <w:p w:rsidRPr="00664F58" w:rsidR="008F3AB1" w:rsidP="009C078D" w:rsidRDefault="009226DF" w14:paraId="26EC9DB6" w14:textId="764271EE">
            <w:pPr>
              <w:suppressAutoHyphens/>
              <w:jc w:val="right"/>
              <w:rPr>
                <w:rFonts w:ascii="Arial" w:hAnsi="Arial" w:cs="Arial"/>
                <w:b/>
                <w:i/>
                <w:sz w:val="20"/>
                <w:szCs w:val="20"/>
              </w:rPr>
            </w:pPr>
            <w:r w:rsidRPr="00664F58">
              <w:rPr>
                <w:rFonts w:ascii="Arial" w:hAnsi="Arial" w:cs="Arial"/>
                <w:b/>
                <w:i/>
                <w:sz w:val="20"/>
                <w:szCs w:val="20"/>
              </w:rPr>
              <w:t>$2,242,500</w:t>
            </w:r>
          </w:p>
        </w:tc>
      </w:tr>
    </w:tbl>
    <w:p w:rsidRPr="00C3085C" w:rsidR="009C078D" w:rsidP="000E68C5" w:rsidRDefault="00C3085C" w14:paraId="0891B66F" w14:textId="67891058">
      <w:pPr>
        <w:suppressAutoHyphens/>
        <w:ind w:left="360"/>
        <w:rPr>
          <w:rFonts w:ascii="Arial" w:hAnsi="Arial" w:cs="Arial"/>
          <w:sz w:val="18"/>
          <w:szCs w:val="18"/>
        </w:rPr>
      </w:pPr>
      <w:r>
        <w:rPr>
          <w:rFonts w:ascii="Arial" w:hAnsi="Arial" w:cs="Arial"/>
          <w:sz w:val="22"/>
          <w:szCs w:val="22"/>
        </w:rPr>
        <w:tab/>
        <w:t xml:space="preserve">* </w:t>
      </w:r>
      <w:r>
        <w:rPr>
          <w:rFonts w:ascii="Arial" w:hAnsi="Arial" w:cs="Arial"/>
          <w:sz w:val="18"/>
          <w:szCs w:val="18"/>
        </w:rPr>
        <w:t xml:space="preserve">Averages rounded to the nearest cent. </w:t>
      </w:r>
    </w:p>
    <w:p w:rsidRPr="00FD3E88" w:rsidR="00C3085C" w:rsidP="000E68C5" w:rsidRDefault="00C3085C" w14:paraId="7CE4FE0E" w14:textId="77777777">
      <w:pPr>
        <w:suppressAutoHyphens/>
        <w:ind w:left="360"/>
        <w:rPr>
          <w:rFonts w:ascii="Arial" w:hAnsi="Arial" w:cs="Arial"/>
          <w:sz w:val="22"/>
          <w:szCs w:val="22"/>
        </w:rPr>
      </w:pPr>
    </w:p>
    <w:p w:rsidRPr="00FD3E88" w:rsidR="009C078D" w:rsidP="000E68C5" w:rsidRDefault="002535A4" w14:paraId="7AC1EF8E" w14:textId="4358D5A4">
      <w:pPr>
        <w:suppressAutoHyphens/>
        <w:ind w:left="360"/>
        <w:rPr>
          <w:rFonts w:ascii="Arial" w:hAnsi="Arial" w:cs="Arial"/>
          <w:sz w:val="22"/>
          <w:szCs w:val="22"/>
        </w:rPr>
      </w:pPr>
      <w:r w:rsidRPr="00FD3E88">
        <w:rPr>
          <w:rFonts w:ascii="Arial" w:hAnsi="Arial" w:cs="Arial"/>
          <w:sz w:val="22"/>
          <w:szCs w:val="22"/>
        </w:rPr>
        <w:t xml:space="preserve">TTB believes that the </w:t>
      </w:r>
      <w:r w:rsidRPr="00FD3E88" w:rsidR="00FD3E88">
        <w:rPr>
          <w:rFonts w:ascii="Arial" w:hAnsi="Arial" w:cs="Arial"/>
          <w:sz w:val="22"/>
          <w:szCs w:val="22"/>
        </w:rPr>
        <w:t xml:space="preserve">start-up and annualized </w:t>
      </w:r>
      <w:r w:rsidRPr="00FD3E88">
        <w:rPr>
          <w:rFonts w:ascii="Arial" w:hAnsi="Arial" w:cs="Arial"/>
          <w:sz w:val="22"/>
          <w:szCs w:val="22"/>
        </w:rPr>
        <w:t xml:space="preserve">costs </w:t>
      </w:r>
      <w:r w:rsidR="00C3085C">
        <w:rPr>
          <w:rFonts w:ascii="Arial" w:hAnsi="Arial" w:cs="Arial"/>
          <w:sz w:val="22"/>
          <w:szCs w:val="22"/>
        </w:rPr>
        <w:t xml:space="preserve">shown above likely are </w:t>
      </w:r>
      <w:r w:rsidRPr="00FD3E88">
        <w:rPr>
          <w:rFonts w:ascii="Arial" w:hAnsi="Arial" w:cs="Arial"/>
          <w:sz w:val="22"/>
          <w:szCs w:val="22"/>
        </w:rPr>
        <w:t xml:space="preserve">lower than estimated as many respondents with in-house laboratories already have the required equipment and purchase many of the required supplies as part of a usual and customary quality control and product testing program.  </w:t>
      </w:r>
      <w:r w:rsidRPr="00FD3E88" w:rsidR="00FD3E88">
        <w:rPr>
          <w:rFonts w:ascii="Arial" w:hAnsi="Arial" w:cs="Arial"/>
          <w:sz w:val="22"/>
          <w:szCs w:val="22"/>
        </w:rPr>
        <w:t>TTB also believes that many r</w:t>
      </w:r>
      <w:r w:rsidRPr="00FD3E88">
        <w:rPr>
          <w:rFonts w:ascii="Arial" w:hAnsi="Arial" w:cs="Arial"/>
          <w:sz w:val="22"/>
          <w:szCs w:val="22"/>
        </w:rPr>
        <w:t xml:space="preserve">espondents using outside laboratories already send product samples for testing </w:t>
      </w:r>
      <w:r w:rsidRPr="00FD3E88" w:rsidR="00FD3E88">
        <w:rPr>
          <w:rFonts w:ascii="Arial" w:hAnsi="Arial" w:cs="Arial"/>
          <w:sz w:val="22"/>
          <w:szCs w:val="22"/>
        </w:rPr>
        <w:t xml:space="preserve">as part of a usual and customary quality control and product testing program. </w:t>
      </w:r>
    </w:p>
    <w:p w:rsidRPr="00FD3E88" w:rsidR="00AF1157" w:rsidP="000E68C5" w:rsidRDefault="00AF1157" w14:paraId="239143A5" w14:textId="77777777">
      <w:pPr>
        <w:suppressAutoHyphens/>
        <w:rPr>
          <w:rFonts w:ascii="Arial" w:hAnsi="Arial" w:cs="Arial"/>
          <w:sz w:val="36"/>
          <w:szCs w:val="36"/>
        </w:rPr>
      </w:pPr>
    </w:p>
    <w:p w:rsidR="00C3085C" w:rsidRDefault="00C3085C" w14:paraId="0B0D3862" w14:textId="77777777">
      <w:pPr>
        <w:rPr>
          <w:rFonts w:ascii="Arial" w:hAnsi="Arial" w:cs="Arial"/>
          <w:i/>
          <w:sz w:val="22"/>
          <w:szCs w:val="22"/>
        </w:rPr>
      </w:pPr>
      <w:r>
        <w:rPr>
          <w:rFonts w:ascii="Arial" w:hAnsi="Arial" w:cs="Arial"/>
          <w:i/>
          <w:sz w:val="22"/>
          <w:szCs w:val="22"/>
        </w:rPr>
        <w:br w:type="page"/>
      </w:r>
    </w:p>
    <w:p w:rsidRPr="00FD3E88" w:rsidR="00AF1157" w:rsidP="000E68C5" w:rsidRDefault="00AF060A" w14:paraId="16DCDC3F" w14:textId="77B58DC8">
      <w:pPr>
        <w:suppressAutoHyphens/>
        <w:ind w:left="360" w:hanging="360"/>
        <w:rPr>
          <w:rFonts w:ascii="Arial" w:hAnsi="Arial" w:cs="Arial"/>
          <w:i/>
          <w:sz w:val="22"/>
          <w:szCs w:val="22"/>
        </w:rPr>
      </w:pPr>
      <w:r w:rsidRPr="00FD3E88">
        <w:rPr>
          <w:rFonts w:ascii="Arial" w:hAnsi="Arial" w:cs="Arial"/>
          <w:i/>
          <w:sz w:val="22"/>
          <w:szCs w:val="22"/>
        </w:rPr>
        <w:lastRenderedPageBreak/>
        <w:t xml:space="preserve">14.  </w:t>
      </w:r>
      <w:r w:rsidRPr="00FD3E88" w:rsidR="00AF1157">
        <w:rPr>
          <w:rFonts w:ascii="Arial" w:hAnsi="Arial" w:cs="Arial"/>
          <w:i/>
          <w:sz w:val="22"/>
          <w:szCs w:val="22"/>
        </w:rPr>
        <w:t>What is the annualized cost to the Federal Government?</w:t>
      </w:r>
      <w:r w:rsidRPr="00FD3E88">
        <w:rPr>
          <w:rFonts w:ascii="Arial" w:hAnsi="Arial" w:cs="Arial"/>
          <w:i/>
          <w:sz w:val="22"/>
          <w:szCs w:val="22"/>
        </w:rPr>
        <w:t xml:space="preserve"> </w:t>
      </w:r>
    </w:p>
    <w:p w:rsidRPr="00FD3E88" w:rsidR="00AF1157" w:rsidP="000E68C5" w:rsidRDefault="00AF1157" w14:paraId="31FA256B" w14:textId="77777777">
      <w:pPr>
        <w:suppressAutoHyphens/>
        <w:ind w:left="480" w:hanging="480"/>
        <w:rPr>
          <w:rFonts w:ascii="Arial" w:hAnsi="Arial" w:cs="Arial"/>
          <w:sz w:val="22"/>
          <w:szCs w:val="22"/>
        </w:rPr>
      </w:pPr>
    </w:p>
    <w:p w:rsidRPr="0069718A" w:rsidR="00AF1157" w:rsidP="009618DF" w:rsidRDefault="004C069E" w14:paraId="647A4D1D" w14:textId="48122C1E">
      <w:pPr>
        <w:ind w:left="360"/>
        <w:rPr>
          <w:rFonts w:ascii="Arial" w:hAnsi="Arial" w:cs="Arial"/>
          <w:sz w:val="22"/>
          <w:szCs w:val="22"/>
        </w:rPr>
      </w:pPr>
      <w:r w:rsidRPr="007022A1">
        <w:rPr>
          <w:rFonts w:ascii="Arial" w:hAnsi="Arial" w:cs="Arial"/>
          <w:sz w:val="22"/>
          <w:szCs w:val="22"/>
        </w:rPr>
        <w:t xml:space="preserve">There is no </w:t>
      </w:r>
      <w:r w:rsidR="00C90463">
        <w:rPr>
          <w:rFonts w:ascii="Arial" w:hAnsi="Arial" w:cs="Arial"/>
          <w:sz w:val="22"/>
          <w:szCs w:val="22"/>
        </w:rPr>
        <w:t xml:space="preserve">annualized </w:t>
      </w:r>
      <w:r w:rsidRPr="007022A1">
        <w:rPr>
          <w:rFonts w:ascii="Arial" w:hAnsi="Arial" w:cs="Arial"/>
          <w:sz w:val="22"/>
          <w:szCs w:val="22"/>
        </w:rPr>
        <w:t xml:space="preserve">cost to the Federal Government for this information collection, which </w:t>
      </w:r>
      <w:r w:rsidR="00C90463">
        <w:rPr>
          <w:rFonts w:ascii="Arial" w:hAnsi="Arial" w:cs="Arial"/>
          <w:sz w:val="22"/>
          <w:szCs w:val="22"/>
        </w:rPr>
        <w:t xml:space="preserve">consists of records kept and </w:t>
      </w:r>
      <w:r w:rsidR="00EA4927">
        <w:rPr>
          <w:rFonts w:ascii="Arial" w:hAnsi="Arial" w:cs="Arial"/>
          <w:sz w:val="22"/>
          <w:szCs w:val="22"/>
        </w:rPr>
        <w:t xml:space="preserve">maintained by </w:t>
      </w:r>
      <w:r w:rsidR="00C90463">
        <w:rPr>
          <w:rFonts w:ascii="Arial" w:hAnsi="Arial" w:cs="Arial"/>
          <w:sz w:val="22"/>
          <w:szCs w:val="22"/>
        </w:rPr>
        <w:t xml:space="preserve">respondents </w:t>
      </w:r>
      <w:r w:rsidR="00EA4927">
        <w:rPr>
          <w:rFonts w:ascii="Arial" w:hAnsi="Arial" w:cs="Arial"/>
          <w:sz w:val="22"/>
          <w:szCs w:val="22"/>
        </w:rPr>
        <w:t xml:space="preserve">at their business premises. </w:t>
      </w:r>
    </w:p>
    <w:p w:rsidRPr="00A5320B" w:rsidR="00D6325C" w:rsidP="000E68C5" w:rsidRDefault="00D6325C" w14:paraId="42ED4A2B" w14:textId="77777777">
      <w:pPr>
        <w:rPr>
          <w:rFonts w:ascii="Arial" w:hAnsi="Arial" w:cs="Arial"/>
          <w:sz w:val="36"/>
          <w:szCs w:val="36"/>
        </w:rPr>
      </w:pPr>
    </w:p>
    <w:p w:rsidRPr="00FD3E88" w:rsidR="004C069E" w:rsidP="000E68C5" w:rsidRDefault="00AF060A" w14:paraId="24433E65" w14:textId="180CA141">
      <w:pPr>
        <w:suppressAutoHyphens/>
        <w:rPr>
          <w:rFonts w:ascii="Arial" w:hAnsi="Arial" w:cs="Arial"/>
          <w:i/>
          <w:sz w:val="22"/>
          <w:szCs w:val="22"/>
        </w:rPr>
      </w:pPr>
      <w:r w:rsidRPr="00FD3E88">
        <w:rPr>
          <w:rFonts w:ascii="Arial" w:hAnsi="Arial" w:cs="Arial"/>
          <w:i/>
          <w:sz w:val="22"/>
          <w:szCs w:val="22"/>
        </w:rPr>
        <w:t xml:space="preserve">15.  </w:t>
      </w:r>
      <w:r w:rsidRPr="00FD3E88" w:rsidR="00AF1157">
        <w:rPr>
          <w:rFonts w:ascii="Arial" w:hAnsi="Arial" w:cs="Arial"/>
          <w:i/>
          <w:sz w:val="22"/>
          <w:szCs w:val="22"/>
        </w:rPr>
        <w:t>What is the reason for any program changes or adjustments reported?</w:t>
      </w:r>
      <w:r w:rsidRPr="00FD3E88" w:rsidR="00FD3E88">
        <w:rPr>
          <w:rFonts w:ascii="Arial" w:hAnsi="Arial" w:cs="Arial"/>
          <w:i/>
          <w:sz w:val="22"/>
          <w:szCs w:val="22"/>
        </w:rPr>
        <w:t xml:space="preserve"> </w:t>
      </w:r>
    </w:p>
    <w:p w:rsidRPr="00FD3E88" w:rsidR="004C069E" w:rsidP="000E68C5" w:rsidRDefault="004C069E" w14:paraId="42BD7C50" w14:textId="77777777">
      <w:pPr>
        <w:suppressAutoHyphens/>
        <w:rPr>
          <w:rFonts w:ascii="Arial" w:hAnsi="Arial" w:cs="Arial"/>
          <w:i/>
          <w:sz w:val="22"/>
          <w:szCs w:val="22"/>
        </w:rPr>
      </w:pPr>
    </w:p>
    <w:p w:rsidRPr="00FD3E88" w:rsidR="00FD3E88" w:rsidP="00EA4927" w:rsidRDefault="00FD3E88" w14:paraId="1EAF7E00" w14:textId="1BED9133">
      <w:pPr>
        <w:ind w:left="360"/>
        <w:rPr>
          <w:rFonts w:ascii="Arial" w:hAnsi="Arial" w:cs="Arial"/>
          <w:sz w:val="22"/>
          <w:szCs w:val="22"/>
        </w:rPr>
      </w:pPr>
      <w:r w:rsidRPr="00FD3E88">
        <w:rPr>
          <w:rFonts w:ascii="Arial" w:hAnsi="Arial" w:cs="Arial"/>
          <w:sz w:val="22"/>
          <w:szCs w:val="22"/>
        </w:rPr>
        <w:t xml:space="preserve">There are no program changes associated with this information collection.  As for adjustments, due to changes in agency estimates resulting from continued growth in the number of hard cider producers in the United States, TTB is increasing the </w:t>
      </w:r>
      <w:r w:rsidR="00664F58">
        <w:rPr>
          <w:rFonts w:ascii="Arial" w:hAnsi="Arial" w:cs="Arial"/>
          <w:sz w:val="22"/>
          <w:szCs w:val="22"/>
        </w:rPr>
        <w:t xml:space="preserve">estimated number of </w:t>
      </w:r>
      <w:r w:rsidRPr="00FD3E88">
        <w:rPr>
          <w:rFonts w:ascii="Arial" w:hAnsi="Arial" w:cs="Arial"/>
          <w:sz w:val="22"/>
          <w:szCs w:val="22"/>
        </w:rPr>
        <w:t xml:space="preserve">annual respondents </w:t>
      </w:r>
      <w:r w:rsidR="00664F58">
        <w:rPr>
          <w:rFonts w:ascii="Arial" w:hAnsi="Arial" w:cs="Arial"/>
          <w:sz w:val="22"/>
          <w:szCs w:val="22"/>
        </w:rPr>
        <w:t xml:space="preserve">to this information collection, </w:t>
      </w:r>
      <w:r w:rsidRPr="00FD3E88">
        <w:rPr>
          <w:rFonts w:ascii="Arial" w:hAnsi="Arial" w:cs="Arial"/>
          <w:sz w:val="22"/>
          <w:szCs w:val="22"/>
        </w:rPr>
        <w:t>from 548 to 820</w:t>
      </w:r>
      <w:r w:rsidR="00664F58">
        <w:rPr>
          <w:rFonts w:ascii="Arial" w:hAnsi="Arial" w:cs="Arial"/>
          <w:sz w:val="22"/>
          <w:szCs w:val="22"/>
        </w:rPr>
        <w:t xml:space="preserve">.  In turn, this increases this collection’s estimated number of annual </w:t>
      </w:r>
      <w:r w:rsidRPr="00FD3E88">
        <w:rPr>
          <w:rFonts w:ascii="Arial" w:hAnsi="Arial" w:cs="Arial"/>
          <w:sz w:val="22"/>
          <w:szCs w:val="22"/>
        </w:rPr>
        <w:t>responses</w:t>
      </w:r>
      <w:r w:rsidR="00664F58">
        <w:rPr>
          <w:rFonts w:ascii="Arial" w:hAnsi="Arial" w:cs="Arial"/>
          <w:sz w:val="22"/>
          <w:szCs w:val="22"/>
        </w:rPr>
        <w:t>, f</w:t>
      </w:r>
      <w:r w:rsidRPr="00FD3E88">
        <w:rPr>
          <w:rFonts w:ascii="Arial" w:hAnsi="Arial" w:cs="Arial"/>
          <w:sz w:val="22"/>
          <w:szCs w:val="22"/>
        </w:rPr>
        <w:t xml:space="preserve">rom 13,700 to 20,500, and </w:t>
      </w:r>
      <w:r w:rsidR="00664F58">
        <w:rPr>
          <w:rFonts w:ascii="Arial" w:hAnsi="Arial" w:cs="Arial"/>
          <w:sz w:val="22"/>
          <w:szCs w:val="22"/>
        </w:rPr>
        <w:t xml:space="preserve">the </w:t>
      </w:r>
      <w:r w:rsidRPr="00FD3E88">
        <w:rPr>
          <w:rFonts w:ascii="Arial" w:hAnsi="Arial" w:cs="Arial"/>
          <w:sz w:val="22"/>
          <w:szCs w:val="22"/>
        </w:rPr>
        <w:t>burden hours</w:t>
      </w:r>
      <w:r w:rsidR="00664F58">
        <w:rPr>
          <w:rFonts w:ascii="Arial" w:hAnsi="Arial" w:cs="Arial"/>
          <w:sz w:val="22"/>
          <w:szCs w:val="22"/>
        </w:rPr>
        <w:t xml:space="preserve">, </w:t>
      </w:r>
      <w:r w:rsidRPr="00FD3E88">
        <w:rPr>
          <w:rFonts w:ascii="Arial" w:hAnsi="Arial" w:cs="Arial"/>
          <w:sz w:val="22"/>
          <w:szCs w:val="22"/>
        </w:rPr>
        <w:t>from 58,225 to 87,125</w:t>
      </w:r>
      <w:r w:rsidR="00664F58">
        <w:rPr>
          <w:rFonts w:ascii="Arial" w:hAnsi="Arial" w:cs="Arial"/>
          <w:sz w:val="22"/>
          <w:szCs w:val="22"/>
        </w:rPr>
        <w:t>.  In addition, TTB is now accounting for</w:t>
      </w:r>
      <w:r w:rsidR="00B05676">
        <w:rPr>
          <w:rFonts w:ascii="Arial" w:hAnsi="Arial" w:cs="Arial"/>
          <w:sz w:val="22"/>
          <w:szCs w:val="22"/>
        </w:rPr>
        <w:t>, and is increasing due to changes in agency estimates</w:t>
      </w:r>
      <w:r w:rsidR="00664F58">
        <w:rPr>
          <w:rFonts w:ascii="Arial" w:hAnsi="Arial" w:cs="Arial"/>
          <w:sz w:val="22"/>
          <w:szCs w:val="22"/>
        </w:rPr>
        <w:t xml:space="preserve">, the estimated annualized costs to respondents associated with this information collection.  </w:t>
      </w:r>
      <w:r w:rsidR="00B05676">
        <w:rPr>
          <w:rFonts w:ascii="Arial" w:hAnsi="Arial" w:cs="Arial"/>
          <w:sz w:val="22"/>
          <w:szCs w:val="22"/>
        </w:rPr>
        <w:t>As such, TTB is increasing its annualized respondent cost estimate from $1,716,740 to $</w:t>
      </w:r>
      <w:r w:rsidRPr="00B05676" w:rsidR="00B05676">
        <w:rPr>
          <w:rFonts w:ascii="Arial" w:hAnsi="Arial" w:cs="Arial"/>
          <w:sz w:val="22"/>
          <w:szCs w:val="22"/>
        </w:rPr>
        <w:t>2,242,500</w:t>
      </w:r>
      <w:r w:rsidR="00B05676">
        <w:rPr>
          <w:rFonts w:ascii="Arial" w:hAnsi="Arial" w:cs="Arial"/>
          <w:sz w:val="22"/>
          <w:szCs w:val="22"/>
        </w:rPr>
        <w:t xml:space="preserve">. </w:t>
      </w:r>
    </w:p>
    <w:p w:rsidRPr="00FD3E88" w:rsidR="00AF1157" w:rsidP="000E68C5" w:rsidRDefault="00AF1157" w14:paraId="0B7083EC" w14:textId="77777777">
      <w:pPr>
        <w:suppressAutoHyphens/>
        <w:rPr>
          <w:rFonts w:ascii="Arial" w:hAnsi="Arial" w:cs="Arial"/>
          <w:sz w:val="36"/>
          <w:szCs w:val="36"/>
        </w:rPr>
      </w:pPr>
    </w:p>
    <w:p w:rsidRPr="00AF060A" w:rsidR="00AF1157" w:rsidP="000E68C5" w:rsidRDefault="00AF060A" w14:paraId="7681AF53" w14:textId="77777777">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9618DF" w:rsidRDefault="00AF1157" w14:paraId="68300500" w14:textId="77777777">
      <w:pPr>
        <w:suppressAutoHyphens/>
        <w:ind w:left="480" w:hanging="480"/>
        <w:rPr>
          <w:rFonts w:ascii="Arial" w:hAnsi="Arial" w:cs="Arial"/>
          <w:sz w:val="22"/>
          <w:szCs w:val="22"/>
        </w:rPr>
      </w:pPr>
    </w:p>
    <w:p w:rsidRPr="007022A1" w:rsidR="00200B8A" w:rsidP="00200B8A" w:rsidRDefault="00200B8A" w14:paraId="153CC8F7" w14:textId="52ED79A6">
      <w:pPr>
        <w:suppressAutoHyphens/>
        <w:ind w:left="360"/>
        <w:rPr>
          <w:rFonts w:ascii="Arial" w:hAnsi="Arial" w:cs="Arial"/>
          <w:sz w:val="22"/>
          <w:szCs w:val="22"/>
        </w:rPr>
      </w:pPr>
      <w:r w:rsidRPr="007022A1">
        <w:rPr>
          <w:rFonts w:ascii="Arial" w:hAnsi="Arial" w:cs="Arial"/>
          <w:sz w:val="22"/>
          <w:szCs w:val="22"/>
        </w:rPr>
        <w:t xml:space="preserve">TTB will not publish the results of this </w:t>
      </w:r>
      <w:r w:rsidR="00C90463">
        <w:rPr>
          <w:rFonts w:ascii="Arial" w:hAnsi="Arial" w:cs="Arial"/>
          <w:sz w:val="22"/>
          <w:szCs w:val="22"/>
        </w:rPr>
        <w:t xml:space="preserve">information </w:t>
      </w:r>
      <w:r w:rsidRPr="007022A1">
        <w:rPr>
          <w:rFonts w:ascii="Arial" w:hAnsi="Arial" w:cs="Arial"/>
          <w:sz w:val="22"/>
          <w:szCs w:val="22"/>
        </w:rPr>
        <w:t xml:space="preserve">collection. </w:t>
      </w:r>
    </w:p>
    <w:p w:rsidRPr="00961DAB" w:rsidR="00AF1157" w:rsidP="00352B11" w:rsidRDefault="00AF1157" w14:paraId="57F657CA" w14:textId="77777777">
      <w:pPr>
        <w:rPr>
          <w:rFonts w:ascii="Arial" w:hAnsi="Arial" w:cs="Arial"/>
          <w:sz w:val="36"/>
          <w:szCs w:val="36"/>
        </w:rPr>
      </w:pPr>
    </w:p>
    <w:p w:rsidRPr="00352B11" w:rsidR="00AF1157" w:rsidP="00352B11" w:rsidRDefault="00AF060A" w14:paraId="2092B2BB" w14:textId="77777777">
      <w:pPr>
        <w:rPr>
          <w:rFonts w:ascii="Arial" w:hAnsi="Arial" w:cs="Arial"/>
          <w:i/>
          <w:sz w:val="22"/>
          <w:szCs w:val="22"/>
        </w:rPr>
      </w:pPr>
      <w:r w:rsidRPr="00352B11">
        <w:rPr>
          <w:rFonts w:ascii="Arial" w:hAnsi="Arial" w:cs="Arial"/>
          <w:i/>
          <w:sz w:val="22"/>
          <w:szCs w:val="22"/>
        </w:rPr>
        <w:t xml:space="preserve">17.  </w:t>
      </w:r>
      <w:r w:rsidRPr="00352B11" w:rsidR="00AF1157">
        <w:rPr>
          <w:rFonts w:ascii="Arial" w:hAnsi="Arial" w:cs="Arial"/>
          <w:i/>
          <w:sz w:val="22"/>
          <w:szCs w:val="22"/>
        </w:rPr>
        <w:t>If seeking approval to not display the expiration date for OMB approval of this information collection, what are the reasons that the display would be inappropriate?</w:t>
      </w:r>
      <w:r w:rsidRPr="00352B11" w:rsidR="004D086A">
        <w:rPr>
          <w:rFonts w:ascii="Arial" w:hAnsi="Arial" w:cs="Arial"/>
          <w:i/>
          <w:sz w:val="22"/>
          <w:szCs w:val="22"/>
        </w:rPr>
        <w:t xml:space="preserve"> </w:t>
      </w:r>
    </w:p>
    <w:p w:rsidRPr="00352B11" w:rsidR="00AF1157" w:rsidP="00352B11" w:rsidRDefault="00AF1157" w14:paraId="36DF7B50" w14:textId="77777777">
      <w:pPr>
        <w:rPr>
          <w:rFonts w:ascii="Arial" w:hAnsi="Arial" w:cs="Arial"/>
          <w:sz w:val="22"/>
          <w:szCs w:val="22"/>
        </w:rPr>
      </w:pPr>
    </w:p>
    <w:p w:rsidR="00014CEB" w:rsidP="00961DAB" w:rsidRDefault="00200B8A" w14:paraId="368A7B90" w14:textId="563B14A9">
      <w:pPr>
        <w:autoSpaceDE w:val="0"/>
        <w:autoSpaceDN w:val="0"/>
        <w:ind w:left="360"/>
        <w:rPr>
          <w:rFonts w:ascii="Arial" w:hAnsi="Arial" w:cs="Arial"/>
          <w:sz w:val="22"/>
          <w:szCs w:val="22"/>
        </w:rPr>
      </w:pPr>
      <w:r w:rsidRPr="007022A1">
        <w:rPr>
          <w:rFonts w:ascii="Arial" w:hAnsi="Arial" w:cs="Arial"/>
          <w:sz w:val="22"/>
          <w:szCs w:val="22"/>
        </w:rPr>
        <w:t xml:space="preserve">This information collection consists of </w:t>
      </w:r>
      <w:r w:rsidR="00FF1295">
        <w:rPr>
          <w:rFonts w:ascii="Arial" w:hAnsi="Arial" w:cs="Arial"/>
          <w:sz w:val="22"/>
          <w:szCs w:val="22"/>
        </w:rPr>
        <w:t>record</w:t>
      </w:r>
      <w:r w:rsidR="003E0BD2">
        <w:rPr>
          <w:rFonts w:ascii="Arial" w:hAnsi="Arial" w:cs="Arial"/>
          <w:sz w:val="22"/>
          <w:szCs w:val="22"/>
        </w:rPr>
        <w:t xml:space="preserve">s </w:t>
      </w:r>
      <w:r w:rsidR="00C90463">
        <w:rPr>
          <w:rFonts w:ascii="Arial" w:hAnsi="Arial" w:cs="Arial"/>
          <w:sz w:val="22"/>
          <w:szCs w:val="22"/>
        </w:rPr>
        <w:t xml:space="preserve">kept and maintained by </w:t>
      </w:r>
      <w:r w:rsidRPr="007022A1">
        <w:rPr>
          <w:rFonts w:ascii="Arial" w:hAnsi="Arial" w:cs="Arial"/>
          <w:sz w:val="22"/>
          <w:szCs w:val="22"/>
        </w:rPr>
        <w:t xml:space="preserve">respondents </w:t>
      </w:r>
      <w:r w:rsidR="00C90463">
        <w:rPr>
          <w:rFonts w:ascii="Arial" w:hAnsi="Arial" w:cs="Arial"/>
          <w:sz w:val="22"/>
          <w:szCs w:val="22"/>
        </w:rPr>
        <w:t xml:space="preserve">at their business premises.  </w:t>
      </w:r>
      <w:r w:rsidRPr="007022A1">
        <w:rPr>
          <w:rFonts w:ascii="Arial" w:hAnsi="Arial" w:cs="Arial"/>
          <w:sz w:val="22"/>
          <w:szCs w:val="22"/>
        </w:rPr>
        <w:t xml:space="preserve">As such, there is no prescribed TTB form </w:t>
      </w:r>
      <w:r w:rsidR="00C90463">
        <w:rPr>
          <w:rFonts w:ascii="Arial" w:hAnsi="Arial" w:cs="Arial"/>
          <w:sz w:val="22"/>
          <w:szCs w:val="22"/>
        </w:rPr>
        <w:t>or other medium for</w:t>
      </w:r>
      <w:r w:rsidRPr="007022A1">
        <w:rPr>
          <w:rFonts w:ascii="Arial" w:hAnsi="Arial" w:cs="Arial"/>
          <w:sz w:val="22"/>
          <w:szCs w:val="22"/>
        </w:rPr>
        <w:t xml:space="preserve"> TTB to display the </w:t>
      </w:r>
      <w:r w:rsidR="00B05676">
        <w:rPr>
          <w:rFonts w:ascii="Arial" w:hAnsi="Arial" w:cs="Arial"/>
          <w:sz w:val="22"/>
          <w:szCs w:val="22"/>
        </w:rPr>
        <w:t xml:space="preserve">collection’s </w:t>
      </w:r>
      <w:r w:rsidRPr="007022A1">
        <w:rPr>
          <w:rFonts w:ascii="Arial" w:hAnsi="Arial" w:cs="Arial"/>
          <w:sz w:val="22"/>
          <w:szCs w:val="22"/>
        </w:rPr>
        <w:t>OMB approval expiration date.</w:t>
      </w:r>
      <w:r w:rsidR="00961DAB">
        <w:rPr>
          <w:rFonts w:ascii="Arial" w:hAnsi="Arial" w:cs="Arial"/>
          <w:sz w:val="22"/>
          <w:szCs w:val="22"/>
        </w:rPr>
        <w:t xml:space="preserve"> </w:t>
      </w:r>
    </w:p>
    <w:p w:rsidRPr="00086AF4" w:rsidR="00200B8A" w:rsidP="00961DAB" w:rsidRDefault="00200B8A" w14:paraId="79B3126F" w14:textId="77777777">
      <w:pPr>
        <w:autoSpaceDE w:val="0"/>
        <w:autoSpaceDN w:val="0"/>
        <w:rPr>
          <w:rFonts w:ascii="Arial" w:hAnsi="Arial" w:cs="Arial"/>
          <w:sz w:val="36"/>
          <w:szCs w:val="28"/>
        </w:rPr>
      </w:pPr>
    </w:p>
    <w:p w:rsidR="00AF1157" w:rsidRDefault="00BA1A21" w14:paraId="65D72555"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EA4927" w:rsidR="00EA4927" w:rsidRDefault="00EA4927" w14:paraId="24F058AB" w14:textId="77777777">
      <w:pPr>
        <w:suppressAutoHyphens/>
        <w:rPr>
          <w:rFonts w:ascii="Arial" w:hAnsi="Arial" w:cs="Arial"/>
          <w:sz w:val="22"/>
          <w:szCs w:val="22"/>
        </w:rPr>
      </w:pPr>
    </w:p>
    <w:p w:rsidR="00EA4927" w:rsidP="00C90463" w:rsidRDefault="00C90463" w14:paraId="367C56EA" w14:textId="51F1DBDD">
      <w:pPr>
        <w:tabs>
          <w:tab w:val="left" w:pos="720"/>
        </w:tabs>
        <w:spacing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Pr="005E2867" w:rsidR="00EA4927">
        <w:rPr>
          <w:rFonts w:ascii="Arial" w:hAnsi="Arial" w:cs="Arial"/>
          <w:sz w:val="22"/>
          <w:szCs w:val="22"/>
        </w:rPr>
        <w:t xml:space="preserve">See item 5 above. </w:t>
      </w:r>
    </w:p>
    <w:p w:rsidRPr="005E2867" w:rsidR="00EA4927" w:rsidP="00C90463" w:rsidRDefault="00C90463" w14:paraId="6BA08D4C" w14:textId="53FD6860">
      <w:pPr>
        <w:tabs>
          <w:tab w:val="left" w:pos="720"/>
          <w:tab w:val="left" w:pos="810"/>
        </w:tabs>
        <w:spacing w:after="120"/>
        <w:ind w:left="720" w:hanging="360"/>
        <w:rPr>
          <w:rFonts w:ascii="Arial" w:hAnsi="Arial" w:cs="Arial"/>
          <w:sz w:val="22"/>
          <w:szCs w:val="22"/>
        </w:rPr>
      </w:pPr>
      <w:r>
        <w:rPr>
          <w:rFonts w:ascii="Arial" w:hAnsi="Arial" w:cs="Arial"/>
          <w:sz w:val="22"/>
          <w:szCs w:val="22"/>
        </w:rPr>
        <w:t>(g)</w:t>
      </w:r>
      <w:r>
        <w:rPr>
          <w:rFonts w:ascii="Arial" w:hAnsi="Arial" w:cs="Arial"/>
          <w:sz w:val="22"/>
          <w:szCs w:val="22"/>
        </w:rPr>
        <w:tab/>
      </w:r>
      <w:r w:rsidRPr="004C1AE1" w:rsidR="00EA4927">
        <w:rPr>
          <w:rFonts w:ascii="Arial" w:hAnsi="Arial" w:cs="Arial"/>
          <w:sz w:val="22"/>
          <w:szCs w:val="22"/>
        </w:rPr>
        <w:t xml:space="preserve">This information collection consists of </w:t>
      </w:r>
      <w:r w:rsidR="00EA4927">
        <w:rPr>
          <w:rFonts w:ascii="Arial" w:hAnsi="Arial" w:cs="Arial"/>
          <w:sz w:val="22"/>
          <w:szCs w:val="22"/>
        </w:rPr>
        <w:t xml:space="preserve">records kept </w:t>
      </w:r>
      <w:r w:rsidRPr="004C1AE1" w:rsidR="00EA4927">
        <w:rPr>
          <w:rFonts w:ascii="Arial" w:hAnsi="Arial" w:cs="Arial"/>
          <w:sz w:val="22"/>
          <w:szCs w:val="22"/>
        </w:rPr>
        <w:t>by respondents at their premises.  As such, there is no prescribed medium for TTB to inform respondents of the informatio</w:t>
      </w:r>
      <w:r w:rsidR="00945709">
        <w:rPr>
          <w:rFonts w:ascii="Arial" w:hAnsi="Arial" w:cs="Arial"/>
          <w:sz w:val="22"/>
          <w:szCs w:val="22"/>
        </w:rPr>
        <w:t>n called for under 5 </w:t>
      </w:r>
      <w:r>
        <w:rPr>
          <w:rFonts w:ascii="Arial" w:hAnsi="Arial" w:cs="Arial"/>
          <w:sz w:val="22"/>
          <w:szCs w:val="22"/>
        </w:rPr>
        <w:t>CFR 1320.8</w:t>
      </w:r>
      <w:r w:rsidRPr="004C1AE1" w:rsidR="00EA4927">
        <w:rPr>
          <w:rFonts w:ascii="Arial" w:hAnsi="Arial" w:cs="Arial"/>
          <w:sz w:val="22"/>
          <w:szCs w:val="22"/>
        </w:rPr>
        <w:t xml:space="preserve">(b)(3). </w:t>
      </w:r>
    </w:p>
    <w:p w:rsidRPr="005E2867" w:rsidR="00EA4927" w:rsidP="00C90463" w:rsidRDefault="00C90463" w14:paraId="09597E3F" w14:textId="67F37C3F">
      <w:pPr>
        <w:tabs>
          <w:tab w:val="left" w:pos="720"/>
        </w:tabs>
        <w:spacing w:after="120"/>
        <w:ind w:left="720" w:hanging="360"/>
        <w:rPr>
          <w:rFonts w:ascii="Arial" w:hAnsi="Arial" w:cs="Arial"/>
          <w:sz w:val="22"/>
          <w:szCs w:val="22"/>
        </w:rPr>
      </w:pPr>
      <w:r>
        <w:rPr>
          <w:rFonts w:ascii="Arial" w:hAnsi="Arial" w:cs="Arial"/>
          <w:sz w:val="22"/>
          <w:szCs w:val="22"/>
        </w:rPr>
        <w:t>(i)</w:t>
      </w:r>
      <w:r>
        <w:rPr>
          <w:rFonts w:ascii="Arial" w:hAnsi="Arial" w:cs="Arial"/>
          <w:sz w:val="22"/>
          <w:szCs w:val="22"/>
        </w:rPr>
        <w:tab/>
      </w:r>
      <w:r w:rsidRPr="005E2867" w:rsidR="00EA4927">
        <w:rPr>
          <w:rFonts w:ascii="Arial" w:hAnsi="Arial" w:cs="Arial"/>
          <w:sz w:val="22"/>
          <w:szCs w:val="22"/>
        </w:rPr>
        <w:t xml:space="preserve">No statistics are involved. </w:t>
      </w:r>
    </w:p>
    <w:p w:rsidRPr="005E2867" w:rsidR="00EA4927" w:rsidP="00C90463" w:rsidRDefault="00C90463" w14:paraId="494CDE13" w14:textId="569FC6B5">
      <w:pPr>
        <w:tabs>
          <w:tab w:val="left" w:pos="720"/>
        </w:tabs>
        <w:ind w:left="720" w:hanging="360"/>
        <w:rPr>
          <w:rFonts w:ascii="Arial" w:hAnsi="Arial" w:cs="Arial"/>
          <w:sz w:val="22"/>
          <w:szCs w:val="22"/>
        </w:rPr>
      </w:pPr>
      <w:r>
        <w:rPr>
          <w:rFonts w:ascii="Arial" w:hAnsi="Arial" w:cs="Arial"/>
          <w:sz w:val="22"/>
          <w:szCs w:val="22"/>
        </w:rPr>
        <w:t>(j)</w:t>
      </w:r>
      <w:r>
        <w:rPr>
          <w:rFonts w:ascii="Arial" w:hAnsi="Arial" w:cs="Arial"/>
          <w:sz w:val="22"/>
          <w:szCs w:val="22"/>
        </w:rPr>
        <w:tab/>
      </w:r>
      <w:r w:rsidRPr="005E2867" w:rsidR="00EA4927">
        <w:rPr>
          <w:rFonts w:ascii="Arial" w:hAnsi="Arial" w:cs="Arial"/>
          <w:sz w:val="22"/>
          <w:szCs w:val="22"/>
        </w:rPr>
        <w:t xml:space="preserve">See item 3 above. </w:t>
      </w:r>
    </w:p>
    <w:p w:rsidRPr="003E0BD2" w:rsidR="00AF1157" w:rsidP="003E0BD2" w:rsidRDefault="00AF1157" w14:paraId="09C01535" w14:textId="77777777">
      <w:pPr>
        <w:suppressAutoHyphens/>
        <w:rPr>
          <w:rFonts w:ascii="Arial" w:hAnsi="Arial" w:cs="Arial"/>
          <w:sz w:val="36"/>
          <w:szCs w:val="36"/>
        </w:rPr>
      </w:pPr>
    </w:p>
    <w:p w:rsidRPr="003E0BD2" w:rsidR="003E0BD2" w:rsidP="003E0BD2" w:rsidRDefault="003E0BD2" w14:paraId="6E3D732A" w14:textId="77777777">
      <w:pPr>
        <w:suppressAutoHyphens/>
        <w:rPr>
          <w:rFonts w:ascii="Arial" w:hAnsi="Arial" w:cs="Arial"/>
          <w:sz w:val="36"/>
          <w:szCs w:val="36"/>
        </w:rPr>
      </w:pPr>
    </w:p>
    <w:p w:rsidRPr="007A5D4B" w:rsidR="00BD3333" w:rsidRDefault="00BD3333" w14:paraId="5B4586B1"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RDefault="00BD3333" w14:paraId="154D1257" w14:textId="77777777">
      <w:pPr>
        <w:pStyle w:val="Header"/>
        <w:tabs>
          <w:tab w:val="clear" w:pos="4320"/>
          <w:tab w:val="clear" w:pos="8640"/>
        </w:tabs>
        <w:rPr>
          <w:rFonts w:ascii="Arial" w:hAnsi="Arial" w:cs="Arial"/>
          <w:sz w:val="22"/>
          <w:szCs w:val="22"/>
        </w:rPr>
      </w:pPr>
    </w:p>
    <w:p w:rsidR="00BA1A21" w:rsidRDefault="00BA1A21" w14:paraId="48C54582" w14:textId="77777777">
      <w:pPr>
        <w:suppressAutoHyphens/>
        <w:rPr>
          <w:rFonts w:ascii="Arial" w:hAnsi="Arial" w:cs="Arial"/>
          <w:sz w:val="22"/>
          <w:szCs w:val="22"/>
        </w:rPr>
      </w:pPr>
    </w:p>
    <w:p w:rsidRPr="007A5D4B" w:rsidR="007F1B85" w:rsidP="007F1B85" w:rsidRDefault="007F1B85" w14:paraId="53086504" w14:textId="77777777">
      <w:pPr>
        <w:pStyle w:val="Header"/>
        <w:tabs>
          <w:tab w:val="clear" w:pos="4320"/>
          <w:tab w:val="clear" w:pos="8640"/>
        </w:tabs>
        <w:ind w:left="360"/>
        <w:rPr>
          <w:rFonts w:ascii="Arial" w:hAnsi="Arial" w:cs="Arial"/>
          <w:sz w:val="22"/>
          <w:szCs w:val="22"/>
        </w:rPr>
      </w:pPr>
      <w:r w:rsidRPr="007022A1">
        <w:rPr>
          <w:rFonts w:ascii="Arial" w:hAnsi="Arial" w:cs="Arial"/>
          <w:sz w:val="22"/>
          <w:szCs w:val="22"/>
        </w:rPr>
        <w:t>This collection does not employ statistical methods.</w:t>
      </w:r>
      <w:r>
        <w:rPr>
          <w:rFonts w:ascii="Arial" w:hAnsi="Arial" w:cs="Arial"/>
          <w:sz w:val="22"/>
          <w:szCs w:val="22"/>
        </w:rPr>
        <w:t xml:space="preserve"> </w:t>
      </w:r>
    </w:p>
    <w:p w:rsidRPr="007A5D4B" w:rsidR="007F1B85" w:rsidRDefault="007F1B85" w14:paraId="04182DAA" w14:textId="77777777">
      <w:pPr>
        <w:suppressAutoHyphens/>
        <w:rPr>
          <w:rFonts w:ascii="Arial" w:hAnsi="Arial" w:cs="Arial"/>
          <w:sz w:val="22"/>
          <w:szCs w:val="22"/>
        </w:rPr>
      </w:pPr>
    </w:p>
    <w:sectPr w:rsidRPr="007A5D4B" w:rsidR="007F1B85" w:rsidSect="007861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922B" w14:textId="77777777" w:rsidR="0092281E" w:rsidRDefault="0092281E">
      <w:r>
        <w:separator/>
      </w:r>
    </w:p>
  </w:endnote>
  <w:endnote w:type="continuationSeparator" w:id="0">
    <w:p w14:paraId="3547C823" w14:textId="77777777" w:rsidR="0092281E" w:rsidRDefault="0092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21D4" w14:textId="77777777" w:rsidR="00EF7422" w:rsidRDefault="00EF7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DF782" w14:textId="2646CA8E" w:rsidR="009C3E26" w:rsidRPr="007A5D4B" w:rsidRDefault="009C3E26" w:rsidP="007456A3">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3BAC" w14:textId="5D1C2A00" w:rsidR="009C3E26" w:rsidRPr="00D1278A" w:rsidRDefault="009C3E26" w:rsidP="00D1278A">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Pr="00D1278A">
      <w:rPr>
        <w:rFonts w:ascii="Arial" w:hAnsi="Arial" w:cs="Arial"/>
        <w:sz w:val="20"/>
        <w:szCs w:val="20"/>
      </w:rPr>
      <w:t>1513–</w:t>
    </w:r>
    <w:r w:rsidR="00A40B9A">
      <w:rPr>
        <w:rFonts w:ascii="Arial" w:hAnsi="Arial" w:cs="Arial"/>
        <w:sz w:val="20"/>
        <w:szCs w:val="20"/>
      </w:rPr>
      <w:t xml:space="preserve">0139 Supporting Statement (08–2020)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29F55" w14:textId="77777777" w:rsidR="0092281E" w:rsidRDefault="0092281E">
      <w:r>
        <w:separator/>
      </w:r>
    </w:p>
  </w:footnote>
  <w:footnote w:type="continuationSeparator" w:id="0">
    <w:p w14:paraId="79002B8C" w14:textId="77777777" w:rsidR="0092281E" w:rsidRDefault="0092281E">
      <w:r>
        <w:continuationSeparator/>
      </w:r>
    </w:p>
  </w:footnote>
  <w:footnote w:id="1">
    <w:p w14:paraId="68799C60" w14:textId="3289CE11" w:rsidR="008A2152" w:rsidRPr="008A2152" w:rsidRDefault="008A2152" w:rsidP="008A2152">
      <w:pPr>
        <w:pStyle w:val="FootnoteText"/>
        <w:rPr>
          <w:rFonts w:ascii="Arial" w:hAnsi="Arial" w:cs="Arial"/>
          <w:sz w:val="18"/>
          <w:szCs w:val="18"/>
        </w:rPr>
      </w:pPr>
      <w:r w:rsidRPr="008A2152">
        <w:rPr>
          <w:rStyle w:val="FootnoteReference"/>
          <w:rFonts w:ascii="Arial" w:hAnsi="Arial" w:cs="Arial"/>
          <w:sz w:val="22"/>
          <w:szCs w:val="22"/>
        </w:rPr>
        <w:footnoteRef/>
      </w:r>
      <w:r w:rsidRPr="008A2152">
        <w:rPr>
          <w:rFonts w:ascii="Arial" w:hAnsi="Arial" w:cs="Arial"/>
          <w:sz w:val="22"/>
          <w:szCs w:val="22"/>
        </w:rPr>
        <w:t xml:space="preserve"> </w:t>
      </w:r>
      <w:r w:rsidRPr="008A2152">
        <w:rPr>
          <w:rFonts w:ascii="Arial" w:hAnsi="Arial" w:cs="Arial"/>
          <w:sz w:val="18"/>
          <w:szCs w:val="18"/>
        </w:rPr>
        <w:t xml:space="preserve">As listed in 26 U.S.C. 5041(b)(1) through (6), the six excise tax rates per wine gallon are:  (1) $1.07 for still wines containing not more than 14 percent alcohol by volume; (2) $1.57 for still wines containing more than 14 percent but not more than 21 percent alcohol by volume; (3) $3.15 for still wines containing more than 21 percent but not more than 24 percent alcohol by volume; (4) $3.40 for champagne and other sparkling wines; (5) $3.30 </w:t>
      </w:r>
      <w:r>
        <w:rPr>
          <w:rFonts w:ascii="Arial" w:hAnsi="Arial" w:cs="Arial"/>
          <w:sz w:val="18"/>
          <w:szCs w:val="18"/>
        </w:rPr>
        <w:t>fo</w:t>
      </w:r>
      <w:r w:rsidRPr="008A2152">
        <w:rPr>
          <w:rFonts w:ascii="Arial" w:hAnsi="Arial" w:cs="Arial"/>
          <w:sz w:val="18"/>
          <w:szCs w:val="18"/>
        </w:rPr>
        <w:t xml:space="preserve">r artificially carbonated wines; and (6) $0.226 (22.6 cents) for hard cider.  </w:t>
      </w:r>
      <w:r>
        <w:rPr>
          <w:rFonts w:ascii="Arial" w:hAnsi="Arial" w:cs="Arial"/>
          <w:sz w:val="18"/>
          <w:szCs w:val="18"/>
        </w:rPr>
        <w:t xml:space="preserve">Per 26 U.S.C. 5041(a), </w:t>
      </w:r>
      <w:r w:rsidRPr="008A2152">
        <w:rPr>
          <w:rFonts w:ascii="Arial" w:hAnsi="Arial" w:cs="Arial"/>
          <w:sz w:val="18"/>
          <w:szCs w:val="18"/>
        </w:rPr>
        <w:t>“still wine</w:t>
      </w:r>
      <w:r>
        <w:rPr>
          <w:rFonts w:ascii="Arial" w:hAnsi="Arial" w:cs="Arial"/>
          <w:sz w:val="18"/>
          <w:szCs w:val="18"/>
        </w:rPr>
        <w:t>s</w:t>
      </w:r>
      <w:r w:rsidRPr="008A2152">
        <w:rPr>
          <w:rFonts w:ascii="Arial" w:hAnsi="Arial" w:cs="Arial"/>
          <w:sz w:val="18"/>
          <w:szCs w:val="18"/>
        </w:rPr>
        <w:t>” are those containing not more than 0.392 gram of carbon dioxide per 100 milliliters of wine</w:t>
      </w:r>
      <w:r w:rsidR="002D0372">
        <w:rPr>
          <w:rFonts w:ascii="Arial" w:hAnsi="Arial" w:cs="Arial"/>
          <w:sz w:val="18"/>
          <w:szCs w:val="18"/>
        </w:rPr>
        <w:t xml:space="preserve">. </w:t>
      </w:r>
    </w:p>
  </w:footnote>
  <w:footnote w:id="2">
    <w:p w14:paraId="74590C84" w14:textId="362245A9" w:rsidR="002D0372" w:rsidRPr="00EC6BDC" w:rsidRDefault="002D0372" w:rsidP="002D0372">
      <w:pPr>
        <w:pStyle w:val="FootnoteText"/>
        <w:rPr>
          <w:rFonts w:ascii="Arial" w:hAnsi="Arial" w:cs="Arial"/>
          <w:sz w:val="18"/>
          <w:szCs w:val="18"/>
        </w:rPr>
      </w:pPr>
      <w:r w:rsidRPr="00A40B9A">
        <w:rPr>
          <w:rStyle w:val="FootnoteReference"/>
          <w:rFonts w:ascii="Arial" w:hAnsi="Arial" w:cs="Arial"/>
          <w:sz w:val="22"/>
          <w:szCs w:val="22"/>
        </w:rPr>
        <w:footnoteRef/>
      </w:r>
      <w:r w:rsidRPr="00A40B9A">
        <w:rPr>
          <w:rFonts w:ascii="Arial" w:hAnsi="Arial" w:cs="Arial"/>
          <w:sz w:val="22"/>
          <w:szCs w:val="22"/>
        </w:rPr>
        <w:t xml:space="preserve"> </w:t>
      </w:r>
      <w:r w:rsidRPr="00A40B9A">
        <w:rPr>
          <w:rFonts w:ascii="Arial" w:hAnsi="Arial" w:cs="Arial"/>
          <w:sz w:val="18"/>
          <w:szCs w:val="18"/>
        </w:rPr>
        <w:t xml:space="preserve">Under 26 U.S.C. 5041(g), as amended by section 335(a) of the Protecting Americans from Tax Hikes Act of 2015 (PATH Act, Pub. L. 144–113), wines removed after January 1, 2017, are eligible for the hard cider tax rate if they contain no more than 0.64 gram of carbon dioxide </w:t>
      </w:r>
      <w:r>
        <w:rPr>
          <w:rFonts w:ascii="Arial" w:hAnsi="Arial" w:cs="Arial"/>
          <w:sz w:val="18"/>
          <w:szCs w:val="18"/>
        </w:rPr>
        <w:t>per 100 milliliters (previously limited to 0.392 gram per</w:t>
      </w:r>
      <w:r w:rsidR="009F2B78">
        <w:rPr>
          <w:rFonts w:ascii="Arial" w:hAnsi="Arial" w:cs="Arial"/>
          <w:sz w:val="18"/>
          <w:szCs w:val="18"/>
        </w:rPr>
        <w:t xml:space="preserve"> </w:t>
      </w:r>
      <w:r>
        <w:rPr>
          <w:rFonts w:ascii="Arial" w:hAnsi="Arial" w:cs="Arial"/>
          <w:sz w:val="18"/>
          <w:szCs w:val="18"/>
        </w:rPr>
        <w:t>100 milliliters)</w:t>
      </w:r>
      <w:r w:rsidRPr="00A40B9A">
        <w:rPr>
          <w:rFonts w:ascii="Arial" w:hAnsi="Arial" w:cs="Arial"/>
          <w:sz w:val="18"/>
          <w:szCs w:val="18"/>
        </w:rPr>
        <w:t>, are derived primarily from apples or pears or from apple juice concentrate or pear juice concentrate and water, contain no</w:t>
      </w:r>
      <w:r w:rsidRPr="00EC6BDC">
        <w:rPr>
          <w:rFonts w:ascii="Arial" w:hAnsi="Arial" w:cs="Arial"/>
          <w:sz w:val="18"/>
          <w:szCs w:val="18"/>
        </w:rPr>
        <w:t xml:space="preserve"> fruit or fruit flavoring other than apple or pear</w:t>
      </w:r>
      <w:r>
        <w:rPr>
          <w:rFonts w:ascii="Arial" w:hAnsi="Arial" w:cs="Arial"/>
          <w:sz w:val="18"/>
          <w:szCs w:val="18"/>
        </w:rPr>
        <w:t xml:space="preserve"> (previously limited to apple-based products)</w:t>
      </w:r>
      <w:r w:rsidRPr="00EC6BDC">
        <w:rPr>
          <w:rFonts w:ascii="Arial" w:hAnsi="Arial" w:cs="Arial"/>
          <w:sz w:val="18"/>
          <w:szCs w:val="18"/>
        </w:rPr>
        <w:t>, and are between 0.5 and 8.5 percent alcohol by volume</w:t>
      </w:r>
      <w:r>
        <w:rPr>
          <w:rFonts w:ascii="Arial" w:hAnsi="Arial" w:cs="Arial"/>
          <w:sz w:val="18"/>
          <w:szCs w:val="18"/>
        </w:rPr>
        <w:t xml:space="preserve"> (previously limited to </w:t>
      </w:r>
      <w:r w:rsidR="00894BE8">
        <w:rPr>
          <w:rFonts w:ascii="Arial" w:hAnsi="Arial" w:cs="Arial"/>
          <w:sz w:val="18"/>
          <w:szCs w:val="18"/>
        </w:rPr>
        <w:t xml:space="preserve">between 0.5 and </w:t>
      </w:r>
      <w:r>
        <w:rPr>
          <w:rFonts w:ascii="Arial" w:hAnsi="Arial" w:cs="Arial"/>
          <w:sz w:val="18"/>
          <w:szCs w:val="18"/>
        </w:rPr>
        <w:t xml:space="preserve">7 percent alcohol by volume). </w:t>
      </w:r>
    </w:p>
  </w:footnote>
  <w:footnote w:id="3">
    <w:p w14:paraId="571EB898" w14:textId="60A0D35A" w:rsidR="00535766" w:rsidRPr="00346E62" w:rsidRDefault="00535766" w:rsidP="003B3338">
      <w:pPr>
        <w:pStyle w:val="FootnoteText"/>
        <w:rPr>
          <w:rFonts w:ascii="Arial" w:hAnsi="Arial" w:cs="Arial"/>
          <w:sz w:val="18"/>
          <w:szCs w:val="18"/>
        </w:rPr>
      </w:pPr>
      <w:r w:rsidRPr="00072CF8">
        <w:rPr>
          <w:rStyle w:val="FootnoteReference"/>
          <w:rFonts w:ascii="Arial" w:hAnsi="Arial" w:cs="Arial"/>
          <w:sz w:val="22"/>
          <w:szCs w:val="22"/>
        </w:rPr>
        <w:footnoteRef/>
      </w:r>
      <w:r w:rsidRPr="00072CF8">
        <w:rPr>
          <w:rFonts w:ascii="Arial" w:hAnsi="Arial" w:cs="Arial"/>
          <w:sz w:val="22"/>
          <w:szCs w:val="22"/>
        </w:rPr>
        <w:t xml:space="preserve"> </w:t>
      </w:r>
      <w:r w:rsidR="00A13B9C">
        <w:rPr>
          <w:rFonts w:ascii="Arial" w:hAnsi="Arial" w:cs="Arial"/>
          <w:sz w:val="18"/>
          <w:szCs w:val="18"/>
        </w:rPr>
        <w:t xml:space="preserve">For the private sector, </w:t>
      </w:r>
      <w:r w:rsidR="005504FC">
        <w:rPr>
          <w:rFonts w:ascii="Arial" w:hAnsi="Arial" w:cs="Arial"/>
          <w:sz w:val="18"/>
          <w:szCs w:val="18"/>
        </w:rPr>
        <w:t>F</w:t>
      </w:r>
      <w:r w:rsidR="00A13B9C">
        <w:rPr>
          <w:rFonts w:ascii="Arial" w:hAnsi="Arial" w:cs="Arial"/>
          <w:sz w:val="18"/>
          <w:szCs w:val="18"/>
        </w:rPr>
        <w:t>ully-L</w:t>
      </w:r>
      <w:r w:rsidR="00A13B9C" w:rsidRPr="009907BE">
        <w:rPr>
          <w:rFonts w:ascii="Arial" w:hAnsi="Arial" w:cs="Arial"/>
          <w:sz w:val="18"/>
          <w:szCs w:val="18"/>
        </w:rPr>
        <w:t xml:space="preserve">oaded Labor Rate = Hourly wages </w:t>
      </w:r>
      <w:r w:rsidR="00A13B9C">
        <w:rPr>
          <w:rFonts w:ascii="Arial" w:hAnsi="Arial" w:cs="Arial"/>
          <w:sz w:val="18"/>
          <w:szCs w:val="18"/>
        </w:rPr>
        <w:t>x 1.44 (to account for benefit costs).</w:t>
      </w:r>
      <w:r w:rsidR="00A13B9C" w:rsidRPr="009907BE">
        <w:rPr>
          <w:rFonts w:ascii="Arial" w:hAnsi="Arial" w:cs="Arial"/>
          <w:sz w:val="18"/>
          <w:szCs w:val="18"/>
        </w:rPr>
        <w:t xml:space="preserve">  </w:t>
      </w:r>
      <w:r w:rsidR="00A13B9C">
        <w:rPr>
          <w:rFonts w:ascii="Arial" w:hAnsi="Arial" w:cs="Arial"/>
          <w:sz w:val="18"/>
          <w:szCs w:val="18"/>
        </w:rPr>
        <w:t>Pe</w:t>
      </w:r>
      <w:r w:rsidR="00A13B9C" w:rsidRPr="009907BE">
        <w:rPr>
          <w:rFonts w:ascii="Arial" w:hAnsi="Arial" w:cs="Arial"/>
          <w:sz w:val="18"/>
          <w:szCs w:val="18"/>
        </w:rPr>
        <w:t xml:space="preserve">r the most recent U.S. Dept. of Labor, Bureau of Labor Statistics, National Industry-Specific Occupational Employment and Wage Estimates for NAICS 312100—Beverage Manufacturing, the average fully-loaded labor rate for </w:t>
      </w:r>
      <w:r w:rsidR="00A13B9C">
        <w:rPr>
          <w:rFonts w:ascii="Arial" w:hAnsi="Arial" w:cs="Arial"/>
          <w:sz w:val="18"/>
          <w:szCs w:val="18"/>
        </w:rPr>
        <w:t xml:space="preserve">chemists is $50.70 ($35.21/hour + $15.49 benefit costs).  For office </w:t>
      </w:r>
      <w:r w:rsidR="00A13B9C" w:rsidRPr="009907BE">
        <w:rPr>
          <w:rFonts w:ascii="Arial" w:hAnsi="Arial" w:cs="Arial"/>
          <w:sz w:val="18"/>
          <w:szCs w:val="18"/>
        </w:rPr>
        <w:t>and support function personnel</w:t>
      </w:r>
      <w:r w:rsidR="00A13B9C">
        <w:rPr>
          <w:rFonts w:ascii="Arial" w:hAnsi="Arial" w:cs="Arial"/>
          <w:sz w:val="18"/>
          <w:szCs w:val="18"/>
        </w:rPr>
        <w:t xml:space="preserve">, the fully-loaded labor rate is </w:t>
      </w:r>
      <w:r w:rsidR="00A13B9C" w:rsidRPr="009907BE">
        <w:rPr>
          <w:rFonts w:ascii="Arial" w:hAnsi="Arial" w:cs="Arial"/>
          <w:sz w:val="18"/>
          <w:szCs w:val="18"/>
        </w:rPr>
        <w:t>$</w:t>
      </w:r>
      <w:r w:rsidR="00A13B9C">
        <w:rPr>
          <w:rFonts w:ascii="Arial" w:hAnsi="Arial" w:cs="Arial"/>
          <w:sz w:val="18"/>
          <w:szCs w:val="18"/>
        </w:rPr>
        <w:t>29.59</w:t>
      </w:r>
      <w:r w:rsidR="00A13B9C" w:rsidRPr="009907BE">
        <w:rPr>
          <w:rFonts w:ascii="Arial" w:hAnsi="Arial" w:cs="Arial"/>
          <w:sz w:val="18"/>
          <w:szCs w:val="18"/>
        </w:rPr>
        <w:t xml:space="preserve"> per hour ($</w:t>
      </w:r>
      <w:r w:rsidR="00A13B9C">
        <w:rPr>
          <w:rFonts w:ascii="Arial" w:hAnsi="Arial" w:cs="Arial"/>
          <w:sz w:val="18"/>
          <w:szCs w:val="18"/>
        </w:rPr>
        <w:t>20.55</w:t>
      </w:r>
      <w:r w:rsidR="00A13B9C" w:rsidRPr="009907BE">
        <w:rPr>
          <w:rFonts w:ascii="Arial" w:hAnsi="Arial" w:cs="Arial"/>
          <w:sz w:val="18"/>
          <w:szCs w:val="18"/>
        </w:rPr>
        <w:t xml:space="preserve"> wages + </w:t>
      </w:r>
      <w:r w:rsidR="00A13B9C">
        <w:rPr>
          <w:rFonts w:ascii="Arial" w:hAnsi="Arial" w:cs="Arial"/>
          <w:sz w:val="18"/>
          <w:szCs w:val="18"/>
        </w:rPr>
        <w:t>9.04</w:t>
      </w:r>
      <w:r w:rsidR="00A13B9C" w:rsidRPr="009907BE">
        <w:rPr>
          <w:rFonts w:ascii="Arial" w:hAnsi="Arial" w:cs="Arial"/>
          <w:sz w:val="18"/>
          <w:szCs w:val="18"/>
        </w:rPr>
        <w:t xml:space="preserve"> benefit</w:t>
      </w:r>
      <w:r w:rsidR="00A13B9C">
        <w:rPr>
          <w:rFonts w:ascii="Arial" w:hAnsi="Arial" w:cs="Arial"/>
          <w:sz w:val="18"/>
          <w:szCs w:val="18"/>
        </w:rPr>
        <w:t xml:space="preserve"> costs</w:t>
      </w:r>
      <w:r w:rsidR="00A13B9C" w:rsidRPr="009907BE">
        <w:rPr>
          <w:rFonts w:ascii="Arial" w:hAnsi="Arial" w:cs="Arial"/>
          <w:sz w:val="18"/>
          <w:szCs w:val="18"/>
        </w:rPr>
        <w:t>)</w:t>
      </w:r>
      <w:r w:rsidR="00A13B9C">
        <w:rPr>
          <w:rFonts w:ascii="Arial" w:hAnsi="Arial" w:cs="Arial"/>
          <w:sz w:val="18"/>
          <w:szCs w:val="18"/>
        </w:rPr>
        <w:t>.  S</w:t>
      </w:r>
      <w:r w:rsidR="00A13B9C" w:rsidRPr="009907BE">
        <w:rPr>
          <w:rFonts w:ascii="Arial" w:hAnsi="Arial" w:cs="Arial"/>
          <w:sz w:val="18"/>
          <w:szCs w:val="18"/>
        </w:rPr>
        <w:t xml:space="preserve">ee </w:t>
      </w:r>
      <w:r w:rsidR="00D30C51" w:rsidRPr="00D30C51">
        <w:rPr>
          <w:rFonts w:ascii="Arial" w:hAnsi="Arial" w:cs="Arial"/>
          <w:i/>
          <w:sz w:val="18"/>
          <w:szCs w:val="18"/>
        </w:rPr>
        <w:t>https://www.bls.gov/oes/current/naics4_312100.htm</w:t>
      </w:r>
      <w:r w:rsidR="00A13B9C">
        <w:rPr>
          <w:rFonts w:ascii="Arial" w:hAnsi="Arial" w:cs="Arial"/>
          <w:sz w:val="18"/>
          <w:szCs w:val="18"/>
        </w:rPr>
        <w:t>.</w:t>
      </w:r>
      <w:r w:rsidR="00D30C51">
        <w:rPr>
          <w:rFonts w:ascii="Arial" w:hAnsi="Arial" w:cs="Arial"/>
          <w:sz w:val="18"/>
          <w:szCs w:val="18"/>
        </w:rPr>
        <w:t xml:space="preserve"> </w:t>
      </w:r>
    </w:p>
  </w:footnote>
  <w:footnote w:id="4">
    <w:p w14:paraId="4BB7DE93" w14:textId="11951276" w:rsidR="009226DF" w:rsidRPr="002535A4" w:rsidRDefault="009226DF">
      <w:pPr>
        <w:pStyle w:val="FootnoteText"/>
        <w:rPr>
          <w:rFonts w:ascii="Arial" w:hAnsi="Arial" w:cs="Arial"/>
          <w:sz w:val="18"/>
          <w:szCs w:val="18"/>
        </w:rPr>
      </w:pPr>
      <w:r w:rsidRPr="002535A4">
        <w:rPr>
          <w:rStyle w:val="FootnoteReference"/>
          <w:rFonts w:ascii="Arial" w:hAnsi="Arial" w:cs="Arial"/>
          <w:sz w:val="22"/>
          <w:szCs w:val="22"/>
        </w:rPr>
        <w:footnoteRef/>
      </w:r>
      <w:r w:rsidRPr="002535A4">
        <w:rPr>
          <w:rFonts w:ascii="Arial" w:hAnsi="Arial" w:cs="Arial"/>
          <w:sz w:val="22"/>
          <w:szCs w:val="22"/>
        </w:rPr>
        <w:t xml:space="preserve"> </w:t>
      </w:r>
      <w:r w:rsidRPr="002535A4">
        <w:rPr>
          <w:rFonts w:ascii="Arial" w:hAnsi="Arial" w:cs="Arial"/>
          <w:sz w:val="18"/>
          <w:szCs w:val="18"/>
        </w:rPr>
        <w:t xml:space="preserve">Source:  </w:t>
      </w:r>
      <w:r w:rsidR="002535A4" w:rsidRPr="002535A4">
        <w:rPr>
          <w:rFonts w:ascii="Arial" w:hAnsi="Arial" w:cs="Arial"/>
          <w:i/>
          <w:sz w:val="18"/>
          <w:szCs w:val="18"/>
        </w:rPr>
        <w:t>https://www.etslabs.com/analyses</w:t>
      </w:r>
      <w:r w:rsidRPr="002535A4">
        <w:rPr>
          <w:rFonts w:ascii="Arial" w:hAnsi="Arial" w:cs="Arial"/>
          <w:sz w:val="18"/>
          <w:szCs w:val="18"/>
        </w:rPr>
        <w:t>.</w:t>
      </w:r>
      <w:r w:rsidR="002535A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41E6" w14:textId="77777777" w:rsidR="00EF7422" w:rsidRDefault="00EF7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15BC" w14:textId="1DF8B9FB" w:rsidR="009C3E26" w:rsidRPr="007A5D4B" w:rsidRDefault="009C3E26"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70C3A">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3D5D" w14:textId="77777777" w:rsidR="009C3E26" w:rsidRPr="007A5D4B" w:rsidRDefault="009C3E26"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735C1"/>
    <w:multiLevelType w:val="hybridMultilevel"/>
    <w:tmpl w:val="7C2ADE70"/>
    <w:lvl w:ilvl="0" w:tplc="5A8E6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7D2"/>
    <w:multiLevelType w:val="hybridMultilevel"/>
    <w:tmpl w:val="EB884D5A"/>
    <w:lvl w:ilvl="0" w:tplc="E8905BD2">
      <w:start w:val="1"/>
      <w:numFmt w:val="decimal"/>
      <w:lvlText w:val="%1"/>
      <w:lvlJc w:val="left"/>
      <w:pPr>
        <w:ind w:left="1840" w:hanging="900"/>
      </w:pPr>
      <w:rPr>
        <w:rFonts w:ascii="Times New Roman" w:eastAsia="Times New Roman" w:hAnsi="Times New Roman" w:hint="default"/>
        <w:sz w:val="28"/>
        <w:szCs w:val="28"/>
      </w:rPr>
    </w:lvl>
    <w:lvl w:ilvl="1" w:tplc="1724310E">
      <w:start w:val="1"/>
      <w:numFmt w:val="bullet"/>
      <w:lvlText w:val="•"/>
      <w:lvlJc w:val="left"/>
      <w:pPr>
        <w:ind w:left="2536" w:hanging="900"/>
      </w:pPr>
      <w:rPr>
        <w:rFonts w:hint="default"/>
      </w:rPr>
    </w:lvl>
    <w:lvl w:ilvl="2" w:tplc="46B4D1B6">
      <w:start w:val="1"/>
      <w:numFmt w:val="bullet"/>
      <w:lvlText w:val="•"/>
      <w:lvlJc w:val="left"/>
      <w:pPr>
        <w:ind w:left="3232" w:hanging="900"/>
      </w:pPr>
      <w:rPr>
        <w:rFonts w:hint="default"/>
      </w:rPr>
    </w:lvl>
    <w:lvl w:ilvl="3" w:tplc="A83EFD06">
      <w:start w:val="1"/>
      <w:numFmt w:val="bullet"/>
      <w:lvlText w:val="•"/>
      <w:lvlJc w:val="left"/>
      <w:pPr>
        <w:ind w:left="3928" w:hanging="900"/>
      </w:pPr>
      <w:rPr>
        <w:rFonts w:hint="default"/>
      </w:rPr>
    </w:lvl>
    <w:lvl w:ilvl="4" w:tplc="6FEC458E">
      <w:start w:val="1"/>
      <w:numFmt w:val="bullet"/>
      <w:lvlText w:val="•"/>
      <w:lvlJc w:val="left"/>
      <w:pPr>
        <w:ind w:left="4624" w:hanging="900"/>
      </w:pPr>
      <w:rPr>
        <w:rFonts w:hint="default"/>
      </w:rPr>
    </w:lvl>
    <w:lvl w:ilvl="5" w:tplc="AD16B80C">
      <w:start w:val="1"/>
      <w:numFmt w:val="bullet"/>
      <w:lvlText w:val="•"/>
      <w:lvlJc w:val="left"/>
      <w:pPr>
        <w:ind w:left="5320" w:hanging="900"/>
      </w:pPr>
      <w:rPr>
        <w:rFonts w:hint="default"/>
      </w:rPr>
    </w:lvl>
    <w:lvl w:ilvl="6" w:tplc="514A0A58">
      <w:start w:val="1"/>
      <w:numFmt w:val="bullet"/>
      <w:lvlText w:val="•"/>
      <w:lvlJc w:val="left"/>
      <w:pPr>
        <w:ind w:left="6016" w:hanging="900"/>
      </w:pPr>
      <w:rPr>
        <w:rFonts w:hint="default"/>
      </w:rPr>
    </w:lvl>
    <w:lvl w:ilvl="7" w:tplc="0B3EB59A">
      <w:start w:val="1"/>
      <w:numFmt w:val="bullet"/>
      <w:lvlText w:val="•"/>
      <w:lvlJc w:val="left"/>
      <w:pPr>
        <w:ind w:left="6712" w:hanging="900"/>
      </w:pPr>
      <w:rPr>
        <w:rFonts w:hint="default"/>
      </w:rPr>
    </w:lvl>
    <w:lvl w:ilvl="8" w:tplc="594291BC">
      <w:start w:val="1"/>
      <w:numFmt w:val="bullet"/>
      <w:lvlText w:val="•"/>
      <w:lvlJc w:val="left"/>
      <w:pPr>
        <w:ind w:left="7408" w:hanging="900"/>
      </w:pPr>
      <w:rPr>
        <w:rFonts w:hint="default"/>
      </w:rPr>
    </w:lvl>
  </w:abstractNum>
  <w:abstractNum w:abstractNumId="3"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7"/>
  </w:num>
  <w:num w:numId="2">
    <w:abstractNumId w:val="4"/>
  </w:num>
  <w:num w:numId="3">
    <w:abstractNumId w:val="3"/>
  </w:num>
  <w:num w:numId="4">
    <w:abstractNumId w:val="8"/>
  </w:num>
  <w:num w:numId="5">
    <w:abstractNumId w:val="5"/>
  </w:num>
  <w:num w:numId="6">
    <w:abstractNumId w:val="9"/>
  </w:num>
  <w:num w:numId="7">
    <w:abstractNumId w:val="6"/>
  </w:num>
  <w:num w:numId="8">
    <w:abstractNumId w:val="0"/>
  </w:num>
  <w:num w:numId="9">
    <w:abstractNumId w:val="2"/>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03A1"/>
    <w:rsid w:val="000203CF"/>
    <w:rsid w:val="0003032C"/>
    <w:rsid w:val="00030CEB"/>
    <w:rsid w:val="00031C1F"/>
    <w:rsid w:val="000329F4"/>
    <w:rsid w:val="00034014"/>
    <w:rsid w:val="0003455B"/>
    <w:rsid w:val="00044431"/>
    <w:rsid w:val="000447D3"/>
    <w:rsid w:val="0004708F"/>
    <w:rsid w:val="000473AC"/>
    <w:rsid w:val="0004764C"/>
    <w:rsid w:val="00053ECA"/>
    <w:rsid w:val="0007089D"/>
    <w:rsid w:val="00070947"/>
    <w:rsid w:val="00074898"/>
    <w:rsid w:val="00075CD7"/>
    <w:rsid w:val="00083B26"/>
    <w:rsid w:val="00084FA5"/>
    <w:rsid w:val="00086AF4"/>
    <w:rsid w:val="00090251"/>
    <w:rsid w:val="000917D5"/>
    <w:rsid w:val="00095F53"/>
    <w:rsid w:val="000A1EA6"/>
    <w:rsid w:val="000A2E33"/>
    <w:rsid w:val="000A326A"/>
    <w:rsid w:val="000A35CC"/>
    <w:rsid w:val="000A4E1A"/>
    <w:rsid w:val="000B3E08"/>
    <w:rsid w:val="000B5AED"/>
    <w:rsid w:val="000C2043"/>
    <w:rsid w:val="000C23E0"/>
    <w:rsid w:val="000C4D1C"/>
    <w:rsid w:val="000C5388"/>
    <w:rsid w:val="000D085E"/>
    <w:rsid w:val="000D6313"/>
    <w:rsid w:val="000D71B6"/>
    <w:rsid w:val="000E68C5"/>
    <w:rsid w:val="00101DE7"/>
    <w:rsid w:val="00113B41"/>
    <w:rsid w:val="00122071"/>
    <w:rsid w:val="001264A1"/>
    <w:rsid w:val="00144E69"/>
    <w:rsid w:val="0015584F"/>
    <w:rsid w:val="001607C5"/>
    <w:rsid w:val="001608E4"/>
    <w:rsid w:val="00164BA5"/>
    <w:rsid w:val="00166710"/>
    <w:rsid w:val="001708DC"/>
    <w:rsid w:val="00170C3A"/>
    <w:rsid w:val="00176E0D"/>
    <w:rsid w:val="001A4676"/>
    <w:rsid w:val="001A7388"/>
    <w:rsid w:val="001B64E5"/>
    <w:rsid w:val="001D3A8B"/>
    <w:rsid w:val="001D472B"/>
    <w:rsid w:val="001E28F8"/>
    <w:rsid w:val="001E5DB7"/>
    <w:rsid w:val="001E77FE"/>
    <w:rsid w:val="001E7BDE"/>
    <w:rsid w:val="001F2913"/>
    <w:rsid w:val="00200B8A"/>
    <w:rsid w:val="00200DE4"/>
    <w:rsid w:val="00201BF8"/>
    <w:rsid w:val="00217DDE"/>
    <w:rsid w:val="0022156B"/>
    <w:rsid w:val="002278D0"/>
    <w:rsid w:val="002317D6"/>
    <w:rsid w:val="002325E2"/>
    <w:rsid w:val="002342AC"/>
    <w:rsid w:val="00242D7D"/>
    <w:rsid w:val="00250066"/>
    <w:rsid w:val="00251A85"/>
    <w:rsid w:val="002535A4"/>
    <w:rsid w:val="00267B72"/>
    <w:rsid w:val="00271DD2"/>
    <w:rsid w:val="00273CEE"/>
    <w:rsid w:val="00276081"/>
    <w:rsid w:val="00281B73"/>
    <w:rsid w:val="002831F7"/>
    <w:rsid w:val="00296656"/>
    <w:rsid w:val="002A0C20"/>
    <w:rsid w:val="002A2407"/>
    <w:rsid w:val="002B15BE"/>
    <w:rsid w:val="002B18A7"/>
    <w:rsid w:val="002B47FB"/>
    <w:rsid w:val="002C787E"/>
    <w:rsid w:val="002D0372"/>
    <w:rsid w:val="002D1324"/>
    <w:rsid w:val="002D444B"/>
    <w:rsid w:val="002D7716"/>
    <w:rsid w:val="002E0A5A"/>
    <w:rsid w:val="002E6145"/>
    <w:rsid w:val="002F5FFA"/>
    <w:rsid w:val="00302512"/>
    <w:rsid w:val="00316404"/>
    <w:rsid w:val="003301DA"/>
    <w:rsid w:val="0033260C"/>
    <w:rsid w:val="00332CD8"/>
    <w:rsid w:val="0033308C"/>
    <w:rsid w:val="00333BF6"/>
    <w:rsid w:val="0034107C"/>
    <w:rsid w:val="00352B11"/>
    <w:rsid w:val="00372B3B"/>
    <w:rsid w:val="00375D16"/>
    <w:rsid w:val="00380065"/>
    <w:rsid w:val="00381FFC"/>
    <w:rsid w:val="00382A92"/>
    <w:rsid w:val="0038747C"/>
    <w:rsid w:val="00394C17"/>
    <w:rsid w:val="00395574"/>
    <w:rsid w:val="003A0FD9"/>
    <w:rsid w:val="003A46FB"/>
    <w:rsid w:val="003A4DFA"/>
    <w:rsid w:val="003B1222"/>
    <w:rsid w:val="003B3338"/>
    <w:rsid w:val="003B3471"/>
    <w:rsid w:val="003B5FB5"/>
    <w:rsid w:val="003C1E53"/>
    <w:rsid w:val="003C1FD2"/>
    <w:rsid w:val="003C332B"/>
    <w:rsid w:val="003C425B"/>
    <w:rsid w:val="003D6258"/>
    <w:rsid w:val="003E0BD2"/>
    <w:rsid w:val="003E6D74"/>
    <w:rsid w:val="0040027F"/>
    <w:rsid w:val="00401753"/>
    <w:rsid w:val="00403BCE"/>
    <w:rsid w:val="00403F1B"/>
    <w:rsid w:val="0040704B"/>
    <w:rsid w:val="00407AED"/>
    <w:rsid w:val="00430C68"/>
    <w:rsid w:val="00433873"/>
    <w:rsid w:val="0044522E"/>
    <w:rsid w:val="00447B6B"/>
    <w:rsid w:val="0045654F"/>
    <w:rsid w:val="00466989"/>
    <w:rsid w:val="00467647"/>
    <w:rsid w:val="004701B0"/>
    <w:rsid w:val="00473E4D"/>
    <w:rsid w:val="00475C5F"/>
    <w:rsid w:val="004769A0"/>
    <w:rsid w:val="00476C1C"/>
    <w:rsid w:val="004806AE"/>
    <w:rsid w:val="0048700E"/>
    <w:rsid w:val="00495531"/>
    <w:rsid w:val="004A0FC3"/>
    <w:rsid w:val="004A17D6"/>
    <w:rsid w:val="004A30C7"/>
    <w:rsid w:val="004A3DE5"/>
    <w:rsid w:val="004C069E"/>
    <w:rsid w:val="004C15CA"/>
    <w:rsid w:val="004C3724"/>
    <w:rsid w:val="004D086A"/>
    <w:rsid w:val="004D1808"/>
    <w:rsid w:val="004D3468"/>
    <w:rsid w:val="004D4299"/>
    <w:rsid w:val="004D4DF3"/>
    <w:rsid w:val="004E1E45"/>
    <w:rsid w:val="004E2C89"/>
    <w:rsid w:val="004E7CF3"/>
    <w:rsid w:val="004F62C7"/>
    <w:rsid w:val="005007A4"/>
    <w:rsid w:val="00502A66"/>
    <w:rsid w:val="0050368E"/>
    <w:rsid w:val="00517726"/>
    <w:rsid w:val="00522735"/>
    <w:rsid w:val="005270F8"/>
    <w:rsid w:val="005276D1"/>
    <w:rsid w:val="005278E4"/>
    <w:rsid w:val="00535766"/>
    <w:rsid w:val="00536D29"/>
    <w:rsid w:val="00537771"/>
    <w:rsid w:val="005504FC"/>
    <w:rsid w:val="005509EC"/>
    <w:rsid w:val="00551411"/>
    <w:rsid w:val="005601AE"/>
    <w:rsid w:val="00561D7A"/>
    <w:rsid w:val="00562F6E"/>
    <w:rsid w:val="005A26F1"/>
    <w:rsid w:val="005A6AF2"/>
    <w:rsid w:val="005B0EAE"/>
    <w:rsid w:val="005C282B"/>
    <w:rsid w:val="005C2B01"/>
    <w:rsid w:val="005D2E18"/>
    <w:rsid w:val="005E0434"/>
    <w:rsid w:val="005E37DA"/>
    <w:rsid w:val="005E4F99"/>
    <w:rsid w:val="005E4F9B"/>
    <w:rsid w:val="005F3392"/>
    <w:rsid w:val="006168D1"/>
    <w:rsid w:val="00622244"/>
    <w:rsid w:val="006244FF"/>
    <w:rsid w:val="00625EBB"/>
    <w:rsid w:val="006274DD"/>
    <w:rsid w:val="006310EC"/>
    <w:rsid w:val="00631780"/>
    <w:rsid w:val="00631967"/>
    <w:rsid w:val="00651B1D"/>
    <w:rsid w:val="0065242B"/>
    <w:rsid w:val="006525A8"/>
    <w:rsid w:val="0065495C"/>
    <w:rsid w:val="0066099A"/>
    <w:rsid w:val="00660DE7"/>
    <w:rsid w:val="00661502"/>
    <w:rsid w:val="00663972"/>
    <w:rsid w:val="00664F58"/>
    <w:rsid w:val="00676A5E"/>
    <w:rsid w:val="00676DAC"/>
    <w:rsid w:val="00682444"/>
    <w:rsid w:val="00691593"/>
    <w:rsid w:val="00691E4F"/>
    <w:rsid w:val="0069718A"/>
    <w:rsid w:val="006A037A"/>
    <w:rsid w:val="006A358A"/>
    <w:rsid w:val="006A35C6"/>
    <w:rsid w:val="006A3EFE"/>
    <w:rsid w:val="006B7E47"/>
    <w:rsid w:val="006C325E"/>
    <w:rsid w:val="006C3A71"/>
    <w:rsid w:val="006D4D33"/>
    <w:rsid w:val="006E6EA5"/>
    <w:rsid w:val="006F05DA"/>
    <w:rsid w:val="006F0ACC"/>
    <w:rsid w:val="006F2142"/>
    <w:rsid w:val="006F3DBD"/>
    <w:rsid w:val="00715EBB"/>
    <w:rsid w:val="00717FD1"/>
    <w:rsid w:val="00721C76"/>
    <w:rsid w:val="00722685"/>
    <w:rsid w:val="00734B25"/>
    <w:rsid w:val="00736DD6"/>
    <w:rsid w:val="00737488"/>
    <w:rsid w:val="007456A3"/>
    <w:rsid w:val="00772AC4"/>
    <w:rsid w:val="00777625"/>
    <w:rsid w:val="007861FE"/>
    <w:rsid w:val="00786283"/>
    <w:rsid w:val="00795583"/>
    <w:rsid w:val="007A5D4B"/>
    <w:rsid w:val="007A7208"/>
    <w:rsid w:val="007B1F76"/>
    <w:rsid w:val="007B4E08"/>
    <w:rsid w:val="007B59B5"/>
    <w:rsid w:val="007C039F"/>
    <w:rsid w:val="007C22B6"/>
    <w:rsid w:val="007C68E7"/>
    <w:rsid w:val="007D5727"/>
    <w:rsid w:val="007E57D5"/>
    <w:rsid w:val="007F1315"/>
    <w:rsid w:val="007F1693"/>
    <w:rsid w:val="007F1B85"/>
    <w:rsid w:val="007F40E3"/>
    <w:rsid w:val="007F43CF"/>
    <w:rsid w:val="007F4A09"/>
    <w:rsid w:val="00804B0C"/>
    <w:rsid w:val="00805258"/>
    <w:rsid w:val="008062CC"/>
    <w:rsid w:val="008073A2"/>
    <w:rsid w:val="00807CA7"/>
    <w:rsid w:val="00807E19"/>
    <w:rsid w:val="00811A04"/>
    <w:rsid w:val="00817A10"/>
    <w:rsid w:val="00825756"/>
    <w:rsid w:val="00827956"/>
    <w:rsid w:val="00830753"/>
    <w:rsid w:val="008349FB"/>
    <w:rsid w:val="00835612"/>
    <w:rsid w:val="008426E0"/>
    <w:rsid w:val="0084316E"/>
    <w:rsid w:val="0084640C"/>
    <w:rsid w:val="00851169"/>
    <w:rsid w:val="00853E85"/>
    <w:rsid w:val="00855FFF"/>
    <w:rsid w:val="008573D2"/>
    <w:rsid w:val="008603B9"/>
    <w:rsid w:val="0087337D"/>
    <w:rsid w:val="00874C51"/>
    <w:rsid w:val="00880DCF"/>
    <w:rsid w:val="00887E57"/>
    <w:rsid w:val="00894BE8"/>
    <w:rsid w:val="008A2152"/>
    <w:rsid w:val="008A22E8"/>
    <w:rsid w:val="008A7B84"/>
    <w:rsid w:val="008B146B"/>
    <w:rsid w:val="008B4220"/>
    <w:rsid w:val="008C01E3"/>
    <w:rsid w:val="008C399F"/>
    <w:rsid w:val="008C6D75"/>
    <w:rsid w:val="008D0226"/>
    <w:rsid w:val="008D1C2C"/>
    <w:rsid w:val="008D2C4B"/>
    <w:rsid w:val="008D5360"/>
    <w:rsid w:val="008E5438"/>
    <w:rsid w:val="008F3AB1"/>
    <w:rsid w:val="009008C4"/>
    <w:rsid w:val="00905A82"/>
    <w:rsid w:val="00910FFF"/>
    <w:rsid w:val="009226DF"/>
    <w:rsid w:val="0092281E"/>
    <w:rsid w:val="00924ADA"/>
    <w:rsid w:val="00945709"/>
    <w:rsid w:val="00952D42"/>
    <w:rsid w:val="009614DC"/>
    <w:rsid w:val="009618DF"/>
    <w:rsid w:val="00961DAB"/>
    <w:rsid w:val="0096457D"/>
    <w:rsid w:val="00965E7F"/>
    <w:rsid w:val="009865D0"/>
    <w:rsid w:val="00987432"/>
    <w:rsid w:val="0098772E"/>
    <w:rsid w:val="00990656"/>
    <w:rsid w:val="009A0EA3"/>
    <w:rsid w:val="009A1CD5"/>
    <w:rsid w:val="009A6532"/>
    <w:rsid w:val="009A70B0"/>
    <w:rsid w:val="009B4B3F"/>
    <w:rsid w:val="009C078D"/>
    <w:rsid w:val="009C3E26"/>
    <w:rsid w:val="009C685E"/>
    <w:rsid w:val="009C7A6B"/>
    <w:rsid w:val="009D367A"/>
    <w:rsid w:val="009D4BDE"/>
    <w:rsid w:val="009D603C"/>
    <w:rsid w:val="009E08A9"/>
    <w:rsid w:val="009E4E4C"/>
    <w:rsid w:val="009F2B78"/>
    <w:rsid w:val="009F2F7A"/>
    <w:rsid w:val="009F59A5"/>
    <w:rsid w:val="00A13B9C"/>
    <w:rsid w:val="00A14B3C"/>
    <w:rsid w:val="00A16215"/>
    <w:rsid w:val="00A169F8"/>
    <w:rsid w:val="00A17E04"/>
    <w:rsid w:val="00A201BF"/>
    <w:rsid w:val="00A20A71"/>
    <w:rsid w:val="00A20ADD"/>
    <w:rsid w:val="00A23A36"/>
    <w:rsid w:val="00A264CC"/>
    <w:rsid w:val="00A31A99"/>
    <w:rsid w:val="00A40B9A"/>
    <w:rsid w:val="00A43CFB"/>
    <w:rsid w:val="00A47F09"/>
    <w:rsid w:val="00A5167D"/>
    <w:rsid w:val="00A5320B"/>
    <w:rsid w:val="00A67D7E"/>
    <w:rsid w:val="00A74535"/>
    <w:rsid w:val="00A75AE4"/>
    <w:rsid w:val="00A77848"/>
    <w:rsid w:val="00A94C41"/>
    <w:rsid w:val="00A94F2E"/>
    <w:rsid w:val="00A9762E"/>
    <w:rsid w:val="00AA1508"/>
    <w:rsid w:val="00AA3F8F"/>
    <w:rsid w:val="00AA6881"/>
    <w:rsid w:val="00AB4ACE"/>
    <w:rsid w:val="00AC281C"/>
    <w:rsid w:val="00AC5D26"/>
    <w:rsid w:val="00AC686F"/>
    <w:rsid w:val="00AD72AC"/>
    <w:rsid w:val="00AE2E30"/>
    <w:rsid w:val="00AE4C4D"/>
    <w:rsid w:val="00AE58CE"/>
    <w:rsid w:val="00AF060A"/>
    <w:rsid w:val="00AF1157"/>
    <w:rsid w:val="00AF180E"/>
    <w:rsid w:val="00B00753"/>
    <w:rsid w:val="00B02368"/>
    <w:rsid w:val="00B05676"/>
    <w:rsid w:val="00B06EE5"/>
    <w:rsid w:val="00B1047F"/>
    <w:rsid w:val="00B17512"/>
    <w:rsid w:val="00B23FF6"/>
    <w:rsid w:val="00B30CD3"/>
    <w:rsid w:val="00B31E02"/>
    <w:rsid w:val="00B36390"/>
    <w:rsid w:val="00B465B7"/>
    <w:rsid w:val="00B502FE"/>
    <w:rsid w:val="00B508E9"/>
    <w:rsid w:val="00B72AC4"/>
    <w:rsid w:val="00B8672A"/>
    <w:rsid w:val="00B903C3"/>
    <w:rsid w:val="00B95061"/>
    <w:rsid w:val="00BA1A21"/>
    <w:rsid w:val="00BA3D4B"/>
    <w:rsid w:val="00BB33BF"/>
    <w:rsid w:val="00BB67E5"/>
    <w:rsid w:val="00BC1D1F"/>
    <w:rsid w:val="00BD3333"/>
    <w:rsid w:val="00BD3AAA"/>
    <w:rsid w:val="00BE3C19"/>
    <w:rsid w:val="00C021E5"/>
    <w:rsid w:val="00C0410A"/>
    <w:rsid w:val="00C05949"/>
    <w:rsid w:val="00C11ECA"/>
    <w:rsid w:val="00C1362D"/>
    <w:rsid w:val="00C26C37"/>
    <w:rsid w:val="00C26E68"/>
    <w:rsid w:val="00C271EA"/>
    <w:rsid w:val="00C3085C"/>
    <w:rsid w:val="00C315E3"/>
    <w:rsid w:val="00C3161A"/>
    <w:rsid w:val="00C344CB"/>
    <w:rsid w:val="00C44FF8"/>
    <w:rsid w:val="00C543FF"/>
    <w:rsid w:val="00C54805"/>
    <w:rsid w:val="00C64D2C"/>
    <w:rsid w:val="00C71838"/>
    <w:rsid w:val="00C90463"/>
    <w:rsid w:val="00C90EBB"/>
    <w:rsid w:val="00C935A5"/>
    <w:rsid w:val="00C93FBB"/>
    <w:rsid w:val="00CA07BF"/>
    <w:rsid w:val="00CA7E3C"/>
    <w:rsid w:val="00CB1E40"/>
    <w:rsid w:val="00CB4A84"/>
    <w:rsid w:val="00CB5AAB"/>
    <w:rsid w:val="00CB5B3C"/>
    <w:rsid w:val="00CB6F58"/>
    <w:rsid w:val="00CB7E90"/>
    <w:rsid w:val="00CC0750"/>
    <w:rsid w:val="00CC1E7D"/>
    <w:rsid w:val="00CC2DE7"/>
    <w:rsid w:val="00CD21EC"/>
    <w:rsid w:val="00CD524F"/>
    <w:rsid w:val="00CE0610"/>
    <w:rsid w:val="00CE12C0"/>
    <w:rsid w:val="00CE7C8D"/>
    <w:rsid w:val="00CF1C87"/>
    <w:rsid w:val="00D004D6"/>
    <w:rsid w:val="00D01AA2"/>
    <w:rsid w:val="00D03A61"/>
    <w:rsid w:val="00D059BB"/>
    <w:rsid w:val="00D079E7"/>
    <w:rsid w:val="00D1278A"/>
    <w:rsid w:val="00D30C51"/>
    <w:rsid w:val="00D36A5E"/>
    <w:rsid w:val="00D414AB"/>
    <w:rsid w:val="00D45EA1"/>
    <w:rsid w:val="00D460BA"/>
    <w:rsid w:val="00D4693F"/>
    <w:rsid w:val="00D502E6"/>
    <w:rsid w:val="00D50640"/>
    <w:rsid w:val="00D56B01"/>
    <w:rsid w:val="00D60438"/>
    <w:rsid w:val="00D6325C"/>
    <w:rsid w:val="00D6348B"/>
    <w:rsid w:val="00D638C0"/>
    <w:rsid w:val="00D63BF9"/>
    <w:rsid w:val="00D656EA"/>
    <w:rsid w:val="00D721A9"/>
    <w:rsid w:val="00D73D2D"/>
    <w:rsid w:val="00D742EE"/>
    <w:rsid w:val="00D76DF0"/>
    <w:rsid w:val="00D812C2"/>
    <w:rsid w:val="00D85E10"/>
    <w:rsid w:val="00D940CA"/>
    <w:rsid w:val="00D9472F"/>
    <w:rsid w:val="00D970BC"/>
    <w:rsid w:val="00DA29D8"/>
    <w:rsid w:val="00DA48D4"/>
    <w:rsid w:val="00DA703D"/>
    <w:rsid w:val="00DB3DA0"/>
    <w:rsid w:val="00DC43F8"/>
    <w:rsid w:val="00DE1821"/>
    <w:rsid w:val="00DE292E"/>
    <w:rsid w:val="00DE3921"/>
    <w:rsid w:val="00DE66FC"/>
    <w:rsid w:val="00DE75FB"/>
    <w:rsid w:val="00DF264C"/>
    <w:rsid w:val="00DF5F98"/>
    <w:rsid w:val="00E05B22"/>
    <w:rsid w:val="00E115FD"/>
    <w:rsid w:val="00E1291A"/>
    <w:rsid w:val="00E179E3"/>
    <w:rsid w:val="00E2443E"/>
    <w:rsid w:val="00E323CD"/>
    <w:rsid w:val="00E3303B"/>
    <w:rsid w:val="00E405E8"/>
    <w:rsid w:val="00E414F9"/>
    <w:rsid w:val="00E41ED9"/>
    <w:rsid w:val="00E4448C"/>
    <w:rsid w:val="00E45CBA"/>
    <w:rsid w:val="00E51AD7"/>
    <w:rsid w:val="00E5663C"/>
    <w:rsid w:val="00E56744"/>
    <w:rsid w:val="00E56E11"/>
    <w:rsid w:val="00E660BE"/>
    <w:rsid w:val="00E73834"/>
    <w:rsid w:val="00E76231"/>
    <w:rsid w:val="00E826A2"/>
    <w:rsid w:val="00E85FEF"/>
    <w:rsid w:val="00E86B1B"/>
    <w:rsid w:val="00E95D07"/>
    <w:rsid w:val="00E978A9"/>
    <w:rsid w:val="00EA4927"/>
    <w:rsid w:val="00EB5C01"/>
    <w:rsid w:val="00EC3DAE"/>
    <w:rsid w:val="00EC4FC3"/>
    <w:rsid w:val="00EC6BDC"/>
    <w:rsid w:val="00ED45AE"/>
    <w:rsid w:val="00ED4A03"/>
    <w:rsid w:val="00ED71DC"/>
    <w:rsid w:val="00ED7233"/>
    <w:rsid w:val="00ED767F"/>
    <w:rsid w:val="00EE4237"/>
    <w:rsid w:val="00EF7422"/>
    <w:rsid w:val="00F03208"/>
    <w:rsid w:val="00F058FA"/>
    <w:rsid w:val="00F10C50"/>
    <w:rsid w:val="00F27376"/>
    <w:rsid w:val="00F428D8"/>
    <w:rsid w:val="00F42EE0"/>
    <w:rsid w:val="00F442A2"/>
    <w:rsid w:val="00F535CA"/>
    <w:rsid w:val="00F618E0"/>
    <w:rsid w:val="00F67DC1"/>
    <w:rsid w:val="00F85483"/>
    <w:rsid w:val="00F90F39"/>
    <w:rsid w:val="00F95A6D"/>
    <w:rsid w:val="00F9797F"/>
    <w:rsid w:val="00FA228E"/>
    <w:rsid w:val="00FA73FD"/>
    <w:rsid w:val="00FC0007"/>
    <w:rsid w:val="00FD18EE"/>
    <w:rsid w:val="00FD3E88"/>
    <w:rsid w:val="00FE0728"/>
    <w:rsid w:val="00FE29D6"/>
    <w:rsid w:val="00FE2AEE"/>
    <w:rsid w:val="00FE53DF"/>
    <w:rsid w:val="00FF0C74"/>
    <w:rsid w:val="00FF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8D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BodyText">
    <w:name w:val="Body Text"/>
    <w:basedOn w:val="Normal"/>
    <w:link w:val="BodyTextChar"/>
    <w:rsid w:val="005601AE"/>
    <w:pPr>
      <w:spacing w:after="120"/>
    </w:pPr>
  </w:style>
  <w:style w:type="character" w:customStyle="1" w:styleId="BodyTextChar">
    <w:name w:val="Body Text Char"/>
    <w:basedOn w:val="DefaultParagraphFont"/>
    <w:link w:val="BodyText"/>
    <w:rsid w:val="005601AE"/>
    <w:rPr>
      <w:sz w:val="24"/>
      <w:szCs w:val="24"/>
    </w:rPr>
  </w:style>
  <w:style w:type="paragraph" w:styleId="Revision">
    <w:name w:val="Revision"/>
    <w:hidden/>
    <w:uiPriority w:val="99"/>
    <w:semiHidden/>
    <w:rsid w:val="000203A1"/>
    <w:rPr>
      <w:sz w:val="24"/>
      <w:szCs w:val="24"/>
    </w:rPr>
  </w:style>
  <w:style w:type="paragraph" w:styleId="FootnoteText">
    <w:name w:val="footnote text"/>
    <w:basedOn w:val="Normal"/>
    <w:link w:val="FootnoteTextChar"/>
    <w:rsid w:val="00924ADA"/>
    <w:rPr>
      <w:sz w:val="20"/>
      <w:szCs w:val="20"/>
    </w:rPr>
  </w:style>
  <w:style w:type="character" w:customStyle="1" w:styleId="FootnoteTextChar">
    <w:name w:val="Footnote Text Char"/>
    <w:basedOn w:val="DefaultParagraphFont"/>
    <w:link w:val="FootnoteText"/>
    <w:rsid w:val="00924ADA"/>
  </w:style>
  <w:style w:type="character" w:styleId="FootnoteReference">
    <w:name w:val="footnote reference"/>
    <w:basedOn w:val="DefaultParagraphFont"/>
    <w:uiPriority w:val="99"/>
    <w:rsid w:val="00924ADA"/>
    <w:rPr>
      <w:vertAlign w:val="superscript"/>
    </w:rPr>
  </w:style>
  <w:style w:type="table" w:customStyle="1" w:styleId="TableGrid1">
    <w:name w:val="Table Grid1"/>
    <w:basedOn w:val="TableNormal"/>
    <w:next w:val="TableGrid"/>
    <w:uiPriority w:val="39"/>
    <w:rsid w:val="009F2B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33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C07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524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766921397">
      <w:bodyDiv w:val="1"/>
      <w:marLeft w:val="0"/>
      <w:marRight w:val="0"/>
      <w:marTop w:val="0"/>
      <w:marBottom w:val="0"/>
      <w:divBdr>
        <w:top w:val="none" w:sz="0" w:space="0" w:color="auto"/>
        <w:left w:val="none" w:sz="0" w:space="0" w:color="auto"/>
        <w:bottom w:val="none" w:sz="0" w:space="0" w:color="auto"/>
        <w:right w:val="none" w:sz="0" w:space="0" w:color="auto"/>
      </w:divBdr>
    </w:div>
    <w:div w:id="83880984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18096217">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787383483">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2020-08-21T19:29:00Z</dcterms:created>
  <dcterms:modified xsi:type="dcterms:W3CDTF">2020-08-21T19:56:00Z</dcterms:modified>
</cp:coreProperties>
</file>