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E10F9" w:rsidR="006A5E5C" w:rsidRDefault="00A11076">
      <w:pPr>
        <w:rPr>
          <w:b/>
          <w:sz w:val="28"/>
          <w:szCs w:val="28"/>
          <w:u w:val="single"/>
        </w:rPr>
      </w:pPr>
      <w:r w:rsidRPr="000E10F9">
        <w:rPr>
          <w:b/>
          <w:sz w:val="28"/>
          <w:szCs w:val="28"/>
          <w:u w:val="single"/>
        </w:rPr>
        <w:t xml:space="preserve">ACL Response to OMB comment </w:t>
      </w:r>
    </w:p>
    <w:tbl>
      <w:tblPr>
        <w:tblW w:w="4368" w:type="pct"/>
        <w:tblBorders>
          <w:top w:val="single" w:color="C5DBEC" w:sz="6" w:space="0"/>
          <w:left w:val="single" w:color="C5DBEC" w:sz="6" w:space="0"/>
          <w:bottom w:val="single" w:color="C5DBEC" w:sz="6" w:space="0"/>
          <w:right w:val="single" w:color="C5DBEC" w:sz="6" w:space="0"/>
        </w:tblBorders>
        <w:shd w:val="clear" w:color="auto" w:fill="FFFFFF"/>
        <w:tblCellMar>
          <w:left w:w="0" w:type="dxa"/>
          <w:right w:w="0" w:type="dxa"/>
        </w:tblCellMar>
        <w:tblLook w:val="04A0" w:firstRow="1" w:lastRow="0" w:firstColumn="1" w:lastColumn="0" w:noHBand="0" w:noVBand="1"/>
        <w:tblDescription w:val="Submitted Request List"/>
      </w:tblPr>
      <w:tblGrid>
        <w:gridCol w:w="1864"/>
        <w:gridCol w:w="918"/>
        <w:gridCol w:w="170"/>
        <w:gridCol w:w="5218"/>
      </w:tblGrid>
      <w:tr w:rsidRPr="006A5E5C" w:rsidR="006A5E5C" w:rsidTr="006A5E5C">
        <w:trPr>
          <w:trHeight w:val="375"/>
        </w:trPr>
        <w:tc>
          <w:tcPr>
            <w:tcW w:w="1141" w:type="pct"/>
            <w:tcBorders>
              <w:top w:val="nil"/>
              <w:left w:val="nil"/>
              <w:bottom w:val="nil"/>
              <w:right w:val="single" w:color="C5DBEC" w:sz="6" w:space="0"/>
            </w:tcBorders>
            <w:shd w:val="clear" w:color="auto" w:fill="E0FF84"/>
            <w:tcMar>
              <w:top w:w="60" w:type="dxa"/>
              <w:left w:w="60" w:type="dxa"/>
              <w:bottom w:w="60" w:type="dxa"/>
              <w:right w:w="60" w:type="dxa"/>
            </w:tcMar>
            <w:hideMark/>
          </w:tcPr>
          <w:p w:rsidRPr="006A5E5C" w:rsidR="006A5E5C" w:rsidP="006A5E5C" w:rsidRDefault="006A5E5C">
            <w:r w:rsidRPr="006A5E5C">
              <w:t>202008-0985-001</w:t>
            </w:r>
          </w:p>
        </w:tc>
        <w:tc>
          <w:tcPr>
            <w:tcW w:w="0" w:type="auto"/>
            <w:tcBorders>
              <w:top w:val="nil"/>
              <w:left w:val="nil"/>
              <w:bottom w:val="nil"/>
              <w:right w:val="single" w:color="C5DBEC" w:sz="6" w:space="0"/>
            </w:tcBorders>
            <w:shd w:val="clear" w:color="auto" w:fill="E0FF84"/>
            <w:tcMar>
              <w:top w:w="60" w:type="dxa"/>
              <w:left w:w="60" w:type="dxa"/>
              <w:bottom w:w="60" w:type="dxa"/>
              <w:right w:w="60" w:type="dxa"/>
            </w:tcMar>
            <w:hideMark/>
          </w:tcPr>
          <w:p w:rsidRPr="006A5E5C" w:rsidR="006A5E5C" w:rsidP="006A5E5C" w:rsidRDefault="006A5E5C">
            <w:r w:rsidRPr="006A5E5C">
              <w:t>HHS/ACL</w:t>
            </w:r>
          </w:p>
        </w:tc>
        <w:tc>
          <w:tcPr>
            <w:tcW w:w="0" w:type="auto"/>
            <w:tcBorders>
              <w:top w:val="nil"/>
              <w:left w:val="nil"/>
              <w:bottom w:val="nil"/>
              <w:right w:val="single" w:color="C5DBEC" w:sz="6" w:space="0"/>
            </w:tcBorders>
            <w:shd w:val="clear" w:color="auto" w:fill="E0FF84"/>
            <w:tcMar>
              <w:top w:w="60" w:type="dxa"/>
              <w:left w:w="60" w:type="dxa"/>
              <w:bottom w:w="60" w:type="dxa"/>
              <w:right w:w="60" w:type="dxa"/>
            </w:tcMar>
            <w:hideMark/>
          </w:tcPr>
          <w:p w:rsidRPr="006A5E5C" w:rsidR="006A5E5C" w:rsidP="006A5E5C" w:rsidRDefault="006A5E5C">
            <w:r w:rsidRPr="006A5E5C">
              <w:t> </w:t>
            </w:r>
          </w:p>
        </w:tc>
        <w:tc>
          <w:tcPr>
            <w:tcW w:w="0" w:type="auto"/>
            <w:tcBorders>
              <w:top w:val="nil"/>
              <w:left w:val="nil"/>
              <w:bottom w:val="nil"/>
              <w:right w:val="single" w:color="C5DBEC" w:sz="6" w:space="0"/>
            </w:tcBorders>
            <w:shd w:val="clear" w:color="auto" w:fill="E0FF84"/>
            <w:tcMar>
              <w:top w:w="60" w:type="dxa"/>
              <w:left w:w="60" w:type="dxa"/>
              <w:bottom w:w="60" w:type="dxa"/>
              <w:right w:w="60" w:type="dxa"/>
            </w:tcMar>
            <w:hideMark/>
          </w:tcPr>
          <w:p w:rsidRPr="006A5E5C" w:rsidR="006A5E5C" w:rsidP="006A5E5C" w:rsidRDefault="006A5E5C">
            <w:r w:rsidRPr="006A5E5C">
              <w:t>Outcome Evaluation of the Long-Term Care Ombudsman Program (LTCOP)</w:t>
            </w:r>
          </w:p>
        </w:tc>
      </w:tr>
    </w:tbl>
    <w:p w:rsidR="00F31965" w:rsidRDefault="00F31965"/>
    <w:p w:rsidRPr="000E10F9" w:rsidR="00A11076" w:rsidRDefault="006A5E5C">
      <w:pPr>
        <w:rPr>
          <w:b/>
          <w:sz w:val="28"/>
          <w:szCs w:val="28"/>
          <w:u w:val="single"/>
        </w:rPr>
      </w:pPr>
      <w:r w:rsidRPr="000E10F9">
        <w:rPr>
          <w:b/>
          <w:sz w:val="28"/>
          <w:szCs w:val="28"/>
          <w:u w:val="single"/>
        </w:rPr>
        <w:t xml:space="preserve">OMB Comment: </w:t>
      </w:r>
    </w:p>
    <w:p w:rsidRPr="006A5E5C" w:rsidR="006A5E5C" w:rsidP="006A5E5C" w:rsidRDefault="006A5E5C">
      <w:r>
        <w:t>P</w:t>
      </w:r>
      <w:r w:rsidRPr="006A5E5C">
        <w:t>rovide a brief write-up describing any changes in their plans for the administration of this collection (Outcome Evaluation of the Long-Term Care Ombudsman Program (LTCOP)</w:t>
      </w:r>
      <w:r>
        <w:t xml:space="preserve">. Given the coronavirus pandemic, as written </w:t>
      </w:r>
      <w:r w:rsidRPr="006A5E5C">
        <w:t>there are several in-person elements and we are asking agencies to consider the risks to participants and staff along with alternative modes of data collection, if appropriate, given the public health emergency.</w:t>
      </w:r>
    </w:p>
    <w:p w:rsidR="006A5E5C" w:rsidRDefault="006A5E5C">
      <w:bookmarkStart w:name="_GoBack" w:id="0"/>
      <w:bookmarkEnd w:id="0"/>
    </w:p>
    <w:p w:rsidR="00A11076" w:rsidRDefault="00A11076"/>
    <w:p w:rsidRPr="000E10F9" w:rsidR="00A11076" w:rsidP="00A11076" w:rsidRDefault="00A11076">
      <w:pPr>
        <w:textAlignment w:val="center"/>
        <w:rPr>
          <w:rFonts w:asciiTheme="minorHAnsi" w:hAnsiTheme="minorHAnsi" w:cstheme="minorHAnsi"/>
          <w:b/>
          <w:sz w:val="24"/>
          <w:szCs w:val="24"/>
          <w:u w:val="single"/>
        </w:rPr>
      </w:pPr>
      <w:r w:rsidRPr="000E10F9">
        <w:rPr>
          <w:rFonts w:asciiTheme="minorHAnsi" w:hAnsiTheme="minorHAnsi" w:cstheme="minorHAnsi"/>
          <w:b/>
          <w:sz w:val="24"/>
          <w:szCs w:val="24"/>
          <w:u w:val="single"/>
        </w:rPr>
        <w:t>Methodological changes:</w:t>
      </w:r>
    </w:p>
    <w:p w:rsidRPr="000E10F9" w:rsidR="00A11076" w:rsidP="00A11076" w:rsidRDefault="00A11076">
      <w:pPr>
        <w:ind w:left="540"/>
        <w:rPr>
          <w:rFonts w:asciiTheme="minorHAnsi" w:hAnsiTheme="minorHAnsi" w:cstheme="minorHAnsi"/>
          <w:sz w:val="24"/>
          <w:szCs w:val="24"/>
        </w:rPr>
      </w:pPr>
      <w:r w:rsidRPr="000E10F9">
        <w:rPr>
          <w:rFonts w:asciiTheme="minorHAnsi" w:hAnsiTheme="minorHAnsi" w:cstheme="minorHAnsi"/>
          <w:sz w:val="24"/>
          <w:szCs w:val="24"/>
          <w:shd w:val="clear" w:color="auto" w:fill="FFFFFF"/>
        </w:rPr>
        <w:t xml:space="preserve">Originally, the NORC team planned to conduct in-person focus groups and site visits to the four states selected to participate in the evaluation. </w:t>
      </w:r>
      <w:proofErr w:type="gramStart"/>
      <w:r w:rsidRPr="000E10F9">
        <w:rPr>
          <w:rFonts w:asciiTheme="minorHAnsi" w:hAnsiTheme="minorHAnsi" w:cstheme="minorHAnsi"/>
          <w:sz w:val="24"/>
          <w:szCs w:val="24"/>
          <w:shd w:val="clear" w:color="auto" w:fill="FFFFFF"/>
        </w:rPr>
        <w:t>Given restrictions related to COVID-19, however, the team now anticipates carrying out much of the data collection virtually and will tailor these activities to each program.</w:t>
      </w:r>
      <w:proofErr w:type="gramEnd"/>
      <w:r w:rsidRPr="000E10F9">
        <w:rPr>
          <w:rFonts w:asciiTheme="minorHAnsi" w:hAnsiTheme="minorHAnsi" w:cstheme="minorHAnsi"/>
          <w:sz w:val="24"/>
          <w:szCs w:val="24"/>
          <w:shd w:val="clear" w:color="auto" w:fill="FFFFFF"/>
        </w:rPr>
        <w:t xml:space="preserve"> Because of the need to be flexible, the team will use a variety of data collection </w:t>
      </w:r>
      <w:r w:rsidRPr="000E10F9" w:rsidR="006A5E5C">
        <w:rPr>
          <w:rFonts w:asciiTheme="minorHAnsi" w:hAnsiTheme="minorHAnsi" w:cstheme="minorHAnsi"/>
          <w:sz w:val="24"/>
          <w:szCs w:val="24"/>
          <w:shd w:val="clear" w:color="auto" w:fill="FFFFFF"/>
        </w:rPr>
        <w:t xml:space="preserve">methods </w:t>
      </w:r>
      <w:r w:rsidRPr="000E10F9">
        <w:rPr>
          <w:rFonts w:asciiTheme="minorHAnsi" w:hAnsiTheme="minorHAnsi" w:cstheme="minorHAnsi"/>
          <w:sz w:val="24"/>
          <w:szCs w:val="24"/>
          <w:shd w:val="clear" w:color="auto" w:fill="FFFFFF"/>
        </w:rPr>
        <w:t xml:space="preserve">across sites. Below we describe modifications to our original in-person data collection approach:  </w:t>
      </w:r>
    </w:p>
    <w:p w:rsidRPr="000E10F9" w:rsidR="00A11076" w:rsidP="00A11076" w:rsidRDefault="00A11076">
      <w:pPr>
        <w:ind w:left="540"/>
        <w:rPr>
          <w:rFonts w:asciiTheme="minorHAnsi" w:hAnsiTheme="minorHAnsi" w:cstheme="minorHAnsi"/>
          <w:sz w:val="24"/>
          <w:szCs w:val="24"/>
        </w:rPr>
      </w:pPr>
      <w:r w:rsidRPr="000E10F9">
        <w:rPr>
          <w:rFonts w:asciiTheme="minorHAnsi" w:hAnsiTheme="minorHAnsi" w:cstheme="minorHAnsi"/>
          <w:sz w:val="24"/>
          <w:szCs w:val="24"/>
          <w:shd w:val="clear" w:color="auto" w:fill="FFFFFF"/>
        </w:rPr>
        <w:t> </w:t>
      </w:r>
    </w:p>
    <w:p w:rsidRPr="000E10F9" w:rsidR="00A11076" w:rsidP="00A11076" w:rsidRDefault="00A11076">
      <w:pPr>
        <w:ind w:left="540"/>
        <w:rPr>
          <w:rFonts w:asciiTheme="minorHAnsi" w:hAnsiTheme="minorHAnsi" w:cstheme="minorHAnsi"/>
          <w:sz w:val="24"/>
          <w:szCs w:val="24"/>
        </w:rPr>
      </w:pPr>
      <w:r w:rsidRPr="000E10F9">
        <w:rPr>
          <w:rFonts w:asciiTheme="minorHAnsi" w:hAnsiTheme="minorHAnsi" w:cstheme="minorHAnsi"/>
          <w:b/>
          <w:bCs/>
          <w:sz w:val="24"/>
          <w:szCs w:val="24"/>
          <w:shd w:val="clear" w:color="auto" w:fill="FFFFFF"/>
        </w:rPr>
        <w:t>Focus groups with residents/family members</w:t>
      </w:r>
      <w:r w:rsidRPr="000E10F9">
        <w:rPr>
          <w:rFonts w:asciiTheme="minorHAnsi" w:hAnsiTheme="minorHAnsi" w:cstheme="minorHAnsi"/>
          <w:sz w:val="24"/>
          <w:szCs w:val="24"/>
          <w:shd w:val="clear" w:color="auto" w:fill="FFFFFF"/>
        </w:rPr>
        <w:t xml:space="preserve">: We will work with each program to identify the most appropriate data collection method, given current program practices. For example, we understand that some programs host weekly virtual meetings with residents and their families, while others have been able to host small gatherings with residents and family members out of doors. Based on each program’s response to the pandemic, the team will adapt our approach accordingly. Should the team be able to conduct focus groups on site, we will look into providing light refreshments if this is an acceptable option. </w:t>
      </w:r>
    </w:p>
    <w:p w:rsidRPr="000E10F9" w:rsidR="00A11076" w:rsidP="00A11076" w:rsidRDefault="00A11076">
      <w:pPr>
        <w:ind w:left="540"/>
        <w:rPr>
          <w:rFonts w:asciiTheme="minorHAnsi" w:hAnsiTheme="minorHAnsi" w:cstheme="minorHAnsi"/>
          <w:sz w:val="24"/>
          <w:szCs w:val="24"/>
        </w:rPr>
      </w:pPr>
      <w:r w:rsidRPr="000E10F9">
        <w:rPr>
          <w:rFonts w:asciiTheme="minorHAnsi" w:hAnsiTheme="minorHAnsi" w:cstheme="minorHAnsi"/>
          <w:sz w:val="24"/>
          <w:szCs w:val="24"/>
          <w:shd w:val="clear" w:color="auto" w:fill="FFFFFF"/>
        </w:rPr>
        <w:t> </w:t>
      </w:r>
    </w:p>
    <w:p w:rsidRPr="000E10F9" w:rsidR="00A11076" w:rsidP="00A11076" w:rsidRDefault="00A11076">
      <w:pPr>
        <w:ind w:left="540"/>
        <w:rPr>
          <w:rFonts w:asciiTheme="minorHAnsi" w:hAnsiTheme="minorHAnsi" w:cstheme="minorHAnsi"/>
          <w:sz w:val="24"/>
          <w:szCs w:val="24"/>
        </w:rPr>
      </w:pPr>
      <w:r w:rsidRPr="000E10F9">
        <w:rPr>
          <w:rFonts w:asciiTheme="minorHAnsi" w:hAnsiTheme="minorHAnsi" w:cstheme="minorHAnsi"/>
          <w:b/>
          <w:bCs/>
          <w:sz w:val="24"/>
          <w:szCs w:val="24"/>
          <w:shd w:val="clear" w:color="auto" w:fill="FFFFFF"/>
        </w:rPr>
        <w:t>Focus groups with facility staff</w:t>
      </w:r>
      <w:r w:rsidRPr="000E10F9">
        <w:rPr>
          <w:rFonts w:asciiTheme="minorHAnsi" w:hAnsiTheme="minorHAnsi" w:cstheme="minorHAnsi"/>
          <w:sz w:val="24"/>
          <w:szCs w:val="24"/>
          <w:shd w:val="clear" w:color="auto" w:fill="FFFFFF"/>
        </w:rPr>
        <w:t xml:space="preserve">: The team will work with programs as well as facility administrators to identify how </w:t>
      </w:r>
      <w:proofErr w:type="gramStart"/>
      <w:r w:rsidRPr="000E10F9">
        <w:rPr>
          <w:rFonts w:asciiTheme="minorHAnsi" w:hAnsiTheme="minorHAnsi" w:cstheme="minorHAnsi"/>
          <w:sz w:val="24"/>
          <w:szCs w:val="24"/>
          <w:shd w:val="clear" w:color="auto" w:fill="FFFFFF"/>
        </w:rPr>
        <w:t>to best obtain</w:t>
      </w:r>
      <w:proofErr w:type="gramEnd"/>
      <w:r w:rsidRPr="000E10F9">
        <w:rPr>
          <w:rFonts w:asciiTheme="minorHAnsi" w:hAnsiTheme="minorHAnsi" w:cstheme="minorHAnsi"/>
          <w:sz w:val="24"/>
          <w:szCs w:val="24"/>
          <w:shd w:val="clear" w:color="auto" w:fill="FFFFFF"/>
        </w:rPr>
        <w:t xml:space="preserve"> data from facility staff. Although the team originally intended to host in-person focus groups with a small number of facility staff, the team will offer the option to hold virtual focus groups or interviews by phone. </w:t>
      </w:r>
    </w:p>
    <w:p w:rsidRPr="000E10F9" w:rsidR="00A11076" w:rsidP="00A11076" w:rsidRDefault="00A11076">
      <w:pPr>
        <w:ind w:left="540"/>
        <w:rPr>
          <w:rFonts w:asciiTheme="minorHAnsi" w:hAnsiTheme="minorHAnsi" w:cstheme="minorHAnsi"/>
          <w:sz w:val="24"/>
          <w:szCs w:val="24"/>
        </w:rPr>
      </w:pPr>
      <w:r w:rsidRPr="000E10F9">
        <w:rPr>
          <w:rFonts w:asciiTheme="minorHAnsi" w:hAnsiTheme="minorHAnsi" w:cstheme="minorHAnsi"/>
          <w:sz w:val="24"/>
          <w:szCs w:val="24"/>
          <w:shd w:val="clear" w:color="auto" w:fill="FFFFFF"/>
        </w:rPr>
        <w:t> </w:t>
      </w:r>
    </w:p>
    <w:p w:rsidRPr="000E10F9" w:rsidR="00A11076" w:rsidP="00A11076" w:rsidRDefault="00A11076">
      <w:pPr>
        <w:ind w:left="540"/>
        <w:rPr>
          <w:rFonts w:asciiTheme="minorHAnsi" w:hAnsiTheme="minorHAnsi" w:cstheme="minorHAnsi"/>
          <w:sz w:val="24"/>
          <w:szCs w:val="24"/>
        </w:rPr>
      </w:pPr>
      <w:r w:rsidRPr="000E10F9">
        <w:rPr>
          <w:rFonts w:asciiTheme="minorHAnsi" w:hAnsiTheme="minorHAnsi" w:cstheme="minorHAnsi"/>
          <w:b/>
          <w:bCs/>
          <w:sz w:val="24"/>
          <w:szCs w:val="24"/>
          <w:shd w:val="clear" w:color="auto" w:fill="FFFFFF"/>
        </w:rPr>
        <w:t>Interviews with Stakeholders</w:t>
      </w:r>
      <w:r w:rsidRPr="000E10F9">
        <w:rPr>
          <w:rFonts w:asciiTheme="minorHAnsi" w:hAnsiTheme="minorHAnsi" w:cstheme="minorHAnsi"/>
          <w:sz w:val="24"/>
          <w:szCs w:val="24"/>
          <w:shd w:val="clear" w:color="auto" w:fill="FFFFFF"/>
        </w:rPr>
        <w:t xml:space="preserve">: The team will conduct all interviews by phone or </w:t>
      </w:r>
      <w:r w:rsidRPr="000E10F9" w:rsidR="00D07F05">
        <w:rPr>
          <w:rFonts w:asciiTheme="minorHAnsi" w:hAnsiTheme="minorHAnsi" w:cstheme="minorHAnsi"/>
          <w:sz w:val="24"/>
          <w:szCs w:val="24"/>
          <w:shd w:val="clear" w:color="auto" w:fill="FFFFFF"/>
        </w:rPr>
        <w:t>virtual via web</w:t>
      </w:r>
      <w:r w:rsidRPr="000E10F9">
        <w:rPr>
          <w:rFonts w:asciiTheme="minorHAnsi" w:hAnsiTheme="minorHAnsi" w:cstheme="minorHAnsi"/>
          <w:sz w:val="24"/>
          <w:szCs w:val="24"/>
          <w:shd w:val="clear" w:color="auto" w:fill="FFFFFF"/>
        </w:rPr>
        <w:t>, based on the respondent’s preference.</w:t>
      </w:r>
    </w:p>
    <w:p w:rsidRPr="000E10F9" w:rsidR="00A11076" w:rsidP="00A11076" w:rsidRDefault="00A11076">
      <w:pPr>
        <w:ind w:left="540"/>
        <w:rPr>
          <w:rFonts w:asciiTheme="minorHAnsi" w:hAnsiTheme="minorHAnsi" w:cstheme="minorHAnsi"/>
          <w:sz w:val="24"/>
          <w:szCs w:val="24"/>
        </w:rPr>
      </w:pPr>
      <w:r w:rsidRPr="000E10F9">
        <w:rPr>
          <w:rFonts w:asciiTheme="minorHAnsi" w:hAnsiTheme="minorHAnsi" w:cstheme="minorHAnsi"/>
          <w:sz w:val="24"/>
          <w:szCs w:val="24"/>
          <w:shd w:val="clear" w:color="auto" w:fill="FFFFFF"/>
        </w:rPr>
        <w:t> </w:t>
      </w:r>
    </w:p>
    <w:p w:rsidRPr="000E10F9" w:rsidR="00A11076" w:rsidP="00A11076" w:rsidRDefault="00A11076">
      <w:pPr>
        <w:ind w:left="540"/>
        <w:rPr>
          <w:rFonts w:asciiTheme="minorHAnsi" w:hAnsiTheme="minorHAnsi" w:cstheme="minorHAnsi"/>
          <w:sz w:val="24"/>
          <w:szCs w:val="24"/>
        </w:rPr>
      </w:pPr>
      <w:r w:rsidRPr="000E10F9">
        <w:rPr>
          <w:rFonts w:asciiTheme="minorHAnsi" w:hAnsiTheme="minorHAnsi" w:cstheme="minorHAnsi"/>
          <w:b/>
          <w:bCs/>
          <w:sz w:val="24"/>
          <w:szCs w:val="24"/>
          <w:shd w:val="clear" w:color="auto" w:fill="FFFFFF"/>
        </w:rPr>
        <w:t>Interviews with Program Staff/Volunteers</w:t>
      </w:r>
      <w:r w:rsidRPr="000E10F9">
        <w:rPr>
          <w:rFonts w:asciiTheme="minorHAnsi" w:hAnsiTheme="minorHAnsi" w:cstheme="minorHAnsi"/>
          <w:sz w:val="24"/>
          <w:szCs w:val="24"/>
          <w:shd w:val="clear" w:color="auto" w:fill="FFFFFF"/>
        </w:rPr>
        <w:t xml:space="preserve">: The team will conduct all interviews by phone or </w:t>
      </w:r>
      <w:r w:rsidRPr="000E10F9" w:rsidR="00D07F05">
        <w:rPr>
          <w:rFonts w:asciiTheme="minorHAnsi" w:hAnsiTheme="minorHAnsi" w:cstheme="minorHAnsi"/>
          <w:sz w:val="24"/>
          <w:szCs w:val="24"/>
          <w:shd w:val="clear" w:color="auto" w:fill="FFFFFF"/>
        </w:rPr>
        <w:t>virtual via web</w:t>
      </w:r>
      <w:r w:rsidRPr="000E10F9">
        <w:rPr>
          <w:rFonts w:asciiTheme="minorHAnsi" w:hAnsiTheme="minorHAnsi" w:cstheme="minorHAnsi"/>
          <w:sz w:val="24"/>
          <w:szCs w:val="24"/>
          <w:shd w:val="clear" w:color="auto" w:fill="FFFFFF"/>
        </w:rPr>
        <w:t>, based on the respondent’s preference.</w:t>
      </w:r>
    </w:p>
    <w:p w:rsidRPr="000E10F9" w:rsidR="00A11076" w:rsidP="00A11076" w:rsidRDefault="00A11076">
      <w:pPr>
        <w:rPr>
          <w:rFonts w:asciiTheme="minorHAnsi" w:hAnsiTheme="minorHAnsi" w:cstheme="minorHAnsi"/>
          <w:color w:val="1F497D"/>
          <w:sz w:val="24"/>
          <w:szCs w:val="24"/>
        </w:rPr>
      </w:pPr>
    </w:p>
    <w:p w:rsidRPr="000E10F9" w:rsidR="00A11076" w:rsidP="00A11076" w:rsidRDefault="00A11076">
      <w:pPr>
        <w:rPr>
          <w:rFonts w:asciiTheme="minorHAnsi" w:hAnsiTheme="minorHAnsi" w:cstheme="minorHAnsi"/>
          <w:color w:val="1F497D"/>
          <w:sz w:val="24"/>
          <w:szCs w:val="24"/>
        </w:rPr>
      </w:pPr>
    </w:p>
    <w:p w:rsidRPr="000E10F9" w:rsidR="00A11076" w:rsidRDefault="00A11076">
      <w:pPr>
        <w:rPr>
          <w:rFonts w:asciiTheme="minorHAnsi" w:hAnsiTheme="minorHAnsi" w:cstheme="minorHAnsi"/>
          <w:sz w:val="24"/>
          <w:szCs w:val="24"/>
        </w:rPr>
      </w:pPr>
    </w:p>
    <w:sectPr w:rsidRPr="000E10F9" w:rsidR="00A110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076"/>
    <w:rsid w:val="000E10F9"/>
    <w:rsid w:val="006A5E5C"/>
    <w:rsid w:val="00A11076"/>
    <w:rsid w:val="00D07F05"/>
    <w:rsid w:val="00F31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C54AF"/>
  <w15:chartTrackingRefBased/>
  <w15:docId w15:val="{0184794A-4313-46D8-B9E1-8EBFCBF06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1076"/>
    <w:pPr>
      <w:spacing w:after="0" w:line="240" w:lineRule="auto"/>
    </w:pPr>
    <w:rPr>
      <w:rFonts w:ascii="Calibri" w:eastAsia="Times New Roman"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5E5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1122393">
      <w:bodyDiv w:val="1"/>
      <w:marLeft w:val="0"/>
      <w:marRight w:val="0"/>
      <w:marTop w:val="0"/>
      <w:marBottom w:val="0"/>
      <w:divBdr>
        <w:top w:val="none" w:sz="0" w:space="0" w:color="auto"/>
        <w:left w:val="none" w:sz="0" w:space="0" w:color="auto"/>
        <w:bottom w:val="none" w:sz="0" w:space="0" w:color="auto"/>
        <w:right w:val="none" w:sz="0" w:space="0" w:color="auto"/>
      </w:divBdr>
    </w:div>
    <w:div w:id="1573924933">
      <w:bodyDiv w:val="1"/>
      <w:marLeft w:val="0"/>
      <w:marRight w:val="0"/>
      <w:marTop w:val="0"/>
      <w:marBottom w:val="0"/>
      <w:divBdr>
        <w:top w:val="none" w:sz="0" w:space="0" w:color="auto"/>
        <w:left w:val="none" w:sz="0" w:space="0" w:color="auto"/>
        <w:bottom w:val="none" w:sz="0" w:space="0" w:color="auto"/>
        <w:right w:val="none" w:sz="0" w:space="0" w:color="auto"/>
      </w:divBdr>
    </w:div>
    <w:div w:id="2080593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351</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Washington, Tomakie (ACL)</dc:creator>
  <cp:keywords/>
  <dc:description/>
  <cp:lastModifiedBy>Washington, Tomakie (ACL)</cp:lastModifiedBy>
  <cp:revision>2</cp:revision>
  <dcterms:created xsi:type="dcterms:W3CDTF">2020-09-17T18:45:00Z</dcterms:created>
  <dcterms:modified xsi:type="dcterms:W3CDTF">2020-09-17T19:21:00Z</dcterms:modified>
</cp:coreProperties>
</file>