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60621" w:rsidRDefault="00090EA1" w14:paraId="670B57C7" w14:textId="0F438EE4">
      <w:pPr>
        <w:pStyle w:val="ReportCover-Title"/>
        <w:jc w:val="center"/>
        <w:rPr>
          <w:rFonts w:ascii="Arial" w:hAnsi="Arial" w:cs="Arial"/>
          <w:color w:val="auto"/>
        </w:rPr>
      </w:pPr>
      <w:r w:rsidRPr="00090EA1">
        <w:rPr>
          <w:rFonts w:ascii="Arial" w:hAnsi="Arial" w:eastAsia="Arial Unicode MS" w:cs="Arial"/>
          <w:noProof/>
          <w:color w:val="auto"/>
        </w:rPr>
        <w:t>Administration for Native Americans (ANA) On-Going Progress Report (OPR) and Objective Work Plan (OWP)</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AE5656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090EA1" w:rsidR="00090EA1">
        <w:rPr>
          <w:rFonts w:ascii="Arial" w:hAnsi="Arial" w:cs="Arial"/>
          <w:color w:val="auto"/>
          <w:sz w:val="32"/>
          <w:szCs w:val="32"/>
        </w:rPr>
        <w:t>0452</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0365C8" w14:paraId="76FA23BE" w14:textId="301F8E88">
      <w:pPr>
        <w:pStyle w:val="ReportCover-Date"/>
        <w:jc w:val="center"/>
        <w:rPr>
          <w:rFonts w:ascii="Arial" w:hAnsi="Arial" w:cs="Arial"/>
          <w:color w:val="auto"/>
        </w:rPr>
      </w:pPr>
      <w:r>
        <w:rPr>
          <w:rFonts w:ascii="Arial" w:hAnsi="Arial" w:cs="Arial"/>
          <w:color w:val="auto"/>
        </w:rPr>
        <w:t xml:space="preserve">August </w:t>
      </w:r>
      <w:r w:rsidR="00090EA1">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090EA1" w14:paraId="54195924" w14:textId="5D7297F1">
      <w:pPr>
        <w:jc w:val="center"/>
        <w:rPr>
          <w:rFonts w:ascii="Arial" w:hAnsi="Arial" w:cs="Arial"/>
        </w:rPr>
      </w:pPr>
      <w:r>
        <w:rPr>
          <w:rFonts w:ascii="Arial" w:hAnsi="Arial" w:cs="Arial"/>
        </w:rPr>
        <w:t xml:space="preserve">Administration for Native Americans </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Pr="000E217A" w:rsidR="000E217A" w:rsidP="000E217A" w:rsidRDefault="000E217A" w14:paraId="4627C10F" w14:textId="10646858">
      <w:pPr>
        <w:ind w:left="360"/>
        <w:rPr>
          <w:rFonts w:ascii="Times New Roman" w:hAnsi="Times New Roman"/>
          <w:sz w:val="24"/>
        </w:rPr>
      </w:pPr>
      <w:r w:rsidRPr="000E217A">
        <w:rPr>
          <w:rFonts w:ascii="Times New Roman" w:hAnsi="Times New Roman"/>
          <w:sz w:val="24"/>
        </w:rPr>
        <w:t xml:space="preserve">This request is for a revision to the approved information collection, On-going Progress Report (OPR) and Objective Work Plan (OWP) (OMB </w:t>
      </w:r>
      <w:r w:rsidR="00842871">
        <w:rPr>
          <w:rFonts w:ascii="Times New Roman" w:hAnsi="Times New Roman"/>
          <w:sz w:val="24"/>
        </w:rPr>
        <w:t>#</w:t>
      </w:r>
      <w:r w:rsidRPr="000E217A">
        <w:rPr>
          <w:rFonts w:ascii="Times New Roman" w:hAnsi="Times New Roman"/>
          <w:sz w:val="24"/>
        </w:rPr>
        <w:t xml:space="preserve"> 0970-0452). The request includes the continued use of the currently approved OPR, with minimal changes to the instructions, through fiscal year (FY) 2020 and a revised version of the OPR to be used beginning FY 2021.  The revised OPR combines </w:t>
      </w:r>
      <w:r w:rsidR="00842871">
        <w:rPr>
          <w:rFonts w:ascii="Times New Roman" w:hAnsi="Times New Roman"/>
          <w:sz w:val="24"/>
        </w:rPr>
        <w:t>the Administration for Children and Families Adm</w:t>
      </w:r>
      <w:r w:rsidR="00057200">
        <w:rPr>
          <w:rFonts w:ascii="Times New Roman" w:hAnsi="Times New Roman"/>
          <w:sz w:val="24"/>
        </w:rPr>
        <w:t>inistration for Native American</w:t>
      </w:r>
      <w:r w:rsidR="00842871">
        <w:rPr>
          <w:rFonts w:ascii="Times New Roman" w:hAnsi="Times New Roman"/>
          <w:sz w:val="24"/>
        </w:rPr>
        <w:t>s</w:t>
      </w:r>
      <w:r w:rsidR="00057200">
        <w:rPr>
          <w:rFonts w:ascii="Times New Roman" w:hAnsi="Times New Roman"/>
          <w:sz w:val="24"/>
        </w:rPr>
        <w:t xml:space="preserve">’ </w:t>
      </w:r>
      <w:r w:rsidRPr="000E217A">
        <w:rPr>
          <w:rFonts w:ascii="Times New Roman" w:hAnsi="Times New Roman"/>
          <w:sz w:val="24"/>
        </w:rPr>
        <w:t>Annual Data Report (currently approved under OMB #0970-0475) with the OPR.</w:t>
      </w:r>
      <w:r w:rsidRPr="000E217A">
        <w:rPr>
          <w:rFonts w:ascii="Times New Roman" w:hAnsi="Times New Roman"/>
          <w:sz w:val="32"/>
        </w:rPr>
        <w:t xml:space="preserve"> </w:t>
      </w:r>
      <w:r w:rsidRPr="000E217A">
        <w:rPr>
          <w:rFonts w:ascii="Times New Roman" w:hAnsi="Times New Roman"/>
          <w:iCs/>
          <w:sz w:val="24"/>
        </w:rPr>
        <w:t>There are no changes proposed to the OWP.</w:t>
      </w:r>
    </w:p>
    <w:p w:rsidR="00CE6182" w:rsidP="00160621" w:rsidRDefault="000E217A" w14:paraId="3C29E980" w14:textId="535CB34E">
      <w:pPr>
        <w:widowControl/>
        <w:ind w:left="360"/>
        <w:rPr>
          <w:rFonts w:ascii="Times New Roman" w:hAnsi="Times New Roman"/>
          <w:snapToGrid/>
          <w:sz w:val="24"/>
          <w:szCs w:val="24"/>
        </w:rPr>
      </w:pPr>
      <w:r>
        <w:rPr>
          <w:rFonts w:ascii="Times New Roman" w:hAnsi="Times New Roman"/>
          <w:snapToGrid/>
          <w:sz w:val="24"/>
          <w:szCs w:val="24"/>
        </w:rPr>
        <w:t xml:space="preserve"> </w:t>
      </w: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090EA1" w:rsidR="00090EA1" w:rsidP="00090EA1" w:rsidRDefault="00090EA1" w14:paraId="42EA886D" w14:textId="14B63CD3">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The Objective Work Plan (OWP) information collection is conducted in accordance with 42 USC of the Native American Programs</w:t>
      </w:r>
      <w:r w:rsidR="00057200">
        <w:rPr>
          <w:rFonts w:ascii="Times New Roman" w:hAnsi="Times New Roman"/>
          <w:snapToGrid/>
          <w:sz w:val="24"/>
          <w:szCs w:val="24"/>
        </w:rPr>
        <w:t xml:space="preserve"> Act of 1972, as amended. </w:t>
      </w:r>
      <w:r w:rsidRPr="00090EA1">
        <w:rPr>
          <w:rFonts w:ascii="Times New Roman" w:hAnsi="Times New Roman"/>
          <w:snapToGrid/>
          <w:sz w:val="24"/>
          <w:szCs w:val="24"/>
        </w:rPr>
        <w:t>This collection is necessary to evaluate applications for financial assistance and determine the relative merits of the projects for which such assistance is requested, as set forth in Sec. 806 [42 USC 2991d-1](a)(1).</w:t>
      </w:r>
    </w:p>
    <w:p w:rsidRPr="00090EA1" w:rsidR="00090EA1" w:rsidP="00090EA1" w:rsidRDefault="00090EA1" w14:paraId="3A8089CD" w14:textId="77777777">
      <w:pPr>
        <w:widowControl/>
        <w:tabs>
          <w:tab w:val="num" w:pos="360"/>
        </w:tabs>
        <w:ind w:left="360"/>
        <w:rPr>
          <w:rFonts w:ascii="Times New Roman" w:hAnsi="Times New Roman"/>
          <w:snapToGrid/>
          <w:sz w:val="24"/>
          <w:szCs w:val="24"/>
        </w:rPr>
      </w:pPr>
    </w:p>
    <w:p w:rsidR="00EC698B" w:rsidP="000C58FD" w:rsidRDefault="00090EA1" w14:paraId="12A7BA7B" w14:textId="450A0EFB">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 xml:space="preserve">The Ongoing Progress Report </w:t>
      </w:r>
      <w:r w:rsidR="00842871">
        <w:rPr>
          <w:rFonts w:ascii="Times New Roman" w:hAnsi="Times New Roman"/>
          <w:snapToGrid/>
          <w:sz w:val="24"/>
          <w:szCs w:val="24"/>
        </w:rPr>
        <w:t xml:space="preserve">(OPR) </w:t>
      </w:r>
      <w:r w:rsidRPr="00090EA1">
        <w:rPr>
          <w:rFonts w:ascii="Times New Roman" w:hAnsi="Times New Roman"/>
          <w:snapToGrid/>
          <w:sz w:val="24"/>
          <w:szCs w:val="24"/>
        </w:rPr>
        <w:t xml:space="preserve">information collection is conducted in accordance with Sec. 811 [42 USC 2992] of the Native American Programs Act and will allow </w:t>
      </w:r>
      <w:r w:rsidR="00842871">
        <w:rPr>
          <w:rFonts w:ascii="Times New Roman" w:hAnsi="Times New Roman"/>
          <w:snapToGrid/>
          <w:sz w:val="24"/>
          <w:szCs w:val="24"/>
        </w:rPr>
        <w:t xml:space="preserve">the Administration for Children and Families (ACF) </w:t>
      </w:r>
      <w:r w:rsidR="00842871">
        <w:rPr>
          <w:rFonts w:ascii="Times New Roman" w:hAnsi="Times New Roman"/>
          <w:sz w:val="24"/>
        </w:rPr>
        <w:t>Administration for Native American (</w:t>
      </w:r>
      <w:r w:rsidRPr="00090EA1">
        <w:rPr>
          <w:rFonts w:ascii="Times New Roman" w:hAnsi="Times New Roman"/>
          <w:snapToGrid/>
          <w:sz w:val="24"/>
          <w:szCs w:val="24"/>
        </w:rPr>
        <w:t>ANA</w:t>
      </w:r>
      <w:r w:rsidR="00842871">
        <w:rPr>
          <w:rFonts w:ascii="Times New Roman" w:hAnsi="Times New Roman"/>
          <w:snapToGrid/>
          <w:sz w:val="24"/>
          <w:szCs w:val="24"/>
        </w:rPr>
        <w:t>)</w:t>
      </w:r>
      <w:r w:rsidRPr="00090EA1">
        <w:rPr>
          <w:rFonts w:ascii="Times New Roman" w:hAnsi="Times New Roman"/>
          <w:snapToGrid/>
          <w:sz w:val="24"/>
          <w:szCs w:val="24"/>
        </w:rPr>
        <w:t xml:space="preserve"> to report quantifiable res</w:t>
      </w:r>
      <w:r w:rsidR="00057200">
        <w:rPr>
          <w:rFonts w:ascii="Times New Roman" w:hAnsi="Times New Roman"/>
          <w:snapToGrid/>
          <w:sz w:val="24"/>
          <w:szCs w:val="24"/>
        </w:rPr>
        <w:t xml:space="preserve">ults across all program areas. </w:t>
      </w:r>
      <w:r w:rsidRPr="00090EA1">
        <w:rPr>
          <w:rFonts w:ascii="Times New Roman" w:hAnsi="Times New Roman"/>
          <w:snapToGrid/>
          <w:sz w:val="24"/>
          <w:szCs w:val="24"/>
        </w:rPr>
        <w:t>It also provides grantees with parameters for reporting their progress and helps ANA better monitor and determine the effectiveness of their projects.</w:t>
      </w:r>
    </w:p>
    <w:p w:rsidRPr="004F7B95" w:rsidR="00DE529D" w:rsidP="00090EA1" w:rsidRDefault="00DE529D" w14:paraId="5548F0DE" w14:textId="20AAA84F">
      <w:pPr>
        <w:widowControl/>
        <w:tabs>
          <w:tab w:val="num" w:pos="360"/>
        </w:tabs>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090EA1" w:rsidP="000C58FD" w:rsidRDefault="00090EA1" w14:paraId="2F4B3E58" w14:textId="1C868382">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The OPR is submitted to ANA on a semi-annual basis and</w:t>
      </w:r>
      <w:r w:rsidR="000C58FD">
        <w:rPr>
          <w:rFonts w:ascii="Times New Roman" w:hAnsi="Times New Roman"/>
          <w:snapToGrid/>
          <w:sz w:val="24"/>
          <w:szCs w:val="24"/>
        </w:rPr>
        <w:t xml:space="preserve"> </w:t>
      </w:r>
      <w:r w:rsidRPr="00090EA1">
        <w:rPr>
          <w:rFonts w:ascii="Times New Roman" w:hAnsi="Times New Roman"/>
          <w:snapToGrid/>
          <w:sz w:val="24"/>
          <w:szCs w:val="24"/>
        </w:rPr>
        <w:t>provides grantees with a set format by which they report on their performance indicators, progress achieved, and training and technical assistance needs.</w:t>
      </w:r>
      <w:r w:rsidR="00741B08">
        <w:rPr>
          <w:rFonts w:ascii="Times New Roman" w:hAnsi="Times New Roman"/>
          <w:snapToGrid/>
          <w:sz w:val="24"/>
          <w:szCs w:val="24"/>
        </w:rPr>
        <w:t xml:space="preserve"> </w:t>
      </w:r>
      <w:r w:rsidRPr="00090EA1">
        <w:rPr>
          <w:rFonts w:ascii="Times New Roman" w:hAnsi="Times New Roman"/>
          <w:snapToGrid/>
          <w:sz w:val="24"/>
          <w:szCs w:val="24"/>
        </w:rPr>
        <w:t>This standardized format allows ANA to monitor grantee progress, identify grantees that may need training and/or technical assistance, and report quantifiable results to Congress.</w:t>
      </w:r>
    </w:p>
    <w:p w:rsidR="00AD7C4E" w:rsidP="000C58FD" w:rsidRDefault="00AD7C4E" w14:paraId="4BF67072" w14:textId="471A74B4">
      <w:pPr>
        <w:widowControl/>
        <w:tabs>
          <w:tab w:val="num" w:pos="360"/>
        </w:tabs>
        <w:ind w:left="360"/>
        <w:rPr>
          <w:rFonts w:ascii="Times New Roman" w:hAnsi="Times New Roman"/>
          <w:snapToGrid/>
          <w:sz w:val="24"/>
          <w:szCs w:val="24"/>
        </w:rPr>
      </w:pPr>
    </w:p>
    <w:p w:rsidRPr="00090EA1" w:rsidR="00AD7C4E" w:rsidP="000C58FD" w:rsidRDefault="00AD7C4E" w14:paraId="5CFBFC06" w14:textId="6DF21D6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ANA seeks approval for two versions </w:t>
      </w:r>
      <w:r w:rsidR="008C6191">
        <w:rPr>
          <w:rFonts w:ascii="Times New Roman" w:hAnsi="Times New Roman"/>
          <w:snapToGrid/>
          <w:sz w:val="24"/>
          <w:szCs w:val="24"/>
        </w:rPr>
        <w:t>of the OPR.</w:t>
      </w:r>
      <w:r w:rsidR="00741B08">
        <w:rPr>
          <w:rFonts w:ascii="Times New Roman" w:hAnsi="Times New Roman"/>
          <w:snapToGrid/>
          <w:sz w:val="24"/>
          <w:szCs w:val="24"/>
        </w:rPr>
        <w:t xml:space="preserve"> </w:t>
      </w:r>
      <w:r w:rsidR="008C6191">
        <w:rPr>
          <w:rFonts w:ascii="Times New Roman" w:hAnsi="Times New Roman"/>
          <w:snapToGrid/>
          <w:sz w:val="24"/>
          <w:szCs w:val="24"/>
        </w:rPr>
        <w:t>OPR FY</w:t>
      </w:r>
      <w:r w:rsidR="00842871">
        <w:rPr>
          <w:rFonts w:ascii="Times New Roman" w:hAnsi="Times New Roman"/>
          <w:snapToGrid/>
          <w:sz w:val="24"/>
          <w:szCs w:val="24"/>
        </w:rPr>
        <w:t xml:space="preserve"> </w:t>
      </w:r>
      <w:r w:rsidR="008C6191">
        <w:rPr>
          <w:rFonts w:ascii="Times New Roman" w:hAnsi="Times New Roman"/>
          <w:snapToGrid/>
          <w:sz w:val="24"/>
          <w:szCs w:val="24"/>
        </w:rPr>
        <w:t>2020</w:t>
      </w:r>
      <w:r>
        <w:rPr>
          <w:rFonts w:ascii="Times New Roman" w:hAnsi="Times New Roman"/>
          <w:snapToGrid/>
          <w:sz w:val="24"/>
          <w:szCs w:val="24"/>
        </w:rPr>
        <w:t xml:space="preserve"> will be used from </w:t>
      </w:r>
      <w:r w:rsidR="008C6191">
        <w:rPr>
          <w:rFonts w:ascii="Times New Roman" w:hAnsi="Times New Roman"/>
          <w:snapToGrid/>
          <w:sz w:val="24"/>
          <w:szCs w:val="24"/>
        </w:rPr>
        <w:t>for the remainder of FY 202</w:t>
      </w:r>
      <w:r w:rsidR="00842871">
        <w:rPr>
          <w:rFonts w:ascii="Times New Roman" w:hAnsi="Times New Roman"/>
          <w:snapToGrid/>
          <w:sz w:val="24"/>
          <w:szCs w:val="24"/>
        </w:rPr>
        <w:t>0</w:t>
      </w:r>
      <w:r w:rsidR="008C6191">
        <w:rPr>
          <w:rFonts w:ascii="Times New Roman" w:hAnsi="Times New Roman"/>
          <w:snapToGrid/>
          <w:sz w:val="24"/>
          <w:szCs w:val="24"/>
        </w:rPr>
        <w:t xml:space="preserve"> </w:t>
      </w:r>
      <w:r>
        <w:rPr>
          <w:rFonts w:ascii="Times New Roman" w:hAnsi="Times New Roman"/>
          <w:snapToGrid/>
          <w:sz w:val="24"/>
          <w:szCs w:val="24"/>
        </w:rPr>
        <w:t xml:space="preserve">and OPR </w:t>
      </w:r>
      <w:r w:rsidR="008C6191">
        <w:rPr>
          <w:rFonts w:ascii="Times New Roman" w:hAnsi="Times New Roman"/>
          <w:snapToGrid/>
          <w:sz w:val="24"/>
          <w:szCs w:val="24"/>
        </w:rPr>
        <w:t xml:space="preserve">FY 2021 will be used </w:t>
      </w:r>
      <w:r w:rsidR="00842871">
        <w:rPr>
          <w:rFonts w:ascii="Times New Roman" w:hAnsi="Times New Roman"/>
          <w:snapToGrid/>
          <w:sz w:val="24"/>
          <w:szCs w:val="24"/>
        </w:rPr>
        <w:t xml:space="preserve">beginning with </w:t>
      </w:r>
      <w:r w:rsidR="008C6191">
        <w:rPr>
          <w:rFonts w:ascii="Times New Roman" w:hAnsi="Times New Roman"/>
          <w:snapToGrid/>
          <w:sz w:val="24"/>
          <w:szCs w:val="24"/>
        </w:rPr>
        <w:t xml:space="preserve">FY 2021 </w:t>
      </w:r>
      <w:r w:rsidR="00842871">
        <w:rPr>
          <w:rFonts w:ascii="Times New Roman" w:hAnsi="Times New Roman"/>
          <w:snapToGrid/>
          <w:sz w:val="24"/>
          <w:szCs w:val="24"/>
        </w:rPr>
        <w:t xml:space="preserve">reporting. The OPR FY2021 has been </w:t>
      </w:r>
      <w:r w:rsidR="00FC2BA2">
        <w:rPr>
          <w:rFonts w:ascii="Times New Roman" w:hAnsi="Times New Roman"/>
          <w:snapToGrid/>
          <w:sz w:val="24"/>
          <w:szCs w:val="24"/>
        </w:rPr>
        <w:t>revised to</w:t>
      </w:r>
      <w:r w:rsidR="00493B1F">
        <w:rPr>
          <w:rFonts w:ascii="Times New Roman" w:hAnsi="Times New Roman"/>
          <w:snapToGrid/>
          <w:sz w:val="24"/>
          <w:szCs w:val="24"/>
        </w:rPr>
        <w:t xml:space="preserve"> </w:t>
      </w:r>
      <w:r w:rsidR="00842871">
        <w:rPr>
          <w:rFonts w:ascii="Times New Roman" w:hAnsi="Times New Roman"/>
          <w:snapToGrid/>
          <w:sz w:val="24"/>
          <w:szCs w:val="24"/>
        </w:rPr>
        <w:t>include</w:t>
      </w:r>
      <w:r w:rsidRPr="00842871" w:rsidR="00842871">
        <w:rPr>
          <w:rFonts w:ascii="Times New Roman" w:hAnsi="Times New Roman"/>
          <w:sz w:val="24"/>
        </w:rPr>
        <w:t xml:space="preserve"> </w:t>
      </w:r>
      <w:r w:rsidRPr="000E217A" w:rsidR="00842871">
        <w:rPr>
          <w:rFonts w:ascii="Times New Roman" w:hAnsi="Times New Roman"/>
          <w:sz w:val="24"/>
        </w:rPr>
        <w:t>ANA’s Annual Data Report</w:t>
      </w:r>
      <w:r w:rsidR="00FC2BA2">
        <w:rPr>
          <w:rFonts w:ascii="Times New Roman" w:hAnsi="Times New Roman"/>
          <w:sz w:val="24"/>
        </w:rPr>
        <w:t xml:space="preserve"> </w:t>
      </w:r>
      <w:r w:rsidR="00A07BBB">
        <w:rPr>
          <w:rFonts w:ascii="Times New Roman" w:hAnsi="Times New Roman"/>
          <w:sz w:val="24"/>
        </w:rPr>
        <w:t xml:space="preserve">(ADR) </w:t>
      </w:r>
      <w:r w:rsidR="00FC2BA2">
        <w:rPr>
          <w:rFonts w:ascii="Times New Roman" w:hAnsi="Times New Roman"/>
          <w:sz w:val="24"/>
        </w:rPr>
        <w:t>(</w:t>
      </w:r>
      <w:r w:rsidR="00842871">
        <w:rPr>
          <w:rFonts w:ascii="Times New Roman" w:hAnsi="Times New Roman"/>
          <w:sz w:val="24"/>
        </w:rPr>
        <w:t>currently approved under OMB #</w:t>
      </w:r>
      <w:r w:rsidRPr="000E217A" w:rsidR="00842871">
        <w:rPr>
          <w:rFonts w:ascii="Times New Roman" w:hAnsi="Times New Roman"/>
          <w:sz w:val="24"/>
        </w:rPr>
        <w:t>0970-0475</w:t>
      </w:r>
      <w:r w:rsidR="00FC2BA2">
        <w:rPr>
          <w:rFonts w:ascii="Times New Roman" w:hAnsi="Times New Roman"/>
          <w:sz w:val="24"/>
        </w:rPr>
        <w:t>)</w:t>
      </w:r>
      <w:r w:rsidR="00842871">
        <w:rPr>
          <w:rFonts w:ascii="Times New Roman" w:hAnsi="Times New Roman"/>
          <w:sz w:val="24"/>
        </w:rPr>
        <w:t>.</w:t>
      </w:r>
      <w:r w:rsidR="00A07BBB">
        <w:rPr>
          <w:rFonts w:ascii="Times New Roman" w:hAnsi="Times New Roman"/>
          <w:sz w:val="24"/>
        </w:rPr>
        <w:t xml:space="preserve"> The ADR mainly collects quantitative data from grantees, whereas the OPR collects more qualitative data from grantees.</w:t>
      </w:r>
    </w:p>
    <w:p w:rsidRPr="00090EA1" w:rsidR="00090EA1" w:rsidP="00090EA1" w:rsidRDefault="00090EA1" w14:paraId="74A37A60" w14:textId="77777777">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ab/>
      </w:r>
    </w:p>
    <w:p w:rsidR="00D60543" w:rsidP="00090EA1" w:rsidRDefault="00090EA1" w14:paraId="689974F1" w14:textId="05407314">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 xml:space="preserve">The information collected in the OWP is used by ANA to determine if an applicant has a viable implementation plan from which to carry out a proposed project. Applicants are required to complete this as part of their funding application package. The OWP is a planning </w:t>
      </w:r>
      <w:r w:rsidRPr="00090EA1">
        <w:rPr>
          <w:rFonts w:ascii="Times New Roman" w:hAnsi="Times New Roman"/>
          <w:snapToGrid/>
          <w:sz w:val="24"/>
          <w:szCs w:val="24"/>
        </w:rPr>
        <w:lastRenderedPageBreak/>
        <w:t>and implementation tool which requires applicants to map out their goals, objectives, activities, resources, and time frames for their projects. It is used on the front end during the panel review process, and by ANA program specialists throughout the grant period to compare projected objectives and activities against actual accomplishments in order to gauge grantees' progress.</w:t>
      </w:r>
      <w:r w:rsidRPr="00842871" w:rsidR="00842871">
        <w:rPr>
          <w:rFonts w:ascii="Times New Roman" w:hAnsi="Times New Roman"/>
          <w:iCs/>
          <w:sz w:val="24"/>
        </w:rPr>
        <w:t xml:space="preserve"> </w:t>
      </w:r>
      <w:r w:rsidRPr="000E217A" w:rsidR="00842871">
        <w:rPr>
          <w:rFonts w:ascii="Times New Roman" w:hAnsi="Times New Roman"/>
          <w:iCs/>
          <w:sz w:val="24"/>
        </w:rPr>
        <w:t>There are no changes proposed to the OWP.</w:t>
      </w:r>
    </w:p>
    <w:p w:rsidRPr="004F7B95" w:rsidR="00D60543" w:rsidP="000C58FD" w:rsidRDefault="00D60543" w14:paraId="3C8C4501" w14:textId="216B4248">
      <w:pPr>
        <w:widowControl/>
        <w:tabs>
          <w:tab w:val="num" w:pos="360"/>
        </w:tabs>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090EA1" w14:paraId="278CCB05" w14:textId="63DF2CE6">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Applicants are able to electronically submit t</w:t>
      </w:r>
      <w:r w:rsidR="00057200">
        <w:rPr>
          <w:rFonts w:ascii="Times New Roman" w:hAnsi="Times New Roman"/>
          <w:snapToGrid/>
          <w:sz w:val="24"/>
          <w:szCs w:val="24"/>
        </w:rPr>
        <w:t xml:space="preserve">he OWP through www.grants.gov. </w:t>
      </w:r>
      <w:r w:rsidRPr="00090EA1">
        <w:rPr>
          <w:rFonts w:ascii="Times New Roman" w:hAnsi="Times New Roman"/>
          <w:snapToGrid/>
          <w:sz w:val="24"/>
          <w:szCs w:val="24"/>
        </w:rPr>
        <w:t>The OPR is an online form which grantees can complete electronically and submit in the GrantSolutions system, a Grants Management Center of Excellence managed by ACF.</w:t>
      </w:r>
    </w:p>
    <w:p w:rsidR="009C2DE1" w:rsidP="000C58FD" w:rsidRDefault="009C2DE1" w14:paraId="64C47E67" w14:textId="7D4D7F73">
      <w:pPr>
        <w:widowControl/>
        <w:tabs>
          <w:tab w:val="num" w:pos="360"/>
        </w:tabs>
        <w:rPr>
          <w:rFonts w:ascii="Times New Roman" w:hAnsi="Times New Roman"/>
          <w:snapToGrid/>
          <w:sz w:val="24"/>
          <w:szCs w:val="24"/>
        </w:rPr>
      </w:pPr>
    </w:p>
    <w:p w:rsidRPr="004F7B95" w:rsidR="00D60543" w:rsidP="00022586" w:rsidRDefault="00D60543" w14:paraId="61323458" w14:textId="0AB181CC">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090EA1" w14:paraId="01CB0194" w14:textId="5EF3A218">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ANA has reviewed information collection instruments and has determined that there are no existing forms that can be used to meet ANA’s data collection needs.</w:t>
      </w:r>
    </w:p>
    <w:p w:rsidRPr="004F7B95" w:rsidR="00022586" w:rsidP="00090EA1" w:rsidRDefault="00022586" w14:paraId="3A8002CC" w14:textId="6F964D04">
      <w:pPr>
        <w:widowControl/>
        <w:tabs>
          <w:tab w:val="num" w:pos="360"/>
        </w:tabs>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090EA1" w14:paraId="70D79D82" w14:textId="780E7468">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The information being requested has been held to the absolute minimum required for the intended use.</w:t>
      </w:r>
    </w:p>
    <w:p w:rsidR="00D60543" w:rsidP="00090EA1" w:rsidRDefault="00D60543" w14:paraId="3417396F" w14:textId="586B8470">
      <w:pPr>
        <w:widowControl/>
        <w:tabs>
          <w:tab w:val="num" w:pos="360"/>
        </w:tabs>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090EA1" w14:paraId="0DA9C819" w14:textId="1726D232">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Failure to collect this information would violate the legislative mandate of the Native American Programs Act of 1974 as amended.  The OWP is required one-time only (at time of application), and the OPR is only required to be collected on a semi-annual basis in order to effectively monitor ANA projects. Completing the OPR is a reporting requirement as a term and condition of an ANA grant award.</w:t>
      </w:r>
    </w:p>
    <w:p w:rsidR="00D60543" w:rsidP="00090EA1" w:rsidRDefault="00D60543" w14:paraId="2A0F47DE" w14:textId="78786C8E">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090EA1" w14:paraId="37489B7C" w14:textId="7A206B48">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There are no special circumstances.</w:t>
      </w:r>
    </w:p>
    <w:p w:rsidR="00DE529D" w:rsidP="00022586" w:rsidRDefault="00DE529D" w14:paraId="7781B5A4" w14:textId="77777777">
      <w:pPr>
        <w:widowControl/>
        <w:tabs>
          <w:tab w:val="num" w:pos="360"/>
        </w:tabs>
        <w:ind w:left="360"/>
        <w:rPr>
          <w:rFonts w:ascii="Times New Roman" w:hAnsi="Times New Roman"/>
          <w:snapToGrid/>
          <w:sz w:val="24"/>
          <w:szCs w:val="24"/>
        </w:rPr>
      </w:pPr>
    </w:p>
    <w:p w:rsidRPr="004F7B95" w:rsidR="00DE529D" w:rsidP="00090EA1" w:rsidRDefault="00DE529D" w14:paraId="2CFEBB22"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6ED8D5D5">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4F7B95">
        <w:rPr>
          <w:rFonts w:ascii="Times New Roman" w:hAnsi="Times New Roman"/>
          <w:sz w:val="24"/>
          <w:szCs w:val="24"/>
        </w:rPr>
        <w:lastRenderedPageBreak/>
        <w:t xml:space="preserve">request an OMB review of this information collection activity.  This notice was published on </w:t>
      </w:r>
      <w:r w:rsidR="00A07BBB">
        <w:rPr>
          <w:rFonts w:ascii="Times New Roman" w:hAnsi="Times New Roman"/>
          <w:sz w:val="24"/>
          <w:szCs w:val="24"/>
        </w:rPr>
        <w:t>June 12, 2020</w:t>
      </w:r>
      <w:r w:rsidRPr="004F7B95">
        <w:rPr>
          <w:rFonts w:ascii="Times New Roman" w:hAnsi="Times New Roman"/>
          <w:sz w:val="24"/>
          <w:szCs w:val="24"/>
        </w:rPr>
        <w:t xml:space="preserve">, Volume </w:t>
      </w:r>
      <w:r w:rsidR="00A07BBB">
        <w:rPr>
          <w:rFonts w:ascii="Times New Roman" w:hAnsi="Times New Roman"/>
          <w:sz w:val="24"/>
          <w:szCs w:val="24"/>
        </w:rPr>
        <w:t>85</w:t>
      </w:r>
      <w:r w:rsidRPr="004F7B95">
        <w:rPr>
          <w:rFonts w:ascii="Times New Roman" w:hAnsi="Times New Roman"/>
          <w:sz w:val="24"/>
          <w:szCs w:val="24"/>
        </w:rPr>
        <w:t xml:space="preserve">, Number </w:t>
      </w:r>
      <w:r w:rsidR="00A07BBB">
        <w:rPr>
          <w:rFonts w:ascii="Times New Roman" w:hAnsi="Times New Roman"/>
          <w:sz w:val="24"/>
          <w:szCs w:val="24"/>
        </w:rPr>
        <w:t>114</w:t>
      </w:r>
      <w:r w:rsidRPr="004F7B95">
        <w:rPr>
          <w:rFonts w:ascii="Times New Roman" w:hAnsi="Times New Roman"/>
          <w:sz w:val="24"/>
          <w:szCs w:val="24"/>
        </w:rPr>
        <w:t>, page</w:t>
      </w:r>
      <w:r w:rsidR="00A07BBB">
        <w:rPr>
          <w:rFonts w:ascii="Times New Roman" w:hAnsi="Times New Roman"/>
          <w:sz w:val="24"/>
          <w:szCs w:val="24"/>
        </w:rPr>
        <w:t xml:space="preserve"> 35935</w:t>
      </w:r>
      <w:r w:rsidRPr="004F7B95">
        <w:rPr>
          <w:rFonts w:ascii="Times New Roman" w:hAnsi="Times New Roman"/>
          <w:sz w:val="24"/>
          <w:szCs w:val="24"/>
        </w:rPr>
        <w:t xml:space="preserve">, and provided a sixty-day period for public comment.  </w:t>
      </w:r>
      <w:r w:rsidR="00057200">
        <w:rPr>
          <w:rFonts w:ascii="Times New Roman" w:hAnsi="Times New Roman"/>
          <w:sz w:val="24"/>
          <w:szCs w:val="24"/>
        </w:rPr>
        <w:t>W</w:t>
      </w:r>
      <w:r w:rsidRPr="00A07BBB" w:rsidR="00057200">
        <w:rPr>
          <w:rFonts w:ascii="Times New Roman" w:hAnsi="Times New Roman"/>
          <w:sz w:val="24"/>
          <w:szCs w:val="24"/>
        </w:rPr>
        <w:t>e d</w:t>
      </w:r>
      <w:r w:rsidR="00057200">
        <w:rPr>
          <w:rFonts w:ascii="Times New Roman" w:hAnsi="Times New Roman"/>
          <w:sz w:val="24"/>
          <w:szCs w:val="24"/>
        </w:rPr>
        <w:t>id not receive any comments d</w:t>
      </w:r>
      <w:r w:rsidRPr="004F7B95">
        <w:rPr>
          <w:rFonts w:ascii="Times New Roman" w:hAnsi="Times New Roman"/>
          <w:sz w:val="24"/>
          <w:szCs w:val="24"/>
        </w:rPr>
        <w:t>uring the notice and comm</w:t>
      </w:r>
      <w:r w:rsidRPr="00A07BBB">
        <w:rPr>
          <w:rFonts w:ascii="Times New Roman" w:hAnsi="Times New Roman"/>
          <w:sz w:val="24"/>
          <w:szCs w:val="24"/>
        </w:rPr>
        <w:t>ent period</w:t>
      </w:r>
      <w:r w:rsidR="00057200">
        <w:rPr>
          <w:rFonts w:ascii="Times New Roman" w:hAnsi="Times New Roman"/>
          <w:sz w:val="24"/>
          <w:szCs w:val="24"/>
        </w:rPr>
        <w:t xml:space="preserve">. </w:t>
      </w:r>
    </w:p>
    <w:p w:rsidR="00022586" w:rsidP="000C58FD" w:rsidRDefault="00022586" w14:paraId="1992C6A4" w14:textId="138F19DE">
      <w:pPr>
        <w:widowControl/>
        <w:tabs>
          <w:tab w:val="num" w:pos="360"/>
        </w:tabs>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C58FD" w:rsidRDefault="00090EA1" w14:paraId="07EE3689" w14:textId="0B28C6A2">
      <w:pPr>
        <w:widowControl/>
        <w:tabs>
          <w:tab w:val="num" w:pos="360"/>
        </w:tabs>
        <w:ind w:firstLine="360"/>
        <w:rPr>
          <w:rFonts w:ascii="Times New Roman" w:hAnsi="Times New Roman"/>
          <w:snapToGrid/>
          <w:sz w:val="24"/>
          <w:szCs w:val="24"/>
        </w:rPr>
      </w:pPr>
      <w:r w:rsidRPr="00090EA1">
        <w:rPr>
          <w:rFonts w:ascii="Times New Roman" w:hAnsi="Times New Roman"/>
          <w:snapToGrid/>
          <w:sz w:val="24"/>
          <w:szCs w:val="24"/>
        </w:rPr>
        <w:t>No payments or gifts have been or will be provided to any respondents.</w:t>
      </w:r>
    </w:p>
    <w:p w:rsidR="00D60543" w:rsidP="000C58FD" w:rsidRDefault="00D60543" w14:paraId="4915BD6F" w14:textId="583761A9">
      <w:pPr>
        <w:widowControl/>
        <w:tabs>
          <w:tab w:val="num" w:pos="360"/>
        </w:tabs>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A07BBB"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090EA1" w14:paraId="2748236F" w14:textId="3605B629">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Information being requested in the OWP and OPR is not considered confidential.  Therefore, no additional safeguards are considered n</w:t>
      </w:r>
      <w:r>
        <w:rPr>
          <w:rFonts w:ascii="Times New Roman" w:hAnsi="Times New Roman"/>
          <w:snapToGrid/>
          <w:sz w:val="24"/>
          <w:szCs w:val="24"/>
        </w:rPr>
        <w:t xml:space="preserve">ecessary beyond those that are </w:t>
      </w:r>
      <w:r w:rsidRPr="00090EA1">
        <w:rPr>
          <w:rFonts w:ascii="Times New Roman" w:hAnsi="Times New Roman"/>
          <w:snapToGrid/>
          <w:sz w:val="24"/>
          <w:szCs w:val="24"/>
        </w:rPr>
        <w:t>customarily applied to routine government information.  In rare cases, grantees may insert or attach information to their OPRs, such as community meeting attendance lists that include contact information.  ANA will take reasonable precautions to keep information contained in the OPR private to the extent permitted by law.  The OWP and OPR are "housed" electronically on the ACF GrantSolutions system.</w:t>
      </w:r>
    </w:p>
    <w:p w:rsidR="00D60543" w:rsidP="000C58FD" w:rsidRDefault="00D60543" w14:paraId="0630E30B" w14:textId="219ECD8E">
      <w:pPr>
        <w:widowControl/>
        <w:tabs>
          <w:tab w:val="num" w:pos="360"/>
        </w:tabs>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A07BBB"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090EA1" w14:paraId="4BEEA08B" w14:textId="52A47DE6">
      <w:pPr>
        <w:widowControl/>
        <w:tabs>
          <w:tab w:val="num" w:pos="360"/>
        </w:tabs>
        <w:ind w:left="360"/>
        <w:rPr>
          <w:rFonts w:ascii="Times New Roman" w:hAnsi="Times New Roman"/>
          <w:snapToGrid/>
          <w:sz w:val="24"/>
          <w:szCs w:val="24"/>
        </w:rPr>
      </w:pPr>
      <w:r w:rsidRPr="00090EA1">
        <w:rPr>
          <w:rFonts w:ascii="Times New Roman" w:hAnsi="Times New Roman"/>
          <w:snapToGrid/>
          <w:sz w:val="24"/>
          <w:szCs w:val="24"/>
        </w:rPr>
        <w:t>This is not applicable.  No information of a sensitive nature is requested in the OWP or OPR.</w:t>
      </w:r>
    </w:p>
    <w:p w:rsidR="004602FE" w:rsidP="00022586" w:rsidRDefault="004602FE" w14:paraId="1C91DBF9" w14:textId="77777777">
      <w:pPr>
        <w:widowControl/>
        <w:tabs>
          <w:tab w:val="num" w:pos="360"/>
        </w:tabs>
        <w:ind w:left="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C65D22" w:rsidR="00CB1A12" w:rsidP="00A07BBB" w:rsidRDefault="002C3C4F" w14:paraId="055034F3" w14:textId="48C09A73">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Estimates of Annualized Burden Hours and Costs </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0"/>
        <w:gridCol w:w="1504"/>
        <w:gridCol w:w="1566"/>
        <w:gridCol w:w="1369"/>
        <w:gridCol w:w="1136"/>
        <w:gridCol w:w="922"/>
        <w:gridCol w:w="1083"/>
        <w:gridCol w:w="1116"/>
      </w:tblGrid>
      <w:tr w:rsidRPr="004F7B95" w:rsidR="00224825" w:rsidTr="00D232B5" w14:paraId="0B37890D" w14:textId="77777777">
        <w:trPr>
          <w:jc w:val="center"/>
        </w:trPr>
        <w:tc>
          <w:tcPr>
            <w:tcW w:w="1409" w:type="dxa"/>
            <w:shd w:val="clear" w:color="auto" w:fill="BFBFBF"/>
            <w:vAlign w:val="center"/>
          </w:tcPr>
          <w:p w:rsidRPr="00224825" w:rsidR="00224825" w:rsidP="00224825" w:rsidRDefault="00224825" w14:paraId="4384ACE4" w14:textId="77777777">
            <w:pPr>
              <w:rPr>
                <w:rFonts w:ascii="Times New Roman" w:hAnsi="Times New Roman"/>
                <w:szCs w:val="24"/>
              </w:rPr>
            </w:pPr>
            <w:r w:rsidRPr="00224825">
              <w:rPr>
                <w:rFonts w:ascii="Times New Roman" w:hAnsi="Times New Roman"/>
                <w:szCs w:val="24"/>
              </w:rPr>
              <w:t>Information Collection Title</w:t>
            </w:r>
          </w:p>
        </w:tc>
        <w:tc>
          <w:tcPr>
            <w:tcW w:w="1527" w:type="dxa"/>
            <w:shd w:val="clear" w:color="auto" w:fill="BFBFBF"/>
            <w:vAlign w:val="center"/>
          </w:tcPr>
          <w:p w:rsidRPr="00405C10" w:rsidR="00224825" w:rsidP="00D232B5" w:rsidRDefault="00224825" w14:paraId="53E97E1E" w14:textId="77777777">
            <w:pPr>
              <w:jc w:val="center"/>
              <w:rPr>
                <w:rFonts w:ascii="Times New Roman" w:hAnsi="Times New Roman"/>
                <w:szCs w:val="24"/>
              </w:rPr>
            </w:pPr>
            <w:r w:rsidRPr="00405C10">
              <w:rPr>
                <w:rFonts w:ascii="Times New Roman" w:hAnsi="Times New Roman"/>
                <w:szCs w:val="24"/>
              </w:rPr>
              <w:t>Total Number of Respondents</w:t>
            </w:r>
          </w:p>
        </w:tc>
        <w:tc>
          <w:tcPr>
            <w:tcW w:w="1601" w:type="dxa"/>
            <w:shd w:val="clear" w:color="auto" w:fill="BFBFBF"/>
            <w:vAlign w:val="center"/>
          </w:tcPr>
          <w:p w:rsidRPr="00405C10" w:rsidR="00224825" w:rsidP="00D232B5" w:rsidRDefault="00224825" w14:paraId="3F983631"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03" w:type="dxa"/>
            <w:shd w:val="clear" w:color="auto" w:fill="BFBFBF"/>
            <w:vAlign w:val="center"/>
          </w:tcPr>
          <w:p w:rsidRPr="00405C10" w:rsidR="00224825" w:rsidP="00D232B5" w:rsidRDefault="00224825" w14:paraId="4D63C1DA"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65" w:type="dxa"/>
            <w:shd w:val="clear" w:color="auto" w:fill="BFBFBF"/>
            <w:vAlign w:val="center"/>
          </w:tcPr>
          <w:p w:rsidRPr="00405C10" w:rsidR="00224825" w:rsidP="00D232B5" w:rsidRDefault="00224825" w14:paraId="0710B00D" w14:textId="77777777">
            <w:pPr>
              <w:jc w:val="center"/>
              <w:rPr>
                <w:rFonts w:ascii="Times New Roman" w:hAnsi="Times New Roman"/>
                <w:szCs w:val="24"/>
              </w:rPr>
            </w:pPr>
            <w:r w:rsidRPr="00405C10">
              <w:rPr>
                <w:rFonts w:ascii="Times New Roman" w:hAnsi="Times New Roman"/>
                <w:szCs w:val="24"/>
              </w:rPr>
              <w:t>Total Burden Hours</w:t>
            </w:r>
          </w:p>
        </w:tc>
        <w:tc>
          <w:tcPr>
            <w:tcW w:w="932" w:type="dxa"/>
            <w:shd w:val="clear" w:color="auto" w:fill="BFBFBF"/>
            <w:vAlign w:val="center"/>
          </w:tcPr>
          <w:p w:rsidRPr="00405C10" w:rsidR="00224825" w:rsidP="00D232B5" w:rsidRDefault="00224825" w14:paraId="263E8CC2"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224825" w:rsidP="00D232B5" w:rsidRDefault="00224825" w14:paraId="48AAC47E"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224825" w:rsidP="00D232B5" w:rsidRDefault="00224825" w14:paraId="5A4103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24825" w:rsidTr="00D232B5" w14:paraId="0EB0C6E1" w14:textId="77777777">
        <w:trPr>
          <w:trHeight w:val="432"/>
          <w:jc w:val="center"/>
        </w:trPr>
        <w:tc>
          <w:tcPr>
            <w:tcW w:w="1409" w:type="dxa"/>
            <w:vAlign w:val="bottom"/>
          </w:tcPr>
          <w:p w:rsidRPr="00405C10" w:rsidR="00224825" w:rsidP="00D232B5" w:rsidRDefault="00224825" w14:paraId="6C9172D7" w14:textId="77777777">
            <w:pPr>
              <w:tabs>
                <w:tab w:val="center" w:pos="4320"/>
                <w:tab w:val="right" w:pos="8640"/>
              </w:tabs>
              <w:rPr>
                <w:rFonts w:ascii="Times New Roman" w:hAnsi="Times New Roman"/>
                <w:szCs w:val="24"/>
              </w:rPr>
            </w:pPr>
            <w:r>
              <w:rPr>
                <w:rFonts w:ascii="Times New Roman" w:hAnsi="Times New Roman"/>
                <w:szCs w:val="24"/>
              </w:rPr>
              <w:t>OWP 2020-2021</w:t>
            </w:r>
          </w:p>
        </w:tc>
        <w:tc>
          <w:tcPr>
            <w:tcW w:w="1527" w:type="dxa"/>
            <w:vAlign w:val="bottom"/>
          </w:tcPr>
          <w:p w:rsidRPr="00D232B5" w:rsidR="00224825" w:rsidP="00D232B5" w:rsidRDefault="00224825" w14:paraId="22EF8803" w14:textId="77777777">
            <w:pPr>
              <w:tabs>
                <w:tab w:val="center" w:pos="4320"/>
                <w:tab w:val="right" w:pos="8640"/>
              </w:tabs>
              <w:jc w:val="center"/>
              <w:rPr>
                <w:rFonts w:ascii="Times New Roman" w:hAnsi="Times New Roman"/>
                <w:szCs w:val="24"/>
              </w:rPr>
            </w:pPr>
            <w:r w:rsidRPr="00D232B5">
              <w:rPr>
                <w:rFonts w:ascii="Times New Roman" w:hAnsi="Times New Roman"/>
                <w:szCs w:val="24"/>
              </w:rPr>
              <w:t>300</w:t>
            </w:r>
          </w:p>
        </w:tc>
        <w:tc>
          <w:tcPr>
            <w:tcW w:w="1601" w:type="dxa"/>
            <w:vAlign w:val="bottom"/>
          </w:tcPr>
          <w:p w:rsidRPr="00405C10" w:rsidR="00224825" w:rsidP="00D232B5" w:rsidRDefault="00224825" w14:paraId="5A418FC3"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403" w:type="dxa"/>
            <w:vAlign w:val="bottom"/>
          </w:tcPr>
          <w:p w:rsidRPr="00405C10" w:rsidR="00224825" w:rsidP="00D232B5" w:rsidRDefault="00224825" w14:paraId="20352048" w14:textId="77777777">
            <w:pPr>
              <w:tabs>
                <w:tab w:val="center" w:pos="4320"/>
                <w:tab w:val="right" w:pos="8640"/>
              </w:tabs>
              <w:jc w:val="center"/>
              <w:rPr>
                <w:rFonts w:ascii="Times New Roman" w:hAnsi="Times New Roman"/>
                <w:szCs w:val="24"/>
              </w:rPr>
            </w:pPr>
            <w:r>
              <w:rPr>
                <w:rFonts w:ascii="Times New Roman" w:hAnsi="Times New Roman"/>
                <w:szCs w:val="24"/>
              </w:rPr>
              <w:t>3</w:t>
            </w:r>
          </w:p>
        </w:tc>
        <w:tc>
          <w:tcPr>
            <w:tcW w:w="1165" w:type="dxa"/>
            <w:vAlign w:val="bottom"/>
          </w:tcPr>
          <w:p w:rsidRPr="00405C10" w:rsidR="00224825" w:rsidP="00D232B5" w:rsidRDefault="00224825" w14:paraId="312427F9" w14:textId="77777777">
            <w:pPr>
              <w:tabs>
                <w:tab w:val="center" w:pos="4320"/>
                <w:tab w:val="right" w:pos="8640"/>
              </w:tabs>
              <w:jc w:val="center"/>
              <w:rPr>
                <w:rFonts w:ascii="Times New Roman" w:hAnsi="Times New Roman"/>
                <w:szCs w:val="24"/>
              </w:rPr>
            </w:pPr>
            <w:r>
              <w:rPr>
                <w:rFonts w:ascii="Times New Roman" w:hAnsi="Times New Roman"/>
                <w:szCs w:val="24"/>
              </w:rPr>
              <w:t>900</w:t>
            </w:r>
          </w:p>
        </w:tc>
        <w:tc>
          <w:tcPr>
            <w:tcW w:w="932" w:type="dxa"/>
            <w:vAlign w:val="bottom"/>
          </w:tcPr>
          <w:p w:rsidRPr="00405C10" w:rsidR="00224825" w:rsidP="00D232B5" w:rsidRDefault="00224825" w14:paraId="531E4FAD" w14:textId="77777777">
            <w:pPr>
              <w:tabs>
                <w:tab w:val="center" w:pos="4320"/>
                <w:tab w:val="right" w:pos="8640"/>
              </w:tabs>
              <w:jc w:val="center"/>
              <w:rPr>
                <w:rFonts w:ascii="Times New Roman" w:hAnsi="Times New Roman"/>
                <w:szCs w:val="24"/>
              </w:rPr>
            </w:pPr>
            <w:r>
              <w:rPr>
                <w:rFonts w:ascii="Times New Roman" w:hAnsi="Times New Roman"/>
                <w:szCs w:val="24"/>
              </w:rPr>
              <w:t>300</w:t>
            </w:r>
          </w:p>
        </w:tc>
        <w:tc>
          <w:tcPr>
            <w:tcW w:w="1083" w:type="dxa"/>
            <w:vAlign w:val="bottom"/>
          </w:tcPr>
          <w:p w:rsidRPr="00405C10" w:rsidR="00224825" w:rsidP="00D232B5" w:rsidRDefault="00224825" w14:paraId="4CE37FFB" w14:textId="77777777">
            <w:pPr>
              <w:tabs>
                <w:tab w:val="center" w:pos="4320"/>
                <w:tab w:val="right" w:pos="8640"/>
              </w:tabs>
              <w:jc w:val="center"/>
              <w:rPr>
                <w:rFonts w:ascii="Times New Roman" w:hAnsi="Times New Roman"/>
                <w:szCs w:val="24"/>
              </w:rPr>
            </w:pPr>
            <w:r w:rsidRPr="000C58FD">
              <w:rPr>
                <w:rFonts w:ascii="Times New Roman" w:hAnsi="Times New Roman"/>
                <w:szCs w:val="24"/>
              </w:rPr>
              <w:t>35.62</w:t>
            </w:r>
          </w:p>
        </w:tc>
        <w:tc>
          <w:tcPr>
            <w:tcW w:w="966" w:type="dxa"/>
            <w:vAlign w:val="bottom"/>
          </w:tcPr>
          <w:p w:rsidRPr="00405C10" w:rsidR="00224825" w:rsidP="00D232B5" w:rsidRDefault="00224825" w14:paraId="4EB19BBF" w14:textId="77777777">
            <w:pPr>
              <w:tabs>
                <w:tab w:val="center" w:pos="4320"/>
                <w:tab w:val="right" w:pos="8640"/>
              </w:tabs>
              <w:jc w:val="center"/>
              <w:rPr>
                <w:rFonts w:ascii="Times New Roman" w:hAnsi="Times New Roman"/>
                <w:szCs w:val="24"/>
              </w:rPr>
            </w:pPr>
            <w:r>
              <w:rPr>
                <w:rFonts w:ascii="Times New Roman" w:hAnsi="Times New Roman"/>
                <w:szCs w:val="24"/>
              </w:rPr>
              <w:t>$10,686.00</w:t>
            </w:r>
          </w:p>
        </w:tc>
      </w:tr>
      <w:tr w:rsidRPr="004F7B95" w:rsidR="00224825" w:rsidTr="00D232B5" w14:paraId="7BDC286F" w14:textId="77777777">
        <w:trPr>
          <w:trHeight w:val="432"/>
          <w:jc w:val="center"/>
        </w:trPr>
        <w:tc>
          <w:tcPr>
            <w:tcW w:w="1409" w:type="dxa"/>
            <w:vAlign w:val="center"/>
          </w:tcPr>
          <w:p w:rsidRPr="00405C10" w:rsidR="00224825" w:rsidP="00D232B5" w:rsidRDefault="00224825" w14:paraId="2ECA6D12" w14:textId="77777777">
            <w:pPr>
              <w:tabs>
                <w:tab w:val="center" w:pos="4320"/>
                <w:tab w:val="right" w:pos="8640"/>
              </w:tabs>
              <w:rPr>
                <w:rFonts w:ascii="Times New Roman" w:hAnsi="Times New Roman"/>
                <w:szCs w:val="24"/>
              </w:rPr>
            </w:pPr>
            <w:r>
              <w:rPr>
                <w:rFonts w:ascii="Times New Roman" w:hAnsi="Times New Roman"/>
                <w:szCs w:val="24"/>
              </w:rPr>
              <w:t>OPR FY 2020</w:t>
            </w:r>
          </w:p>
        </w:tc>
        <w:tc>
          <w:tcPr>
            <w:tcW w:w="1527" w:type="dxa"/>
            <w:vAlign w:val="bottom"/>
          </w:tcPr>
          <w:p w:rsidRPr="00A63D37" w:rsidR="00224825" w:rsidP="00D232B5" w:rsidRDefault="00224825" w14:paraId="26C72262" w14:textId="77777777">
            <w:pPr>
              <w:tabs>
                <w:tab w:val="center" w:pos="4320"/>
                <w:tab w:val="right" w:pos="8640"/>
              </w:tabs>
              <w:jc w:val="center"/>
              <w:rPr>
                <w:rFonts w:ascii="Times New Roman" w:hAnsi="Times New Roman"/>
                <w:szCs w:val="24"/>
              </w:rPr>
            </w:pPr>
            <w:r w:rsidRPr="00A63D37">
              <w:rPr>
                <w:rFonts w:ascii="Times New Roman" w:hAnsi="Times New Roman"/>
                <w:szCs w:val="24"/>
              </w:rPr>
              <w:t>200</w:t>
            </w:r>
          </w:p>
        </w:tc>
        <w:tc>
          <w:tcPr>
            <w:tcW w:w="1601" w:type="dxa"/>
            <w:vAlign w:val="bottom"/>
          </w:tcPr>
          <w:p w:rsidRPr="00405C10" w:rsidR="00224825" w:rsidP="00D232B5" w:rsidRDefault="00224825" w14:paraId="407ED115" w14:textId="77777777">
            <w:pPr>
              <w:tabs>
                <w:tab w:val="center" w:pos="4320"/>
                <w:tab w:val="right" w:pos="8640"/>
              </w:tabs>
              <w:jc w:val="center"/>
              <w:rPr>
                <w:rFonts w:ascii="Times New Roman" w:hAnsi="Times New Roman"/>
                <w:szCs w:val="24"/>
              </w:rPr>
            </w:pPr>
            <w:r>
              <w:rPr>
                <w:rFonts w:ascii="Times New Roman" w:hAnsi="Times New Roman"/>
                <w:szCs w:val="24"/>
              </w:rPr>
              <w:t>2</w:t>
            </w:r>
          </w:p>
        </w:tc>
        <w:tc>
          <w:tcPr>
            <w:tcW w:w="1403" w:type="dxa"/>
            <w:vAlign w:val="bottom"/>
          </w:tcPr>
          <w:p w:rsidRPr="00405C10" w:rsidR="00224825" w:rsidP="00D232B5" w:rsidRDefault="00224825" w14:paraId="5C27F768"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165" w:type="dxa"/>
            <w:vAlign w:val="bottom"/>
          </w:tcPr>
          <w:p w:rsidRPr="00405C10" w:rsidR="00224825" w:rsidP="00D232B5" w:rsidRDefault="00224825" w14:paraId="044B3663" w14:textId="77777777">
            <w:pPr>
              <w:tabs>
                <w:tab w:val="center" w:pos="4320"/>
                <w:tab w:val="right" w:pos="8640"/>
              </w:tabs>
              <w:jc w:val="center"/>
              <w:rPr>
                <w:rFonts w:ascii="Times New Roman" w:hAnsi="Times New Roman"/>
                <w:szCs w:val="24"/>
              </w:rPr>
            </w:pPr>
            <w:r>
              <w:rPr>
                <w:rFonts w:ascii="Times New Roman" w:hAnsi="Times New Roman"/>
                <w:szCs w:val="24"/>
              </w:rPr>
              <w:t>400</w:t>
            </w:r>
          </w:p>
        </w:tc>
        <w:tc>
          <w:tcPr>
            <w:tcW w:w="932" w:type="dxa"/>
            <w:vAlign w:val="bottom"/>
          </w:tcPr>
          <w:p w:rsidRPr="00405C10" w:rsidR="00224825" w:rsidP="00D232B5" w:rsidRDefault="00224825" w14:paraId="54723321" w14:textId="77777777">
            <w:pPr>
              <w:tabs>
                <w:tab w:val="center" w:pos="4320"/>
                <w:tab w:val="right" w:pos="8640"/>
              </w:tabs>
              <w:jc w:val="center"/>
              <w:rPr>
                <w:rFonts w:ascii="Times New Roman" w:hAnsi="Times New Roman"/>
                <w:szCs w:val="24"/>
              </w:rPr>
            </w:pPr>
            <w:r>
              <w:rPr>
                <w:rFonts w:ascii="Times New Roman" w:hAnsi="Times New Roman"/>
                <w:szCs w:val="24"/>
              </w:rPr>
              <w:t>133</w:t>
            </w:r>
          </w:p>
        </w:tc>
        <w:tc>
          <w:tcPr>
            <w:tcW w:w="1083" w:type="dxa"/>
            <w:vAlign w:val="bottom"/>
          </w:tcPr>
          <w:p w:rsidRPr="00405C10" w:rsidR="00224825" w:rsidP="00D232B5" w:rsidRDefault="00224825" w14:paraId="3C20578C" w14:textId="77777777">
            <w:pPr>
              <w:tabs>
                <w:tab w:val="center" w:pos="4320"/>
                <w:tab w:val="right" w:pos="8640"/>
              </w:tabs>
              <w:jc w:val="center"/>
              <w:rPr>
                <w:rFonts w:ascii="Times New Roman" w:hAnsi="Times New Roman"/>
                <w:szCs w:val="24"/>
              </w:rPr>
            </w:pPr>
            <w:r w:rsidRPr="000C58FD">
              <w:rPr>
                <w:rFonts w:ascii="Times New Roman" w:hAnsi="Times New Roman"/>
                <w:szCs w:val="24"/>
              </w:rPr>
              <w:t>35.62</w:t>
            </w:r>
          </w:p>
        </w:tc>
        <w:tc>
          <w:tcPr>
            <w:tcW w:w="966" w:type="dxa"/>
            <w:vAlign w:val="bottom"/>
          </w:tcPr>
          <w:p w:rsidRPr="00405C10" w:rsidR="00224825" w:rsidP="00D232B5" w:rsidRDefault="00224825" w14:paraId="3FCB788A" w14:textId="77777777">
            <w:pPr>
              <w:tabs>
                <w:tab w:val="center" w:pos="4320"/>
                <w:tab w:val="right" w:pos="8640"/>
              </w:tabs>
              <w:jc w:val="center"/>
              <w:rPr>
                <w:rFonts w:ascii="Times New Roman" w:hAnsi="Times New Roman"/>
                <w:szCs w:val="24"/>
              </w:rPr>
            </w:pPr>
            <w:r>
              <w:rPr>
                <w:rFonts w:ascii="Times New Roman" w:hAnsi="Times New Roman"/>
                <w:szCs w:val="24"/>
              </w:rPr>
              <w:t>$4,689.58</w:t>
            </w:r>
          </w:p>
        </w:tc>
      </w:tr>
      <w:tr w:rsidRPr="004F7B95" w:rsidR="00224825" w:rsidTr="00D232B5" w14:paraId="5D82DE1F" w14:textId="77777777">
        <w:trPr>
          <w:trHeight w:val="432"/>
          <w:jc w:val="center"/>
        </w:trPr>
        <w:tc>
          <w:tcPr>
            <w:tcW w:w="1409" w:type="dxa"/>
            <w:vAlign w:val="center"/>
          </w:tcPr>
          <w:p w:rsidRPr="00405C10" w:rsidR="00224825" w:rsidP="00D232B5" w:rsidRDefault="00224825" w14:paraId="48083684" w14:textId="77777777">
            <w:pPr>
              <w:tabs>
                <w:tab w:val="center" w:pos="4320"/>
                <w:tab w:val="right" w:pos="8640"/>
              </w:tabs>
              <w:rPr>
                <w:rFonts w:ascii="Times New Roman" w:hAnsi="Times New Roman"/>
                <w:szCs w:val="24"/>
              </w:rPr>
            </w:pPr>
            <w:r>
              <w:rPr>
                <w:rFonts w:ascii="Times New Roman" w:hAnsi="Times New Roman"/>
                <w:szCs w:val="24"/>
              </w:rPr>
              <w:t>OPR FY 2021-Exp Date</w:t>
            </w:r>
          </w:p>
        </w:tc>
        <w:tc>
          <w:tcPr>
            <w:tcW w:w="1527" w:type="dxa"/>
            <w:vAlign w:val="bottom"/>
          </w:tcPr>
          <w:p w:rsidRPr="00A63D37" w:rsidR="00224825" w:rsidP="00D232B5" w:rsidRDefault="00224825" w14:paraId="7E203A18" w14:textId="77777777">
            <w:pPr>
              <w:tabs>
                <w:tab w:val="center" w:pos="4320"/>
                <w:tab w:val="right" w:pos="8640"/>
              </w:tabs>
              <w:jc w:val="center"/>
              <w:rPr>
                <w:rFonts w:ascii="Times New Roman" w:hAnsi="Times New Roman"/>
                <w:szCs w:val="24"/>
              </w:rPr>
            </w:pPr>
            <w:r w:rsidRPr="00A63D37">
              <w:rPr>
                <w:rFonts w:ascii="Times New Roman" w:hAnsi="Times New Roman"/>
                <w:szCs w:val="24"/>
              </w:rPr>
              <w:t>200</w:t>
            </w:r>
          </w:p>
        </w:tc>
        <w:tc>
          <w:tcPr>
            <w:tcW w:w="1601" w:type="dxa"/>
            <w:vAlign w:val="bottom"/>
          </w:tcPr>
          <w:p w:rsidRPr="00405C10" w:rsidR="00224825" w:rsidP="00D232B5" w:rsidRDefault="00224825" w14:paraId="3561AA3F" w14:textId="77777777">
            <w:pPr>
              <w:tabs>
                <w:tab w:val="center" w:pos="4320"/>
                <w:tab w:val="right" w:pos="8640"/>
              </w:tabs>
              <w:jc w:val="center"/>
              <w:rPr>
                <w:rFonts w:ascii="Times New Roman" w:hAnsi="Times New Roman"/>
                <w:szCs w:val="24"/>
              </w:rPr>
            </w:pPr>
            <w:r>
              <w:rPr>
                <w:rFonts w:ascii="Times New Roman" w:hAnsi="Times New Roman"/>
                <w:szCs w:val="24"/>
              </w:rPr>
              <w:t>4</w:t>
            </w:r>
          </w:p>
        </w:tc>
        <w:tc>
          <w:tcPr>
            <w:tcW w:w="1403" w:type="dxa"/>
            <w:vAlign w:val="bottom"/>
          </w:tcPr>
          <w:p w:rsidRPr="00405C10" w:rsidR="00224825" w:rsidP="00D232B5" w:rsidRDefault="00224825" w14:paraId="7ECD12B7" w14:textId="77777777">
            <w:pPr>
              <w:tabs>
                <w:tab w:val="center" w:pos="4320"/>
                <w:tab w:val="right" w:pos="8640"/>
              </w:tabs>
              <w:jc w:val="center"/>
              <w:rPr>
                <w:rFonts w:ascii="Times New Roman" w:hAnsi="Times New Roman"/>
                <w:szCs w:val="24"/>
              </w:rPr>
            </w:pPr>
            <w:r>
              <w:rPr>
                <w:rFonts w:ascii="Times New Roman" w:hAnsi="Times New Roman"/>
                <w:szCs w:val="24"/>
              </w:rPr>
              <w:t>2</w:t>
            </w:r>
          </w:p>
        </w:tc>
        <w:tc>
          <w:tcPr>
            <w:tcW w:w="1165" w:type="dxa"/>
            <w:vAlign w:val="bottom"/>
          </w:tcPr>
          <w:p w:rsidRPr="00405C10" w:rsidR="00224825" w:rsidP="00D232B5" w:rsidRDefault="00224825" w14:paraId="1C5402E6" w14:textId="77777777">
            <w:pPr>
              <w:tabs>
                <w:tab w:val="center" w:pos="4320"/>
                <w:tab w:val="right" w:pos="8640"/>
              </w:tabs>
              <w:jc w:val="center"/>
              <w:rPr>
                <w:rFonts w:ascii="Times New Roman" w:hAnsi="Times New Roman"/>
                <w:szCs w:val="24"/>
              </w:rPr>
            </w:pPr>
            <w:r>
              <w:rPr>
                <w:rFonts w:ascii="Times New Roman" w:hAnsi="Times New Roman"/>
                <w:szCs w:val="24"/>
              </w:rPr>
              <w:t>1600</w:t>
            </w:r>
          </w:p>
        </w:tc>
        <w:tc>
          <w:tcPr>
            <w:tcW w:w="932" w:type="dxa"/>
            <w:vAlign w:val="bottom"/>
          </w:tcPr>
          <w:p w:rsidRPr="00405C10" w:rsidR="00224825" w:rsidP="00D232B5" w:rsidRDefault="00224825" w14:paraId="5DFFF450" w14:textId="77777777">
            <w:pPr>
              <w:tabs>
                <w:tab w:val="center" w:pos="4320"/>
                <w:tab w:val="right" w:pos="8640"/>
              </w:tabs>
              <w:jc w:val="center"/>
              <w:rPr>
                <w:rFonts w:ascii="Times New Roman" w:hAnsi="Times New Roman"/>
                <w:szCs w:val="24"/>
              </w:rPr>
            </w:pPr>
            <w:r>
              <w:rPr>
                <w:rFonts w:ascii="Times New Roman" w:hAnsi="Times New Roman"/>
                <w:szCs w:val="24"/>
              </w:rPr>
              <w:t>533</w:t>
            </w:r>
          </w:p>
        </w:tc>
        <w:tc>
          <w:tcPr>
            <w:tcW w:w="1083" w:type="dxa"/>
            <w:vAlign w:val="bottom"/>
          </w:tcPr>
          <w:p w:rsidRPr="00405C10" w:rsidR="00224825" w:rsidP="00D232B5" w:rsidRDefault="00224825" w14:paraId="3F4C9B32" w14:textId="77777777">
            <w:pPr>
              <w:tabs>
                <w:tab w:val="center" w:pos="4320"/>
                <w:tab w:val="right" w:pos="8640"/>
              </w:tabs>
              <w:jc w:val="center"/>
              <w:rPr>
                <w:rFonts w:ascii="Times New Roman" w:hAnsi="Times New Roman"/>
                <w:szCs w:val="24"/>
              </w:rPr>
            </w:pPr>
            <w:r w:rsidRPr="000C58FD">
              <w:rPr>
                <w:rFonts w:ascii="Times New Roman" w:hAnsi="Times New Roman"/>
                <w:szCs w:val="24"/>
              </w:rPr>
              <w:t>35.62</w:t>
            </w:r>
          </w:p>
        </w:tc>
        <w:tc>
          <w:tcPr>
            <w:tcW w:w="966" w:type="dxa"/>
            <w:vAlign w:val="bottom"/>
          </w:tcPr>
          <w:p w:rsidRPr="00405C10" w:rsidR="00224825" w:rsidP="00D232B5" w:rsidRDefault="00224825" w14:paraId="78EAA9D9" w14:textId="77777777">
            <w:pPr>
              <w:tabs>
                <w:tab w:val="center" w:pos="4320"/>
                <w:tab w:val="right" w:pos="8640"/>
              </w:tabs>
              <w:jc w:val="center"/>
              <w:rPr>
                <w:rFonts w:ascii="Times New Roman" w:hAnsi="Times New Roman"/>
                <w:szCs w:val="24"/>
              </w:rPr>
            </w:pPr>
            <w:r>
              <w:rPr>
                <w:rFonts w:ascii="Times New Roman" w:hAnsi="Times New Roman"/>
                <w:szCs w:val="24"/>
              </w:rPr>
              <w:t>$18,985.46</w:t>
            </w:r>
          </w:p>
        </w:tc>
      </w:tr>
      <w:tr w:rsidRPr="004F7B95" w:rsidR="00224825" w:rsidTr="00D232B5" w14:paraId="78C0E952" w14:textId="77777777">
        <w:trPr>
          <w:jc w:val="center"/>
        </w:trPr>
        <w:tc>
          <w:tcPr>
            <w:tcW w:w="7105" w:type="dxa"/>
            <w:gridSpan w:val="5"/>
            <w:vAlign w:val="center"/>
          </w:tcPr>
          <w:p w:rsidRPr="00405C10" w:rsidR="00224825" w:rsidP="00D232B5" w:rsidRDefault="00224825" w14:paraId="00902182"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32" w:type="dxa"/>
            <w:vAlign w:val="center"/>
          </w:tcPr>
          <w:p w:rsidRPr="00405C10" w:rsidR="00224825" w:rsidP="00D232B5" w:rsidRDefault="00224825" w14:paraId="34622E53" w14:textId="77777777">
            <w:pPr>
              <w:tabs>
                <w:tab w:val="center" w:pos="4320"/>
                <w:tab w:val="right" w:pos="8640"/>
              </w:tabs>
              <w:jc w:val="center"/>
              <w:rPr>
                <w:rFonts w:ascii="Times New Roman" w:hAnsi="Times New Roman"/>
                <w:b/>
                <w:szCs w:val="24"/>
              </w:rPr>
            </w:pPr>
            <w:r>
              <w:rPr>
                <w:rFonts w:ascii="Times New Roman" w:hAnsi="Times New Roman"/>
                <w:b/>
                <w:szCs w:val="24"/>
              </w:rPr>
              <w:t>966</w:t>
            </w:r>
          </w:p>
        </w:tc>
        <w:tc>
          <w:tcPr>
            <w:tcW w:w="1083" w:type="dxa"/>
          </w:tcPr>
          <w:p w:rsidRPr="00405C10" w:rsidR="00224825" w:rsidP="00D232B5" w:rsidRDefault="00224825" w14:paraId="3598058A"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66" w:type="dxa"/>
            <w:vAlign w:val="center"/>
          </w:tcPr>
          <w:p w:rsidRPr="00405C10" w:rsidR="00224825" w:rsidP="00D232B5" w:rsidRDefault="00224825" w14:paraId="241946E1" w14:textId="77777777">
            <w:pPr>
              <w:tabs>
                <w:tab w:val="center" w:pos="4320"/>
                <w:tab w:val="right" w:pos="8640"/>
              </w:tabs>
              <w:jc w:val="center"/>
              <w:rPr>
                <w:rFonts w:ascii="Times New Roman" w:hAnsi="Times New Roman"/>
                <w:b/>
                <w:szCs w:val="24"/>
              </w:rPr>
            </w:pPr>
            <w:r>
              <w:rPr>
                <w:rFonts w:ascii="Times New Roman" w:hAnsi="Times New Roman"/>
                <w:b/>
                <w:szCs w:val="24"/>
              </w:rPr>
              <w:t>$34,361.04</w:t>
            </w:r>
          </w:p>
        </w:tc>
      </w:tr>
    </w:tbl>
    <w:p w:rsidR="00224825" w:rsidP="00224825" w:rsidRDefault="00224825" w14:paraId="1BC3E8DA" w14:textId="77777777">
      <w:pPr>
        <w:widowControl/>
        <w:ind w:left="360"/>
        <w:rPr>
          <w:rFonts w:ascii="Times New Roman" w:hAnsi="Times New Roman"/>
          <w:snapToGrid/>
          <w:sz w:val="24"/>
          <w:szCs w:val="24"/>
        </w:rPr>
      </w:pPr>
    </w:p>
    <w:p w:rsidRPr="008F7221" w:rsidR="00224825" w:rsidP="00224825" w:rsidRDefault="00224825" w14:paraId="45C8A2A0" w14:textId="77777777">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Pr>
          <w:rFonts w:ascii="Times New Roman" w:hAnsi="Times New Roman"/>
          <w:snapToGrid/>
          <w:sz w:val="24"/>
          <w:szCs w:val="24"/>
        </w:rPr>
        <w:t>job code for Social and Human Services Assistants [21-1093] and wage data from May 201</w:t>
      </w:r>
      <w:r>
        <w:rPr>
          <w:rFonts w:ascii="Times New Roman" w:hAnsi="Times New Roman"/>
          <w:snapToGrid/>
          <w:sz w:val="24"/>
          <w:szCs w:val="24"/>
        </w:rPr>
        <w:t>9</w:t>
      </w:r>
      <w:r w:rsidRPr="008F7221">
        <w:rPr>
          <w:rFonts w:ascii="Times New Roman" w:hAnsi="Times New Roman"/>
          <w:snapToGrid/>
          <w:sz w:val="24"/>
          <w:szCs w:val="24"/>
        </w:rPr>
        <w:t xml:space="preserve"> which is $17.</w:t>
      </w:r>
      <w:r>
        <w:rPr>
          <w:rFonts w:ascii="Times New Roman" w:hAnsi="Times New Roman"/>
          <w:snapToGrid/>
          <w:sz w:val="24"/>
          <w:szCs w:val="24"/>
        </w:rPr>
        <w:t>81</w:t>
      </w:r>
      <w:r w:rsidRPr="008F7221">
        <w:rPr>
          <w:rFonts w:ascii="Times New Roman" w:hAnsi="Times New Roman"/>
          <w:snapToGrid/>
          <w:sz w:val="24"/>
          <w:szCs w:val="24"/>
        </w:rPr>
        <w:t xml:space="preserve"> per hour.</w:t>
      </w:r>
      <w:r>
        <w:rPr>
          <w:rFonts w:ascii="Times New Roman" w:hAnsi="Times New Roman"/>
          <w:snapToGrid/>
          <w:sz w:val="24"/>
          <w:szCs w:val="24"/>
        </w:rPr>
        <w:t xml:space="preserve"> </w:t>
      </w:r>
      <w:r w:rsidRPr="008F7221">
        <w:rPr>
          <w:rFonts w:ascii="Times New Roman" w:hAnsi="Times New Roman"/>
          <w:snapToGrid/>
          <w:sz w:val="24"/>
          <w:szCs w:val="24"/>
        </w:rPr>
        <w:t xml:space="preserve"> To account for fringe benefits and overhead the rate was multiplied by two</w:t>
      </w:r>
      <w:r>
        <w:rPr>
          <w:rFonts w:ascii="Times New Roman" w:hAnsi="Times New Roman"/>
          <w:snapToGrid/>
          <w:sz w:val="24"/>
          <w:szCs w:val="24"/>
        </w:rPr>
        <w:t xml:space="preserve"> </w:t>
      </w:r>
      <w:r>
        <w:rPr>
          <w:rFonts w:ascii="Times New Roman" w:hAnsi="Times New Roman"/>
          <w:snapToGrid/>
          <w:sz w:val="24"/>
          <w:szCs w:val="24"/>
        </w:rPr>
        <w:lastRenderedPageBreak/>
        <w:t>which is $35.62</w:t>
      </w:r>
      <w:r w:rsidRPr="008F7221">
        <w:rPr>
          <w:rFonts w:ascii="Times New Roman" w:hAnsi="Times New Roman"/>
          <w:snapToGrid/>
          <w:sz w:val="24"/>
          <w:szCs w:val="24"/>
        </w:rPr>
        <w:t>.  The estimate of annualized cost to respondents for hour burden is $</w:t>
      </w:r>
      <w:r>
        <w:rPr>
          <w:rFonts w:ascii="Times New Roman" w:hAnsi="Times New Roman"/>
          <w:snapToGrid/>
          <w:sz w:val="24"/>
          <w:szCs w:val="24"/>
        </w:rPr>
        <w:t>35.62 times 966</w:t>
      </w:r>
      <w:r w:rsidRPr="008F7221">
        <w:rPr>
          <w:rFonts w:ascii="Times New Roman" w:hAnsi="Times New Roman"/>
          <w:snapToGrid/>
          <w:sz w:val="24"/>
          <w:szCs w:val="24"/>
        </w:rPr>
        <w:t xml:space="preserve"> hours or $</w:t>
      </w:r>
      <w:r>
        <w:rPr>
          <w:rFonts w:ascii="Times New Roman" w:hAnsi="Times New Roman"/>
          <w:snapToGrid/>
          <w:sz w:val="24"/>
          <w:szCs w:val="24"/>
        </w:rPr>
        <w:t>34,361.04</w:t>
      </w:r>
      <w:r w:rsidRPr="008F7221">
        <w:rPr>
          <w:rFonts w:ascii="Times New Roman" w:hAnsi="Times New Roman"/>
          <w:snapToGrid/>
          <w:sz w:val="24"/>
          <w:szCs w:val="24"/>
        </w:rPr>
        <w:t>.</w:t>
      </w:r>
    </w:p>
    <w:p w:rsidR="00224825" w:rsidP="00224825" w:rsidRDefault="0006607D" w14:paraId="3D13AD24" w14:textId="77777777">
      <w:pPr>
        <w:widowControl/>
        <w:ind w:left="360"/>
        <w:rPr>
          <w:rFonts w:ascii="Times New Roman" w:hAnsi="Times New Roman"/>
          <w:snapToGrid/>
          <w:sz w:val="24"/>
          <w:szCs w:val="24"/>
        </w:rPr>
      </w:pPr>
      <w:hyperlink w:history="1" r:id="rId11">
        <w:r w:rsidRPr="004F7B95" w:rsidR="00224825">
          <w:rPr>
            <w:rStyle w:val="Hyperlink"/>
            <w:rFonts w:ascii="Times New Roman" w:hAnsi="Times New Roman"/>
            <w:snapToGrid/>
            <w:sz w:val="24"/>
            <w:szCs w:val="24"/>
          </w:rPr>
          <w:t>https://www.bls.gov/oes/current/oes211093.htm</w:t>
        </w:r>
      </w:hyperlink>
    </w:p>
    <w:p w:rsidR="00D60543" w:rsidP="000C58FD" w:rsidRDefault="00D60543" w14:paraId="77D4A871" w14:textId="73F3422F">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0C58FD" w:rsidRDefault="00FC2BA2" w14:paraId="644A1DE1" w14:textId="11F2EC91">
      <w:pPr>
        <w:widowControl/>
        <w:ind w:left="360"/>
        <w:rPr>
          <w:rFonts w:ascii="Times New Roman" w:hAnsi="Times New Roman"/>
          <w:snapToGrid/>
          <w:sz w:val="24"/>
          <w:szCs w:val="24"/>
        </w:rPr>
      </w:pPr>
      <w:r>
        <w:rPr>
          <w:rFonts w:ascii="Times New Roman" w:hAnsi="Times New Roman"/>
          <w:snapToGrid/>
          <w:sz w:val="24"/>
          <w:szCs w:val="24"/>
        </w:rPr>
        <w:t>There are no additional costs</w:t>
      </w:r>
      <w:r w:rsidRPr="000C58FD" w:rsidR="000C58FD">
        <w:rPr>
          <w:rFonts w:ascii="Times New Roman" w:hAnsi="Times New Roman"/>
          <w:snapToGrid/>
          <w:sz w:val="24"/>
          <w:szCs w:val="24"/>
        </w:rPr>
        <w:t xml:space="preserve"> to respondents or record keepers</w:t>
      </w:r>
      <w:r>
        <w:rPr>
          <w:rFonts w:ascii="Times New Roman" w:hAnsi="Times New Roman"/>
          <w:snapToGrid/>
          <w:sz w:val="24"/>
          <w:szCs w:val="24"/>
        </w:rPr>
        <w:t>.</w:t>
      </w:r>
    </w:p>
    <w:p w:rsidR="00D60543" w:rsidP="000C58FD" w:rsidRDefault="00D60543" w14:paraId="00DF26E5" w14:textId="0E5F6684">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0C58FD" w14:paraId="6B09616D" w14:textId="53BE43CA">
      <w:pPr>
        <w:widowControl/>
        <w:ind w:left="360"/>
        <w:rPr>
          <w:rFonts w:ascii="Times New Roman" w:hAnsi="Times New Roman"/>
          <w:snapToGrid/>
          <w:sz w:val="24"/>
          <w:szCs w:val="24"/>
        </w:rPr>
      </w:pPr>
      <w:r w:rsidRPr="000C58FD">
        <w:rPr>
          <w:rFonts w:ascii="Times New Roman" w:hAnsi="Times New Roman"/>
          <w:snapToGrid/>
          <w:sz w:val="24"/>
          <w:szCs w:val="24"/>
        </w:rPr>
        <w:t>The annual cost burden to the federal government is approximately $13,400 to collect and analyze data.</w:t>
      </w:r>
    </w:p>
    <w:p w:rsidR="00405C10" w:rsidP="000C58FD" w:rsidRDefault="00405C10" w14:paraId="1C0CE52C" w14:textId="649D61B1">
      <w:pPr>
        <w:widowControl/>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FC2BA2" w14:paraId="10D6D58F" w14:textId="54D5ED7E">
      <w:pPr>
        <w:widowControl/>
        <w:ind w:left="360"/>
        <w:rPr>
          <w:rFonts w:ascii="Times New Roman" w:hAnsi="Times New Roman"/>
          <w:snapToGrid/>
          <w:sz w:val="24"/>
          <w:szCs w:val="24"/>
        </w:rPr>
      </w:pPr>
      <w:r>
        <w:rPr>
          <w:rFonts w:ascii="Times New Roman" w:hAnsi="Times New Roman"/>
          <w:snapToGrid/>
          <w:sz w:val="24"/>
          <w:szCs w:val="24"/>
        </w:rPr>
        <w:t>This request include</w:t>
      </w:r>
      <w:r w:rsidR="00057200">
        <w:rPr>
          <w:rFonts w:ascii="Times New Roman" w:hAnsi="Times New Roman"/>
          <w:snapToGrid/>
          <w:sz w:val="24"/>
          <w:szCs w:val="24"/>
        </w:rPr>
        <w:t>s</w:t>
      </w:r>
      <w:r>
        <w:rPr>
          <w:rFonts w:ascii="Times New Roman" w:hAnsi="Times New Roman"/>
          <w:snapToGrid/>
          <w:sz w:val="24"/>
          <w:szCs w:val="24"/>
        </w:rPr>
        <w:t xml:space="preserve"> revisions to the previously approved information collections, as described below. </w:t>
      </w:r>
    </w:p>
    <w:p w:rsidR="00FC2BA2" w:rsidP="004F7B95" w:rsidRDefault="00FC2BA2" w14:paraId="363007ED" w14:textId="77777777">
      <w:pPr>
        <w:widowControl/>
        <w:ind w:left="360"/>
        <w:rPr>
          <w:rFonts w:ascii="Times New Roman" w:hAnsi="Times New Roman"/>
          <w:snapToGrid/>
          <w:sz w:val="24"/>
          <w:szCs w:val="24"/>
        </w:rPr>
      </w:pPr>
    </w:p>
    <w:p w:rsidR="00AD7C4E" w:rsidP="00A07BBB" w:rsidRDefault="00AD7C4E" w14:paraId="47729D30" w14:textId="09E2929A">
      <w:pPr>
        <w:widowControl/>
        <w:spacing w:after="120"/>
        <w:ind w:left="360"/>
        <w:rPr>
          <w:rFonts w:ascii="Times New Roman" w:hAnsi="Times New Roman"/>
          <w:b/>
          <w:snapToGrid/>
          <w:sz w:val="24"/>
          <w:szCs w:val="24"/>
        </w:rPr>
      </w:pPr>
      <w:r>
        <w:rPr>
          <w:rFonts w:ascii="Times New Roman" w:hAnsi="Times New Roman"/>
          <w:b/>
          <w:snapToGrid/>
          <w:sz w:val="24"/>
          <w:szCs w:val="24"/>
        </w:rPr>
        <w:t xml:space="preserve">Ongoing Progress Report </w:t>
      </w:r>
      <w:r w:rsidR="00CA4FC5">
        <w:rPr>
          <w:rFonts w:ascii="Times New Roman" w:hAnsi="Times New Roman"/>
          <w:b/>
          <w:snapToGrid/>
          <w:sz w:val="24"/>
          <w:szCs w:val="24"/>
        </w:rPr>
        <w:t>FY 2020</w:t>
      </w:r>
    </w:p>
    <w:p w:rsidR="00EA33CC" w:rsidP="00A07BBB" w:rsidRDefault="00EA33CC" w14:paraId="5487D60E" w14:textId="4448F750">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The estimated number of respondents to the OPR has</w:t>
      </w:r>
      <w:r w:rsidR="000365C8">
        <w:rPr>
          <w:rFonts w:ascii="Times New Roman" w:hAnsi="Times New Roman"/>
          <w:snapToGrid/>
          <w:sz w:val="24"/>
          <w:szCs w:val="24"/>
        </w:rPr>
        <w:t xml:space="preserve"> decreased from the prior </w:t>
      </w:r>
      <w:r w:rsidR="00A07BBB">
        <w:rPr>
          <w:rFonts w:ascii="Times New Roman" w:hAnsi="Times New Roman"/>
          <w:snapToGrid/>
          <w:sz w:val="24"/>
          <w:szCs w:val="24"/>
        </w:rPr>
        <w:t>approval</w:t>
      </w:r>
      <w:r w:rsidR="000365C8">
        <w:rPr>
          <w:rFonts w:ascii="Times New Roman" w:hAnsi="Times New Roman"/>
          <w:snapToGrid/>
          <w:sz w:val="24"/>
          <w:szCs w:val="24"/>
        </w:rPr>
        <w:t xml:space="preserve"> to better align with ANA’s actual portfolio. </w:t>
      </w:r>
    </w:p>
    <w:p w:rsidRPr="00FC2BA2" w:rsidR="00AD7C4E" w:rsidP="00A07BBB" w:rsidRDefault="00AD7C4E" w14:paraId="3DE201D2" w14:textId="41AAE7B5">
      <w:pPr>
        <w:pStyle w:val="ListParagraph"/>
        <w:widowControl/>
        <w:numPr>
          <w:ilvl w:val="0"/>
          <w:numId w:val="21"/>
        </w:numPr>
        <w:rPr>
          <w:rFonts w:ascii="Times New Roman" w:hAnsi="Times New Roman"/>
          <w:snapToGrid/>
          <w:sz w:val="24"/>
          <w:szCs w:val="24"/>
        </w:rPr>
      </w:pPr>
      <w:r w:rsidRPr="00FC2BA2">
        <w:rPr>
          <w:rFonts w:ascii="Times New Roman" w:hAnsi="Times New Roman"/>
          <w:snapToGrid/>
          <w:sz w:val="24"/>
          <w:szCs w:val="24"/>
        </w:rPr>
        <w:t xml:space="preserve">Minor clarifying adjustments to the instructions. </w:t>
      </w:r>
    </w:p>
    <w:p w:rsidR="00B53325" w:rsidP="004F7B95" w:rsidRDefault="00B53325" w14:paraId="10EF94D3" w14:textId="0AAD48D3">
      <w:pPr>
        <w:widowControl/>
        <w:ind w:left="360"/>
        <w:rPr>
          <w:rFonts w:ascii="Times New Roman" w:hAnsi="Times New Roman"/>
          <w:snapToGrid/>
          <w:sz w:val="24"/>
          <w:szCs w:val="24"/>
        </w:rPr>
      </w:pPr>
    </w:p>
    <w:p w:rsidRPr="00B53325" w:rsidR="00B53325" w:rsidP="00A07BBB" w:rsidRDefault="00B53325" w14:paraId="34CF7D20" w14:textId="123D9AAC">
      <w:pPr>
        <w:widowControl/>
        <w:spacing w:after="120"/>
        <w:ind w:left="360"/>
        <w:rPr>
          <w:rFonts w:ascii="Times New Roman" w:hAnsi="Times New Roman"/>
          <w:b/>
          <w:snapToGrid/>
          <w:sz w:val="24"/>
          <w:szCs w:val="24"/>
        </w:rPr>
      </w:pPr>
      <w:r w:rsidRPr="00B53325">
        <w:rPr>
          <w:rFonts w:ascii="Times New Roman" w:hAnsi="Times New Roman"/>
          <w:b/>
          <w:snapToGrid/>
          <w:sz w:val="24"/>
          <w:szCs w:val="24"/>
        </w:rPr>
        <w:t>Objective Work Plan</w:t>
      </w:r>
    </w:p>
    <w:p w:rsidR="00536AF3" w:rsidP="00A07BBB" w:rsidRDefault="00536AF3" w14:paraId="57D9EC6D" w14:textId="37E472FF">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The estimated number of respondents has decreased</w:t>
      </w:r>
      <w:r w:rsidR="00A07BBB">
        <w:rPr>
          <w:rFonts w:ascii="Times New Roman" w:hAnsi="Times New Roman"/>
          <w:snapToGrid/>
          <w:sz w:val="24"/>
          <w:szCs w:val="24"/>
        </w:rPr>
        <w:t xml:space="preserve"> from the prior approval to better align with </w:t>
      </w:r>
      <w:r w:rsidR="0006607D">
        <w:rPr>
          <w:rFonts w:ascii="Times New Roman" w:hAnsi="Times New Roman"/>
          <w:snapToGrid/>
          <w:sz w:val="24"/>
          <w:szCs w:val="24"/>
        </w:rPr>
        <w:t>the number of applications that ANA has</w:t>
      </w:r>
      <w:r w:rsidR="00A07BBB">
        <w:rPr>
          <w:rFonts w:ascii="Times New Roman" w:hAnsi="Times New Roman"/>
          <w:snapToGrid/>
          <w:sz w:val="24"/>
          <w:szCs w:val="24"/>
        </w:rPr>
        <w:t xml:space="preserve"> received on an annual basis</w:t>
      </w:r>
      <w:r w:rsidR="0006607D">
        <w:rPr>
          <w:rFonts w:ascii="Times New Roman" w:hAnsi="Times New Roman"/>
          <w:snapToGrid/>
          <w:sz w:val="24"/>
          <w:szCs w:val="24"/>
        </w:rPr>
        <w:t xml:space="preserve"> in previous years</w:t>
      </w:r>
      <w:r>
        <w:rPr>
          <w:rFonts w:ascii="Times New Roman" w:hAnsi="Times New Roman"/>
          <w:snapToGrid/>
          <w:sz w:val="24"/>
          <w:szCs w:val="24"/>
        </w:rPr>
        <w:t xml:space="preserve">. </w:t>
      </w:r>
    </w:p>
    <w:p w:rsidR="008B393B" w:rsidP="00A07BBB" w:rsidRDefault="00B53325" w14:paraId="54775B1A" w14:textId="2F6A29A1">
      <w:pPr>
        <w:pStyle w:val="ListParagraph"/>
        <w:widowControl/>
        <w:numPr>
          <w:ilvl w:val="0"/>
          <w:numId w:val="21"/>
        </w:numPr>
        <w:rPr>
          <w:rFonts w:ascii="Times New Roman" w:hAnsi="Times New Roman"/>
          <w:snapToGrid/>
          <w:sz w:val="24"/>
          <w:szCs w:val="24"/>
        </w:rPr>
      </w:pPr>
      <w:r w:rsidRPr="00FC2BA2">
        <w:rPr>
          <w:rFonts w:ascii="Times New Roman" w:hAnsi="Times New Roman"/>
          <w:snapToGrid/>
          <w:sz w:val="24"/>
          <w:szCs w:val="24"/>
        </w:rPr>
        <w:t xml:space="preserve">No changes </w:t>
      </w:r>
      <w:r w:rsidR="00FC2BA2">
        <w:rPr>
          <w:rFonts w:ascii="Times New Roman" w:hAnsi="Times New Roman"/>
          <w:snapToGrid/>
          <w:sz w:val="24"/>
          <w:szCs w:val="24"/>
        </w:rPr>
        <w:t>to content</w:t>
      </w:r>
      <w:r w:rsidRPr="00FC2BA2">
        <w:rPr>
          <w:rFonts w:ascii="Times New Roman" w:hAnsi="Times New Roman"/>
          <w:snapToGrid/>
          <w:sz w:val="24"/>
          <w:szCs w:val="24"/>
        </w:rPr>
        <w:t xml:space="preserve">. </w:t>
      </w:r>
    </w:p>
    <w:p w:rsidR="00B53325" w:rsidP="00A07BBB" w:rsidRDefault="00B53325" w14:paraId="5247CB77" w14:textId="77777777">
      <w:pPr>
        <w:pStyle w:val="ListParagraph"/>
        <w:widowControl/>
        <w:ind w:left="1080"/>
        <w:rPr>
          <w:snapToGrid/>
        </w:rPr>
      </w:pPr>
    </w:p>
    <w:p w:rsidR="00AD7C4E" w:rsidP="00A07BBB" w:rsidRDefault="00AD7C4E" w14:paraId="541039BA" w14:textId="5EF085F4">
      <w:pPr>
        <w:widowControl/>
        <w:spacing w:after="120"/>
        <w:ind w:left="360"/>
        <w:rPr>
          <w:rFonts w:ascii="Times New Roman" w:hAnsi="Times New Roman"/>
          <w:b/>
          <w:snapToGrid/>
          <w:sz w:val="24"/>
          <w:szCs w:val="24"/>
        </w:rPr>
      </w:pPr>
      <w:r>
        <w:rPr>
          <w:rFonts w:ascii="Times New Roman" w:hAnsi="Times New Roman"/>
          <w:b/>
          <w:snapToGrid/>
          <w:sz w:val="24"/>
          <w:szCs w:val="24"/>
        </w:rPr>
        <w:t xml:space="preserve">On-Going Progress Report </w:t>
      </w:r>
      <w:r w:rsidR="008B393B">
        <w:rPr>
          <w:rFonts w:ascii="Times New Roman" w:hAnsi="Times New Roman"/>
          <w:b/>
          <w:snapToGrid/>
          <w:sz w:val="24"/>
          <w:szCs w:val="24"/>
        </w:rPr>
        <w:t xml:space="preserve">Beginning </w:t>
      </w:r>
      <w:r w:rsidR="00CA4FC5">
        <w:rPr>
          <w:rFonts w:ascii="Times New Roman" w:hAnsi="Times New Roman"/>
          <w:b/>
          <w:snapToGrid/>
          <w:sz w:val="24"/>
          <w:szCs w:val="24"/>
        </w:rPr>
        <w:t xml:space="preserve">FY </w:t>
      </w:r>
      <w:r>
        <w:rPr>
          <w:rFonts w:ascii="Times New Roman" w:hAnsi="Times New Roman"/>
          <w:b/>
          <w:snapToGrid/>
          <w:sz w:val="24"/>
          <w:szCs w:val="24"/>
        </w:rPr>
        <w:t xml:space="preserve">2021 </w:t>
      </w:r>
    </w:p>
    <w:p w:rsidR="00EA33CC" w:rsidP="00EA33CC" w:rsidRDefault="00EA33CC" w14:paraId="68C74FBB" w14:textId="6F704278">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The estimated number of respondents to the OPR has</w:t>
      </w:r>
      <w:r w:rsidR="000365C8">
        <w:rPr>
          <w:rFonts w:ascii="Times New Roman" w:hAnsi="Times New Roman"/>
          <w:snapToGrid/>
          <w:sz w:val="24"/>
          <w:szCs w:val="24"/>
        </w:rPr>
        <w:t xml:space="preserve"> decreased from the prior </w:t>
      </w:r>
      <w:r w:rsidR="00DA04E0">
        <w:rPr>
          <w:rFonts w:ascii="Times New Roman" w:hAnsi="Times New Roman"/>
          <w:snapToGrid/>
          <w:sz w:val="24"/>
          <w:szCs w:val="24"/>
        </w:rPr>
        <w:t>approval</w:t>
      </w:r>
      <w:r w:rsidR="000365C8">
        <w:rPr>
          <w:rFonts w:ascii="Times New Roman" w:hAnsi="Times New Roman"/>
          <w:snapToGrid/>
          <w:sz w:val="24"/>
          <w:szCs w:val="24"/>
        </w:rPr>
        <w:t xml:space="preserve"> to better align with ANA’s actual portfolio.</w:t>
      </w:r>
    </w:p>
    <w:p w:rsidRPr="0006607D" w:rsidR="000365C8" w:rsidP="0006607D" w:rsidRDefault="00EA33CC" w14:paraId="61452497" w14:textId="190E97D1">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 xml:space="preserve">The estimated average time to complete </w:t>
      </w:r>
      <w:r w:rsidR="004258DD">
        <w:rPr>
          <w:rFonts w:ascii="Times New Roman" w:hAnsi="Times New Roman"/>
          <w:snapToGrid/>
          <w:sz w:val="24"/>
          <w:szCs w:val="24"/>
        </w:rPr>
        <w:t>the revised OPR has increased from 1 hour to 2 hours. This increase is due to the incorporation of data elements from ANA’s Annual Data Report</w:t>
      </w:r>
      <w:r w:rsidR="00D73130">
        <w:rPr>
          <w:rFonts w:ascii="Times New Roman" w:hAnsi="Times New Roman"/>
          <w:snapToGrid/>
          <w:sz w:val="24"/>
          <w:szCs w:val="24"/>
        </w:rPr>
        <w:t xml:space="preserve"> (OMB #0970-0475). ANA will discontinue the Annual Data Report information collection</w:t>
      </w:r>
      <w:r w:rsidR="004258DD">
        <w:rPr>
          <w:rFonts w:ascii="Times New Roman" w:hAnsi="Times New Roman"/>
          <w:snapToGrid/>
          <w:sz w:val="24"/>
          <w:szCs w:val="24"/>
        </w:rPr>
        <w:t xml:space="preserve">. </w:t>
      </w:r>
      <w:r w:rsidRPr="0006607D" w:rsidR="000365C8">
        <w:rPr>
          <w:rFonts w:ascii="Times New Roman" w:hAnsi="Times New Roman"/>
          <w:snapToGrid/>
          <w:sz w:val="24"/>
          <w:szCs w:val="24"/>
        </w:rPr>
        <w:t xml:space="preserve">The streamlining of the </w:t>
      </w:r>
      <w:r w:rsidRPr="0006607D" w:rsidR="00DA04E0">
        <w:rPr>
          <w:rFonts w:ascii="Times New Roman" w:hAnsi="Times New Roman"/>
          <w:snapToGrid/>
          <w:sz w:val="24"/>
          <w:szCs w:val="24"/>
        </w:rPr>
        <w:t>reporting periods will ultimately reduce the burden on the grantee. Reporting will be due at the same time semi-annually.</w:t>
      </w:r>
    </w:p>
    <w:p w:rsidR="004258DD" w:rsidP="00A07BBB" w:rsidRDefault="004258DD" w14:paraId="47D31DDD" w14:textId="2C2294F9">
      <w:pPr>
        <w:pStyle w:val="ListParagraph"/>
        <w:widowControl/>
        <w:numPr>
          <w:ilvl w:val="0"/>
          <w:numId w:val="22"/>
        </w:numPr>
        <w:rPr>
          <w:rFonts w:ascii="Times New Roman" w:hAnsi="Times New Roman"/>
          <w:b/>
          <w:snapToGrid/>
          <w:sz w:val="24"/>
          <w:szCs w:val="24"/>
        </w:rPr>
      </w:pPr>
      <w:r>
        <w:rPr>
          <w:rFonts w:ascii="Times New Roman" w:hAnsi="Times New Roman"/>
          <w:snapToGrid/>
          <w:sz w:val="24"/>
          <w:szCs w:val="24"/>
        </w:rPr>
        <w:t xml:space="preserve">Revisions proposed to the OPR FY21 include: </w:t>
      </w:r>
      <w:bookmarkStart w:name="_GoBack" w:id="0"/>
      <w:bookmarkEnd w:id="0"/>
    </w:p>
    <w:p w:rsidRPr="00A07BBB" w:rsidR="004258DD" w:rsidP="00A07BBB" w:rsidRDefault="00297050" w14:paraId="62258865" w14:textId="7EE67A63">
      <w:pPr>
        <w:pStyle w:val="ListParagraph"/>
        <w:widowControl/>
        <w:numPr>
          <w:ilvl w:val="1"/>
          <w:numId w:val="24"/>
        </w:numPr>
        <w:rPr>
          <w:rFonts w:ascii="Times New Roman" w:hAnsi="Times New Roman"/>
          <w:snapToGrid/>
          <w:sz w:val="24"/>
          <w:szCs w:val="24"/>
        </w:rPr>
      </w:pPr>
      <w:r w:rsidRPr="00A07BBB">
        <w:rPr>
          <w:rFonts w:ascii="Times New Roman" w:hAnsi="Times New Roman"/>
          <w:b/>
          <w:snapToGrid/>
          <w:sz w:val="24"/>
          <w:szCs w:val="24"/>
        </w:rPr>
        <w:lastRenderedPageBreak/>
        <w:t>Staffing</w:t>
      </w:r>
      <w:r w:rsidRPr="00C65D22" w:rsidR="004258DD">
        <w:rPr>
          <w:rFonts w:ascii="Times New Roman" w:hAnsi="Times New Roman"/>
          <w:b/>
          <w:snapToGrid/>
          <w:sz w:val="24"/>
          <w:szCs w:val="24"/>
        </w:rPr>
        <w:t xml:space="preserve"> (</w:t>
      </w:r>
      <w:r w:rsidRPr="00A07BBB">
        <w:rPr>
          <w:rFonts w:ascii="Times New Roman" w:hAnsi="Times New Roman"/>
          <w:snapToGrid/>
          <w:sz w:val="24"/>
          <w:szCs w:val="24"/>
        </w:rPr>
        <w:t>Question 5</w:t>
      </w:r>
      <w:r w:rsidRPr="00C65D22" w:rsidR="004258DD">
        <w:rPr>
          <w:rFonts w:ascii="Times New Roman" w:hAnsi="Times New Roman"/>
          <w:snapToGrid/>
          <w:sz w:val="24"/>
          <w:szCs w:val="24"/>
        </w:rPr>
        <w:t>):</w:t>
      </w:r>
      <w:r w:rsidRPr="00A07BBB">
        <w:rPr>
          <w:rFonts w:ascii="Times New Roman" w:hAnsi="Times New Roman"/>
          <w:snapToGrid/>
          <w:sz w:val="24"/>
          <w:szCs w:val="24"/>
        </w:rPr>
        <w:t xml:space="preserve"> The staffing table is replaced by two staffing tables – one for project funded staff and the second for jobs obtained as a result of the project activities. </w:t>
      </w:r>
      <w:r w:rsidRPr="00A07BBB" w:rsidR="00741B08">
        <w:rPr>
          <w:rFonts w:ascii="Times New Roman" w:hAnsi="Times New Roman"/>
          <w:snapToGrid/>
          <w:sz w:val="24"/>
          <w:szCs w:val="24"/>
        </w:rPr>
        <w:t xml:space="preserve"> </w:t>
      </w:r>
      <w:r w:rsidRPr="00A07BBB">
        <w:rPr>
          <w:rFonts w:ascii="Times New Roman" w:hAnsi="Times New Roman"/>
          <w:snapToGrid/>
          <w:sz w:val="24"/>
          <w:szCs w:val="24"/>
        </w:rPr>
        <w:t xml:space="preserve">This will allow ANA to collect more accurate real time data on jobs created as a result of the project as a whole. </w:t>
      </w:r>
    </w:p>
    <w:p w:rsidRPr="00C65D22" w:rsidR="004258DD" w:rsidP="00A07BBB" w:rsidRDefault="00297050" w14:paraId="1870716E" w14:textId="676066EA">
      <w:pPr>
        <w:pStyle w:val="ListParagraph"/>
        <w:widowControl/>
        <w:numPr>
          <w:ilvl w:val="1"/>
          <w:numId w:val="24"/>
        </w:numPr>
        <w:rPr>
          <w:rFonts w:ascii="Times New Roman" w:hAnsi="Times New Roman"/>
          <w:snapToGrid/>
          <w:sz w:val="24"/>
          <w:szCs w:val="24"/>
        </w:rPr>
      </w:pPr>
      <w:r w:rsidRPr="00A07BBB">
        <w:rPr>
          <w:rFonts w:ascii="Times New Roman" w:hAnsi="Times New Roman"/>
          <w:b/>
          <w:snapToGrid/>
          <w:sz w:val="24"/>
          <w:szCs w:val="24"/>
        </w:rPr>
        <w:t>Native Asset Building Initiative (NABI) Grants</w:t>
      </w:r>
      <w:r w:rsidRPr="00C65D22" w:rsidR="004258DD">
        <w:rPr>
          <w:rFonts w:ascii="Times New Roman" w:hAnsi="Times New Roman"/>
          <w:b/>
          <w:snapToGrid/>
          <w:sz w:val="24"/>
          <w:szCs w:val="24"/>
        </w:rPr>
        <w:t>:</w:t>
      </w:r>
      <w:r w:rsidRPr="00A07BBB" w:rsidR="004258DD">
        <w:rPr>
          <w:rFonts w:ascii="Times New Roman" w:hAnsi="Times New Roman"/>
          <w:snapToGrid/>
          <w:sz w:val="24"/>
          <w:szCs w:val="24"/>
        </w:rPr>
        <w:t xml:space="preserve"> </w:t>
      </w:r>
      <w:r w:rsidRPr="00C65D22">
        <w:rPr>
          <w:rFonts w:ascii="Times New Roman" w:hAnsi="Times New Roman"/>
          <w:snapToGrid/>
          <w:sz w:val="24"/>
          <w:szCs w:val="24"/>
        </w:rPr>
        <w:t xml:space="preserve">This section is removed as ANA has discontinued the NABI program area. </w:t>
      </w:r>
    </w:p>
    <w:p w:rsidRPr="00A07BBB" w:rsidR="00D73130" w:rsidP="00A07BBB" w:rsidRDefault="00297050" w14:paraId="53498855" w14:textId="48435AD0">
      <w:pPr>
        <w:pStyle w:val="ListParagraph"/>
        <w:widowControl/>
        <w:numPr>
          <w:ilvl w:val="1"/>
          <w:numId w:val="24"/>
        </w:numPr>
        <w:rPr>
          <w:rFonts w:ascii="Times New Roman" w:hAnsi="Times New Roman"/>
          <w:snapToGrid/>
          <w:sz w:val="24"/>
          <w:szCs w:val="24"/>
        </w:rPr>
      </w:pPr>
      <w:r w:rsidRPr="00A07BBB">
        <w:rPr>
          <w:rFonts w:ascii="Times New Roman" w:hAnsi="Times New Roman"/>
          <w:b/>
          <w:snapToGrid/>
          <w:sz w:val="24"/>
          <w:szCs w:val="24"/>
        </w:rPr>
        <w:t>Impact Indicators</w:t>
      </w:r>
      <w:r w:rsidRPr="00A07BBB" w:rsidR="004258DD">
        <w:rPr>
          <w:rFonts w:ascii="Times New Roman" w:hAnsi="Times New Roman"/>
          <w:b/>
          <w:snapToGrid/>
          <w:sz w:val="24"/>
          <w:szCs w:val="24"/>
        </w:rPr>
        <w:t>:</w:t>
      </w:r>
      <w:r w:rsidRPr="00A07BBB" w:rsidR="004258DD">
        <w:rPr>
          <w:rFonts w:ascii="Times New Roman" w:hAnsi="Times New Roman"/>
          <w:snapToGrid/>
          <w:sz w:val="24"/>
          <w:szCs w:val="24"/>
        </w:rPr>
        <w:t xml:space="preserve"> </w:t>
      </w:r>
      <w:r w:rsidRPr="00A07BBB">
        <w:rPr>
          <w:rFonts w:ascii="Times New Roman" w:hAnsi="Times New Roman"/>
          <w:snapToGrid/>
          <w:sz w:val="24"/>
          <w:szCs w:val="24"/>
        </w:rPr>
        <w:t xml:space="preserve">Questions from ANA’s Annual Data Report are placed in the OPR. </w:t>
      </w:r>
      <w:r w:rsidRPr="00A07BBB" w:rsidR="00B44F1A">
        <w:rPr>
          <w:rFonts w:ascii="Times New Roman" w:hAnsi="Times New Roman"/>
          <w:snapToGrid/>
          <w:sz w:val="24"/>
          <w:szCs w:val="24"/>
        </w:rPr>
        <w:t xml:space="preserve">Due to the expansion of one of ANA’s programs to five years, ANA has included targets for Years 4 and 5; however this is to be filled out by ANA. </w:t>
      </w:r>
    </w:p>
    <w:p w:rsidRPr="00C65D22" w:rsidR="00D73130" w:rsidP="00A07BBB" w:rsidRDefault="00297050" w14:paraId="2194ACB2" w14:textId="5AFFC5DD">
      <w:pPr>
        <w:pStyle w:val="ListParagraph"/>
        <w:widowControl/>
        <w:numPr>
          <w:ilvl w:val="1"/>
          <w:numId w:val="24"/>
        </w:numPr>
        <w:rPr>
          <w:rFonts w:ascii="Times New Roman" w:hAnsi="Times New Roman"/>
          <w:snapToGrid/>
          <w:sz w:val="24"/>
          <w:szCs w:val="24"/>
        </w:rPr>
      </w:pPr>
      <w:r w:rsidRPr="00A07BBB">
        <w:rPr>
          <w:rFonts w:ascii="Times New Roman" w:hAnsi="Times New Roman"/>
          <w:b/>
          <w:snapToGrid/>
          <w:sz w:val="24"/>
          <w:szCs w:val="24"/>
        </w:rPr>
        <w:t>Native Youth and Elder Engagement</w:t>
      </w:r>
      <w:r w:rsidRPr="00A07BBB" w:rsidR="00D73130">
        <w:rPr>
          <w:rFonts w:ascii="Times New Roman" w:hAnsi="Times New Roman"/>
          <w:b/>
          <w:snapToGrid/>
          <w:sz w:val="24"/>
          <w:szCs w:val="24"/>
        </w:rPr>
        <w:t>:</w:t>
      </w:r>
      <w:r w:rsidRPr="00A07BBB" w:rsidR="00D73130">
        <w:rPr>
          <w:rFonts w:ascii="Times New Roman" w:hAnsi="Times New Roman"/>
          <w:snapToGrid/>
          <w:sz w:val="24"/>
          <w:szCs w:val="24"/>
        </w:rPr>
        <w:t xml:space="preserve"> </w:t>
      </w:r>
      <w:r w:rsidRPr="00C65D22" w:rsidR="00D73130">
        <w:rPr>
          <w:rFonts w:ascii="Times New Roman" w:hAnsi="Times New Roman"/>
          <w:snapToGrid/>
          <w:sz w:val="24"/>
          <w:szCs w:val="24"/>
        </w:rPr>
        <w:t>Questions from ANA’s Annual Data Report are placed in the OPR.</w:t>
      </w:r>
    </w:p>
    <w:p w:rsidRPr="00C65D22" w:rsidR="00D73130" w:rsidP="00A07BBB" w:rsidRDefault="00297050" w14:paraId="158E8526" w14:textId="5EE1BFBF">
      <w:pPr>
        <w:pStyle w:val="ListParagraph"/>
        <w:widowControl/>
        <w:numPr>
          <w:ilvl w:val="1"/>
          <w:numId w:val="24"/>
        </w:numPr>
        <w:rPr>
          <w:rFonts w:ascii="Times New Roman" w:hAnsi="Times New Roman"/>
          <w:snapToGrid/>
          <w:sz w:val="24"/>
          <w:szCs w:val="24"/>
        </w:rPr>
      </w:pPr>
      <w:r w:rsidRPr="00A07BBB">
        <w:rPr>
          <w:rFonts w:ascii="Times New Roman" w:hAnsi="Times New Roman"/>
          <w:b/>
          <w:snapToGrid/>
          <w:sz w:val="24"/>
          <w:szCs w:val="24"/>
        </w:rPr>
        <w:t>Project Development</w:t>
      </w:r>
      <w:r w:rsidRPr="00A07BBB" w:rsidR="00D73130">
        <w:rPr>
          <w:rFonts w:ascii="Times New Roman" w:hAnsi="Times New Roman"/>
          <w:b/>
          <w:snapToGrid/>
          <w:sz w:val="24"/>
          <w:szCs w:val="24"/>
        </w:rPr>
        <w:t>:</w:t>
      </w:r>
      <w:r w:rsidRPr="00A07BBB" w:rsidR="00D73130">
        <w:rPr>
          <w:rFonts w:ascii="Times New Roman" w:hAnsi="Times New Roman"/>
          <w:snapToGrid/>
          <w:sz w:val="24"/>
          <w:szCs w:val="24"/>
        </w:rPr>
        <w:t xml:space="preserve"> </w:t>
      </w:r>
      <w:r w:rsidRPr="00C65D22" w:rsidR="00D73130">
        <w:rPr>
          <w:rFonts w:ascii="Times New Roman" w:hAnsi="Times New Roman"/>
          <w:snapToGrid/>
          <w:sz w:val="24"/>
          <w:szCs w:val="24"/>
        </w:rPr>
        <w:t>Questions from ANA’s Annual Data Report are placed in the OPR.</w:t>
      </w:r>
    </w:p>
    <w:p w:rsidRPr="00C65D22" w:rsidR="00D73130" w:rsidP="00A07BBB" w:rsidRDefault="00D73130" w14:paraId="7C62C32E" w14:textId="77777777">
      <w:pPr>
        <w:pStyle w:val="ListParagraph"/>
        <w:widowControl/>
        <w:numPr>
          <w:ilvl w:val="1"/>
          <w:numId w:val="24"/>
        </w:numPr>
        <w:rPr>
          <w:rFonts w:ascii="Times New Roman" w:hAnsi="Times New Roman"/>
          <w:snapToGrid/>
          <w:sz w:val="24"/>
          <w:szCs w:val="24"/>
        </w:rPr>
      </w:pPr>
      <w:r w:rsidRPr="00A07BBB">
        <w:rPr>
          <w:rFonts w:ascii="Times New Roman" w:hAnsi="Times New Roman"/>
          <w:b/>
          <w:snapToGrid/>
          <w:sz w:val="24"/>
          <w:szCs w:val="24"/>
        </w:rPr>
        <w:t>Partnerships:</w:t>
      </w:r>
      <w:r w:rsidRPr="00C65D22">
        <w:rPr>
          <w:rFonts w:ascii="Times New Roman" w:hAnsi="Times New Roman"/>
          <w:snapToGrid/>
          <w:sz w:val="24"/>
          <w:szCs w:val="24"/>
        </w:rPr>
        <w:t xml:space="preserve"> Questions from ANA’s Annual Data Report are placed in the OPR.</w:t>
      </w:r>
    </w:p>
    <w:p w:rsidRPr="00A07BBB" w:rsidR="00D73130" w:rsidP="00A07BBB" w:rsidRDefault="00D73130" w14:paraId="3F8053B1" w14:textId="77777777">
      <w:pPr>
        <w:pStyle w:val="ListParagraph"/>
        <w:widowControl/>
        <w:numPr>
          <w:ilvl w:val="1"/>
          <w:numId w:val="24"/>
        </w:numPr>
        <w:rPr>
          <w:rFonts w:ascii="Times New Roman" w:hAnsi="Times New Roman"/>
          <w:snapToGrid/>
          <w:sz w:val="24"/>
          <w:szCs w:val="24"/>
        </w:rPr>
      </w:pPr>
      <w:r w:rsidRPr="00A07BBB">
        <w:rPr>
          <w:rFonts w:ascii="Times New Roman" w:hAnsi="Times New Roman"/>
          <w:b/>
          <w:sz w:val="24"/>
          <w:szCs w:val="24"/>
        </w:rPr>
        <w:t>Community Involvement and Participation in the Project:</w:t>
      </w:r>
      <w:r w:rsidRPr="00C65D22">
        <w:rPr>
          <w:rFonts w:ascii="Times New Roman" w:hAnsi="Times New Roman"/>
          <w:sz w:val="24"/>
          <w:szCs w:val="24"/>
        </w:rPr>
        <w:t xml:space="preserve"> Questions from ANA’s Annual Data Report </w:t>
      </w:r>
      <w:r w:rsidRPr="00D73130">
        <w:rPr>
          <w:rFonts w:ascii="Times New Roman" w:hAnsi="Times New Roman"/>
          <w:sz w:val="24"/>
          <w:szCs w:val="24"/>
        </w:rPr>
        <w:t>are placed in the OPR.</w:t>
      </w:r>
    </w:p>
    <w:p w:rsidRPr="00D73130" w:rsidR="00D73130" w:rsidP="00A07BBB" w:rsidRDefault="00D73130" w14:paraId="42746BF0" w14:textId="77777777">
      <w:pPr>
        <w:pStyle w:val="ListParagraph"/>
        <w:numPr>
          <w:ilvl w:val="1"/>
          <w:numId w:val="24"/>
        </w:numPr>
        <w:rPr>
          <w:rFonts w:ascii="Times New Roman" w:hAnsi="Times New Roman"/>
          <w:sz w:val="24"/>
          <w:szCs w:val="24"/>
        </w:rPr>
      </w:pPr>
      <w:r w:rsidRPr="00A07BBB">
        <w:rPr>
          <w:rFonts w:ascii="Times New Roman" w:hAnsi="Times New Roman"/>
          <w:b/>
          <w:sz w:val="24"/>
          <w:szCs w:val="24"/>
        </w:rPr>
        <w:t>Use of Project Data:</w:t>
      </w:r>
      <w:r w:rsidRPr="00C65D22">
        <w:rPr>
          <w:rFonts w:ascii="Times New Roman" w:hAnsi="Times New Roman"/>
          <w:sz w:val="24"/>
          <w:szCs w:val="24"/>
        </w:rPr>
        <w:t xml:space="preserve"> This is removed from the information collection to reduce duplication, as ANA recei</w:t>
      </w:r>
      <w:r w:rsidRPr="00D73130">
        <w:rPr>
          <w:rFonts w:ascii="Times New Roman" w:hAnsi="Times New Roman"/>
          <w:sz w:val="24"/>
          <w:szCs w:val="24"/>
        </w:rPr>
        <w:t xml:space="preserve">ves this information from another information collection. </w:t>
      </w:r>
    </w:p>
    <w:p w:rsidRPr="00D73130" w:rsidR="00D73130" w:rsidP="00A07BBB" w:rsidRDefault="00297050" w14:paraId="122958E7" w14:textId="18B6B840">
      <w:pPr>
        <w:pStyle w:val="ListParagraph"/>
        <w:widowControl/>
        <w:numPr>
          <w:ilvl w:val="0"/>
          <w:numId w:val="24"/>
        </w:numPr>
        <w:ind w:left="1440"/>
        <w:rPr>
          <w:rFonts w:ascii="Times New Roman" w:hAnsi="Times New Roman"/>
          <w:snapToGrid/>
          <w:sz w:val="24"/>
          <w:szCs w:val="24"/>
        </w:rPr>
      </w:pPr>
      <w:r w:rsidRPr="00D73130">
        <w:rPr>
          <w:rFonts w:ascii="Times New Roman" w:hAnsi="Times New Roman"/>
          <w:b/>
          <w:snapToGrid/>
          <w:sz w:val="24"/>
          <w:szCs w:val="24"/>
        </w:rPr>
        <w:t>Project Benefits</w:t>
      </w:r>
      <w:r w:rsidRPr="00D73130" w:rsidR="00D73130">
        <w:rPr>
          <w:rFonts w:ascii="Times New Roman" w:hAnsi="Times New Roman"/>
          <w:snapToGrid/>
          <w:sz w:val="24"/>
          <w:szCs w:val="24"/>
        </w:rPr>
        <w:t>: Questions from ANA’s Annual Data Report are placed in the OPR</w:t>
      </w:r>
      <w:r w:rsidRPr="00D73130">
        <w:rPr>
          <w:rFonts w:ascii="Times New Roman" w:hAnsi="Times New Roman"/>
          <w:snapToGrid/>
          <w:sz w:val="24"/>
          <w:szCs w:val="24"/>
        </w:rPr>
        <w:t xml:space="preserve">. </w:t>
      </w:r>
    </w:p>
    <w:p w:rsidRPr="00D73130" w:rsidR="00297050" w:rsidP="00A07BBB" w:rsidRDefault="00297050" w14:paraId="22FF440C" w14:textId="26196EBA">
      <w:pPr>
        <w:pStyle w:val="ListParagraph"/>
        <w:widowControl/>
        <w:numPr>
          <w:ilvl w:val="0"/>
          <w:numId w:val="24"/>
        </w:numPr>
        <w:ind w:left="1440"/>
        <w:rPr>
          <w:rFonts w:ascii="Times New Roman" w:hAnsi="Times New Roman"/>
          <w:snapToGrid/>
          <w:sz w:val="24"/>
          <w:szCs w:val="24"/>
        </w:rPr>
      </w:pPr>
      <w:r w:rsidRPr="00C65D22">
        <w:rPr>
          <w:rFonts w:ascii="Times New Roman" w:hAnsi="Times New Roman"/>
          <w:b/>
          <w:snapToGrid/>
          <w:sz w:val="24"/>
          <w:szCs w:val="24"/>
        </w:rPr>
        <w:t>Lessons Learned</w:t>
      </w:r>
      <w:r w:rsidRPr="00A07BBB" w:rsidR="00D73130">
        <w:rPr>
          <w:rFonts w:ascii="Times New Roman" w:hAnsi="Times New Roman"/>
          <w:b/>
          <w:snapToGrid/>
          <w:sz w:val="24"/>
          <w:szCs w:val="24"/>
        </w:rPr>
        <w:t>:</w:t>
      </w:r>
      <w:r w:rsidRPr="00C65D22" w:rsidR="00D73130">
        <w:rPr>
          <w:rFonts w:ascii="Times New Roman" w:hAnsi="Times New Roman"/>
          <w:snapToGrid/>
          <w:sz w:val="24"/>
          <w:szCs w:val="24"/>
        </w:rPr>
        <w:t xml:space="preserve"> Questions from ANA’s Annual Data Report are placed in the OPR.</w:t>
      </w:r>
    </w:p>
    <w:p w:rsidRPr="00D73130" w:rsidR="00297050" w:rsidP="00A07BBB" w:rsidRDefault="00297050" w14:paraId="3FCB50E1" w14:textId="6413A6EB">
      <w:pPr>
        <w:pStyle w:val="ListParagraph"/>
        <w:widowControl/>
        <w:numPr>
          <w:ilvl w:val="0"/>
          <w:numId w:val="24"/>
        </w:numPr>
        <w:ind w:left="1440"/>
        <w:rPr>
          <w:rFonts w:ascii="Times New Roman" w:hAnsi="Times New Roman"/>
          <w:snapToGrid/>
          <w:sz w:val="24"/>
          <w:szCs w:val="24"/>
        </w:rPr>
      </w:pPr>
      <w:r w:rsidRPr="00D73130">
        <w:rPr>
          <w:rFonts w:ascii="Times New Roman" w:hAnsi="Times New Roman"/>
          <w:b/>
          <w:snapToGrid/>
          <w:sz w:val="24"/>
          <w:szCs w:val="24"/>
        </w:rPr>
        <w:t>Language Projects Only</w:t>
      </w:r>
      <w:r w:rsidRPr="00D73130" w:rsidR="00D73130">
        <w:rPr>
          <w:rFonts w:ascii="Times New Roman" w:hAnsi="Times New Roman"/>
          <w:b/>
          <w:snapToGrid/>
          <w:sz w:val="24"/>
          <w:szCs w:val="24"/>
        </w:rPr>
        <w:t xml:space="preserve">: </w:t>
      </w:r>
      <w:r w:rsidRPr="00D73130" w:rsidR="00D73130">
        <w:rPr>
          <w:rFonts w:ascii="Times New Roman" w:hAnsi="Times New Roman"/>
          <w:snapToGrid/>
          <w:sz w:val="24"/>
          <w:szCs w:val="24"/>
        </w:rPr>
        <w:t xml:space="preserve">Questions from ANA’s Annual Data Report are placed in the OPR. </w:t>
      </w:r>
      <w:r w:rsidRPr="00D73130">
        <w:rPr>
          <w:rFonts w:ascii="Times New Roman" w:hAnsi="Times New Roman"/>
          <w:snapToGrid/>
          <w:sz w:val="24"/>
          <w:szCs w:val="24"/>
        </w:rPr>
        <w:t xml:space="preserve">Only Native Language Preservation and Maintenance, Esther Martinez Immersion and Native Language Community Coordination Demonstration Project grants will report in this section. </w:t>
      </w:r>
    </w:p>
    <w:p w:rsidRPr="00D73130" w:rsidR="00297050" w:rsidP="00A07BBB" w:rsidRDefault="00297050" w14:paraId="0C5673BB" w14:textId="40DC8BB6">
      <w:pPr>
        <w:pStyle w:val="ListParagraph"/>
        <w:widowControl/>
        <w:numPr>
          <w:ilvl w:val="0"/>
          <w:numId w:val="24"/>
        </w:numPr>
        <w:ind w:left="1440"/>
        <w:rPr>
          <w:rFonts w:ascii="Times New Roman" w:hAnsi="Times New Roman"/>
          <w:snapToGrid/>
          <w:sz w:val="24"/>
          <w:szCs w:val="24"/>
        </w:rPr>
      </w:pPr>
      <w:r w:rsidRPr="00D73130">
        <w:rPr>
          <w:rFonts w:ascii="Times New Roman" w:hAnsi="Times New Roman"/>
          <w:b/>
          <w:snapToGrid/>
          <w:sz w:val="24"/>
          <w:szCs w:val="24"/>
        </w:rPr>
        <w:t>Esther Martinez Immersion (EMI) Projects Only</w:t>
      </w:r>
      <w:r w:rsidRPr="00A07BBB" w:rsidR="00D73130">
        <w:rPr>
          <w:rFonts w:ascii="Times New Roman" w:hAnsi="Times New Roman"/>
          <w:sz w:val="24"/>
          <w:szCs w:val="24"/>
        </w:rPr>
        <w:t xml:space="preserve">: </w:t>
      </w:r>
      <w:r w:rsidRPr="00C65D22" w:rsidR="00D73130">
        <w:rPr>
          <w:rFonts w:ascii="Times New Roman" w:hAnsi="Times New Roman"/>
          <w:snapToGrid/>
          <w:sz w:val="24"/>
          <w:szCs w:val="24"/>
        </w:rPr>
        <w:t xml:space="preserve">Questions from ANA’s Annual Data Report are placed in the OPR. </w:t>
      </w:r>
      <w:r w:rsidRPr="00D73130">
        <w:rPr>
          <w:rFonts w:ascii="Times New Roman" w:hAnsi="Times New Roman"/>
          <w:snapToGrid/>
          <w:sz w:val="24"/>
          <w:szCs w:val="24"/>
        </w:rPr>
        <w:t xml:space="preserve">Only Esther Martinez Immersion grants will report in this section. </w:t>
      </w:r>
    </w:p>
    <w:p w:rsidRPr="00D73130" w:rsidR="00297050" w:rsidP="00A07BBB" w:rsidRDefault="00297050" w14:paraId="7017295A" w14:textId="2CFB2958">
      <w:pPr>
        <w:pStyle w:val="ListParagraph"/>
        <w:widowControl/>
        <w:numPr>
          <w:ilvl w:val="0"/>
          <w:numId w:val="24"/>
        </w:numPr>
        <w:ind w:left="1440"/>
        <w:rPr>
          <w:rFonts w:ascii="Times New Roman" w:hAnsi="Times New Roman"/>
          <w:snapToGrid/>
          <w:sz w:val="24"/>
          <w:szCs w:val="24"/>
        </w:rPr>
      </w:pPr>
      <w:r w:rsidRPr="00D73130">
        <w:rPr>
          <w:rFonts w:ascii="Times New Roman" w:hAnsi="Times New Roman"/>
          <w:b/>
          <w:snapToGrid/>
          <w:sz w:val="24"/>
          <w:szCs w:val="24"/>
        </w:rPr>
        <w:t>Environmental Regulators Enhancement (ERE) Projects Only</w:t>
      </w:r>
      <w:r w:rsidRPr="00D73130" w:rsidR="00D73130">
        <w:rPr>
          <w:rFonts w:ascii="Times New Roman" w:hAnsi="Times New Roman"/>
          <w:b/>
          <w:snapToGrid/>
          <w:sz w:val="24"/>
          <w:szCs w:val="24"/>
        </w:rPr>
        <w:t xml:space="preserve">: </w:t>
      </w:r>
      <w:r w:rsidRPr="00D73130" w:rsidR="00D73130">
        <w:rPr>
          <w:rFonts w:ascii="Times New Roman" w:hAnsi="Times New Roman"/>
          <w:snapToGrid/>
          <w:sz w:val="24"/>
          <w:szCs w:val="24"/>
        </w:rPr>
        <w:t xml:space="preserve">Questions from ANA’s Annual Data Report are placed in the OPR. </w:t>
      </w:r>
      <w:r w:rsidRPr="00D73130">
        <w:rPr>
          <w:rFonts w:ascii="Times New Roman" w:hAnsi="Times New Roman"/>
          <w:snapToGrid/>
          <w:sz w:val="24"/>
          <w:szCs w:val="24"/>
        </w:rPr>
        <w:t>Only Environmental Regulators Enhancement grants will report in this section.</w:t>
      </w:r>
    </w:p>
    <w:p w:rsidRPr="00A07BBB" w:rsidR="00D60543" w:rsidP="00A07BBB" w:rsidRDefault="00297050" w14:paraId="215A8A91" w14:textId="618AE3AF">
      <w:pPr>
        <w:pStyle w:val="ListParagraph"/>
        <w:numPr>
          <w:ilvl w:val="0"/>
          <w:numId w:val="24"/>
        </w:numPr>
        <w:ind w:left="1440"/>
        <w:rPr>
          <w:rFonts w:ascii="Times New Roman" w:hAnsi="Times New Roman"/>
          <w:sz w:val="24"/>
          <w:szCs w:val="24"/>
        </w:rPr>
      </w:pPr>
      <w:r w:rsidRPr="00A07BBB">
        <w:rPr>
          <w:rFonts w:ascii="Times New Roman" w:hAnsi="Times New Roman"/>
          <w:b/>
          <w:sz w:val="24"/>
          <w:szCs w:val="24"/>
        </w:rPr>
        <w:t>End-of-Project Addendum –BENEFITS, RESULTS, AND OUTCOMES</w:t>
      </w:r>
      <w:r w:rsidRPr="00A07BBB" w:rsidR="00D73130">
        <w:rPr>
          <w:rFonts w:ascii="Times New Roman" w:hAnsi="Times New Roman"/>
          <w:b/>
          <w:sz w:val="24"/>
          <w:szCs w:val="24"/>
        </w:rPr>
        <w:t xml:space="preserve">: </w:t>
      </w:r>
      <w:r w:rsidRPr="00C65D22" w:rsidR="00D73130">
        <w:rPr>
          <w:rFonts w:ascii="Times New Roman" w:hAnsi="Times New Roman"/>
          <w:sz w:val="24"/>
          <w:szCs w:val="24"/>
        </w:rPr>
        <w:t>Questions from ANA’s Annual Data Report are placed in the OPR.</w:t>
      </w:r>
      <w:r w:rsidR="00D73130">
        <w:rPr>
          <w:rFonts w:ascii="Times New Roman" w:hAnsi="Times New Roman"/>
          <w:sz w:val="24"/>
          <w:szCs w:val="24"/>
        </w:rPr>
        <w:t xml:space="preserve"> </w:t>
      </w:r>
      <w:r w:rsidRPr="00A07BBB">
        <w:rPr>
          <w:rFonts w:ascii="Times New Roman" w:hAnsi="Times New Roman"/>
          <w:sz w:val="24"/>
          <w:szCs w:val="24"/>
        </w:rPr>
        <w:t>These questions will only be asked of projects that do not receive an end of project onsite visit in accordance with Native American Programs Act of 1974</w:t>
      </w:r>
      <w:r w:rsidRPr="00A07BBB" w:rsidR="004642ED">
        <w:rPr>
          <w:rFonts w:ascii="Times New Roman" w:hAnsi="Times New Roman"/>
          <w:sz w:val="24"/>
          <w:szCs w:val="24"/>
        </w:rPr>
        <w:t>,</w:t>
      </w:r>
      <w:r w:rsidRPr="00A07BBB">
        <w:rPr>
          <w:rFonts w:ascii="Times New Roman" w:hAnsi="Times New Roman"/>
          <w:sz w:val="24"/>
          <w:szCs w:val="24"/>
        </w:rPr>
        <w:t xml:space="preserve"> </w:t>
      </w:r>
      <w:r w:rsidRPr="00A07BBB" w:rsidR="004642ED">
        <w:rPr>
          <w:rFonts w:ascii="Times New Roman" w:hAnsi="Times New Roman"/>
          <w:sz w:val="24"/>
          <w:szCs w:val="24"/>
        </w:rPr>
        <w:t xml:space="preserve">§ </w:t>
      </w:r>
      <w:r w:rsidRPr="00A07BBB">
        <w:rPr>
          <w:rFonts w:ascii="Times New Roman" w:hAnsi="Times New Roman"/>
          <w:sz w:val="24"/>
          <w:szCs w:val="24"/>
        </w:rPr>
        <w:t xml:space="preserve">811. </w:t>
      </w:r>
      <w:r w:rsidRPr="00A07BBB" w:rsidR="004642ED">
        <w:rPr>
          <w:rFonts w:ascii="Times New Roman" w:hAnsi="Times New Roman"/>
          <w:sz w:val="24"/>
          <w:szCs w:val="24"/>
        </w:rPr>
        <w:t xml:space="preserve">ANA has worked to visit as many ending projects as realistic given budgetary, time constraints or staffing, therefor the impact on the public for this section should be minimal. </w:t>
      </w: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0C58FD" w14:paraId="34078ADA" w14:textId="24CE4AFD">
      <w:pPr>
        <w:widowControl/>
        <w:ind w:left="360"/>
        <w:rPr>
          <w:rFonts w:ascii="Times New Roman" w:hAnsi="Times New Roman"/>
          <w:snapToGrid/>
          <w:sz w:val="24"/>
          <w:szCs w:val="24"/>
        </w:rPr>
      </w:pPr>
      <w:r w:rsidRPr="000C58FD">
        <w:rPr>
          <w:rFonts w:ascii="Times New Roman" w:hAnsi="Times New Roman"/>
          <w:snapToGrid/>
          <w:sz w:val="24"/>
          <w:szCs w:val="24"/>
        </w:rPr>
        <w:lastRenderedPageBreak/>
        <w:t>The OWP form will be made available on Grants.g</w:t>
      </w:r>
      <w:r w:rsidR="0006607D">
        <w:rPr>
          <w:rFonts w:ascii="Times New Roman" w:hAnsi="Times New Roman"/>
          <w:snapToGrid/>
          <w:sz w:val="24"/>
          <w:szCs w:val="24"/>
        </w:rPr>
        <w:t>ov and the ACF Grants webpage. OPR</w:t>
      </w:r>
      <w:r w:rsidRPr="000C58FD">
        <w:rPr>
          <w:rFonts w:ascii="Times New Roman" w:hAnsi="Times New Roman"/>
          <w:snapToGrid/>
          <w:sz w:val="24"/>
          <w:szCs w:val="24"/>
        </w:rPr>
        <w:t>s will be tabulated and the aggregate data shared with Congress and other stakeholders on an annual basi</w:t>
      </w:r>
      <w:r>
        <w:rPr>
          <w:rFonts w:ascii="Times New Roman" w:hAnsi="Times New Roman"/>
          <w:snapToGrid/>
          <w:sz w:val="24"/>
          <w:szCs w:val="24"/>
        </w:rPr>
        <w:t>s.</w:t>
      </w:r>
    </w:p>
    <w:p w:rsidR="00D60543" w:rsidP="000C58FD" w:rsidRDefault="00D60543" w14:paraId="1B626A1E" w14:textId="212EF35A">
      <w:pPr>
        <w:widowControl/>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rsidRDefault="000C58FD" w14:paraId="14F40E7C" w14:textId="04E59D55">
      <w:pPr>
        <w:widowControl/>
        <w:ind w:left="360" w:hanging="90"/>
        <w:rPr>
          <w:rFonts w:ascii="Times New Roman" w:hAnsi="Times New Roman"/>
          <w:snapToGrid/>
          <w:sz w:val="24"/>
          <w:szCs w:val="24"/>
        </w:rPr>
      </w:pPr>
      <w:r w:rsidRPr="000C58FD">
        <w:rPr>
          <w:rFonts w:ascii="Times New Roman" w:hAnsi="Times New Roman"/>
          <w:snapToGrid/>
          <w:sz w:val="24"/>
          <w:szCs w:val="24"/>
        </w:rPr>
        <w:t>This is not applicable.</w:t>
      </w:r>
    </w:p>
    <w:p w:rsidR="00D60543" w:rsidP="000C58FD" w:rsidRDefault="00D60543" w14:paraId="67DA4836" w14:textId="6C611C44">
      <w:pPr>
        <w:widowControl/>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17E2B" w:rsidR="00DE529D" w:rsidP="00DE529D" w:rsidRDefault="000C58FD" w14:paraId="64AD5CFF" w14:textId="5E31F912">
      <w:pPr>
        <w:widowControl/>
        <w:ind w:left="360"/>
        <w:rPr>
          <w:rFonts w:ascii="Times New Roman" w:hAnsi="Times New Roman"/>
          <w:b/>
          <w:snapToGrid/>
          <w:sz w:val="24"/>
          <w:szCs w:val="24"/>
        </w:rPr>
      </w:pPr>
      <w:r w:rsidRPr="000C58FD">
        <w:rPr>
          <w:rFonts w:ascii="Times New Roman" w:hAnsi="Times New Roman"/>
          <w:bCs/>
          <w:snapToGrid/>
          <w:sz w:val="24"/>
          <w:szCs w:val="24"/>
        </w:rPr>
        <w:t>This is not applicable.</w:t>
      </w:r>
    </w:p>
    <w:sectPr w:rsidRPr="00817E2B"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C01D35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6607D">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2C01D35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6607D">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A6ABE"/>
    <w:multiLevelType w:val="hybridMultilevel"/>
    <w:tmpl w:val="7E4A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B1F9F"/>
    <w:multiLevelType w:val="hybridMultilevel"/>
    <w:tmpl w:val="81504B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01E5E"/>
    <w:multiLevelType w:val="hybridMultilevel"/>
    <w:tmpl w:val="F4F4EF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6A0A8CD6"/>
    <w:lvl w:ilvl="0">
      <w:start w:val="1"/>
      <w:numFmt w:val="decimal"/>
      <w:lvlText w:val="%1."/>
      <w:lvlJc w:val="left"/>
      <w:pPr>
        <w:tabs>
          <w:tab w:val="num" w:pos="1530"/>
        </w:tabs>
        <w:ind w:left="153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874DCA"/>
    <w:multiLevelType w:val="hybridMultilevel"/>
    <w:tmpl w:val="0ADCDB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7"/>
  </w:num>
  <w:num w:numId="4">
    <w:abstractNumId w:val="6"/>
  </w:num>
  <w:num w:numId="5">
    <w:abstractNumId w:val="9"/>
  </w:num>
  <w:num w:numId="6">
    <w:abstractNumId w:val="12"/>
  </w:num>
  <w:num w:numId="7">
    <w:abstractNumId w:val="2"/>
  </w:num>
  <w:num w:numId="8">
    <w:abstractNumId w:val="11"/>
  </w:num>
  <w:num w:numId="9">
    <w:abstractNumId w:val="18"/>
  </w:num>
  <w:num w:numId="10">
    <w:abstractNumId w:val="10"/>
  </w:num>
  <w:num w:numId="11">
    <w:abstractNumId w:val="8"/>
  </w:num>
  <w:num w:numId="12">
    <w:abstractNumId w:val="0"/>
  </w:num>
  <w:num w:numId="13">
    <w:abstractNumId w:val="20"/>
  </w:num>
  <w:num w:numId="14">
    <w:abstractNumId w:val="1"/>
  </w:num>
  <w:num w:numId="15">
    <w:abstractNumId w:val="4"/>
  </w:num>
  <w:num w:numId="16">
    <w:abstractNumId w:val="16"/>
  </w:num>
  <w:num w:numId="17">
    <w:abstractNumId w:val="21"/>
  </w:num>
  <w:num w:numId="18">
    <w:abstractNumId w:val="5"/>
  </w:num>
  <w:num w:numId="19">
    <w:abstractNumId w:val="22"/>
  </w:num>
  <w:num w:numId="20">
    <w:abstractNumId w:val="19"/>
  </w:num>
  <w:num w:numId="21">
    <w:abstractNumId w:val="3"/>
  </w:num>
  <w:num w:numId="22">
    <w:abstractNumId w:val="7"/>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365C8"/>
    <w:rsid w:val="00056C4B"/>
    <w:rsid w:val="00057200"/>
    <w:rsid w:val="0006607D"/>
    <w:rsid w:val="00075889"/>
    <w:rsid w:val="0009007E"/>
    <w:rsid w:val="00090EA1"/>
    <w:rsid w:val="000C58FD"/>
    <w:rsid w:val="000E217A"/>
    <w:rsid w:val="000F069F"/>
    <w:rsid w:val="00102200"/>
    <w:rsid w:val="001337B5"/>
    <w:rsid w:val="0014145B"/>
    <w:rsid w:val="00160621"/>
    <w:rsid w:val="00186385"/>
    <w:rsid w:val="001C483C"/>
    <w:rsid w:val="001C7FFE"/>
    <w:rsid w:val="001D1651"/>
    <w:rsid w:val="00222C7F"/>
    <w:rsid w:val="00224825"/>
    <w:rsid w:val="00226C42"/>
    <w:rsid w:val="00234235"/>
    <w:rsid w:val="002464EB"/>
    <w:rsid w:val="002509BD"/>
    <w:rsid w:val="00290A1C"/>
    <w:rsid w:val="0029589B"/>
    <w:rsid w:val="00296738"/>
    <w:rsid w:val="00297050"/>
    <w:rsid w:val="002C3C4F"/>
    <w:rsid w:val="002E10D1"/>
    <w:rsid w:val="003405A4"/>
    <w:rsid w:val="00354319"/>
    <w:rsid w:val="0038209B"/>
    <w:rsid w:val="003B7A50"/>
    <w:rsid w:val="003C1D6E"/>
    <w:rsid w:val="003E6EA3"/>
    <w:rsid w:val="00402D24"/>
    <w:rsid w:val="00405C10"/>
    <w:rsid w:val="004110F5"/>
    <w:rsid w:val="00420B63"/>
    <w:rsid w:val="00422E1D"/>
    <w:rsid w:val="004258DD"/>
    <w:rsid w:val="004602FE"/>
    <w:rsid w:val="004642ED"/>
    <w:rsid w:val="00467954"/>
    <w:rsid w:val="00476C1F"/>
    <w:rsid w:val="00480072"/>
    <w:rsid w:val="00490457"/>
    <w:rsid w:val="0049119A"/>
    <w:rsid w:val="00493B1F"/>
    <w:rsid w:val="004943E0"/>
    <w:rsid w:val="004F45CE"/>
    <w:rsid w:val="004F7B95"/>
    <w:rsid w:val="0051278C"/>
    <w:rsid w:val="00522C18"/>
    <w:rsid w:val="00536AF3"/>
    <w:rsid w:val="00541E51"/>
    <w:rsid w:val="005520C3"/>
    <w:rsid w:val="00556056"/>
    <w:rsid w:val="005824BD"/>
    <w:rsid w:val="00597E7F"/>
    <w:rsid w:val="005B00FC"/>
    <w:rsid w:val="005B22D4"/>
    <w:rsid w:val="005C60F1"/>
    <w:rsid w:val="005D1B7E"/>
    <w:rsid w:val="005D274E"/>
    <w:rsid w:val="005D61DB"/>
    <w:rsid w:val="005E0B35"/>
    <w:rsid w:val="005F0ED4"/>
    <w:rsid w:val="006002F6"/>
    <w:rsid w:val="00603498"/>
    <w:rsid w:val="00634E1D"/>
    <w:rsid w:val="00640565"/>
    <w:rsid w:val="00651F0F"/>
    <w:rsid w:val="00681E38"/>
    <w:rsid w:val="00687D38"/>
    <w:rsid w:val="006B1006"/>
    <w:rsid w:val="006B1168"/>
    <w:rsid w:val="006B2726"/>
    <w:rsid w:val="006D1643"/>
    <w:rsid w:val="006E6629"/>
    <w:rsid w:val="006F589F"/>
    <w:rsid w:val="006F68BE"/>
    <w:rsid w:val="00707AFB"/>
    <w:rsid w:val="00741B08"/>
    <w:rsid w:val="00762C40"/>
    <w:rsid w:val="00786793"/>
    <w:rsid w:val="00790D2C"/>
    <w:rsid w:val="007935D5"/>
    <w:rsid w:val="007A0FBE"/>
    <w:rsid w:val="007E48CC"/>
    <w:rsid w:val="0080325F"/>
    <w:rsid w:val="00817E2B"/>
    <w:rsid w:val="00841BDF"/>
    <w:rsid w:val="00842871"/>
    <w:rsid w:val="0084609A"/>
    <w:rsid w:val="00846E18"/>
    <w:rsid w:val="008900A8"/>
    <w:rsid w:val="008955AC"/>
    <w:rsid w:val="008B314B"/>
    <w:rsid w:val="008B393B"/>
    <w:rsid w:val="008C6191"/>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7BBB"/>
    <w:rsid w:val="00A160B5"/>
    <w:rsid w:val="00A3347C"/>
    <w:rsid w:val="00A61AC0"/>
    <w:rsid w:val="00A77AC0"/>
    <w:rsid w:val="00A918E4"/>
    <w:rsid w:val="00AA7B9B"/>
    <w:rsid w:val="00AD5ED7"/>
    <w:rsid w:val="00AD7C4E"/>
    <w:rsid w:val="00AF399C"/>
    <w:rsid w:val="00AF4347"/>
    <w:rsid w:val="00AF5FE7"/>
    <w:rsid w:val="00B14349"/>
    <w:rsid w:val="00B27347"/>
    <w:rsid w:val="00B44F1A"/>
    <w:rsid w:val="00B53325"/>
    <w:rsid w:val="00B84243"/>
    <w:rsid w:val="00BC540B"/>
    <w:rsid w:val="00BD378C"/>
    <w:rsid w:val="00C02282"/>
    <w:rsid w:val="00C13BA6"/>
    <w:rsid w:val="00C22D3C"/>
    <w:rsid w:val="00C3481B"/>
    <w:rsid w:val="00C65D22"/>
    <w:rsid w:val="00CA4FC5"/>
    <w:rsid w:val="00CB1A12"/>
    <w:rsid w:val="00CE53AB"/>
    <w:rsid w:val="00CE6182"/>
    <w:rsid w:val="00D02EF1"/>
    <w:rsid w:val="00D176EB"/>
    <w:rsid w:val="00D203FE"/>
    <w:rsid w:val="00D344B2"/>
    <w:rsid w:val="00D60543"/>
    <w:rsid w:val="00D67D80"/>
    <w:rsid w:val="00D73130"/>
    <w:rsid w:val="00D7443D"/>
    <w:rsid w:val="00D806D3"/>
    <w:rsid w:val="00D9648C"/>
    <w:rsid w:val="00D9720E"/>
    <w:rsid w:val="00DA04E0"/>
    <w:rsid w:val="00DB2443"/>
    <w:rsid w:val="00DC1C23"/>
    <w:rsid w:val="00DE529D"/>
    <w:rsid w:val="00E01B4E"/>
    <w:rsid w:val="00E368FB"/>
    <w:rsid w:val="00E4383A"/>
    <w:rsid w:val="00EA33CC"/>
    <w:rsid w:val="00EC698B"/>
    <w:rsid w:val="00ED782E"/>
    <w:rsid w:val="00F02021"/>
    <w:rsid w:val="00F10B17"/>
    <w:rsid w:val="00F210CA"/>
    <w:rsid w:val="00F83116"/>
    <w:rsid w:val="00FA5092"/>
    <w:rsid w:val="00FB4221"/>
    <w:rsid w:val="00FB7547"/>
    <w:rsid w:val="00FC2BA2"/>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889ED33"/>
  <w15:chartTrackingRefBased/>
  <w15:docId w15:val="{E1F0F1C9-8008-4B3C-8F2C-7E74A963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uiPriority w:val="9"/>
    <w:unhideWhenUsed/>
    <w:qFormat/>
    <w:rsid w:val="00297050"/>
    <w:pPr>
      <w:keepNext/>
      <w:keepLines/>
      <w:widowControl/>
      <w:spacing w:before="200" w:line="276" w:lineRule="auto"/>
      <w:outlineLvl w:val="1"/>
    </w:pPr>
    <w:rPr>
      <w:rFonts w:asciiTheme="majorHAnsi" w:eastAsiaTheme="majorEastAsia" w:hAnsiTheme="majorHAnsi" w:cstheme="majorBidi"/>
      <w:b/>
      <w:bCs/>
      <w:snapToGrid/>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uiPriority w:val="9"/>
    <w:rsid w:val="00297050"/>
    <w:rPr>
      <w:rFonts w:asciiTheme="majorHAnsi" w:eastAsiaTheme="majorEastAsia" w:hAnsiTheme="majorHAnsi" w:cstheme="majorBidi"/>
      <w:b/>
      <w:bCs/>
      <w:color w:val="5B9BD5" w:themeColor="accent1"/>
      <w:sz w:val="26"/>
      <w:szCs w:val="26"/>
    </w:rPr>
  </w:style>
  <w:style w:type="character" w:styleId="FollowedHyperlink">
    <w:name w:val="FollowedHyperlink"/>
    <w:basedOn w:val="DefaultParagraphFont"/>
    <w:rsid w:val="000365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0970-0452</OMB_x0020_Control_x0020_Number>
    <FR_x0020_Title xmlns="e059a2d5-a4f8-4fd8-b836-4c9cf26100e7" xsi:nil="true"/>
    <ACF_x0020_Tracking_x0020_No_x002e_ xmlns="e059a2d5-a4f8-4fd8-b836-4c9cf26100e7">ANA-0078</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1192-5E72-4F89-9A5E-5867573AC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e059a2d5-a4f8-4fd8-b836-4c9cf26100e7"/>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15FA86-B047-414E-B895-BC70BE90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1801</Words>
  <Characters>9786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Zukowski</dc:creator>
  <cp:keywords/>
  <cp:lastModifiedBy>Wilson, Camille (ACF) (CTR)</cp:lastModifiedBy>
  <cp:revision>5</cp:revision>
  <dcterms:created xsi:type="dcterms:W3CDTF">2020-08-11T20:46:00Z</dcterms:created>
  <dcterms:modified xsi:type="dcterms:W3CDTF">2020-08-15T03:30:00Z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