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3FA9" w:rsidR="00160621" w:rsidP="009167CC" w:rsidRDefault="009167CC" w14:paraId="670B57C7" w14:textId="3EF34635">
      <w:pPr>
        <w:pStyle w:val="ReportCover-Title"/>
        <w:jc w:val="center"/>
        <w:rPr>
          <w:rFonts w:ascii="Arial" w:hAnsi="Arial" w:cs="Arial"/>
          <w:color w:val="auto"/>
        </w:rPr>
      </w:pPr>
      <w:bookmarkStart w:name="_GoBack" w:id="0"/>
      <w:bookmarkEnd w:id="0"/>
      <w:r w:rsidRPr="00F43FA9">
        <w:rPr>
          <w:rFonts w:ascii="Arial" w:hAnsi="Arial" w:eastAsia="Arial Unicode MS" w:cs="Arial"/>
          <w:noProof/>
          <w:color w:val="auto"/>
        </w:rPr>
        <w:t>LIHEAP Carryover and Reallotment Report</w:t>
      </w:r>
    </w:p>
    <w:p w:rsidRPr="00F43FA9" w:rsidR="00160621" w:rsidP="00160621" w:rsidRDefault="00160621" w14:paraId="39336BB3" w14:textId="77777777">
      <w:pPr>
        <w:pStyle w:val="ReportCover-Title"/>
        <w:rPr>
          <w:rFonts w:ascii="Arial" w:hAnsi="Arial" w:cs="Arial"/>
          <w:color w:val="auto"/>
        </w:rPr>
      </w:pPr>
    </w:p>
    <w:p w:rsidRPr="00F43FA9" w:rsidR="00160621" w:rsidP="00160621" w:rsidRDefault="00160621" w14:paraId="04B775EB" w14:textId="77777777">
      <w:pPr>
        <w:pStyle w:val="ReportCover-Title"/>
        <w:rPr>
          <w:rFonts w:ascii="Arial" w:hAnsi="Arial" w:cs="Arial"/>
          <w:color w:val="auto"/>
        </w:rPr>
      </w:pPr>
    </w:p>
    <w:p w:rsidRPr="00F43FA9" w:rsidR="00160621" w:rsidP="00160621" w:rsidRDefault="00160621" w14:paraId="0D335B37" w14:textId="77777777">
      <w:pPr>
        <w:pStyle w:val="ReportCover-Title"/>
        <w:jc w:val="center"/>
        <w:rPr>
          <w:rFonts w:ascii="Arial" w:hAnsi="Arial" w:cs="Arial"/>
          <w:color w:val="auto"/>
          <w:sz w:val="32"/>
          <w:szCs w:val="32"/>
        </w:rPr>
      </w:pPr>
      <w:r w:rsidRPr="00F43FA9">
        <w:rPr>
          <w:rFonts w:ascii="Arial" w:hAnsi="Arial" w:cs="Arial"/>
          <w:color w:val="auto"/>
          <w:sz w:val="32"/>
          <w:szCs w:val="32"/>
        </w:rPr>
        <w:t>OMB Information Collection Request</w:t>
      </w:r>
    </w:p>
    <w:p w:rsidRPr="00F43FA9" w:rsidR="00160621" w:rsidP="00160621" w:rsidRDefault="00160621" w14:paraId="063F1238" w14:textId="2571A779">
      <w:pPr>
        <w:pStyle w:val="ReportCover-Title"/>
        <w:jc w:val="center"/>
        <w:rPr>
          <w:rFonts w:ascii="Arial" w:hAnsi="Arial" w:cs="Arial"/>
          <w:color w:val="auto"/>
          <w:sz w:val="32"/>
          <w:szCs w:val="32"/>
        </w:rPr>
      </w:pPr>
      <w:r w:rsidRPr="00F43FA9">
        <w:rPr>
          <w:rFonts w:ascii="Arial" w:hAnsi="Arial" w:cs="Arial"/>
          <w:color w:val="auto"/>
          <w:sz w:val="32"/>
          <w:szCs w:val="32"/>
        </w:rPr>
        <w:t xml:space="preserve">0970 - </w:t>
      </w:r>
      <w:r w:rsidRPr="00F43FA9" w:rsidR="009167CC">
        <w:rPr>
          <w:rFonts w:ascii="Arial" w:hAnsi="Arial" w:cs="Arial"/>
          <w:color w:val="auto"/>
          <w:sz w:val="32"/>
          <w:szCs w:val="32"/>
        </w:rPr>
        <w:t>0106</w:t>
      </w:r>
    </w:p>
    <w:p w:rsidRPr="00F43FA9" w:rsidR="00160621" w:rsidP="00160621" w:rsidRDefault="00160621" w14:paraId="3CAA9B87" w14:textId="77777777">
      <w:pPr>
        <w:rPr>
          <w:rFonts w:ascii="Arial" w:hAnsi="Arial" w:cs="Arial"/>
          <w:szCs w:val="22"/>
        </w:rPr>
      </w:pPr>
    </w:p>
    <w:p w:rsidRPr="00F43FA9" w:rsidR="00160621" w:rsidP="00160621" w:rsidRDefault="00160621" w14:paraId="781D51D2" w14:textId="77777777">
      <w:pPr>
        <w:pStyle w:val="ReportCover-Date"/>
        <w:jc w:val="center"/>
        <w:rPr>
          <w:rFonts w:ascii="Arial" w:hAnsi="Arial" w:cs="Arial"/>
          <w:color w:val="auto"/>
        </w:rPr>
      </w:pPr>
    </w:p>
    <w:p w:rsidRPr="00F43FA9"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F43FA9">
        <w:rPr>
          <w:rFonts w:ascii="Arial" w:hAnsi="Arial" w:cs="Arial"/>
          <w:color w:val="auto"/>
          <w:sz w:val="48"/>
          <w:szCs w:val="48"/>
        </w:rPr>
        <w:t>Supporting Statement</w:t>
      </w:r>
      <w:r w:rsidRPr="00F43FA9" w:rsidR="00597E7F">
        <w:rPr>
          <w:rFonts w:ascii="Arial" w:hAnsi="Arial" w:cs="Arial"/>
          <w:color w:val="auto"/>
          <w:sz w:val="48"/>
          <w:szCs w:val="48"/>
        </w:rPr>
        <w:t xml:space="preserve"> </w:t>
      </w:r>
      <w:r w:rsidRPr="00F43FA9">
        <w:rPr>
          <w:rFonts w:ascii="Arial" w:hAnsi="Arial" w:cs="Arial"/>
          <w:color w:val="auto"/>
          <w:sz w:val="48"/>
          <w:szCs w:val="48"/>
        </w:rPr>
        <w:t xml:space="preserve">Part </w:t>
      </w:r>
      <w:proofErr w:type="gramStart"/>
      <w:r w:rsidRPr="00F43FA9">
        <w:rPr>
          <w:rFonts w:ascii="Arial" w:hAnsi="Arial" w:cs="Arial"/>
          <w:color w:val="auto"/>
          <w:sz w:val="48"/>
          <w:szCs w:val="48"/>
        </w:rPr>
        <w:t>A</w:t>
      </w:r>
      <w:proofErr w:type="gramEnd"/>
      <w:r w:rsidRPr="00F43FA9">
        <w:rPr>
          <w:rFonts w:ascii="Arial" w:hAnsi="Arial" w:cs="Arial"/>
          <w:color w:val="auto"/>
          <w:sz w:val="48"/>
          <w:szCs w:val="48"/>
        </w:rPr>
        <w:t xml:space="preserve"> - Justification</w:t>
      </w:r>
    </w:p>
    <w:p w:rsidRPr="00F43FA9" w:rsidR="00160621" w:rsidP="00160621" w:rsidRDefault="003710E4" w14:paraId="76FA23BE" w14:textId="3B2D3EA5">
      <w:pPr>
        <w:pStyle w:val="ReportCover-Date"/>
        <w:jc w:val="center"/>
        <w:rPr>
          <w:rFonts w:ascii="Arial" w:hAnsi="Arial" w:cs="Arial"/>
          <w:color w:val="auto"/>
        </w:rPr>
      </w:pPr>
      <w:r>
        <w:rPr>
          <w:rFonts w:ascii="Arial" w:hAnsi="Arial" w:cs="Arial"/>
          <w:color w:val="auto"/>
        </w:rPr>
        <w:t xml:space="preserve">Revised </w:t>
      </w:r>
      <w:r w:rsidR="00BF2B4D">
        <w:rPr>
          <w:rFonts w:ascii="Arial" w:hAnsi="Arial" w:cs="Arial"/>
          <w:color w:val="auto"/>
        </w:rPr>
        <w:t xml:space="preserve">August </w:t>
      </w:r>
      <w:r w:rsidRPr="00F43FA9" w:rsidR="009167CC">
        <w:rPr>
          <w:rFonts w:ascii="Arial" w:hAnsi="Arial" w:cs="Arial"/>
          <w:color w:val="auto"/>
        </w:rPr>
        <w:t>2020</w:t>
      </w:r>
    </w:p>
    <w:p w:rsidRPr="00F43FA9" w:rsidR="00160621" w:rsidP="00160621" w:rsidRDefault="00160621" w14:paraId="753A1E04" w14:textId="77777777">
      <w:pPr>
        <w:jc w:val="center"/>
        <w:rPr>
          <w:rFonts w:ascii="Arial" w:hAnsi="Arial" w:cs="Arial"/>
        </w:rPr>
      </w:pPr>
    </w:p>
    <w:p w:rsidRPr="00F43FA9" w:rsidR="00597E7F" w:rsidP="00160621" w:rsidRDefault="00597E7F" w14:paraId="519E722B" w14:textId="77777777">
      <w:pPr>
        <w:jc w:val="center"/>
        <w:rPr>
          <w:rFonts w:ascii="Arial" w:hAnsi="Arial" w:cs="Arial"/>
        </w:rPr>
      </w:pPr>
    </w:p>
    <w:p w:rsidRPr="00F43FA9" w:rsidR="00597E7F" w:rsidP="00160621" w:rsidRDefault="00597E7F" w14:paraId="468EB90E" w14:textId="77777777">
      <w:pPr>
        <w:jc w:val="center"/>
        <w:rPr>
          <w:rFonts w:ascii="Arial" w:hAnsi="Arial" w:cs="Arial"/>
        </w:rPr>
      </w:pPr>
    </w:p>
    <w:p w:rsidRPr="00F43FA9" w:rsidR="00597E7F" w:rsidP="00160621" w:rsidRDefault="00597E7F" w14:paraId="6C5E3B54" w14:textId="77777777">
      <w:pPr>
        <w:jc w:val="center"/>
        <w:rPr>
          <w:rFonts w:ascii="Arial" w:hAnsi="Arial" w:cs="Arial"/>
        </w:rPr>
      </w:pPr>
    </w:p>
    <w:p w:rsidRPr="00F43FA9" w:rsidR="00597E7F" w:rsidP="00160621" w:rsidRDefault="00597E7F" w14:paraId="7616FF45" w14:textId="77777777">
      <w:pPr>
        <w:jc w:val="center"/>
        <w:rPr>
          <w:rFonts w:ascii="Arial" w:hAnsi="Arial" w:cs="Arial"/>
        </w:rPr>
      </w:pPr>
    </w:p>
    <w:p w:rsidRPr="00F43FA9" w:rsidR="00597E7F" w:rsidP="00160621" w:rsidRDefault="00597E7F" w14:paraId="6B4C00B6" w14:textId="77777777">
      <w:pPr>
        <w:jc w:val="center"/>
        <w:rPr>
          <w:rFonts w:ascii="Arial" w:hAnsi="Arial" w:cs="Arial"/>
        </w:rPr>
      </w:pPr>
    </w:p>
    <w:p w:rsidRPr="00F43FA9" w:rsidR="00597E7F" w:rsidP="00160621" w:rsidRDefault="00597E7F" w14:paraId="5DC42FB1" w14:textId="77777777">
      <w:pPr>
        <w:jc w:val="center"/>
        <w:rPr>
          <w:rFonts w:ascii="Arial" w:hAnsi="Arial" w:cs="Arial"/>
        </w:rPr>
      </w:pPr>
    </w:p>
    <w:p w:rsidRPr="00F43FA9" w:rsidR="00597E7F" w:rsidP="00160621" w:rsidRDefault="00597E7F" w14:paraId="4A667098" w14:textId="77777777">
      <w:pPr>
        <w:jc w:val="center"/>
        <w:rPr>
          <w:rFonts w:ascii="Arial" w:hAnsi="Arial" w:cs="Arial"/>
        </w:rPr>
      </w:pPr>
    </w:p>
    <w:p w:rsidRPr="00F43FA9" w:rsidR="00597E7F" w:rsidP="00160621" w:rsidRDefault="00597E7F" w14:paraId="56FA4225" w14:textId="77777777">
      <w:pPr>
        <w:jc w:val="center"/>
        <w:rPr>
          <w:rFonts w:ascii="Arial" w:hAnsi="Arial" w:cs="Arial"/>
        </w:rPr>
      </w:pPr>
    </w:p>
    <w:p w:rsidRPr="00F43FA9" w:rsidR="00597E7F" w:rsidP="00160621" w:rsidRDefault="00597E7F" w14:paraId="59C877DB" w14:textId="77777777">
      <w:pPr>
        <w:jc w:val="center"/>
        <w:rPr>
          <w:rFonts w:ascii="Arial" w:hAnsi="Arial" w:cs="Arial"/>
        </w:rPr>
      </w:pPr>
    </w:p>
    <w:p w:rsidRPr="00F43FA9" w:rsidR="00597E7F" w:rsidP="00160621" w:rsidRDefault="00597E7F" w14:paraId="7AAAF468" w14:textId="77777777">
      <w:pPr>
        <w:jc w:val="center"/>
        <w:rPr>
          <w:rFonts w:ascii="Arial" w:hAnsi="Arial" w:cs="Arial"/>
        </w:rPr>
      </w:pPr>
    </w:p>
    <w:p w:rsidRPr="00F43FA9" w:rsidR="00597E7F" w:rsidP="00160621" w:rsidRDefault="00597E7F" w14:paraId="0B6F308C" w14:textId="77777777">
      <w:pPr>
        <w:jc w:val="center"/>
        <w:rPr>
          <w:rFonts w:ascii="Arial" w:hAnsi="Arial" w:cs="Arial"/>
        </w:rPr>
      </w:pPr>
    </w:p>
    <w:p w:rsidRPr="00F43FA9" w:rsidR="00597E7F" w:rsidP="00160621" w:rsidRDefault="00597E7F" w14:paraId="43A61A97" w14:textId="77777777">
      <w:pPr>
        <w:jc w:val="center"/>
        <w:rPr>
          <w:rFonts w:ascii="Arial" w:hAnsi="Arial" w:cs="Arial"/>
        </w:rPr>
      </w:pPr>
    </w:p>
    <w:p w:rsidRPr="00F43FA9" w:rsidR="00597E7F" w:rsidP="00160621" w:rsidRDefault="00597E7F" w14:paraId="5656E161" w14:textId="77777777">
      <w:pPr>
        <w:jc w:val="center"/>
        <w:rPr>
          <w:rFonts w:ascii="Arial" w:hAnsi="Arial" w:cs="Arial"/>
        </w:rPr>
      </w:pPr>
    </w:p>
    <w:p w:rsidRPr="00F43FA9" w:rsidR="00160621" w:rsidP="00160621" w:rsidRDefault="00160621" w14:paraId="5E112DDD" w14:textId="77777777">
      <w:pPr>
        <w:jc w:val="center"/>
        <w:rPr>
          <w:rFonts w:ascii="Arial" w:hAnsi="Arial" w:cs="Arial"/>
        </w:rPr>
      </w:pPr>
      <w:r w:rsidRPr="00F43FA9">
        <w:rPr>
          <w:rFonts w:ascii="Arial" w:hAnsi="Arial" w:cs="Arial"/>
        </w:rPr>
        <w:t>Submitted By:</w:t>
      </w:r>
    </w:p>
    <w:p w:rsidRPr="00F43FA9" w:rsidR="00160621" w:rsidP="00160621" w:rsidRDefault="00CC76BF" w14:paraId="54195924" w14:textId="298F9684">
      <w:pPr>
        <w:jc w:val="center"/>
        <w:rPr>
          <w:rFonts w:ascii="Arial" w:hAnsi="Arial" w:cs="Arial"/>
        </w:rPr>
      </w:pPr>
      <w:r w:rsidRPr="00F43FA9">
        <w:rPr>
          <w:rFonts w:ascii="Arial" w:hAnsi="Arial" w:cs="Arial"/>
        </w:rPr>
        <w:t>Office of Community Services</w:t>
      </w:r>
    </w:p>
    <w:p w:rsidRPr="00F43FA9" w:rsidR="00160621" w:rsidP="00160621" w:rsidRDefault="00160621" w14:paraId="6B7D9C75" w14:textId="77777777">
      <w:pPr>
        <w:jc w:val="center"/>
        <w:rPr>
          <w:rFonts w:ascii="Arial" w:hAnsi="Arial" w:cs="Arial"/>
        </w:rPr>
      </w:pPr>
      <w:r w:rsidRPr="00F43FA9">
        <w:rPr>
          <w:rFonts w:ascii="Arial" w:hAnsi="Arial" w:cs="Arial"/>
        </w:rPr>
        <w:t xml:space="preserve">Administration for Children and Families </w:t>
      </w:r>
    </w:p>
    <w:p w:rsidRPr="00F43FA9" w:rsidR="00160621" w:rsidP="00160621" w:rsidRDefault="00160621" w14:paraId="4CE8214D" w14:textId="77777777">
      <w:pPr>
        <w:jc w:val="center"/>
        <w:rPr>
          <w:rFonts w:ascii="Arial" w:hAnsi="Arial" w:cs="Arial"/>
        </w:rPr>
      </w:pPr>
      <w:r w:rsidRPr="00F43FA9">
        <w:rPr>
          <w:rFonts w:ascii="Arial" w:hAnsi="Arial" w:cs="Arial"/>
        </w:rPr>
        <w:t>U.S. Department of Health and Human Services</w:t>
      </w:r>
    </w:p>
    <w:p w:rsidRPr="00F43FA9" w:rsidR="00160621" w:rsidP="00160621" w:rsidRDefault="00160621" w14:paraId="005256ED" w14:textId="77777777">
      <w:pPr>
        <w:jc w:val="center"/>
        <w:rPr>
          <w:rFonts w:ascii="Arial" w:hAnsi="Arial" w:cs="Arial"/>
        </w:rPr>
      </w:pPr>
    </w:p>
    <w:p w:rsidRPr="00F43FA9" w:rsidR="00160621" w:rsidP="00160621" w:rsidRDefault="00160621" w14:paraId="71DD6E4D" w14:textId="77777777">
      <w:pPr>
        <w:jc w:val="center"/>
        <w:rPr>
          <w:rFonts w:ascii="Arial" w:hAnsi="Arial" w:cs="Arial"/>
        </w:rPr>
      </w:pPr>
    </w:p>
    <w:p w:rsidRPr="00F43FA9" w:rsidR="00160621" w:rsidP="00160621" w:rsidRDefault="00160621" w14:paraId="56DD869F" w14:textId="77777777">
      <w:pPr>
        <w:jc w:val="center"/>
        <w:rPr>
          <w:rFonts w:ascii="Arial" w:hAnsi="Arial" w:cs="Arial"/>
        </w:rPr>
      </w:pPr>
    </w:p>
    <w:p w:rsidRPr="00F43FA9" w:rsidR="00160621" w:rsidP="00160621" w:rsidRDefault="00160621" w14:paraId="0B82535D" w14:textId="77777777">
      <w:pPr>
        <w:jc w:val="center"/>
        <w:rPr>
          <w:rFonts w:ascii="Arial" w:hAnsi="Arial" w:cs="Arial"/>
        </w:rPr>
      </w:pPr>
    </w:p>
    <w:p w:rsidRPr="00F43FA9" w:rsidR="00160621" w:rsidP="00160621" w:rsidRDefault="00160621" w14:paraId="21C4C2D8" w14:textId="77777777">
      <w:pPr>
        <w:jc w:val="center"/>
        <w:rPr>
          <w:rFonts w:ascii="Arial" w:hAnsi="Arial" w:cs="Arial"/>
        </w:rPr>
      </w:pPr>
    </w:p>
    <w:p w:rsidR="00160621" w:rsidP="00160621" w:rsidRDefault="00160621" w14:paraId="1473AAD1" w14:textId="12F5E161">
      <w:pPr>
        <w:jc w:val="center"/>
        <w:rPr>
          <w:rFonts w:ascii="Arial" w:hAnsi="Arial" w:cs="Arial"/>
        </w:rPr>
      </w:pPr>
    </w:p>
    <w:p w:rsidR="00243FFF" w:rsidP="00160621" w:rsidRDefault="00243FFF" w14:paraId="7DD4095F" w14:textId="3F8E31CD">
      <w:pPr>
        <w:jc w:val="center"/>
        <w:rPr>
          <w:rFonts w:ascii="Arial" w:hAnsi="Arial" w:cs="Arial"/>
        </w:rPr>
      </w:pPr>
    </w:p>
    <w:p w:rsidR="00243FFF" w:rsidP="00160621" w:rsidRDefault="00243FFF" w14:paraId="4D19611C" w14:textId="78787FDD">
      <w:pPr>
        <w:jc w:val="center"/>
        <w:rPr>
          <w:rFonts w:ascii="Arial" w:hAnsi="Arial" w:cs="Arial"/>
        </w:rPr>
      </w:pPr>
    </w:p>
    <w:p w:rsidR="00243FFF" w:rsidP="00160621" w:rsidRDefault="00243FFF" w14:paraId="41CE37D2" w14:textId="1316708A">
      <w:pPr>
        <w:jc w:val="center"/>
        <w:rPr>
          <w:rFonts w:ascii="Arial" w:hAnsi="Arial" w:cs="Arial"/>
        </w:rPr>
      </w:pPr>
    </w:p>
    <w:p w:rsidR="00243FFF" w:rsidP="00160621" w:rsidRDefault="00243FFF" w14:paraId="5EE827A3" w14:textId="4F23EB8B">
      <w:pPr>
        <w:jc w:val="center"/>
        <w:rPr>
          <w:rFonts w:ascii="Arial" w:hAnsi="Arial" w:cs="Arial"/>
        </w:rPr>
      </w:pPr>
    </w:p>
    <w:p w:rsidR="00243FFF" w:rsidP="00160621" w:rsidRDefault="00243FFF" w14:paraId="3010258A" w14:textId="0CE49CBF">
      <w:pPr>
        <w:jc w:val="center"/>
        <w:rPr>
          <w:rFonts w:ascii="Arial" w:hAnsi="Arial" w:cs="Arial"/>
        </w:rPr>
      </w:pPr>
    </w:p>
    <w:p w:rsidR="00243FFF" w:rsidP="00160621" w:rsidRDefault="00243FFF" w14:paraId="395DFAE4" w14:textId="409965AC">
      <w:pPr>
        <w:jc w:val="center"/>
        <w:rPr>
          <w:rFonts w:ascii="Arial" w:hAnsi="Arial" w:cs="Arial"/>
        </w:rPr>
      </w:pPr>
    </w:p>
    <w:p w:rsidR="00243FFF" w:rsidP="00160621" w:rsidRDefault="00243FFF" w14:paraId="57DE578B" w14:textId="2AB6B58C">
      <w:pPr>
        <w:jc w:val="center"/>
        <w:rPr>
          <w:rFonts w:ascii="Arial" w:hAnsi="Arial" w:cs="Arial"/>
        </w:rPr>
      </w:pPr>
    </w:p>
    <w:p w:rsidR="00243FFF" w:rsidP="00160621" w:rsidRDefault="00243FFF" w14:paraId="3E5F72A2" w14:textId="187C98A5">
      <w:pPr>
        <w:jc w:val="center"/>
        <w:rPr>
          <w:rFonts w:ascii="Arial" w:hAnsi="Arial" w:cs="Arial"/>
        </w:rPr>
      </w:pPr>
    </w:p>
    <w:p w:rsidRPr="00F43FA9" w:rsidR="00243FFF" w:rsidP="00160621" w:rsidRDefault="00243FFF" w14:paraId="7EF8C136" w14:textId="77777777">
      <w:pPr>
        <w:jc w:val="center"/>
        <w:rPr>
          <w:rFonts w:ascii="Arial" w:hAnsi="Arial" w:cs="Arial"/>
        </w:rPr>
      </w:pPr>
    </w:p>
    <w:p w:rsidRPr="00F43FA9" w:rsidR="00160621" w:rsidP="00160621" w:rsidRDefault="00160621" w14:paraId="346CDF4E" w14:textId="77777777">
      <w:pPr>
        <w:jc w:val="center"/>
        <w:rPr>
          <w:rFonts w:ascii="Arial" w:hAnsi="Arial" w:cs="Arial"/>
        </w:rPr>
      </w:pPr>
    </w:p>
    <w:p w:rsidRPr="00F43FA9" w:rsidR="00160621" w:rsidP="00160621" w:rsidRDefault="00160621" w14:paraId="4FBF82D6" w14:textId="77777777">
      <w:pPr>
        <w:widowControl/>
        <w:ind w:left="360" w:hanging="360"/>
        <w:jc w:val="center"/>
        <w:rPr>
          <w:rFonts w:ascii="Times New Roman" w:hAnsi="Times New Roman"/>
          <w:b/>
          <w:sz w:val="24"/>
          <w:szCs w:val="24"/>
        </w:rPr>
      </w:pPr>
      <w:r w:rsidRPr="00F43FA9">
        <w:rPr>
          <w:rFonts w:ascii="Times New Roman" w:hAnsi="Times New Roman"/>
          <w:b/>
          <w:sz w:val="24"/>
          <w:szCs w:val="24"/>
        </w:rPr>
        <w:lastRenderedPageBreak/>
        <w:t>SUPPORTING STATEMENT A – JUSTIFICATION</w:t>
      </w:r>
    </w:p>
    <w:p w:rsidRPr="00F43FA9" w:rsidR="00160621" w:rsidP="00160621" w:rsidRDefault="00160621" w14:paraId="010B1ADF" w14:textId="77777777">
      <w:pPr>
        <w:widowControl/>
        <w:ind w:left="360" w:hanging="360"/>
        <w:jc w:val="center"/>
        <w:rPr>
          <w:rFonts w:ascii="Times New Roman" w:hAnsi="Times New Roman"/>
          <w:snapToGrid/>
          <w:sz w:val="24"/>
          <w:szCs w:val="24"/>
        </w:rPr>
      </w:pPr>
    </w:p>
    <w:p w:rsidRPr="00F43FA9" w:rsidR="00160621" w:rsidP="002A2052" w:rsidRDefault="00160621" w14:paraId="2212894C" w14:textId="77777777">
      <w:pPr>
        <w:widowControl/>
        <w:spacing w:after="120"/>
        <w:ind w:left="360" w:hanging="360"/>
        <w:jc w:val="center"/>
        <w:rPr>
          <w:rFonts w:ascii="Times New Roman" w:hAnsi="Times New Roman"/>
          <w:b/>
          <w:snapToGrid/>
          <w:sz w:val="24"/>
          <w:szCs w:val="24"/>
        </w:rPr>
      </w:pPr>
      <w:r w:rsidRPr="00F43FA9">
        <w:rPr>
          <w:rFonts w:ascii="Times New Roman" w:hAnsi="Times New Roman"/>
          <w:b/>
          <w:snapToGrid/>
          <w:sz w:val="24"/>
          <w:szCs w:val="24"/>
        </w:rPr>
        <w:t>Summary</w:t>
      </w:r>
    </w:p>
    <w:p w:rsidRPr="00F43FA9" w:rsidR="002C3C4F" w:rsidP="002A2052"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Circumstances Making the Collection of Information Necessary </w:t>
      </w:r>
    </w:p>
    <w:p w:rsidR="00FF08A6" w:rsidP="00215031" w:rsidRDefault="00CC76BF" w14:paraId="0C2782A4" w14:textId="2DBE0AD5">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 xml:space="preserve">The </w:t>
      </w:r>
      <w:r w:rsidR="00813175">
        <w:rPr>
          <w:rFonts w:ascii="Times New Roman" w:hAnsi="Times New Roman"/>
          <w:snapToGrid/>
          <w:sz w:val="24"/>
          <w:szCs w:val="24"/>
        </w:rPr>
        <w:t>federal Low Income Home Energy Assistance Program (LIHEAP) statute requires the Department of Health and Human Services (HHS) to collect data annually from</w:t>
      </w:r>
      <w:r w:rsidR="008A0A55">
        <w:rPr>
          <w:rFonts w:ascii="Times New Roman" w:hAnsi="Times New Roman"/>
          <w:snapToGrid/>
          <w:sz w:val="24"/>
          <w:szCs w:val="24"/>
        </w:rPr>
        <w:t xml:space="preserve"> all</w:t>
      </w:r>
      <w:r w:rsidR="00813175">
        <w:rPr>
          <w:rFonts w:ascii="Times New Roman" w:hAnsi="Times New Roman"/>
          <w:snapToGrid/>
          <w:sz w:val="24"/>
          <w:szCs w:val="24"/>
        </w:rPr>
        <w:t xml:space="preserve"> LIHEAP grantees regarding the status of obligated and unobligated funding</w:t>
      </w:r>
      <w:r w:rsidR="008A0A55">
        <w:rPr>
          <w:rFonts w:ascii="Times New Roman" w:hAnsi="Times New Roman"/>
          <w:snapToGrid/>
          <w:sz w:val="24"/>
          <w:szCs w:val="24"/>
        </w:rPr>
        <w:t xml:space="preserve"> (42 U.S.C. § 86</w:t>
      </w:r>
      <w:r w:rsidR="00215031">
        <w:rPr>
          <w:rFonts w:ascii="Times New Roman" w:hAnsi="Times New Roman"/>
          <w:snapToGrid/>
          <w:sz w:val="24"/>
          <w:szCs w:val="24"/>
        </w:rPr>
        <w:t>26).</w:t>
      </w:r>
      <w:r w:rsidR="00813175">
        <w:rPr>
          <w:rFonts w:ascii="Times New Roman" w:hAnsi="Times New Roman"/>
          <w:snapToGrid/>
          <w:sz w:val="24"/>
          <w:szCs w:val="24"/>
        </w:rPr>
        <w:t xml:space="preserve"> </w:t>
      </w:r>
      <w:r w:rsidR="00215031">
        <w:rPr>
          <w:rFonts w:ascii="Times New Roman" w:hAnsi="Times New Roman"/>
          <w:snapToGrid/>
          <w:sz w:val="24"/>
          <w:szCs w:val="24"/>
        </w:rPr>
        <w:t xml:space="preserve">HHS </w:t>
      </w:r>
      <w:r w:rsidRPr="00F43FA9">
        <w:rPr>
          <w:rFonts w:ascii="Times New Roman" w:hAnsi="Times New Roman"/>
          <w:snapToGrid/>
          <w:sz w:val="24"/>
          <w:szCs w:val="24"/>
        </w:rPr>
        <w:t xml:space="preserve">shall not make payment to a State for a fiscal year unless the State has complied with this </w:t>
      </w:r>
      <w:r w:rsidR="00215031">
        <w:rPr>
          <w:rFonts w:ascii="Times New Roman" w:hAnsi="Times New Roman"/>
          <w:snapToGrid/>
          <w:sz w:val="24"/>
          <w:szCs w:val="24"/>
        </w:rPr>
        <w:t xml:space="preserve">reporting </w:t>
      </w:r>
      <w:r w:rsidRPr="00F43FA9">
        <w:rPr>
          <w:rFonts w:ascii="Times New Roman" w:hAnsi="Times New Roman"/>
          <w:snapToGrid/>
          <w:sz w:val="24"/>
          <w:szCs w:val="24"/>
        </w:rPr>
        <w:t>requirement with respect to the prior fiscal year.  The amount held available from a prior fiscal year shall not exceed 10 percent of the funds awarded for that fiscal year</w:t>
      </w:r>
      <w:r w:rsidR="00215031">
        <w:rPr>
          <w:rFonts w:ascii="Times New Roman" w:hAnsi="Times New Roman"/>
          <w:snapToGrid/>
          <w:sz w:val="24"/>
          <w:szCs w:val="24"/>
        </w:rPr>
        <w:t xml:space="preserve"> (42 U.S.C. § 826(b</w:t>
      </w:r>
      <w:proofErr w:type="gramStart"/>
      <w:r w:rsidR="00215031">
        <w:rPr>
          <w:rFonts w:ascii="Times New Roman" w:hAnsi="Times New Roman"/>
          <w:snapToGrid/>
          <w:sz w:val="24"/>
          <w:szCs w:val="24"/>
        </w:rPr>
        <w:t>)(</w:t>
      </w:r>
      <w:proofErr w:type="gramEnd"/>
      <w:r w:rsidR="00215031">
        <w:rPr>
          <w:rFonts w:ascii="Times New Roman" w:hAnsi="Times New Roman"/>
          <w:snapToGrid/>
          <w:sz w:val="24"/>
          <w:szCs w:val="24"/>
        </w:rPr>
        <w:t>2)(B))</w:t>
      </w:r>
      <w:r w:rsidRPr="00F43FA9">
        <w:rPr>
          <w:rFonts w:ascii="Times New Roman" w:hAnsi="Times New Roman"/>
          <w:snapToGrid/>
          <w:sz w:val="24"/>
          <w:szCs w:val="24"/>
        </w:rPr>
        <w:t xml:space="preserve">.  Funds exceeding 10 percent shall be </w:t>
      </w:r>
      <w:proofErr w:type="spellStart"/>
      <w:r w:rsidRPr="00F43FA9">
        <w:rPr>
          <w:rFonts w:ascii="Times New Roman" w:hAnsi="Times New Roman"/>
          <w:snapToGrid/>
          <w:sz w:val="24"/>
          <w:szCs w:val="24"/>
        </w:rPr>
        <w:t>realloted</w:t>
      </w:r>
      <w:proofErr w:type="spellEnd"/>
      <w:r w:rsidRPr="00F43FA9">
        <w:rPr>
          <w:rFonts w:ascii="Times New Roman" w:hAnsi="Times New Roman"/>
          <w:snapToGrid/>
          <w:sz w:val="24"/>
          <w:szCs w:val="24"/>
        </w:rPr>
        <w:t xml:space="preserve"> </w:t>
      </w:r>
      <w:r w:rsidR="00215031">
        <w:rPr>
          <w:rFonts w:ascii="Times New Roman" w:hAnsi="Times New Roman"/>
          <w:snapToGrid/>
          <w:sz w:val="24"/>
          <w:szCs w:val="24"/>
        </w:rPr>
        <w:t xml:space="preserve">in the following fiscal year </w:t>
      </w:r>
      <w:r w:rsidRPr="00F43FA9">
        <w:rPr>
          <w:rFonts w:ascii="Times New Roman" w:hAnsi="Times New Roman"/>
          <w:snapToGrid/>
          <w:sz w:val="24"/>
          <w:szCs w:val="24"/>
        </w:rPr>
        <w:t xml:space="preserve">among all </w:t>
      </w:r>
      <w:r w:rsidR="00215031">
        <w:rPr>
          <w:rFonts w:ascii="Times New Roman" w:hAnsi="Times New Roman"/>
          <w:snapToGrid/>
          <w:sz w:val="24"/>
          <w:szCs w:val="24"/>
        </w:rPr>
        <w:t xml:space="preserve">LIHEAP </w:t>
      </w:r>
      <w:r w:rsidRPr="00F43FA9">
        <w:rPr>
          <w:rFonts w:ascii="Times New Roman" w:hAnsi="Times New Roman"/>
          <w:snapToGrid/>
          <w:sz w:val="24"/>
          <w:szCs w:val="24"/>
        </w:rPr>
        <w:t>grantees</w:t>
      </w:r>
      <w:r w:rsidR="00215031">
        <w:rPr>
          <w:rFonts w:ascii="Times New Roman" w:hAnsi="Times New Roman"/>
          <w:snapToGrid/>
          <w:sz w:val="24"/>
          <w:szCs w:val="24"/>
        </w:rPr>
        <w:t xml:space="preserve"> (42 U.S.C. § 8626(b</w:t>
      </w:r>
      <w:proofErr w:type="gramStart"/>
      <w:r w:rsidR="00215031">
        <w:rPr>
          <w:rFonts w:ascii="Times New Roman" w:hAnsi="Times New Roman"/>
          <w:snapToGrid/>
          <w:sz w:val="24"/>
          <w:szCs w:val="24"/>
        </w:rPr>
        <w:t>)(</w:t>
      </w:r>
      <w:proofErr w:type="gramEnd"/>
      <w:r w:rsidR="00215031">
        <w:rPr>
          <w:rFonts w:ascii="Times New Roman" w:hAnsi="Times New Roman"/>
          <w:snapToGrid/>
          <w:sz w:val="24"/>
          <w:szCs w:val="24"/>
        </w:rPr>
        <w:t>1)(C))</w:t>
      </w:r>
      <w:r w:rsidRPr="00F43FA9">
        <w:rPr>
          <w:rFonts w:ascii="Times New Roman" w:hAnsi="Times New Roman"/>
          <w:snapToGrid/>
          <w:sz w:val="24"/>
          <w:szCs w:val="24"/>
        </w:rPr>
        <w:t xml:space="preserve">.  </w:t>
      </w:r>
    </w:p>
    <w:p w:rsidRPr="00F43FA9" w:rsidR="003710E4" w:rsidP="00215031" w:rsidRDefault="003710E4" w14:paraId="6EB25C93" w14:textId="77777777">
      <w:pPr>
        <w:widowControl/>
        <w:tabs>
          <w:tab w:val="num" w:pos="360"/>
        </w:tabs>
        <w:spacing w:after="120"/>
        <w:ind w:left="360"/>
        <w:rPr>
          <w:rFonts w:ascii="Times New Roman" w:hAnsi="Times New Roman"/>
          <w:snapToGrid/>
          <w:sz w:val="24"/>
          <w:szCs w:val="24"/>
        </w:rPr>
      </w:pPr>
    </w:p>
    <w:p w:rsidR="00FF08A6" w:rsidP="002A2052" w:rsidRDefault="00215031" w14:paraId="33B5A3AB" w14:textId="411D7AF5">
      <w:pPr>
        <w:widowControl/>
        <w:tabs>
          <w:tab w:val="num" w:pos="360"/>
        </w:tabs>
        <w:spacing w:after="120"/>
        <w:ind w:left="360"/>
        <w:rPr>
          <w:rFonts w:ascii="Times New Roman" w:hAnsi="Times New Roman"/>
          <w:snapToGrid/>
          <w:sz w:val="24"/>
          <w:szCs w:val="24"/>
        </w:rPr>
      </w:pPr>
      <w:r>
        <w:rPr>
          <w:rFonts w:ascii="Times New Roman" w:hAnsi="Times New Roman"/>
          <w:snapToGrid/>
          <w:sz w:val="24"/>
          <w:szCs w:val="24"/>
        </w:rPr>
        <w:t>T</w:t>
      </w:r>
      <w:r w:rsidRPr="00F43FA9" w:rsidR="00CC76BF">
        <w:rPr>
          <w:rFonts w:ascii="Times New Roman" w:hAnsi="Times New Roman"/>
          <w:snapToGrid/>
          <w:sz w:val="24"/>
          <w:szCs w:val="24"/>
        </w:rPr>
        <w:t xml:space="preserve">he </w:t>
      </w:r>
      <w:r>
        <w:rPr>
          <w:rFonts w:ascii="Times New Roman" w:hAnsi="Times New Roman"/>
          <w:snapToGrid/>
          <w:sz w:val="24"/>
          <w:szCs w:val="24"/>
        </w:rPr>
        <w:t xml:space="preserve">federal HHHS </w:t>
      </w:r>
      <w:r w:rsidRPr="00F43FA9" w:rsidR="00CC76BF">
        <w:rPr>
          <w:rFonts w:ascii="Times New Roman" w:hAnsi="Times New Roman"/>
          <w:snapToGrid/>
          <w:sz w:val="24"/>
          <w:szCs w:val="24"/>
        </w:rPr>
        <w:t xml:space="preserve">block grant regulations further </w:t>
      </w:r>
      <w:r>
        <w:rPr>
          <w:rFonts w:ascii="Times New Roman" w:hAnsi="Times New Roman"/>
          <w:snapToGrid/>
          <w:sz w:val="24"/>
          <w:szCs w:val="24"/>
        </w:rPr>
        <w:t>require</w:t>
      </w:r>
      <w:r w:rsidRPr="00F43FA9" w:rsidR="00CC76BF">
        <w:rPr>
          <w:rFonts w:ascii="Times New Roman" w:hAnsi="Times New Roman"/>
          <w:snapToGrid/>
          <w:sz w:val="24"/>
          <w:szCs w:val="24"/>
        </w:rPr>
        <w:t xml:space="preserve"> that the Carryover and </w:t>
      </w:r>
      <w:proofErr w:type="spellStart"/>
      <w:r w:rsidRPr="00F43FA9" w:rsidR="00CC76BF">
        <w:rPr>
          <w:rFonts w:ascii="Times New Roman" w:hAnsi="Times New Roman"/>
          <w:snapToGrid/>
          <w:sz w:val="24"/>
          <w:szCs w:val="24"/>
        </w:rPr>
        <w:t>Reallotment</w:t>
      </w:r>
      <w:proofErr w:type="spellEnd"/>
      <w:r w:rsidRPr="00F43FA9" w:rsidR="00CC76BF">
        <w:rPr>
          <w:rFonts w:ascii="Times New Roman" w:hAnsi="Times New Roman"/>
          <w:snapToGrid/>
          <w:sz w:val="24"/>
          <w:szCs w:val="24"/>
        </w:rPr>
        <w:t xml:space="preserve"> Report </w:t>
      </w:r>
      <w:r w:rsidRPr="00F43FA9" w:rsidR="00DC4392">
        <w:rPr>
          <w:rFonts w:ascii="Times New Roman" w:hAnsi="Times New Roman"/>
          <w:snapToGrid/>
          <w:sz w:val="24"/>
          <w:szCs w:val="24"/>
        </w:rPr>
        <w:t xml:space="preserve">(Carryover Report) </w:t>
      </w:r>
      <w:r w:rsidRPr="00F43FA9" w:rsidR="00CC76BF">
        <w:rPr>
          <w:rFonts w:ascii="Times New Roman" w:hAnsi="Times New Roman"/>
          <w:snapToGrid/>
          <w:sz w:val="24"/>
          <w:szCs w:val="24"/>
        </w:rPr>
        <w:t xml:space="preserve">must contain the following information:  (1) the amount of funds that the grantee requests to hold available for obligation in the following fiscal year, not to exceed 10 percent of the funds payable to the grantee; (2) A statement of the reasons that this amount to remain available will not be used in the fiscal year for which it was allotted;  (3) A description of the types of assistance to be provided with the amount held available; and (4) The amount of funds, if any, to be subject to </w:t>
      </w:r>
      <w:proofErr w:type="spellStart"/>
      <w:r w:rsidRPr="00F43FA9" w:rsidR="00CC76BF">
        <w:rPr>
          <w:rFonts w:ascii="Times New Roman" w:hAnsi="Times New Roman"/>
          <w:snapToGrid/>
          <w:sz w:val="24"/>
          <w:szCs w:val="24"/>
        </w:rPr>
        <w:t>reallotment</w:t>
      </w:r>
      <w:proofErr w:type="spellEnd"/>
      <w:r w:rsidRPr="00F43FA9" w:rsidR="00CC76BF">
        <w:rPr>
          <w:rFonts w:ascii="Times New Roman" w:hAnsi="Times New Roman"/>
          <w:snapToGrid/>
          <w:sz w:val="24"/>
          <w:szCs w:val="24"/>
        </w:rPr>
        <w:t>.</w:t>
      </w:r>
      <w:r>
        <w:rPr>
          <w:rFonts w:ascii="Times New Roman" w:hAnsi="Times New Roman"/>
          <w:snapToGrid/>
          <w:sz w:val="24"/>
          <w:szCs w:val="24"/>
        </w:rPr>
        <w:t xml:space="preserve">  See 45 C.F.R. § 96.81.</w:t>
      </w:r>
    </w:p>
    <w:p w:rsidRPr="00F43FA9" w:rsidR="003710E4" w:rsidP="002A2052" w:rsidRDefault="003710E4" w14:paraId="2302D0B6" w14:textId="77777777">
      <w:pPr>
        <w:widowControl/>
        <w:tabs>
          <w:tab w:val="num" w:pos="360"/>
        </w:tabs>
        <w:spacing w:after="120"/>
        <w:ind w:left="360"/>
        <w:rPr>
          <w:rFonts w:ascii="Times New Roman" w:hAnsi="Times New Roman"/>
          <w:snapToGrid/>
          <w:sz w:val="24"/>
          <w:szCs w:val="24"/>
        </w:rPr>
      </w:pPr>
    </w:p>
    <w:p w:rsidR="00FF08A6" w:rsidP="002A2052" w:rsidRDefault="00DC4392" w14:paraId="7AD6E469" w14:textId="4E8FEE0F">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 xml:space="preserve">OMB approved the Carryover Report, under Clearance No. 0970 – 0106, </w:t>
      </w:r>
      <w:r w:rsidRPr="00F43FA9" w:rsidR="00FF5708">
        <w:rPr>
          <w:rFonts w:ascii="Times New Roman" w:hAnsi="Times New Roman"/>
          <w:snapToGrid/>
          <w:sz w:val="24"/>
          <w:szCs w:val="24"/>
        </w:rPr>
        <w:t xml:space="preserve">on April 23, 2019 and made such approval </w:t>
      </w:r>
      <w:r w:rsidRPr="00F43FA9">
        <w:rPr>
          <w:rFonts w:ascii="Times New Roman" w:hAnsi="Times New Roman"/>
          <w:snapToGrid/>
          <w:sz w:val="24"/>
          <w:szCs w:val="24"/>
        </w:rPr>
        <w:t>effective May 1, 2019</w:t>
      </w:r>
      <w:r w:rsidR="00215031">
        <w:rPr>
          <w:rFonts w:ascii="Times New Roman" w:hAnsi="Times New Roman"/>
          <w:snapToGrid/>
          <w:sz w:val="24"/>
          <w:szCs w:val="24"/>
        </w:rPr>
        <w:t xml:space="preserve"> for three years</w:t>
      </w:r>
      <w:r w:rsidRPr="00F43FA9">
        <w:rPr>
          <w:rFonts w:ascii="Times New Roman" w:hAnsi="Times New Roman"/>
          <w:snapToGrid/>
          <w:sz w:val="24"/>
          <w:szCs w:val="24"/>
        </w:rPr>
        <w:t>.</w:t>
      </w:r>
      <w:r w:rsidR="00215031">
        <w:rPr>
          <w:rFonts w:ascii="Times New Roman" w:hAnsi="Times New Roman"/>
          <w:snapToGrid/>
          <w:sz w:val="24"/>
          <w:szCs w:val="24"/>
        </w:rPr>
        <w:t xml:space="preserve">  </w:t>
      </w:r>
      <w:r w:rsidR="00A95A6F">
        <w:rPr>
          <w:rFonts w:ascii="Times New Roman" w:hAnsi="Times New Roman"/>
          <w:snapToGrid/>
          <w:sz w:val="24"/>
          <w:szCs w:val="24"/>
        </w:rPr>
        <w:t xml:space="preserve">However, HHS is seeking a non-substantive change request to this form in order to allow for line item reporting of supplemental funding appropriated by Congress.  </w:t>
      </w:r>
    </w:p>
    <w:p w:rsidRPr="00F43FA9" w:rsidR="003710E4" w:rsidP="002A2052" w:rsidRDefault="003710E4" w14:paraId="52DC35AB" w14:textId="77777777">
      <w:pPr>
        <w:widowControl/>
        <w:tabs>
          <w:tab w:val="num" w:pos="360"/>
        </w:tabs>
        <w:spacing w:after="120"/>
        <w:ind w:left="360"/>
        <w:rPr>
          <w:rFonts w:ascii="Times New Roman" w:hAnsi="Times New Roman"/>
          <w:snapToGrid/>
          <w:sz w:val="24"/>
          <w:szCs w:val="24"/>
        </w:rPr>
      </w:pPr>
    </w:p>
    <w:p w:rsidR="003710E4" w:rsidP="003710E4" w:rsidRDefault="003710E4" w14:paraId="66618043" w14:textId="33043A0E">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Purpose and Use of the Information Collection </w:t>
      </w:r>
    </w:p>
    <w:p w:rsidR="00A95A6F" w:rsidP="00A95A6F" w:rsidRDefault="00A95A6F" w14:paraId="72BFC565" w14:textId="47DB4D5A">
      <w:pPr>
        <w:widowControl/>
        <w:spacing w:after="120"/>
        <w:ind w:left="360"/>
        <w:rPr>
          <w:rFonts w:ascii="Times New Roman" w:hAnsi="Times New Roman"/>
          <w:snapToGrid/>
          <w:sz w:val="24"/>
          <w:szCs w:val="24"/>
        </w:rPr>
      </w:pPr>
      <w:r w:rsidRPr="00A95A6F">
        <w:rPr>
          <w:rFonts w:ascii="Times New Roman" w:hAnsi="Times New Roman"/>
          <w:snapToGrid/>
          <w:sz w:val="24"/>
          <w:szCs w:val="24"/>
        </w:rPr>
        <w:t xml:space="preserve">The CARES Act (Public Law 116-136, enacted 3/27/2020) adopted all of the normal LIHEAP statutory requirements—including reporting requirements—with the exception of providing additional flexibility for the period of obligation. LIHEAP grantees may obligate any portion of the supplemental CARES Act LIHEAP funds in FY 2020 and/or FY 2021, contingent upon their own rules for obligating their own funds (45 CFR 96.30(a)).  The Coronavirus Response Additional Supplemental Appropriations Act, 2020 (S.4320) and The Heroes Act (H.R.6800) propose to do likewise for additional FY 2020 supplemental funds.  Consequently, we are requesting a change to the Carryover Report to allow grantees to report separately CARES Act funding and, without any additional non-substantive change, other supplemental funds if Congress passes the appropriate legislation. </w:t>
      </w:r>
    </w:p>
    <w:p w:rsidRPr="00A95A6F" w:rsidR="00A95A6F" w:rsidP="00A95A6F" w:rsidRDefault="00A95A6F" w14:paraId="773C28C4" w14:textId="77777777">
      <w:pPr>
        <w:widowControl/>
        <w:spacing w:after="120"/>
        <w:ind w:left="360"/>
        <w:rPr>
          <w:rFonts w:ascii="Times New Roman" w:hAnsi="Times New Roman"/>
          <w:snapToGrid/>
          <w:sz w:val="24"/>
          <w:szCs w:val="24"/>
        </w:rPr>
      </w:pPr>
    </w:p>
    <w:p w:rsidRPr="00A95A6F" w:rsidR="00A95A6F" w:rsidP="00A95A6F" w:rsidRDefault="00A95A6F" w14:paraId="443403A7" w14:textId="26B0A309">
      <w:pPr>
        <w:widowControl/>
        <w:spacing w:after="120"/>
        <w:ind w:left="360"/>
        <w:rPr>
          <w:rFonts w:ascii="Times New Roman" w:hAnsi="Times New Roman"/>
          <w:snapToGrid/>
          <w:sz w:val="24"/>
          <w:szCs w:val="24"/>
        </w:rPr>
      </w:pPr>
      <w:r w:rsidRPr="00A95A6F">
        <w:rPr>
          <w:rFonts w:ascii="Times New Roman" w:hAnsi="Times New Roman"/>
          <w:snapToGrid/>
          <w:sz w:val="24"/>
          <w:szCs w:val="24"/>
        </w:rPr>
        <w:t xml:space="preserve">The Administration for Children and Families (ACF) intends to use the mandatory annual report to determine the amount of non-CARES Act LIHEAP funds to be </w:t>
      </w:r>
      <w:proofErr w:type="spellStart"/>
      <w:r w:rsidRPr="00A95A6F">
        <w:rPr>
          <w:rFonts w:ascii="Times New Roman" w:hAnsi="Times New Roman"/>
          <w:snapToGrid/>
          <w:sz w:val="24"/>
          <w:szCs w:val="24"/>
        </w:rPr>
        <w:t>reallotted</w:t>
      </w:r>
      <w:proofErr w:type="spellEnd"/>
      <w:r w:rsidRPr="00A95A6F">
        <w:rPr>
          <w:rFonts w:ascii="Times New Roman" w:hAnsi="Times New Roman"/>
          <w:snapToGrid/>
          <w:sz w:val="24"/>
          <w:szCs w:val="24"/>
        </w:rPr>
        <w:t xml:space="preserve">.  If the total amount available for </w:t>
      </w:r>
      <w:proofErr w:type="spellStart"/>
      <w:r w:rsidRPr="00A95A6F">
        <w:rPr>
          <w:rFonts w:ascii="Times New Roman" w:hAnsi="Times New Roman"/>
          <w:snapToGrid/>
          <w:sz w:val="24"/>
          <w:szCs w:val="24"/>
        </w:rPr>
        <w:t>reallotment</w:t>
      </w:r>
      <w:proofErr w:type="spellEnd"/>
      <w:r w:rsidRPr="00A95A6F">
        <w:rPr>
          <w:rFonts w:ascii="Times New Roman" w:hAnsi="Times New Roman"/>
          <w:snapToGrid/>
          <w:sz w:val="24"/>
          <w:szCs w:val="24"/>
        </w:rPr>
        <w:t xml:space="preserve"> for a fiscal year is less than $25,000, the Department will not reallot such amount. If the total amount available for </w:t>
      </w:r>
      <w:proofErr w:type="spellStart"/>
      <w:r w:rsidRPr="00A95A6F">
        <w:rPr>
          <w:rFonts w:ascii="Times New Roman" w:hAnsi="Times New Roman"/>
          <w:snapToGrid/>
          <w:sz w:val="24"/>
          <w:szCs w:val="24"/>
        </w:rPr>
        <w:t>reallotment</w:t>
      </w:r>
      <w:proofErr w:type="spellEnd"/>
      <w:r w:rsidRPr="00A95A6F">
        <w:rPr>
          <w:rFonts w:ascii="Times New Roman" w:hAnsi="Times New Roman"/>
          <w:snapToGrid/>
          <w:sz w:val="24"/>
          <w:szCs w:val="24"/>
        </w:rPr>
        <w:t xml:space="preserve"> for a fiscal year is </w:t>
      </w:r>
      <w:r w:rsidRPr="00A95A6F">
        <w:rPr>
          <w:rFonts w:ascii="Times New Roman" w:hAnsi="Times New Roman"/>
          <w:snapToGrid/>
          <w:sz w:val="24"/>
          <w:szCs w:val="24"/>
        </w:rPr>
        <w:lastRenderedPageBreak/>
        <w:t xml:space="preserve">$25,000 or more, the Department will reallot such amount, except that the Department will not award less than $25 in </w:t>
      </w:r>
      <w:proofErr w:type="spellStart"/>
      <w:r w:rsidRPr="00A95A6F">
        <w:rPr>
          <w:rFonts w:ascii="Times New Roman" w:hAnsi="Times New Roman"/>
          <w:snapToGrid/>
          <w:sz w:val="24"/>
          <w:szCs w:val="24"/>
        </w:rPr>
        <w:t>reallotted</w:t>
      </w:r>
      <w:proofErr w:type="spellEnd"/>
      <w:r w:rsidRPr="00A95A6F">
        <w:rPr>
          <w:rFonts w:ascii="Times New Roman" w:hAnsi="Times New Roman"/>
          <w:snapToGrid/>
          <w:sz w:val="24"/>
          <w:szCs w:val="24"/>
        </w:rPr>
        <w:t xml:space="preserve"> funds to any single grantee for any fiscal year and any source of funding that falls under a single Common Accounting Number (CAN).</w:t>
      </w:r>
    </w:p>
    <w:p w:rsidRPr="003710E4" w:rsidR="00A95A6F" w:rsidP="00A95A6F" w:rsidRDefault="00A95A6F" w14:paraId="63770440" w14:textId="77777777">
      <w:pPr>
        <w:widowControl/>
        <w:spacing w:after="120"/>
        <w:ind w:left="360"/>
        <w:rPr>
          <w:rFonts w:ascii="Times New Roman" w:hAnsi="Times New Roman"/>
          <w:b/>
          <w:snapToGrid/>
          <w:sz w:val="24"/>
          <w:szCs w:val="24"/>
        </w:rPr>
      </w:pPr>
    </w:p>
    <w:p w:rsidRPr="00F43FA9" w:rsidR="00FF08A6" w:rsidP="00075889" w:rsidRDefault="002C3C4F" w14:paraId="3DBCA623" w14:textId="77777777">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Use of Improved Information Technology and Burden Reduction </w:t>
      </w:r>
    </w:p>
    <w:p w:rsidRPr="00F43FA9" w:rsidR="00FF08A6" w:rsidP="00FD76F8" w:rsidRDefault="00CF71DA" w14:paraId="3ADFBC86" w14:textId="77777777">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 xml:space="preserve">The Carryover and </w:t>
      </w:r>
      <w:proofErr w:type="spellStart"/>
      <w:r w:rsidRPr="00F43FA9">
        <w:rPr>
          <w:rFonts w:ascii="Times New Roman" w:hAnsi="Times New Roman"/>
          <w:snapToGrid/>
          <w:sz w:val="24"/>
          <w:szCs w:val="24"/>
        </w:rPr>
        <w:t>Reallotment</w:t>
      </w:r>
      <w:proofErr w:type="spellEnd"/>
      <w:r w:rsidRPr="00F43FA9">
        <w:rPr>
          <w:rFonts w:ascii="Times New Roman" w:hAnsi="Times New Roman"/>
          <w:snapToGrid/>
          <w:sz w:val="24"/>
          <w:szCs w:val="24"/>
        </w:rPr>
        <w:t xml:space="preserve"> Report must be submitted to HHS electronically, via the On-Line Data Collection (OLDC) system.  HHS required this method </w:t>
      </w:r>
      <w:r w:rsidRPr="00F43FA9" w:rsidR="00D81E70">
        <w:rPr>
          <w:rFonts w:ascii="Times New Roman" w:hAnsi="Times New Roman"/>
          <w:snapToGrid/>
          <w:sz w:val="24"/>
          <w:szCs w:val="24"/>
        </w:rPr>
        <w:t xml:space="preserve">because it needed (1) </w:t>
      </w:r>
      <w:r w:rsidRPr="00F43FA9">
        <w:rPr>
          <w:rFonts w:ascii="Times New Roman" w:hAnsi="Times New Roman"/>
          <w:snapToGrid/>
          <w:sz w:val="24"/>
          <w:szCs w:val="24"/>
        </w:rPr>
        <w:t xml:space="preserve">to </w:t>
      </w:r>
      <w:r w:rsidRPr="00F43FA9" w:rsidR="00D81E70">
        <w:rPr>
          <w:rFonts w:ascii="Times New Roman" w:hAnsi="Times New Roman"/>
          <w:snapToGrid/>
          <w:sz w:val="24"/>
          <w:szCs w:val="24"/>
        </w:rPr>
        <w:t>track submission; (2) assist grantees with their submissions in real time; (3) systematically validate the form’s entries; and (4) quickly download the data therein.</w:t>
      </w:r>
    </w:p>
    <w:p w:rsidR="00FF08A6" w:rsidP="00075889" w:rsidRDefault="002C3C4F" w14:paraId="054C2D35" w14:textId="01DA416B">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Efforts to Identify Duplication and Use of Similar Information </w:t>
      </w:r>
    </w:p>
    <w:p w:rsidRPr="00A95A6F" w:rsidR="00A95A6F" w:rsidP="00A95A6F" w:rsidRDefault="00A95A6F" w14:paraId="2D0C4F75" w14:textId="7299D3EF">
      <w:pPr>
        <w:widowControl/>
        <w:spacing w:after="120"/>
        <w:ind w:left="360"/>
        <w:rPr>
          <w:rFonts w:ascii="Times New Roman" w:hAnsi="Times New Roman"/>
          <w:sz w:val="24"/>
          <w:szCs w:val="24"/>
        </w:rPr>
      </w:pPr>
      <w:r w:rsidRPr="00A95A6F">
        <w:rPr>
          <w:rFonts w:ascii="Times New Roman" w:hAnsi="Times New Roman"/>
          <w:sz w:val="24"/>
          <w:szCs w:val="24"/>
        </w:rPr>
        <w:t>The form is unique to LIHEAP.  The only other form that requests this data (the LIHEAP Performance Data Form) is due three months later, (1) which is too late for HHS to help grantees obligate their funds during the FY20 fiscal year; and (2) for which the unobligated balance data is subject to change.</w:t>
      </w:r>
    </w:p>
    <w:p w:rsidRPr="00F43FA9" w:rsidR="00A95A6F" w:rsidP="00A95A6F" w:rsidRDefault="00A95A6F" w14:paraId="73B2F190" w14:textId="77777777">
      <w:pPr>
        <w:widowControl/>
        <w:spacing w:after="120"/>
        <w:ind w:left="360"/>
        <w:rPr>
          <w:rFonts w:ascii="Times New Roman" w:hAnsi="Times New Roman"/>
          <w:b/>
          <w:snapToGrid/>
          <w:sz w:val="24"/>
          <w:szCs w:val="24"/>
        </w:rPr>
      </w:pPr>
    </w:p>
    <w:p w:rsidRPr="00F43FA9" w:rsidR="00FF08A6" w:rsidP="00075889" w:rsidRDefault="002C3C4F" w14:paraId="38C979AC" w14:textId="77777777">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Impact on Small Businesses or Other Small Entities </w:t>
      </w:r>
    </w:p>
    <w:p w:rsidR="00D60543" w:rsidP="00FD76F8" w:rsidRDefault="004B64A7" w14:paraId="70D79D82" w14:textId="565BF857">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This data collection effort does not involve small businesses.  Only state, territorial, and tribal program offices are involved.</w:t>
      </w:r>
    </w:p>
    <w:p w:rsidRPr="00F43FA9" w:rsidR="00A95A6F" w:rsidP="00A95A6F" w:rsidRDefault="00A95A6F" w14:paraId="21530689" w14:textId="77777777">
      <w:pPr>
        <w:widowControl/>
        <w:tabs>
          <w:tab w:val="num" w:pos="360"/>
        </w:tabs>
        <w:spacing w:after="120"/>
        <w:rPr>
          <w:rFonts w:ascii="Times New Roman" w:hAnsi="Times New Roman"/>
          <w:snapToGrid/>
          <w:sz w:val="24"/>
          <w:szCs w:val="24"/>
        </w:rPr>
      </w:pPr>
    </w:p>
    <w:p w:rsidRPr="00F43FA9" w:rsidR="00FF08A6" w:rsidP="00F105C9" w:rsidRDefault="002C3C4F" w14:paraId="2AE4E322" w14:textId="187FD171">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Consequences of Collecting the Information Less Frequently </w:t>
      </w:r>
    </w:p>
    <w:p w:rsidR="00FF08A6" w:rsidP="00FD76F8" w:rsidRDefault="002A2052" w14:paraId="12FF653B" w14:textId="42A61A52">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 xml:space="preserve">It is necessary to collect the data annually in order to determine the amount of funds available for </w:t>
      </w:r>
      <w:proofErr w:type="spellStart"/>
      <w:r w:rsidRPr="00F43FA9">
        <w:rPr>
          <w:rFonts w:ascii="Times New Roman" w:hAnsi="Times New Roman"/>
          <w:snapToGrid/>
          <w:sz w:val="24"/>
          <w:szCs w:val="24"/>
        </w:rPr>
        <w:t>reallotment</w:t>
      </w:r>
      <w:proofErr w:type="spellEnd"/>
      <w:r w:rsidRPr="00F43FA9">
        <w:rPr>
          <w:rFonts w:ascii="Times New Roman" w:hAnsi="Times New Roman"/>
          <w:snapToGrid/>
          <w:sz w:val="24"/>
          <w:szCs w:val="24"/>
        </w:rPr>
        <w:t xml:space="preserve">, to perform any </w:t>
      </w:r>
      <w:proofErr w:type="spellStart"/>
      <w:r w:rsidRPr="00F43FA9">
        <w:rPr>
          <w:rFonts w:ascii="Times New Roman" w:hAnsi="Times New Roman"/>
          <w:snapToGrid/>
          <w:sz w:val="24"/>
          <w:szCs w:val="24"/>
        </w:rPr>
        <w:t>reallotment</w:t>
      </w:r>
      <w:proofErr w:type="spellEnd"/>
      <w:r w:rsidRPr="00F43FA9">
        <w:rPr>
          <w:rFonts w:ascii="Times New Roman" w:hAnsi="Times New Roman"/>
          <w:snapToGrid/>
          <w:sz w:val="24"/>
          <w:szCs w:val="24"/>
        </w:rPr>
        <w:t xml:space="preserve"> required, and to monitor grantees' compliance with the statutory requirement not to carry forward greater than 10 percent of the funds payable during a fiscal year.  Without this collection effort, there would not be timely </w:t>
      </w:r>
      <w:proofErr w:type="spellStart"/>
      <w:r w:rsidRPr="00F43FA9">
        <w:rPr>
          <w:rFonts w:ascii="Times New Roman" w:hAnsi="Times New Roman"/>
          <w:snapToGrid/>
          <w:sz w:val="24"/>
          <w:szCs w:val="24"/>
        </w:rPr>
        <w:t>reallotment</w:t>
      </w:r>
      <w:proofErr w:type="spellEnd"/>
      <w:r w:rsidRPr="00F43FA9">
        <w:rPr>
          <w:rFonts w:ascii="Times New Roman" w:hAnsi="Times New Roman"/>
          <w:snapToGrid/>
          <w:sz w:val="24"/>
          <w:szCs w:val="24"/>
        </w:rPr>
        <w:t xml:space="preserve"> of funds.  The report is an effective way to obtain fiscal and performance data while the program is operating.</w:t>
      </w:r>
    </w:p>
    <w:p w:rsidRPr="00F43FA9" w:rsidR="00A95A6F" w:rsidP="00A95A6F" w:rsidRDefault="00A95A6F" w14:paraId="5F22DC8A" w14:textId="77777777">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It is further necessary to collect data on unobligated CARES Act LIHEAP funds</w:t>
      </w:r>
      <w:r>
        <w:rPr>
          <w:rFonts w:ascii="Times New Roman" w:hAnsi="Times New Roman"/>
          <w:snapToGrid/>
          <w:sz w:val="24"/>
          <w:szCs w:val="24"/>
        </w:rPr>
        <w:t>, and any other FY 2020 supplemental funds,</w:t>
      </w:r>
      <w:r w:rsidRPr="00F43FA9">
        <w:rPr>
          <w:rFonts w:ascii="Times New Roman" w:hAnsi="Times New Roman"/>
          <w:snapToGrid/>
          <w:sz w:val="24"/>
          <w:szCs w:val="24"/>
        </w:rPr>
        <w:t xml:space="preserve"> with data on unobligated regular FY 2020 LIHEAP funds separately and simultaneously, to permit the accurate determination of LIHEAP funds subject to </w:t>
      </w:r>
      <w:proofErr w:type="spellStart"/>
      <w:r w:rsidRPr="00F43FA9">
        <w:rPr>
          <w:rFonts w:ascii="Times New Roman" w:hAnsi="Times New Roman"/>
          <w:snapToGrid/>
          <w:sz w:val="24"/>
          <w:szCs w:val="24"/>
        </w:rPr>
        <w:t>reallotment</w:t>
      </w:r>
      <w:proofErr w:type="spellEnd"/>
      <w:r w:rsidRPr="00F43FA9">
        <w:rPr>
          <w:rFonts w:ascii="Times New Roman" w:hAnsi="Times New Roman"/>
          <w:snapToGrid/>
          <w:sz w:val="24"/>
          <w:szCs w:val="24"/>
        </w:rPr>
        <w:t>.</w:t>
      </w:r>
    </w:p>
    <w:p w:rsidRPr="00F43FA9" w:rsidR="00A95A6F" w:rsidP="00A95A6F" w:rsidRDefault="00A95A6F" w14:paraId="796504F3" w14:textId="77777777">
      <w:pPr>
        <w:widowControl/>
        <w:tabs>
          <w:tab w:val="num" w:pos="360"/>
        </w:tabs>
        <w:spacing w:after="120"/>
        <w:rPr>
          <w:rFonts w:ascii="Times New Roman" w:hAnsi="Times New Roman"/>
          <w:snapToGrid/>
          <w:sz w:val="24"/>
          <w:szCs w:val="24"/>
        </w:rPr>
      </w:pPr>
    </w:p>
    <w:p w:rsidRPr="00F43FA9" w:rsidR="00FF08A6" w:rsidP="00075889" w:rsidRDefault="002C3C4F" w14:paraId="190BE3F0" w14:textId="721BA119">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Special Circumstances Relating to the Guidelines of 5 CFR 1320.5 </w:t>
      </w:r>
    </w:p>
    <w:p w:rsidR="00FF08A6" w:rsidP="00FD76F8" w:rsidRDefault="00652742" w14:paraId="080DB2F0" w14:textId="252A3E36">
      <w:pPr>
        <w:widowControl/>
        <w:tabs>
          <w:tab w:val="num" w:pos="360"/>
        </w:tabs>
        <w:spacing w:after="120"/>
        <w:ind w:left="360"/>
        <w:rPr>
          <w:rFonts w:ascii="Times New Roman" w:hAnsi="Times New Roman"/>
          <w:snapToGrid/>
          <w:sz w:val="24"/>
          <w:szCs w:val="24"/>
        </w:rPr>
      </w:pPr>
      <w:r w:rsidRPr="00F43FA9">
        <w:rPr>
          <w:rFonts w:ascii="Times New Roman" w:hAnsi="Times New Roman"/>
          <w:snapToGrid/>
          <w:sz w:val="24"/>
          <w:szCs w:val="24"/>
        </w:rPr>
        <w:t>No special circumstances require the form to be collected in a manner inconsistent with the guidelines in 5 CFR 1320.6.</w:t>
      </w:r>
    </w:p>
    <w:p w:rsidRPr="00F43FA9" w:rsidR="00A95A6F" w:rsidP="00FD76F8" w:rsidRDefault="00A95A6F" w14:paraId="60A1726F" w14:textId="77777777">
      <w:pPr>
        <w:widowControl/>
        <w:tabs>
          <w:tab w:val="num" w:pos="360"/>
        </w:tabs>
        <w:spacing w:after="120"/>
        <w:ind w:left="360"/>
        <w:rPr>
          <w:rFonts w:ascii="Times New Roman" w:hAnsi="Times New Roman"/>
          <w:snapToGrid/>
          <w:sz w:val="24"/>
          <w:szCs w:val="24"/>
        </w:rPr>
      </w:pPr>
    </w:p>
    <w:p w:rsidRPr="00F43FA9" w:rsidR="0051278C" w:rsidP="00075889" w:rsidRDefault="002C3C4F" w14:paraId="435DD2BB" w14:textId="05585969">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Comments in Response to the Federal Register Notice and Efforts to Consult Outside the Agency </w:t>
      </w:r>
    </w:p>
    <w:p w:rsidRPr="00F43FA9" w:rsidR="00FF08A6" w:rsidP="00FD76F8" w:rsidRDefault="0084609A" w14:paraId="598D6E70" w14:textId="507472DB">
      <w:pPr>
        <w:widowControl/>
        <w:tabs>
          <w:tab w:val="num" w:pos="360"/>
        </w:tabs>
        <w:spacing w:after="120"/>
        <w:ind w:left="360"/>
        <w:rPr>
          <w:rFonts w:ascii="Times New Roman" w:hAnsi="Times New Roman"/>
          <w:sz w:val="24"/>
          <w:szCs w:val="24"/>
        </w:rPr>
      </w:pPr>
      <w:r w:rsidRPr="00F43FA9">
        <w:rPr>
          <w:rFonts w:ascii="Times New Roman" w:hAnsi="Times New Roman"/>
          <w:sz w:val="24"/>
          <w:szCs w:val="24"/>
        </w:rPr>
        <w:t xml:space="preserve">In accordance with the Paperwork Reduction Act of 1995 (Pub. L. 104-13) and Office of Management and </w:t>
      </w:r>
      <w:r w:rsidRPr="00F43FA9">
        <w:rPr>
          <w:rFonts w:ascii="Times New Roman" w:hAnsi="Times New Roman"/>
          <w:snapToGrid/>
          <w:sz w:val="24"/>
          <w:szCs w:val="24"/>
        </w:rPr>
        <w:t>Budget</w:t>
      </w:r>
      <w:r w:rsidRPr="00F43FA9">
        <w:rPr>
          <w:rFonts w:ascii="Times New Roman" w:hAnsi="Times New Roman"/>
          <w:sz w:val="24"/>
          <w:szCs w:val="24"/>
        </w:rPr>
        <w:t xml:space="preserve"> (OMB) regulations at 5 CFR Part 1320 (60 FR 44978, August 29, </w:t>
      </w:r>
      <w:r w:rsidRPr="00F43FA9">
        <w:rPr>
          <w:rFonts w:ascii="Times New Roman" w:hAnsi="Times New Roman"/>
          <w:sz w:val="24"/>
          <w:szCs w:val="24"/>
        </w:rPr>
        <w:lastRenderedPageBreak/>
        <w:t xml:space="preserve">1995), ACF published a notice in the Federal Register announcing the agency’s intention to request an OMB review of </w:t>
      </w:r>
      <w:r w:rsidRPr="00F43FA9" w:rsidR="007B7DAF">
        <w:rPr>
          <w:rFonts w:ascii="Times New Roman" w:hAnsi="Times New Roman"/>
          <w:sz w:val="24"/>
          <w:szCs w:val="24"/>
        </w:rPr>
        <w:t>the original</w:t>
      </w:r>
      <w:r w:rsidRPr="00F43FA9">
        <w:rPr>
          <w:rFonts w:ascii="Times New Roman" w:hAnsi="Times New Roman"/>
          <w:sz w:val="24"/>
          <w:szCs w:val="24"/>
        </w:rPr>
        <w:t xml:space="preserve"> information collection activity</w:t>
      </w:r>
      <w:r w:rsidRPr="00F43FA9" w:rsidR="00FF5708">
        <w:rPr>
          <w:rFonts w:ascii="Times New Roman" w:hAnsi="Times New Roman"/>
          <w:sz w:val="24"/>
          <w:szCs w:val="24"/>
        </w:rPr>
        <w:t>, as renewed on April 23, 2019 (effective May 1, 2019) under Clearance No. 0970 – 0106</w:t>
      </w:r>
      <w:r w:rsidRPr="00F43FA9">
        <w:rPr>
          <w:rFonts w:ascii="Times New Roman" w:hAnsi="Times New Roman"/>
          <w:sz w:val="24"/>
          <w:szCs w:val="24"/>
        </w:rPr>
        <w:t xml:space="preserve">.  This notice was published on </w:t>
      </w:r>
      <w:hyperlink w:history="1" r:id="rId11">
        <w:r w:rsidRPr="00F43FA9" w:rsidR="00FF5708">
          <w:rPr>
            <w:rStyle w:val="Hyperlink"/>
            <w:rFonts w:ascii="Times New Roman" w:hAnsi="Times New Roman"/>
            <w:sz w:val="24"/>
            <w:szCs w:val="24"/>
          </w:rPr>
          <w:t>August 17, 2018</w:t>
        </w:r>
        <w:r w:rsidRPr="00F43FA9" w:rsidR="001969E2">
          <w:rPr>
            <w:rStyle w:val="Hyperlink"/>
            <w:rFonts w:ascii="Times New Roman" w:hAnsi="Times New Roman"/>
            <w:sz w:val="24"/>
            <w:szCs w:val="24"/>
          </w:rPr>
          <w:t>;</w:t>
        </w:r>
        <w:r w:rsidRPr="00F43FA9">
          <w:rPr>
            <w:rStyle w:val="Hyperlink"/>
            <w:rFonts w:ascii="Times New Roman" w:hAnsi="Times New Roman"/>
            <w:sz w:val="24"/>
            <w:szCs w:val="24"/>
          </w:rPr>
          <w:t xml:space="preserve"> </w:t>
        </w:r>
        <w:r w:rsidRPr="00F43FA9" w:rsidR="001969E2">
          <w:rPr>
            <w:rStyle w:val="Hyperlink"/>
            <w:rFonts w:ascii="Times New Roman" w:hAnsi="Times New Roman"/>
            <w:sz w:val="24"/>
            <w:szCs w:val="24"/>
          </w:rPr>
          <w:t xml:space="preserve">in </w:t>
        </w:r>
        <w:r w:rsidRPr="00F43FA9">
          <w:rPr>
            <w:rStyle w:val="Hyperlink"/>
            <w:rFonts w:ascii="Times New Roman" w:hAnsi="Times New Roman"/>
            <w:sz w:val="24"/>
            <w:szCs w:val="24"/>
          </w:rPr>
          <w:t xml:space="preserve">Volume </w:t>
        </w:r>
        <w:r w:rsidRPr="00F43FA9" w:rsidR="00FF5708">
          <w:rPr>
            <w:rStyle w:val="Hyperlink"/>
            <w:rFonts w:ascii="Times New Roman" w:hAnsi="Times New Roman"/>
            <w:sz w:val="24"/>
            <w:szCs w:val="24"/>
          </w:rPr>
          <w:t>83</w:t>
        </w:r>
        <w:r w:rsidRPr="00F43FA9">
          <w:rPr>
            <w:rStyle w:val="Hyperlink"/>
            <w:rFonts w:ascii="Times New Roman" w:hAnsi="Times New Roman"/>
            <w:sz w:val="24"/>
            <w:szCs w:val="24"/>
          </w:rPr>
          <w:t xml:space="preserve">, Number </w:t>
        </w:r>
        <w:r w:rsidRPr="00F43FA9" w:rsidR="00FF5708">
          <w:rPr>
            <w:rStyle w:val="Hyperlink"/>
            <w:rFonts w:ascii="Times New Roman" w:hAnsi="Times New Roman"/>
            <w:sz w:val="24"/>
            <w:szCs w:val="24"/>
          </w:rPr>
          <w:t>160</w:t>
        </w:r>
        <w:r w:rsidRPr="00F43FA9">
          <w:rPr>
            <w:rStyle w:val="Hyperlink"/>
            <w:rFonts w:ascii="Times New Roman" w:hAnsi="Times New Roman"/>
            <w:sz w:val="24"/>
            <w:szCs w:val="24"/>
          </w:rPr>
          <w:t xml:space="preserve">, </w:t>
        </w:r>
        <w:proofErr w:type="gramStart"/>
        <w:r w:rsidRPr="00F43FA9" w:rsidR="001969E2">
          <w:rPr>
            <w:rStyle w:val="Hyperlink"/>
            <w:rFonts w:ascii="Times New Roman" w:hAnsi="Times New Roman"/>
            <w:sz w:val="24"/>
            <w:szCs w:val="24"/>
          </w:rPr>
          <w:t>P</w:t>
        </w:r>
        <w:r w:rsidRPr="00F43FA9">
          <w:rPr>
            <w:rStyle w:val="Hyperlink"/>
            <w:rFonts w:ascii="Times New Roman" w:hAnsi="Times New Roman"/>
            <w:sz w:val="24"/>
            <w:szCs w:val="24"/>
          </w:rPr>
          <w:t>age</w:t>
        </w:r>
        <w:r w:rsidRPr="00F43FA9" w:rsidR="001969E2">
          <w:rPr>
            <w:rStyle w:val="Hyperlink"/>
            <w:rFonts w:ascii="Times New Roman" w:hAnsi="Times New Roman"/>
            <w:sz w:val="24"/>
            <w:szCs w:val="24"/>
          </w:rPr>
          <w:t>s</w:t>
        </w:r>
        <w:r w:rsidRPr="00F43FA9">
          <w:rPr>
            <w:rStyle w:val="Hyperlink"/>
            <w:rFonts w:ascii="Times New Roman" w:hAnsi="Times New Roman"/>
            <w:sz w:val="24"/>
            <w:szCs w:val="24"/>
          </w:rPr>
          <w:t xml:space="preserve"> </w:t>
        </w:r>
        <w:r w:rsidRPr="00F43FA9" w:rsidR="001969E2">
          <w:rPr>
            <w:rStyle w:val="Hyperlink"/>
            <w:rFonts w:ascii="Times New Roman" w:hAnsi="Times New Roman"/>
            <w:sz w:val="24"/>
            <w:szCs w:val="24"/>
          </w:rPr>
          <w:t xml:space="preserve">41075 - </w:t>
        </w:r>
        <w:r w:rsidRPr="00F43FA9" w:rsidR="00FF5708">
          <w:rPr>
            <w:rStyle w:val="Hyperlink"/>
            <w:rFonts w:ascii="Times New Roman" w:hAnsi="Times New Roman"/>
            <w:sz w:val="24"/>
            <w:szCs w:val="24"/>
          </w:rPr>
          <w:t>41076</w:t>
        </w:r>
      </w:hyperlink>
      <w:proofErr w:type="gramEnd"/>
      <w:r w:rsidRPr="00F43FA9" w:rsidR="001969E2">
        <w:rPr>
          <w:rFonts w:ascii="Times New Roman" w:hAnsi="Times New Roman"/>
          <w:sz w:val="24"/>
          <w:szCs w:val="24"/>
        </w:rPr>
        <w:t>;</w:t>
      </w:r>
      <w:r w:rsidRPr="00F43FA9">
        <w:rPr>
          <w:rFonts w:ascii="Times New Roman" w:hAnsi="Times New Roman"/>
          <w:sz w:val="24"/>
          <w:szCs w:val="24"/>
        </w:rPr>
        <w:t xml:space="preserve"> and provided a sixty-day period for public comment.  During the notice and comment period, </w:t>
      </w:r>
      <w:r w:rsidRPr="00F43FA9" w:rsidR="00735C26">
        <w:rPr>
          <w:rFonts w:ascii="Times New Roman" w:hAnsi="Times New Roman"/>
          <w:sz w:val="24"/>
          <w:szCs w:val="24"/>
        </w:rPr>
        <w:t xml:space="preserve">HHS received </w:t>
      </w:r>
      <w:r w:rsidRPr="00F43FA9" w:rsidR="00CA2C57">
        <w:rPr>
          <w:rFonts w:ascii="Times New Roman" w:hAnsi="Times New Roman"/>
          <w:sz w:val="24"/>
          <w:szCs w:val="24"/>
        </w:rPr>
        <w:t>one</w:t>
      </w:r>
      <w:r w:rsidRPr="00F43FA9">
        <w:rPr>
          <w:rFonts w:ascii="Times New Roman" w:hAnsi="Times New Roman"/>
          <w:sz w:val="24"/>
          <w:szCs w:val="24"/>
        </w:rPr>
        <w:t xml:space="preserve"> comment</w:t>
      </w:r>
      <w:r w:rsidRPr="00F43FA9" w:rsidR="00735C26">
        <w:rPr>
          <w:rFonts w:ascii="Times New Roman" w:hAnsi="Times New Roman"/>
          <w:sz w:val="24"/>
          <w:szCs w:val="24"/>
        </w:rPr>
        <w:t>, on October 18, 2018</w:t>
      </w:r>
      <w:r w:rsidRPr="00F43FA9" w:rsidR="001969E2">
        <w:rPr>
          <w:rFonts w:ascii="Times New Roman" w:hAnsi="Times New Roman"/>
          <w:sz w:val="24"/>
          <w:szCs w:val="24"/>
        </w:rPr>
        <w:t>.  T</w:t>
      </w:r>
      <w:r w:rsidRPr="00F43FA9" w:rsidR="00CA2C57">
        <w:rPr>
          <w:rFonts w:ascii="Times New Roman" w:hAnsi="Times New Roman"/>
          <w:sz w:val="24"/>
          <w:szCs w:val="24"/>
        </w:rPr>
        <w:t>hat comment</w:t>
      </w:r>
      <w:r w:rsidRPr="00F43FA9" w:rsidR="001969E2">
        <w:rPr>
          <w:rFonts w:ascii="Times New Roman" w:hAnsi="Times New Roman"/>
          <w:sz w:val="24"/>
          <w:szCs w:val="24"/>
        </w:rPr>
        <w:t xml:space="preserve"> raised the following:</w:t>
      </w:r>
    </w:p>
    <w:p w:rsidRPr="00F43FA9" w:rsidR="001969E2" w:rsidP="001969E2" w:rsidRDefault="001969E2" w14:paraId="65352493" w14:textId="1F332957">
      <w:pPr>
        <w:widowControl/>
        <w:tabs>
          <w:tab w:val="num" w:pos="360"/>
        </w:tabs>
        <w:spacing w:after="120"/>
        <w:ind w:left="720" w:right="360"/>
        <w:rPr>
          <w:rFonts w:ascii="Times New Roman" w:hAnsi="Times New Roman"/>
          <w:i/>
          <w:sz w:val="24"/>
          <w:szCs w:val="24"/>
        </w:rPr>
      </w:pPr>
      <w:r w:rsidRPr="00F43FA9">
        <w:rPr>
          <w:rFonts w:ascii="Times New Roman" w:hAnsi="Times New Roman"/>
          <w:i/>
          <w:sz w:val="24"/>
          <w:szCs w:val="24"/>
        </w:rPr>
        <w:t xml:space="preserve">To clarify expectations and reduce the burden of multiple REPORT revisions, Minnesota believes that a final REPORT should be required of all grantees on a specified date, no sooner than December 15th of each year.  This requirement would allow time for final obligations to be adjusted (either upward or downward) as actual expenditures are finalized without the burden of requiring potentially multiple revisions to the REPORT.  It would also ensure that HHS staff have reliable, timely, and accurate information on which to base </w:t>
      </w:r>
      <w:proofErr w:type="spellStart"/>
      <w:r w:rsidRPr="00F43FA9">
        <w:rPr>
          <w:rFonts w:ascii="Times New Roman" w:hAnsi="Times New Roman"/>
          <w:i/>
          <w:sz w:val="24"/>
          <w:szCs w:val="24"/>
        </w:rPr>
        <w:t>reallotment</w:t>
      </w:r>
      <w:proofErr w:type="spellEnd"/>
      <w:r w:rsidRPr="00F43FA9">
        <w:rPr>
          <w:rFonts w:ascii="Times New Roman" w:hAnsi="Times New Roman"/>
          <w:i/>
          <w:sz w:val="24"/>
          <w:szCs w:val="24"/>
        </w:rPr>
        <w:t xml:space="preserve"> amounts.</w:t>
      </w:r>
    </w:p>
    <w:p w:rsidRPr="00F43FA9" w:rsidR="00D51E85" w:rsidP="0025157F" w:rsidRDefault="0025157F" w14:paraId="5B87FF9E" w14:textId="3AB41A11">
      <w:pPr>
        <w:widowControl/>
        <w:tabs>
          <w:tab w:val="num" w:pos="360"/>
        </w:tabs>
        <w:spacing w:after="120"/>
        <w:ind w:left="360"/>
        <w:rPr>
          <w:rFonts w:ascii="Times New Roman" w:hAnsi="Times New Roman"/>
          <w:sz w:val="24"/>
          <w:szCs w:val="24"/>
        </w:rPr>
      </w:pPr>
      <w:r w:rsidRPr="00F43FA9">
        <w:rPr>
          <w:rFonts w:ascii="Times New Roman" w:hAnsi="Times New Roman"/>
          <w:sz w:val="24"/>
          <w:szCs w:val="24"/>
        </w:rPr>
        <w:t xml:space="preserve">In response to this comment, HHS </w:t>
      </w:r>
      <w:r w:rsidRPr="00F43FA9" w:rsidR="00D51E85">
        <w:rPr>
          <w:rFonts w:ascii="Times New Roman" w:hAnsi="Times New Roman"/>
          <w:sz w:val="24"/>
          <w:szCs w:val="24"/>
        </w:rPr>
        <w:t>did the following:</w:t>
      </w:r>
    </w:p>
    <w:p w:rsidRPr="00F43FA9" w:rsidR="0025157F" w:rsidP="00D51E85" w:rsidRDefault="00D51E85" w14:paraId="1AA53A2E" w14:textId="016FC60E">
      <w:pPr>
        <w:pStyle w:val="ListParagraph"/>
        <w:widowControl/>
        <w:numPr>
          <w:ilvl w:val="0"/>
          <w:numId w:val="22"/>
        </w:numPr>
        <w:tabs>
          <w:tab w:val="num" w:pos="360"/>
        </w:tabs>
        <w:spacing w:after="120"/>
        <w:rPr>
          <w:rFonts w:ascii="Times New Roman" w:hAnsi="Times New Roman"/>
          <w:sz w:val="24"/>
          <w:szCs w:val="24"/>
        </w:rPr>
      </w:pPr>
      <w:r w:rsidRPr="00F43FA9">
        <w:rPr>
          <w:rFonts w:ascii="Times New Roman" w:hAnsi="Times New Roman"/>
          <w:sz w:val="24"/>
          <w:szCs w:val="24"/>
        </w:rPr>
        <w:t>It pointed out t</w:t>
      </w:r>
      <w:r w:rsidRPr="00F43FA9" w:rsidR="0025157F">
        <w:rPr>
          <w:rFonts w:ascii="Times New Roman" w:hAnsi="Times New Roman"/>
          <w:sz w:val="24"/>
          <w:szCs w:val="24"/>
        </w:rPr>
        <w:t xml:space="preserve">he </w:t>
      </w:r>
      <w:r w:rsidRPr="00F43FA9">
        <w:rPr>
          <w:rFonts w:ascii="Times New Roman" w:hAnsi="Times New Roman"/>
          <w:sz w:val="24"/>
          <w:szCs w:val="24"/>
        </w:rPr>
        <w:t xml:space="preserve">Carryover </w:t>
      </w:r>
      <w:r w:rsidRPr="00F43FA9" w:rsidR="0025157F">
        <w:rPr>
          <w:rFonts w:ascii="Times New Roman" w:hAnsi="Times New Roman"/>
          <w:sz w:val="24"/>
          <w:szCs w:val="24"/>
        </w:rPr>
        <w:t xml:space="preserve">Report’s multifold purpose (i.e., </w:t>
      </w:r>
      <w:r w:rsidRPr="00F43FA9">
        <w:rPr>
          <w:rFonts w:ascii="Times New Roman" w:hAnsi="Times New Roman"/>
          <w:sz w:val="24"/>
          <w:szCs w:val="24"/>
        </w:rPr>
        <w:t xml:space="preserve">(1) </w:t>
      </w:r>
      <w:r w:rsidRPr="00F43FA9" w:rsidR="0025157F">
        <w:rPr>
          <w:rFonts w:ascii="Times New Roman" w:hAnsi="Times New Roman"/>
          <w:sz w:val="24"/>
          <w:szCs w:val="24"/>
        </w:rPr>
        <w:t>to help grantees maximize their use of unobligated funding</w:t>
      </w:r>
      <w:r w:rsidRPr="00F43FA9">
        <w:rPr>
          <w:rFonts w:ascii="Times New Roman" w:hAnsi="Times New Roman"/>
          <w:sz w:val="24"/>
          <w:szCs w:val="24"/>
        </w:rPr>
        <w:t>; (2) to identify grantees for monitoring or additional technical assistance; (3) to corroborate the amount of each grantee’s unobligated funds; and (4)</w:t>
      </w:r>
      <w:r w:rsidRPr="00F43FA9" w:rsidR="0025157F">
        <w:rPr>
          <w:rFonts w:ascii="Times New Roman" w:hAnsi="Times New Roman"/>
          <w:sz w:val="24"/>
          <w:szCs w:val="24"/>
        </w:rPr>
        <w:t xml:space="preserve"> </w:t>
      </w:r>
      <w:r w:rsidRPr="00F43FA9">
        <w:rPr>
          <w:rFonts w:ascii="Times New Roman" w:hAnsi="Times New Roman"/>
          <w:sz w:val="24"/>
          <w:szCs w:val="24"/>
        </w:rPr>
        <w:t>to advice HHS on how much funding it will need to redistribute);</w:t>
      </w:r>
    </w:p>
    <w:p w:rsidRPr="00F43FA9" w:rsidR="00D51E85" w:rsidP="00D51E85" w:rsidRDefault="00712334" w14:paraId="380DABE0" w14:textId="6E1CA119">
      <w:pPr>
        <w:pStyle w:val="ListParagraph"/>
        <w:widowControl/>
        <w:numPr>
          <w:ilvl w:val="0"/>
          <w:numId w:val="22"/>
        </w:numPr>
        <w:tabs>
          <w:tab w:val="num" w:pos="360"/>
        </w:tabs>
        <w:spacing w:after="120"/>
        <w:rPr>
          <w:rFonts w:ascii="Times New Roman" w:hAnsi="Times New Roman"/>
          <w:sz w:val="24"/>
          <w:szCs w:val="24"/>
        </w:rPr>
      </w:pPr>
      <w:r w:rsidRPr="00F43FA9">
        <w:rPr>
          <w:rFonts w:ascii="Times New Roman" w:hAnsi="Times New Roman"/>
          <w:sz w:val="24"/>
          <w:szCs w:val="24"/>
        </w:rPr>
        <w:t>It changed the report’s instructions as follows:</w:t>
      </w:r>
    </w:p>
    <w:p w:rsidRPr="00F43FA9" w:rsidR="00712334" w:rsidP="00712334" w:rsidRDefault="00712334" w14:paraId="5B5D25CE" w14:textId="65A283A3">
      <w:pPr>
        <w:pStyle w:val="ListParagraph"/>
        <w:widowControl/>
        <w:numPr>
          <w:ilvl w:val="1"/>
          <w:numId w:val="22"/>
        </w:numPr>
        <w:tabs>
          <w:tab w:val="num" w:pos="360"/>
        </w:tabs>
        <w:spacing w:after="120"/>
        <w:rPr>
          <w:rFonts w:ascii="Times New Roman" w:hAnsi="Times New Roman"/>
          <w:sz w:val="24"/>
          <w:szCs w:val="24"/>
        </w:rPr>
      </w:pPr>
      <w:r w:rsidRPr="00F43FA9">
        <w:rPr>
          <w:rFonts w:ascii="Times New Roman" w:hAnsi="Times New Roman"/>
          <w:sz w:val="24"/>
          <w:szCs w:val="24"/>
        </w:rPr>
        <w:t>To explicitly allow grantee</w:t>
      </w:r>
      <w:r w:rsidR="00E168B6">
        <w:rPr>
          <w:rFonts w:ascii="Times New Roman" w:hAnsi="Times New Roman"/>
          <w:sz w:val="24"/>
          <w:szCs w:val="24"/>
        </w:rPr>
        <w:t>s</w:t>
      </w:r>
      <w:r w:rsidRPr="00F43FA9">
        <w:rPr>
          <w:rFonts w:ascii="Times New Roman" w:hAnsi="Times New Roman"/>
          <w:sz w:val="24"/>
          <w:szCs w:val="24"/>
        </w:rPr>
        <w:t xml:space="preserve"> to submit estimated data rather than final data by</w:t>
      </w:r>
      <w:r w:rsidRPr="00E168B6" w:rsidR="00E168B6">
        <w:rPr>
          <w:rFonts w:ascii="Times New Roman" w:hAnsi="Times New Roman"/>
          <w:sz w:val="24"/>
          <w:szCs w:val="24"/>
        </w:rPr>
        <w:t xml:space="preserve"> </w:t>
      </w:r>
      <w:r w:rsidR="00E168B6">
        <w:rPr>
          <w:rFonts w:ascii="Times New Roman" w:hAnsi="Times New Roman"/>
          <w:sz w:val="24"/>
          <w:szCs w:val="24"/>
        </w:rPr>
        <w:t xml:space="preserve">October </w:t>
      </w:r>
      <w:r w:rsidRPr="00F43FA9" w:rsidR="00E168B6">
        <w:rPr>
          <w:rFonts w:ascii="Times New Roman" w:hAnsi="Times New Roman"/>
          <w:sz w:val="24"/>
          <w:szCs w:val="24"/>
        </w:rPr>
        <w:t>1</w:t>
      </w:r>
      <w:r w:rsidR="00E168B6">
        <w:rPr>
          <w:rFonts w:ascii="Times New Roman" w:hAnsi="Times New Roman"/>
          <w:sz w:val="24"/>
          <w:szCs w:val="24"/>
        </w:rPr>
        <w:t>, 2020</w:t>
      </w:r>
      <w:r w:rsidRPr="00F43FA9">
        <w:rPr>
          <w:rFonts w:ascii="Times New Roman" w:hAnsi="Times New Roman"/>
          <w:sz w:val="24"/>
          <w:szCs w:val="24"/>
        </w:rPr>
        <w:t>;</w:t>
      </w:r>
    </w:p>
    <w:p w:rsidRPr="00F43FA9" w:rsidR="00712334" w:rsidP="00712334" w:rsidRDefault="00712334" w14:paraId="41299C1E" w14:textId="738A9B7F">
      <w:pPr>
        <w:pStyle w:val="ListParagraph"/>
        <w:widowControl/>
        <w:numPr>
          <w:ilvl w:val="1"/>
          <w:numId w:val="22"/>
        </w:numPr>
        <w:tabs>
          <w:tab w:val="num" w:pos="360"/>
        </w:tabs>
        <w:spacing w:after="120"/>
        <w:rPr>
          <w:rFonts w:ascii="Times New Roman" w:hAnsi="Times New Roman"/>
          <w:sz w:val="24"/>
          <w:szCs w:val="24"/>
        </w:rPr>
      </w:pPr>
      <w:r w:rsidRPr="00F43FA9">
        <w:rPr>
          <w:rFonts w:ascii="Times New Roman" w:hAnsi="Times New Roman"/>
          <w:sz w:val="24"/>
          <w:szCs w:val="24"/>
        </w:rPr>
        <w:t>To extend the deadline for reporting final data to</w:t>
      </w:r>
      <w:r w:rsidRPr="00E168B6" w:rsidR="00E168B6">
        <w:rPr>
          <w:rFonts w:ascii="Times New Roman" w:hAnsi="Times New Roman"/>
          <w:sz w:val="24"/>
          <w:szCs w:val="24"/>
        </w:rPr>
        <w:t xml:space="preserve"> </w:t>
      </w:r>
      <w:r w:rsidR="00E168B6">
        <w:rPr>
          <w:rFonts w:ascii="Times New Roman" w:hAnsi="Times New Roman"/>
          <w:sz w:val="24"/>
          <w:szCs w:val="24"/>
        </w:rPr>
        <w:t>December 3</w:t>
      </w:r>
      <w:r w:rsidRPr="00F43FA9" w:rsidR="00E168B6">
        <w:rPr>
          <w:rFonts w:ascii="Times New Roman" w:hAnsi="Times New Roman"/>
          <w:sz w:val="24"/>
          <w:szCs w:val="24"/>
        </w:rPr>
        <w:t>1, 2020</w:t>
      </w:r>
      <w:r w:rsidRPr="00F43FA9">
        <w:rPr>
          <w:rFonts w:ascii="Times New Roman" w:hAnsi="Times New Roman"/>
          <w:sz w:val="24"/>
          <w:szCs w:val="24"/>
        </w:rPr>
        <w:t>; and</w:t>
      </w:r>
    </w:p>
    <w:p w:rsidR="00712334" w:rsidP="00712334" w:rsidRDefault="00712334" w14:paraId="280494FD" w14:textId="544CF987">
      <w:pPr>
        <w:pStyle w:val="ListParagraph"/>
        <w:widowControl/>
        <w:numPr>
          <w:ilvl w:val="1"/>
          <w:numId w:val="22"/>
        </w:numPr>
        <w:spacing w:after="120"/>
        <w:rPr>
          <w:rFonts w:ascii="Times New Roman" w:hAnsi="Times New Roman"/>
          <w:sz w:val="24"/>
          <w:szCs w:val="24"/>
        </w:rPr>
      </w:pPr>
      <w:r w:rsidRPr="00F43FA9">
        <w:rPr>
          <w:rFonts w:ascii="Times New Roman" w:hAnsi="Times New Roman"/>
          <w:sz w:val="24"/>
          <w:szCs w:val="24"/>
        </w:rPr>
        <w:t>To instruct grantees to “take reasonable steps to mitigate the risk of returned federal LIHEAP funding” but to allow them to adjust their submissions after</w:t>
      </w:r>
      <w:r w:rsidR="00E168B6">
        <w:rPr>
          <w:rFonts w:ascii="Times New Roman" w:hAnsi="Times New Roman"/>
          <w:sz w:val="24"/>
          <w:szCs w:val="24"/>
        </w:rPr>
        <w:t xml:space="preserve"> December 3</w:t>
      </w:r>
      <w:r w:rsidRPr="00F43FA9" w:rsidR="00E168B6">
        <w:rPr>
          <w:rFonts w:ascii="Times New Roman" w:hAnsi="Times New Roman"/>
          <w:sz w:val="24"/>
          <w:szCs w:val="24"/>
        </w:rPr>
        <w:t>1, 2020</w:t>
      </w:r>
      <w:r w:rsidRPr="00F43FA9">
        <w:rPr>
          <w:rFonts w:ascii="Times New Roman" w:hAnsi="Times New Roman"/>
          <w:sz w:val="24"/>
          <w:szCs w:val="24"/>
        </w:rPr>
        <w:t>.</w:t>
      </w:r>
    </w:p>
    <w:p w:rsidRPr="00F43FA9" w:rsidR="00A95A6F" w:rsidP="00A95A6F" w:rsidRDefault="00A95A6F" w14:paraId="63B2A9FE" w14:textId="77777777">
      <w:pPr>
        <w:pStyle w:val="ListParagraph"/>
        <w:widowControl/>
        <w:spacing w:after="120"/>
        <w:ind w:left="1800"/>
        <w:rPr>
          <w:rFonts w:ascii="Times New Roman" w:hAnsi="Times New Roman"/>
          <w:sz w:val="24"/>
          <w:szCs w:val="24"/>
        </w:rPr>
      </w:pPr>
    </w:p>
    <w:p w:rsidRPr="00F43FA9" w:rsidR="00FF08A6" w:rsidP="00075889" w:rsidRDefault="002C3C4F" w14:paraId="6768555B" w14:textId="00BAF14A">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Explanation of Any Payment or Gift to Respondents </w:t>
      </w:r>
    </w:p>
    <w:p w:rsidR="00491D10" w:rsidP="00D23978" w:rsidRDefault="00D23978" w14:paraId="2950DAF3" w14:textId="5214A532">
      <w:pPr>
        <w:widowControl/>
        <w:tabs>
          <w:tab w:val="num" w:pos="360"/>
        </w:tabs>
        <w:spacing w:after="120"/>
        <w:ind w:left="360"/>
        <w:rPr>
          <w:rFonts w:ascii="Times New Roman" w:hAnsi="Times New Roman"/>
          <w:sz w:val="24"/>
          <w:szCs w:val="24"/>
        </w:rPr>
      </w:pPr>
      <w:r w:rsidRPr="00F43FA9">
        <w:rPr>
          <w:rFonts w:ascii="Times New Roman" w:hAnsi="Times New Roman"/>
          <w:sz w:val="24"/>
          <w:szCs w:val="24"/>
        </w:rPr>
        <w:t>There are no payments or gifts associated with this data collection effort.</w:t>
      </w:r>
    </w:p>
    <w:p w:rsidRPr="00F43FA9" w:rsidR="00A95A6F" w:rsidP="00D23978" w:rsidRDefault="00A95A6F" w14:paraId="7D12530B" w14:textId="77777777">
      <w:pPr>
        <w:widowControl/>
        <w:tabs>
          <w:tab w:val="num" w:pos="360"/>
        </w:tabs>
        <w:spacing w:after="120"/>
        <w:ind w:left="360"/>
        <w:rPr>
          <w:rFonts w:ascii="Times New Roman" w:hAnsi="Times New Roman"/>
          <w:sz w:val="24"/>
          <w:szCs w:val="24"/>
        </w:rPr>
      </w:pPr>
    </w:p>
    <w:p w:rsidRPr="00F43FA9" w:rsidR="00FF08A6" w:rsidP="002A2052" w:rsidRDefault="002C3C4F" w14:paraId="40C5BB1E" w14:textId="61B4077B">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Assurance of Confidentiality Provided to Respondents </w:t>
      </w:r>
    </w:p>
    <w:p w:rsidR="00102A83" w:rsidP="00102A83" w:rsidRDefault="00102A83" w14:paraId="1D135E9E" w14:textId="2B06EFEB">
      <w:pPr>
        <w:widowControl/>
        <w:tabs>
          <w:tab w:val="num" w:pos="360"/>
        </w:tabs>
        <w:spacing w:after="120"/>
        <w:ind w:left="360"/>
        <w:rPr>
          <w:rFonts w:ascii="Times New Roman" w:hAnsi="Times New Roman"/>
          <w:sz w:val="24"/>
          <w:szCs w:val="24"/>
        </w:rPr>
      </w:pPr>
      <w:r w:rsidRPr="00F43FA9">
        <w:rPr>
          <w:rFonts w:ascii="Times New Roman" w:hAnsi="Times New Roman"/>
          <w:sz w:val="24"/>
          <w:szCs w:val="24"/>
        </w:rPr>
        <w:t>There is no assurance of confidentiality that is applicable to this collection.</w:t>
      </w:r>
    </w:p>
    <w:p w:rsidRPr="00F43FA9" w:rsidR="00A95A6F" w:rsidP="00102A83" w:rsidRDefault="00A95A6F" w14:paraId="442EE4BD" w14:textId="77777777">
      <w:pPr>
        <w:widowControl/>
        <w:tabs>
          <w:tab w:val="num" w:pos="360"/>
        </w:tabs>
        <w:spacing w:after="120"/>
        <w:ind w:left="360"/>
        <w:rPr>
          <w:rFonts w:ascii="Times New Roman" w:hAnsi="Times New Roman"/>
          <w:sz w:val="24"/>
          <w:szCs w:val="24"/>
        </w:rPr>
      </w:pPr>
    </w:p>
    <w:p w:rsidRPr="00F43FA9" w:rsidR="00FF08A6" w:rsidP="002A2052" w:rsidRDefault="002C3C4F" w14:paraId="099C07D3" w14:textId="77777777">
      <w:pPr>
        <w:widowControl/>
        <w:numPr>
          <w:ilvl w:val="0"/>
          <w:numId w:val="3"/>
        </w:numPr>
        <w:tabs>
          <w:tab w:val="num" w:pos="360"/>
        </w:tabs>
        <w:spacing w:after="120"/>
        <w:ind w:left="360"/>
        <w:rPr>
          <w:rFonts w:ascii="Times New Roman" w:hAnsi="Times New Roman"/>
          <w:b/>
          <w:snapToGrid/>
          <w:sz w:val="24"/>
          <w:szCs w:val="24"/>
        </w:rPr>
      </w:pPr>
      <w:r w:rsidRPr="00F43FA9">
        <w:rPr>
          <w:rFonts w:ascii="Times New Roman" w:hAnsi="Times New Roman"/>
          <w:b/>
          <w:snapToGrid/>
          <w:sz w:val="24"/>
          <w:szCs w:val="24"/>
        </w:rPr>
        <w:t xml:space="preserve">Justification for Sensitive Questions </w:t>
      </w:r>
    </w:p>
    <w:p w:rsidR="00102A83" w:rsidP="00102A83" w:rsidRDefault="00102A83" w14:paraId="2DD17967" w14:textId="7451699E">
      <w:pPr>
        <w:widowControl/>
        <w:tabs>
          <w:tab w:val="num" w:pos="360"/>
        </w:tabs>
        <w:spacing w:after="120"/>
        <w:ind w:left="360"/>
        <w:rPr>
          <w:rFonts w:ascii="Times New Roman" w:hAnsi="Times New Roman"/>
          <w:sz w:val="24"/>
          <w:szCs w:val="24"/>
        </w:rPr>
      </w:pPr>
      <w:r w:rsidRPr="00F43FA9">
        <w:rPr>
          <w:rFonts w:ascii="Times New Roman" w:hAnsi="Times New Roman"/>
          <w:sz w:val="24"/>
          <w:szCs w:val="24"/>
        </w:rPr>
        <w:t>There are no sensitive questions in this collection.</w:t>
      </w:r>
    </w:p>
    <w:p w:rsidRPr="00F43FA9" w:rsidR="00A95A6F" w:rsidP="00102A83" w:rsidRDefault="00A95A6F" w14:paraId="724DC868" w14:textId="77777777">
      <w:pPr>
        <w:widowControl/>
        <w:tabs>
          <w:tab w:val="num" w:pos="360"/>
        </w:tabs>
        <w:spacing w:after="120"/>
        <w:ind w:left="360"/>
        <w:rPr>
          <w:rFonts w:ascii="Times New Roman" w:hAnsi="Times New Roman"/>
          <w:sz w:val="24"/>
          <w:szCs w:val="24"/>
        </w:rPr>
      </w:pPr>
    </w:p>
    <w:p w:rsidRPr="00F43FA9" w:rsidR="00FF08A6" w:rsidP="00DE529D" w:rsidRDefault="002C3C4F" w14:paraId="557CAE9D" w14:textId="738E736B">
      <w:pPr>
        <w:widowControl/>
        <w:numPr>
          <w:ilvl w:val="0"/>
          <w:numId w:val="3"/>
        </w:numPr>
        <w:tabs>
          <w:tab w:val="num" w:pos="360"/>
        </w:tabs>
        <w:spacing w:after="120"/>
        <w:ind w:left="360"/>
        <w:rPr>
          <w:rFonts w:ascii="Times New Roman" w:hAnsi="Times New Roman"/>
          <w:b/>
          <w:snapToGrid/>
          <w:sz w:val="24"/>
          <w:szCs w:val="24"/>
        </w:rPr>
      </w:pPr>
      <w:bookmarkStart w:name="_Ref42077880" w:id="1"/>
      <w:r w:rsidRPr="00F43FA9">
        <w:rPr>
          <w:rFonts w:ascii="Times New Roman" w:hAnsi="Times New Roman"/>
          <w:b/>
          <w:snapToGrid/>
          <w:sz w:val="24"/>
          <w:szCs w:val="24"/>
        </w:rPr>
        <w:t>Estimates of Annualized Burden Hours and Costs</w:t>
      </w:r>
      <w:bookmarkEnd w:id="1"/>
      <w:r w:rsidRPr="00F43FA9">
        <w:rPr>
          <w:rFonts w:ascii="Times New Roman" w:hAnsi="Times New Roman"/>
          <w:b/>
          <w:snapToGrid/>
          <w:sz w:val="24"/>
          <w:szCs w:val="24"/>
        </w:rPr>
        <w:t xml:space="preserve"> </w:t>
      </w:r>
    </w:p>
    <w:p w:rsidR="00813175" w:rsidP="003710E4" w:rsidRDefault="00FA2290" w14:paraId="1AE11F9E" w14:textId="326FB685">
      <w:pPr>
        <w:widowControl/>
        <w:tabs>
          <w:tab w:val="num" w:pos="360"/>
        </w:tabs>
        <w:spacing w:after="120"/>
        <w:ind w:left="360"/>
        <w:rPr>
          <w:rFonts w:ascii="Times New Roman" w:hAnsi="Times New Roman"/>
          <w:sz w:val="24"/>
          <w:szCs w:val="24"/>
        </w:rPr>
      </w:pPr>
      <w:r w:rsidRPr="00F43FA9">
        <w:rPr>
          <w:rFonts w:ascii="Times New Roman" w:hAnsi="Times New Roman"/>
          <w:sz w:val="24"/>
          <w:szCs w:val="24"/>
        </w:rPr>
        <w:lastRenderedPageBreak/>
        <w:t xml:space="preserve">The total annual reporting burden for the States, the District of Columbia, and Tribes for this report is estimated to be </w:t>
      </w:r>
      <w:r w:rsidR="00BF7E54">
        <w:rPr>
          <w:rFonts w:ascii="Times New Roman" w:hAnsi="Times New Roman"/>
          <w:sz w:val="24"/>
          <w:szCs w:val="24"/>
        </w:rPr>
        <w:t>1428</w:t>
      </w:r>
      <w:r w:rsidRPr="00F43FA9" w:rsidR="00BF7E54">
        <w:rPr>
          <w:rFonts w:ascii="Times New Roman" w:hAnsi="Times New Roman"/>
          <w:sz w:val="24"/>
          <w:szCs w:val="24"/>
        </w:rPr>
        <w:t xml:space="preserve"> </w:t>
      </w:r>
      <w:r w:rsidRPr="00F43FA9">
        <w:rPr>
          <w:rFonts w:ascii="Times New Roman" w:hAnsi="Times New Roman"/>
          <w:sz w:val="24"/>
          <w:szCs w:val="24"/>
        </w:rPr>
        <w:t xml:space="preserve">hours.  The estimated burden represents respondent time needed to review the form and its instructions, prepare responses, and submit the data.  There will be </w:t>
      </w:r>
      <w:r w:rsidRPr="00F43FA9" w:rsidR="00693840">
        <w:rPr>
          <w:rFonts w:ascii="Times New Roman" w:hAnsi="Times New Roman"/>
          <w:sz w:val="24"/>
          <w:szCs w:val="24"/>
        </w:rPr>
        <w:t>204</w:t>
      </w:r>
      <w:r w:rsidRPr="00F43FA9">
        <w:rPr>
          <w:rFonts w:ascii="Times New Roman" w:hAnsi="Times New Roman"/>
          <w:sz w:val="24"/>
          <w:szCs w:val="24"/>
        </w:rPr>
        <w:t xml:space="preserve"> respondents submitting reports.  We estimate the total average burden to be </w:t>
      </w:r>
      <w:r w:rsidR="00BF7E54">
        <w:rPr>
          <w:rFonts w:ascii="Times New Roman" w:hAnsi="Times New Roman"/>
          <w:sz w:val="24"/>
          <w:szCs w:val="24"/>
        </w:rPr>
        <w:t>7</w:t>
      </w:r>
      <w:r w:rsidRPr="00F43FA9" w:rsidR="00BF7E54">
        <w:rPr>
          <w:rFonts w:ascii="Times New Roman" w:hAnsi="Times New Roman"/>
          <w:sz w:val="24"/>
          <w:szCs w:val="24"/>
        </w:rPr>
        <w:t xml:space="preserve"> </w:t>
      </w:r>
      <w:r w:rsidRPr="00F43FA9">
        <w:rPr>
          <w:rFonts w:ascii="Times New Roman" w:hAnsi="Times New Roman"/>
          <w:sz w:val="24"/>
          <w:szCs w:val="24"/>
        </w:rPr>
        <w:t>hours per respondent</w:t>
      </w:r>
      <w:r w:rsidR="00BF7E54">
        <w:rPr>
          <w:rFonts w:ascii="Times New Roman" w:hAnsi="Times New Roman"/>
          <w:sz w:val="24"/>
          <w:szCs w:val="24"/>
        </w:rPr>
        <w:t>.</w:t>
      </w:r>
      <w:r w:rsidRPr="00F43FA9" w:rsidR="00693840">
        <w:rPr>
          <w:rFonts w:ascii="Times New Roman" w:hAnsi="Times New Roman"/>
          <w:sz w:val="24"/>
          <w:szCs w:val="24"/>
        </w:rPr>
        <w:t xml:space="preserve"> This estimate combines (1) three hours per respondent from the ICR renewal that OMB approved April 23, 2019; </w:t>
      </w:r>
      <w:r w:rsidRPr="00F43FA9" w:rsidR="00BF7E54">
        <w:rPr>
          <w:rFonts w:ascii="Times New Roman" w:hAnsi="Times New Roman"/>
          <w:sz w:val="24"/>
          <w:szCs w:val="24"/>
        </w:rPr>
        <w:t xml:space="preserve">and (2) </w:t>
      </w:r>
      <w:r w:rsidR="00BF7E54">
        <w:rPr>
          <w:rFonts w:ascii="Times New Roman" w:hAnsi="Times New Roman"/>
          <w:sz w:val="24"/>
          <w:szCs w:val="24"/>
        </w:rPr>
        <w:t xml:space="preserve">four </w:t>
      </w:r>
      <w:r w:rsidRPr="00F43FA9" w:rsidR="00BF7E54">
        <w:rPr>
          <w:rFonts w:ascii="Times New Roman" w:hAnsi="Times New Roman"/>
          <w:sz w:val="24"/>
          <w:szCs w:val="24"/>
        </w:rPr>
        <w:t>additional hours per respondent to cover the breakout</w:t>
      </w:r>
      <w:r w:rsidR="00BF7E54">
        <w:rPr>
          <w:rFonts w:ascii="Times New Roman" w:hAnsi="Times New Roman"/>
          <w:sz w:val="24"/>
          <w:szCs w:val="24"/>
        </w:rPr>
        <w:t>s of</w:t>
      </w:r>
      <w:r w:rsidRPr="00F43FA9" w:rsidR="00BF7E54">
        <w:rPr>
          <w:rFonts w:ascii="Times New Roman" w:hAnsi="Times New Roman"/>
          <w:sz w:val="24"/>
          <w:szCs w:val="24"/>
        </w:rPr>
        <w:t xml:space="preserve"> </w:t>
      </w:r>
      <w:r w:rsidR="00BF7E54">
        <w:rPr>
          <w:rFonts w:ascii="Times New Roman" w:hAnsi="Times New Roman"/>
          <w:sz w:val="24"/>
          <w:szCs w:val="24"/>
        </w:rPr>
        <w:t xml:space="preserve">funds from the </w:t>
      </w:r>
      <w:r w:rsidRPr="00F43FA9" w:rsidR="00BF7E54">
        <w:rPr>
          <w:rFonts w:ascii="Times New Roman" w:hAnsi="Times New Roman"/>
          <w:sz w:val="24"/>
          <w:szCs w:val="24"/>
        </w:rPr>
        <w:t xml:space="preserve">CARES Act </w:t>
      </w:r>
      <w:r w:rsidR="00BF7E54">
        <w:rPr>
          <w:rFonts w:ascii="Times New Roman" w:hAnsi="Times New Roman"/>
          <w:sz w:val="24"/>
          <w:szCs w:val="24"/>
        </w:rPr>
        <w:t>and potential other supplemental</w:t>
      </w:r>
      <w:r w:rsidRPr="00927635" w:rsidR="00BF7E54">
        <w:rPr>
          <w:rFonts w:ascii="Times New Roman" w:hAnsi="Times New Roman"/>
          <w:sz w:val="24"/>
          <w:szCs w:val="24"/>
        </w:rPr>
        <w:t xml:space="preserve"> </w:t>
      </w:r>
      <w:r w:rsidR="00BF7E54">
        <w:rPr>
          <w:rFonts w:ascii="Times New Roman" w:hAnsi="Times New Roman"/>
          <w:sz w:val="24"/>
          <w:szCs w:val="24"/>
        </w:rPr>
        <w:t>appropriations</w:t>
      </w:r>
      <w:r w:rsidRPr="00F43FA9" w:rsidR="00BF7E54">
        <w:rPr>
          <w:rFonts w:ascii="Times New Roman" w:hAnsi="Times New Roman"/>
          <w:sz w:val="24"/>
          <w:szCs w:val="24"/>
        </w:rPr>
        <w:t>.</w:t>
      </w:r>
      <w:r w:rsidR="00BF7E54">
        <w:rPr>
          <w:rFonts w:ascii="Times New Roman" w:hAnsi="Times New Roman"/>
          <w:sz w:val="24"/>
          <w:szCs w:val="24"/>
        </w:rPr>
        <w:t xml:space="preserve">  </w:t>
      </w:r>
      <w:r w:rsidRPr="00F43FA9" w:rsidR="00693840">
        <w:rPr>
          <w:rFonts w:ascii="Times New Roman" w:hAnsi="Times New Roman"/>
          <w:sz w:val="24"/>
          <w:szCs w:val="24"/>
        </w:rPr>
        <w:t xml:space="preserve">A tabular </w:t>
      </w:r>
      <w:r w:rsidRPr="00F43FA9">
        <w:rPr>
          <w:rFonts w:ascii="Times New Roman" w:hAnsi="Times New Roman"/>
          <w:sz w:val="24"/>
          <w:szCs w:val="24"/>
        </w:rPr>
        <w:t xml:space="preserve">breakdown </w:t>
      </w:r>
      <w:r w:rsidRPr="00F43FA9" w:rsidR="00693840">
        <w:rPr>
          <w:rFonts w:ascii="Times New Roman" w:hAnsi="Times New Roman"/>
          <w:sz w:val="24"/>
          <w:szCs w:val="24"/>
        </w:rPr>
        <w:t xml:space="preserve">of the </w:t>
      </w:r>
      <w:r w:rsidRPr="00F43FA9">
        <w:rPr>
          <w:rFonts w:ascii="Times New Roman" w:hAnsi="Times New Roman"/>
          <w:sz w:val="24"/>
          <w:szCs w:val="24"/>
        </w:rPr>
        <w:t xml:space="preserve">burden </w:t>
      </w:r>
      <w:proofErr w:type="gramStart"/>
      <w:r w:rsidRPr="00F43FA9">
        <w:rPr>
          <w:rFonts w:ascii="Times New Roman" w:hAnsi="Times New Roman"/>
          <w:sz w:val="24"/>
          <w:szCs w:val="24"/>
        </w:rPr>
        <w:t>hours</w:t>
      </w:r>
      <w:proofErr w:type="gramEnd"/>
      <w:r w:rsidRPr="00F43FA9">
        <w:rPr>
          <w:rFonts w:ascii="Times New Roman" w:hAnsi="Times New Roman"/>
          <w:sz w:val="24"/>
          <w:szCs w:val="24"/>
        </w:rPr>
        <w:t xml:space="preserve"> </w:t>
      </w:r>
      <w:r w:rsidRPr="00F43FA9" w:rsidR="00693840">
        <w:rPr>
          <w:rFonts w:ascii="Times New Roman" w:hAnsi="Times New Roman"/>
          <w:sz w:val="24"/>
          <w:szCs w:val="24"/>
        </w:rPr>
        <w:t>estimate appears below</w:t>
      </w:r>
      <w:r w:rsidRPr="00F43FA9">
        <w:rPr>
          <w:rFonts w:ascii="Times New Roman" w:hAnsi="Times New Roman"/>
          <w:sz w:val="24"/>
          <w:szCs w:val="24"/>
        </w:rPr>
        <w:t>:</w:t>
      </w:r>
    </w:p>
    <w:p w:rsidRPr="00F43FA9" w:rsidR="00FA2290" w:rsidP="00A95A6F" w:rsidRDefault="00FA2290" w14:paraId="3D44577C" w14:textId="77777777">
      <w:pPr>
        <w:widowControl/>
        <w:rPr>
          <w:rFonts w:ascii="Times New Roman" w:hAnsi="Times New Roman"/>
          <w:sz w:val="24"/>
          <w:szCs w:val="24"/>
        </w:rPr>
      </w:pPr>
    </w:p>
    <w:p w:rsidRPr="00F43FA9" w:rsidR="004C11C0" w:rsidP="00693840" w:rsidRDefault="004C11C0" w14:paraId="7A8D9381" w14:textId="6B7C935D">
      <w:pPr>
        <w:tabs>
          <w:tab w:val="left" w:pos="-720"/>
        </w:tabs>
        <w:suppressAutoHyphens/>
        <w:spacing w:after="120"/>
        <w:jc w:val="center"/>
        <w:rPr>
          <w:rFonts w:ascii="Times New Roman" w:hAnsi="Times New Roman"/>
          <w:sz w:val="24"/>
          <w:szCs w:val="24"/>
        </w:rPr>
      </w:pPr>
      <w:r w:rsidRPr="00F43FA9">
        <w:rPr>
          <w:rFonts w:ascii="Times New Roman" w:hAnsi="Times New Roman"/>
          <w:sz w:val="24"/>
          <w:szCs w:val="24"/>
        </w:rPr>
        <w:t xml:space="preserve">ANNUAL </w:t>
      </w:r>
      <w:r w:rsidRPr="00F43FA9" w:rsidR="001C0072">
        <w:rPr>
          <w:rFonts w:ascii="Times New Roman" w:hAnsi="Times New Roman"/>
          <w:sz w:val="24"/>
          <w:szCs w:val="24"/>
        </w:rPr>
        <w:t xml:space="preserve">RESPONDENT </w:t>
      </w:r>
      <w:r w:rsidRPr="00F43FA9">
        <w:rPr>
          <w:rFonts w:ascii="Times New Roman" w:hAnsi="Times New Roman"/>
          <w:sz w:val="24"/>
          <w:szCs w:val="24"/>
        </w:rPr>
        <w:t>BURDEN ESTIMATES</w:t>
      </w:r>
    </w:p>
    <w:tbl>
      <w:tblPr>
        <w:tblW w:w="9738"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1458"/>
        <w:gridCol w:w="1440"/>
        <w:gridCol w:w="1530"/>
        <w:gridCol w:w="1530"/>
        <w:gridCol w:w="1260"/>
        <w:gridCol w:w="1260"/>
        <w:gridCol w:w="1260"/>
      </w:tblGrid>
      <w:tr w:rsidRPr="00F43FA9" w:rsidR="00F105C9" w:rsidTr="00F105C9" w14:paraId="4D2A1F0E" w14:textId="4D4D986C">
        <w:trPr>
          <w:cantSplit/>
          <w:tblHeader/>
        </w:trPr>
        <w:tc>
          <w:tcPr>
            <w:tcW w:w="1458" w:type="dxa"/>
            <w:vAlign w:val="center"/>
            <w:hideMark/>
          </w:tcPr>
          <w:p w:rsidRPr="00F43FA9" w:rsidR="00F105C9" w:rsidP="00F105C9" w:rsidRDefault="00F105C9" w14:paraId="2460A67D" w14:textId="2AB3A5B0">
            <w:pPr>
              <w:tabs>
                <w:tab w:val="left" w:pos="-720"/>
              </w:tabs>
              <w:suppressAutoHyphens/>
              <w:snapToGrid w:val="0"/>
              <w:spacing w:before="90" w:after="54"/>
              <w:jc w:val="center"/>
              <w:rPr>
                <w:rFonts w:ascii="Times New Roman" w:hAnsi="Times New Roman"/>
                <w:szCs w:val="24"/>
              </w:rPr>
            </w:pPr>
            <w:r w:rsidRPr="00F43FA9">
              <w:rPr>
                <w:rFonts w:ascii="Times New Roman" w:hAnsi="Times New Roman"/>
                <w:szCs w:val="24"/>
              </w:rPr>
              <w:t>Information Collection Title</w:t>
            </w:r>
          </w:p>
        </w:tc>
        <w:tc>
          <w:tcPr>
            <w:tcW w:w="1440" w:type="dxa"/>
            <w:vAlign w:val="center"/>
            <w:hideMark/>
          </w:tcPr>
          <w:p w:rsidRPr="00F43FA9" w:rsidR="00F105C9" w:rsidP="00F105C9" w:rsidRDefault="00F105C9" w14:paraId="2ADFCF2C" w14:textId="4F72A056">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Number of Respondents</w:t>
            </w:r>
          </w:p>
        </w:tc>
        <w:tc>
          <w:tcPr>
            <w:tcW w:w="1530" w:type="dxa"/>
            <w:vAlign w:val="center"/>
            <w:hideMark/>
          </w:tcPr>
          <w:p w:rsidRPr="00F43FA9" w:rsidR="00F105C9" w:rsidP="00F105C9" w:rsidRDefault="00FD2B51" w14:paraId="671B8294" w14:textId="30A5A8EF">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Responses per Respondent</w:t>
            </w:r>
          </w:p>
        </w:tc>
        <w:tc>
          <w:tcPr>
            <w:tcW w:w="1530" w:type="dxa"/>
            <w:vAlign w:val="center"/>
            <w:hideMark/>
          </w:tcPr>
          <w:p w:rsidRPr="00F43FA9" w:rsidR="00F105C9" w:rsidP="00F105C9" w:rsidRDefault="00FD2B51" w14:paraId="256D5F6E" w14:textId="5CFC430E">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Average Burden Hours per Response</w:t>
            </w:r>
          </w:p>
        </w:tc>
        <w:tc>
          <w:tcPr>
            <w:tcW w:w="1260" w:type="dxa"/>
            <w:vAlign w:val="center"/>
            <w:hideMark/>
          </w:tcPr>
          <w:p w:rsidRPr="00F43FA9" w:rsidR="00F105C9" w:rsidP="00F105C9" w:rsidRDefault="00F105C9" w14:paraId="6FF2B582" w14:textId="0EFC75CA">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Total Burden Hours</w:t>
            </w:r>
          </w:p>
        </w:tc>
        <w:tc>
          <w:tcPr>
            <w:tcW w:w="1260" w:type="dxa"/>
            <w:vAlign w:val="center"/>
          </w:tcPr>
          <w:p w:rsidRPr="00F43FA9" w:rsidR="00F105C9" w:rsidP="00F105C9" w:rsidRDefault="00F105C9" w14:paraId="0F8C338B" w14:textId="5AE47991">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Average Hourly Wage</w:t>
            </w:r>
            <w:r w:rsidRPr="00F43FA9">
              <w:rPr>
                <w:rStyle w:val="FootnoteReference"/>
                <w:rFonts w:ascii="Times New Roman" w:hAnsi="Times New Roman"/>
                <w:szCs w:val="24"/>
              </w:rPr>
              <w:footnoteReference w:id="2"/>
            </w:r>
          </w:p>
        </w:tc>
        <w:tc>
          <w:tcPr>
            <w:tcW w:w="1260" w:type="dxa"/>
            <w:vAlign w:val="center"/>
          </w:tcPr>
          <w:p w:rsidRPr="00F43FA9" w:rsidR="00F105C9" w:rsidP="00F105C9" w:rsidRDefault="00F105C9" w14:paraId="34DD56F4" w14:textId="433BBF36">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Total Annual Cost</w:t>
            </w:r>
          </w:p>
        </w:tc>
      </w:tr>
      <w:tr w:rsidRPr="00F43FA9" w:rsidR="00F105C9" w:rsidTr="00F105C9" w14:paraId="5218BF3D" w14:textId="2A5DA1D0">
        <w:trPr>
          <w:cantSplit/>
        </w:trPr>
        <w:tc>
          <w:tcPr>
            <w:tcW w:w="1458" w:type="dxa"/>
            <w:hideMark/>
          </w:tcPr>
          <w:p w:rsidRPr="00F43FA9" w:rsidR="00F105C9" w:rsidP="00F105C9" w:rsidRDefault="00F105C9" w14:paraId="63F64C67" w14:textId="77777777">
            <w:pPr>
              <w:tabs>
                <w:tab w:val="left" w:pos="-720"/>
              </w:tabs>
              <w:suppressAutoHyphens/>
              <w:snapToGrid w:val="0"/>
              <w:spacing w:before="20" w:after="20"/>
              <w:rPr>
                <w:rFonts w:ascii="Times New Roman" w:hAnsi="Times New Roman"/>
                <w:szCs w:val="24"/>
              </w:rPr>
            </w:pPr>
            <w:r w:rsidRPr="00F43FA9">
              <w:rPr>
                <w:rFonts w:ascii="Times New Roman" w:hAnsi="Times New Roman"/>
                <w:szCs w:val="24"/>
              </w:rPr>
              <w:t xml:space="preserve">Carryover and </w:t>
            </w:r>
            <w:proofErr w:type="spellStart"/>
            <w:r w:rsidRPr="00F43FA9">
              <w:rPr>
                <w:rFonts w:ascii="Times New Roman" w:hAnsi="Times New Roman"/>
                <w:szCs w:val="24"/>
              </w:rPr>
              <w:t>Reallotment</w:t>
            </w:r>
            <w:proofErr w:type="spellEnd"/>
            <w:r w:rsidRPr="00F43FA9">
              <w:rPr>
                <w:rFonts w:ascii="Times New Roman" w:hAnsi="Times New Roman"/>
                <w:szCs w:val="24"/>
              </w:rPr>
              <w:t xml:space="preserve"> Report</w:t>
            </w:r>
          </w:p>
        </w:tc>
        <w:tc>
          <w:tcPr>
            <w:tcW w:w="1440" w:type="dxa"/>
            <w:tcBorders>
              <w:bottom w:val="single" w:color="auto" w:sz="4" w:space="0"/>
            </w:tcBorders>
            <w:vAlign w:val="center"/>
            <w:hideMark/>
          </w:tcPr>
          <w:p w:rsidRPr="00F43FA9" w:rsidR="00F105C9" w:rsidP="00F105C9" w:rsidRDefault="00BF7E54" w14:paraId="7ADDEFF8" w14:textId="0464E35C">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204</w:t>
            </w:r>
          </w:p>
        </w:tc>
        <w:tc>
          <w:tcPr>
            <w:tcW w:w="1530" w:type="dxa"/>
            <w:tcBorders>
              <w:bottom w:val="single" w:color="auto" w:sz="4" w:space="0"/>
            </w:tcBorders>
            <w:vAlign w:val="center"/>
            <w:hideMark/>
          </w:tcPr>
          <w:p w:rsidRPr="00F43FA9" w:rsidR="00F105C9" w:rsidP="00F105C9" w:rsidRDefault="00F105C9" w14:paraId="2F4BF428" w14:textId="715E4E38">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1</w:t>
            </w:r>
          </w:p>
        </w:tc>
        <w:tc>
          <w:tcPr>
            <w:tcW w:w="1530" w:type="dxa"/>
            <w:tcBorders>
              <w:bottom w:val="single" w:color="auto" w:sz="4" w:space="0"/>
            </w:tcBorders>
            <w:vAlign w:val="center"/>
            <w:hideMark/>
          </w:tcPr>
          <w:p w:rsidRPr="00F43FA9" w:rsidR="00F105C9" w:rsidP="00F105C9" w:rsidRDefault="00BF7E54" w14:paraId="0FE26E23" w14:textId="2D72EECE">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7</w:t>
            </w:r>
          </w:p>
        </w:tc>
        <w:tc>
          <w:tcPr>
            <w:tcW w:w="1260" w:type="dxa"/>
            <w:vAlign w:val="center"/>
            <w:hideMark/>
          </w:tcPr>
          <w:p w:rsidRPr="00F43FA9" w:rsidR="00F105C9" w:rsidP="00F105C9" w:rsidRDefault="00BF7E54" w14:paraId="7CA7F2C1" w14:textId="2D401906">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1428</w:t>
            </w:r>
          </w:p>
        </w:tc>
        <w:tc>
          <w:tcPr>
            <w:tcW w:w="1260" w:type="dxa"/>
            <w:vAlign w:val="center"/>
          </w:tcPr>
          <w:p w:rsidRPr="00F43FA9" w:rsidR="00F105C9" w:rsidP="00F105C9" w:rsidRDefault="00701656" w14:paraId="37BD0EBF" w14:textId="65D8F78D">
            <w:pPr>
              <w:tabs>
                <w:tab w:val="left" w:pos="-720"/>
              </w:tabs>
              <w:suppressAutoHyphens/>
              <w:snapToGrid w:val="0"/>
              <w:spacing w:before="20" w:after="20"/>
              <w:jc w:val="center"/>
              <w:rPr>
                <w:rFonts w:ascii="Times New Roman" w:hAnsi="Times New Roman"/>
                <w:szCs w:val="24"/>
              </w:rPr>
            </w:pPr>
            <w:r w:rsidRPr="00F43FA9">
              <w:rPr>
                <w:rFonts w:ascii="Times New Roman" w:hAnsi="Times New Roman"/>
                <w:szCs w:val="24"/>
              </w:rPr>
              <w:t>$77.25</w:t>
            </w:r>
          </w:p>
        </w:tc>
        <w:tc>
          <w:tcPr>
            <w:tcW w:w="1260" w:type="dxa"/>
            <w:vAlign w:val="center"/>
          </w:tcPr>
          <w:p w:rsidRPr="00F43FA9" w:rsidR="00F105C9" w:rsidP="00F105C9" w:rsidRDefault="00BF7E54" w14:paraId="651573DD" w14:textId="0F0CB9E6">
            <w:pPr>
              <w:tabs>
                <w:tab w:val="left" w:pos="-720"/>
              </w:tabs>
              <w:suppressAutoHyphens/>
              <w:snapToGrid w:val="0"/>
              <w:spacing w:before="20" w:after="20"/>
              <w:jc w:val="center"/>
              <w:rPr>
                <w:rFonts w:ascii="Times New Roman" w:hAnsi="Times New Roman"/>
                <w:szCs w:val="24"/>
              </w:rPr>
            </w:pPr>
            <w:r>
              <w:rPr>
                <w:rFonts w:ascii="Times New Roman" w:hAnsi="Times New Roman"/>
                <w:szCs w:val="24"/>
              </w:rPr>
              <w:t>$110,313</w:t>
            </w:r>
          </w:p>
        </w:tc>
      </w:tr>
    </w:tbl>
    <w:p w:rsidR="00BF7E54" w:rsidP="00693840" w:rsidRDefault="00BF7E54" w14:paraId="445E3A09" w14:textId="77777777">
      <w:pPr>
        <w:widowControl/>
        <w:tabs>
          <w:tab w:val="num" w:pos="360"/>
        </w:tabs>
        <w:spacing w:before="120" w:after="120"/>
        <w:ind w:left="360"/>
        <w:rPr>
          <w:rFonts w:ascii="Times New Roman" w:hAnsi="Times New Roman"/>
          <w:sz w:val="24"/>
          <w:szCs w:val="24"/>
        </w:rPr>
      </w:pPr>
    </w:p>
    <w:p w:rsidRPr="00F43FA9" w:rsidR="00693840" w:rsidP="00693840" w:rsidRDefault="00693840" w14:paraId="24138C9A" w14:textId="380481EE">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 xml:space="preserve">We expect recordkeeping burden to be zero, given that grantees </w:t>
      </w:r>
      <w:r w:rsidRPr="00F43FA9" w:rsidR="006A5A0D">
        <w:rPr>
          <w:rFonts w:ascii="Times New Roman" w:hAnsi="Times New Roman"/>
          <w:sz w:val="24"/>
          <w:szCs w:val="24"/>
        </w:rPr>
        <w:t>keep their records in automated data systems.</w:t>
      </w:r>
    </w:p>
    <w:p w:rsidRPr="00F43FA9" w:rsidR="00FF08A6" w:rsidP="00FD2B51" w:rsidRDefault="00F105C9" w14:paraId="2605FD1C" w14:textId="4E858C3B">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There are no costs associated with or resulting from start-up or record keeping.  The data generally are available as part of each grantee's administrative planning for the program, and will not be prepared especially for this report.  Therefore, we estimate the annual time and burdens to respondents for record keeping and start-up to be zero.</w:t>
      </w:r>
    </w:p>
    <w:p w:rsidRPr="00F43FA9" w:rsidR="00FF08A6" w:rsidP="00201ED7" w:rsidRDefault="002C3C4F" w14:paraId="4B9B6C10" w14:textId="170B4295">
      <w:pPr>
        <w:widowControl/>
        <w:numPr>
          <w:ilvl w:val="0"/>
          <w:numId w:val="3"/>
        </w:numPr>
        <w:tabs>
          <w:tab w:val="num" w:pos="360"/>
        </w:tabs>
        <w:ind w:left="360"/>
        <w:rPr>
          <w:rFonts w:ascii="Times New Roman" w:hAnsi="Times New Roman"/>
          <w:b/>
          <w:snapToGrid/>
          <w:sz w:val="24"/>
          <w:szCs w:val="24"/>
        </w:rPr>
      </w:pPr>
      <w:r w:rsidRPr="00F43FA9">
        <w:rPr>
          <w:rFonts w:ascii="Times New Roman" w:hAnsi="Times New Roman"/>
          <w:b/>
          <w:snapToGrid/>
          <w:sz w:val="24"/>
          <w:szCs w:val="24"/>
        </w:rPr>
        <w:t xml:space="preserve">Estimates of Other Total Annual Cost Burden to Respondents and Record Keepers </w:t>
      </w:r>
    </w:p>
    <w:p w:rsidR="00431F83" w:rsidP="00431F83" w:rsidRDefault="00431F83" w14:paraId="4BF2E5C0" w14:textId="10E8ED7B">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 xml:space="preserve">There are no respondent costs associated with or resulting from start-up or record keeping other than those presented in our response to Question </w:t>
      </w:r>
      <w:r w:rsidRPr="00F43FA9">
        <w:rPr>
          <w:rFonts w:ascii="Times New Roman" w:hAnsi="Times New Roman"/>
          <w:sz w:val="24"/>
          <w:szCs w:val="24"/>
        </w:rPr>
        <w:fldChar w:fldCharType="begin"/>
      </w:r>
      <w:r w:rsidRPr="00F43FA9">
        <w:rPr>
          <w:rFonts w:ascii="Times New Roman" w:hAnsi="Times New Roman"/>
          <w:sz w:val="24"/>
          <w:szCs w:val="24"/>
        </w:rPr>
        <w:instrText xml:space="preserve"> REF _Ref42077880 \r </w:instrText>
      </w:r>
      <w:r w:rsidRPr="00F43FA9" w:rsidR="00083C30">
        <w:rPr>
          <w:rFonts w:ascii="Times New Roman" w:hAnsi="Times New Roman"/>
          <w:sz w:val="24"/>
          <w:szCs w:val="24"/>
        </w:rPr>
        <w:instrText xml:space="preserve"> \* MERGEFORMAT </w:instrText>
      </w:r>
      <w:r w:rsidRPr="00F43FA9">
        <w:rPr>
          <w:rFonts w:ascii="Times New Roman" w:hAnsi="Times New Roman"/>
          <w:sz w:val="24"/>
          <w:szCs w:val="24"/>
        </w:rPr>
        <w:fldChar w:fldCharType="separate"/>
      </w:r>
      <w:r w:rsidRPr="00F43FA9">
        <w:rPr>
          <w:rFonts w:ascii="Times New Roman" w:hAnsi="Times New Roman"/>
          <w:sz w:val="24"/>
          <w:szCs w:val="24"/>
        </w:rPr>
        <w:t>12</w:t>
      </w:r>
      <w:r w:rsidRPr="00F43FA9">
        <w:rPr>
          <w:rFonts w:ascii="Times New Roman" w:hAnsi="Times New Roman"/>
          <w:sz w:val="24"/>
          <w:szCs w:val="24"/>
        </w:rPr>
        <w:fldChar w:fldCharType="end"/>
      </w:r>
      <w:r w:rsidRPr="00F43FA9">
        <w:rPr>
          <w:rFonts w:ascii="Times New Roman" w:hAnsi="Times New Roman"/>
          <w:sz w:val="24"/>
          <w:szCs w:val="24"/>
        </w:rPr>
        <w:t>.  The data generally are available as part of each grantee's administrative planning for the program, and will not be prepared especially for this report.  We expect the respondents to incur no additional capital or start-up costs, given that the associated costs—i.e., those for secure data transfer and processing—will be borne by ACF’s contractor.</w:t>
      </w:r>
    </w:p>
    <w:p w:rsidRPr="00F43FA9" w:rsidR="00E168B6" w:rsidP="00431F83" w:rsidRDefault="00E168B6" w14:paraId="52EB33BE" w14:textId="77777777">
      <w:pPr>
        <w:widowControl/>
        <w:tabs>
          <w:tab w:val="num" w:pos="360"/>
        </w:tabs>
        <w:spacing w:before="120" w:after="120"/>
        <w:ind w:left="360"/>
        <w:rPr>
          <w:rFonts w:ascii="Times New Roman" w:hAnsi="Times New Roman"/>
          <w:sz w:val="24"/>
          <w:szCs w:val="24"/>
        </w:rPr>
      </w:pPr>
    </w:p>
    <w:p w:rsidRPr="00F43FA9" w:rsidR="00FF08A6" w:rsidP="00201ED7" w:rsidRDefault="004602FE" w14:paraId="6E9327B0" w14:textId="0040C0C7">
      <w:pPr>
        <w:widowControl/>
        <w:numPr>
          <w:ilvl w:val="0"/>
          <w:numId w:val="3"/>
        </w:numPr>
        <w:tabs>
          <w:tab w:val="num" w:pos="360"/>
        </w:tabs>
        <w:ind w:left="360"/>
        <w:rPr>
          <w:rFonts w:ascii="Times New Roman" w:hAnsi="Times New Roman"/>
          <w:b/>
          <w:snapToGrid/>
          <w:sz w:val="24"/>
          <w:szCs w:val="24"/>
        </w:rPr>
      </w:pPr>
      <w:r w:rsidRPr="00F43FA9">
        <w:rPr>
          <w:rFonts w:ascii="Times New Roman" w:hAnsi="Times New Roman"/>
          <w:b/>
          <w:snapToGrid/>
          <w:sz w:val="24"/>
          <w:szCs w:val="24"/>
        </w:rPr>
        <w:t>A</w:t>
      </w:r>
      <w:r w:rsidRPr="00F43FA9" w:rsidR="002C3C4F">
        <w:rPr>
          <w:rFonts w:ascii="Times New Roman" w:hAnsi="Times New Roman"/>
          <w:b/>
          <w:snapToGrid/>
          <w:sz w:val="24"/>
          <w:szCs w:val="24"/>
        </w:rPr>
        <w:t xml:space="preserve">nnualized Cost to the Federal Government </w:t>
      </w:r>
    </w:p>
    <w:p w:rsidRPr="00F43FA9" w:rsidR="00A95A6F" w:rsidP="00C90E66" w:rsidRDefault="00A60BB4" w14:paraId="0C99E414" w14:textId="7644614D">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 xml:space="preserve">The estimated Federal cost of this information collection totals </w:t>
      </w:r>
      <w:r w:rsidRPr="00F43FA9" w:rsidR="00DA7268">
        <w:rPr>
          <w:rFonts w:ascii="Times New Roman" w:hAnsi="Times New Roman"/>
          <w:sz w:val="24"/>
          <w:szCs w:val="24"/>
        </w:rPr>
        <w:t>$</w:t>
      </w:r>
      <w:r w:rsidR="00E168B6">
        <w:rPr>
          <w:rFonts w:ascii="Times New Roman" w:hAnsi="Times New Roman"/>
          <w:sz w:val="24"/>
          <w:szCs w:val="24"/>
        </w:rPr>
        <w:t>12,440</w:t>
      </w:r>
      <w:r w:rsidR="00A95A6F">
        <w:rPr>
          <w:rFonts w:ascii="Times New Roman" w:hAnsi="Times New Roman"/>
          <w:sz w:val="24"/>
          <w:szCs w:val="24"/>
        </w:rPr>
        <w:t xml:space="preserve">. </w:t>
      </w:r>
      <w:r w:rsidR="00E168B6">
        <w:rPr>
          <w:rFonts w:ascii="Times New Roman" w:hAnsi="Times New Roman"/>
          <w:sz w:val="24"/>
          <w:szCs w:val="24"/>
        </w:rPr>
        <w:t>This estimate represents a $5,940 increase from that on the 2018 ICR renewal request; $2,755 comes from additional staff costs and $3,185</w:t>
      </w:r>
      <w:r w:rsidRPr="00946EF5" w:rsidR="00E168B6">
        <w:rPr>
          <w:rFonts w:ascii="Times New Roman" w:hAnsi="Times New Roman"/>
          <w:sz w:val="24"/>
          <w:szCs w:val="24"/>
        </w:rPr>
        <w:t xml:space="preserve"> </w:t>
      </w:r>
      <w:r w:rsidR="00E168B6">
        <w:rPr>
          <w:rFonts w:ascii="Times New Roman" w:hAnsi="Times New Roman"/>
          <w:sz w:val="24"/>
          <w:szCs w:val="24"/>
        </w:rPr>
        <w:t>comes from additional contractor costs.</w:t>
      </w:r>
    </w:p>
    <w:p w:rsidRPr="00F43FA9" w:rsidR="00A60BB4" w:rsidP="00E168B6" w:rsidRDefault="00A60BB4" w14:paraId="31DCB37C" w14:textId="143AB79A">
      <w:pPr>
        <w:widowControl/>
        <w:tabs>
          <w:tab w:val="num" w:pos="360"/>
        </w:tabs>
        <w:spacing w:before="120" w:after="120"/>
        <w:rPr>
          <w:rFonts w:ascii="Times New Roman" w:hAnsi="Times New Roman"/>
          <w:sz w:val="24"/>
          <w:szCs w:val="24"/>
        </w:rPr>
      </w:pPr>
    </w:p>
    <w:p w:rsidRPr="00F43FA9" w:rsidR="001C0072" w:rsidP="001C0072" w:rsidRDefault="001C0072" w14:paraId="42B5F73E" w14:textId="1F03E078">
      <w:pPr>
        <w:tabs>
          <w:tab w:val="left" w:pos="-720"/>
        </w:tabs>
        <w:suppressAutoHyphens/>
        <w:spacing w:after="120"/>
        <w:jc w:val="center"/>
        <w:rPr>
          <w:rFonts w:ascii="Times New Roman" w:hAnsi="Times New Roman"/>
          <w:sz w:val="24"/>
          <w:szCs w:val="24"/>
        </w:rPr>
      </w:pPr>
      <w:r w:rsidRPr="00F43FA9">
        <w:rPr>
          <w:rFonts w:ascii="Times New Roman" w:hAnsi="Times New Roman"/>
          <w:sz w:val="24"/>
          <w:szCs w:val="24"/>
        </w:rPr>
        <w:lastRenderedPageBreak/>
        <w:t>ANNUAL FEDERAL GOVERNMENT COST ESTIMATES</w:t>
      </w:r>
    </w:p>
    <w:p w:rsidR="00A95A6F" w:rsidP="00A95A6F" w:rsidRDefault="00A95A6F" w14:paraId="296329A7" w14:textId="3205DE7F">
      <w:pPr>
        <w:widowControl/>
        <w:spacing w:before="120"/>
        <w:ind w:left="360"/>
        <w:rPr>
          <w:rFonts w:ascii="Times New Roman" w:hAnsi="Times New Roman"/>
          <w:b/>
          <w:snapToGrid/>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08"/>
        <w:gridCol w:w="1307"/>
        <w:gridCol w:w="1307"/>
        <w:gridCol w:w="1307"/>
        <w:gridCol w:w="1307"/>
        <w:gridCol w:w="1307"/>
        <w:gridCol w:w="1307"/>
      </w:tblGrid>
      <w:tr w:rsidRPr="00F43FA9" w:rsidR="00E168B6" w:rsidTr="00A327FA" w14:paraId="6C334445" w14:textId="77777777">
        <w:trPr>
          <w:trHeight w:val="50"/>
        </w:trPr>
        <w:tc>
          <w:tcPr>
            <w:tcW w:w="1508" w:type="dxa"/>
            <w:shd w:val="clear" w:color="auto" w:fill="auto"/>
            <w:vAlign w:val="center"/>
            <w:hideMark/>
          </w:tcPr>
          <w:p w:rsidRPr="001C0072" w:rsidR="00E168B6" w:rsidP="00A327FA" w:rsidRDefault="00E168B6" w14:paraId="644AE266" w14:textId="77777777">
            <w:pPr>
              <w:widowControl/>
              <w:jc w:val="center"/>
              <w:rPr>
                <w:rFonts w:ascii="Times New Roman" w:hAnsi="Times New Roman" w:cs="Calibri"/>
                <w:snapToGrid/>
                <w:color w:val="000000"/>
                <w:szCs w:val="22"/>
              </w:rPr>
            </w:pPr>
            <w:r w:rsidRPr="001C0072">
              <w:rPr>
                <w:rFonts w:ascii="Times New Roman" w:hAnsi="Times New Roman" w:cs="Calibri"/>
                <w:snapToGrid/>
                <w:color w:val="000000"/>
                <w:szCs w:val="22"/>
              </w:rPr>
              <w:t>Cost Item</w:t>
            </w:r>
          </w:p>
        </w:tc>
        <w:tc>
          <w:tcPr>
            <w:tcW w:w="1307" w:type="dxa"/>
            <w:shd w:val="clear" w:color="auto" w:fill="auto"/>
            <w:noWrap/>
            <w:vAlign w:val="center"/>
            <w:hideMark/>
          </w:tcPr>
          <w:p w:rsidRPr="001C0072" w:rsidR="00E168B6" w:rsidP="00A327FA" w:rsidRDefault="00E168B6" w14:paraId="27DC58FE" w14:textId="77777777">
            <w:pPr>
              <w:widowControl/>
              <w:jc w:val="center"/>
              <w:rPr>
                <w:rFonts w:ascii="Times New Roman" w:hAnsi="Times New Roman" w:cs="Calibri"/>
                <w:snapToGrid/>
                <w:color w:val="000000"/>
                <w:szCs w:val="22"/>
              </w:rPr>
            </w:pPr>
            <w:r w:rsidRPr="001C0072">
              <w:rPr>
                <w:rFonts w:ascii="Times New Roman" w:hAnsi="Times New Roman" w:cs="Calibri"/>
                <w:snapToGrid/>
                <w:color w:val="000000"/>
                <w:szCs w:val="22"/>
              </w:rPr>
              <w:t>Hours</w:t>
            </w:r>
          </w:p>
        </w:tc>
        <w:tc>
          <w:tcPr>
            <w:tcW w:w="1307" w:type="dxa"/>
            <w:shd w:val="clear" w:color="auto" w:fill="auto"/>
            <w:vAlign w:val="center"/>
            <w:hideMark/>
          </w:tcPr>
          <w:p w:rsidRPr="001C0072" w:rsidR="00E168B6" w:rsidP="00A327FA" w:rsidRDefault="00E168B6" w14:paraId="4B4EDE5E" w14:textId="77777777">
            <w:pPr>
              <w:widowControl/>
              <w:jc w:val="center"/>
              <w:rPr>
                <w:rFonts w:ascii="Times New Roman" w:hAnsi="Times New Roman" w:cs="Calibri"/>
                <w:snapToGrid/>
                <w:color w:val="000000"/>
                <w:szCs w:val="22"/>
              </w:rPr>
            </w:pPr>
            <w:r w:rsidRPr="00F43FA9">
              <w:rPr>
                <w:rFonts w:ascii="Times New Roman" w:hAnsi="Times New Roman" w:cs="Calibri"/>
                <w:snapToGrid/>
                <w:color w:val="000000"/>
                <w:szCs w:val="22"/>
              </w:rPr>
              <w:t>Hourly Wage Rate (unloaded)</w:t>
            </w:r>
            <w:r w:rsidRPr="00F43FA9">
              <w:rPr>
                <w:rStyle w:val="FootnoteReference"/>
                <w:rFonts w:ascii="Times New Roman" w:hAnsi="Times New Roman" w:cs="Calibri"/>
                <w:snapToGrid/>
                <w:color w:val="000000"/>
                <w:szCs w:val="22"/>
              </w:rPr>
              <w:footnoteReference w:id="3"/>
            </w:r>
          </w:p>
        </w:tc>
        <w:tc>
          <w:tcPr>
            <w:tcW w:w="1307" w:type="dxa"/>
            <w:shd w:val="clear" w:color="auto" w:fill="auto"/>
            <w:noWrap/>
            <w:vAlign w:val="center"/>
            <w:hideMark/>
          </w:tcPr>
          <w:p w:rsidRPr="001C0072" w:rsidR="00E168B6" w:rsidP="00A327FA" w:rsidRDefault="00E168B6" w14:paraId="2BB58AAD" w14:textId="77777777">
            <w:pPr>
              <w:widowControl/>
              <w:jc w:val="center"/>
              <w:rPr>
                <w:rFonts w:ascii="Times New Roman" w:hAnsi="Times New Roman" w:cs="Calibri"/>
                <w:snapToGrid/>
                <w:color w:val="000000"/>
                <w:szCs w:val="22"/>
              </w:rPr>
            </w:pPr>
            <w:r w:rsidRPr="001C0072">
              <w:rPr>
                <w:rFonts w:ascii="Times New Roman" w:hAnsi="Times New Roman" w:cs="Calibri"/>
                <w:snapToGrid/>
                <w:color w:val="000000"/>
                <w:szCs w:val="22"/>
              </w:rPr>
              <w:t>Loading %</w:t>
            </w:r>
          </w:p>
        </w:tc>
        <w:tc>
          <w:tcPr>
            <w:tcW w:w="1307" w:type="dxa"/>
            <w:shd w:val="clear" w:color="auto" w:fill="auto"/>
            <w:vAlign w:val="center"/>
            <w:hideMark/>
          </w:tcPr>
          <w:p w:rsidRPr="001C0072" w:rsidR="00E168B6" w:rsidP="00A327FA" w:rsidRDefault="00E168B6" w14:paraId="6E95D01C" w14:textId="77777777">
            <w:pPr>
              <w:widowControl/>
              <w:jc w:val="center"/>
              <w:rPr>
                <w:rFonts w:ascii="Times New Roman" w:hAnsi="Times New Roman" w:cs="Calibri"/>
                <w:snapToGrid/>
                <w:color w:val="000000"/>
                <w:szCs w:val="22"/>
              </w:rPr>
            </w:pPr>
            <w:r w:rsidRPr="001C0072">
              <w:rPr>
                <w:rFonts w:ascii="Times New Roman" w:hAnsi="Times New Roman" w:cs="Calibri"/>
                <w:snapToGrid/>
                <w:color w:val="000000"/>
                <w:szCs w:val="22"/>
              </w:rPr>
              <w:t>Hourly wage rate (loaded)</w:t>
            </w:r>
          </w:p>
        </w:tc>
        <w:tc>
          <w:tcPr>
            <w:tcW w:w="1307" w:type="dxa"/>
            <w:shd w:val="clear" w:color="auto" w:fill="auto"/>
            <w:vAlign w:val="center"/>
            <w:hideMark/>
          </w:tcPr>
          <w:p w:rsidRPr="001C0072" w:rsidR="00E168B6" w:rsidP="00A327FA" w:rsidRDefault="00E168B6" w14:paraId="045DA408" w14:textId="77777777">
            <w:pPr>
              <w:widowControl/>
              <w:jc w:val="center"/>
              <w:rPr>
                <w:rFonts w:ascii="Times New Roman" w:hAnsi="Times New Roman" w:cs="Calibri"/>
                <w:snapToGrid/>
                <w:color w:val="000000"/>
                <w:szCs w:val="22"/>
              </w:rPr>
            </w:pPr>
            <w:r w:rsidRPr="001C0072">
              <w:rPr>
                <w:rFonts w:ascii="Times New Roman" w:hAnsi="Times New Roman" w:cs="Calibri"/>
                <w:snapToGrid/>
                <w:color w:val="000000"/>
                <w:szCs w:val="22"/>
              </w:rPr>
              <w:t>ODCs</w:t>
            </w:r>
          </w:p>
        </w:tc>
        <w:tc>
          <w:tcPr>
            <w:tcW w:w="1307" w:type="dxa"/>
            <w:shd w:val="clear" w:color="auto" w:fill="auto"/>
            <w:noWrap/>
            <w:vAlign w:val="center"/>
            <w:hideMark/>
          </w:tcPr>
          <w:p w:rsidRPr="001C0072" w:rsidR="00E168B6" w:rsidP="00A327FA" w:rsidRDefault="00E168B6" w14:paraId="176A8314" w14:textId="77777777">
            <w:pPr>
              <w:widowControl/>
              <w:jc w:val="center"/>
              <w:rPr>
                <w:rFonts w:ascii="Times New Roman" w:hAnsi="Times New Roman" w:cs="Calibri"/>
                <w:snapToGrid/>
                <w:color w:val="000000"/>
                <w:szCs w:val="22"/>
              </w:rPr>
            </w:pPr>
            <w:r w:rsidRPr="001C0072">
              <w:rPr>
                <w:rFonts w:ascii="Times New Roman" w:hAnsi="Times New Roman" w:cs="Calibri"/>
                <w:snapToGrid/>
                <w:color w:val="000000"/>
                <w:szCs w:val="22"/>
              </w:rPr>
              <w:t>Total Cost</w:t>
            </w:r>
          </w:p>
        </w:tc>
      </w:tr>
      <w:tr w:rsidRPr="00F43FA9" w:rsidR="00E168B6" w:rsidTr="00A327FA" w14:paraId="6E2C8DB3" w14:textId="77777777">
        <w:trPr>
          <w:trHeight w:val="290"/>
        </w:trPr>
        <w:tc>
          <w:tcPr>
            <w:tcW w:w="1508" w:type="dxa"/>
            <w:shd w:val="clear" w:color="auto" w:fill="auto"/>
            <w:vAlign w:val="center"/>
            <w:hideMark/>
          </w:tcPr>
          <w:p w:rsidRPr="001C0072" w:rsidR="00E168B6" w:rsidP="00A327FA" w:rsidRDefault="00E168B6" w14:paraId="05CEF924" w14:textId="77777777">
            <w:pPr>
              <w:widowControl/>
              <w:rPr>
                <w:rFonts w:ascii="Times New Roman" w:hAnsi="Times New Roman" w:cs="Calibri"/>
                <w:snapToGrid/>
                <w:color w:val="000000"/>
                <w:szCs w:val="22"/>
              </w:rPr>
            </w:pPr>
            <w:r w:rsidRPr="00F43FA9">
              <w:rPr>
                <w:rFonts w:ascii="Times New Roman" w:hAnsi="Times New Roman" w:cs="Calibri"/>
                <w:snapToGrid/>
                <w:color w:val="000000"/>
                <w:szCs w:val="22"/>
              </w:rPr>
              <w:t>Federal Staff</w:t>
            </w:r>
            <w:r w:rsidRPr="00F43FA9">
              <w:rPr>
                <w:rStyle w:val="FootnoteReference"/>
                <w:rFonts w:ascii="Times New Roman" w:hAnsi="Times New Roman" w:cs="Calibri"/>
                <w:snapToGrid/>
                <w:color w:val="000000"/>
                <w:szCs w:val="22"/>
              </w:rPr>
              <w:footnoteReference w:id="4"/>
            </w:r>
          </w:p>
        </w:tc>
        <w:tc>
          <w:tcPr>
            <w:tcW w:w="1307" w:type="dxa"/>
            <w:shd w:val="clear" w:color="auto" w:fill="auto"/>
            <w:noWrap/>
            <w:vAlign w:val="center"/>
            <w:hideMark/>
          </w:tcPr>
          <w:p w:rsidRPr="001C0072" w:rsidR="00E168B6" w:rsidP="00A327FA" w:rsidRDefault="00E168B6" w14:paraId="7038871B"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83</w:t>
            </w:r>
          </w:p>
        </w:tc>
        <w:tc>
          <w:tcPr>
            <w:tcW w:w="1307" w:type="dxa"/>
            <w:shd w:val="clear" w:color="auto" w:fill="auto"/>
            <w:noWrap/>
            <w:vAlign w:val="center"/>
            <w:hideMark/>
          </w:tcPr>
          <w:p w:rsidRPr="001C0072" w:rsidR="00E168B6" w:rsidP="00A327FA" w:rsidRDefault="00E168B6" w14:paraId="43A41D61"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$55.75</w:t>
            </w:r>
          </w:p>
        </w:tc>
        <w:tc>
          <w:tcPr>
            <w:tcW w:w="1307" w:type="dxa"/>
            <w:shd w:val="clear" w:color="auto" w:fill="auto"/>
            <w:noWrap/>
            <w:vAlign w:val="center"/>
            <w:hideMark/>
          </w:tcPr>
          <w:p w:rsidRPr="001C0072" w:rsidR="00E168B6" w:rsidP="00A327FA" w:rsidRDefault="00E168B6" w14:paraId="0A07F4C6"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100%</w:t>
            </w:r>
          </w:p>
        </w:tc>
        <w:tc>
          <w:tcPr>
            <w:tcW w:w="1307" w:type="dxa"/>
            <w:shd w:val="clear" w:color="auto" w:fill="auto"/>
            <w:noWrap/>
            <w:vAlign w:val="center"/>
            <w:hideMark/>
          </w:tcPr>
          <w:p w:rsidRPr="001C0072" w:rsidR="00E168B6" w:rsidP="00A327FA" w:rsidRDefault="00E168B6" w14:paraId="6E45FDEF"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$111.50</w:t>
            </w:r>
          </w:p>
        </w:tc>
        <w:tc>
          <w:tcPr>
            <w:tcW w:w="1307" w:type="dxa"/>
            <w:shd w:val="clear" w:color="auto" w:fill="auto"/>
            <w:noWrap/>
            <w:vAlign w:val="center"/>
            <w:hideMark/>
          </w:tcPr>
          <w:p w:rsidRPr="001C0072" w:rsidR="00E168B6" w:rsidP="00A327FA" w:rsidRDefault="00E168B6" w14:paraId="0E2BA7E6"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$0.00</w:t>
            </w:r>
          </w:p>
        </w:tc>
        <w:tc>
          <w:tcPr>
            <w:tcW w:w="1307" w:type="dxa"/>
            <w:shd w:val="clear" w:color="auto" w:fill="auto"/>
            <w:noWrap/>
            <w:vAlign w:val="center"/>
            <w:hideMark/>
          </w:tcPr>
          <w:p w:rsidRPr="001C0072" w:rsidR="00E168B6" w:rsidP="00A327FA" w:rsidRDefault="00E168B6" w14:paraId="3BD4CF96" w14:textId="77777777">
            <w:pPr>
              <w:widowControl/>
              <w:jc w:val="right"/>
              <w:rPr>
                <w:rFonts w:ascii="Times New Roman" w:hAnsi="Times New Roman" w:cs="Calibri"/>
                <w:snapToGrid/>
                <w:color w:val="000000"/>
                <w:szCs w:val="22"/>
              </w:rPr>
            </w:pPr>
            <w:bookmarkStart w:name="OLE_LINK6" w:id="2"/>
            <w:r w:rsidRPr="001C0072">
              <w:rPr>
                <w:rFonts w:ascii="Times New Roman" w:hAnsi="Times New Roman" w:cs="Calibri"/>
                <w:snapToGrid/>
                <w:color w:val="000000"/>
                <w:szCs w:val="22"/>
              </w:rPr>
              <w:t>$9,255.00</w:t>
            </w:r>
            <w:bookmarkEnd w:id="2"/>
          </w:p>
        </w:tc>
      </w:tr>
      <w:tr w:rsidRPr="00F43FA9" w:rsidR="00E168B6" w:rsidTr="00A327FA" w14:paraId="40F75497" w14:textId="77777777">
        <w:trPr>
          <w:trHeight w:val="290"/>
        </w:trPr>
        <w:tc>
          <w:tcPr>
            <w:tcW w:w="1508" w:type="dxa"/>
            <w:shd w:val="clear" w:color="auto" w:fill="auto"/>
            <w:vAlign w:val="center"/>
            <w:hideMark/>
          </w:tcPr>
          <w:p w:rsidRPr="001C0072" w:rsidR="00E168B6" w:rsidP="00A327FA" w:rsidRDefault="00E168B6" w14:paraId="3E44EE8F" w14:textId="77777777">
            <w:pPr>
              <w:widowControl/>
              <w:rPr>
                <w:rFonts w:ascii="Times New Roman" w:hAnsi="Times New Roman" w:cs="Calibri"/>
                <w:snapToGrid/>
                <w:color w:val="000000"/>
                <w:szCs w:val="22"/>
              </w:rPr>
            </w:pPr>
            <w:r w:rsidRPr="001C0072">
              <w:rPr>
                <w:rFonts w:ascii="Times New Roman" w:hAnsi="Times New Roman" w:cs="Calibri"/>
                <w:snapToGrid/>
                <w:color w:val="000000"/>
                <w:szCs w:val="22"/>
              </w:rPr>
              <w:t>Contractor</w:t>
            </w:r>
            <w:r w:rsidRPr="00F43FA9">
              <w:rPr>
                <w:rStyle w:val="FootnoteReference"/>
                <w:rFonts w:ascii="Times New Roman" w:hAnsi="Times New Roman" w:cs="Calibri"/>
                <w:snapToGrid/>
                <w:color w:val="000000"/>
                <w:szCs w:val="22"/>
              </w:rPr>
              <w:footnoteReference w:id="5"/>
            </w:r>
          </w:p>
        </w:tc>
        <w:tc>
          <w:tcPr>
            <w:tcW w:w="1307" w:type="dxa"/>
            <w:shd w:val="clear" w:color="auto" w:fill="auto"/>
            <w:noWrap/>
            <w:vAlign w:val="center"/>
            <w:hideMark/>
          </w:tcPr>
          <w:p w:rsidRPr="001C0072" w:rsidR="00E168B6" w:rsidP="00A327FA" w:rsidRDefault="00E168B6" w14:paraId="7580B864" w14:textId="77777777">
            <w:pPr>
              <w:widowControl/>
              <w:jc w:val="right"/>
              <w:rPr>
                <w:rFonts w:ascii="Times New Roman" w:hAnsi="Times New Roman" w:cs="Calibri"/>
                <w:snapToGrid/>
                <w:color w:val="000000"/>
                <w:szCs w:val="22"/>
              </w:rPr>
            </w:pPr>
            <w:r w:rsidRPr="00F43FA9">
              <w:rPr>
                <w:rFonts w:ascii="Times New Roman" w:hAnsi="Times New Roman" w:cs="Calibri"/>
                <w:snapToGrid/>
                <w:color w:val="000000"/>
                <w:szCs w:val="22"/>
              </w:rPr>
              <w:t>21</w:t>
            </w:r>
          </w:p>
        </w:tc>
        <w:tc>
          <w:tcPr>
            <w:tcW w:w="1307" w:type="dxa"/>
            <w:shd w:val="clear" w:color="auto" w:fill="auto"/>
            <w:noWrap/>
            <w:vAlign w:val="center"/>
            <w:hideMark/>
          </w:tcPr>
          <w:p w:rsidRPr="001C0072" w:rsidR="00E168B6" w:rsidP="00A327FA" w:rsidRDefault="00E168B6" w14:paraId="662EC95D"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$151.66</w:t>
            </w:r>
          </w:p>
        </w:tc>
        <w:tc>
          <w:tcPr>
            <w:tcW w:w="1307" w:type="dxa"/>
            <w:shd w:val="clear" w:color="auto" w:fill="auto"/>
            <w:noWrap/>
            <w:vAlign w:val="center"/>
            <w:hideMark/>
          </w:tcPr>
          <w:p w:rsidRPr="001C0072" w:rsidR="00E168B6" w:rsidP="00A327FA" w:rsidRDefault="00E168B6" w14:paraId="2BEFEA80"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0%</w:t>
            </w:r>
          </w:p>
        </w:tc>
        <w:tc>
          <w:tcPr>
            <w:tcW w:w="1307" w:type="dxa"/>
            <w:shd w:val="clear" w:color="auto" w:fill="auto"/>
            <w:noWrap/>
            <w:vAlign w:val="center"/>
            <w:hideMark/>
          </w:tcPr>
          <w:p w:rsidRPr="001C0072" w:rsidR="00E168B6" w:rsidP="00A327FA" w:rsidRDefault="00E168B6" w14:paraId="2E03F1B0"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$151.66</w:t>
            </w:r>
          </w:p>
        </w:tc>
        <w:tc>
          <w:tcPr>
            <w:tcW w:w="1307" w:type="dxa"/>
            <w:shd w:val="clear" w:color="auto" w:fill="auto"/>
            <w:noWrap/>
            <w:vAlign w:val="center"/>
            <w:hideMark/>
          </w:tcPr>
          <w:p w:rsidRPr="001C0072" w:rsidR="00E168B6" w:rsidP="00A327FA" w:rsidRDefault="00E168B6" w14:paraId="685BC7D3"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$0.00</w:t>
            </w:r>
          </w:p>
        </w:tc>
        <w:tc>
          <w:tcPr>
            <w:tcW w:w="1307" w:type="dxa"/>
            <w:shd w:val="clear" w:color="auto" w:fill="auto"/>
            <w:noWrap/>
            <w:vAlign w:val="center"/>
            <w:hideMark/>
          </w:tcPr>
          <w:p w:rsidRPr="001C0072" w:rsidR="00E168B6" w:rsidP="00A327FA" w:rsidRDefault="00E168B6" w14:paraId="240DD028" w14:textId="77777777">
            <w:pPr>
              <w:widowControl/>
              <w:jc w:val="right"/>
              <w:rPr>
                <w:rFonts w:ascii="Times New Roman" w:hAnsi="Times New Roman" w:cs="Calibri"/>
                <w:snapToGrid/>
                <w:color w:val="000000"/>
                <w:szCs w:val="22"/>
              </w:rPr>
            </w:pPr>
            <w:bookmarkStart w:name="OLE_LINK7" w:id="3"/>
            <w:r w:rsidRPr="00F43FA9">
              <w:rPr>
                <w:rFonts w:ascii="Times New Roman" w:hAnsi="Times New Roman" w:cs="Calibri"/>
                <w:snapToGrid/>
                <w:color w:val="000000"/>
                <w:szCs w:val="22"/>
              </w:rPr>
              <w:t>$3,185.00</w:t>
            </w:r>
            <w:bookmarkEnd w:id="3"/>
          </w:p>
        </w:tc>
      </w:tr>
      <w:tr w:rsidRPr="00F43FA9" w:rsidR="00E168B6" w:rsidTr="00A327FA" w14:paraId="7BAE33FF" w14:textId="77777777">
        <w:trPr>
          <w:trHeight w:val="290"/>
        </w:trPr>
        <w:tc>
          <w:tcPr>
            <w:tcW w:w="1508" w:type="dxa"/>
            <w:shd w:val="clear" w:color="auto" w:fill="auto"/>
            <w:noWrap/>
            <w:vAlign w:val="center"/>
            <w:hideMark/>
          </w:tcPr>
          <w:p w:rsidRPr="001C0072" w:rsidR="00E168B6" w:rsidP="00A327FA" w:rsidRDefault="00E168B6" w14:paraId="6B74F853" w14:textId="77777777">
            <w:pPr>
              <w:widowControl/>
              <w:rPr>
                <w:rFonts w:ascii="Times New Roman" w:hAnsi="Times New Roman" w:cs="Calibri"/>
                <w:snapToGrid/>
                <w:color w:val="000000"/>
                <w:szCs w:val="22"/>
              </w:rPr>
            </w:pPr>
            <w:r w:rsidRPr="001C0072">
              <w:rPr>
                <w:rFonts w:ascii="Times New Roman" w:hAnsi="Times New Roman" w:cs="Calibri"/>
                <w:snapToGrid/>
                <w:color w:val="000000"/>
                <w:szCs w:val="22"/>
              </w:rPr>
              <w:t>Total</w:t>
            </w:r>
          </w:p>
        </w:tc>
        <w:tc>
          <w:tcPr>
            <w:tcW w:w="1307" w:type="dxa"/>
            <w:shd w:val="clear" w:color="auto" w:fill="auto"/>
            <w:noWrap/>
            <w:vAlign w:val="center"/>
            <w:hideMark/>
          </w:tcPr>
          <w:p w:rsidRPr="001C0072" w:rsidR="00E168B6" w:rsidP="00A327FA" w:rsidRDefault="00E168B6" w14:paraId="01676F55" w14:textId="77777777">
            <w:pPr>
              <w:widowControl/>
              <w:jc w:val="right"/>
              <w:rPr>
                <w:rFonts w:ascii="Times New Roman" w:hAnsi="Times New Roman" w:cs="Calibri"/>
                <w:snapToGrid/>
                <w:color w:val="000000"/>
                <w:szCs w:val="22"/>
              </w:rPr>
            </w:pPr>
            <w:r w:rsidRPr="001C0072">
              <w:rPr>
                <w:rFonts w:ascii="Times New Roman" w:hAnsi="Times New Roman" w:cs="Calibri"/>
                <w:snapToGrid/>
                <w:color w:val="000000"/>
                <w:szCs w:val="22"/>
              </w:rPr>
              <w:t>101</w:t>
            </w:r>
          </w:p>
        </w:tc>
        <w:tc>
          <w:tcPr>
            <w:tcW w:w="1307" w:type="dxa"/>
            <w:shd w:val="clear" w:color="auto" w:fill="auto"/>
            <w:noWrap/>
            <w:vAlign w:val="center"/>
            <w:hideMark/>
          </w:tcPr>
          <w:p w:rsidRPr="001C0072" w:rsidR="00E168B6" w:rsidP="00A327FA" w:rsidRDefault="00E168B6" w14:paraId="7826C7FF" w14:textId="77777777">
            <w:pPr>
              <w:widowControl/>
              <w:rPr>
                <w:rFonts w:ascii="Times New Roman" w:hAnsi="Times New Roman"/>
                <w:snapToGrid/>
              </w:rPr>
            </w:pPr>
          </w:p>
        </w:tc>
        <w:tc>
          <w:tcPr>
            <w:tcW w:w="1307" w:type="dxa"/>
            <w:shd w:val="clear" w:color="auto" w:fill="auto"/>
            <w:noWrap/>
            <w:vAlign w:val="center"/>
            <w:hideMark/>
          </w:tcPr>
          <w:p w:rsidRPr="001C0072" w:rsidR="00E168B6" w:rsidP="00A327FA" w:rsidRDefault="00E168B6" w14:paraId="02D383B8" w14:textId="77777777">
            <w:pPr>
              <w:widowControl/>
              <w:rPr>
                <w:rFonts w:ascii="Times New Roman" w:hAnsi="Times New Roman"/>
                <w:snapToGrid/>
              </w:rPr>
            </w:pPr>
          </w:p>
        </w:tc>
        <w:tc>
          <w:tcPr>
            <w:tcW w:w="1307" w:type="dxa"/>
            <w:shd w:val="clear" w:color="auto" w:fill="auto"/>
            <w:noWrap/>
            <w:vAlign w:val="center"/>
            <w:hideMark/>
          </w:tcPr>
          <w:p w:rsidRPr="001C0072" w:rsidR="00E168B6" w:rsidP="00A327FA" w:rsidRDefault="00E168B6" w14:paraId="0770CF16" w14:textId="77777777">
            <w:pPr>
              <w:widowControl/>
              <w:rPr>
                <w:rFonts w:ascii="Times New Roman" w:hAnsi="Times New Roman"/>
                <w:snapToGrid/>
              </w:rPr>
            </w:pPr>
          </w:p>
        </w:tc>
        <w:tc>
          <w:tcPr>
            <w:tcW w:w="1307" w:type="dxa"/>
            <w:shd w:val="clear" w:color="auto" w:fill="auto"/>
            <w:noWrap/>
            <w:vAlign w:val="center"/>
            <w:hideMark/>
          </w:tcPr>
          <w:p w:rsidRPr="001C0072" w:rsidR="00E168B6" w:rsidP="00A327FA" w:rsidRDefault="00E168B6" w14:paraId="0DC53D0A" w14:textId="77777777">
            <w:pPr>
              <w:widowControl/>
              <w:rPr>
                <w:rFonts w:ascii="Times New Roman" w:hAnsi="Times New Roman"/>
                <w:snapToGrid/>
              </w:rPr>
            </w:pPr>
          </w:p>
        </w:tc>
        <w:tc>
          <w:tcPr>
            <w:tcW w:w="1307" w:type="dxa"/>
            <w:shd w:val="clear" w:color="auto" w:fill="auto"/>
            <w:noWrap/>
            <w:vAlign w:val="center"/>
            <w:hideMark/>
          </w:tcPr>
          <w:p w:rsidRPr="001C0072" w:rsidR="00E168B6" w:rsidP="00A327FA" w:rsidRDefault="00E168B6" w14:paraId="62C35C06" w14:textId="77777777">
            <w:pPr>
              <w:widowControl/>
              <w:jc w:val="right"/>
              <w:rPr>
                <w:rFonts w:ascii="Times New Roman" w:hAnsi="Times New Roman" w:cs="Calibri"/>
                <w:snapToGrid/>
                <w:color w:val="000000"/>
                <w:szCs w:val="22"/>
              </w:rPr>
            </w:pPr>
            <w:r w:rsidRPr="00F43FA9">
              <w:rPr>
                <w:rFonts w:ascii="Times New Roman" w:hAnsi="Times New Roman" w:cs="Calibri"/>
                <w:snapToGrid/>
                <w:color w:val="000000"/>
                <w:szCs w:val="22"/>
              </w:rPr>
              <w:t>$12,440.00</w:t>
            </w:r>
          </w:p>
        </w:tc>
      </w:tr>
    </w:tbl>
    <w:p w:rsidR="00E168B6" w:rsidP="00A95A6F" w:rsidRDefault="00E168B6" w14:paraId="26356A62" w14:textId="77777777">
      <w:pPr>
        <w:widowControl/>
        <w:spacing w:before="120"/>
        <w:ind w:left="360"/>
        <w:rPr>
          <w:rFonts w:ascii="Times New Roman" w:hAnsi="Times New Roman"/>
          <w:b/>
          <w:snapToGrid/>
          <w:sz w:val="24"/>
          <w:szCs w:val="24"/>
        </w:rPr>
      </w:pPr>
    </w:p>
    <w:p w:rsidRPr="00F43FA9" w:rsidR="00FF08A6" w:rsidP="00201ED7" w:rsidRDefault="002C3C4F" w14:paraId="7AF91B0F" w14:textId="3D9C1F22">
      <w:pPr>
        <w:widowControl/>
        <w:numPr>
          <w:ilvl w:val="0"/>
          <w:numId w:val="3"/>
        </w:numPr>
        <w:tabs>
          <w:tab w:val="num" w:pos="360"/>
        </w:tabs>
        <w:spacing w:before="120"/>
        <w:ind w:left="360"/>
        <w:rPr>
          <w:rFonts w:ascii="Times New Roman" w:hAnsi="Times New Roman"/>
          <w:b/>
          <w:snapToGrid/>
          <w:sz w:val="24"/>
          <w:szCs w:val="24"/>
        </w:rPr>
      </w:pPr>
      <w:r w:rsidRPr="00F43FA9">
        <w:rPr>
          <w:rFonts w:ascii="Times New Roman" w:hAnsi="Times New Roman"/>
          <w:b/>
          <w:snapToGrid/>
          <w:sz w:val="24"/>
          <w:szCs w:val="24"/>
        </w:rPr>
        <w:t xml:space="preserve">Explanation for Program Changes or Adjustments </w:t>
      </w:r>
    </w:p>
    <w:p w:rsidR="009F11E6" w:rsidP="009F11E6" w:rsidRDefault="00F64146" w14:paraId="221C011A" w14:textId="1694D486">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 xml:space="preserve">This request is for </w:t>
      </w:r>
      <w:r w:rsidRPr="00F43FA9" w:rsidR="00DA7268">
        <w:rPr>
          <w:rFonts w:ascii="Times New Roman" w:hAnsi="Times New Roman"/>
          <w:sz w:val="24"/>
          <w:szCs w:val="24"/>
        </w:rPr>
        <w:t xml:space="preserve">a non-substantive change to the </w:t>
      </w:r>
      <w:r w:rsidRPr="00F43FA9">
        <w:rPr>
          <w:rFonts w:ascii="Times New Roman" w:hAnsi="Times New Roman"/>
          <w:sz w:val="24"/>
          <w:szCs w:val="24"/>
        </w:rPr>
        <w:t xml:space="preserve">collection </w:t>
      </w:r>
      <w:r w:rsidRPr="00F43FA9" w:rsidR="00DA7268">
        <w:rPr>
          <w:rFonts w:ascii="Times New Roman" w:hAnsi="Times New Roman"/>
          <w:sz w:val="24"/>
          <w:szCs w:val="24"/>
        </w:rPr>
        <w:t xml:space="preserve">approved by </w:t>
      </w:r>
      <w:r w:rsidRPr="00F43FA9">
        <w:rPr>
          <w:rFonts w:ascii="Times New Roman" w:hAnsi="Times New Roman"/>
          <w:sz w:val="24"/>
          <w:szCs w:val="24"/>
        </w:rPr>
        <w:t xml:space="preserve">OMB </w:t>
      </w:r>
      <w:r w:rsidRPr="00F43FA9" w:rsidR="00DA7268">
        <w:rPr>
          <w:rFonts w:ascii="Times New Roman" w:hAnsi="Times New Roman"/>
          <w:sz w:val="24"/>
          <w:szCs w:val="24"/>
        </w:rPr>
        <w:t xml:space="preserve">on </w:t>
      </w:r>
      <w:r w:rsidRPr="00F43FA9" w:rsidR="00DA7268">
        <w:rPr>
          <w:rFonts w:ascii="Times New Roman" w:hAnsi="Times New Roman"/>
          <w:snapToGrid/>
          <w:sz w:val="24"/>
          <w:szCs w:val="24"/>
        </w:rPr>
        <w:t xml:space="preserve">April 23, 2019 under </w:t>
      </w:r>
      <w:r w:rsidRPr="00F43FA9" w:rsidR="00DA7268">
        <w:rPr>
          <w:rFonts w:ascii="Times New Roman" w:hAnsi="Times New Roman"/>
          <w:sz w:val="24"/>
          <w:szCs w:val="24"/>
        </w:rPr>
        <w:t>0970</w:t>
      </w:r>
      <w:r w:rsidR="00A95A6F">
        <w:rPr>
          <w:rFonts w:ascii="Times New Roman" w:hAnsi="Times New Roman"/>
          <w:sz w:val="24"/>
          <w:szCs w:val="24"/>
        </w:rPr>
        <w:t>-</w:t>
      </w:r>
      <w:r w:rsidRPr="00F43FA9" w:rsidR="00DA7268">
        <w:rPr>
          <w:rFonts w:ascii="Times New Roman" w:hAnsi="Times New Roman"/>
          <w:sz w:val="24"/>
          <w:szCs w:val="24"/>
        </w:rPr>
        <w:t>0106.</w:t>
      </w:r>
      <w:r w:rsidRPr="00F43FA9">
        <w:rPr>
          <w:rFonts w:ascii="Times New Roman" w:hAnsi="Times New Roman"/>
          <w:sz w:val="24"/>
          <w:szCs w:val="24"/>
        </w:rPr>
        <w:t xml:space="preserve"> </w:t>
      </w:r>
      <w:r w:rsidRPr="00F43FA9" w:rsidR="00E472EE">
        <w:rPr>
          <w:rFonts w:ascii="Times New Roman" w:hAnsi="Times New Roman"/>
          <w:sz w:val="24"/>
          <w:szCs w:val="24"/>
        </w:rPr>
        <w:t xml:space="preserve"> It calls for grantees to report unobligated LIHEAP funds appropriated by the CARES Act separately from those appropriated by the regular FY</w:t>
      </w:r>
      <w:r w:rsidR="00243FFF">
        <w:rPr>
          <w:rFonts w:ascii="Times New Roman" w:hAnsi="Times New Roman"/>
          <w:sz w:val="24"/>
          <w:szCs w:val="24"/>
        </w:rPr>
        <w:t xml:space="preserve"> </w:t>
      </w:r>
      <w:r w:rsidRPr="00F43FA9" w:rsidR="00E472EE">
        <w:rPr>
          <w:rFonts w:ascii="Times New Roman" w:hAnsi="Times New Roman"/>
          <w:sz w:val="24"/>
          <w:szCs w:val="24"/>
        </w:rPr>
        <w:t>20 appropriations acts.  ACF needs this change to determine how much such funds to reallot or return to the Treasury.</w:t>
      </w:r>
      <w:r w:rsidR="00E168B6">
        <w:rPr>
          <w:rFonts w:ascii="Times New Roman" w:hAnsi="Times New Roman"/>
          <w:sz w:val="24"/>
          <w:szCs w:val="24"/>
        </w:rPr>
        <w:t xml:space="preserve"> ACF proposes to increase the total burden hours for this request to accommodate the additional reporting requirements. ACF also proposes to increase the number of respondents from 177 to 204 due to a recent reassessment of reporting grantees.</w:t>
      </w:r>
    </w:p>
    <w:p w:rsidRPr="00F43FA9" w:rsidR="00E168B6" w:rsidP="009F11E6" w:rsidRDefault="00E168B6" w14:paraId="66A9CCE7" w14:textId="77777777">
      <w:pPr>
        <w:widowControl/>
        <w:tabs>
          <w:tab w:val="num" w:pos="360"/>
        </w:tabs>
        <w:spacing w:before="120" w:after="120"/>
        <w:ind w:left="360"/>
        <w:rPr>
          <w:rFonts w:ascii="Times New Roman" w:hAnsi="Times New Roman"/>
          <w:sz w:val="24"/>
          <w:szCs w:val="24"/>
        </w:rPr>
      </w:pPr>
    </w:p>
    <w:p w:rsidR="00FF08A6" w:rsidP="00201ED7" w:rsidRDefault="002C3C4F" w14:paraId="5FA51F42" w14:textId="005F6324">
      <w:pPr>
        <w:widowControl/>
        <w:numPr>
          <w:ilvl w:val="0"/>
          <w:numId w:val="3"/>
        </w:numPr>
        <w:tabs>
          <w:tab w:val="num" w:pos="360"/>
        </w:tabs>
        <w:ind w:left="360"/>
        <w:rPr>
          <w:rFonts w:ascii="Times New Roman" w:hAnsi="Times New Roman"/>
          <w:b/>
          <w:snapToGrid/>
          <w:sz w:val="24"/>
          <w:szCs w:val="24"/>
        </w:rPr>
      </w:pPr>
      <w:r w:rsidRPr="00F43FA9">
        <w:rPr>
          <w:rFonts w:ascii="Times New Roman" w:hAnsi="Times New Roman"/>
          <w:b/>
          <w:snapToGrid/>
          <w:sz w:val="24"/>
          <w:szCs w:val="24"/>
        </w:rPr>
        <w:t xml:space="preserve">Plans for Tabulation and Publication and Project Time Schedule </w:t>
      </w:r>
    </w:p>
    <w:p w:rsidR="00E168B6" w:rsidP="00E168B6" w:rsidRDefault="00E168B6" w14:paraId="666B08F5" w14:textId="639DE261">
      <w:pPr>
        <w:widowControl/>
        <w:rPr>
          <w:rFonts w:ascii="Times New Roman" w:hAnsi="Times New Roman"/>
          <w:b/>
          <w:snapToGrid/>
          <w:sz w:val="24"/>
          <w:szCs w:val="24"/>
        </w:rPr>
      </w:pPr>
    </w:p>
    <w:p w:rsidRPr="00F43FA9" w:rsidR="00E168B6" w:rsidP="00E168B6" w:rsidRDefault="00E168B6" w14:paraId="615A4266" w14:textId="77777777">
      <w:pPr>
        <w:widowControl/>
        <w:tabs>
          <w:tab w:val="num" w:pos="360"/>
        </w:tabs>
        <w:spacing w:before="120"/>
        <w:ind w:left="360"/>
        <w:rPr>
          <w:rFonts w:ascii="Times New Roman" w:hAnsi="Times New Roman"/>
          <w:sz w:val="24"/>
          <w:szCs w:val="24"/>
        </w:rPr>
      </w:pPr>
      <w:r w:rsidRPr="00F43FA9">
        <w:rPr>
          <w:rFonts w:ascii="Times New Roman" w:hAnsi="Times New Roman"/>
          <w:sz w:val="24"/>
          <w:szCs w:val="24"/>
        </w:rPr>
        <w:t>ACF will issue the form and its associated instructions in the form of an Action Transmittal.  It will post the transmittal to its website and distribute the transmittal to LIHEAP grantees.</w:t>
      </w:r>
    </w:p>
    <w:p w:rsidRPr="00F43FA9" w:rsidR="00E168B6" w:rsidP="00E168B6" w:rsidRDefault="00E168B6" w14:paraId="5EB21FBD" w14:textId="77777777">
      <w:pPr>
        <w:widowControl/>
        <w:tabs>
          <w:tab w:val="num" w:pos="360"/>
        </w:tabs>
        <w:spacing w:before="120"/>
        <w:ind w:left="360"/>
        <w:rPr>
          <w:rFonts w:ascii="Times New Roman" w:hAnsi="Times New Roman"/>
          <w:sz w:val="24"/>
          <w:szCs w:val="24"/>
        </w:rPr>
      </w:pPr>
      <w:r w:rsidRPr="00F43FA9">
        <w:rPr>
          <w:rFonts w:ascii="Times New Roman" w:hAnsi="Times New Roman"/>
          <w:sz w:val="24"/>
          <w:szCs w:val="24"/>
        </w:rPr>
        <w:t xml:space="preserve">The form will be due by grantees, in </w:t>
      </w:r>
      <w:r>
        <w:rPr>
          <w:rFonts w:ascii="Times New Roman" w:hAnsi="Times New Roman"/>
          <w:sz w:val="24"/>
          <w:szCs w:val="24"/>
        </w:rPr>
        <w:t>estimated</w:t>
      </w:r>
      <w:r w:rsidRPr="00F43FA9">
        <w:rPr>
          <w:rFonts w:ascii="Times New Roman" w:hAnsi="Times New Roman"/>
          <w:sz w:val="24"/>
          <w:szCs w:val="24"/>
        </w:rPr>
        <w:t xml:space="preserve"> form, on </w:t>
      </w:r>
      <w:r>
        <w:rPr>
          <w:rFonts w:ascii="Times New Roman" w:hAnsi="Times New Roman"/>
          <w:sz w:val="24"/>
          <w:szCs w:val="24"/>
        </w:rPr>
        <w:t xml:space="preserve">October </w:t>
      </w:r>
      <w:r w:rsidRPr="00F43FA9">
        <w:rPr>
          <w:rFonts w:ascii="Times New Roman" w:hAnsi="Times New Roman"/>
          <w:sz w:val="24"/>
          <w:szCs w:val="24"/>
        </w:rPr>
        <w:t xml:space="preserve">1, 2020.  It will be due in final form on </w:t>
      </w:r>
      <w:r>
        <w:rPr>
          <w:rFonts w:ascii="Times New Roman" w:hAnsi="Times New Roman"/>
          <w:sz w:val="24"/>
          <w:szCs w:val="24"/>
        </w:rPr>
        <w:t>December 3</w:t>
      </w:r>
      <w:r w:rsidRPr="00F43FA9">
        <w:rPr>
          <w:rFonts w:ascii="Times New Roman" w:hAnsi="Times New Roman"/>
          <w:sz w:val="24"/>
          <w:szCs w:val="24"/>
        </w:rPr>
        <w:t xml:space="preserve">1, 2020.  However, ACF will require grantees to update or correct their submissions after </w:t>
      </w:r>
      <w:r>
        <w:rPr>
          <w:rFonts w:ascii="Times New Roman" w:hAnsi="Times New Roman"/>
          <w:sz w:val="24"/>
          <w:szCs w:val="24"/>
        </w:rPr>
        <w:t>December 3</w:t>
      </w:r>
      <w:r w:rsidRPr="00F43FA9">
        <w:rPr>
          <w:rFonts w:ascii="Times New Roman" w:hAnsi="Times New Roman"/>
          <w:sz w:val="24"/>
          <w:szCs w:val="24"/>
        </w:rPr>
        <w:t>1, 2020</w:t>
      </w:r>
      <w:r>
        <w:rPr>
          <w:rFonts w:ascii="Times New Roman" w:hAnsi="Times New Roman"/>
          <w:sz w:val="24"/>
          <w:szCs w:val="24"/>
        </w:rPr>
        <w:t xml:space="preserve"> </w:t>
      </w:r>
      <w:r w:rsidRPr="00F43FA9">
        <w:rPr>
          <w:rFonts w:ascii="Times New Roman" w:hAnsi="Times New Roman"/>
          <w:sz w:val="24"/>
          <w:szCs w:val="24"/>
        </w:rPr>
        <w:t>to the extent that their programs’ circumstances warrant.</w:t>
      </w:r>
    </w:p>
    <w:p w:rsidRPr="00F43FA9" w:rsidR="00E168B6" w:rsidP="00E168B6" w:rsidRDefault="00E168B6" w14:paraId="727889F2" w14:textId="77777777">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 xml:space="preserve">This form, as changed, will allow ACF to determine how much in the way of FY20 LIHEAP funds must be </w:t>
      </w:r>
      <w:proofErr w:type="spellStart"/>
      <w:r w:rsidRPr="00F43FA9">
        <w:rPr>
          <w:rFonts w:ascii="Times New Roman" w:hAnsi="Times New Roman"/>
          <w:sz w:val="24"/>
          <w:szCs w:val="24"/>
        </w:rPr>
        <w:t>reallotted</w:t>
      </w:r>
      <w:proofErr w:type="spellEnd"/>
      <w:r w:rsidRPr="00F43FA9">
        <w:rPr>
          <w:rFonts w:ascii="Times New Roman" w:hAnsi="Times New Roman"/>
          <w:sz w:val="24"/>
          <w:szCs w:val="24"/>
        </w:rPr>
        <w:t xml:space="preserve"> to FY21.  If ACF determines that that amount equals or exceeds $25,000 then it will publish (1) a Federal Register notice (FRN) that states how much it plans to reallot from each grantee; (2) a Dear Colleague Letter (DCL) that shows how much it ultimately reallots and how much each grantee received; and (3) a second FRN that reiterates the information in the DCL.</w:t>
      </w:r>
    </w:p>
    <w:p w:rsidR="00E168B6" w:rsidP="00E168B6" w:rsidRDefault="00E168B6" w14:paraId="3B028997" w14:textId="4071AD06">
      <w:pPr>
        <w:widowControl/>
        <w:ind w:left="360"/>
        <w:rPr>
          <w:rFonts w:ascii="Times New Roman" w:hAnsi="Times New Roman"/>
          <w:b/>
          <w:snapToGrid/>
          <w:sz w:val="24"/>
          <w:szCs w:val="24"/>
        </w:rPr>
      </w:pPr>
    </w:p>
    <w:p w:rsidRPr="00F43FA9" w:rsidR="00E168B6" w:rsidP="00E168B6" w:rsidRDefault="00E168B6" w14:paraId="6407A53B" w14:textId="77777777">
      <w:pPr>
        <w:widowControl/>
        <w:ind w:left="360"/>
        <w:rPr>
          <w:rFonts w:ascii="Times New Roman" w:hAnsi="Times New Roman"/>
          <w:b/>
          <w:snapToGrid/>
          <w:sz w:val="24"/>
          <w:szCs w:val="24"/>
        </w:rPr>
      </w:pPr>
    </w:p>
    <w:p w:rsidRPr="00F43FA9" w:rsidR="00FF08A6" w:rsidP="00201ED7" w:rsidRDefault="002C3C4F" w14:paraId="7E2F69F3" w14:textId="2524D771">
      <w:pPr>
        <w:widowControl/>
        <w:numPr>
          <w:ilvl w:val="0"/>
          <w:numId w:val="3"/>
        </w:numPr>
        <w:tabs>
          <w:tab w:val="num" w:pos="360"/>
        </w:tabs>
        <w:ind w:left="360"/>
        <w:rPr>
          <w:rFonts w:ascii="Times New Roman" w:hAnsi="Times New Roman"/>
          <w:b/>
          <w:snapToGrid/>
          <w:sz w:val="24"/>
          <w:szCs w:val="24"/>
        </w:rPr>
      </w:pPr>
      <w:r w:rsidRPr="00F43FA9">
        <w:rPr>
          <w:rFonts w:ascii="Times New Roman" w:hAnsi="Times New Roman"/>
          <w:b/>
          <w:snapToGrid/>
          <w:sz w:val="24"/>
          <w:szCs w:val="24"/>
        </w:rPr>
        <w:lastRenderedPageBreak/>
        <w:t>Reason(s) Display of OMB Expiration Date is Inappropriate</w:t>
      </w:r>
    </w:p>
    <w:p w:rsidRPr="00F43FA9" w:rsidR="001D764A" w:rsidP="001D764A" w:rsidRDefault="001D764A" w14:paraId="64F530C5" w14:textId="474EF983">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The OMB Clearance number and expiration date will be displayed on the form.</w:t>
      </w:r>
    </w:p>
    <w:p w:rsidRPr="00F43FA9" w:rsidR="00FF08A6" w:rsidP="00F43FA9" w:rsidRDefault="002C3C4F" w14:paraId="7F619BE7" w14:textId="0ED55918">
      <w:pPr>
        <w:widowControl/>
        <w:numPr>
          <w:ilvl w:val="0"/>
          <w:numId w:val="3"/>
        </w:numPr>
        <w:tabs>
          <w:tab w:val="num" w:pos="360"/>
        </w:tabs>
        <w:ind w:left="360"/>
        <w:rPr>
          <w:rFonts w:ascii="Times New Roman" w:hAnsi="Times New Roman"/>
          <w:b/>
          <w:snapToGrid/>
          <w:sz w:val="24"/>
          <w:szCs w:val="24"/>
        </w:rPr>
      </w:pPr>
      <w:r w:rsidRPr="00F43FA9">
        <w:rPr>
          <w:rFonts w:ascii="Times New Roman" w:hAnsi="Times New Roman"/>
          <w:b/>
          <w:snapToGrid/>
          <w:sz w:val="24"/>
          <w:szCs w:val="24"/>
        </w:rPr>
        <w:t>Exceptions to Certification for Paperwork Reduction Act Submissions</w:t>
      </w:r>
    </w:p>
    <w:p w:rsidRPr="009C17D6" w:rsidR="00201ED7" w:rsidP="00201ED7" w:rsidRDefault="00201ED7" w14:paraId="0C90D2FE" w14:textId="72C1D1B1">
      <w:pPr>
        <w:widowControl/>
        <w:tabs>
          <w:tab w:val="num" w:pos="360"/>
        </w:tabs>
        <w:spacing w:before="120" w:after="120"/>
        <w:ind w:left="360"/>
        <w:rPr>
          <w:rFonts w:ascii="Times New Roman" w:hAnsi="Times New Roman"/>
          <w:sz w:val="24"/>
          <w:szCs w:val="24"/>
        </w:rPr>
      </w:pPr>
      <w:r w:rsidRPr="00F43FA9">
        <w:rPr>
          <w:rFonts w:ascii="Times New Roman" w:hAnsi="Times New Roman"/>
          <w:sz w:val="24"/>
          <w:szCs w:val="24"/>
        </w:rPr>
        <w:t>There are no exceptions necessary for this data collection effort.</w:t>
      </w:r>
    </w:p>
    <w:sectPr w:rsidRPr="009C17D6" w:rsidR="00201ED7"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02F49" w14:textId="77777777" w:rsidR="001C5799" w:rsidRDefault="001C5799">
      <w:pPr>
        <w:spacing w:line="20" w:lineRule="exact"/>
        <w:rPr>
          <w:sz w:val="24"/>
        </w:rPr>
      </w:pPr>
    </w:p>
  </w:endnote>
  <w:endnote w:type="continuationSeparator" w:id="0">
    <w:p w14:paraId="2530596C" w14:textId="77777777" w:rsidR="001C5799" w:rsidRDefault="001C5799">
      <w:r>
        <w:rPr>
          <w:sz w:val="24"/>
        </w:rPr>
        <w:t xml:space="preserve"> </w:t>
      </w:r>
    </w:p>
  </w:endnote>
  <w:endnote w:type="continuationNotice" w:id="1">
    <w:p w14:paraId="0A52ED7E" w14:textId="77777777" w:rsidR="001C5799" w:rsidRDefault="001C57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EA95" w14:textId="18492659" w:rsidR="009228B7" w:rsidRDefault="006A5A0D" w:rsidP="006A5A0D">
    <w:pPr>
      <w:tabs>
        <w:tab w:val="left" w:pos="-720"/>
      </w:tabs>
      <w:suppressAutoHyphens/>
      <w:jc w:val="center"/>
      <w:rPr>
        <w:sz w:val="24"/>
      </w:rPr>
    </w:pPr>
    <w:r>
      <w:rPr>
        <w:sz w:val="24"/>
      </w:rPr>
      <w:fldChar w:fldCharType="begin"/>
    </w:r>
    <w:r>
      <w:rPr>
        <w:sz w:val="24"/>
      </w:rPr>
      <w:instrText>page \* arabic</w:instrText>
    </w:r>
    <w:r>
      <w:rPr>
        <w:sz w:val="24"/>
      </w:rPr>
      <w:fldChar w:fldCharType="separate"/>
    </w:r>
    <w:r w:rsidR="001176EC">
      <w:rPr>
        <w:noProof/>
        <w:sz w:val="24"/>
      </w:rPr>
      <w:t>7</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C2F15" w14:textId="77777777" w:rsidR="001C5799" w:rsidRDefault="001C5799">
      <w:r>
        <w:rPr>
          <w:sz w:val="24"/>
        </w:rPr>
        <w:separator/>
      </w:r>
    </w:p>
  </w:footnote>
  <w:footnote w:type="continuationSeparator" w:id="0">
    <w:p w14:paraId="02773F6B" w14:textId="77777777" w:rsidR="001C5799" w:rsidRDefault="001C5799">
      <w:r>
        <w:continuationSeparator/>
      </w:r>
    </w:p>
  </w:footnote>
  <w:footnote w:type="continuationNotice" w:id="1">
    <w:p w14:paraId="312E9B2C" w14:textId="77777777" w:rsidR="001C5799" w:rsidRDefault="001C5799"/>
  </w:footnote>
  <w:footnote w:id="2">
    <w:p w14:paraId="0A188DF1" w14:textId="0087795E" w:rsidR="00F105C9" w:rsidRDefault="00BF7E54">
      <w:pPr>
        <w:pStyle w:val="FootnoteText"/>
      </w:pPr>
      <w:r>
        <w:rPr>
          <w:rStyle w:val="FootnoteReference"/>
        </w:rPr>
        <w:footnoteRef/>
      </w:r>
      <w:r>
        <w:t xml:space="preserve"> Average hourly wage is the approximate average LIHEAP Coordinator salary, including fringe benefits and overhead.  The estimate derived from OCS’ estimate in the renewal of the 2018 RECS Data Match (previously approved under </w:t>
      </w:r>
      <w:r w:rsidRPr="00701656">
        <w:t>OMB Control Number is 0970-0486</w:t>
      </w:r>
      <w:r>
        <w:t>), inflated by three percent.</w:t>
      </w:r>
    </w:p>
  </w:footnote>
  <w:footnote w:id="3">
    <w:p w14:paraId="650DAFAD" w14:textId="77777777" w:rsidR="00E168B6" w:rsidRDefault="00E168B6" w:rsidP="00E168B6">
      <w:pPr>
        <w:pStyle w:val="FootnoteText"/>
      </w:pPr>
      <w:r>
        <w:rPr>
          <w:rStyle w:val="FootnoteReference"/>
        </w:rPr>
        <w:footnoteRef/>
      </w:r>
      <w:r>
        <w:t xml:space="preserve"> The hourly wage rate for federal staff derives from that of a </w:t>
      </w:r>
      <w:r w:rsidRPr="001C0072">
        <w:t>GS</w:t>
      </w:r>
      <w:r>
        <w:t>-</w:t>
      </w:r>
      <w:r w:rsidRPr="001C0072">
        <w:t>13 Step 5</w:t>
      </w:r>
      <w:r>
        <w:t xml:space="preserve"> employee in </w:t>
      </w:r>
      <w:hyperlink r:id="rId1" w:history="1">
        <w:r w:rsidRPr="001C0072">
          <w:rPr>
            <w:rStyle w:val="Hyperlink"/>
          </w:rPr>
          <w:t xml:space="preserve">OPM’s 2020 hourly </w:t>
        </w:r>
        <w:r>
          <w:rPr>
            <w:rStyle w:val="Hyperlink"/>
          </w:rPr>
          <w:t xml:space="preserve">wage rate </w:t>
        </w:r>
        <w:r w:rsidRPr="001C0072">
          <w:rPr>
            <w:rStyle w:val="Hyperlink"/>
          </w:rPr>
          <w:t>table for General Schedule employees in Washington DC</w:t>
        </w:r>
      </w:hyperlink>
      <w:r>
        <w:t>.</w:t>
      </w:r>
    </w:p>
  </w:footnote>
  <w:footnote w:id="4">
    <w:p w14:paraId="59196B5E" w14:textId="77777777" w:rsidR="00E168B6" w:rsidRDefault="00E168B6" w:rsidP="00E168B6">
      <w:pPr>
        <w:pStyle w:val="FootnoteText"/>
      </w:pPr>
      <w:r>
        <w:rPr>
          <w:rStyle w:val="FootnoteReference"/>
        </w:rPr>
        <w:footnoteRef/>
      </w:r>
      <w:r>
        <w:t xml:space="preserve"> The federal staff hours estimate comes from (1) the imputed number of hours from OCS’ estimate of total costs and applicable wage rate associated with the supporting statement submitted under </w:t>
      </w:r>
      <w:r w:rsidRPr="00740E2F">
        <w:t>201811-0970-006</w:t>
      </w:r>
      <w:r>
        <w:t>; and (2) an offhand estimate of 10 additional hours for OLDC changes.</w:t>
      </w:r>
    </w:p>
  </w:footnote>
  <w:footnote w:id="5">
    <w:p w14:paraId="3F38E817" w14:textId="77777777" w:rsidR="00E168B6" w:rsidRDefault="00E168B6" w:rsidP="00E168B6">
      <w:pPr>
        <w:pStyle w:val="FootnoteText"/>
      </w:pPr>
      <w:r>
        <w:rPr>
          <w:rStyle w:val="FootnoteReference"/>
        </w:rPr>
        <w:footnoteRef/>
      </w:r>
      <w:r>
        <w:t xml:space="preserve"> The contractor staff </w:t>
      </w:r>
      <w:proofErr w:type="gramStart"/>
      <w:r>
        <w:t>hours</w:t>
      </w:r>
      <w:proofErr w:type="gramEnd"/>
      <w:r>
        <w:t xml:space="preserve"> estimate comes from an offhand estimate of one-quarter of federal hours.  The contractor’s wage rate estimate comes from the average of the cognizant contractor’s FY14 and FY15 wage rates for similar tasks under </w:t>
      </w:r>
      <w:r w:rsidRPr="004962AF">
        <w:t>HHSP233201250020A</w:t>
      </w:r>
      <w:r>
        <w:t>, inflated by three percent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C5402"/>
    <w:multiLevelType w:val="multilevel"/>
    <w:tmpl w:val="9190D398"/>
    <w:lvl w:ilvl="0">
      <w:start w:val="1"/>
      <w:numFmt w:val="decimal"/>
      <w:lvlText w:val="%1."/>
      <w:lvlJc w:val="left"/>
      <w:pPr>
        <w:tabs>
          <w:tab w:val="num" w:pos="153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41C23"/>
    <w:multiLevelType w:val="multilevel"/>
    <w:tmpl w:val="F4E0F642"/>
    <w:lvl w:ilvl="0">
      <w:start w:val="1"/>
      <w:numFmt w:val="decimal"/>
      <w:lvlText w:val="%1."/>
      <w:lvlJc w:val="left"/>
      <w:pPr>
        <w:tabs>
          <w:tab w:val="num" w:pos="1530"/>
        </w:tabs>
        <w:ind w:left="1080" w:hanging="360"/>
      </w:pPr>
      <w:rPr>
        <w:rFonts w:hint="default"/>
      </w:rPr>
    </w:lvl>
    <w:lvl w:ilvl="1">
      <w:start w:val="1"/>
      <w:numFmt w:val="lowerLetter"/>
      <w:lvlText w:val="%2."/>
      <w:lvlJc w:val="left"/>
      <w:pPr>
        <w:tabs>
          <w:tab w:val="num" w:pos="144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34363"/>
    <w:multiLevelType w:val="hybridMultilevel"/>
    <w:tmpl w:val="ECA06AD4"/>
    <w:lvl w:ilvl="0" w:tplc="3FDA0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8C7499"/>
    <w:multiLevelType w:val="multilevel"/>
    <w:tmpl w:val="F4E0F642"/>
    <w:lvl w:ilvl="0">
      <w:start w:val="1"/>
      <w:numFmt w:val="decimal"/>
      <w:lvlText w:val="%1."/>
      <w:lvlJc w:val="left"/>
      <w:pPr>
        <w:tabs>
          <w:tab w:val="num" w:pos="1530"/>
        </w:tabs>
        <w:ind w:left="1080" w:hanging="360"/>
      </w:pPr>
      <w:rPr>
        <w:rFonts w:hint="default"/>
      </w:rPr>
    </w:lvl>
    <w:lvl w:ilvl="1">
      <w:start w:val="1"/>
      <w:numFmt w:val="lowerLetter"/>
      <w:lvlText w:val="%2."/>
      <w:lvlJc w:val="left"/>
      <w:pPr>
        <w:tabs>
          <w:tab w:val="num" w:pos="144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4"/>
  </w:num>
  <w:num w:numId="2">
    <w:abstractNumId w:val="15"/>
  </w:num>
  <w:num w:numId="3">
    <w:abstractNumId w:val="17"/>
  </w:num>
  <w:num w:numId="4">
    <w:abstractNumId w:val="7"/>
  </w:num>
  <w:num w:numId="5">
    <w:abstractNumId w:val="10"/>
  </w:num>
  <w:num w:numId="6">
    <w:abstractNumId w:val="13"/>
  </w:num>
  <w:num w:numId="7">
    <w:abstractNumId w:val="3"/>
  </w:num>
  <w:num w:numId="8">
    <w:abstractNumId w:val="12"/>
  </w:num>
  <w:num w:numId="9">
    <w:abstractNumId w:val="18"/>
  </w:num>
  <w:num w:numId="10">
    <w:abstractNumId w:val="11"/>
  </w:num>
  <w:num w:numId="11">
    <w:abstractNumId w:val="9"/>
  </w:num>
  <w:num w:numId="12">
    <w:abstractNumId w:val="0"/>
  </w:num>
  <w:num w:numId="13">
    <w:abstractNumId w:val="20"/>
  </w:num>
  <w:num w:numId="14">
    <w:abstractNumId w:val="1"/>
  </w:num>
  <w:num w:numId="15">
    <w:abstractNumId w:val="5"/>
  </w:num>
  <w:num w:numId="16">
    <w:abstractNumId w:val="16"/>
  </w:num>
  <w:num w:numId="17">
    <w:abstractNumId w:val="21"/>
  </w:num>
  <w:num w:numId="18">
    <w:abstractNumId w:val="6"/>
  </w:num>
  <w:num w:numId="19">
    <w:abstractNumId w:val="22"/>
  </w:num>
  <w:num w:numId="20">
    <w:abstractNumId w:val="19"/>
  </w:num>
  <w:num w:numId="21">
    <w:abstractNumId w:val="2"/>
  </w:num>
  <w:num w:numId="22">
    <w:abstractNumId w:val="23"/>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2B4C"/>
    <w:rsid w:val="000039EC"/>
    <w:rsid w:val="0001102C"/>
    <w:rsid w:val="00016328"/>
    <w:rsid w:val="00022586"/>
    <w:rsid w:val="0003348A"/>
    <w:rsid w:val="00056C4B"/>
    <w:rsid w:val="00075889"/>
    <w:rsid w:val="00083C30"/>
    <w:rsid w:val="0009007E"/>
    <w:rsid w:val="000B786B"/>
    <w:rsid w:val="000C372C"/>
    <w:rsid w:val="000D0CB6"/>
    <w:rsid w:val="000E03F0"/>
    <w:rsid w:val="000E3EC2"/>
    <w:rsid w:val="000F069F"/>
    <w:rsid w:val="00102200"/>
    <w:rsid w:val="00102A83"/>
    <w:rsid w:val="00103688"/>
    <w:rsid w:val="001176EC"/>
    <w:rsid w:val="00127D26"/>
    <w:rsid w:val="001337B5"/>
    <w:rsid w:val="0014145B"/>
    <w:rsid w:val="0015529F"/>
    <w:rsid w:val="00160621"/>
    <w:rsid w:val="001679A1"/>
    <w:rsid w:val="00186385"/>
    <w:rsid w:val="001969E2"/>
    <w:rsid w:val="001C0072"/>
    <w:rsid w:val="001C483C"/>
    <w:rsid w:val="001C5799"/>
    <w:rsid w:val="001C7FFE"/>
    <w:rsid w:val="001D1651"/>
    <w:rsid w:val="001D764A"/>
    <w:rsid w:val="001E4DFB"/>
    <w:rsid w:val="001F3EDA"/>
    <w:rsid w:val="001F6B25"/>
    <w:rsid w:val="00201ED7"/>
    <w:rsid w:val="00215031"/>
    <w:rsid w:val="0022229F"/>
    <w:rsid w:val="00222C7F"/>
    <w:rsid w:val="00226C42"/>
    <w:rsid w:val="00234235"/>
    <w:rsid w:val="00243FFF"/>
    <w:rsid w:val="002464EB"/>
    <w:rsid w:val="002509BD"/>
    <w:rsid w:val="0025157F"/>
    <w:rsid w:val="00290A1C"/>
    <w:rsid w:val="00292F6C"/>
    <w:rsid w:val="0029589B"/>
    <w:rsid w:val="00296738"/>
    <w:rsid w:val="002A2052"/>
    <w:rsid w:val="002A3AFF"/>
    <w:rsid w:val="002C3C4F"/>
    <w:rsid w:val="002E10D1"/>
    <w:rsid w:val="002E76A4"/>
    <w:rsid w:val="003405A4"/>
    <w:rsid w:val="00354319"/>
    <w:rsid w:val="003710E4"/>
    <w:rsid w:val="0038209B"/>
    <w:rsid w:val="003916A4"/>
    <w:rsid w:val="003A6723"/>
    <w:rsid w:val="003B026A"/>
    <w:rsid w:val="003B7A50"/>
    <w:rsid w:val="003C1D6E"/>
    <w:rsid w:val="003D16F5"/>
    <w:rsid w:val="003E6EA3"/>
    <w:rsid w:val="00402D24"/>
    <w:rsid w:val="00405C10"/>
    <w:rsid w:val="004110F5"/>
    <w:rsid w:val="00422E1D"/>
    <w:rsid w:val="00431F83"/>
    <w:rsid w:val="004602FE"/>
    <w:rsid w:val="00467954"/>
    <w:rsid w:val="00476C1F"/>
    <w:rsid w:val="00480072"/>
    <w:rsid w:val="00490457"/>
    <w:rsid w:val="0049119A"/>
    <w:rsid w:val="00491D10"/>
    <w:rsid w:val="004943E0"/>
    <w:rsid w:val="004962AF"/>
    <w:rsid w:val="004B64A7"/>
    <w:rsid w:val="004C11C0"/>
    <w:rsid w:val="004D0FDC"/>
    <w:rsid w:val="004F45CE"/>
    <w:rsid w:val="004F7B95"/>
    <w:rsid w:val="0051278C"/>
    <w:rsid w:val="00522C18"/>
    <w:rsid w:val="00541E51"/>
    <w:rsid w:val="005520C3"/>
    <w:rsid w:val="0055383F"/>
    <w:rsid w:val="00556056"/>
    <w:rsid w:val="00581D9D"/>
    <w:rsid w:val="005824BD"/>
    <w:rsid w:val="00597E7F"/>
    <w:rsid w:val="005B00FC"/>
    <w:rsid w:val="005B14EA"/>
    <w:rsid w:val="005B22D4"/>
    <w:rsid w:val="005C60F1"/>
    <w:rsid w:val="005D1B7E"/>
    <w:rsid w:val="005D274E"/>
    <w:rsid w:val="005D61DB"/>
    <w:rsid w:val="005E0B35"/>
    <w:rsid w:val="005F0ED4"/>
    <w:rsid w:val="00603498"/>
    <w:rsid w:val="00634E1D"/>
    <w:rsid w:val="00640565"/>
    <w:rsid w:val="00651F0F"/>
    <w:rsid w:val="00652742"/>
    <w:rsid w:val="00681E38"/>
    <w:rsid w:val="0068657E"/>
    <w:rsid w:val="00693840"/>
    <w:rsid w:val="006A5A0D"/>
    <w:rsid w:val="006B1006"/>
    <w:rsid w:val="006B2726"/>
    <w:rsid w:val="006D1643"/>
    <w:rsid w:val="006D304F"/>
    <w:rsid w:val="006D5690"/>
    <w:rsid w:val="006E6629"/>
    <w:rsid w:val="006F589F"/>
    <w:rsid w:val="006F68BE"/>
    <w:rsid w:val="00701656"/>
    <w:rsid w:val="00703996"/>
    <w:rsid w:val="00707AFB"/>
    <w:rsid w:val="00712334"/>
    <w:rsid w:val="0072636E"/>
    <w:rsid w:val="00735C26"/>
    <w:rsid w:val="00740E2F"/>
    <w:rsid w:val="00762C40"/>
    <w:rsid w:val="00786793"/>
    <w:rsid w:val="00790D2C"/>
    <w:rsid w:val="007935D5"/>
    <w:rsid w:val="007A0FBE"/>
    <w:rsid w:val="007A6231"/>
    <w:rsid w:val="007B2F5E"/>
    <w:rsid w:val="007B7DAF"/>
    <w:rsid w:val="007E48CC"/>
    <w:rsid w:val="0080325F"/>
    <w:rsid w:val="00813175"/>
    <w:rsid w:val="00817E2B"/>
    <w:rsid w:val="00841BDF"/>
    <w:rsid w:val="0084609A"/>
    <w:rsid w:val="00846E18"/>
    <w:rsid w:val="008900A8"/>
    <w:rsid w:val="008955AC"/>
    <w:rsid w:val="008A0A55"/>
    <w:rsid w:val="008E467A"/>
    <w:rsid w:val="008F7221"/>
    <w:rsid w:val="009113FF"/>
    <w:rsid w:val="009167CC"/>
    <w:rsid w:val="009228B7"/>
    <w:rsid w:val="00927635"/>
    <w:rsid w:val="00936A53"/>
    <w:rsid w:val="009451B1"/>
    <w:rsid w:val="00945B72"/>
    <w:rsid w:val="00946EF5"/>
    <w:rsid w:val="00957799"/>
    <w:rsid w:val="00962045"/>
    <w:rsid w:val="00966622"/>
    <w:rsid w:val="00986C16"/>
    <w:rsid w:val="009C17D6"/>
    <w:rsid w:val="009C2DE1"/>
    <w:rsid w:val="009C5213"/>
    <w:rsid w:val="009D6555"/>
    <w:rsid w:val="009D789F"/>
    <w:rsid w:val="009E6157"/>
    <w:rsid w:val="009F11E6"/>
    <w:rsid w:val="009F5543"/>
    <w:rsid w:val="009F58E1"/>
    <w:rsid w:val="00A04EF3"/>
    <w:rsid w:val="00A160B5"/>
    <w:rsid w:val="00A35853"/>
    <w:rsid w:val="00A60BB4"/>
    <w:rsid w:val="00A61AC0"/>
    <w:rsid w:val="00A719A2"/>
    <w:rsid w:val="00A77AC0"/>
    <w:rsid w:val="00A918E4"/>
    <w:rsid w:val="00A95A6F"/>
    <w:rsid w:val="00AA7B9B"/>
    <w:rsid w:val="00AD5ED7"/>
    <w:rsid w:val="00AF399C"/>
    <w:rsid w:val="00AF4186"/>
    <w:rsid w:val="00AF4347"/>
    <w:rsid w:val="00AF5FE7"/>
    <w:rsid w:val="00B14349"/>
    <w:rsid w:val="00B24003"/>
    <w:rsid w:val="00B27347"/>
    <w:rsid w:val="00B84243"/>
    <w:rsid w:val="00BB6E86"/>
    <w:rsid w:val="00BD378C"/>
    <w:rsid w:val="00BE4E61"/>
    <w:rsid w:val="00BF2B4D"/>
    <w:rsid w:val="00BF7E54"/>
    <w:rsid w:val="00C02282"/>
    <w:rsid w:val="00C13BA6"/>
    <w:rsid w:val="00C21966"/>
    <w:rsid w:val="00C22D3C"/>
    <w:rsid w:val="00C40725"/>
    <w:rsid w:val="00C548B2"/>
    <w:rsid w:val="00CA260D"/>
    <w:rsid w:val="00CA2C57"/>
    <w:rsid w:val="00CB1A12"/>
    <w:rsid w:val="00CC76BF"/>
    <w:rsid w:val="00CD5325"/>
    <w:rsid w:val="00CE53AB"/>
    <w:rsid w:val="00CE6182"/>
    <w:rsid w:val="00CF71DA"/>
    <w:rsid w:val="00D02EF1"/>
    <w:rsid w:val="00D14B71"/>
    <w:rsid w:val="00D176EB"/>
    <w:rsid w:val="00D203FE"/>
    <w:rsid w:val="00D23978"/>
    <w:rsid w:val="00D344B2"/>
    <w:rsid w:val="00D37EA0"/>
    <w:rsid w:val="00D51E85"/>
    <w:rsid w:val="00D60543"/>
    <w:rsid w:val="00D63463"/>
    <w:rsid w:val="00D67D80"/>
    <w:rsid w:val="00D7443D"/>
    <w:rsid w:val="00D806D3"/>
    <w:rsid w:val="00D81E70"/>
    <w:rsid w:val="00D904C3"/>
    <w:rsid w:val="00D9648C"/>
    <w:rsid w:val="00D9720E"/>
    <w:rsid w:val="00DA7268"/>
    <w:rsid w:val="00DB2443"/>
    <w:rsid w:val="00DC1C23"/>
    <w:rsid w:val="00DC4392"/>
    <w:rsid w:val="00DC6F8E"/>
    <w:rsid w:val="00DE529D"/>
    <w:rsid w:val="00DE5A0F"/>
    <w:rsid w:val="00E009F5"/>
    <w:rsid w:val="00E01B4E"/>
    <w:rsid w:val="00E168B6"/>
    <w:rsid w:val="00E368FB"/>
    <w:rsid w:val="00E36E8B"/>
    <w:rsid w:val="00E4383A"/>
    <w:rsid w:val="00E472EE"/>
    <w:rsid w:val="00E628BF"/>
    <w:rsid w:val="00E93D2E"/>
    <w:rsid w:val="00EC698B"/>
    <w:rsid w:val="00ED576E"/>
    <w:rsid w:val="00ED782E"/>
    <w:rsid w:val="00F02021"/>
    <w:rsid w:val="00F105C9"/>
    <w:rsid w:val="00F10B17"/>
    <w:rsid w:val="00F210CA"/>
    <w:rsid w:val="00F43FA9"/>
    <w:rsid w:val="00F64146"/>
    <w:rsid w:val="00F83116"/>
    <w:rsid w:val="00FA1F82"/>
    <w:rsid w:val="00FA2290"/>
    <w:rsid w:val="00FA5092"/>
    <w:rsid w:val="00FB4221"/>
    <w:rsid w:val="00FB7547"/>
    <w:rsid w:val="00FD2B51"/>
    <w:rsid w:val="00FD76F8"/>
    <w:rsid w:val="00FE0FDC"/>
    <w:rsid w:val="00FF08A6"/>
    <w:rsid w:val="00FF5708"/>
    <w:rsid w:val="00FF5D67"/>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89ED33"/>
  <w15:chartTrackingRefBased/>
  <w15:docId w15:val="{17C979DB-F432-47E3-86AE-F85E4625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DE5A0F"/>
    <w:rPr>
      <w:rFonts w:ascii="Times New Roman" w:hAnsi="Times New Roman"/>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652742"/>
    <w:rPr>
      <w:rFonts w:ascii="Calibri" w:hAnsi="Calibri"/>
    </w:rPr>
  </w:style>
  <w:style w:type="character" w:customStyle="1" w:styleId="CommentTextChar">
    <w:name w:val="Comment Text Char"/>
    <w:link w:val="CommentText"/>
    <w:rsid w:val="00652742"/>
    <w:rPr>
      <w:rFonts w:ascii="Calibri" w:hAnsi="Calibri"/>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E5A0F"/>
    <w:rPr>
      <w:snapToGrid w:val="0"/>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96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3516">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51373694">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8/08/17/2018-17768/proposed-information-collection-activity-comment-requ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3896</Tracking_x0020_Number>
    <Posted_x0020_Online_x0020_Date xmlns="529ba1de-83f7-4614-a33a-20d5c69b3234" xsi:nil="true"/>
    <Completed_x003f_ xmlns="529ba1de-83f7-4614-a33a-20d5c69b3234">Yes</Completed_x003f_>
    <Type_x0020_of_x0020_Doc xmlns="529ba1de-83f7-4614-a33a-20d5c69b3234">Public Communications</Type_x0020_of_x0020_Doc>
    <Division xmlns="529ba1de-83f7-4614-a33a-20d5c69b3234">DEA</Division>
    <Due_x0020_Date xmlns="529ba1de-83f7-4614-a33a-20d5c69b3234" xsi:nil="true"/>
    <Program xmlns="529ba1de-83f7-4614-a33a-20d5c69b3234">LIHEAP</Program>
    <V3Comments xmlns="http://schemas.microsoft.com/sharepoint/v3">This is the supporting statement.  Please review after reviewing the Carryover &amp;amp; Reallotment Report's instructions</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529ba1de-83f7-4614-a33a-20d5c69b323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FB0DC40-D280-4AA4-876F-E148FADA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3ECC406B-19F7-47A6-970E-B1899A24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1993</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cp:lastModifiedBy>Wilson, Camille (ACF) (CTR)</cp:lastModifiedBy>
  <cp:revision>2</cp:revision>
  <dcterms:created xsi:type="dcterms:W3CDTF">2020-08-17T18:13:00Z</dcterms:created>
  <dcterms:modified xsi:type="dcterms:W3CDTF">2020-08-17T18:13:00Z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