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49E9974C" w14:textId="77777777">
      <w:pPr>
        <w:jc w:val="center"/>
        <w:rPr>
          <w:rFonts w:ascii="Arial" w:hAnsi="Arial" w:cs="Arial"/>
          <w:b/>
        </w:rPr>
      </w:pPr>
    </w:p>
    <w:p w:rsidRPr="002C4F75" w:rsidR="002C4F75" w:rsidP="002C4F75" w:rsidRDefault="002C4F75" w14:paraId="215E0D83" w14:textId="77777777">
      <w:pPr>
        <w:pStyle w:val="ReportCover-Title"/>
        <w:rPr>
          <w:rFonts w:ascii="Arial" w:hAnsi="Arial" w:cs="Arial"/>
          <w:color w:val="auto"/>
        </w:rPr>
      </w:pPr>
    </w:p>
    <w:p w:rsidR="0048742A" w:rsidP="002C4F75" w:rsidRDefault="009246BB" w14:paraId="4DDE5A1D"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Evaluation of Employment Coaching for TANF and </w:t>
      </w:r>
      <w:r w:rsidRPr="0019286E" w:rsidR="003E605D">
        <w:rPr>
          <w:rFonts w:ascii="Arial" w:hAnsi="Arial" w:eastAsia="Arial Unicode MS" w:cs="Arial"/>
          <w:noProof/>
          <w:color w:val="auto"/>
        </w:rPr>
        <w:t>Related</w:t>
      </w:r>
      <w:r>
        <w:rPr>
          <w:rFonts w:ascii="Arial" w:hAnsi="Arial" w:eastAsia="Arial Unicode MS" w:cs="Arial"/>
          <w:noProof/>
          <w:color w:val="auto"/>
        </w:rPr>
        <w:t xml:space="preserve"> Populations</w:t>
      </w:r>
    </w:p>
    <w:p w:rsidRPr="002C4F75" w:rsidR="002C4F75" w:rsidP="002C4F75" w:rsidRDefault="002C4F75" w14:paraId="30391855" w14:textId="722C2D5F">
      <w:pPr>
        <w:pStyle w:val="ReportCover-Title"/>
        <w:jc w:val="center"/>
        <w:rPr>
          <w:rFonts w:ascii="Arial" w:hAnsi="Arial" w:cs="Arial"/>
          <w:color w:val="auto"/>
        </w:rPr>
      </w:pPr>
    </w:p>
    <w:p w:rsidRPr="002C4F75" w:rsidR="002C4F75" w:rsidP="002C4F75" w:rsidRDefault="002C4F75" w14:paraId="19674222" w14:textId="77777777">
      <w:pPr>
        <w:pStyle w:val="ReportCover-Title"/>
        <w:rPr>
          <w:rFonts w:ascii="Arial" w:hAnsi="Arial" w:cs="Arial"/>
          <w:color w:val="auto"/>
        </w:rPr>
      </w:pPr>
    </w:p>
    <w:p w:rsidRPr="002C4F75" w:rsidR="002C4F75" w:rsidP="002C4F75" w:rsidRDefault="002C4F75" w14:paraId="2960D03E" w14:textId="77777777">
      <w:pPr>
        <w:pStyle w:val="ReportCover-Title"/>
        <w:rPr>
          <w:rFonts w:ascii="Arial" w:hAnsi="Arial" w:cs="Arial"/>
          <w:color w:val="auto"/>
        </w:rPr>
      </w:pPr>
    </w:p>
    <w:p w:rsidRPr="002C4F75" w:rsidR="002C4F75" w:rsidP="002C4F75" w:rsidRDefault="002C4F75" w14:paraId="0221B5B7"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2C4F75" w:rsidRDefault="0048742A" w14:paraId="6244E321" w14:textId="510BCAFA">
      <w:pPr>
        <w:pStyle w:val="ReportCover-Title"/>
        <w:jc w:val="center"/>
        <w:rPr>
          <w:rFonts w:ascii="Arial" w:hAnsi="Arial" w:cs="Arial"/>
          <w:color w:val="auto"/>
          <w:sz w:val="32"/>
          <w:szCs w:val="32"/>
        </w:rPr>
      </w:pPr>
      <w:r>
        <w:rPr>
          <w:rFonts w:ascii="Arial" w:hAnsi="Arial" w:cs="Arial"/>
          <w:color w:val="auto"/>
          <w:sz w:val="32"/>
          <w:szCs w:val="32"/>
        </w:rPr>
        <w:t>0970-0506</w:t>
      </w:r>
    </w:p>
    <w:p w:rsidRPr="002C4F75" w:rsidR="002C4F75" w:rsidP="002C4F75" w:rsidRDefault="002C4F75" w14:paraId="07CA44EE" w14:textId="77777777">
      <w:pPr>
        <w:rPr>
          <w:rFonts w:ascii="Arial" w:hAnsi="Arial" w:cs="Arial"/>
          <w:szCs w:val="22"/>
        </w:rPr>
      </w:pPr>
    </w:p>
    <w:p w:rsidRPr="002C4F75" w:rsidR="002C4F75" w:rsidP="002C4F75" w:rsidRDefault="002C4F75" w14:paraId="75C32411" w14:textId="77777777">
      <w:pPr>
        <w:pStyle w:val="ReportCover-Date"/>
        <w:jc w:val="center"/>
        <w:rPr>
          <w:rFonts w:ascii="Arial" w:hAnsi="Arial" w:cs="Arial"/>
          <w:color w:val="auto"/>
        </w:rPr>
      </w:pPr>
    </w:p>
    <w:p w:rsidRPr="002C4F75" w:rsidR="002C4F75" w:rsidP="002C4F75" w:rsidRDefault="002C4F75" w14:paraId="5A4B9690"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0DBEBD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rsidRDefault="0048742A" w14:paraId="2FF3E65C" w14:textId="1E49BEA9">
      <w:pPr>
        <w:pStyle w:val="ReportCover-Date"/>
        <w:jc w:val="center"/>
        <w:rPr>
          <w:rFonts w:ascii="Arial" w:hAnsi="Arial" w:cs="Arial"/>
          <w:color w:val="auto"/>
        </w:rPr>
      </w:pPr>
      <w:r>
        <w:rPr>
          <w:rFonts w:ascii="Arial" w:hAnsi="Arial" w:cs="Arial"/>
          <w:color w:val="auto"/>
        </w:rPr>
        <w:t xml:space="preserve">Revised </w:t>
      </w:r>
      <w:bookmarkStart w:name="_GoBack" w:id="0"/>
      <w:bookmarkEnd w:id="0"/>
      <w:r w:rsidR="004220F0">
        <w:rPr>
          <w:rFonts w:ascii="Arial" w:hAnsi="Arial" w:cs="Arial"/>
          <w:color w:val="auto"/>
        </w:rPr>
        <w:t>October</w:t>
      </w:r>
      <w:r w:rsidR="008E2C72">
        <w:rPr>
          <w:rFonts w:ascii="Arial" w:hAnsi="Arial" w:cs="Arial"/>
          <w:color w:val="auto"/>
        </w:rPr>
        <w:t xml:space="preserve"> </w:t>
      </w:r>
      <w:r w:rsidR="00AA01E3">
        <w:rPr>
          <w:rFonts w:ascii="Arial" w:hAnsi="Arial" w:cs="Arial"/>
          <w:color w:val="auto"/>
        </w:rPr>
        <w:t>2020</w:t>
      </w:r>
    </w:p>
    <w:p w:rsidRPr="002C4F75" w:rsidR="002C4F75" w:rsidP="002C4F75" w:rsidRDefault="002C4F75" w14:paraId="35EB0F8D" w14:textId="77777777">
      <w:pPr>
        <w:jc w:val="center"/>
        <w:rPr>
          <w:rFonts w:ascii="Arial" w:hAnsi="Arial" w:cs="Arial"/>
        </w:rPr>
      </w:pPr>
      <w:r w:rsidRPr="002C4F75">
        <w:rPr>
          <w:rFonts w:ascii="Arial" w:hAnsi="Arial" w:cs="Arial"/>
        </w:rPr>
        <w:t>Submitted By:</w:t>
      </w:r>
    </w:p>
    <w:p w:rsidRPr="002C4F75" w:rsidR="002C4F75" w:rsidP="002C4F75" w:rsidRDefault="002C4F75" w14:paraId="15C06E11" w14:textId="4D398C3C">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rsidRPr="002C4F75" w:rsidR="002C4F75" w:rsidP="002C4F75" w:rsidRDefault="002C4F75" w14:paraId="124B2D7D"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691CC76F"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101BE1EA" w14:textId="77777777">
      <w:pPr>
        <w:jc w:val="center"/>
        <w:rPr>
          <w:rFonts w:ascii="Arial" w:hAnsi="Arial" w:cs="Arial"/>
        </w:rPr>
      </w:pPr>
    </w:p>
    <w:p w:rsidRPr="002C4F75" w:rsidR="002C4F75" w:rsidP="002C4F75" w:rsidRDefault="00436F5E" w14:paraId="18B699C3" w14:textId="61B3F9DB">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303599D2" w14:textId="55B853B2">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35AC7D0"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1CB024B9" w14:textId="77777777">
      <w:pPr>
        <w:jc w:val="center"/>
        <w:rPr>
          <w:rFonts w:ascii="Arial" w:hAnsi="Arial" w:cs="Arial"/>
        </w:rPr>
      </w:pPr>
    </w:p>
    <w:p w:rsidRPr="002C095A" w:rsidR="000F4830" w:rsidP="000F4830" w:rsidRDefault="000F4830" w14:paraId="2C7D7C7D" w14:textId="77777777">
      <w:pPr>
        <w:jc w:val="center"/>
        <w:rPr>
          <w:rFonts w:ascii="Arial" w:hAnsi="Arial" w:cs="Arial"/>
        </w:rPr>
      </w:pPr>
      <w:r w:rsidRPr="002C095A">
        <w:rPr>
          <w:rFonts w:ascii="Arial" w:hAnsi="Arial" w:cs="Arial"/>
        </w:rPr>
        <w:t>Project Officers:</w:t>
      </w:r>
    </w:p>
    <w:p w:rsidRPr="002C095A" w:rsidR="000F4830" w:rsidP="000F4830" w:rsidRDefault="000F4830" w14:paraId="651D927D" w14:textId="0C15C1B6">
      <w:pPr>
        <w:jc w:val="center"/>
        <w:rPr>
          <w:rFonts w:ascii="Arial" w:hAnsi="Arial" w:cs="Arial"/>
        </w:rPr>
      </w:pPr>
      <w:r w:rsidRPr="002C095A">
        <w:rPr>
          <w:rFonts w:ascii="Arial" w:hAnsi="Arial" w:cs="Arial"/>
        </w:rPr>
        <w:t xml:space="preserve">Hilary </w:t>
      </w:r>
      <w:r w:rsidR="0059289E">
        <w:rPr>
          <w:rFonts w:ascii="Arial" w:hAnsi="Arial" w:cs="Arial"/>
        </w:rPr>
        <w:t>Bruck</w:t>
      </w:r>
    </w:p>
    <w:p w:rsidRPr="002C095A" w:rsidR="000F4830" w:rsidP="000F4830" w:rsidRDefault="000F4830" w14:paraId="3A899F66" w14:textId="27AFBEA2">
      <w:pPr>
        <w:jc w:val="center"/>
        <w:rPr>
          <w:rFonts w:ascii="Arial" w:hAnsi="Arial" w:cs="Arial"/>
        </w:rPr>
      </w:pPr>
      <w:r w:rsidRPr="002C095A">
        <w:rPr>
          <w:rFonts w:ascii="Arial" w:hAnsi="Arial" w:cs="Arial"/>
        </w:rPr>
        <w:t>Victoria Kabak</w:t>
      </w:r>
    </w:p>
    <w:p w:rsidRPr="002C4F75" w:rsidR="000F4830" w:rsidP="000F4830" w:rsidRDefault="000F4830" w14:paraId="4CB4EBAA" w14:textId="1C311CBA">
      <w:pPr>
        <w:jc w:val="center"/>
        <w:rPr>
          <w:rFonts w:ascii="Arial" w:hAnsi="Arial" w:cs="Arial"/>
        </w:rPr>
      </w:pPr>
    </w:p>
    <w:p w:rsidR="002334B2" w:rsidP="00B9279C" w:rsidRDefault="002334B2" w14:paraId="510A4830" w14:textId="404238DB">
      <w:pPr>
        <w:keepNext/>
        <w:spacing w:before="360" w:after="120"/>
        <w:rPr>
          <w:b/>
        </w:rPr>
      </w:pPr>
      <w:r w:rsidRPr="00DB7DE8">
        <w:rPr>
          <w:rFonts w:asciiTheme="majorHAnsi" w:hAnsiTheme="majorHAnsi"/>
          <w:b/>
          <w:noProof/>
        </w:rPr>
        <w:lastRenderedPageBreak/>
        <mc:AlternateContent>
          <mc:Choice Requires="wps">
            <w:drawing>
              <wp:anchor distT="45720" distB="45720" distL="114300" distR="114300" simplePos="0" relativeHeight="251659264" behindDoc="0" locked="0" layoutInCell="1" allowOverlap="1" wp14:editId="3C23B957" wp14:anchorId="4BFF84AD">
                <wp:simplePos x="0" y="0"/>
                <wp:positionH relativeFrom="margin">
                  <wp:posOffset>-526415</wp:posOffset>
                </wp:positionH>
                <wp:positionV relativeFrom="margin">
                  <wp:posOffset>-1043940</wp:posOffset>
                </wp:positionV>
                <wp:extent cx="7030085" cy="9454515"/>
                <wp:effectExtent l="0" t="0" r="18415"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9454515"/>
                        </a:xfrm>
                        <a:prstGeom prst="rect">
                          <a:avLst/>
                        </a:prstGeom>
                        <a:solidFill>
                          <a:srgbClr val="FFFFFF"/>
                        </a:solidFill>
                        <a:ln w="9525">
                          <a:solidFill>
                            <a:srgbClr val="000000"/>
                          </a:solidFill>
                          <a:miter lim="800000"/>
                          <a:headEnd/>
                          <a:tailEnd/>
                        </a:ln>
                      </wps:spPr>
                      <wps:txbx>
                        <w:txbxContent>
                          <w:p w:rsidRPr="00C123A3" w:rsidR="00C821D5" w:rsidP="002334B2" w:rsidRDefault="00C821D5" w14:paraId="67CBE3BA" w14:textId="77777777">
                            <w:pPr>
                              <w:pStyle w:val="ListParagraph"/>
                              <w:numPr>
                                <w:ilvl w:val="0"/>
                                <w:numId w:val="32"/>
                              </w:numPr>
                              <w:spacing w:line="240" w:lineRule="auto"/>
                              <w:contextualSpacing w:val="0"/>
                              <w:rPr>
                                <w:b/>
                              </w:rPr>
                            </w:pPr>
                            <w:r w:rsidRPr="00C123A3">
                              <w:rPr>
                                <w:b/>
                              </w:rPr>
                              <w:t xml:space="preserve">Status of study: </w:t>
                            </w:r>
                          </w:p>
                          <w:p w:rsidRPr="00C123A3" w:rsidR="00C821D5" w:rsidP="002334B2" w:rsidRDefault="00C821D5" w14:paraId="2616113C" w14:textId="529C234E">
                            <w:pPr>
                              <w:pStyle w:val="ListParagraph"/>
                              <w:numPr>
                                <w:ilvl w:val="1"/>
                                <w:numId w:val="32"/>
                              </w:numPr>
                              <w:spacing w:line="240" w:lineRule="auto"/>
                              <w:contextualSpacing w:val="0"/>
                            </w:pPr>
                            <w:r w:rsidRPr="00C123A3">
                              <w:t xml:space="preserve">The revisions in this Supporting Statement reflect changes requested as part of a non-substantive change request submitted to OMB in </w:t>
                            </w:r>
                            <w:r w:rsidR="008943DF">
                              <w:t>October</w:t>
                            </w:r>
                            <w:r>
                              <w:t xml:space="preserve"> </w:t>
                            </w:r>
                            <w:r w:rsidRPr="00C123A3">
                              <w:t>2020.</w:t>
                            </w:r>
                          </w:p>
                          <w:p w:rsidRPr="00C123A3" w:rsidR="00C821D5" w:rsidP="002334B2" w:rsidRDefault="00C821D5" w14:paraId="1FE94D84" w14:textId="449F98DE">
                            <w:pPr>
                              <w:pStyle w:val="ListParagraph"/>
                              <w:numPr>
                                <w:ilvl w:val="1"/>
                                <w:numId w:val="32"/>
                              </w:numPr>
                              <w:spacing w:line="240" w:lineRule="auto"/>
                              <w:contextualSpacing w:val="0"/>
                            </w:pPr>
                            <w:r w:rsidRPr="00C123A3">
                              <w:t>This request is part of an ongoing evaluation (</w:t>
                            </w:r>
                            <w:r>
                              <w:t>OMB #</w:t>
                            </w:r>
                            <w:r w:rsidRPr="00C123A3">
                              <w:t xml:space="preserve">0970-0506). Previous information collection requests (ICR) covered data collection activities for both an impact and an implementation study that are being conducted under this evaluation. Approved data collection activities for the impact study include: (1) baseline data collection and (2) the first and second follow-up surveys. Approved data collection activities for the implementation study include: (1) semi-structured </w:t>
                            </w:r>
                            <w:r>
                              <w:t xml:space="preserve">management, </w:t>
                            </w:r>
                            <w:r w:rsidRPr="00C123A3">
                              <w:t>staff</w:t>
                            </w:r>
                            <w:r>
                              <w:t>, and supervisor</w:t>
                            </w:r>
                            <w:r w:rsidRPr="00C123A3">
                              <w:t xml:space="preserve"> interviews; (2) a staff survey; (3) in-depth participant interviews; (4) staff reports of participant service receipt; and (5) video recordings of coaching sessions. </w:t>
                            </w:r>
                          </w:p>
                          <w:p w:rsidRPr="00EF4F5B" w:rsidR="00C821D5" w:rsidP="001D29BD" w:rsidRDefault="00C821D5" w14:paraId="54B7F4E0" w14:textId="29DF9E90">
                            <w:pPr>
                              <w:pStyle w:val="ListParagraph"/>
                              <w:numPr>
                                <w:ilvl w:val="1"/>
                                <w:numId w:val="32"/>
                              </w:numPr>
                              <w:spacing w:line="240" w:lineRule="auto"/>
                              <w:contextualSpacing w:val="0"/>
                            </w:pPr>
                            <w:r w:rsidRPr="00C123A3">
                              <w:t xml:space="preserve">This submission requests approval of non-substantive changes to two previously approved implementation study data collection instruments to systematically capture </w:t>
                            </w:r>
                            <w:r>
                              <w:t xml:space="preserve">descriptive </w:t>
                            </w:r>
                            <w:r w:rsidRPr="00C123A3">
                              <w:t xml:space="preserve">information related to the 2019 novel coronavirus disease (COVID-19) pandemic. It requests a slight increase to the incentive amount for completion of the </w:t>
                            </w:r>
                            <w:r>
                              <w:t xml:space="preserve">additional </w:t>
                            </w:r>
                            <w:r w:rsidRPr="00C123A3">
                              <w:t xml:space="preserve">in-depth participant interviews, and to the estimated burden based on conducting this additional data collection. </w:t>
                            </w:r>
                            <w:r>
                              <w:t xml:space="preserve">It also requests a change to the incentive structure and amount for two sites for the impact evaluation’s two follow-up surveys and minor revisions to the survey instruments and notifications to reflect the changes. </w:t>
                            </w:r>
                            <w:r w:rsidRPr="00C123A3">
                              <w:t xml:space="preserve">The justification for these non-substantive change requests is included in </w:t>
                            </w:r>
                            <w:r w:rsidRPr="00EF4F5B">
                              <w:t>Attachment P. Nonsub change request_Coaching Evaluation_</w:t>
                            </w:r>
                            <w:r w:rsidR="004220F0">
                              <w:t>Oct</w:t>
                            </w:r>
                            <w:r w:rsidRPr="00EF4F5B">
                              <w:t xml:space="preserve"> 2020.</w:t>
                            </w:r>
                          </w:p>
                          <w:p w:rsidRPr="00C123A3" w:rsidR="00C821D5" w:rsidP="002334B2" w:rsidRDefault="00C821D5" w14:paraId="02D89EB9" w14:textId="59016760">
                            <w:pPr>
                              <w:pStyle w:val="ListParagraph"/>
                              <w:numPr>
                                <w:ilvl w:val="0"/>
                                <w:numId w:val="32"/>
                              </w:numPr>
                              <w:spacing w:line="240" w:lineRule="auto"/>
                              <w:contextualSpacing w:val="0"/>
                              <w:rPr>
                                <w:b/>
                              </w:rPr>
                            </w:pPr>
                            <w:r w:rsidRPr="00C123A3">
                              <w:rPr>
                                <w:b/>
                              </w:rPr>
                              <w:t>What is being evaluated (program and context) and measured:</w:t>
                            </w:r>
                          </w:p>
                          <w:p w:rsidRPr="00C123A3" w:rsidR="00C821D5" w:rsidP="002D30EE" w:rsidRDefault="00C821D5" w14:paraId="522C664C" w14:textId="0D8593FC">
                            <w:pPr>
                              <w:pStyle w:val="ListParagraph"/>
                              <w:numPr>
                                <w:ilvl w:val="1"/>
                                <w:numId w:val="32"/>
                              </w:numPr>
                              <w:spacing w:line="240" w:lineRule="auto"/>
                              <w:contextualSpacing w:val="0"/>
                              <w:rPr>
                                <w:b/>
                              </w:rPr>
                            </w:pPr>
                            <w:r w:rsidRPr="00C123A3">
                              <w:t>The evaluation is assessing the effectiveness of employment coaching interventions in helping TANF and related populations obtain and retain jobs, advance in their careers, move toward self-sufficiency, and improve self-regulation skills and overall well-being.</w:t>
                            </w:r>
                            <w:r w:rsidRPr="00C123A3">
                              <w:rPr>
                                <w:szCs w:val="24"/>
                              </w:rPr>
                              <w:t xml:space="preserve"> </w:t>
                            </w:r>
                          </w:p>
                          <w:p w:rsidRPr="00C123A3" w:rsidR="00C821D5" w:rsidP="002334B2" w:rsidRDefault="00C821D5" w14:paraId="4B4DC040" w14:textId="77777777">
                            <w:pPr>
                              <w:pStyle w:val="ListParagraph"/>
                              <w:numPr>
                                <w:ilvl w:val="0"/>
                                <w:numId w:val="32"/>
                              </w:numPr>
                              <w:spacing w:line="240" w:lineRule="auto"/>
                              <w:contextualSpacing w:val="0"/>
                              <w:rPr>
                                <w:b/>
                              </w:rPr>
                            </w:pPr>
                            <w:r w:rsidRPr="00C123A3">
                              <w:rPr>
                                <w:b/>
                              </w:rPr>
                              <w:t xml:space="preserve">Type of study: </w:t>
                            </w:r>
                          </w:p>
                          <w:p w:rsidRPr="00C123A3" w:rsidR="00C821D5" w:rsidP="002334B2" w:rsidRDefault="00C821D5" w14:paraId="00D53511" w14:textId="0AA5D48E">
                            <w:pPr>
                              <w:pStyle w:val="ListParagraph"/>
                              <w:numPr>
                                <w:ilvl w:val="1"/>
                                <w:numId w:val="32"/>
                              </w:numPr>
                              <w:spacing w:line="240" w:lineRule="auto"/>
                              <w:contextualSpacing w:val="0"/>
                            </w:pPr>
                            <w:r w:rsidRPr="00C123A3">
                              <w:t>The evaluation includes an impact study (individuals are randomly assigned to treatment and control conditions) and an implementation study.</w:t>
                            </w:r>
                          </w:p>
                          <w:p w:rsidRPr="00C123A3" w:rsidR="00C821D5" w:rsidP="002334B2" w:rsidRDefault="00C821D5" w14:paraId="0E61812E" w14:textId="77777777">
                            <w:pPr>
                              <w:pStyle w:val="ListParagraph"/>
                              <w:numPr>
                                <w:ilvl w:val="0"/>
                                <w:numId w:val="32"/>
                              </w:numPr>
                              <w:spacing w:line="240" w:lineRule="auto"/>
                              <w:contextualSpacing w:val="0"/>
                              <w:rPr>
                                <w:b/>
                              </w:rPr>
                            </w:pPr>
                            <w:r w:rsidRPr="00C123A3">
                              <w:rPr>
                                <w:b/>
                              </w:rPr>
                              <w:t xml:space="preserve">Utility of the information collection:  </w:t>
                            </w:r>
                          </w:p>
                          <w:p w:rsidRPr="00C123A3" w:rsidR="00C821D5" w:rsidP="00057764" w:rsidRDefault="00C821D5" w14:paraId="2E75FE73" w14:textId="0007B14D">
                            <w:pPr>
                              <w:pStyle w:val="ListParagraph"/>
                              <w:numPr>
                                <w:ilvl w:val="1"/>
                                <w:numId w:val="32"/>
                              </w:numPr>
                              <w:spacing w:line="240" w:lineRule="auto"/>
                              <w:contextualSpacing w:val="0"/>
                            </w:pPr>
                            <w:r w:rsidRPr="00C123A3">
                              <w:t>Coaching may be a promising way to help low-income or at-risk people become economically secure; however, there is little evidence on the effectiveness of coaching for improving employment and self-sufficiency among TANF and other low-income populations. This evaluation will describe six coaching interventions and assess their effectiveness in helping people obtain and retain jobs, advance in their careers, move toward self-sufficiency, and improve self-regulation skills and overall well-being.</w:t>
                            </w:r>
                          </w:p>
                          <w:p w:rsidRPr="00C123A3" w:rsidR="00C821D5" w:rsidP="001C66B4" w:rsidRDefault="00C821D5" w14:paraId="410BA464" w14:textId="1B5B8FDE">
                            <w:pPr>
                              <w:pStyle w:val="ListParagraph"/>
                              <w:numPr>
                                <w:ilvl w:val="1"/>
                                <w:numId w:val="32"/>
                              </w:numPr>
                              <w:spacing w:line="240" w:lineRule="auto"/>
                              <w:contextualSpacing w:val="0"/>
                            </w:pPr>
                            <w:r w:rsidRPr="00C123A3">
                              <w:t>This information can be used by policymakers to inform funding and policy decisions and by practitioners to improve employment programs. If this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p w:rsidRPr="00C123A3" w:rsidR="00C821D5" w:rsidP="00C26AC3" w:rsidRDefault="00C821D5" w14:paraId="1276F5ED" w14:textId="6C46C2B3">
                            <w:pPr>
                              <w:pStyle w:val="ListParagraph"/>
                              <w:numPr>
                                <w:ilvl w:val="1"/>
                                <w:numId w:val="32"/>
                              </w:numPr>
                              <w:spacing w:line="240" w:lineRule="auto"/>
                              <w:contextualSpacing w:val="0"/>
                            </w:pPr>
                            <w:r w:rsidRPr="00C123A3">
                              <w:t xml:space="preserve">This non-substantive change request is to collect information regarding how coaching programs in the evaluation changed as a result of COVID-19 and what study participants’ experiences with the pandemic have been. This information is important to understand the treatment participants received during this time, to fully contextualize the evaluation’s findings and to account for the pandemic in analysis. </w:t>
                            </w:r>
                            <w:r>
                              <w:t>U</w:t>
                            </w:r>
                            <w:r w:rsidRPr="00C123A3">
                              <w:t xml:space="preserve">nderstanding the changes made by and the lessons learned from these programs will </w:t>
                            </w:r>
                            <w:r>
                              <w:t xml:space="preserve">also </w:t>
                            </w:r>
                            <w:r w:rsidRPr="00C123A3">
                              <w:t>help inform other programs’ policies and implementation as the country continues to respond to the pandemic and other future public health emergencies.</w:t>
                            </w:r>
                            <w:r>
                              <w:t xml:space="preserve"> Additionally, t</w:t>
                            </w:r>
                            <w:r w:rsidRPr="00C26AC3">
                              <w:t>he response rates for the follow-up surveys are at risk of being much lower than anticipated because in-person location has stopped due to COVID-19</w:t>
                            </w:r>
                            <w:r>
                              <w:t>. Previously, OMB approved an increase in the survey incentive amount for four of the six sites in the evaluation; we are now requesting the same increase for the other two sites in order to help increase the response rates and decrease the program-control group response rate differential, to avoid bias in the estimates of the programs’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FF84AD">
                <v:stroke joinstyle="miter"/>
                <v:path gradientshapeok="t" o:connecttype="rect"/>
              </v:shapetype>
              <v:shape id="Text Box 2" style="position:absolute;margin-left:-41.45pt;margin-top:-82.2pt;width:553.55pt;height:74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">
                <v:textbox>
                  <w:txbxContent>
                    <w:p w:rsidRPr="00C123A3" w:rsidR="00C821D5" w:rsidP="002334B2" w:rsidRDefault="00C821D5" w14:paraId="67CBE3BA" w14:textId="77777777">
                      <w:pPr>
                        <w:pStyle w:val="ListParagraph"/>
                        <w:numPr>
                          <w:ilvl w:val="0"/>
                          <w:numId w:val="32"/>
                        </w:numPr>
                        <w:spacing w:line="240" w:lineRule="auto"/>
                        <w:contextualSpacing w:val="0"/>
                        <w:rPr>
                          <w:b/>
                        </w:rPr>
                      </w:pPr>
                      <w:r w:rsidRPr="00C123A3">
                        <w:rPr>
                          <w:b/>
                        </w:rPr>
                        <w:t xml:space="preserve">Status of study: </w:t>
                      </w:r>
                    </w:p>
                    <w:p w:rsidRPr="00C123A3" w:rsidR="00C821D5" w:rsidP="002334B2" w:rsidRDefault="00C821D5" w14:paraId="2616113C" w14:textId="529C234E">
                      <w:pPr>
                        <w:pStyle w:val="ListParagraph"/>
                        <w:numPr>
                          <w:ilvl w:val="1"/>
                          <w:numId w:val="32"/>
                        </w:numPr>
                        <w:spacing w:line="240" w:lineRule="auto"/>
                        <w:contextualSpacing w:val="0"/>
                      </w:pPr>
                      <w:r w:rsidRPr="00C123A3">
                        <w:t xml:space="preserve">The revisions in this Supporting Statement reflect changes requested as part of a non-substantive change request submitted to OMB in </w:t>
                      </w:r>
                      <w:r w:rsidR="008943DF">
                        <w:t>October</w:t>
                      </w:r>
                      <w:r>
                        <w:t xml:space="preserve"> </w:t>
                      </w:r>
                      <w:r w:rsidRPr="00C123A3">
                        <w:t>2020.</w:t>
                      </w:r>
                    </w:p>
                    <w:p w:rsidRPr="00C123A3" w:rsidR="00C821D5" w:rsidP="002334B2" w:rsidRDefault="00C821D5" w14:paraId="1FE94D84" w14:textId="449F98DE">
                      <w:pPr>
                        <w:pStyle w:val="ListParagraph"/>
                        <w:numPr>
                          <w:ilvl w:val="1"/>
                          <w:numId w:val="32"/>
                        </w:numPr>
                        <w:spacing w:line="240" w:lineRule="auto"/>
                        <w:contextualSpacing w:val="0"/>
                      </w:pPr>
                      <w:r w:rsidRPr="00C123A3">
                        <w:t>This request is part of an ongoing evaluation (</w:t>
                      </w:r>
                      <w:r>
                        <w:t>OMB #</w:t>
                      </w:r>
                      <w:r w:rsidRPr="00C123A3">
                        <w:t xml:space="preserve">0970-0506). Previous information collection requests (ICR) covered data collection activities for both an impact and an implementation study that are being conducted under this evaluation. Approved data collection activities for the impact study include: (1) baseline data collection and (2) the first and second follow-up surveys. Approved data collection activities for the implementation study include: (1) semi-structured </w:t>
                      </w:r>
                      <w:r>
                        <w:t xml:space="preserve">management, </w:t>
                      </w:r>
                      <w:r w:rsidRPr="00C123A3">
                        <w:t>staff</w:t>
                      </w:r>
                      <w:r>
                        <w:t>, and supervisor</w:t>
                      </w:r>
                      <w:r w:rsidRPr="00C123A3">
                        <w:t xml:space="preserve"> interviews; (2) a staff survey; (3) in-depth participant interviews; (4) staff reports of participant service receipt; and (5) video recordings of coaching sessions. </w:t>
                      </w:r>
                    </w:p>
                    <w:p w:rsidRPr="00EF4F5B" w:rsidR="00C821D5" w:rsidP="001D29BD" w:rsidRDefault="00C821D5" w14:paraId="54B7F4E0" w14:textId="29DF9E90">
                      <w:pPr>
                        <w:pStyle w:val="ListParagraph"/>
                        <w:numPr>
                          <w:ilvl w:val="1"/>
                          <w:numId w:val="32"/>
                        </w:numPr>
                        <w:spacing w:line="240" w:lineRule="auto"/>
                        <w:contextualSpacing w:val="0"/>
                      </w:pPr>
                      <w:r w:rsidRPr="00C123A3">
                        <w:t xml:space="preserve">This submission requests approval of non-substantive changes to two previously approved implementation study data collection instruments to systematically capture </w:t>
                      </w:r>
                      <w:r>
                        <w:t xml:space="preserve">descriptive </w:t>
                      </w:r>
                      <w:r w:rsidRPr="00C123A3">
                        <w:t xml:space="preserve">information related to the 2019 novel coronavirus disease (COVID-19) pandemic. It requests a slight increase to the incentive amount for completion of the </w:t>
                      </w:r>
                      <w:r>
                        <w:t xml:space="preserve">additional </w:t>
                      </w:r>
                      <w:r w:rsidRPr="00C123A3">
                        <w:t xml:space="preserve">in-depth participant interviews, and to the estimated burden based on conducting this additional data collection. </w:t>
                      </w:r>
                      <w:r>
                        <w:t xml:space="preserve">It also requests a change to the incentive structure and amount for two sites for the impact evaluation’s two follow-up surveys and minor revisions to the survey instruments and notifications to reflect the changes. </w:t>
                      </w:r>
                      <w:r w:rsidRPr="00C123A3">
                        <w:t xml:space="preserve">The justification for these non-substantive change requests is included in </w:t>
                      </w:r>
                      <w:r w:rsidRPr="00EF4F5B">
                        <w:t>Attachment P. Nonsub change request_Coaching Evaluation_</w:t>
                      </w:r>
                      <w:r w:rsidR="004220F0">
                        <w:t>Oct</w:t>
                      </w:r>
                      <w:r w:rsidRPr="00EF4F5B">
                        <w:t xml:space="preserve"> 2020.</w:t>
                      </w:r>
                    </w:p>
                    <w:p w:rsidRPr="00C123A3" w:rsidR="00C821D5" w:rsidP="002334B2" w:rsidRDefault="00C821D5" w14:paraId="02D89EB9" w14:textId="59016760">
                      <w:pPr>
                        <w:pStyle w:val="ListParagraph"/>
                        <w:numPr>
                          <w:ilvl w:val="0"/>
                          <w:numId w:val="32"/>
                        </w:numPr>
                        <w:spacing w:line="240" w:lineRule="auto"/>
                        <w:contextualSpacing w:val="0"/>
                        <w:rPr>
                          <w:b/>
                        </w:rPr>
                      </w:pPr>
                      <w:r w:rsidRPr="00C123A3">
                        <w:rPr>
                          <w:b/>
                        </w:rPr>
                        <w:t>What is being evaluated (program and context) and measured:</w:t>
                      </w:r>
                    </w:p>
                    <w:p w:rsidRPr="00C123A3" w:rsidR="00C821D5" w:rsidP="002D30EE" w:rsidRDefault="00C821D5" w14:paraId="522C664C" w14:textId="0D8593FC">
                      <w:pPr>
                        <w:pStyle w:val="ListParagraph"/>
                        <w:numPr>
                          <w:ilvl w:val="1"/>
                          <w:numId w:val="32"/>
                        </w:numPr>
                        <w:spacing w:line="240" w:lineRule="auto"/>
                        <w:contextualSpacing w:val="0"/>
                        <w:rPr>
                          <w:b/>
                        </w:rPr>
                      </w:pPr>
                      <w:r w:rsidRPr="00C123A3">
                        <w:t>The evaluation is assessing the effectiveness of employment coaching interventions in helping TANF and related populations obtain and retain jobs, advance in their careers, move toward self-sufficiency, and improve self-regulation skills and overall well-being.</w:t>
                      </w:r>
                      <w:r w:rsidRPr="00C123A3">
                        <w:rPr>
                          <w:szCs w:val="24"/>
                        </w:rPr>
                        <w:t xml:space="preserve"> </w:t>
                      </w:r>
                    </w:p>
                    <w:p w:rsidRPr="00C123A3" w:rsidR="00C821D5" w:rsidP="002334B2" w:rsidRDefault="00C821D5" w14:paraId="4B4DC040" w14:textId="77777777">
                      <w:pPr>
                        <w:pStyle w:val="ListParagraph"/>
                        <w:numPr>
                          <w:ilvl w:val="0"/>
                          <w:numId w:val="32"/>
                        </w:numPr>
                        <w:spacing w:line="240" w:lineRule="auto"/>
                        <w:contextualSpacing w:val="0"/>
                        <w:rPr>
                          <w:b/>
                        </w:rPr>
                      </w:pPr>
                      <w:r w:rsidRPr="00C123A3">
                        <w:rPr>
                          <w:b/>
                        </w:rPr>
                        <w:t xml:space="preserve">Type of study: </w:t>
                      </w:r>
                    </w:p>
                    <w:p w:rsidRPr="00C123A3" w:rsidR="00C821D5" w:rsidP="002334B2" w:rsidRDefault="00C821D5" w14:paraId="00D53511" w14:textId="0AA5D48E">
                      <w:pPr>
                        <w:pStyle w:val="ListParagraph"/>
                        <w:numPr>
                          <w:ilvl w:val="1"/>
                          <w:numId w:val="32"/>
                        </w:numPr>
                        <w:spacing w:line="240" w:lineRule="auto"/>
                        <w:contextualSpacing w:val="0"/>
                      </w:pPr>
                      <w:r w:rsidRPr="00C123A3">
                        <w:t>The evaluation includes an impact study (individuals are randomly assigned to treatment and control conditions) and an implementation study.</w:t>
                      </w:r>
                    </w:p>
                    <w:p w:rsidRPr="00C123A3" w:rsidR="00C821D5" w:rsidP="002334B2" w:rsidRDefault="00C821D5" w14:paraId="0E61812E" w14:textId="77777777">
                      <w:pPr>
                        <w:pStyle w:val="ListParagraph"/>
                        <w:numPr>
                          <w:ilvl w:val="0"/>
                          <w:numId w:val="32"/>
                        </w:numPr>
                        <w:spacing w:line="240" w:lineRule="auto"/>
                        <w:contextualSpacing w:val="0"/>
                        <w:rPr>
                          <w:b/>
                        </w:rPr>
                      </w:pPr>
                      <w:r w:rsidRPr="00C123A3">
                        <w:rPr>
                          <w:b/>
                        </w:rPr>
                        <w:t xml:space="preserve">Utility of the information collection:  </w:t>
                      </w:r>
                    </w:p>
                    <w:p w:rsidRPr="00C123A3" w:rsidR="00C821D5" w:rsidP="00057764" w:rsidRDefault="00C821D5" w14:paraId="2E75FE73" w14:textId="0007B14D">
                      <w:pPr>
                        <w:pStyle w:val="ListParagraph"/>
                        <w:numPr>
                          <w:ilvl w:val="1"/>
                          <w:numId w:val="32"/>
                        </w:numPr>
                        <w:spacing w:line="240" w:lineRule="auto"/>
                        <w:contextualSpacing w:val="0"/>
                      </w:pPr>
                      <w:r w:rsidRPr="00C123A3">
                        <w:t>Coaching may be a promising way to help low-income or at-risk people become economically secure; however, there is little evidence on the effectiveness of coaching for improving employment and self-sufficiency among TANF and other low-income populations. This evaluation will describe six coaching interventions and assess their effectiveness in helping people obtain and retain jobs, advance in their careers, move toward self-sufficiency, and improve self-regulation skills and overall well-being.</w:t>
                      </w:r>
                    </w:p>
                    <w:p w:rsidRPr="00C123A3" w:rsidR="00C821D5" w:rsidP="001C66B4" w:rsidRDefault="00C821D5" w14:paraId="410BA464" w14:textId="1B5B8FDE">
                      <w:pPr>
                        <w:pStyle w:val="ListParagraph"/>
                        <w:numPr>
                          <w:ilvl w:val="1"/>
                          <w:numId w:val="32"/>
                        </w:numPr>
                        <w:spacing w:line="240" w:lineRule="auto"/>
                        <w:contextualSpacing w:val="0"/>
                      </w:pPr>
                      <w:r w:rsidRPr="00C123A3">
                        <w:t>This information can be used by policymakers to inform funding and policy decisions and by practitioners to improve employment programs. If this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p w:rsidRPr="00C123A3" w:rsidR="00C821D5" w:rsidP="00C26AC3" w:rsidRDefault="00C821D5" w14:paraId="1276F5ED" w14:textId="6C46C2B3">
                      <w:pPr>
                        <w:pStyle w:val="ListParagraph"/>
                        <w:numPr>
                          <w:ilvl w:val="1"/>
                          <w:numId w:val="32"/>
                        </w:numPr>
                        <w:spacing w:line="240" w:lineRule="auto"/>
                        <w:contextualSpacing w:val="0"/>
                      </w:pPr>
                      <w:r w:rsidRPr="00C123A3">
                        <w:t xml:space="preserve">This non-substantive change request is to collect information regarding how coaching programs in the evaluation changed as a result of COVID-19 and what study participants’ experiences with the pandemic have been. This information is important to understand the treatment participants received during this time, to fully contextualize the evaluation’s findings and to account for the pandemic in analysis. </w:t>
                      </w:r>
                      <w:r>
                        <w:t>U</w:t>
                      </w:r>
                      <w:r w:rsidRPr="00C123A3">
                        <w:t xml:space="preserve">nderstanding the changes made by and the lessons learned from these programs will </w:t>
                      </w:r>
                      <w:r>
                        <w:t xml:space="preserve">also </w:t>
                      </w:r>
                      <w:r w:rsidRPr="00C123A3">
                        <w:t>help inform other programs’ policies and implementation as the country continues to respond to the pandemic and other future public health emergencies.</w:t>
                      </w:r>
                      <w:r>
                        <w:t xml:space="preserve"> Additionally, t</w:t>
                      </w:r>
                      <w:r w:rsidRPr="00C26AC3">
                        <w:t>he response rates for the follow-up surveys are at risk of being much lower than anticipated because in-person location has stopped due to COVID-19</w:t>
                      </w:r>
                      <w:r>
                        <w:t>. Previously, OMB approved an increase in the survey incentive amount for four of the six sites in the evaluation; we are now requesting the same increase for the other two sites in order to help increase the response rates and decrease the program-control group response rate differential, to avoid bias in the estimates of the programs’ effectiveness.</w:t>
                      </w:r>
                    </w:p>
                  </w:txbxContent>
                </v:textbox>
                <w10:wrap type="square" anchorx="margin" anchory="margin"/>
              </v:shape>
            </w:pict>
          </mc:Fallback>
        </mc:AlternateContent>
      </w:r>
      <w:r w:rsidR="00374DAB">
        <w:rPr>
          <w:b/>
        </w:rPr>
        <w:br w:type="page"/>
      </w:r>
    </w:p>
    <w:p w:rsidRPr="000D53DF" w:rsidR="00CC2132" w:rsidP="00B9279C" w:rsidRDefault="00CC2132" w14:paraId="53C1A9E7" w14:textId="64C768BF">
      <w:pPr>
        <w:keepNext/>
        <w:spacing w:before="360" w:after="120"/>
        <w:rPr>
          <w:b/>
        </w:rPr>
      </w:pPr>
      <w:r w:rsidRPr="000D53DF">
        <w:rPr>
          <w:b/>
        </w:rPr>
        <w:lastRenderedPageBreak/>
        <w:t>A1. Necessity for the Data Collection</w:t>
      </w:r>
    </w:p>
    <w:p w:rsidR="00CC2132" w:rsidP="00CC2132" w:rsidRDefault="00CC2132" w14:paraId="479FF841" w14:textId="53587ABC">
      <w:pPr>
        <w:pStyle w:val="NormalSS"/>
        <w:ind w:firstLine="0"/>
        <w:rPr>
          <w:szCs w:val="24"/>
        </w:rPr>
      </w:pPr>
      <w:r>
        <w:t>The Office of Planning, Research</w:t>
      </w:r>
      <w:r w:rsidR="0048742A">
        <w:t>,</w:t>
      </w:r>
      <w:r>
        <w:t xml:space="preserve"> and Evaluation (OPRE) within the Administration for Children and Families (ACF) at the U.S. Department of Health and Human Services </w:t>
      </w:r>
      <w:r w:rsidRPr="00F10B7E">
        <w:rPr>
          <w:szCs w:val="24"/>
        </w:rPr>
        <w:t>(HHS) seeks approval fo</w:t>
      </w:r>
      <w:r>
        <w:rPr>
          <w:szCs w:val="24"/>
        </w:rPr>
        <w:t xml:space="preserve">r </w:t>
      </w:r>
      <w:r w:rsidR="00ED5215">
        <w:rPr>
          <w:szCs w:val="24"/>
        </w:rPr>
        <w:t xml:space="preserve">a </w:t>
      </w:r>
      <w:r w:rsidRPr="00133AD2" w:rsidR="00133AD2">
        <w:rPr>
          <w:szCs w:val="24"/>
        </w:rPr>
        <w:t>non-substantive change</w:t>
      </w:r>
      <w:r w:rsidR="003F5DAE">
        <w:rPr>
          <w:szCs w:val="24"/>
        </w:rPr>
        <w:t xml:space="preserve"> request </w:t>
      </w:r>
      <w:r w:rsidR="00133AD2">
        <w:rPr>
          <w:szCs w:val="24"/>
        </w:rPr>
        <w:t xml:space="preserve">in order to </w:t>
      </w:r>
      <w:r w:rsidRPr="00133AD2" w:rsidR="00133AD2">
        <w:rPr>
          <w:szCs w:val="24"/>
        </w:rPr>
        <w:t xml:space="preserve">systematically capture </w:t>
      </w:r>
      <w:r w:rsidR="00D47EE2">
        <w:rPr>
          <w:szCs w:val="24"/>
        </w:rPr>
        <w:t xml:space="preserve">descriptive </w:t>
      </w:r>
      <w:r w:rsidRPr="00133AD2" w:rsidR="00133AD2">
        <w:rPr>
          <w:szCs w:val="24"/>
        </w:rPr>
        <w:t>information related to the 2019 novel coronavirus disease (COVID-19) pandemic</w:t>
      </w:r>
      <w:r w:rsidR="00D015F8">
        <w:rPr>
          <w:szCs w:val="24"/>
        </w:rPr>
        <w:t xml:space="preserve"> and to </w:t>
      </w:r>
      <w:r w:rsidR="003963EC">
        <w:rPr>
          <w:szCs w:val="24"/>
        </w:rPr>
        <w:t>change</w:t>
      </w:r>
      <w:r w:rsidR="00D015F8">
        <w:rPr>
          <w:szCs w:val="24"/>
        </w:rPr>
        <w:t xml:space="preserve"> the incentive </w:t>
      </w:r>
      <w:r w:rsidR="003963EC">
        <w:rPr>
          <w:szCs w:val="24"/>
        </w:rPr>
        <w:t xml:space="preserve">structure and amount for two sites </w:t>
      </w:r>
      <w:r w:rsidR="00D015F8">
        <w:rPr>
          <w:szCs w:val="24"/>
        </w:rPr>
        <w:t xml:space="preserve">for the </w:t>
      </w:r>
      <w:r w:rsidR="00D47EE2">
        <w:rPr>
          <w:szCs w:val="24"/>
        </w:rPr>
        <w:t xml:space="preserve">impact evaluation’s </w:t>
      </w:r>
      <w:r w:rsidR="00D015F8">
        <w:rPr>
          <w:szCs w:val="24"/>
        </w:rPr>
        <w:t>follow-up surveys</w:t>
      </w:r>
      <w:r w:rsidRPr="00133AD2" w:rsidR="00133AD2">
        <w:rPr>
          <w:szCs w:val="24"/>
        </w:rPr>
        <w:t xml:space="preserve">. The justification for these non-substantive change requests is included in </w:t>
      </w:r>
      <w:r w:rsidRPr="00EF4F5B" w:rsidR="00477223">
        <w:t>Attachment P. Nonsub change request_Coaching Evaluation_</w:t>
      </w:r>
      <w:r w:rsidR="004220F0">
        <w:t>Oct</w:t>
      </w:r>
      <w:r w:rsidRPr="00EF4F5B" w:rsidR="00477223">
        <w:t xml:space="preserve"> 2020</w:t>
      </w:r>
      <w:r w:rsidRPr="00133AD2" w:rsidR="00133AD2">
        <w:rPr>
          <w:szCs w:val="24"/>
        </w:rPr>
        <w:t>.</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w:t>
      </w:r>
      <w:r w:rsidR="001C4132">
        <w:rPr>
          <w:szCs w:val="24"/>
        </w:rPr>
        <w:t xml:space="preserve">up to </w:t>
      </w:r>
      <w:r w:rsidR="00D555DF">
        <w:rPr>
          <w:szCs w:val="24"/>
        </w:rPr>
        <w:t>six</w:t>
      </w:r>
      <w:r>
        <w:rPr>
          <w:szCs w:val="24"/>
        </w:rPr>
        <w:t xml:space="preserv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include</w:t>
      </w:r>
      <w:r w:rsidR="002334B2">
        <w:rPr>
          <w:szCs w:val="24"/>
        </w:rPr>
        <w:t>s</w:t>
      </w:r>
      <w:r>
        <w:rPr>
          <w:szCs w:val="24"/>
        </w:rPr>
        <w:t xml:space="preserve"> both an experimental impact study and an implementation study.</w:t>
      </w:r>
      <w:r w:rsidR="006E48B2">
        <w:rPr>
          <w:szCs w:val="24"/>
        </w:rPr>
        <w:t xml:space="preserve"> </w:t>
      </w:r>
    </w:p>
    <w:p w:rsidRPr="00F10B7E" w:rsidR="00CC2132" w:rsidP="0025680E" w:rsidRDefault="00133AD2" w14:paraId="5F03C0AF" w14:textId="181F7F76">
      <w:pPr>
        <w:pStyle w:val="NormalSS"/>
        <w:ind w:firstLine="0"/>
        <w:rPr>
          <w:szCs w:val="24"/>
        </w:rPr>
      </w:pPr>
      <w:r>
        <w:rPr>
          <w:szCs w:val="24"/>
        </w:rPr>
        <w:t>P</w:t>
      </w:r>
      <w:r w:rsidR="00ED5215">
        <w:rPr>
          <w:szCs w:val="24"/>
        </w:rPr>
        <w:t>revious</w:t>
      </w:r>
      <w:r w:rsidR="00CC2132">
        <w:rPr>
          <w:szCs w:val="24"/>
        </w:rPr>
        <w:t xml:space="preserve"> information collection request</w:t>
      </w:r>
      <w:r w:rsidR="003F5DAE">
        <w:rPr>
          <w:szCs w:val="24"/>
        </w:rPr>
        <w:t>s</w:t>
      </w:r>
      <w:r w:rsidR="00CC2132">
        <w:rPr>
          <w:szCs w:val="24"/>
        </w:rPr>
        <w:t xml:space="preserve"> (ICR</w:t>
      </w:r>
      <w:r w:rsidR="003F5DAE">
        <w:rPr>
          <w:szCs w:val="24"/>
        </w:rPr>
        <w:t>s</w:t>
      </w:r>
      <w:r w:rsidR="00ED5215">
        <w:rPr>
          <w:szCs w:val="24"/>
        </w:rPr>
        <w:t xml:space="preserve">; </w:t>
      </w:r>
      <w:r w:rsidR="00CA2C68">
        <w:rPr>
          <w:szCs w:val="24"/>
        </w:rPr>
        <w:t xml:space="preserve">OMB </w:t>
      </w:r>
      <w:r w:rsidR="000C2907">
        <w:rPr>
          <w:szCs w:val="24"/>
        </w:rPr>
        <w:t>#</w:t>
      </w:r>
      <w:r w:rsidR="00ED5215">
        <w:rPr>
          <w:szCs w:val="24"/>
        </w:rPr>
        <w:t>0970-0506</w:t>
      </w:r>
      <w:r w:rsidR="00CC2132">
        <w:rPr>
          <w:szCs w:val="24"/>
        </w:rPr>
        <w:t>) cover</w:t>
      </w:r>
      <w:r w:rsidR="00ED5215">
        <w:rPr>
          <w:szCs w:val="24"/>
        </w:rPr>
        <w:t>ed</w:t>
      </w:r>
      <w:r w:rsidR="00CC2132">
        <w:rPr>
          <w:szCs w:val="24"/>
        </w:rPr>
        <w:t xml:space="preserve"> data collection activities for both an impact and an implementation study. </w:t>
      </w:r>
      <w:r w:rsidR="002334B2">
        <w:rPr>
          <w:szCs w:val="24"/>
        </w:rPr>
        <w:t>Approved d</w:t>
      </w:r>
      <w:r w:rsidR="00CC2132">
        <w:rPr>
          <w:szCs w:val="24"/>
        </w:rPr>
        <w:t>ata collection activities for the impact stud</w:t>
      </w:r>
      <w:r w:rsidR="0014772A">
        <w:rPr>
          <w:szCs w:val="24"/>
        </w:rPr>
        <w:t>y include: (1) baseline data collection</w:t>
      </w:r>
      <w:r w:rsidR="00CC2132">
        <w:rPr>
          <w:szCs w:val="24"/>
        </w:rPr>
        <w:t xml:space="preserve"> and (2) </w:t>
      </w:r>
      <w:r w:rsidR="00C64EC2">
        <w:rPr>
          <w:szCs w:val="24"/>
        </w:rPr>
        <w:t>the first</w:t>
      </w:r>
      <w:r w:rsidR="00CC2132">
        <w:rPr>
          <w:szCs w:val="24"/>
        </w:rPr>
        <w:t xml:space="preserve"> </w:t>
      </w:r>
      <w:r w:rsidR="003F5DAE">
        <w:rPr>
          <w:szCs w:val="24"/>
        </w:rPr>
        <w:t xml:space="preserve">and second </w:t>
      </w:r>
      <w:r w:rsidR="00CC2132">
        <w:rPr>
          <w:szCs w:val="24"/>
        </w:rPr>
        <w:t>follow-up survey</w:t>
      </w:r>
      <w:r w:rsidR="003F5DAE">
        <w:rPr>
          <w:szCs w:val="24"/>
        </w:rPr>
        <w:t>s</w:t>
      </w:r>
      <w:r w:rsidR="00CC2132">
        <w:rPr>
          <w:szCs w:val="24"/>
        </w:rPr>
        <w:t xml:space="preserve">. </w:t>
      </w:r>
      <w:r w:rsidR="002334B2">
        <w:rPr>
          <w:szCs w:val="24"/>
        </w:rPr>
        <w:t>Approved d</w:t>
      </w:r>
      <w:r w:rsidR="00CC2132">
        <w:rPr>
          <w:szCs w:val="24"/>
        </w:rPr>
        <w:t xml:space="preserve">ata collection activities for the implementation study include: (1) semi-structured </w:t>
      </w:r>
      <w:r w:rsidR="003160D2">
        <w:rPr>
          <w:szCs w:val="24"/>
        </w:rPr>
        <w:t xml:space="preserve">management, </w:t>
      </w:r>
      <w:r w:rsidR="0014772A">
        <w:rPr>
          <w:szCs w:val="24"/>
        </w:rPr>
        <w:t>staff</w:t>
      </w:r>
      <w:r w:rsidR="003160D2">
        <w:rPr>
          <w:szCs w:val="24"/>
        </w:rPr>
        <w:t>, and supervisor</w:t>
      </w:r>
      <w:r w:rsidR="0014772A">
        <w:rPr>
          <w:szCs w:val="24"/>
        </w:rPr>
        <w:t xml:space="preserve"> interviews</w:t>
      </w:r>
      <w:r w:rsidR="00CC2132">
        <w:rPr>
          <w:szCs w:val="24"/>
        </w:rPr>
        <w:t xml:space="preserve">; (2) a staff survey; (3) in-depth participant interviews; (4) staff reports of participant service receipt; and (5) video recordings of coaching sessions. </w:t>
      </w:r>
      <w:r w:rsidR="00ED5215">
        <w:rPr>
          <w:szCs w:val="24"/>
        </w:rPr>
        <w:t>This current</w:t>
      </w:r>
      <w:r w:rsidR="00CC2132">
        <w:rPr>
          <w:szCs w:val="24"/>
        </w:rPr>
        <w:t xml:space="preserve"> </w:t>
      </w:r>
      <w:r w:rsidR="003F5DAE">
        <w:rPr>
          <w:szCs w:val="24"/>
        </w:rPr>
        <w:t xml:space="preserve">non-substantive change request seeks approval for changes to two </w:t>
      </w:r>
      <w:r w:rsidR="00EA05AE">
        <w:rPr>
          <w:szCs w:val="24"/>
        </w:rPr>
        <w:t xml:space="preserve">previously approved </w:t>
      </w:r>
      <w:r w:rsidR="003F5DAE">
        <w:rPr>
          <w:szCs w:val="24"/>
        </w:rPr>
        <w:t>i</w:t>
      </w:r>
      <w:r w:rsidRPr="003F5DAE" w:rsidR="003F5DAE">
        <w:rPr>
          <w:szCs w:val="24"/>
        </w:rPr>
        <w:t>mplementation study data collection instruments</w:t>
      </w:r>
      <w:r w:rsidR="00EA05AE">
        <w:rPr>
          <w:szCs w:val="24"/>
        </w:rPr>
        <w:t xml:space="preserve"> </w:t>
      </w:r>
      <w:r w:rsidR="003F5DAE">
        <w:rPr>
          <w:szCs w:val="24"/>
        </w:rPr>
        <w:t xml:space="preserve">to </w:t>
      </w:r>
      <w:r w:rsidRPr="003F5DAE" w:rsidR="003F5DAE">
        <w:rPr>
          <w:szCs w:val="24"/>
        </w:rPr>
        <w:t xml:space="preserve">reframe some questions and add questions to systematically capture </w:t>
      </w:r>
      <w:r w:rsidR="006746AA">
        <w:rPr>
          <w:szCs w:val="24"/>
        </w:rPr>
        <w:t>implementation</w:t>
      </w:r>
      <w:r w:rsidRPr="003F5DAE" w:rsidR="003F5DAE">
        <w:rPr>
          <w:szCs w:val="24"/>
        </w:rPr>
        <w:t xml:space="preserve"> information related to COVID-19</w:t>
      </w:r>
      <w:r w:rsidR="00EA05AE">
        <w:rPr>
          <w:szCs w:val="24"/>
        </w:rPr>
        <w:t xml:space="preserve">. The requested changes are reflected in </w:t>
      </w:r>
      <w:r w:rsidR="00697E93">
        <w:rPr>
          <w:szCs w:val="24"/>
        </w:rPr>
        <w:t>Attachment D</w:t>
      </w:r>
      <w:r w:rsidR="00607841">
        <w:rPr>
          <w:szCs w:val="24"/>
        </w:rPr>
        <w:t>.</w:t>
      </w:r>
      <w:r w:rsidR="00697E93">
        <w:rPr>
          <w:szCs w:val="24"/>
        </w:rPr>
        <w:t xml:space="preserve"> </w:t>
      </w:r>
      <w:r w:rsidRPr="00607841" w:rsidR="00607841">
        <w:rPr>
          <w:szCs w:val="24"/>
        </w:rPr>
        <w:t>Semi-structured management, staff, and supervisor interviews_rev and Attachment F. In-depth participant interviews_rev</w:t>
      </w:r>
      <w:r w:rsidR="00697E93">
        <w:rPr>
          <w:szCs w:val="24"/>
        </w:rPr>
        <w:t xml:space="preserve">. </w:t>
      </w:r>
      <w:r w:rsidRPr="00133AD2" w:rsidR="00697E93">
        <w:rPr>
          <w:szCs w:val="24"/>
        </w:rPr>
        <w:t xml:space="preserve">It also requests a slight increase to the incentive amount for the </w:t>
      </w:r>
      <w:r w:rsidR="00697E93">
        <w:rPr>
          <w:szCs w:val="24"/>
        </w:rPr>
        <w:t xml:space="preserve">additional </w:t>
      </w:r>
      <w:r w:rsidRPr="00133AD2" w:rsidR="00697E93">
        <w:rPr>
          <w:szCs w:val="24"/>
        </w:rPr>
        <w:t>in-depth participant interviews, and to the estima</w:t>
      </w:r>
      <w:r w:rsidR="00697E93">
        <w:rPr>
          <w:szCs w:val="24"/>
        </w:rPr>
        <w:t>ted burden based on conducting</w:t>
      </w:r>
      <w:r w:rsidRPr="00133AD2" w:rsidR="00697E93">
        <w:rPr>
          <w:szCs w:val="24"/>
        </w:rPr>
        <w:t xml:space="preserve"> additional </w:t>
      </w:r>
      <w:r w:rsidR="00697E93">
        <w:rPr>
          <w:szCs w:val="24"/>
        </w:rPr>
        <w:t>interviews</w:t>
      </w:r>
      <w:r w:rsidRPr="00133AD2" w:rsidR="00697E93">
        <w:rPr>
          <w:szCs w:val="24"/>
        </w:rPr>
        <w:t xml:space="preserve">. </w:t>
      </w:r>
      <w:r w:rsidR="00D015F8">
        <w:rPr>
          <w:szCs w:val="24"/>
        </w:rPr>
        <w:t xml:space="preserve"> </w:t>
      </w:r>
      <w:r w:rsidR="00C26863">
        <w:rPr>
          <w:szCs w:val="24"/>
        </w:rPr>
        <w:t xml:space="preserve">Finally, </w:t>
      </w:r>
      <w:r w:rsidR="0025680E">
        <w:rPr>
          <w:szCs w:val="24"/>
        </w:rPr>
        <w:t xml:space="preserve">this request seeks approval for </w:t>
      </w:r>
      <w:r w:rsidR="003963EC">
        <w:rPr>
          <w:szCs w:val="24"/>
        </w:rPr>
        <w:t>changes to</w:t>
      </w:r>
      <w:r w:rsidR="00D015F8">
        <w:rPr>
          <w:szCs w:val="24"/>
        </w:rPr>
        <w:t xml:space="preserve"> the incentive </w:t>
      </w:r>
      <w:r w:rsidR="003963EC">
        <w:rPr>
          <w:szCs w:val="24"/>
        </w:rPr>
        <w:t xml:space="preserve">structure and </w:t>
      </w:r>
      <w:r w:rsidR="0025680E">
        <w:rPr>
          <w:szCs w:val="24"/>
        </w:rPr>
        <w:t xml:space="preserve">amount </w:t>
      </w:r>
      <w:r w:rsidR="00D015F8">
        <w:rPr>
          <w:szCs w:val="24"/>
        </w:rPr>
        <w:t xml:space="preserve">for </w:t>
      </w:r>
      <w:r w:rsidR="00B76F4F">
        <w:rPr>
          <w:szCs w:val="24"/>
        </w:rPr>
        <w:t xml:space="preserve">two sites </w:t>
      </w:r>
      <w:r w:rsidR="003963EC">
        <w:rPr>
          <w:szCs w:val="24"/>
        </w:rPr>
        <w:t>for</w:t>
      </w:r>
      <w:r w:rsidR="00B76F4F">
        <w:rPr>
          <w:szCs w:val="24"/>
        </w:rPr>
        <w:t xml:space="preserve"> </w:t>
      </w:r>
      <w:r w:rsidR="00D015F8">
        <w:rPr>
          <w:szCs w:val="24"/>
        </w:rPr>
        <w:t xml:space="preserve">the </w:t>
      </w:r>
      <w:r w:rsidR="00C26863">
        <w:rPr>
          <w:szCs w:val="24"/>
        </w:rPr>
        <w:t xml:space="preserve">impact evaluation’s </w:t>
      </w:r>
      <w:r w:rsidR="00D015F8">
        <w:rPr>
          <w:szCs w:val="24"/>
        </w:rPr>
        <w:t>follow-up surveys</w:t>
      </w:r>
      <w:r w:rsidR="00607841">
        <w:t xml:space="preserve"> and minor revisions to </w:t>
      </w:r>
      <w:r w:rsidR="0025680E">
        <w:t xml:space="preserve">the survey instruments (Attachment C. First follow-up survey_rev and Attachment N. Second follow-up survey_rev) and </w:t>
      </w:r>
      <w:r w:rsidR="00607841">
        <w:t>notifications (Attachment I. Notifications_rev)</w:t>
      </w:r>
      <w:r w:rsidR="00EA05AE">
        <w:t xml:space="preserve"> to reflect the </w:t>
      </w:r>
      <w:r w:rsidR="003963EC">
        <w:t>requested changes</w:t>
      </w:r>
      <w:r w:rsidR="00D015F8">
        <w:rPr>
          <w:szCs w:val="24"/>
        </w:rPr>
        <w:t>.</w:t>
      </w:r>
    </w:p>
    <w:p w:rsidRPr="001E72CD" w:rsidR="00CC2132" w:rsidP="00CC2132" w:rsidRDefault="00CC2132" w14:paraId="2E03E912" w14:textId="77777777">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rsidR="00D92779" w:rsidP="00C72880" w:rsidRDefault="00CC2132" w14:paraId="71062A80" w14:textId="0097C18F">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Pr="0003166B" w:rsidR="002F4973">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Pr="00D92779" w:rsidR="00D92779">
        <w:rPr>
          <w:szCs w:val="24"/>
        </w:rPr>
        <w:t xml:space="preserve">Long recognized as an effective approach to helping people meet career and personal goals, coaching has drawn increasing </w:t>
      </w:r>
      <w:r w:rsidRPr="00D92779" w:rsidR="00D92779">
        <w:rPr>
          <w:szCs w:val="24"/>
        </w:rPr>
        <w:lastRenderedPageBreak/>
        <w:t>interest as a way to help low-income people gain and maintain employment and realize career and family goals (Annie E. Casey Foundation 2007).</w:t>
      </w:r>
    </w:p>
    <w:p w:rsidRPr="00D92779" w:rsidR="00D92779" w:rsidP="00815F38" w:rsidRDefault="00D92779" w14:paraId="7281B609" w14:textId="2E2E4D2D">
      <w:pPr>
        <w:pStyle w:val="NormalSS"/>
        <w:ind w:firstLine="0"/>
      </w:pPr>
      <w:r>
        <w:rPr>
          <w:szCs w:val="24"/>
        </w:rPr>
        <w:t xml:space="preserve">Coaching </w:t>
      </w:r>
      <w:r w:rsidR="00624EDF">
        <w:rPr>
          <w:szCs w:val="24"/>
        </w:rPr>
        <w:t xml:space="preserve">strategies are typically </w:t>
      </w:r>
      <w:r w:rsidRPr="0003166B" w:rsidR="00CC2132">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Pr="00672A1B" w:rsidR="00CC2132">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moderate-income people found that the programs reduced debt and financial stress, and increased savings (Theodos et al. 2015). Similarly, coaching has been found to be effective in 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w:t>
      </w:r>
      <w:r w:rsidR="00CA61F8">
        <w:t xml:space="preserve"> et al.</w:t>
      </w:r>
      <w:r w:rsidRPr="00D92779">
        <w:t xml:space="preserve"> 2015). However, there is little evidence on the effectiveness of coaching for improving </w:t>
      </w:r>
      <w:r w:rsidR="009801D4">
        <w:t>employment</w:t>
      </w:r>
      <w:r w:rsidRPr="00D92779">
        <w:t xml:space="preserve"> and self-sufficiency among TANF and other low-income populations.</w:t>
      </w:r>
    </w:p>
    <w:p w:rsidR="00CC2132" w:rsidP="00CC2132" w:rsidRDefault="00D92779" w14:paraId="2AEFB746" w14:textId="06B66BE4">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Pr="00682755" w:rsidR="00CC2132">
        <w:t xml:space="preserve"> coaches work with </w:t>
      </w:r>
      <w:r w:rsidR="00CC2132">
        <w:t>participants</w:t>
      </w:r>
      <w:r w:rsidRPr="00682755" w:rsidR="00CC2132">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rsidR="00CC2132" w:rsidP="00CC2132" w:rsidRDefault="00CC2132" w14:paraId="4956AFE0" w14:textId="6C43FA95">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sidR="00ED5215">
        <w:rPr>
          <w:szCs w:val="24"/>
        </w:rPr>
        <w:t xml:space="preserve"> the following</w:t>
      </w:r>
      <w:r>
        <w:rPr>
          <w:szCs w:val="24"/>
        </w:rPr>
        <w:t xml:space="preserve"> coaching interventions</w:t>
      </w:r>
      <w:r w:rsidR="002246D9">
        <w:rPr>
          <w:szCs w:val="24"/>
        </w:rPr>
        <w:t>: MyGoals for Employment Success in Baltimore</w:t>
      </w:r>
      <w:r w:rsidR="00977F79">
        <w:rPr>
          <w:szCs w:val="24"/>
        </w:rPr>
        <w:t>;</w:t>
      </w:r>
      <w:r w:rsidR="002246D9">
        <w:rPr>
          <w:szCs w:val="24"/>
        </w:rPr>
        <w:t xml:space="preserve"> MyGoals for Employment Success in Houston</w:t>
      </w:r>
      <w:r w:rsidR="00977F79">
        <w:rPr>
          <w:szCs w:val="24"/>
        </w:rPr>
        <w:t>;</w:t>
      </w:r>
      <w:r w:rsidR="002246D9">
        <w:rPr>
          <w:szCs w:val="24"/>
        </w:rPr>
        <w:t xml:space="preserve"> Family Development and Self-Sufficiency </w:t>
      </w:r>
      <w:r w:rsidR="008422D6">
        <w:rPr>
          <w:szCs w:val="24"/>
        </w:rPr>
        <w:t>p</w:t>
      </w:r>
      <w:r w:rsidR="002246D9">
        <w:rPr>
          <w:szCs w:val="24"/>
        </w:rPr>
        <w:t>rogram in Iowa</w:t>
      </w:r>
      <w:r w:rsidR="00977F79">
        <w:rPr>
          <w:szCs w:val="24"/>
        </w:rPr>
        <w:t>; LIFT in New York City, Chicago, and Los Angeles; Work Success in Utah</w:t>
      </w:r>
      <w:r w:rsidR="00D555DF">
        <w:rPr>
          <w:szCs w:val="24"/>
        </w:rPr>
        <w:t>; and Goal4 It! in Jefferson County, Colorado</w:t>
      </w:r>
      <w:r>
        <w:rPr>
          <w:szCs w:val="24"/>
        </w:rPr>
        <w:t>. The</w:t>
      </w:r>
      <w:r w:rsidR="006E48B2">
        <w:rPr>
          <w:szCs w:val="24"/>
        </w:rPr>
        <w:t xml:space="preserve"> follow-up survey</w:t>
      </w:r>
      <w:r w:rsidR="00666AF5">
        <w:rPr>
          <w:szCs w:val="24"/>
        </w:rPr>
        <w:t>s</w:t>
      </w:r>
      <w:r w:rsidR="006E48B2">
        <w:rPr>
          <w:szCs w:val="24"/>
        </w:rPr>
        <w:t xml:space="preserve"> will contribute to the</w:t>
      </w:r>
      <w:r>
        <w:rPr>
          <w:szCs w:val="24"/>
        </w:rPr>
        <w:t xml:space="preserve"> impact study</w:t>
      </w:r>
      <w:r w:rsidR="006E48B2">
        <w:rPr>
          <w:szCs w:val="24"/>
        </w:rPr>
        <w:t>, which</w:t>
      </w:r>
      <w:r>
        <w:rPr>
          <w:szCs w:val="24"/>
        </w:rPr>
        <w:t xml:space="preserve"> will address the effectiveness of each </w:t>
      </w:r>
      <w:r w:rsidR="00041889">
        <w:rPr>
          <w:szCs w:val="24"/>
        </w:rPr>
        <w:t>coaching intervention</w:t>
      </w:r>
      <w:r>
        <w:rPr>
          <w:szCs w:val="24"/>
        </w:rPr>
        <w:t xml:space="preserve"> </w:t>
      </w:r>
      <w:r>
        <w:rPr>
          <w:szCs w:val="24"/>
        </w:rPr>
        <w:lastRenderedPageBreak/>
        <w:t xml:space="preserve">in improving employment, self-sufficiency, and self-regulation outcomes as well as other measures of well-being. </w:t>
      </w:r>
    </w:p>
    <w:p w:rsidRPr="003F4A6A" w:rsidR="00CC2132" w:rsidP="00CC2132" w:rsidRDefault="00CC2132" w14:paraId="1DA60E1A" w14:textId="77777777">
      <w:pPr>
        <w:pStyle w:val="NormalSS"/>
        <w:ind w:firstLine="0"/>
        <w:rPr>
          <w:b/>
          <w:i/>
          <w:szCs w:val="24"/>
        </w:rPr>
      </w:pPr>
      <w:r w:rsidRPr="003F4A6A">
        <w:rPr>
          <w:b/>
          <w:i/>
          <w:szCs w:val="24"/>
        </w:rPr>
        <w:t xml:space="preserve">Legal or Administrative Requirements that Necessitate the Collection </w:t>
      </w:r>
    </w:p>
    <w:p w:rsidR="00CC2132" w:rsidP="00CC2132" w:rsidRDefault="00CC2132" w14:paraId="0677BA3D" w14:textId="77777777">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rsidRPr="0072204D" w:rsidR="00CC2132" w:rsidP="00B9279C" w:rsidRDefault="00CC2132" w14:paraId="3A3071E1" w14:textId="77777777">
      <w:pPr>
        <w:keepNext/>
        <w:spacing w:before="360" w:after="120"/>
        <w:rPr>
          <w:b/>
        </w:rPr>
      </w:pPr>
      <w:r>
        <w:rPr>
          <w:b/>
        </w:rPr>
        <w:t xml:space="preserve">A2. </w:t>
      </w:r>
      <w:r w:rsidRPr="0072204D">
        <w:rPr>
          <w:b/>
        </w:rPr>
        <w:t>Purpose of Survey and Data Collection Procedures</w:t>
      </w:r>
    </w:p>
    <w:p w:rsidRPr="00177982" w:rsidR="00CC2132" w:rsidP="00CC2132" w:rsidRDefault="00CC2132" w14:paraId="6F8D95A9" w14:textId="77777777">
      <w:pPr>
        <w:spacing w:after="60"/>
        <w:rPr>
          <w:b/>
          <w:i/>
        </w:rPr>
      </w:pPr>
      <w:r w:rsidRPr="00177982">
        <w:rPr>
          <w:b/>
          <w:i/>
        </w:rPr>
        <w:t>Overview of Purpose and Approach</w:t>
      </w:r>
    </w:p>
    <w:p w:rsidR="00CC2132" w:rsidP="00CC2132" w:rsidRDefault="00CC2132" w14:paraId="6BCA1A29" w14:textId="6C63DC1B">
      <w:pPr>
        <w:pStyle w:val="NormalSS"/>
        <w:ind w:firstLine="0"/>
      </w:pPr>
      <w:r w:rsidRPr="002A0B14">
        <w:t xml:space="preserve">The </w:t>
      </w:r>
      <w:r>
        <w:t xml:space="preserve">information </w:t>
      </w:r>
      <w:r w:rsidRPr="002A0B14">
        <w:t xml:space="preserve">collected through the </w:t>
      </w:r>
      <w:r w:rsidR="00273776">
        <w:t>follow-up survey</w:t>
      </w:r>
      <w:r w:rsidR="00666AF5">
        <w:t>s</w:t>
      </w:r>
      <w:r w:rsidRPr="002A0B14">
        <w:t xml:space="preserve"> will be used to learn about</w:t>
      </w:r>
      <w:r w:rsidR="00273776">
        <w:t xml:space="preserve"> the effectiveness of</w:t>
      </w:r>
      <w:r w:rsidRPr="002A0B14">
        <w:t xml:space="preserve"> </w:t>
      </w:r>
      <w:r>
        <w:t>coaching interventions</w:t>
      </w:r>
      <w:r w:rsidR="00273776">
        <w:t xml:space="preserve"> at improving outcomes for participants</w:t>
      </w:r>
      <w:r>
        <w:t xml:space="preserve"> in employment programs</w:t>
      </w:r>
      <w:r w:rsidR="004A36D3">
        <w:t xml:space="preserve"> serving TANF and </w:t>
      </w:r>
      <w:r w:rsidR="00273776">
        <w:t>related</w:t>
      </w:r>
      <w:r w:rsidR="004A36D3">
        <w:t xml:space="preserve"> populations</w:t>
      </w:r>
      <w:r>
        <w:t xml:space="preserve">. This information can be used </w:t>
      </w:r>
      <w:r w:rsidR="00484522">
        <w:t xml:space="preserve">by policymakers </w:t>
      </w:r>
      <w:r>
        <w:t>to inform funding and policy decisions</w:t>
      </w:r>
      <w:r w:rsidRPr="002A0B14">
        <w:t xml:space="preserve">. If the information collection </w:t>
      </w:r>
      <w:r w:rsidR="00484522">
        <w:t>does not take place</w:t>
      </w:r>
      <w:r w:rsidRPr="002A0B14">
        <w:t xml:space="preserve">, policymakers and providers of </w:t>
      </w:r>
      <w:r>
        <w:t>coaching</w:t>
      </w:r>
      <w:r w:rsidRPr="002A0B14">
        <w:t xml:space="preserve"> programs will lack high</w:t>
      </w:r>
      <w:r w:rsidR="000F2805">
        <w:t xml:space="preserve"> </w:t>
      </w:r>
      <w:r w:rsidRPr="002A0B14">
        <w:t>quality</w:t>
      </w:r>
      <w:r w:rsidR="00A443A9">
        <w:t xml:space="preserve"> and long-term</w:t>
      </w:r>
      <w:r w:rsidRPr="002A0B14">
        <w:t xml:space="preserve"> information on the effects of the </w:t>
      </w:r>
      <w:r w:rsidR="0040124C">
        <w:t>interventions</w:t>
      </w:r>
      <w:r w:rsidRPr="002A0B14">
        <w:t xml:space="preserve">. </w:t>
      </w:r>
    </w:p>
    <w:p w:rsidR="00CC2132" w:rsidP="00B9279C" w:rsidRDefault="00CC2132" w14:paraId="435A8C3B" w14:textId="77777777">
      <w:pPr>
        <w:spacing w:before="120" w:after="120"/>
        <w:rPr>
          <w:b/>
          <w:i/>
        </w:rPr>
      </w:pPr>
      <w:r>
        <w:rPr>
          <w:b/>
          <w:i/>
        </w:rPr>
        <w:t>Research Questions</w:t>
      </w:r>
    </w:p>
    <w:p w:rsidRPr="00BD675F" w:rsidR="00CC2132" w:rsidP="00B9279C" w:rsidRDefault="00CC2132" w14:paraId="03C29EA9" w14:textId="6E5C0E1C">
      <w:pPr>
        <w:spacing w:before="120" w:after="120"/>
      </w:pPr>
      <w:r>
        <w:t>The</w:t>
      </w:r>
      <w:r w:rsidR="00823122">
        <w:t xml:space="preserve"> follow-up stud</w:t>
      </w:r>
      <w:r w:rsidR="00666AF5">
        <w:t>ies</w:t>
      </w:r>
      <w:r w:rsidR="00823122">
        <w:t xml:space="preserve"> will provide data for the impact study to answer the following research questions:</w:t>
      </w:r>
    </w:p>
    <w:p w:rsidRPr="00484522" w:rsidR="00CC2132" w:rsidP="00CC2132" w:rsidRDefault="00CC2132" w14:paraId="5C4D6A19" w14:textId="77777777">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rsidRPr="00484522" w:rsidR="00CC2132" w:rsidP="00CC2132" w:rsidRDefault="00CC2132" w14:paraId="20EC1D79" w14:textId="77777777">
      <w:pPr>
        <w:pStyle w:val="NormalSS"/>
        <w:numPr>
          <w:ilvl w:val="0"/>
          <w:numId w:val="24"/>
        </w:numPr>
      </w:pPr>
      <w:r w:rsidRPr="00484522">
        <w:t>Do the coaching interventions improve measures of self-regulation? To what extent do impacts on self-regulation explain impacts on employment outcomes?</w:t>
      </w:r>
    </w:p>
    <w:p w:rsidRPr="00484522" w:rsidR="00CC2132" w:rsidP="00B9279C" w:rsidRDefault="00CC2132" w14:paraId="1D335D03" w14:textId="77777777">
      <w:pPr>
        <w:pStyle w:val="NormalSS"/>
        <w:numPr>
          <w:ilvl w:val="0"/>
          <w:numId w:val="24"/>
        </w:numPr>
      </w:pPr>
      <w:r w:rsidRPr="00484522">
        <w:t>Are the coaching interventions more effective for some groups of participants than others?</w:t>
      </w:r>
    </w:p>
    <w:p w:rsidRPr="00484522" w:rsidR="00CC2132" w:rsidP="00CC2132" w:rsidRDefault="00CC2132" w14:paraId="5683FC74" w14:textId="09CA157D">
      <w:pPr>
        <w:pStyle w:val="NormalSS"/>
        <w:numPr>
          <w:ilvl w:val="0"/>
          <w:numId w:val="24"/>
        </w:numPr>
        <w:ind w:left="360" w:firstLine="0"/>
      </w:pPr>
      <w:r w:rsidRPr="00484522">
        <w:t xml:space="preserve">How do the impacts of the coaching interventions change over time? </w:t>
      </w:r>
    </w:p>
    <w:p w:rsidRPr="00C61FE8" w:rsidR="00CC2132" w:rsidP="00B9279C" w:rsidRDefault="00CC2132" w14:paraId="1E1EEE8C" w14:textId="77777777">
      <w:pPr>
        <w:spacing w:before="120" w:after="120"/>
        <w:rPr>
          <w:b/>
          <w:i/>
        </w:rPr>
      </w:pPr>
      <w:r>
        <w:rPr>
          <w:b/>
          <w:i/>
        </w:rPr>
        <w:t>Study Design</w:t>
      </w:r>
    </w:p>
    <w:p w:rsidR="00E83CAD" w:rsidP="00CC2132" w:rsidRDefault="00CC2132" w14:paraId="5B3CD42A" w14:textId="0A4F94A0">
      <w:pPr>
        <w:pStyle w:val="NormalSS"/>
        <w:ind w:firstLine="0"/>
        <w:rPr>
          <w:szCs w:val="24"/>
        </w:rPr>
      </w:pPr>
      <w:r>
        <w:rPr>
          <w:szCs w:val="24"/>
        </w:rPr>
        <w:t xml:space="preserve">The study </w:t>
      </w:r>
      <w:r w:rsidR="008320A0">
        <w:rPr>
          <w:szCs w:val="24"/>
        </w:rPr>
        <w:t>is</w:t>
      </w:r>
      <w:r>
        <w:rPr>
          <w:szCs w:val="24"/>
        </w:rPr>
        <w:t xml:space="preserve"> </w:t>
      </w:r>
      <w:r w:rsidR="00721FA0">
        <w:rPr>
          <w:szCs w:val="24"/>
        </w:rPr>
        <w:t>evaluat</w:t>
      </w:r>
      <w:r w:rsidR="008320A0">
        <w:rPr>
          <w:szCs w:val="24"/>
        </w:rPr>
        <w:t>ing</w:t>
      </w:r>
      <w:r w:rsidR="003B322A">
        <w:rPr>
          <w:szCs w:val="24"/>
        </w:rPr>
        <w:t xml:space="preserve"> </w:t>
      </w:r>
      <w:r w:rsidR="00EE1A8D">
        <w:rPr>
          <w:szCs w:val="24"/>
        </w:rPr>
        <w:t>the following</w:t>
      </w:r>
      <w:r w:rsidR="00977F79">
        <w:rPr>
          <w:szCs w:val="24"/>
        </w:rPr>
        <w:t xml:space="preserve"> </w:t>
      </w:r>
      <w:r>
        <w:rPr>
          <w:szCs w:val="24"/>
        </w:rPr>
        <w:t>coaching interventions</w:t>
      </w:r>
      <w:r w:rsidR="001B11E1">
        <w:rPr>
          <w:szCs w:val="24"/>
        </w:rPr>
        <w:t>: MyGoals for Employment Success in Baltimore</w:t>
      </w:r>
      <w:r w:rsidR="00E35606">
        <w:rPr>
          <w:szCs w:val="24"/>
        </w:rPr>
        <w:t>;</w:t>
      </w:r>
      <w:r w:rsidR="001B11E1">
        <w:rPr>
          <w:szCs w:val="24"/>
        </w:rPr>
        <w:t xml:space="preserve"> MyGoals for Employment Success in Houston</w:t>
      </w:r>
      <w:r w:rsidR="00E35606">
        <w:rPr>
          <w:szCs w:val="24"/>
        </w:rPr>
        <w:t>;</w:t>
      </w:r>
      <w:r w:rsidR="001B11E1">
        <w:rPr>
          <w:szCs w:val="24"/>
        </w:rPr>
        <w:t xml:space="preserve"> Family Development and Self-Sufficiency program in Iowa</w:t>
      </w:r>
      <w:r w:rsidR="00E35606">
        <w:rPr>
          <w:szCs w:val="24"/>
        </w:rPr>
        <w:t>;</w:t>
      </w:r>
      <w:r w:rsidR="00EE1A8D">
        <w:rPr>
          <w:szCs w:val="24"/>
        </w:rPr>
        <w:t xml:space="preserve"> LIFT in New York City, Chicago, and Los Angeles; Work Success in Utah; and Goal4 It! in Jefferson County, Colorado</w:t>
      </w:r>
      <w:r w:rsidR="001B11E1">
        <w:rPr>
          <w:szCs w:val="24"/>
        </w:rPr>
        <w:t xml:space="preserve">. </w:t>
      </w:r>
    </w:p>
    <w:p w:rsidRPr="00FC1C5D" w:rsidR="00D555DF" w:rsidP="00D555DF" w:rsidRDefault="00D555DF" w14:paraId="095C20C6" w14:textId="109D23AD">
      <w:pPr>
        <w:pStyle w:val="NormalSS"/>
        <w:ind w:firstLine="0"/>
        <w:rPr>
          <w:b/>
          <w:szCs w:val="24"/>
        </w:rPr>
      </w:pPr>
      <w:r w:rsidRPr="00FC1C5D">
        <w:rPr>
          <w:b/>
          <w:szCs w:val="24"/>
        </w:rPr>
        <w:t>MyGoals for Employment Success in Baltimore and Houston</w:t>
      </w:r>
    </w:p>
    <w:p w:rsidRPr="002246D9" w:rsidR="00D555DF" w:rsidP="00D555DF" w:rsidRDefault="00D555DF" w14:paraId="2E620673" w14:textId="1D41D5C1">
      <w:pPr>
        <w:pStyle w:val="NormalSS"/>
        <w:ind w:firstLine="0"/>
        <w:rPr>
          <w:szCs w:val="24"/>
        </w:rPr>
      </w:pPr>
      <w:r w:rsidRPr="002246D9">
        <w:rPr>
          <w:szCs w:val="24"/>
        </w:rPr>
        <w:t>MyGoals is targeted to unemployed or underemployed adults between the ages of 18 and 56 who are receiving housing support from the housing authority. Its objective is to improve self-</w:t>
      </w:r>
      <w:r w:rsidRPr="002246D9">
        <w:rPr>
          <w:szCs w:val="24"/>
        </w:rPr>
        <w:lastRenderedPageBreak/>
        <w:t xml:space="preserve">regulation skills and help participants find solutions to their problems in the short-term while increasing their overall economic security and decreasing their reliance on public assistance in the long-term. MyGoals is a three-year program. Coaches meet with participants every three to four weeks during the first two years and are encouraged to check in between sessions. They meet with participants less frequently in the third year. </w:t>
      </w:r>
    </w:p>
    <w:p w:rsidRPr="00FC1C5D" w:rsidR="00D555DF" w:rsidP="00D555DF" w:rsidRDefault="00D555DF" w14:paraId="019E3E4D" w14:textId="25D026E4">
      <w:pPr>
        <w:pStyle w:val="NormalSS"/>
        <w:ind w:firstLine="0"/>
        <w:rPr>
          <w:b/>
          <w:szCs w:val="24"/>
        </w:rPr>
      </w:pPr>
      <w:r w:rsidRPr="00FC1C5D">
        <w:rPr>
          <w:b/>
          <w:szCs w:val="24"/>
        </w:rPr>
        <w:t>Family Development and Self-Sufficiency Program</w:t>
      </w:r>
    </w:p>
    <w:p w:rsidR="00D555DF" w:rsidP="00D555DF" w:rsidRDefault="00D555DF" w14:paraId="2EC8BF41" w14:textId="2A057A38">
      <w:pPr>
        <w:pStyle w:val="NormalSS"/>
        <w:ind w:firstLine="0"/>
        <w:rPr>
          <w:szCs w:val="24"/>
        </w:rPr>
      </w:pPr>
      <w:r w:rsidRPr="002246D9">
        <w:rPr>
          <w:szCs w:val="24"/>
        </w:rPr>
        <w:t>Iowa’s Department of Human Rights implements the Family Development and Self-Sufficiency (FaDSS) program through contracts with 17 local agencies across the state. This evaluation include</w:t>
      </w:r>
      <w:r w:rsidR="008320A0">
        <w:rPr>
          <w:szCs w:val="24"/>
        </w:rPr>
        <w:t>s</w:t>
      </w:r>
      <w:r w:rsidRPr="002246D9">
        <w:rPr>
          <w:szCs w:val="24"/>
        </w:rPr>
        <w:t xml:space="preserve"> a subset of these local agencies. FaDSS is funded through the TANF block grant and 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FaDSS expects to be able to enroll 1,000 people rather than 2,000 for the evaluation.</w:t>
      </w:r>
    </w:p>
    <w:p w:rsidRPr="00977F79" w:rsidR="0000707C" w:rsidP="0000707C" w:rsidRDefault="0000707C" w14:paraId="05AFD5B0" w14:textId="77777777">
      <w:pPr>
        <w:pStyle w:val="NormalSS"/>
        <w:ind w:firstLine="0"/>
        <w:rPr>
          <w:b/>
          <w:szCs w:val="24"/>
        </w:rPr>
      </w:pPr>
      <w:r w:rsidRPr="00977F79">
        <w:rPr>
          <w:b/>
          <w:szCs w:val="24"/>
        </w:rPr>
        <w:t xml:space="preserve">LIFT – New York City, Chicago, and Los Angeles </w:t>
      </w:r>
    </w:p>
    <w:p w:rsidR="0000707C" w:rsidP="0000707C" w:rsidRDefault="0000707C" w14:paraId="45A57ED4" w14:textId="6FFAAC7F">
      <w:pPr>
        <w:pStyle w:val="NormalSS"/>
        <w:ind w:firstLine="0"/>
        <w:rPr>
          <w:szCs w:val="24"/>
        </w:rPr>
      </w:pPr>
      <w:r w:rsidRPr="00977F79">
        <w:rPr>
          <w:szCs w:val="24"/>
        </w:rPr>
        <w:t>LIFT is a national non-profit that provides coaching and navigation services to clients in New York City, Chicago, Los Angeles</w:t>
      </w:r>
      <w:r>
        <w:rPr>
          <w:szCs w:val="24"/>
        </w:rPr>
        <w:t>, and Washington, DC. For the purposes of our evaluation</w:t>
      </w:r>
      <w:r w:rsidR="00FC472E">
        <w:rPr>
          <w:szCs w:val="24"/>
        </w:rPr>
        <w:t>,</w:t>
      </w:r>
      <w:r w:rsidRPr="00977F79">
        <w:rPr>
          <w:szCs w:val="24"/>
        </w:rPr>
        <w:t xml:space="preserve"> the</w:t>
      </w:r>
      <w:r>
        <w:rPr>
          <w:szCs w:val="24"/>
        </w:rPr>
        <w:t xml:space="preserve"> New York, Chicago, and Los Angeles</w:t>
      </w:r>
      <w:r w:rsidRPr="00977F79">
        <w:rPr>
          <w:szCs w:val="24"/>
        </w:rPr>
        <w:t xml:space="preserve"> subsites will be aggregated and considered a single LIFT site. LIFT’s goal is to help clients find a path toward goal achievement and financial security by matching them with coaches. Clients set short-term and long-term goals and the coach helps clients build an action plan to achieve those goals. The LIFT coaching approach is nondirective and allows clients to choose the goals and milestones they want to work on. LIFT clients are expected to meet with a coach on a regular basis for up to two years. During the first month of the program, clients typically have two or three in-person sessions with a coach. After the first month, clients meet with coaches monthly to discuss progress toward goals and obstacles that are impeding progress. These sessions typically last 60 to 90 minutes. </w:t>
      </w:r>
    </w:p>
    <w:p w:rsidRPr="00977F79" w:rsidR="0000707C" w:rsidP="0000707C" w:rsidRDefault="0000707C" w14:paraId="78FF6633" w14:textId="77777777">
      <w:pPr>
        <w:pStyle w:val="NormalSS"/>
        <w:ind w:firstLine="0"/>
        <w:rPr>
          <w:b/>
          <w:szCs w:val="24"/>
        </w:rPr>
      </w:pPr>
      <w:r w:rsidRPr="00977F79">
        <w:rPr>
          <w:b/>
          <w:szCs w:val="24"/>
        </w:rPr>
        <w:t>Work Success – Utah</w:t>
      </w:r>
    </w:p>
    <w:p w:rsidR="0000707C" w:rsidP="0000707C" w:rsidRDefault="0000707C" w14:paraId="7900B4E6" w14:textId="094F28FA">
      <w:pPr>
        <w:pStyle w:val="NormalSS"/>
        <w:ind w:firstLine="0"/>
        <w:rPr>
          <w:szCs w:val="24"/>
        </w:rPr>
      </w:pPr>
      <w:r w:rsidRPr="005E3525">
        <w:rPr>
          <w:szCs w:val="24"/>
        </w:rPr>
        <w:t>Work Success is an employment coaching program administered by Utah’s D</w:t>
      </w:r>
      <w:r>
        <w:rPr>
          <w:szCs w:val="24"/>
        </w:rPr>
        <w:t xml:space="preserve">epartment of </w:t>
      </w:r>
      <w:r w:rsidRPr="005E3525">
        <w:rPr>
          <w:szCs w:val="24"/>
        </w:rPr>
        <w:t>W</w:t>
      </w:r>
      <w:r>
        <w:rPr>
          <w:szCs w:val="24"/>
        </w:rPr>
        <w:t xml:space="preserve">orkforce </w:t>
      </w:r>
      <w:r w:rsidRPr="005E3525">
        <w:rPr>
          <w:szCs w:val="24"/>
        </w:rPr>
        <w:t>S</w:t>
      </w:r>
      <w:r>
        <w:rPr>
          <w:szCs w:val="24"/>
        </w:rPr>
        <w:t>ervices</w:t>
      </w:r>
      <w:r w:rsidRPr="005E3525">
        <w:rPr>
          <w:szCs w:val="24"/>
        </w:rPr>
        <w:t xml:space="preserve">—an agency that oversees TANF, Supplemental Nutrition Assistance Program, Workforce Innovation and Opportunity Act, and other workforce programs. The program is offered statewide in about 30 employment centers (American Job Centers) with one or two coaches per center. The program served about 1,350 clients in 2016, largely concentrated in the greater Salt Lake City area. The objective of the program is to improve employment outcomes by focusing on job placement. Each participant is assigned a coach, who works with </w:t>
      </w:r>
      <w:r w:rsidR="00500AAC">
        <w:rPr>
          <w:szCs w:val="24"/>
        </w:rPr>
        <w:t>him/her</w:t>
      </w:r>
      <w:r w:rsidRPr="005E3525">
        <w:rPr>
          <w:szCs w:val="24"/>
        </w:rPr>
        <w:t xml:space="preserve"> to set goals and review progress toward goals. The Work Success coach meets with clients daily, one-on-one while they are in the program to discuss their individual goals, steps they will take to achieve those goals, and any challenges they are facing. Coaching also happens </w:t>
      </w:r>
      <w:r w:rsidRPr="005E3525">
        <w:rPr>
          <w:szCs w:val="24"/>
        </w:rPr>
        <w:lastRenderedPageBreak/>
        <w:t>in group settings where the coach engages the group in soft skills trainings, identification of skills and strengths, and other group activities.</w:t>
      </w:r>
    </w:p>
    <w:p w:rsidRPr="00DB2BA5" w:rsidR="0000707C" w:rsidP="0000707C" w:rsidRDefault="0000707C" w14:paraId="2B28DDDB" w14:textId="52D00294">
      <w:pPr>
        <w:pStyle w:val="NormalSS"/>
        <w:ind w:firstLine="0"/>
        <w:rPr>
          <w:b/>
          <w:szCs w:val="24"/>
        </w:rPr>
      </w:pPr>
      <w:r w:rsidRPr="00DB2BA5">
        <w:rPr>
          <w:b/>
          <w:szCs w:val="24"/>
        </w:rPr>
        <w:t>Goal4 It</w:t>
      </w:r>
      <w:r w:rsidRPr="00DB2BA5" w:rsidR="00E35606">
        <w:rPr>
          <w:b/>
          <w:szCs w:val="24"/>
        </w:rPr>
        <w:t>!</w:t>
      </w:r>
      <w:r w:rsidR="00E35606">
        <w:rPr>
          <w:b/>
          <w:szCs w:val="24"/>
        </w:rPr>
        <w:t xml:space="preserve"> </w:t>
      </w:r>
      <w:r w:rsidRPr="00DB2BA5">
        <w:rPr>
          <w:b/>
          <w:szCs w:val="24"/>
        </w:rPr>
        <w:t>Jefferson</w:t>
      </w:r>
      <w:r w:rsidR="00E35606">
        <w:rPr>
          <w:b/>
          <w:szCs w:val="24"/>
        </w:rPr>
        <w:t xml:space="preserve"> </w:t>
      </w:r>
      <w:r w:rsidRPr="00DB2BA5">
        <w:rPr>
          <w:b/>
          <w:szCs w:val="24"/>
        </w:rPr>
        <w:t xml:space="preserve">County, Colorado </w:t>
      </w:r>
    </w:p>
    <w:p w:rsidRPr="00DB2BA5" w:rsidR="0000707C" w:rsidP="0000707C" w:rsidRDefault="0000707C" w14:paraId="59D3EF9A" w14:textId="6FA72A23">
      <w:pPr>
        <w:pStyle w:val="NormalSS"/>
        <w:ind w:firstLine="0"/>
        <w:rPr>
          <w:szCs w:val="24"/>
        </w:rPr>
      </w:pPr>
      <w:r w:rsidRPr="00DB2BA5">
        <w:rPr>
          <w:szCs w:val="24"/>
        </w:rPr>
        <w:t>Goal4 It! is an evidence-informed, customer-centered framework for setting and achieving goals developed by Mathematica Policy Research. It was designed to be a replicable and sustainable coaching approach that can be used in a TANF, workforce, or other social service environment. Using the Goal4 It! approach, trained coaches help clients set meaningful goals, break goals down into manageable steps, develop specific plans to achieve the steps, and regularly review goal progress and revise their goal</w:t>
      </w:r>
      <w:r>
        <w:rPr>
          <w:szCs w:val="24"/>
        </w:rPr>
        <w:t>s</w:t>
      </w:r>
      <w:r w:rsidRPr="00DB2BA5">
        <w:rPr>
          <w:szCs w:val="24"/>
        </w:rPr>
        <w:t xml:space="preserve"> and/or plan</w:t>
      </w:r>
      <w:r>
        <w:rPr>
          <w:szCs w:val="24"/>
        </w:rPr>
        <w:t>s</w:t>
      </w:r>
      <w:r w:rsidRPr="00DB2BA5">
        <w:rPr>
          <w:szCs w:val="24"/>
        </w:rPr>
        <w:t>. Coaches and case managers meet with clients who are not working at least once per month and meet with clients who are working at least once every two months. The first meeting is usually for one hour. Ongoing meetings are 30 or 45 minutes long. Each coach and case manager serves about 45 clients.</w:t>
      </w:r>
    </w:p>
    <w:p w:rsidR="00CC2132" w:rsidP="00CC2132" w:rsidRDefault="00CC2132" w14:paraId="05A157FA" w14:textId="6AD7FE1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w:t>
      </w:r>
      <w:r w:rsidR="00E83CAD">
        <w:rPr>
          <w:szCs w:val="24"/>
        </w:rPr>
        <w:t>were</w:t>
      </w:r>
      <w:r>
        <w:rPr>
          <w:szCs w:val="24"/>
        </w:rPr>
        <w:t xml:space="preserve"> that: (1) an evaluation of the program </w:t>
      </w:r>
      <w:r w:rsidR="00A443A9">
        <w:rPr>
          <w:szCs w:val="24"/>
        </w:rPr>
        <w:t xml:space="preserve">would </w:t>
      </w:r>
      <w:r>
        <w:rPr>
          <w:szCs w:val="24"/>
        </w:rPr>
        <w:t xml:space="preserve">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t>
      </w:r>
      <w:r w:rsidR="00A443A9">
        <w:rPr>
          <w:szCs w:val="24"/>
        </w:rPr>
        <w:t>was</w:t>
      </w:r>
      <w:r>
        <w:rPr>
          <w:szCs w:val="24"/>
        </w:rPr>
        <w:t xml:space="preserve"> feasible to conduct a rigorous impact evaluation of the coaching intervention. To meet the first broad criterion, the program </w:t>
      </w:r>
      <w:r w:rsidR="00186047">
        <w:rPr>
          <w:szCs w:val="24"/>
        </w:rPr>
        <w:t xml:space="preserve">in which the intervention is embedded </w:t>
      </w:r>
      <w:r w:rsidR="00E83CAD">
        <w:rPr>
          <w:szCs w:val="24"/>
        </w:rPr>
        <w:t>needed to</w:t>
      </w:r>
      <w:r>
        <w:rPr>
          <w:szCs w:val="24"/>
        </w:rPr>
        <w:t xml:space="preserve">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well</w:t>
      </w:r>
      <w:r w:rsidR="000F2805">
        <w:rPr>
          <w:szCs w:val="24"/>
        </w:rPr>
        <w:t xml:space="preserve"> </w:t>
      </w:r>
      <w:r>
        <w:rPr>
          <w:szCs w:val="24"/>
        </w:rPr>
        <w:t xml:space="preserve">implemented. To meet the second broad criterion, random assignment must </w:t>
      </w:r>
      <w:r w:rsidR="00A443A9">
        <w:rPr>
          <w:szCs w:val="24"/>
        </w:rPr>
        <w:t xml:space="preserve">have </w:t>
      </w:r>
      <w:r>
        <w:rPr>
          <w:szCs w:val="24"/>
        </w:rPr>
        <w:t>be</w:t>
      </w:r>
      <w:r w:rsidR="00A443A9">
        <w:rPr>
          <w:szCs w:val="24"/>
        </w:rPr>
        <w:t>en</w:t>
      </w:r>
      <w:r>
        <w:rPr>
          <w:szCs w:val="24"/>
        </w:rPr>
        <w:t xml:space="preserve"> feasible, the potential number of study participants must </w:t>
      </w:r>
      <w:r w:rsidR="00A443A9">
        <w:rPr>
          <w:szCs w:val="24"/>
        </w:rPr>
        <w:t xml:space="preserve">have </w:t>
      </w:r>
      <w:r>
        <w:rPr>
          <w:szCs w:val="24"/>
        </w:rPr>
        <w:t>be</w:t>
      </w:r>
      <w:r w:rsidR="00A443A9">
        <w:rPr>
          <w:szCs w:val="24"/>
        </w:rPr>
        <w:t>en</w:t>
      </w:r>
      <w:r>
        <w:rPr>
          <w:szCs w:val="24"/>
        </w:rPr>
        <w:t xml:space="preserve"> large enough to detect an impact expected from the intervention, and the program’s management and staff </w:t>
      </w:r>
      <w:r w:rsidR="00721FA0">
        <w:rPr>
          <w:szCs w:val="24"/>
        </w:rPr>
        <w:t xml:space="preserve">must </w:t>
      </w:r>
      <w:r w:rsidR="00A443A9">
        <w:rPr>
          <w:szCs w:val="24"/>
        </w:rPr>
        <w:t xml:space="preserve">have </w:t>
      </w:r>
      <w:r w:rsidR="00721FA0">
        <w:rPr>
          <w:szCs w:val="24"/>
        </w:rPr>
        <w:t>be</w:t>
      </w:r>
      <w:r w:rsidR="00A443A9">
        <w:rPr>
          <w:szCs w:val="24"/>
        </w:rPr>
        <w:t>en</w:t>
      </w:r>
      <w:r w:rsidR="00721FA0">
        <w:rPr>
          <w:szCs w:val="24"/>
        </w:rPr>
        <w:t xml:space="preserve"> </w:t>
      </w:r>
      <w:r>
        <w:rPr>
          <w:szCs w:val="24"/>
        </w:rPr>
        <w:t>supportive of an experimental evaluation.</w:t>
      </w:r>
    </w:p>
    <w:p w:rsidR="00CC2132" w:rsidP="00CC2132" w:rsidRDefault="00CC2132" w14:paraId="19B8C214" w14:textId="69350CB4">
      <w:pPr>
        <w:pStyle w:val="NormalSS"/>
        <w:ind w:firstLine="0"/>
        <w:rPr>
          <w:b/>
          <w:szCs w:val="24"/>
        </w:rPr>
      </w:pPr>
      <w:r>
        <w:rPr>
          <w:szCs w:val="24"/>
        </w:rPr>
        <w:t xml:space="preserve">The </w:t>
      </w:r>
      <w:r w:rsidR="00273776">
        <w:rPr>
          <w:szCs w:val="24"/>
        </w:rPr>
        <w:t>follow-up survey</w:t>
      </w:r>
      <w:r w:rsidR="00666AF5">
        <w:rPr>
          <w:szCs w:val="24"/>
        </w:rPr>
        <w:t>s</w:t>
      </w:r>
      <w:r w:rsidR="00273776">
        <w:rPr>
          <w:szCs w:val="24"/>
        </w:rPr>
        <w:t xml:space="preserve">, which </w:t>
      </w:r>
      <w:r w:rsidR="00666AF5">
        <w:rPr>
          <w:szCs w:val="24"/>
        </w:rPr>
        <w:t>are</w:t>
      </w:r>
      <w:r w:rsidR="00273776">
        <w:rPr>
          <w:szCs w:val="24"/>
        </w:rPr>
        <w:t xml:space="preserve"> part of the overall impact study,</w:t>
      </w:r>
      <w:r>
        <w:rPr>
          <w:szCs w:val="24"/>
        </w:rPr>
        <w:t xml:space="preserve"> will provide rigorous evidence on whether the coaching interventions are effective, for whom, and under what circumstances. The study </w:t>
      </w:r>
      <w:r w:rsidR="00273776">
        <w:rPr>
          <w:szCs w:val="24"/>
        </w:rPr>
        <w:t>is</w:t>
      </w:r>
      <w:r>
        <w:rPr>
          <w:szCs w:val="24"/>
        </w:rPr>
        <w:t xml:space="preserve"> experimental. Participants</w:t>
      </w:r>
      <w:r w:rsidRPr="009606FE">
        <w:rPr>
          <w:szCs w:val="24"/>
        </w:rPr>
        <w:t xml:space="preserve"> eligible for the coaching services w</w:t>
      </w:r>
      <w:r w:rsidR="00273776">
        <w:rPr>
          <w:szCs w:val="24"/>
        </w:rPr>
        <w:t>ere</w:t>
      </w:r>
      <w:r w:rsidR="00810B9B">
        <w:rPr>
          <w:szCs w:val="24"/>
        </w:rPr>
        <w:t xml:space="preserve"> asked to </w:t>
      </w:r>
      <w:r w:rsidR="00254992">
        <w:rPr>
          <w:szCs w:val="24"/>
        </w:rPr>
        <w:t>consent to participate in the study (Attachment A) and</w:t>
      </w:r>
      <w:r w:rsidR="00810B9B">
        <w:rPr>
          <w:szCs w:val="24"/>
        </w:rPr>
        <w:t xml:space="preserve">, if consent </w:t>
      </w:r>
      <w:r w:rsidR="00273776">
        <w:rPr>
          <w:szCs w:val="24"/>
        </w:rPr>
        <w:t>wa</w:t>
      </w:r>
      <w:r w:rsidR="00810B9B">
        <w:rPr>
          <w:szCs w:val="24"/>
        </w:rPr>
        <w:t>s given,</w:t>
      </w:r>
      <w:r w:rsidR="00254992">
        <w:rPr>
          <w:szCs w:val="24"/>
        </w:rPr>
        <w:t xml:space="preserve"> </w:t>
      </w:r>
      <w:r w:rsidR="00273776">
        <w:rPr>
          <w:szCs w:val="24"/>
        </w:rPr>
        <w:t>were</w:t>
      </w:r>
      <w:r w:rsidRPr="009606FE">
        <w:rPr>
          <w:szCs w:val="24"/>
        </w:rPr>
        <w:t xml:space="preserve"> randomly assigned to two groups: a treatment group offered coaching and a control group not offered coaching.</w:t>
      </w:r>
      <w:r>
        <w:rPr>
          <w:szCs w:val="24"/>
        </w:rPr>
        <w:t xml:space="preserve"> </w:t>
      </w:r>
      <w:r w:rsidR="00056365">
        <w:rPr>
          <w:szCs w:val="24"/>
        </w:rPr>
        <w:t>Individuals who d</w:t>
      </w:r>
      <w:r w:rsidR="00273776">
        <w:rPr>
          <w:szCs w:val="24"/>
        </w:rPr>
        <w:t>id</w:t>
      </w:r>
      <w:r w:rsidR="00056365">
        <w:rPr>
          <w:szCs w:val="24"/>
        </w:rPr>
        <w:t xml:space="preserve"> not consent to participate in the study </w:t>
      </w:r>
      <w:r w:rsidRPr="00F90310" w:rsidR="00056365">
        <w:rPr>
          <w:szCs w:val="24"/>
        </w:rPr>
        <w:t>w</w:t>
      </w:r>
      <w:r w:rsidR="00273776">
        <w:rPr>
          <w:szCs w:val="24"/>
        </w:rPr>
        <w:t>ere</w:t>
      </w:r>
      <w:r w:rsidRPr="00F90310" w:rsidR="00056365">
        <w:rPr>
          <w:szCs w:val="24"/>
        </w:rPr>
        <w:t xml:space="preserve"> not eligible to receive coaching</w:t>
      </w:r>
      <w:r w:rsidR="00056365">
        <w:rPr>
          <w:szCs w:val="24"/>
        </w:rPr>
        <w:t>,</w:t>
      </w:r>
      <w:r w:rsidRPr="00F90310" w:rsidR="00056365">
        <w:rPr>
          <w:szCs w:val="24"/>
        </w:rPr>
        <w:t xml:space="preserve"> </w:t>
      </w:r>
      <w:r w:rsidR="00056365">
        <w:rPr>
          <w:szCs w:val="24"/>
        </w:rPr>
        <w:t>w</w:t>
      </w:r>
      <w:r w:rsidR="00273776">
        <w:rPr>
          <w:szCs w:val="24"/>
        </w:rPr>
        <w:t>ere</w:t>
      </w:r>
      <w:r w:rsidR="00056365">
        <w:rPr>
          <w:szCs w:val="24"/>
        </w:rPr>
        <w:t xml:space="preserve"> not randomly assigned, and will not participate in the data collection efforts. </w:t>
      </w:r>
      <w:r w:rsidR="00F6522F">
        <w:rPr>
          <w:szCs w:val="24"/>
        </w:rPr>
        <w:t>T</w:t>
      </w:r>
      <w:r>
        <w:rPr>
          <w:szCs w:val="24"/>
        </w:rPr>
        <w: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sidR="00A56F2D">
        <w:rPr>
          <w:szCs w:val="24"/>
        </w:rPr>
        <w:t>Under 0970-0506, w</w:t>
      </w:r>
      <w:r>
        <w:rPr>
          <w:szCs w:val="24"/>
        </w:rPr>
        <w:t xml:space="preserve">e </w:t>
      </w:r>
      <w:r w:rsidR="00A443A9">
        <w:rPr>
          <w:szCs w:val="24"/>
        </w:rPr>
        <w:t xml:space="preserve">are </w:t>
      </w:r>
      <w:r>
        <w:rPr>
          <w:szCs w:val="24"/>
        </w:rPr>
        <w:t>collect</w:t>
      </w:r>
      <w:r w:rsidR="00A443A9">
        <w:rPr>
          <w:szCs w:val="24"/>
        </w:rPr>
        <w:t>ing</w:t>
      </w:r>
      <w:r>
        <w:rPr>
          <w:szCs w:val="24"/>
        </w:rPr>
        <w:t xml:space="preserve"> information at baseline</w:t>
      </w:r>
      <w:r w:rsidR="00111829">
        <w:rPr>
          <w:szCs w:val="24"/>
        </w:rPr>
        <w:t xml:space="preserve"> (before </w:t>
      </w:r>
      <w:r w:rsidR="00530F0C">
        <w:rPr>
          <w:szCs w:val="24"/>
        </w:rPr>
        <w:t xml:space="preserve">or during </w:t>
      </w:r>
      <w:r w:rsidR="00111829">
        <w:rPr>
          <w:szCs w:val="24"/>
        </w:rPr>
        <w:t>random assignment)</w:t>
      </w:r>
      <w:r w:rsidR="003B6E6B">
        <w:rPr>
          <w:szCs w:val="24"/>
        </w:rPr>
        <w:t xml:space="preserve"> from study participants and staff</w:t>
      </w:r>
      <w:r w:rsidR="00AC2826">
        <w:rPr>
          <w:szCs w:val="24"/>
        </w:rPr>
        <w:t xml:space="preserve"> and again at about 6 to 12 months after random assignment</w:t>
      </w:r>
      <w:r w:rsidR="0005516E">
        <w:rPr>
          <w:szCs w:val="24"/>
        </w:rPr>
        <w:t>.</w:t>
      </w:r>
      <w:r w:rsidR="002376FA">
        <w:rPr>
          <w:szCs w:val="24"/>
        </w:rPr>
        <w:t xml:space="preserve"> </w:t>
      </w:r>
    </w:p>
    <w:p w:rsidR="00CC2132" w:rsidP="00CC2132" w:rsidRDefault="00CC2132" w14:paraId="1B70C840" w14:textId="77777777">
      <w:pPr>
        <w:spacing w:after="60"/>
        <w:rPr>
          <w:b/>
          <w:i/>
        </w:rPr>
      </w:pPr>
      <w:r>
        <w:rPr>
          <w:b/>
          <w:i/>
        </w:rPr>
        <w:t>Universe of Data Collection Efforts</w:t>
      </w:r>
    </w:p>
    <w:p w:rsidRPr="00177982" w:rsidR="006857CD" w:rsidP="00CC2132" w:rsidRDefault="006857CD" w14:paraId="50BEFD5D" w14:textId="77777777">
      <w:pPr>
        <w:spacing w:after="60"/>
        <w:rPr>
          <w:b/>
          <w:i/>
        </w:rPr>
      </w:pPr>
    </w:p>
    <w:p w:rsidR="00CC2132" w:rsidP="009401B5" w:rsidRDefault="00CC2132" w14:paraId="332BC607" w14:textId="7F0DB7BC">
      <w:pPr>
        <w:pStyle w:val="NormalSS"/>
        <w:ind w:firstLine="0"/>
      </w:pPr>
      <w:r w:rsidRPr="008D1A37">
        <w:rPr>
          <w:szCs w:val="24"/>
        </w:rPr>
        <w:lastRenderedPageBreak/>
        <w:t xml:space="preserve">This </w:t>
      </w:r>
      <w:r w:rsidR="00EE2B30">
        <w:rPr>
          <w:szCs w:val="24"/>
        </w:rPr>
        <w:t xml:space="preserve">request seeks approval of </w:t>
      </w:r>
      <w:r w:rsidR="009D2B06">
        <w:rPr>
          <w:szCs w:val="24"/>
        </w:rPr>
        <w:t>non-substantive change</w:t>
      </w:r>
      <w:r w:rsidR="00EE2B30">
        <w:rPr>
          <w:szCs w:val="24"/>
        </w:rPr>
        <w:t>s to two previously approved implementation study data collection instruments to</w:t>
      </w:r>
      <w:r w:rsidRPr="003F5DAE" w:rsidR="009D2B06">
        <w:rPr>
          <w:szCs w:val="24"/>
        </w:rPr>
        <w:t xml:space="preserve"> systematically capture </w:t>
      </w:r>
      <w:r w:rsidR="00EE2B30">
        <w:rPr>
          <w:szCs w:val="24"/>
        </w:rPr>
        <w:t xml:space="preserve">descriptive </w:t>
      </w:r>
      <w:r w:rsidRPr="003F5DAE" w:rsidR="009D2B06">
        <w:rPr>
          <w:szCs w:val="24"/>
        </w:rPr>
        <w:t>information related to COVID-19</w:t>
      </w:r>
      <w:r w:rsidR="00EE2B30">
        <w:rPr>
          <w:szCs w:val="24"/>
        </w:rPr>
        <w:t xml:space="preserve">. </w:t>
      </w:r>
      <w:r w:rsidRPr="00133AD2" w:rsidR="00EE2B30">
        <w:rPr>
          <w:szCs w:val="24"/>
        </w:rPr>
        <w:t xml:space="preserve">It also requests a slight increase to the incentive amount for the </w:t>
      </w:r>
      <w:r w:rsidR="00EE2B30">
        <w:rPr>
          <w:szCs w:val="24"/>
        </w:rPr>
        <w:t xml:space="preserve">additional </w:t>
      </w:r>
      <w:r w:rsidRPr="00133AD2" w:rsidR="00EE2B30">
        <w:rPr>
          <w:szCs w:val="24"/>
        </w:rPr>
        <w:t>in-depth participant interviews, and to the estima</w:t>
      </w:r>
      <w:r w:rsidR="00EE2B30">
        <w:rPr>
          <w:szCs w:val="24"/>
        </w:rPr>
        <w:t>ted burden based on conducting</w:t>
      </w:r>
      <w:r w:rsidRPr="00133AD2" w:rsidR="00EE2B30">
        <w:rPr>
          <w:szCs w:val="24"/>
        </w:rPr>
        <w:t xml:space="preserve"> additional </w:t>
      </w:r>
      <w:r w:rsidR="00EE2B30">
        <w:rPr>
          <w:szCs w:val="24"/>
        </w:rPr>
        <w:t xml:space="preserve">interviews. Lastly, this request seeks approval </w:t>
      </w:r>
      <w:r w:rsidR="007C502E">
        <w:rPr>
          <w:szCs w:val="24"/>
        </w:rPr>
        <w:t xml:space="preserve">to </w:t>
      </w:r>
      <w:r w:rsidR="00F53236">
        <w:rPr>
          <w:szCs w:val="24"/>
        </w:rPr>
        <w:t>change</w:t>
      </w:r>
      <w:r w:rsidR="007C502E">
        <w:rPr>
          <w:szCs w:val="24"/>
        </w:rPr>
        <w:t xml:space="preserve"> the </w:t>
      </w:r>
      <w:r w:rsidR="00F53236">
        <w:rPr>
          <w:szCs w:val="24"/>
        </w:rPr>
        <w:t xml:space="preserve">structure and amount of the </w:t>
      </w:r>
      <w:r w:rsidR="007C502E">
        <w:rPr>
          <w:szCs w:val="24"/>
        </w:rPr>
        <w:t xml:space="preserve">incentive offered to respondents </w:t>
      </w:r>
      <w:r w:rsidR="00666AF5">
        <w:rPr>
          <w:szCs w:val="24"/>
        </w:rPr>
        <w:t xml:space="preserve">in the MyGoals sites who </w:t>
      </w:r>
      <w:r w:rsidR="007C502E">
        <w:rPr>
          <w:szCs w:val="24"/>
        </w:rPr>
        <w:t>complet</w:t>
      </w:r>
      <w:r w:rsidR="00666AF5">
        <w:rPr>
          <w:szCs w:val="24"/>
        </w:rPr>
        <w:t>e</w:t>
      </w:r>
      <w:r w:rsidR="007C502E">
        <w:rPr>
          <w:szCs w:val="24"/>
        </w:rPr>
        <w:t xml:space="preserve"> first and second follow-up surveys as part of the impact evaluation</w:t>
      </w:r>
      <w:r w:rsidR="001755B3">
        <w:rPr>
          <w:szCs w:val="24"/>
        </w:rPr>
        <w:t xml:space="preserve">, and to make minor revisions to the survey </w:t>
      </w:r>
      <w:r w:rsidR="00216489">
        <w:rPr>
          <w:szCs w:val="24"/>
        </w:rPr>
        <w:t xml:space="preserve">instruments and </w:t>
      </w:r>
      <w:r w:rsidR="001755B3">
        <w:rPr>
          <w:szCs w:val="24"/>
        </w:rPr>
        <w:t xml:space="preserve">notifications to reflect the </w:t>
      </w:r>
      <w:r w:rsidR="00F53236">
        <w:rPr>
          <w:szCs w:val="24"/>
        </w:rPr>
        <w:t>requested changes</w:t>
      </w:r>
      <w:r w:rsidR="009D2B06">
        <w:rPr>
          <w:szCs w:val="24"/>
        </w:rPr>
        <w:t xml:space="preserve">. </w:t>
      </w:r>
      <w:r w:rsidRPr="00446B84">
        <w:t xml:space="preserve"> </w:t>
      </w:r>
    </w:p>
    <w:p w:rsidR="0037436F" w:rsidP="009401B5" w:rsidRDefault="0037436F" w14:paraId="4FB8B1C5" w14:textId="01C73C74">
      <w:pPr>
        <w:pStyle w:val="NormalSS"/>
        <w:ind w:firstLine="0"/>
      </w:pPr>
      <w:r>
        <w:t xml:space="preserve">Previously approved data collection efforts are listed below. </w:t>
      </w:r>
      <w:r w:rsidR="00E56587">
        <w:t xml:space="preserve">Additionally, </w:t>
      </w:r>
      <w:r w:rsidR="000710EA">
        <w:t xml:space="preserve">OMB previously approved </w:t>
      </w:r>
      <w:r w:rsidR="00CD168F">
        <w:t>the study</w:t>
      </w:r>
      <w:r w:rsidR="00E56587">
        <w:t xml:space="preserve"> consent form (Attachment A).</w:t>
      </w:r>
    </w:p>
    <w:p w:rsidR="0037436F" w:rsidP="009401B5" w:rsidRDefault="0037436F" w14:paraId="2BD174B1" w14:textId="7F84FB65">
      <w:pPr>
        <w:pStyle w:val="NormalSS"/>
        <w:ind w:firstLine="0"/>
        <w:rPr>
          <w:b/>
        </w:rPr>
      </w:pPr>
      <w:r w:rsidRPr="001D69ED">
        <w:rPr>
          <w:b/>
        </w:rPr>
        <w:t>Impact Study</w:t>
      </w:r>
    </w:p>
    <w:p w:rsidRPr="001D69ED" w:rsidR="0037436F" w:rsidP="001D69ED" w:rsidRDefault="0037436F" w14:paraId="61CC8B5B" w14:textId="0A13736C">
      <w:pPr>
        <w:pStyle w:val="NormalSS"/>
        <w:numPr>
          <w:ilvl w:val="0"/>
          <w:numId w:val="34"/>
        </w:numPr>
        <w:spacing w:after="0"/>
      </w:pPr>
      <w:r w:rsidRPr="001D69ED">
        <w:t xml:space="preserve">Baseline data collection (Attachment B) </w:t>
      </w:r>
    </w:p>
    <w:p w:rsidR="007B5060" w:rsidP="000710EA" w:rsidRDefault="0037436F" w14:paraId="763C7B52" w14:textId="77777777">
      <w:pPr>
        <w:pStyle w:val="NormalSS"/>
        <w:numPr>
          <w:ilvl w:val="0"/>
          <w:numId w:val="34"/>
        </w:numPr>
        <w:spacing w:after="0"/>
      </w:pPr>
      <w:r w:rsidRPr="001D69ED">
        <w:t>First follow-up survey (Attachment C)</w:t>
      </w:r>
    </w:p>
    <w:p w:rsidR="00C86B1E" w:rsidP="000710EA" w:rsidRDefault="00C86B1E" w14:paraId="76D8171B" w14:textId="6DC1900D">
      <w:pPr>
        <w:pStyle w:val="NormalSS"/>
        <w:numPr>
          <w:ilvl w:val="0"/>
          <w:numId w:val="34"/>
        </w:numPr>
        <w:spacing w:after="0"/>
      </w:pPr>
      <w:r>
        <w:t xml:space="preserve">Notifications </w:t>
      </w:r>
      <w:r w:rsidR="007B5060">
        <w:t>(Attachment I)</w:t>
      </w:r>
    </w:p>
    <w:p w:rsidR="009D2B06" w:rsidP="000710EA" w:rsidRDefault="009D2B06" w14:paraId="28DD8B64" w14:textId="43980834">
      <w:pPr>
        <w:pStyle w:val="NormalSS"/>
        <w:numPr>
          <w:ilvl w:val="0"/>
          <w:numId w:val="34"/>
        </w:numPr>
        <w:spacing w:after="0"/>
      </w:pPr>
      <w:r>
        <w:t>Secon</w:t>
      </w:r>
      <w:r w:rsidR="001755B3">
        <w:t>d follow-up survey</w:t>
      </w:r>
      <w:r w:rsidR="007B5060">
        <w:t xml:space="preserve"> (Attachment N)</w:t>
      </w:r>
    </w:p>
    <w:p w:rsidR="009D2B06" w:rsidP="00910AF9" w:rsidRDefault="009D2B06" w14:paraId="386A1FA1" w14:textId="1545D344">
      <w:pPr>
        <w:pStyle w:val="NormalSS"/>
        <w:spacing w:after="0"/>
        <w:ind w:firstLine="0"/>
      </w:pPr>
    </w:p>
    <w:p w:rsidR="00910AF9" w:rsidP="00910AF9" w:rsidRDefault="00910AF9" w14:paraId="32C6A69B" w14:textId="0E98E9E5">
      <w:pPr>
        <w:pStyle w:val="NormalSS"/>
        <w:spacing w:after="0"/>
        <w:ind w:firstLine="0"/>
      </w:pPr>
      <w:r>
        <w:t xml:space="preserve">As part of the impact study, we request approval to </w:t>
      </w:r>
      <w:r w:rsidR="00F53236">
        <w:t xml:space="preserve">change the structure and amount of </w:t>
      </w:r>
      <w:r>
        <w:t xml:space="preserve">the incentive offered to </w:t>
      </w:r>
      <w:r w:rsidR="00666AF5">
        <w:t xml:space="preserve">MyGoals </w:t>
      </w:r>
      <w:r>
        <w:t>respondents completing the first and second follow-up survey</w:t>
      </w:r>
      <w:r w:rsidR="00F53236">
        <w:t xml:space="preserve"> to match what is offered to respondents at the other four sites—a </w:t>
      </w:r>
      <w:r w:rsidRPr="00F53236" w:rsidR="00F53236">
        <w:t>$50 incentive for completing each survey, irrespective of whether the participants complete the survey within the four-week “early bird” period</w:t>
      </w:r>
      <w:r>
        <w:t xml:space="preserve">. We also request minor edits to the survey </w:t>
      </w:r>
      <w:r w:rsidR="00216489">
        <w:t xml:space="preserve">instruments (Attachment C. First follow-up survey_rev and Attachment N. Second follow-up survey_rev) and </w:t>
      </w:r>
      <w:r>
        <w:t>notifications (Attachment I</w:t>
      </w:r>
      <w:r w:rsidR="000A1E8C">
        <w:t>. Notifications</w:t>
      </w:r>
      <w:r w:rsidR="007B5060">
        <w:t>_rev</w:t>
      </w:r>
      <w:r>
        <w:t xml:space="preserve">) to reflect the </w:t>
      </w:r>
      <w:r w:rsidR="00F53236">
        <w:t>changes</w:t>
      </w:r>
      <w:r>
        <w:t xml:space="preserve">. Additional information regarding the justification for this request </w:t>
      </w:r>
      <w:r w:rsidRPr="001A49C0">
        <w:t xml:space="preserve">is included in </w:t>
      </w:r>
      <w:r w:rsidRPr="00EF4F5B" w:rsidR="00477223">
        <w:t>Attachment P. Nonsub change request_Coaching Evaluation_</w:t>
      </w:r>
      <w:r w:rsidR="004220F0">
        <w:t>Oct</w:t>
      </w:r>
      <w:r w:rsidRPr="00EF4F5B" w:rsidR="00477223">
        <w:t xml:space="preserve"> 2020</w:t>
      </w:r>
      <w:r w:rsidRPr="001A49C0">
        <w:t>.</w:t>
      </w:r>
    </w:p>
    <w:p w:rsidR="00910AF9" w:rsidP="009D2B06" w:rsidRDefault="00910AF9" w14:paraId="244B1948" w14:textId="77777777">
      <w:pPr>
        <w:pStyle w:val="NormalSS"/>
        <w:spacing w:after="0"/>
        <w:ind w:left="720" w:firstLine="0"/>
      </w:pPr>
    </w:p>
    <w:p w:rsidR="0037436F" w:rsidP="0037436F" w:rsidRDefault="0037436F" w14:paraId="72DD097E" w14:textId="1037F272">
      <w:pPr>
        <w:pStyle w:val="NormalSS"/>
        <w:ind w:firstLine="0"/>
        <w:rPr>
          <w:b/>
        </w:rPr>
      </w:pPr>
      <w:r>
        <w:rPr>
          <w:b/>
        </w:rPr>
        <w:t>Implementation Study</w:t>
      </w:r>
    </w:p>
    <w:p w:rsidRPr="0037436F" w:rsidR="0037436F" w:rsidP="001D69ED" w:rsidRDefault="0037436F" w14:paraId="20930432" w14:textId="0D2A85C5">
      <w:pPr>
        <w:pStyle w:val="NormalSS"/>
        <w:numPr>
          <w:ilvl w:val="0"/>
          <w:numId w:val="36"/>
        </w:numPr>
        <w:spacing w:after="0"/>
        <w:rPr>
          <w:szCs w:val="24"/>
        </w:rPr>
      </w:pPr>
      <w:r w:rsidRPr="001D69ED">
        <w:rPr>
          <w:szCs w:val="24"/>
        </w:rPr>
        <w:t xml:space="preserve">Semi-structured </w:t>
      </w:r>
      <w:r w:rsidR="00E56587">
        <w:rPr>
          <w:szCs w:val="24"/>
        </w:rPr>
        <w:t>management</w:t>
      </w:r>
      <w:r w:rsidR="003160D2">
        <w:rPr>
          <w:szCs w:val="24"/>
        </w:rPr>
        <w:t>,</w:t>
      </w:r>
      <w:r w:rsidR="00E56587">
        <w:rPr>
          <w:szCs w:val="24"/>
        </w:rPr>
        <w:t xml:space="preserve"> </w:t>
      </w:r>
      <w:r w:rsidRPr="001D69ED">
        <w:rPr>
          <w:szCs w:val="24"/>
        </w:rPr>
        <w:t>staff</w:t>
      </w:r>
      <w:r w:rsidR="003160D2">
        <w:rPr>
          <w:szCs w:val="24"/>
        </w:rPr>
        <w:t>,</w:t>
      </w:r>
      <w:r w:rsidRPr="001D69ED">
        <w:rPr>
          <w:szCs w:val="24"/>
        </w:rPr>
        <w:t xml:space="preserve"> </w:t>
      </w:r>
      <w:r w:rsidR="00E56587">
        <w:rPr>
          <w:szCs w:val="24"/>
        </w:rPr>
        <w:t xml:space="preserve">and supervisor </w:t>
      </w:r>
      <w:r w:rsidRPr="001D69ED">
        <w:rPr>
          <w:szCs w:val="24"/>
        </w:rPr>
        <w:t>interviews (Attachment D)</w:t>
      </w:r>
      <w:r w:rsidRPr="0037436F">
        <w:rPr>
          <w:szCs w:val="24"/>
        </w:rPr>
        <w:t xml:space="preserve"> </w:t>
      </w:r>
    </w:p>
    <w:p w:rsidRPr="0037436F" w:rsidR="0037436F" w:rsidP="001D69ED" w:rsidRDefault="0037436F" w14:paraId="4314B05B" w14:textId="10FC5AA1">
      <w:pPr>
        <w:pStyle w:val="NormalSS"/>
        <w:numPr>
          <w:ilvl w:val="0"/>
          <w:numId w:val="36"/>
        </w:numPr>
        <w:spacing w:after="0"/>
        <w:rPr>
          <w:szCs w:val="24"/>
        </w:rPr>
      </w:pPr>
      <w:r w:rsidRPr="001D69ED">
        <w:rPr>
          <w:szCs w:val="24"/>
        </w:rPr>
        <w:t>Staff survey (Attachment E)</w:t>
      </w:r>
      <w:r w:rsidRPr="0037436F">
        <w:rPr>
          <w:szCs w:val="24"/>
        </w:rPr>
        <w:t xml:space="preserve"> </w:t>
      </w:r>
    </w:p>
    <w:p w:rsidRPr="0037436F" w:rsidR="0037436F" w:rsidP="001D69ED" w:rsidRDefault="0037436F" w14:paraId="0BBE63C3" w14:textId="044889DB">
      <w:pPr>
        <w:pStyle w:val="NormalSS"/>
        <w:numPr>
          <w:ilvl w:val="0"/>
          <w:numId w:val="36"/>
        </w:numPr>
        <w:spacing w:after="0"/>
        <w:rPr>
          <w:szCs w:val="24"/>
        </w:rPr>
      </w:pPr>
      <w:r w:rsidRPr="001D69ED">
        <w:rPr>
          <w:szCs w:val="24"/>
        </w:rPr>
        <w:t>In-depth participant interviews (Attachment F)</w:t>
      </w:r>
      <w:r w:rsidRPr="0037436F">
        <w:t xml:space="preserve"> </w:t>
      </w:r>
    </w:p>
    <w:p w:rsidRPr="0037436F" w:rsidR="0037436F" w:rsidP="001D69ED" w:rsidRDefault="0037436F" w14:paraId="2205D502" w14:textId="6644D7E9">
      <w:pPr>
        <w:pStyle w:val="NormalSS"/>
        <w:numPr>
          <w:ilvl w:val="0"/>
          <w:numId w:val="36"/>
        </w:numPr>
        <w:spacing w:after="0"/>
        <w:rPr>
          <w:szCs w:val="24"/>
        </w:rPr>
      </w:pPr>
      <w:r w:rsidRPr="001D69ED">
        <w:rPr>
          <w:szCs w:val="24"/>
        </w:rPr>
        <w:t>Staff reports of program service receipt (Attachment G)</w:t>
      </w:r>
      <w:r w:rsidRPr="0037436F">
        <w:rPr>
          <w:szCs w:val="24"/>
        </w:rPr>
        <w:t xml:space="preserve"> </w:t>
      </w:r>
    </w:p>
    <w:p w:rsidR="0037436F" w:rsidP="001D69ED" w:rsidRDefault="00E56587" w14:paraId="4D5CCBC4" w14:textId="03A58DF1">
      <w:pPr>
        <w:pStyle w:val="NormalSS"/>
        <w:numPr>
          <w:ilvl w:val="0"/>
          <w:numId w:val="36"/>
        </w:numPr>
      </w:pPr>
      <w:r>
        <w:t>Instructions for v</w:t>
      </w:r>
      <w:r w:rsidRPr="001D69ED" w:rsidR="0037436F">
        <w:t>ideo recording coaching sessions</w:t>
      </w:r>
      <w:r w:rsidR="00B13FBE">
        <w:t xml:space="preserve"> (Attachment M)</w:t>
      </w:r>
    </w:p>
    <w:p w:rsidRPr="00EF4F5B" w:rsidR="00DD4FA9" w:rsidP="00DD4FA9" w:rsidRDefault="00DD4FA9" w14:paraId="014314AC" w14:textId="25E0DBA0">
      <w:pPr>
        <w:pStyle w:val="NormalSS"/>
        <w:ind w:firstLine="0"/>
        <w:rPr>
          <w:szCs w:val="24"/>
        </w:rPr>
      </w:pPr>
      <w:bookmarkStart w:name="_Hlk44427901" w:id="1"/>
      <w:r>
        <w:rPr>
          <w:szCs w:val="24"/>
        </w:rPr>
        <w:t xml:space="preserve">As part of the implementation study, we </w:t>
      </w:r>
      <w:r w:rsidR="00051800">
        <w:rPr>
          <w:szCs w:val="24"/>
        </w:rPr>
        <w:t xml:space="preserve">propose </w:t>
      </w:r>
      <w:r>
        <w:rPr>
          <w:szCs w:val="24"/>
        </w:rPr>
        <w:t xml:space="preserve">conducting </w:t>
      </w:r>
      <w:r w:rsidR="00051800">
        <w:rPr>
          <w:szCs w:val="24"/>
        </w:rPr>
        <w:t xml:space="preserve">additional </w:t>
      </w:r>
      <w:r>
        <w:rPr>
          <w:szCs w:val="24"/>
        </w:rPr>
        <w:t>follow</w:t>
      </w:r>
      <w:r w:rsidR="00066081">
        <w:rPr>
          <w:szCs w:val="24"/>
        </w:rPr>
        <w:t>-</w:t>
      </w:r>
      <w:r>
        <w:rPr>
          <w:szCs w:val="24"/>
        </w:rPr>
        <w:t>up interviews</w:t>
      </w:r>
      <w:r w:rsidR="00051800">
        <w:rPr>
          <w:szCs w:val="24"/>
        </w:rPr>
        <w:t xml:space="preserve"> </w:t>
      </w:r>
      <w:r>
        <w:rPr>
          <w:szCs w:val="24"/>
        </w:rPr>
        <w:t>with program staff and with participants to learn about how the programs have changed and how participant’s program engagement and needs have changed as a result of the</w:t>
      </w:r>
      <w:r w:rsidR="007E7C66">
        <w:rPr>
          <w:szCs w:val="24"/>
        </w:rPr>
        <w:t xml:space="preserve"> </w:t>
      </w:r>
      <w:r>
        <w:rPr>
          <w:szCs w:val="24"/>
        </w:rPr>
        <w:t xml:space="preserve">COVID-19 pandemic. The </w:t>
      </w:r>
      <w:r w:rsidR="00900700">
        <w:rPr>
          <w:szCs w:val="24"/>
        </w:rPr>
        <w:t xml:space="preserve">previously approved </w:t>
      </w:r>
      <w:r>
        <w:rPr>
          <w:szCs w:val="24"/>
        </w:rPr>
        <w:t xml:space="preserve">interview guides have been revised to </w:t>
      </w:r>
      <w:r w:rsidRPr="003F5DAE" w:rsidR="007E7C66">
        <w:rPr>
          <w:szCs w:val="24"/>
        </w:rPr>
        <w:t>r</w:t>
      </w:r>
      <w:r w:rsidR="007E7C66">
        <w:rPr>
          <w:szCs w:val="24"/>
        </w:rPr>
        <w:t xml:space="preserve">eframe some questions and add </w:t>
      </w:r>
      <w:r>
        <w:rPr>
          <w:szCs w:val="24"/>
        </w:rPr>
        <w:t>COVID-19 related questions</w:t>
      </w:r>
      <w:r w:rsidR="007E7C66">
        <w:rPr>
          <w:szCs w:val="24"/>
        </w:rPr>
        <w:t xml:space="preserve">; questions we do not intend to ask again have been </w:t>
      </w:r>
      <w:r w:rsidR="008433A0">
        <w:rPr>
          <w:szCs w:val="24"/>
        </w:rPr>
        <w:t>deleted</w:t>
      </w:r>
      <w:r w:rsidR="001043C5">
        <w:rPr>
          <w:szCs w:val="24"/>
        </w:rPr>
        <w:t xml:space="preserve"> in order to keep the interview length</w:t>
      </w:r>
      <w:r w:rsidR="00051800">
        <w:rPr>
          <w:szCs w:val="24"/>
        </w:rPr>
        <w:t xml:space="preserve"> </w:t>
      </w:r>
      <w:r w:rsidR="001043C5">
        <w:rPr>
          <w:szCs w:val="24"/>
        </w:rPr>
        <w:t>the same as the previous interviews</w:t>
      </w:r>
      <w:r w:rsidR="00900700">
        <w:rPr>
          <w:szCs w:val="24"/>
        </w:rPr>
        <w:t xml:space="preserve"> (</w:t>
      </w:r>
      <w:r w:rsidRPr="00900700" w:rsidR="00900700">
        <w:rPr>
          <w:szCs w:val="24"/>
        </w:rPr>
        <w:t xml:space="preserve">Attachment D. Semi-structured management staff and supervisor interviews_rev and </w:t>
      </w:r>
      <w:r w:rsidRPr="00900700" w:rsidR="00900700">
        <w:rPr>
          <w:szCs w:val="24"/>
        </w:rPr>
        <w:lastRenderedPageBreak/>
        <w:t>Attachment F. In-depth participant interviews_rev</w:t>
      </w:r>
      <w:r w:rsidR="00900700">
        <w:rPr>
          <w:szCs w:val="24"/>
        </w:rPr>
        <w:t>)</w:t>
      </w:r>
      <w:r>
        <w:rPr>
          <w:szCs w:val="24"/>
        </w:rPr>
        <w:t xml:space="preserve">. </w:t>
      </w:r>
      <w:r w:rsidR="00F75FAE">
        <w:rPr>
          <w:szCs w:val="24"/>
        </w:rPr>
        <w:t xml:space="preserve">We request approval to conduct these additional interviews in five of the six sites participating in the evaluation. </w:t>
      </w:r>
      <w:r w:rsidRPr="00F75FAE" w:rsidR="00F75FAE">
        <w:rPr>
          <w:szCs w:val="24"/>
        </w:rPr>
        <w:t>Work Success has not continued serving participants during COVID-19, so we are not requesting approval to conduct additional interviews in that site</w:t>
      </w:r>
      <w:r w:rsidR="00F75FAE">
        <w:rPr>
          <w:szCs w:val="24"/>
        </w:rPr>
        <w:t>.</w:t>
      </w:r>
      <w:r w:rsidRPr="00F75FAE" w:rsidR="00F75FAE">
        <w:rPr>
          <w:szCs w:val="24"/>
        </w:rPr>
        <w:t xml:space="preserve"> </w:t>
      </w:r>
      <w:r>
        <w:rPr>
          <w:szCs w:val="24"/>
        </w:rPr>
        <w:t xml:space="preserve">The justification for these additional </w:t>
      </w:r>
      <w:r w:rsidR="00326192">
        <w:rPr>
          <w:szCs w:val="24"/>
        </w:rPr>
        <w:t xml:space="preserve">interviews </w:t>
      </w:r>
      <w:r>
        <w:rPr>
          <w:szCs w:val="24"/>
        </w:rPr>
        <w:t xml:space="preserve">is included in </w:t>
      </w:r>
      <w:r w:rsidRPr="00EF4F5B" w:rsidR="00477223">
        <w:t>Attachment P. Nonsub change request_Coaching Evaluation_</w:t>
      </w:r>
      <w:r w:rsidR="008943DF">
        <w:t>Oct</w:t>
      </w:r>
      <w:r w:rsidRPr="00EF4F5B" w:rsidR="00477223">
        <w:t xml:space="preserve"> 2020</w:t>
      </w:r>
      <w:r w:rsidRPr="00EF4F5B">
        <w:t>.</w:t>
      </w:r>
      <w:bookmarkEnd w:id="1"/>
    </w:p>
    <w:p w:rsidRPr="00D5072F" w:rsidR="00CC2132" w:rsidP="00CC2132" w:rsidRDefault="00CC2132" w14:paraId="3158C4F3" w14:textId="77777777">
      <w:pPr>
        <w:pStyle w:val="ListParagraph"/>
        <w:spacing w:line="240" w:lineRule="auto"/>
        <w:ind w:left="1152" w:firstLine="0"/>
        <w:rPr>
          <w:szCs w:val="24"/>
        </w:rPr>
      </w:pPr>
    </w:p>
    <w:p w:rsidR="00CC2132" w:rsidP="009401B5" w:rsidRDefault="00CC2132" w14:paraId="036C1BB5" w14:textId="77777777">
      <w:pPr>
        <w:pStyle w:val="NormalSS"/>
        <w:spacing w:after="120"/>
        <w:ind w:firstLine="0"/>
        <w:rPr>
          <w:b/>
        </w:rPr>
      </w:pPr>
      <w:r w:rsidRPr="00B608C3">
        <w:rPr>
          <w:b/>
        </w:rPr>
        <w:t>A3. Improved Information Technology to Reduce Burden</w:t>
      </w:r>
    </w:p>
    <w:p w:rsidR="00CC2132" w:rsidRDefault="00CC2132" w14:paraId="29A7BC29" w14:textId="7390A17B">
      <w:pPr>
        <w:pStyle w:val="NormalSS"/>
        <w:ind w:firstLine="0"/>
        <w:rPr>
          <w:szCs w:val="24"/>
        </w:rPr>
      </w:pPr>
      <w:r>
        <w:t xml:space="preserve">This evaluation </w:t>
      </w:r>
      <w:r w:rsidR="008320A0">
        <w:t>is using</w:t>
      </w:r>
      <w:r>
        <w:t xml:space="preserve"> multiple applications of information technology to reduce burden. </w:t>
      </w:r>
      <w:r w:rsidR="00BE6FCD">
        <w:t>For example, t</w:t>
      </w:r>
      <w:r w:rsidRPr="00F10B7E">
        <w:rPr>
          <w:szCs w:val="24"/>
        </w:rPr>
        <w:t>he follow-up survey</w:t>
      </w:r>
      <w:r w:rsidR="00FB6487">
        <w:rPr>
          <w:szCs w:val="24"/>
        </w:rPr>
        <w:t>s</w:t>
      </w:r>
      <w:r w:rsidRPr="00F10B7E">
        <w:rPr>
          <w:szCs w:val="24"/>
        </w:rPr>
        <w:t xml:space="preserve"> </w:t>
      </w:r>
      <w:r w:rsidR="00FB6487">
        <w:rPr>
          <w:szCs w:val="24"/>
        </w:rPr>
        <w:t>are</w:t>
      </w:r>
      <w:r w:rsidRPr="00F10B7E">
        <w:rPr>
          <w:szCs w:val="24"/>
        </w:rPr>
        <w:t xml:space="preserve"> hosted on the Internet via a live secure web-link. To reduce burden, the survey</w:t>
      </w:r>
      <w:r w:rsidR="00FB6487">
        <w:rPr>
          <w:szCs w:val="24"/>
        </w:rPr>
        <w:t>s</w:t>
      </w:r>
      <w:r w:rsidRPr="00F10B7E">
        <w:rPr>
          <w:szCs w:val="24"/>
        </w:rPr>
        <w:t xml:space="preserve">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Pr="00F10B7E" w:rsidR="002E2E29">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rsidR="00CC2132" w:rsidP="004453F8" w:rsidRDefault="00CC2132" w14:paraId="22EA3036" w14:textId="402B8E4D">
      <w:pPr>
        <w:pStyle w:val="NormalSS"/>
        <w:ind w:firstLine="0"/>
        <w:rPr>
          <w:szCs w:val="24"/>
        </w:rPr>
      </w:pPr>
      <w:r>
        <w:rPr>
          <w:szCs w:val="24"/>
        </w:rPr>
        <w:t>Respondents also have the option to complete the</w:t>
      </w:r>
      <w:r w:rsidR="005320A7">
        <w:rPr>
          <w:szCs w:val="24"/>
        </w:rPr>
        <w:t xml:space="preserve"> </w:t>
      </w:r>
      <w:r>
        <w:rPr>
          <w:szCs w:val="24"/>
        </w:rPr>
        <w:t>follow-up survey</w:t>
      </w:r>
      <w:r w:rsidR="00FB6487">
        <w:rPr>
          <w:szCs w:val="24"/>
        </w:rPr>
        <w:t>s</w:t>
      </w:r>
      <w:r>
        <w:rPr>
          <w:szCs w:val="24"/>
        </w:rPr>
        <w:t xml:space="preserve">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rsidRPr="00512BD5" w:rsidR="00BE6FCD" w:rsidP="00BE6FCD" w:rsidRDefault="00BE6FCD" w14:paraId="33DB6AFD" w14:textId="42B2CC3D">
      <w:pPr>
        <w:pStyle w:val="NormalSS"/>
        <w:ind w:firstLine="0"/>
        <w:rPr>
          <w:szCs w:val="24"/>
        </w:rPr>
      </w:pPr>
      <w:r>
        <w:rPr>
          <w:szCs w:val="24"/>
        </w:rPr>
        <w:t>The additional interviews we propose conducting, to gather information related to COVID-19, will be conducted either by video or by phone, according to each respondent’s preference. The use of technology in this c</w:t>
      </w:r>
      <w:r w:rsidR="00E8784C">
        <w:rPr>
          <w:szCs w:val="24"/>
        </w:rPr>
        <w:t>ase is intended to both reduce burden on respondents and eliminate the need for in-person data collection due to restrictions related to COVID-19.</w:t>
      </w:r>
    </w:p>
    <w:p w:rsidRPr="0072204D" w:rsidR="00CC2132" w:rsidP="00B9279C" w:rsidRDefault="00CC2132" w14:paraId="10C32590" w14:textId="77777777">
      <w:pPr>
        <w:keepNext/>
        <w:spacing w:before="360" w:after="120"/>
        <w:rPr>
          <w:b/>
        </w:rPr>
      </w:pPr>
      <w:r>
        <w:rPr>
          <w:b/>
        </w:rPr>
        <w:t xml:space="preserve">A4. </w:t>
      </w:r>
      <w:r w:rsidRPr="0072204D">
        <w:rPr>
          <w:b/>
        </w:rPr>
        <w:t>Efforts to Identify Duplication</w:t>
      </w:r>
    </w:p>
    <w:p w:rsidR="00450B46" w:rsidP="00191580" w:rsidRDefault="00CC2132" w14:paraId="05D060F4" w14:textId="7B25265A">
      <w:pPr>
        <w:pStyle w:val="NormalSS"/>
        <w:ind w:firstLine="0"/>
      </w:pPr>
      <w:r>
        <w:t xml:space="preserve">Information that is already available from alternative data sources will not be collected again for this evaluation. </w:t>
      </w:r>
      <w:r w:rsidR="00D9690A">
        <w:t xml:space="preserve">We will be collecting information related to employment and earnings both through administrative records and directly from study participants. This information is not duplicative because </w:t>
      </w:r>
      <w:r w:rsidR="00191580">
        <w:t>the two sources cover</w:t>
      </w:r>
      <w:r w:rsidR="00D9690A">
        <w:t xml:space="preserve"> different types of employment. I</w:t>
      </w:r>
      <w:r w:rsidR="001B0935">
        <w:t>nformation on quarterly earnings from jobs covered by unemployment insurance will be obtained from NDNH administrative records. The</w:t>
      </w:r>
      <w:r w:rsidR="00A56F2D">
        <w:t xml:space="preserve"> follow-up survey</w:t>
      </w:r>
      <w:r w:rsidR="00AC7C50">
        <w:t>s</w:t>
      </w:r>
      <w:r w:rsidR="001B0935">
        <w:t xml:space="preserve">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r w:rsidR="005320A7">
        <w:t xml:space="preserve">To further identify and avoid duplication, we </w:t>
      </w:r>
      <w:r w:rsidR="00676AEA">
        <w:t>do</w:t>
      </w:r>
      <w:r w:rsidR="005320A7">
        <w:t xml:space="preserve"> not request baseline characteristic information in the second follow-up survey for participants that already provided this information in the first follow-up survey.</w:t>
      </w:r>
    </w:p>
    <w:p w:rsidR="00191580" w:rsidP="00191580" w:rsidRDefault="00676AEA" w14:paraId="79818809" w14:textId="1ABE8C91">
      <w:pPr>
        <w:pStyle w:val="NormalSS"/>
        <w:ind w:firstLine="0"/>
      </w:pPr>
      <w:r>
        <w:lastRenderedPageBreak/>
        <w:t>The descriptive information that this non-substantive change request proposes to collect, regarding program responses to COVID-19 and study participants’ experiences with the pandemic, is not available from any other data source.</w:t>
      </w:r>
      <w:r w:rsidR="00450B46">
        <w:t xml:space="preserve"> In preparation for the additional management, staff, and supervisor interviews, the study team will </w:t>
      </w:r>
      <w:r w:rsidRPr="00D4107F" w:rsidR="00450B46">
        <w:t>review the notes from the previous</w:t>
      </w:r>
      <w:r w:rsidR="008B55E2">
        <w:t>ly conducted</w:t>
      </w:r>
      <w:r w:rsidRPr="00D4107F" w:rsidR="00450B46">
        <w:t xml:space="preserve"> interview</w:t>
      </w:r>
      <w:r w:rsidR="008B55E2">
        <w:t>s</w:t>
      </w:r>
      <w:r w:rsidR="00450B46">
        <w:t>;</w:t>
      </w:r>
      <w:r w:rsidRPr="00D4107F" w:rsidR="00450B46">
        <w:t xml:space="preserve"> any materials collected from the program about its response to COVID-19</w:t>
      </w:r>
      <w:r w:rsidR="00450B46">
        <w:t>;</w:t>
      </w:r>
      <w:r w:rsidRPr="00D4107F" w:rsidR="00450B46">
        <w:t xml:space="preserve"> and public information about the state’s and county’s infection rates, responses, and guidance</w:t>
      </w:r>
      <w:r w:rsidR="00450B46">
        <w:t xml:space="preserve">. Review of these materials will inform the conduct of the interview and ensure respondents are not asked to provide information available from these </w:t>
      </w:r>
      <w:r w:rsidR="008B55E2">
        <w:t xml:space="preserve">other </w:t>
      </w:r>
      <w:r w:rsidR="00450B46">
        <w:t>sources.</w:t>
      </w:r>
    </w:p>
    <w:p w:rsidRPr="0072204D" w:rsidR="00CC2132" w:rsidP="00B9279C" w:rsidRDefault="00CC2132" w14:paraId="62675DED" w14:textId="77777777">
      <w:pPr>
        <w:keepNext/>
        <w:spacing w:before="360" w:after="120"/>
        <w:rPr>
          <w:b/>
        </w:rPr>
      </w:pPr>
      <w:r>
        <w:rPr>
          <w:b/>
        </w:rPr>
        <w:t xml:space="preserve">A5. </w:t>
      </w:r>
      <w:r w:rsidRPr="0072204D">
        <w:rPr>
          <w:b/>
        </w:rPr>
        <w:t>Involvement of Small Organizations</w:t>
      </w:r>
    </w:p>
    <w:p w:rsidRPr="003560C5" w:rsidR="00CC2132" w:rsidP="004453F8" w:rsidRDefault="00CC2132" w14:paraId="328B340D" w14:textId="77777777">
      <w:pPr>
        <w:pStyle w:val="NormalSS"/>
        <w:ind w:firstLine="0"/>
      </w:pPr>
      <w:r w:rsidRPr="003560C5">
        <w:t xml:space="preserve">The data collection does not involve small businesses or other small entities. </w:t>
      </w:r>
    </w:p>
    <w:p w:rsidRPr="0072204D" w:rsidR="00CC2132" w:rsidP="00B9279C" w:rsidRDefault="00CC2132" w14:paraId="2158A03B" w14:textId="77777777">
      <w:pPr>
        <w:keepNext/>
        <w:spacing w:before="360" w:after="120"/>
        <w:rPr>
          <w:b/>
        </w:rPr>
      </w:pPr>
      <w:r>
        <w:rPr>
          <w:b/>
        </w:rPr>
        <w:t xml:space="preserve">A6. </w:t>
      </w:r>
      <w:r w:rsidRPr="0072204D">
        <w:rPr>
          <w:b/>
        </w:rPr>
        <w:t>Consequences of Less Frequent Data Collection</w:t>
      </w:r>
    </w:p>
    <w:p w:rsidR="00CC2132" w:rsidRDefault="006B1D21" w14:paraId="224B51C6" w14:textId="2394471E">
      <w:pPr>
        <w:pStyle w:val="NormalSS"/>
        <w:ind w:firstLine="0"/>
      </w:pPr>
      <w:r>
        <w:t xml:space="preserve">A first follow-up survey </w:t>
      </w:r>
      <w:r w:rsidR="0048742A">
        <w:t>i</w:t>
      </w:r>
      <w:r>
        <w:t>s available to participants approximately six to 12 months after random assignment. Th</w:t>
      </w:r>
      <w:r w:rsidR="00676AEA">
        <w:t>e</w:t>
      </w:r>
      <w:r>
        <w:t xml:space="preserve"> second follow-up survey </w:t>
      </w:r>
      <w:r w:rsidR="003A581B">
        <w:t>is</w:t>
      </w:r>
      <w:r>
        <w:t xml:space="preserve"> available to participants about 21 </w:t>
      </w:r>
      <w:r w:rsidR="00002CC7">
        <w:t xml:space="preserve">to 24 </w:t>
      </w:r>
      <w:r>
        <w:t xml:space="preserve">months after random assignment. </w:t>
      </w:r>
      <w:r w:rsidR="00CC2132">
        <w:t>Th</w:t>
      </w:r>
      <w:r w:rsidR="00676AEA">
        <w:t>e</w:t>
      </w:r>
      <w:r w:rsidR="00CC2132">
        <w:t xml:space="preserve"> second follow-up survey </w:t>
      </w:r>
      <w:r w:rsidR="003A581B">
        <w:t>is</w:t>
      </w:r>
      <w:r w:rsidR="00CC2132">
        <w:t xml:space="preserve"> collect</w:t>
      </w:r>
      <w:r w:rsidR="003A581B">
        <w:t>ing</w:t>
      </w:r>
      <w:r w:rsidR="00CC2132">
        <w:t xml:space="preserve"> a similar set of outcome data as the first. This will allow an examination of whether the impacts of the program changed over time and whether changes in self-regulation skills were associated with changes in employment and self-sufficiency outcomes. </w:t>
      </w:r>
    </w:p>
    <w:p w:rsidR="00676AEA" w:rsidRDefault="00B5296E" w14:paraId="7FD12A2D" w14:textId="11FF89FC">
      <w:pPr>
        <w:pStyle w:val="NormalSS"/>
        <w:ind w:firstLine="0"/>
      </w:pPr>
      <w:r>
        <w:t>The additional implementation study data collection for which t</w:t>
      </w:r>
      <w:r w:rsidR="00AF1211">
        <w:t xml:space="preserve">his non-substantive change request seeks </w:t>
      </w:r>
      <w:r w:rsidR="008B55E2">
        <w:t xml:space="preserve">approval </w:t>
      </w:r>
      <w:r>
        <w:t xml:space="preserve">will be </w:t>
      </w:r>
      <w:r w:rsidR="00AF1211">
        <w:t>a one-time data collection.</w:t>
      </w:r>
    </w:p>
    <w:p w:rsidRPr="0072204D" w:rsidR="00CC2132" w:rsidP="00B9279C" w:rsidRDefault="00CC2132" w14:paraId="48EC30B6" w14:textId="77777777">
      <w:pPr>
        <w:keepNext/>
        <w:spacing w:before="360" w:after="120"/>
        <w:rPr>
          <w:b/>
        </w:rPr>
      </w:pPr>
      <w:r>
        <w:rPr>
          <w:b/>
        </w:rPr>
        <w:t xml:space="preserve">A7. </w:t>
      </w:r>
      <w:r w:rsidRPr="0072204D">
        <w:rPr>
          <w:b/>
        </w:rPr>
        <w:t>Special Circumstances</w:t>
      </w:r>
    </w:p>
    <w:p w:rsidR="00CC2132" w:rsidP="004453F8" w:rsidRDefault="00CC2132" w14:paraId="2815A4A3" w14:textId="77777777">
      <w:pPr>
        <w:pStyle w:val="NormalSS"/>
        <w:ind w:firstLine="0"/>
      </w:pPr>
      <w:r w:rsidRPr="00F10B7E">
        <w:t>There are no special circumstances for the proposed data collection efforts.</w:t>
      </w:r>
    </w:p>
    <w:p w:rsidR="00CC2132" w:rsidP="00B9279C" w:rsidRDefault="00CC2132" w14:paraId="6159D7FB" w14:textId="77777777">
      <w:pPr>
        <w:keepNext/>
        <w:spacing w:before="360" w:after="120"/>
        <w:rPr>
          <w:b/>
        </w:rPr>
      </w:pPr>
      <w:r w:rsidRPr="000D53DF">
        <w:rPr>
          <w:b/>
        </w:rPr>
        <w:t>A8. Federal Register Notice and Consultation</w:t>
      </w:r>
    </w:p>
    <w:p w:rsidRPr="00B91D97" w:rsidR="00CC2132" w:rsidP="00CC2132" w:rsidRDefault="00CC2132" w14:paraId="4EBF9F0F" w14:textId="77777777">
      <w:pPr>
        <w:spacing w:after="60"/>
        <w:rPr>
          <w:b/>
          <w:i/>
        </w:rPr>
      </w:pPr>
      <w:r w:rsidRPr="004B63ED">
        <w:rPr>
          <w:b/>
          <w:i/>
        </w:rPr>
        <w:t>Federal Register Notice and Comments</w:t>
      </w:r>
    </w:p>
    <w:p w:rsidR="00CC2132" w:rsidP="004453F8" w:rsidRDefault="00CC2132" w14:paraId="2845EB5A" w14:textId="26B82D0B">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notice</w:t>
      </w:r>
      <w:r w:rsidR="004A1102">
        <w:t>s</w:t>
      </w:r>
      <w:r w:rsidRPr="00F4788E">
        <w:t xml:space="preserve"> in the Federal Register announcing the agency’s intention to </w:t>
      </w:r>
      <w:r w:rsidRPr="001E1086">
        <w:t>request OMB review</w:t>
      </w:r>
      <w:r w:rsidR="004A1102">
        <w:t>s</w:t>
      </w:r>
      <w:r w:rsidRPr="001E1086">
        <w:t xml:space="preserve"> of information collection activit</w:t>
      </w:r>
      <w:r w:rsidR="004A1102">
        <w:t>ies for this evaluation</w:t>
      </w:r>
      <w:r w:rsidRPr="001E1086">
        <w:t>.</w:t>
      </w:r>
      <w:r w:rsidR="00C250B8">
        <w:t xml:space="preserve"> </w:t>
      </w:r>
      <w:r w:rsidR="004A1102">
        <w:t>Previous ICRs included information regarding these notices, and provided copies as attachments.</w:t>
      </w:r>
      <w:r w:rsidRPr="003560C5">
        <w:t xml:space="preserve"> </w:t>
      </w:r>
    </w:p>
    <w:p w:rsidRPr="00B91D97" w:rsidR="00CC2132" w:rsidP="00CC2132" w:rsidRDefault="00CC2132" w14:paraId="1D629A9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CC2132" w:rsidP="004453F8" w:rsidRDefault="00CC2132" w14:paraId="6AD048FF" w14:textId="02A4D8C4">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t>
      </w:r>
      <w:r w:rsidR="00AF1211">
        <w:t>this evaluation</w:t>
      </w:r>
      <w:r>
        <w:t>.</w:t>
      </w:r>
    </w:p>
    <w:p w:rsidRPr="005D0681" w:rsidR="00CC2132" w:rsidP="00CC2132" w:rsidRDefault="00CC2132" w14:paraId="538D51CD" w14:textId="77777777">
      <w:pPr>
        <w:rPr>
          <w:b/>
        </w:rPr>
      </w:pPr>
      <w:r>
        <w:rPr>
          <w:b/>
        </w:rPr>
        <w:t>OPRE</w:t>
      </w:r>
    </w:p>
    <w:p w:rsidR="00CC2132" w:rsidP="00CC2132" w:rsidRDefault="00CC2132" w14:paraId="6F88065A" w14:textId="39B51399">
      <w:r>
        <w:t xml:space="preserve">Hilary </w:t>
      </w:r>
      <w:r w:rsidR="0059289E">
        <w:t>Bruck</w:t>
      </w:r>
      <w:r w:rsidR="00C92DA5">
        <w:t>, Senior Social Science Research Analyst</w:t>
      </w:r>
    </w:p>
    <w:p w:rsidR="00CC2132" w:rsidP="00CC2132" w:rsidRDefault="00CC2132" w14:paraId="5068A594" w14:textId="7F46C39C">
      <w:r>
        <w:lastRenderedPageBreak/>
        <w:t>Victoria Kabak</w:t>
      </w:r>
      <w:r w:rsidR="00C92DA5">
        <w:t>, Social Science Research Analyst</w:t>
      </w:r>
    </w:p>
    <w:p w:rsidR="00CC2132" w:rsidP="00CC2132" w:rsidRDefault="00CC2132" w14:paraId="59A4F468" w14:textId="24BC6103">
      <w:r>
        <w:t>Gabrielle Newell</w:t>
      </w:r>
      <w:r w:rsidR="007D339A">
        <w:t>, Social Science Research Analyst</w:t>
      </w:r>
    </w:p>
    <w:p w:rsidR="00CC2132" w:rsidP="00CC2132" w:rsidRDefault="00CC2132" w14:paraId="28412B39" w14:textId="77777777"/>
    <w:p w:rsidRPr="005D0681" w:rsidR="00CC2132" w:rsidP="00CC2132" w:rsidRDefault="00CC2132" w14:paraId="672403B2" w14:textId="77777777">
      <w:pPr>
        <w:rPr>
          <w:b/>
        </w:rPr>
      </w:pPr>
      <w:r w:rsidRPr="005D0681">
        <w:rPr>
          <w:b/>
        </w:rPr>
        <w:t>Mathematica Policy Research</w:t>
      </w:r>
    </w:p>
    <w:p w:rsidR="00CC2132" w:rsidP="00CC2132" w:rsidRDefault="00CC2132" w14:paraId="6BAEA345" w14:textId="7D513B9D">
      <w:r>
        <w:t>Dr. Sheena McConnell</w:t>
      </w:r>
      <w:r w:rsidR="00C03BD2">
        <w:t>, Project Director</w:t>
      </w:r>
    </w:p>
    <w:p w:rsidR="00CC2132" w:rsidP="00CC2132" w:rsidRDefault="00CC2132" w14:paraId="25BA8594" w14:textId="3068F617">
      <w:r>
        <w:t>Dr. Quinn Moore</w:t>
      </w:r>
      <w:r w:rsidR="00C03BD2">
        <w:t>, Deputy Project Director</w:t>
      </w:r>
    </w:p>
    <w:p w:rsidR="00CC2132" w:rsidP="00CC2132" w:rsidRDefault="00CC2132" w14:paraId="7FA34DD0" w14:textId="45B5942A">
      <w:r>
        <w:t>Dr. Michelle Der</w:t>
      </w:r>
      <w:r w:rsidR="000E4666">
        <w:t>r</w:t>
      </w:r>
      <w:r w:rsidR="00C03BD2">
        <w:t>, Principal Investigator</w:t>
      </w:r>
    </w:p>
    <w:p w:rsidR="00CC2132" w:rsidP="00CC2132" w:rsidRDefault="00AC7C50" w14:paraId="36ED169B" w14:textId="1F7AADF7">
      <w:r>
        <w:t>David DesRoches</w:t>
      </w:r>
      <w:r w:rsidR="00C03BD2">
        <w:t>, Survey Director</w:t>
      </w:r>
    </w:p>
    <w:p w:rsidR="00CC2132" w:rsidP="00CC2132" w:rsidRDefault="00CC2132" w14:paraId="4088FD78" w14:textId="77777777"/>
    <w:p w:rsidRPr="005D0681" w:rsidR="00CC2132" w:rsidP="00CC2132" w:rsidRDefault="00CC2132" w14:paraId="6270B12B" w14:textId="77777777">
      <w:pPr>
        <w:rPr>
          <w:b/>
        </w:rPr>
      </w:pPr>
      <w:r w:rsidRPr="005D0681">
        <w:rPr>
          <w:b/>
        </w:rPr>
        <w:t>Abt Associates</w:t>
      </w:r>
    </w:p>
    <w:p w:rsidR="00CC2132" w:rsidP="00CC2132" w:rsidRDefault="000E4666" w14:paraId="1849B0E4" w14:textId="008E7C48">
      <w:r>
        <w:t>Dr. Alan Werner</w:t>
      </w:r>
      <w:r w:rsidR="00C03BD2">
        <w:t>, Principal Investigator</w:t>
      </w:r>
    </w:p>
    <w:p w:rsidR="00CC2132" w:rsidP="00CC2132" w:rsidRDefault="00CC2132" w14:paraId="5E13CE61" w14:textId="754282F6">
      <w:r>
        <w:t xml:space="preserve">Dr. </w:t>
      </w:r>
      <w:r w:rsidR="00117EB6">
        <w:t>Bethany Borland</w:t>
      </w:r>
      <w:r w:rsidR="00C03BD2">
        <w:t>, Senior Analyst</w:t>
      </w:r>
    </w:p>
    <w:p w:rsidR="00CC2132" w:rsidP="00CC2132" w:rsidRDefault="00CC2132" w14:paraId="38E137E1" w14:textId="77777777"/>
    <w:p w:rsidR="00CC2132" w:rsidP="00CC2132" w:rsidRDefault="00CC2132" w14:paraId="33298802" w14:textId="77777777">
      <w:r>
        <w:rPr>
          <w:b/>
        </w:rPr>
        <w:t>University of Chicago</w:t>
      </w:r>
    </w:p>
    <w:p w:rsidRPr="00B70D31" w:rsidR="00CC2132" w:rsidP="00CC2132" w:rsidRDefault="00CC2132" w14:paraId="5B538353" w14:textId="5E3E6B36">
      <w:r>
        <w:t>Dr. James Heckman</w:t>
      </w:r>
      <w:r w:rsidR="00C03BD2">
        <w:t xml:space="preserve">, </w:t>
      </w:r>
      <w:r w:rsidR="00A15E8F">
        <w:t xml:space="preserve">Measurement </w:t>
      </w:r>
      <w:r w:rsidR="00C03BD2">
        <w:t>Expert</w:t>
      </w:r>
    </w:p>
    <w:p w:rsidR="00CC2132" w:rsidP="00B9279C" w:rsidRDefault="00CC2132" w14:paraId="2DE1F5BF" w14:textId="77777777">
      <w:pPr>
        <w:keepNext/>
        <w:spacing w:before="360" w:after="120"/>
        <w:rPr>
          <w:b/>
        </w:rPr>
      </w:pPr>
      <w:r>
        <w:rPr>
          <w:b/>
        </w:rPr>
        <w:t>A9. Incentives for</w:t>
      </w:r>
      <w:r w:rsidRPr="0072204D">
        <w:rPr>
          <w:b/>
        </w:rPr>
        <w:t xml:space="preserve"> Respondents</w:t>
      </w:r>
    </w:p>
    <w:p w:rsidR="00CC2132" w:rsidP="005161E3" w:rsidRDefault="00561240" w14:paraId="509D7E1F" w14:textId="45F82DB5">
      <w:r>
        <w:t>In March 2018, t</w:t>
      </w:r>
      <w:r w:rsidR="00C3253A">
        <w:t>he Office of Management and Budget</w:t>
      </w:r>
      <w:r w:rsidR="00897038">
        <w:t xml:space="preserve">’s </w:t>
      </w:r>
      <w:r w:rsidR="00C3253A">
        <w:t>Office of Information and Regulatory Affairs</w:t>
      </w:r>
      <w:r w:rsidR="00897038">
        <w:t xml:space="preserve"> </w:t>
      </w:r>
      <w:r w:rsidR="00795B59">
        <w:t>(</w:t>
      </w:r>
      <w:r w:rsidR="008B3FA9">
        <w:t>OIRA</w:t>
      </w:r>
      <w:r w:rsidR="00795B59">
        <w:t>)</w:t>
      </w:r>
      <w:r w:rsidR="008B3FA9">
        <w:t xml:space="preserve"> </w:t>
      </w:r>
      <w:r w:rsidR="00BA6C1A">
        <w:t xml:space="preserve">initially </w:t>
      </w:r>
      <w:r w:rsidR="00897038">
        <w:t>approved</w:t>
      </w:r>
      <w:r w:rsidR="0059289E">
        <w:t xml:space="preserve"> a two</w:t>
      </w:r>
      <w:r w:rsidR="0027660A">
        <w:t>-</w:t>
      </w:r>
      <w:r w:rsidR="0059289E">
        <w:t>tiered i</w:t>
      </w:r>
      <w:r w:rsidRPr="0059289E" w:rsidR="0059289E">
        <w:t xml:space="preserve">ncentive structure </w:t>
      </w:r>
      <w:r w:rsidR="0027660A">
        <w:t>with</w:t>
      </w:r>
      <w:r w:rsidRPr="0059289E" w:rsidR="0059289E">
        <w:t xml:space="preserve"> an “early bird” incentive that provides survey respondents $35 if they complete the survey within four weeks of the initial notification, and $25 if they complete after four weeks</w:t>
      </w:r>
      <w:r>
        <w:t xml:space="preserve"> (OMB #0970-0506)</w:t>
      </w:r>
      <w:r w:rsidRPr="0059289E" w:rsidR="0059289E">
        <w:t xml:space="preserve">. </w:t>
      </w:r>
      <w:r w:rsidR="0059289E">
        <w:t xml:space="preserve">We employed this incentive structure for participants in all six programs during the </w:t>
      </w:r>
      <w:r w:rsidR="00B92B37">
        <w:t xml:space="preserve">administration of </w:t>
      </w:r>
      <w:r w:rsidR="00166667">
        <w:t xml:space="preserve">both </w:t>
      </w:r>
      <w:r w:rsidR="00B92B37">
        <w:t xml:space="preserve">the </w:t>
      </w:r>
      <w:r w:rsidR="0059289E">
        <w:t>first and second follow-up surveys</w:t>
      </w:r>
      <w:r w:rsidR="009C6FDE">
        <w:t xml:space="preserve"> until early s</w:t>
      </w:r>
      <w:r>
        <w:t>pring 2020</w:t>
      </w:r>
      <w:r w:rsidR="0059289E">
        <w:t xml:space="preserve">. </w:t>
      </w:r>
      <w:r w:rsidR="00385A70">
        <w:t xml:space="preserve"> In March 2020, OIRA approved a non-substantive change request </w:t>
      </w:r>
      <w:r w:rsidR="00A42539">
        <w:t>proposing</w:t>
      </w:r>
      <w:r w:rsidR="005161E3">
        <w:t xml:space="preserve"> that the two-tiered incentive structure continue </w:t>
      </w:r>
      <w:r w:rsidR="00F224C1">
        <w:t xml:space="preserve">only </w:t>
      </w:r>
      <w:r w:rsidR="005161E3">
        <w:t>among study participants in the two MyGoals sites in Baltimore and Houston, and that participants from the other four sites (</w:t>
      </w:r>
      <w:r w:rsidRPr="0059289E" w:rsidR="005161E3">
        <w:t>FaDSS, LIFT, Jefferson County Colorado Works, and Work Success</w:t>
      </w:r>
      <w:r w:rsidR="005161E3">
        <w:t xml:space="preserve">) be offered a $50 incentive for completing </w:t>
      </w:r>
      <w:r w:rsidR="00B92B37">
        <w:t>each</w:t>
      </w:r>
      <w:r w:rsidR="005161E3">
        <w:t xml:space="preserve"> survey</w:t>
      </w:r>
      <w:r w:rsidR="00B92B37">
        <w:t xml:space="preserve">, </w:t>
      </w:r>
      <w:r w:rsidRPr="007D061F" w:rsidR="007D061F">
        <w:t xml:space="preserve">irrespective of whether </w:t>
      </w:r>
      <w:r w:rsidR="007D061F">
        <w:t>the participants</w:t>
      </w:r>
      <w:r w:rsidRPr="007D061F" w:rsidR="007D061F">
        <w:t xml:space="preserve"> complete the survey within the four-week “early bird” period</w:t>
      </w:r>
      <w:r w:rsidRPr="00DC2BE4" w:rsidR="005161E3">
        <w:t xml:space="preserve">. </w:t>
      </w:r>
      <w:bookmarkStart w:name="_Hlk31898430" w:id="2"/>
      <w:r w:rsidR="00385A70">
        <w:t>We proposed</w:t>
      </w:r>
      <w:r w:rsidR="008B0D8D">
        <w:t xml:space="preserve"> this change</w:t>
      </w:r>
      <w:r w:rsidR="009404A9">
        <w:t xml:space="preserve"> due to</w:t>
      </w:r>
      <w:r w:rsidR="008B0D8D">
        <w:t xml:space="preserve"> </w:t>
      </w:r>
      <w:r w:rsidRPr="00DC2BE4" w:rsidR="00DC2BE4">
        <w:t>patterns of survey response</w:t>
      </w:r>
      <w:r w:rsidR="00F224C1">
        <w:t xml:space="preserve"> for those four sites</w:t>
      </w:r>
      <w:r w:rsidR="00BF45D1">
        <w:t xml:space="preserve"> show</w:t>
      </w:r>
      <w:r w:rsidR="009404A9">
        <w:t>ing</w:t>
      </w:r>
      <w:r w:rsidRPr="00DC2BE4" w:rsidR="00DC2BE4">
        <w:t xml:space="preserve"> a risk that our analysis w</w:t>
      </w:r>
      <w:r w:rsidR="009404A9">
        <w:t>ould</w:t>
      </w:r>
      <w:r w:rsidRPr="00DC2BE4" w:rsidR="00DC2BE4">
        <w:t xml:space="preserve"> result in </w:t>
      </w:r>
      <w:r w:rsidRPr="001C62CC" w:rsidR="00DC2BE4">
        <w:t>biased estimates of program</w:t>
      </w:r>
      <w:r w:rsidR="00DC2BE4">
        <w:t xml:space="preserve"> impacts and </w:t>
      </w:r>
      <w:r w:rsidR="009404A9">
        <w:t xml:space="preserve">would </w:t>
      </w:r>
      <w:r w:rsidR="00DC2BE4">
        <w:t xml:space="preserve">underrepresent participants in key </w:t>
      </w:r>
      <w:r w:rsidR="00486F29">
        <w:t xml:space="preserve">analytic </w:t>
      </w:r>
      <w:r w:rsidR="00DC2BE4">
        <w:t>groups.</w:t>
      </w:r>
      <w:r w:rsidR="005161E3">
        <w:t xml:space="preserve"> </w:t>
      </w:r>
      <w:bookmarkEnd w:id="2"/>
    </w:p>
    <w:p w:rsidR="00FC6725" w:rsidP="005161E3" w:rsidRDefault="00FC6725" w14:paraId="495BD992" w14:textId="3B16165C"/>
    <w:p w:rsidRPr="00EF4F5B" w:rsidR="00FC6725" w:rsidP="00FC6725" w:rsidRDefault="00FC6725" w14:paraId="5A89BC4E" w14:textId="60C1BBFD">
      <w:pPr>
        <w:pStyle w:val="NormalSS"/>
        <w:ind w:firstLine="0"/>
        <w:rPr>
          <w:szCs w:val="24"/>
        </w:rPr>
      </w:pPr>
      <w:r>
        <w:t xml:space="preserve">We are now requesting that the incentive offered to </w:t>
      </w:r>
      <w:r w:rsidR="00AC7C50">
        <w:t xml:space="preserve">MyGoals </w:t>
      </w:r>
      <w:r>
        <w:t>respondents completing the impact evaluation</w:t>
      </w:r>
      <w:r w:rsidR="00EF7B51">
        <w:t>’s follow-up surveys</w:t>
      </w:r>
      <w:r>
        <w:t xml:space="preserve"> be </w:t>
      </w:r>
      <w:r w:rsidR="00A2616B">
        <w:t>changed</w:t>
      </w:r>
      <w:r>
        <w:t xml:space="preserve"> from </w:t>
      </w:r>
      <w:r w:rsidR="00AC7C50">
        <w:t xml:space="preserve">the “early bird” incentive structure approved in March 2018 to </w:t>
      </w:r>
      <w:r>
        <w:t xml:space="preserve">$50 to </w:t>
      </w:r>
      <w:r w:rsidR="00AC7C50">
        <w:t xml:space="preserve">align with </w:t>
      </w:r>
      <w:r w:rsidR="00982E5E">
        <w:t>other</w:t>
      </w:r>
      <w:r>
        <w:t xml:space="preserve"> study sites. </w:t>
      </w:r>
      <w:r w:rsidRPr="00870AB4" w:rsidR="00870AB4">
        <w:t xml:space="preserve">The response rates for the follow-up surveys are at risk of being much lower than anticipated because in-person location has stopped due to COVID-19. </w:t>
      </w:r>
      <w:r w:rsidR="00870AB4">
        <w:t xml:space="preserve">We believe a higher </w:t>
      </w:r>
      <w:r w:rsidRPr="00870AB4" w:rsidR="00870AB4">
        <w:t>survey incentive</w:t>
      </w:r>
      <w:r w:rsidR="00870AB4">
        <w:t xml:space="preserve"> </w:t>
      </w:r>
      <w:r w:rsidR="00982E5E">
        <w:t xml:space="preserve">offered to MyGoals participants </w:t>
      </w:r>
      <w:r w:rsidR="00870AB4">
        <w:t xml:space="preserve">will help </w:t>
      </w:r>
      <w:r w:rsidRPr="00870AB4" w:rsidR="00870AB4">
        <w:t>increase the response rates and decrease the program-control group response rate differential, to avoid bias in the estimates of the programs’ effectiveness.</w:t>
      </w:r>
      <w:r w:rsidR="00144E7B">
        <w:t xml:space="preserve"> </w:t>
      </w:r>
      <w:r>
        <w:t xml:space="preserve">Additional information regarding the </w:t>
      </w:r>
      <w:r w:rsidRPr="00611507">
        <w:rPr>
          <w:szCs w:val="24"/>
        </w:rPr>
        <w:t>justification for th</w:t>
      </w:r>
      <w:r>
        <w:rPr>
          <w:szCs w:val="24"/>
        </w:rPr>
        <w:t xml:space="preserve">e change in incentive amounts </w:t>
      </w:r>
      <w:r w:rsidRPr="00611507">
        <w:rPr>
          <w:szCs w:val="24"/>
        </w:rPr>
        <w:t xml:space="preserve">is included in </w:t>
      </w:r>
      <w:r w:rsidRPr="00EF4F5B" w:rsidR="009546DD">
        <w:t>Attachment P. Nonsub change request_Coaching Evaluation_</w:t>
      </w:r>
      <w:r w:rsidR="004220F0">
        <w:t>Oct</w:t>
      </w:r>
      <w:r w:rsidRPr="00EF4F5B" w:rsidR="009546DD">
        <w:t xml:space="preserve"> 2020</w:t>
      </w:r>
      <w:r w:rsidRPr="00EF4F5B">
        <w:rPr>
          <w:szCs w:val="24"/>
        </w:rPr>
        <w:t>.</w:t>
      </w:r>
    </w:p>
    <w:p w:rsidRPr="00EF4F5B" w:rsidR="00C812A2" w:rsidP="005A53EF" w:rsidRDefault="009404A9" w14:paraId="74A09CC5" w14:textId="5B0CDCD3">
      <w:pPr>
        <w:pStyle w:val="NormalSS"/>
        <w:ind w:firstLine="0"/>
      </w:pPr>
      <w:r>
        <w:lastRenderedPageBreak/>
        <w:t xml:space="preserve">In a previous ICR, </w:t>
      </w:r>
      <w:r w:rsidR="00144E7B">
        <w:t>O</w:t>
      </w:r>
      <w:r w:rsidR="00601F92">
        <w:t>IRA</w:t>
      </w:r>
      <w:r w:rsidR="00144E7B">
        <w:t xml:space="preserve"> </w:t>
      </w:r>
      <w:r>
        <w:t xml:space="preserve">had </w:t>
      </w:r>
      <w:r w:rsidR="00385A70">
        <w:t>also approved offering r</w:t>
      </w:r>
      <w:r w:rsidRPr="003560C5" w:rsidR="00385A70">
        <w:t>espondents who participate in the in-depth interviews</w:t>
      </w:r>
      <w:r w:rsidR="00144E7B">
        <w:t xml:space="preserve"> for the implementation study</w:t>
      </w:r>
      <w:r w:rsidR="00385A70">
        <w:t>, which are estimated to take 2.5 hours on average,</w:t>
      </w:r>
      <w:r w:rsidRPr="003560C5" w:rsidR="00385A70">
        <w:t xml:space="preserve"> </w:t>
      </w:r>
      <w:r w:rsidR="00385A70">
        <w:t xml:space="preserve">a </w:t>
      </w:r>
      <w:r w:rsidRPr="003560C5" w:rsidR="00385A70">
        <w:t>$50</w:t>
      </w:r>
      <w:r w:rsidR="00385A70">
        <w:t xml:space="preserve"> gift card</w:t>
      </w:r>
      <w:r w:rsidRPr="003560C5" w:rsidR="00385A70">
        <w:t>.</w:t>
      </w:r>
      <w:r w:rsidR="00385A70">
        <w:t xml:space="preserve"> </w:t>
      </w:r>
      <w:r>
        <w:t>As part of this non-substantive change request, w</w:t>
      </w:r>
      <w:r w:rsidR="00385A70">
        <w:t xml:space="preserve">e are now proposing offering participants a $60 gift card to complete interviews related to receiving coaching services during COVID-19. </w:t>
      </w:r>
      <w:r w:rsidRPr="00620963" w:rsidR="00385A70">
        <w:t>We propose to offer $10 more for these interviews than those conducted earlier.</w:t>
      </w:r>
      <w:r w:rsidRPr="00C11B08" w:rsidR="00C11B08">
        <w:t xml:space="preserve"> </w:t>
      </w:r>
      <w:r w:rsidRPr="00620963" w:rsidR="00C11B08">
        <w:t xml:space="preserve">It will be more difficult to recruit study participants who are </w:t>
      </w:r>
      <w:r w:rsidR="00C11B08">
        <w:t>still actively engaged in the coaching programs for these interviews, b</w:t>
      </w:r>
      <w:r w:rsidRPr="00620963" w:rsidR="00C11B08">
        <w:t xml:space="preserve">ecause fewer people are still participating in the programs. </w:t>
      </w:r>
      <w:r w:rsidR="00C11B08">
        <w:t>We believe the increased incentive amount will help us recruit sufficient numbers of people</w:t>
      </w:r>
      <w:r w:rsidRPr="00620963" w:rsidR="00C11B08">
        <w:t xml:space="preserve"> to be interviewed</w:t>
      </w:r>
      <w:r w:rsidR="00C11B08">
        <w:t>.</w:t>
      </w:r>
      <w:r w:rsidRPr="00620963" w:rsidR="00385A70">
        <w:t xml:space="preserve"> A $60 incentive was recently approved for in-depth interviews for the Next Generation of Enhanced Employment Strategies Project (OMB </w:t>
      </w:r>
      <w:r w:rsidR="000C2907">
        <w:t>#</w:t>
      </w:r>
      <w:r w:rsidRPr="00620963" w:rsidR="00385A70">
        <w:t>0970-0545).</w:t>
      </w:r>
      <w:r w:rsidR="005A53EF">
        <w:t xml:space="preserve"> </w:t>
      </w:r>
      <w:r w:rsidR="00144E7B">
        <w:t xml:space="preserve">Additional information regarding the </w:t>
      </w:r>
      <w:r w:rsidRPr="00611507" w:rsidR="00144E7B">
        <w:rPr>
          <w:szCs w:val="24"/>
        </w:rPr>
        <w:t>justification for th</w:t>
      </w:r>
      <w:r w:rsidR="00144E7B">
        <w:rPr>
          <w:szCs w:val="24"/>
        </w:rPr>
        <w:t xml:space="preserve">is request </w:t>
      </w:r>
      <w:r w:rsidRPr="00611507" w:rsidR="00144E7B">
        <w:rPr>
          <w:szCs w:val="24"/>
        </w:rPr>
        <w:t xml:space="preserve">is included in </w:t>
      </w:r>
      <w:r w:rsidRPr="00EF4F5B" w:rsidR="009546DD">
        <w:t>Attachment P. Nonsub change request_Coaching Evaluation_</w:t>
      </w:r>
      <w:r w:rsidR="004220F0">
        <w:t>Oct</w:t>
      </w:r>
      <w:r w:rsidRPr="00EF4F5B" w:rsidR="009546DD">
        <w:t xml:space="preserve"> 2020</w:t>
      </w:r>
      <w:r w:rsidRPr="00EF4F5B" w:rsidR="00144E7B">
        <w:rPr>
          <w:szCs w:val="24"/>
        </w:rPr>
        <w:t>.</w:t>
      </w:r>
    </w:p>
    <w:p w:rsidR="00897038" w:rsidP="006215BD" w:rsidRDefault="00897038" w14:paraId="15D3002F" w14:textId="77777777"/>
    <w:p w:rsidRPr="00500C50" w:rsidR="00897038" w:rsidP="006215BD" w:rsidRDefault="00897038" w14:paraId="5ABAD806" w14:textId="7332A444">
      <w:pPr>
        <w:rPr>
          <w:b/>
        </w:rPr>
      </w:pPr>
      <w:r w:rsidRPr="00500C50">
        <w:rPr>
          <w:b/>
        </w:rPr>
        <w:t xml:space="preserve">Background: </w:t>
      </w:r>
    </w:p>
    <w:p w:rsidRPr="003560C5" w:rsidR="00897038" w:rsidP="006215BD" w:rsidRDefault="00897038" w14:paraId="1A5EC30B" w14:textId="77777777"/>
    <w:p w:rsidR="00FB535F" w:rsidP="004453F8" w:rsidRDefault="00514862" w14:paraId="38997EAE" w14:textId="460E6B9D">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Pr="00B95264" w:rsidR="00B95264">
        <w:t>The risk of bias</w:t>
      </w:r>
      <w:r w:rsidR="002559AD">
        <w:t>ed impact estimates</w:t>
      </w:r>
      <w:r w:rsidRPr="00B95264" w:rsidR="00B95264">
        <w:t xml:space="preserve"> increases with lower overall </w:t>
      </w:r>
      <w:r w:rsidR="009F2596">
        <w:t xml:space="preserve">survey </w:t>
      </w:r>
      <w:r w:rsidRPr="00B95264" w:rsidR="00B95264">
        <w:t xml:space="preserve">response rates or </w:t>
      </w:r>
      <w:r w:rsidR="00ED3BBD">
        <w:t>larger differences in survey</w:t>
      </w:r>
      <w:r w:rsidRPr="00B95264" w:rsidR="00B95264">
        <w:t xml:space="preserve"> response rates </w:t>
      </w:r>
      <w:r w:rsidR="002559AD">
        <w:t xml:space="preserve">between the research groups </w:t>
      </w:r>
      <w:r w:rsidRPr="00B95264" w:rsidR="00B95264">
        <w:t>(What Works Clearinghouse 2013).</w:t>
      </w:r>
      <w:r w:rsidR="00B95264">
        <w:t xml:space="preserve"> </w:t>
      </w:r>
      <w:r w:rsidR="00141B7B">
        <w:t>Thus, i</w:t>
      </w:r>
      <w:r w:rsidRPr="00FB535F" w:rsidR="00FB535F">
        <w:t xml:space="preserve">f </w:t>
      </w:r>
      <w:r w:rsidR="00B95264">
        <w:t xml:space="preserve">low overall response rates or </w:t>
      </w:r>
      <w:r w:rsidR="00141B7B">
        <w:t xml:space="preserve">large </w:t>
      </w:r>
      <w:r w:rsidRPr="00FB535F" w:rsidR="00FB535F">
        <w:t xml:space="preserve">differential response rates </w:t>
      </w:r>
      <w:r w:rsidR="00ED3BBD">
        <w:t xml:space="preserve">between the research groups </w:t>
      </w:r>
      <w:r w:rsidRPr="00FB535F" w:rsid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Pr="00FB535F" w:rsidR="00FB535F">
        <w:t>cannot be attributed solely to the effect of the coaching intervention</w:t>
      </w:r>
      <w:r w:rsidR="00FB535F">
        <w:t xml:space="preserve"> (What Works Clearinghouse 2013)</w:t>
      </w:r>
      <w:r w:rsidRPr="00FB535F" w:rsidR="00FB535F">
        <w:t>.</w:t>
      </w:r>
      <w:r w:rsidR="00FB535F">
        <w:t xml:space="preserve"> </w:t>
      </w:r>
    </w:p>
    <w:p w:rsidR="00D74990" w:rsidP="008C6616" w:rsidRDefault="009C12AF" w14:paraId="52FCB22B" w14:textId="789FC96F">
      <w:pPr>
        <w:pStyle w:val="NormalSS"/>
        <w:ind w:firstLine="0"/>
      </w:pPr>
      <w:r>
        <w:t>Concern about the potential for l</w:t>
      </w:r>
      <w:r w:rsidR="007C40D7">
        <w:t xml:space="preserve">ow overall response rates are </w:t>
      </w:r>
      <w:r w:rsidR="00E327A1">
        <w:t>particularly relevant to this study</w:t>
      </w:r>
      <w:r w:rsidR="00901B0D">
        <w:t>. The longitudinal nature of the study adds to the complexity of the second follow-up survey data collection. Additionally,</w:t>
      </w:r>
      <w:r w:rsidR="00E327A1">
        <w:t xml:space="preserve"> </w:t>
      </w:r>
      <w:r w:rsidR="00626878">
        <w:t>t</w:t>
      </w:r>
      <w:r w:rsidRPr="007C40D7" w:rsidR="007C40D7">
        <w:t xml:space="preserve">he coaching interventions </w:t>
      </w:r>
      <w:r>
        <w:t>are designed for unemployed</w:t>
      </w:r>
      <w:r w:rsidRPr="007C40D7" w:rsid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rsidR="00D74990" w:rsidP="00B95986" w:rsidRDefault="006D6812" w14:paraId="3BB84D97" w14:textId="62257224">
      <w:pPr>
        <w:pStyle w:val="NormalSS"/>
        <w:numPr>
          <w:ilvl w:val="0"/>
          <w:numId w:val="29"/>
        </w:numPr>
      </w:pPr>
      <w:r>
        <w:t>U</w:t>
      </w:r>
      <w:r w:rsidRPr="007C40D7" w:rsidR="007C40D7">
        <w:t>nstable housing</w:t>
      </w:r>
      <w:r w:rsidR="008C6616">
        <w:t xml:space="preserve">. </w:t>
      </w:r>
    </w:p>
    <w:p w:rsidR="00D74990" w:rsidP="00B95986" w:rsidRDefault="006D6812" w14:paraId="506B82CE" w14:textId="1735315E">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Pr="008C6616" w:rsid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Pr="00256F48" w:rsidR="00256F48">
        <w:t xml:space="preserve">. </w:t>
      </w:r>
    </w:p>
    <w:p w:rsidR="00D74990" w:rsidP="00B95986" w:rsidRDefault="009C12AF" w14:paraId="7A81D415" w14:textId="40A0CD37">
      <w:pPr>
        <w:pStyle w:val="NormalSS"/>
        <w:numPr>
          <w:ilvl w:val="0"/>
          <w:numId w:val="29"/>
        </w:numPr>
      </w:pPr>
      <w:r>
        <w:t>U</w:t>
      </w:r>
      <w:r w:rsidRPr="00B439F3" w:rsidR="00B439F3">
        <w:t xml:space="preserve">se </w:t>
      </w:r>
      <w:r>
        <w:t xml:space="preserve">of </w:t>
      </w:r>
      <w:r w:rsidRPr="00B439F3" w:rsidR="00B439F3">
        <w:t>an alias to get utility account</w:t>
      </w:r>
      <w:r w:rsidR="00B60547">
        <w:t>s</w:t>
      </w:r>
      <w:r w:rsidRPr="00B439F3" w:rsidR="00B439F3">
        <w:t xml:space="preserve"> because of </w:t>
      </w:r>
      <w:r w:rsidR="00B60547">
        <w:t xml:space="preserve">poor credit and prior </w:t>
      </w:r>
      <w:r w:rsidRPr="00B439F3" w:rsidR="00B439F3">
        <w:t>payment issues</w:t>
      </w:r>
      <w:r w:rsidR="00B60547">
        <w:t>.</w:t>
      </w:r>
    </w:p>
    <w:p w:rsidR="00B60547" w:rsidP="00B95986" w:rsidRDefault="009C12AF" w14:paraId="5782B14E" w14:textId="45E29A09">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rsidR="001D22AC" w:rsidP="001D22AC" w:rsidRDefault="006D6812" w14:paraId="19E1209F" w14:textId="72CC5956">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w:t>
      </w:r>
      <w:r>
        <w:lastRenderedPageBreak/>
        <w:t xml:space="preserve">than those assigned to the treatment group because they are not receiving the intervention. They may also feel that the surveys are not relevant to them. </w:t>
      </w:r>
    </w:p>
    <w:p w:rsidRPr="002246D9" w:rsidR="009C12AF" w:rsidP="007C40D7" w:rsidRDefault="009C12AF" w14:paraId="7A196126" w14:textId="248C1C93">
      <w:pPr>
        <w:pStyle w:val="NormalSS"/>
        <w:ind w:firstLine="0"/>
        <w:rPr>
          <w:b/>
        </w:rPr>
      </w:pPr>
      <w:r w:rsidRPr="002246D9">
        <w:rPr>
          <w:b/>
        </w:rPr>
        <w:t xml:space="preserve">Evidence </w:t>
      </w:r>
      <w:r w:rsidRPr="002246D9" w:rsidR="009F2596">
        <w:rPr>
          <w:b/>
        </w:rPr>
        <w:t>supporting use of incentives</w:t>
      </w:r>
      <w:r w:rsidRPr="002246D9">
        <w:rPr>
          <w:b/>
        </w:rPr>
        <w:t xml:space="preserve">: </w:t>
      </w:r>
    </w:p>
    <w:p w:rsidR="009F2596" w:rsidP="007C40D7" w:rsidRDefault="00FC4236" w14:paraId="0B060387" w14:textId="2E30EF45">
      <w:pPr>
        <w:pStyle w:val="NormalSS"/>
        <w:ind w:firstLine="0"/>
      </w:pPr>
      <w:r>
        <w:rPr>
          <w:b/>
        </w:rPr>
        <w:t>Methodological r</w:t>
      </w:r>
      <w:r w:rsidRPr="002246D9" w:rsidR="00F86FD9">
        <w:rPr>
          <w:b/>
        </w:rPr>
        <w:t xml:space="preserve">esearch on incentives. </w:t>
      </w:r>
      <w:r w:rsidRPr="009F2596" w:rsid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rsidR="00F86FD9" w:rsidP="007C40D7" w:rsidRDefault="00F86FD9" w14:paraId="39191B8C" w14:textId="3B140B42">
      <w:pPr>
        <w:pStyle w:val="NormalSS"/>
        <w:ind w:firstLine="0"/>
        <w:rPr>
          <w:szCs w:val="24"/>
        </w:rPr>
      </w:pPr>
      <w:r>
        <w:rPr>
          <w:b/>
        </w:rPr>
        <w:t>Research e</w:t>
      </w:r>
      <w:r w:rsidRPr="002246D9" w:rsidR="009F2596">
        <w:rPr>
          <w:b/>
        </w:rPr>
        <w:t xml:space="preserve">vidence from </w:t>
      </w:r>
      <w:r w:rsidR="001D69ED">
        <w:rPr>
          <w:b/>
        </w:rPr>
        <w:t>similar</w:t>
      </w:r>
      <w:r w:rsidRPr="002246D9" w:rsidR="001D69ED">
        <w:rPr>
          <w:b/>
        </w:rPr>
        <w:t xml:space="preserve"> </w:t>
      </w:r>
      <w:r w:rsidRPr="002246D9" w:rsidR="009F2596">
        <w:rPr>
          <w:b/>
        </w:rPr>
        <w:t xml:space="preserve">studies. </w:t>
      </w:r>
      <w:r w:rsidR="0026577A">
        <w:t>E</w:t>
      </w:r>
      <w:r w:rsidRPr="0026577A" w:rsidR="0026577A">
        <w:t>vidence from an incentive experiment conducted as part of the Self-Employment Training (SET) Demonstration, approved by OMB (</w:t>
      </w:r>
      <w:r w:rsidR="0033698C">
        <w:t xml:space="preserve">OMB </w:t>
      </w:r>
      <w:r w:rsidR="000C2907">
        <w:t>#</w:t>
      </w:r>
      <w:r w:rsidRPr="0026577A" w:rsidR="0026577A">
        <w:t>1205-0505)</w:t>
      </w:r>
      <w:r w:rsidR="0026577A">
        <w:t>, suggests that incentives are a successful strategy for improving response rates for low-income populations</w:t>
      </w:r>
      <w:r w:rsidRPr="0026577A" w:rsidR="0026577A">
        <w:t xml:space="preserve">. </w:t>
      </w:r>
      <w:r w:rsidRPr="00760FD0" w:rsidR="0026577A">
        <w:rPr>
          <w:szCs w:val="24"/>
        </w:rPr>
        <w:t>This experiment assessed the effectiveness of three incentive approaches</w:t>
      </w:r>
      <w:r w:rsidRPr="00C10B2D" w:rsidR="0026577A">
        <w:rPr>
          <w:szCs w:val="24"/>
        </w:rPr>
        <w:t xml:space="preserve">: (1) </w:t>
      </w:r>
      <w:r w:rsidR="00A507C5">
        <w:rPr>
          <w:szCs w:val="24"/>
        </w:rPr>
        <w:t xml:space="preserve">offering a </w:t>
      </w:r>
      <w:r w:rsidRPr="00C10B2D" w:rsidR="0026577A">
        <w:rPr>
          <w:szCs w:val="24"/>
        </w:rPr>
        <w:t xml:space="preserve">standard incentive of $25; (2) </w:t>
      </w:r>
      <w:r w:rsidR="00A507C5">
        <w:rPr>
          <w:szCs w:val="24"/>
        </w:rPr>
        <w:t xml:space="preserve">offering a </w:t>
      </w:r>
      <w:r w:rsidRPr="00C10B2D" w:rsidR="0026577A">
        <w:rPr>
          <w:szCs w:val="24"/>
        </w:rPr>
        <w:t>two-tiered incentive, with an incentive of $50 if respondents completed an 18</w:t>
      </w:r>
      <w:r w:rsidR="00A507C5">
        <w:rPr>
          <w:szCs w:val="24"/>
        </w:rPr>
        <w:t>-</w:t>
      </w:r>
      <w:r w:rsidRPr="00C10B2D" w:rsidR="0026577A">
        <w:rPr>
          <w:szCs w:val="24"/>
        </w:rPr>
        <w:t>month follow-up survey within the first four weeks and $25 if respondents completed the survey after four weeks; or (3) no incentive.</w:t>
      </w:r>
      <w:r w:rsidRPr="00760FD0" w:rsidR="0026577A">
        <w:rPr>
          <w:szCs w:val="24"/>
        </w:rPr>
        <w:t xml:space="preserve"> </w:t>
      </w:r>
    </w:p>
    <w:p w:rsidR="00DF794D" w:rsidP="007C40D7" w:rsidRDefault="00F86FD9" w14:paraId="4B9EFEF5" w14:textId="22A934C8">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Pr="0026577A" w:rsidR="0026577A">
        <w:t xml:space="preserve">his experiment resulted in a 73 percent </w:t>
      </w:r>
      <w:r>
        <w:t xml:space="preserve">overall </w:t>
      </w:r>
      <w:r w:rsidRPr="0026577A" w:rsidR="0026577A">
        <w:t>response rate</w:t>
      </w:r>
      <w:r w:rsidR="007B67C6">
        <w:t xml:space="preserve"> for</w:t>
      </w:r>
      <w:r w:rsidRPr="0026577A" w:rsidR="0026577A">
        <w:t xml:space="preserve"> </w:t>
      </w:r>
      <w:r>
        <w:t xml:space="preserve">those in the </w:t>
      </w:r>
      <w:r w:rsidRPr="0026577A" w:rsidR="0026577A">
        <w:t>two-tiered incentive</w:t>
      </w:r>
      <w:r>
        <w:t xml:space="preserve"> group and a 64 percent response rate for those in the standard incentive group. The response rate for sample members who were not offered an incentive was</w:t>
      </w:r>
      <w:r w:rsidR="006D6812">
        <w:t xml:space="preserve"> </w:t>
      </w:r>
      <w:r w:rsidRPr="0026577A" w:rsidR="006D6812">
        <w:t>37 percent</w:t>
      </w:r>
      <w:r w:rsidRPr="0026577A" w:rsid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Pr="00DF794D" w:rsidR="00DF794D">
        <w:t xml:space="preserve"> percent</w:t>
      </w:r>
      <w:r w:rsidR="00DF794D">
        <w:t>age points</w:t>
      </w:r>
      <w:r w:rsidRPr="00DF794D" w:rsidR="00DF794D">
        <w:t xml:space="preserve"> for the </w:t>
      </w:r>
      <w:r w:rsidR="00ED3BBD">
        <w:t>standard</w:t>
      </w:r>
      <w:r w:rsidRPr="00DF794D" w:rsidR="00DF794D">
        <w:t xml:space="preserve"> incentive group (</w:t>
      </w:r>
      <w:r w:rsidR="00DF794D">
        <w:t>67</w:t>
      </w:r>
      <w:r w:rsidRPr="00DF794D" w:rsidR="00DF794D">
        <w:t xml:space="preserve"> percent for the treatment </w:t>
      </w:r>
      <w:r w:rsidR="00DF794D">
        <w:t xml:space="preserve">group </w:t>
      </w:r>
      <w:r w:rsidR="00ED3BBD">
        <w:t>versus 61</w:t>
      </w:r>
      <w:r w:rsidRPr="00DF794D" w:rsid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Pr="00DF794D" w:rsidR="00DF794D">
        <w:t>percentage points (</w:t>
      </w:r>
      <w:r w:rsidR="00DF794D">
        <w:t>55</w:t>
      </w:r>
      <w:r w:rsidRPr="00DF794D" w:rsidR="00DF794D">
        <w:t xml:space="preserve"> percent for the treatment group versus </w:t>
      </w:r>
      <w:r w:rsidR="00DF794D">
        <w:t>19</w:t>
      </w:r>
      <w:r w:rsidRPr="00DF794D" w:rsidR="00DF794D">
        <w:t xml:space="preserve"> percent in the control group)</w:t>
      </w:r>
      <w:r w:rsidR="00DF794D">
        <w:t xml:space="preserve">. </w:t>
      </w:r>
    </w:p>
    <w:p w:rsidR="00B60FAE" w:rsidP="008C739B" w:rsidRDefault="00B60FAE" w14:paraId="30AB881B" w14:textId="37E41C14">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rsidR="00DC488B" w:rsidP="008C739B" w:rsidRDefault="00DC488B" w14:paraId="0EAA1F05" w14:textId="170C0687">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rsidRPr="00EF4F5B" w:rsidR="001D7FF7" w:rsidP="00621CE2" w:rsidRDefault="00DC488B" w14:paraId="7CB00CE5" w14:textId="66453F75">
      <w:pPr>
        <w:pStyle w:val="NormalSS"/>
        <w:ind w:firstLine="0"/>
      </w:pPr>
      <w:r>
        <w:lastRenderedPageBreak/>
        <w:t xml:space="preserve">In addition to determining whether the study requires use of incentives, we must determine the structure that the incentives will take. </w:t>
      </w:r>
      <w:r w:rsidR="00C812A2">
        <w:t xml:space="preserve">As described in Section A.9 above, </w:t>
      </w:r>
      <w:r w:rsidR="00BF641B">
        <w:t>in March 2020 OIRA approved our request to change</w:t>
      </w:r>
      <w:r w:rsidR="00C812A2">
        <w:t xml:space="preserve"> the incentive structure and amount for the</w:t>
      </w:r>
      <w:r w:rsidRPr="00263C9C" w:rsidR="00C812A2">
        <w:t xml:space="preserve"> FaDSS, LIFT, Jefferson County Colorado Works, and Work Success</w:t>
      </w:r>
      <w:r w:rsidR="00C812A2">
        <w:t xml:space="preserve"> sites</w:t>
      </w:r>
      <w:r w:rsidR="00BF641B">
        <w:t xml:space="preserve"> (OMB #</w:t>
      </w:r>
      <w:r w:rsidR="008B4FFF">
        <w:t>0970-0506)</w:t>
      </w:r>
      <w:r w:rsidR="00C812A2">
        <w:t xml:space="preserve">. </w:t>
      </w:r>
      <w:r w:rsidR="008B4FFF">
        <w:t>In this request, w</w:t>
      </w:r>
      <w:r w:rsidR="008C739B">
        <w:t xml:space="preserve">e </w:t>
      </w:r>
      <w:r w:rsidR="008B4FFF">
        <w:t xml:space="preserve">now </w:t>
      </w:r>
      <w:r w:rsidR="001D22AC">
        <w:t>propose</w:t>
      </w:r>
      <w:r w:rsidR="003A581B">
        <w:t xml:space="preserve"> </w:t>
      </w:r>
      <w:r w:rsidR="008B4FFF">
        <w:t xml:space="preserve">discontinuing </w:t>
      </w:r>
      <w:r w:rsidR="00B92B37">
        <w:t>the</w:t>
      </w:r>
      <w:r w:rsidR="001B7970">
        <w:t xml:space="preserve"> </w:t>
      </w:r>
      <w:r w:rsidR="0073313D">
        <w:t xml:space="preserve">OMB-approved </w:t>
      </w:r>
      <w:r w:rsidRPr="003560C5" w:rsidR="00621CE2">
        <w:t xml:space="preserve">two-tiered </w:t>
      </w:r>
      <w:r w:rsidR="008C739B">
        <w:t xml:space="preserve">incentive </w:t>
      </w:r>
      <w:r w:rsidR="00621CE2">
        <w:t>approach</w:t>
      </w:r>
      <w:r w:rsidR="008B4FFF">
        <w:t xml:space="preserve"> still in place </w:t>
      </w:r>
      <w:r w:rsidR="00C812A2">
        <w:t xml:space="preserve">for </w:t>
      </w:r>
      <w:r w:rsidR="00B92B37">
        <w:t>the two MyGoals sites</w:t>
      </w:r>
      <w:r w:rsidR="0045719B">
        <w:t xml:space="preserve">, and offering respondents </w:t>
      </w:r>
      <w:r w:rsidR="00A2616B">
        <w:t xml:space="preserve">from those sites </w:t>
      </w:r>
      <w:r w:rsidR="0045719B">
        <w:t>who complete the first or second follow-up survey a $5</w:t>
      </w:r>
      <w:r w:rsidR="00982E5E">
        <w:t>0</w:t>
      </w:r>
      <w:r w:rsidR="0045719B">
        <w:t xml:space="preserve"> gift card</w:t>
      </w:r>
      <w:r w:rsidR="00A2616B">
        <w:t xml:space="preserve"> </w:t>
      </w:r>
      <w:r w:rsidRPr="00A2616B" w:rsidR="00A2616B">
        <w:t>irrespective of whether the</w:t>
      </w:r>
      <w:r w:rsidR="00A2616B">
        <w:t>y</w:t>
      </w:r>
      <w:r w:rsidRPr="00A2616B" w:rsidR="00A2616B">
        <w:t xml:space="preserve"> complete the survey within the four-week “early bird” period</w:t>
      </w:r>
      <w:r w:rsidR="0023737D">
        <w:t xml:space="preserve"> (</w:t>
      </w:r>
      <w:r w:rsidR="00982E5E">
        <w:t xml:space="preserve">consistent with </w:t>
      </w:r>
      <w:r w:rsidR="0023737D">
        <w:t xml:space="preserve">the change approved for the </w:t>
      </w:r>
      <w:r w:rsidR="00982E5E">
        <w:t>other study sites in March 2020</w:t>
      </w:r>
      <w:r w:rsidR="0023737D">
        <w:t>)</w:t>
      </w:r>
      <w:r w:rsidRPr="003560C5" w:rsidR="00621CE2">
        <w:t xml:space="preserve">. </w:t>
      </w:r>
      <w:r w:rsidR="004F3A1C">
        <w:t xml:space="preserve">The justification for this change is included in </w:t>
      </w:r>
      <w:r w:rsidRPr="00EF4F5B" w:rsidR="009546DD">
        <w:t>Attachment P. Nonsub change request_Coaching Evaluation_</w:t>
      </w:r>
      <w:r w:rsidR="004220F0">
        <w:t>Oct</w:t>
      </w:r>
      <w:r w:rsidRPr="00EF4F5B" w:rsidR="009546DD">
        <w:t xml:space="preserve"> 2020</w:t>
      </w:r>
      <w:r w:rsidRPr="00EF4F5B" w:rsidR="0044250A">
        <w:t xml:space="preserve">. </w:t>
      </w:r>
    </w:p>
    <w:p w:rsidR="001D7FF7" w:rsidP="00621CE2" w:rsidRDefault="001D7FF7" w14:paraId="29058281" w14:textId="5DB5F22A">
      <w:pPr>
        <w:pStyle w:val="NormalSS"/>
        <w:ind w:firstLine="0"/>
      </w:pPr>
      <w:r w:rsidRPr="002246D9">
        <w:rPr>
          <w:b/>
        </w:rPr>
        <w:t xml:space="preserve">Research evidence from </w:t>
      </w:r>
      <w:r w:rsidR="001D69ED">
        <w:rPr>
          <w:b/>
        </w:rPr>
        <w:t>similar</w:t>
      </w:r>
      <w:r w:rsidRPr="002246D9">
        <w:rPr>
          <w:b/>
        </w:rPr>
        <w:t xml:space="preserve">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rsidR="00CE154D" w:rsidP="00621CE2" w:rsidRDefault="004D664D" w14:paraId="66A44381" w14:textId="77777777">
      <w:pPr>
        <w:pStyle w:val="NormalSS"/>
        <w:ind w:firstLine="0"/>
      </w:pPr>
      <w:r>
        <w:t xml:space="preserve">The results of the </w:t>
      </w:r>
      <w:r w:rsidRPr="001D7FF7" w:rsidR="001D7FF7">
        <w:t xml:space="preserve">SET </w:t>
      </w:r>
      <w:r>
        <w:t xml:space="preserve">incentive </w:t>
      </w:r>
      <w:r w:rsidRPr="001D7FF7" w:rsid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rsidR="0020289B" w:rsidP="00621CE2" w:rsidRDefault="004D664D" w14:paraId="2223C413" w14:textId="37BFC6C6">
      <w:pPr>
        <w:pStyle w:val="NormalSS"/>
        <w:ind w:firstLine="0"/>
      </w:pPr>
      <w:r>
        <w:t xml:space="preserve">However, the </w:t>
      </w:r>
      <w:r w:rsidR="00CE154D">
        <w:t>SET incentive experiment</w:t>
      </w:r>
      <w:r>
        <w:t xml:space="preserve"> also </w:t>
      </w:r>
      <w:r w:rsidRPr="001D7FF7" w:rsidR="001D7FF7">
        <w:t xml:space="preserve">concluded that two-tiered incentives led to </w:t>
      </w:r>
      <w:r w:rsidR="002933A4">
        <w:t xml:space="preserve">shorter response times, </w:t>
      </w:r>
      <w:r w:rsidRPr="001D7FF7" w:rsid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rsidR="001D7FF7" w:rsidP="00621CE2" w:rsidRDefault="00551652" w14:paraId="52CCBFDB" w14:textId="1F68B450">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982E5E">
        <w:t>Thus,</w:t>
      </w:r>
      <w:r w:rsidR="00CE154D">
        <w:t xml:space="preserve">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Pr="0020289B" w:rsidR="0020289B">
        <w:t>$</w:t>
      </w:r>
      <w:r w:rsidR="0020289B">
        <w:t>50</w:t>
      </w:r>
      <w:r w:rsidRPr="0020289B" w:rsidR="0020289B">
        <w:t xml:space="preserve"> for response within the first four weeks)</w:t>
      </w:r>
      <w:r w:rsidR="0020289B">
        <w:t>. The final incentive amount is the same ($25 for response after four weeks).</w:t>
      </w:r>
      <w:r w:rsidR="00982E5E">
        <w:t xml:space="preserve"> The current request of $50 for completion of both the first and second </w:t>
      </w:r>
      <w:r w:rsidR="00E779D8">
        <w:t xml:space="preserve">follow-up survey for two sites </w:t>
      </w:r>
      <w:r w:rsidR="004F64F9">
        <w:t>aligns with the SET early response incentive, and reflects that our experience conducting these surveys among this population requires longer field periods in order to locate nonrespondents.</w:t>
      </w:r>
      <w:r w:rsidR="0020289B">
        <w:t xml:space="preserve"> </w:t>
      </w:r>
    </w:p>
    <w:p w:rsidR="00FC4236" w:rsidP="00621CE2" w:rsidRDefault="00083C54" w14:paraId="0D453C79" w14:textId="09A0480B">
      <w:pPr>
        <w:pStyle w:val="NormalSS"/>
        <w:ind w:firstLine="0"/>
      </w:pPr>
      <w:r w:rsidRPr="00083C54">
        <w:t xml:space="preserve">The YouthBuild evaluation (OMB </w:t>
      </w:r>
      <w:r w:rsidR="000C2907">
        <w:t>#</w:t>
      </w:r>
      <w:r w:rsidRPr="00083C54">
        <w:t>1205-0503)</w:t>
      </w:r>
      <w:r w:rsidR="009B63F1">
        <w:t>, sponsored by the Department of Labor,</w:t>
      </w:r>
      <w:r>
        <w:t xml:space="preserve"> also incorporated an incentive experiment. </w:t>
      </w:r>
      <w:r w:rsidRPr="00083C54">
        <w:t>This experiment assessed the effectiveness of t</w:t>
      </w:r>
      <w:r>
        <w:t>wo</w:t>
      </w:r>
      <w:r w:rsidRPr="00083C54">
        <w:t xml:space="preserve"> </w:t>
      </w:r>
      <w:r w:rsidRPr="00083C54">
        <w:lastRenderedPageBreak/>
        <w:t xml:space="preserve">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rsidRPr="00AA6244" w:rsidR="00FC0B3D" w:rsidP="00621CE2" w:rsidRDefault="009B63F1" w14:paraId="08F8C87A" w14:textId="563C2ACA">
      <w:pPr>
        <w:pStyle w:val="NormalSS"/>
        <w:ind w:firstLine="0"/>
      </w:pPr>
      <w:r w:rsidRPr="00D208FC">
        <w:t>Results from the YouthBuild incentive experiment are consistent with those of the SET incentive experiment</w:t>
      </w:r>
      <w:r w:rsidRPr="00AA6244" w:rsidR="00FC0B3D">
        <w:t xml:space="preserve"> in terms of effects on </w:t>
      </w:r>
      <w:r w:rsidRPr="00483993" w:rsidR="00FC0B3D">
        <w:t>response rate, response time and cost</w:t>
      </w:r>
      <w:r w:rsidRPr="00483993">
        <w:t xml:space="preserve">. </w:t>
      </w:r>
      <w:r w:rsidR="00775A0A">
        <w:t xml:space="preserve">The </w:t>
      </w:r>
      <w:r w:rsidR="00626878">
        <w:t xml:space="preserve">tiered </w:t>
      </w:r>
      <w:r w:rsidR="00775A0A">
        <w:t>i</w:t>
      </w:r>
      <w:r w:rsidRPr="00483993" w:rsidR="00FC0B3D">
        <w:t xml:space="preserve">ncentive structure </w:t>
      </w:r>
      <w:r w:rsidR="00775A0A">
        <w:t xml:space="preserve">slightly increased the </w:t>
      </w:r>
      <w:r w:rsidRPr="00483993" w:rsidR="00FC0B3D">
        <w:t>overall response</w:t>
      </w:r>
      <w:r w:rsidRPr="00D208FC" w:rsidR="00FC0B3D">
        <w:t xml:space="preserve"> rate; sample members in the two-tiered incentive group had an overall response rate of 72 percent compared to 68 percent for the standard incentive group. We do not have data from the Youth</w:t>
      </w:r>
      <w:r w:rsidR="00D208FC">
        <w:t>B</w:t>
      </w:r>
      <w:r w:rsidRPr="00D208FC" w:rsidR="00FC0B3D">
        <w:t>uild incentive experiment on the effect of incentive structure on differential response rates between the research groups.</w:t>
      </w:r>
    </w:p>
    <w:p w:rsidRPr="00D208FC" w:rsidR="00083C54" w:rsidP="00A058D4" w:rsidRDefault="00FC0B3D" w14:paraId="606A16F9" w14:textId="39D4E772">
      <w:pPr>
        <w:pStyle w:val="NormalSS"/>
        <w:ind w:firstLine="0"/>
      </w:pPr>
      <w:r w:rsidRPr="00D208FC">
        <w:t>YouthBuild s</w:t>
      </w:r>
      <w:r w:rsidRPr="00D208FC" w:rsidR="009B63F1">
        <w:t xml:space="preserve">ample members </w:t>
      </w:r>
      <w:r w:rsidRPr="00D208FC">
        <w:t xml:space="preserve">in the </w:t>
      </w:r>
      <w:r w:rsidRPr="00D208FC" w:rsidR="009B63F1">
        <w:t xml:space="preserve">two-tiered incentive </w:t>
      </w:r>
      <w:r w:rsidRPr="00D208FC">
        <w:t xml:space="preserve">group </w:t>
      </w:r>
      <w:r w:rsidRPr="00D208FC" w:rsidR="009B63F1">
        <w:t xml:space="preserve">were 38 percent more likely to respond to the survey within </w:t>
      </w:r>
      <w:r w:rsidR="006A6773">
        <w:t>four</w:t>
      </w:r>
      <w:r w:rsidRPr="00D208FC" w:rsidR="009B63F1">
        <w:t xml:space="preserve"> weeks than those assigned to receive a standard incentive. As a result sample members in the two-tiered incentive group were </w:t>
      </w:r>
      <w:r w:rsidRPr="00D208FC" w:rsidR="00A6607C">
        <w:t>less likely to be</w:t>
      </w:r>
      <w:r w:rsidRPr="00D208FC" w:rsidR="009B63F1">
        <w:t xml:space="preserve"> subject to more labor intensive and costly data collection efforts </w:t>
      </w:r>
      <w:r w:rsidRPr="00D208FC" w:rsidR="00A6607C">
        <w:t>such as</w:t>
      </w:r>
      <w:r w:rsidRPr="00D208FC" w:rsidR="009B63F1">
        <w:t xml:space="preserve"> contacts from telephone interviewers, extensive in-house locating, or ultimately field locating.</w:t>
      </w:r>
      <w:r w:rsidRPr="00D208FC" w:rsidR="00A6607C">
        <w:t xml:space="preserve"> </w:t>
      </w:r>
      <w:r w:rsidRPr="00D208FC">
        <w:t xml:space="preserve">Results from the YouthBuild incentive experiment indicate that final data collection cost estimates were approximately 17 percent lower with two-tiered incentives than with standard incentives, </w:t>
      </w:r>
      <w:r w:rsidRPr="00D208FC" w:rsidR="00A6607C">
        <w:t>despite the fact that the incentives offered under the two-tiered model were larger than those offered under the standard model. As with the SET incentive experiment, we cannot disentangle which aspect of the two-tiered incentive structure</w:t>
      </w:r>
      <w:r w:rsidRPr="00D208FC" w:rsidR="003E4DAF">
        <w:t xml:space="preserve"> </w:t>
      </w:r>
      <w:r w:rsidRPr="00D208FC" w:rsidR="00A058D4">
        <w:t>(incentive value or incentive structure) is</w:t>
      </w:r>
      <w:r w:rsidRPr="00D208FC" w:rsidR="003E4DAF">
        <w:t xml:space="preserve"> responsible for the reported effects of the incentive. </w:t>
      </w:r>
    </w:p>
    <w:p w:rsidR="004539ED" w:rsidP="00C25872" w:rsidRDefault="002D30EE" w14:paraId="3FF121CC" w14:textId="6BAE8908">
      <w:r>
        <w:t xml:space="preserve">The two-tiered incentive structure for the first </w:t>
      </w:r>
      <w:r w:rsidR="00BC67CD">
        <w:t xml:space="preserve">and second </w:t>
      </w:r>
      <w:r>
        <w:t>follow-up survey</w:t>
      </w:r>
      <w:r w:rsidR="00BC67CD">
        <w:t>s</w:t>
      </w:r>
      <w:r>
        <w:t xml:space="preserve"> was approved and </w:t>
      </w:r>
      <w:r w:rsidR="004F3A1C">
        <w:t xml:space="preserve">implemented </w:t>
      </w:r>
      <w:r w:rsidR="00BC67CD">
        <w:t xml:space="preserve">across all sites </w:t>
      </w:r>
      <w:r w:rsidR="004F3A1C">
        <w:t>for the first and second follow-up surveys</w:t>
      </w:r>
      <w:r w:rsidR="00BC67CD">
        <w:t xml:space="preserve"> </w:t>
      </w:r>
      <w:r w:rsidR="009C6FDE">
        <w:t>until early s</w:t>
      </w:r>
      <w:r w:rsidR="00893F70">
        <w:t>pring 2020</w:t>
      </w:r>
      <w:r w:rsidR="004F3A1C">
        <w:t xml:space="preserve">. </w:t>
      </w:r>
      <w:r w:rsidR="00AF6B14">
        <w:t>In March 2020, OIRA approved our request to change</w:t>
      </w:r>
      <w:r w:rsidR="004F3A1C">
        <w:t xml:space="preserve"> </w:t>
      </w:r>
      <w:r w:rsidR="00A42539">
        <w:t>t</w:t>
      </w:r>
      <w:r w:rsidR="004F3A1C">
        <w:t xml:space="preserve">his structure </w:t>
      </w:r>
      <w:r w:rsidR="0085662E">
        <w:t xml:space="preserve">and amount </w:t>
      </w:r>
      <w:r w:rsidR="004F3A1C">
        <w:t xml:space="preserve">for the </w:t>
      </w:r>
      <w:r w:rsidRPr="00263C9C" w:rsidR="004F3A1C">
        <w:t>FaDSS, LIFT, Jefferson County Colorado Works, and Work Success</w:t>
      </w:r>
      <w:r w:rsidR="004F3A1C">
        <w:t xml:space="preserve"> sites </w:t>
      </w:r>
      <w:r w:rsidR="00BC67CD">
        <w:t xml:space="preserve">due to </w:t>
      </w:r>
      <w:r w:rsidR="004F2A3A">
        <w:t xml:space="preserve">significantly </w:t>
      </w:r>
      <w:r w:rsidR="00BC67CD">
        <w:t>low survey response rates</w:t>
      </w:r>
      <w:r w:rsidR="00962E63">
        <w:t xml:space="preserve"> that </w:t>
      </w:r>
      <w:r w:rsidRPr="00DC2BE4" w:rsidR="00962E63">
        <w:t>risk our analysis result</w:t>
      </w:r>
      <w:r w:rsidR="00962E63">
        <w:t>ing</w:t>
      </w:r>
      <w:r w:rsidRPr="00DC2BE4" w:rsidR="00962E63">
        <w:t xml:space="preserve"> in </w:t>
      </w:r>
      <w:r w:rsidRPr="001C62CC" w:rsidR="00962E63">
        <w:t>biased estimates of program</w:t>
      </w:r>
      <w:r w:rsidR="00962E63">
        <w:t xml:space="preserve"> impacts and underrepresentation of participants in key </w:t>
      </w:r>
      <w:r w:rsidR="00486F29">
        <w:t xml:space="preserve">analytic </w:t>
      </w:r>
      <w:r w:rsidR="00962E63">
        <w:t>groups</w:t>
      </w:r>
      <w:r w:rsidR="00BC67CD">
        <w:t xml:space="preserve">. </w:t>
      </w:r>
      <w:r w:rsidRPr="00FA2F9D" w:rsidR="00BC67CD">
        <w:t xml:space="preserve">We </w:t>
      </w:r>
      <w:r w:rsidR="005242CF">
        <w:t xml:space="preserve">are now </w:t>
      </w:r>
      <w:r w:rsidRPr="00FA2F9D" w:rsidR="00BC67CD">
        <w:t>propos</w:t>
      </w:r>
      <w:r w:rsidR="005242CF">
        <w:t>ing</w:t>
      </w:r>
      <w:r w:rsidR="00BC67CD">
        <w:t xml:space="preserve"> </w:t>
      </w:r>
      <w:r w:rsidR="0045719B">
        <w:t xml:space="preserve">to offer </w:t>
      </w:r>
      <w:r w:rsidR="004F3A1C">
        <w:t xml:space="preserve">sample members </w:t>
      </w:r>
      <w:r w:rsidR="00BC67CD">
        <w:t xml:space="preserve">from </w:t>
      </w:r>
      <w:r w:rsidR="004F64F9">
        <w:t xml:space="preserve">MyGoals sites the same </w:t>
      </w:r>
      <w:r w:rsidR="004F3A1C">
        <w:t>$</w:t>
      </w:r>
      <w:r w:rsidR="0045719B">
        <w:t>5</w:t>
      </w:r>
      <w:r w:rsidR="004F64F9">
        <w:t>0 incentive</w:t>
      </w:r>
      <w:r w:rsidR="004F3A1C">
        <w:t xml:space="preserve"> for completing </w:t>
      </w:r>
      <w:r w:rsidR="004F2A3A">
        <w:t>each fo</w:t>
      </w:r>
      <w:r w:rsidR="00BC67CD">
        <w:t xml:space="preserve">llow-up </w:t>
      </w:r>
      <w:r w:rsidR="004F3A1C">
        <w:t>survey</w:t>
      </w:r>
      <w:r w:rsidR="0045719B">
        <w:t>. The justification for requesting this change is included in</w:t>
      </w:r>
      <w:r w:rsidR="000822AF">
        <w:t xml:space="preserve"> </w:t>
      </w:r>
      <w:r w:rsidRPr="00EF4F5B" w:rsidR="000822AF">
        <w:t>Attachment P. Nonsub change request_Coaching Evaluation_</w:t>
      </w:r>
      <w:r w:rsidR="004220F0">
        <w:t>Oct</w:t>
      </w:r>
      <w:r w:rsidRPr="00EF4F5B" w:rsidR="000822AF">
        <w:t xml:space="preserve"> 2020</w:t>
      </w:r>
      <w:r w:rsidR="0045719B">
        <w:t xml:space="preserve">, </w:t>
      </w:r>
      <w:r w:rsidR="002C699E">
        <w:t>including</w:t>
      </w:r>
      <w:r w:rsidR="0045719B">
        <w:t xml:space="preserve"> details </w:t>
      </w:r>
      <w:r w:rsidR="002C699E">
        <w:t xml:space="preserve">of </w:t>
      </w:r>
      <w:r w:rsidR="0045719B">
        <w:t>the early results of the change to the $50 incentive for the four sites approved in March 2020</w:t>
      </w:r>
      <w:r w:rsidR="00483710">
        <w:t>.</w:t>
      </w:r>
    </w:p>
    <w:p w:rsidR="00416E79" w:rsidP="00C25872" w:rsidRDefault="00416E79" w14:paraId="676C727D" w14:textId="77777777"/>
    <w:p w:rsidRPr="006F445E" w:rsidR="00416E79" w:rsidP="00416E79" w:rsidRDefault="00416E79" w14:paraId="7BDF9F2C" w14:textId="77777777">
      <w:pPr>
        <w:rPr>
          <w:szCs w:val="20"/>
        </w:rPr>
      </w:pPr>
      <w:r w:rsidRPr="006F445E">
        <w:rPr>
          <w:szCs w:val="20"/>
        </w:rPr>
        <w:t xml:space="preserve">Table A.1 below presents findings from the incentive experiments described above. </w:t>
      </w:r>
    </w:p>
    <w:p w:rsidR="00416E79" w:rsidP="00416E79" w:rsidRDefault="00416E79" w14:paraId="4CEA544B" w14:textId="77777777">
      <w:pPr>
        <w:rPr>
          <w:b/>
          <w:szCs w:val="20"/>
        </w:rPr>
      </w:pPr>
    </w:p>
    <w:p w:rsidRPr="00A35B0D" w:rsidR="00416E79" w:rsidP="00416E79" w:rsidRDefault="00416E79" w14:paraId="54B09E15" w14:textId="77777777">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89"/>
        <w:gridCol w:w="1510"/>
        <w:gridCol w:w="1359"/>
        <w:gridCol w:w="4063"/>
      </w:tblGrid>
      <w:tr w:rsidRPr="00BD4CFB" w:rsidR="00416E79" w:rsidTr="002246D9" w14:paraId="17BBB523" w14:textId="77777777">
        <w:tc>
          <w:tcPr>
            <w:tcW w:w="2489" w:type="dxa"/>
            <w:shd w:val="clear" w:color="auto" w:fill="BFBFBF"/>
            <w:vAlign w:val="center"/>
          </w:tcPr>
          <w:p w:rsidRPr="00BD4CFB" w:rsidR="00416E79" w:rsidP="001C6874" w:rsidRDefault="00416E79" w14:paraId="16AD677E" w14:textId="77777777">
            <w:pPr>
              <w:jc w:val="center"/>
              <w:rPr>
                <w:sz w:val="20"/>
                <w:szCs w:val="20"/>
              </w:rPr>
            </w:pPr>
            <w:r>
              <w:rPr>
                <w:sz w:val="20"/>
                <w:szCs w:val="20"/>
              </w:rPr>
              <w:t>Study</w:t>
            </w:r>
          </w:p>
        </w:tc>
        <w:tc>
          <w:tcPr>
            <w:tcW w:w="1510" w:type="dxa"/>
            <w:shd w:val="clear" w:color="auto" w:fill="BFBFBF"/>
            <w:vAlign w:val="center"/>
          </w:tcPr>
          <w:p w:rsidRPr="00BD4CFB" w:rsidR="00416E79" w:rsidP="001C6874" w:rsidRDefault="00416E79" w14:paraId="15681AC7" w14:textId="77777777">
            <w:pPr>
              <w:jc w:val="center"/>
              <w:rPr>
                <w:sz w:val="20"/>
                <w:szCs w:val="20"/>
              </w:rPr>
            </w:pPr>
            <w:r>
              <w:rPr>
                <w:sz w:val="20"/>
                <w:szCs w:val="20"/>
              </w:rPr>
              <w:t>Instrument</w:t>
            </w:r>
          </w:p>
        </w:tc>
        <w:tc>
          <w:tcPr>
            <w:tcW w:w="1359" w:type="dxa"/>
            <w:shd w:val="clear" w:color="auto" w:fill="BFBFBF"/>
            <w:vAlign w:val="center"/>
          </w:tcPr>
          <w:p w:rsidR="00416E79" w:rsidP="001C6874" w:rsidRDefault="00416E79" w14:paraId="55D7FB24" w14:textId="77777777">
            <w:pPr>
              <w:jc w:val="center"/>
              <w:rPr>
                <w:sz w:val="20"/>
                <w:szCs w:val="20"/>
              </w:rPr>
            </w:pPr>
            <w:r>
              <w:rPr>
                <w:sz w:val="20"/>
                <w:szCs w:val="20"/>
              </w:rPr>
              <w:t>Duration</w:t>
            </w:r>
          </w:p>
          <w:p w:rsidRPr="00BD4CFB" w:rsidR="00416E79" w:rsidP="001C6874" w:rsidRDefault="00416E79" w14:paraId="59CA6C6B" w14:textId="77777777">
            <w:pPr>
              <w:jc w:val="center"/>
              <w:rPr>
                <w:sz w:val="20"/>
                <w:szCs w:val="20"/>
              </w:rPr>
            </w:pPr>
            <w:r>
              <w:rPr>
                <w:sz w:val="20"/>
                <w:szCs w:val="20"/>
              </w:rPr>
              <w:t>(minutes)</w:t>
            </w:r>
          </w:p>
        </w:tc>
        <w:tc>
          <w:tcPr>
            <w:tcW w:w="4063" w:type="dxa"/>
            <w:shd w:val="clear" w:color="auto" w:fill="BFBFBF"/>
            <w:vAlign w:val="center"/>
          </w:tcPr>
          <w:p w:rsidR="00416E79" w:rsidP="001C6874" w:rsidRDefault="00416E79" w14:paraId="45AE24A1" w14:textId="77777777">
            <w:pPr>
              <w:jc w:val="center"/>
              <w:rPr>
                <w:sz w:val="20"/>
                <w:szCs w:val="20"/>
              </w:rPr>
            </w:pPr>
            <w:r>
              <w:rPr>
                <w:sz w:val="20"/>
                <w:szCs w:val="20"/>
              </w:rPr>
              <w:t>Response Rate</w:t>
            </w:r>
          </w:p>
          <w:p w:rsidRPr="00BD4CFB" w:rsidR="00416E79" w:rsidP="001C6874" w:rsidRDefault="00416E79" w14:paraId="44C01393" w14:textId="77777777">
            <w:pPr>
              <w:jc w:val="center"/>
              <w:rPr>
                <w:sz w:val="20"/>
                <w:szCs w:val="20"/>
              </w:rPr>
            </w:pPr>
          </w:p>
        </w:tc>
      </w:tr>
      <w:tr w:rsidRPr="00BD4CFB" w:rsidR="00416E79" w:rsidTr="002246D9" w14:paraId="77E50E63" w14:textId="77777777">
        <w:trPr>
          <w:trHeight w:val="432"/>
        </w:trPr>
        <w:tc>
          <w:tcPr>
            <w:tcW w:w="2489" w:type="dxa"/>
            <w:vAlign w:val="center"/>
          </w:tcPr>
          <w:p w:rsidR="0020289B" w:rsidP="001C6874" w:rsidRDefault="00416E79" w14:paraId="6ACF9AA3" w14:textId="30FF3E9C">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rsidR="00416E79" w:rsidP="001C6874" w:rsidRDefault="004539ED" w14:paraId="1720C52D" w14:textId="09BB69E8">
            <w:pPr>
              <w:tabs>
                <w:tab w:val="center" w:pos="4320"/>
                <w:tab w:val="right" w:pos="8640"/>
              </w:tabs>
              <w:rPr>
                <w:sz w:val="20"/>
                <w:szCs w:val="20"/>
              </w:rPr>
            </w:pPr>
            <w:r>
              <w:rPr>
                <w:sz w:val="20"/>
                <w:szCs w:val="20"/>
              </w:rPr>
              <w:t>Incentive experiment sample</w:t>
            </w:r>
          </w:p>
          <w:p w:rsidRPr="00BD4CFB" w:rsidR="00416E79" w:rsidP="001C6874" w:rsidRDefault="00416E79" w14:paraId="5F39116F" w14:textId="77777777">
            <w:pPr>
              <w:tabs>
                <w:tab w:val="center" w:pos="4320"/>
                <w:tab w:val="right" w:pos="8640"/>
              </w:tabs>
              <w:rPr>
                <w:sz w:val="20"/>
                <w:szCs w:val="20"/>
              </w:rPr>
            </w:pPr>
            <w:r>
              <w:rPr>
                <w:sz w:val="20"/>
                <w:szCs w:val="20"/>
              </w:rPr>
              <w:lastRenderedPageBreak/>
              <w:t>OMB control #1205-0505</w:t>
            </w:r>
          </w:p>
        </w:tc>
        <w:tc>
          <w:tcPr>
            <w:tcW w:w="1510" w:type="dxa"/>
            <w:vAlign w:val="center"/>
          </w:tcPr>
          <w:p w:rsidRPr="00403AAB" w:rsidR="00416E79" w:rsidP="001C6874" w:rsidRDefault="00416E79" w14:paraId="2B5EB11B" w14:textId="77777777">
            <w:pPr>
              <w:tabs>
                <w:tab w:val="center" w:pos="4320"/>
                <w:tab w:val="right" w:pos="8640"/>
              </w:tabs>
              <w:jc w:val="center"/>
              <w:rPr>
                <w:sz w:val="20"/>
                <w:szCs w:val="20"/>
              </w:rPr>
            </w:pPr>
            <w:r>
              <w:rPr>
                <w:sz w:val="20"/>
                <w:szCs w:val="20"/>
              </w:rPr>
              <w:lastRenderedPageBreak/>
              <w:t>18 month follow-up</w:t>
            </w:r>
          </w:p>
        </w:tc>
        <w:tc>
          <w:tcPr>
            <w:tcW w:w="1359" w:type="dxa"/>
            <w:vAlign w:val="center"/>
          </w:tcPr>
          <w:p w:rsidRPr="00403AAB" w:rsidR="00416E79" w:rsidP="001C6874" w:rsidRDefault="00416E79" w14:paraId="6ABD3438" w14:textId="77777777">
            <w:pPr>
              <w:tabs>
                <w:tab w:val="center" w:pos="4320"/>
                <w:tab w:val="right" w:pos="8640"/>
              </w:tabs>
              <w:jc w:val="center"/>
              <w:rPr>
                <w:sz w:val="20"/>
                <w:szCs w:val="20"/>
              </w:rPr>
            </w:pPr>
            <w:r>
              <w:rPr>
                <w:sz w:val="20"/>
                <w:szCs w:val="20"/>
              </w:rPr>
              <w:t>20</w:t>
            </w:r>
          </w:p>
        </w:tc>
        <w:tc>
          <w:tcPr>
            <w:tcW w:w="4063" w:type="dxa"/>
            <w:vAlign w:val="center"/>
          </w:tcPr>
          <w:p w:rsidR="00416E79" w:rsidP="002246D9" w:rsidRDefault="00716FA1" w14:paraId="66668EE9" w14:textId="247700B4">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rsidR="00716FA1" w:rsidP="002246D9" w:rsidRDefault="00716FA1" w14:paraId="0462B620" w14:textId="6154D92A">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rsidR="00716FA1" w:rsidP="002246D9" w:rsidRDefault="00716FA1" w14:paraId="3F28704A" w14:textId="77777777">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rsidRPr="002246D9" w:rsidR="00716FA1" w:rsidP="002246D9" w:rsidRDefault="00716FA1" w14:paraId="7F07EC1D" w14:textId="2BA7631B">
            <w:pPr>
              <w:pStyle w:val="ListParagraph"/>
              <w:numPr>
                <w:ilvl w:val="0"/>
                <w:numId w:val="30"/>
              </w:numPr>
              <w:tabs>
                <w:tab w:val="center" w:pos="4320"/>
                <w:tab w:val="right" w:pos="8640"/>
              </w:tabs>
              <w:spacing w:line="240" w:lineRule="auto"/>
              <w:contextualSpacing w:val="0"/>
              <w:rPr>
                <w:sz w:val="20"/>
              </w:rPr>
            </w:pPr>
            <w:r>
              <w:rPr>
                <w:sz w:val="20"/>
              </w:rPr>
              <w:lastRenderedPageBreak/>
              <w:t>67 percent control group</w:t>
            </w:r>
          </w:p>
          <w:p w:rsidR="00416E79" w:rsidP="001C6874" w:rsidRDefault="00416E79" w14:paraId="07857D41" w14:textId="77777777">
            <w:pPr>
              <w:tabs>
                <w:tab w:val="center" w:pos="4320"/>
                <w:tab w:val="right" w:pos="8640"/>
              </w:tabs>
              <w:jc w:val="center"/>
              <w:rPr>
                <w:sz w:val="20"/>
                <w:szCs w:val="20"/>
              </w:rPr>
            </w:pPr>
          </w:p>
          <w:p w:rsidR="00416E79" w:rsidP="002246D9" w:rsidRDefault="00716FA1" w14:paraId="7F7A117F" w14:textId="10319C7C">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rsidRPr="00716FA1" w:rsidR="00716FA1" w:rsidP="00716FA1" w:rsidRDefault="00716FA1" w14:paraId="15218628" w14:textId="598102E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rsidRPr="00716FA1" w:rsidR="00716FA1" w:rsidP="00716FA1" w:rsidRDefault="00716FA1" w14:paraId="42245D4F" w14:textId="698E84F5">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rsidRPr="00716FA1" w:rsidR="00716FA1" w:rsidP="00716FA1" w:rsidRDefault="00716FA1" w14:paraId="081C830F" w14:textId="70A80D6F">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rsidR="00716FA1" w:rsidP="002246D9" w:rsidRDefault="00716FA1" w14:paraId="5A4D01C9" w14:textId="77777777">
            <w:pPr>
              <w:tabs>
                <w:tab w:val="center" w:pos="4320"/>
                <w:tab w:val="right" w:pos="8640"/>
              </w:tabs>
              <w:rPr>
                <w:sz w:val="20"/>
                <w:szCs w:val="20"/>
              </w:rPr>
            </w:pPr>
          </w:p>
          <w:p w:rsidR="00416E79" w:rsidP="002246D9" w:rsidRDefault="00716FA1" w14:paraId="19B68834" w14:textId="08339E87">
            <w:pPr>
              <w:tabs>
                <w:tab w:val="center" w:pos="4320"/>
                <w:tab w:val="right" w:pos="8640"/>
              </w:tabs>
              <w:rPr>
                <w:sz w:val="20"/>
                <w:szCs w:val="20"/>
              </w:rPr>
            </w:pPr>
            <w:r>
              <w:rPr>
                <w:sz w:val="20"/>
                <w:szCs w:val="20"/>
              </w:rPr>
              <w:t>N</w:t>
            </w:r>
            <w:r w:rsidR="00416E79">
              <w:rPr>
                <w:sz w:val="20"/>
                <w:szCs w:val="20"/>
              </w:rPr>
              <w:t>o incentive</w:t>
            </w:r>
            <w:r>
              <w:rPr>
                <w:sz w:val="20"/>
                <w:szCs w:val="20"/>
              </w:rPr>
              <w:t>:</w:t>
            </w:r>
          </w:p>
          <w:p w:rsidRPr="00716FA1" w:rsidR="00716FA1" w:rsidP="00716FA1" w:rsidRDefault="00716FA1" w14:paraId="3DD1365D" w14:textId="4930889E">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rsidRPr="00716FA1" w:rsidR="00716FA1" w:rsidP="00716FA1" w:rsidRDefault="00716FA1" w14:paraId="1E1F5A4A" w14:textId="277A623D">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rsidRPr="00716FA1" w:rsidR="00716FA1" w:rsidP="00716FA1" w:rsidRDefault="00716FA1" w14:paraId="33D78DD1" w14:textId="2A5D8A22">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rsidRPr="00403AAB" w:rsidR="00716FA1" w:rsidP="002246D9" w:rsidRDefault="00716FA1" w14:paraId="1CA16D26" w14:textId="10E41998">
            <w:pPr>
              <w:tabs>
                <w:tab w:val="center" w:pos="4320"/>
                <w:tab w:val="right" w:pos="8640"/>
              </w:tabs>
              <w:rPr>
                <w:sz w:val="20"/>
                <w:szCs w:val="20"/>
              </w:rPr>
            </w:pPr>
          </w:p>
        </w:tc>
      </w:tr>
      <w:tr w:rsidRPr="00A058D4" w:rsidR="00A058D4" w:rsidTr="00631F14" w14:paraId="4B603DC8" w14:textId="77777777">
        <w:trPr>
          <w:cantSplit/>
          <w:trHeight w:val="432"/>
        </w:trPr>
        <w:tc>
          <w:tcPr>
            <w:tcW w:w="2489" w:type="dxa"/>
            <w:vAlign w:val="center"/>
          </w:tcPr>
          <w:p w:rsidR="00A058D4" w:rsidP="00A058D4" w:rsidRDefault="00A058D4" w14:paraId="05680102" w14:textId="0C4265DE">
            <w:pPr>
              <w:tabs>
                <w:tab w:val="center" w:pos="4320"/>
                <w:tab w:val="right" w:pos="8640"/>
              </w:tabs>
              <w:rPr>
                <w:sz w:val="20"/>
                <w:szCs w:val="20"/>
              </w:rPr>
            </w:pPr>
            <w:r>
              <w:rPr>
                <w:sz w:val="20"/>
                <w:szCs w:val="20"/>
              </w:rPr>
              <w:lastRenderedPageBreak/>
              <w:t>YouthBuild</w:t>
            </w:r>
            <w:r w:rsidR="00E20CB2">
              <w:rPr>
                <w:sz w:val="20"/>
                <w:szCs w:val="20"/>
              </w:rPr>
              <w:t>,</w:t>
            </w:r>
          </w:p>
          <w:p w:rsidRPr="00A058D4" w:rsidR="00E20CB2" w:rsidP="00A058D4" w:rsidRDefault="00E20CB2" w14:paraId="2D42F9B0" w14:textId="7D71A7E1">
            <w:pPr>
              <w:tabs>
                <w:tab w:val="center" w:pos="4320"/>
                <w:tab w:val="right" w:pos="8640"/>
              </w:tabs>
              <w:rPr>
                <w:sz w:val="20"/>
                <w:szCs w:val="20"/>
              </w:rPr>
            </w:pPr>
            <w:r>
              <w:rPr>
                <w:sz w:val="20"/>
                <w:szCs w:val="20"/>
              </w:rPr>
              <w:t>Incentive experiment sample</w:t>
            </w:r>
          </w:p>
          <w:p w:rsidRPr="00A058D4" w:rsidR="00A058D4" w:rsidP="00A058D4" w:rsidRDefault="00A058D4" w14:paraId="01FB5557" w14:textId="4DB3478A">
            <w:pPr>
              <w:tabs>
                <w:tab w:val="center" w:pos="4320"/>
                <w:tab w:val="right" w:pos="8640"/>
              </w:tabs>
              <w:rPr>
                <w:sz w:val="20"/>
                <w:szCs w:val="20"/>
              </w:rPr>
            </w:pPr>
            <w:r w:rsidRPr="00A058D4">
              <w:rPr>
                <w:sz w:val="20"/>
                <w:szCs w:val="20"/>
              </w:rPr>
              <w:t>OMB control #1205-0503</w:t>
            </w:r>
          </w:p>
        </w:tc>
        <w:tc>
          <w:tcPr>
            <w:tcW w:w="1510" w:type="dxa"/>
            <w:vAlign w:val="center"/>
          </w:tcPr>
          <w:p w:rsidRPr="00A058D4" w:rsidR="00A058D4" w:rsidP="002246D9" w:rsidRDefault="00A058D4" w14:paraId="22059325" w14:textId="0DCA603A">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rsidRPr="00A058D4" w:rsidR="00A058D4" w:rsidP="002246D9" w:rsidRDefault="00A058D4" w14:paraId="4AEAB02F" w14:textId="77777777">
            <w:pPr>
              <w:tabs>
                <w:tab w:val="center" w:pos="4320"/>
                <w:tab w:val="right" w:pos="8640"/>
              </w:tabs>
              <w:jc w:val="center"/>
              <w:rPr>
                <w:sz w:val="20"/>
                <w:szCs w:val="20"/>
              </w:rPr>
            </w:pPr>
            <w:r w:rsidRPr="00A058D4">
              <w:rPr>
                <w:sz w:val="20"/>
                <w:szCs w:val="20"/>
              </w:rPr>
              <w:t>60</w:t>
            </w:r>
          </w:p>
        </w:tc>
        <w:tc>
          <w:tcPr>
            <w:tcW w:w="4063" w:type="dxa"/>
            <w:vAlign w:val="center"/>
          </w:tcPr>
          <w:p w:rsidRPr="00A058D4" w:rsidR="00A058D4" w:rsidP="00A058D4" w:rsidRDefault="00A058D4" w14:paraId="2875DF54" w14:textId="0A6B7D0C">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rsidRPr="00A058D4" w:rsidR="00A058D4" w:rsidP="00A058D4" w:rsidRDefault="00222427" w14:paraId="4D0574B4" w14:textId="6194BB73">
            <w:pPr>
              <w:numPr>
                <w:ilvl w:val="0"/>
                <w:numId w:val="31"/>
              </w:numPr>
              <w:tabs>
                <w:tab w:val="center" w:pos="4320"/>
                <w:tab w:val="right" w:pos="8640"/>
              </w:tabs>
              <w:rPr>
                <w:sz w:val="20"/>
                <w:szCs w:val="20"/>
              </w:rPr>
            </w:pPr>
            <w:r>
              <w:rPr>
                <w:sz w:val="20"/>
                <w:szCs w:val="20"/>
              </w:rPr>
              <w:t>72</w:t>
            </w:r>
            <w:r w:rsidRPr="00A058D4" w:rsidR="00A058D4">
              <w:rPr>
                <w:sz w:val="20"/>
                <w:szCs w:val="20"/>
              </w:rPr>
              <w:t xml:space="preserve"> percent overall</w:t>
            </w:r>
          </w:p>
          <w:p w:rsidRPr="00A058D4" w:rsidR="00A058D4" w:rsidP="00A058D4" w:rsidRDefault="00A058D4" w14:paraId="655AF967" w14:textId="77777777">
            <w:pPr>
              <w:tabs>
                <w:tab w:val="center" w:pos="4320"/>
                <w:tab w:val="right" w:pos="8640"/>
              </w:tabs>
              <w:rPr>
                <w:sz w:val="20"/>
                <w:szCs w:val="20"/>
              </w:rPr>
            </w:pPr>
          </w:p>
          <w:p w:rsidRPr="00A058D4" w:rsidR="00A058D4" w:rsidP="00A058D4" w:rsidRDefault="00222427" w14:paraId="6E1EC05A" w14:textId="44208B28">
            <w:pPr>
              <w:tabs>
                <w:tab w:val="center" w:pos="4320"/>
                <w:tab w:val="right" w:pos="8640"/>
              </w:tabs>
              <w:rPr>
                <w:sz w:val="20"/>
                <w:szCs w:val="20"/>
              </w:rPr>
            </w:pPr>
            <w:r>
              <w:rPr>
                <w:sz w:val="20"/>
                <w:szCs w:val="20"/>
              </w:rPr>
              <w:t>S</w:t>
            </w:r>
            <w:r w:rsidRPr="00A058D4" w:rsidR="00A058D4">
              <w:rPr>
                <w:sz w:val="20"/>
                <w:szCs w:val="20"/>
              </w:rPr>
              <w:t>tand</w:t>
            </w:r>
            <w:r>
              <w:rPr>
                <w:sz w:val="20"/>
                <w:szCs w:val="20"/>
              </w:rPr>
              <w:t>ard incentive ($2</w:t>
            </w:r>
            <w:r w:rsidRPr="00A058D4" w:rsidR="00A058D4">
              <w:rPr>
                <w:sz w:val="20"/>
                <w:szCs w:val="20"/>
              </w:rPr>
              <w:t>5):</w:t>
            </w:r>
          </w:p>
          <w:p w:rsidRPr="00A058D4" w:rsidR="00A058D4" w:rsidP="00A058D4" w:rsidRDefault="00222427" w14:paraId="2CC63807" w14:textId="00448D47">
            <w:pPr>
              <w:numPr>
                <w:ilvl w:val="0"/>
                <w:numId w:val="31"/>
              </w:numPr>
              <w:tabs>
                <w:tab w:val="center" w:pos="4320"/>
                <w:tab w:val="right" w:pos="8640"/>
              </w:tabs>
              <w:rPr>
                <w:sz w:val="20"/>
                <w:szCs w:val="20"/>
              </w:rPr>
            </w:pPr>
            <w:r>
              <w:rPr>
                <w:sz w:val="20"/>
                <w:szCs w:val="20"/>
              </w:rPr>
              <w:t>68</w:t>
            </w:r>
            <w:r w:rsidRPr="00A058D4" w:rsidR="00A058D4">
              <w:rPr>
                <w:sz w:val="20"/>
                <w:szCs w:val="20"/>
              </w:rPr>
              <w:t xml:space="preserve"> percent</w:t>
            </w:r>
            <w:r>
              <w:rPr>
                <w:sz w:val="20"/>
                <w:szCs w:val="20"/>
              </w:rPr>
              <w:t xml:space="preserve"> overall</w:t>
            </w:r>
          </w:p>
        </w:tc>
      </w:tr>
    </w:tbl>
    <w:p w:rsidR="00416E79" w:rsidP="00C25872" w:rsidRDefault="00222427" w14:paraId="4671192D" w14:textId="113AD18D">
      <w:r w:rsidRPr="00FC356A">
        <w:rPr>
          <w:sz w:val="20"/>
        </w:rPr>
        <w:t xml:space="preserve">Note: </w:t>
      </w:r>
      <w:r>
        <w:rPr>
          <w:sz w:val="20"/>
        </w:rPr>
        <w:t>Response rates separate by research group are not available for the YouthBuild incentive experiment.</w:t>
      </w:r>
      <w:r>
        <w:t xml:space="preserve"> </w:t>
      </w:r>
    </w:p>
    <w:p w:rsidR="001A4F37" w:rsidP="00817671" w:rsidRDefault="001A4F37" w14:paraId="795F511E" w14:textId="77777777">
      <w:pPr>
        <w:pStyle w:val="NormalSS"/>
        <w:ind w:firstLine="0"/>
        <w:rPr>
          <w:b/>
        </w:rPr>
      </w:pPr>
    </w:p>
    <w:p w:rsidRPr="00620963" w:rsidR="00620963" w:rsidP="00620963" w:rsidRDefault="00620963" w14:paraId="3378072E" w14:textId="77777777">
      <w:pPr>
        <w:pStyle w:val="NormalSS"/>
        <w:ind w:firstLine="0"/>
        <w:rPr>
          <w:b/>
        </w:rPr>
      </w:pPr>
      <w:r w:rsidRPr="00620963">
        <w:rPr>
          <w:b/>
        </w:rPr>
        <w:t>Incentive for the in-depth interview:</w:t>
      </w:r>
    </w:p>
    <w:p w:rsidR="005242CF" w:rsidP="00620963" w:rsidRDefault="005242CF" w14:paraId="6DEAA845" w14:textId="1A2DF61F">
      <w:pPr>
        <w:pStyle w:val="NormalSS"/>
        <w:ind w:firstLine="0"/>
        <w:rPr>
          <w:bCs/>
        </w:rPr>
      </w:pPr>
      <w:r>
        <w:rPr>
          <w:bCs/>
        </w:rPr>
        <w:t>In a previous ICR, OIRA approved</w:t>
      </w:r>
      <w:r w:rsidRPr="00620963" w:rsidR="00620963">
        <w:rPr>
          <w:bCs/>
        </w:rPr>
        <w:t xml:space="preserve"> giving respondents who participate in the in-depth interviews, which are estimated to take 2.5 hours on average, a $</w:t>
      </w:r>
      <w:r>
        <w:rPr>
          <w:bCs/>
        </w:rPr>
        <w:t xml:space="preserve">50 </w:t>
      </w:r>
      <w:r w:rsidRPr="00620963" w:rsidR="00620963">
        <w:rPr>
          <w:bCs/>
        </w:rPr>
        <w:t xml:space="preserve">gift card. This incentive </w:t>
      </w:r>
      <w:r>
        <w:rPr>
          <w:bCs/>
        </w:rPr>
        <w:t>wa</w:t>
      </w:r>
      <w:r w:rsidRPr="00620963" w:rsidR="00620963">
        <w:rPr>
          <w:bCs/>
        </w:rPr>
        <w:t xml:space="preserve">s modeled on another ACF study entitled Parents and Children Together (PACT). Respondents (who were low-income couples and fathers) received a $60 gift card for an in-depth interview (OMB </w:t>
      </w:r>
      <w:r w:rsidR="000C2907">
        <w:rPr>
          <w:bCs/>
        </w:rPr>
        <w:t>#</w:t>
      </w:r>
      <w:r w:rsidRPr="00620963" w:rsidR="00620963">
        <w:rPr>
          <w:bCs/>
        </w:rPr>
        <w:t xml:space="preserve">0970-0403). The PACT study observed overall response rates of 88 and 72 percent for their healthy marriage and responsible fatherhood programs, respectively. As with the current study, PACT targeted low-income populations; thus respondents had similar demands on their time and constraints as the target population in this study. Incentives can make it easier for respondents to participate in the in-depth interviews by helping offset costs of transportation, child care, and cell phone data and minute plans. The </w:t>
      </w:r>
      <w:r w:rsidR="00315C50">
        <w:rPr>
          <w:bCs/>
        </w:rPr>
        <w:t xml:space="preserve">first round of </w:t>
      </w:r>
      <w:r w:rsidRPr="00620963" w:rsidR="00620963">
        <w:rPr>
          <w:bCs/>
        </w:rPr>
        <w:t xml:space="preserve">in-depth interviews </w:t>
      </w:r>
      <w:r>
        <w:rPr>
          <w:bCs/>
        </w:rPr>
        <w:t>took</w:t>
      </w:r>
      <w:r w:rsidRPr="00620963" w:rsidR="00620963">
        <w:rPr>
          <w:bCs/>
        </w:rPr>
        <w:t xml:space="preserve"> place in person during scheduled visits to the coaching programs</w:t>
      </w:r>
      <w:r w:rsidR="009F2C60">
        <w:rPr>
          <w:bCs/>
        </w:rPr>
        <w:t xml:space="preserve">. </w:t>
      </w:r>
      <w:r w:rsidRPr="00620963" w:rsidR="009F2C60">
        <w:rPr>
          <w:bCs/>
        </w:rPr>
        <w:t>Because the timing of the in-depth interviews cannot vary, a two-tiered structure was not considered for this incentive</w:t>
      </w:r>
      <w:r w:rsidR="009F2C60">
        <w:rPr>
          <w:bCs/>
        </w:rPr>
        <w:t>.</w:t>
      </w:r>
    </w:p>
    <w:p w:rsidR="00620963" w:rsidP="00620963" w:rsidRDefault="009F2C60" w14:paraId="45270F08" w14:textId="6A7D888E">
      <w:pPr>
        <w:pStyle w:val="NormalSS"/>
        <w:ind w:firstLine="0"/>
        <w:rPr>
          <w:b/>
        </w:rPr>
      </w:pPr>
      <w:r>
        <w:rPr>
          <w:bCs/>
        </w:rPr>
        <w:t xml:space="preserve">This non-substantive change request seeks approval to conduct a </w:t>
      </w:r>
      <w:r w:rsidR="00315C50">
        <w:rPr>
          <w:bCs/>
        </w:rPr>
        <w:t xml:space="preserve">second round </w:t>
      </w:r>
      <w:r>
        <w:rPr>
          <w:bCs/>
        </w:rPr>
        <w:t xml:space="preserve">of in-depth participant interviews, to collect information regarding study participants’ experience with the COVID-19 pandemic. These interviews </w:t>
      </w:r>
      <w:r w:rsidR="00315C50">
        <w:rPr>
          <w:bCs/>
        </w:rPr>
        <w:t>will take place by phone or video, depending on participant preference</w:t>
      </w:r>
      <w:r w:rsidRPr="00620963" w:rsidR="00620963">
        <w:rPr>
          <w:bCs/>
        </w:rPr>
        <w:t>.</w:t>
      </w:r>
      <w:r w:rsidR="00470878">
        <w:rPr>
          <w:bCs/>
        </w:rPr>
        <w:t xml:space="preserve"> </w:t>
      </w:r>
      <w:r w:rsidR="006B6FCC">
        <w:rPr>
          <w:bCs/>
        </w:rPr>
        <w:t xml:space="preserve">As described in Section A.9, </w:t>
      </w:r>
      <w:r w:rsidR="006B6FCC">
        <w:t>we propose to offer participants a $60 gift card to complete these interviews—$10</w:t>
      </w:r>
      <w:r w:rsidRPr="00620963" w:rsidR="006B6FCC">
        <w:t xml:space="preserve"> more</w:t>
      </w:r>
      <w:r w:rsidR="006B6FCC">
        <w:t xml:space="preserve"> than what was offered for the first-round interviews</w:t>
      </w:r>
      <w:r w:rsidRPr="00620963" w:rsidR="006B6FCC">
        <w:t xml:space="preserve">. It will be more difficult to recruit study participants who are </w:t>
      </w:r>
      <w:r w:rsidR="006B6FCC">
        <w:t>still actively engaged in the coaching programs for these interviews, b</w:t>
      </w:r>
      <w:r w:rsidRPr="00620963" w:rsidR="006B6FCC">
        <w:t xml:space="preserve">ecause fewer people are still participating in the programs. </w:t>
      </w:r>
      <w:r w:rsidR="006B6FCC">
        <w:t xml:space="preserve">We believe the increased incentive amount will help </w:t>
      </w:r>
      <w:r w:rsidR="00FE5AF7">
        <w:t xml:space="preserve">us recruit </w:t>
      </w:r>
      <w:r w:rsidR="006B6FCC">
        <w:t>sufficient numbers of people</w:t>
      </w:r>
      <w:r w:rsidRPr="00620963" w:rsidR="006B6FCC">
        <w:t xml:space="preserve"> to be interviewed</w:t>
      </w:r>
      <w:r w:rsidR="006B6FCC">
        <w:t>.</w:t>
      </w:r>
      <w:r w:rsidRPr="00620963" w:rsidR="006B6FCC">
        <w:t xml:space="preserve"> A</w:t>
      </w:r>
      <w:r w:rsidR="00D77BCD">
        <w:t>s noted above, a</w:t>
      </w:r>
      <w:r w:rsidRPr="00620963" w:rsidR="006B6FCC">
        <w:t xml:space="preserve"> $60 incentive was </w:t>
      </w:r>
      <w:r w:rsidR="00D77BCD">
        <w:t xml:space="preserve">approved for the PACT study’s in-depth interviews (OMB #0970-0403); a $60 incentive was also </w:t>
      </w:r>
      <w:r w:rsidRPr="00620963" w:rsidR="006B6FCC">
        <w:t xml:space="preserve">recently approved for in-depth interviews for the Next Generation of Enhanced Employment Strategies Project (OMB </w:t>
      </w:r>
      <w:r w:rsidR="000C2907">
        <w:t>#</w:t>
      </w:r>
      <w:r w:rsidRPr="00620963" w:rsidR="006B6FCC">
        <w:t>0970-</w:t>
      </w:r>
      <w:r w:rsidRPr="00620963" w:rsidR="006B6FCC">
        <w:lastRenderedPageBreak/>
        <w:t>0545).</w:t>
      </w:r>
      <w:r w:rsidR="006B6FCC">
        <w:t xml:space="preserve"> </w:t>
      </w:r>
      <w:r w:rsidR="00FE5AF7">
        <w:t>Additional information regarding t</w:t>
      </w:r>
      <w:r w:rsidRPr="00611507" w:rsidR="006B6FCC">
        <w:rPr>
          <w:szCs w:val="24"/>
        </w:rPr>
        <w:t>he justification for th</w:t>
      </w:r>
      <w:r w:rsidR="006B6FCC">
        <w:rPr>
          <w:szCs w:val="24"/>
        </w:rPr>
        <w:t xml:space="preserve">e change in incentive amount </w:t>
      </w:r>
      <w:r w:rsidRPr="00611507" w:rsidR="006B6FCC">
        <w:rPr>
          <w:szCs w:val="24"/>
        </w:rPr>
        <w:t xml:space="preserve">is included in </w:t>
      </w:r>
      <w:r w:rsidRPr="00EF4F5B" w:rsidR="000822AF">
        <w:t>Attachment P. Nonsub change request_Coaching Evalu</w:t>
      </w:r>
      <w:r w:rsidR="008943DF">
        <w:t>ation_Oct</w:t>
      </w:r>
      <w:r w:rsidRPr="00EF4F5B" w:rsidR="000822AF">
        <w:t xml:space="preserve"> 2020</w:t>
      </w:r>
      <w:r w:rsidRPr="00611507" w:rsidR="006B6FCC">
        <w:rPr>
          <w:szCs w:val="24"/>
        </w:rPr>
        <w:t>.</w:t>
      </w:r>
    </w:p>
    <w:p w:rsidRPr="002246D9" w:rsidR="004539ED" w:rsidP="00FC356A" w:rsidRDefault="004539ED" w14:paraId="5D527A5E" w14:textId="0876805C">
      <w:pPr>
        <w:pStyle w:val="NormalSS"/>
        <w:ind w:firstLine="0"/>
        <w:rPr>
          <w:b/>
        </w:rPr>
      </w:pPr>
      <w:r w:rsidRPr="002246D9">
        <w:rPr>
          <w:b/>
        </w:rPr>
        <w:t>Response rates for similar studies:</w:t>
      </w:r>
    </w:p>
    <w:p w:rsidR="007013B7" w:rsidP="00FC356A" w:rsidRDefault="00524987" w14:paraId="139A6575" w14:textId="28EED281">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Pr="00232A53" w:rsidR="00E20CB2">
        <w:t>Table A</w:t>
      </w:r>
      <w:r w:rsidR="008F4681">
        <w:t>.</w:t>
      </w:r>
      <w:r w:rsidRPr="00232A53" w:rsidR="00E20CB2">
        <w:t>1</w:t>
      </w:r>
      <w:r w:rsidR="008F4681">
        <w:t>, discussed above,</w:t>
      </w:r>
      <w:r w:rsidRPr="00232A53" w:rsidR="00E20CB2">
        <w:t xml:space="preserve"> </w:t>
      </w:r>
      <w:r w:rsidR="008F4681">
        <w:t>relates to</w:t>
      </w:r>
      <w:r w:rsidRPr="00232A53" w:rsidR="00E20CB2">
        <w:t xml:space="preserve"> results from the incentive experiment, conducted on early cohorts of sample released for data collection. Based on results of the</w:t>
      </w:r>
      <w:r w:rsidR="008F4681">
        <w:t>se</w:t>
      </w:r>
      <w:r w:rsidRPr="00232A53" w:rsidR="00E20CB2">
        <w:t xml:space="preserve"> experiment</w:t>
      </w:r>
      <w:r w:rsidR="008F4681">
        <w:t>s</w:t>
      </w:r>
      <w:r w:rsidRPr="00232A53" w:rsidR="00E20CB2">
        <w:t xml:space="preserve">, the </w:t>
      </w:r>
      <w:r w:rsidR="008F4681">
        <w:t>SET and YouthBuild studies both</w:t>
      </w:r>
      <w:r w:rsidRPr="00232A53" w:rsidR="00E20CB2">
        <w:t xml:space="preserve"> implemented </w:t>
      </w:r>
      <w:r w:rsidR="008F4681">
        <w:t xml:space="preserve">two-tiered incentives study </w:t>
      </w:r>
      <w:r w:rsidRPr="00232A53" w:rsidR="00E20CB2">
        <w:t>wide. Table A</w:t>
      </w:r>
      <w:r w:rsidR="008F4681">
        <w:t>.</w:t>
      </w:r>
      <w:r w:rsidRPr="00232A53" w:rsidR="00E20CB2">
        <w:t>2 presents results for the full data collection, before and after the conclusion of the incentive experiment</w:t>
      </w:r>
      <w:r w:rsidR="008F4681">
        <w:t>s</w:t>
      </w:r>
      <w:r w:rsidR="00E20CB2">
        <w:t>.</w:t>
      </w:r>
      <w:r w:rsidR="00D208FC">
        <w:t xml:space="preserve"> </w:t>
      </w:r>
    </w:p>
    <w:p w:rsidRPr="00A35B0D" w:rsidR="001240FF" w:rsidP="00A1065D" w:rsidRDefault="001240FF" w14:paraId="6EADB3A6" w14:textId="5858E592">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12"/>
        <w:gridCol w:w="1640"/>
        <w:gridCol w:w="1061"/>
        <w:gridCol w:w="2122"/>
        <w:gridCol w:w="2315"/>
      </w:tblGrid>
      <w:tr w:rsidRPr="00BD4CFB" w:rsidR="001240FF" w:rsidTr="00A1065D" w14:paraId="7DBC2CB4" w14:textId="77777777">
        <w:trPr>
          <w:jc w:val="center"/>
        </w:trPr>
        <w:tc>
          <w:tcPr>
            <w:tcW w:w="2212" w:type="dxa"/>
            <w:shd w:val="clear" w:color="auto" w:fill="BFBFBF"/>
            <w:vAlign w:val="center"/>
          </w:tcPr>
          <w:p w:rsidRPr="00BD4CFB" w:rsidR="001240FF" w:rsidP="0037259F" w:rsidRDefault="001240FF" w14:paraId="18D1D7A0" w14:textId="779BE040">
            <w:pPr>
              <w:jc w:val="center"/>
              <w:rPr>
                <w:sz w:val="20"/>
                <w:szCs w:val="20"/>
              </w:rPr>
            </w:pPr>
            <w:r>
              <w:rPr>
                <w:sz w:val="20"/>
                <w:szCs w:val="20"/>
              </w:rPr>
              <w:t>Study</w:t>
            </w:r>
          </w:p>
        </w:tc>
        <w:tc>
          <w:tcPr>
            <w:tcW w:w="1640" w:type="dxa"/>
            <w:shd w:val="clear" w:color="auto" w:fill="BFBFBF"/>
            <w:vAlign w:val="center"/>
          </w:tcPr>
          <w:p w:rsidRPr="00BD4CFB" w:rsidR="001240FF" w:rsidP="0037259F" w:rsidRDefault="001240FF" w14:paraId="4549D364" w14:textId="4DAD6CAA">
            <w:pPr>
              <w:jc w:val="center"/>
              <w:rPr>
                <w:sz w:val="20"/>
                <w:szCs w:val="20"/>
              </w:rPr>
            </w:pPr>
            <w:r>
              <w:rPr>
                <w:sz w:val="20"/>
                <w:szCs w:val="20"/>
              </w:rPr>
              <w:t>Instrument</w:t>
            </w:r>
          </w:p>
        </w:tc>
        <w:tc>
          <w:tcPr>
            <w:tcW w:w="1061" w:type="dxa"/>
            <w:shd w:val="clear" w:color="auto" w:fill="BFBFBF"/>
            <w:vAlign w:val="center"/>
          </w:tcPr>
          <w:p w:rsidR="001240FF" w:rsidP="0037259F" w:rsidRDefault="001240FF" w14:paraId="58BBC3C7" w14:textId="77777777">
            <w:pPr>
              <w:jc w:val="center"/>
              <w:rPr>
                <w:sz w:val="20"/>
                <w:szCs w:val="20"/>
              </w:rPr>
            </w:pPr>
            <w:r>
              <w:rPr>
                <w:sz w:val="20"/>
                <w:szCs w:val="20"/>
              </w:rPr>
              <w:t>Duration</w:t>
            </w:r>
          </w:p>
          <w:p w:rsidRPr="00BD4CFB" w:rsidR="00AC4BC5" w:rsidP="0037259F" w:rsidRDefault="00AC4BC5" w14:paraId="3C3F7AFF" w14:textId="36529557">
            <w:pPr>
              <w:jc w:val="center"/>
              <w:rPr>
                <w:sz w:val="20"/>
                <w:szCs w:val="20"/>
              </w:rPr>
            </w:pPr>
            <w:r>
              <w:rPr>
                <w:sz w:val="20"/>
                <w:szCs w:val="20"/>
              </w:rPr>
              <w:t>(minutes)</w:t>
            </w:r>
          </w:p>
        </w:tc>
        <w:tc>
          <w:tcPr>
            <w:tcW w:w="2122" w:type="dxa"/>
            <w:shd w:val="clear" w:color="auto" w:fill="BFBFBF"/>
            <w:vAlign w:val="center"/>
          </w:tcPr>
          <w:p w:rsidRPr="00BD4CFB" w:rsidR="001240FF" w:rsidP="0037259F" w:rsidRDefault="001240FF" w14:paraId="6A5E500B" w14:textId="21E0BF0A">
            <w:pPr>
              <w:jc w:val="center"/>
              <w:rPr>
                <w:sz w:val="20"/>
                <w:szCs w:val="20"/>
              </w:rPr>
            </w:pPr>
            <w:r>
              <w:rPr>
                <w:sz w:val="20"/>
                <w:szCs w:val="20"/>
              </w:rPr>
              <w:t>Incentive Amount</w:t>
            </w:r>
          </w:p>
        </w:tc>
        <w:tc>
          <w:tcPr>
            <w:tcW w:w="2315" w:type="dxa"/>
            <w:shd w:val="clear" w:color="auto" w:fill="BFBFBF"/>
            <w:vAlign w:val="center"/>
          </w:tcPr>
          <w:p w:rsidR="001240FF" w:rsidP="001240FF" w:rsidRDefault="001240FF" w14:paraId="10EB2B27" w14:textId="77777777">
            <w:pPr>
              <w:jc w:val="center"/>
              <w:rPr>
                <w:sz w:val="20"/>
                <w:szCs w:val="20"/>
              </w:rPr>
            </w:pPr>
            <w:r>
              <w:rPr>
                <w:sz w:val="20"/>
                <w:szCs w:val="20"/>
              </w:rPr>
              <w:t>Response Rate</w:t>
            </w:r>
          </w:p>
          <w:p w:rsidRPr="00BD4CFB" w:rsidR="00AC4BC5" w:rsidP="001240FF" w:rsidRDefault="00AC4BC5" w14:paraId="3F3193CF" w14:textId="1B574590">
            <w:pPr>
              <w:jc w:val="center"/>
              <w:rPr>
                <w:sz w:val="20"/>
                <w:szCs w:val="20"/>
              </w:rPr>
            </w:pPr>
          </w:p>
        </w:tc>
      </w:tr>
      <w:tr w:rsidRPr="00BD4CFB" w:rsidR="001240FF" w:rsidTr="00A1065D" w14:paraId="27A96129" w14:textId="77777777">
        <w:trPr>
          <w:trHeight w:val="432"/>
          <w:jc w:val="center"/>
        </w:trPr>
        <w:tc>
          <w:tcPr>
            <w:tcW w:w="2212" w:type="dxa"/>
            <w:vAlign w:val="center"/>
          </w:tcPr>
          <w:p w:rsidR="001240FF" w:rsidP="0037259F" w:rsidRDefault="001240FF" w14:paraId="2D514B6A" w14:textId="62797DC5">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rsidRPr="00BD4CFB" w:rsidR="001240FF" w:rsidP="0037259F" w:rsidRDefault="0033698C" w14:paraId="2D9755C1" w14:textId="3828615E">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rsidRPr="00403AAB" w:rsidR="001240FF" w:rsidP="0037259F" w:rsidRDefault="00AC4BC5" w14:paraId="21C19ABE" w14:textId="35243B87">
            <w:pPr>
              <w:tabs>
                <w:tab w:val="center" w:pos="4320"/>
                <w:tab w:val="right" w:pos="8640"/>
              </w:tabs>
              <w:jc w:val="center"/>
              <w:rPr>
                <w:sz w:val="20"/>
                <w:szCs w:val="20"/>
              </w:rPr>
            </w:pPr>
            <w:r>
              <w:rPr>
                <w:sz w:val="20"/>
                <w:szCs w:val="20"/>
              </w:rPr>
              <w:t>18 month follow-up</w:t>
            </w:r>
          </w:p>
        </w:tc>
        <w:tc>
          <w:tcPr>
            <w:tcW w:w="1061" w:type="dxa"/>
            <w:vAlign w:val="center"/>
          </w:tcPr>
          <w:p w:rsidRPr="00403AAB" w:rsidR="001240FF" w:rsidP="0037259F" w:rsidRDefault="00AC4BC5" w14:paraId="1B5A2565" w14:textId="11C9DC1A">
            <w:pPr>
              <w:tabs>
                <w:tab w:val="center" w:pos="4320"/>
                <w:tab w:val="right" w:pos="8640"/>
              </w:tabs>
              <w:jc w:val="center"/>
              <w:rPr>
                <w:sz w:val="20"/>
                <w:szCs w:val="20"/>
              </w:rPr>
            </w:pPr>
            <w:r>
              <w:rPr>
                <w:sz w:val="20"/>
                <w:szCs w:val="20"/>
              </w:rPr>
              <w:t>20</w:t>
            </w:r>
          </w:p>
        </w:tc>
        <w:tc>
          <w:tcPr>
            <w:tcW w:w="2122" w:type="dxa"/>
            <w:vAlign w:val="center"/>
          </w:tcPr>
          <w:p w:rsidRPr="00AC4BC5" w:rsidR="00AC4BC5" w:rsidP="00AC4BC5" w:rsidRDefault="00AC4BC5" w14:paraId="3B29892B" w14:textId="3653CB1C">
            <w:pPr>
              <w:tabs>
                <w:tab w:val="center" w:pos="4320"/>
                <w:tab w:val="right" w:pos="8640"/>
              </w:tabs>
              <w:jc w:val="center"/>
              <w:rPr>
                <w:sz w:val="20"/>
                <w:szCs w:val="20"/>
              </w:rPr>
            </w:pPr>
            <w:r>
              <w:rPr>
                <w:sz w:val="20"/>
                <w:szCs w:val="20"/>
              </w:rPr>
              <w:t>$5</w:t>
            </w:r>
            <w:r w:rsidRPr="00AC4BC5">
              <w:rPr>
                <w:sz w:val="20"/>
                <w:szCs w:val="20"/>
              </w:rPr>
              <w:t>0 first four weeks</w:t>
            </w:r>
          </w:p>
          <w:p w:rsidRPr="00403AAB" w:rsidR="001240FF" w:rsidP="00AC4BC5" w:rsidRDefault="00AC4BC5" w14:paraId="6C595A45" w14:textId="43800C6A">
            <w:pPr>
              <w:tabs>
                <w:tab w:val="center" w:pos="4320"/>
                <w:tab w:val="right" w:pos="8640"/>
              </w:tabs>
              <w:jc w:val="center"/>
              <w:rPr>
                <w:sz w:val="20"/>
                <w:szCs w:val="20"/>
              </w:rPr>
            </w:pPr>
            <w:r w:rsidRPr="00AC4BC5">
              <w:rPr>
                <w:sz w:val="20"/>
                <w:szCs w:val="20"/>
              </w:rPr>
              <w:t>$25 after four weeks</w:t>
            </w:r>
          </w:p>
        </w:tc>
        <w:tc>
          <w:tcPr>
            <w:tcW w:w="2315" w:type="dxa"/>
            <w:vAlign w:val="center"/>
          </w:tcPr>
          <w:p w:rsidR="001240FF" w:rsidP="0037259F" w:rsidRDefault="00AC4BC5" w14:paraId="643DC3FC" w14:textId="563A8E71">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rsidR="00AC4BC5" w:rsidP="0037259F" w:rsidRDefault="00AC4BC5" w14:paraId="4ED696DF" w14:textId="1F775860">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rsidRPr="00403AAB" w:rsidR="007013B7" w:rsidP="00FF484C" w:rsidRDefault="00AC4BC5" w14:paraId="3AE90D51" w14:textId="40860DC0">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Pr="00BD4CFB" w:rsidR="008F4681" w:rsidTr="002246D9" w14:paraId="5B80557E" w14:textId="77777777">
        <w:trPr>
          <w:trHeight w:val="432"/>
          <w:jc w:val="center"/>
        </w:trPr>
        <w:tc>
          <w:tcPr>
            <w:tcW w:w="2212" w:type="dxa"/>
            <w:vAlign w:val="center"/>
          </w:tcPr>
          <w:p w:rsidR="008F4681" w:rsidP="002246D9" w:rsidRDefault="008F4681" w14:paraId="3AFBEAC1" w14:textId="77777777">
            <w:pPr>
              <w:tabs>
                <w:tab w:val="center" w:pos="4320"/>
                <w:tab w:val="right" w:pos="8640"/>
              </w:tabs>
              <w:rPr>
                <w:sz w:val="20"/>
                <w:szCs w:val="20"/>
              </w:rPr>
            </w:pPr>
            <w:r>
              <w:rPr>
                <w:sz w:val="20"/>
                <w:szCs w:val="20"/>
              </w:rPr>
              <w:t>YouthBuild</w:t>
            </w:r>
          </w:p>
          <w:p w:rsidR="008F4681" w:rsidP="002246D9" w:rsidRDefault="008F4681" w14:paraId="6D69BAFD" w14:textId="77777777">
            <w:pPr>
              <w:tabs>
                <w:tab w:val="center" w:pos="4320"/>
                <w:tab w:val="right" w:pos="8640"/>
              </w:tabs>
              <w:rPr>
                <w:sz w:val="20"/>
                <w:szCs w:val="20"/>
              </w:rPr>
            </w:pPr>
            <w:r>
              <w:rPr>
                <w:sz w:val="20"/>
                <w:szCs w:val="20"/>
              </w:rPr>
              <w:t>Full sample</w:t>
            </w:r>
          </w:p>
          <w:p w:rsidRPr="00BD4CFB" w:rsidR="008F4681" w:rsidP="002246D9" w:rsidRDefault="008F4681" w14:paraId="0C3763B0" w14:textId="77777777">
            <w:pPr>
              <w:tabs>
                <w:tab w:val="center" w:pos="4320"/>
                <w:tab w:val="right" w:pos="8640"/>
              </w:tabs>
              <w:rPr>
                <w:sz w:val="20"/>
                <w:szCs w:val="20"/>
              </w:rPr>
            </w:pPr>
            <w:r>
              <w:rPr>
                <w:sz w:val="20"/>
                <w:szCs w:val="20"/>
              </w:rPr>
              <w:t>OMB control #1205-0503</w:t>
            </w:r>
          </w:p>
        </w:tc>
        <w:tc>
          <w:tcPr>
            <w:tcW w:w="1640" w:type="dxa"/>
            <w:vAlign w:val="center"/>
          </w:tcPr>
          <w:p w:rsidRPr="00403AAB" w:rsidR="008F4681" w:rsidP="002246D9" w:rsidRDefault="008F4681" w14:paraId="43F82071" w14:textId="77777777">
            <w:pPr>
              <w:tabs>
                <w:tab w:val="center" w:pos="4320"/>
                <w:tab w:val="right" w:pos="8640"/>
              </w:tabs>
              <w:jc w:val="center"/>
              <w:rPr>
                <w:sz w:val="20"/>
                <w:szCs w:val="20"/>
              </w:rPr>
            </w:pPr>
            <w:r>
              <w:rPr>
                <w:sz w:val="20"/>
                <w:szCs w:val="20"/>
              </w:rPr>
              <w:t>12 month follow-up</w:t>
            </w:r>
          </w:p>
        </w:tc>
        <w:tc>
          <w:tcPr>
            <w:tcW w:w="1061" w:type="dxa"/>
            <w:vAlign w:val="center"/>
          </w:tcPr>
          <w:p w:rsidRPr="00403AAB" w:rsidR="008F4681" w:rsidP="002246D9" w:rsidRDefault="008F4681" w14:paraId="21017029" w14:textId="77777777">
            <w:pPr>
              <w:tabs>
                <w:tab w:val="center" w:pos="4320"/>
                <w:tab w:val="right" w:pos="8640"/>
              </w:tabs>
              <w:jc w:val="center"/>
              <w:rPr>
                <w:sz w:val="20"/>
                <w:szCs w:val="20"/>
              </w:rPr>
            </w:pPr>
            <w:r>
              <w:rPr>
                <w:sz w:val="20"/>
                <w:szCs w:val="20"/>
              </w:rPr>
              <w:t>60</w:t>
            </w:r>
          </w:p>
        </w:tc>
        <w:tc>
          <w:tcPr>
            <w:tcW w:w="2122" w:type="dxa"/>
            <w:vAlign w:val="center"/>
          </w:tcPr>
          <w:p w:rsidR="008F4681" w:rsidP="002246D9" w:rsidRDefault="008F4681" w14:paraId="4F3897F4" w14:textId="77777777">
            <w:pPr>
              <w:tabs>
                <w:tab w:val="center" w:pos="4320"/>
                <w:tab w:val="right" w:pos="8640"/>
              </w:tabs>
              <w:jc w:val="center"/>
              <w:rPr>
                <w:sz w:val="20"/>
                <w:szCs w:val="20"/>
              </w:rPr>
            </w:pPr>
            <w:r>
              <w:rPr>
                <w:sz w:val="20"/>
                <w:szCs w:val="20"/>
              </w:rPr>
              <w:t>$40 first four weeks</w:t>
            </w:r>
          </w:p>
          <w:p w:rsidRPr="00403AAB" w:rsidR="008F4681" w:rsidP="002246D9" w:rsidRDefault="008F4681" w14:paraId="492A5B49" w14:textId="77777777">
            <w:pPr>
              <w:tabs>
                <w:tab w:val="center" w:pos="4320"/>
                <w:tab w:val="right" w:pos="8640"/>
              </w:tabs>
              <w:jc w:val="center"/>
              <w:rPr>
                <w:sz w:val="20"/>
                <w:szCs w:val="20"/>
              </w:rPr>
            </w:pPr>
            <w:r>
              <w:rPr>
                <w:sz w:val="20"/>
                <w:szCs w:val="20"/>
              </w:rPr>
              <w:t>$25 after four weeks</w:t>
            </w:r>
          </w:p>
        </w:tc>
        <w:tc>
          <w:tcPr>
            <w:tcW w:w="2315" w:type="dxa"/>
            <w:vAlign w:val="center"/>
          </w:tcPr>
          <w:p w:rsidR="008F4681" w:rsidP="002246D9" w:rsidRDefault="008F4681" w14:paraId="78FCCBB8" w14:textId="77777777">
            <w:pPr>
              <w:tabs>
                <w:tab w:val="center" w:pos="4320"/>
                <w:tab w:val="right" w:pos="8640"/>
              </w:tabs>
              <w:jc w:val="center"/>
              <w:rPr>
                <w:sz w:val="20"/>
                <w:szCs w:val="20"/>
              </w:rPr>
            </w:pPr>
            <w:r>
              <w:rPr>
                <w:sz w:val="20"/>
                <w:szCs w:val="20"/>
              </w:rPr>
              <w:t>81 percent overall</w:t>
            </w:r>
          </w:p>
          <w:p w:rsidR="008F4681" w:rsidP="002246D9" w:rsidRDefault="008F4681" w14:paraId="152047A2" w14:textId="77777777">
            <w:pPr>
              <w:tabs>
                <w:tab w:val="center" w:pos="4320"/>
                <w:tab w:val="right" w:pos="8640"/>
              </w:tabs>
              <w:jc w:val="center"/>
              <w:rPr>
                <w:sz w:val="20"/>
                <w:szCs w:val="20"/>
              </w:rPr>
            </w:pPr>
            <w:r>
              <w:rPr>
                <w:sz w:val="20"/>
                <w:szCs w:val="20"/>
              </w:rPr>
              <w:t>82 percent treatment</w:t>
            </w:r>
          </w:p>
          <w:p w:rsidRPr="00403AAB" w:rsidR="008F4681" w:rsidP="002246D9" w:rsidRDefault="008F4681" w14:paraId="1268DA03" w14:textId="77777777">
            <w:pPr>
              <w:tabs>
                <w:tab w:val="center" w:pos="4320"/>
                <w:tab w:val="right" w:pos="8640"/>
              </w:tabs>
              <w:jc w:val="center"/>
              <w:rPr>
                <w:sz w:val="20"/>
                <w:szCs w:val="20"/>
              </w:rPr>
            </w:pPr>
            <w:r>
              <w:rPr>
                <w:sz w:val="20"/>
                <w:szCs w:val="20"/>
              </w:rPr>
              <w:t>79 percent control</w:t>
            </w:r>
          </w:p>
        </w:tc>
      </w:tr>
      <w:tr w:rsidRPr="00BD4CFB" w:rsidR="000B0F75" w:rsidTr="002246D9" w14:paraId="2B2883F9" w14:textId="77777777">
        <w:trPr>
          <w:trHeight w:val="432"/>
          <w:jc w:val="center"/>
        </w:trPr>
        <w:tc>
          <w:tcPr>
            <w:tcW w:w="2212" w:type="dxa"/>
            <w:vAlign w:val="center"/>
          </w:tcPr>
          <w:p w:rsidR="000B0F75" w:rsidP="000B0F75" w:rsidRDefault="000B0F75" w14:paraId="01B3AB73" w14:textId="77777777">
            <w:pPr>
              <w:tabs>
                <w:tab w:val="center" w:pos="4320"/>
                <w:tab w:val="right" w:pos="8640"/>
              </w:tabs>
              <w:rPr>
                <w:sz w:val="20"/>
                <w:szCs w:val="20"/>
              </w:rPr>
            </w:pPr>
            <w:r>
              <w:rPr>
                <w:sz w:val="20"/>
                <w:szCs w:val="20"/>
              </w:rPr>
              <w:t>Parents and Children Together</w:t>
            </w:r>
          </w:p>
          <w:p w:rsidR="000B0F75" w:rsidP="000B0F75" w:rsidRDefault="000B0F75" w14:paraId="2114232D" w14:textId="64C518E4">
            <w:pPr>
              <w:tabs>
                <w:tab w:val="center" w:pos="4320"/>
                <w:tab w:val="right" w:pos="8640"/>
              </w:tabs>
              <w:rPr>
                <w:sz w:val="20"/>
                <w:szCs w:val="20"/>
              </w:rPr>
            </w:pPr>
            <w:r>
              <w:rPr>
                <w:sz w:val="20"/>
                <w:szCs w:val="20"/>
              </w:rPr>
              <w:t>OMB control #0970-0403</w:t>
            </w:r>
          </w:p>
        </w:tc>
        <w:tc>
          <w:tcPr>
            <w:tcW w:w="1640" w:type="dxa"/>
            <w:vAlign w:val="center"/>
          </w:tcPr>
          <w:p w:rsidR="000B0F75" w:rsidP="000B0F75" w:rsidRDefault="000B0F75" w14:paraId="1C962A40" w14:textId="7858D2EC">
            <w:pPr>
              <w:tabs>
                <w:tab w:val="center" w:pos="4320"/>
                <w:tab w:val="right" w:pos="8640"/>
              </w:tabs>
              <w:jc w:val="center"/>
              <w:rPr>
                <w:sz w:val="20"/>
                <w:szCs w:val="20"/>
              </w:rPr>
            </w:pPr>
            <w:r>
              <w:rPr>
                <w:sz w:val="20"/>
                <w:szCs w:val="20"/>
              </w:rPr>
              <w:t>In-depth interview of treatment group members</w:t>
            </w:r>
          </w:p>
        </w:tc>
        <w:tc>
          <w:tcPr>
            <w:tcW w:w="1061" w:type="dxa"/>
            <w:vAlign w:val="center"/>
          </w:tcPr>
          <w:p w:rsidR="000B0F75" w:rsidP="000B0F75" w:rsidRDefault="000B0F75" w14:paraId="47DF95DE" w14:textId="02A08E64">
            <w:pPr>
              <w:tabs>
                <w:tab w:val="center" w:pos="4320"/>
                <w:tab w:val="right" w:pos="8640"/>
              </w:tabs>
              <w:jc w:val="center"/>
              <w:rPr>
                <w:sz w:val="20"/>
                <w:szCs w:val="20"/>
              </w:rPr>
            </w:pPr>
            <w:r>
              <w:rPr>
                <w:sz w:val="20"/>
                <w:szCs w:val="20"/>
              </w:rPr>
              <w:t>120</w:t>
            </w:r>
          </w:p>
        </w:tc>
        <w:tc>
          <w:tcPr>
            <w:tcW w:w="2122" w:type="dxa"/>
            <w:vAlign w:val="center"/>
          </w:tcPr>
          <w:p w:rsidR="000B0F75" w:rsidP="000B0F75" w:rsidRDefault="000B0F75" w14:paraId="67853D76" w14:textId="6483401B">
            <w:pPr>
              <w:tabs>
                <w:tab w:val="center" w:pos="4320"/>
                <w:tab w:val="right" w:pos="8640"/>
              </w:tabs>
              <w:jc w:val="center"/>
              <w:rPr>
                <w:sz w:val="20"/>
                <w:szCs w:val="20"/>
              </w:rPr>
            </w:pPr>
            <w:r>
              <w:rPr>
                <w:sz w:val="20"/>
                <w:szCs w:val="20"/>
              </w:rPr>
              <w:t>$60</w:t>
            </w:r>
          </w:p>
        </w:tc>
        <w:tc>
          <w:tcPr>
            <w:tcW w:w="2315" w:type="dxa"/>
            <w:vAlign w:val="center"/>
          </w:tcPr>
          <w:p w:rsidR="000B0F75" w:rsidP="000B0F75" w:rsidRDefault="000B0F75" w14:paraId="1A3F4B57" w14:textId="77777777">
            <w:pPr>
              <w:tabs>
                <w:tab w:val="center" w:pos="4320"/>
                <w:tab w:val="right" w:pos="8640"/>
              </w:tabs>
              <w:jc w:val="center"/>
              <w:rPr>
                <w:sz w:val="20"/>
                <w:szCs w:val="20"/>
              </w:rPr>
            </w:pPr>
            <w:r>
              <w:rPr>
                <w:sz w:val="20"/>
                <w:szCs w:val="20"/>
              </w:rPr>
              <w:t>88 percent healthy marriage overall</w:t>
            </w:r>
          </w:p>
          <w:p w:rsidR="000B0F75" w:rsidP="000B0F75" w:rsidRDefault="000B0F75" w14:paraId="7D93D392" w14:textId="093A18EF">
            <w:pPr>
              <w:tabs>
                <w:tab w:val="center" w:pos="4320"/>
                <w:tab w:val="right" w:pos="8640"/>
              </w:tabs>
              <w:jc w:val="center"/>
              <w:rPr>
                <w:sz w:val="20"/>
                <w:szCs w:val="20"/>
              </w:rPr>
            </w:pPr>
            <w:r>
              <w:rPr>
                <w:sz w:val="20"/>
                <w:szCs w:val="20"/>
              </w:rPr>
              <w:t>72 percent responsible fatherhood overall</w:t>
            </w:r>
          </w:p>
        </w:tc>
      </w:tr>
    </w:tbl>
    <w:p w:rsidRPr="00FC356A" w:rsidR="001240FF" w:rsidP="004453F8" w:rsidRDefault="00FC356A" w14:paraId="634C426F" w14:textId="3FFE8A35">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Pr="00D208FC" w:rsidR="004539ED">
        <w:rPr>
          <w:sz w:val="20"/>
        </w:rPr>
        <w:t xml:space="preserve"> </w:t>
      </w:r>
      <w:r w:rsidRPr="00AA6244" w:rsidR="004539ED">
        <w:rPr>
          <w:sz w:val="20"/>
        </w:rPr>
        <w:t xml:space="preserve">The SET </w:t>
      </w:r>
      <w:r w:rsidRPr="00AA6244" w:rsidR="00056B62">
        <w:rPr>
          <w:sz w:val="20"/>
        </w:rPr>
        <w:t>and Youth</w:t>
      </w:r>
      <w:r w:rsidR="00483993">
        <w:rPr>
          <w:sz w:val="20"/>
        </w:rPr>
        <w:t>B</w:t>
      </w:r>
      <w:r w:rsidRPr="00AA6244" w:rsidR="00056B62">
        <w:rPr>
          <w:sz w:val="20"/>
        </w:rPr>
        <w:t xml:space="preserve">uild </w:t>
      </w:r>
      <w:r w:rsidRPr="00D208FC" w:rsidR="004539ED">
        <w:rPr>
          <w:sz w:val="20"/>
        </w:rPr>
        <w:t>sample</w:t>
      </w:r>
      <w:r w:rsidRPr="00D208FC" w:rsidR="00056B62">
        <w:rPr>
          <w:sz w:val="20"/>
        </w:rPr>
        <w:t>s</w:t>
      </w:r>
      <w:r w:rsidRPr="00D208FC" w:rsidR="004539ED">
        <w:rPr>
          <w:sz w:val="20"/>
        </w:rPr>
        <w:t xml:space="preserve"> include the survey sample, including the time before and after the conclusion of the </w:t>
      </w:r>
      <w:r w:rsidRPr="00D208FC" w:rsidR="00ED3BBD">
        <w:rPr>
          <w:sz w:val="20"/>
        </w:rPr>
        <w:t>incentive experiment</w:t>
      </w:r>
      <w:r w:rsidRPr="00D208FC" w:rsidR="00056B62">
        <w:rPr>
          <w:sz w:val="20"/>
        </w:rPr>
        <w:t>s</w:t>
      </w:r>
      <w:r w:rsidRPr="00D208FC" w:rsidR="00ED3BBD">
        <w:rPr>
          <w:sz w:val="20"/>
        </w:rPr>
        <w:t xml:space="preserve"> described in Table A.1.</w:t>
      </w:r>
    </w:p>
    <w:p w:rsidRPr="0072204D" w:rsidR="00CC2132" w:rsidP="00B9279C" w:rsidRDefault="00CC2132" w14:paraId="79FE2D3C" w14:textId="77777777">
      <w:pPr>
        <w:keepNext/>
        <w:spacing w:before="360" w:after="120"/>
        <w:rPr>
          <w:b/>
        </w:rPr>
      </w:pPr>
      <w:r>
        <w:rPr>
          <w:b/>
        </w:rPr>
        <w:t>A10. Privacy</w:t>
      </w:r>
      <w:r w:rsidRPr="0072204D">
        <w:rPr>
          <w:b/>
        </w:rPr>
        <w:t xml:space="preserve"> of Respondents</w:t>
      </w:r>
    </w:p>
    <w:p w:rsidRPr="00436F5E" w:rsidR="00CC2132" w:rsidP="004453F8" w:rsidRDefault="00CC2132" w14:paraId="36DC2018" w14:textId="27A87904">
      <w:pPr>
        <w:pStyle w:val="NormalSS"/>
        <w:ind w:firstLine="0"/>
      </w:pPr>
      <w:r w:rsidRPr="00436F5E">
        <w:t xml:space="preserve">Information collected will be kept private to the extent permitted by law. </w:t>
      </w:r>
      <w:r w:rsidR="00CC59DF">
        <w:t>As part of the consent process</w:t>
      </w:r>
      <w:r w:rsidR="00114864">
        <w:t xml:space="preserve"> (</w:t>
      </w:r>
      <w:r w:rsidRPr="003560C5" w:rsidR="00114864">
        <w:t xml:space="preserve">Attachment </w:t>
      </w:r>
      <w:r w:rsidR="00114864">
        <w:t>A)</w:t>
      </w:r>
      <w:r w:rsidR="00CC59DF">
        <w:t>, r</w:t>
      </w:r>
      <w:r w:rsidRPr="00436F5E">
        <w:t xml:space="preserve">espondents </w:t>
      </w:r>
      <w:r w:rsidR="00B74D0B">
        <w:t>were</w:t>
      </w:r>
      <w:r w:rsidRPr="00436F5E">
        <w:t xml:space="preserve"> informed of all planned uses of data, that their participation is voluntary, and that their information will be kept private to the extent permitted by law. </w:t>
      </w:r>
      <w:r w:rsidRPr="008C4B04">
        <w:t>Due to the sensitive nature of this research (see A11 for more information), the evaluation obtain</w:t>
      </w:r>
      <w:r w:rsidR="006428AE">
        <w:t>ed</w:t>
      </w:r>
      <w:r w:rsidRPr="008C4B04">
        <w:t xml:space="preserve"> a Certificate of Confidentiality. The Certificate of Confidentiality helps assure participants that their information will be kept private to the fullest extent permitted by law.</w:t>
      </w:r>
    </w:p>
    <w:p w:rsidRPr="00436F5E" w:rsidR="00CC2132" w:rsidP="004453F8" w:rsidRDefault="00CC2132" w14:paraId="35C7F9E8" w14:textId="77777777">
      <w:pPr>
        <w:pStyle w:val="NormalSS"/>
        <w:ind w:firstLine="0"/>
      </w:pPr>
      <w:r w:rsidRPr="00436F5E">
        <w:t xml:space="preserve">As specified in the contract, </w:t>
      </w:r>
      <w:r>
        <w:t>Mathematica and Abt</w:t>
      </w:r>
      <w:r w:rsidRPr="00436F5E">
        <w:t xml:space="preserve"> </w:t>
      </w:r>
      <w:r w:rsidR="00A46EA8">
        <w:t>will</w:t>
      </w:r>
      <w:r w:rsidRPr="00436F5E" w:rsidR="00A46EA8">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w:t>
      </w:r>
      <w:r w:rsidRPr="008C4B04">
        <w:lastRenderedPageBreak/>
        <w:t>protections of respondents’ personally identifiable information</w:t>
      </w:r>
      <w:r>
        <w:t xml:space="preserve"> (PII)</w:t>
      </w:r>
      <w:r w:rsidRPr="008C4B04">
        <w:t xml:space="preserve">. </w:t>
      </w:r>
      <w:r>
        <w:t>Mathematica and Abt</w:t>
      </w:r>
      <w:r w:rsidRPr="00436F5E">
        <w:t xml:space="preserve"> </w:t>
      </w:r>
      <w:r w:rsidR="00A46EA8">
        <w:t>will</w:t>
      </w:r>
      <w:r w:rsidRPr="00436F5E" w:rsidR="00A46EA8">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rsidRPr="00436F5E" w:rsidR="00CC2132" w:rsidP="004453F8" w:rsidRDefault="00CC2132" w14:paraId="53CB142B" w14:textId="621CF918">
      <w:pPr>
        <w:pStyle w:val="NormalSS"/>
        <w:ind w:firstLine="0"/>
      </w:pPr>
      <w:r w:rsidRPr="00436F5E">
        <w:t xml:space="preserve">As specified in the evaluator’s contract, </w:t>
      </w:r>
      <w:r>
        <w:t>Mathematica and Abt</w:t>
      </w:r>
      <w:r w:rsidRPr="00436F5E">
        <w:t xml:space="preserve"> </w:t>
      </w:r>
      <w:r w:rsidR="00A46EA8">
        <w:t>will</w:t>
      </w:r>
      <w:r w:rsidRPr="00436F5E" w:rsidR="00A46EA8">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Pr="00436F5E" w:rsidR="00A46EA8">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Pr="00436F5E" w:rsidR="00A46EA8">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w:t>
      </w:r>
    </w:p>
    <w:p w:rsidR="00114864" w:rsidP="00114864" w:rsidRDefault="00114864" w14:paraId="09969A48" w14:textId="4A4A1D3A">
      <w:r>
        <w:rPr>
          <w:bdr w:val="none" w:color="auto" w:sz="0" w:space="0" w:frame="1"/>
        </w:rPr>
        <w:t>Information will not be maintained in a paper or electronic system from which they are actually or directly retrieved by an individuals’ personal identifier.</w:t>
      </w:r>
    </w:p>
    <w:p w:rsidRPr="0072204D" w:rsidR="00CC2132" w:rsidP="00B9279C" w:rsidRDefault="00CC2132" w14:paraId="745F3DAE" w14:textId="77777777">
      <w:pPr>
        <w:keepNext/>
        <w:spacing w:before="360" w:after="120"/>
        <w:rPr>
          <w:b/>
        </w:rPr>
      </w:pPr>
      <w:r>
        <w:rPr>
          <w:b/>
        </w:rPr>
        <w:t xml:space="preserve">A11. </w:t>
      </w:r>
      <w:r w:rsidRPr="0072204D">
        <w:rPr>
          <w:b/>
        </w:rPr>
        <w:t>Sensitive Questions</w:t>
      </w:r>
    </w:p>
    <w:p w:rsidR="00CC2132" w:rsidP="00CC2132" w:rsidRDefault="00CC2132" w14:paraId="04CE360C" w14:textId="31103DDB">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t>
      </w:r>
      <w:r w:rsidR="00A241EB">
        <w:t xml:space="preserve">are and </w:t>
      </w:r>
      <w:r w:rsidRPr="00E54657">
        <w:t xml:space="preserve">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w:t>
      </w:r>
      <w:r w:rsidR="003B322A">
        <w:t xml:space="preserve"> in the follow-up survey</w:t>
      </w:r>
      <w:r w:rsidR="006542AC">
        <w:t xml:space="preserve">s and first round of </w:t>
      </w:r>
      <w:r w:rsidRPr="00066081" w:rsidR="006542AC">
        <w:t>management</w:t>
      </w:r>
      <w:r w:rsidR="003160D2">
        <w:t>,</w:t>
      </w:r>
      <w:r w:rsidRPr="00066081" w:rsidR="006542AC">
        <w:t xml:space="preserve"> staff</w:t>
      </w:r>
      <w:r w:rsidR="003160D2">
        <w:t>,</w:t>
      </w:r>
      <w:r w:rsidRPr="00066081" w:rsidR="006542AC">
        <w:t xml:space="preserve"> and supervisor interviews </w:t>
      </w:r>
      <w:r w:rsidR="006542AC">
        <w:t xml:space="preserve">and participant </w:t>
      </w:r>
      <w:r w:rsidRPr="002C60FE" w:rsidR="006542AC">
        <w:t>in-depth interviews already conducted for</w:t>
      </w:r>
      <w:r w:rsidR="003B322A">
        <w:t xml:space="preserve"> the Evaluation of Employment Coaching for TANF and Related Populations (OMB </w:t>
      </w:r>
      <w:r w:rsidR="000C2907">
        <w:t>#</w:t>
      </w:r>
      <w:r w:rsidR="003B322A">
        <w:t>0970-0506),</w:t>
      </w:r>
      <w:r>
        <w:t xml:space="preserve"> Parents and Children Together (OMB </w:t>
      </w:r>
      <w:r w:rsidR="000C2907">
        <w:t>#</w:t>
      </w:r>
      <w:r w:rsidR="00064A17">
        <w:t>0970-0403</w:t>
      </w:r>
      <w:r>
        <w:t>)</w:t>
      </w:r>
      <w:r w:rsidR="006542AC">
        <w:t>,</w:t>
      </w:r>
      <w:r>
        <w:t xml:space="preserve"> and the Workforce Investment Act Gold Standard Evaluation (OMB </w:t>
      </w:r>
      <w:r w:rsidR="000C2907">
        <w:t>#</w:t>
      </w:r>
      <w:r w:rsidR="00064A17">
        <w:t>1205-0504</w:t>
      </w:r>
      <w:r>
        <w:t xml:space="preserve">). </w:t>
      </w:r>
    </w:p>
    <w:p w:rsidRPr="00FB2A77" w:rsidR="00CC2132" w:rsidP="00CC2132" w:rsidRDefault="006542AC" w14:paraId="75FC2B52" w14:textId="164D56EA">
      <w:pPr>
        <w:pStyle w:val="NormalSS"/>
        <w:ind w:firstLine="0"/>
      </w:pPr>
      <w:r>
        <w:t>Specific to this non-substantive change, s</w:t>
      </w:r>
      <w:r w:rsidRPr="002C60FE">
        <w:t xml:space="preserve">ome sensitive questions are necessary in </w:t>
      </w:r>
      <w:r>
        <w:t xml:space="preserve">order to </w:t>
      </w:r>
      <w:r w:rsidRPr="002C60FE">
        <w:t>examine the effects of</w:t>
      </w:r>
      <w:r>
        <w:t xml:space="preserve"> COVID-19</w:t>
      </w:r>
      <w:r w:rsidRPr="002C60FE">
        <w:t>.</w:t>
      </w:r>
      <w:r>
        <w:t xml:space="preserve"> </w:t>
      </w:r>
      <w:r w:rsidR="00CC2132">
        <w:t xml:space="preserve">The sensitive questions </w:t>
      </w:r>
      <w:r>
        <w:t>relevant for this non-substantive change request</w:t>
      </w:r>
      <w:r w:rsidR="00CC2132">
        <w:t xml:space="preserve"> include:</w:t>
      </w:r>
    </w:p>
    <w:p w:rsidRPr="009F4E00" w:rsidR="00CC2132" w:rsidP="004453F8" w:rsidRDefault="00CC2132" w14:paraId="14FB6C5F" w14:textId="463C4265">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6428AE">
        <w:t xml:space="preserve">second </w:t>
      </w:r>
      <w:r w:rsidR="00337CD5">
        <w:t xml:space="preserve">follow-up </w:t>
      </w:r>
      <w:r w:rsidRPr="00BB3FE7">
        <w:t>survey ask</w:t>
      </w:r>
      <w:r>
        <w:t xml:space="preserve">s about each job worked since random assignment, the wage rate, and the number of hours worked per week. </w:t>
      </w:r>
    </w:p>
    <w:p w:rsidR="00CC2132" w:rsidP="004453F8" w:rsidRDefault="001A6F34" w14:paraId="0C792506" w14:textId="7DDF73D1">
      <w:pPr>
        <w:pStyle w:val="NormalSS"/>
        <w:numPr>
          <w:ilvl w:val="0"/>
          <w:numId w:val="28"/>
        </w:numPr>
        <w:spacing w:after="120"/>
        <w:ind w:left="720"/>
      </w:pPr>
      <w:r w:rsidRPr="00454199">
        <w:rPr>
          <w:b/>
        </w:rPr>
        <w:lastRenderedPageBreak/>
        <w:t>Challenges</w:t>
      </w:r>
      <w:r w:rsidRPr="00454199" w:rsidR="00CC2132">
        <w:rPr>
          <w:b/>
        </w:rPr>
        <w:t xml:space="preserve"> to employment</w:t>
      </w:r>
      <w:r w:rsidRPr="00D62335" w:rsidR="00CC2132">
        <w:rPr>
          <w:b/>
          <w:i/>
        </w:rPr>
        <w:t>.</w:t>
      </w:r>
      <w:r w:rsidRPr="009F4E00" w:rsidR="00CC2132">
        <w:t xml:space="preserve"> </w:t>
      </w:r>
      <w:r w:rsidR="00CC2132">
        <w:t xml:space="preserve">It is important to ask about </w:t>
      </w:r>
      <w:r>
        <w:t>challenges</w:t>
      </w:r>
      <w:r w:rsidR="00CC2132">
        <w:t xml:space="preserve"> to employment</w:t>
      </w:r>
      <w:r w:rsidR="00FF157B">
        <w:t xml:space="preserve"> due to COVID-19</w:t>
      </w:r>
      <w:r w:rsidR="00522DD3">
        <w:t>, such as whether the respondent lost a job or was furloughed, or has concerns about returning to work,</w:t>
      </w:r>
      <w:r w:rsidR="00FF157B">
        <w:t xml:space="preserve"> to understand how programs might be supporting participants an</w:t>
      </w:r>
      <w:r w:rsidR="00BC3718">
        <w:t>d their potentially unmet needs</w:t>
      </w:r>
      <w:r w:rsidR="00FF157B">
        <w:t>.</w:t>
      </w:r>
      <w:r w:rsidR="00CC2132">
        <w:t xml:space="preserve"> </w:t>
      </w:r>
    </w:p>
    <w:p w:rsidR="006542AC" w:rsidP="006542AC" w:rsidRDefault="00CC2132" w14:paraId="6CF74FEE" w14:textId="006B0953">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w:t>
      </w:r>
      <w:r w:rsidR="00AA0A1F">
        <w:t xml:space="preserve">(if participants did not already provide this information in the first follow-up) </w:t>
      </w:r>
      <w:r w:rsidR="001A6F34">
        <w:t xml:space="preserve">and convictions that occurred after random assignment </w:t>
      </w:r>
      <w:r w:rsidR="00A00E6F">
        <w:t xml:space="preserve">or since the first follow-up survey </w:t>
      </w:r>
      <w:r w:rsidR="001A6F34">
        <w:t>as an outcome</w:t>
      </w:r>
      <w:r w:rsidR="009373B7">
        <w:t xml:space="preserve"> that may be affected by coaching</w:t>
      </w:r>
      <w:r w:rsidR="006542AC">
        <w:t>.</w:t>
      </w:r>
    </w:p>
    <w:p w:rsidRPr="00FF157B" w:rsidR="00061F52" w:rsidP="006542AC" w:rsidRDefault="00CC2132" w14:paraId="4DC5643C" w14:textId="60AF9E98">
      <w:pPr>
        <w:pStyle w:val="NormalSS"/>
        <w:numPr>
          <w:ilvl w:val="0"/>
          <w:numId w:val="28"/>
        </w:numPr>
        <w:spacing w:after="120"/>
        <w:ind w:left="720"/>
      </w:pPr>
      <w:r w:rsidRPr="006542AC">
        <w:rPr>
          <w:b/>
        </w:rPr>
        <w:t>Economic hardships</w:t>
      </w:r>
      <w:r w:rsidRPr="006542AC">
        <w:rPr>
          <w:b/>
          <w:i/>
        </w:rPr>
        <w:t>.</w:t>
      </w:r>
      <w:r>
        <w:t xml:space="preserve"> The follow-up survey asks about economic hardships, such as missing meals or needing to borrow money from friends. These outcomes reflect a lack of self-sufficiency and may be affected by </w:t>
      </w:r>
      <w:r w:rsidR="00454199">
        <w:t>coaching</w:t>
      </w:r>
      <w:r>
        <w:t>.</w:t>
      </w:r>
      <w:r w:rsidR="00483710">
        <w:t xml:space="preserve"> </w:t>
      </w:r>
      <w:r w:rsidRPr="00ED0523" w:rsidR="00DE4860">
        <w:rPr>
          <w:rFonts w:cstheme="minorHAnsi"/>
        </w:rPr>
        <w:t xml:space="preserve">The </w:t>
      </w:r>
      <w:r w:rsidR="00DE4860">
        <w:rPr>
          <w:rFonts w:cstheme="minorHAnsi"/>
        </w:rPr>
        <w:t xml:space="preserve">revised </w:t>
      </w:r>
      <w:r w:rsidRPr="00ED0523" w:rsidR="00DE4860">
        <w:rPr>
          <w:rFonts w:cstheme="minorHAnsi"/>
        </w:rPr>
        <w:t xml:space="preserve">in-depth </w:t>
      </w:r>
      <w:r w:rsidR="00522DD3">
        <w:rPr>
          <w:rFonts w:cstheme="minorHAnsi"/>
        </w:rPr>
        <w:t xml:space="preserve">participant </w:t>
      </w:r>
      <w:r w:rsidR="00DE4860">
        <w:rPr>
          <w:rFonts w:cstheme="minorHAnsi"/>
        </w:rPr>
        <w:t xml:space="preserve">interview guide includes </w:t>
      </w:r>
      <w:r w:rsidRPr="00ED0523" w:rsidR="00DE4860">
        <w:rPr>
          <w:rFonts w:cstheme="minorHAnsi"/>
        </w:rPr>
        <w:t>questions about economic hardships</w:t>
      </w:r>
      <w:r w:rsidR="00DE4860">
        <w:rPr>
          <w:rFonts w:cstheme="minorHAnsi"/>
        </w:rPr>
        <w:t xml:space="preserve"> due to COVID-19</w:t>
      </w:r>
      <w:r w:rsidRPr="00ED0523" w:rsidR="00DE4860">
        <w:rPr>
          <w:rFonts w:cstheme="minorHAnsi"/>
        </w:rPr>
        <w:t xml:space="preserve">, such as </w:t>
      </w:r>
      <w:r w:rsidR="00DE4860">
        <w:rPr>
          <w:rFonts w:cstheme="minorHAnsi"/>
        </w:rPr>
        <w:t>financial stress and receipt of public benefits.</w:t>
      </w:r>
      <w:r w:rsidRPr="00ED0523" w:rsidR="00DE4860">
        <w:rPr>
          <w:rFonts w:cstheme="minorHAnsi"/>
        </w:rPr>
        <w:t xml:space="preserve"> </w:t>
      </w:r>
      <w:r w:rsidR="00DE4860">
        <w:rPr>
          <w:rFonts w:cstheme="minorHAnsi"/>
        </w:rPr>
        <w:t>It is important to ask about these issues to understand program participants’ potentially unmet needs and how programs might address them.</w:t>
      </w:r>
      <w:r>
        <w:t xml:space="preserve"> </w:t>
      </w:r>
      <w:r w:rsidRPr="006542AC" w:rsidR="00061F52">
        <w:rPr>
          <w:rFonts w:cstheme="minorHAnsi"/>
        </w:rPr>
        <w:t xml:space="preserve"> </w:t>
      </w:r>
    </w:p>
    <w:p w:rsidRPr="006542AC" w:rsidR="00FF157B" w:rsidP="006542AC" w:rsidRDefault="00FF157B" w14:paraId="6165A0CE" w14:textId="07F09004">
      <w:pPr>
        <w:pStyle w:val="NormalSS"/>
        <w:numPr>
          <w:ilvl w:val="0"/>
          <w:numId w:val="28"/>
        </w:numPr>
        <w:spacing w:after="120"/>
        <w:ind w:left="720"/>
      </w:pPr>
      <w:r w:rsidRPr="005B1C4A">
        <w:rPr>
          <w:b/>
        </w:rPr>
        <w:t>Health.</w:t>
      </w:r>
      <w:r>
        <w:t xml:space="preserve"> </w:t>
      </w:r>
      <w:r w:rsidRPr="00ED0523" w:rsidR="00522DD3">
        <w:rPr>
          <w:rFonts w:cstheme="minorHAnsi"/>
        </w:rPr>
        <w:t xml:space="preserve">The </w:t>
      </w:r>
      <w:r w:rsidR="00522DD3">
        <w:rPr>
          <w:rFonts w:cstheme="minorHAnsi"/>
        </w:rPr>
        <w:t xml:space="preserve">revised </w:t>
      </w:r>
      <w:r w:rsidRPr="00ED0523" w:rsidR="00522DD3">
        <w:rPr>
          <w:rFonts w:cstheme="minorHAnsi"/>
        </w:rPr>
        <w:t xml:space="preserve">in-depth </w:t>
      </w:r>
      <w:r w:rsidR="00522DD3">
        <w:rPr>
          <w:rFonts w:cstheme="minorHAnsi"/>
        </w:rPr>
        <w:t>participant interview guide includes questions about challenges related to personal and family well-being</w:t>
      </w:r>
      <w:r w:rsidR="005B1C4A">
        <w:rPr>
          <w:rFonts w:cstheme="minorHAnsi"/>
        </w:rPr>
        <w:t xml:space="preserve">, stress, and mental and physical health. </w:t>
      </w:r>
      <w:r w:rsidRPr="00ED0523" w:rsidR="005B1C4A">
        <w:rPr>
          <w:rFonts w:cstheme="minorHAnsi"/>
        </w:rPr>
        <w:t>Health factors</w:t>
      </w:r>
      <w:r w:rsidR="005B1C4A">
        <w:rPr>
          <w:rFonts w:cstheme="minorHAnsi"/>
        </w:rPr>
        <w:t>—both related and unrelated to COVID-19—</w:t>
      </w:r>
      <w:r w:rsidRPr="00ED0523" w:rsidR="005B1C4A">
        <w:rPr>
          <w:rFonts w:cstheme="minorHAnsi"/>
        </w:rPr>
        <w:t xml:space="preserve">could play a major role in participants’ </w:t>
      </w:r>
      <w:r w:rsidR="005B1C4A">
        <w:rPr>
          <w:rFonts w:cstheme="minorHAnsi"/>
        </w:rPr>
        <w:t xml:space="preserve">engagement in the coaching program and </w:t>
      </w:r>
      <w:r w:rsidRPr="00ED0523" w:rsidR="005B1C4A">
        <w:rPr>
          <w:rFonts w:cstheme="minorHAnsi"/>
        </w:rPr>
        <w:t>ability to</w:t>
      </w:r>
      <w:r w:rsidR="005B1C4A">
        <w:rPr>
          <w:rFonts w:cstheme="minorHAnsi"/>
        </w:rPr>
        <w:t xml:space="preserve"> obtain or</w:t>
      </w:r>
      <w:r w:rsidRPr="00ED0523" w:rsidR="005B1C4A">
        <w:rPr>
          <w:rFonts w:cstheme="minorHAnsi"/>
        </w:rPr>
        <w:t xml:space="preserve"> maintain employment</w:t>
      </w:r>
      <w:r w:rsidR="005B1C4A">
        <w:rPr>
          <w:rFonts w:cstheme="minorHAnsi"/>
        </w:rPr>
        <w:t>.</w:t>
      </w:r>
      <w:r w:rsidR="001C7624">
        <w:rPr>
          <w:rFonts w:cstheme="minorHAnsi"/>
        </w:rPr>
        <w:t xml:space="preserve"> The revised management</w:t>
      </w:r>
      <w:r w:rsidR="003160D2">
        <w:rPr>
          <w:rFonts w:cstheme="minorHAnsi"/>
        </w:rPr>
        <w:t>,</w:t>
      </w:r>
      <w:r w:rsidR="00C811CE">
        <w:rPr>
          <w:rFonts w:cstheme="minorHAnsi"/>
        </w:rPr>
        <w:t xml:space="preserve"> staff</w:t>
      </w:r>
      <w:r w:rsidR="003160D2">
        <w:rPr>
          <w:rFonts w:cstheme="minorHAnsi"/>
        </w:rPr>
        <w:t>,</w:t>
      </w:r>
      <w:r w:rsidR="00C811CE">
        <w:rPr>
          <w:rFonts w:cstheme="minorHAnsi"/>
        </w:rPr>
        <w:t xml:space="preserve"> and supervisor interview</w:t>
      </w:r>
      <w:r w:rsidR="001C7624">
        <w:rPr>
          <w:rFonts w:cstheme="minorHAnsi"/>
        </w:rPr>
        <w:t xml:space="preserve"> guide includes questions about challenges staff have personally faced implementing coaching during the pandemic, such as those related to stress, wellness, and health.</w:t>
      </w:r>
      <w:r w:rsidR="00C811CE">
        <w:rPr>
          <w:rFonts w:cstheme="minorHAnsi"/>
        </w:rPr>
        <w:t xml:space="preserve"> It is important to ask about these issues to understand how such challenges may have influenced the implementation of the program or delivery of services to participants.</w:t>
      </w:r>
    </w:p>
    <w:p w:rsidRPr="002C60FE" w:rsidR="00061F52" w:rsidP="0007784B" w:rsidRDefault="00061F52" w14:paraId="084B4ABB" w14:textId="77777777">
      <w:pPr>
        <w:pStyle w:val="NormalSS"/>
        <w:spacing w:after="120"/>
        <w:ind w:firstLine="0"/>
      </w:pPr>
    </w:p>
    <w:p w:rsidRPr="0072204D" w:rsidR="00945CD6" w:rsidP="00B9279C" w:rsidRDefault="00292B70" w14:paraId="29B69CB0" w14:textId="77777777">
      <w:pPr>
        <w:keepNext/>
        <w:spacing w:before="360" w:after="120"/>
        <w:rPr>
          <w:b/>
        </w:rPr>
      </w:pPr>
      <w:r>
        <w:rPr>
          <w:b/>
        </w:rPr>
        <w:t xml:space="preserve">A12. </w:t>
      </w:r>
      <w:r w:rsidRPr="0072204D" w:rsidR="00945CD6">
        <w:rPr>
          <w:b/>
        </w:rPr>
        <w:t>Estimation of Information Collection Burden</w:t>
      </w:r>
    </w:p>
    <w:p w:rsidRPr="00A241EB" w:rsidR="00A241EB" w:rsidP="00A241EB" w:rsidRDefault="00A241EB" w14:paraId="5BC3CFA1" w14:textId="77777777">
      <w:pPr>
        <w:pStyle w:val="NoSpacing"/>
        <w:spacing w:after="60"/>
        <w:rPr>
          <w:rFonts w:ascii="Times New Roman" w:hAnsi="Times New Roman"/>
          <w:b/>
          <w:szCs w:val="24"/>
        </w:rPr>
      </w:pPr>
      <w:r w:rsidRPr="00A241EB">
        <w:rPr>
          <w:rFonts w:ascii="Times New Roman" w:hAnsi="Times New Roman"/>
          <w:b/>
          <w:szCs w:val="24"/>
        </w:rPr>
        <w:t>Previously Approved Information Collections</w:t>
      </w:r>
    </w:p>
    <w:p w:rsidRPr="00A241EB" w:rsidR="00A241EB" w:rsidP="00A241EB" w:rsidRDefault="00A241EB" w14:paraId="02014BC1" w14:textId="77777777">
      <w:pPr>
        <w:pStyle w:val="NoSpacing"/>
        <w:spacing w:after="60"/>
        <w:rPr>
          <w:rFonts w:ascii="Times New Roman" w:hAnsi="Times New Roman"/>
          <w:i/>
          <w:szCs w:val="24"/>
        </w:rPr>
      </w:pPr>
      <w:r w:rsidRPr="00A241EB">
        <w:rPr>
          <w:rFonts w:ascii="Times New Roman" w:hAnsi="Times New Roman"/>
          <w:i/>
          <w:szCs w:val="24"/>
        </w:rPr>
        <w:t>Total Burden Previously Approved</w:t>
      </w:r>
    </w:p>
    <w:p w:rsidR="00A241EB" w:rsidP="00A241EB" w:rsidRDefault="00A241EB" w14:paraId="1AAFCFE6" w14:textId="255153F3">
      <w:r>
        <w:t xml:space="preserve">As of the last change to 0970-0506, </w:t>
      </w:r>
      <w:r w:rsidR="007C3A5B">
        <w:t xml:space="preserve">which was a non-substantive change request approved by OIRA in March 2020, </w:t>
      </w:r>
      <w:r>
        <w:t>6,</w:t>
      </w:r>
      <w:r w:rsidR="007C3A5B">
        <w:t>910</w:t>
      </w:r>
      <w:r>
        <w:t xml:space="preserve"> annual burden hours were approved. This includes burden for data collection at six sites and covers the following information collections: </w:t>
      </w:r>
    </w:p>
    <w:p w:rsidR="00A241EB" w:rsidP="00A241EB" w:rsidRDefault="00A241EB" w14:paraId="4D877729" w14:textId="77777777"/>
    <w:p w:rsidRPr="000047D6" w:rsidR="00A241EB" w:rsidP="00A241EB" w:rsidRDefault="00A241EB" w14:paraId="267A2A6F" w14:textId="77777777">
      <w:pPr>
        <w:pStyle w:val="NormalSS"/>
        <w:numPr>
          <w:ilvl w:val="0"/>
          <w:numId w:val="34"/>
        </w:numPr>
        <w:spacing w:after="0"/>
      </w:pPr>
      <w:r w:rsidRPr="000047D6">
        <w:t xml:space="preserve">Baseline data collection (Attachment B) </w:t>
      </w:r>
    </w:p>
    <w:p w:rsidRPr="000047D6" w:rsidR="00A241EB" w:rsidP="001D69ED" w:rsidRDefault="00A241EB" w14:paraId="37BAAB95" w14:textId="77777777">
      <w:pPr>
        <w:pStyle w:val="NormalSS"/>
        <w:numPr>
          <w:ilvl w:val="0"/>
          <w:numId w:val="34"/>
        </w:numPr>
        <w:spacing w:after="0"/>
      </w:pPr>
      <w:r w:rsidRPr="000047D6">
        <w:t>First follow-up survey (Attachment C)</w:t>
      </w:r>
    </w:p>
    <w:p w:rsidRPr="0037436F" w:rsidR="00A241EB" w:rsidP="00A241EB" w:rsidRDefault="00A241EB" w14:paraId="54F848F7" w14:textId="6619F40B">
      <w:pPr>
        <w:pStyle w:val="NormalSS"/>
        <w:numPr>
          <w:ilvl w:val="0"/>
          <w:numId w:val="36"/>
        </w:numPr>
        <w:spacing w:after="0"/>
        <w:rPr>
          <w:szCs w:val="24"/>
        </w:rPr>
      </w:pPr>
      <w:r w:rsidRPr="000047D6">
        <w:rPr>
          <w:szCs w:val="24"/>
        </w:rPr>
        <w:t xml:space="preserve">Semi-structured </w:t>
      </w:r>
      <w:r w:rsidR="00146966">
        <w:rPr>
          <w:szCs w:val="24"/>
        </w:rPr>
        <w:t xml:space="preserve">management, </w:t>
      </w:r>
      <w:r w:rsidRPr="000047D6">
        <w:rPr>
          <w:szCs w:val="24"/>
        </w:rPr>
        <w:t>staff</w:t>
      </w:r>
      <w:r w:rsidR="00146966">
        <w:rPr>
          <w:szCs w:val="24"/>
        </w:rPr>
        <w:t>, and supervisor</w:t>
      </w:r>
      <w:r w:rsidRPr="000047D6">
        <w:rPr>
          <w:szCs w:val="24"/>
        </w:rPr>
        <w:t xml:space="preserve"> interviews (Attachment D)</w:t>
      </w:r>
      <w:r w:rsidRPr="0037436F">
        <w:rPr>
          <w:szCs w:val="24"/>
        </w:rPr>
        <w:t xml:space="preserve"> </w:t>
      </w:r>
    </w:p>
    <w:p w:rsidRPr="0037436F" w:rsidR="00A241EB" w:rsidP="00A241EB" w:rsidRDefault="00A241EB" w14:paraId="54141022" w14:textId="77777777">
      <w:pPr>
        <w:pStyle w:val="NormalSS"/>
        <w:numPr>
          <w:ilvl w:val="0"/>
          <w:numId w:val="36"/>
        </w:numPr>
        <w:spacing w:after="0"/>
        <w:rPr>
          <w:szCs w:val="24"/>
        </w:rPr>
      </w:pPr>
      <w:r w:rsidRPr="000047D6">
        <w:rPr>
          <w:szCs w:val="24"/>
        </w:rPr>
        <w:t>Staff survey (Attachment E)</w:t>
      </w:r>
      <w:r w:rsidRPr="0037436F">
        <w:rPr>
          <w:szCs w:val="24"/>
        </w:rPr>
        <w:t xml:space="preserve"> </w:t>
      </w:r>
    </w:p>
    <w:p w:rsidRPr="0037436F" w:rsidR="00A241EB" w:rsidP="004D6342" w:rsidRDefault="00A241EB" w14:paraId="20BBD17A" w14:textId="77777777">
      <w:pPr>
        <w:pStyle w:val="NormalSS"/>
        <w:numPr>
          <w:ilvl w:val="0"/>
          <w:numId w:val="36"/>
        </w:numPr>
        <w:spacing w:after="0"/>
        <w:rPr>
          <w:szCs w:val="24"/>
        </w:rPr>
      </w:pPr>
      <w:r w:rsidRPr="000047D6">
        <w:rPr>
          <w:szCs w:val="24"/>
        </w:rPr>
        <w:t>In-depth participant interviews (Attachment F)</w:t>
      </w:r>
      <w:r w:rsidRPr="0037436F">
        <w:t xml:space="preserve"> </w:t>
      </w:r>
    </w:p>
    <w:p w:rsidRPr="0037436F" w:rsidR="00A241EB" w:rsidRDefault="00A241EB" w14:paraId="60600917" w14:textId="77777777">
      <w:pPr>
        <w:pStyle w:val="NormalSS"/>
        <w:numPr>
          <w:ilvl w:val="0"/>
          <w:numId w:val="36"/>
        </w:numPr>
        <w:spacing w:after="0"/>
        <w:rPr>
          <w:szCs w:val="24"/>
        </w:rPr>
      </w:pPr>
      <w:r w:rsidRPr="000047D6">
        <w:rPr>
          <w:szCs w:val="24"/>
        </w:rPr>
        <w:t>Staff reports of program service receipt (Attachment G)</w:t>
      </w:r>
      <w:r w:rsidRPr="0037436F">
        <w:rPr>
          <w:szCs w:val="24"/>
        </w:rPr>
        <w:t xml:space="preserve"> </w:t>
      </w:r>
    </w:p>
    <w:p w:rsidR="00A241EB" w:rsidP="001D69ED" w:rsidRDefault="00A241EB" w14:paraId="5F49940A" w14:textId="61C0FB8A">
      <w:pPr>
        <w:pStyle w:val="NormalSS"/>
        <w:numPr>
          <w:ilvl w:val="0"/>
          <w:numId w:val="36"/>
        </w:numPr>
        <w:spacing w:after="0"/>
      </w:pPr>
      <w:r w:rsidRPr="000047D6">
        <w:lastRenderedPageBreak/>
        <w:t>Video recordings of coaching sessions</w:t>
      </w:r>
      <w:r w:rsidR="003F1545">
        <w:t xml:space="preserve"> (Attachment M)</w:t>
      </w:r>
    </w:p>
    <w:p w:rsidRPr="0037436F" w:rsidR="00E80A7B" w:rsidP="001D69ED" w:rsidRDefault="00E80A7B" w14:paraId="437EC6C8" w14:textId="113A3193">
      <w:pPr>
        <w:pStyle w:val="NormalSS"/>
        <w:numPr>
          <w:ilvl w:val="0"/>
          <w:numId w:val="36"/>
        </w:numPr>
        <w:spacing w:after="0"/>
      </w:pPr>
      <w:r>
        <w:t>Second follow-up survey (Attachment N)</w:t>
      </w:r>
    </w:p>
    <w:p w:rsidRPr="00A241EB" w:rsidR="00A241EB" w:rsidP="00A241EB" w:rsidRDefault="00A241EB" w14:paraId="06C3CCAF" w14:textId="324EF8E9">
      <w:r>
        <w:t xml:space="preserve"> </w:t>
      </w:r>
    </w:p>
    <w:p w:rsidRPr="0007784B" w:rsidR="00F028D2" w:rsidP="0007784B" w:rsidRDefault="00F028D2" w14:paraId="6EFCD592" w14:textId="3C0E5DDB">
      <w:pPr>
        <w:pStyle w:val="NormalSS"/>
        <w:ind w:firstLine="0"/>
      </w:pPr>
      <w:r>
        <w:t xml:space="preserve">Table A.3 presents the </w:t>
      </w:r>
      <w:r w:rsidR="00347CAE">
        <w:t>6,</w:t>
      </w:r>
      <w:r w:rsidR="000477F3">
        <w:t>910</w:t>
      </w:r>
      <w:r>
        <w:t xml:space="preserve"> annual burden hours remain</w:t>
      </w:r>
      <w:r w:rsidR="00347CAE">
        <w:t>ing at the time of this request</w:t>
      </w:r>
      <w:r>
        <w:t xml:space="preserve"> from </w:t>
      </w:r>
      <w:r w:rsidR="003F1545">
        <w:t xml:space="preserve">the </w:t>
      </w:r>
      <w:r>
        <w:t>previously approved</w:t>
      </w:r>
      <w:r w:rsidR="003F1545">
        <w:t xml:space="preserve"> </w:t>
      </w:r>
      <w:r w:rsidR="00CD168F">
        <w:t>information</w:t>
      </w:r>
      <w:r w:rsidR="003F1545">
        <w:t xml:space="preserve"> collection</w:t>
      </w:r>
      <w:r w:rsidR="00CD168F">
        <w:t>s</w:t>
      </w:r>
      <w:r>
        <w:t>.</w:t>
      </w:r>
      <w:r w:rsidR="006339C7">
        <w:t xml:space="preserve"> </w:t>
      </w:r>
      <w:r w:rsidR="00F6712C">
        <w:t xml:space="preserve">Under the current non-substantive change request, we propose to </w:t>
      </w:r>
      <w:r w:rsidRPr="001A4D67" w:rsidR="006339C7">
        <w:t>interview 37 staff respondents and 10 study participants about</w:t>
      </w:r>
      <w:r w:rsidR="006339C7">
        <w:t xml:space="preserve"> the effects of</w:t>
      </w:r>
      <w:r w:rsidRPr="001A4D67" w:rsidR="006339C7">
        <w:t xml:space="preserve"> COVID-19</w:t>
      </w:r>
      <w:r w:rsidR="00F6712C">
        <w:t xml:space="preserve">. Due to </w:t>
      </w:r>
      <w:r w:rsidR="00476213">
        <w:t xml:space="preserve">remaining burden for the </w:t>
      </w:r>
      <w:r w:rsidR="00F6712C">
        <w:t>previously approved associated instruments, conducting these interviews will</w:t>
      </w:r>
      <w:r w:rsidRPr="001A4D67" w:rsidR="006339C7">
        <w:t xml:space="preserve"> </w:t>
      </w:r>
      <w:r w:rsidR="006339C7">
        <w:t xml:space="preserve">only </w:t>
      </w:r>
      <w:r w:rsidRPr="001A4D67" w:rsidR="006339C7">
        <w:t xml:space="preserve">require </w:t>
      </w:r>
      <w:r w:rsidR="006339C7">
        <w:t xml:space="preserve">adding </w:t>
      </w:r>
      <w:r w:rsidRPr="001A4D67" w:rsidR="006339C7">
        <w:t xml:space="preserve">burden </w:t>
      </w:r>
      <w:r w:rsidR="006339C7">
        <w:t>for</w:t>
      </w:r>
      <w:r w:rsidRPr="001A4D67" w:rsidR="006339C7">
        <w:t xml:space="preserve"> </w:t>
      </w:r>
      <w:r w:rsidR="0000316A">
        <w:t>eight</w:t>
      </w:r>
      <w:r w:rsidRPr="001A4D67" w:rsidR="006339C7">
        <w:t xml:space="preserve"> </w:t>
      </w:r>
      <w:r w:rsidR="006339C7">
        <w:t xml:space="preserve">additional </w:t>
      </w:r>
      <w:r w:rsidRPr="001A4D67" w:rsidR="006339C7">
        <w:t xml:space="preserve">staff respondents and </w:t>
      </w:r>
      <w:r w:rsidR="0000316A">
        <w:t>five</w:t>
      </w:r>
      <w:r w:rsidRPr="001A4D67" w:rsidR="006339C7">
        <w:t xml:space="preserve"> </w:t>
      </w:r>
      <w:r w:rsidR="006339C7">
        <w:t xml:space="preserve">additional </w:t>
      </w:r>
      <w:r w:rsidRPr="001A4D67" w:rsidR="006339C7">
        <w:t>participant respondents</w:t>
      </w:r>
      <w:r w:rsidR="008E3C4A">
        <w:t xml:space="preserve"> </w:t>
      </w:r>
      <w:r w:rsidR="00B745CC">
        <w:t xml:space="preserve">(9.5 additional </w:t>
      </w:r>
      <w:r w:rsidR="008E3C4A">
        <w:t>burden hours)</w:t>
      </w:r>
      <w:r w:rsidRPr="001A4D67" w:rsidR="006339C7">
        <w:t xml:space="preserve">. </w:t>
      </w:r>
      <w:r w:rsidR="006339C7">
        <w:t xml:space="preserve">Additional information is provided in </w:t>
      </w:r>
      <w:r w:rsidRPr="00EF4F5B" w:rsidR="006339C7">
        <w:t>Attachment P. Nonsub change request_Coaching Evaluation_</w:t>
      </w:r>
      <w:r w:rsidR="004220F0">
        <w:t>Oct</w:t>
      </w:r>
      <w:r w:rsidRPr="00EF4F5B" w:rsidR="006339C7">
        <w:t xml:space="preserve"> 2020.</w:t>
      </w:r>
    </w:p>
    <w:p w:rsidR="00F028D2" w:rsidP="00F028D2" w:rsidRDefault="00F028D2" w14:paraId="23FEE600" w14:textId="100A662C">
      <w:pPr>
        <w:pStyle w:val="NormalSS"/>
        <w:pageBreakBefore/>
        <w:spacing w:after="120"/>
        <w:ind w:left="720" w:firstLine="0"/>
        <w:jc w:val="both"/>
      </w:pPr>
      <w:r w:rsidRPr="00143C0D">
        <w:rPr>
          <w:b/>
        </w:rPr>
        <w:lastRenderedPageBreak/>
        <w:t>Table A.</w:t>
      </w:r>
      <w:r>
        <w:rPr>
          <w:b/>
        </w:rPr>
        <w:t>3</w:t>
      </w:r>
      <w:r w:rsidRPr="00143C0D">
        <w:rPr>
          <w:b/>
        </w:rPr>
        <w:t xml:space="preserve"> </w:t>
      </w:r>
      <w:r>
        <w:rPr>
          <w:b/>
        </w:rPr>
        <w:t>Burden remaining from previously approved information collection</w:t>
      </w:r>
      <w:r w:rsidR="00CD168F">
        <w:rPr>
          <w:b/>
        </w:rPr>
        <w:t>s</w:t>
      </w:r>
    </w:p>
    <w:p w:rsidRPr="001D69ED" w:rsidR="00A241EB" w:rsidP="00A241EB" w:rsidRDefault="00A241EB" w14:paraId="0639F88F" w14:textId="0575DE64">
      <w:pPr>
        <w:spacing w:after="60"/>
      </w:pPr>
    </w:p>
    <w:tbl>
      <w:tblPr>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55"/>
        <w:gridCol w:w="1204"/>
        <w:gridCol w:w="1187"/>
        <w:gridCol w:w="1110"/>
        <w:gridCol w:w="958"/>
        <w:gridCol w:w="851"/>
        <w:gridCol w:w="1530"/>
        <w:gridCol w:w="1234"/>
      </w:tblGrid>
      <w:tr w:rsidRPr="00BD4CFB" w:rsidR="00A241EB" w:rsidTr="00A241EB" w14:paraId="644FC129" w14:textId="77777777">
        <w:trPr>
          <w:jc w:val="center"/>
        </w:trPr>
        <w:tc>
          <w:tcPr>
            <w:tcW w:w="1255" w:type="dxa"/>
            <w:shd w:val="clear" w:color="auto" w:fill="BFBFBF"/>
            <w:vAlign w:val="center"/>
          </w:tcPr>
          <w:p w:rsidRPr="00BD4CFB" w:rsidR="00A241EB" w:rsidP="00A241EB" w:rsidRDefault="00A241EB" w14:paraId="7A016DC6" w14:textId="77777777">
            <w:pPr>
              <w:jc w:val="center"/>
              <w:rPr>
                <w:sz w:val="20"/>
                <w:szCs w:val="20"/>
              </w:rPr>
            </w:pPr>
            <w:r w:rsidRPr="00BD4CFB">
              <w:rPr>
                <w:sz w:val="20"/>
                <w:szCs w:val="20"/>
              </w:rPr>
              <w:t>Instrument</w:t>
            </w:r>
          </w:p>
        </w:tc>
        <w:tc>
          <w:tcPr>
            <w:tcW w:w="1204" w:type="dxa"/>
            <w:shd w:val="clear" w:color="auto" w:fill="BFBFBF"/>
            <w:vAlign w:val="center"/>
          </w:tcPr>
          <w:p w:rsidRPr="00BD4CFB" w:rsidR="00A241EB" w:rsidP="00A241EB" w:rsidRDefault="00A241EB" w14:paraId="23DD4223" w14:textId="117B5A2E">
            <w:pPr>
              <w:jc w:val="center"/>
              <w:rPr>
                <w:sz w:val="20"/>
                <w:szCs w:val="20"/>
              </w:rPr>
            </w:pPr>
            <w:r w:rsidRPr="00C704B4">
              <w:rPr>
                <w:sz w:val="20"/>
                <w:szCs w:val="20"/>
              </w:rPr>
              <w:t>Total number of respondents remaining</w:t>
            </w:r>
          </w:p>
        </w:tc>
        <w:tc>
          <w:tcPr>
            <w:tcW w:w="1187" w:type="dxa"/>
            <w:shd w:val="clear" w:color="auto" w:fill="BFBFBF"/>
            <w:vAlign w:val="center"/>
          </w:tcPr>
          <w:p w:rsidR="00A241EB" w:rsidP="00A241EB" w:rsidRDefault="00A241EB" w14:paraId="6FF5338D" w14:textId="77777777">
            <w:pPr>
              <w:jc w:val="center"/>
              <w:rPr>
                <w:sz w:val="20"/>
                <w:szCs w:val="20"/>
              </w:rPr>
            </w:pPr>
            <w:r>
              <w:rPr>
                <w:sz w:val="20"/>
                <w:szCs w:val="20"/>
              </w:rPr>
              <w:t>Annual number of r</w:t>
            </w:r>
            <w:r w:rsidRPr="00BD4CFB">
              <w:rPr>
                <w:sz w:val="20"/>
                <w:szCs w:val="20"/>
              </w:rPr>
              <w:t>espondents</w:t>
            </w:r>
          </w:p>
          <w:p w:rsidRPr="00BD4CFB" w:rsidR="00A241EB" w:rsidP="00A241EB" w:rsidRDefault="00A241EB" w14:paraId="7A3F0045" w14:textId="2E7C8C70">
            <w:pPr>
              <w:jc w:val="center"/>
              <w:rPr>
                <w:sz w:val="20"/>
                <w:szCs w:val="20"/>
              </w:rPr>
            </w:pPr>
            <w:r>
              <w:rPr>
                <w:sz w:val="20"/>
                <w:szCs w:val="20"/>
              </w:rPr>
              <w:t>remaining</w:t>
            </w:r>
          </w:p>
        </w:tc>
        <w:tc>
          <w:tcPr>
            <w:tcW w:w="1110" w:type="dxa"/>
            <w:shd w:val="clear" w:color="auto" w:fill="BFBFBF"/>
            <w:vAlign w:val="center"/>
          </w:tcPr>
          <w:p w:rsidRPr="00BD4CFB" w:rsidR="00A241EB" w:rsidP="00A241EB" w:rsidRDefault="00A241EB" w14:paraId="5DFA42D0" w14:textId="77777777">
            <w:pPr>
              <w:jc w:val="center"/>
              <w:rPr>
                <w:sz w:val="20"/>
                <w:szCs w:val="20"/>
              </w:rPr>
            </w:pPr>
            <w:r w:rsidRPr="00BD4CFB">
              <w:rPr>
                <w:sz w:val="20"/>
                <w:szCs w:val="20"/>
              </w:rPr>
              <w:t>Nu</w:t>
            </w:r>
            <w:r>
              <w:rPr>
                <w:sz w:val="20"/>
                <w:szCs w:val="20"/>
              </w:rPr>
              <w:t>mber of responses Per r</w:t>
            </w:r>
            <w:r w:rsidRPr="00BD4CFB">
              <w:rPr>
                <w:sz w:val="20"/>
                <w:szCs w:val="20"/>
              </w:rPr>
              <w:t>espondent</w:t>
            </w:r>
          </w:p>
        </w:tc>
        <w:tc>
          <w:tcPr>
            <w:tcW w:w="958" w:type="dxa"/>
            <w:shd w:val="clear" w:color="auto" w:fill="BFBFBF"/>
            <w:vAlign w:val="center"/>
          </w:tcPr>
          <w:p w:rsidRPr="00BD4CFB" w:rsidR="00A241EB" w:rsidP="00A241EB" w:rsidRDefault="00A241EB" w14:paraId="64E20731" w14:textId="77777777">
            <w:pPr>
              <w:jc w:val="center"/>
              <w:rPr>
                <w:sz w:val="20"/>
                <w:szCs w:val="20"/>
              </w:rPr>
            </w:pPr>
            <w:r>
              <w:rPr>
                <w:sz w:val="20"/>
                <w:szCs w:val="20"/>
              </w:rPr>
              <w:t>Average burden hours per r</w:t>
            </w:r>
            <w:r w:rsidRPr="00BD4CFB">
              <w:rPr>
                <w:sz w:val="20"/>
                <w:szCs w:val="20"/>
              </w:rPr>
              <w:t>esponse</w:t>
            </w:r>
          </w:p>
        </w:tc>
        <w:tc>
          <w:tcPr>
            <w:tcW w:w="851" w:type="dxa"/>
            <w:shd w:val="clear" w:color="auto" w:fill="BFBFBF"/>
            <w:vAlign w:val="center"/>
          </w:tcPr>
          <w:p w:rsidRPr="00BD4CFB" w:rsidR="00A241EB" w:rsidP="00A241EB" w:rsidRDefault="00A241EB" w14:paraId="4E3AD6A4" w14:textId="77777777">
            <w:pPr>
              <w:jc w:val="center"/>
              <w:rPr>
                <w:bCs/>
                <w:sz w:val="20"/>
                <w:szCs w:val="20"/>
              </w:rPr>
            </w:pPr>
            <w:r>
              <w:rPr>
                <w:bCs/>
                <w:sz w:val="20"/>
                <w:szCs w:val="20"/>
              </w:rPr>
              <w:t>Annual burden hours</w:t>
            </w:r>
          </w:p>
        </w:tc>
        <w:tc>
          <w:tcPr>
            <w:tcW w:w="1530" w:type="dxa"/>
            <w:shd w:val="clear" w:color="auto" w:fill="BFBFBF"/>
            <w:vAlign w:val="center"/>
          </w:tcPr>
          <w:p w:rsidRPr="00BD4CFB" w:rsidR="00A241EB" w:rsidP="00A241EB" w:rsidRDefault="00A241EB" w14:paraId="42492460" w14:textId="77777777">
            <w:pPr>
              <w:jc w:val="center"/>
              <w:rPr>
                <w:sz w:val="20"/>
                <w:szCs w:val="20"/>
              </w:rPr>
            </w:pPr>
            <w:r w:rsidRPr="00BD4CFB">
              <w:rPr>
                <w:bCs/>
                <w:sz w:val="20"/>
                <w:szCs w:val="20"/>
              </w:rPr>
              <w:t>Average Hourly Wage</w:t>
            </w:r>
          </w:p>
        </w:tc>
        <w:tc>
          <w:tcPr>
            <w:tcW w:w="1234" w:type="dxa"/>
            <w:shd w:val="clear" w:color="auto" w:fill="BFBFBF"/>
            <w:vAlign w:val="center"/>
          </w:tcPr>
          <w:p w:rsidRPr="00BD4CFB" w:rsidR="00A241EB" w:rsidP="00A241EB" w:rsidRDefault="00A241EB" w14:paraId="0B0545B4" w14:textId="77777777">
            <w:pPr>
              <w:jc w:val="center"/>
              <w:rPr>
                <w:sz w:val="20"/>
                <w:szCs w:val="20"/>
              </w:rPr>
            </w:pPr>
            <w:r w:rsidRPr="00BD4CFB">
              <w:rPr>
                <w:bCs/>
                <w:sz w:val="20"/>
                <w:szCs w:val="20"/>
              </w:rPr>
              <w:t>Total Annual Cost</w:t>
            </w:r>
          </w:p>
        </w:tc>
      </w:tr>
      <w:tr w:rsidRPr="00BD4CFB" w:rsidR="00A241EB" w:rsidTr="00A241EB" w14:paraId="289AFEFE" w14:textId="24CC9EC9">
        <w:trPr>
          <w:trHeight w:val="432"/>
          <w:jc w:val="center"/>
        </w:trPr>
        <w:tc>
          <w:tcPr>
            <w:tcW w:w="1255" w:type="dxa"/>
            <w:vAlign w:val="center"/>
          </w:tcPr>
          <w:p w:rsidRPr="00BD4CFB" w:rsidR="00A241EB" w:rsidP="00A241EB" w:rsidRDefault="00A241EB" w14:paraId="62B239A1" w14:textId="3E5E5EB0">
            <w:pPr>
              <w:tabs>
                <w:tab w:val="center" w:pos="4320"/>
                <w:tab w:val="right" w:pos="8640"/>
              </w:tabs>
              <w:rPr>
                <w:sz w:val="20"/>
                <w:szCs w:val="20"/>
              </w:rPr>
            </w:pPr>
            <w:r>
              <w:rPr>
                <w:sz w:val="20"/>
                <w:szCs w:val="20"/>
              </w:rPr>
              <w:t>Baseline data collection – study participants</w:t>
            </w:r>
          </w:p>
        </w:tc>
        <w:tc>
          <w:tcPr>
            <w:tcW w:w="1204" w:type="dxa"/>
            <w:vAlign w:val="center"/>
          </w:tcPr>
          <w:p w:rsidRPr="00403AAB" w:rsidR="00A241EB" w:rsidP="00A241EB" w:rsidRDefault="00A66817" w14:paraId="6A59B95E" w14:textId="53B3FE3A">
            <w:pPr>
              <w:tabs>
                <w:tab w:val="center" w:pos="4320"/>
                <w:tab w:val="right" w:pos="8640"/>
              </w:tabs>
              <w:jc w:val="center"/>
              <w:rPr>
                <w:sz w:val="20"/>
                <w:szCs w:val="20"/>
              </w:rPr>
            </w:pPr>
            <w:r>
              <w:rPr>
                <w:sz w:val="20"/>
                <w:szCs w:val="20"/>
              </w:rPr>
              <w:t>5</w:t>
            </w:r>
            <w:r w:rsidR="003F1545">
              <w:rPr>
                <w:sz w:val="20"/>
                <w:szCs w:val="20"/>
              </w:rPr>
              <w:t>,</w:t>
            </w:r>
            <w:r>
              <w:rPr>
                <w:sz w:val="20"/>
                <w:szCs w:val="20"/>
              </w:rPr>
              <w:t>931</w:t>
            </w:r>
          </w:p>
        </w:tc>
        <w:tc>
          <w:tcPr>
            <w:tcW w:w="1187" w:type="dxa"/>
            <w:vAlign w:val="center"/>
          </w:tcPr>
          <w:p w:rsidRPr="00403AAB" w:rsidR="00A241EB" w:rsidP="00A241EB" w:rsidRDefault="00A66817" w14:paraId="0F2929DC" w14:textId="5328928C">
            <w:pPr>
              <w:tabs>
                <w:tab w:val="center" w:pos="4320"/>
                <w:tab w:val="right" w:pos="8640"/>
              </w:tabs>
              <w:jc w:val="center"/>
              <w:rPr>
                <w:sz w:val="20"/>
                <w:szCs w:val="20"/>
              </w:rPr>
            </w:pPr>
            <w:r>
              <w:rPr>
                <w:sz w:val="20"/>
                <w:szCs w:val="20"/>
              </w:rPr>
              <w:t>1</w:t>
            </w:r>
            <w:r w:rsidR="003F1545">
              <w:rPr>
                <w:sz w:val="20"/>
                <w:szCs w:val="20"/>
              </w:rPr>
              <w:t>,</w:t>
            </w:r>
            <w:r>
              <w:rPr>
                <w:sz w:val="20"/>
                <w:szCs w:val="20"/>
              </w:rPr>
              <w:t>977</w:t>
            </w:r>
          </w:p>
        </w:tc>
        <w:tc>
          <w:tcPr>
            <w:tcW w:w="1110" w:type="dxa"/>
            <w:vAlign w:val="center"/>
          </w:tcPr>
          <w:p w:rsidRPr="00403AAB" w:rsidR="00A241EB" w:rsidP="00A241EB" w:rsidRDefault="00A241EB" w14:paraId="3937A72D" w14:textId="568AE631">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2715436A" w14:textId="29ADBDC5">
            <w:pPr>
              <w:tabs>
                <w:tab w:val="center" w:pos="4320"/>
                <w:tab w:val="right" w:pos="8640"/>
              </w:tabs>
              <w:jc w:val="center"/>
              <w:rPr>
                <w:sz w:val="20"/>
                <w:szCs w:val="20"/>
              </w:rPr>
            </w:pPr>
            <w:r w:rsidRPr="00403AAB">
              <w:rPr>
                <w:sz w:val="20"/>
                <w:szCs w:val="20"/>
              </w:rPr>
              <w:t>0.33</w:t>
            </w:r>
          </w:p>
        </w:tc>
        <w:tc>
          <w:tcPr>
            <w:tcW w:w="851" w:type="dxa"/>
            <w:vAlign w:val="center"/>
          </w:tcPr>
          <w:p w:rsidRPr="00403AAB" w:rsidR="00A241EB" w:rsidP="00A241EB" w:rsidRDefault="00A66817" w14:paraId="75C7F9B8" w14:textId="4037C160">
            <w:pPr>
              <w:tabs>
                <w:tab w:val="center" w:pos="4320"/>
                <w:tab w:val="right" w:pos="8640"/>
              </w:tabs>
              <w:jc w:val="center"/>
              <w:rPr>
                <w:sz w:val="20"/>
                <w:szCs w:val="20"/>
              </w:rPr>
            </w:pPr>
            <w:r>
              <w:rPr>
                <w:sz w:val="20"/>
                <w:szCs w:val="20"/>
              </w:rPr>
              <w:t>653</w:t>
            </w:r>
          </w:p>
        </w:tc>
        <w:tc>
          <w:tcPr>
            <w:tcW w:w="1530" w:type="dxa"/>
            <w:vAlign w:val="center"/>
          </w:tcPr>
          <w:p w:rsidRPr="00403AAB" w:rsidR="00A241EB" w:rsidP="00A241EB" w:rsidRDefault="00A241EB" w14:paraId="13C3FB3D" w14:textId="360244BC">
            <w:pPr>
              <w:tabs>
                <w:tab w:val="center" w:pos="4320"/>
                <w:tab w:val="right" w:pos="8640"/>
              </w:tabs>
              <w:jc w:val="center"/>
              <w:rPr>
                <w:sz w:val="20"/>
                <w:szCs w:val="20"/>
              </w:rPr>
            </w:pPr>
            <w:r w:rsidRPr="00403AAB">
              <w:rPr>
                <w:sz w:val="20"/>
                <w:szCs w:val="20"/>
              </w:rPr>
              <w:t>$7.25</w:t>
            </w:r>
          </w:p>
        </w:tc>
        <w:tc>
          <w:tcPr>
            <w:tcW w:w="1234" w:type="dxa"/>
            <w:vAlign w:val="center"/>
          </w:tcPr>
          <w:p w:rsidRPr="00403AAB" w:rsidR="00A241EB" w:rsidP="00347CAE" w:rsidRDefault="00A66817" w14:paraId="6089FC25" w14:textId="24AD3B67">
            <w:pPr>
              <w:tabs>
                <w:tab w:val="center" w:pos="4320"/>
                <w:tab w:val="right" w:pos="8640"/>
              </w:tabs>
              <w:jc w:val="center"/>
              <w:rPr>
                <w:sz w:val="20"/>
                <w:szCs w:val="20"/>
              </w:rPr>
            </w:pPr>
            <w:r>
              <w:rPr>
                <w:sz w:val="20"/>
                <w:szCs w:val="20"/>
              </w:rPr>
              <w:t>$4,7</w:t>
            </w:r>
            <w:r w:rsidR="00347CAE">
              <w:rPr>
                <w:sz w:val="20"/>
                <w:szCs w:val="20"/>
              </w:rPr>
              <w:t>34.25</w:t>
            </w:r>
          </w:p>
        </w:tc>
      </w:tr>
      <w:tr w:rsidRPr="00BD4CFB" w:rsidR="00A241EB" w:rsidTr="00A241EB" w14:paraId="7F400FD4" w14:textId="55680DFB">
        <w:trPr>
          <w:trHeight w:val="432"/>
          <w:jc w:val="center"/>
        </w:trPr>
        <w:tc>
          <w:tcPr>
            <w:tcW w:w="1255" w:type="dxa"/>
            <w:vAlign w:val="center"/>
          </w:tcPr>
          <w:p w:rsidRPr="00BD4CFB" w:rsidR="00A241EB" w:rsidP="00A241EB" w:rsidRDefault="00A241EB" w14:paraId="5D353129" w14:textId="2C534FDF">
            <w:pPr>
              <w:tabs>
                <w:tab w:val="center" w:pos="4320"/>
                <w:tab w:val="right" w:pos="8640"/>
              </w:tabs>
              <w:rPr>
                <w:sz w:val="20"/>
                <w:szCs w:val="20"/>
              </w:rPr>
            </w:pPr>
            <w:r>
              <w:rPr>
                <w:sz w:val="20"/>
                <w:szCs w:val="20"/>
              </w:rPr>
              <w:t>Baseline data collection – staff</w:t>
            </w:r>
          </w:p>
        </w:tc>
        <w:tc>
          <w:tcPr>
            <w:tcW w:w="1204" w:type="dxa"/>
            <w:vAlign w:val="center"/>
          </w:tcPr>
          <w:p w:rsidRPr="00403AAB" w:rsidR="00A241EB" w:rsidP="00A241EB" w:rsidRDefault="00540518" w14:paraId="5CABD865" w14:textId="153B4120">
            <w:pPr>
              <w:tabs>
                <w:tab w:val="center" w:pos="4320"/>
                <w:tab w:val="right" w:pos="8640"/>
              </w:tabs>
              <w:jc w:val="center"/>
              <w:rPr>
                <w:sz w:val="20"/>
                <w:szCs w:val="20"/>
              </w:rPr>
            </w:pPr>
            <w:r>
              <w:rPr>
                <w:sz w:val="20"/>
                <w:szCs w:val="20"/>
              </w:rPr>
              <w:t>60</w:t>
            </w:r>
          </w:p>
        </w:tc>
        <w:tc>
          <w:tcPr>
            <w:tcW w:w="1187" w:type="dxa"/>
            <w:vAlign w:val="center"/>
          </w:tcPr>
          <w:p w:rsidRPr="00403AAB" w:rsidR="00A241EB" w:rsidP="00A241EB" w:rsidRDefault="00540518" w14:paraId="4799871D" w14:textId="7441722C">
            <w:pPr>
              <w:tabs>
                <w:tab w:val="center" w:pos="4320"/>
                <w:tab w:val="right" w:pos="8640"/>
              </w:tabs>
              <w:jc w:val="center"/>
              <w:rPr>
                <w:sz w:val="20"/>
                <w:szCs w:val="20"/>
              </w:rPr>
            </w:pPr>
            <w:r>
              <w:rPr>
                <w:sz w:val="20"/>
                <w:szCs w:val="20"/>
              </w:rPr>
              <w:t>20</w:t>
            </w:r>
          </w:p>
        </w:tc>
        <w:tc>
          <w:tcPr>
            <w:tcW w:w="1110" w:type="dxa"/>
            <w:vAlign w:val="center"/>
          </w:tcPr>
          <w:p w:rsidRPr="00403AAB" w:rsidR="00A241EB" w:rsidP="00A241EB" w:rsidRDefault="00540518" w14:paraId="67E13701" w14:textId="7FD322AB">
            <w:pPr>
              <w:tabs>
                <w:tab w:val="center" w:pos="4320"/>
                <w:tab w:val="right" w:pos="8640"/>
              </w:tabs>
              <w:jc w:val="center"/>
              <w:rPr>
                <w:sz w:val="20"/>
                <w:szCs w:val="20"/>
              </w:rPr>
            </w:pPr>
            <w:r>
              <w:rPr>
                <w:sz w:val="20"/>
                <w:szCs w:val="20"/>
              </w:rPr>
              <w:t>99</w:t>
            </w:r>
          </w:p>
        </w:tc>
        <w:tc>
          <w:tcPr>
            <w:tcW w:w="958" w:type="dxa"/>
            <w:vAlign w:val="center"/>
          </w:tcPr>
          <w:p w:rsidRPr="00403AAB" w:rsidR="00A241EB" w:rsidP="00A241EB" w:rsidRDefault="00A241EB" w14:paraId="4608088A" w14:textId="61E5EB43">
            <w:pPr>
              <w:tabs>
                <w:tab w:val="center" w:pos="4320"/>
                <w:tab w:val="right" w:pos="8640"/>
              </w:tabs>
              <w:jc w:val="center"/>
              <w:rPr>
                <w:sz w:val="20"/>
                <w:szCs w:val="20"/>
              </w:rPr>
            </w:pPr>
            <w:r w:rsidRPr="00403AAB">
              <w:rPr>
                <w:sz w:val="20"/>
                <w:szCs w:val="20"/>
              </w:rPr>
              <w:t>0.33</w:t>
            </w:r>
          </w:p>
        </w:tc>
        <w:tc>
          <w:tcPr>
            <w:tcW w:w="851" w:type="dxa"/>
            <w:vAlign w:val="center"/>
          </w:tcPr>
          <w:p w:rsidRPr="00403AAB" w:rsidR="00A241EB" w:rsidP="00A241EB" w:rsidRDefault="00A66817" w14:paraId="3D3C748B" w14:textId="4ADEFAC2">
            <w:pPr>
              <w:tabs>
                <w:tab w:val="center" w:pos="4320"/>
                <w:tab w:val="right" w:pos="8640"/>
              </w:tabs>
              <w:jc w:val="center"/>
              <w:rPr>
                <w:sz w:val="20"/>
                <w:szCs w:val="20"/>
              </w:rPr>
            </w:pPr>
            <w:r>
              <w:rPr>
                <w:sz w:val="20"/>
                <w:szCs w:val="20"/>
              </w:rPr>
              <w:t>653</w:t>
            </w:r>
          </w:p>
        </w:tc>
        <w:tc>
          <w:tcPr>
            <w:tcW w:w="1530" w:type="dxa"/>
            <w:vAlign w:val="center"/>
          </w:tcPr>
          <w:p w:rsidRPr="00403AAB" w:rsidR="00A241EB" w:rsidP="00A241EB" w:rsidRDefault="00A241EB" w14:paraId="534FCD3D" w14:textId="6746D23F">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378187B6" w14:textId="354C911E">
            <w:pPr>
              <w:tabs>
                <w:tab w:val="center" w:pos="4320"/>
                <w:tab w:val="right" w:pos="8640"/>
              </w:tabs>
              <w:jc w:val="center"/>
              <w:rPr>
                <w:sz w:val="20"/>
                <w:szCs w:val="20"/>
              </w:rPr>
            </w:pPr>
            <w:r>
              <w:rPr>
                <w:sz w:val="20"/>
                <w:szCs w:val="20"/>
              </w:rPr>
              <w:t>$21,7</w:t>
            </w:r>
            <w:r w:rsidR="00347CAE">
              <w:rPr>
                <w:sz w:val="20"/>
                <w:szCs w:val="20"/>
              </w:rPr>
              <w:t>97.14</w:t>
            </w:r>
          </w:p>
        </w:tc>
      </w:tr>
      <w:tr w:rsidRPr="00BD4CFB" w:rsidR="00A241EB" w:rsidTr="00A241EB" w14:paraId="526CA235" w14:textId="77777777">
        <w:trPr>
          <w:trHeight w:val="432"/>
          <w:jc w:val="center"/>
        </w:trPr>
        <w:tc>
          <w:tcPr>
            <w:tcW w:w="1255" w:type="dxa"/>
            <w:vAlign w:val="center"/>
          </w:tcPr>
          <w:p w:rsidRPr="00BD4CFB" w:rsidR="00A241EB" w:rsidP="00A241EB" w:rsidRDefault="00A241EB" w14:paraId="57AC397E" w14:textId="77777777">
            <w:pPr>
              <w:tabs>
                <w:tab w:val="center" w:pos="4320"/>
                <w:tab w:val="right" w:pos="8640"/>
              </w:tabs>
              <w:rPr>
                <w:sz w:val="20"/>
                <w:szCs w:val="20"/>
              </w:rPr>
            </w:pPr>
            <w:r>
              <w:rPr>
                <w:sz w:val="20"/>
                <w:szCs w:val="20"/>
              </w:rPr>
              <w:t>First follow-up survey</w:t>
            </w:r>
          </w:p>
        </w:tc>
        <w:tc>
          <w:tcPr>
            <w:tcW w:w="1204" w:type="dxa"/>
            <w:vAlign w:val="center"/>
          </w:tcPr>
          <w:p w:rsidRPr="00403AAB" w:rsidR="00A241EB" w:rsidP="00A241EB" w:rsidRDefault="00FB01E4" w14:paraId="05266BD2" w14:textId="10F433E3">
            <w:pPr>
              <w:tabs>
                <w:tab w:val="center" w:pos="4320"/>
                <w:tab w:val="right" w:pos="8640"/>
              </w:tabs>
              <w:jc w:val="center"/>
              <w:rPr>
                <w:sz w:val="20"/>
                <w:szCs w:val="20"/>
              </w:rPr>
            </w:pPr>
            <w:r>
              <w:rPr>
                <w:sz w:val="20"/>
                <w:szCs w:val="20"/>
              </w:rPr>
              <w:t>4</w:t>
            </w:r>
            <w:r w:rsidR="0053535D">
              <w:rPr>
                <w:sz w:val="20"/>
                <w:szCs w:val="20"/>
              </w:rPr>
              <w:t>,</w:t>
            </w:r>
            <w:r>
              <w:rPr>
                <w:sz w:val="20"/>
                <w:szCs w:val="20"/>
              </w:rPr>
              <w:t>544</w:t>
            </w:r>
          </w:p>
        </w:tc>
        <w:tc>
          <w:tcPr>
            <w:tcW w:w="1187" w:type="dxa"/>
            <w:vAlign w:val="center"/>
          </w:tcPr>
          <w:p w:rsidRPr="00403AAB" w:rsidR="00A241EB" w:rsidP="00E27949" w:rsidRDefault="00FB01E4" w14:paraId="2E0310FC" w14:textId="700EA8EC">
            <w:pPr>
              <w:tabs>
                <w:tab w:val="center" w:pos="4320"/>
                <w:tab w:val="right" w:pos="8640"/>
              </w:tabs>
              <w:jc w:val="center"/>
              <w:rPr>
                <w:sz w:val="20"/>
                <w:szCs w:val="20"/>
              </w:rPr>
            </w:pPr>
            <w:r>
              <w:rPr>
                <w:sz w:val="20"/>
                <w:szCs w:val="20"/>
              </w:rPr>
              <w:t>1</w:t>
            </w:r>
            <w:r w:rsidR="0053535D">
              <w:rPr>
                <w:sz w:val="20"/>
                <w:szCs w:val="20"/>
              </w:rPr>
              <w:t>,</w:t>
            </w:r>
            <w:r>
              <w:rPr>
                <w:sz w:val="20"/>
                <w:szCs w:val="20"/>
              </w:rPr>
              <w:t>515</w:t>
            </w:r>
          </w:p>
        </w:tc>
        <w:tc>
          <w:tcPr>
            <w:tcW w:w="1110" w:type="dxa"/>
            <w:vAlign w:val="center"/>
          </w:tcPr>
          <w:p w:rsidRPr="00403AAB" w:rsidR="00A241EB" w:rsidP="00A241EB" w:rsidRDefault="00A241EB" w14:paraId="46AF6824"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C11788" w14:paraId="523B09B0" w14:textId="36F1FEB1">
            <w:pPr>
              <w:tabs>
                <w:tab w:val="center" w:pos="4320"/>
                <w:tab w:val="right" w:pos="8640"/>
              </w:tabs>
              <w:jc w:val="center"/>
              <w:rPr>
                <w:sz w:val="20"/>
                <w:szCs w:val="20"/>
              </w:rPr>
            </w:pPr>
            <w:r>
              <w:rPr>
                <w:sz w:val="20"/>
                <w:szCs w:val="20"/>
              </w:rPr>
              <w:t>0</w:t>
            </w:r>
            <w:r w:rsidR="008B0D8D">
              <w:rPr>
                <w:sz w:val="20"/>
                <w:szCs w:val="20"/>
              </w:rPr>
              <w:t>.75</w:t>
            </w:r>
          </w:p>
        </w:tc>
        <w:tc>
          <w:tcPr>
            <w:tcW w:w="851" w:type="dxa"/>
            <w:vAlign w:val="center"/>
          </w:tcPr>
          <w:p w:rsidRPr="00403AAB" w:rsidR="00A241EB" w:rsidP="00E27949" w:rsidRDefault="00A66817" w14:paraId="3DEF9242" w14:textId="0F10F122">
            <w:pPr>
              <w:tabs>
                <w:tab w:val="center" w:pos="4320"/>
                <w:tab w:val="right" w:pos="8640"/>
              </w:tabs>
              <w:jc w:val="center"/>
              <w:rPr>
                <w:sz w:val="20"/>
                <w:szCs w:val="20"/>
              </w:rPr>
            </w:pPr>
            <w:r>
              <w:rPr>
                <w:sz w:val="20"/>
                <w:szCs w:val="20"/>
              </w:rPr>
              <w:t>1</w:t>
            </w:r>
            <w:r w:rsidR="003F1545">
              <w:rPr>
                <w:sz w:val="20"/>
                <w:szCs w:val="20"/>
              </w:rPr>
              <w:t>,</w:t>
            </w:r>
            <w:r w:rsidR="008B0D8D">
              <w:rPr>
                <w:sz w:val="20"/>
                <w:szCs w:val="20"/>
              </w:rPr>
              <w:t>136</w:t>
            </w:r>
          </w:p>
        </w:tc>
        <w:tc>
          <w:tcPr>
            <w:tcW w:w="1530" w:type="dxa"/>
            <w:vAlign w:val="center"/>
          </w:tcPr>
          <w:p w:rsidRPr="00403AAB" w:rsidR="00A241EB" w:rsidP="00A241EB" w:rsidRDefault="00A241EB" w14:paraId="2ACAC857" w14:textId="77777777">
            <w:pPr>
              <w:tabs>
                <w:tab w:val="center" w:pos="4320"/>
                <w:tab w:val="right" w:pos="8640"/>
              </w:tabs>
              <w:jc w:val="center"/>
              <w:rPr>
                <w:sz w:val="20"/>
                <w:szCs w:val="20"/>
              </w:rPr>
            </w:pPr>
            <w:r w:rsidRPr="00403AAB">
              <w:rPr>
                <w:sz w:val="20"/>
                <w:szCs w:val="20"/>
              </w:rPr>
              <w:t>$7.25</w:t>
            </w:r>
          </w:p>
        </w:tc>
        <w:tc>
          <w:tcPr>
            <w:tcW w:w="1234" w:type="dxa"/>
            <w:vAlign w:val="center"/>
          </w:tcPr>
          <w:p w:rsidRPr="00403AAB" w:rsidR="00A241EB" w:rsidP="00E27949" w:rsidRDefault="00A66817" w14:paraId="40748DB1" w14:textId="35A46455">
            <w:pPr>
              <w:tabs>
                <w:tab w:val="center" w:pos="4320"/>
                <w:tab w:val="right" w:pos="8640"/>
              </w:tabs>
              <w:jc w:val="center"/>
              <w:rPr>
                <w:sz w:val="20"/>
                <w:szCs w:val="20"/>
              </w:rPr>
            </w:pPr>
            <w:r>
              <w:rPr>
                <w:sz w:val="20"/>
                <w:szCs w:val="20"/>
              </w:rPr>
              <w:t>$</w:t>
            </w:r>
            <w:r w:rsidR="008B0D8D">
              <w:rPr>
                <w:sz w:val="20"/>
                <w:szCs w:val="20"/>
              </w:rPr>
              <w:t>8,236</w:t>
            </w:r>
          </w:p>
        </w:tc>
      </w:tr>
      <w:tr w:rsidRPr="00BD4CFB" w:rsidR="00A241EB" w:rsidTr="00A241EB" w14:paraId="4E8220C7" w14:textId="77777777">
        <w:trPr>
          <w:trHeight w:val="432"/>
          <w:jc w:val="center"/>
        </w:trPr>
        <w:tc>
          <w:tcPr>
            <w:tcW w:w="1255" w:type="dxa"/>
            <w:vAlign w:val="center"/>
          </w:tcPr>
          <w:p w:rsidRPr="00BD4CFB" w:rsidR="00A241EB" w:rsidP="00A241EB" w:rsidRDefault="00A241EB" w14:paraId="2C979C1A" w14:textId="6D8318C5">
            <w:pPr>
              <w:tabs>
                <w:tab w:val="center" w:pos="4320"/>
                <w:tab w:val="right" w:pos="8640"/>
              </w:tabs>
              <w:rPr>
                <w:sz w:val="20"/>
                <w:szCs w:val="20"/>
              </w:rPr>
            </w:pPr>
            <w:r>
              <w:rPr>
                <w:sz w:val="20"/>
                <w:szCs w:val="20"/>
              </w:rPr>
              <w:t xml:space="preserve">Semi-structured </w:t>
            </w:r>
            <w:r w:rsidR="00146966">
              <w:rPr>
                <w:sz w:val="20"/>
                <w:szCs w:val="20"/>
              </w:rPr>
              <w:t xml:space="preserve">management, </w:t>
            </w:r>
            <w:r>
              <w:rPr>
                <w:sz w:val="20"/>
                <w:szCs w:val="20"/>
              </w:rPr>
              <w:t>staff</w:t>
            </w:r>
            <w:r w:rsidR="00146966">
              <w:rPr>
                <w:sz w:val="20"/>
                <w:szCs w:val="20"/>
              </w:rPr>
              <w:t>, and supervisor</w:t>
            </w:r>
            <w:r>
              <w:rPr>
                <w:sz w:val="20"/>
                <w:szCs w:val="20"/>
              </w:rPr>
              <w:t xml:space="preserve"> interviews</w:t>
            </w:r>
          </w:p>
        </w:tc>
        <w:tc>
          <w:tcPr>
            <w:tcW w:w="1204" w:type="dxa"/>
            <w:vAlign w:val="center"/>
          </w:tcPr>
          <w:p w:rsidRPr="00403AAB" w:rsidR="00A241EB" w:rsidP="00826AB0" w:rsidRDefault="00826AB0" w14:paraId="4F4C6AE9" w14:textId="0E3371F7">
            <w:pPr>
              <w:tabs>
                <w:tab w:val="center" w:pos="4320"/>
                <w:tab w:val="right" w:pos="8640"/>
              </w:tabs>
              <w:jc w:val="center"/>
              <w:rPr>
                <w:sz w:val="20"/>
                <w:szCs w:val="20"/>
              </w:rPr>
            </w:pPr>
            <w:r>
              <w:rPr>
                <w:sz w:val="20"/>
                <w:szCs w:val="20"/>
              </w:rPr>
              <w:t>140</w:t>
            </w:r>
          </w:p>
        </w:tc>
        <w:tc>
          <w:tcPr>
            <w:tcW w:w="1187" w:type="dxa"/>
            <w:vAlign w:val="center"/>
          </w:tcPr>
          <w:p w:rsidRPr="00403AAB" w:rsidR="00A241EB" w:rsidP="00826AB0" w:rsidRDefault="00826AB0" w14:paraId="41AE41D7" w14:textId="66A7D2F7">
            <w:pPr>
              <w:tabs>
                <w:tab w:val="center" w:pos="4320"/>
                <w:tab w:val="right" w:pos="8640"/>
              </w:tabs>
              <w:jc w:val="center"/>
              <w:rPr>
                <w:sz w:val="20"/>
                <w:szCs w:val="20"/>
              </w:rPr>
            </w:pPr>
            <w:r>
              <w:rPr>
                <w:sz w:val="20"/>
                <w:szCs w:val="20"/>
              </w:rPr>
              <w:t>47</w:t>
            </w:r>
          </w:p>
        </w:tc>
        <w:tc>
          <w:tcPr>
            <w:tcW w:w="1110" w:type="dxa"/>
            <w:vAlign w:val="center"/>
          </w:tcPr>
          <w:p w:rsidRPr="00403AAB" w:rsidR="00A241EB" w:rsidP="00A241EB" w:rsidRDefault="00A241EB" w14:paraId="55209CBC"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5F29CB03" w14:textId="77777777">
            <w:pPr>
              <w:tabs>
                <w:tab w:val="center" w:pos="4320"/>
                <w:tab w:val="right" w:pos="8640"/>
              </w:tabs>
              <w:jc w:val="center"/>
              <w:rPr>
                <w:sz w:val="20"/>
                <w:szCs w:val="20"/>
              </w:rPr>
            </w:pPr>
            <w:r w:rsidRPr="00403AAB">
              <w:rPr>
                <w:sz w:val="20"/>
                <w:szCs w:val="20"/>
              </w:rPr>
              <w:t>1.5</w:t>
            </w:r>
          </w:p>
        </w:tc>
        <w:tc>
          <w:tcPr>
            <w:tcW w:w="851" w:type="dxa"/>
            <w:vAlign w:val="center"/>
          </w:tcPr>
          <w:p w:rsidRPr="00403AAB" w:rsidR="00A241EB" w:rsidP="00826AB0" w:rsidRDefault="00476213" w14:paraId="615E0F73" w14:textId="4F553D73">
            <w:pPr>
              <w:tabs>
                <w:tab w:val="center" w:pos="4320"/>
                <w:tab w:val="right" w:pos="8640"/>
              </w:tabs>
              <w:jc w:val="center"/>
              <w:rPr>
                <w:sz w:val="20"/>
                <w:szCs w:val="20"/>
              </w:rPr>
            </w:pPr>
            <w:r>
              <w:rPr>
                <w:sz w:val="20"/>
                <w:szCs w:val="20"/>
              </w:rPr>
              <w:t>7</w:t>
            </w:r>
            <w:r w:rsidR="00826AB0">
              <w:rPr>
                <w:sz w:val="20"/>
                <w:szCs w:val="20"/>
              </w:rPr>
              <w:t>0.5</w:t>
            </w:r>
          </w:p>
        </w:tc>
        <w:tc>
          <w:tcPr>
            <w:tcW w:w="1530" w:type="dxa"/>
            <w:vAlign w:val="center"/>
          </w:tcPr>
          <w:p w:rsidRPr="00403AAB" w:rsidR="00A241EB" w:rsidP="00A241EB" w:rsidRDefault="00A241EB" w14:paraId="7083950D"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37775E" w:rsidRDefault="00A66817" w14:paraId="02FA119B" w14:textId="142337F3">
            <w:pPr>
              <w:tabs>
                <w:tab w:val="center" w:pos="4320"/>
                <w:tab w:val="right" w:pos="8640"/>
              </w:tabs>
              <w:jc w:val="center"/>
              <w:rPr>
                <w:sz w:val="20"/>
                <w:szCs w:val="20"/>
              </w:rPr>
            </w:pPr>
            <w:r>
              <w:rPr>
                <w:sz w:val="20"/>
                <w:szCs w:val="20"/>
              </w:rPr>
              <w:t>$</w:t>
            </w:r>
            <w:r w:rsidR="0037775E">
              <w:rPr>
                <w:sz w:val="20"/>
                <w:szCs w:val="20"/>
              </w:rPr>
              <w:t>2,353.29</w:t>
            </w:r>
          </w:p>
        </w:tc>
      </w:tr>
      <w:tr w:rsidRPr="00BD4CFB" w:rsidR="00AC2AE2" w:rsidTr="00A241EB" w14:paraId="2B3D5611" w14:textId="77777777">
        <w:trPr>
          <w:trHeight w:val="432"/>
          <w:jc w:val="center"/>
        </w:trPr>
        <w:tc>
          <w:tcPr>
            <w:tcW w:w="1255" w:type="dxa"/>
            <w:vAlign w:val="center"/>
          </w:tcPr>
          <w:p w:rsidR="00AC2AE2" w:rsidP="00A241EB" w:rsidRDefault="00AC2AE2" w14:paraId="686FE340" w14:textId="158775E1">
            <w:pPr>
              <w:tabs>
                <w:tab w:val="center" w:pos="4320"/>
                <w:tab w:val="right" w:pos="8640"/>
              </w:tabs>
              <w:rPr>
                <w:sz w:val="20"/>
                <w:szCs w:val="20"/>
              </w:rPr>
            </w:pPr>
            <w:r>
              <w:rPr>
                <w:sz w:val="20"/>
                <w:szCs w:val="20"/>
              </w:rPr>
              <w:t>Staff survey</w:t>
            </w:r>
          </w:p>
        </w:tc>
        <w:tc>
          <w:tcPr>
            <w:tcW w:w="1204" w:type="dxa"/>
            <w:vAlign w:val="center"/>
          </w:tcPr>
          <w:p w:rsidR="00AC2AE2" w:rsidDel="00A763F8" w:rsidP="00A241EB" w:rsidRDefault="00AC2AE2" w14:paraId="276DED30" w14:textId="33F03221">
            <w:pPr>
              <w:tabs>
                <w:tab w:val="center" w:pos="4320"/>
                <w:tab w:val="right" w:pos="8640"/>
              </w:tabs>
              <w:jc w:val="center"/>
              <w:rPr>
                <w:sz w:val="20"/>
                <w:szCs w:val="20"/>
              </w:rPr>
            </w:pPr>
            <w:r>
              <w:rPr>
                <w:sz w:val="20"/>
                <w:szCs w:val="20"/>
              </w:rPr>
              <w:t>96</w:t>
            </w:r>
          </w:p>
        </w:tc>
        <w:tc>
          <w:tcPr>
            <w:tcW w:w="1187" w:type="dxa"/>
            <w:vAlign w:val="center"/>
          </w:tcPr>
          <w:p w:rsidR="00AC2AE2" w:rsidDel="00A763F8" w:rsidP="00A241EB" w:rsidRDefault="00AC2AE2" w14:paraId="3F31033C" w14:textId="16584B50">
            <w:pPr>
              <w:tabs>
                <w:tab w:val="center" w:pos="4320"/>
                <w:tab w:val="right" w:pos="8640"/>
              </w:tabs>
              <w:jc w:val="center"/>
              <w:rPr>
                <w:sz w:val="20"/>
                <w:szCs w:val="20"/>
              </w:rPr>
            </w:pPr>
            <w:r>
              <w:rPr>
                <w:sz w:val="20"/>
                <w:szCs w:val="20"/>
              </w:rPr>
              <w:t>32</w:t>
            </w:r>
          </w:p>
        </w:tc>
        <w:tc>
          <w:tcPr>
            <w:tcW w:w="1110" w:type="dxa"/>
            <w:vAlign w:val="center"/>
          </w:tcPr>
          <w:p w:rsidRPr="00403AAB" w:rsidR="00AC2AE2" w:rsidP="00A241EB" w:rsidRDefault="00AC2AE2" w14:paraId="5655E27F" w14:textId="2D12F66F">
            <w:pPr>
              <w:tabs>
                <w:tab w:val="center" w:pos="4320"/>
                <w:tab w:val="right" w:pos="8640"/>
              </w:tabs>
              <w:jc w:val="center"/>
              <w:rPr>
                <w:sz w:val="20"/>
                <w:szCs w:val="20"/>
              </w:rPr>
            </w:pPr>
            <w:r>
              <w:rPr>
                <w:sz w:val="20"/>
                <w:szCs w:val="20"/>
              </w:rPr>
              <w:t>1</w:t>
            </w:r>
          </w:p>
        </w:tc>
        <w:tc>
          <w:tcPr>
            <w:tcW w:w="958" w:type="dxa"/>
            <w:vAlign w:val="center"/>
          </w:tcPr>
          <w:p w:rsidRPr="00403AAB" w:rsidR="00AC2AE2" w:rsidP="00A241EB" w:rsidRDefault="00AC2AE2" w14:paraId="37DF09D7" w14:textId="728A39CF">
            <w:pPr>
              <w:tabs>
                <w:tab w:val="center" w:pos="4320"/>
                <w:tab w:val="right" w:pos="8640"/>
              </w:tabs>
              <w:jc w:val="center"/>
              <w:rPr>
                <w:sz w:val="20"/>
                <w:szCs w:val="20"/>
              </w:rPr>
            </w:pPr>
            <w:r>
              <w:rPr>
                <w:sz w:val="20"/>
                <w:szCs w:val="20"/>
              </w:rPr>
              <w:t>0.75</w:t>
            </w:r>
          </w:p>
        </w:tc>
        <w:tc>
          <w:tcPr>
            <w:tcW w:w="851" w:type="dxa"/>
            <w:vAlign w:val="center"/>
          </w:tcPr>
          <w:p w:rsidR="00AC2AE2" w:rsidDel="00A763F8" w:rsidP="00A241EB" w:rsidRDefault="00AC2AE2" w14:paraId="02893F92" w14:textId="0120A87E">
            <w:pPr>
              <w:tabs>
                <w:tab w:val="center" w:pos="4320"/>
                <w:tab w:val="right" w:pos="8640"/>
              </w:tabs>
              <w:jc w:val="center"/>
              <w:rPr>
                <w:sz w:val="20"/>
                <w:szCs w:val="20"/>
              </w:rPr>
            </w:pPr>
            <w:r>
              <w:rPr>
                <w:sz w:val="20"/>
                <w:szCs w:val="20"/>
              </w:rPr>
              <w:t>24</w:t>
            </w:r>
          </w:p>
        </w:tc>
        <w:tc>
          <w:tcPr>
            <w:tcW w:w="1530" w:type="dxa"/>
            <w:vAlign w:val="center"/>
          </w:tcPr>
          <w:p w:rsidRPr="00403AAB" w:rsidR="00AC2AE2" w:rsidP="00A241EB" w:rsidRDefault="00AC2AE2" w14:paraId="66587BEF" w14:textId="4223F354">
            <w:pPr>
              <w:tabs>
                <w:tab w:val="center" w:pos="4320"/>
                <w:tab w:val="right" w:pos="8640"/>
              </w:tabs>
              <w:jc w:val="center"/>
              <w:rPr>
                <w:sz w:val="20"/>
                <w:szCs w:val="20"/>
              </w:rPr>
            </w:pPr>
            <w:r>
              <w:rPr>
                <w:sz w:val="20"/>
                <w:szCs w:val="20"/>
              </w:rPr>
              <w:t>$33.38</w:t>
            </w:r>
          </w:p>
        </w:tc>
        <w:tc>
          <w:tcPr>
            <w:tcW w:w="1234" w:type="dxa"/>
            <w:vAlign w:val="center"/>
          </w:tcPr>
          <w:p w:rsidR="00AC2AE2" w:rsidP="00A241EB" w:rsidRDefault="00AC2AE2" w14:paraId="6B976CFF" w14:textId="07BC0A21">
            <w:pPr>
              <w:tabs>
                <w:tab w:val="center" w:pos="4320"/>
                <w:tab w:val="right" w:pos="8640"/>
              </w:tabs>
              <w:jc w:val="center"/>
              <w:rPr>
                <w:sz w:val="20"/>
                <w:szCs w:val="20"/>
              </w:rPr>
            </w:pPr>
            <w:r>
              <w:rPr>
                <w:sz w:val="20"/>
                <w:szCs w:val="20"/>
              </w:rPr>
              <w:t>$801.12</w:t>
            </w:r>
          </w:p>
        </w:tc>
      </w:tr>
      <w:tr w:rsidRPr="00BD4CFB" w:rsidR="00A241EB" w:rsidTr="00A241EB" w14:paraId="4E2226DC" w14:textId="77777777">
        <w:trPr>
          <w:trHeight w:val="432"/>
          <w:jc w:val="center"/>
        </w:trPr>
        <w:tc>
          <w:tcPr>
            <w:tcW w:w="1255" w:type="dxa"/>
            <w:vAlign w:val="center"/>
          </w:tcPr>
          <w:p w:rsidRPr="00BD4CFB" w:rsidR="00A241EB" w:rsidP="00A241EB" w:rsidRDefault="00A241EB" w14:paraId="23D94E13" w14:textId="77777777">
            <w:pPr>
              <w:tabs>
                <w:tab w:val="center" w:pos="4320"/>
                <w:tab w:val="right" w:pos="8640"/>
              </w:tabs>
              <w:rPr>
                <w:sz w:val="20"/>
                <w:szCs w:val="20"/>
              </w:rPr>
            </w:pPr>
            <w:r>
              <w:rPr>
                <w:sz w:val="20"/>
                <w:szCs w:val="20"/>
              </w:rPr>
              <w:t>In-depth participant interviews</w:t>
            </w:r>
          </w:p>
        </w:tc>
        <w:tc>
          <w:tcPr>
            <w:tcW w:w="1204" w:type="dxa"/>
            <w:vAlign w:val="center"/>
          </w:tcPr>
          <w:p w:rsidRPr="00403AAB" w:rsidR="00A241EB" w:rsidP="00826AB0" w:rsidRDefault="00826AB0" w14:paraId="6294EFB7" w14:textId="26263095">
            <w:pPr>
              <w:tabs>
                <w:tab w:val="center" w:pos="4320"/>
                <w:tab w:val="right" w:pos="8640"/>
              </w:tabs>
              <w:jc w:val="center"/>
              <w:rPr>
                <w:sz w:val="20"/>
                <w:szCs w:val="20"/>
              </w:rPr>
            </w:pPr>
            <w:r>
              <w:rPr>
                <w:sz w:val="20"/>
                <w:szCs w:val="20"/>
              </w:rPr>
              <w:t>53</w:t>
            </w:r>
          </w:p>
        </w:tc>
        <w:tc>
          <w:tcPr>
            <w:tcW w:w="1187" w:type="dxa"/>
            <w:vAlign w:val="center"/>
          </w:tcPr>
          <w:p w:rsidRPr="00403AAB" w:rsidR="00A241EB" w:rsidP="009D5FF0" w:rsidRDefault="00826AB0" w14:paraId="06BD1DE5" w14:textId="22228CA9">
            <w:pPr>
              <w:tabs>
                <w:tab w:val="center" w:pos="4320"/>
                <w:tab w:val="right" w:pos="8640"/>
              </w:tabs>
              <w:jc w:val="center"/>
              <w:rPr>
                <w:sz w:val="20"/>
                <w:szCs w:val="20"/>
              </w:rPr>
            </w:pPr>
            <w:r>
              <w:rPr>
                <w:sz w:val="20"/>
                <w:szCs w:val="20"/>
              </w:rPr>
              <w:t>18</w:t>
            </w:r>
          </w:p>
        </w:tc>
        <w:tc>
          <w:tcPr>
            <w:tcW w:w="1110" w:type="dxa"/>
            <w:vAlign w:val="center"/>
          </w:tcPr>
          <w:p w:rsidRPr="00403AAB" w:rsidR="00A241EB" w:rsidP="00A241EB" w:rsidRDefault="00A241EB" w14:paraId="20308893"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00F43397" w14:textId="77777777">
            <w:pPr>
              <w:tabs>
                <w:tab w:val="center" w:pos="4320"/>
                <w:tab w:val="right" w:pos="8640"/>
              </w:tabs>
              <w:jc w:val="center"/>
              <w:rPr>
                <w:sz w:val="20"/>
                <w:szCs w:val="20"/>
              </w:rPr>
            </w:pPr>
            <w:r w:rsidRPr="00403AAB">
              <w:rPr>
                <w:sz w:val="20"/>
                <w:szCs w:val="20"/>
              </w:rPr>
              <w:t>2.5</w:t>
            </w:r>
          </w:p>
        </w:tc>
        <w:tc>
          <w:tcPr>
            <w:tcW w:w="851" w:type="dxa"/>
            <w:vAlign w:val="center"/>
          </w:tcPr>
          <w:p w:rsidRPr="00403AAB" w:rsidR="00A241EB" w:rsidP="00826AB0" w:rsidRDefault="00826AB0" w14:paraId="336BE692" w14:textId="227B02A4">
            <w:pPr>
              <w:tabs>
                <w:tab w:val="center" w:pos="4320"/>
                <w:tab w:val="right" w:pos="8640"/>
              </w:tabs>
              <w:jc w:val="center"/>
              <w:rPr>
                <w:sz w:val="20"/>
                <w:szCs w:val="20"/>
              </w:rPr>
            </w:pPr>
            <w:r>
              <w:rPr>
                <w:sz w:val="20"/>
                <w:szCs w:val="20"/>
              </w:rPr>
              <w:t>45</w:t>
            </w:r>
          </w:p>
        </w:tc>
        <w:tc>
          <w:tcPr>
            <w:tcW w:w="1530" w:type="dxa"/>
            <w:vAlign w:val="center"/>
          </w:tcPr>
          <w:p w:rsidRPr="00403AAB" w:rsidR="00A241EB" w:rsidP="00A241EB" w:rsidRDefault="00A241EB" w14:paraId="4D794A27" w14:textId="77777777">
            <w:pPr>
              <w:tabs>
                <w:tab w:val="center" w:pos="4320"/>
                <w:tab w:val="right" w:pos="8640"/>
              </w:tabs>
              <w:jc w:val="center"/>
              <w:rPr>
                <w:sz w:val="20"/>
                <w:szCs w:val="20"/>
              </w:rPr>
            </w:pPr>
            <w:r w:rsidRPr="00403AAB">
              <w:rPr>
                <w:sz w:val="20"/>
                <w:szCs w:val="20"/>
              </w:rPr>
              <w:t>$</w:t>
            </w:r>
            <w:r>
              <w:rPr>
                <w:sz w:val="20"/>
                <w:szCs w:val="20"/>
              </w:rPr>
              <w:t>7.25</w:t>
            </w:r>
          </w:p>
        </w:tc>
        <w:tc>
          <w:tcPr>
            <w:tcW w:w="1234" w:type="dxa"/>
            <w:vAlign w:val="center"/>
          </w:tcPr>
          <w:p w:rsidRPr="00403AAB" w:rsidR="00A241EB" w:rsidP="0037775E" w:rsidRDefault="00A66817" w14:paraId="411E9AB7" w14:textId="64211FD9">
            <w:pPr>
              <w:tabs>
                <w:tab w:val="center" w:pos="4320"/>
                <w:tab w:val="right" w:pos="8640"/>
              </w:tabs>
              <w:jc w:val="center"/>
              <w:rPr>
                <w:sz w:val="20"/>
                <w:szCs w:val="20"/>
              </w:rPr>
            </w:pPr>
            <w:r>
              <w:rPr>
                <w:sz w:val="20"/>
                <w:szCs w:val="20"/>
              </w:rPr>
              <w:t>$</w:t>
            </w:r>
            <w:r w:rsidR="0037775E">
              <w:rPr>
                <w:sz w:val="20"/>
                <w:szCs w:val="20"/>
              </w:rPr>
              <w:t>326.25</w:t>
            </w:r>
          </w:p>
        </w:tc>
      </w:tr>
      <w:tr w:rsidRPr="00BD4CFB" w:rsidR="00A241EB" w:rsidTr="00A241EB" w14:paraId="6E3D69F1" w14:textId="77777777">
        <w:trPr>
          <w:trHeight w:val="432"/>
          <w:jc w:val="center"/>
        </w:trPr>
        <w:tc>
          <w:tcPr>
            <w:tcW w:w="1255" w:type="dxa"/>
            <w:vAlign w:val="center"/>
          </w:tcPr>
          <w:p w:rsidRPr="00BD4CFB" w:rsidR="00A241EB" w:rsidP="00A241EB" w:rsidRDefault="00A241EB" w14:paraId="0F39B199" w14:textId="77777777">
            <w:pPr>
              <w:tabs>
                <w:tab w:val="center" w:pos="4320"/>
                <w:tab w:val="right" w:pos="8640"/>
              </w:tabs>
              <w:rPr>
                <w:sz w:val="20"/>
                <w:szCs w:val="20"/>
              </w:rPr>
            </w:pPr>
            <w:r>
              <w:rPr>
                <w:sz w:val="20"/>
                <w:szCs w:val="20"/>
              </w:rPr>
              <w:t>Staff reports of program service receipt</w:t>
            </w:r>
          </w:p>
        </w:tc>
        <w:tc>
          <w:tcPr>
            <w:tcW w:w="1204" w:type="dxa"/>
            <w:vAlign w:val="center"/>
          </w:tcPr>
          <w:p w:rsidRPr="00403AAB" w:rsidR="00A241EB" w:rsidP="00A241EB" w:rsidRDefault="00A66817" w14:paraId="335EEEBC" w14:textId="0553E42E">
            <w:pPr>
              <w:tabs>
                <w:tab w:val="center" w:pos="4320"/>
                <w:tab w:val="right" w:pos="8640"/>
              </w:tabs>
              <w:jc w:val="center"/>
              <w:rPr>
                <w:sz w:val="20"/>
                <w:szCs w:val="20"/>
              </w:rPr>
            </w:pPr>
            <w:r>
              <w:rPr>
                <w:sz w:val="20"/>
                <w:szCs w:val="20"/>
              </w:rPr>
              <w:t>60</w:t>
            </w:r>
          </w:p>
        </w:tc>
        <w:tc>
          <w:tcPr>
            <w:tcW w:w="1187" w:type="dxa"/>
            <w:vAlign w:val="center"/>
          </w:tcPr>
          <w:p w:rsidRPr="00403AAB" w:rsidR="00A241EB" w:rsidP="00A241EB" w:rsidRDefault="00A66817" w14:paraId="5BF965F5" w14:textId="7E656A3C">
            <w:pPr>
              <w:tabs>
                <w:tab w:val="center" w:pos="4320"/>
                <w:tab w:val="right" w:pos="8640"/>
              </w:tabs>
              <w:jc w:val="center"/>
              <w:rPr>
                <w:sz w:val="20"/>
                <w:szCs w:val="20"/>
              </w:rPr>
            </w:pPr>
            <w:r>
              <w:rPr>
                <w:sz w:val="20"/>
                <w:szCs w:val="20"/>
              </w:rPr>
              <w:t>20</w:t>
            </w:r>
          </w:p>
        </w:tc>
        <w:tc>
          <w:tcPr>
            <w:tcW w:w="1110" w:type="dxa"/>
            <w:vAlign w:val="center"/>
          </w:tcPr>
          <w:p w:rsidRPr="00403AAB" w:rsidR="00A241EB" w:rsidP="00E27949" w:rsidRDefault="00A241EB" w14:paraId="09C942AC" w14:textId="3A9CEBD6">
            <w:pPr>
              <w:tabs>
                <w:tab w:val="center" w:pos="4320"/>
                <w:tab w:val="right" w:pos="8640"/>
              </w:tabs>
              <w:jc w:val="center"/>
              <w:rPr>
                <w:sz w:val="20"/>
                <w:szCs w:val="20"/>
              </w:rPr>
            </w:pPr>
            <w:r>
              <w:rPr>
                <w:sz w:val="20"/>
                <w:szCs w:val="20"/>
              </w:rPr>
              <w:t>5,200</w:t>
            </w:r>
          </w:p>
        </w:tc>
        <w:tc>
          <w:tcPr>
            <w:tcW w:w="958" w:type="dxa"/>
            <w:vAlign w:val="center"/>
          </w:tcPr>
          <w:p w:rsidRPr="00403AAB" w:rsidR="00A241EB" w:rsidP="00A241EB" w:rsidRDefault="00A241EB" w14:paraId="090F6BB9" w14:textId="77777777">
            <w:pPr>
              <w:tabs>
                <w:tab w:val="center" w:pos="4320"/>
                <w:tab w:val="right" w:pos="8640"/>
              </w:tabs>
              <w:jc w:val="center"/>
              <w:rPr>
                <w:sz w:val="20"/>
                <w:szCs w:val="20"/>
              </w:rPr>
            </w:pPr>
            <w:r w:rsidRPr="00403AAB">
              <w:rPr>
                <w:sz w:val="20"/>
                <w:szCs w:val="20"/>
              </w:rPr>
              <w:t>0.03</w:t>
            </w:r>
          </w:p>
        </w:tc>
        <w:tc>
          <w:tcPr>
            <w:tcW w:w="851" w:type="dxa"/>
            <w:vAlign w:val="center"/>
          </w:tcPr>
          <w:p w:rsidRPr="00403AAB" w:rsidR="00A241EB" w:rsidP="00E27949" w:rsidRDefault="00A66817" w14:paraId="2FA44444" w14:textId="628DAFC6">
            <w:pPr>
              <w:tabs>
                <w:tab w:val="center" w:pos="4320"/>
                <w:tab w:val="right" w:pos="8640"/>
              </w:tabs>
              <w:jc w:val="center"/>
              <w:rPr>
                <w:sz w:val="20"/>
                <w:szCs w:val="20"/>
              </w:rPr>
            </w:pPr>
            <w:r>
              <w:rPr>
                <w:sz w:val="20"/>
                <w:szCs w:val="20"/>
              </w:rPr>
              <w:t>3</w:t>
            </w:r>
            <w:r w:rsidR="00AC3AA8">
              <w:rPr>
                <w:sz w:val="20"/>
                <w:szCs w:val="20"/>
              </w:rPr>
              <w:t>,</w:t>
            </w:r>
            <w:r>
              <w:rPr>
                <w:sz w:val="20"/>
                <w:szCs w:val="20"/>
              </w:rPr>
              <w:t>120</w:t>
            </w:r>
          </w:p>
        </w:tc>
        <w:tc>
          <w:tcPr>
            <w:tcW w:w="1530" w:type="dxa"/>
            <w:vAlign w:val="center"/>
          </w:tcPr>
          <w:p w:rsidRPr="00403AAB" w:rsidR="00A241EB" w:rsidP="00A241EB" w:rsidRDefault="00A241EB" w14:paraId="4BDBB70D"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E27949" w:rsidRDefault="00A66817" w14:paraId="470A391A" w14:textId="33E8C161">
            <w:pPr>
              <w:tabs>
                <w:tab w:val="center" w:pos="4320"/>
                <w:tab w:val="right" w:pos="8640"/>
              </w:tabs>
              <w:jc w:val="center"/>
              <w:rPr>
                <w:sz w:val="20"/>
                <w:szCs w:val="20"/>
              </w:rPr>
            </w:pPr>
            <w:r>
              <w:rPr>
                <w:sz w:val="20"/>
                <w:szCs w:val="20"/>
              </w:rPr>
              <w:t>$104,145.60</w:t>
            </w:r>
          </w:p>
        </w:tc>
      </w:tr>
      <w:tr w:rsidRPr="00BD4CFB" w:rsidR="00A241EB" w:rsidTr="00A241EB" w14:paraId="24F4A0E9" w14:textId="46C80506">
        <w:trPr>
          <w:trHeight w:val="432"/>
          <w:jc w:val="center"/>
        </w:trPr>
        <w:tc>
          <w:tcPr>
            <w:tcW w:w="1255" w:type="dxa"/>
            <w:vAlign w:val="center"/>
          </w:tcPr>
          <w:p w:rsidRPr="00BD4CFB" w:rsidR="00A241EB" w:rsidP="00A241EB" w:rsidRDefault="00A241EB" w14:paraId="4516380A" w14:textId="1BF26A72">
            <w:pPr>
              <w:tabs>
                <w:tab w:val="center" w:pos="4320"/>
                <w:tab w:val="right" w:pos="8640"/>
              </w:tabs>
              <w:rPr>
                <w:sz w:val="20"/>
                <w:szCs w:val="20"/>
              </w:rPr>
            </w:pPr>
            <w:r>
              <w:rPr>
                <w:sz w:val="20"/>
                <w:szCs w:val="20"/>
              </w:rPr>
              <w:t>Video recordings of coaching sessions</w:t>
            </w:r>
          </w:p>
        </w:tc>
        <w:tc>
          <w:tcPr>
            <w:tcW w:w="1204" w:type="dxa"/>
            <w:vAlign w:val="center"/>
          </w:tcPr>
          <w:p w:rsidRPr="00403AAB" w:rsidR="00A241EB" w:rsidP="00A241EB" w:rsidRDefault="00FF6FFE" w14:paraId="0070AA48" w14:textId="62364841">
            <w:pPr>
              <w:tabs>
                <w:tab w:val="center" w:pos="4320"/>
                <w:tab w:val="right" w:pos="8640"/>
              </w:tabs>
              <w:jc w:val="center"/>
              <w:rPr>
                <w:sz w:val="20"/>
                <w:szCs w:val="20"/>
              </w:rPr>
            </w:pPr>
            <w:r>
              <w:rPr>
                <w:sz w:val="20"/>
                <w:szCs w:val="20"/>
              </w:rPr>
              <w:t>54</w:t>
            </w:r>
          </w:p>
        </w:tc>
        <w:tc>
          <w:tcPr>
            <w:tcW w:w="1187" w:type="dxa"/>
            <w:vAlign w:val="center"/>
          </w:tcPr>
          <w:p w:rsidRPr="00403AAB" w:rsidR="00A241EB" w:rsidP="00A241EB" w:rsidRDefault="00FF6FFE" w14:paraId="7D414D0A" w14:textId="3774B4EE">
            <w:pPr>
              <w:tabs>
                <w:tab w:val="center" w:pos="4320"/>
                <w:tab w:val="right" w:pos="8640"/>
              </w:tabs>
              <w:jc w:val="center"/>
              <w:rPr>
                <w:sz w:val="20"/>
                <w:szCs w:val="20"/>
              </w:rPr>
            </w:pPr>
            <w:r>
              <w:rPr>
                <w:sz w:val="20"/>
                <w:szCs w:val="20"/>
              </w:rPr>
              <w:t>18</w:t>
            </w:r>
          </w:p>
        </w:tc>
        <w:tc>
          <w:tcPr>
            <w:tcW w:w="1110" w:type="dxa"/>
            <w:vAlign w:val="center"/>
          </w:tcPr>
          <w:p w:rsidRPr="00403AAB" w:rsidR="00A241EB" w:rsidP="00A241EB" w:rsidRDefault="00A241EB" w14:paraId="4D358460" w14:textId="2DEFADFE">
            <w:pPr>
              <w:tabs>
                <w:tab w:val="center" w:pos="4320"/>
                <w:tab w:val="right" w:pos="8640"/>
              </w:tabs>
              <w:jc w:val="center"/>
              <w:rPr>
                <w:sz w:val="20"/>
                <w:szCs w:val="20"/>
              </w:rPr>
            </w:pPr>
            <w:r>
              <w:rPr>
                <w:sz w:val="20"/>
                <w:szCs w:val="20"/>
              </w:rPr>
              <w:t>10</w:t>
            </w:r>
          </w:p>
        </w:tc>
        <w:tc>
          <w:tcPr>
            <w:tcW w:w="958" w:type="dxa"/>
            <w:vAlign w:val="center"/>
          </w:tcPr>
          <w:p w:rsidRPr="00403AAB" w:rsidR="00A241EB" w:rsidP="00A241EB" w:rsidRDefault="00A241EB" w14:paraId="1924331D" w14:textId="5EF2B314">
            <w:pPr>
              <w:tabs>
                <w:tab w:val="center" w:pos="4320"/>
                <w:tab w:val="right" w:pos="8640"/>
              </w:tabs>
              <w:jc w:val="center"/>
              <w:rPr>
                <w:sz w:val="20"/>
                <w:szCs w:val="20"/>
              </w:rPr>
            </w:pPr>
            <w:r w:rsidRPr="00403AAB">
              <w:rPr>
                <w:sz w:val="20"/>
                <w:szCs w:val="20"/>
              </w:rPr>
              <w:t>0.1</w:t>
            </w:r>
          </w:p>
        </w:tc>
        <w:tc>
          <w:tcPr>
            <w:tcW w:w="851" w:type="dxa"/>
            <w:vAlign w:val="center"/>
          </w:tcPr>
          <w:p w:rsidRPr="00403AAB" w:rsidR="00A241EB" w:rsidP="00A241EB" w:rsidRDefault="00A66817" w14:paraId="1CC9AA04" w14:textId="1142A30B">
            <w:pPr>
              <w:tabs>
                <w:tab w:val="center" w:pos="4320"/>
                <w:tab w:val="right" w:pos="8640"/>
              </w:tabs>
              <w:jc w:val="center"/>
              <w:rPr>
                <w:sz w:val="20"/>
                <w:szCs w:val="20"/>
              </w:rPr>
            </w:pPr>
            <w:r>
              <w:rPr>
                <w:sz w:val="20"/>
                <w:szCs w:val="20"/>
              </w:rPr>
              <w:t>18</w:t>
            </w:r>
          </w:p>
        </w:tc>
        <w:tc>
          <w:tcPr>
            <w:tcW w:w="1530" w:type="dxa"/>
            <w:vAlign w:val="center"/>
          </w:tcPr>
          <w:p w:rsidRPr="00403AAB" w:rsidR="00A241EB" w:rsidP="00A241EB" w:rsidRDefault="00A241EB" w14:paraId="7F8C240E" w14:textId="4475A7C6">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3E502DAA" w14:textId="009DF4E1">
            <w:pPr>
              <w:tabs>
                <w:tab w:val="center" w:pos="4320"/>
                <w:tab w:val="right" w:pos="8640"/>
              </w:tabs>
              <w:jc w:val="center"/>
              <w:rPr>
                <w:sz w:val="20"/>
                <w:szCs w:val="20"/>
              </w:rPr>
            </w:pPr>
            <w:r>
              <w:rPr>
                <w:sz w:val="20"/>
                <w:szCs w:val="20"/>
              </w:rPr>
              <w:t>$600.84</w:t>
            </w:r>
          </w:p>
        </w:tc>
      </w:tr>
      <w:tr w:rsidRPr="00BD4CFB" w:rsidR="00963D8D" w:rsidTr="0007784B" w14:paraId="5D852CEB" w14:textId="77777777">
        <w:trPr>
          <w:trHeight w:val="432"/>
          <w:jc w:val="center"/>
        </w:trPr>
        <w:tc>
          <w:tcPr>
            <w:tcW w:w="1255" w:type="dxa"/>
            <w:vAlign w:val="center"/>
          </w:tcPr>
          <w:p w:rsidR="00963D8D" w:rsidP="00A241EB" w:rsidRDefault="00963D8D" w14:paraId="71AE4384" w14:textId="7E04D8AD">
            <w:pPr>
              <w:tabs>
                <w:tab w:val="center" w:pos="4320"/>
                <w:tab w:val="right" w:pos="8640"/>
              </w:tabs>
              <w:rPr>
                <w:sz w:val="20"/>
                <w:szCs w:val="20"/>
              </w:rPr>
            </w:pPr>
            <w:r>
              <w:rPr>
                <w:sz w:val="20"/>
                <w:szCs w:val="20"/>
              </w:rPr>
              <w:t>Second follow-up survey</w:t>
            </w:r>
          </w:p>
        </w:tc>
        <w:tc>
          <w:tcPr>
            <w:tcW w:w="1204" w:type="dxa"/>
            <w:vAlign w:val="center"/>
          </w:tcPr>
          <w:p w:rsidR="00963D8D" w:rsidP="00A241EB" w:rsidRDefault="00963D8D" w14:paraId="456122D4" w14:textId="30590E11">
            <w:pPr>
              <w:tabs>
                <w:tab w:val="center" w:pos="4320"/>
                <w:tab w:val="right" w:pos="8640"/>
              </w:tabs>
              <w:jc w:val="center"/>
              <w:rPr>
                <w:sz w:val="20"/>
                <w:szCs w:val="20"/>
              </w:rPr>
            </w:pPr>
            <w:r>
              <w:rPr>
                <w:sz w:val="20"/>
                <w:szCs w:val="20"/>
              </w:rPr>
              <w:t>4,800</w:t>
            </w:r>
          </w:p>
        </w:tc>
        <w:tc>
          <w:tcPr>
            <w:tcW w:w="1187" w:type="dxa"/>
            <w:vAlign w:val="center"/>
          </w:tcPr>
          <w:p w:rsidR="00963D8D" w:rsidP="00A241EB" w:rsidRDefault="00963D8D" w14:paraId="3A81ECDE" w14:textId="6E81E263">
            <w:pPr>
              <w:tabs>
                <w:tab w:val="center" w:pos="4320"/>
                <w:tab w:val="right" w:pos="8640"/>
              </w:tabs>
              <w:jc w:val="center"/>
              <w:rPr>
                <w:sz w:val="20"/>
                <w:szCs w:val="20"/>
              </w:rPr>
            </w:pPr>
            <w:r>
              <w:rPr>
                <w:sz w:val="20"/>
                <w:szCs w:val="20"/>
              </w:rPr>
              <w:t>1,600</w:t>
            </w:r>
          </w:p>
        </w:tc>
        <w:tc>
          <w:tcPr>
            <w:tcW w:w="1110" w:type="dxa"/>
            <w:vAlign w:val="center"/>
          </w:tcPr>
          <w:p w:rsidR="00963D8D" w:rsidP="00A241EB" w:rsidRDefault="00963D8D" w14:paraId="2568CFED" w14:textId="277482FD">
            <w:pPr>
              <w:tabs>
                <w:tab w:val="center" w:pos="4320"/>
                <w:tab w:val="right" w:pos="8640"/>
              </w:tabs>
              <w:jc w:val="center"/>
              <w:rPr>
                <w:sz w:val="20"/>
                <w:szCs w:val="20"/>
              </w:rPr>
            </w:pPr>
            <w:r>
              <w:rPr>
                <w:sz w:val="20"/>
                <w:szCs w:val="20"/>
              </w:rPr>
              <w:t>1</w:t>
            </w:r>
          </w:p>
        </w:tc>
        <w:tc>
          <w:tcPr>
            <w:tcW w:w="958" w:type="dxa"/>
            <w:vAlign w:val="center"/>
          </w:tcPr>
          <w:p w:rsidRPr="00403AAB" w:rsidR="00963D8D" w:rsidP="00A241EB" w:rsidRDefault="00963D8D" w14:paraId="40FD7151" w14:textId="60C55EEB">
            <w:pPr>
              <w:tabs>
                <w:tab w:val="center" w:pos="4320"/>
                <w:tab w:val="right" w:pos="8640"/>
              </w:tabs>
              <w:jc w:val="center"/>
              <w:rPr>
                <w:sz w:val="20"/>
                <w:szCs w:val="20"/>
              </w:rPr>
            </w:pPr>
            <w:r>
              <w:rPr>
                <w:sz w:val="20"/>
                <w:szCs w:val="20"/>
              </w:rPr>
              <w:t>0.75</w:t>
            </w:r>
          </w:p>
        </w:tc>
        <w:tc>
          <w:tcPr>
            <w:tcW w:w="851" w:type="dxa"/>
            <w:vAlign w:val="center"/>
          </w:tcPr>
          <w:p w:rsidR="00963D8D" w:rsidP="00A241EB" w:rsidRDefault="00963D8D" w14:paraId="55F10F6F" w14:textId="64766D5E">
            <w:pPr>
              <w:tabs>
                <w:tab w:val="center" w:pos="4320"/>
                <w:tab w:val="right" w:pos="8640"/>
              </w:tabs>
              <w:jc w:val="center"/>
              <w:rPr>
                <w:sz w:val="20"/>
                <w:szCs w:val="20"/>
              </w:rPr>
            </w:pPr>
            <w:r>
              <w:rPr>
                <w:sz w:val="20"/>
                <w:szCs w:val="20"/>
              </w:rPr>
              <w:t>1,200</w:t>
            </w:r>
          </w:p>
        </w:tc>
        <w:tc>
          <w:tcPr>
            <w:tcW w:w="1530" w:type="dxa"/>
            <w:vAlign w:val="center"/>
          </w:tcPr>
          <w:p w:rsidRPr="00403AAB" w:rsidR="00963D8D" w:rsidP="00A241EB" w:rsidRDefault="00963D8D" w14:paraId="1BE9FB74" w14:textId="0DB57E8E">
            <w:pPr>
              <w:tabs>
                <w:tab w:val="center" w:pos="4320"/>
                <w:tab w:val="right" w:pos="8640"/>
              </w:tabs>
              <w:jc w:val="center"/>
              <w:rPr>
                <w:sz w:val="20"/>
                <w:szCs w:val="20"/>
              </w:rPr>
            </w:pPr>
            <w:r>
              <w:rPr>
                <w:sz w:val="20"/>
                <w:szCs w:val="20"/>
              </w:rPr>
              <w:t>$7.25</w:t>
            </w:r>
          </w:p>
        </w:tc>
        <w:tc>
          <w:tcPr>
            <w:tcW w:w="1234" w:type="dxa"/>
            <w:vAlign w:val="center"/>
          </w:tcPr>
          <w:p w:rsidR="00963D8D" w:rsidP="00A241EB" w:rsidRDefault="00963D8D" w14:paraId="7A605AB8" w14:textId="04317EDA">
            <w:pPr>
              <w:tabs>
                <w:tab w:val="center" w:pos="4320"/>
                <w:tab w:val="right" w:pos="8640"/>
              </w:tabs>
              <w:jc w:val="center"/>
              <w:rPr>
                <w:sz w:val="20"/>
                <w:szCs w:val="20"/>
              </w:rPr>
            </w:pPr>
            <w:r>
              <w:rPr>
                <w:sz w:val="20"/>
                <w:szCs w:val="20"/>
              </w:rPr>
              <w:t>$8,700</w:t>
            </w:r>
          </w:p>
        </w:tc>
      </w:tr>
      <w:tr w:rsidRPr="00BD4CFB" w:rsidR="00A241EB" w:rsidTr="0007784B" w14:paraId="4D4D553E" w14:textId="77777777">
        <w:trPr>
          <w:jc w:val="center"/>
        </w:trPr>
        <w:tc>
          <w:tcPr>
            <w:tcW w:w="5714" w:type="dxa"/>
            <w:gridSpan w:val="5"/>
            <w:vAlign w:val="center"/>
          </w:tcPr>
          <w:p w:rsidRPr="00BD4CFB" w:rsidR="00A241EB" w:rsidP="00A241EB" w:rsidRDefault="00A241EB" w14:paraId="57CDCF6D" w14:textId="77777777">
            <w:pPr>
              <w:tabs>
                <w:tab w:val="center" w:pos="4320"/>
                <w:tab w:val="right" w:pos="8640"/>
              </w:tabs>
              <w:rPr>
                <w:b/>
                <w:sz w:val="20"/>
                <w:szCs w:val="20"/>
              </w:rPr>
            </w:pPr>
            <w:r>
              <w:rPr>
                <w:b/>
                <w:sz w:val="20"/>
                <w:szCs w:val="20"/>
              </w:rPr>
              <w:t>Estimated annual b</w:t>
            </w:r>
            <w:r w:rsidRPr="00BD4CFB">
              <w:rPr>
                <w:b/>
                <w:sz w:val="20"/>
                <w:szCs w:val="20"/>
              </w:rPr>
              <w:t xml:space="preserve">urden </w:t>
            </w:r>
            <w:r>
              <w:rPr>
                <w:b/>
                <w:sz w:val="20"/>
                <w:szCs w:val="20"/>
              </w:rPr>
              <w:t>t</w:t>
            </w:r>
            <w:r w:rsidRPr="00BD4CFB">
              <w:rPr>
                <w:b/>
                <w:sz w:val="20"/>
                <w:szCs w:val="20"/>
              </w:rPr>
              <w:t xml:space="preserve">otal </w:t>
            </w:r>
          </w:p>
        </w:tc>
        <w:tc>
          <w:tcPr>
            <w:tcW w:w="851" w:type="dxa"/>
          </w:tcPr>
          <w:p w:rsidRPr="00BD4CFB" w:rsidR="00A241EB" w:rsidP="0037775E" w:rsidRDefault="00F6712C" w14:paraId="0D9B7F10" w14:textId="08B0F891">
            <w:pPr>
              <w:tabs>
                <w:tab w:val="center" w:pos="4320"/>
                <w:tab w:val="right" w:pos="8640"/>
              </w:tabs>
              <w:jc w:val="center"/>
              <w:rPr>
                <w:b/>
                <w:sz w:val="20"/>
                <w:szCs w:val="20"/>
              </w:rPr>
            </w:pPr>
            <w:r>
              <w:rPr>
                <w:b/>
                <w:sz w:val="20"/>
                <w:szCs w:val="20"/>
              </w:rPr>
              <w:t>6,9</w:t>
            </w:r>
            <w:r w:rsidR="0037775E">
              <w:rPr>
                <w:b/>
                <w:sz w:val="20"/>
                <w:szCs w:val="20"/>
              </w:rPr>
              <w:t>19</w:t>
            </w:r>
            <w:r w:rsidR="00826AB0">
              <w:rPr>
                <w:b/>
                <w:sz w:val="20"/>
                <w:szCs w:val="20"/>
              </w:rPr>
              <w:t>.5</w:t>
            </w:r>
          </w:p>
        </w:tc>
        <w:tc>
          <w:tcPr>
            <w:tcW w:w="1530" w:type="dxa"/>
          </w:tcPr>
          <w:p w:rsidRPr="00BD4CFB" w:rsidR="00A241EB" w:rsidP="00A241EB" w:rsidRDefault="00A241EB" w14:paraId="216642F6" w14:textId="77777777">
            <w:pPr>
              <w:tabs>
                <w:tab w:val="center" w:pos="4320"/>
                <w:tab w:val="right" w:pos="8640"/>
              </w:tabs>
              <w:jc w:val="center"/>
              <w:rPr>
                <w:b/>
                <w:sz w:val="20"/>
                <w:szCs w:val="20"/>
              </w:rPr>
            </w:pPr>
          </w:p>
        </w:tc>
        <w:tc>
          <w:tcPr>
            <w:tcW w:w="1234" w:type="dxa"/>
          </w:tcPr>
          <w:p w:rsidRPr="00BD4CFB" w:rsidR="00A241EB" w:rsidP="0037775E" w:rsidRDefault="00347CAE" w14:paraId="6B23890B" w14:textId="61A8AD20">
            <w:pPr>
              <w:tabs>
                <w:tab w:val="center" w:pos="4320"/>
                <w:tab w:val="right" w:pos="8640"/>
              </w:tabs>
              <w:jc w:val="center"/>
              <w:rPr>
                <w:b/>
                <w:sz w:val="20"/>
                <w:szCs w:val="20"/>
              </w:rPr>
            </w:pPr>
            <w:r>
              <w:rPr>
                <w:b/>
                <w:sz w:val="20"/>
                <w:szCs w:val="20"/>
              </w:rPr>
              <w:t>$</w:t>
            </w:r>
            <w:r w:rsidR="0037775E">
              <w:rPr>
                <w:b/>
                <w:sz w:val="20"/>
                <w:szCs w:val="20"/>
              </w:rPr>
              <w:t>151,694.49</w:t>
            </w:r>
          </w:p>
        </w:tc>
      </w:tr>
    </w:tbl>
    <w:p w:rsidR="00A241EB" w:rsidP="00A241EB" w:rsidRDefault="00A241EB" w14:paraId="343655B4" w14:textId="77777777"/>
    <w:p w:rsidR="00A241EB" w:rsidP="00A241EB" w:rsidRDefault="00A241EB" w14:paraId="2382BA27" w14:textId="19A574B1"/>
    <w:p w:rsidR="00A241EB" w:rsidP="00A241EB" w:rsidRDefault="00A241EB" w14:paraId="692C22E3" w14:textId="77777777"/>
    <w:p w:rsidR="00E46C13" w:rsidP="00403AAB" w:rsidRDefault="00CF1491" w14:paraId="313D71D4" w14:textId="56AA5AB5">
      <w:r>
        <w:t xml:space="preserve"> </w:t>
      </w:r>
    </w:p>
    <w:p w:rsidR="002A2654" w:rsidP="00403AAB" w:rsidRDefault="002A2654" w14:paraId="1B0AD0EA" w14:textId="77777777"/>
    <w:p w:rsidRPr="0007784B" w:rsidR="00924CBF" w:rsidP="0007784B" w:rsidRDefault="00924CBF" w14:paraId="1096DFE7" w14:textId="77777777"/>
    <w:p w:rsidRPr="001D69ED" w:rsidR="004D6342" w:rsidP="004D6342" w:rsidRDefault="004D6342" w14:paraId="1DB58C0E" w14:textId="08613021">
      <w:pPr>
        <w:pStyle w:val="H3Alpha"/>
        <w:rPr>
          <w:rFonts w:ascii="Times New Roman" w:hAnsi="Times New Roman"/>
          <w:b/>
          <w:sz w:val="24"/>
          <w:szCs w:val="24"/>
        </w:rPr>
      </w:pPr>
      <w:r w:rsidRPr="001D69ED">
        <w:rPr>
          <w:rFonts w:ascii="Times New Roman" w:hAnsi="Times New Roman"/>
          <w:b/>
          <w:sz w:val="24"/>
          <w:szCs w:val="24"/>
        </w:rPr>
        <w:lastRenderedPageBreak/>
        <w:t>Total Burden Under 0970-0506</w:t>
      </w:r>
    </w:p>
    <w:p w:rsidRPr="00F92907" w:rsidR="004D6342" w:rsidP="004D6342" w:rsidRDefault="004D6342" w14:paraId="58CAA8B6" w14:textId="7B7A6A83">
      <w:pPr>
        <w:keepNext/>
        <w:spacing w:before="240" w:after="60"/>
      </w:pPr>
      <w:r w:rsidRPr="00F92907">
        <w:t>The total annual burden, including previously approved</w:t>
      </w:r>
      <w:r w:rsidR="00D47D3C">
        <w:t xml:space="preserve"> </w:t>
      </w:r>
      <w:r w:rsidRPr="00F92907">
        <w:t xml:space="preserve">and remaining hours </w:t>
      </w:r>
      <w:r w:rsidR="008E3C4A">
        <w:t>(6,910)</w:t>
      </w:r>
      <w:r w:rsidRPr="00F92907" w:rsidR="008E3C4A">
        <w:t xml:space="preserve"> </w:t>
      </w:r>
      <w:r w:rsidRPr="00F92907">
        <w:t>in addition to this new request</w:t>
      </w:r>
      <w:r w:rsidR="008E3C4A">
        <w:t xml:space="preserve"> (9.5)</w:t>
      </w:r>
      <w:r w:rsidRPr="00F92907">
        <w:t xml:space="preserve"> is </w:t>
      </w:r>
      <w:r w:rsidR="00792B01">
        <w:t>6,91</w:t>
      </w:r>
      <w:r w:rsidR="00A4738A">
        <w:t>9.5</w:t>
      </w:r>
      <w:r w:rsidR="001B6F78">
        <w:t xml:space="preserve"> </w:t>
      </w:r>
      <w:r w:rsidRPr="00F92907">
        <w:t xml:space="preserve">annual hours. </w:t>
      </w:r>
    </w:p>
    <w:p w:rsidRPr="0072204D" w:rsidR="00945CD6" w:rsidP="00B9279C" w:rsidRDefault="00292B70" w14:paraId="1D44A317" w14:textId="77777777">
      <w:pPr>
        <w:keepNext/>
        <w:spacing w:before="360" w:after="120"/>
        <w:rPr>
          <w:b/>
        </w:rPr>
      </w:pPr>
      <w:r>
        <w:rPr>
          <w:b/>
        </w:rPr>
        <w:t xml:space="preserve">A13. </w:t>
      </w:r>
      <w:r w:rsidRPr="0072204D" w:rsidR="00945CD6">
        <w:rPr>
          <w:b/>
        </w:rPr>
        <w:t>Cost Burden to Respondents or Record Keepers</w:t>
      </w:r>
    </w:p>
    <w:p w:rsidRPr="00F10B7E" w:rsidR="00403AAB" w:rsidP="00403AAB" w:rsidRDefault="00403AAB" w14:paraId="6D31715C" w14:textId="77777777">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rsidRPr="0072204D" w:rsidR="00945CD6" w:rsidP="00B9279C" w:rsidRDefault="00292B70" w14:paraId="1CD6C59E" w14:textId="77777777">
      <w:pPr>
        <w:keepNext/>
        <w:spacing w:before="360" w:after="120"/>
        <w:rPr>
          <w:b/>
        </w:rPr>
      </w:pPr>
      <w:r>
        <w:rPr>
          <w:b/>
        </w:rPr>
        <w:t xml:space="preserve">A14. </w:t>
      </w:r>
      <w:r w:rsidRPr="0072204D" w:rsidR="00945CD6">
        <w:rPr>
          <w:b/>
        </w:rPr>
        <w:t>Estimate of Cost to the Federal Government</w:t>
      </w:r>
    </w:p>
    <w:p w:rsidRPr="00BB2157" w:rsidR="00B91D97" w:rsidP="00436F5E" w:rsidRDefault="008C7BA1" w14:paraId="76680727" w14:textId="4DA656E0">
      <w:r>
        <w:t>The total cost for the COVID-19 related implementation data collection under this current request will be $6</w:t>
      </w:r>
      <w:r w:rsidR="00AD47D8">
        <w:t>0</w:t>
      </w:r>
      <w:r>
        <w:t>,</w:t>
      </w:r>
      <w:r w:rsidR="00AD47D8">
        <w:t>700</w:t>
      </w:r>
      <w:r>
        <w:t>. A</w:t>
      </w:r>
      <w:r w:rsidR="00A4738A">
        <w:t>nnual cost</w:t>
      </w:r>
      <w:r>
        <w:t>s to</w:t>
      </w:r>
      <w:r w:rsidR="00A4738A">
        <w:t xml:space="preserve"> </w:t>
      </w:r>
      <w:r>
        <w:t>the Federal Government will be</w:t>
      </w:r>
      <w:r w:rsidR="00A4738A">
        <w:t xml:space="preserve"> </w:t>
      </w:r>
      <w:r>
        <w:t>$2</w:t>
      </w:r>
      <w:r w:rsidR="00AD47D8">
        <w:t>0</w:t>
      </w:r>
      <w:r>
        <w:t>,</w:t>
      </w:r>
      <w:r w:rsidR="00AD47D8">
        <w:t>233</w:t>
      </w:r>
      <w:r>
        <w:t>.</w:t>
      </w:r>
    </w:p>
    <w:p w:rsidR="00403AAB" w:rsidP="00B9279C" w:rsidRDefault="00292B70" w14:paraId="0FE74B52" w14:textId="77777777">
      <w:pPr>
        <w:keepNext/>
        <w:spacing w:before="360" w:after="120"/>
        <w:rPr>
          <w:b/>
        </w:rPr>
      </w:pPr>
      <w:r>
        <w:rPr>
          <w:b/>
        </w:rPr>
        <w:t xml:space="preserve">A15. </w:t>
      </w:r>
      <w:r w:rsidRPr="0072204D" w:rsidR="00945CD6">
        <w:rPr>
          <w:b/>
        </w:rPr>
        <w:t>Change in Burden</w:t>
      </w:r>
    </w:p>
    <w:p w:rsidRPr="00403AAB" w:rsidR="00DE3710" w:rsidP="00403AAB" w:rsidRDefault="0081676C" w14:paraId="1F6442F8" w14:textId="00F57CF1">
      <w:pPr>
        <w:spacing w:after="120"/>
        <w:rPr>
          <w:b/>
        </w:rPr>
      </w:pPr>
      <w:r>
        <w:t xml:space="preserve">This </w:t>
      </w:r>
      <w:r w:rsidR="00362BA9">
        <w:t xml:space="preserve">non-substantive </w:t>
      </w:r>
      <w:r>
        <w:t xml:space="preserve">change request increases the </w:t>
      </w:r>
      <w:r w:rsidR="00362BA9">
        <w:t xml:space="preserve">annual </w:t>
      </w:r>
      <w:r>
        <w:t xml:space="preserve">burden </w:t>
      </w:r>
      <w:r w:rsidR="00362BA9">
        <w:t xml:space="preserve">hours </w:t>
      </w:r>
      <w:r>
        <w:t xml:space="preserve">associated with the semi-structured </w:t>
      </w:r>
      <w:r w:rsidR="002A2654">
        <w:t xml:space="preserve">management, </w:t>
      </w:r>
      <w:r>
        <w:t>staff</w:t>
      </w:r>
      <w:r w:rsidR="002A2654">
        <w:t>, and supervisor</w:t>
      </w:r>
      <w:r>
        <w:t xml:space="preserve"> interviews </w:t>
      </w:r>
      <w:r w:rsidR="00362BA9">
        <w:t xml:space="preserve">by 4.5 hours, </w:t>
      </w:r>
      <w:r>
        <w:t xml:space="preserve">and </w:t>
      </w:r>
      <w:r w:rsidR="00362BA9">
        <w:t xml:space="preserve">the annual burden hours associated with the </w:t>
      </w:r>
      <w:r>
        <w:t xml:space="preserve">in-depth participant interviews by </w:t>
      </w:r>
      <w:r w:rsidR="00FA492B">
        <w:t xml:space="preserve">5 </w:t>
      </w:r>
      <w:r>
        <w:t>hours. This increased burden is reflected in Table A.</w:t>
      </w:r>
      <w:r w:rsidR="001B6F78">
        <w:t>3</w:t>
      </w:r>
      <w:r>
        <w:t xml:space="preserve">. </w:t>
      </w:r>
    </w:p>
    <w:p w:rsidR="00403AAB" w:rsidP="00B9279C" w:rsidRDefault="00292B70" w14:paraId="5F7AAE4D" w14:textId="77777777">
      <w:pPr>
        <w:keepNext/>
        <w:spacing w:before="360" w:after="120"/>
        <w:rPr>
          <w:b/>
        </w:rPr>
      </w:pPr>
      <w:r w:rsidRPr="005A64C5">
        <w:rPr>
          <w:b/>
        </w:rPr>
        <w:t xml:space="preserve">A16. </w:t>
      </w:r>
      <w:r w:rsidRPr="005A64C5" w:rsidR="00945CD6">
        <w:rPr>
          <w:b/>
        </w:rPr>
        <w:t>Plan and Time Schedule for Information Collection, Tabulation and Publication</w:t>
      </w:r>
      <w:r w:rsidR="00B9279C">
        <w:rPr>
          <w:b/>
        </w:rPr>
        <w:t xml:space="preserve"> </w:t>
      </w:r>
      <w:r w:rsidR="00403AAB">
        <w:rPr>
          <w:b/>
        </w:rPr>
        <w:t>Plans for Tabulation</w:t>
      </w:r>
    </w:p>
    <w:p w:rsidR="00CC2132" w:rsidP="004453F8" w:rsidRDefault="00CC2132" w14:paraId="6F823B36" w14:textId="77777777">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rsidR="00CC2132" w:rsidP="004453F8" w:rsidRDefault="00CC2132" w14:paraId="722681B9" w14:textId="56319B25">
      <w:pPr>
        <w:pStyle w:val="NormalSS"/>
        <w:ind w:firstLine="0"/>
      </w:pPr>
      <w:r w:rsidRPr="00BE7930">
        <w:t>We will</w:t>
      </w:r>
      <w:r>
        <w:t xml:space="preserve"> use the baseline data </w:t>
      </w:r>
      <w:r w:rsidR="00096A96">
        <w:t xml:space="preserve">collected under </w:t>
      </w:r>
      <w:r w:rsidR="00096A96">
        <w:rPr>
          <w:szCs w:val="24"/>
        </w:rPr>
        <w:t xml:space="preserve">0970-0506 </w:t>
      </w:r>
      <w:r>
        <w:t>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rsidRPr="00C34C28" w:rsidR="00CC2132" w:rsidP="0082700D" w:rsidRDefault="00CC2132" w14:paraId="4A4B8C5E" w14:textId="0BEA74D7">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8.55pt;height:21.5pt" o:ole="" type="#_x0000_t75">
            <v:imagedata o:title="" r:id="rId11"/>
          </v:shape>
          <o:OLEObject Type="Embed" ProgID="Equation.3" ShapeID="_x0000_i1025" DrawAspect="Content" ObjectID="_1663394953" r:id="rId12"/>
        </w:object>
      </w:r>
      <w:r w:rsidRPr="005A7A17">
        <w:rPr>
          <w:rFonts w:cs="TimesNewRomanPSMT"/>
        </w:rPr>
        <w:t xml:space="preserve">, </w:t>
      </w:r>
      <w:r w:rsidRPr="005A7A17">
        <w:t xml:space="preserve">where </w:t>
      </w:r>
      <w:r w:rsidRPr="005A7A17">
        <w:rPr>
          <w:position w:val="-12"/>
        </w:rPr>
        <w:object w:dxaOrig="240" w:dyaOrig="360" w14:anchorId="1241D827">
          <v:shape id="_x0000_i1026" style="width:14.5pt;height:21.5pt" o:ole="" type="#_x0000_t75">
            <v:imagedata o:title="" r:id="rId13"/>
          </v:shape>
          <o:OLEObject Type="Embed" ProgID="Equation.3" ShapeID="_x0000_i1026" DrawAspect="Content" ObjectID="_1663394954" r:id="rId14"/>
        </w:object>
      </w:r>
      <w:r w:rsidRPr="005A7A17">
        <w:t xml:space="preserve">is an outcome for </w:t>
      </w:r>
      <w:r w:rsidRPr="005A7A17">
        <w:lastRenderedPageBreak/>
        <w:t>person</w:t>
      </w:r>
      <w:r w:rsidRPr="005A7A17">
        <w:rPr>
          <w:position w:val="-6"/>
        </w:rPr>
        <w:object w:dxaOrig="139" w:dyaOrig="260" w14:anchorId="030E0406">
          <v:shape id="_x0000_i1027" style="width:7.5pt;height:14.5pt" o:ole="" type="#_x0000_t75">
            <v:imagedata o:title="" r:id="rId15"/>
          </v:shape>
          <o:OLEObject Type="Embed" ProgID="Equation.3" ShapeID="_x0000_i1027" DrawAspect="Content" ObjectID="_1663394955" r:id="rId16"/>
        </w:object>
      </w:r>
      <w:r w:rsidRPr="005A7A17">
        <w:t xml:space="preserve"> (such as earnings)</w:t>
      </w:r>
      <w:r w:rsidR="00D1088B">
        <w:t>;</w:t>
      </w:r>
      <w:r w:rsidRPr="005A7A17">
        <w:t xml:space="preserve"> </w:t>
      </w:r>
      <w:r w:rsidRPr="00F91456" w:rsidR="00F91456">
        <w:rPr>
          <w:position w:val="-6"/>
        </w:rPr>
        <w:object w:dxaOrig="240" w:dyaOrig="220" w14:anchorId="6E82A0FF">
          <v:shape id="_x0000_i1028" style="width:14.5pt;height:14.5pt" o:ole="" type="#_x0000_t75">
            <v:imagedata o:title="" r:id="rId17"/>
          </v:shape>
          <o:OLEObject Type="Embed" ProgID="Equation.3" ShapeID="_x0000_i1028" DrawAspect="Content" ObjectID="_1663394956" r:id="rId18"/>
        </w:object>
      </w:r>
      <w:r w:rsidR="00F91456">
        <w:t>is a constant;</w:t>
      </w:r>
      <w:r w:rsidRPr="00F91456" w:rsidR="00F91456">
        <w:t xml:space="preserve"> </w:t>
      </w:r>
      <w:r w:rsidRPr="005A7A17">
        <w:rPr>
          <w:position w:val="-12"/>
        </w:rPr>
        <w:object w:dxaOrig="320" w:dyaOrig="360" w14:anchorId="4BBD01F7">
          <v:shape id="_x0000_i1029" style="width:21.5pt;height:21.5pt" o:ole="" type="#_x0000_t75">
            <v:imagedata o:title="" r:id="rId19"/>
          </v:shape>
          <o:OLEObject Type="Embed" ProgID="Equation.3" ShapeID="_x0000_i1029" DrawAspect="Content" ObjectID="_1663394957" r:id="rId20"/>
        </w:object>
      </w:r>
      <w:r w:rsidRPr="005A7A17">
        <w:t>is a vector of baseline characteristics (suc</w:t>
      </w:r>
      <w:r>
        <w:t>h as gender, age, race/ethnicity</w:t>
      </w:r>
      <w:r w:rsidRPr="005A7A17">
        <w:t>)</w:t>
      </w:r>
      <w:r w:rsidR="00D1088B">
        <w:t>;</w:t>
      </w:r>
      <w:r w:rsidRPr="005A7A17">
        <w:t xml:space="preserve"> </w:t>
      </w:r>
      <w:r w:rsidRPr="00F91456" w:rsidR="00F91456">
        <w:rPr>
          <w:position w:val="-10"/>
        </w:rPr>
        <w:object w:dxaOrig="240" w:dyaOrig="320" w14:anchorId="746607B6">
          <v:shape id="_x0000_i1030" style="width:14.5pt;height:14.5pt" o:ole="" type="#_x0000_t75">
            <v:imagedata o:title="" r:id="rId21"/>
          </v:shape>
          <o:OLEObject Type="Embed" ProgID="Equation.3" ShapeID="_x0000_i1030" DrawAspect="Content" ObjectID="_1663394958" r:id="rId22"/>
        </w:object>
      </w:r>
      <w:r w:rsidR="00F91456">
        <w:t xml:space="preserve">is a vector representing the relationship between each baseline characteristic and the outcome; </w:t>
      </w:r>
      <w:r w:rsidRPr="00F91456" w:rsidR="00F91456">
        <w:t xml:space="preserve"> </w:t>
      </w:r>
      <w:r w:rsidRPr="005A7A17">
        <w:rPr>
          <w:position w:val="-12"/>
        </w:rPr>
        <w:object w:dxaOrig="240" w:dyaOrig="360" w14:anchorId="2D014BE2">
          <v:shape id="_x0000_i1031" style="width:14.5pt;height:21.5pt" o:ole="" type="#_x0000_t75">
            <v:imagedata o:title="" r:id="rId23"/>
          </v:shape>
          <o:OLEObject Type="Embed" ProgID="Equation.3" ShapeID="_x0000_i1031" DrawAspect="Content" ObjectID="_1663394959" r:id="rId24"/>
        </w:object>
      </w:r>
      <w:r w:rsidRPr="005A7A17">
        <w:t xml:space="preserve">is an indicator for whether person </w:t>
      </w:r>
      <w:r w:rsidRPr="005A7A17">
        <w:rPr>
          <w:position w:val="-6"/>
        </w:rPr>
        <w:object w:dxaOrig="139" w:dyaOrig="260" w14:anchorId="25C8DDD7">
          <v:shape id="_x0000_i1032" style="width:7.5pt;height:14.5pt" o:ole="" type="#_x0000_t75">
            <v:imagedata o:title="" r:id="rId25"/>
          </v:shape>
          <o:OLEObject Type="Embed" ProgID="Equation.3" ShapeID="_x0000_i1032" DrawAspect="Content" ObjectID="_1663394960" r:id="rId26"/>
        </w:object>
      </w:r>
      <w:r w:rsidRPr="005A7A17">
        <w:t xml:space="preserve"> received treatment</w:t>
      </w:r>
      <w:r w:rsidR="00D1088B">
        <w:t>;</w:t>
      </w:r>
      <w:r w:rsidRPr="005A7A17">
        <w:t xml:space="preserve"> and </w:t>
      </w:r>
      <w:r w:rsidRPr="005A7A17">
        <w:rPr>
          <w:position w:val="-12"/>
        </w:rPr>
        <w:object w:dxaOrig="240" w:dyaOrig="360" w14:anchorId="25F3588C">
          <v:shape id="_x0000_i1033" style="width:14.5pt;height:21.5pt" o:ole="" type="#_x0000_t75">
            <v:imagedata o:title="" r:id="rId27"/>
          </v:shape>
          <o:OLEObject Type="Embed" ProgID="Equation.3" ShapeID="_x0000_i1033" DrawAspect="Content" ObjectID="_1663394961" r:id="rId28"/>
        </w:object>
      </w:r>
      <w:r w:rsidRPr="005A7A17">
        <w:t>is an error term</w:t>
      </w:r>
      <w:r w:rsidR="00D1088B">
        <w:t>.</w:t>
      </w:r>
      <w:r w:rsidRPr="005A7A17">
        <w:t xml:space="preserve"> </w:t>
      </w:r>
      <w:r w:rsidRPr="00D9760F" w:rsidR="00302FC6">
        <w:rPr>
          <w:position w:val="-6"/>
        </w:rPr>
        <w:object w:dxaOrig="220" w:dyaOrig="279" w14:anchorId="0398CBBA">
          <v:shape id="_x0000_i1034" style="width:14.5pt;height:14.5pt" o:ole="" type="#_x0000_t75">
            <v:imagedata o:title="" r:id="rId29"/>
          </v:shape>
          <o:OLEObject Type="Embed" ProgID="Equation.3" ShapeID="_x0000_i1034" DrawAspect="Content" ObjectID="_1663394962" r:id="rId30"/>
        </w:object>
      </w:r>
      <w:r w:rsidRPr="005A7A17">
        <w:t xml:space="preserve">represents the estimated impact of the </w:t>
      </w:r>
      <w:r>
        <w:t>intervention</w:t>
      </w:r>
      <w:r w:rsidRPr="005A7A17">
        <w:t xml:space="preserve">. </w:t>
      </w:r>
      <w:r>
        <w:t xml:space="preserve">We will estimate these models separately for each coaching intervention. </w:t>
      </w:r>
    </w:p>
    <w:p w:rsidRPr="00AB6B15" w:rsidR="00CC2132" w:rsidP="004453F8" w:rsidRDefault="00CC2132" w14:paraId="4F54DD38" w14:textId="2D98E897">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style="width:7.5pt;height:21.5pt" o:ole="" type="#_x0000_t75">
            <v:imagedata o:title="" r:id="rId31"/>
          </v:shape>
          <o:OLEObject Type="Embed" ProgID="Equation.3" ShapeID="_x0000_i1035" DrawAspect="Content" ObjectID="_1663394963" r:id="rId32"/>
        </w:object>
      </w:r>
      <w:r w:rsidRPr="005A7A17">
        <w:rPr>
          <w:rFonts w:ascii="TimesNewRomanPSMT" w:hAnsi="TimesNewRomanPSMT"/>
          <w:position w:val="-12"/>
        </w:rPr>
        <w:object w:dxaOrig="3620" w:dyaOrig="360" w14:anchorId="16E70BD7">
          <v:shape id="_x0000_i1036" style="width:178.95pt;height:21.5pt" o:ole="" type="#_x0000_t75">
            <v:imagedata o:title="" r:id="rId33"/>
          </v:shape>
          <o:OLEObject Type="Embed" ProgID="Equation.3" ShapeID="_x0000_i1036" DrawAspect="Content" ObjectID="_1663394964" r:id="rId34"/>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style="width:14.5pt;height:21.5pt" o:ole="" type="#_x0000_t75">
            <v:imagedata o:title="" r:id="rId35"/>
          </v:shape>
          <o:OLEObject Type="Embed" ProgID="Equation.3" ShapeID="_x0000_i1037" DrawAspect="Content" ObjectID="_1663394965" r:id="rId36"/>
        </w:object>
      </w:r>
      <w:r w:rsidRPr="005A7A17">
        <w:t xml:space="preserve"> is an indicator for whether person </w:t>
      </w:r>
      <w:r w:rsidRPr="005A7A17">
        <w:rPr>
          <w:position w:val="-6"/>
        </w:rPr>
        <w:object w:dxaOrig="139" w:dyaOrig="260" w14:anchorId="6C248209">
          <v:shape id="_x0000_i1038" style="width:7.5pt;height:14.5pt" o:ole="" type="#_x0000_t75">
            <v:imagedata o:title="" r:id="rId37"/>
          </v:shape>
          <o:OLEObject Type="Embed" ProgID="Equation.3" ShapeID="_x0000_i1038" DrawAspect="Content" ObjectID="_1663394966" r:id="rId38"/>
        </w:object>
      </w:r>
      <w:r w:rsidRPr="005A7A17">
        <w:t xml:space="preserve"> is part of a subgroup;</w:t>
      </w:r>
      <w:r w:rsidRPr="00F91456" w:rsidR="00F91456">
        <w:rPr>
          <w:szCs w:val="24"/>
        </w:rPr>
        <w:t xml:space="preserve"> </w:t>
      </w:r>
      <w:r w:rsidRPr="00555EBC" w:rsidR="00555EBC">
        <w:rPr>
          <w:position w:val="-10"/>
        </w:rPr>
        <w:object w:dxaOrig="279" w:dyaOrig="340" w14:anchorId="68A90087">
          <v:shape id="_x0000_i1039" style="width:14.5pt;height:21.5pt" o:ole="" type="#_x0000_t75">
            <v:imagedata o:title="" r:id="rId39"/>
          </v:shape>
          <o:OLEObject Type="Embed" ProgID="Equation.3" ShapeID="_x0000_i1039" DrawAspect="Content" ObjectID="_1663394967" r:id="rId40"/>
        </w:object>
      </w:r>
      <w:r w:rsidRPr="00F91456" w:rsidR="00F91456">
        <w:t xml:space="preserve"> represents </w:t>
      </w:r>
      <w:r w:rsidR="00555EBC">
        <w:t>the relationship between subgroup status and the outcome;</w:t>
      </w:r>
      <w:r w:rsidRPr="00F91456" w:rsidR="00F91456">
        <w:t xml:space="preserve"> </w:t>
      </w:r>
      <w:r w:rsidRPr="005A7A17">
        <w:rPr>
          <w:position w:val="-12"/>
        </w:rPr>
        <w:object w:dxaOrig="260" w:dyaOrig="360" w14:anchorId="4F9D84EF">
          <v:shape id="_x0000_i1040" style="width:14.5pt;height:21.5pt" o:ole="" type="#_x0000_t75">
            <v:imagedata o:title="" r:id="rId41"/>
          </v:shape>
          <o:OLEObject Type="Embed" ProgID="Equation.3" ShapeID="_x0000_i1040" DrawAspect="Content" ObjectID="_1663394968" r:id="rId42"/>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rsidRPr="00474090" w:rsidR="00403AAB" w:rsidP="00403AAB" w:rsidRDefault="00403AAB" w14:paraId="03867674" w14:textId="77777777">
      <w:pPr>
        <w:pStyle w:val="BodyText"/>
        <w:spacing w:line="240" w:lineRule="auto"/>
        <w:rPr>
          <w:b/>
          <w:sz w:val="24"/>
          <w:szCs w:val="24"/>
        </w:rPr>
      </w:pPr>
      <w:r>
        <w:rPr>
          <w:b/>
          <w:sz w:val="24"/>
          <w:szCs w:val="24"/>
        </w:rPr>
        <w:t>Time Schedule and Publication</w:t>
      </w:r>
    </w:p>
    <w:p w:rsidRPr="00474090" w:rsidR="00403AAB" w:rsidP="00143BF4" w:rsidRDefault="00435E44" w14:paraId="587AFB42" w14:textId="145A3FB8">
      <w:pPr>
        <w:pStyle w:val="BodyText"/>
        <w:spacing w:line="240" w:lineRule="auto"/>
        <w:rPr>
          <w:sz w:val="24"/>
          <w:szCs w:val="24"/>
        </w:rPr>
      </w:pPr>
      <w:r>
        <w:rPr>
          <w:sz w:val="24"/>
          <w:szCs w:val="24"/>
        </w:rPr>
        <w:t>Study enrollment and b</w:t>
      </w:r>
      <w:r w:rsidRPr="00474090" w:rsidR="00403AAB">
        <w:rPr>
          <w:sz w:val="24"/>
          <w:szCs w:val="24"/>
        </w:rPr>
        <w:t>aseline data collection</w:t>
      </w:r>
      <w:r w:rsidR="00A00E6F">
        <w:rPr>
          <w:sz w:val="24"/>
          <w:szCs w:val="24"/>
        </w:rPr>
        <w:t xml:space="preserve"> began in summer 2018 under </w:t>
      </w:r>
      <w:r w:rsidR="009B73F4">
        <w:rPr>
          <w:sz w:val="24"/>
          <w:szCs w:val="24"/>
        </w:rPr>
        <w:t xml:space="preserve">a previous ICR approved by </w:t>
      </w:r>
      <w:r w:rsidR="0048742A">
        <w:rPr>
          <w:sz w:val="24"/>
          <w:szCs w:val="24"/>
        </w:rPr>
        <w:t xml:space="preserve">OMB </w:t>
      </w:r>
      <w:r w:rsidR="00A00E6F">
        <w:rPr>
          <w:sz w:val="24"/>
          <w:szCs w:val="24"/>
        </w:rPr>
        <w:t>(</w:t>
      </w:r>
      <w:r w:rsidR="00BA15DA">
        <w:rPr>
          <w:sz w:val="24"/>
          <w:szCs w:val="24"/>
        </w:rPr>
        <w:t xml:space="preserve">OMB </w:t>
      </w:r>
      <w:r w:rsidR="000C2907">
        <w:rPr>
          <w:sz w:val="24"/>
          <w:szCs w:val="24"/>
        </w:rPr>
        <w:t>#</w:t>
      </w:r>
      <w:r w:rsidR="00A00E6F">
        <w:rPr>
          <w:sz w:val="24"/>
          <w:szCs w:val="24"/>
        </w:rPr>
        <w:t>0970-0506)</w:t>
      </w:r>
      <w:r w:rsidRPr="00474090" w:rsidR="00403AAB">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F028D2">
        <w:rPr>
          <w:sz w:val="24"/>
          <w:szCs w:val="24"/>
        </w:rPr>
        <w:t>5</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w:t>
      </w:r>
      <w:r w:rsidR="001C4132">
        <w:rPr>
          <w:sz w:val="24"/>
          <w:szCs w:val="24"/>
        </w:rPr>
        <w:t xml:space="preserve">six </w:t>
      </w:r>
      <w:r w:rsidR="001B48F5">
        <w:rPr>
          <w:sz w:val="24"/>
          <w:szCs w:val="24"/>
        </w:rPr>
        <w:t>programs (</w:t>
      </w:r>
      <w:r w:rsidR="00D612F4">
        <w:rPr>
          <w:sz w:val="24"/>
          <w:szCs w:val="24"/>
        </w:rPr>
        <w:t xml:space="preserve">a </w:t>
      </w:r>
      <w:r w:rsidR="001B48F5">
        <w:rPr>
          <w:sz w:val="24"/>
          <w:szCs w:val="24"/>
        </w:rPr>
        <w:t xml:space="preserve">cross-site implementation study report). </w:t>
      </w:r>
      <w:r w:rsidRPr="00474090" w:rsidR="00403AAB">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Pr="00474090" w:rsidR="00403AAB">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Pr="00474090" w:rsidR="00403AAB">
        <w:rPr>
          <w:sz w:val="24"/>
          <w:szCs w:val="24"/>
        </w:rPr>
        <w:t>use data file for others to replicate and extend our analys</w:t>
      </w:r>
      <w:r w:rsidR="00D612F4">
        <w:rPr>
          <w:sz w:val="24"/>
          <w:szCs w:val="24"/>
        </w:rPr>
        <w:t>e</w:t>
      </w:r>
      <w:r w:rsidRPr="00474090" w:rsidR="00403AAB">
        <w:rPr>
          <w:sz w:val="24"/>
          <w:szCs w:val="24"/>
        </w:rPr>
        <w:t>s.</w:t>
      </w:r>
      <w:r w:rsidR="00CC21CD">
        <w:rPr>
          <w:sz w:val="24"/>
          <w:szCs w:val="24"/>
        </w:rPr>
        <w:t xml:space="preserve"> Findings from this non-substantive change request </w:t>
      </w:r>
      <w:r w:rsidRPr="00CC21CD" w:rsidR="00CC21CD">
        <w:rPr>
          <w:sz w:val="24"/>
          <w:szCs w:val="24"/>
        </w:rPr>
        <w:t>to systematically captur</w:t>
      </w:r>
      <w:r w:rsidR="00CC21CD">
        <w:rPr>
          <w:sz w:val="24"/>
          <w:szCs w:val="24"/>
        </w:rPr>
        <w:t xml:space="preserve">e </w:t>
      </w:r>
      <w:r w:rsidR="00E2666C">
        <w:rPr>
          <w:sz w:val="24"/>
          <w:szCs w:val="24"/>
        </w:rPr>
        <w:t xml:space="preserve">descriptive </w:t>
      </w:r>
      <w:r w:rsidR="00CC21CD">
        <w:rPr>
          <w:sz w:val="24"/>
          <w:szCs w:val="24"/>
        </w:rPr>
        <w:t xml:space="preserve">information related to </w:t>
      </w:r>
      <w:r w:rsidRPr="00CC21CD" w:rsidR="00CC21CD">
        <w:rPr>
          <w:sz w:val="24"/>
          <w:szCs w:val="24"/>
        </w:rPr>
        <w:t>COVID-19</w:t>
      </w:r>
      <w:r w:rsidR="00CC21CD">
        <w:rPr>
          <w:sz w:val="24"/>
          <w:szCs w:val="24"/>
        </w:rPr>
        <w:t xml:space="preserve"> will be</w:t>
      </w:r>
      <w:r w:rsidRPr="00CC21CD" w:rsidR="00CC21CD">
        <w:rPr>
          <w:sz w:val="24"/>
          <w:szCs w:val="24"/>
        </w:rPr>
        <w:t xml:space="preserve"> incorporated into </w:t>
      </w:r>
      <w:r w:rsidR="00CC21CD">
        <w:rPr>
          <w:sz w:val="24"/>
          <w:szCs w:val="24"/>
        </w:rPr>
        <w:t xml:space="preserve">the evaluation’s </w:t>
      </w:r>
      <w:r w:rsidRPr="00CC21CD" w:rsidR="00CC21CD">
        <w:rPr>
          <w:sz w:val="24"/>
          <w:szCs w:val="24"/>
        </w:rPr>
        <w:t>implementation reports and impact analyses and</w:t>
      </w:r>
      <w:r w:rsidR="00CC21CD">
        <w:rPr>
          <w:sz w:val="24"/>
          <w:szCs w:val="24"/>
        </w:rPr>
        <w:t xml:space="preserve"> reporting</w:t>
      </w:r>
      <w:r w:rsidRPr="00CC21CD" w:rsidR="00CC21CD">
        <w:rPr>
          <w:sz w:val="24"/>
          <w:szCs w:val="24"/>
        </w:rPr>
        <w:t>.</w:t>
      </w:r>
    </w:p>
    <w:p w:rsidRPr="00CA402D" w:rsidR="00403AAB" w:rsidP="00403AAB" w:rsidRDefault="00403AAB" w14:paraId="0105F8E2" w14:textId="1441BD5A">
      <w:pPr>
        <w:pStyle w:val="BodyText"/>
        <w:spacing w:line="240" w:lineRule="auto"/>
        <w:rPr>
          <w:b/>
          <w:sz w:val="24"/>
          <w:szCs w:val="24"/>
        </w:rPr>
      </w:pPr>
      <w:r w:rsidRPr="00CA402D">
        <w:rPr>
          <w:b/>
          <w:sz w:val="24"/>
          <w:szCs w:val="24"/>
        </w:rPr>
        <w:t>Table A.</w:t>
      </w:r>
      <w:r w:rsidR="00F028D2">
        <w:rPr>
          <w:b/>
          <w:sz w:val="24"/>
          <w:szCs w:val="24"/>
        </w:rPr>
        <w:t>5</w:t>
      </w:r>
      <w:r w:rsidRPr="00CA402D">
        <w:rPr>
          <w:b/>
          <w:sz w:val="24"/>
          <w:szCs w:val="24"/>
        </w:rPr>
        <w:t xml:space="preserve">. </w:t>
      </w:r>
      <w:r w:rsidR="00672C8C">
        <w:rPr>
          <w:b/>
          <w:sz w:val="24"/>
          <w:szCs w:val="24"/>
        </w:rPr>
        <w:t xml:space="preserve">Study </w:t>
      </w:r>
      <w:r w:rsidRPr="00CA402D" w:rsidR="004854A2">
        <w:rPr>
          <w:b/>
          <w:sz w:val="24"/>
          <w:szCs w:val="24"/>
        </w:rPr>
        <w:t>schedule</w:t>
      </w:r>
    </w:p>
    <w:tbl>
      <w:tblPr>
        <w:tblW w:w="5000" w:type="pct"/>
        <w:tblLook w:val="0620" w:firstRow="1" w:lastRow="0" w:firstColumn="0" w:lastColumn="0" w:noHBand="1" w:noVBand="1"/>
      </w:tblPr>
      <w:tblGrid>
        <w:gridCol w:w="4950"/>
        <w:gridCol w:w="4410"/>
      </w:tblGrid>
      <w:tr w:rsidRPr="00F878AA" w:rsidR="00BF065E" w:rsidTr="00386699" w14:paraId="0B8F9FCC" w14:textId="77777777">
        <w:trPr>
          <w:tblHeader/>
        </w:trPr>
        <w:tc>
          <w:tcPr>
            <w:tcW w:w="2644" w:type="pct"/>
            <w:tcBorders>
              <w:top w:val="single" w:color="FFFFFF" w:sz="8" w:space="0"/>
              <w:bottom w:val="single" w:color="000000" w:sz="8" w:space="0"/>
            </w:tcBorders>
            <w:shd w:val="clear" w:color="auto" w:fill="6C6F70"/>
            <w:vAlign w:val="bottom"/>
          </w:tcPr>
          <w:p w:rsidRPr="00386699" w:rsidR="00BF065E" w:rsidP="00386699" w:rsidRDefault="00BF065E" w14:paraId="5D29AAC6" w14:textId="77777777">
            <w:pPr>
              <w:pStyle w:val="TableHeaderLeft"/>
              <w:rPr>
                <w:b w:val="0"/>
                <w:bCs/>
              </w:rPr>
            </w:pPr>
            <w:r w:rsidRPr="00386699">
              <w:rPr>
                <w:bCs/>
              </w:rPr>
              <w:t>Activity</w:t>
            </w:r>
          </w:p>
        </w:tc>
        <w:tc>
          <w:tcPr>
            <w:tcW w:w="2356" w:type="pct"/>
            <w:tcBorders>
              <w:top w:val="single" w:color="FFFFFF" w:sz="8" w:space="0"/>
              <w:bottom w:val="single" w:color="000000" w:sz="8" w:space="0"/>
            </w:tcBorders>
            <w:shd w:val="clear" w:color="auto" w:fill="6C6F70"/>
            <w:vAlign w:val="bottom"/>
          </w:tcPr>
          <w:p w:rsidRPr="00386699" w:rsidR="00BF065E" w:rsidP="00A443E7" w:rsidRDefault="00BF065E" w14:paraId="2289625F" w14:textId="11DE1C45">
            <w:pPr>
              <w:pStyle w:val="TableHeaderCenter"/>
              <w:rPr>
                <w:b w:val="0"/>
                <w:bCs/>
                <w:vertAlign w:val="superscript"/>
              </w:rPr>
            </w:pPr>
            <w:r w:rsidRPr="00386699">
              <w:rPr>
                <w:bCs/>
              </w:rPr>
              <w:t>Timing</w:t>
            </w:r>
            <w:r w:rsidR="00E557C8">
              <w:rPr>
                <w:bCs/>
              </w:rPr>
              <w:t>*</w:t>
            </w:r>
          </w:p>
        </w:tc>
      </w:tr>
      <w:tr w:rsidRPr="00F546E4" w:rsidR="00BF065E" w:rsidTr="00386699" w14:paraId="0B0EC08D" w14:textId="77777777">
        <w:tc>
          <w:tcPr>
            <w:tcW w:w="2644" w:type="pct"/>
            <w:tcBorders>
              <w:top w:val="single" w:color="000000" w:sz="8" w:space="0"/>
            </w:tcBorders>
            <w:shd w:val="clear" w:color="auto" w:fill="auto"/>
          </w:tcPr>
          <w:p w:rsidRPr="00386699" w:rsidR="00BF065E" w:rsidP="00386699" w:rsidRDefault="00BF065E" w14:paraId="1FF1FAF3" w14:textId="77777777">
            <w:pPr>
              <w:pStyle w:val="TableHeaderLeft"/>
              <w:spacing w:after="0"/>
              <w:rPr>
                <w:color w:val="auto"/>
              </w:rPr>
            </w:pPr>
            <w:r w:rsidRPr="00386699">
              <w:rPr>
                <w:color w:val="auto"/>
              </w:rPr>
              <w:t>Data collection</w:t>
            </w:r>
          </w:p>
        </w:tc>
        <w:tc>
          <w:tcPr>
            <w:tcW w:w="2356" w:type="pct"/>
            <w:tcBorders>
              <w:top w:val="single" w:color="000000" w:sz="8" w:space="0"/>
            </w:tcBorders>
            <w:shd w:val="clear" w:color="auto" w:fill="auto"/>
          </w:tcPr>
          <w:p w:rsidRPr="00386699" w:rsidR="00BF065E" w:rsidP="00386699" w:rsidRDefault="00BF065E" w14:paraId="21350BB4" w14:textId="77777777">
            <w:pPr>
              <w:pStyle w:val="TableHeaderLeft"/>
              <w:spacing w:after="0"/>
              <w:rPr>
                <w:color w:val="auto"/>
              </w:rPr>
            </w:pPr>
          </w:p>
        </w:tc>
      </w:tr>
      <w:tr w:rsidRPr="00F546E4" w:rsidR="00184C1B" w:rsidTr="00386699" w14:paraId="0EC570F8" w14:textId="77777777">
        <w:tc>
          <w:tcPr>
            <w:tcW w:w="2644" w:type="pct"/>
            <w:shd w:val="clear" w:color="auto" w:fill="auto"/>
          </w:tcPr>
          <w:p w:rsidRPr="00636341" w:rsidR="00184C1B" w:rsidP="00184C1B" w:rsidRDefault="00184C1B" w14:paraId="1512EC8C" w14:textId="68D2C783">
            <w:pPr>
              <w:pStyle w:val="TableHeaderLeft"/>
              <w:spacing w:before="0" w:after="0"/>
              <w:rPr>
                <w:b w:val="0"/>
                <w:color w:val="auto"/>
              </w:rPr>
            </w:pPr>
            <w:r w:rsidRPr="00636341">
              <w:rPr>
                <w:b w:val="0"/>
                <w:color w:val="auto"/>
              </w:rPr>
              <w:t xml:space="preserve">Sample enrollment and baseline data collection </w:t>
            </w:r>
          </w:p>
        </w:tc>
        <w:tc>
          <w:tcPr>
            <w:tcW w:w="2356" w:type="pct"/>
            <w:shd w:val="clear" w:color="auto" w:fill="auto"/>
          </w:tcPr>
          <w:p w:rsidRPr="0007784B" w:rsidR="00184C1B" w:rsidP="00C2402B" w:rsidRDefault="00184C1B" w14:paraId="12096DC9" w14:textId="7EC791EF">
            <w:pPr>
              <w:rPr>
                <w:rFonts w:ascii="Arial" w:hAnsi="Arial"/>
                <w:sz w:val="18"/>
              </w:rPr>
            </w:pPr>
            <w:r w:rsidRPr="00184C1B">
              <w:rPr>
                <w:rFonts w:ascii="Arial" w:hAnsi="Arial" w:cs="Arial"/>
                <w:sz w:val="18"/>
                <w:szCs w:val="18"/>
              </w:rPr>
              <w:t xml:space="preserve">Spring 2018 through </w:t>
            </w:r>
            <w:r w:rsidR="00C2402B">
              <w:rPr>
                <w:rFonts w:ascii="Arial" w:hAnsi="Arial" w:cs="Arial"/>
                <w:sz w:val="18"/>
                <w:szCs w:val="18"/>
              </w:rPr>
              <w:t>Fall</w:t>
            </w:r>
            <w:r w:rsidRPr="00184C1B">
              <w:rPr>
                <w:rFonts w:ascii="Arial" w:hAnsi="Arial" w:cs="Arial"/>
                <w:sz w:val="18"/>
                <w:szCs w:val="18"/>
              </w:rPr>
              <w:t xml:space="preserve"> 2019 for FaDSS; Summer 2018 through </w:t>
            </w:r>
            <w:r w:rsidR="00C2402B">
              <w:rPr>
                <w:rFonts w:ascii="Arial" w:hAnsi="Arial" w:cs="Arial"/>
                <w:sz w:val="18"/>
                <w:szCs w:val="18"/>
              </w:rPr>
              <w:t xml:space="preserve">Fall 2019 for LIFT </w:t>
            </w:r>
            <w:r w:rsidRPr="00184C1B">
              <w:rPr>
                <w:rFonts w:ascii="Arial" w:hAnsi="Arial" w:cs="Arial"/>
                <w:sz w:val="18"/>
                <w:szCs w:val="18"/>
              </w:rPr>
              <w:t xml:space="preserve">and Goal4 It!; </w:t>
            </w:r>
            <w:r w:rsidR="00C2402B">
              <w:rPr>
                <w:rFonts w:ascii="Arial" w:hAnsi="Arial" w:cs="Arial"/>
                <w:sz w:val="18"/>
                <w:szCs w:val="18"/>
              </w:rPr>
              <w:t xml:space="preserve">Spring 2019 through Spring 2020 for Work Success; </w:t>
            </w:r>
            <w:r w:rsidRPr="00184C1B">
              <w:rPr>
                <w:rFonts w:ascii="Arial" w:hAnsi="Arial" w:cs="Arial"/>
                <w:sz w:val="18"/>
                <w:szCs w:val="18"/>
              </w:rPr>
              <w:t>Not applicable for the two MyGoals sites</w:t>
            </w:r>
          </w:p>
        </w:tc>
      </w:tr>
      <w:tr w:rsidRPr="00F546E4" w:rsidR="00184C1B" w:rsidTr="00386699" w14:paraId="549B9E0D" w14:textId="77777777">
        <w:tc>
          <w:tcPr>
            <w:tcW w:w="2644" w:type="pct"/>
            <w:shd w:val="clear" w:color="auto" w:fill="auto"/>
          </w:tcPr>
          <w:p w:rsidRPr="003A646B" w:rsidR="00184C1B" w:rsidP="00184C1B" w:rsidRDefault="00184C1B" w14:paraId="0C0C7050" w14:textId="2E2139A2">
            <w:pPr>
              <w:pStyle w:val="TableHeaderLeft"/>
              <w:spacing w:before="0" w:after="0"/>
              <w:rPr>
                <w:b w:val="0"/>
                <w:color w:val="auto"/>
              </w:rPr>
            </w:pPr>
            <w:r>
              <w:rPr>
                <w:b w:val="0"/>
                <w:color w:val="auto"/>
              </w:rPr>
              <w:t>Implementation study data collection</w:t>
            </w:r>
          </w:p>
        </w:tc>
        <w:tc>
          <w:tcPr>
            <w:tcW w:w="2356" w:type="pct"/>
            <w:shd w:val="clear" w:color="auto" w:fill="auto"/>
          </w:tcPr>
          <w:p w:rsidR="00184C1B" w:rsidP="00C2402B" w:rsidRDefault="00C2402B" w14:paraId="543D7418" w14:textId="688EB0E5">
            <w:pPr>
              <w:rPr>
                <w:rFonts w:ascii="Arial" w:hAnsi="Arial" w:cs="Arial"/>
                <w:sz w:val="18"/>
                <w:szCs w:val="18"/>
              </w:rPr>
            </w:pPr>
            <w:r>
              <w:rPr>
                <w:rFonts w:ascii="Arial" w:hAnsi="Arial" w:cs="Arial"/>
                <w:sz w:val="18"/>
                <w:szCs w:val="18"/>
              </w:rPr>
              <w:t xml:space="preserve">Summer 2018 through Fall </w:t>
            </w:r>
            <w:r w:rsidR="00184C1B">
              <w:rPr>
                <w:rFonts w:ascii="Arial" w:hAnsi="Arial" w:cs="Arial"/>
                <w:sz w:val="18"/>
                <w:szCs w:val="18"/>
              </w:rPr>
              <w:t>2020</w:t>
            </w:r>
          </w:p>
        </w:tc>
      </w:tr>
      <w:tr w:rsidRPr="00F546E4" w:rsidR="00184C1B" w:rsidTr="00386699" w14:paraId="35415A65" w14:textId="77777777">
        <w:tc>
          <w:tcPr>
            <w:tcW w:w="2644" w:type="pct"/>
            <w:shd w:val="clear" w:color="auto" w:fill="auto"/>
          </w:tcPr>
          <w:p w:rsidRPr="003A646B" w:rsidR="00184C1B" w:rsidP="00184C1B" w:rsidRDefault="00184C1B" w14:paraId="1D9EDBB0" w14:textId="181CB1B5">
            <w:pPr>
              <w:pStyle w:val="TableHeaderLeft"/>
              <w:spacing w:before="0" w:after="0"/>
              <w:rPr>
                <w:b w:val="0"/>
                <w:color w:val="auto"/>
              </w:rPr>
            </w:pPr>
            <w:r>
              <w:rPr>
                <w:b w:val="0"/>
                <w:color w:val="auto"/>
              </w:rPr>
              <w:t>First follow-up survey</w:t>
            </w:r>
          </w:p>
        </w:tc>
        <w:tc>
          <w:tcPr>
            <w:tcW w:w="2356" w:type="pct"/>
            <w:shd w:val="clear" w:color="auto" w:fill="auto"/>
          </w:tcPr>
          <w:p w:rsidR="00184C1B" w:rsidP="00C2402B" w:rsidRDefault="00C2402B" w14:paraId="725EADE0" w14:textId="64C6DC20">
            <w:pPr>
              <w:rPr>
                <w:rFonts w:ascii="Arial" w:hAnsi="Arial" w:cs="Arial"/>
                <w:sz w:val="18"/>
                <w:szCs w:val="18"/>
              </w:rPr>
            </w:pPr>
            <w:r>
              <w:rPr>
                <w:rFonts w:ascii="Arial" w:hAnsi="Arial" w:cs="Arial"/>
                <w:sz w:val="18"/>
                <w:szCs w:val="18"/>
              </w:rPr>
              <w:t>Spring 2018 through Spring 202</w:t>
            </w:r>
            <w:r w:rsidR="00D629F8">
              <w:rPr>
                <w:rFonts w:ascii="Arial" w:hAnsi="Arial" w:cs="Arial"/>
                <w:sz w:val="18"/>
                <w:szCs w:val="18"/>
              </w:rPr>
              <w:t>1</w:t>
            </w:r>
          </w:p>
        </w:tc>
      </w:tr>
      <w:tr w:rsidRPr="00F546E4" w:rsidR="00184C1B" w:rsidTr="00386699" w14:paraId="616E7B19" w14:textId="77777777">
        <w:tc>
          <w:tcPr>
            <w:tcW w:w="2644" w:type="pct"/>
            <w:shd w:val="clear" w:color="auto" w:fill="auto"/>
          </w:tcPr>
          <w:p w:rsidRPr="003A646B" w:rsidR="00184C1B" w:rsidP="00184C1B" w:rsidRDefault="00184C1B" w14:paraId="61392753" w14:textId="528E96D6">
            <w:pPr>
              <w:pStyle w:val="TableHeaderLeft"/>
              <w:spacing w:before="0" w:after="0"/>
              <w:rPr>
                <w:b w:val="0"/>
                <w:color w:val="auto"/>
              </w:rPr>
            </w:pPr>
            <w:r w:rsidRPr="003A646B">
              <w:rPr>
                <w:b w:val="0"/>
                <w:color w:val="auto"/>
              </w:rPr>
              <w:t>Second follow-up survey</w:t>
            </w:r>
          </w:p>
        </w:tc>
        <w:tc>
          <w:tcPr>
            <w:tcW w:w="2356" w:type="pct"/>
            <w:shd w:val="clear" w:color="auto" w:fill="auto"/>
          </w:tcPr>
          <w:p w:rsidRPr="003A646B" w:rsidR="00184C1B" w:rsidP="00C2402B" w:rsidRDefault="00184C1B" w14:paraId="5502A486" w14:textId="3BF7A8C5">
            <w:pPr>
              <w:rPr>
                <w:b/>
              </w:rPr>
            </w:pPr>
            <w:r>
              <w:rPr>
                <w:rFonts w:ascii="Arial" w:hAnsi="Arial"/>
                <w:sz w:val="18"/>
              </w:rPr>
              <w:t>Spring</w:t>
            </w:r>
            <w:r w:rsidRPr="00C72880">
              <w:rPr>
                <w:rFonts w:ascii="Arial" w:hAnsi="Arial"/>
                <w:sz w:val="18"/>
              </w:rPr>
              <w:t xml:space="preserve"> 2019 throu</w:t>
            </w:r>
            <w:r>
              <w:rPr>
                <w:rFonts w:ascii="Arial" w:hAnsi="Arial"/>
                <w:sz w:val="18"/>
              </w:rPr>
              <w:t>g</w:t>
            </w:r>
            <w:r w:rsidRPr="00C72880">
              <w:rPr>
                <w:rFonts w:ascii="Arial" w:hAnsi="Arial"/>
                <w:sz w:val="18"/>
              </w:rPr>
              <w:t xml:space="preserve">h </w:t>
            </w:r>
            <w:r w:rsidR="00D629F8">
              <w:rPr>
                <w:rFonts w:ascii="Arial" w:hAnsi="Arial"/>
                <w:sz w:val="18"/>
              </w:rPr>
              <w:t>Summer</w:t>
            </w:r>
            <w:r w:rsidR="00C2402B">
              <w:rPr>
                <w:rFonts w:ascii="Arial" w:hAnsi="Arial"/>
                <w:sz w:val="18"/>
              </w:rPr>
              <w:t xml:space="preserve"> 2022</w:t>
            </w:r>
          </w:p>
        </w:tc>
      </w:tr>
      <w:tr w:rsidRPr="00F546E4" w:rsidR="00184C1B" w:rsidTr="00386699" w14:paraId="1C69AC20" w14:textId="77777777">
        <w:tc>
          <w:tcPr>
            <w:tcW w:w="2644" w:type="pct"/>
            <w:shd w:val="clear" w:color="auto" w:fill="auto"/>
          </w:tcPr>
          <w:p w:rsidRPr="00386699" w:rsidR="00184C1B" w:rsidP="00184C1B" w:rsidRDefault="00184C1B" w14:paraId="667566CA" w14:textId="77777777">
            <w:pPr>
              <w:pStyle w:val="TableHeaderLeft"/>
              <w:spacing w:after="0"/>
              <w:rPr>
                <w:color w:val="auto"/>
              </w:rPr>
            </w:pPr>
            <w:r w:rsidRPr="00386699">
              <w:rPr>
                <w:color w:val="auto"/>
              </w:rPr>
              <w:t>Reporting</w:t>
            </w:r>
          </w:p>
        </w:tc>
        <w:tc>
          <w:tcPr>
            <w:tcW w:w="2356" w:type="pct"/>
            <w:shd w:val="clear" w:color="auto" w:fill="auto"/>
          </w:tcPr>
          <w:p w:rsidRPr="00386699" w:rsidR="00184C1B" w:rsidP="00184C1B" w:rsidRDefault="00184C1B" w14:paraId="40F54520" w14:textId="77777777">
            <w:pPr>
              <w:pStyle w:val="TableHeaderLeft"/>
              <w:spacing w:after="0"/>
              <w:ind w:left="696"/>
              <w:rPr>
                <w:color w:val="auto"/>
              </w:rPr>
            </w:pPr>
          </w:p>
        </w:tc>
      </w:tr>
      <w:tr w:rsidRPr="00AA795E" w:rsidR="00184C1B" w:rsidTr="00C72880" w14:paraId="17F4211D" w14:textId="77777777">
        <w:trPr>
          <w:trHeight w:val="180"/>
        </w:trPr>
        <w:tc>
          <w:tcPr>
            <w:tcW w:w="2644" w:type="pct"/>
            <w:shd w:val="clear" w:color="auto" w:fill="auto"/>
          </w:tcPr>
          <w:p w:rsidR="00184C1B" w:rsidP="00184C1B" w:rsidRDefault="00184C1B" w14:paraId="7BF2FEC9" w14:textId="21231EE3">
            <w:pPr>
              <w:pStyle w:val="TableText"/>
            </w:pPr>
            <w:r>
              <w:t>Implementation study reports</w:t>
            </w:r>
          </w:p>
        </w:tc>
        <w:tc>
          <w:tcPr>
            <w:tcW w:w="2356" w:type="pct"/>
            <w:shd w:val="clear" w:color="auto" w:fill="auto"/>
          </w:tcPr>
          <w:p w:rsidR="00184C1B" w:rsidP="00184C1B" w:rsidRDefault="00184C1B" w14:paraId="342559D5" w14:textId="6DEDB0C2">
            <w:pPr>
              <w:pStyle w:val="TableText"/>
              <w:ind w:left="696"/>
            </w:pPr>
            <w:r>
              <w:t>Fall 2020</w:t>
            </w:r>
          </w:p>
        </w:tc>
      </w:tr>
      <w:tr w:rsidRPr="00AA795E" w:rsidR="00184C1B" w:rsidTr="00C72880" w14:paraId="55E9BF12" w14:textId="77777777">
        <w:trPr>
          <w:trHeight w:val="180"/>
        </w:trPr>
        <w:tc>
          <w:tcPr>
            <w:tcW w:w="2644" w:type="pct"/>
            <w:shd w:val="clear" w:color="auto" w:fill="auto"/>
          </w:tcPr>
          <w:p w:rsidR="00184C1B" w:rsidP="00184C1B" w:rsidRDefault="00184C1B" w14:paraId="0196CE0B" w14:textId="4003CD33">
            <w:pPr>
              <w:pStyle w:val="TableText"/>
            </w:pPr>
            <w:r>
              <w:t>First follow-up findings report</w:t>
            </w:r>
          </w:p>
        </w:tc>
        <w:tc>
          <w:tcPr>
            <w:tcW w:w="2356" w:type="pct"/>
            <w:shd w:val="clear" w:color="auto" w:fill="auto"/>
          </w:tcPr>
          <w:p w:rsidR="00184C1B" w:rsidP="00184C1B" w:rsidRDefault="00184C1B" w14:paraId="116B2150" w14:textId="2CD20894">
            <w:pPr>
              <w:pStyle w:val="TableText"/>
              <w:ind w:left="696"/>
            </w:pPr>
            <w:r>
              <w:t>Fall 2021</w:t>
            </w:r>
          </w:p>
        </w:tc>
      </w:tr>
      <w:tr w:rsidRPr="00AA795E" w:rsidR="00184C1B" w:rsidTr="00C72880" w14:paraId="30665379" w14:textId="77777777">
        <w:trPr>
          <w:trHeight w:val="180"/>
        </w:trPr>
        <w:tc>
          <w:tcPr>
            <w:tcW w:w="2644" w:type="pct"/>
            <w:shd w:val="clear" w:color="auto" w:fill="auto"/>
          </w:tcPr>
          <w:p w:rsidR="00184C1B" w:rsidP="00184C1B" w:rsidRDefault="00184C1B" w14:paraId="21F7A6C9" w14:textId="77777777">
            <w:pPr>
              <w:pStyle w:val="TableText"/>
            </w:pPr>
            <w:r>
              <w:lastRenderedPageBreak/>
              <w:t>Second follow-up findings report</w:t>
            </w:r>
          </w:p>
        </w:tc>
        <w:tc>
          <w:tcPr>
            <w:tcW w:w="2356" w:type="pct"/>
            <w:shd w:val="clear" w:color="auto" w:fill="auto"/>
          </w:tcPr>
          <w:p w:rsidR="00184C1B" w:rsidP="00184C1B" w:rsidRDefault="00184C1B" w14:paraId="34C6242B" w14:textId="25BB9E26">
            <w:pPr>
              <w:pStyle w:val="TableText"/>
              <w:ind w:left="696"/>
            </w:pPr>
            <w:r>
              <w:t>Fall 2022</w:t>
            </w:r>
          </w:p>
        </w:tc>
      </w:tr>
      <w:tr w:rsidRPr="00AA795E" w:rsidR="00184C1B" w:rsidTr="00E557C8" w14:paraId="69512876" w14:textId="77777777">
        <w:tc>
          <w:tcPr>
            <w:tcW w:w="2644" w:type="pct"/>
            <w:tcBorders>
              <w:bottom w:val="single" w:color="auto" w:sz="4" w:space="0"/>
            </w:tcBorders>
            <w:shd w:val="clear" w:color="auto" w:fill="auto"/>
          </w:tcPr>
          <w:p w:rsidR="00184C1B" w:rsidP="00184C1B" w:rsidRDefault="00184C1B" w14:paraId="609D183B" w14:textId="77777777">
            <w:pPr>
              <w:pStyle w:val="TableText"/>
            </w:pPr>
            <w:r>
              <w:t>Special topics reports</w:t>
            </w:r>
          </w:p>
        </w:tc>
        <w:tc>
          <w:tcPr>
            <w:tcW w:w="2356" w:type="pct"/>
            <w:tcBorders>
              <w:bottom w:val="single" w:color="auto" w:sz="4" w:space="0"/>
            </w:tcBorders>
            <w:shd w:val="clear" w:color="auto" w:fill="auto"/>
          </w:tcPr>
          <w:p w:rsidR="00184C1B" w:rsidP="00184C1B" w:rsidRDefault="00184C1B" w14:paraId="05B77005" w14:textId="77777777">
            <w:pPr>
              <w:pStyle w:val="TableText"/>
              <w:ind w:left="696"/>
            </w:pPr>
            <w:r>
              <w:t>To be determined</w:t>
            </w:r>
          </w:p>
        </w:tc>
      </w:tr>
    </w:tbl>
    <w:p w:rsidRPr="00E557C8" w:rsidR="00E557C8" w:rsidP="002A2654" w:rsidRDefault="00E557C8" w14:paraId="0AF45565" w14:textId="4B027177">
      <w:pPr>
        <w:keepNext/>
        <w:spacing w:after="100" w:afterAutospacing="1"/>
        <w:rPr>
          <w:sz w:val="22"/>
        </w:rPr>
      </w:pPr>
      <w:r w:rsidRPr="00E557C8">
        <w:rPr>
          <w:sz w:val="22"/>
        </w:rPr>
        <w:t xml:space="preserve">*All dates dependent on </w:t>
      </w:r>
      <w:r>
        <w:rPr>
          <w:sz w:val="22"/>
        </w:rPr>
        <w:t xml:space="preserve">date of </w:t>
      </w:r>
      <w:r w:rsidRPr="00E557C8">
        <w:rPr>
          <w:sz w:val="22"/>
        </w:rPr>
        <w:t>OMB approval</w:t>
      </w:r>
      <w:r w:rsidR="001A35A2">
        <w:rPr>
          <w:sz w:val="22"/>
        </w:rPr>
        <w:t xml:space="preserve"> of </w:t>
      </w:r>
      <w:r w:rsidR="008002F0">
        <w:rPr>
          <w:sz w:val="22"/>
        </w:rPr>
        <w:t>this information collection request</w:t>
      </w:r>
      <w:r w:rsidRPr="00E557C8">
        <w:rPr>
          <w:sz w:val="22"/>
        </w:rPr>
        <w:t xml:space="preserve">. </w:t>
      </w:r>
    </w:p>
    <w:p w:rsidRPr="0072204D" w:rsidR="00945CD6" w:rsidP="00B9279C" w:rsidRDefault="00292B70" w14:paraId="698A1CFE" w14:textId="2F1993F4">
      <w:pPr>
        <w:keepNext/>
        <w:spacing w:before="360" w:after="120"/>
        <w:rPr>
          <w:b/>
        </w:rPr>
      </w:pPr>
      <w:r>
        <w:rPr>
          <w:b/>
        </w:rPr>
        <w:t xml:space="preserve">A17. </w:t>
      </w:r>
      <w:r w:rsidRPr="0072204D" w:rsidR="00945CD6">
        <w:rPr>
          <w:b/>
        </w:rPr>
        <w:t>Reasons Not to Display OMB Expiration Date</w:t>
      </w:r>
    </w:p>
    <w:p w:rsidR="005046F0" w:rsidP="000E677D" w:rsidRDefault="000E677D" w14:paraId="72872C37" w14:textId="77777777">
      <w:r w:rsidRPr="00F10B7E">
        <w:t>All instruments will display the expiration date for OMB approval.</w:t>
      </w:r>
    </w:p>
    <w:p w:rsidRPr="000B5EA8" w:rsidR="00945CD6" w:rsidP="00B9279C" w:rsidRDefault="00292B70" w14:paraId="46B8220E" w14:textId="77777777">
      <w:pPr>
        <w:keepNext/>
        <w:spacing w:before="360" w:after="120"/>
        <w:rPr>
          <w:b/>
        </w:rPr>
      </w:pPr>
      <w:r w:rsidRPr="000B5EA8">
        <w:rPr>
          <w:b/>
        </w:rPr>
        <w:t>A18.</w:t>
      </w:r>
      <w:r w:rsidRPr="000B5EA8" w:rsidR="000B5EA8">
        <w:rPr>
          <w:b/>
        </w:rPr>
        <w:t xml:space="preserve"> Exceptions to Certification for Paperwork Reduction Act Submissions</w:t>
      </w:r>
    </w:p>
    <w:p w:rsidR="00AA29C0" w:rsidP="00AA29C0" w:rsidRDefault="000E677D" w14:paraId="20FF5877" w14:textId="77777777">
      <w:r w:rsidRPr="00F10B7E">
        <w:t>No exceptions are necessary for this information collection.</w:t>
      </w:r>
    </w:p>
    <w:p w:rsidR="00D06D5F" w:rsidP="000B5EA8" w:rsidRDefault="00D06D5F" w14:paraId="7EF19DDA" w14:textId="77777777">
      <w:pPr>
        <w:tabs>
          <w:tab w:val="left" w:pos="360"/>
        </w:tabs>
      </w:pPr>
    </w:p>
    <w:p w:rsidRPr="00C26EFA" w:rsidR="00A57451" w:rsidP="00A57451" w:rsidRDefault="00A57451" w14:paraId="16419F1F" w14:textId="77777777">
      <w:pPr>
        <w:spacing w:after="240"/>
        <w:rPr>
          <w:b/>
        </w:rPr>
      </w:pPr>
      <w:r w:rsidRPr="00C26EFA">
        <w:rPr>
          <w:b/>
        </w:rPr>
        <w:t>References</w:t>
      </w:r>
    </w:p>
    <w:p w:rsidR="00906DE9" w:rsidP="00906DE9" w:rsidRDefault="00906DE9" w14:paraId="7BC85A20" w14:textId="7D3720B3">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rsidRPr="00E612D0" w:rsidR="00E612D0" w:rsidP="00E612D0" w:rsidRDefault="00E612D0" w14:paraId="3652C58D" w14:textId="77777777">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rsidRPr="00E612D0" w:rsidR="00E612D0" w:rsidP="00E612D0" w:rsidRDefault="00E612D0" w14:paraId="2071768F" w14:textId="77777777">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rsidR="00E612D0" w:rsidP="00E612D0" w:rsidRDefault="00E612D0" w14:paraId="3C993F2D" w14:textId="3BDE189A">
      <w:pPr>
        <w:pStyle w:val="References"/>
        <w:spacing w:after="120"/>
        <w:ind w:left="0" w:firstLine="0"/>
        <w:rPr>
          <w:rFonts w:ascii="Times New Roman" w:hAnsi="Times New Roman"/>
        </w:rPr>
      </w:pPr>
      <w:r w:rsidRPr="00E612D0">
        <w:rPr>
          <w:rFonts w:ascii="Times New Roman" w:hAnsi="Times New Roman"/>
        </w:rPr>
        <w:t>Review, vol. 39, no. 2, April 2015.</w:t>
      </w:r>
    </w:p>
    <w:p w:rsidR="00A57451" w:rsidP="00AC34E3" w:rsidRDefault="00A57451" w14:paraId="6E822387" w14:textId="77777777">
      <w:pPr>
        <w:pStyle w:val="References"/>
        <w:spacing w:after="120"/>
        <w:ind w:left="0" w:firstLine="0"/>
        <w:rPr>
          <w:rFonts w:ascii="Times New Roman" w:hAnsi="Times New Roman"/>
        </w:rPr>
      </w:pPr>
      <w:r w:rsidRPr="001C4EFB">
        <w:rPr>
          <w:rFonts w:ascii="Times New Roman" w:hAnsi="Times New Roman"/>
        </w:rPr>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rsidR="00A57451" w:rsidP="00AC34E3" w:rsidRDefault="00A57451" w14:paraId="1199E5E3" w14:textId="77777777">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rsidR="00C6029A" w:rsidP="00C6029A" w:rsidRDefault="00C6029A" w14:paraId="65DC0DC5" w14:textId="41C303CC">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rsidR="00C6029A" w:rsidP="00C6029A" w:rsidRDefault="00C6029A" w14:paraId="03B3F24D" w14:textId="419AAC98">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rsidR="00A57451" w:rsidP="00AC34E3" w:rsidRDefault="00A57451" w14:paraId="3430C31F" w14:textId="77777777">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Pr="002C45C5" w:rsidR="00211BA8">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rsidRPr="006F1FA8" w:rsidR="00A57451" w:rsidP="00033806" w:rsidRDefault="00A57451" w14:paraId="4DBA5128" w14:textId="290C930F">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Pr="006F1FA8" w:rsidR="00091A6B">
        <w:rPr>
          <w:rFonts w:ascii="Times New Roman" w:hAnsi="Times New Roman"/>
        </w:rPr>
        <w:t xml:space="preserve"> </w:t>
      </w:r>
      <w:r w:rsidRPr="006F1FA8">
        <w:rPr>
          <w:rFonts w:ascii="Times New Roman" w:hAnsi="Times New Roman"/>
        </w:rPr>
        <w:t>The Urban Institute, Office of Planning, Research</w:t>
      </w:r>
      <w:r w:rsidR="008002F0">
        <w:rPr>
          <w:rFonts w:ascii="Times New Roman" w:hAnsi="Times New Roman"/>
        </w:rPr>
        <w:t>,</w:t>
      </w:r>
      <w:r w:rsidRPr="006F1FA8">
        <w:rPr>
          <w:rFonts w:ascii="Times New Roman" w:hAnsi="Times New Roman"/>
        </w:rPr>
        <w:t xml:space="preserve"> and Evaluation, March 2012.</w:t>
      </w:r>
    </w:p>
    <w:p w:rsidRPr="00B61AC6" w:rsidR="00B61AC6" w:rsidP="00B61AC6" w:rsidRDefault="00B61AC6" w14:paraId="7F3E1836" w14:textId="77777777">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rsidRPr="00B61AC6" w:rsidR="00B61AC6" w:rsidP="00B61AC6" w:rsidRDefault="00B61AC6" w14:paraId="0C33CE53" w14:textId="77777777">
      <w:pPr>
        <w:pStyle w:val="References"/>
        <w:spacing w:after="0"/>
        <w:rPr>
          <w:rFonts w:ascii="Times New Roman" w:hAnsi="Times New Roman"/>
        </w:rPr>
      </w:pPr>
      <w:r w:rsidRPr="00B61AC6">
        <w:rPr>
          <w:rFonts w:ascii="Times New Roman" w:hAnsi="Times New Roman"/>
        </w:rPr>
        <w:t>Hidden Populations. Washington, DC: United States National Institute on</w:t>
      </w:r>
    </w:p>
    <w:p w:rsidR="00B61AC6" w:rsidP="00B61AC6" w:rsidRDefault="00B61AC6" w14:paraId="1A61A922" w14:textId="65829CB8">
      <w:pPr>
        <w:pStyle w:val="References"/>
        <w:spacing w:after="120"/>
        <w:ind w:left="0" w:firstLine="0"/>
        <w:rPr>
          <w:rFonts w:ascii="Times New Roman" w:hAnsi="Times New Roman"/>
        </w:rPr>
      </w:pPr>
      <w:r w:rsidRPr="00B61AC6">
        <w:rPr>
          <w:rFonts w:ascii="Times New Roman" w:hAnsi="Times New Roman"/>
        </w:rPr>
        <w:t xml:space="preserve">Drug Abuse; 1990. </w:t>
      </w:r>
    </w:p>
    <w:p w:rsidR="00A57451" w:rsidP="00AC34E3" w:rsidRDefault="00A57451" w14:paraId="7FC83DA6" w14:textId="77777777">
      <w:pPr>
        <w:pStyle w:val="References"/>
        <w:spacing w:after="120"/>
        <w:ind w:left="0" w:firstLine="0"/>
        <w:rPr>
          <w:rFonts w:ascii="Times New Roman" w:hAnsi="Times New Roman"/>
        </w:rPr>
      </w:pPr>
      <w:r w:rsidRPr="001C4EFB">
        <w:rPr>
          <w:rFonts w:ascii="Times New Roman" w:hAnsi="Times New Roman"/>
        </w:rPr>
        <w:lastRenderedPageBreak/>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Pr="002C45C5" w:rsidR="00091A6B">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rsidRPr="006F1FA8" w:rsidR="00A57451" w:rsidP="00AC34E3" w:rsidRDefault="00A57451" w14:paraId="3FF20C81" w14:textId="77777777">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rsidRPr="005F4610" w:rsidR="00176EC9" w:rsidP="00A1065D" w:rsidRDefault="00176EC9" w14:paraId="24971742" w14:textId="77777777">
      <w:pPr>
        <w:spacing w:after="120"/>
      </w:pPr>
      <w:r>
        <w:t xml:space="preserve">National Research Council. 2001. </w:t>
      </w:r>
      <w:r>
        <w:rPr>
          <w:i/>
        </w:rPr>
        <w:t>Studies of welfare populations: Data collection and research issues</w:t>
      </w:r>
      <w:r>
        <w:t>. Washington, DC. The National Academies Press.</w:t>
      </w:r>
    </w:p>
    <w:p w:rsidR="006554FE" w:rsidP="006554FE" w:rsidRDefault="006554FE" w14:paraId="4F5CF196" w14:textId="78852526">
      <w:pPr>
        <w:pStyle w:val="References"/>
        <w:spacing w:after="120"/>
        <w:ind w:left="0" w:firstLine="0"/>
        <w:rPr>
          <w:rFonts w:ascii="Times New Roman" w:hAnsi="Times New Roman"/>
        </w:rPr>
      </w:pPr>
      <w:r>
        <w:rPr>
          <w:rFonts w:ascii="Times New Roman" w:hAnsi="Times New Roman"/>
        </w:rPr>
        <w:t>Office of Information and Regula</w:t>
      </w:r>
      <w:r w:rsidR="00CA61F8">
        <w:rPr>
          <w:rFonts w:ascii="Times New Roman" w:hAnsi="Times New Roman"/>
        </w:rPr>
        <w:t>to</w:t>
      </w:r>
      <w:r>
        <w:rPr>
          <w:rFonts w:ascii="Times New Roman" w:hAnsi="Times New Roman"/>
        </w:rPr>
        <w:t>ry Affairs. “Questions and Answers When Designing Surveys for Information Collections.” Office of Management and Budget, October 2016.</w:t>
      </w:r>
    </w:p>
    <w:p w:rsidRPr="006F1FA8" w:rsidR="00A57451" w:rsidP="00AC34E3" w:rsidRDefault="00A57451" w14:paraId="43D68CCD" w14:textId="77777777">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rsidRPr="006F1FA8" w:rsidR="00A57451" w:rsidP="00AC34E3" w:rsidRDefault="00A57451" w14:paraId="18E46972" w14:textId="77777777">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rsidR="00A57451" w:rsidP="00AC34E3" w:rsidRDefault="00A57451" w14:paraId="0DADED25" w14:textId="77777777">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Pr="002C45C5" w:rsidR="001D26F0">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Pr="00D32558" w:rsidR="001D26F0">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rsidRPr="00D84FC0" w:rsidR="00D84FC0" w:rsidP="001A126C" w:rsidRDefault="00D84FC0" w14:paraId="3F3CC151" w14:textId="77777777">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rsidRPr="00D84FC0" w:rsidR="00D84FC0" w:rsidP="001A126C" w:rsidRDefault="00D84FC0" w14:paraId="18D115EC" w14:textId="77777777">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rsidR="00D84FC0" w:rsidP="00D84FC0" w:rsidRDefault="00D84FC0" w14:paraId="76F12C9D" w14:textId="2842BBE1">
      <w:pPr>
        <w:pStyle w:val="References"/>
        <w:spacing w:after="120"/>
        <w:ind w:left="0" w:firstLine="0"/>
        <w:rPr>
          <w:rFonts w:ascii="Times New Roman" w:hAnsi="Times New Roman"/>
        </w:rPr>
      </w:pPr>
      <w:r w:rsidRPr="00D84FC0">
        <w:rPr>
          <w:rFonts w:ascii="Times New Roman" w:hAnsi="Times New Roman"/>
        </w:rPr>
        <w:t>Moffitt, and Constance F. Citro, pp. 105-128. Washington: National Academy Press.</w:t>
      </w:r>
    </w:p>
    <w:p w:rsidR="001A126C" w:rsidP="001A126C" w:rsidRDefault="001A126C" w14:paraId="78BC81B0" w14:textId="5122ACB3">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rsidR="001A126C" w:rsidP="001A126C" w:rsidRDefault="001A126C" w14:paraId="1472F67C" w14:textId="1827EDDB">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rsidR="00906DE9" w:rsidP="00C6029A" w:rsidRDefault="00906DE9" w14:paraId="38ACF470" w14:textId="2734A269">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rsidR="00D6106B" w:rsidP="00AC34E3" w:rsidRDefault="00D6106B" w14:paraId="56B3734E" w14:textId="4D6074C4">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w:history="1" r:id="rId43">
        <w:r w:rsidRPr="00112BC2">
          <w:rPr>
            <w:rStyle w:val="Hyperlink"/>
            <w:rFonts w:ascii="Times New Roman" w:hAnsi="Times New Roman"/>
          </w:rPr>
          <w:t>https://ies.ed.gov/ncee/wwc/Docs/ReferenceResources/wwc_attrition_v2.1.pdf</w:t>
        </w:r>
      </w:hyperlink>
      <w:r>
        <w:rPr>
          <w:rFonts w:ascii="Times New Roman" w:hAnsi="Times New Roman"/>
        </w:rPr>
        <w:t>. 2013.</w:t>
      </w:r>
    </w:p>
    <w:p w:rsidR="00906DE9" w:rsidP="00C6029A" w:rsidRDefault="00906DE9" w14:paraId="04499529" w14:textId="7845C21C">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rsidRPr="0072204D" w:rsidR="0072204D" w:rsidRDefault="0072204D" w14:paraId="1E6185FC" w14:textId="77777777"/>
    <w:sectPr w:rsidRPr="0072204D" w:rsidR="0072204D" w:rsidSect="00885641">
      <w:headerReference w:type="default" r:id="rId44"/>
      <w:footerReference w:type="default" r:id="rId4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44343" w14:textId="77777777" w:rsidR="008648B7" w:rsidRDefault="008648B7">
      <w:r>
        <w:separator/>
      </w:r>
    </w:p>
  </w:endnote>
  <w:endnote w:type="continuationSeparator" w:id="0">
    <w:p w14:paraId="5AE8995F" w14:textId="77777777" w:rsidR="008648B7" w:rsidRDefault="008648B7">
      <w:r>
        <w:continuationSeparator/>
      </w:r>
    </w:p>
  </w:endnote>
  <w:endnote w:type="continuationNotice" w:id="1">
    <w:p w14:paraId="3AC761FD" w14:textId="77777777" w:rsidR="008648B7" w:rsidRDefault="0086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F062" w14:textId="0886FC1C" w:rsidR="00C821D5" w:rsidRDefault="00C821D5">
    <w:pPr>
      <w:pStyle w:val="Footer"/>
      <w:jc w:val="center"/>
    </w:pPr>
    <w:r>
      <w:fldChar w:fldCharType="begin"/>
    </w:r>
    <w:r>
      <w:instrText xml:space="preserve"> PAGE   \* MERGEFORMAT </w:instrText>
    </w:r>
    <w:r>
      <w:fldChar w:fldCharType="separate"/>
    </w:r>
    <w:r w:rsidR="008943DF">
      <w:rPr>
        <w:noProof/>
      </w:rPr>
      <w:t>9</w:t>
    </w:r>
    <w:r>
      <w:fldChar w:fldCharType="end"/>
    </w:r>
  </w:p>
  <w:p w14:paraId="569FA5F5" w14:textId="77777777" w:rsidR="00C821D5" w:rsidRDefault="00C821D5"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D2307" w14:textId="77777777" w:rsidR="008648B7" w:rsidRDefault="008648B7">
      <w:r>
        <w:separator/>
      </w:r>
    </w:p>
  </w:footnote>
  <w:footnote w:type="continuationSeparator" w:id="0">
    <w:p w14:paraId="0A3177A7" w14:textId="77777777" w:rsidR="008648B7" w:rsidRDefault="008648B7">
      <w:r>
        <w:continuationSeparator/>
      </w:r>
    </w:p>
  </w:footnote>
  <w:footnote w:type="continuationNotice" w:id="1">
    <w:p w14:paraId="6310FBB6" w14:textId="77777777" w:rsidR="008648B7" w:rsidRDefault="008648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DAF3" w14:textId="06B991AC" w:rsidR="00C821D5" w:rsidRDefault="00C821D5" w:rsidP="00867DD7">
    <w:pPr>
      <w:pStyle w:val="Header"/>
      <w:tabs>
        <w:tab w:val="left" w:pos="3321"/>
        <w:tab w:val="cente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782B"/>
    <w:multiLevelType w:val="hybridMultilevel"/>
    <w:tmpl w:val="93C21088"/>
    <w:lvl w:ilvl="0" w:tplc="0409000F">
      <w:start w:val="1"/>
      <w:numFmt w:val="decimal"/>
      <w:lvlText w:val="%1."/>
      <w:lvlJc w:val="left"/>
      <w:pPr>
        <w:ind w:left="252" w:hanging="360"/>
      </w:p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A7A52"/>
    <w:multiLevelType w:val="hybridMultilevel"/>
    <w:tmpl w:val="F24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DF75F16"/>
    <w:multiLevelType w:val="hybridMultilevel"/>
    <w:tmpl w:val="263A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848A3"/>
    <w:multiLevelType w:val="hybridMultilevel"/>
    <w:tmpl w:val="9AECC7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3D57CD"/>
    <w:multiLevelType w:val="hybridMultilevel"/>
    <w:tmpl w:val="51D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333D0"/>
    <w:multiLevelType w:val="hybridMultilevel"/>
    <w:tmpl w:val="DE28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D9"/>
    <w:multiLevelType w:val="hybridMultilevel"/>
    <w:tmpl w:val="890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5"/>
  </w:num>
  <w:num w:numId="4">
    <w:abstractNumId w:val="14"/>
  </w:num>
  <w:num w:numId="5">
    <w:abstractNumId w:val="15"/>
  </w:num>
  <w:num w:numId="6">
    <w:abstractNumId w:val="27"/>
  </w:num>
  <w:num w:numId="7">
    <w:abstractNumId w:val="26"/>
  </w:num>
  <w:num w:numId="8">
    <w:abstractNumId w:val="16"/>
  </w:num>
  <w:num w:numId="9">
    <w:abstractNumId w:val="19"/>
  </w:num>
  <w:num w:numId="10">
    <w:abstractNumId w:val="2"/>
  </w:num>
  <w:num w:numId="11">
    <w:abstractNumId w:val="0"/>
  </w:num>
  <w:num w:numId="12">
    <w:abstractNumId w:val="6"/>
  </w:num>
  <w:num w:numId="13">
    <w:abstractNumId w:val="30"/>
  </w:num>
  <w:num w:numId="14">
    <w:abstractNumId w:val="9"/>
  </w:num>
  <w:num w:numId="15">
    <w:abstractNumId w:val="10"/>
  </w:num>
  <w:num w:numId="16">
    <w:abstractNumId w:val="21"/>
  </w:num>
  <w:num w:numId="17">
    <w:abstractNumId w:val="3"/>
  </w:num>
  <w:num w:numId="18">
    <w:abstractNumId w:val="29"/>
  </w:num>
  <w:num w:numId="19">
    <w:abstractNumId w:val="31"/>
  </w:num>
  <w:num w:numId="20">
    <w:abstractNumId w:val="13"/>
  </w:num>
  <w:num w:numId="21">
    <w:abstractNumId w:val="32"/>
  </w:num>
  <w:num w:numId="22">
    <w:abstractNumId w:val="12"/>
  </w:num>
  <w:num w:numId="23">
    <w:abstractNumId w:val="22"/>
  </w:num>
  <w:num w:numId="24">
    <w:abstractNumId w:val="4"/>
  </w:num>
  <w:num w:numId="25">
    <w:abstractNumId w:val="34"/>
  </w:num>
  <w:num w:numId="26">
    <w:abstractNumId w:val="5"/>
  </w:num>
  <w:num w:numId="27">
    <w:abstractNumId w:val="33"/>
  </w:num>
  <w:num w:numId="28">
    <w:abstractNumId w:val="17"/>
  </w:num>
  <w:num w:numId="29">
    <w:abstractNumId w:val="23"/>
  </w:num>
  <w:num w:numId="30">
    <w:abstractNumId w:val="8"/>
  </w:num>
  <w:num w:numId="31">
    <w:abstractNumId w:val="20"/>
  </w:num>
  <w:num w:numId="32">
    <w:abstractNumId w:val="24"/>
  </w:num>
  <w:num w:numId="33">
    <w:abstractNumId w:val="28"/>
  </w:num>
  <w:num w:numId="34">
    <w:abstractNumId w:val="1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0A48"/>
    <w:rsid w:val="00002CC7"/>
    <w:rsid w:val="0000316A"/>
    <w:rsid w:val="00003F19"/>
    <w:rsid w:val="000048DB"/>
    <w:rsid w:val="00006CB1"/>
    <w:rsid w:val="0000707C"/>
    <w:rsid w:val="00007556"/>
    <w:rsid w:val="00007658"/>
    <w:rsid w:val="0001205E"/>
    <w:rsid w:val="000126EA"/>
    <w:rsid w:val="000129D8"/>
    <w:rsid w:val="00013D60"/>
    <w:rsid w:val="00014F6C"/>
    <w:rsid w:val="00017605"/>
    <w:rsid w:val="000206E1"/>
    <w:rsid w:val="000215FA"/>
    <w:rsid w:val="00021C31"/>
    <w:rsid w:val="00023CAC"/>
    <w:rsid w:val="000260AD"/>
    <w:rsid w:val="00026F20"/>
    <w:rsid w:val="0003012D"/>
    <w:rsid w:val="00032664"/>
    <w:rsid w:val="00032A03"/>
    <w:rsid w:val="00032B13"/>
    <w:rsid w:val="00033806"/>
    <w:rsid w:val="00035D49"/>
    <w:rsid w:val="00035EDA"/>
    <w:rsid w:val="00036046"/>
    <w:rsid w:val="000376A6"/>
    <w:rsid w:val="00041792"/>
    <w:rsid w:val="00041889"/>
    <w:rsid w:val="000431B8"/>
    <w:rsid w:val="000477F3"/>
    <w:rsid w:val="00050A49"/>
    <w:rsid w:val="000513F6"/>
    <w:rsid w:val="00051800"/>
    <w:rsid w:val="000526C4"/>
    <w:rsid w:val="0005516E"/>
    <w:rsid w:val="000559FA"/>
    <w:rsid w:val="00056365"/>
    <w:rsid w:val="00056B62"/>
    <w:rsid w:val="00056C40"/>
    <w:rsid w:val="00057764"/>
    <w:rsid w:val="00057C44"/>
    <w:rsid w:val="00061F52"/>
    <w:rsid w:val="00062545"/>
    <w:rsid w:val="0006292A"/>
    <w:rsid w:val="00062AF1"/>
    <w:rsid w:val="00064A17"/>
    <w:rsid w:val="00065C71"/>
    <w:rsid w:val="00066081"/>
    <w:rsid w:val="00066810"/>
    <w:rsid w:val="00070E0A"/>
    <w:rsid w:val="000710EA"/>
    <w:rsid w:val="00072207"/>
    <w:rsid w:val="00072B34"/>
    <w:rsid w:val="00073070"/>
    <w:rsid w:val="00076671"/>
    <w:rsid w:val="000768D9"/>
    <w:rsid w:val="0007784B"/>
    <w:rsid w:val="000822AF"/>
    <w:rsid w:val="00083C54"/>
    <w:rsid w:val="0008643E"/>
    <w:rsid w:val="000904C6"/>
    <w:rsid w:val="00091A6B"/>
    <w:rsid w:val="00091C59"/>
    <w:rsid w:val="00096A96"/>
    <w:rsid w:val="00097B53"/>
    <w:rsid w:val="00097E78"/>
    <w:rsid w:val="000A1E8C"/>
    <w:rsid w:val="000A3711"/>
    <w:rsid w:val="000A44B7"/>
    <w:rsid w:val="000A6887"/>
    <w:rsid w:val="000A6B3C"/>
    <w:rsid w:val="000A7F16"/>
    <w:rsid w:val="000B0F75"/>
    <w:rsid w:val="000B1654"/>
    <w:rsid w:val="000B5EA8"/>
    <w:rsid w:val="000B7029"/>
    <w:rsid w:val="000B7825"/>
    <w:rsid w:val="000C2907"/>
    <w:rsid w:val="000C32FF"/>
    <w:rsid w:val="000C405F"/>
    <w:rsid w:val="000C564B"/>
    <w:rsid w:val="000C71E7"/>
    <w:rsid w:val="000D3285"/>
    <w:rsid w:val="000D3312"/>
    <w:rsid w:val="000D53DF"/>
    <w:rsid w:val="000E01FB"/>
    <w:rsid w:val="000E13D1"/>
    <w:rsid w:val="000E2870"/>
    <w:rsid w:val="000E4666"/>
    <w:rsid w:val="000E677D"/>
    <w:rsid w:val="000E7103"/>
    <w:rsid w:val="000F1B7E"/>
    <w:rsid w:val="000F2805"/>
    <w:rsid w:val="000F3878"/>
    <w:rsid w:val="000F4830"/>
    <w:rsid w:val="000F66BC"/>
    <w:rsid w:val="001010A0"/>
    <w:rsid w:val="001027F3"/>
    <w:rsid w:val="001043C5"/>
    <w:rsid w:val="00104EA1"/>
    <w:rsid w:val="0010774D"/>
    <w:rsid w:val="00107D28"/>
    <w:rsid w:val="00111829"/>
    <w:rsid w:val="00112937"/>
    <w:rsid w:val="00113309"/>
    <w:rsid w:val="001134B9"/>
    <w:rsid w:val="001137EF"/>
    <w:rsid w:val="00113FC7"/>
    <w:rsid w:val="00114864"/>
    <w:rsid w:val="00114E04"/>
    <w:rsid w:val="00117B10"/>
    <w:rsid w:val="00117EB6"/>
    <w:rsid w:val="00122C6F"/>
    <w:rsid w:val="00122D35"/>
    <w:rsid w:val="001240FF"/>
    <w:rsid w:val="00124EBF"/>
    <w:rsid w:val="00126CE5"/>
    <w:rsid w:val="0012773A"/>
    <w:rsid w:val="00130AAD"/>
    <w:rsid w:val="00133AD2"/>
    <w:rsid w:val="00137DFF"/>
    <w:rsid w:val="00140E29"/>
    <w:rsid w:val="00141B7B"/>
    <w:rsid w:val="00141D3E"/>
    <w:rsid w:val="00143BF4"/>
    <w:rsid w:val="00143C0D"/>
    <w:rsid w:val="00144E7B"/>
    <w:rsid w:val="00146966"/>
    <w:rsid w:val="00146C38"/>
    <w:rsid w:val="00146E49"/>
    <w:rsid w:val="0014772A"/>
    <w:rsid w:val="001536C4"/>
    <w:rsid w:val="0015426B"/>
    <w:rsid w:val="00155750"/>
    <w:rsid w:val="00156CD3"/>
    <w:rsid w:val="00157F87"/>
    <w:rsid w:val="0016012E"/>
    <w:rsid w:val="00160F1E"/>
    <w:rsid w:val="00160F7C"/>
    <w:rsid w:val="001610DD"/>
    <w:rsid w:val="00161362"/>
    <w:rsid w:val="00162F5C"/>
    <w:rsid w:val="001645E9"/>
    <w:rsid w:val="001646EE"/>
    <w:rsid w:val="0016638F"/>
    <w:rsid w:val="00166667"/>
    <w:rsid w:val="0017003D"/>
    <w:rsid w:val="0017278C"/>
    <w:rsid w:val="00172DAD"/>
    <w:rsid w:val="00173C3B"/>
    <w:rsid w:val="001755B3"/>
    <w:rsid w:val="00176EC9"/>
    <w:rsid w:val="00177D8A"/>
    <w:rsid w:val="00180837"/>
    <w:rsid w:val="001809C8"/>
    <w:rsid w:val="00183C0F"/>
    <w:rsid w:val="00183F04"/>
    <w:rsid w:val="001848A9"/>
    <w:rsid w:val="00184C1B"/>
    <w:rsid w:val="00186047"/>
    <w:rsid w:val="001874EA"/>
    <w:rsid w:val="00191580"/>
    <w:rsid w:val="0019286E"/>
    <w:rsid w:val="0019297E"/>
    <w:rsid w:val="00197254"/>
    <w:rsid w:val="001A126C"/>
    <w:rsid w:val="001A2628"/>
    <w:rsid w:val="001A2999"/>
    <w:rsid w:val="001A35A2"/>
    <w:rsid w:val="001A4D67"/>
    <w:rsid w:val="001A4F37"/>
    <w:rsid w:val="001A55DE"/>
    <w:rsid w:val="001A5AF9"/>
    <w:rsid w:val="001A62BB"/>
    <w:rsid w:val="001A6F34"/>
    <w:rsid w:val="001A71D5"/>
    <w:rsid w:val="001A7A85"/>
    <w:rsid w:val="001B04C4"/>
    <w:rsid w:val="001B0935"/>
    <w:rsid w:val="001B1053"/>
    <w:rsid w:val="001B11E1"/>
    <w:rsid w:val="001B1208"/>
    <w:rsid w:val="001B1BED"/>
    <w:rsid w:val="001B1E71"/>
    <w:rsid w:val="001B28A3"/>
    <w:rsid w:val="001B48F5"/>
    <w:rsid w:val="001B6B14"/>
    <w:rsid w:val="001B6F78"/>
    <w:rsid w:val="001B7970"/>
    <w:rsid w:val="001C061A"/>
    <w:rsid w:val="001C4132"/>
    <w:rsid w:val="001C48CC"/>
    <w:rsid w:val="001C4D60"/>
    <w:rsid w:val="001C4EFB"/>
    <w:rsid w:val="001C5D0E"/>
    <w:rsid w:val="001C62CC"/>
    <w:rsid w:val="001C66B4"/>
    <w:rsid w:val="001C6874"/>
    <w:rsid w:val="001C736C"/>
    <w:rsid w:val="001C7624"/>
    <w:rsid w:val="001C7BE4"/>
    <w:rsid w:val="001D1C4D"/>
    <w:rsid w:val="001D22AC"/>
    <w:rsid w:val="001D23CE"/>
    <w:rsid w:val="001D26F0"/>
    <w:rsid w:val="001D29BD"/>
    <w:rsid w:val="001D6024"/>
    <w:rsid w:val="001D69ED"/>
    <w:rsid w:val="001D712F"/>
    <w:rsid w:val="001D7B98"/>
    <w:rsid w:val="001D7FF7"/>
    <w:rsid w:val="001E062E"/>
    <w:rsid w:val="001E08B1"/>
    <w:rsid w:val="001E1E59"/>
    <w:rsid w:val="001E33E3"/>
    <w:rsid w:val="001E3569"/>
    <w:rsid w:val="001E554D"/>
    <w:rsid w:val="001E6AF3"/>
    <w:rsid w:val="001E72CD"/>
    <w:rsid w:val="001E7727"/>
    <w:rsid w:val="001E7D52"/>
    <w:rsid w:val="001F0DF1"/>
    <w:rsid w:val="001F1E3B"/>
    <w:rsid w:val="001F2329"/>
    <w:rsid w:val="001F3B1C"/>
    <w:rsid w:val="00201963"/>
    <w:rsid w:val="00201AF6"/>
    <w:rsid w:val="002021DD"/>
    <w:rsid w:val="0020289B"/>
    <w:rsid w:val="0020382F"/>
    <w:rsid w:val="0020511F"/>
    <w:rsid w:val="00206490"/>
    <w:rsid w:val="00206941"/>
    <w:rsid w:val="00211BA8"/>
    <w:rsid w:val="002158D5"/>
    <w:rsid w:val="00215F28"/>
    <w:rsid w:val="00216489"/>
    <w:rsid w:val="00216D3D"/>
    <w:rsid w:val="0022225E"/>
    <w:rsid w:val="00222427"/>
    <w:rsid w:val="002231FA"/>
    <w:rsid w:val="002246D9"/>
    <w:rsid w:val="00225146"/>
    <w:rsid w:val="002257A9"/>
    <w:rsid w:val="00225E0B"/>
    <w:rsid w:val="00226C17"/>
    <w:rsid w:val="00230334"/>
    <w:rsid w:val="00232A53"/>
    <w:rsid w:val="002334B2"/>
    <w:rsid w:val="002338AC"/>
    <w:rsid w:val="00234053"/>
    <w:rsid w:val="002343DC"/>
    <w:rsid w:val="00234E8D"/>
    <w:rsid w:val="00235A6D"/>
    <w:rsid w:val="0023737D"/>
    <w:rsid w:val="002376FA"/>
    <w:rsid w:val="002408DE"/>
    <w:rsid w:val="00240D92"/>
    <w:rsid w:val="00241B51"/>
    <w:rsid w:val="0024357F"/>
    <w:rsid w:val="00247935"/>
    <w:rsid w:val="00251340"/>
    <w:rsid w:val="0025173C"/>
    <w:rsid w:val="00253148"/>
    <w:rsid w:val="00253CA7"/>
    <w:rsid w:val="00254992"/>
    <w:rsid w:val="00254A44"/>
    <w:rsid w:val="002559AD"/>
    <w:rsid w:val="0025680E"/>
    <w:rsid w:val="00256F48"/>
    <w:rsid w:val="0025712B"/>
    <w:rsid w:val="002579D5"/>
    <w:rsid w:val="0026218B"/>
    <w:rsid w:val="002621D4"/>
    <w:rsid w:val="0026577A"/>
    <w:rsid w:val="00266442"/>
    <w:rsid w:val="00266FB9"/>
    <w:rsid w:val="00273776"/>
    <w:rsid w:val="0027495F"/>
    <w:rsid w:val="0027660A"/>
    <w:rsid w:val="00292B70"/>
    <w:rsid w:val="002933A4"/>
    <w:rsid w:val="00293830"/>
    <w:rsid w:val="00293D5F"/>
    <w:rsid w:val="002A0323"/>
    <w:rsid w:val="002A0F81"/>
    <w:rsid w:val="002A1F68"/>
    <w:rsid w:val="002A2490"/>
    <w:rsid w:val="002A2654"/>
    <w:rsid w:val="002B084E"/>
    <w:rsid w:val="002B476A"/>
    <w:rsid w:val="002B4DBE"/>
    <w:rsid w:val="002C095A"/>
    <w:rsid w:val="002C3390"/>
    <w:rsid w:val="002C45C5"/>
    <w:rsid w:val="002C4DCF"/>
    <w:rsid w:val="002C4F75"/>
    <w:rsid w:val="002C60FE"/>
    <w:rsid w:val="002C699E"/>
    <w:rsid w:val="002D30EE"/>
    <w:rsid w:val="002D41F0"/>
    <w:rsid w:val="002D438D"/>
    <w:rsid w:val="002D6623"/>
    <w:rsid w:val="002D7508"/>
    <w:rsid w:val="002D7CC0"/>
    <w:rsid w:val="002E2E29"/>
    <w:rsid w:val="002F03EB"/>
    <w:rsid w:val="002F1A94"/>
    <w:rsid w:val="002F1C69"/>
    <w:rsid w:val="002F23CC"/>
    <w:rsid w:val="002F3A6E"/>
    <w:rsid w:val="002F4973"/>
    <w:rsid w:val="002F58FF"/>
    <w:rsid w:val="002F6353"/>
    <w:rsid w:val="003005E8"/>
    <w:rsid w:val="00301314"/>
    <w:rsid w:val="0030192E"/>
    <w:rsid w:val="00302FC6"/>
    <w:rsid w:val="0030432F"/>
    <w:rsid w:val="00305C6D"/>
    <w:rsid w:val="003076C8"/>
    <w:rsid w:val="00310402"/>
    <w:rsid w:val="0031218A"/>
    <w:rsid w:val="0031503A"/>
    <w:rsid w:val="00315BE3"/>
    <w:rsid w:val="00315C50"/>
    <w:rsid w:val="003160D2"/>
    <w:rsid w:val="00316A04"/>
    <w:rsid w:val="003178EA"/>
    <w:rsid w:val="00321046"/>
    <w:rsid w:val="00321078"/>
    <w:rsid w:val="00325A77"/>
    <w:rsid w:val="00325F49"/>
    <w:rsid w:val="00326192"/>
    <w:rsid w:val="00327B2E"/>
    <w:rsid w:val="0033098B"/>
    <w:rsid w:val="003324BE"/>
    <w:rsid w:val="00334F50"/>
    <w:rsid w:val="00335C5C"/>
    <w:rsid w:val="00335E7C"/>
    <w:rsid w:val="00335F68"/>
    <w:rsid w:val="0033698C"/>
    <w:rsid w:val="00336A46"/>
    <w:rsid w:val="00336C22"/>
    <w:rsid w:val="00337281"/>
    <w:rsid w:val="0033770B"/>
    <w:rsid w:val="00337CD5"/>
    <w:rsid w:val="0034018C"/>
    <w:rsid w:val="003402ED"/>
    <w:rsid w:val="00342616"/>
    <w:rsid w:val="00343994"/>
    <w:rsid w:val="003444D8"/>
    <w:rsid w:val="00345119"/>
    <w:rsid w:val="003463DE"/>
    <w:rsid w:val="00347CAE"/>
    <w:rsid w:val="00350762"/>
    <w:rsid w:val="00354A7E"/>
    <w:rsid w:val="00354F28"/>
    <w:rsid w:val="003560C5"/>
    <w:rsid w:val="00356E36"/>
    <w:rsid w:val="003607DB"/>
    <w:rsid w:val="00362BA9"/>
    <w:rsid w:val="0037259F"/>
    <w:rsid w:val="0037436F"/>
    <w:rsid w:val="0037470F"/>
    <w:rsid w:val="00374DAB"/>
    <w:rsid w:val="00377151"/>
    <w:rsid w:val="0037775E"/>
    <w:rsid w:val="00380249"/>
    <w:rsid w:val="0038291A"/>
    <w:rsid w:val="00383A92"/>
    <w:rsid w:val="003854CB"/>
    <w:rsid w:val="00385A70"/>
    <w:rsid w:val="00386699"/>
    <w:rsid w:val="00387C0C"/>
    <w:rsid w:val="003963EC"/>
    <w:rsid w:val="00397B95"/>
    <w:rsid w:val="003A3A21"/>
    <w:rsid w:val="003A4700"/>
    <w:rsid w:val="003A581B"/>
    <w:rsid w:val="003A646B"/>
    <w:rsid w:val="003B0A2D"/>
    <w:rsid w:val="003B1A54"/>
    <w:rsid w:val="003B22A7"/>
    <w:rsid w:val="003B2630"/>
    <w:rsid w:val="003B322A"/>
    <w:rsid w:val="003B3F75"/>
    <w:rsid w:val="003B67E5"/>
    <w:rsid w:val="003B6CEA"/>
    <w:rsid w:val="003B6E6B"/>
    <w:rsid w:val="003B7793"/>
    <w:rsid w:val="003C2C8D"/>
    <w:rsid w:val="003C31EB"/>
    <w:rsid w:val="003C4E2D"/>
    <w:rsid w:val="003C5047"/>
    <w:rsid w:val="003C5109"/>
    <w:rsid w:val="003C5E89"/>
    <w:rsid w:val="003C6459"/>
    <w:rsid w:val="003D0784"/>
    <w:rsid w:val="003D4650"/>
    <w:rsid w:val="003D5231"/>
    <w:rsid w:val="003D5D62"/>
    <w:rsid w:val="003E3B83"/>
    <w:rsid w:val="003E4DAF"/>
    <w:rsid w:val="003E553E"/>
    <w:rsid w:val="003E605D"/>
    <w:rsid w:val="003E7556"/>
    <w:rsid w:val="003E7AFF"/>
    <w:rsid w:val="003F1545"/>
    <w:rsid w:val="003F4A6A"/>
    <w:rsid w:val="003F5DAE"/>
    <w:rsid w:val="0040124C"/>
    <w:rsid w:val="00401EC8"/>
    <w:rsid w:val="004020D8"/>
    <w:rsid w:val="00402557"/>
    <w:rsid w:val="00403AAB"/>
    <w:rsid w:val="004054DE"/>
    <w:rsid w:val="00405BBC"/>
    <w:rsid w:val="0041401F"/>
    <w:rsid w:val="00414B04"/>
    <w:rsid w:val="00416C21"/>
    <w:rsid w:val="00416E79"/>
    <w:rsid w:val="004220F0"/>
    <w:rsid w:val="004222F8"/>
    <w:rsid w:val="00422C1B"/>
    <w:rsid w:val="00423119"/>
    <w:rsid w:val="004302B6"/>
    <w:rsid w:val="00432D91"/>
    <w:rsid w:val="00433B5E"/>
    <w:rsid w:val="00435E44"/>
    <w:rsid w:val="0043696E"/>
    <w:rsid w:val="00436F5E"/>
    <w:rsid w:val="00437397"/>
    <w:rsid w:val="00440179"/>
    <w:rsid w:val="004402A9"/>
    <w:rsid w:val="00441AC2"/>
    <w:rsid w:val="0044250A"/>
    <w:rsid w:val="00442AF4"/>
    <w:rsid w:val="0044502D"/>
    <w:rsid w:val="004453F8"/>
    <w:rsid w:val="00445657"/>
    <w:rsid w:val="00445B2A"/>
    <w:rsid w:val="00446B84"/>
    <w:rsid w:val="00450925"/>
    <w:rsid w:val="00450B3E"/>
    <w:rsid w:val="00450B46"/>
    <w:rsid w:val="004522FF"/>
    <w:rsid w:val="004536C9"/>
    <w:rsid w:val="0045399A"/>
    <w:rsid w:val="004539ED"/>
    <w:rsid w:val="00454199"/>
    <w:rsid w:val="00454889"/>
    <w:rsid w:val="00454AED"/>
    <w:rsid w:val="004554B1"/>
    <w:rsid w:val="00456D5E"/>
    <w:rsid w:val="00456E2F"/>
    <w:rsid w:val="0045719B"/>
    <w:rsid w:val="004634FC"/>
    <w:rsid w:val="004640DE"/>
    <w:rsid w:val="00467434"/>
    <w:rsid w:val="00470878"/>
    <w:rsid w:val="004713E2"/>
    <w:rsid w:val="00476213"/>
    <w:rsid w:val="00476537"/>
    <w:rsid w:val="00477223"/>
    <w:rsid w:val="00477932"/>
    <w:rsid w:val="00477BD6"/>
    <w:rsid w:val="00481633"/>
    <w:rsid w:val="004820FD"/>
    <w:rsid w:val="00482DDE"/>
    <w:rsid w:val="0048365E"/>
    <w:rsid w:val="00483710"/>
    <w:rsid w:val="00483993"/>
    <w:rsid w:val="00484522"/>
    <w:rsid w:val="004854A2"/>
    <w:rsid w:val="00485828"/>
    <w:rsid w:val="00485D12"/>
    <w:rsid w:val="00486F29"/>
    <w:rsid w:val="0048742A"/>
    <w:rsid w:val="0048774D"/>
    <w:rsid w:val="00487D12"/>
    <w:rsid w:val="004909D6"/>
    <w:rsid w:val="00491FA6"/>
    <w:rsid w:val="00493927"/>
    <w:rsid w:val="00494F40"/>
    <w:rsid w:val="004A0559"/>
    <w:rsid w:val="004A1102"/>
    <w:rsid w:val="004A1FC6"/>
    <w:rsid w:val="004A2C94"/>
    <w:rsid w:val="004A36D3"/>
    <w:rsid w:val="004A44DD"/>
    <w:rsid w:val="004A516A"/>
    <w:rsid w:val="004A61E7"/>
    <w:rsid w:val="004A6400"/>
    <w:rsid w:val="004A737D"/>
    <w:rsid w:val="004A7C36"/>
    <w:rsid w:val="004B09C0"/>
    <w:rsid w:val="004B0AFF"/>
    <w:rsid w:val="004B2553"/>
    <w:rsid w:val="004B587E"/>
    <w:rsid w:val="004B5A6C"/>
    <w:rsid w:val="004C005A"/>
    <w:rsid w:val="004C0959"/>
    <w:rsid w:val="004C121E"/>
    <w:rsid w:val="004C1906"/>
    <w:rsid w:val="004C2ADD"/>
    <w:rsid w:val="004C4374"/>
    <w:rsid w:val="004C44E3"/>
    <w:rsid w:val="004C5A88"/>
    <w:rsid w:val="004D0441"/>
    <w:rsid w:val="004D340D"/>
    <w:rsid w:val="004D40DE"/>
    <w:rsid w:val="004D6342"/>
    <w:rsid w:val="004D65AD"/>
    <w:rsid w:val="004D664D"/>
    <w:rsid w:val="004D6CA9"/>
    <w:rsid w:val="004D76DE"/>
    <w:rsid w:val="004D7FE2"/>
    <w:rsid w:val="004E09C9"/>
    <w:rsid w:val="004E1970"/>
    <w:rsid w:val="004E2936"/>
    <w:rsid w:val="004E3391"/>
    <w:rsid w:val="004E6996"/>
    <w:rsid w:val="004E7927"/>
    <w:rsid w:val="004F1406"/>
    <w:rsid w:val="004F268C"/>
    <w:rsid w:val="004F2A3A"/>
    <w:rsid w:val="004F3A1C"/>
    <w:rsid w:val="004F3B1C"/>
    <w:rsid w:val="004F4E1D"/>
    <w:rsid w:val="004F64F9"/>
    <w:rsid w:val="004F7A55"/>
    <w:rsid w:val="005006BC"/>
    <w:rsid w:val="00500AAC"/>
    <w:rsid w:val="00500C50"/>
    <w:rsid w:val="005035BA"/>
    <w:rsid w:val="005046F0"/>
    <w:rsid w:val="0050545D"/>
    <w:rsid w:val="00511EFD"/>
    <w:rsid w:val="00512ACD"/>
    <w:rsid w:val="00512BD5"/>
    <w:rsid w:val="00514025"/>
    <w:rsid w:val="00514862"/>
    <w:rsid w:val="00515A43"/>
    <w:rsid w:val="005161CF"/>
    <w:rsid w:val="005161E3"/>
    <w:rsid w:val="00520737"/>
    <w:rsid w:val="00522DD3"/>
    <w:rsid w:val="00523DA2"/>
    <w:rsid w:val="005242CF"/>
    <w:rsid w:val="00524958"/>
    <w:rsid w:val="00524987"/>
    <w:rsid w:val="00525C4B"/>
    <w:rsid w:val="0052652C"/>
    <w:rsid w:val="005265A1"/>
    <w:rsid w:val="00527465"/>
    <w:rsid w:val="00530F0C"/>
    <w:rsid w:val="00531097"/>
    <w:rsid w:val="00531E9A"/>
    <w:rsid w:val="005320A7"/>
    <w:rsid w:val="00533671"/>
    <w:rsid w:val="005338EA"/>
    <w:rsid w:val="00534786"/>
    <w:rsid w:val="0053535D"/>
    <w:rsid w:val="005353B7"/>
    <w:rsid w:val="00536450"/>
    <w:rsid w:val="00536654"/>
    <w:rsid w:val="00536C99"/>
    <w:rsid w:val="00540518"/>
    <w:rsid w:val="00541024"/>
    <w:rsid w:val="005418E6"/>
    <w:rsid w:val="00542F0A"/>
    <w:rsid w:val="00543D6C"/>
    <w:rsid w:val="005449AD"/>
    <w:rsid w:val="005453CF"/>
    <w:rsid w:val="00546B3E"/>
    <w:rsid w:val="00551652"/>
    <w:rsid w:val="00551CF6"/>
    <w:rsid w:val="0055489C"/>
    <w:rsid w:val="00555EBC"/>
    <w:rsid w:val="00561240"/>
    <w:rsid w:val="00561C2F"/>
    <w:rsid w:val="0056740C"/>
    <w:rsid w:val="00574746"/>
    <w:rsid w:val="00575372"/>
    <w:rsid w:val="00575BFC"/>
    <w:rsid w:val="0057670B"/>
    <w:rsid w:val="00577FCD"/>
    <w:rsid w:val="00582EF6"/>
    <w:rsid w:val="005830E9"/>
    <w:rsid w:val="005835EB"/>
    <w:rsid w:val="005839B5"/>
    <w:rsid w:val="00584346"/>
    <w:rsid w:val="005847FD"/>
    <w:rsid w:val="005921E4"/>
    <w:rsid w:val="0059289E"/>
    <w:rsid w:val="00593594"/>
    <w:rsid w:val="005A23DE"/>
    <w:rsid w:val="005A3562"/>
    <w:rsid w:val="005A53EF"/>
    <w:rsid w:val="005A6222"/>
    <w:rsid w:val="005A64C5"/>
    <w:rsid w:val="005A7910"/>
    <w:rsid w:val="005B1528"/>
    <w:rsid w:val="005B1C4A"/>
    <w:rsid w:val="005B1F67"/>
    <w:rsid w:val="005B280B"/>
    <w:rsid w:val="005B3506"/>
    <w:rsid w:val="005B4540"/>
    <w:rsid w:val="005B5A59"/>
    <w:rsid w:val="005B6889"/>
    <w:rsid w:val="005B7B2C"/>
    <w:rsid w:val="005C12A4"/>
    <w:rsid w:val="005C4876"/>
    <w:rsid w:val="005C4E44"/>
    <w:rsid w:val="005C528A"/>
    <w:rsid w:val="005C697C"/>
    <w:rsid w:val="005C6D2A"/>
    <w:rsid w:val="005D0681"/>
    <w:rsid w:val="005D2538"/>
    <w:rsid w:val="005D2E69"/>
    <w:rsid w:val="005D5313"/>
    <w:rsid w:val="005D539C"/>
    <w:rsid w:val="005D5891"/>
    <w:rsid w:val="005D7ADF"/>
    <w:rsid w:val="005D7C35"/>
    <w:rsid w:val="005E0022"/>
    <w:rsid w:val="005E0225"/>
    <w:rsid w:val="005E2278"/>
    <w:rsid w:val="005E4C3E"/>
    <w:rsid w:val="005F08D0"/>
    <w:rsid w:val="005F2061"/>
    <w:rsid w:val="005F2C1C"/>
    <w:rsid w:val="005F4262"/>
    <w:rsid w:val="005F4BD2"/>
    <w:rsid w:val="005F6549"/>
    <w:rsid w:val="006010CA"/>
    <w:rsid w:val="00601523"/>
    <w:rsid w:val="00601DEE"/>
    <w:rsid w:val="00601F92"/>
    <w:rsid w:val="00602A11"/>
    <w:rsid w:val="006053E9"/>
    <w:rsid w:val="00607351"/>
    <w:rsid w:val="00607841"/>
    <w:rsid w:val="0061137B"/>
    <w:rsid w:val="006124DA"/>
    <w:rsid w:val="0061584F"/>
    <w:rsid w:val="00616124"/>
    <w:rsid w:val="0061632E"/>
    <w:rsid w:val="00620963"/>
    <w:rsid w:val="006215BD"/>
    <w:rsid w:val="00621CE2"/>
    <w:rsid w:val="00621D27"/>
    <w:rsid w:val="0062290A"/>
    <w:rsid w:val="0062296A"/>
    <w:rsid w:val="00622B66"/>
    <w:rsid w:val="00624EDF"/>
    <w:rsid w:val="0062550A"/>
    <w:rsid w:val="00625AC5"/>
    <w:rsid w:val="00626878"/>
    <w:rsid w:val="00627836"/>
    <w:rsid w:val="00631F14"/>
    <w:rsid w:val="006323C9"/>
    <w:rsid w:val="006339C7"/>
    <w:rsid w:val="006350EC"/>
    <w:rsid w:val="00635381"/>
    <w:rsid w:val="00635B6C"/>
    <w:rsid w:val="00636266"/>
    <w:rsid w:val="00636341"/>
    <w:rsid w:val="00636C73"/>
    <w:rsid w:val="00637466"/>
    <w:rsid w:val="00637592"/>
    <w:rsid w:val="006428AE"/>
    <w:rsid w:val="00642937"/>
    <w:rsid w:val="006438BB"/>
    <w:rsid w:val="00644272"/>
    <w:rsid w:val="006442CC"/>
    <w:rsid w:val="00644599"/>
    <w:rsid w:val="00646954"/>
    <w:rsid w:val="006474B5"/>
    <w:rsid w:val="00651DBA"/>
    <w:rsid w:val="00652679"/>
    <w:rsid w:val="00652CC3"/>
    <w:rsid w:val="006541D0"/>
    <w:rsid w:val="006542AC"/>
    <w:rsid w:val="006554FE"/>
    <w:rsid w:val="00657424"/>
    <w:rsid w:val="00660A9E"/>
    <w:rsid w:val="0066220E"/>
    <w:rsid w:val="00662E50"/>
    <w:rsid w:val="00665E25"/>
    <w:rsid w:val="0066613F"/>
    <w:rsid w:val="00666AF5"/>
    <w:rsid w:val="00670822"/>
    <w:rsid w:val="0067192B"/>
    <w:rsid w:val="00671B6D"/>
    <w:rsid w:val="00672A1B"/>
    <w:rsid w:val="00672B29"/>
    <w:rsid w:val="00672C8C"/>
    <w:rsid w:val="006746AA"/>
    <w:rsid w:val="00676AEA"/>
    <w:rsid w:val="006824F7"/>
    <w:rsid w:val="00682535"/>
    <w:rsid w:val="006826DF"/>
    <w:rsid w:val="00682755"/>
    <w:rsid w:val="00684B0A"/>
    <w:rsid w:val="00685734"/>
    <w:rsid w:val="006857CD"/>
    <w:rsid w:val="006911E2"/>
    <w:rsid w:val="006927DA"/>
    <w:rsid w:val="00693706"/>
    <w:rsid w:val="00695467"/>
    <w:rsid w:val="0069741D"/>
    <w:rsid w:val="00697E93"/>
    <w:rsid w:val="006A198C"/>
    <w:rsid w:val="006A4FE8"/>
    <w:rsid w:val="006A58B8"/>
    <w:rsid w:val="006A6773"/>
    <w:rsid w:val="006A6E38"/>
    <w:rsid w:val="006B0B4C"/>
    <w:rsid w:val="006B1D21"/>
    <w:rsid w:val="006B45B1"/>
    <w:rsid w:val="006B4A96"/>
    <w:rsid w:val="006B56C7"/>
    <w:rsid w:val="006B5EC9"/>
    <w:rsid w:val="006B65C2"/>
    <w:rsid w:val="006B6845"/>
    <w:rsid w:val="006B69C0"/>
    <w:rsid w:val="006B6DB9"/>
    <w:rsid w:val="006B6FCC"/>
    <w:rsid w:val="006B7648"/>
    <w:rsid w:val="006C0DE9"/>
    <w:rsid w:val="006C37ED"/>
    <w:rsid w:val="006C3AC0"/>
    <w:rsid w:val="006C5859"/>
    <w:rsid w:val="006C5CBA"/>
    <w:rsid w:val="006D0AC1"/>
    <w:rsid w:val="006D281A"/>
    <w:rsid w:val="006D2BC5"/>
    <w:rsid w:val="006D3E00"/>
    <w:rsid w:val="006D4E80"/>
    <w:rsid w:val="006D50A0"/>
    <w:rsid w:val="006D58A8"/>
    <w:rsid w:val="006D5AA0"/>
    <w:rsid w:val="006D6751"/>
    <w:rsid w:val="006D6812"/>
    <w:rsid w:val="006D7B40"/>
    <w:rsid w:val="006E094E"/>
    <w:rsid w:val="006E2CA4"/>
    <w:rsid w:val="006E313D"/>
    <w:rsid w:val="006E474B"/>
    <w:rsid w:val="006E48B2"/>
    <w:rsid w:val="006E526F"/>
    <w:rsid w:val="006E695D"/>
    <w:rsid w:val="006F1FA8"/>
    <w:rsid w:val="00701045"/>
    <w:rsid w:val="007013B7"/>
    <w:rsid w:val="00701FF3"/>
    <w:rsid w:val="0070226F"/>
    <w:rsid w:val="00705320"/>
    <w:rsid w:val="0070633E"/>
    <w:rsid w:val="0070713C"/>
    <w:rsid w:val="007113B3"/>
    <w:rsid w:val="00711A4C"/>
    <w:rsid w:val="00711BC5"/>
    <w:rsid w:val="00714122"/>
    <w:rsid w:val="007149D7"/>
    <w:rsid w:val="00715019"/>
    <w:rsid w:val="00716FA1"/>
    <w:rsid w:val="00721FA0"/>
    <w:rsid w:val="0072204D"/>
    <w:rsid w:val="007235BD"/>
    <w:rsid w:val="00724972"/>
    <w:rsid w:val="007250A3"/>
    <w:rsid w:val="00726A94"/>
    <w:rsid w:val="00730FD1"/>
    <w:rsid w:val="00731A7F"/>
    <w:rsid w:val="0073313D"/>
    <w:rsid w:val="00733365"/>
    <w:rsid w:val="00736759"/>
    <w:rsid w:val="00736F1D"/>
    <w:rsid w:val="00741EA4"/>
    <w:rsid w:val="007428A5"/>
    <w:rsid w:val="007443B2"/>
    <w:rsid w:val="007452D8"/>
    <w:rsid w:val="007533B7"/>
    <w:rsid w:val="00754686"/>
    <w:rsid w:val="00754EC3"/>
    <w:rsid w:val="00755997"/>
    <w:rsid w:val="00757E6A"/>
    <w:rsid w:val="00760C48"/>
    <w:rsid w:val="007617A0"/>
    <w:rsid w:val="00761FFF"/>
    <w:rsid w:val="00762E02"/>
    <w:rsid w:val="00763E5C"/>
    <w:rsid w:val="007659DA"/>
    <w:rsid w:val="00766A2A"/>
    <w:rsid w:val="0077121A"/>
    <w:rsid w:val="00772457"/>
    <w:rsid w:val="00775374"/>
    <w:rsid w:val="007756EC"/>
    <w:rsid w:val="00775A0A"/>
    <w:rsid w:val="00775FC8"/>
    <w:rsid w:val="007806AB"/>
    <w:rsid w:val="007820D6"/>
    <w:rsid w:val="00782181"/>
    <w:rsid w:val="007829F8"/>
    <w:rsid w:val="00784137"/>
    <w:rsid w:val="007859BB"/>
    <w:rsid w:val="00792B01"/>
    <w:rsid w:val="00793BF4"/>
    <w:rsid w:val="00794F85"/>
    <w:rsid w:val="007956AA"/>
    <w:rsid w:val="00795B59"/>
    <w:rsid w:val="00797161"/>
    <w:rsid w:val="007A054B"/>
    <w:rsid w:val="007A1929"/>
    <w:rsid w:val="007B1FE0"/>
    <w:rsid w:val="007B3DDC"/>
    <w:rsid w:val="007B4FEE"/>
    <w:rsid w:val="007B5060"/>
    <w:rsid w:val="007B5ACD"/>
    <w:rsid w:val="007B65E7"/>
    <w:rsid w:val="007B67C6"/>
    <w:rsid w:val="007C1A06"/>
    <w:rsid w:val="007C2AEA"/>
    <w:rsid w:val="007C3A5B"/>
    <w:rsid w:val="007C3B7D"/>
    <w:rsid w:val="007C40D7"/>
    <w:rsid w:val="007C502E"/>
    <w:rsid w:val="007C7D92"/>
    <w:rsid w:val="007D03CD"/>
    <w:rsid w:val="007D061F"/>
    <w:rsid w:val="007D2025"/>
    <w:rsid w:val="007D295D"/>
    <w:rsid w:val="007D339A"/>
    <w:rsid w:val="007D38C2"/>
    <w:rsid w:val="007D708D"/>
    <w:rsid w:val="007E1F52"/>
    <w:rsid w:val="007E3307"/>
    <w:rsid w:val="007E5247"/>
    <w:rsid w:val="007E7C66"/>
    <w:rsid w:val="007F089A"/>
    <w:rsid w:val="007F14C9"/>
    <w:rsid w:val="007F1B2F"/>
    <w:rsid w:val="007F1D5E"/>
    <w:rsid w:val="007F23DE"/>
    <w:rsid w:val="007F45FE"/>
    <w:rsid w:val="007F58F6"/>
    <w:rsid w:val="007F7C09"/>
    <w:rsid w:val="008000D2"/>
    <w:rsid w:val="008002F0"/>
    <w:rsid w:val="00800583"/>
    <w:rsid w:val="00806712"/>
    <w:rsid w:val="00810B9B"/>
    <w:rsid w:val="008138AE"/>
    <w:rsid w:val="00815F38"/>
    <w:rsid w:val="0081676C"/>
    <w:rsid w:val="00816965"/>
    <w:rsid w:val="00817671"/>
    <w:rsid w:val="00817FC6"/>
    <w:rsid w:val="00823122"/>
    <w:rsid w:val="00826AB0"/>
    <w:rsid w:val="0082700D"/>
    <w:rsid w:val="008320A0"/>
    <w:rsid w:val="00832E1F"/>
    <w:rsid w:val="008378ED"/>
    <w:rsid w:val="008407BC"/>
    <w:rsid w:val="00840FCD"/>
    <w:rsid w:val="008422D6"/>
    <w:rsid w:val="00842401"/>
    <w:rsid w:val="0084252C"/>
    <w:rsid w:val="0084257F"/>
    <w:rsid w:val="00842DD0"/>
    <w:rsid w:val="008433A0"/>
    <w:rsid w:val="008438C9"/>
    <w:rsid w:val="00846331"/>
    <w:rsid w:val="008468A3"/>
    <w:rsid w:val="00847912"/>
    <w:rsid w:val="00847D30"/>
    <w:rsid w:val="008510D0"/>
    <w:rsid w:val="00851255"/>
    <w:rsid w:val="00851DB9"/>
    <w:rsid w:val="0085662E"/>
    <w:rsid w:val="00856769"/>
    <w:rsid w:val="0086007C"/>
    <w:rsid w:val="008648B7"/>
    <w:rsid w:val="00867DD7"/>
    <w:rsid w:val="00870500"/>
    <w:rsid w:val="00870AB4"/>
    <w:rsid w:val="0087234E"/>
    <w:rsid w:val="00872B4B"/>
    <w:rsid w:val="008838A5"/>
    <w:rsid w:val="00885641"/>
    <w:rsid w:val="00886673"/>
    <w:rsid w:val="0089063F"/>
    <w:rsid w:val="008923CD"/>
    <w:rsid w:val="00893F70"/>
    <w:rsid w:val="008943DF"/>
    <w:rsid w:val="008951A4"/>
    <w:rsid w:val="00897038"/>
    <w:rsid w:val="008A015C"/>
    <w:rsid w:val="008A23FF"/>
    <w:rsid w:val="008A2F1C"/>
    <w:rsid w:val="008A72E1"/>
    <w:rsid w:val="008A734C"/>
    <w:rsid w:val="008A7B83"/>
    <w:rsid w:val="008A7C9C"/>
    <w:rsid w:val="008B0D8D"/>
    <w:rsid w:val="008B3FA9"/>
    <w:rsid w:val="008B4A6C"/>
    <w:rsid w:val="008B4FFF"/>
    <w:rsid w:val="008B55E2"/>
    <w:rsid w:val="008B56BD"/>
    <w:rsid w:val="008B7F2C"/>
    <w:rsid w:val="008C1190"/>
    <w:rsid w:val="008C3EEE"/>
    <w:rsid w:val="008C4B04"/>
    <w:rsid w:val="008C4F09"/>
    <w:rsid w:val="008C528B"/>
    <w:rsid w:val="008C5B1D"/>
    <w:rsid w:val="008C5FF2"/>
    <w:rsid w:val="008C6616"/>
    <w:rsid w:val="008C6A6B"/>
    <w:rsid w:val="008C6B51"/>
    <w:rsid w:val="008C739B"/>
    <w:rsid w:val="008C78B4"/>
    <w:rsid w:val="008C7BA1"/>
    <w:rsid w:val="008D1A37"/>
    <w:rsid w:val="008D44B4"/>
    <w:rsid w:val="008D72AD"/>
    <w:rsid w:val="008E07B8"/>
    <w:rsid w:val="008E28A8"/>
    <w:rsid w:val="008E2C72"/>
    <w:rsid w:val="008E3C4A"/>
    <w:rsid w:val="008E536A"/>
    <w:rsid w:val="008E5DA9"/>
    <w:rsid w:val="008E758D"/>
    <w:rsid w:val="008F0953"/>
    <w:rsid w:val="008F10A2"/>
    <w:rsid w:val="008F16A5"/>
    <w:rsid w:val="008F4681"/>
    <w:rsid w:val="008F7941"/>
    <w:rsid w:val="00900700"/>
    <w:rsid w:val="00900F68"/>
    <w:rsid w:val="00901B0D"/>
    <w:rsid w:val="00906DE9"/>
    <w:rsid w:val="00910AF9"/>
    <w:rsid w:val="00913787"/>
    <w:rsid w:val="00913A2E"/>
    <w:rsid w:val="00920267"/>
    <w:rsid w:val="00920C89"/>
    <w:rsid w:val="009226BD"/>
    <w:rsid w:val="0092408B"/>
    <w:rsid w:val="009244BA"/>
    <w:rsid w:val="009246BB"/>
    <w:rsid w:val="00924CBF"/>
    <w:rsid w:val="00924FB9"/>
    <w:rsid w:val="009264EC"/>
    <w:rsid w:val="00926E2C"/>
    <w:rsid w:val="00932D71"/>
    <w:rsid w:val="00933705"/>
    <w:rsid w:val="00933B36"/>
    <w:rsid w:val="00935905"/>
    <w:rsid w:val="009373B7"/>
    <w:rsid w:val="009401B5"/>
    <w:rsid w:val="009401ED"/>
    <w:rsid w:val="009404A9"/>
    <w:rsid w:val="00945461"/>
    <w:rsid w:val="00945CD6"/>
    <w:rsid w:val="009546DD"/>
    <w:rsid w:val="00957AE3"/>
    <w:rsid w:val="00961E15"/>
    <w:rsid w:val="00962E63"/>
    <w:rsid w:val="009638CE"/>
    <w:rsid w:val="00963D8D"/>
    <w:rsid w:val="009648CE"/>
    <w:rsid w:val="00964A48"/>
    <w:rsid w:val="0096743D"/>
    <w:rsid w:val="0097248C"/>
    <w:rsid w:val="00973478"/>
    <w:rsid w:val="009740C7"/>
    <w:rsid w:val="00977F79"/>
    <w:rsid w:val="009801BC"/>
    <w:rsid w:val="009801D4"/>
    <w:rsid w:val="00982E5E"/>
    <w:rsid w:val="00983CCB"/>
    <w:rsid w:val="00984CA2"/>
    <w:rsid w:val="0098577F"/>
    <w:rsid w:val="00986B16"/>
    <w:rsid w:val="00986FB7"/>
    <w:rsid w:val="00987038"/>
    <w:rsid w:val="009878CA"/>
    <w:rsid w:val="00990843"/>
    <w:rsid w:val="00992DD1"/>
    <w:rsid w:val="00993655"/>
    <w:rsid w:val="00993EF7"/>
    <w:rsid w:val="009946AE"/>
    <w:rsid w:val="009A078B"/>
    <w:rsid w:val="009A25FA"/>
    <w:rsid w:val="009A3CF6"/>
    <w:rsid w:val="009A4656"/>
    <w:rsid w:val="009A6376"/>
    <w:rsid w:val="009A6900"/>
    <w:rsid w:val="009A69ED"/>
    <w:rsid w:val="009A6B25"/>
    <w:rsid w:val="009B1638"/>
    <w:rsid w:val="009B1ED9"/>
    <w:rsid w:val="009B28A2"/>
    <w:rsid w:val="009B63F1"/>
    <w:rsid w:val="009B64B4"/>
    <w:rsid w:val="009B73F4"/>
    <w:rsid w:val="009C01ED"/>
    <w:rsid w:val="009C12AF"/>
    <w:rsid w:val="009C2440"/>
    <w:rsid w:val="009C2F68"/>
    <w:rsid w:val="009C3E58"/>
    <w:rsid w:val="009C6FDE"/>
    <w:rsid w:val="009C72AA"/>
    <w:rsid w:val="009C7AB5"/>
    <w:rsid w:val="009D0211"/>
    <w:rsid w:val="009D0F07"/>
    <w:rsid w:val="009D1E8E"/>
    <w:rsid w:val="009D2B06"/>
    <w:rsid w:val="009D3872"/>
    <w:rsid w:val="009D3F23"/>
    <w:rsid w:val="009D47D2"/>
    <w:rsid w:val="009D482C"/>
    <w:rsid w:val="009D4B28"/>
    <w:rsid w:val="009D5FC2"/>
    <w:rsid w:val="009D5FF0"/>
    <w:rsid w:val="009D6C7A"/>
    <w:rsid w:val="009E069E"/>
    <w:rsid w:val="009E06CC"/>
    <w:rsid w:val="009E28C8"/>
    <w:rsid w:val="009E374C"/>
    <w:rsid w:val="009E3DC4"/>
    <w:rsid w:val="009E53A3"/>
    <w:rsid w:val="009E5578"/>
    <w:rsid w:val="009E5FDF"/>
    <w:rsid w:val="009E70A4"/>
    <w:rsid w:val="009F1378"/>
    <w:rsid w:val="009F2596"/>
    <w:rsid w:val="009F2C60"/>
    <w:rsid w:val="009F2D0D"/>
    <w:rsid w:val="009F3F68"/>
    <w:rsid w:val="009F5A10"/>
    <w:rsid w:val="009F7979"/>
    <w:rsid w:val="00A00B45"/>
    <w:rsid w:val="00A00E6F"/>
    <w:rsid w:val="00A01B0C"/>
    <w:rsid w:val="00A058D4"/>
    <w:rsid w:val="00A059B5"/>
    <w:rsid w:val="00A1065D"/>
    <w:rsid w:val="00A11573"/>
    <w:rsid w:val="00A1266F"/>
    <w:rsid w:val="00A14862"/>
    <w:rsid w:val="00A15E8F"/>
    <w:rsid w:val="00A1749A"/>
    <w:rsid w:val="00A174B0"/>
    <w:rsid w:val="00A241EB"/>
    <w:rsid w:val="00A24440"/>
    <w:rsid w:val="00A24A0D"/>
    <w:rsid w:val="00A2616B"/>
    <w:rsid w:val="00A27818"/>
    <w:rsid w:val="00A27DBE"/>
    <w:rsid w:val="00A30D16"/>
    <w:rsid w:val="00A320A9"/>
    <w:rsid w:val="00A33207"/>
    <w:rsid w:val="00A34019"/>
    <w:rsid w:val="00A3415D"/>
    <w:rsid w:val="00A34973"/>
    <w:rsid w:val="00A35B0D"/>
    <w:rsid w:val="00A35E23"/>
    <w:rsid w:val="00A36D6F"/>
    <w:rsid w:val="00A36E0E"/>
    <w:rsid w:val="00A40557"/>
    <w:rsid w:val="00A412C5"/>
    <w:rsid w:val="00A42315"/>
    <w:rsid w:val="00A42539"/>
    <w:rsid w:val="00A42C9A"/>
    <w:rsid w:val="00A4331F"/>
    <w:rsid w:val="00A44209"/>
    <w:rsid w:val="00A443A9"/>
    <w:rsid w:val="00A443E7"/>
    <w:rsid w:val="00A44BC2"/>
    <w:rsid w:val="00A453FF"/>
    <w:rsid w:val="00A46EA8"/>
    <w:rsid w:val="00A4738A"/>
    <w:rsid w:val="00A50225"/>
    <w:rsid w:val="00A507C5"/>
    <w:rsid w:val="00A537F1"/>
    <w:rsid w:val="00A56F2D"/>
    <w:rsid w:val="00A57451"/>
    <w:rsid w:val="00A6034E"/>
    <w:rsid w:val="00A60BD0"/>
    <w:rsid w:val="00A64B9F"/>
    <w:rsid w:val="00A65E36"/>
    <w:rsid w:val="00A6607C"/>
    <w:rsid w:val="00A66306"/>
    <w:rsid w:val="00A66817"/>
    <w:rsid w:val="00A679DB"/>
    <w:rsid w:val="00A67BC3"/>
    <w:rsid w:val="00A67C6F"/>
    <w:rsid w:val="00A705B4"/>
    <w:rsid w:val="00A763F8"/>
    <w:rsid w:val="00A76930"/>
    <w:rsid w:val="00A87CEE"/>
    <w:rsid w:val="00A929BC"/>
    <w:rsid w:val="00A93B5E"/>
    <w:rsid w:val="00A94213"/>
    <w:rsid w:val="00AA01E3"/>
    <w:rsid w:val="00AA0863"/>
    <w:rsid w:val="00AA0985"/>
    <w:rsid w:val="00AA0A1F"/>
    <w:rsid w:val="00AA2506"/>
    <w:rsid w:val="00AA29C0"/>
    <w:rsid w:val="00AA4B28"/>
    <w:rsid w:val="00AA506C"/>
    <w:rsid w:val="00AA6244"/>
    <w:rsid w:val="00AB0545"/>
    <w:rsid w:val="00AB21F3"/>
    <w:rsid w:val="00AB41DB"/>
    <w:rsid w:val="00AB4577"/>
    <w:rsid w:val="00AB4721"/>
    <w:rsid w:val="00AC176D"/>
    <w:rsid w:val="00AC2826"/>
    <w:rsid w:val="00AC2AE2"/>
    <w:rsid w:val="00AC34E3"/>
    <w:rsid w:val="00AC355A"/>
    <w:rsid w:val="00AC3AA8"/>
    <w:rsid w:val="00AC4BC5"/>
    <w:rsid w:val="00AC6321"/>
    <w:rsid w:val="00AC7C50"/>
    <w:rsid w:val="00AD3304"/>
    <w:rsid w:val="00AD47D8"/>
    <w:rsid w:val="00AD7883"/>
    <w:rsid w:val="00AE06FC"/>
    <w:rsid w:val="00AE14C7"/>
    <w:rsid w:val="00AE1D33"/>
    <w:rsid w:val="00AE2AF4"/>
    <w:rsid w:val="00AE3441"/>
    <w:rsid w:val="00AE3A62"/>
    <w:rsid w:val="00AE48E1"/>
    <w:rsid w:val="00AF1211"/>
    <w:rsid w:val="00AF191D"/>
    <w:rsid w:val="00AF1960"/>
    <w:rsid w:val="00AF19C5"/>
    <w:rsid w:val="00AF293A"/>
    <w:rsid w:val="00AF5C72"/>
    <w:rsid w:val="00AF6B14"/>
    <w:rsid w:val="00AF72B9"/>
    <w:rsid w:val="00AF7610"/>
    <w:rsid w:val="00AF7FE0"/>
    <w:rsid w:val="00B029AA"/>
    <w:rsid w:val="00B04E28"/>
    <w:rsid w:val="00B0768F"/>
    <w:rsid w:val="00B07727"/>
    <w:rsid w:val="00B11B7D"/>
    <w:rsid w:val="00B13CF1"/>
    <w:rsid w:val="00B13FBE"/>
    <w:rsid w:val="00B14396"/>
    <w:rsid w:val="00B15066"/>
    <w:rsid w:val="00B210F8"/>
    <w:rsid w:val="00B21B1F"/>
    <w:rsid w:val="00B2301E"/>
    <w:rsid w:val="00B252B9"/>
    <w:rsid w:val="00B26106"/>
    <w:rsid w:val="00B308B5"/>
    <w:rsid w:val="00B31D38"/>
    <w:rsid w:val="00B36930"/>
    <w:rsid w:val="00B410AB"/>
    <w:rsid w:val="00B439F3"/>
    <w:rsid w:val="00B451EB"/>
    <w:rsid w:val="00B4661C"/>
    <w:rsid w:val="00B46848"/>
    <w:rsid w:val="00B50451"/>
    <w:rsid w:val="00B52054"/>
    <w:rsid w:val="00B5296E"/>
    <w:rsid w:val="00B533C9"/>
    <w:rsid w:val="00B53CEF"/>
    <w:rsid w:val="00B55643"/>
    <w:rsid w:val="00B57FBE"/>
    <w:rsid w:val="00B60547"/>
    <w:rsid w:val="00B60894"/>
    <w:rsid w:val="00B608C3"/>
    <w:rsid w:val="00B60FAE"/>
    <w:rsid w:val="00B61AC6"/>
    <w:rsid w:val="00B62FC1"/>
    <w:rsid w:val="00B63C27"/>
    <w:rsid w:val="00B64D6F"/>
    <w:rsid w:val="00B66874"/>
    <w:rsid w:val="00B70D31"/>
    <w:rsid w:val="00B71D91"/>
    <w:rsid w:val="00B73ACF"/>
    <w:rsid w:val="00B740AC"/>
    <w:rsid w:val="00B745CC"/>
    <w:rsid w:val="00B74D0B"/>
    <w:rsid w:val="00B76F4F"/>
    <w:rsid w:val="00B84547"/>
    <w:rsid w:val="00B87FF6"/>
    <w:rsid w:val="00B90124"/>
    <w:rsid w:val="00B91D97"/>
    <w:rsid w:val="00B9279C"/>
    <w:rsid w:val="00B92B37"/>
    <w:rsid w:val="00B95264"/>
    <w:rsid w:val="00B95986"/>
    <w:rsid w:val="00BA15DA"/>
    <w:rsid w:val="00BA26F7"/>
    <w:rsid w:val="00BA5C53"/>
    <w:rsid w:val="00BA6C1A"/>
    <w:rsid w:val="00BB13A6"/>
    <w:rsid w:val="00BB17BD"/>
    <w:rsid w:val="00BB5716"/>
    <w:rsid w:val="00BB6204"/>
    <w:rsid w:val="00BC0A05"/>
    <w:rsid w:val="00BC11BA"/>
    <w:rsid w:val="00BC1421"/>
    <w:rsid w:val="00BC26C0"/>
    <w:rsid w:val="00BC3718"/>
    <w:rsid w:val="00BC67CD"/>
    <w:rsid w:val="00BD014A"/>
    <w:rsid w:val="00BD4327"/>
    <w:rsid w:val="00BD4478"/>
    <w:rsid w:val="00BD4CFB"/>
    <w:rsid w:val="00BD59AF"/>
    <w:rsid w:val="00BD675F"/>
    <w:rsid w:val="00BD7FF9"/>
    <w:rsid w:val="00BE1016"/>
    <w:rsid w:val="00BE2CB9"/>
    <w:rsid w:val="00BE2EC7"/>
    <w:rsid w:val="00BE519B"/>
    <w:rsid w:val="00BE66C4"/>
    <w:rsid w:val="00BE6FCD"/>
    <w:rsid w:val="00BE7952"/>
    <w:rsid w:val="00BF065E"/>
    <w:rsid w:val="00BF1085"/>
    <w:rsid w:val="00BF2385"/>
    <w:rsid w:val="00BF45D1"/>
    <w:rsid w:val="00BF4BA5"/>
    <w:rsid w:val="00BF4E3F"/>
    <w:rsid w:val="00BF5AFF"/>
    <w:rsid w:val="00BF5DD2"/>
    <w:rsid w:val="00BF641B"/>
    <w:rsid w:val="00BF6DD0"/>
    <w:rsid w:val="00C004CB"/>
    <w:rsid w:val="00C03BD2"/>
    <w:rsid w:val="00C0543B"/>
    <w:rsid w:val="00C05B57"/>
    <w:rsid w:val="00C0775A"/>
    <w:rsid w:val="00C11788"/>
    <w:rsid w:val="00C11B08"/>
    <w:rsid w:val="00C123A3"/>
    <w:rsid w:val="00C12A47"/>
    <w:rsid w:val="00C12B95"/>
    <w:rsid w:val="00C1674B"/>
    <w:rsid w:val="00C22D5F"/>
    <w:rsid w:val="00C2402B"/>
    <w:rsid w:val="00C250B8"/>
    <w:rsid w:val="00C25872"/>
    <w:rsid w:val="00C265C6"/>
    <w:rsid w:val="00C26863"/>
    <w:rsid w:val="00C26AC3"/>
    <w:rsid w:val="00C27950"/>
    <w:rsid w:val="00C27F87"/>
    <w:rsid w:val="00C30311"/>
    <w:rsid w:val="00C3253A"/>
    <w:rsid w:val="00C337E6"/>
    <w:rsid w:val="00C402CB"/>
    <w:rsid w:val="00C40B6A"/>
    <w:rsid w:val="00C4251D"/>
    <w:rsid w:val="00C427F3"/>
    <w:rsid w:val="00C46D15"/>
    <w:rsid w:val="00C471A4"/>
    <w:rsid w:val="00C50AFD"/>
    <w:rsid w:val="00C50C59"/>
    <w:rsid w:val="00C53AA2"/>
    <w:rsid w:val="00C53D88"/>
    <w:rsid w:val="00C568B6"/>
    <w:rsid w:val="00C56EA9"/>
    <w:rsid w:val="00C6029A"/>
    <w:rsid w:val="00C61FE8"/>
    <w:rsid w:val="00C63968"/>
    <w:rsid w:val="00C64EC2"/>
    <w:rsid w:val="00C65403"/>
    <w:rsid w:val="00C663C7"/>
    <w:rsid w:val="00C666D3"/>
    <w:rsid w:val="00C67389"/>
    <w:rsid w:val="00C7046C"/>
    <w:rsid w:val="00C704B4"/>
    <w:rsid w:val="00C72474"/>
    <w:rsid w:val="00C72880"/>
    <w:rsid w:val="00C7368B"/>
    <w:rsid w:val="00C74CE1"/>
    <w:rsid w:val="00C80156"/>
    <w:rsid w:val="00C811CE"/>
    <w:rsid w:val="00C812A2"/>
    <w:rsid w:val="00C821D5"/>
    <w:rsid w:val="00C8265D"/>
    <w:rsid w:val="00C83E68"/>
    <w:rsid w:val="00C855BC"/>
    <w:rsid w:val="00C86B1E"/>
    <w:rsid w:val="00C91A5B"/>
    <w:rsid w:val="00C92D07"/>
    <w:rsid w:val="00C92DA5"/>
    <w:rsid w:val="00C94ABE"/>
    <w:rsid w:val="00C956CF"/>
    <w:rsid w:val="00C95A12"/>
    <w:rsid w:val="00C9613E"/>
    <w:rsid w:val="00C964F4"/>
    <w:rsid w:val="00C96B9B"/>
    <w:rsid w:val="00CA2C68"/>
    <w:rsid w:val="00CA402D"/>
    <w:rsid w:val="00CA61F8"/>
    <w:rsid w:val="00CB08FD"/>
    <w:rsid w:val="00CB28E2"/>
    <w:rsid w:val="00CB37FA"/>
    <w:rsid w:val="00CB454E"/>
    <w:rsid w:val="00CB63AB"/>
    <w:rsid w:val="00CC2132"/>
    <w:rsid w:val="00CC21CD"/>
    <w:rsid w:val="00CC4352"/>
    <w:rsid w:val="00CC59DF"/>
    <w:rsid w:val="00CC5E4E"/>
    <w:rsid w:val="00CD0201"/>
    <w:rsid w:val="00CD06BA"/>
    <w:rsid w:val="00CD168F"/>
    <w:rsid w:val="00CD272E"/>
    <w:rsid w:val="00CD2D61"/>
    <w:rsid w:val="00CD4A19"/>
    <w:rsid w:val="00CE05BB"/>
    <w:rsid w:val="00CE0FF6"/>
    <w:rsid w:val="00CE154D"/>
    <w:rsid w:val="00CE6EB7"/>
    <w:rsid w:val="00CE6EFF"/>
    <w:rsid w:val="00CE7238"/>
    <w:rsid w:val="00CF1491"/>
    <w:rsid w:val="00CF268F"/>
    <w:rsid w:val="00CF281B"/>
    <w:rsid w:val="00CF5DE0"/>
    <w:rsid w:val="00D00678"/>
    <w:rsid w:val="00D012A6"/>
    <w:rsid w:val="00D015F8"/>
    <w:rsid w:val="00D02315"/>
    <w:rsid w:val="00D03EAC"/>
    <w:rsid w:val="00D04BF7"/>
    <w:rsid w:val="00D05D90"/>
    <w:rsid w:val="00D065CD"/>
    <w:rsid w:val="00D06966"/>
    <w:rsid w:val="00D06D5F"/>
    <w:rsid w:val="00D1088B"/>
    <w:rsid w:val="00D208FC"/>
    <w:rsid w:val="00D22BC7"/>
    <w:rsid w:val="00D23CD1"/>
    <w:rsid w:val="00D25A7C"/>
    <w:rsid w:val="00D261F5"/>
    <w:rsid w:val="00D266FB"/>
    <w:rsid w:val="00D31133"/>
    <w:rsid w:val="00D32558"/>
    <w:rsid w:val="00D32DA7"/>
    <w:rsid w:val="00D4180C"/>
    <w:rsid w:val="00D41A73"/>
    <w:rsid w:val="00D44F32"/>
    <w:rsid w:val="00D451E7"/>
    <w:rsid w:val="00D45CC2"/>
    <w:rsid w:val="00D46260"/>
    <w:rsid w:val="00D46402"/>
    <w:rsid w:val="00D47628"/>
    <w:rsid w:val="00D47898"/>
    <w:rsid w:val="00D47D3C"/>
    <w:rsid w:val="00D47EE2"/>
    <w:rsid w:val="00D50C8A"/>
    <w:rsid w:val="00D519D9"/>
    <w:rsid w:val="00D555DF"/>
    <w:rsid w:val="00D571C5"/>
    <w:rsid w:val="00D6106B"/>
    <w:rsid w:val="00D612F4"/>
    <w:rsid w:val="00D62335"/>
    <w:rsid w:val="00D629F8"/>
    <w:rsid w:val="00D65286"/>
    <w:rsid w:val="00D659A2"/>
    <w:rsid w:val="00D7042B"/>
    <w:rsid w:val="00D71832"/>
    <w:rsid w:val="00D74990"/>
    <w:rsid w:val="00D77BCD"/>
    <w:rsid w:val="00D82498"/>
    <w:rsid w:val="00D84FC0"/>
    <w:rsid w:val="00D90EBF"/>
    <w:rsid w:val="00D90EF6"/>
    <w:rsid w:val="00D92113"/>
    <w:rsid w:val="00D92779"/>
    <w:rsid w:val="00D94D52"/>
    <w:rsid w:val="00D9690A"/>
    <w:rsid w:val="00D970FF"/>
    <w:rsid w:val="00D9760F"/>
    <w:rsid w:val="00D97855"/>
    <w:rsid w:val="00DA30BC"/>
    <w:rsid w:val="00DA454A"/>
    <w:rsid w:val="00DA7C3E"/>
    <w:rsid w:val="00DB0162"/>
    <w:rsid w:val="00DB129B"/>
    <w:rsid w:val="00DC059B"/>
    <w:rsid w:val="00DC2BE4"/>
    <w:rsid w:val="00DC488B"/>
    <w:rsid w:val="00DC778C"/>
    <w:rsid w:val="00DD2F76"/>
    <w:rsid w:val="00DD3BEC"/>
    <w:rsid w:val="00DD4FA9"/>
    <w:rsid w:val="00DD51C1"/>
    <w:rsid w:val="00DD5F38"/>
    <w:rsid w:val="00DD6F93"/>
    <w:rsid w:val="00DE3710"/>
    <w:rsid w:val="00DE4860"/>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1BE6"/>
    <w:rsid w:val="00E13F59"/>
    <w:rsid w:val="00E14F35"/>
    <w:rsid w:val="00E208BA"/>
    <w:rsid w:val="00E20CB2"/>
    <w:rsid w:val="00E2172E"/>
    <w:rsid w:val="00E23657"/>
    <w:rsid w:val="00E25738"/>
    <w:rsid w:val="00E2666C"/>
    <w:rsid w:val="00E27459"/>
    <w:rsid w:val="00E27949"/>
    <w:rsid w:val="00E301DA"/>
    <w:rsid w:val="00E32627"/>
    <w:rsid w:val="00E327A1"/>
    <w:rsid w:val="00E3396E"/>
    <w:rsid w:val="00E3413E"/>
    <w:rsid w:val="00E341AB"/>
    <w:rsid w:val="00E35606"/>
    <w:rsid w:val="00E41D46"/>
    <w:rsid w:val="00E458AF"/>
    <w:rsid w:val="00E46AB7"/>
    <w:rsid w:val="00E46C13"/>
    <w:rsid w:val="00E47D4E"/>
    <w:rsid w:val="00E519AA"/>
    <w:rsid w:val="00E557C8"/>
    <w:rsid w:val="00E56183"/>
    <w:rsid w:val="00E56587"/>
    <w:rsid w:val="00E56803"/>
    <w:rsid w:val="00E56873"/>
    <w:rsid w:val="00E56A3F"/>
    <w:rsid w:val="00E606EC"/>
    <w:rsid w:val="00E612D0"/>
    <w:rsid w:val="00E61534"/>
    <w:rsid w:val="00E61749"/>
    <w:rsid w:val="00E622D2"/>
    <w:rsid w:val="00E62CA8"/>
    <w:rsid w:val="00E63A62"/>
    <w:rsid w:val="00E712FB"/>
    <w:rsid w:val="00E71552"/>
    <w:rsid w:val="00E72CA6"/>
    <w:rsid w:val="00E72E9A"/>
    <w:rsid w:val="00E74FAA"/>
    <w:rsid w:val="00E75961"/>
    <w:rsid w:val="00E7605C"/>
    <w:rsid w:val="00E77270"/>
    <w:rsid w:val="00E779D8"/>
    <w:rsid w:val="00E80A7B"/>
    <w:rsid w:val="00E80E8B"/>
    <w:rsid w:val="00E815F0"/>
    <w:rsid w:val="00E82F72"/>
    <w:rsid w:val="00E835FD"/>
    <w:rsid w:val="00E83CAD"/>
    <w:rsid w:val="00E843BA"/>
    <w:rsid w:val="00E85122"/>
    <w:rsid w:val="00E85127"/>
    <w:rsid w:val="00E8615F"/>
    <w:rsid w:val="00E86DB9"/>
    <w:rsid w:val="00E8784C"/>
    <w:rsid w:val="00E90CE1"/>
    <w:rsid w:val="00E92AE8"/>
    <w:rsid w:val="00E94B4A"/>
    <w:rsid w:val="00EA05AE"/>
    <w:rsid w:val="00EA12DE"/>
    <w:rsid w:val="00EA1380"/>
    <w:rsid w:val="00EA300D"/>
    <w:rsid w:val="00EB27DA"/>
    <w:rsid w:val="00EB5143"/>
    <w:rsid w:val="00EB5B54"/>
    <w:rsid w:val="00EB5DA0"/>
    <w:rsid w:val="00EC01F0"/>
    <w:rsid w:val="00EC329F"/>
    <w:rsid w:val="00EC466B"/>
    <w:rsid w:val="00EC6072"/>
    <w:rsid w:val="00EC7D38"/>
    <w:rsid w:val="00ED27DB"/>
    <w:rsid w:val="00ED3BBD"/>
    <w:rsid w:val="00ED3D4B"/>
    <w:rsid w:val="00ED460E"/>
    <w:rsid w:val="00ED5215"/>
    <w:rsid w:val="00ED54D7"/>
    <w:rsid w:val="00ED69E3"/>
    <w:rsid w:val="00ED6E3F"/>
    <w:rsid w:val="00EE0030"/>
    <w:rsid w:val="00EE1A8D"/>
    <w:rsid w:val="00EE2B30"/>
    <w:rsid w:val="00EE5128"/>
    <w:rsid w:val="00EF3B65"/>
    <w:rsid w:val="00EF470B"/>
    <w:rsid w:val="00EF4F5B"/>
    <w:rsid w:val="00EF5C67"/>
    <w:rsid w:val="00EF7B51"/>
    <w:rsid w:val="00F028B2"/>
    <w:rsid w:val="00F028D2"/>
    <w:rsid w:val="00F0305B"/>
    <w:rsid w:val="00F03814"/>
    <w:rsid w:val="00F0497B"/>
    <w:rsid w:val="00F05DF7"/>
    <w:rsid w:val="00F06BBB"/>
    <w:rsid w:val="00F06DD4"/>
    <w:rsid w:val="00F1165C"/>
    <w:rsid w:val="00F11FEA"/>
    <w:rsid w:val="00F135C6"/>
    <w:rsid w:val="00F16CEE"/>
    <w:rsid w:val="00F20910"/>
    <w:rsid w:val="00F224C1"/>
    <w:rsid w:val="00F23E94"/>
    <w:rsid w:val="00F2760B"/>
    <w:rsid w:val="00F3086A"/>
    <w:rsid w:val="00F30940"/>
    <w:rsid w:val="00F33C4F"/>
    <w:rsid w:val="00F3407D"/>
    <w:rsid w:val="00F37BEF"/>
    <w:rsid w:val="00F37C05"/>
    <w:rsid w:val="00F40A1D"/>
    <w:rsid w:val="00F4224D"/>
    <w:rsid w:val="00F430F6"/>
    <w:rsid w:val="00F431DD"/>
    <w:rsid w:val="00F448A1"/>
    <w:rsid w:val="00F47999"/>
    <w:rsid w:val="00F50D83"/>
    <w:rsid w:val="00F51309"/>
    <w:rsid w:val="00F523F5"/>
    <w:rsid w:val="00F53236"/>
    <w:rsid w:val="00F53B60"/>
    <w:rsid w:val="00F551E9"/>
    <w:rsid w:val="00F55A50"/>
    <w:rsid w:val="00F61027"/>
    <w:rsid w:val="00F614AA"/>
    <w:rsid w:val="00F61CE1"/>
    <w:rsid w:val="00F6274D"/>
    <w:rsid w:val="00F62DFC"/>
    <w:rsid w:val="00F6344B"/>
    <w:rsid w:val="00F63772"/>
    <w:rsid w:val="00F6522F"/>
    <w:rsid w:val="00F6712C"/>
    <w:rsid w:val="00F72402"/>
    <w:rsid w:val="00F73374"/>
    <w:rsid w:val="00F742BB"/>
    <w:rsid w:val="00F756A6"/>
    <w:rsid w:val="00F75FAE"/>
    <w:rsid w:val="00F8022A"/>
    <w:rsid w:val="00F8466C"/>
    <w:rsid w:val="00F86810"/>
    <w:rsid w:val="00F86FD9"/>
    <w:rsid w:val="00F91456"/>
    <w:rsid w:val="00F91ED0"/>
    <w:rsid w:val="00F92166"/>
    <w:rsid w:val="00F92401"/>
    <w:rsid w:val="00F953CC"/>
    <w:rsid w:val="00F95D91"/>
    <w:rsid w:val="00F97219"/>
    <w:rsid w:val="00FA05FE"/>
    <w:rsid w:val="00FA2F9D"/>
    <w:rsid w:val="00FA3651"/>
    <w:rsid w:val="00FA492B"/>
    <w:rsid w:val="00FA6890"/>
    <w:rsid w:val="00FA6CE5"/>
    <w:rsid w:val="00FA7E9E"/>
    <w:rsid w:val="00FB01E4"/>
    <w:rsid w:val="00FB06DB"/>
    <w:rsid w:val="00FB0882"/>
    <w:rsid w:val="00FB2A77"/>
    <w:rsid w:val="00FB4DF7"/>
    <w:rsid w:val="00FB535F"/>
    <w:rsid w:val="00FB5B03"/>
    <w:rsid w:val="00FB5C8E"/>
    <w:rsid w:val="00FB5FEC"/>
    <w:rsid w:val="00FB617B"/>
    <w:rsid w:val="00FB6487"/>
    <w:rsid w:val="00FB6C45"/>
    <w:rsid w:val="00FB6E48"/>
    <w:rsid w:val="00FB7845"/>
    <w:rsid w:val="00FC04C5"/>
    <w:rsid w:val="00FC09AC"/>
    <w:rsid w:val="00FC0B3D"/>
    <w:rsid w:val="00FC356A"/>
    <w:rsid w:val="00FC392F"/>
    <w:rsid w:val="00FC3B5E"/>
    <w:rsid w:val="00FC40E0"/>
    <w:rsid w:val="00FC4236"/>
    <w:rsid w:val="00FC472E"/>
    <w:rsid w:val="00FC4D80"/>
    <w:rsid w:val="00FC6725"/>
    <w:rsid w:val="00FC6CB0"/>
    <w:rsid w:val="00FD0140"/>
    <w:rsid w:val="00FD01AF"/>
    <w:rsid w:val="00FD1B70"/>
    <w:rsid w:val="00FD208A"/>
    <w:rsid w:val="00FD30D0"/>
    <w:rsid w:val="00FD32FB"/>
    <w:rsid w:val="00FD5F65"/>
    <w:rsid w:val="00FD709D"/>
    <w:rsid w:val="00FD7600"/>
    <w:rsid w:val="00FE085D"/>
    <w:rsid w:val="00FE325E"/>
    <w:rsid w:val="00FE4DA2"/>
    <w:rsid w:val="00FE5AF7"/>
    <w:rsid w:val="00FE77EA"/>
    <w:rsid w:val="00FF043A"/>
    <w:rsid w:val="00FF09C3"/>
    <w:rsid w:val="00FF157B"/>
    <w:rsid w:val="00FF2F7D"/>
    <w:rsid w:val="00FF3048"/>
    <w:rsid w:val="00FF484C"/>
    <w:rsid w:val="00FF49E6"/>
    <w:rsid w:val="00FF5232"/>
    <w:rsid w:val="00FF63D5"/>
    <w:rsid w:val="00FF6FFE"/>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75D32"/>
  <w15:docId w15:val="{B5B7B40C-B63D-4BAA-BEC2-EA3255B9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 w:type="paragraph" w:styleId="Revision">
    <w:name w:val="Revision"/>
    <w:hidden/>
    <w:uiPriority w:val="99"/>
    <w:semiHidden/>
    <w:rsid w:val="00DD2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1780564662">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hyperlink" Target="https://ies.ed.gov/ncee/wwc/Docs/ReferenceResources/wwc_attrition_v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97C68-D273-4DE3-ABFB-5405233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9470</Words>
  <Characters>53982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63326</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Hilary Bruck</cp:lastModifiedBy>
  <cp:revision>4</cp:revision>
  <cp:lastPrinted>2018-05-09T19:08:00Z</cp:lastPrinted>
  <dcterms:created xsi:type="dcterms:W3CDTF">2020-10-01T18:49:00Z</dcterms:created>
  <dcterms:modified xsi:type="dcterms:W3CDTF">2020-10-05T13:22:00Z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