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5EC0" w:rsidRPr="00075EC0" w:rsidP="00075EC0" w14:paraId="64640E65" w14:textId="77777777">
      <w:pPr>
        <w:widowControl w:val="0"/>
        <w:suppressAutoHyphens/>
        <w:snapToGrid w:val="0"/>
        <w:spacing w:after="0"/>
        <w:jc w:val="center"/>
        <w:rPr>
          <w:rFonts w:ascii="Times New Roman" w:hAnsi="Times New Roman"/>
          <w:b/>
          <w:bCs/>
          <w:szCs w:val="24"/>
        </w:rPr>
      </w:pPr>
      <w:r w:rsidRPr="00075EC0">
        <w:rPr>
          <w:rFonts w:ascii="Times New Roman" w:hAnsi="Times New Roman"/>
          <w:b/>
          <w:bCs/>
          <w:szCs w:val="24"/>
        </w:rPr>
        <w:t xml:space="preserve">Supporting Statement for </w:t>
      </w:r>
      <w:r w:rsidR="00CB2836">
        <w:rPr>
          <w:rFonts w:ascii="Times New Roman" w:hAnsi="Times New Roman"/>
          <w:b/>
          <w:bCs/>
          <w:szCs w:val="24"/>
        </w:rPr>
        <w:t>Public Information Campaign</w:t>
      </w:r>
    </w:p>
    <w:p w:rsidR="00075EC0" w:rsidRPr="00075EC0" w:rsidP="00075EC0" w14:paraId="6D893033" w14:textId="77777777">
      <w:pPr>
        <w:widowControl w:val="0"/>
        <w:snapToGrid w:val="0"/>
        <w:spacing w:after="0"/>
        <w:jc w:val="center"/>
        <w:rPr>
          <w:rFonts w:ascii="Times New Roman" w:hAnsi="Times New Roman"/>
          <w:b/>
          <w:szCs w:val="24"/>
        </w:rPr>
      </w:pPr>
      <w:r w:rsidRPr="00075EC0">
        <w:rPr>
          <w:rFonts w:ascii="Times New Roman" w:hAnsi="Times New Roman"/>
          <w:b/>
          <w:szCs w:val="24"/>
        </w:rPr>
        <w:t>OMB No. 0960-0</w:t>
      </w:r>
      <w:r w:rsidR="00CB2836">
        <w:rPr>
          <w:rFonts w:ascii="Times New Roman" w:hAnsi="Times New Roman"/>
          <w:b/>
          <w:szCs w:val="24"/>
        </w:rPr>
        <w:t>544</w:t>
      </w:r>
    </w:p>
    <w:p w:rsidR="00075EC0" w:rsidRPr="00075EC0" w:rsidP="00F45921" w14:paraId="430B09DD" w14:textId="77777777">
      <w:pPr>
        <w:widowControl w:val="0"/>
        <w:snapToGrid w:val="0"/>
        <w:spacing w:after="0"/>
        <w:rPr>
          <w:rFonts w:ascii="Times New Roman" w:hAnsi="Times New Roman"/>
          <w:b/>
          <w:szCs w:val="24"/>
        </w:rPr>
      </w:pPr>
    </w:p>
    <w:p w:rsidR="00075EC0" w:rsidRPr="00075EC0" w:rsidP="00F45921" w14:paraId="19864E83"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P="00075EC0" w14:paraId="507EA84B" w14:textId="77777777">
      <w:pPr>
        <w:widowControl w:val="0"/>
        <w:tabs>
          <w:tab w:val="left" w:pos="720"/>
          <w:tab w:val="center" w:pos="4320"/>
          <w:tab w:val="right" w:pos="8640"/>
        </w:tabs>
        <w:snapToGrid w:val="0"/>
        <w:spacing w:after="0"/>
        <w:rPr>
          <w:rFonts w:ascii="Times New Roman" w:hAnsi="Times New Roman"/>
          <w:szCs w:val="24"/>
        </w:rPr>
      </w:pPr>
    </w:p>
    <w:p w:rsidR="00075EC0" w:rsidRPr="00075EC0" w:rsidP="00F45921" w14:paraId="260B21A2"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217395" w:rsidRPr="00075EC0" w:rsidP="00937ACB" w14:paraId="4D2684E4" w14:textId="2D9A3B3F">
      <w:pPr>
        <w:widowControl w:val="0"/>
        <w:snapToGrid w:val="0"/>
        <w:spacing w:after="0"/>
        <w:ind w:left="1440"/>
        <w:rPr>
          <w:rFonts w:ascii="Times New Roman" w:hAnsi="Times New Roman"/>
          <w:szCs w:val="24"/>
        </w:rPr>
      </w:pPr>
      <w:r>
        <w:rPr>
          <w:rFonts w:ascii="Times New Roman" w:hAnsi="Times New Roman"/>
        </w:rPr>
        <w:t>Periodically, the Social Security Administration (SSA) conducts the Public Information Campaign.  As part of this program, the agency releases public information materials, including public service announcements</w:t>
      </w:r>
      <w:r w:rsidR="00A404CE">
        <w:rPr>
          <w:rFonts w:ascii="Times New Roman" w:hAnsi="Times New Roman"/>
        </w:rPr>
        <w:t>; news releases;</w:t>
      </w:r>
      <w:r>
        <w:rPr>
          <w:rFonts w:ascii="Times New Roman" w:hAnsi="Times New Roman"/>
        </w:rPr>
        <w:t xml:space="preserve"> and educational tapes, to public broadcasting systems so they can inform the public about various programs and activities conducted by the agency.  </w:t>
      </w:r>
      <w:r w:rsidRPr="004A3BA3" w:rsidR="00A42AEC">
        <w:rPr>
          <w:rFonts w:ascii="Times New Roman" w:hAnsi="Times New Roman"/>
        </w:rPr>
        <w:t xml:space="preserve">SSA disseminates one to two public information campaigns per year, and as part of the promotion of each campaign, SSA sends mailers to radio stations that encourage stations to air the radio PSAs, communicate where to download the broadcast-ready PSAs, and request stations communicate the number of times they plan to air the PSAs via business reply card. </w:t>
      </w:r>
      <w:r w:rsidRPr="004A3BA3" w:rsidR="00303487">
        <w:rPr>
          <w:rFonts w:ascii="Times New Roman" w:hAnsi="Times New Roman"/>
        </w:rPr>
        <w:t xml:space="preserve"> </w:t>
      </w:r>
      <w:r w:rsidRPr="004A3BA3" w:rsidR="00A42AEC">
        <w:rPr>
          <w:rFonts w:ascii="Times New Roman" w:hAnsi="Times New Roman"/>
        </w:rPr>
        <w:t>The purpose of the reply cards is to help SSA monitor the usage and obtain feedback on our public information materials</w:t>
      </w:r>
      <w:r w:rsidRPr="004A3BA3" w:rsidR="00303487">
        <w:rPr>
          <w:rFonts w:ascii="Times New Roman" w:hAnsi="Times New Roman"/>
        </w:rPr>
        <w:t>.</w:t>
      </w:r>
      <w:r>
        <w:rPr>
          <w:rFonts w:ascii="Times New Roman" w:hAnsi="Times New Roman"/>
        </w:rPr>
        <w:t xml:space="preserve">  SSA collects this information under the authority of </w:t>
      </w:r>
      <w:r w:rsidRPr="00CB2836">
        <w:rPr>
          <w:rFonts w:ascii="Times New Roman" w:hAnsi="Times New Roman"/>
        </w:rPr>
        <w:t>Section</w:t>
      </w:r>
      <w:r>
        <w:rPr>
          <w:rFonts w:ascii="Times New Roman" w:hAnsi="Times New Roman"/>
          <w:i/>
        </w:rPr>
        <w:t xml:space="preserve"> 205(a) </w:t>
      </w:r>
      <w:r w:rsidRPr="00706D9E">
        <w:rPr>
          <w:rFonts w:ascii="Times New Roman" w:hAnsi="Times New Roman"/>
          <w:iCs/>
        </w:rPr>
        <w:t>of the</w:t>
      </w:r>
      <w:r w:rsidR="00A404CE">
        <w:rPr>
          <w:rFonts w:ascii="Times New Roman" w:hAnsi="Times New Roman"/>
          <w:i/>
        </w:rPr>
        <w:t xml:space="preserve"> Social Security Act</w:t>
      </w:r>
      <w:r w:rsidRPr="00075EC0" w:rsidR="00075EC0">
        <w:rPr>
          <w:rFonts w:ascii="Times New Roman" w:hAnsi="Times New Roman"/>
          <w:szCs w:val="24"/>
        </w:rPr>
        <w:t>.</w:t>
      </w:r>
      <w:r w:rsidRPr="00487623" w:rsidR="00487623">
        <w:rPr>
          <w:rFonts w:ascii="Times New Roman" w:hAnsi="Times New Roman"/>
          <w:szCs w:val="24"/>
        </w:rPr>
        <w:tab/>
      </w:r>
    </w:p>
    <w:p w:rsidR="00075EC0" w:rsidRPr="00075EC0" w:rsidP="00075EC0" w14:paraId="2F47436E" w14:textId="77777777">
      <w:pPr>
        <w:widowControl w:val="0"/>
        <w:snapToGrid w:val="0"/>
        <w:spacing w:after="0"/>
        <w:ind w:left="720"/>
        <w:rPr>
          <w:rFonts w:ascii="Times New Roman" w:hAnsi="Times New Roman"/>
          <w:szCs w:val="24"/>
        </w:rPr>
      </w:pPr>
    </w:p>
    <w:p w:rsidR="00075EC0" w:rsidRPr="00011860" w:rsidP="00F45921" w14:paraId="5BF2ADEC"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11860">
        <w:rPr>
          <w:rFonts w:ascii="Times New Roman" w:hAnsi="Times New Roman"/>
          <w:b/>
          <w:szCs w:val="24"/>
        </w:rPr>
        <w:t xml:space="preserve">Description of Collection </w:t>
      </w:r>
    </w:p>
    <w:p w:rsidR="00487623" w:rsidP="00B52789" w14:paraId="1CAFE534" w14:textId="4F4DDB28">
      <w:pPr>
        <w:pStyle w:val="ListParagraph"/>
        <w:tabs>
          <w:tab w:val="num" w:pos="1440"/>
        </w:tabs>
        <w:snapToGrid w:val="0"/>
        <w:ind w:left="1440"/>
        <w:rPr>
          <w:rFonts w:ascii="Times New Roman" w:hAnsi="Times New Roman"/>
        </w:rPr>
      </w:pPr>
      <w:r w:rsidRPr="00011860">
        <w:rPr>
          <w:rFonts w:ascii="Times New Roman" w:hAnsi="Times New Roman"/>
        </w:rPr>
        <w:t>This information collection is part of a broader set of public outreach that SSA</w:t>
      </w:r>
      <w:r w:rsidRPr="00011860" w:rsidR="009B44A8">
        <w:rPr>
          <w:rFonts w:ascii="Times New Roman" w:hAnsi="Times New Roman"/>
        </w:rPr>
        <w:t xml:space="preserve"> performs via a blanket purchase agreement</w:t>
      </w:r>
      <w:r w:rsidRPr="00011860">
        <w:rPr>
          <w:rFonts w:ascii="Times New Roman" w:hAnsi="Times New Roman"/>
        </w:rPr>
        <w:t>.</w:t>
      </w:r>
      <w:r w:rsidRPr="00011860" w:rsidR="009B44A8">
        <w:rPr>
          <w:rFonts w:ascii="Times New Roman" w:hAnsi="Times New Roman"/>
        </w:rPr>
        <w:t xml:space="preserve"> Recent awards include SS00-10-40025, which started its period of performance on 4/1/2010, and SS00-16-40015, which started its period of performance on 3/15/2016</w:t>
      </w:r>
      <w:r w:rsidRPr="00011860" w:rsidR="00A74373">
        <w:rPr>
          <w:rFonts w:ascii="Times New Roman" w:hAnsi="Times New Roman"/>
        </w:rPr>
        <w:t xml:space="preserve"> and ends in March 2021.</w:t>
      </w:r>
    </w:p>
    <w:p w:rsidR="00487623" w:rsidP="00B52789" w14:paraId="3B2FC684" w14:textId="77777777">
      <w:pPr>
        <w:pStyle w:val="ListParagraph"/>
        <w:tabs>
          <w:tab w:val="num" w:pos="1440"/>
        </w:tabs>
        <w:snapToGrid w:val="0"/>
        <w:ind w:left="1440"/>
        <w:rPr>
          <w:rFonts w:ascii="Times New Roman" w:hAnsi="Times New Roman"/>
        </w:rPr>
      </w:pPr>
    </w:p>
    <w:p w:rsidR="009A19CD" w:rsidP="00B52789" w14:paraId="056BC75A" w14:textId="11819B13">
      <w:pPr>
        <w:pStyle w:val="ListParagraph"/>
        <w:tabs>
          <w:tab w:val="num" w:pos="1440"/>
        </w:tabs>
        <w:snapToGrid w:val="0"/>
        <w:ind w:left="1440"/>
        <w:rPr>
          <w:rFonts w:ascii="Times New Roman" w:hAnsi="Times New Roman"/>
        </w:rPr>
      </w:pPr>
      <w:r w:rsidRPr="00B52789">
        <w:rPr>
          <w:rFonts w:ascii="Times New Roman" w:hAnsi="Times New Roman"/>
        </w:rPr>
        <w:t xml:space="preserve">For the Public Information Campaign, an SSA contractor mails out the business reply cards </w:t>
      </w:r>
      <w:r>
        <w:rPr>
          <w:rFonts w:ascii="Times New Roman" w:hAnsi="Times New Roman"/>
        </w:rPr>
        <w:t xml:space="preserve">(BRC) </w:t>
      </w:r>
      <w:r w:rsidRPr="00B52789">
        <w:rPr>
          <w:rFonts w:ascii="Times New Roman" w:hAnsi="Times New Roman"/>
        </w:rPr>
        <w:t xml:space="preserve">following the mailing </w:t>
      </w:r>
      <w:r w:rsidR="008D0506">
        <w:rPr>
          <w:rFonts w:ascii="Times New Roman" w:hAnsi="Times New Roman"/>
        </w:rPr>
        <w:t>of public information materials, with the request that respondents mail the cards back to the contractor.</w:t>
      </w:r>
      <w:r w:rsidRPr="00B52789">
        <w:rPr>
          <w:rFonts w:ascii="Times New Roman" w:hAnsi="Times New Roman"/>
        </w:rPr>
        <w:t xml:space="preserve">  The contractor combines the results from the business reply cards and provides them to SSA.  In turn, SSA uses this information to determine what media format and what markets the public broadcast media aired the ma</w:t>
      </w:r>
      <w:r w:rsidR="008D0506">
        <w:rPr>
          <w:rFonts w:ascii="Times New Roman" w:hAnsi="Times New Roman"/>
        </w:rPr>
        <w:t xml:space="preserve">terials.  Ultimately, this </w:t>
      </w:r>
      <w:r w:rsidRPr="00B52789">
        <w:rPr>
          <w:rFonts w:ascii="Times New Roman" w:hAnsi="Times New Roman"/>
        </w:rPr>
        <w:t>enable</w:t>
      </w:r>
      <w:r w:rsidR="008D0506">
        <w:rPr>
          <w:rFonts w:ascii="Times New Roman" w:hAnsi="Times New Roman"/>
        </w:rPr>
        <w:t>s SSA to improve the</w:t>
      </w:r>
      <w:r w:rsidRPr="00B52789">
        <w:rPr>
          <w:rFonts w:ascii="Times New Roman" w:hAnsi="Times New Roman"/>
        </w:rPr>
        <w:t xml:space="preserve"> public information materials.</w:t>
      </w:r>
    </w:p>
    <w:p w:rsidR="009A19CD" w:rsidP="00B52789" w14:paraId="3267E243" w14:textId="565FFB8E">
      <w:pPr>
        <w:pStyle w:val="ListParagraph"/>
        <w:tabs>
          <w:tab w:val="num" w:pos="1440"/>
        </w:tabs>
        <w:snapToGrid w:val="0"/>
        <w:ind w:left="1440"/>
        <w:rPr>
          <w:rFonts w:ascii="Times New Roman" w:hAnsi="Times New Roman"/>
        </w:rPr>
      </w:pPr>
    </w:p>
    <w:p w:rsidR="009A19CD" w:rsidRPr="00011860" w:rsidP="00937ACB" w14:paraId="2412EF38" w14:textId="3B954212">
      <w:pPr>
        <w:pStyle w:val="ListParagraph"/>
        <w:tabs>
          <w:tab w:val="num" w:pos="1440"/>
        </w:tabs>
        <w:snapToGrid w:val="0"/>
        <w:ind w:left="1440"/>
        <w:rPr>
          <w:rFonts w:ascii="Times New Roman" w:hAnsi="Times New Roman"/>
        </w:rPr>
      </w:pPr>
      <w:r w:rsidRPr="00011860">
        <w:rPr>
          <w:rFonts w:ascii="Times New Roman" w:hAnsi="Times New Roman"/>
        </w:rPr>
        <w:t xml:space="preserve">The agency acknowledges that BRCs may provide limited actionable information due to </w:t>
      </w:r>
      <w:r w:rsidRPr="00011860" w:rsidR="005412E2">
        <w:rPr>
          <w:rFonts w:ascii="Times New Roman" w:hAnsi="Times New Roman"/>
        </w:rPr>
        <w:t>the low response rate</w:t>
      </w:r>
      <w:r w:rsidRPr="00011860" w:rsidR="00303A53">
        <w:rPr>
          <w:rFonts w:ascii="Times New Roman" w:hAnsi="Times New Roman"/>
        </w:rPr>
        <w:t xml:space="preserve"> (approximately 3% in FY2019)</w:t>
      </w:r>
      <w:r w:rsidRPr="00011860" w:rsidR="005412E2">
        <w:rPr>
          <w:rFonts w:ascii="Times New Roman" w:hAnsi="Times New Roman"/>
        </w:rPr>
        <w:t xml:space="preserve"> and potential reporting </w:t>
      </w:r>
      <w:r w:rsidRPr="00011860">
        <w:rPr>
          <w:rFonts w:ascii="Times New Roman" w:hAnsi="Times New Roman"/>
        </w:rPr>
        <w:t xml:space="preserve">bias. While not a complete indicator of all support, as a practical utility it does provide a sample of stations, timing, intended use of the campaign spots, etc. that allows us to gauge pick up around the country. </w:t>
      </w:r>
      <w:r w:rsidRPr="00011860" w:rsidR="00937ACB">
        <w:rPr>
          <w:rFonts w:ascii="Times New Roman" w:hAnsi="Times New Roman"/>
        </w:rPr>
        <w:t>We also note that the use of BRCs is industry standard practice. While s</w:t>
      </w:r>
      <w:r w:rsidRPr="00011860">
        <w:rPr>
          <w:rFonts w:ascii="Times New Roman" w:hAnsi="Times New Roman"/>
        </w:rPr>
        <w:t>ome PSA distributors extrapolate or estimate earned media value from the sample of reporting</w:t>
      </w:r>
      <w:r w:rsidRPr="00011860" w:rsidR="00937ACB">
        <w:rPr>
          <w:rFonts w:ascii="Times New Roman" w:hAnsi="Times New Roman"/>
        </w:rPr>
        <w:t>,</w:t>
      </w:r>
      <w:r w:rsidRPr="00011860">
        <w:rPr>
          <w:rFonts w:ascii="Times New Roman" w:hAnsi="Times New Roman"/>
        </w:rPr>
        <w:t xml:space="preserve"> </w:t>
      </w:r>
      <w:r w:rsidRPr="00011860" w:rsidR="00937ACB">
        <w:rPr>
          <w:rFonts w:ascii="Times New Roman" w:hAnsi="Times New Roman"/>
        </w:rPr>
        <w:t>w</w:t>
      </w:r>
      <w:r w:rsidRPr="00011860">
        <w:rPr>
          <w:rFonts w:ascii="Times New Roman" w:hAnsi="Times New Roman"/>
        </w:rPr>
        <w:t>e take a more conservative approach to reporting earned media value by reporting on only the actual BRC responses received.  We also use the BRC responses to maintain our distribution and pitching list for future PSA campaigns.</w:t>
      </w:r>
    </w:p>
    <w:p w:rsidR="00937ACB" w:rsidRPr="004A3BA3" w14:paraId="198E8515" w14:textId="77777777">
      <w:pPr>
        <w:pStyle w:val="ListParagraph"/>
        <w:tabs>
          <w:tab w:val="num" w:pos="1440"/>
        </w:tabs>
        <w:snapToGrid w:val="0"/>
        <w:ind w:left="1440"/>
        <w:rPr>
          <w:rFonts w:ascii="Times New Roman" w:hAnsi="Times New Roman"/>
          <w:highlight w:val="yellow"/>
        </w:rPr>
      </w:pPr>
    </w:p>
    <w:p w:rsidR="00B52789" w:rsidRPr="00011860" w:rsidP="00B52789" w14:paraId="08072435" w14:textId="13A39248">
      <w:pPr>
        <w:pStyle w:val="ListParagraph"/>
        <w:tabs>
          <w:tab w:val="num" w:pos="1440"/>
        </w:tabs>
        <w:snapToGrid w:val="0"/>
        <w:ind w:left="1440"/>
        <w:rPr>
          <w:rFonts w:ascii="Times New Roman" w:hAnsi="Times New Roman"/>
        </w:rPr>
      </w:pPr>
      <w:r w:rsidRPr="00011860">
        <w:rPr>
          <w:rFonts w:ascii="Times New Roman" w:hAnsi="Times New Roman"/>
        </w:rPr>
        <w:t>The respondents are broadcast radio sources</w:t>
      </w:r>
      <w:r w:rsidRPr="00011860" w:rsidR="00734FEC">
        <w:rPr>
          <w:rFonts w:ascii="Times New Roman" w:hAnsi="Times New Roman"/>
        </w:rPr>
        <w:t xml:space="preserve">, which the contractor maintains via a </w:t>
      </w:r>
      <w:r w:rsidRPr="00011860" w:rsidR="00734FEC">
        <w:rPr>
          <w:rFonts w:ascii="Times New Roman" w:hAnsi="Times New Roman"/>
        </w:rPr>
        <w:t>proprietary dataset provided by the company</w:t>
      </w:r>
      <w:r w:rsidRPr="00011860" w:rsidR="00734FEC">
        <w:t xml:space="preserve"> </w:t>
      </w:r>
      <w:r w:rsidRPr="00011860" w:rsidR="00734FEC">
        <w:rPr>
          <w:rFonts w:ascii="Times New Roman" w:hAnsi="Times New Roman"/>
        </w:rPr>
        <w:t>Standard Rate and Data Service (SRDS).</w:t>
      </w:r>
      <w:r w:rsidRPr="00011860">
        <w:rPr>
          <w:rFonts w:ascii="Times New Roman" w:hAnsi="Times New Roman"/>
        </w:rPr>
        <w:t xml:space="preserve">  </w:t>
      </w:r>
    </w:p>
    <w:p w:rsidR="00CD4D36" w:rsidRPr="00011860" w:rsidP="00CB2836" w14:paraId="1504C732" w14:textId="77777777">
      <w:pPr>
        <w:widowControl w:val="0"/>
        <w:tabs>
          <w:tab w:val="num" w:pos="1440"/>
        </w:tabs>
        <w:snapToGrid w:val="0"/>
        <w:spacing w:after="0"/>
        <w:ind w:left="1440"/>
        <w:rPr>
          <w:rFonts w:ascii="Times New Roman" w:hAnsi="Times New Roman"/>
          <w:szCs w:val="24"/>
        </w:rPr>
      </w:pPr>
    </w:p>
    <w:p w:rsidR="00075EC0" w:rsidRPr="00011860" w:rsidP="00F45921" w14:paraId="735A76A5"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11860">
        <w:rPr>
          <w:rFonts w:ascii="Times New Roman" w:hAnsi="Times New Roman"/>
          <w:b/>
          <w:szCs w:val="24"/>
        </w:rPr>
        <w:t>Use of Information Technology to Collect the Information</w:t>
      </w:r>
    </w:p>
    <w:p w:rsidR="001A09DB" w:rsidRPr="00F679B8" w:rsidP="00F679B8" w14:paraId="70867B98" w14:textId="4B23079B">
      <w:pPr>
        <w:pStyle w:val="ListParagraph"/>
        <w:tabs>
          <w:tab w:val="num" w:pos="1440"/>
        </w:tabs>
        <w:snapToGrid w:val="0"/>
        <w:ind w:left="1440"/>
        <w:rPr>
          <w:rFonts w:ascii="Times New Roman" w:hAnsi="Times New Roman"/>
        </w:rPr>
      </w:pPr>
      <w:r w:rsidRPr="00011860">
        <w:rPr>
          <w:rFonts w:ascii="Times New Roman" w:hAnsi="Times New Roman"/>
          <w:color w:val="000000" w:themeColor="text1"/>
        </w:rPr>
        <w:t xml:space="preserve">This collection does not currently </w:t>
      </w:r>
      <w:r w:rsidRPr="00011860" w:rsidR="00642B52">
        <w:rPr>
          <w:rFonts w:ascii="Times New Roman" w:hAnsi="Times New Roman"/>
          <w:color w:val="000000" w:themeColor="text1"/>
        </w:rPr>
        <w:t xml:space="preserve">provide </w:t>
      </w:r>
      <w:r w:rsidRPr="00011860">
        <w:rPr>
          <w:rFonts w:ascii="Times New Roman" w:hAnsi="Times New Roman"/>
          <w:color w:val="000000" w:themeColor="text1"/>
        </w:rPr>
        <w:t>a</w:t>
      </w:r>
      <w:r w:rsidRPr="00011860" w:rsidR="00642B52">
        <w:rPr>
          <w:rFonts w:ascii="Times New Roman" w:hAnsi="Times New Roman"/>
          <w:color w:val="000000" w:themeColor="text1"/>
        </w:rPr>
        <w:t>ny capacity for electronic submission</w:t>
      </w:r>
      <w:r w:rsidRPr="00011860" w:rsidR="000F5B31">
        <w:rPr>
          <w:rFonts w:ascii="Times New Roman" w:hAnsi="Times New Roman"/>
          <w:color w:val="000000" w:themeColor="text1"/>
        </w:rPr>
        <w:t xml:space="preserve">. </w:t>
      </w:r>
      <w:r w:rsidRPr="00011860" w:rsidR="00937ACB">
        <w:rPr>
          <w:rFonts w:ascii="Times New Roman" w:hAnsi="Times New Roman"/>
        </w:rPr>
        <w:t>The agency monitors emerging technology that may provide more robust or automated mechanisms for monitoring radio pick up of PSAs as we do through Nielsen with TV PSAs, but we have not identified a service with the coverage or affordability to justify the expense at this time.</w:t>
      </w:r>
    </w:p>
    <w:p w:rsidR="00075EC0" w:rsidP="00CB2836" w14:paraId="72406689" w14:textId="77777777">
      <w:pPr>
        <w:widowControl w:val="0"/>
        <w:tabs>
          <w:tab w:val="num" w:pos="1440"/>
        </w:tabs>
        <w:snapToGrid w:val="0"/>
        <w:spacing w:after="0"/>
        <w:ind w:left="1440"/>
        <w:rPr>
          <w:rFonts w:ascii="Times New Roman" w:hAnsi="Times New Roman"/>
          <w:szCs w:val="24"/>
        </w:rPr>
      </w:pPr>
    </w:p>
    <w:p w:rsidR="00075EC0" w:rsidRPr="00075EC0" w:rsidP="00F45921" w14:paraId="2BAA7A66"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14:paraId="462672CC"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P="00F45921" w14:paraId="4C0ECA7C" w14:textId="77777777">
      <w:pPr>
        <w:widowControl w:val="0"/>
        <w:tabs>
          <w:tab w:val="num" w:pos="1440"/>
        </w:tabs>
        <w:snapToGrid w:val="0"/>
        <w:spacing w:after="0"/>
        <w:ind w:left="1440"/>
        <w:rPr>
          <w:rFonts w:ascii="Times New Roman" w:hAnsi="Times New Roman"/>
          <w:szCs w:val="24"/>
        </w:rPr>
      </w:pPr>
    </w:p>
    <w:p w:rsidR="00075EC0" w:rsidRPr="00075EC0" w:rsidP="00F45921" w14:paraId="6E7AD0BC"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P="00F45921" w14:paraId="78A6A664"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P="00F45921" w14:paraId="2C4A5253" w14:textId="77777777">
      <w:pPr>
        <w:widowControl w:val="0"/>
        <w:tabs>
          <w:tab w:val="num" w:pos="1440"/>
        </w:tabs>
        <w:snapToGrid w:val="0"/>
        <w:spacing w:after="0"/>
        <w:ind w:left="1440"/>
        <w:rPr>
          <w:rFonts w:ascii="Times New Roman" w:hAnsi="Times New Roman"/>
          <w:i/>
          <w:szCs w:val="24"/>
        </w:rPr>
      </w:pPr>
    </w:p>
    <w:p w:rsidR="00075EC0" w:rsidRPr="00075EC0" w:rsidP="00F45921" w14:paraId="3A4507B4" w14:textId="77777777">
      <w:pPr>
        <w:widowControl w:val="0"/>
        <w:tabs>
          <w:tab w:val="num" w:pos="1440"/>
        </w:tabs>
        <w:snapToGrid w:val="0"/>
        <w:spacing w:after="0"/>
        <w:ind w:left="1440" w:hanging="720"/>
        <w:rPr>
          <w:rFonts w:ascii="Times New Roman" w:hAnsi="Times New Roman"/>
          <w:szCs w:val="24"/>
        </w:rPr>
      </w:pPr>
      <w:r w:rsidRPr="001A19F5">
        <w:rPr>
          <w:rFonts w:ascii="Times New Roman" w:hAnsi="Times New Roman"/>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P="00F45921" w14:paraId="05455E29"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If </w:t>
      </w:r>
      <w:r w:rsidR="00CB2836">
        <w:rPr>
          <w:rFonts w:ascii="Times New Roman" w:hAnsi="Times New Roman"/>
          <w:szCs w:val="24"/>
        </w:rPr>
        <w:t xml:space="preserve">SSA did not conduct this information collection, we would have no means of obtaining feedback on the public information materials we mail to the public.  </w:t>
      </w:r>
      <w:r w:rsidRPr="00075EC0">
        <w:rPr>
          <w:rFonts w:ascii="Times New Roman" w:hAnsi="Times New Roman"/>
          <w:szCs w:val="24"/>
        </w:rPr>
        <w:t xml:space="preserve">Because we collect this information </w:t>
      </w:r>
      <w:r w:rsidR="00CB2836">
        <w:rPr>
          <w:rFonts w:ascii="Times New Roman" w:hAnsi="Times New Roman"/>
          <w:szCs w:val="24"/>
        </w:rPr>
        <w:t xml:space="preserve">twice a year, </w:t>
      </w:r>
      <w:r w:rsidRPr="00075EC0">
        <w:rPr>
          <w:rFonts w:ascii="Times New Roman" w:hAnsi="Times New Roman"/>
          <w:szCs w:val="24"/>
        </w:rPr>
        <w:t>we cannot collect it less frequently.</w:t>
      </w:r>
      <w:r w:rsidR="00285507">
        <w:rPr>
          <w:rFonts w:ascii="Times New Roman" w:hAnsi="Times New Roman"/>
          <w:szCs w:val="24"/>
        </w:rPr>
        <w:t xml:space="preserve">  </w:t>
      </w:r>
      <w:r w:rsidRPr="00075EC0">
        <w:rPr>
          <w:rFonts w:ascii="Times New Roman" w:hAnsi="Times New Roman"/>
          <w:szCs w:val="24"/>
        </w:rPr>
        <w:t>There are no technical or legal obstacles to burden reduction.</w:t>
      </w:r>
    </w:p>
    <w:p w:rsidR="00075EC0" w:rsidRPr="00075EC0" w:rsidP="00F45921" w14:paraId="5139EF3C" w14:textId="77777777">
      <w:pPr>
        <w:widowControl w:val="0"/>
        <w:tabs>
          <w:tab w:val="num" w:pos="1440"/>
        </w:tabs>
        <w:snapToGrid w:val="0"/>
        <w:spacing w:after="0"/>
        <w:ind w:left="1440"/>
        <w:rPr>
          <w:rFonts w:ascii="Times New Roman" w:hAnsi="Times New Roman"/>
          <w:szCs w:val="24"/>
        </w:rPr>
      </w:pPr>
    </w:p>
    <w:p w:rsidR="00075EC0" w:rsidRPr="00075EC0" w:rsidP="00F45921" w14:paraId="369BAE4F" w14:textId="77777777">
      <w:pPr>
        <w:widowControl w:val="0"/>
        <w:tabs>
          <w:tab w:val="num" w:pos="1440"/>
        </w:tabs>
        <w:snapToGrid w:val="0"/>
        <w:spacing w:after="0"/>
        <w:ind w:left="1440" w:hanging="720"/>
        <w:rPr>
          <w:rFonts w:ascii="Times New Roman" w:hAnsi="Times New Roman"/>
          <w:b/>
          <w:szCs w:val="24"/>
        </w:rPr>
      </w:pPr>
      <w:r w:rsidRPr="001A19F5">
        <w:rPr>
          <w:rFonts w:ascii="Times New Roman" w:hAnsi="Times New Roman"/>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P="00F45921" w14:paraId="0D7ADA8E"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P="00F45921" w14:paraId="3D1F227F" w14:textId="77777777">
      <w:pPr>
        <w:widowControl w:val="0"/>
        <w:tabs>
          <w:tab w:val="num" w:pos="1440"/>
        </w:tabs>
        <w:snapToGrid w:val="0"/>
        <w:spacing w:after="0"/>
        <w:ind w:left="1440"/>
        <w:rPr>
          <w:rFonts w:ascii="Times New Roman" w:hAnsi="Times New Roman"/>
          <w:b/>
          <w:i/>
          <w:szCs w:val="24"/>
        </w:rPr>
      </w:pPr>
    </w:p>
    <w:p w:rsidR="00075EC0" w:rsidRPr="00075EC0" w:rsidP="00F45921" w14:paraId="6E7B42B7"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P="00F45921" w14:paraId="09BB6BDB"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4528A3">
        <w:rPr>
          <w:rFonts w:ascii="Times New Roman" w:hAnsi="Times New Roman"/>
          <w:szCs w:val="24"/>
        </w:rPr>
        <w:t>July 29, 2020</w:t>
      </w:r>
      <w:r w:rsidRPr="00075EC0">
        <w:rPr>
          <w:rFonts w:ascii="Times New Roman" w:hAnsi="Times New Roman"/>
          <w:szCs w:val="24"/>
        </w:rPr>
        <w:t>, at</w:t>
      </w:r>
    </w:p>
    <w:p w:rsidR="00075EC0" w:rsidRPr="00075EC0" w:rsidP="0010192C" w14:paraId="76257052" w14:textId="77777777">
      <w:pPr>
        <w:ind w:left="1440"/>
        <w:rPr>
          <w:rFonts w:ascii="Times New Roman" w:hAnsi="Times New Roman"/>
          <w:szCs w:val="24"/>
        </w:rPr>
      </w:pPr>
      <w:r>
        <w:rPr>
          <w:rFonts w:ascii="Times New Roman" w:hAnsi="Times New Roman"/>
          <w:szCs w:val="24"/>
        </w:rPr>
        <w:t>8</w:t>
      </w:r>
      <w:r w:rsidR="004528A3">
        <w:rPr>
          <w:rFonts w:ascii="Times New Roman" w:hAnsi="Times New Roman"/>
          <w:szCs w:val="24"/>
        </w:rPr>
        <w:t xml:space="preserve">5 </w:t>
      </w:r>
      <w:r w:rsidRPr="00075EC0">
        <w:rPr>
          <w:rFonts w:ascii="Times New Roman" w:hAnsi="Times New Roman"/>
          <w:szCs w:val="24"/>
        </w:rPr>
        <w:t xml:space="preserve">FR </w:t>
      </w:r>
      <w:r w:rsidR="004528A3">
        <w:rPr>
          <w:rFonts w:ascii="Times New Roman" w:hAnsi="Times New Roman"/>
          <w:szCs w:val="24"/>
        </w:rPr>
        <w:t>45723</w:t>
      </w:r>
      <w:r w:rsidRPr="00075EC0">
        <w:rPr>
          <w:rFonts w:ascii="Times New Roman" w:hAnsi="Times New Roman"/>
          <w:szCs w:val="24"/>
        </w:rPr>
        <w:t xml:space="preserve">, and we received no public comments.  The 30-day FRN published on </w:t>
      </w:r>
      <w:r w:rsidR="004528A3">
        <w:rPr>
          <w:rFonts w:ascii="Times New Roman" w:hAnsi="Times New Roman"/>
          <w:szCs w:val="24"/>
        </w:rPr>
        <w:t>October 8, 2020</w:t>
      </w:r>
      <w:r w:rsidR="00875896">
        <w:rPr>
          <w:rFonts w:ascii="Times New Roman" w:hAnsi="Times New Roman"/>
          <w:szCs w:val="24"/>
        </w:rPr>
        <w:t xml:space="preserve"> </w:t>
      </w:r>
      <w:r w:rsidRPr="00075EC0">
        <w:rPr>
          <w:rFonts w:ascii="Times New Roman" w:hAnsi="Times New Roman"/>
          <w:szCs w:val="24"/>
        </w:rPr>
        <w:t xml:space="preserve">at </w:t>
      </w:r>
      <w:r w:rsidR="004528A3">
        <w:rPr>
          <w:rFonts w:ascii="Times New Roman" w:hAnsi="Times New Roman"/>
          <w:szCs w:val="24"/>
        </w:rPr>
        <w:t>85</w:t>
      </w:r>
      <w:r w:rsidRPr="00075EC0">
        <w:rPr>
          <w:rFonts w:ascii="Times New Roman" w:hAnsi="Times New Roman"/>
          <w:szCs w:val="24"/>
        </w:rPr>
        <w:t xml:space="preserve"> FR </w:t>
      </w:r>
      <w:r w:rsidR="004528A3">
        <w:rPr>
          <w:rFonts w:ascii="Times New Roman" w:hAnsi="Times New Roman"/>
          <w:szCs w:val="24"/>
        </w:rPr>
        <w:t>63630</w:t>
      </w:r>
      <w:r w:rsidRPr="00075EC0">
        <w:rPr>
          <w:rFonts w:ascii="Times New Roman" w:hAnsi="Times New Roman"/>
          <w:szCs w:val="24"/>
        </w:rPr>
        <w:t>.  If we receive any comments in response to this Notice, we will forward them to OMB.</w:t>
      </w:r>
      <w:r w:rsidRPr="0010192C" w:rsidR="0010192C">
        <w:rPr>
          <w:rFonts w:eastAsia="Calibri"/>
          <w:sz w:val="22"/>
          <w:szCs w:val="22"/>
        </w:rPr>
        <w:t xml:space="preserve"> </w:t>
      </w:r>
      <w:r w:rsidR="0010192C">
        <w:rPr>
          <w:rFonts w:eastAsia="Calibri"/>
          <w:sz w:val="22"/>
          <w:szCs w:val="22"/>
        </w:rPr>
        <w:t xml:space="preserve">  </w:t>
      </w:r>
      <w:r w:rsidRPr="00D03520" w:rsidR="0010192C">
        <w:rPr>
          <w:szCs w:val="24"/>
        </w:rPr>
        <w:t>We did not consult with the public in th</w:t>
      </w:r>
      <w:r w:rsidR="0010192C">
        <w:rPr>
          <w:szCs w:val="24"/>
        </w:rPr>
        <w:t>e maintenance of this collection.</w:t>
      </w:r>
    </w:p>
    <w:p w:rsidR="00075EC0" w:rsidRPr="00075EC0" w:rsidP="00F45921" w14:paraId="1552E9BC"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P="00F45921" w14:paraId="28DD9329"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P="00F45921" w14:paraId="576358C5" w14:textId="77777777">
      <w:pPr>
        <w:widowControl w:val="0"/>
        <w:tabs>
          <w:tab w:val="num" w:pos="1440"/>
        </w:tabs>
        <w:snapToGrid w:val="0"/>
        <w:spacing w:after="0"/>
        <w:ind w:left="1440"/>
        <w:rPr>
          <w:rFonts w:ascii="Times New Roman" w:hAnsi="Times New Roman"/>
          <w:szCs w:val="24"/>
        </w:rPr>
      </w:pPr>
    </w:p>
    <w:p w:rsidR="00075EC0" w:rsidRPr="00075EC0" w:rsidP="00F45921" w14:paraId="19516558"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P="00F45921" w14:paraId="62A9AA66"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P="00F45921" w14:paraId="21FAE532" w14:textId="77777777">
      <w:pPr>
        <w:widowControl w:val="0"/>
        <w:tabs>
          <w:tab w:val="num" w:pos="1440"/>
        </w:tabs>
        <w:snapToGrid w:val="0"/>
        <w:spacing w:after="0"/>
        <w:ind w:left="1440"/>
        <w:rPr>
          <w:rFonts w:ascii="Times New Roman" w:hAnsi="Times New Roman"/>
          <w:szCs w:val="24"/>
        </w:rPr>
      </w:pPr>
    </w:p>
    <w:p w:rsidR="00075EC0" w:rsidRPr="00075EC0" w:rsidP="00F45921" w14:paraId="31377659"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P="00F45921" w14:paraId="37C3FD3D"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P="00075EC0" w14:paraId="74D6DCE2" w14:textId="77777777">
      <w:pPr>
        <w:widowControl w:val="0"/>
        <w:snapToGrid w:val="0"/>
        <w:spacing w:after="0"/>
        <w:rPr>
          <w:rFonts w:ascii="Times New Roman" w:hAnsi="Times New Roman"/>
          <w:szCs w:val="24"/>
        </w:rPr>
      </w:pPr>
    </w:p>
    <w:p w:rsidR="00075EC0" w:rsidRPr="00075EC0" w:rsidP="00F45921" w14:paraId="71E4AE21"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tbl>
      <w:tblPr>
        <w:tblpPr w:leftFromText="180" w:rightFromText="180" w:vertAnchor="text" w:horzAnchor="page" w:tblpX="1969" w:tblpY="254"/>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530"/>
        <w:gridCol w:w="1350"/>
        <w:gridCol w:w="1260"/>
        <w:gridCol w:w="1260"/>
        <w:gridCol w:w="1440"/>
        <w:gridCol w:w="1552"/>
      </w:tblGrid>
      <w:tr w14:paraId="26D6FB8E" w14:textId="77777777" w:rsidTr="00172031">
        <w:tblPrEx>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1705" w:type="dxa"/>
            <w:shd w:val="clear" w:color="auto" w:fill="auto"/>
          </w:tcPr>
          <w:p w:rsidR="00172031" w:rsidRPr="00172031" w:rsidP="00172031" w14:paraId="6CF914B5" w14:textId="77777777">
            <w:pPr>
              <w:tabs>
                <w:tab w:val="left" w:pos="1350"/>
              </w:tabs>
              <w:autoSpaceDE w:val="0"/>
              <w:autoSpaceDN w:val="0"/>
              <w:adjustRightInd w:val="0"/>
              <w:spacing w:after="0"/>
              <w:ind w:hanging="18"/>
              <w:rPr>
                <w:rFonts w:ascii="Times New Roman" w:eastAsia="Calibri" w:hAnsi="Times New Roman"/>
                <w:szCs w:val="24"/>
                <w:lang w:eastAsia="zh-CN"/>
              </w:rPr>
            </w:pPr>
            <w:r w:rsidRPr="00172031">
              <w:rPr>
                <w:rFonts w:ascii="Times New Roman" w:eastAsia="Calibri" w:hAnsi="Times New Roman"/>
                <w:b/>
                <w:szCs w:val="24"/>
                <w:lang w:eastAsia="zh-CN"/>
              </w:rPr>
              <w:t>Modality of Completion</w:t>
            </w:r>
          </w:p>
        </w:tc>
        <w:tc>
          <w:tcPr>
            <w:tcW w:w="1530" w:type="dxa"/>
            <w:shd w:val="clear" w:color="auto" w:fill="auto"/>
          </w:tcPr>
          <w:p w:rsidR="00172031" w:rsidRPr="00172031" w:rsidP="00172031" w14:paraId="2A9C532D" w14:textId="77777777">
            <w:pPr>
              <w:tabs>
                <w:tab w:val="left" w:pos="1350"/>
              </w:tabs>
              <w:autoSpaceDE w:val="0"/>
              <w:autoSpaceDN w:val="0"/>
              <w:adjustRightInd w:val="0"/>
              <w:spacing w:after="0"/>
              <w:rPr>
                <w:rFonts w:ascii="Times New Roman" w:eastAsia="Calibri" w:hAnsi="Times New Roman"/>
                <w:szCs w:val="24"/>
                <w:lang w:eastAsia="zh-CN"/>
              </w:rPr>
            </w:pPr>
            <w:r w:rsidRPr="00172031">
              <w:rPr>
                <w:rFonts w:ascii="Times New Roman" w:eastAsia="Calibri" w:hAnsi="Times New Roman"/>
                <w:b/>
                <w:szCs w:val="24"/>
                <w:lang w:eastAsia="zh-CN"/>
              </w:rPr>
              <w:t>Number of Respondents</w:t>
            </w:r>
          </w:p>
        </w:tc>
        <w:tc>
          <w:tcPr>
            <w:tcW w:w="1350" w:type="dxa"/>
            <w:shd w:val="clear" w:color="auto" w:fill="auto"/>
          </w:tcPr>
          <w:p w:rsidR="00172031" w:rsidRPr="00172031" w:rsidP="00172031" w14:paraId="4A2F9CB8" w14:textId="77777777">
            <w:pPr>
              <w:tabs>
                <w:tab w:val="left" w:pos="1350"/>
              </w:tabs>
              <w:autoSpaceDE w:val="0"/>
              <w:autoSpaceDN w:val="0"/>
              <w:adjustRightInd w:val="0"/>
              <w:spacing w:after="0"/>
              <w:rPr>
                <w:rFonts w:ascii="Times New Roman" w:eastAsia="Calibri" w:hAnsi="Times New Roman"/>
                <w:szCs w:val="24"/>
                <w:lang w:eastAsia="zh-CN"/>
              </w:rPr>
            </w:pPr>
            <w:r w:rsidRPr="00172031">
              <w:rPr>
                <w:rFonts w:ascii="Times New Roman" w:eastAsia="Calibri" w:hAnsi="Times New Roman"/>
                <w:b/>
                <w:szCs w:val="24"/>
                <w:lang w:eastAsia="zh-CN"/>
              </w:rPr>
              <w:t>Frequency of Response</w:t>
            </w:r>
          </w:p>
        </w:tc>
        <w:tc>
          <w:tcPr>
            <w:tcW w:w="1260" w:type="dxa"/>
            <w:shd w:val="clear" w:color="auto" w:fill="auto"/>
          </w:tcPr>
          <w:p w:rsidR="00172031" w:rsidRPr="00172031" w:rsidP="00172031" w14:paraId="1F9C219A" w14:textId="77777777">
            <w:pPr>
              <w:tabs>
                <w:tab w:val="left" w:pos="1350"/>
              </w:tabs>
              <w:autoSpaceDE w:val="0"/>
              <w:autoSpaceDN w:val="0"/>
              <w:adjustRightInd w:val="0"/>
              <w:spacing w:after="0"/>
              <w:rPr>
                <w:rFonts w:ascii="Times New Roman" w:eastAsia="Calibri" w:hAnsi="Times New Roman"/>
                <w:szCs w:val="24"/>
                <w:lang w:eastAsia="zh-CN"/>
              </w:rPr>
            </w:pPr>
            <w:r w:rsidRPr="00172031">
              <w:rPr>
                <w:rFonts w:ascii="Times New Roman" w:eastAsia="Calibri" w:hAnsi="Times New Roman"/>
                <w:b/>
                <w:szCs w:val="24"/>
                <w:lang w:eastAsia="zh-CN"/>
              </w:rPr>
              <w:t>Average Burden per Response (minutes)</w:t>
            </w:r>
          </w:p>
        </w:tc>
        <w:tc>
          <w:tcPr>
            <w:tcW w:w="1260" w:type="dxa"/>
            <w:shd w:val="clear" w:color="auto" w:fill="auto"/>
          </w:tcPr>
          <w:p w:rsidR="00172031" w:rsidRPr="00172031" w:rsidP="00172031" w14:paraId="43C1D3DB" w14:textId="77777777">
            <w:pPr>
              <w:tabs>
                <w:tab w:val="left" w:pos="1350"/>
              </w:tabs>
              <w:autoSpaceDE w:val="0"/>
              <w:autoSpaceDN w:val="0"/>
              <w:adjustRightInd w:val="0"/>
              <w:spacing w:after="0"/>
              <w:rPr>
                <w:rFonts w:ascii="Times New Roman" w:eastAsia="Calibri" w:hAnsi="Times New Roman"/>
                <w:szCs w:val="24"/>
                <w:lang w:eastAsia="zh-CN"/>
              </w:rPr>
            </w:pPr>
            <w:r w:rsidRPr="00172031">
              <w:rPr>
                <w:rFonts w:ascii="Times New Roman" w:eastAsia="Calibri" w:hAnsi="Times New Roman"/>
                <w:b/>
                <w:szCs w:val="24"/>
                <w:lang w:eastAsia="zh-CN"/>
              </w:rPr>
              <w:t>Estimated Total Annual Burden (hours)</w:t>
            </w:r>
          </w:p>
        </w:tc>
        <w:tc>
          <w:tcPr>
            <w:tcW w:w="1440" w:type="dxa"/>
            <w:shd w:val="clear" w:color="auto" w:fill="auto"/>
          </w:tcPr>
          <w:p w:rsidR="00172031" w:rsidRPr="00172031" w:rsidP="00172031" w14:paraId="7DE95A43" w14:textId="77777777">
            <w:pPr>
              <w:tabs>
                <w:tab w:val="left" w:pos="1350"/>
              </w:tabs>
              <w:autoSpaceDE w:val="0"/>
              <w:autoSpaceDN w:val="0"/>
              <w:adjustRightInd w:val="0"/>
              <w:spacing w:after="0"/>
              <w:rPr>
                <w:rFonts w:ascii="Times New Roman" w:eastAsia="Calibri" w:hAnsi="Times New Roman"/>
                <w:szCs w:val="24"/>
                <w:lang w:eastAsia="zh-CN"/>
              </w:rPr>
            </w:pPr>
            <w:r w:rsidRPr="00172031">
              <w:rPr>
                <w:rFonts w:ascii="Times New Roman" w:eastAsia="Calibri" w:hAnsi="Times New Roman"/>
                <w:b/>
                <w:szCs w:val="24"/>
                <w:lang w:eastAsia="zh-CN"/>
              </w:rPr>
              <w:t>Average Theoretical Hourly Cost Amount (dollars)*</w:t>
            </w:r>
          </w:p>
        </w:tc>
        <w:tc>
          <w:tcPr>
            <w:tcW w:w="1552" w:type="dxa"/>
            <w:shd w:val="clear" w:color="auto" w:fill="auto"/>
          </w:tcPr>
          <w:p w:rsidR="00172031" w:rsidRPr="00172031" w:rsidP="00172031" w14:paraId="7C38B725" w14:textId="77777777">
            <w:pPr>
              <w:autoSpaceDE w:val="0"/>
              <w:autoSpaceDN w:val="0"/>
              <w:adjustRightInd w:val="0"/>
              <w:spacing w:after="0"/>
              <w:rPr>
                <w:rFonts w:ascii="Times New Roman" w:eastAsia="Calibri" w:hAnsi="Times New Roman"/>
                <w:b/>
                <w:szCs w:val="24"/>
                <w:lang w:eastAsia="zh-CN"/>
              </w:rPr>
            </w:pPr>
            <w:r w:rsidRPr="00172031">
              <w:rPr>
                <w:rFonts w:ascii="Times New Roman" w:eastAsia="Calibri" w:hAnsi="Times New Roman"/>
                <w:b/>
                <w:szCs w:val="24"/>
                <w:lang w:eastAsia="zh-CN"/>
              </w:rPr>
              <w:t>Total Annual Opportunity Cost (dollars) **</w:t>
            </w:r>
          </w:p>
        </w:tc>
      </w:tr>
      <w:tr w14:paraId="3D1D2B4A" w14:textId="77777777" w:rsidTr="00172031">
        <w:tblPrEx>
          <w:tblW w:w="10097" w:type="dxa"/>
          <w:tblLayout w:type="fixed"/>
          <w:tblLook w:val="04A0"/>
        </w:tblPrEx>
        <w:trPr>
          <w:trHeight w:val="389"/>
        </w:trPr>
        <w:tc>
          <w:tcPr>
            <w:tcW w:w="1705" w:type="dxa"/>
            <w:shd w:val="clear" w:color="auto" w:fill="auto"/>
          </w:tcPr>
          <w:p w:rsidR="00172031" w:rsidRPr="00172031" w:rsidP="00172031" w14:paraId="207D4CD5" w14:textId="77777777">
            <w:pPr>
              <w:widowControl w:val="0"/>
              <w:spacing w:after="0"/>
              <w:rPr>
                <w:rFonts w:ascii="Times New Roman" w:eastAsia="Calibri" w:hAnsi="Times New Roman"/>
                <w:szCs w:val="24"/>
                <w:lang w:eastAsia="zh-CN"/>
              </w:rPr>
            </w:pPr>
            <w:r w:rsidRPr="00172031">
              <w:rPr>
                <w:rFonts w:ascii="Times New Roman" w:eastAsia="Calibri" w:hAnsi="Times New Roman"/>
                <w:szCs w:val="24"/>
                <w:lang w:eastAsia="zh-CN"/>
              </w:rPr>
              <w:t>Radio</w:t>
            </w:r>
          </w:p>
        </w:tc>
        <w:tc>
          <w:tcPr>
            <w:tcW w:w="1530" w:type="dxa"/>
            <w:shd w:val="clear" w:color="auto" w:fill="auto"/>
          </w:tcPr>
          <w:p w:rsidR="00172031" w:rsidRPr="00172031" w:rsidP="00172031" w14:paraId="01F93D7B" w14:textId="77777777">
            <w:pPr>
              <w:widowControl w:val="0"/>
              <w:spacing w:after="0"/>
              <w:jc w:val="right"/>
              <w:rPr>
                <w:rFonts w:ascii="Times New Roman" w:eastAsia="Calibri" w:hAnsi="Times New Roman"/>
                <w:szCs w:val="24"/>
                <w:lang w:eastAsia="zh-CN"/>
              </w:rPr>
            </w:pPr>
            <w:r w:rsidRPr="00172031">
              <w:rPr>
                <w:rFonts w:ascii="Times New Roman" w:eastAsia="Calibri" w:hAnsi="Times New Roman"/>
                <w:szCs w:val="24"/>
                <w:lang w:eastAsia="zh-CN"/>
              </w:rPr>
              <w:t>5,000</w:t>
            </w:r>
          </w:p>
        </w:tc>
        <w:tc>
          <w:tcPr>
            <w:tcW w:w="1350" w:type="dxa"/>
            <w:shd w:val="clear" w:color="auto" w:fill="auto"/>
          </w:tcPr>
          <w:p w:rsidR="00172031" w:rsidRPr="00172031" w:rsidP="00172031" w14:paraId="51B850B4" w14:textId="77777777">
            <w:pPr>
              <w:widowControl w:val="0"/>
              <w:tabs>
                <w:tab w:val="left" w:pos="241"/>
              </w:tabs>
              <w:snapToGrid w:val="0"/>
              <w:spacing w:after="0"/>
              <w:ind w:left="-104" w:firstLine="104"/>
              <w:jc w:val="right"/>
              <w:rPr>
                <w:rFonts w:ascii="Times New Roman" w:eastAsia="Calibri" w:hAnsi="Times New Roman"/>
                <w:szCs w:val="24"/>
                <w:lang w:eastAsia="zh-CN"/>
              </w:rPr>
            </w:pPr>
            <w:r w:rsidRPr="00172031">
              <w:rPr>
                <w:rFonts w:ascii="Times New Roman" w:eastAsia="Calibri" w:hAnsi="Times New Roman"/>
                <w:szCs w:val="24"/>
                <w:lang w:eastAsia="zh-CN"/>
              </w:rPr>
              <w:t>2</w:t>
            </w:r>
          </w:p>
        </w:tc>
        <w:tc>
          <w:tcPr>
            <w:tcW w:w="1260" w:type="dxa"/>
            <w:shd w:val="clear" w:color="auto" w:fill="auto"/>
          </w:tcPr>
          <w:p w:rsidR="00172031" w:rsidRPr="00172031" w:rsidP="00172031" w14:paraId="26FCEC00" w14:textId="77777777">
            <w:pPr>
              <w:widowControl w:val="0"/>
              <w:spacing w:after="0"/>
              <w:jc w:val="right"/>
              <w:rPr>
                <w:rFonts w:ascii="Times New Roman" w:eastAsia="Calibri" w:hAnsi="Times New Roman"/>
                <w:szCs w:val="24"/>
                <w:lang w:eastAsia="zh-CN"/>
              </w:rPr>
            </w:pPr>
            <w:r w:rsidRPr="00172031">
              <w:rPr>
                <w:rFonts w:ascii="Times New Roman" w:eastAsia="Calibri" w:hAnsi="Times New Roman"/>
                <w:szCs w:val="24"/>
                <w:lang w:eastAsia="zh-CN"/>
              </w:rPr>
              <w:t>1</w:t>
            </w:r>
          </w:p>
        </w:tc>
        <w:tc>
          <w:tcPr>
            <w:tcW w:w="1260" w:type="dxa"/>
            <w:shd w:val="clear" w:color="auto" w:fill="auto"/>
          </w:tcPr>
          <w:p w:rsidR="00172031" w:rsidRPr="00011860" w:rsidP="00AF56F8" w14:paraId="4FF687FA" w14:textId="19E7B15C">
            <w:pPr>
              <w:widowControl w:val="0"/>
              <w:spacing w:after="0"/>
              <w:jc w:val="right"/>
              <w:rPr>
                <w:rFonts w:ascii="Times New Roman" w:eastAsia="Calibri" w:hAnsi="Times New Roman"/>
                <w:szCs w:val="24"/>
                <w:lang w:eastAsia="zh-CN"/>
              </w:rPr>
            </w:pPr>
            <w:r w:rsidRPr="00011860">
              <w:rPr>
                <w:rFonts w:ascii="Times New Roman" w:eastAsia="Calibri" w:hAnsi="Times New Roman"/>
                <w:szCs w:val="24"/>
                <w:lang w:eastAsia="zh-CN"/>
              </w:rPr>
              <w:t>167</w:t>
            </w:r>
          </w:p>
        </w:tc>
        <w:tc>
          <w:tcPr>
            <w:tcW w:w="1440" w:type="dxa"/>
            <w:shd w:val="clear" w:color="auto" w:fill="auto"/>
          </w:tcPr>
          <w:p w:rsidR="00172031" w:rsidRPr="00011860" w:rsidP="00172031" w14:paraId="3FCB62B4" w14:textId="77777777">
            <w:pPr>
              <w:widowControl w:val="0"/>
              <w:snapToGrid w:val="0"/>
              <w:spacing w:after="0"/>
              <w:jc w:val="right"/>
              <w:rPr>
                <w:rFonts w:ascii="Times New Roman" w:eastAsia="Calibri" w:hAnsi="Times New Roman"/>
                <w:szCs w:val="24"/>
                <w:lang w:eastAsia="zh-CN"/>
              </w:rPr>
            </w:pPr>
            <w:r w:rsidRPr="00011860">
              <w:rPr>
                <w:rFonts w:ascii="Times New Roman" w:eastAsia="Calibri" w:hAnsi="Times New Roman"/>
                <w:szCs w:val="24"/>
                <w:lang w:eastAsia="zh-CN"/>
              </w:rPr>
              <w:t>$25.76*</w:t>
            </w:r>
          </w:p>
        </w:tc>
        <w:tc>
          <w:tcPr>
            <w:tcW w:w="1552" w:type="dxa"/>
            <w:shd w:val="clear" w:color="auto" w:fill="auto"/>
          </w:tcPr>
          <w:p w:rsidR="00172031" w:rsidRPr="00011860" w:rsidP="00AF56F8" w14:paraId="789667E8" w14:textId="688BC70C">
            <w:pPr>
              <w:tabs>
                <w:tab w:val="left" w:pos="1350"/>
              </w:tabs>
              <w:autoSpaceDE w:val="0"/>
              <w:autoSpaceDN w:val="0"/>
              <w:adjustRightInd w:val="0"/>
              <w:spacing w:after="0"/>
              <w:jc w:val="center"/>
              <w:rPr>
                <w:rFonts w:ascii="Times New Roman" w:eastAsia="Calibri" w:hAnsi="Times New Roman"/>
                <w:szCs w:val="24"/>
                <w:lang w:eastAsia="zh-CN"/>
              </w:rPr>
            </w:pPr>
            <w:r w:rsidRPr="00011860">
              <w:rPr>
                <w:rFonts w:ascii="Times New Roman" w:eastAsia="Calibri" w:hAnsi="Times New Roman"/>
                <w:szCs w:val="24"/>
                <w:lang w:eastAsia="zh-CN"/>
              </w:rPr>
              <w:t>$</w:t>
            </w:r>
            <w:r w:rsidRPr="00011860" w:rsidR="00AF56F8">
              <w:rPr>
                <w:rFonts w:ascii="Times New Roman" w:eastAsia="Calibri" w:hAnsi="Times New Roman"/>
                <w:szCs w:val="24"/>
                <w:lang w:eastAsia="zh-CN"/>
              </w:rPr>
              <w:t>4,302</w:t>
            </w:r>
            <w:r w:rsidRPr="00011860">
              <w:rPr>
                <w:rFonts w:ascii="Times New Roman" w:eastAsia="Calibri" w:hAnsi="Times New Roman"/>
                <w:szCs w:val="24"/>
                <w:lang w:eastAsia="zh-CN"/>
              </w:rPr>
              <w:t>**</w:t>
            </w:r>
          </w:p>
        </w:tc>
      </w:tr>
    </w:tbl>
    <w:p w:rsidR="00172031" w:rsidP="000C51EB" w14:paraId="2312810A" w14:textId="77777777">
      <w:pPr>
        <w:pStyle w:val="ListParagraph"/>
        <w:autoSpaceDE w:val="0"/>
        <w:autoSpaceDN w:val="0"/>
        <w:adjustRightInd w:val="0"/>
        <w:ind w:left="1440"/>
        <w:rPr>
          <w:rFonts w:ascii="Times New Roman" w:eastAsia="SimSun" w:hAnsi="Times New Roman"/>
          <w:snapToGrid/>
          <w:color w:val="0000FF"/>
          <w:u w:val="single"/>
          <w:lang w:eastAsia="ar-SA"/>
        </w:rPr>
      </w:pPr>
      <w:r w:rsidRPr="00A22150">
        <w:rPr>
          <w:rFonts w:ascii="Times New Roman" w:hAnsi="Times New Roman"/>
        </w:rPr>
        <w:t xml:space="preserve">* We based this figures on average </w:t>
      </w:r>
      <w:r>
        <w:rPr>
          <w:rFonts w:ascii="Times New Roman" w:hAnsi="Times New Roman"/>
        </w:rPr>
        <w:t xml:space="preserve">Broadcast Announcers and Radio Disc Jockey’s </w:t>
      </w:r>
      <w:r w:rsidRPr="00A22150">
        <w:rPr>
          <w:rFonts w:ascii="Times New Roman" w:hAnsi="Times New Roman"/>
        </w:rPr>
        <w:t xml:space="preserve">hourly salary, as reported by </w:t>
      </w:r>
      <w:r>
        <w:rPr>
          <w:rFonts w:ascii="Times New Roman" w:hAnsi="Times New Roman"/>
        </w:rPr>
        <w:t>Bureau of Labor Statistics data.</w:t>
      </w:r>
      <w:r>
        <w:rPr>
          <w:rFonts w:ascii="Times New Roman" w:eastAsia="SimSun" w:hAnsi="Times New Roman"/>
          <w:snapToGrid/>
          <w:color w:val="0000FF"/>
          <w:u w:val="single"/>
          <w:lang w:eastAsia="ar-SA"/>
        </w:rPr>
        <w:t xml:space="preserve"> </w:t>
      </w:r>
    </w:p>
    <w:p w:rsidR="00172031" w:rsidRPr="00172031" w:rsidP="009B777A" w14:paraId="17ED173B" w14:textId="77777777">
      <w:pPr>
        <w:pStyle w:val="ListParagraph"/>
        <w:autoSpaceDE w:val="0"/>
        <w:autoSpaceDN w:val="0"/>
        <w:adjustRightInd w:val="0"/>
        <w:ind w:left="1440" w:firstLine="720"/>
        <w:rPr>
          <w:rStyle w:val="Hyperlink"/>
          <w:rFonts w:ascii="Times New Roman" w:hAnsi="Times New Roman"/>
        </w:rPr>
      </w:pPr>
      <w:r w:rsidRPr="00172031">
        <w:rPr>
          <w:rStyle w:val="Hyperlink"/>
          <w:rFonts w:ascii="Times New Roman" w:hAnsi="Times New Roman"/>
        </w:rPr>
        <w:t>(</w:t>
      </w:r>
      <w:hyperlink r:id="rId4" w:history="1">
        <w:r w:rsidRPr="00172031">
          <w:rPr>
            <w:rStyle w:val="Hyperlink"/>
            <w:rFonts w:ascii="Times New Roman" w:hAnsi="Times New Roman"/>
          </w:rPr>
          <w:t>https://www.bls.gov/oes/current/oes_nat.htm</w:t>
        </w:r>
      </w:hyperlink>
      <w:r w:rsidRPr="00172031">
        <w:rPr>
          <w:rStyle w:val="Hyperlink"/>
          <w:rFonts w:ascii="Times New Roman" w:hAnsi="Times New Roman"/>
        </w:rPr>
        <w:t>).</w:t>
      </w:r>
    </w:p>
    <w:p w:rsidR="00172031" w:rsidP="00172031" w14:paraId="7DA0E78E" w14:textId="77777777">
      <w:pPr>
        <w:pStyle w:val="ListParagraph"/>
        <w:autoSpaceDE w:val="0"/>
        <w:autoSpaceDN w:val="0"/>
        <w:adjustRightInd w:val="0"/>
        <w:ind w:left="1354"/>
        <w:rPr>
          <w:rStyle w:val="Hyperlink"/>
          <w:rFonts w:ascii="Calibri" w:hAnsi="Calibri" w:cs="Calibri"/>
        </w:rPr>
      </w:pPr>
    </w:p>
    <w:p w:rsidR="00172031" w:rsidP="000C51EB" w14:paraId="20E02A79" w14:textId="77777777">
      <w:pPr>
        <w:widowControl w:val="0"/>
        <w:snapToGrid w:val="0"/>
        <w:spacing w:after="0"/>
        <w:ind w:left="1440"/>
        <w:rPr>
          <w:rFonts w:ascii="Times New Roman" w:hAnsi="Times New Roman"/>
          <w:b/>
          <w:szCs w:val="24"/>
        </w:rPr>
      </w:pPr>
      <w:r w:rsidRPr="00A22150">
        <w:rPr>
          <w:rFonts w:ascii="Times New Roman" w:hAnsi="Times New Roman"/>
        </w:rPr>
        <w:t>*</w:t>
      </w:r>
      <w:r>
        <w:rPr>
          <w:rFonts w:ascii="Times New Roman" w:hAnsi="Times New Roman"/>
        </w:rPr>
        <w:t>*</w:t>
      </w:r>
      <w:r w:rsidRPr="00A2215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rFonts w:ascii="Times New Roman" w:hAnsi="Times New Roman"/>
          <w:b/>
          <w:u w:val="single"/>
        </w:rPr>
        <w:t>There is no actual charge to respondents to complete the application</w:t>
      </w:r>
    </w:p>
    <w:p w:rsidR="00172031" w:rsidP="00075EC0" w14:paraId="52CA2F69" w14:textId="77777777">
      <w:pPr>
        <w:widowControl w:val="0"/>
        <w:snapToGrid w:val="0"/>
        <w:spacing w:after="0"/>
        <w:ind w:left="720"/>
        <w:rPr>
          <w:rFonts w:ascii="Times New Roman" w:hAnsi="Times New Roman"/>
          <w:b/>
          <w:szCs w:val="24"/>
        </w:rPr>
      </w:pPr>
    </w:p>
    <w:p w:rsidR="009B777A" w:rsidP="009B777A" w14:paraId="3189A59D" w14:textId="2AFB77DD">
      <w:pPr>
        <w:pStyle w:val="ListParagraph"/>
        <w:ind w:left="1440"/>
        <w:rPr>
          <w:rFonts w:ascii="Times New Roman" w:hAnsi="Times New Roman"/>
          <w:b/>
          <w:u w:val="single"/>
        </w:rPr>
      </w:pPr>
      <w:r w:rsidRPr="00C16A28">
        <w:rPr>
          <w:rFonts w:ascii="Times New Roman" w:eastAsia="SimSun" w:hAnsi="Times New Roman"/>
          <w:snapToGrid/>
          <w:color w:val="000000"/>
          <w:lang w:eastAsia="ar-SA"/>
        </w:rPr>
        <w:t>We base our burden estimates on current management information data, which includes data from years of conducting this information collection.  Per our management information data, we b</w:t>
      </w:r>
      <w:r>
        <w:rPr>
          <w:rFonts w:ascii="Times New Roman" w:eastAsia="SimSun" w:hAnsi="Times New Roman"/>
          <w:snapToGrid/>
          <w:color w:val="000000"/>
          <w:lang w:eastAsia="ar-SA"/>
        </w:rPr>
        <w:t>elieve that 1 minute</w:t>
      </w:r>
      <w:r w:rsidRPr="00C16A28">
        <w:rPr>
          <w:rFonts w:ascii="Times New Roman" w:eastAsia="SimSun" w:hAnsi="Times New Roman"/>
          <w:snapToGrid/>
          <w:color w:val="000000"/>
          <w:lang w:eastAsia="ar-SA"/>
        </w:rPr>
        <w:t xml:space="preserve"> accurately shows the average burden per response for reading the </w:t>
      </w:r>
      <w:r w:rsidRPr="00C16A28">
        <w:rPr>
          <w:rFonts w:ascii="Times New Roman" w:eastAsia="SimSun" w:hAnsi="Times New Roman"/>
          <w:snapToGrid/>
          <w:lang w:eastAsia="ar-SA"/>
        </w:rPr>
        <w:t>instructions, gathering the facts, and answering the questions</w:t>
      </w:r>
      <w:r w:rsidRPr="00C16A28">
        <w:rPr>
          <w:rFonts w:ascii="Times New Roman" w:eastAsia="SimSun" w:hAnsi="Times New Roman"/>
          <w:snapToGrid/>
          <w:color w:val="000000"/>
          <w:lang w:eastAsia="ar-SA"/>
        </w:rPr>
        <w:t xml:space="preserve">.  Based on our current management information data, the current burden information we provided is accurate.  </w:t>
      </w:r>
      <w:r w:rsidRPr="00C16A28">
        <w:rPr>
          <w:rFonts w:ascii="Times New Roman" w:eastAsia="SimSun" w:hAnsi="Times New Roman"/>
          <w:snapToGrid/>
          <w:lang w:eastAsia="ar-SA"/>
        </w:rPr>
        <w:t xml:space="preserve">The total burden for this collection instrument is </w:t>
      </w:r>
      <w:r w:rsidRPr="000F5B31">
        <w:rPr>
          <w:rFonts w:ascii="Times New Roman" w:eastAsia="SimSun" w:hAnsi="Times New Roman"/>
          <w:b/>
          <w:snapToGrid/>
          <w:lang w:eastAsia="ar-SA"/>
        </w:rPr>
        <w:t>1</w:t>
      </w:r>
      <w:r w:rsidRPr="000F5B31" w:rsidR="003124CA">
        <w:rPr>
          <w:rFonts w:ascii="Times New Roman" w:eastAsia="SimSun" w:hAnsi="Times New Roman"/>
          <w:b/>
          <w:snapToGrid/>
          <w:lang w:eastAsia="ar-SA"/>
        </w:rPr>
        <w:t>29</w:t>
      </w:r>
      <w:r w:rsidRPr="00C16A28">
        <w:rPr>
          <w:rFonts w:ascii="Times New Roman" w:eastAsia="SimSun" w:hAnsi="Times New Roman"/>
          <w:snapToGrid/>
          <w:lang w:eastAsia="ar-SA"/>
        </w:rPr>
        <w:t xml:space="preserve"> burden hours (reflecting SSA management information data), which results in an associated theoretical (not actual) opportunity cost financial burden of </w:t>
      </w:r>
      <w:r w:rsidRPr="00C16A28">
        <w:rPr>
          <w:rFonts w:ascii="Times New Roman" w:eastAsia="SimSun" w:hAnsi="Times New Roman"/>
          <w:b/>
          <w:snapToGrid/>
          <w:lang w:eastAsia="ar-SA"/>
        </w:rPr>
        <w:t>$</w:t>
      </w:r>
      <w:r w:rsidRPr="000F5B31" w:rsidR="003124CA">
        <w:rPr>
          <w:rFonts w:ascii="Times New Roman" w:eastAsia="SimSun" w:hAnsi="Times New Roman"/>
          <w:b/>
          <w:snapToGrid/>
          <w:lang w:eastAsia="ar-SA"/>
        </w:rPr>
        <w:t>3,323</w:t>
      </w:r>
      <w:r w:rsidRPr="00C16A28">
        <w:rPr>
          <w:rFonts w:ascii="Times New Roman" w:eastAsia="SimSun" w:hAnsi="Times New Roman"/>
          <w:snapToGrid/>
          <w:lang w:eastAsia="ar-SA"/>
        </w:rPr>
        <w:t>.  SSA does not charge respondents to complete our applications</w:t>
      </w:r>
      <w:r>
        <w:rPr>
          <w:rFonts w:ascii="Times New Roman" w:eastAsia="SimSun" w:hAnsi="Times New Roman"/>
          <w:snapToGrid/>
          <w:lang w:eastAsia="ar-SA"/>
        </w:rPr>
        <w:t>.</w:t>
      </w:r>
    </w:p>
    <w:p w:rsidR="009B777A" w:rsidP="009B777A" w14:paraId="08A3430B" w14:textId="77777777">
      <w:pPr>
        <w:pStyle w:val="ListParagraph"/>
        <w:ind w:left="1080"/>
        <w:rPr>
          <w:rFonts w:ascii="Times New Roman" w:hAnsi="Times New Roman"/>
          <w:b/>
          <w:u w:val="single"/>
        </w:rPr>
      </w:pPr>
    </w:p>
    <w:p w:rsidR="00075EC0" w:rsidRPr="00075EC0" w:rsidP="004D30A9" w14:paraId="7A4FA9A6" w14:textId="77777777">
      <w:pPr>
        <w:widowControl w:val="0"/>
        <w:snapToGrid w:val="0"/>
        <w:spacing w:after="0"/>
        <w:ind w:left="1440" w:hanging="720"/>
        <w:rPr>
          <w:rFonts w:ascii="Times New Roman" w:hAnsi="Times New Roman"/>
          <w:szCs w:val="24"/>
        </w:rPr>
      </w:pPr>
      <w:r w:rsidRPr="001A19F5">
        <w:rPr>
          <w:rFonts w:ascii="Times New Roman" w:hAnsi="Times New Roman"/>
          <w:szCs w:val="24"/>
        </w:rPr>
        <w:t>13</w:t>
      </w:r>
      <w:r w:rsidRPr="00075EC0">
        <w:rPr>
          <w:rFonts w:ascii="Times New Roman" w:hAnsi="Times New Roman"/>
          <w:b/>
          <w:szCs w:val="24"/>
        </w:rPr>
        <w:t>.</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P="004D30A9" w14:paraId="5D2C4F65" w14:textId="77777777">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P="004D30A9" w14:paraId="07EECCE8" w14:textId="77777777">
      <w:pPr>
        <w:widowControl w:val="0"/>
        <w:snapToGrid w:val="0"/>
        <w:spacing w:after="0"/>
        <w:ind w:left="1440"/>
        <w:rPr>
          <w:rFonts w:ascii="Times New Roman" w:hAnsi="Times New Roman"/>
          <w:szCs w:val="24"/>
        </w:rPr>
      </w:pPr>
    </w:p>
    <w:p w:rsidR="00075EC0" w:rsidRPr="00DE3819" w:rsidP="004D30A9" w14:paraId="6F379361"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DE3819" w:rsidRPr="00DE3819" w:rsidP="00195462" w14:paraId="421DEBCC" w14:textId="6F16BDFD">
      <w:pPr>
        <w:ind w:left="1440"/>
        <w:rPr>
          <w:rFonts w:ascii="Times New Roman" w:eastAsia="Calibri" w:hAnsi="Times New Roman"/>
          <w:color w:val="000000"/>
        </w:rPr>
      </w:pPr>
      <w:r w:rsidRPr="00DE3819">
        <w:rPr>
          <w:rFonts w:ascii="Times New Roman" w:eastAsia="Calibri" w:hAnsi="Times New Roman"/>
          <w:color w:val="000000"/>
        </w:rPr>
        <w:t xml:space="preserve">The annual cost to the Federal Government is approximately </w:t>
      </w:r>
      <w:r w:rsidRPr="000F5B31">
        <w:rPr>
          <w:rFonts w:ascii="Times New Roman" w:eastAsia="Calibri" w:hAnsi="Times New Roman"/>
          <w:b/>
          <w:color w:val="000000"/>
        </w:rPr>
        <w:t>$</w:t>
      </w:r>
      <w:r w:rsidRPr="000F5B31" w:rsidR="000930C5">
        <w:rPr>
          <w:rFonts w:ascii="Times New Roman" w:eastAsia="Calibri" w:hAnsi="Times New Roman"/>
          <w:b/>
          <w:color w:val="000000"/>
        </w:rPr>
        <w:t>6,200</w:t>
      </w:r>
      <w:r w:rsidRPr="000F5B31">
        <w:rPr>
          <w:rFonts w:ascii="Times New Roman" w:eastAsia="Calibri" w:hAnsi="Times New Roman"/>
          <w:color w:val="000000"/>
        </w:rPr>
        <w:t>.  This</w:t>
      </w:r>
      <w:r w:rsidRPr="00DE3819">
        <w:rPr>
          <w:rFonts w:ascii="Times New Roman" w:eastAsia="Calibri" w:hAnsi="Times New Roman"/>
          <w:color w:val="000000"/>
        </w:rPr>
        <w:t xml:space="preserve"> estimate accounts for costs from the following areas:  </w:t>
      </w:r>
    </w:p>
    <w:tbl>
      <w:tblPr>
        <w:tblW w:w="8100"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70"/>
        <w:gridCol w:w="2970"/>
        <w:gridCol w:w="2160"/>
      </w:tblGrid>
      <w:tr w14:paraId="6D7B3946" w14:textId="77777777" w:rsidTr="008D0506">
        <w:tblPrEx>
          <w:tblW w:w="8100"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2970" w:type="dxa"/>
            <w:tcMar>
              <w:top w:w="0" w:type="dxa"/>
              <w:left w:w="108" w:type="dxa"/>
              <w:bottom w:w="0" w:type="dxa"/>
              <w:right w:w="108" w:type="dxa"/>
            </w:tcMar>
            <w:hideMark/>
          </w:tcPr>
          <w:p w:rsidR="00DE3819" w:rsidRPr="00DE3819" w:rsidP="001B6052" w14:paraId="10EBB8D2" w14:textId="77777777">
            <w:pPr>
              <w:contextualSpacing/>
              <w:rPr>
                <w:rFonts w:ascii="Times New Roman" w:eastAsia="Calibri" w:hAnsi="Times New Roman"/>
                <w:b/>
                <w:bCs/>
                <w:color w:val="000000"/>
              </w:rPr>
            </w:pPr>
            <w:r w:rsidRPr="00DE3819">
              <w:rPr>
                <w:rFonts w:ascii="Times New Roman" w:eastAsia="Calibri" w:hAnsi="Times New Roman"/>
                <w:b/>
                <w:bCs/>
                <w:color w:val="000000"/>
              </w:rPr>
              <w:t>Description of Cost Factor</w:t>
            </w:r>
          </w:p>
        </w:tc>
        <w:tc>
          <w:tcPr>
            <w:tcW w:w="2970" w:type="dxa"/>
            <w:tcMar>
              <w:top w:w="0" w:type="dxa"/>
              <w:left w:w="108" w:type="dxa"/>
              <w:bottom w:w="0" w:type="dxa"/>
              <w:right w:w="108" w:type="dxa"/>
            </w:tcMar>
            <w:hideMark/>
          </w:tcPr>
          <w:p w:rsidR="00DE3819" w:rsidRPr="00DE3819" w:rsidP="001B6052" w14:paraId="3E1DFD3F" w14:textId="77777777">
            <w:pPr>
              <w:contextualSpacing/>
              <w:rPr>
                <w:rFonts w:ascii="Times New Roman" w:eastAsia="Calibri" w:hAnsi="Times New Roman"/>
                <w:b/>
                <w:bCs/>
                <w:color w:val="000000"/>
              </w:rPr>
            </w:pPr>
            <w:r w:rsidRPr="00DE3819">
              <w:rPr>
                <w:rFonts w:ascii="Times New Roman" w:eastAsia="Calibri" w:hAnsi="Times New Roman"/>
                <w:b/>
                <w:bCs/>
                <w:color w:val="000000"/>
              </w:rPr>
              <w:t>Methodology for Estimating Cost</w:t>
            </w:r>
          </w:p>
        </w:tc>
        <w:tc>
          <w:tcPr>
            <w:tcW w:w="2160" w:type="dxa"/>
            <w:tcMar>
              <w:top w:w="0" w:type="dxa"/>
              <w:left w:w="108" w:type="dxa"/>
              <w:bottom w:w="0" w:type="dxa"/>
              <w:right w:w="108" w:type="dxa"/>
            </w:tcMar>
            <w:hideMark/>
          </w:tcPr>
          <w:p w:rsidR="00DE3819" w:rsidRPr="00DE3819" w:rsidP="001B6052" w14:paraId="1F893321" w14:textId="77777777">
            <w:pPr>
              <w:contextualSpacing/>
              <w:rPr>
                <w:rFonts w:ascii="Times New Roman" w:eastAsia="Calibri" w:hAnsi="Times New Roman"/>
                <w:b/>
                <w:bCs/>
                <w:color w:val="000000"/>
              </w:rPr>
            </w:pPr>
            <w:r w:rsidRPr="00DE3819">
              <w:rPr>
                <w:rFonts w:ascii="Times New Roman" w:eastAsia="Calibri" w:hAnsi="Times New Roman"/>
                <w:b/>
                <w:bCs/>
                <w:color w:val="000000"/>
              </w:rPr>
              <w:t>Cost in Dollars*</w:t>
            </w:r>
          </w:p>
        </w:tc>
      </w:tr>
      <w:tr w14:paraId="5EDDC2D6" w14:textId="77777777" w:rsidTr="008D0506">
        <w:tblPrEx>
          <w:tblW w:w="8100" w:type="dxa"/>
          <w:tblInd w:w="1430" w:type="dxa"/>
          <w:tblCellMar>
            <w:left w:w="0" w:type="dxa"/>
            <w:right w:w="0" w:type="dxa"/>
          </w:tblCellMar>
          <w:tblLook w:val="04A0"/>
        </w:tblPrEx>
        <w:trPr>
          <w:trHeight w:val="240"/>
        </w:trPr>
        <w:tc>
          <w:tcPr>
            <w:tcW w:w="2970" w:type="dxa"/>
            <w:tcMar>
              <w:top w:w="0" w:type="dxa"/>
              <w:left w:w="108" w:type="dxa"/>
              <w:bottom w:w="0" w:type="dxa"/>
              <w:right w:w="108" w:type="dxa"/>
            </w:tcMar>
            <w:hideMark/>
          </w:tcPr>
          <w:p w:rsidR="00DE3819" w:rsidRPr="000F5B31" w:rsidP="003124CA" w14:paraId="2B512CCA" w14:textId="06FA3FC3">
            <w:pPr>
              <w:contextualSpacing/>
              <w:rPr>
                <w:rFonts w:ascii="Times New Roman" w:eastAsia="Calibri" w:hAnsi="Times New Roman"/>
                <w:color w:val="000000"/>
              </w:rPr>
            </w:pPr>
            <w:r w:rsidRPr="000F5B31">
              <w:rPr>
                <w:rFonts w:ascii="Times New Roman" w:eastAsia="Calibri" w:hAnsi="Times New Roman"/>
                <w:color w:val="000000"/>
              </w:rPr>
              <w:t xml:space="preserve">SSA Employee </w:t>
            </w:r>
            <w:r w:rsidRPr="000F5B31">
              <w:rPr>
                <w:rFonts w:ascii="Times New Roman" w:eastAsia="Calibri" w:hAnsi="Times New Roman"/>
                <w:color w:val="000000"/>
              </w:rPr>
              <w:t>Designing the Form</w:t>
            </w:r>
          </w:p>
        </w:tc>
        <w:tc>
          <w:tcPr>
            <w:tcW w:w="2970" w:type="dxa"/>
            <w:tcMar>
              <w:top w:w="0" w:type="dxa"/>
              <w:left w:w="108" w:type="dxa"/>
              <w:bottom w:w="0" w:type="dxa"/>
              <w:right w:w="108" w:type="dxa"/>
            </w:tcMar>
            <w:hideMark/>
          </w:tcPr>
          <w:p w:rsidR="00DE3819" w:rsidRPr="000F5B31" w:rsidP="003124CA" w14:paraId="64300CAF" w14:textId="2ADC9607">
            <w:pPr>
              <w:contextualSpacing/>
              <w:rPr>
                <w:rFonts w:ascii="Times New Roman" w:eastAsia="Calibri" w:hAnsi="Times New Roman"/>
                <w:color w:val="000000"/>
              </w:rPr>
            </w:pPr>
            <w:r w:rsidRPr="000F5B31">
              <w:rPr>
                <w:rFonts w:ascii="Times New Roman" w:eastAsia="Calibri" w:hAnsi="Times New Roman"/>
                <w:color w:val="000000"/>
              </w:rPr>
              <w:t>Design Cost</w:t>
            </w:r>
          </w:p>
        </w:tc>
        <w:tc>
          <w:tcPr>
            <w:tcW w:w="2160" w:type="dxa"/>
            <w:tcMar>
              <w:top w:w="0" w:type="dxa"/>
              <w:left w:w="108" w:type="dxa"/>
              <w:bottom w:w="0" w:type="dxa"/>
              <w:right w:w="108" w:type="dxa"/>
            </w:tcMar>
          </w:tcPr>
          <w:p w:rsidR="00DE3819" w:rsidRPr="000F5B31" w:rsidP="006433AD" w14:paraId="22638478" w14:textId="19F966AA">
            <w:pPr>
              <w:contextualSpacing/>
              <w:rPr>
                <w:rFonts w:ascii="Times New Roman" w:eastAsia="Calibri" w:hAnsi="Times New Roman"/>
                <w:color w:val="000000"/>
              </w:rPr>
            </w:pPr>
            <w:r w:rsidRPr="000F5B31">
              <w:rPr>
                <w:rFonts w:ascii="Times New Roman" w:eastAsia="Calibri" w:hAnsi="Times New Roman"/>
                <w:color w:val="000000"/>
              </w:rPr>
              <w:t>$</w:t>
            </w:r>
            <w:r w:rsidRPr="000F5B31" w:rsidR="003124CA">
              <w:rPr>
                <w:rFonts w:ascii="Times New Roman" w:eastAsia="Calibri" w:hAnsi="Times New Roman"/>
                <w:color w:val="000000"/>
              </w:rPr>
              <w:t>4</w:t>
            </w:r>
            <w:r w:rsidRPr="000F5B31">
              <w:rPr>
                <w:rFonts w:ascii="Times New Roman" w:eastAsia="Calibri" w:hAnsi="Times New Roman"/>
                <w:color w:val="000000"/>
              </w:rPr>
              <w:t>00</w:t>
            </w:r>
          </w:p>
        </w:tc>
      </w:tr>
      <w:tr w14:paraId="558A42B8" w14:textId="77777777" w:rsidTr="008D0506">
        <w:tblPrEx>
          <w:tblW w:w="8100" w:type="dxa"/>
          <w:tblInd w:w="1430" w:type="dxa"/>
          <w:tblCellMar>
            <w:left w:w="0" w:type="dxa"/>
            <w:right w:w="0" w:type="dxa"/>
          </w:tblCellMar>
          <w:tblLook w:val="04A0"/>
        </w:tblPrEx>
        <w:trPr>
          <w:trHeight w:val="503"/>
        </w:trPr>
        <w:tc>
          <w:tcPr>
            <w:tcW w:w="2970" w:type="dxa"/>
            <w:tcMar>
              <w:top w:w="0" w:type="dxa"/>
              <w:left w:w="108" w:type="dxa"/>
              <w:bottom w:w="0" w:type="dxa"/>
              <w:right w:w="108" w:type="dxa"/>
            </w:tcMar>
            <w:hideMark/>
          </w:tcPr>
          <w:p w:rsidR="00DE3819" w:rsidRPr="000F5B31" w:rsidP="001B6052" w14:paraId="7C888460" w14:textId="77777777">
            <w:pPr>
              <w:contextualSpacing/>
              <w:rPr>
                <w:rFonts w:ascii="Times New Roman" w:eastAsia="Calibri" w:hAnsi="Times New Roman"/>
                <w:color w:val="000000"/>
              </w:rPr>
            </w:pPr>
            <w:r w:rsidRPr="000F5B31">
              <w:rPr>
                <w:rFonts w:ascii="Times New Roman" w:eastAsia="Calibri" w:hAnsi="Times New Roman"/>
                <w:color w:val="000000"/>
              </w:rPr>
              <w:t>Distributing, Shipping, and Material Costs for the Form</w:t>
            </w:r>
          </w:p>
        </w:tc>
        <w:tc>
          <w:tcPr>
            <w:tcW w:w="2970" w:type="dxa"/>
            <w:tcMar>
              <w:top w:w="0" w:type="dxa"/>
              <w:left w:w="108" w:type="dxa"/>
              <w:bottom w:w="0" w:type="dxa"/>
              <w:right w:w="108" w:type="dxa"/>
            </w:tcMar>
            <w:hideMark/>
          </w:tcPr>
          <w:p w:rsidR="00DE3819" w:rsidRPr="000F5B31" w:rsidP="001B6052" w14:paraId="1C4B41A6" w14:textId="77777777">
            <w:pPr>
              <w:contextualSpacing/>
              <w:rPr>
                <w:rFonts w:ascii="Times New Roman" w:eastAsia="Calibri" w:hAnsi="Times New Roman"/>
                <w:color w:val="000000"/>
              </w:rPr>
            </w:pPr>
            <w:r w:rsidRPr="000F5B31">
              <w:rPr>
                <w:rFonts w:ascii="Times New Roman" w:eastAsia="Calibri" w:hAnsi="Times New Roman"/>
                <w:color w:val="000000"/>
              </w:rPr>
              <w:t>Distribution + Shipping + Material Cost</w:t>
            </w:r>
          </w:p>
        </w:tc>
        <w:tc>
          <w:tcPr>
            <w:tcW w:w="2160" w:type="dxa"/>
            <w:tcMar>
              <w:top w:w="0" w:type="dxa"/>
              <w:left w:w="108" w:type="dxa"/>
              <w:bottom w:w="0" w:type="dxa"/>
              <w:right w:w="108" w:type="dxa"/>
            </w:tcMar>
          </w:tcPr>
          <w:p w:rsidR="00DE3819" w:rsidRPr="000F5B31" w:rsidP="006433AD" w14:paraId="0E225101" w14:textId="786206F8">
            <w:pPr>
              <w:contextualSpacing/>
              <w:rPr>
                <w:rFonts w:ascii="Times New Roman" w:eastAsia="Calibri" w:hAnsi="Times New Roman"/>
                <w:color w:val="000000"/>
              </w:rPr>
            </w:pPr>
            <w:r w:rsidRPr="000F5B31">
              <w:rPr>
                <w:rFonts w:ascii="Times New Roman" w:eastAsia="Calibri" w:hAnsi="Times New Roman"/>
                <w:color w:val="000000"/>
              </w:rPr>
              <w:t>$</w:t>
            </w:r>
            <w:r w:rsidRPr="000F5B31" w:rsidR="00303487">
              <w:rPr>
                <w:rFonts w:ascii="Times New Roman" w:eastAsia="Calibri" w:hAnsi="Times New Roman"/>
                <w:color w:val="000000"/>
              </w:rPr>
              <w:t>5,800</w:t>
            </w:r>
          </w:p>
        </w:tc>
      </w:tr>
      <w:tr w14:paraId="1A8A6002" w14:textId="77777777" w:rsidTr="008D0506">
        <w:tblPrEx>
          <w:tblW w:w="8100" w:type="dxa"/>
          <w:tblInd w:w="1430" w:type="dxa"/>
          <w:tblCellMar>
            <w:left w:w="0" w:type="dxa"/>
            <w:right w:w="0" w:type="dxa"/>
          </w:tblCellMar>
          <w:tblLook w:val="04A0"/>
        </w:tblPrEx>
        <w:trPr>
          <w:trHeight w:val="754"/>
        </w:trPr>
        <w:tc>
          <w:tcPr>
            <w:tcW w:w="2970" w:type="dxa"/>
            <w:tcMar>
              <w:top w:w="0" w:type="dxa"/>
              <w:left w:w="108" w:type="dxa"/>
              <w:bottom w:w="0" w:type="dxa"/>
              <w:right w:w="108" w:type="dxa"/>
            </w:tcMar>
            <w:hideMark/>
          </w:tcPr>
          <w:p w:rsidR="00DE3819" w:rsidRPr="00DE3819" w:rsidP="001B6052" w14:paraId="342E5EE4" w14:textId="77777777">
            <w:pPr>
              <w:contextualSpacing/>
              <w:rPr>
                <w:rFonts w:ascii="Times New Roman" w:eastAsia="Calibri" w:hAnsi="Times New Roman"/>
                <w:color w:val="000000"/>
              </w:rPr>
            </w:pPr>
            <w:r w:rsidRPr="00DE3819">
              <w:rPr>
                <w:rFonts w:ascii="Times New Roman" w:eastAsia="Calibri" w:hAnsi="Times New Roman"/>
                <w:color w:val="000000"/>
              </w:rPr>
              <w:t xml:space="preserve">SSA Employee (e.g., field office, 800 number, DDS staff) Information </w:t>
            </w:r>
            <w:r w:rsidRPr="00DE3819">
              <w:rPr>
                <w:rFonts w:ascii="Times New Roman" w:eastAsia="Calibri" w:hAnsi="Times New Roman"/>
                <w:color w:val="000000"/>
              </w:rPr>
              <w:t>Collection and Processing Time</w:t>
            </w:r>
          </w:p>
        </w:tc>
        <w:tc>
          <w:tcPr>
            <w:tcW w:w="2970" w:type="dxa"/>
            <w:tcMar>
              <w:top w:w="0" w:type="dxa"/>
              <w:left w:w="108" w:type="dxa"/>
              <w:bottom w:w="0" w:type="dxa"/>
              <w:right w:w="108" w:type="dxa"/>
            </w:tcMar>
            <w:hideMark/>
          </w:tcPr>
          <w:p w:rsidR="00DE3819" w:rsidRPr="00DE3819" w:rsidP="001B6052" w14:paraId="71FB26B1" w14:textId="77777777">
            <w:pPr>
              <w:contextualSpacing/>
              <w:rPr>
                <w:rFonts w:ascii="Times New Roman" w:eastAsia="Calibri" w:hAnsi="Times New Roman"/>
                <w:color w:val="000000"/>
              </w:rPr>
            </w:pPr>
            <w:r w:rsidRPr="00DE3819">
              <w:rPr>
                <w:rFonts w:ascii="Times New Roman" w:eastAsia="Calibri" w:hAnsi="Times New Roman"/>
                <w:color w:val="000000"/>
              </w:rPr>
              <w:t>GS-9 employee x # of responses x processing time</w:t>
            </w:r>
          </w:p>
        </w:tc>
        <w:tc>
          <w:tcPr>
            <w:tcW w:w="2160" w:type="dxa"/>
            <w:tcMar>
              <w:top w:w="0" w:type="dxa"/>
              <w:left w:w="108" w:type="dxa"/>
              <w:bottom w:w="0" w:type="dxa"/>
              <w:right w:w="108" w:type="dxa"/>
            </w:tcMar>
          </w:tcPr>
          <w:p w:rsidR="00DE3819" w:rsidRPr="00DE3819" w:rsidP="006433AD" w14:paraId="4B085AA6" w14:textId="127BE3E9">
            <w:pPr>
              <w:contextualSpacing/>
              <w:rPr>
                <w:rFonts w:ascii="Times New Roman" w:eastAsia="Calibri" w:hAnsi="Times New Roman"/>
                <w:color w:val="000000"/>
              </w:rPr>
            </w:pPr>
            <w:r>
              <w:rPr>
                <w:rFonts w:ascii="Times New Roman" w:eastAsia="Calibri" w:hAnsi="Times New Roman"/>
                <w:color w:val="000000"/>
              </w:rPr>
              <w:t>$</w:t>
            </w:r>
            <w:r w:rsidRPr="000F5B31" w:rsidR="003124CA">
              <w:rPr>
                <w:rFonts w:ascii="Times New Roman" w:eastAsia="Calibri" w:hAnsi="Times New Roman"/>
                <w:color w:val="000000"/>
              </w:rPr>
              <w:t>0</w:t>
            </w:r>
          </w:p>
        </w:tc>
      </w:tr>
      <w:tr w14:paraId="5A313247" w14:textId="77777777" w:rsidTr="008D0506">
        <w:tblPrEx>
          <w:tblW w:w="8100" w:type="dxa"/>
          <w:tblInd w:w="1430" w:type="dxa"/>
          <w:tblCellMar>
            <w:left w:w="0" w:type="dxa"/>
            <w:right w:w="0" w:type="dxa"/>
          </w:tblCellMar>
          <w:tblLook w:val="04A0"/>
        </w:tblPrEx>
        <w:trPr>
          <w:trHeight w:val="492"/>
        </w:trPr>
        <w:tc>
          <w:tcPr>
            <w:tcW w:w="2970" w:type="dxa"/>
            <w:tcMar>
              <w:top w:w="0" w:type="dxa"/>
              <w:left w:w="108" w:type="dxa"/>
              <w:bottom w:w="0" w:type="dxa"/>
              <w:right w:w="108" w:type="dxa"/>
            </w:tcMar>
            <w:hideMark/>
          </w:tcPr>
          <w:p w:rsidR="00DE3819" w:rsidRPr="00DE3819" w:rsidP="001B6052" w14:paraId="4991EE10" w14:textId="77777777">
            <w:pPr>
              <w:contextualSpacing/>
              <w:rPr>
                <w:rFonts w:ascii="Times New Roman" w:eastAsia="Calibri" w:hAnsi="Times New Roman"/>
                <w:color w:val="000000"/>
              </w:rPr>
            </w:pPr>
            <w:r w:rsidRPr="00DE3819">
              <w:rPr>
                <w:rFonts w:ascii="Times New Roman" w:eastAsia="Calibri" w:hAnsi="Times New Roman"/>
                <w:color w:val="000000"/>
              </w:rPr>
              <w:t>Full-Time Equivalent Costs</w:t>
            </w:r>
          </w:p>
        </w:tc>
        <w:tc>
          <w:tcPr>
            <w:tcW w:w="2970" w:type="dxa"/>
            <w:tcMar>
              <w:top w:w="0" w:type="dxa"/>
              <w:left w:w="108" w:type="dxa"/>
              <w:bottom w:w="0" w:type="dxa"/>
              <w:right w:w="108" w:type="dxa"/>
            </w:tcMar>
            <w:hideMark/>
          </w:tcPr>
          <w:p w:rsidR="00DE3819" w:rsidRPr="00DE3819" w:rsidP="001B6052" w14:paraId="7E66C4A2" w14:textId="77777777">
            <w:pPr>
              <w:contextualSpacing/>
              <w:rPr>
                <w:rFonts w:ascii="Times New Roman" w:eastAsia="Calibri" w:hAnsi="Times New Roman"/>
                <w:color w:val="000000"/>
              </w:rPr>
            </w:pPr>
            <w:r w:rsidRPr="00DE3819">
              <w:rPr>
                <w:rFonts w:ascii="Times New Roman" w:eastAsia="Calibri" w:hAnsi="Times New Roman"/>
                <w:color w:val="000000"/>
              </w:rPr>
              <w:t>Out of pocket costs + Other expenses for providing this service</w:t>
            </w:r>
          </w:p>
        </w:tc>
        <w:tc>
          <w:tcPr>
            <w:tcW w:w="2160" w:type="dxa"/>
            <w:tcMar>
              <w:top w:w="0" w:type="dxa"/>
              <w:left w:w="108" w:type="dxa"/>
              <w:bottom w:w="0" w:type="dxa"/>
              <w:right w:w="108" w:type="dxa"/>
            </w:tcMar>
          </w:tcPr>
          <w:p w:rsidR="00DE3819" w:rsidRPr="00DE3819" w:rsidP="001B6052" w14:paraId="47927F79" w14:textId="77777777">
            <w:pPr>
              <w:contextualSpacing/>
              <w:rPr>
                <w:rFonts w:ascii="Times New Roman" w:eastAsia="Calibri" w:hAnsi="Times New Roman"/>
                <w:color w:val="000000"/>
              </w:rPr>
            </w:pPr>
            <w:r>
              <w:rPr>
                <w:rFonts w:ascii="Times New Roman" w:eastAsia="Calibri" w:hAnsi="Times New Roman"/>
                <w:color w:val="000000"/>
              </w:rPr>
              <w:t>$0</w:t>
            </w:r>
          </w:p>
        </w:tc>
      </w:tr>
      <w:tr w14:paraId="20AD4330" w14:textId="77777777" w:rsidTr="008D0506">
        <w:tblPrEx>
          <w:tblW w:w="8100" w:type="dxa"/>
          <w:tblInd w:w="1430" w:type="dxa"/>
          <w:tblCellMar>
            <w:left w:w="0" w:type="dxa"/>
            <w:right w:w="0" w:type="dxa"/>
          </w:tblCellMar>
          <w:tblLook w:val="04A0"/>
        </w:tblPrEx>
        <w:trPr>
          <w:trHeight w:val="754"/>
        </w:trPr>
        <w:tc>
          <w:tcPr>
            <w:tcW w:w="2970" w:type="dxa"/>
            <w:tcMar>
              <w:top w:w="0" w:type="dxa"/>
              <w:left w:w="108" w:type="dxa"/>
              <w:bottom w:w="0" w:type="dxa"/>
              <w:right w:w="108" w:type="dxa"/>
            </w:tcMar>
            <w:hideMark/>
          </w:tcPr>
          <w:p w:rsidR="00DE3819" w:rsidRPr="00DE3819" w:rsidP="001B6052" w14:paraId="2C62A828" w14:textId="77777777">
            <w:pPr>
              <w:contextualSpacing/>
              <w:rPr>
                <w:rFonts w:ascii="Times New Roman" w:eastAsia="Calibri" w:hAnsi="Times New Roman"/>
                <w:color w:val="000000"/>
              </w:rPr>
            </w:pPr>
            <w:r w:rsidRPr="00DE3819">
              <w:rPr>
                <w:rFonts w:ascii="Times New Roman" w:eastAsia="Calibri" w:hAnsi="Times New Roman"/>
                <w:color w:val="000000"/>
              </w:rPr>
              <w:t>Systems Development, Updating, and Maintenance</w:t>
            </w:r>
          </w:p>
        </w:tc>
        <w:tc>
          <w:tcPr>
            <w:tcW w:w="2970" w:type="dxa"/>
            <w:tcMar>
              <w:top w:w="0" w:type="dxa"/>
              <w:left w:w="108" w:type="dxa"/>
              <w:bottom w:w="0" w:type="dxa"/>
              <w:right w:w="108" w:type="dxa"/>
            </w:tcMar>
            <w:hideMark/>
          </w:tcPr>
          <w:p w:rsidR="00DE3819" w:rsidRPr="00DE3819" w:rsidP="001B6052" w14:paraId="5FD9E29E" w14:textId="77777777">
            <w:pPr>
              <w:contextualSpacing/>
              <w:rPr>
                <w:rFonts w:ascii="Times New Roman" w:eastAsia="Calibri" w:hAnsi="Times New Roman"/>
                <w:color w:val="000000"/>
              </w:rPr>
            </w:pPr>
            <w:r w:rsidRPr="00DE3819">
              <w:rPr>
                <w:rFonts w:ascii="Times New Roman" w:eastAsia="Calibri" w:hAnsi="Times New Roman"/>
                <w:color w:val="000000"/>
              </w:rPr>
              <w:t>GS-9 employee x man hours for development, updating, maintenance</w:t>
            </w:r>
          </w:p>
        </w:tc>
        <w:tc>
          <w:tcPr>
            <w:tcW w:w="2160" w:type="dxa"/>
            <w:tcMar>
              <w:top w:w="0" w:type="dxa"/>
              <w:left w:w="108" w:type="dxa"/>
              <w:bottom w:w="0" w:type="dxa"/>
              <w:right w:w="108" w:type="dxa"/>
            </w:tcMar>
          </w:tcPr>
          <w:p w:rsidR="00DE3819" w:rsidRPr="00DE3819" w:rsidP="001B6052" w14:paraId="44D7AA4E" w14:textId="77777777">
            <w:pPr>
              <w:contextualSpacing/>
              <w:rPr>
                <w:rFonts w:ascii="Times New Roman" w:eastAsia="Calibri" w:hAnsi="Times New Roman"/>
                <w:color w:val="000000"/>
              </w:rPr>
            </w:pPr>
            <w:r>
              <w:rPr>
                <w:rFonts w:ascii="Times New Roman" w:eastAsia="Calibri" w:hAnsi="Times New Roman"/>
                <w:color w:val="000000"/>
              </w:rPr>
              <w:t>$0</w:t>
            </w:r>
          </w:p>
        </w:tc>
      </w:tr>
      <w:tr w14:paraId="4030A628" w14:textId="77777777" w:rsidTr="008D0506">
        <w:tblPrEx>
          <w:tblW w:w="8100" w:type="dxa"/>
          <w:tblInd w:w="1430" w:type="dxa"/>
          <w:tblCellMar>
            <w:left w:w="0" w:type="dxa"/>
            <w:right w:w="0" w:type="dxa"/>
          </w:tblCellMar>
          <w:tblLook w:val="04A0"/>
        </w:tblPrEx>
        <w:trPr>
          <w:trHeight w:val="251"/>
        </w:trPr>
        <w:tc>
          <w:tcPr>
            <w:tcW w:w="2970" w:type="dxa"/>
            <w:tcMar>
              <w:top w:w="0" w:type="dxa"/>
              <w:left w:w="108" w:type="dxa"/>
              <w:bottom w:w="0" w:type="dxa"/>
              <w:right w:w="108" w:type="dxa"/>
            </w:tcMar>
            <w:hideMark/>
          </w:tcPr>
          <w:p w:rsidR="00DE3819" w:rsidRPr="00DE3819" w:rsidP="001B6052" w14:paraId="31F73B8A" w14:textId="77777777">
            <w:pPr>
              <w:contextualSpacing/>
              <w:rPr>
                <w:rFonts w:ascii="Times New Roman" w:eastAsia="Calibri" w:hAnsi="Times New Roman"/>
                <w:color w:val="000000"/>
              </w:rPr>
            </w:pPr>
            <w:r w:rsidRPr="00DE3819">
              <w:rPr>
                <w:rFonts w:ascii="Times New Roman" w:eastAsia="Calibri" w:hAnsi="Times New Roman"/>
                <w:color w:val="000000"/>
              </w:rPr>
              <w:t>Quantifiable IT Costs</w:t>
            </w:r>
          </w:p>
        </w:tc>
        <w:tc>
          <w:tcPr>
            <w:tcW w:w="2970" w:type="dxa"/>
            <w:tcMar>
              <w:top w:w="0" w:type="dxa"/>
              <w:left w:w="108" w:type="dxa"/>
              <w:bottom w:w="0" w:type="dxa"/>
              <w:right w:w="108" w:type="dxa"/>
            </w:tcMar>
            <w:hideMark/>
          </w:tcPr>
          <w:p w:rsidR="00DE3819" w:rsidRPr="00DE3819" w:rsidP="001B6052" w14:paraId="74B3F253" w14:textId="77777777">
            <w:pPr>
              <w:contextualSpacing/>
              <w:rPr>
                <w:rFonts w:ascii="Times New Roman" w:eastAsia="Calibri" w:hAnsi="Times New Roman"/>
                <w:color w:val="000000"/>
              </w:rPr>
            </w:pPr>
            <w:r w:rsidRPr="00DE3819">
              <w:rPr>
                <w:rFonts w:ascii="Times New Roman" w:eastAsia="Calibri" w:hAnsi="Times New Roman"/>
                <w:color w:val="000000"/>
              </w:rPr>
              <w:t>Any additional IT costs</w:t>
            </w:r>
          </w:p>
        </w:tc>
        <w:tc>
          <w:tcPr>
            <w:tcW w:w="2160" w:type="dxa"/>
            <w:tcMar>
              <w:top w:w="0" w:type="dxa"/>
              <w:left w:w="108" w:type="dxa"/>
              <w:bottom w:w="0" w:type="dxa"/>
              <w:right w:w="108" w:type="dxa"/>
            </w:tcMar>
          </w:tcPr>
          <w:p w:rsidR="00DE3819" w:rsidRPr="00DE3819" w:rsidP="001B6052" w14:paraId="36644826" w14:textId="77777777">
            <w:pPr>
              <w:contextualSpacing/>
              <w:rPr>
                <w:rFonts w:ascii="Times New Roman" w:eastAsia="Calibri" w:hAnsi="Times New Roman"/>
                <w:color w:val="000000"/>
              </w:rPr>
            </w:pPr>
            <w:r>
              <w:rPr>
                <w:rFonts w:ascii="Times New Roman" w:eastAsia="Calibri" w:hAnsi="Times New Roman"/>
                <w:color w:val="000000"/>
              </w:rPr>
              <w:t>$0</w:t>
            </w:r>
          </w:p>
        </w:tc>
      </w:tr>
      <w:tr w14:paraId="3666ECFD" w14:textId="77777777" w:rsidTr="008D0506">
        <w:tblPrEx>
          <w:tblW w:w="8100" w:type="dxa"/>
          <w:tblInd w:w="1430" w:type="dxa"/>
          <w:tblCellMar>
            <w:left w:w="0" w:type="dxa"/>
            <w:right w:w="0" w:type="dxa"/>
          </w:tblCellMar>
          <w:tblLook w:val="04A0"/>
        </w:tblPrEx>
        <w:trPr>
          <w:trHeight w:val="251"/>
        </w:trPr>
        <w:tc>
          <w:tcPr>
            <w:tcW w:w="2970" w:type="dxa"/>
            <w:tcMar>
              <w:top w:w="0" w:type="dxa"/>
              <w:left w:w="108" w:type="dxa"/>
              <w:bottom w:w="0" w:type="dxa"/>
              <w:right w:w="108" w:type="dxa"/>
            </w:tcMar>
            <w:hideMark/>
          </w:tcPr>
          <w:p w:rsidR="00DE3819" w:rsidRPr="00DE3819" w:rsidP="001B6052" w14:paraId="256329E5" w14:textId="77777777">
            <w:pPr>
              <w:contextualSpacing/>
              <w:rPr>
                <w:rFonts w:ascii="Times New Roman" w:eastAsia="Calibri" w:hAnsi="Times New Roman"/>
                <w:b/>
                <w:color w:val="000000"/>
              </w:rPr>
            </w:pPr>
            <w:r w:rsidRPr="00DE3819">
              <w:rPr>
                <w:rFonts w:ascii="Times New Roman" w:eastAsia="Calibri" w:hAnsi="Times New Roman"/>
                <w:b/>
                <w:color w:val="000000"/>
              </w:rPr>
              <w:t>Total</w:t>
            </w:r>
          </w:p>
        </w:tc>
        <w:tc>
          <w:tcPr>
            <w:tcW w:w="2970" w:type="dxa"/>
            <w:tcMar>
              <w:top w:w="0" w:type="dxa"/>
              <w:left w:w="108" w:type="dxa"/>
              <w:bottom w:w="0" w:type="dxa"/>
              <w:right w:w="108" w:type="dxa"/>
            </w:tcMar>
          </w:tcPr>
          <w:p w:rsidR="00DE3819" w:rsidRPr="00DE3819" w:rsidP="001B6052" w14:paraId="684AF61A" w14:textId="77777777">
            <w:pPr>
              <w:contextualSpacing/>
              <w:rPr>
                <w:rFonts w:ascii="Times New Roman" w:eastAsia="Calibri" w:hAnsi="Times New Roman"/>
                <w:color w:val="000000"/>
              </w:rPr>
            </w:pPr>
          </w:p>
        </w:tc>
        <w:tc>
          <w:tcPr>
            <w:tcW w:w="2160" w:type="dxa"/>
            <w:tcMar>
              <w:top w:w="0" w:type="dxa"/>
              <w:left w:w="108" w:type="dxa"/>
              <w:bottom w:w="0" w:type="dxa"/>
              <w:right w:w="108" w:type="dxa"/>
            </w:tcMar>
          </w:tcPr>
          <w:p w:rsidR="00DE3819" w:rsidRPr="000F5B31" w:rsidP="001B6052" w14:paraId="1ED04154" w14:textId="11FFAC31">
            <w:pPr>
              <w:contextualSpacing/>
              <w:rPr>
                <w:rFonts w:ascii="Times New Roman" w:eastAsia="Calibri" w:hAnsi="Times New Roman"/>
                <w:b/>
                <w:color w:val="000000"/>
              </w:rPr>
            </w:pPr>
            <w:r w:rsidRPr="000F5B31">
              <w:rPr>
                <w:rFonts w:ascii="Times New Roman" w:eastAsia="Calibri" w:hAnsi="Times New Roman"/>
                <w:b/>
                <w:color w:val="000000"/>
              </w:rPr>
              <w:t>$</w:t>
            </w:r>
            <w:r w:rsidRPr="000F5B31" w:rsidR="003124CA">
              <w:rPr>
                <w:rFonts w:ascii="Times New Roman" w:eastAsia="Calibri" w:hAnsi="Times New Roman"/>
                <w:b/>
                <w:color w:val="000000"/>
              </w:rPr>
              <w:t>6</w:t>
            </w:r>
            <w:r w:rsidRPr="000F5B31">
              <w:rPr>
                <w:rFonts w:ascii="Times New Roman" w:eastAsia="Calibri" w:hAnsi="Times New Roman"/>
                <w:b/>
                <w:color w:val="000000"/>
              </w:rPr>
              <w:t>,</w:t>
            </w:r>
            <w:r w:rsidRPr="000F5B31" w:rsidR="000930C5">
              <w:rPr>
                <w:rFonts w:ascii="Times New Roman" w:eastAsia="Calibri" w:hAnsi="Times New Roman"/>
                <w:b/>
                <w:color w:val="000000"/>
              </w:rPr>
              <w:t>2</w:t>
            </w:r>
            <w:r w:rsidRPr="000F5B31">
              <w:rPr>
                <w:rFonts w:ascii="Times New Roman" w:eastAsia="Calibri" w:hAnsi="Times New Roman"/>
                <w:b/>
                <w:color w:val="000000"/>
              </w:rPr>
              <w:t>00</w:t>
            </w:r>
          </w:p>
        </w:tc>
      </w:tr>
    </w:tbl>
    <w:p w:rsidR="00195462" w:rsidRPr="001A19F5" w:rsidP="001A19F5" w14:paraId="259E659A" w14:textId="77777777">
      <w:pPr>
        <w:ind w:left="1440"/>
        <w:rPr>
          <w:rFonts w:ascii="Times New Roman" w:eastAsia="Calibri" w:hAnsi="Times New Roman"/>
          <w:color w:val="000000"/>
        </w:rPr>
      </w:pPr>
      <w:r w:rsidRPr="001A19F5">
        <w:rPr>
          <w:rFonts w:ascii="Times New Roman" w:eastAsia="Calibri" w:hAnsi="Times New Roman"/>
          <w:color w:val="000000"/>
        </w:rPr>
        <w:t>* We have inserted a $0 amount for cost factors that do not apply to this collection.</w:t>
      </w:r>
    </w:p>
    <w:p w:rsidR="001A09DB" w:rsidRPr="001A19F5" w:rsidP="008D0506" w14:paraId="48AC878E" w14:textId="77777777">
      <w:pPr>
        <w:ind w:left="1440"/>
        <w:rPr>
          <w:rFonts w:ascii="Times New Roman" w:eastAsia="Calibri" w:hAnsi="Times New Roman"/>
          <w:color w:val="000000"/>
        </w:rPr>
      </w:pPr>
      <w:r w:rsidRPr="001A19F5">
        <w:rPr>
          <w:rFonts w:ascii="Times New Roman" w:eastAsia="Calibri" w:hAnsi="Times New Roman"/>
          <w:color w:val="000000"/>
        </w:rPr>
        <w:t>SSA is unable to break down the costs to the Federal government further than we already have</w:t>
      </w:r>
      <w:r w:rsidR="008D0506">
        <w:rPr>
          <w:rFonts w:ascii="Times New Roman" w:eastAsia="Calibri" w:hAnsi="Times New Roman"/>
          <w:color w:val="000000"/>
        </w:rPr>
        <w:t>.  We based the costs above on the cost breakdown from the contractor we use for this mailing</w:t>
      </w:r>
      <w:r w:rsidRPr="001A19F5">
        <w:rPr>
          <w:rFonts w:ascii="Times New Roman" w:eastAsia="Calibri" w:hAnsi="Times New Roman"/>
          <w:color w:val="000000"/>
        </w:rPr>
        <w:t xml:space="preserve">.  </w:t>
      </w:r>
      <w:r w:rsidR="008D0506">
        <w:rPr>
          <w:rFonts w:ascii="Times New Roman" w:eastAsia="Calibri" w:hAnsi="Times New Roman"/>
          <w:color w:val="000000"/>
        </w:rPr>
        <w:t>We</w:t>
      </w:r>
      <w:r w:rsidRPr="001A19F5">
        <w:rPr>
          <w:rFonts w:ascii="Times New Roman" w:eastAsia="Calibri" w:hAnsi="Times New Roman"/>
          <w:color w:val="000000"/>
        </w:rPr>
        <w:t xml:space="preserve"> have calculated these costs as accurately as possible based on the information we collect for creating, updating, and maintaining these information collections.</w:t>
      </w:r>
    </w:p>
    <w:p w:rsidR="00075EC0" w:rsidRPr="00075EC0" w:rsidP="004D30A9" w14:paraId="1DD93EC9" w14:textId="77777777">
      <w:pPr>
        <w:widowControl w:val="0"/>
        <w:snapToGrid w:val="0"/>
        <w:spacing w:after="0"/>
        <w:ind w:left="1440" w:hanging="720"/>
        <w:rPr>
          <w:rFonts w:ascii="Times New Roman" w:hAnsi="Times New Roman"/>
          <w:b/>
          <w:szCs w:val="24"/>
        </w:rPr>
      </w:pPr>
      <w:r w:rsidRPr="001A19F5">
        <w:rPr>
          <w:rFonts w:ascii="Times New Roman" w:hAnsi="Times New Roman"/>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1A09DB" w:rsidRPr="001A09DB" w:rsidP="001A09DB" w14:paraId="324A6396" w14:textId="77777777">
      <w:pPr>
        <w:ind w:left="720" w:firstLine="720"/>
        <w:rPr>
          <w:rFonts w:ascii="Times New Roman" w:hAnsi="Times New Roman"/>
          <w:b/>
        </w:rPr>
      </w:pPr>
      <w:r w:rsidRPr="001A09DB">
        <w:rPr>
          <w:rFonts w:ascii="Times New Roman" w:hAnsi="Times New Roman"/>
        </w:rPr>
        <w:t>There are no changes to the public reporting burden</w:t>
      </w:r>
    </w:p>
    <w:p w:rsidR="00075EC0" w:rsidRPr="00075EC0" w:rsidP="004D30A9" w14:paraId="6ADB3EAB" w14:textId="77777777">
      <w:pPr>
        <w:widowControl w:val="0"/>
        <w:snapToGrid w:val="0"/>
        <w:spacing w:after="0"/>
        <w:ind w:left="1440" w:hanging="720"/>
        <w:rPr>
          <w:rFonts w:ascii="Times New Roman" w:hAnsi="Times New Roman"/>
          <w:szCs w:val="24"/>
        </w:rPr>
      </w:pPr>
      <w:r w:rsidRPr="001A19F5">
        <w:rPr>
          <w:rFonts w:ascii="Times New Roman" w:hAnsi="Times New Roman"/>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4D30A9" w14:paraId="78000367"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P="004D30A9" w14:paraId="338F8C2B" w14:textId="77777777">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P="004D30A9" w14:paraId="250109F1" w14:textId="77777777">
      <w:pPr>
        <w:widowControl w:val="0"/>
        <w:snapToGrid w:val="0"/>
        <w:spacing w:after="0"/>
        <w:ind w:left="1440" w:hanging="720"/>
        <w:rPr>
          <w:rFonts w:ascii="Times New Roman" w:hAnsi="Times New Roman"/>
          <w:szCs w:val="24"/>
        </w:rPr>
      </w:pPr>
      <w:r w:rsidRPr="001A19F5">
        <w:rPr>
          <w:rFonts w:ascii="Times New Roman" w:hAnsi="Times New Roman"/>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P="004D30A9" w14:paraId="33E71E7F" w14:textId="77777777">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8D0506" w:rsidRPr="008D0506" w:rsidP="008D0506" w14:paraId="4489AD9A" w14:textId="77777777">
      <w:pPr>
        <w:widowControl w:val="0"/>
        <w:snapToGrid w:val="0"/>
        <w:spacing w:after="0"/>
        <w:ind w:left="1440"/>
        <w:rPr>
          <w:rFonts w:ascii="Times New Roman" w:hAnsi="Times New Roman"/>
          <w:b/>
          <w:szCs w:val="24"/>
        </w:rPr>
      </w:pPr>
    </w:p>
    <w:p w:rsidR="00075EC0" w:rsidRPr="00075EC0" w:rsidP="004D30A9" w14:paraId="70D5C103"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B666D5" w:rsidP="004D30A9" w14:paraId="535A88A6" w14:textId="77777777">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SSA is not requesting an exception to the certification requirements at</w:t>
      </w:r>
    </w:p>
    <w:p w:rsidR="00075EC0" w:rsidRPr="00075EC0" w:rsidP="004D30A9" w14:paraId="53392C2F" w14:textId="77777777">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P="004D30A9" w14:paraId="5360E5C8" w14:textId="77777777">
      <w:pPr>
        <w:widowControl w:val="0"/>
        <w:snapToGrid w:val="0"/>
        <w:spacing w:after="0"/>
        <w:ind w:left="1440"/>
        <w:rPr>
          <w:rFonts w:ascii="Times New Roman" w:hAnsi="Times New Roman"/>
          <w:szCs w:val="24"/>
        </w:rPr>
      </w:pPr>
    </w:p>
    <w:p w:rsidR="00075EC0" w:rsidRPr="00075EC0" w:rsidP="004D30A9" w14:paraId="475C1A46"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Pr>
          <w:rFonts w:ascii="Times New Roman" w:hAnsi="Times New Roman"/>
          <w:b/>
          <w:szCs w:val="24"/>
          <w:u w:val="single"/>
        </w:rPr>
        <w:t>Collections of Information Employing Statistical Methods</w:t>
      </w:r>
    </w:p>
    <w:p w:rsidR="00075EC0" w:rsidRPr="00075EC0" w:rsidP="004D30A9" w14:paraId="3368C97F"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P="004D30A9" w14:paraId="5606CD59" w14:textId="77777777">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14:paraId="5E00C2B8" w14:textId="77777777"/>
    <w:sectPr w:rsidSect="00E904C6">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3181715"/>
      <w:docPartObj>
        <w:docPartGallery w:val="Page Numbers (Bottom of Page)"/>
        <w:docPartUnique/>
      </w:docPartObj>
    </w:sdtPr>
    <w:sdtEndPr>
      <w:rPr>
        <w:noProof/>
      </w:rPr>
    </w:sdtEndPr>
    <w:sdtContent>
      <w:p w:rsidR="00B52789" w14:paraId="296EF0BE" w14:textId="78820180">
        <w:pPr>
          <w:pStyle w:val="Footer"/>
          <w:jc w:val="center"/>
        </w:pPr>
        <w:r>
          <w:fldChar w:fldCharType="begin"/>
        </w:r>
        <w:r>
          <w:instrText xml:space="preserve"> PAGE   \* MERGEFORMAT </w:instrText>
        </w:r>
        <w:r>
          <w:fldChar w:fldCharType="separate"/>
        </w:r>
        <w:r w:rsidR="00011860">
          <w:rPr>
            <w:noProof/>
          </w:rPr>
          <w:t>4</w:t>
        </w:r>
        <w:r>
          <w:rPr>
            <w:noProof/>
          </w:rPr>
          <w:fldChar w:fldCharType="end"/>
        </w:r>
      </w:p>
    </w:sdtContent>
  </w:sdt>
  <w:p w:rsidR="00B52789" w14:paraId="201684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2CC0152A"/>
    <w:lvl w:ilvl="0">
      <w:start w:val="18"/>
      <w:numFmt w:val="decimal"/>
      <w:lvlText w:val="%1."/>
      <w:lvlJc w:val="left"/>
      <w:pPr>
        <w:tabs>
          <w:tab w:val="num" w:pos="720"/>
        </w:tabs>
        <w:ind w:left="720" w:hanging="72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5A605A35"/>
    <w:multiLevelType w:val="singleLevel"/>
    <w:tmpl w:val="E86E5418"/>
    <w:lvl w:ilvl="0">
      <w:start w:val="5"/>
      <w:numFmt w:val="decimal"/>
      <w:lvlText w:val="%1."/>
      <w:lvlJc w:val="left"/>
      <w:pPr>
        <w:tabs>
          <w:tab w:val="num" w:pos="360"/>
        </w:tabs>
        <w:ind w:left="360" w:hanging="360"/>
      </w:pPr>
      <w:rPr>
        <w:b w:val="0"/>
        <w:bCs/>
      </w:rPr>
    </w:lvl>
  </w:abstractNum>
  <w:abstractNum w:abstractNumId="2">
    <w:nsid w:val="616F329C"/>
    <w:multiLevelType w:val="hybridMultilevel"/>
    <w:tmpl w:val="6A70B61E"/>
    <w:lvl w:ilvl="0">
      <w:start w:val="1"/>
      <w:numFmt w:val="decimal"/>
      <w:lvlText w:val="%1."/>
      <w:lvlJc w:val="left"/>
      <w:pPr>
        <w:tabs>
          <w:tab w:val="num" w:pos="720"/>
        </w:tabs>
        <w:ind w:left="720" w:hanging="72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74CC03B5"/>
    <w:multiLevelType w:val="singleLevel"/>
    <w:tmpl w:val="78B093A2"/>
    <w:lvl w:ilvl="0">
      <w:start w:val="14"/>
      <w:numFmt w:val="decimal"/>
      <w:lvlText w:val="%1."/>
      <w:lvlJc w:val="left"/>
      <w:pPr>
        <w:tabs>
          <w:tab w:val="num" w:pos="360"/>
        </w:tabs>
        <w:ind w:left="360" w:hanging="360"/>
      </w:pPr>
      <w:rPr>
        <w:b w:val="0"/>
        <w:bCs/>
      </w:rPr>
    </w:lvl>
  </w:abstractNum>
  <w:abstractNum w:abstractNumId="4">
    <w:nsid w:val="7866410B"/>
    <w:multiLevelType w:val="singleLevel"/>
    <w:tmpl w:val="9054554E"/>
    <w:lvl w:ilvl="0">
      <w:start w:val="2"/>
      <w:numFmt w:val="decimal"/>
      <w:lvlText w:val="%1."/>
      <w:lvlJc w:val="left"/>
      <w:pPr>
        <w:tabs>
          <w:tab w:val="num" w:pos="720"/>
        </w:tabs>
        <w:ind w:left="720" w:hanging="720"/>
      </w:pPr>
      <w:rPr>
        <w:b w:val="0"/>
      </w:rPr>
    </w:lvl>
  </w:abstractNum>
  <w:abstractNum w:abstractNumId="5">
    <w:nsid w:val="7A9B5E7D"/>
    <w:multiLevelType w:val="singleLevel"/>
    <w:tmpl w:val="9C68E812"/>
    <w:lvl w:ilvl="0">
      <w:start w:val="8"/>
      <w:numFmt w:val="decimal"/>
      <w:lvlText w:val="%1."/>
      <w:lvlJc w:val="left"/>
      <w:pPr>
        <w:tabs>
          <w:tab w:val="num" w:pos="720"/>
        </w:tabs>
        <w:ind w:left="720" w:hanging="720"/>
      </w:pPr>
      <w:rPr>
        <w:b w:val="0"/>
      </w:rPr>
    </w:lvl>
  </w:abstractNum>
  <w:num w:numId="1" w16cid:durableId="1800951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094347">
    <w:abstractNumId w:val="4"/>
    <w:lvlOverride w:ilvl="0">
      <w:startOverride w:val="2"/>
    </w:lvlOverride>
  </w:num>
  <w:num w:numId="3" w16cid:durableId="1735421589">
    <w:abstractNumId w:val="1"/>
    <w:lvlOverride w:ilvl="0">
      <w:startOverride w:val="5"/>
    </w:lvlOverride>
  </w:num>
  <w:num w:numId="4" w16cid:durableId="65301332">
    <w:abstractNumId w:val="5"/>
    <w:lvlOverride w:ilvl="0">
      <w:startOverride w:val="8"/>
    </w:lvlOverride>
  </w:num>
  <w:num w:numId="5" w16cid:durableId="189606797">
    <w:abstractNumId w:val="3"/>
    <w:lvlOverride w:ilvl="0">
      <w:startOverride w:val="14"/>
    </w:lvlOverride>
  </w:num>
  <w:num w:numId="6" w16cid:durableId="280378067">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C0"/>
    <w:rsid w:val="00011860"/>
    <w:rsid w:val="0006367C"/>
    <w:rsid w:val="00075EC0"/>
    <w:rsid w:val="000930C5"/>
    <w:rsid w:val="000A0ECC"/>
    <w:rsid w:val="000A5D70"/>
    <w:rsid w:val="000B7829"/>
    <w:rsid w:val="000C2F67"/>
    <w:rsid w:val="000C51EB"/>
    <w:rsid w:val="000F5B31"/>
    <w:rsid w:val="0010192C"/>
    <w:rsid w:val="00154820"/>
    <w:rsid w:val="00157F44"/>
    <w:rsid w:val="0016393C"/>
    <w:rsid w:val="00172031"/>
    <w:rsid w:val="00181D38"/>
    <w:rsid w:val="0018516A"/>
    <w:rsid w:val="00195462"/>
    <w:rsid w:val="001A09DB"/>
    <w:rsid w:val="001A19F5"/>
    <w:rsid w:val="001B6052"/>
    <w:rsid w:val="001C3D2F"/>
    <w:rsid w:val="001F2D64"/>
    <w:rsid w:val="00217395"/>
    <w:rsid w:val="00226B02"/>
    <w:rsid w:val="002361C9"/>
    <w:rsid w:val="00245829"/>
    <w:rsid w:val="00270E00"/>
    <w:rsid w:val="00283D60"/>
    <w:rsid w:val="00285507"/>
    <w:rsid w:val="002F7CD6"/>
    <w:rsid w:val="002F7CFC"/>
    <w:rsid w:val="00302CAC"/>
    <w:rsid w:val="00303487"/>
    <w:rsid w:val="00303A53"/>
    <w:rsid w:val="003116AE"/>
    <w:rsid w:val="003124CA"/>
    <w:rsid w:val="00322A4F"/>
    <w:rsid w:val="00331AC0"/>
    <w:rsid w:val="00337201"/>
    <w:rsid w:val="003374F2"/>
    <w:rsid w:val="0035556B"/>
    <w:rsid w:val="003A28ED"/>
    <w:rsid w:val="003B3140"/>
    <w:rsid w:val="003F49AE"/>
    <w:rsid w:val="0042094D"/>
    <w:rsid w:val="004233CE"/>
    <w:rsid w:val="00430A36"/>
    <w:rsid w:val="004528A3"/>
    <w:rsid w:val="00487623"/>
    <w:rsid w:val="0049773A"/>
    <w:rsid w:val="004A3BA3"/>
    <w:rsid w:val="004D30A9"/>
    <w:rsid w:val="004F2E20"/>
    <w:rsid w:val="005412E2"/>
    <w:rsid w:val="0058295F"/>
    <w:rsid w:val="005A3D30"/>
    <w:rsid w:val="005D7B1D"/>
    <w:rsid w:val="005E7F9F"/>
    <w:rsid w:val="005F08CA"/>
    <w:rsid w:val="00601BC2"/>
    <w:rsid w:val="00642B52"/>
    <w:rsid w:val="00642EC5"/>
    <w:rsid w:val="006433AD"/>
    <w:rsid w:val="00674B65"/>
    <w:rsid w:val="00691A33"/>
    <w:rsid w:val="006E4ED0"/>
    <w:rsid w:val="007016F7"/>
    <w:rsid w:val="007063B4"/>
    <w:rsid w:val="00706D9E"/>
    <w:rsid w:val="007161E3"/>
    <w:rsid w:val="00734FEC"/>
    <w:rsid w:val="00741CD6"/>
    <w:rsid w:val="007749D9"/>
    <w:rsid w:val="007835E9"/>
    <w:rsid w:val="00794759"/>
    <w:rsid w:val="00795122"/>
    <w:rsid w:val="007F0E37"/>
    <w:rsid w:val="00843DB4"/>
    <w:rsid w:val="00857928"/>
    <w:rsid w:val="00875896"/>
    <w:rsid w:val="00882C15"/>
    <w:rsid w:val="008D0506"/>
    <w:rsid w:val="008D40B6"/>
    <w:rsid w:val="008F3C23"/>
    <w:rsid w:val="008F445D"/>
    <w:rsid w:val="008F4A10"/>
    <w:rsid w:val="00937ACB"/>
    <w:rsid w:val="009433A3"/>
    <w:rsid w:val="00953414"/>
    <w:rsid w:val="0097751A"/>
    <w:rsid w:val="00985658"/>
    <w:rsid w:val="009A19CD"/>
    <w:rsid w:val="009B31A8"/>
    <w:rsid w:val="009B44A8"/>
    <w:rsid w:val="009B777A"/>
    <w:rsid w:val="00A22150"/>
    <w:rsid w:val="00A260E2"/>
    <w:rsid w:val="00A404CE"/>
    <w:rsid w:val="00A42AEC"/>
    <w:rsid w:val="00A4318E"/>
    <w:rsid w:val="00A436CD"/>
    <w:rsid w:val="00A51F00"/>
    <w:rsid w:val="00A706AE"/>
    <w:rsid w:val="00A74373"/>
    <w:rsid w:val="00A82994"/>
    <w:rsid w:val="00AA2C35"/>
    <w:rsid w:val="00AE0691"/>
    <w:rsid w:val="00AF56F8"/>
    <w:rsid w:val="00B14AB7"/>
    <w:rsid w:val="00B25B56"/>
    <w:rsid w:val="00B26F93"/>
    <w:rsid w:val="00B52789"/>
    <w:rsid w:val="00B666D5"/>
    <w:rsid w:val="00BA65E2"/>
    <w:rsid w:val="00BE2B59"/>
    <w:rsid w:val="00C1274C"/>
    <w:rsid w:val="00C1425A"/>
    <w:rsid w:val="00C16A28"/>
    <w:rsid w:val="00C239E0"/>
    <w:rsid w:val="00C449F5"/>
    <w:rsid w:val="00C5182A"/>
    <w:rsid w:val="00C75C49"/>
    <w:rsid w:val="00CB2836"/>
    <w:rsid w:val="00CD4D36"/>
    <w:rsid w:val="00CF7CB3"/>
    <w:rsid w:val="00D03520"/>
    <w:rsid w:val="00D339E9"/>
    <w:rsid w:val="00D34531"/>
    <w:rsid w:val="00D350F1"/>
    <w:rsid w:val="00D612F1"/>
    <w:rsid w:val="00D6461A"/>
    <w:rsid w:val="00D9026B"/>
    <w:rsid w:val="00DA4D88"/>
    <w:rsid w:val="00DE3819"/>
    <w:rsid w:val="00DE47BE"/>
    <w:rsid w:val="00E328A5"/>
    <w:rsid w:val="00E5707B"/>
    <w:rsid w:val="00E904C6"/>
    <w:rsid w:val="00E9120B"/>
    <w:rsid w:val="00ED5BA4"/>
    <w:rsid w:val="00EF2277"/>
    <w:rsid w:val="00EF371B"/>
    <w:rsid w:val="00EF4064"/>
    <w:rsid w:val="00EF719C"/>
    <w:rsid w:val="00F0470D"/>
    <w:rsid w:val="00F07C93"/>
    <w:rsid w:val="00F23393"/>
    <w:rsid w:val="00F25DA2"/>
    <w:rsid w:val="00F45921"/>
    <w:rsid w:val="00F679B8"/>
    <w:rsid w:val="00F946B5"/>
    <w:rsid w:val="00F95F7A"/>
    <w:rsid w:val="00FA3941"/>
    <w:rsid w:val="00FA3C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6C0C22"/>
  <w15:docId w15:val="{854E5D29-32B5-4C7A-98F9-8C11F4E7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rsid w:val="00172031"/>
    <w:rPr>
      <w:rFonts w:cs="Times New Roman"/>
      <w:color w:val="0000FF"/>
      <w:u w:val="single"/>
    </w:rPr>
  </w:style>
  <w:style w:type="paragraph" w:styleId="ListParagraph">
    <w:name w:val="List Paragraph"/>
    <w:basedOn w:val="Normal"/>
    <w:uiPriority w:val="34"/>
    <w:qFormat/>
    <w:rsid w:val="00172031"/>
    <w:pPr>
      <w:widowControl w:val="0"/>
      <w:spacing w:after="0"/>
      <w:ind w:left="720"/>
      <w:contextualSpacing/>
    </w:pPr>
    <w:rPr>
      <w:rFonts w:ascii="Courier" w:hAnsi="Courier"/>
      <w:snapToGrid w:val="0"/>
      <w:szCs w:val="24"/>
    </w:rPr>
  </w:style>
  <w:style w:type="character" w:styleId="CommentReference">
    <w:name w:val="annotation reference"/>
    <w:basedOn w:val="DefaultParagraphFont"/>
    <w:uiPriority w:val="99"/>
    <w:semiHidden/>
    <w:unhideWhenUsed/>
    <w:rsid w:val="00642B52"/>
    <w:rPr>
      <w:sz w:val="16"/>
      <w:szCs w:val="16"/>
    </w:rPr>
  </w:style>
  <w:style w:type="paragraph" w:styleId="CommentText">
    <w:name w:val="annotation text"/>
    <w:basedOn w:val="Normal"/>
    <w:link w:val="CommentTextChar"/>
    <w:uiPriority w:val="99"/>
    <w:semiHidden/>
    <w:unhideWhenUsed/>
    <w:rsid w:val="00642B52"/>
    <w:rPr>
      <w:sz w:val="20"/>
    </w:rPr>
  </w:style>
  <w:style w:type="character" w:customStyle="1" w:styleId="CommentTextChar">
    <w:name w:val="Comment Text Char"/>
    <w:basedOn w:val="DefaultParagraphFont"/>
    <w:link w:val="CommentText"/>
    <w:uiPriority w:val="99"/>
    <w:semiHidden/>
    <w:rsid w:val="00642B52"/>
    <w:rPr>
      <w:rFonts w:cs="Times New Roman"/>
    </w:rPr>
  </w:style>
  <w:style w:type="paragraph" w:styleId="CommentSubject">
    <w:name w:val="annotation subject"/>
    <w:basedOn w:val="CommentText"/>
    <w:next w:val="CommentText"/>
    <w:link w:val="CommentSubjectChar"/>
    <w:uiPriority w:val="99"/>
    <w:semiHidden/>
    <w:unhideWhenUsed/>
    <w:rsid w:val="00642B52"/>
    <w:rPr>
      <w:b/>
      <w:bCs/>
    </w:rPr>
  </w:style>
  <w:style w:type="character" w:customStyle="1" w:styleId="CommentSubjectChar">
    <w:name w:val="Comment Subject Char"/>
    <w:basedOn w:val="CommentTextChar"/>
    <w:link w:val="CommentSubject"/>
    <w:uiPriority w:val="99"/>
    <w:semiHidden/>
    <w:rsid w:val="00642B52"/>
    <w:rPr>
      <w:rFonts w:cs="Times New Roman"/>
      <w:b/>
      <w:bCs/>
    </w:rPr>
  </w:style>
  <w:style w:type="character" w:customStyle="1" w:styleId="UnresolvedMention1">
    <w:name w:val="Unresolved Mention1"/>
    <w:basedOn w:val="DefaultParagraphFont"/>
    <w:uiPriority w:val="99"/>
    <w:semiHidden/>
    <w:unhideWhenUsed/>
    <w:rsid w:val="00D612F1"/>
    <w:rPr>
      <w:color w:val="605E5C"/>
      <w:shd w:val="clear" w:color="auto" w:fill="E1DFDD"/>
    </w:rPr>
  </w:style>
  <w:style w:type="character" w:styleId="FollowedHyperlink">
    <w:name w:val="FollowedHyperlink"/>
    <w:basedOn w:val="DefaultParagraphFont"/>
    <w:uiPriority w:val="99"/>
    <w:semiHidden/>
    <w:unhideWhenUsed/>
    <w:rsid w:val="000A5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Naomi Sipple</cp:lastModifiedBy>
  <cp:revision>2</cp:revision>
  <dcterms:created xsi:type="dcterms:W3CDTF">2023-07-21T13:46:00Z</dcterms:created>
  <dcterms:modified xsi:type="dcterms:W3CDTF">2023-07-21T13:46:00Z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