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CAF" w:rsidR="00686CAF" w:rsidP="00686CAF" w:rsidRDefault="00686CAF" w14:paraId="20DF5E3B" w14:textId="238AB83B">
      <w:pPr>
        <w:spacing w:after="0" w:line="240" w:lineRule="auto"/>
        <w:ind w:right="-540"/>
        <w:rPr>
          <w:rFonts w:eastAsia="Times New Roman"/>
          <w:b/>
          <w:sz w:val="20"/>
          <w:szCs w:val="20"/>
        </w:rPr>
      </w:pPr>
      <w:bookmarkStart w:name="_GoBack" w:id="0"/>
      <w:bookmarkEnd w:id="0"/>
      <w:r w:rsidRPr="00686CAF">
        <w:rPr>
          <w:rFonts w:eastAsia="Times New Roman"/>
          <w:b/>
          <w:sz w:val="20"/>
          <w:szCs w:val="20"/>
        </w:rPr>
        <w:t>Appendix V</w:t>
      </w:r>
      <w:r>
        <w:rPr>
          <w:rFonts w:eastAsia="Times New Roman"/>
          <w:b/>
          <w:sz w:val="20"/>
          <w:szCs w:val="20"/>
        </w:rPr>
        <w:t>I</w:t>
      </w:r>
    </w:p>
    <w:p w:rsidRPr="00686CAF" w:rsidR="00686CAF" w:rsidP="00686CAF" w:rsidRDefault="00686CAF" w14:paraId="342EC896" w14:textId="69086CEE">
      <w:pPr>
        <w:spacing w:after="0" w:line="240" w:lineRule="auto"/>
        <w:ind w:right="-540"/>
        <w:rPr>
          <w:rFonts w:eastAsia="Times New Roman"/>
          <w:b/>
          <w:sz w:val="20"/>
          <w:szCs w:val="20"/>
        </w:rPr>
      </w:pPr>
      <w:r w:rsidRPr="00686CAF">
        <w:rPr>
          <w:rFonts w:eastAsia="Times New Roman"/>
          <w:b/>
          <w:sz w:val="20"/>
          <w:szCs w:val="20"/>
        </w:rPr>
        <w:t>OMB No: 0910-0497</w:t>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t xml:space="preserve"> </w:t>
      </w:r>
      <w:r w:rsidRPr="00686CAF">
        <w:rPr>
          <w:rFonts w:eastAsia="Times New Roman"/>
          <w:b/>
          <w:sz w:val="20"/>
          <w:szCs w:val="20"/>
        </w:rPr>
        <w:tab/>
        <w:t xml:space="preserve">                       Expiration Date: </w:t>
      </w:r>
      <w:r w:rsidR="00BD4067">
        <w:rPr>
          <w:rFonts w:eastAsia="Times New Roman"/>
          <w:b/>
          <w:sz w:val="20"/>
          <w:szCs w:val="20"/>
        </w:rPr>
        <w:t>11/30/2023</w:t>
      </w:r>
    </w:p>
    <w:p w:rsidR="00E12577" w:rsidP="00E27299" w:rsidRDefault="00226EBC" w14:paraId="3105F949" w14:textId="77777777">
      <w:pPr>
        <w:shd w:val="clear" w:color="auto" w:fill="FFFFFF"/>
        <w:spacing w:before="100" w:beforeAutospacing="1" w:after="100" w:afterAutospacing="1" w:line="240" w:lineRule="auto"/>
        <w:rPr>
          <w:rFonts w:ascii="Georgia" w:hAnsi="Georgia" w:eastAsia="Times New Roman"/>
          <w:b/>
          <w:bCs/>
          <w:color w:val="333333"/>
          <w:sz w:val="28"/>
          <w:szCs w:val="28"/>
        </w:rPr>
      </w:pPr>
      <w:r w:rsidRPr="00226EBC">
        <w:rPr>
          <w:rFonts w:ascii="Georgia" w:hAnsi="Georgia" w:eastAsia="Times New Roman"/>
          <w:b/>
          <w:bCs/>
          <w:color w:val="333333"/>
          <w:sz w:val="28"/>
          <w:szCs w:val="28"/>
        </w:rPr>
        <w:t>Information for Consumers on Using Dietary Supplements</w:t>
      </w:r>
    </w:p>
    <w:p w:rsidRPr="00E27299" w:rsidR="00E27299" w:rsidP="00E27299" w:rsidRDefault="00E27299" w14:paraId="690B9C50" w14:textId="7E698450">
      <w:p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b/>
          <w:bCs/>
          <w:color w:val="333333"/>
          <w:sz w:val="22"/>
          <w:szCs w:val="22"/>
        </w:rPr>
        <w:t xml:space="preserve">Who </w:t>
      </w:r>
      <w:r w:rsidR="00AD260E">
        <w:rPr>
          <w:rFonts w:ascii="Georgia" w:hAnsi="Georgia" w:eastAsia="Times New Roman"/>
          <w:b/>
          <w:bCs/>
          <w:color w:val="333333"/>
          <w:sz w:val="22"/>
          <w:szCs w:val="22"/>
        </w:rPr>
        <w:t>i</w:t>
      </w:r>
      <w:r w:rsidRPr="00E27299">
        <w:rPr>
          <w:rFonts w:ascii="Georgia" w:hAnsi="Georgia" w:eastAsia="Times New Roman"/>
          <w:b/>
          <w:bCs/>
          <w:color w:val="333333"/>
          <w:sz w:val="22"/>
          <w:szCs w:val="22"/>
        </w:rPr>
        <w:t xml:space="preserve">s Responsible </w:t>
      </w:r>
      <w:r w:rsidR="00AD260E">
        <w:rPr>
          <w:rFonts w:ascii="Georgia" w:hAnsi="Georgia" w:eastAsia="Times New Roman"/>
          <w:b/>
          <w:bCs/>
          <w:color w:val="333333"/>
          <w:sz w:val="22"/>
          <w:szCs w:val="22"/>
        </w:rPr>
        <w:t>f</w:t>
      </w:r>
      <w:r w:rsidRPr="00E27299">
        <w:rPr>
          <w:rFonts w:ascii="Georgia" w:hAnsi="Georgia" w:eastAsia="Times New Roman"/>
          <w:b/>
          <w:bCs/>
          <w:color w:val="333333"/>
          <w:sz w:val="22"/>
          <w:szCs w:val="22"/>
        </w:rPr>
        <w:t xml:space="preserve">or Ensuring </w:t>
      </w:r>
      <w:r w:rsidR="00AD260E">
        <w:rPr>
          <w:rFonts w:ascii="Georgia" w:hAnsi="Georgia" w:eastAsia="Times New Roman"/>
          <w:b/>
          <w:bCs/>
          <w:color w:val="333333"/>
          <w:sz w:val="22"/>
          <w:szCs w:val="22"/>
        </w:rPr>
        <w:t>t</w:t>
      </w:r>
      <w:r w:rsidRPr="00E27299">
        <w:rPr>
          <w:rFonts w:ascii="Georgia" w:hAnsi="Georgia" w:eastAsia="Times New Roman"/>
          <w:b/>
          <w:bCs/>
          <w:color w:val="333333"/>
          <w:sz w:val="22"/>
          <w:szCs w:val="22"/>
        </w:rPr>
        <w:t xml:space="preserve">he Safety </w:t>
      </w:r>
      <w:r w:rsidR="00AD260E">
        <w:rPr>
          <w:rFonts w:ascii="Georgia" w:hAnsi="Georgia" w:eastAsia="Times New Roman"/>
          <w:b/>
          <w:bCs/>
          <w:color w:val="333333"/>
          <w:sz w:val="22"/>
          <w:szCs w:val="22"/>
        </w:rPr>
        <w:t>a</w:t>
      </w:r>
      <w:r w:rsidRPr="00E27299">
        <w:rPr>
          <w:rFonts w:ascii="Georgia" w:hAnsi="Georgia" w:eastAsia="Times New Roman"/>
          <w:b/>
          <w:bCs/>
          <w:color w:val="333333"/>
          <w:sz w:val="22"/>
          <w:szCs w:val="22"/>
        </w:rPr>
        <w:t xml:space="preserve">nd Efficacy </w:t>
      </w:r>
      <w:r w:rsidR="00AD260E">
        <w:rPr>
          <w:rFonts w:ascii="Georgia" w:hAnsi="Georgia" w:eastAsia="Times New Roman"/>
          <w:b/>
          <w:bCs/>
          <w:color w:val="333333"/>
          <w:sz w:val="22"/>
          <w:szCs w:val="22"/>
        </w:rPr>
        <w:t>o</w:t>
      </w:r>
      <w:r w:rsidRPr="00E27299">
        <w:rPr>
          <w:rFonts w:ascii="Georgia" w:hAnsi="Georgia" w:eastAsia="Times New Roman"/>
          <w:b/>
          <w:bCs/>
          <w:color w:val="333333"/>
          <w:sz w:val="22"/>
          <w:szCs w:val="22"/>
        </w:rPr>
        <w:t>f Dietary Supplements?</w:t>
      </w:r>
    </w:p>
    <w:p w:rsidRPr="00F4512D" w:rsidR="00E27299" w:rsidP="00E27299" w:rsidRDefault="00E27299" w14:paraId="690B9C51" w14:textId="77777777">
      <w:pPr>
        <w:spacing w:after="0" w:line="240" w:lineRule="auto"/>
        <w:rPr>
          <w:rFonts w:ascii="Georgia" w:hAnsi="Georgia" w:eastAsia="Times New Roman"/>
          <w:color w:val="333333"/>
          <w:sz w:val="22"/>
          <w:szCs w:val="22"/>
        </w:rPr>
      </w:pPr>
      <w:r w:rsidRPr="00F4512D">
        <w:rPr>
          <w:rFonts w:ascii="Georgia" w:hAnsi="Georgia" w:eastAsia="Times New Roman"/>
          <w:color w:val="333333"/>
          <w:sz w:val="22"/>
          <w:szCs w:val="22"/>
        </w:rPr>
        <w:t>Unlike prescription and over-the-counter medicines, dietary supplement products are not reviewed by the government before they are marketed. Companies and individuals who manufacture or market dietary supplements are responsible for ensuring that their products are safe and lawful.  Firms can introduce new dietary supplement products to the market without receiving approval from the FDA.  In fact, firms can often lawfully introduce dietary supplements to the market without even notifying the FDA.</w:t>
      </w:r>
    </w:p>
    <w:p w:rsidRPr="00E27299" w:rsidR="00E27299" w:rsidP="00E27299" w:rsidRDefault="00E27299" w14:paraId="690B9C52" w14:textId="77777777">
      <w:pPr>
        <w:shd w:val="clear" w:color="auto" w:fill="FFFFFF"/>
        <w:spacing w:before="100" w:beforeAutospacing="1" w:after="100" w:afterAutospacing="1" w:line="240" w:lineRule="auto"/>
        <w:rPr>
          <w:rFonts w:ascii="Georgia" w:hAnsi="Georgia" w:eastAsia="Times New Roman"/>
          <w:color w:val="333333"/>
          <w:sz w:val="22"/>
          <w:szCs w:val="22"/>
        </w:rPr>
      </w:pPr>
      <w:bookmarkStart w:name="fda" w:id="1"/>
      <w:bookmarkEnd w:id="1"/>
      <w:r w:rsidRPr="00E27299">
        <w:rPr>
          <w:rFonts w:ascii="Georgia" w:hAnsi="Georgia" w:eastAsia="Times New Roman"/>
          <w:b/>
          <w:bCs/>
          <w:color w:val="333333"/>
          <w:sz w:val="22"/>
          <w:szCs w:val="22"/>
        </w:rPr>
        <w:t>What is FDA's Responsibility</w:t>
      </w:r>
      <w:r w:rsidR="00F4512D">
        <w:rPr>
          <w:rFonts w:ascii="Georgia" w:hAnsi="Georgia" w:eastAsia="Times New Roman"/>
          <w:b/>
          <w:bCs/>
          <w:color w:val="333333"/>
          <w:sz w:val="22"/>
          <w:szCs w:val="22"/>
        </w:rPr>
        <w:t xml:space="preserve"> in Regulating Dietary Supplements</w:t>
      </w:r>
      <w:r w:rsidRPr="00E27299">
        <w:rPr>
          <w:rFonts w:ascii="Georgia" w:hAnsi="Georgia" w:eastAsia="Times New Roman"/>
          <w:b/>
          <w:bCs/>
          <w:color w:val="333333"/>
          <w:sz w:val="22"/>
          <w:szCs w:val="22"/>
        </w:rPr>
        <w:t>?</w:t>
      </w:r>
    </w:p>
    <w:p w:rsidRPr="00F4512D" w:rsidR="00F4512D" w:rsidP="00F4512D" w:rsidRDefault="00A04B11" w14:paraId="690B9C53" w14:textId="2A5BDAB3">
      <w:pPr>
        <w:spacing w:after="0" w:line="240" w:lineRule="auto"/>
        <w:rPr>
          <w:rFonts w:ascii="Georgia" w:hAnsi="Georgia" w:eastAsia="Times New Roman"/>
          <w:color w:val="333333"/>
          <w:sz w:val="22"/>
          <w:szCs w:val="22"/>
        </w:rPr>
      </w:pPr>
      <w:r>
        <w:rPr>
          <w:rFonts w:ascii="Georgia" w:hAnsi="Georgia" w:eastAsia="Times New Roman"/>
          <w:color w:val="333333"/>
          <w:sz w:val="22"/>
          <w:szCs w:val="22"/>
        </w:rPr>
        <w:t xml:space="preserve">The </w:t>
      </w:r>
      <w:r w:rsidRPr="00F4512D" w:rsidR="00E27299">
        <w:rPr>
          <w:rFonts w:ascii="Georgia" w:hAnsi="Georgia" w:eastAsia="Times New Roman"/>
          <w:color w:val="333333"/>
          <w:sz w:val="22"/>
          <w:szCs w:val="22"/>
        </w:rPr>
        <w:t xml:space="preserve">FDA has the responsibility to </w:t>
      </w:r>
      <w:proofErr w:type="gramStart"/>
      <w:r w:rsidRPr="00F4512D" w:rsidR="00E27299">
        <w:rPr>
          <w:rFonts w:ascii="Georgia" w:hAnsi="Georgia" w:eastAsia="Times New Roman"/>
          <w:color w:val="333333"/>
          <w:sz w:val="22"/>
          <w:szCs w:val="22"/>
        </w:rPr>
        <w:t>take action</w:t>
      </w:r>
      <w:proofErr w:type="gramEnd"/>
      <w:r w:rsidRPr="00F4512D" w:rsidR="00E27299">
        <w:rPr>
          <w:rFonts w:ascii="Georgia" w:hAnsi="Georgia" w:eastAsia="Times New Roman"/>
          <w:color w:val="333333"/>
          <w:sz w:val="22"/>
          <w:szCs w:val="22"/>
        </w:rPr>
        <w:t xml:space="preserve"> against unsafe dietary supplement products</w:t>
      </w:r>
      <w:r w:rsidRPr="00F4512D" w:rsidR="00F4512D">
        <w:rPr>
          <w:rFonts w:ascii="Georgia" w:hAnsi="Georgia" w:eastAsia="Times New Roman"/>
          <w:color w:val="333333"/>
          <w:sz w:val="22"/>
          <w:szCs w:val="22"/>
        </w:rPr>
        <w:t>, including those marketed for personalized nutrition,</w:t>
      </w:r>
      <w:r w:rsidRPr="00F4512D" w:rsidR="00E27299">
        <w:rPr>
          <w:rFonts w:ascii="Georgia" w:hAnsi="Georgia" w:eastAsia="Times New Roman"/>
          <w:color w:val="333333"/>
          <w:sz w:val="22"/>
          <w:szCs w:val="22"/>
        </w:rPr>
        <w:t xml:space="preserve"> after they reach the market. </w:t>
      </w:r>
      <w:r>
        <w:rPr>
          <w:rFonts w:ascii="Georgia" w:hAnsi="Georgia" w:eastAsia="Times New Roman"/>
          <w:color w:val="333333"/>
          <w:sz w:val="22"/>
          <w:szCs w:val="22"/>
        </w:rPr>
        <w:t xml:space="preserve">The </w:t>
      </w:r>
      <w:r w:rsidRPr="00F4512D" w:rsidR="00F4512D">
        <w:rPr>
          <w:rFonts w:eastAsia="Calibri"/>
          <w:sz w:val="22"/>
          <w:szCs w:val="22"/>
        </w:rPr>
        <w:t>FDA’s role in r</w:t>
      </w:r>
      <w:r w:rsidRPr="00F4512D" w:rsidR="00F4512D">
        <w:rPr>
          <w:rFonts w:ascii="Georgia" w:hAnsi="Georgia" w:eastAsia="Times New Roman"/>
          <w:color w:val="333333"/>
          <w:sz w:val="22"/>
          <w:szCs w:val="22"/>
        </w:rPr>
        <w:t xml:space="preserve">egulating dietary supplements includes inspecting manufacturing establishments for product quality, labeling, and claims as well as monitoring adverse event reports from firms, consumers, and health care professionals to identify products that may be unsafe.  </w:t>
      </w:r>
    </w:p>
    <w:p w:rsidRPr="00F4512D" w:rsidR="00E27299" w:rsidP="00E27299" w:rsidRDefault="00E27299" w14:paraId="690B9C54" w14:textId="77777777">
      <w:pPr>
        <w:shd w:val="clear" w:color="auto" w:fill="FFFFFF"/>
        <w:spacing w:before="100" w:beforeAutospacing="1" w:after="100" w:afterAutospacing="1" w:line="240" w:lineRule="auto"/>
        <w:rPr>
          <w:rFonts w:ascii="Georgia" w:hAnsi="Georgia" w:eastAsia="Times New Roman"/>
          <w:b/>
          <w:bCs/>
          <w:color w:val="333333"/>
          <w:sz w:val="22"/>
          <w:szCs w:val="22"/>
        </w:rPr>
      </w:pPr>
      <w:bookmarkStart w:name="adverse" w:id="2"/>
      <w:bookmarkEnd w:id="2"/>
      <w:r w:rsidRPr="00E27299">
        <w:rPr>
          <w:rFonts w:ascii="Georgia" w:hAnsi="Georgia" w:eastAsia="Times New Roman"/>
          <w:b/>
          <w:bCs/>
          <w:color w:val="333333"/>
          <w:sz w:val="22"/>
          <w:szCs w:val="22"/>
        </w:rPr>
        <w:t xml:space="preserve">What If I Think I Have Had A Reaction </w:t>
      </w:r>
      <w:r w:rsidRPr="00E27299" w:rsidR="00AD260E">
        <w:rPr>
          <w:rFonts w:ascii="Georgia" w:hAnsi="Georgia" w:eastAsia="Times New Roman"/>
          <w:b/>
          <w:bCs/>
          <w:color w:val="333333"/>
          <w:sz w:val="22"/>
          <w:szCs w:val="22"/>
        </w:rPr>
        <w:t>to</w:t>
      </w:r>
      <w:r w:rsidRPr="00E27299">
        <w:rPr>
          <w:rFonts w:ascii="Georgia" w:hAnsi="Georgia" w:eastAsia="Times New Roman"/>
          <w:b/>
          <w:bCs/>
          <w:color w:val="333333"/>
          <w:sz w:val="22"/>
          <w:szCs w:val="22"/>
        </w:rPr>
        <w:t xml:space="preserve"> A Dietary Supplement?</w:t>
      </w:r>
    </w:p>
    <w:p w:rsidRPr="00F4512D" w:rsidR="00F4512D" w:rsidP="00F4512D" w:rsidRDefault="00F4512D" w14:paraId="690B9C55" w14:textId="567FE3D5">
      <w:pPr>
        <w:spacing w:after="0" w:line="240" w:lineRule="auto"/>
        <w:rPr>
          <w:sz w:val="22"/>
          <w:szCs w:val="22"/>
        </w:rPr>
      </w:pPr>
      <w:r w:rsidRPr="00F4512D">
        <w:rPr>
          <w:sz w:val="22"/>
          <w:szCs w:val="22"/>
        </w:rPr>
        <w:t xml:space="preserve">If you experience an adverse event while taking a dietary supplement, </w:t>
      </w:r>
      <w:r w:rsidRPr="00F4512D">
        <w:rPr>
          <w:bCs/>
          <w:sz w:val="22"/>
          <w:szCs w:val="22"/>
        </w:rPr>
        <w:t xml:space="preserve">stop consuming the product, seek immediate medical care or advice, and report the adverse event to </w:t>
      </w:r>
      <w:r w:rsidR="00A04B11">
        <w:rPr>
          <w:bCs/>
          <w:sz w:val="22"/>
          <w:szCs w:val="22"/>
        </w:rPr>
        <w:t xml:space="preserve">the </w:t>
      </w:r>
      <w:r w:rsidRPr="00F4512D">
        <w:rPr>
          <w:bCs/>
          <w:sz w:val="22"/>
          <w:szCs w:val="22"/>
        </w:rPr>
        <w:t xml:space="preserve">FDA through the </w:t>
      </w:r>
      <w:hyperlink w:tgtFrame="_blank" w:history="1" r:id="rId9">
        <w:r w:rsidRPr="00F4512D">
          <w:rPr>
            <w:rStyle w:val="Hyperlink"/>
            <w:bCs/>
            <w:sz w:val="22"/>
            <w:szCs w:val="22"/>
          </w:rPr>
          <w:t>Safety Reporting Portal</w:t>
        </w:r>
      </w:hyperlink>
      <w:r w:rsidRPr="00F4512D">
        <w:rPr>
          <w:rStyle w:val="Hyperlink"/>
          <w:bCs/>
          <w:sz w:val="22"/>
          <w:szCs w:val="22"/>
        </w:rPr>
        <w:t xml:space="preserve"> </w:t>
      </w:r>
      <w:r w:rsidRPr="00F4512D">
        <w:rPr>
          <w:rFonts w:ascii="Palatino" w:hAnsi="Palatino" w:cs="Palatino"/>
          <w:b/>
          <w:color w:val="0000FF"/>
          <w:sz w:val="22"/>
          <w:szCs w:val="22"/>
          <w:u w:val="single"/>
        </w:rPr>
        <w:t xml:space="preserve"> (http://www.safetyreporting.hhs.gov)</w:t>
      </w:r>
      <w:r w:rsidRPr="00F4512D">
        <w:rPr>
          <w:rStyle w:val="Hyperlink"/>
          <w:bCs/>
          <w:color w:val="auto"/>
          <w:sz w:val="22"/>
          <w:szCs w:val="22"/>
          <w:u w:val="none"/>
        </w:rPr>
        <w:t>.</w:t>
      </w:r>
    </w:p>
    <w:p w:rsidRPr="00F4512D" w:rsidR="00F4512D" w:rsidP="00F4512D" w:rsidRDefault="00F4512D" w14:paraId="690B9C56" w14:textId="77777777">
      <w:pPr>
        <w:spacing w:after="0" w:line="240" w:lineRule="auto"/>
        <w:rPr>
          <w:sz w:val="22"/>
          <w:szCs w:val="22"/>
        </w:rPr>
      </w:pPr>
    </w:p>
    <w:p w:rsidRPr="00E27299" w:rsidR="00F4512D" w:rsidP="00F4512D" w:rsidRDefault="00F4512D" w14:paraId="690B9C57" w14:textId="135DF10B">
      <w:pPr>
        <w:spacing w:after="0" w:line="240" w:lineRule="auto"/>
        <w:rPr>
          <w:sz w:val="22"/>
          <w:szCs w:val="22"/>
        </w:rPr>
      </w:pPr>
      <w:r w:rsidRPr="00F4512D">
        <w:rPr>
          <w:sz w:val="22"/>
          <w:szCs w:val="22"/>
        </w:rPr>
        <w:t xml:space="preserve">Please be aware that you can experience serious health-related reactions or illnesses (known as adverse </w:t>
      </w:r>
      <w:r w:rsidR="0067052B">
        <w:rPr>
          <w:sz w:val="22"/>
          <w:szCs w:val="22"/>
        </w:rPr>
        <w:t>e</w:t>
      </w:r>
      <w:r w:rsidR="00E0595D">
        <w:rPr>
          <w:sz w:val="22"/>
          <w:szCs w:val="22"/>
        </w:rPr>
        <w:t>vents</w:t>
      </w:r>
      <w:r w:rsidRPr="00F4512D">
        <w:rPr>
          <w:sz w:val="22"/>
          <w:szCs w:val="22"/>
        </w:rPr>
        <w:t xml:space="preserve">) with the use of dietary supplement products.  </w:t>
      </w:r>
      <w:r w:rsidR="00A04B11">
        <w:rPr>
          <w:sz w:val="22"/>
          <w:szCs w:val="22"/>
        </w:rPr>
        <w:t xml:space="preserve">The </w:t>
      </w:r>
      <w:r w:rsidRPr="00F4512D">
        <w:rPr>
          <w:rStyle w:val="Hyperlink"/>
          <w:bCs/>
          <w:color w:val="auto"/>
          <w:sz w:val="22"/>
          <w:szCs w:val="22"/>
          <w:u w:val="none"/>
        </w:rPr>
        <w:t xml:space="preserve">FDA does not approve dietary supplements for safety and effectiveness before they are sold to the public, so it is particularly important for </w:t>
      </w:r>
      <w:r w:rsidRPr="00F4512D">
        <w:rPr>
          <w:bCs/>
          <w:sz w:val="22"/>
          <w:szCs w:val="22"/>
          <w:lang w:val="en"/>
        </w:rPr>
        <w:t xml:space="preserve">consumers, health care professionals, and industry members to report these incidences to </w:t>
      </w:r>
      <w:r w:rsidR="00A04B11">
        <w:rPr>
          <w:bCs/>
          <w:sz w:val="22"/>
          <w:szCs w:val="22"/>
          <w:lang w:val="en"/>
        </w:rPr>
        <w:t xml:space="preserve">the </w:t>
      </w:r>
      <w:r w:rsidRPr="00F4512D">
        <w:rPr>
          <w:bCs/>
          <w:sz w:val="22"/>
          <w:szCs w:val="22"/>
          <w:lang w:val="en"/>
        </w:rPr>
        <w:t xml:space="preserve">FDA so that the Agency can </w:t>
      </w:r>
      <w:proofErr w:type="gramStart"/>
      <w:r w:rsidRPr="00F4512D">
        <w:rPr>
          <w:bCs/>
          <w:sz w:val="22"/>
          <w:szCs w:val="22"/>
          <w:lang w:val="en"/>
        </w:rPr>
        <w:t>take action</w:t>
      </w:r>
      <w:proofErr w:type="gramEnd"/>
      <w:r w:rsidRPr="00F4512D">
        <w:rPr>
          <w:bCs/>
          <w:sz w:val="22"/>
          <w:szCs w:val="22"/>
          <w:lang w:val="en"/>
        </w:rPr>
        <w:t xml:space="preserve"> to protect the public from unsafe products</w:t>
      </w:r>
      <w:r w:rsidRPr="00F4512D">
        <w:rPr>
          <w:sz w:val="22"/>
          <w:szCs w:val="22"/>
        </w:rPr>
        <w:t xml:space="preserve">.  </w:t>
      </w:r>
    </w:p>
    <w:p w:rsidRPr="00E27299" w:rsidR="00E27299" w:rsidP="00E27299" w:rsidRDefault="00E27299" w14:paraId="690B9C58" w14:textId="77777777">
      <w:pPr>
        <w:shd w:val="clear" w:color="auto" w:fill="FFFFFF"/>
        <w:spacing w:before="100" w:beforeAutospacing="1" w:after="100" w:afterAutospacing="1" w:line="240" w:lineRule="auto"/>
        <w:rPr>
          <w:rFonts w:ascii="Georgia" w:hAnsi="Georgia" w:eastAsia="Times New Roman"/>
          <w:color w:val="333333"/>
          <w:sz w:val="22"/>
          <w:szCs w:val="22"/>
        </w:rPr>
      </w:pPr>
      <w:bookmarkStart w:name="botline" w:id="3"/>
      <w:bookmarkEnd w:id="3"/>
      <w:r w:rsidRPr="00E27299">
        <w:rPr>
          <w:rFonts w:ascii="Georgia" w:hAnsi="Georgia" w:eastAsia="Times New Roman"/>
          <w:b/>
          <w:bCs/>
          <w:color w:val="333333"/>
          <w:sz w:val="22"/>
          <w:szCs w:val="22"/>
        </w:rPr>
        <w:t xml:space="preserve">What's </w:t>
      </w:r>
      <w:r w:rsidRPr="00E27299" w:rsidR="00AD260E">
        <w:rPr>
          <w:rFonts w:ascii="Georgia" w:hAnsi="Georgia" w:eastAsia="Times New Roman"/>
          <w:b/>
          <w:bCs/>
          <w:color w:val="333333"/>
          <w:sz w:val="22"/>
          <w:szCs w:val="22"/>
        </w:rPr>
        <w:t>the</w:t>
      </w:r>
      <w:r w:rsidRPr="00E27299">
        <w:rPr>
          <w:rFonts w:ascii="Georgia" w:hAnsi="Georgia" w:eastAsia="Times New Roman"/>
          <w:b/>
          <w:bCs/>
          <w:color w:val="333333"/>
          <w:sz w:val="22"/>
          <w:szCs w:val="22"/>
        </w:rPr>
        <w:t xml:space="preserve"> Bottom Line?</w:t>
      </w:r>
    </w:p>
    <w:p w:rsidRPr="00E27299" w:rsidR="00E27299" w:rsidP="00E27299" w:rsidRDefault="00E27299" w14:paraId="690B9C59"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Dietary supplements are intended to supplement the diet, not to cure, prevent, or treat diseases or replace the variety of foods important to a healthful diet.</w:t>
      </w:r>
    </w:p>
    <w:p w:rsidR="00E27299" w:rsidP="00E27299" w:rsidRDefault="00E27299" w14:paraId="690B9C5A"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Supplements can help you meet daily requirements for certain nutrients, but when you combine drugs and foods, too much of some nutrients can also cause problems.</w:t>
      </w:r>
    </w:p>
    <w:p w:rsidRPr="00E27299" w:rsidR="00E27299" w:rsidP="00E27299" w:rsidRDefault="00E27299" w14:paraId="690B9C5C"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Many factors play a role in deciding if a supplement is right for you, including possible drug interactions and side effects.</w:t>
      </w:r>
    </w:p>
    <w:p w:rsidRPr="00E27299" w:rsidR="00E27299" w:rsidP="00E27299" w:rsidRDefault="00E27299" w14:paraId="690B9C5D"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Do not self-diagnose any health condition. Together, you and your healthcare team can make the best decision for optimal health.</w:t>
      </w:r>
    </w:p>
    <w:p w:rsidR="00AD260E" w:rsidP="00AD260E" w:rsidRDefault="00F4512D" w14:paraId="690B9C5E" w14:textId="77777777">
      <w:pPr>
        <w:shd w:val="clear" w:color="auto" w:fill="FFFFFF"/>
        <w:spacing w:before="100" w:beforeAutospacing="1" w:after="0" w:line="240" w:lineRule="auto"/>
        <w:rPr>
          <w:rFonts w:ascii="Georgia" w:hAnsi="Georgia" w:eastAsia="Times New Roman"/>
          <w:b/>
          <w:bCs/>
          <w:color w:val="333333"/>
          <w:sz w:val="22"/>
          <w:szCs w:val="22"/>
        </w:rPr>
      </w:pPr>
      <w:r w:rsidRPr="00F4512D">
        <w:rPr>
          <w:rFonts w:ascii="Georgia" w:hAnsi="Georgia" w:eastAsia="Times New Roman"/>
          <w:b/>
          <w:bCs/>
          <w:color w:val="333333"/>
          <w:sz w:val="22"/>
          <w:szCs w:val="22"/>
        </w:rPr>
        <w:t>Learn more at:</w:t>
      </w:r>
    </w:p>
    <w:p w:rsidRPr="00AD260E" w:rsidR="00F4512D" w:rsidP="00AD260E" w:rsidRDefault="00F4512D" w14:paraId="690B9C5F" w14:textId="77777777">
      <w:pPr>
        <w:shd w:val="clear" w:color="auto" w:fill="FFFFFF"/>
        <w:spacing w:before="100" w:beforeAutospacing="1" w:after="0" w:line="240" w:lineRule="auto"/>
        <w:rPr>
          <w:rFonts w:ascii="Georgia" w:hAnsi="Georgia" w:eastAsia="Times New Roman"/>
          <w:b/>
          <w:bCs/>
          <w:color w:val="333333"/>
          <w:sz w:val="22"/>
          <w:szCs w:val="22"/>
        </w:rPr>
      </w:pPr>
      <w:r w:rsidRPr="00F4512D">
        <w:rPr>
          <w:sz w:val="22"/>
          <w:szCs w:val="22"/>
        </w:rPr>
        <w:t>U.S. Food and Drug Administration, Office of Dietary Supplement Programs:</w:t>
      </w:r>
    </w:p>
    <w:p w:rsidRPr="00AD260E" w:rsidR="00E27299" w:rsidP="00AD260E" w:rsidRDefault="00F4512D" w14:paraId="690B9C60" w14:textId="77777777">
      <w:pPr>
        <w:spacing w:after="0"/>
        <w:rPr>
          <w:color w:val="4472C4" w:themeColor="accent1"/>
          <w:sz w:val="22"/>
          <w:szCs w:val="22"/>
        </w:rPr>
      </w:pPr>
      <w:r w:rsidRPr="00AD260E">
        <w:rPr>
          <w:color w:val="4472C4" w:themeColor="accent1"/>
          <w:sz w:val="22"/>
          <w:szCs w:val="22"/>
        </w:rPr>
        <w:t>https://www.fda.gov/food/dietary-supplements</w:t>
      </w:r>
    </w:p>
    <w:sectPr w:rsidRPr="00AD260E" w:rsidR="00E27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Palatino Linotype"/>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F5437"/>
    <w:multiLevelType w:val="multilevel"/>
    <w:tmpl w:val="F24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B5F62"/>
    <w:multiLevelType w:val="multilevel"/>
    <w:tmpl w:val="1E8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D442E"/>
    <w:multiLevelType w:val="hybridMultilevel"/>
    <w:tmpl w:val="516C2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30"/>
    <w:rsid w:val="000B4F6C"/>
    <w:rsid w:val="000B603C"/>
    <w:rsid w:val="00155677"/>
    <w:rsid w:val="001C2AA2"/>
    <w:rsid w:val="001E26D3"/>
    <w:rsid w:val="00226EBC"/>
    <w:rsid w:val="00256E2B"/>
    <w:rsid w:val="0036613E"/>
    <w:rsid w:val="003C5CEF"/>
    <w:rsid w:val="004A6F00"/>
    <w:rsid w:val="005A09D6"/>
    <w:rsid w:val="0067052B"/>
    <w:rsid w:val="00686CAF"/>
    <w:rsid w:val="0069238E"/>
    <w:rsid w:val="00815298"/>
    <w:rsid w:val="00824B82"/>
    <w:rsid w:val="008D576A"/>
    <w:rsid w:val="008F081C"/>
    <w:rsid w:val="0093215A"/>
    <w:rsid w:val="009B6130"/>
    <w:rsid w:val="00A02A31"/>
    <w:rsid w:val="00A04B11"/>
    <w:rsid w:val="00A67D34"/>
    <w:rsid w:val="00A9581D"/>
    <w:rsid w:val="00AC12AB"/>
    <w:rsid w:val="00AC4FD1"/>
    <w:rsid w:val="00AD260E"/>
    <w:rsid w:val="00B41536"/>
    <w:rsid w:val="00BD4067"/>
    <w:rsid w:val="00C63BD0"/>
    <w:rsid w:val="00CC4734"/>
    <w:rsid w:val="00CC62B7"/>
    <w:rsid w:val="00D1766E"/>
    <w:rsid w:val="00E0595D"/>
    <w:rsid w:val="00E12577"/>
    <w:rsid w:val="00E27299"/>
    <w:rsid w:val="00E60B18"/>
    <w:rsid w:val="00E72851"/>
    <w:rsid w:val="00EE2467"/>
    <w:rsid w:val="00F13B64"/>
    <w:rsid w:val="00F4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9C4E"/>
  <w15:chartTrackingRefBased/>
  <w15:docId w15:val="{2E7C1DDE-8A2C-4CAD-9904-0CC9E067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69238E"/>
    <w:pPr>
      <w:framePr w:w="7920" w:h="1987" w:hSpace="187" w:wrap="around" w:hAnchor="page" w:xAlign="center" w:yAlign="bottom"/>
      <w:spacing w:after="0" w:line="240" w:lineRule="auto"/>
      <w:ind w:left="2880"/>
    </w:pPr>
    <w:rPr>
      <w:rFonts w:eastAsiaTheme="majorEastAsia" w:cstheme="majorBidi"/>
    </w:rPr>
  </w:style>
  <w:style w:type="paragraph" w:styleId="ListParagraph">
    <w:name w:val="List Paragraph"/>
    <w:basedOn w:val="Normal"/>
    <w:uiPriority w:val="34"/>
    <w:qFormat/>
    <w:rsid w:val="00EE2467"/>
    <w:pPr>
      <w:ind w:left="720"/>
      <w:contextualSpacing/>
    </w:pPr>
  </w:style>
  <w:style w:type="character" w:styleId="Hyperlink">
    <w:name w:val="Hyperlink"/>
    <w:basedOn w:val="DefaultParagraphFont"/>
    <w:uiPriority w:val="99"/>
    <w:unhideWhenUsed/>
    <w:rsid w:val="003C5CEF"/>
    <w:rPr>
      <w:color w:val="0563C1" w:themeColor="hyperlink"/>
      <w:u w:val="single"/>
    </w:rPr>
  </w:style>
  <w:style w:type="paragraph" w:styleId="BalloonText">
    <w:name w:val="Balloon Text"/>
    <w:basedOn w:val="Normal"/>
    <w:link w:val="BalloonTextChar"/>
    <w:uiPriority w:val="99"/>
    <w:semiHidden/>
    <w:unhideWhenUsed/>
    <w:rsid w:val="00B41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536"/>
    <w:rPr>
      <w:rFonts w:ascii="Segoe UI" w:hAnsi="Segoe UI" w:cs="Segoe UI"/>
      <w:sz w:val="18"/>
      <w:szCs w:val="18"/>
    </w:rPr>
  </w:style>
  <w:style w:type="character" w:styleId="FollowedHyperlink">
    <w:name w:val="FollowedHyperlink"/>
    <w:basedOn w:val="DefaultParagraphFont"/>
    <w:uiPriority w:val="99"/>
    <w:semiHidden/>
    <w:unhideWhenUsed/>
    <w:rsid w:val="00B41536"/>
    <w:rPr>
      <w:color w:val="954F72" w:themeColor="followedHyperlink"/>
      <w:u w:val="single"/>
    </w:rPr>
  </w:style>
  <w:style w:type="character" w:styleId="UnresolvedMention">
    <w:name w:val="Unresolved Mention"/>
    <w:basedOn w:val="DefaultParagraphFont"/>
    <w:uiPriority w:val="99"/>
    <w:semiHidden/>
    <w:unhideWhenUsed/>
    <w:rsid w:val="00B41536"/>
    <w:rPr>
      <w:color w:val="605E5C"/>
      <w:shd w:val="clear" w:color="auto" w:fill="E1DFDD"/>
    </w:rPr>
  </w:style>
  <w:style w:type="character" w:styleId="CommentReference">
    <w:name w:val="annotation reference"/>
    <w:basedOn w:val="DefaultParagraphFont"/>
    <w:uiPriority w:val="99"/>
    <w:semiHidden/>
    <w:unhideWhenUsed/>
    <w:rsid w:val="00A04B11"/>
    <w:rPr>
      <w:sz w:val="16"/>
      <w:szCs w:val="16"/>
    </w:rPr>
  </w:style>
  <w:style w:type="paragraph" w:styleId="CommentText">
    <w:name w:val="annotation text"/>
    <w:basedOn w:val="Normal"/>
    <w:link w:val="CommentTextChar"/>
    <w:uiPriority w:val="99"/>
    <w:semiHidden/>
    <w:unhideWhenUsed/>
    <w:rsid w:val="00A04B11"/>
    <w:pPr>
      <w:spacing w:line="240" w:lineRule="auto"/>
    </w:pPr>
    <w:rPr>
      <w:sz w:val="20"/>
      <w:szCs w:val="20"/>
    </w:rPr>
  </w:style>
  <w:style w:type="character" w:customStyle="1" w:styleId="CommentTextChar">
    <w:name w:val="Comment Text Char"/>
    <w:basedOn w:val="DefaultParagraphFont"/>
    <w:link w:val="CommentText"/>
    <w:uiPriority w:val="99"/>
    <w:semiHidden/>
    <w:rsid w:val="00A04B11"/>
    <w:rPr>
      <w:sz w:val="20"/>
      <w:szCs w:val="20"/>
    </w:rPr>
  </w:style>
  <w:style w:type="paragraph" w:styleId="CommentSubject">
    <w:name w:val="annotation subject"/>
    <w:basedOn w:val="CommentText"/>
    <w:next w:val="CommentText"/>
    <w:link w:val="CommentSubjectChar"/>
    <w:uiPriority w:val="99"/>
    <w:semiHidden/>
    <w:unhideWhenUsed/>
    <w:rsid w:val="00A04B11"/>
    <w:rPr>
      <w:b/>
      <w:bCs/>
    </w:rPr>
  </w:style>
  <w:style w:type="character" w:customStyle="1" w:styleId="CommentSubjectChar">
    <w:name w:val="Comment Subject Char"/>
    <w:basedOn w:val="CommentTextChar"/>
    <w:link w:val="CommentSubject"/>
    <w:uiPriority w:val="99"/>
    <w:semiHidden/>
    <w:rsid w:val="00A04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afetyreporting.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C18EC1A637E4396FF5E8484FC3D76" ma:contentTypeVersion="0" ma:contentTypeDescription="Create a new document." ma:contentTypeScope="" ma:versionID="6c680e6ffca3022ca51f132f81fec7b1">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F75DHXWFKYVP-777648166-72</_dlc_DocId>
    <_dlc_DocIdUrl xmlns="c593544c-8bc9-488a-9957-4d59a7b3d015">
      <Url>http://sharepoint.fda.gov/orgs/CFSAN-OAO/OAO-DEOI/NutritionEducation/_layouts/DocIdRedir.aspx?ID=F75DHXWFKYVP-777648166-72</Url>
      <Description>F75DHXWFKYVP-777648166-72</Description>
    </_dlc_DocIdUrl>
  </documentManagement>
</p:properties>
</file>

<file path=customXml/itemProps1.xml><?xml version="1.0" encoding="utf-8"?>
<ds:datastoreItem xmlns:ds="http://schemas.openxmlformats.org/officeDocument/2006/customXml" ds:itemID="{5DC15364-7E4C-42F4-8EDA-F4508EFD437C}">
  <ds:schemaRefs>
    <ds:schemaRef ds:uri="http://schemas.microsoft.com/sharepoint/events"/>
  </ds:schemaRefs>
</ds:datastoreItem>
</file>

<file path=customXml/itemProps2.xml><?xml version="1.0" encoding="utf-8"?>
<ds:datastoreItem xmlns:ds="http://schemas.openxmlformats.org/officeDocument/2006/customXml" ds:itemID="{13D5C1C3-4D0C-480C-8CEB-77B2E6F571C2}">
  <ds:schemaRefs>
    <ds:schemaRef ds:uri="http://schemas.microsoft.com/sharepoint/v3/contenttype/forms"/>
  </ds:schemaRefs>
</ds:datastoreItem>
</file>

<file path=customXml/itemProps3.xml><?xml version="1.0" encoding="utf-8"?>
<ds:datastoreItem xmlns:ds="http://schemas.openxmlformats.org/officeDocument/2006/customXml" ds:itemID="{095770F0-B084-46ED-8815-566DF42A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00A03-A69F-412C-BA9C-CEE87D8BCB4B}">
  <ds:schemaRefs>
    <ds:schemaRef ds:uri="http://schemas.microsoft.com/office/2006/metadata/properties"/>
    <ds:schemaRef ds:uri="http://schemas.microsoft.com/office/infopath/2007/PartnerControls"/>
    <ds:schemaRef ds:uri="c593544c-8bc9-488a-9957-4d59a7b3d0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Candra</dc:creator>
  <cp:keywords/>
  <dc:description/>
  <cp:lastModifiedBy>Colburn, Christopher</cp:lastModifiedBy>
  <cp:revision>2</cp:revision>
  <dcterms:created xsi:type="dcterms:W3CDTF">2020-11-12T19:12:00Z</dcterms:created>
  <dcterms:modified xsi:type="dcterms:W3CDTF">2020-11-12T19:12:00Z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0x01010073EC18EC1A637E4396FF5E8484FC3D76</vt:lpwstr>
  </property>
  <property fmtid="{D5CDD505-2E9C-101B-9397-08002B2CF9AE}" pid="3" name="_dlc_DocIdItemGuid">
    <vt:lpwstr>b73aff1d-637b-4101-a146-ea04f6732dcf</vt:lpwstr>
  </property>
</Properties>
</file>