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114" w:rsidP="0013459C" w:rsidRDefault="001C3114" w14:paraId="477196A1"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UNITED STATES FOOD &amp; DRUG ADMINISTRATION</w:t>
      </w:r>
    </w:p>
    <w:p w:rsidR="001C3114" w:rsidP="0013459C" w:rsidRDefault="001C3114" w14:paraId="6BAC89A2" w14:textId="77777777">
      <w:pPr>
        <w:spacing w:after="0" w:line="240" w:lineRule="auto"/>
        <w:jc w:val="center"/>
        <w:rPr>
          <w:rFonts w:ascii="Times New Roman" w:hAnsi="Times New Roman" w:eastAsia="Times New Roman"/>
          <w:sz w:val="24"/>
          <w:szCs w:val="24"/>
        </w:rPr>
      </w:pPr>
    </w:p>
    <w:p w:rsidR="00482A4C" w:rsidP="0013459C" w:rsidRDefault="009B448F" w14:paraId="55290250" w14:textId="77777777">
      <w:pPr>
        <w:spacing w:after="0" w:line="240" w:lineRule="auto"/>
        <w:jc w:val="center"/>
        <w:rPr>
          <w:rFonts w:ascii="Times New Roman" w:hAnsi="Times New Roman" w:eastAsia="Times New Roman"/>
          <w:sz w:val="24"/>
          <w:szCs w:val="24"/>
        </w:rPr>
      </w:pPr>
      <w:r w:rsidRPr="001C3114">
        <w:rPr>
          <w:rFonts w:ascii="Times New Roman" w:hAnsi="Times New Roman" w:eastAsia="Times New Roman"/>
          <w:sz w:val="24"/>
          <w:szCs w:val="24"/>
        </w:rPr>
        <w:t>Custom Device Exemption</w:t>
      </w:r>
      <w:r w:rsidR="00482A4C">
        <w:rPr>
          <w:rFonts w:ascii="Times New Roman" w:hAnsi="Times New Roman" w:eastAsia="Times New Roman"/>
          <w:sz w:val="24"/>
          <w:szCs w:val="24"/>
        </w:rPr>
        <w:t xml:space="preserve">:  </w:t>
      </w:r>
    </w:p>
    <w:p w:rsidR="009B448F" w:rsidP="0013459C" w:rsidRDefault="00482A4C" w14:paraId="214A97A6"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Annual </w:t>
      </w:r>
      <w:r w:rsidRPr="001C3114" w:rsidR="001C3114">
        <w:rPr>
          <w:rFonts w:ascii="Times New Roman" w:hAnsi="Times New Roman" w:eastAsia="Times New Roman"/>
          <w:sz w:val="24"/>
          <w:szCs w:val="24"/>
        </w:rPr>
        <w:t>Reporting</w:t>
      </w:r>
    </w:p>
    <w:p w:rsidR="001C3114" w:rsidP="0013459C" w:rsidRDefault="001C3114" w14:paraId="45A873F3" w14:textId="77777777">
      <w:pPr>
        <w:spacing w:after="0" w:line="240" w:lineRule="auto"/>
        <w:jc w:val="center"/>
        <w:rPr>
          <w:rFonts w:ascii="Times New Roman" w:hAnsi="Times New Roman" w:eastAsia="Times New Roman"/>
          <w:sz w:val="24"/>
          <w:szCs w:val="24"/>
        </w:rPr>
      </w:pPr>
    </w:p>
    <w:p w:rsidR="001C3114" w:rsidP="0013459C" w:rsidRDefault="001C3114" w14:paraId="6A751767"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OMB Control No. 0910-0767</w:t>
      </w:r>
    </w:p>
    <w:p w:rsidR="001C3114" w:rsidP="0013459C" w:rsidRDefault="001C3114" w14:paraId="290FBA5D" w14:textId="77777777">
      <w:pPr>
        <w:spacing w:after="0" w:line="240" w:lineRule="auto"/>
        <w:jc w:val="center"/>
        <w:rPr>
          <w:rFonts w:ascii="Times New Roman" w:hAnsi="Times New Roman" w:eastAsia="Times New Roman"/>
          <w:sz w:val="24"/>
          <w:szCs w:val="24"/>
        </w:rPr>
      </w:pPr>
    </w:p>
    <w:p w:rsidRPr="001C3114" w:rsidR="001C3114" w:rsidP="0013459C" w:rsidRDefault="001C3114" w14:paraId="5B6D437F"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SUPPORTING STATEMENT – </w:t>
      </w:r>
      <w:r w:rsidRPr="001C3114">
        <w:rPr>
          <w:rFonts w:ascii="Times New Roman" w:hAnsi="Times New Roman" w:eastAsia="Times New Roman"/>
          <w:b/>
          <w:sz w:val="24"/>
          <w:szCs w:val="24"/>
        </w:rPr>
        <w:t>Part A:  Justification</w:t>
      </w:r>
    </w:p>
    <w:p w:rsidRPr="009B448F" w:rsidR="009B448F" w:rsidP="0013459C" w:rsidRDefault="009B448F" w14:paraId="09C34472"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Circumstances Making the Collection of Information Necessary</w:t>
      </w:r>
    </w:p>
    <w:p w:rsidR="00482A4C" w:rsidP="0013459C" w:rsidRDefault="001C3114" w14:paraId="23256CB5" w14:textId="77777777">
      <w:pPr>
        <w:spacing w:line="240" w:lineRule="auto"/>
        <w:rPr>
          <w:rFonts w:ascii="Times New Roman" w:hAnsi="Times New Roman" w:eastAsia="Times New Roman"/>
          <w:sz w:val="24"/>
          <w:szCs w:val="24"/>
        </w:rPr>
      </w:pPr>
      <w:r>
        <w:rPr>
          <w:rFonts w:ascii="Times New Roman" w:hAnsi="Times New Roman" w:eastAsia="Times New Roman"/>
          <w:sz w:val="24"/>
          <w:szCs w:val="24"/>
        </w:rPr>
        <w:t>This information collection supports implementation of section 520 of the Federal Food, Drug, and Cosmetic Act (FD&amp;C Act) (21 U.S.C. 360</w:t>
      </w:r>
      <w:r w:rsidR="001C3D6D">
        <w:rPr>
          <w:rFonts w:ascii="Times New Roman" w:hAnsi="Times New Roman" w:eastAsia="Times New Roman"/>
          <w:sz w:val="24"/>
          <w:szCs w:val="24"/>
        </w:rPr>
        <w:t>i</w:t>
      </w:r>
      <w:r>
        <w:rPr>
          <w:rFonts w:ascii="Times New Roman" w:hAnsi="Times New Roman" w:eastAsia="Times New Roman"/>
          <w:sz w:val="24"/>
          <w:szCs w:val="24"/>
        </w:rPr>
        <w:t xml:space="preserve">), as amended by the </w:t>
      </w:r>
      <w:r w:rsidRPr="000936CE" w:rsidR="000936CE">
        <w:rPr>
          <w:rFonts w:ascii="Times New Roman" w:hAnsi="Times New Roman" w:eastAsia="Times New Roman"/>
          <w:sz w:val="24"/>
          <w:szCs w:val="24"/>
        </w:rPr>
        <w:t>Food and Drug Administration Safety and Innovation Act (FDASIA) (Pub. L. 112-144)</w:t>
      </w:r>
      <w:r>
        <w:rPr>
          <w:rFonts w:ascii="Times New Roman" w:hAnsi="Times New Roman" w:eastAsia="Times New Roman"/>
          <w:sz w:val="24"/>
          <w:szCs w:val="24"/>
        </w:rPr>
        <w:t>.</w:t>
      </w:r>
      <w:r w:rsidR="0013459C">
        <w:rPr>
          <w:rFonts w:ascii="Times New Roman" w:hAnsi="Times New Roman" w:eastAsia="Times New Roman"/>
          <w:sz w:val="24"/>
          <w:szCs w:val="24"/>
        </w:rPr>
        <w:t xml:space="preserve">  </w:t>
      </w:r>
      <w:r w:rsidR="000936CE">
        <w:rPr>
          <w:rFonts w:ascii="Times New Roman" w:hAnsi="Times New Roman" w:eastAsia="Times New Roman"/>
          <w:sz w:val="24"/>
          <w:szCs w:val="24"/>
        </w:rPr>
        <w:t xml:space="preserve">Section 520(b) </w:t>
      </w:r>
      <w:r w:rsidR="001C3D6D">
        <w:rPr>
          <w:rFonts w:ascii="Times New Roman" w:hAnsi="Times New Roman" w:eastAsia="Times New Roman"/>
          <w:sz w:val="24"/>
          <w:szCs w:val="24"/>
        </w:rPr>
        <w:t xml:space="preserve">of the FD&amp;C Act </w:t>
      </w:r>
      <w:r w:rsidR="000936CE">
        <w:rPr>
          <w:rFonts w:ascii="Times New Roman" w:hAnsi="Times New Roman" w:eastAsia="Times New Roman"/>
          <w:sz w:val="24"/>
          <w:szCs w:val="24"/>
        </w:rPr>
        <w:t xml:space="preserve">sets </w:t>
      </w:r>
      <w:r w:rsidRPr="000936CE" w:rsidR="000936CE">
        <w:rPr>
          <w:rFonts w:ascii="Times New Roman" w:hAnsi="Times New Roman" w:eastAsia="Times New Roman"/>
          <w:sz w:val="24"/>
          <w:szCs w:val="24"/>
        </w:rPr>
        <w:t>forth the requirements that must be met in order for a device to qualify for a</w:t>
      </w:r>
      <w:r w:rsidR="00441ED3">
        <w:rPr>
          <w:rFonts w:ascii="Times New Roman" w:hAnsi="Times New Roman" w:eastAsia="Times New Roman"/>
          <w:sz w:val="24"/>
          <w:szCs w:val="24"/>
        </w:rPr>
        <w:t xml:space="preserve"> custom device exemption</w:t>
      </w:r>
      <w:r w:rsidRPr="000936CE" w:rsidR="000936CE">
        <w:rPr>
          <w:rFonts w:ascii="Times New Roman" w:hAnsi="Times New Roman" w:eastAsia="Times New Roman"/>
          <w:sz w:val="24"/>
          <w:szCs w:val="24"/>
        </w:rPr>
        <w:t>.  Section 520(b) exempts “</w:t>
      </w:r>
      <w:r w:rsidRPr="001C3114" w:rsidR="000936CE">
        <w:rPr>
          <w:rFonts w:ascii="Times New Roman" w:hAnsi="Times New Roman" w:eastAsia="Times New Roman"/>
          <w:i/>
          <w:sz w:val="24"/>
          <w:szCs w:val="24"/>
        </w:rPr>
        <w:t>custom devices</w:t>
      </w:r>
      <w:r w:rsidRPr="000936CE" w:rsidR="000936CE">
        <w:rPr>
          <w:rFonts w:ascii="Times New Roman" w:hAnsi="Times New Roman" w:eastAsia="Times New Roman"/>
          <w:sz w:val="24"/>
          <w:szCs w:val="24"/>
        </w:rPr>
        <w:t xml:space="preserve">” from performance standard or premarket approval requirements under section 514 and 515 of the FD&amp;C Act, if </w:t>
      </w:r>
      <w:r>
        <w:rPr>
          <w:rFonts w:ascii="Times New Roman" w:hAnsi="Times New Roman" w:eastAsia="Times New Roman"/>
          <w:sz w:val="24"/>
          <w:szCs w:val="24"/>
        </w:rPr>
        <w:t>certain criteria are met.</w:t>
      </w:r>
      <w:r w:rsidR="0013459C">
        <w:rPr>
          <w:rFonts w:ascii="Times New Roman" w:hAnsi="Times New Roman" w:eastAsia="Times New Roman"/>
          <w:sz w:val="24"/>
          <w:szCs w:val="24"/>
        </w:rPr>
        <w:t xml:space="preserve">  </w:t>
      </w:r>
      <w:r w:rsidR="001C3D6D">
        <w:rPr>
          <w:rFonts w:ascii="Times New Roman" w:hAnsi="Times New Roman" w:eastAsia="Times New Roman"/>
          <w:sz w:val="24"/>
          <w:szCs w:val="24"/>
        </w:rPr>
        <w:t xml:space="preserve">While custom </w:t>
      </w:r>
      <w:r w:rsidRPr="00482A4C" w:rsidR="00482A4C">
        <w:rPr>
          <w:rFonts w:ascii="Times New Roman" w:hAnsi="Times New Roman" w:eastAsia="Times New Roman"/>
          <w:sz w:val="24"/>
          <w:szCs w:val="24"/>
        </w:rPr>
        <w:t>devices are exempt from Premarket Approval (PMA) requirements and conformance to mandatory performance standards</w:t>
      </w:r>
      <w:r w:rsidR="001C3D6D">
        <w:rPr>
          <w:rFonts w:ascii="Times New Roman" w:hAnsi="Times New Roman" w:eastAsia="Times New Roman"/>
          <w:sz w:val="24"/>
          <w:szCs w:val="24"/>
        </w:rPr>
        <w:t>, they remain subject to all</w:t>
      </w:r>
      <w:r w:rsidRPr="00482A4C" w:rsidR="00482A4C">
        <w:rPr>
          <w:rFonts w:ascii="Times New Roman" w:hAnsi="Times New Roman" w:eastAsia="Times New Roman"/>
          <w:sz w:val="24"/>
          <w:szCs w:val="24"/>
        </w:rPr>
        <w:t xml:space="preserve"> other requirements, including</w:t>
      </w:r>
      <w:r w:rsidR="001C3D6D">
        <w:rPr>
          <w:rFonts w:ascii="Times New Roman" w:hAnsi="Times New Roman" w:eastAsia="Times New Roman"/>
          <w:sz w:val="24"/>
          <w:szCs w:val="24"/>
        </w:rPr>
        <w:t xml:space="preserve"> the </w:t>
      </w:r>
      <w:r w:rsidRPr="001C3D6D" w:rsidR="00482A4C">
        <w:rPr>
          <w:rFonts w:ascii="Times New Roman" w:hAnsi="Times New Roman" w:eastAsia="Times New Roman"/>
          <w:i/>
          <w:sz w:val="24"/>
          <w:szCs w:val="24"/>
        </w:rPr>
        <w:t>Quality System Regulation</w:t>
      </w:r>
      <w:r w:rsidR="001C3D6D">
        <w:rPr>
          <w:rFonts w:ascii="Times New Roman" w:hAnsi="Times New Roman" w:eastAsia="Times New Roman"/>
          <w:sz w:val="24"/>
          <w:szCs w:val="24"/>
        </w:rPr>
        <w:t xml:space="preserve"> in 21 CFR part 820 (information collection approved under OMB control no. 0910-0073)</w:t>
      </w:r>
      <w:r w:rsidRPr="00482A4C" w:rsidR="00482A4C">
        <w:rPr>
          <w:rFonts w:ascii="Times New Roman" w:hAnsi="Times New Roman" w:eastAsia="Times New Roman"/>
          <w:sz w:val="24"/>
          <w:szCs w:val="24"/>
        </w:rPr>
        <w:t xml:space="preserve">; </w:t>
      </w:r>
      <w:r w:rsidRPr="001C3D6D" w:rsidR="00482A4C">
        <w:rPr>
          <w:rFonts w:ascii="Times New Roman" w:hAnsi="Times New Roman" w:eastAsia="Times New Roman"/>
          <w:i/>
          <w:sz w:val="24"/>
          <w:szCs w:val="24"/>
        </w:rPr>
        <w:t>Medical Device Reporting</w:t>
      </w:r>
      <w:r w:rsidRPr="00482A4C" w:rsidR="00482A4C">
        <w:rPr>
          <w:rFonts w:ascii="Times New Roman" w:hAnsi="Times New Roman" w:eastAsia="Times New Roman"/>
          <w:sz w:val="24"/>
          <w:szCs w:val="24"/>
        </w:rPr>
        <w:t xml:space="preserve"> </w:t>
      </w:r>
      <w:r w:rsidR="0013459C">
        <w:rPr>
          <w:rFonts w:ascii="Times New Roman" w:hAnsi="Times New Roman" w:eastAsia="Times New Roman"/>
          <w:sz w:val="24"/>
          <w:szCs w:val="24"/>
        </w:rPr>
        <w:t xml:space="preserve">in </w:t>
      </w:r>
      <w:r w:rsidRPr="00482A4C" w:rsidR="00482A4C">
        <w:rPr>
          <w:rFonts w:ascii="Times New Roman" w:hAnsi="Times New Roman" w:eastAsia="Times New Roman"/>
          <w:sz w:val="24"/>
          <w:szCs w:val="24"/>
        </w:rPr>
        <w:t xml:space="preserve">21 CFR </w:t>
      </w:r>
      <w:r w:rsidR="0013459C">
        <w:rPr>
          <w:rFonts w:ascii="Times New Roman" w:hAnsi="Times New Roman" w:eastAsia="Times New Roman"/>
          <w:sz w:val="24"/>
          <w:szCs w:val="24"/>
        </w:rPr>
        <w:t>p</w:t>
      </w:r>
      <w:r w:rsidRPr="00482A4C" w:rsidR="00482A4C">
        <w:rPr>
          <w:rFonts w:ascii="Times New Roman" w:hAnsi="Times New Roman" w:eastAsia="Times New Roman"/>
          <w:sz w:val="24"/>
          <w:szCs w:val="24"/>
        </w:rPr>
        <w:t>art 803</w:t>
      </w:r>
      <w:r w:rsidR="0013459C">
        <w:rPr>
          <w:rFonts w:ascii="Times New Roman" w:hAnsi="Times New Roman" w:eastAsia="Times New Roman"/>
          <w:sz w:val="24"/>
          <w:szCs w:val="24"/>
        </w:rPr>
        <w:t xml:space="preserve"> (information collection approved under OMB control no. 0910-0497)</w:t>
      </w:r>
      <w:r w:rsidRPr="00482A4C" w:rsidR="00482A4C">
        <w:rPr>
          <w:rFonts w:ascii="Times New Roman" w:hAnsi="Times New Roman" w:eastAsia="Times New Roman"/>
          <w:sz w:val="24"/>
          <w:szCs w:val="24"/>
        </w:rPr>
        <w:t xml:space="preserve">; </w:t>
      </w:r>
      <w:r w:rsidRPr="0013459C" w:rsidR="00482A4C">
        <w:rPr>
          <w:rFonts w:ascii="Times New Roman" w:hAnsi="Times New Roman" w:eastAsia="Times New Roman"/>
          <w:i/>
          <w:sz w:val="24"/>
          <w:szCs w:val="24"/>
        </w:rPr>
        <w:t>Labeling</w:t>
      </w:r>
      <w:r w:rsidRPr="00482A4C" w:rsidR="00482A4C">
        <w:rPr>
          <w:rFonts w:ascii="Times New Roman" w:hAnsi="Times New Roman" w:eastAsia="Times New Roman"/>
          <w:sz w:val="24"/>
          <w:szCs w:val="24"/>
        </w:rPr>
        <w:t xml:space="preserve"> </w:t>
      </w:r>
      <w:r w:rsidR="0013459C">
        <w:rPr>
          <w:rFonts w:ascii="Times New Roman" w:hAnsi="Times New Roman" w:eastAsia="Times New Roman"/>
          <w:sz w:val="24"/>
          <w:szCs w:val="24"/>
        </w:rPr>
        <w:t xml:space="preserve">in </w:t>
      </w:r>
      <w:r w:rsidRPr="00482A4C" w:rsidR="00482A4C">
        <w:rPr>
          <w:rFonts w:ascii="Times New Roman" w:hAnsi="Times New Roman" w:eastAsia="Times New Roman"/>
          <w:sz w:val="24"/>
          <w:szCs w:val="24"/>
        </w:rPr>
        <w:t>21 CFR Part 801</w:t>
      </w:r>
      <w:r w:rsidR="0013459C">
        <w:rPr>
          <w:rFonts w:ascii="Times New Roman" w:hAnsi="Times New Roman" w:eastAsia="Times New Roman"/>
          <w:sz w:val="24"/>
          <w:szCs w:val="24"/>
        </w:rPr>
        <w:t xml:space="preserve"> (information collection approved under OMB control no. 0910-0485)</w:t>
      </w:r>
      <w:r w:rsidRPr="00482A4C" w:rsidR="00482A4C">
        <w:rPr>
          <w:rFonts w:ascii="Times New Roman" w:hAnsi="Times New Roman" w:eastAsia="Times New Roman"/>
          <w:sz w:val="24"/>
          <w:szCs w:val="24"/>
        </w:rPr>
        <w:t xml:space="preserve">; </w:t>
      </w:r>
      <w:r w:rsidRPr="0013459C" w:rsidR="00482A4C">
        <w:rPr>
          <w:rFonts w:ascii="Times New Roman" w:hAnsi="Times New Roman" w:eastAsia="Times New Roman"/>
          <w:i/>
          <w:sz w:val="24"/>
          <w:szCs w:val="24"/>
        </w:rPr>
        <w:t>Corrections and Removals</w:t>
      </w:r>
      <w:r w:rsidRPr="00482A4C" w:rsidR="00482A4C">
        <w:rPr>
          <w:rFonts w:ascii="Times New Roman" w:hAnsi="Times New Roman" w:eastAsia="Times New Roman"/>
          <w:sz w:val="24"/>
          <w:szCs w:val="24"/>
        </w:rPr>
        <w:t xml:space="preserve"> </w:t>
      </w:r>
      <w:r w:rsidR="0013459C">
        <w:rPr>
          <w:rFonts w:ascii="Times New Roman" w:hAnsi="Times New Roman" w:eastAsia="Times New Roman"/>
          <w:sz w:val="24"/>
          <w:szCs w:val="24"/>
        </w:rPr>
        <w:t xml:space="preserve">in </w:t>
      </w:r>
      <w:r w:rsidRPr="00482A4C" w:rsidR="00482A4C">
        <w:rPr>
          <w:rFonts w:ascii="Times New Roman" w:hAnsi="Times New Roman" w:eastAsia="Times New Roman"/>
          <w:sz w:val="24"/>
          <w:szCs w:val="24"/>
        </w:rPr>
        <w:t>21 CFR Part 806</w:t>
      </w:r>
      <w:r w:rsidR="0013459C">
        <w:rPr>
          <w:rFonts w:ascii="Times New Roman" w:hAnsi="Times New Roman" w:eastAsia="Times New Roman"/>
          <w:sz w:val="24"/>
          <w:szCs w:val="24"/>
        </w:rPr>
        <w:t xml:space="preserve"> (information collection approved under OMB control no. 0910-0359</w:t>
      </w:r>
      <w:r w:rsidRPr="00482A4C" w:rsidR="00482A4C">
        <w:rPr>
          <w:rFonts w:ascii="Times New Roman" w:hAnsi="Times New Roman" w:eastAsia="Times New Roman"/>
          <w:sz w:val="24"/>
          <w:szCs w:val="24"/>
        </w:rPr>
        <w:t xml:space="preserve">; and </w:t>
      </w:r>
      <w:r w:rsidRPr="0013459C" w:rsidR="00482A4C">
        <w:rPr>
          <w:rFonts w:ascii="Times New Roman" w:hAnsi="Times New Roman" w:eastAsia="Times New Roman"/>
          <w:i/>
          <w:sz w:val="24"/>
          <w:szCs w:val="24"/>
        </w:rPr>
        <w:t>Registration and Listing</w:t>
      </w:r>
      <w:r w:rsidRPr="00482A4C" w:rsidR="00482A4C">
        <w:rPr>
          <w:rFonts w:ascii="Times New Roman" w:hAnsi="Times New Roman" w:eastAsia="Times New Roman"/>
          <w:sz w:val="24"/>
          <w:szCs w:val="24"/>
        </w:rPr>
        <w:t xml:space="preserve"> </w:t>
      </w:r>
      <w:r w:rsidR="0013459C">
        <w:rPr>
          <w:rFonts w:ascii="Times New Roman" w:hAnsi="Times New Roman" w:eastAsia="Times New Roman"/>
          <w:sz w:val="24"/>
          <w:szCs w:val="24"/>
        </w:rPr>
        <w:t>in 2</w:t>
      </w:r>
      <w:r w:rsidRPr="00482A4C" w:rsidR="00482A4C">
        <w:rPr>
          <w:rFonts w:ascii="Times New Roman" w:hAnsi="Times New Roman" w:eastAsia="Times New Roman"/>
          <w:sz w:val="24"/>
          <w:szCs w:val="24"/>
        </w:rPr>
        <w:t>1 CFR Part 807</w:t>
      </w:r>
      <w:r w:rsidR="0013459C">
        <w:rPr>
          <w:rFonts w:ascii="Times New Roman" w:hAnsi="Times New Roman" w:eastAsia="Times New Roman"/>
          <w:sz w:val="24"/>
          <w:szCs w:val="24"/>
        </w:rPr>
        <w:t xml:space="preserve"> (information collection approved under OMB control no. 0910-0625</w:t>
      </w:r>
      <w:r w:rsidRPr="00482A4C" w:rsidR="00482A4C">
        <w:rPr>
          <w:rFonts w:ascii="Times New Roman" w:hAnsi="Times New Roman" w:eastAsia="Times New Roman"/>
          <w:sz w:val="24"/>
          <w:szCs w:val="24"/>
        </w:rPr>
        <w:t>.</w:t>
      </w:r>
      <w:r w:rsidR="0013459C">
        <w:rPr>
          <w:rFonts w:ascii="Times New Roman" w:hAnsi="Times New Roman" w:eastAsia="Times New Roman"/>
          <w:sz w:val="24"/>
          <w:szCs w:val="24"/>
        </w:rPr>
        <w:t xml:space="preserve">  </w:t>
      </w:r>
      <w:r w:rsidR="0013459C">
        <w:rPr>
          <w:rFonts w:ascii="Times New Roman" w:hAnsi="Times New Roman" w:eastAsia="Times New Roman"/>
          <w:sz w:val="24"/>
          <w:szCs w:val="24"/>
        </w:rPr>
        <w:t>Custom devices are limited to use in</w:t>
      </w:r>
      <w:r w:rsidRPr="000936CE" w:rsidR="0013459C">
        <w:rPr>
          <w:rFonts w:ascii="Times New Roman" w:hAnsi="Times New Roman" w:eastAsia="Times New Roman"/>
          <w:sz w:val="24"/>
          <w:szCs w:val="24"/>
        </w:rPr>
        <w:t xml:space="preserve"> treating a “</w:t>
      </w:r>
      <w:r w:rsidRPr="001C3114" w:rsidR="0013459C">
        <w:rPr>
          <w:rFonts w:ascii="Times New Roman" w:hAnsi="Times New Roman" w:eastAsia="Times New Roman"/>
          <w:i/>
          <w:sz w:val="24"/>
          <w:szCs w:val="24"/>
        </w:rPr>
        <w:t>sufficiently rare condition, such that conducting clinical investigations on such device would be impractical</w:t>
      </w:r>
      <w:r w:rsidRPr="000936CE" w:rsidR="0013459C">
        <w:rPr>
          <w:rFonts w:ascii="Times New Roman" w:hAnsi="Times New Roman" w:eastAsia="Times New Roman"/>
          <w:sz w:val="24"/>
          <w:szCs w:val="24"/>
        </w:rPr>
        <w:t>”</w:t>
      </w:r>
      <w:r w:rsidR="0013459C">
        <w:rPr>
          <w:rFonts w:ascii="Times New Roman" w:hAnsi="Times New Roman" w:eastAsia="Times New Roman"/>
          <w:sz w:val="24"/>
          <w:szCs w:val="24"/>
        </w:rPr>
        <w:t xml:space="preserve"> and </w:t>
      </w:r>
      <w:r w:rsidRPr="000936CE" w:rsidR="0013459C">
        <w:rPr>
          <w:rFonts w:ascii="Times New Roman" w:hAnsi="Times New Roman" w:eastAsia="Times New Roman"/>
          <w:sz w:val="24"/>
          <w:szCs w:val="24"/>
        </w:rPr>
        <w:t>production of the device must be limited to no more than 5 units per year of a particular device typ</w:t>
      </w:r>
      <w:r w:rsidR="0013459C">
        <w:rPr>
          <w:rFonts w:ascii="Times New Roman" w:hAnsi="Times New Roman" w:eastAsia="Times New Roman"/>
          <w:sz w:val="24"/>
          <w:szCs w:val="24"/>
        </w:rPr>
        <w:t xml:space="preserve">e.  </w:t>
      </w:r>
    </w:p>
    <w:p w:rsidR="00482A4C" w:rsidP="0013459C" w:rsidRDefault="00482A4C" w14:paraId="6DC8246F" w14:textId="77777777">
      <w:pPr>
        <w:spacing w:line="240" w:lineRule="auto"/>
        <w:rPr>
          <w:rFonts w:ascii="Times New Roman" w:hAnsi="Times New Roman" w:eastAsia="Times New Roman"/>
          <w:sz w:val="24"/>
          <w:szCs w:val="24"/>
        </w:rPr>
      </w:pPr>
      <w:r>
        <w:rPr>
          <w:rFonts w:ascii="Times New Roman" w:hAnsi="Times New Roman" w:eastAsia="Times New Roman"/>
          <w:sz w:val="24"/>
          <w:szCs w:val="24"/>
        </w:rPr>
        <w:t>The guidance document entitled, “</w:t>
      </w:r>
      <w:r w:rsidRPr="00482A4C">
        <w:rPr>
          <w:rFonts w:ascii="Times New Roman" w:hAnsi="Times New Roman" w:eastAsia="Times New Roman"/>
          <w:i/>
          <w:sz w:val="24"/>
          <w:szCs w:val="24"/>
        </w:rPr>
        <w:t>Custom Device Exemption:  Guidance for Industry and FDA Staff</w:t>
      </w:r>
      <w:r>
        <w:rPr>
          <w:rFonts w:ascii="Times New Roman" w:hAnsi="Times New Roman" w:eastAsia="Times New Roman"/>
          <w:sz w:val="24"/>
          <w:szCs w:val="24"/>
        </w:rPr>
        <w:t xml:space="preserve">” </w:t>
      </w:r>
      <w:r w:rsidRPr="00482A4C">
        <w:rPr>
          <w:rFonts w:ascii="Times New Roman" w:hAnsi="Times New Roman" w:eastAsia="Times New Roman"/>
          <w:sz w:val="24"/>
          <w:szCs w:val="24"/>
        </w:rPr>
        <w:t>explains how FDA interprets the “5 units per year of a particular device type” language contained in section 520(b)(2)(B) of the FD&amp;C Act, describes what information should be submitted in a Custom Device Annual Report (“annual report”), and provides recommendations on how to submit an annual report for devices distributed under the custom device exemption.</w:t>
      </w:r>
    </w:p>
    <w:p w:rsidRPr="0013459C" w:rsidR="003B141E" w:rsidP="0013459C" w:rsidRDefault="0013459C" w14:paraId="322A9782" w14:textId="77777777">
      <w:pPr>
        <w:spacing w:line="240" w:lineRule="auto"/>
        <w:rPr>
          <w:rFonts w:ascii="Times New Roman" w:hAnsi="Times New Roman" w:eastAsia="Times New Roman"/>
          <w:sz w:val="24"/>
          <w:szCs w:val="24"/>
        </w:rPr>
      </w:pPr>
      <w:r>
        <w:rPr>
          <w:rFonts w:ascii="Times New Roman" w:hAnsi="Times New Roman" w:eastAsia="Times New Roman"/>
          <w:sz w:val="24"/>
          <w:szCs w:val="24"/>
        </w:rPr>
        <w:t>We therefore request OMB approval for the information collection associated with custom device exemption annual device reporting as set forth in section 520 of the FD&amp;C Act and explained in referenced guidance document.</w:t>
      </w:r>
    </w:p>
    <w:p w:rsidRPr="009B448F" w:rsidR="009B448F" w:rsidP="0013459C" w:rsidRDefault="009B448F" w14:paraId="27032055" w14:textId="77777777">
      <w:pPr>
        <w:numPr>
          <w:ilvl w:val="0"/>
          <w:numId w:val="5"/>
        </w:numPr>
        <w:spacing w:line="240" w:lineRule="auto"/>
        <w:contextualSpacing/>
        <w:rPr>
          <w:rFonts w:ascii="Times New Roman" w:hAnsi="Times New Roman" w:eastAsia="Times New Roman"/>
          <w:sz w:val="24"/>
          <w:szCs w:val="24"/>
          <w:u w:val="single"/>
        </w:rPr>
      </w:pPr>
      <w:r w:rsidRPr="009B448F">
        <w:rPr>
          <w:rFonts w:ascii="Times New Roman" w:hAnsi="Times New Roman" w:eastAsia="Times New Roman"/>
          <w:sz w:val="24"/>
          <w:szCs w:val="24"/>
          <w:u w:val="single"/>
        </w:rPr>
        <w:t xml:space="preserve">Purpose and Use of the Information Collection </w:t>
      </w:r>
    </w:p>
    <w:p w:rsidR="00B92C93" w:rsidP="0013459C" w:rsidRDefault="00B92C93" w14:paraId="3DFC2902" w14:textId="77777777">
      <w:pPr>
        <w:spacing w:after="0" w:line="240" w:lineRule="auto"/>
        <w:rPr>
          <w:rFonts w:ascii="Times New Roman" w:hAnsi="Times New Roman" w:eastAsia="Times New Roman"/>
          <w:sz w:val="24"/>
          <w:szCs w:val="24"/>
        </w:rPr>
      </w:pPr>
    </w:p>
    <w:p w:rsidR="001C1B63" w:rsidP="0013459C" w:rsidRDefault="00A918C5" w14:paraId="0DBDFA30" w14:textId="77777777">
      <w:pPr>
        <w:spacing w:line="240" w:lineRule="auto"/>
        <w:rPr>
          <w:rFonts w:ascii="Times New Roman" w:hAnsi="Times New Roman"/>
          <w:sz w:val="24"/>
          <w:szCs w:val="24"/>
        </w:rPr>
      </w:pPr>
      <w:r>
        <w:rPr>
          <w:rFonts w:ascii="Times New Roman" w:hAnsi="Times New Roman"/>
          <w:sz w:val="24"/>
          <w:szCs w:val="24"/>
        </w:rPr>
        <w:t xml:space="preserve">We use information provided in the custom device exemption annual report to monitor the safety of these devices.  </w:t>
      </w:r>
      <w:r w:rsidR="001C1B63">
        <w:rPr>
          <w:rFonts w:ascii="Times New Roman" w:hAnsi="Times New Roman"/>
          <w:sz w:val="24"/>
          <w:szCs w:val="24"/>
        </w:rPr>
        <w:t>Respondents to this collection of information are typically private sector for-profit businesses.</w:t>
      </w:r>
    </w:p>
    <w:p w:rsidR="009B448F" w:rsidP="0013459C" w:rsidRDefault="009B448F" w14:paraId="4C33A95A" w14:textId="77777777">
      <w:pPr>
        <w:numPr>
          <w:ilvl w:val="0"/>
          <w:numId w:val="5"/>
        </w:numPr>
        <w:spacing w:before="100" w:beforeAutospacing="1" w:after="100" w:afterAutospacing="1" w:line="240" w:lineRule="auto"/>
        <w:ind w:right="-1440"/>
        <w:rPr>
          <w:rFonts w:ascii="Times New Roman" w:hAnsi="Times New Roman" w:eastAsia="Times New Roman"/>
          <w:sz w:val="24"/>
          <w:szCs w:val="24"/>
          <w:u w:val="single"/>
        </w:rPr>
      </w:pPr>
      <w:r w:rsidRPr="009B448F">
        <w:rPr>
          <w:rFonts w:ascii="Times New Roman" w:hAnsi="Times New Roman" w:eastAsia="Times New Roman"/>
          <w:sz w:val="24"/>
          <w:szCs w:val="24"/>
          <w:u w:val="single"/>
        </w:rPr>
        <w:lastRenderedPageBreak/>
        <w:t xml:space="preserve">Use of Improved Information Technology and Burden Reduction </w:t>
      </w:r>
    </w:p>
    <w:p w:rsidR="00F87829" w:rsidP="0013459C" w:rsidRDefault="00960C0C" w14:paraId="74F4B816" w14:textId="77777777">
      <w:pPr>
        <w:spacing w:line="240" w:lineRule="auto"/>
        <w:rPr>
          <w:rFonts w:ascii="Times New Roman" w:hAnsi="Times New Roman" w:eastAsia="Times New Roman"/>
          <w:sz w:val="24"/>
          <w:szCs w:val="24"/>
        </w:rPr>
      </w:pPr>
      <w:r w:rsidRPr="00865AC5">
        <w:rPr>
          <w:rFonts w:ascii="Times New Roman" w:hAnsi="Times New Roman" w:eastAsia="Times New Roman"/>
          <w:sz w:val="24"/>
          <w:szCs w:val="24"/>
        </w:rPr>
        <w:t xml:space="preserve">Currently, </w:t>
      </w:r>
      <w:r w:rsidR="00A918C5">
        <w:rPr>
          <w:rFonts w:ascii="Times New Roman" w:hAnsi="Times New Roman" w:eastAsia="Times New Roman"/>
          <w:sz w:val="24"/>
          <w:szCs w:val="24"/>
        </w:rPr>
        <w:t xml:space="preserve">the reports </w:t>
      </w:r>
      <w:r w:rsidRPr="00865AC5">
        <w:rPr>
          <w:rFonts w:ascii="Times New Roman" w:hAnsi="Times New Roman" w:eastAsia="Times New Roman"/>
          <w:sz w:val="24"/>
          <w:szCs w:val="24"/>
        </w:rPr>
        <w:t xml:space="preserve">are </w:t>
      </w:r>
      <w:r w:rsidR="00A918C5">
        <w:rPr>
          <w:rFonts w:ascii="Times New Roman" w:hAnsi="Times New Roman" w:eastAsia="Times New Roman"/>
          <w:sz w:val="24"/>
          <w:szCs w:val="24"/>
        </w:rPr>
        <w:t xml:space="preserve">prepared as </w:t>
      </w:r>
      <w:r w:rsidRPr="00865AC5">
        <w:rPr>
          <w:rFonts w:ascii="Times New Roman" w:hAnsi="Times New Roman" w:eastAsia="Times New Roman"/>
          <w:sz w:val="24"/>
          <w:szCs w:val="24"/>
        </w:rPr>
        <w:t>hard cop</w:t>
      </w:r>
      <w:r w:rsidR="00A918C5">
        <w:rPr>
          <w:rFonts w:ascii="Times New Roman" w:hAnsi="Times New Roman" w:eastAsia="Times New Roman"/>
          <w:sz w:val="24"/>
          <w:szCs w:val="24"/>
        </w:rPr>
        <w:t>y documents and submitted by mail.</w:t>
      </w:r>
      <w:r w:rsidRPr="00865AC5" w:rsidR="00865AC5">
        <w:rPr>
          <w:rFonts w:ascii="Times New Roman" w:hAnsi="Times New Roman" w:eastAsia="Times New Roman"/>
          <w:sz w:val="24"/>
          <w:szCs w:val="24"/>
        </w:rPr>
        <w:t xml:space="preserve"> </w:t>
      </w:r>
    </w:p>
    <w:p w:rsidRPr="00F87829" w:rsidR="009B448F" w:rsidP="0013459C" w:rsidRDefault="009B448F" w14:paraId="6B470E63" w14:textId="77777777">
      <w:pPr>
        <w:numPr>
          <w:ilvl w:val="0"/>
          <w:numId w:val="5"/>
        </w:numPr>
        <w:spacing w:line="240" w:lineRule="auto"/>
        <w:rPr>
          <w:rFonts w:ascii="Times New Roman" w:hAnsi="Times New Roman" w:eastAsia="Times New Roman"/>
          <w:sz w:val="24"/>
          <w:szCs w:val="24"/>
          <w:u w:val="single"/>
        </w:rPr>
      </w:pPr>
      <w:r w:rsidRPr="00F87829">
        <w:rPr>
          <w:rFonts w:ascii="Times New Roman" w:hAnsi="Times New Roman" w:eastAsia="Times New Roman"/>
          <w:sz w:val="24"/>
          <w:szCs w:val="24"/>
          <w:u w:val="single"/>
        </w:rPr>
        <w:t xml:space="preserve">Efforts to Identify Duplication and Use of Similar Information </w:t>
      </w:r>
    </w:p>
    <w:p w:rsidRPr="009B448F" w:rsidR="009B448F" w:rsidP="0013459C" w:rsidRDefault="00A918C5" w14:paraId="1FFFE979" w14:textId="77777777">
      <w:pPr>
        <w:spacing w:after="0" w:line="240" w:lineRule="auto"/>
        <w:rPr>
          <w:rFonts w:ascii="Times New Roman" w:hAnsi="Times New Roman" w:eastAsia="Times New Roman"/>
          <w:sz w:val="24"/>
          <w:szCs w:val="24"/>
        </w:rPr>
      </w:pPr>
      <w:r>
        <w:rPr>
          <w:rFonts w:ascii="Times New Roman" w:hAnsi="Times New Roman" w:eastAsia="Times New Roman"/>
          <w:sz w:val="24"/>
          <w:szCs w:val="24"/>
        </w:rPr>
        <w:t>We are unaware of duplicative information collection.</w:t>
      </w:r>
    </w:p>
    <w:p w:rsidRPr="009B448F" w:rsidR="009B448F" w:rsidP="0013459C" w:rsidRDefault="009B448F" w14:paraId="37AC8406"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Impact on Small Businesses or Other Small Entities</w:t>
      </w:r>
    </w:p>
    <w:p w:rsidRPr="009B448F" w:rsidR="009B448F" w:rsidP="0013459C" w:rsidRDefault="009B448F" w14:paraId="7051B571" w14:textId="5E5BD692">
      <w:pPr>
        <w:spacing w:after="0" w:line="240" w:lineRule="auto"/>
        <w:rPr>
          <w:rFonts w:ascii="Times New Roman" w:hAnsi="Times New Roman" w:eastAsia="Times New Roman"/>
          <w:sz w:val="24"/>
          <w:szCs w:val="20"/>
        </w:rPr>
      </w:pPr>
      <w:r w:rsidRPr="009B448F">
        <w:rPr>
          <w:rFonts w:ascii="Times New Roman" w:hAnsi="Times New Roman" w:eastAsia="Times New Roman"/>
          <w:sz w:val="24"/>
          <w:szCs w:val="24"/>
        </w:rPr>
        <w:t xml:space="preserve">FDA </w:t>
      </w:r>
      <w:r w:rsidR="0000395D">
        <w:rPr>
          <w:rFonts w:ascii="Times New Roman" w:hAnsi="Times New Roman" w:eastAsia="Times New Roman"/>
          <w:sz w:val="24"/>
          <w:szCs w:val="24"/>
        </w:rPr>
        <w:t xml:space="preserve">does not have an </w:t>
      </w:r>
      <w:r w:rsidRPr="009B448F">
        <w:rPr>
          <w:rFonts w:ascii="Times New Roman" w:hAnsi="Times New Roman" w:eastAsia="Times New Roman"/>
          <w:sz w:val="24"/>
          <w:szCs w:val="24"/>
        </w:rPr>
        <w:t xml:space="preserve">estimate </w:t>
      </w:r>
      <w:r w:rsidR="0000395D">
        <w:rPr>
          <w:rFonts w:ascii="Times New Roman" w:hAnsi="Times New Roman" w:eastAsia="Times New Roman"/>
          <w:sz w:val="24"/>
          <w:szCs w:val="24"/>
        </w:rPr>
        <w:t>on the number</w:t>
      </w:r>
      <w:r w:rsidRPr="009B448F">
        <w:rPr>
          <w:rFonts w:ascii="Times New Roman" w:hAnsi="Times New Roman" w:eastAsia="Times New Roman"/>
          <w:sz w:val="24"/>
          <w:szCs w:val="24"/>
        </w:rPr>
        <w:t xml:space="preserve"> of respondents to the information c</w:t>
      </w:r>
      <w:r w:rsidR="0000395D">
        <w:rPr>
          <w:rFonts w:ascii="Times New Roman" w:hAnsi="Times New Roman" w:eastAsia="Times New Roman"/>
          <w:sz w:val="24"/>
          <w:szCs w:val="24"/>
        </w:rPr>
        <w:t>ollection are small businesses.</w:t>
      </w:r>
      <w:r w:rsidRPr="009B448F">
        <w:rPr>
          <w:rFonts w:ascii="Times New Roman" w:hAnsi="Times New Roman" w:eastAsia="Times New Roman"/>
          <w:sz w:val="24"/>
          <w:szCs w:val="24"/>
        </w:rPr>
        <w:t xml:space="preserve"> </w:t>
      </w:r>
      <w:r w:rsidRPr="009B448F">
        <w:rPr>
          <w:rFonts w:ascii="Times New Roman" w:hAnsi="Times New Roman" w:eastAsia="Times New Roman"/>
          <w:sz w:val="24"/>
          <w:szCs w:val="20"/>
        </w:rPr>
        <w:t xml:space="preserve">FDA aids small business in dealing with the requirements of the regulations by providing guidance and information through the Division of </w:t>
      </w:r>
      <w:r w:rsidR="0000395D">
        <w:rPr>
          <w:rFonts w:ascii="Times New Roman" w:hAnsi="Times New Roman" w:eastAsia="Times New Roman"/>
          <w:sz w:val="24"/>
          <w:szCs w:val="20"/>
        </w:rPr>
        <w:t>Industry and Consumer Education</w:t>
      </w:r>
      <w:r w:rsidR="00760764">
        <w:rPr>
          <w:rFonts w:ascii="Times New Roman" w:hAnsi="Times New Roman" w:eastAsia="Times New Roman"/>
          <w:sz w:val="24"/>
          <w:szCs w:val="20"/>
        </w:rPr>
        <w:t xml:space="preserve"> (DICE</w:t>
      </w:r>
      <w:r w:rsidR="008571D2">
        <w:rPr>
          <w:rFonts w:ascii="Times New Roman" w:hAnsi="Times New Roman" w:eastAsia="Times New Roman"/>
          <w:sz w:val="24"/>
          <w:szCs w:val="20"/>
        </w:rPr>
        <w:t xml:space="preserve">), </w:t>
      </w:r>
      <w:r w:rsidRPr="009B448F">
        <w:rPr>
          <w:rFonts w:ascii="Times New Roman" w:hAnsi="Times New Roman" w:eastAsia="Times New Roman"/>
          <w:sz w:val="24"/>
          <w:szCs w:val="20"/>
        </w:rPr>
        <w:t>and through the scientific and administrative staff, workshops in which FDA Staff participate, and through the</w:t>
      </w:r>
      <w:r w:rsidR="008571D2">
        <w:rPr>
          <w:rFonts w:ascii="Times New Roman" w:hAnsi="Times New Roman" w:eastAsia="Times New Roman"/>
          <w:sz w:val="24"/>
          <w:szCs w:val="20"/>
        </w:rPr>
        <w:t xml:space="preserve"> our</w:t>
      </w:r>
      <w:r w:rsidRPr="009B448F">
        <w:rPr>
          <w:rFonts w:ascii="Times New Roman" w:hAnsi="Times New Roman" w:eastAsia="Times New Roman"/>
          <w:sz w:val="24"/>
          <w:szCs w:val="20"/>
        </w:rPr>
        <w:t xml:space="preserve"> CDRH website at </w:t>
      </w:r>
      <w:hyperlink w:history="1" r:id="rId8">
        <w:r w:rsidRPr="009B448F">
          <w:rPr>
            <w:rFonts w:ascii="Times New Roman" w:hAnsi="Times New Roman" w:eastAsia="Times New Roman"/>
            <w:color w:val="0000FF"/>
            <w:sz w:val="24"/>
            <w:szCs w:val="20"/>
            <w:u w:val="single"/>
          </w:rPr>
          <w:t>http://www.fda.gov/Medical</w:t>
        </w:r>
        <w:r w:rsidRPr="009B448F">
          <w:rPr>
            <w:rFonts w:ascii="Times New Roman" w:hAnsi="Times New Roman" w:eastAsia="Times New Roman"/>
            <w:color w:val="0000FF"/>
            <w:sz w:val="24"/>
            <w:szCs w:val="20"/>
            <w:u w:val="single"/>
          </w:rPr>
          <w:t>D</w:t>
        </w:r>
        <w:r w:rsidRPr="009B448F">
          <w:rPr>
            <w:rFonts w:ascii="Times New Roman" w:hAnsi="Times New Roman" w:eastAsia="Times New Roman"/>
            <w:color w:val="0000FF"/>
            <w:sz w:val="24"/>
            <w:szCs w:val="20"/>
            <w:u w:val="single"/>
          </w:rPr>
          <w:t>evices/default.htm</w:t>
        </w:r>
      </w:hyperlink>
      <w:r w:rsidRPr="009B448F">
        <w:rPr>
          <w:rFonts w:ascii="Times New Roman" w:hAnsi="Times New Roman" w:eastAsia="Times New Roman"/>
          <w:sz w:val="24"/>
          <w:szCs w:val="20"/>
        </w:rPr>
        <w:t>. These efforts help to assure that the burden on all manufacturers, including small manufacturers, is minimized.</w:t>
      </w:r>
    </w:p>
    <w:p w:rsidRPr="009B448F" w:rsidR="009B448F" w:rsidP="0013459C" w:rsidRDefault="009B448F" w14:paraId="09AA9309"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Consequences of Collecting the Information Less Frequently</w:t>
      </w:r>
    </w:p>
    <w:p w:rsidRPr="009B448F" w:rsidR="009B448F" w:rsidP="0013459C" w:rsidRDefault="00D435A4" w14:paraId="6FD771CB" w14:textId="77777777">
      <w:pPr>
        <w:spacing w:line="240" w:lineRule="auto"/>
        <w:rPr>
          <w:rFonts w:ascii="Times New Roman" w:hAnsi="Times New Roman"/>
          <w:sz w:val="24"/>
          <w:szCs w:val="24"/>
        </w:rPr>
      </w:pPr>
      <w:r>
        <w:rPr>
          <w:rFonts w:ascii="Times New Roman" w:hAnsi="Times New Roman"/>
          <w:sz w:val="24"/>
          <w:szCs w:val="24"/>
        </w:rPr>
        <w:t xml:space="preserve">A manufacturer </w:t>
      </w:r>
      <w:r w:rsidR="00960C0C">
        <w:rPr>
          <w:rFonts w:ascii="Times New Roman" w:hAnsi="Times New Roman"/>
          <w:sz w:val="24"/>
          <w:szCs w:val="24"/>
        </w:rPr>
        <w:t xml:space="preserve">is only </w:t>
      </w:r>
      <w:r>
        <w:rPr>
          <w:rFonts w:ascii="Times New Roman" w:hAnsi="Times New Roman"/>
          <w:sz w:val="24"/>
          <w:szCs w:val="24"/>
        </w:rPr>
        <w:t>required to submit the report on custom devices on an annual basis</w:t>
      </w:r>
      <w:r w:rsidR="00960C0C">
        <w:rPr>
          <w:rFonts w:ascii="Times New Roman" w:hAnsi="Times New Roman"/>
          <w:sz w:val="24"/>
          <w:szCs w:val="24"/>
        </w:rPr>
        <w:t xml:space="preserve"> by March 31</w:t>
      </w:r>
      <w:r w:rsidRPr="00865AC5" w:rsidR="00960C0C">
        <w:rPr>
          <w:rFonts w:ascii="Times New Roman" w:hAnsi="Times New Roman"/>
          <w:sz w:val="24"/>
          <w:szCs w:val="24"/>
          <w:vertAlign w:val="superscript"/>
        </w:rPr>
        <w:t>st</w:t>
      </w:r>
      <w:r w:rsidR="00960C0C">
        <w:rPr>
          <w:rFonts w:ascii="Times New Roman" w:hAnsi="Times New Roman"/>
          <w:sz w:val="24"/>
          <w:szCs w:val="24"/>
        </w:rPr>
        <w:t xml:space="preserve"> of the next calendar year.</w:t>
      </w:r>
      <w:r w:rsidR="0072725D">
        <w:rPr>
          <w:rFonts w:ascii="Times New Roman" w:hAnsi="Times New Roman"/>
          <w:sz w:val="24"/>
          <w:szCs w:val="24"/>
        </w:rPr>
        <w:t xml:space="preserve"> </w:t>
      </w:r>
      <w:r>
        <w:rPr>
          <w:rFonts w:ascii="Times New Roman" w:hAnsi="Times New Roman"/>
          <w:sz w:val="24"/>
          <w:szCs w:val="24"/>
        </w:rPr>
        <w:t>FDA does have the right to ask for additional information if its determined that the information submitted in the annual report is insufficient t</w:t>
      </w:r>
      <w:r w:rsidR="0000395D">
        <w:rPr>
          <w:rFonts w:ascii="Times New Roman" w:hAnsi="Times New Roman"/>
          <w:sz w:val="24"/>
          <w:szCs w:val="24"/>
        </w:rPr>
        <w:t xml:space="preserve">o allow for a complete review. </w:t>
      </w:r>
      <w:r>
        <w:rPr>
          <w:rFonts w:ascii="Times New Roman" w:hAnsi="Times New Roman"/>
          <w:sz w:val="24"/>
          <w:szCs w:val="24"/>
        </w:rPr>
        <w:t xml:space="preserve">However, if FDA only needs clarification of an issue then they may communicate on such issue via telephone or e-mail. </w:t>
      </w:r>
      <w:r w:rsidRPr="009B448F" w:rsidR="009B448F">
        <w:rPr>
          <w:rFonts w:ascii="Times New Roman" w:hAnsi="Times New Roman"/>
          <w:sz w:val="24"/>
          <w:szCs w:val="24"/>
        </w:rPr>
        <w:t xml:space="preserve">Therefore, we </w:t>
      </w:r>
      <w:r w:rsidRPr="009B448F" w:rsidR="009B448F">
        <w:rPr>
          <w:rFonts w:ascii="Times New Roman" w:hAnsi="Times New Roman"/>
          <w:szCs w:val="24"/>
        </w:rPr>
        <w:t>estimate</w:t>
      </w:r>
      <w:r w:rsidRPr="009B448F" w:rsidR="009B448F">
        <w:rPr>
          <w:rFonts w:ascii="Times New Roman" w:hAnsi="Times New Roman"/>
          <w:sz w:val="24"/>
          <w:szCs w:val="24"/>
        </w:rPr>
        <w:t xml:space="preserve"> that the information will </w:t>
      </w:r>
      <w:r w:rsidR="00BF54CC">
        <w:rPr>
          <w:rFonts w:ascii="Times New Roman" w:hAnsi="Times New Roman"/>
          <w:sz w:val="24"/>
          <w:szCs w:val="24"/>
        </w:rPr>
        <w:t xml:space="preserve">only </w:t>
      </w:r>
      <w:r w:rsidRPr="009B448F" w:rsidR="009B448F">
        <w:rPr>
          <w:rFonts w:ascii="Times New Roman" w:hAnsi="Times New Roman"/>
          <w:sz w:val="24"/>
          <w:szCs w:val="24"/>
        </w:rPr>
        <w:t xml:space="preserve">be collected </w:t>
      </w:r>
      <w:r>
        <w:rPr>
          <w:rFonts w:ascii="Times New Roman" w:hAnsi="Times New Roman"/>
          <w:sz w:val="24"/>
          <w:szCs w:val="24"/>
        </w:rPr>
        <w:t xml:space="preserve">annually. </w:t>
      </w:r>
      <w:r w:rsidRPr="009B448F" w:rsidR="009B448F">
        <w:rPr>
          <w:rFonts w:ascii="Times New Roman" w:hAnsi="Times New Roman"/>
          <w:sz w:val="24"/>
          <w:szCs w:val="24"/>
        </w:rPr>
        <w:t xml:space="preserve"> </w:t>
      </w:r>
    </w:p>
    <w:p w:rsidRPr="009B448F" w:rsidR="00D435A4" w:rsidP="0013459C" w:rsidRDefault="009B448F" w14:paraId="37357B6C" w14:textId="77777777">
      <w:pPr>
        <w:spacing w:line="240" w:lineRule="auto"/>
        <w:rPr>
          <w:rFonts w:ascii="Times New Roman" w:hAnsi="Times New Roman"/>
          <w:sz w:val="24"/>
          <w:szCs w:val="24"/>
        </w:rPr>
      </w:pPr>
      <w:r w:rsidRPr="009B448F">
        <w:rPr>
          <w:rFonts w:ascii="Times New Roman" w:hAnsi="Times New Roman"/>
          <w:sz w:val="24"/>
          <w:szCs w:val="24"/>
        </w:rPr>
        <w:t xml:space="preserve">The information collected in the </w:t>
      </w:r>
      <w:r w:rsidR="00D435A4">
        <w:rPr>
          <w:rFonts w:ascii="Times New Roman" w:hAnsi="Times New Roman"/>
          <w:sz w:val="24"/>
          <w:szCs w:val="24"/>
        </w:rPr>
        <w:t>annual report</w:t>
      </w:r>
      <w:r w:rsidRPr="009B448F">
        <w:rPr>
          <w:rFonts w:ascii="Times New Roman" w:hAnsi="Times New Roman"/>
          <w:sz w:val="24"/>
          <w:szCs w:val="24"/>
        </w:rPr>
        <w:t xml:space="preserve"> is neces</w:t>
      </w:r>
      <w:r w:rsidR="00BF54CC">
        <w:rPr>
          <w:rFonts w:ascii="Times New Roman" w:hAnsi="Times New Roman"/>
          <w:sz w:val="24"/>
          <w:szCs w:val="24"/>
        </w:rPr>
        <w:t xml:space="preserve">sary for FDA to ensure that </w:t>
      </w:r>
      <w:r w:rsidRPr="009B448F">
        <w:rPr>
          <w:rFonts w:ascii="Times New Roman" w:hAnsi="Times New Roman"/>
          <w:sz w:val="24"/>
          <w:szCs w:val="24"/>
        </w:rPr>
        <w:t xml:space="preserve"> </w:t>
      </w:r>
      <w:r w:rsidR="00D435A4">
        <w:rPr>
          <w:rFonts w:ascii="Times New Roman" w:hAnsi="Times New Roman"/>
          <w:sz w:val="24"/>
          <w:szCs w:val="24"/>
        </w:rPr>
        <w:t xml:space="preserve">devices that meet the qualification of a custom device are exempt from </w:t>
      </w:r>
      <w:r w:rsidR="00F932B8">
        <w:rPr>
          <w:rFonts w:ascii="Times New Roman" w:hAnsi="Times New Roman"/>
          <w:sz w:val="24"/>
          <w:szCs w:val="24"/>
        </w:rPr>
        <w:t>premarket</w:t>
      </w:r>
      <w:r w:rsidR="00BF54CC">
        <w:rPr>
          <w:rFonts w:ascii="Times New Roman" w:hAnsi="Times New Roman"/>
          <w:sz w:val="24"/>
          <w:szCs w:val="24"/>
        </w:rPr>
        <w:t xml:space="preserve"> review</w:t>
      </w:r>
      <w:r w:rsidRPr="009B448F">
        <w:rPr>
          <w:rFonts w:ascii="Times New Roman" w:hAnsi="Times New Roman"/>
          <w:sz w:val="24"/>
          <w:szCs w:val="24"/>
        </w:rPr>
        <w:t xml:space="preserve">. The consequence of </w:t>
      </w:r>
      <w:r w:rsidR="00D435A4">
        <w:rPr>
          <w:rFonts w:ascii="Times New Roman" w:hAnsi="Times New Roman"/>
          <w:sz w:val="24"/>
          <w:szCs w:val="24"/>
        </w:rPr>
        <w:t xml:space="preserve">a manufacturer not submitting </w:t>
      </w:r>
      <w:r w:rsidR="00BF54CC">
        <w:rPr>
          <w:rFonts w:ascii="Times New Roman" w:hAnsi="Times New Roman"/>
          <w:sz w:val="24"/>
          <w:szCs w:val="24"/>
        </w:rPr>
        <w:t>an annual report</w:t>
      </w:r>
      <w:r w:rsidRPr="009B448F">
        <w:rPr>
          <w:rFonts w:ascii="Times New Roman" w:hAnsi="Times New Roman"/>
          <w:sz w:val="24"/>
          <w:szCs w:val="24"/>
        </w:rPr>
        <w:t xml:space="preserve"> would be that </w:t>
      </w:r>
      <w:r w:rsidR="00D435A4">
        <w:rPr>
          <w:rFonts w:ascii="Times New Roman" w:hAnsi="Times New Roman"/>
          <w:sz w:val="24"/>
          <w:szCs w:val="24"/>
        </w:rPr>
        <w:t xml:space="preserve">a </w:t>
      </w:r>
      <w:r w:rsidR="00BF54CC">
        <w:rPr>
          <w:rFonts w:ascii="Times New Roman" w:hAnsi="Times New Roman"/>
          <w:sz w:val="24"/>
          <w:szCs w:val="24"/>
        </w:rPr>
        <w:t xml:space="preserve">manufacturer </w:t>
      </w:r>
      <w:r w:rsidR="00D435A4">
        <w:rPr>
          <w:rFonts w:ascii="Times New Roman" w:hAnsi="Times New Roman"/>
          <w:sz w:val="24"/>
          <w:szCs w:val="24"/>
        </w:rPr>
        <w:t xml:space="preserve">would have to submit a </w:t>
      </w:r>
      <w:r w:rsidR="00F932B8">
        <w:rPr>
          <w:rFonts w:ascii="Times New Roman" w:hAnsi="Times New Roman"/>
          <w:sz w:val="24"/>
          <w:szCs w:val="24"/>
        </w:rPr>
        <w:t>premarket</w:t>
      </w:r>
      <w:r w:rsidR="00D435A4">
        <w:rPr>
          <w:rFonts w:ascii="Times New Roman" w:hAnsi="Times New Roman"/>
          <w:sz w:val="24"/>
          <w:szCs w:val="24"/>
        </w:rPr>
        <w:t xml:space="preserve"> application to allow marketing of </w:t>
      </w:r>
      <w:r w:rsidR="00BF54CC">
        <w:rPr>
          <w:rFonts w:ascii="Times New Roman" w:hAnsi="Times New Roman"/>
          <w:sz w:val="24"/>
          <w:szCs w:val="24"/>
        </w:rPr>
        <w:t>the</w:t>
      </w:r>
      <w:r w:rsidR="00D435A4">
        <w:rPr>
          <w:rFonts w:ascii="Times New Roman" w:hAnsi="Times New Roman"/>
          <w:sz w:val="24"/>
          <w:szCs w:val="24"/>
        </w:rPr>
        <w:t xml:space="preserve"> medical device instead of use of the custom device exemption. </w:t>
      </w:r>
    </w:p>
    <w:p w:rsidRPr="009B448F" w:rsidR="009B448F" w:rsidP="0013459C" w:rsidRDefault="009B448F" w14:paraId="19CCAFAF"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Special Circumstances Relating to the Guidelines of 5 CFR 1320.5</w:t>
      </w:r>
    </w:p>
    <w:p w:rsidRPr="009B448F" w:rsidR="009B448F" w:rsidP="0013459C" w:rsidRDefault="009B448F" w14:paraId="5C7C910F" w14:textId="77777777">
      <w:pPr>
        <w:spacing w:after="0" w:line="240" w:lineRule="auto"/>
        <w:rPr>
          <w:rFonts w:ascii="Times New Roman" w:hAnsi="Times New Roman" w:eastAsia="Times New Roman"/>
          <w:sz w:val="24"/>
          <w:szCs w:val="24"/>
        </w:rPr>
      </w:pPr>
      <w:r w:rsidRPr="009B448F">
        <w:rPr>
          <w:rFonts w:ascii="Times New Roman" w:hAnsi="Times New Roman" w:eastAsia="Times New Roman"/>
          <w:sz w:val="24"/>
          <w:szCs w:val="24"/>
        </w:rPr>
        <w:t>There are no special circumstances for this collection of information.</w:t>
      </w:r>
    </w:p>
    <w:p w:rsidRPr="009B448F" w:rsidR="009B448F" w:rsidP="0013459C" w:rsidRDefault="009B448F" w14:paraId="31D5C70A" w14:textId="77777777">
      <w:pPr>
        <w:keepNext/>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Comments in Response to the Federal Register Notice and Efforts to Consult Outside the Agency</w:t>
      </w:r>
    </w:p>
    <w:p w:rsidR="009B448F" w:rsidP="0013459C" w:rsidRDefault="009B448F" w14:paraId="71419542" w14:textId="77777777">
      <w:pPr>
        <w:spacing w:after="0" w:line="240" w:lineRule="auto"/>
        <w:rPr>
          <w:rFonts w:ascii="Times New Roman" w:hAnsi="Times New Roman" w:eastAsia="Times New Roman"/>
          <w:sz w:val="24"/>
          <w:szCs w:val="24"/>
        </w:rPr>
      </w:pPr>
      <w:r w:rsidRPr="003376F9">
        <w:rPr>
          <w:rFonts w:ascii="Times New Roman" w:hAnsi="Times New Roman" w:eastAsia="Times New Roman"/>
          <w:sz w:val="24"/>
          <w:szCs w:val="24"/>
        </w:rPr>
        <w:t xml:space="preserve">In accordance with 5 CFR 1320.8(d), FDA published a </w:t>
      </w:r>
      <w:r w:rsidRPr="003376F9" w:rsidR="00F932B8">
        <w:rPr>
          <w:rFonts w:ascii="Times New Roman" w:hAnsi="Times New Roman" w:eastAsia="Times New Roman"/>
          <w:sz w:val="24"/>
          <w:szCs w:val="24"/>
        </w:rPr>
        <w:t>60-day</w:t>
      </w:r>
      <w:r w:rsidRPr="003376F9">
        <w:rPr>
          <w:rFonts w:ascii="Times New Roman" w:hAnsi="Times New Roman" w:eastAsia="Times New Roman"/>
          <w:sz w:val="24"/>
          <w:szCs w:val="24"/>
        </w:rPr>
        <w:t xml:space="preserve"> notice for public comment in the </w:t>
      </w:r>
      <w:r w:rsidRPr="003376F9">
        <w:rPr>
          <w:rFonts w:ascii="Times New Roman" w:hAnsi="Times New Roman" w:eastAsia="Times New Roman"/>
          <w:b/>
          <w:sz w:val="24"/>
          <w:szCs w:val="24"/>
        </w:rPr>
        <w:t>FEDERAL REGISTER</w:t>
      </w:r>
      <w:r w:rsidRPr="003376F9">
        <w:rPr>
          <w:rFonts w:ascii="Times New Roman" w:hAnsi="Times New Roman" w:eastAsia="Times New Roman"/>
          <w:sz w:val="24"/>
          <w:szCs w:val="24"/>
        </w:rPr>
        <w:t xml:space="preserve"> </w:t>
      </w:r>
      <w:r w:rsidRPr="003376F9" w:rsidR="003B492C">
        <w:rPr>
          <w:rFonts w:ascii="Times New Roman" w:hAnsi="Times New Roman" w:eastAsia="Times New Roman"/>
          <w:sz w:val="24"/>
          <w:szCs w:val="24"/>
        </w:rPr>
        <w:t xml:space="preserve">of </w:t>
      </w:r>
      <w:r w:rsidRPr="00767F63" w:rsidR="00767F63">
        <w:rPr>
          <w:rFonts w:ascii="Times New Roman" w:hAnsi="Times New Roman" w:eastAsia="Times New Roman"/>
          <w:sz w:val="24"/>
          <w:szCs w:val="24"/>
        </w:rPr>
        <w:t>02/21/2020</w:t>
      </w:r>
      <w:r w:rsidRPr="00767F63" w:rsidDel="00767F63" w:rsidR="00767F63">
        <w:rPr>
          <w:rFonts w:ascii="Times New Roman" w:hAnsi="Times New Roman" w:eastAsia="Times New Roman"/>
          <w:sz w:val="24"/>
          <w:szCs w:val="24"/>
        </w:rPr>
        <w:t xml:space="preserve"> </w:t>
      </w:r>
      <w:r w:rsidRPr="003376F9">
        <w:rPr>
          <w:rFonts w:ascii="Times New Roman" w:hAnsi="Times New Roman" w:eastAsia="Times New Roman"/>
          <w:sz w:val="24"/>
          <w:szCs w:val="24"/>
        </w:rPr>
        <w:t>(</w:t>
      </w:r>
      <w:r w:rsidRPr="00767F63" w:rsidR="00767F63">
        <w:rPr>
          <w:rFonts w:ascii="Times New Roman" w:hAnsi="Times New Roman" w:eastAsia="Times New Roman"/>
          <w:sz w:val="24"/>
          <w:szCs w:val="24"/>
        </w:rPr>
        <w:t>85 FR 10175</w:t>
      </w:r>
      <w:r w:rsidRPr="003376F9" w:rsidR="003B492C">
        <w:rPr>
          <w:rFonts w:ascii="Times New Roman" w:hAnsi="Times New Roman" w:eastAsia="Times New Roman"/>
          <w:sz w:val="24"/>
          <w:szCs w:val="24"/>
        </w:rPr>
        <w:t>).</w:t>
      </w:r>
      <w:r w:rsidRPr="003376F9" w:rsidR="00441ED3">
        <w:rPr>
          <w:rFonts w:ascii="Times New Roman" w:hAnsi="Times New Roman" w:eastAsia="Times New Roman"/>
          <w:sz w:val="24"/>
          <w:szCs w:val="24"/>
        </w:rPr>
        <w:t xml:space="preserve">  FDA did not receive any comments</w:t>
      </w:r>
      <w:r w:rsidR="00BE51EF">
        <w:rPr>
          <w:rFonts w:ascii="Times New Roman" w:hAnsi="Times New Roman" w:eastAsia="Times New Roman"/>
          <w:sz w:val="24"/>
          <w:szCs w:val="24"/>
        </w:rPr>
        <w:t>.</w:t>
      </w:r>
      <w:r w:rsidR="003376F9">
        <w:rPr>
          <w:rFonts w:ascii="Times New Roman" w:hAnsi="Times New Roman" w:eastAsia="Times New Roman"/>
          <w:sz w:val="24"/>
          <w:szCs w:val="24"/>
        </w:rPr>
        <w:t xml:space="preserve">  </w:t>
      </w:r>
    </w:p>
    <w:p w:rsidR="00F0006F" w:rsidP="0013459C" w:rsidRDefault="00F0006F" w14:paraId="7C0801E1"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Pr>
          <w:rFonts w:ascii="Times New Roman" w:hAnsi="Times New Roman" w:eastAsia="Times New Roman"/>
          <w:sz w:val="24"/>
          <w:szCs w:val="24"/>
          <w:u w:val="single"/>
        </w:rPr>
        <w:t>Explanation of Any Payment or Gift to Respondents</w:t>
      </w:r>
    </w:p>
    <w:p w:rsidRPr="00371D97" w:rsidR="00F0006F" w:rsidP="0013459C" w:rsidRDefault="00F0006F" w14:paraId="5A3D0D26" w14:textId="77777777">
      <w:pPr>
        <w:spacing w:before="100" w:beforeAutospacing="1" w:after="100" w:afterAutospacing="1" w:line="240" w:lineRule="auto"/>
        <w:rPr>
          <w:rFonts w:ascii="Times New Roman" w:hAnsi="Times New Roman" w:eastAsia="Times New Roman"/>
          <w:sz w:val="24"/>
          <w:szCs w:val="24"/>
        </w:rPr>
      </w:pPr>
      <w:r w:rsidRPr="00371D97">
        <w:rPr>
          <w:rFonts w:ascii="Times New Roman" w:hAnsi="Times New Roman" w:eastAsia="Times New Roman"/>
          <w:sz w:val="24"/>
          <w:szCs w:val="24"/>
        </w:rPr>
        <w:lastRenderedPageBreak/>
        <w:t xml:space="preserve">No payment of gifts in any manner or form shall be provided to respondents to this information collection. </w:t>
      </w:r>
    </w:p>
    <w:p w:rsidRPr="009B448F" w:rsidR="009B448F" w:rsidP="0013459C" w:rsidRDefault="009B448F" w14:paraId="732E40BF"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Assurance of Confidentiality Provided to Respondents</w:t>
      </w:r>
    </w:p>
    <w:p w:rsidRPr="00EA2977" w:rsidR="00EA2977" w:rsidP="0013459C" w:rsidRDefault="00D124E2" w14:paraId="77A3C142" w14:textId="711C4D2D">
      <w:pPr>
        <w:spacing w:before="100" w:beforeAutospacing="1" w:after="100" w:afterAutospacing="1" w:line="240" w:lineRule="auto"/>
        <w:rPr>
          <w:rFonts w:ascii="Times New Roman" w:hAnsi="Times New Roman" w:eastAsia="Times New Roman"/>
          <w:sz w:val="24"/>
          <w:szCs w:val="24"/>
        </w:rPr>
      </w:pPr>
      <w:r w:rsidRPr="00D124E2">
        <w:rPr>
          <w:rFonts w:ascii="Times New Roman" w:hAnsi="Times New Roman" w:eastAsia="Times New Roman"/>
          <w:sz w:val="24"/>
          <w:szCs w:val="24"/>
        </w:rPr>
        <w:t xml:space="preserve">In preparing this </w:t>
      </w:r>
      <w:r>
        <w:rPr>
          <w:rFonts w:ascii="Times New Roman" w:hAnsi="Times New Roman" w:eastAsia="Times New Roman"/>
          <w:sz w:val="24"/>
          <w:szCs w:val="24"/>
        </w:rPr>
        <w:t>s</w:t>
      </w:r>
      <w:r w:rsidRPr="00D124E2">
        <w:rPr>
          <w:rFonts w:ascii="Times New Roman" w:hAnsi="Times New Roman" w:eastAsia="Times New Roman"/>
          <w:sz w:val="24"/>
          <w:szCs w:val="24"/>
        </w:rPr>
        <w:t xml:space="preserve">upporting </w:t>
      </w:r>
      <w:r>
        <w:rPr>
          <w:rFonts w:ascii="Times New Roman" w:hAnsi="Times New Roman" w:eastAsia="Times New Roman"/>
          <w:sz w:val="24"/>
          <w:szCs w:val="24"/>
        </w:rPr>
        <w:t>s</w:t>
      </w:r>
      <w:r w:rsidRPr="00D124E2">
        <w:rPr>
          <w:rFonts w:ascii="Times New Roman" w:hAnsi="Times New Roman" w:eastAsia="Times New Roman"/>
          <w:sz w:val="24"/>
          <w:szCs w:val="24"/>
        </w:rPr>
        <w:t xml:space="preserve">tatement, </w:t>
      </w:r>
      <w:r>
        <w:rPr>
          <w:rFonts w:ascii="Times New Roman" w:hAnsi="Times New Roman" w:eastAsia="Times New Roman"/>
          <w:sz w:val="24"/>
          <w:szCs w:val="24"/>
        </w:rPr>
        <w:t xml:space="preserve">we </w:t>
      </w:r>
      <w:r w:rsidRPr="00D124E2">
        <w:rPr>
          <w:rFonts w:ascii="Times New Roman" w:hAnsi="Times New Roman" w:eastAsia="Times New Roman"/>
          <w:sz w:val="24"/>
          <w:szCs w:val="24"/>
        </w:rPr>
        <w:t xml:space="preserve">consulted </w:t>
      </w:r>
      <w:r>
        <w:rPr>
          <w:rFonts w:ascii="Times New Roman" w:hAnsi="Times New Roman" w:eastAsia="Times New Roman"/>
          <w:sz w:val="24"/>
          <w:szCs w:val="24"/>
        </w:rPr>
        <w:t xml:space="preserve">our </w:t>
      </w:r>
      <w:r w:rsidRPr="00D124E2">
        <w:rPr>
          <w:rFonts w:ascii="Times New Roman" w:hAnsi="Times New Roman" w:eastAsia="Times New Roman"/>
          <w:sz w:val="24"/>
          <w:szCs w:val="24"/>
        </w:rPr>
        <w:t>Privacy Office to ensure appropriate handling of information collected.</w:t>
      </w:r>
      <w:r w:rsidR="00DA4084">
        <w:rPr>
          <w:rFonts w:ascii="Times New Roman" w:hAnsi="Times New Roman" w:eastAsia="Times New Roman"/>
          <w:sz w:val="24"/>
          <w:szCs w:val="24"/>
        </w:rPr>
        <w:t xml:space="preserve">  </w:t>
      </w:r>
      <w:r w:rsidRPr="00EA2977" w:rsidR="00EA2977">
        <w:rPr>
          <w:rFonts w:ascii="Times New Roman" w:hAnsi="Times New Roman" w:eastAsia="Times New Roman"/>
          <w:sz w:val="24"/>
          <w:szCs w:val="24"/>
        </w:rPr>
        <w:t>Although, unsolicited PII from manufacturers may be provided with submission</w:t>
      </w:r>
      <w:r w:rsidR="00DA4084">
        <w:rPr>
          <w:rFonts w:ascii="Times New Roman" w:hAnsi="Times New Roman" w:eastAsia="Times New Roman"/>
          <w:sz w:val="24"/>
          <w:szCs w:val="24"/>
        </w:rPr>
        <w:t xml:space="preserve">, we redact this information before </w:t>
      </w:r>
      <w:r w:rsidRPr="00EA2977" w:rsidR="00EA2977">
        <w:rPr>
          <w:rFonts w:ascii="Times New Roman" w:hAnsi="Times New Roman" w:eastAsia="Times New Roman"/>
          <w:sz w:val="24"/>
          <w:szCs w:val="24"/>
        </w:rPr>
        <w:t>it is stored in an FDA system.</w:t>
      </w:r>
      <w:r w:rsidR="00514267">
        <w:rPr>
          <w:rFonts w:ascii="Times New Roman" w:hAnsi="Times New Roman" w:eastAsia="Times New Roman"/>
          <w:sz w:val="24"/>
          <w:szCs w:val="24"/>
        </w:rPr>
        <w:t xml:space="preserve">  </w:t>
      </w:r>
      <w:r w:rsidR="00602E85">
        <w:rPr>
          <w:rFonts w:ascii="Times New Roman" w:hAnsi="Times New Roman" w:eastAsia="Times New Roman"/>
          <w:sz w:val="24"/>
          <w:szCs w:val="24"/>
        </w:rPr>
        <w:t>Accordingly</w:t>
      </w:r>
      <w:r w:rsidR="00514267">
        <w:rPr>
          <w:rFonts w:ascii="Times New Roman" w:hAnsi="Times New Roman" w:eastAsia="Times New Roman"/>
          <w:sz w:val="24"/>
          <w:szCs w:val="24"/>
        </w:rPr>
        <w:t>, although</w:t>
      </w:r>
      <w:r w:rsidRPr="00EA2977" w:rsidR="00EA2977">
        <w:rPr>
          <w:rFonts w:ascii="Times New Roman" w:hAnsi="Times New Roman" w:eastAsia="Times New Roman"/>
          <w:sz w:val="24"/>
          <w:szCs w:val="24"/>
        </w:rPr>
        <w:t xml:space="preserve"> PII </w:t>
      </w:r>
      <w:r w:rsidR="00514267">
        <w:rPr>
          <w:rFonts w:ascii="Times New Roman" w:hAnsi="Times New Roman" w:eastAsia="Times New Roman"/>
          <w:sz w:val="24"/>
          <w:szCs w:val="24"/>
        </w:rPr>
        <w:t xml:space="preserve">may be submitted, it </w:t>
      </w:r>
      <w:r w:rsidRPr="00EA2977" w:rsidR="00EA2977">
        <w:rPr>
          <w:rFonts w:ascii="Times New Roman" w:hAnsi="Times New Roman" w:eastAsia="Times New Roman"/>
          <w:sz w:val="24"/>
          <w:szCs w:val="24"/>
        </w:rPr>
        <w:t xml:space="preserve">is not solicited </w:t>
      </w:r>
      <w:r w:rsidR="00514267">
        <w:rPr>
          <w:rFonts w:ascii="Times New Roman" w:hAnsi="Times New Roman" w:eastAsia="Times New Roman"/>
          <w:sz w:val="24"/>
          <w:szCs w:val="24"/>
        </w:rPr>
        <w:t xml:space="preserve">and therefore </w:t>
      </w:r>
      <w:r w:rsidRPr="00EA2977" w:rsidR="00EA2977">
        <w:rPr>
          <w:rFonts w:ascii="Times New Roman" w:hAnsi="Times New Roman" w:eastAsia="Times New Roman"/>
          <w:sz w:val="24"/>
          <w:szCs w:val="24"/>
        </w:rPr>
        <w:t xml:space="preserve">not subject to the Privacy Act of 1974 and the particular notice and other requirements of the Act do not apply. </w:t>
      </w:r>
    </w:p>
    <w:p w:rsidR="00EA2977" w:rsidP="0013459C" w:rsidRDefault="00EA2977" w14:paraId="589976C5" w14:textId="7DA93F48">
      <w:pPr>
        <w:spacing w:before="100" w:beforeAutospacing="1" w:after="100" w:afterAutospacing="1" w:line="240" w:lineRule="auto"/>
        <w:rPr>
          <w:rFonts w:ascii="Times New Roman" w:hAnsi="Times New Roman" w:eastAsia="Times New Roman"/>
          <w:sz w:val="24"/>
          <w:szCs w:val="24"/>
        </w:rPr>
      </w:pPr>
      <w:r w:rsidRPr="00EA2977">
        <w:rPr>
          <w:rFonts w:ascii="Times New Roman" w:hAnsi="Times New Roman" w:eastAsia="Times New Roman"/>
          <w:sz w:val="24"/>
          <w:szCs w:val="24"/>
        </w:rPr>
        <w:t>For this collection, an annual report will have the same confidentiality requirements as a PMA application because it qualifies as a substitute for a manufacturer’s submission submitted of a PMA.</w:t>
      </w:r>
      <w:r w:rsidR="00FC7E62">
        <w:rPr>
          <w:rFonts w:ascii="Times New Roman" w:hAnsi="Times New Roman" w:eastAsia="Times New Roman"/>
          <w:sz w:val="24"/>
          <w:szCs w:val="24"/>
        </w:rPr>
        <w:t xml:space="preserve">  </w:t>
      </w:r>
      <w:r w:rsidRPr="00EA2977">
        <w:rPr>
          <w:rFonts w:ascii="Times New Roman" w:hAnsi="Times New Roman" w:eastAsia="Times New Roman"/>
          <w:sz w:val="24"/>
          <w:szCs w:val="24"/>
        </w:rPr>
        <w:t>Confidentiality of information submitted to FDA under a premarket notification is governed by the provisions of 21 CFR part 20 and section 814.9, and is mandated.</w:t>
      </w:r>
      <w:r w:rsidR="00B70CD7">
        <w:rPr>
          <w:rFonts w:ascii="Times New Roman" w:hAnsi="Times New Roman" w:eastAsia="Times New Roman"/>
          <w:sz w:val="24"/>
          <w:szCs w:val="24"/>
        </w:rPr>
        <w:t xml:space="preserve">  </w:t>
      </w:r>
      <w:r w:rsidRPr="00EA2977">
        <w:rPr>
          <w:rFonts w:ascii="Times New Roman" w:hAnsi="Times New Roman" w:eastAsia="Times New Roman"/>
          <w:sz w:val="24"/>
          <w:szCs w:val="24"/>
        </w:rPr>
        <w:t>These provisions do not permit disclosure of information in a premarket notification submission that is trade secret or commercial confidential unless that information has been previously disclosed or as permitted under the Federal Freedom of Information Act. Under the Freedom of Information Act (FOIA) (5 U.S.C. 552), the public has broad access to government documents.  Information provided under this collection is handled in a manner to comply with the FDA regulations on public information in 21 CFR Part 20.</w:t>
      </w:r>
      <w:r w:rsidR="00B70CD7">
        <w:rPr>
          <w:rFonts w:ascii="Times New Roman" w:hAnsi="Times New Roman" w:eastAsia="Times New Roman"/>
          <w:sz w:val="24"/>
          <w:szCs w:val="24"/>
        </w:rPr>
        <w:t xml:space="preserve">  </w:t>
      </w:r>
      <w:r w:rsidRPr="00EA2977">
        <w:rPr>
          <w:rFonts w:ascii="Times New Roman" w:hAnsi="Times New Roman" w:eastAsia="Times New Roman"/>
          <w:sz w:val="24"/>
          <w:szCs w:val="24"/>
        </w:rPr>
        <w:t>Data will be kept private to the fullest extent allowed by law. These provisions do not permit disclosure of information in a premarket notification</w:t>
      </w:r>
      <w:r>
        <w:rPr>
          <w:rFonts w:ascii="Times New Roman" w:hAnsi="Times New Roman" w:eastAsia="Times New Roman"/>
          <w:sz w:val="24"/>
          <w:szCs w:val="24"/>
        </w:rPr>
        <w:t xml:space="preserve">. </w:t>
      </w:r>
    </w:p>
    <w:p w:rsidRPr="009B448F" w:rsidR="009B448F" w:rsidP="0013459C" w:rsidRDefault="009B448F" w14:paraId="126E46D9"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Justification for Sensitive Questions</w:t>
      </w:r>
    </w:p>
    <w:p w:rsidRPr="009B448F" w:rsidR="009B448F" w:rsidP="0013459C" w:rsidRDefault="009B448F" w14:paraId="2BA0C029" w14:textId="77777777">
      <w:pPr>
        <w:spacing w:after="0" w:line="240" w:lineRule="auto"/>
        <w:rPr>
          <w:rFonts w:ascii="Times New Roman" w:hAnsi="Times New Roman" w:eastAsia="Times New Roman"/>
          <w:sz w:val="24"/>
          <w:szCs w:val="24"/>
        </w:rPr>
      </w:pPr>
      <w:r w:rsidRPr="009B448F">
        <w:rPr>
          <w:rFonts w:ascii="Times New Roman" w:hAnsi="Times New Roman" w:eastAsia="Times New Roman"/>
          <w:sz w:val="24"/>
          <w:szCs w:val="24"/>
        </w:rPr>
        <w:t xml:space="preserve">This information collection does not include questions pertaining to sexual behavior and attitudes, religious beliefs, and other matters that are commonly considered private. </w:t>
      </w:r>
    </w:p>
    <w:p w:rsidRPr="009B448F" w:rsidR="009B448F" w:rsidP="0013459C" w:rsidRDefault="009B448F" w14:paraId="50F8A9C1"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Estimates of Annualized Burden Hours and Costs</w:t>
      </w:r>
    </w:p>
    <w:p w:rsidRPr="00A918C5" w:rsidR="009B448F" w:rsidP="00A918C5" w:rsidRDefault="00A918C5" w14:paraId="6E95282D" w14:textId="77777777">
      <w:pPr>
        <w:spacing w:after="0" w:line="240" w:lineRule="auto"/>
        <w:rPr>
          <w:rFonts w:ascii="Times New Roman" w:hAnsi="Times New Roman" w:eastAsia="Times New Roman"/>
          <w:i/>
          <w:sz w:val="24"/>
          <w:szCs w:val="24"/>
        </w:rPr>
      </w:pPr>
      <w:r>
        <w:rPr>
          <w:rFonts w:ascii="Times New Roman" w:hAnsi="Times New Roman" w:eastAsia="Times New Roman"/>
          <w:sz w:val="24"/>
          <w:szCs w:val="24"/>
        </w:rPr>
        <w:tab/>
      </w:r>
      <w:r w:rsidRPr="00A918C5" w:rsidR="009B448F">
        <w:rPr>
          <w:rFonts w:ascii="Times New Roman" w:hAnsi="Times New Roman" w:eastAsia="Times New Roman"/>
          <w:i/>
          <w:sz w:val="24"/>
          <w:szCs w:val="24"/>
        </w:rPr>
        <w:t>12a. Annualized Hour Burden Estimate</w:t>
      </w:r>
    </w:p>
    <w:p w:rsidR="009B448F" w:rsidP="0013459C" w:rsidRDefault="009B448F" w14:paraId="65BCFACF" w14:textId="67B4ADF7">
      <w:pPr>
        <w:spacing w:after="0" w:line="240" w:lineRule="auto"/>
        <w:rPr>
          <w:rFonts w:ascii="Times New Roman" w:hAnsi="Times New Roman" w:eastAsia="Times New Roman"/>
          <w:sz w:val="24"/>
          <w:szCs w:val="24"/>
        </w:rPr>
      </w:pPr>
    </w:p>
    <w:p w:rsidR="00314137" w:rsidP="0013459C" w:rsidRDefault="00314137" w14:paraId="1DEEB503" w14:textId="77777777">
      <w:pPr>
        <w:spacing w:after="0" w:line="240" w:lineRule="auto"/>
        <w:jc w:val="center"/>
        <w:rPr>
          <w:rFonts w:ascii="Times New Roman" w:hAnsi="Times New Roman" w:eastAsia="Times New Roman"/>
          <w:sz w:val="24"/>
          <w:szCs w:val="24"/>
        </w:rPr>
      </w:pPr>
      <w:r w:rsidRPr="00314137">
        <w:rPr>
          <w:rFonts w:ascii="Times New Roman" w:hAnsi="Times New Roman" w:eastAsia="Times New Roman"/>
          <w:sz w:val="20"/>
          <w:szCs w:val="20"/>
        </w:rPr>
        <w:t>Table 1.--Estimated Annual Reporting Burden</w:t>
      </w:r>
    </w:p>
    <w:tbl>
      <w:tblPr>
        <w:tblW w:w="493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1"/>
        <w:gridCol w:w="1248"/>
        <w:gridCol w:w="1582"/>
        <w:gridCol w:w="1332"/>
        <w:gridCol w:w="1498"/>
        <w:gridCol w:w="750"/>
      </w:tblGrid>
      <w:tr w:rsidRPr="008A3EFC" w:rsidR="008A3EFC" w:rsidTr="00C97C45" w14:paraId="20659627" w14:textId="77777777">
        <w:trPr>
          <w:cantSplit/>
          <w:trHeight w:val="22"/>
        </w:trPr>
        <w:tc>
          <w:tcPr>
            <w:tcW w:w="1333" w:type="pct"/>
            <w:tcBorders>
              <w:bottom w:val="single" w:color="auto" w:sz="4" w:space="0"/>
            </w:tcBorders>
            <w:shd w:val="clear" w:color="auto" w:fill="auto"/>
          </w:tcPr>
          <w:p w:rsidRPr="008A3EFC" w:rsidR="008A3EFC" w:rsidP="0013459C" w:rsidRDefault="008A3EFC" w14:paraId="69A2F773" w14:textId="77777777">
            <w:pPr>
              <w:spacing w:after="0" w:line="240" w:lineRule="auto"/>
              <w:jc w:val="center"/>
              <w:rPr>
                <w:rFonts w:ascii="Times New Roman" w:hAnsi="Times New Roman" w:eastAsia="Times New Roman"/>
                <w:sz w:val="20"/>
                <w:szCs w:val="20"/>
              </w:rPr>
            </w:pPr>
            <w:r w:rsidRPr="008A3EFC">
              <w:rPr>
                <w:rFonts w:ascii="Times New Roman" w:hAnsi="Times New Roman" w:eastAsia="Times New Roman"/>
                <w:sz w:val="20"/>
                <w:szCs w:val="20"/>
              </w:rPr>
              <w:t xml:space="preserve">Activity </w:t>
            </w:r>
          </w:p>
        </w:tc>
        <w:tc>
          <w:tcPr>
            <w:tcW w:w="714" w:type="pct"/>
            <w:tcBorders>
              <w:bottom w:val="single" w:color="auto" w:sz="4" w:space="0"/>
            </w:tcBorders>
            <w:shd w:val="clear" w:color="auto" w:fill="auto"/>
          </w:tcPr>
          <w:p w:rsidRPr="008A3EFC" w:rsidR="008A3EFC" w:rsidP="0013459C" w:rsidRDefault="008A3EFC" w14:paraId="2BFBDBEF" w14:textId="77777777">
            <w:pPr>
              <w:spacing w:after="0" w:line="240" w:lineRule="auto"/>
              <w:jc w:val="center"/>
              <w:rPr>
                <w:rFonts w:ascii="Times New Roman" w:hAnsi="Times New Roman" w:eastAsia="Times New Roman"/>
                <w:sz w:val="20"/>
                <w:szCs w:val="20"/>
              </w:rPr>
            </w:pPr>
            <w:r w:rsidRPr="008A3EFC">
              <w:rPr>
                <w:rFonts w:ascii="Times New Roman" w:hAnsi="Times New Roman" w:eastAsia="Times New Roman"/>
                <w:sz w:val="20"/>
                <w:szCs w:val="20"/>
              </w:rPr>
              <w:t>No. of Respondents</w:t>
            </w:r>
          </w:p>
        </w:tc>
        <w:tc>
          <w:tcPr>
            <w:tcW w:w="905" w:type="pct"/>
            <w:tcBorders>
              <w:bottom w:val="single" w:color="auto" w:sz="4" w:space="0"/>
            </w:tcBorders>
            <w:shd w:val="clear" w:color="auto" w:fill="auto"/>
          </w:tcPr>
          <w:p w:rsidRPr="008A3EFC" w:rsidR="008A3EFC" w:rsidP="0013459C" w:rsidRDefault="008A3EFC" w14:paraId="78311B8A" w14:textId="77777777">
            <w:pPr>
              <w:spacing w:after="0" w:line="240" w:lineRule="auto"/>
              <w:jc w:val="center"/>
              <w:rPr>
                <w:rFonts w:ascii="Times New Roman" w:hAnsi="Times New Roman" w:eastAsia="Times New Roman"/>
                <w:sz w:val="20"/>
                <w:szCs w:val="20"/>
              </w:rPr>
            </w:pPr>
            <w:r w:rsidRPr="008A3EFC">
              <w:rPr>
                <w:rFonts w:ascii="Times New Roman" w:hAnsi="Times New Roman" w:eastAsia="Times New Roman"/>
                <w:bCs/>
                <w:sz w:val="20"/>
                <w:szCs w:val="20"/>
              </w:rPr>
              <w:t>No. of Responses per Respondent</w:t>
            </w:r>
          </w:p>
        </w:tc>
        <w:tc>
          <w:tcPr>
            <w:tcW w:w="762" w:type="pct"/>
            <w:tcBorders>
              <w:bottom w:val="single" w:color="auto" w:sz="4" w:space="0"/>
            </w:tcBorders>
            <w:shd w:val="clear" w:color="auto" w:fill="auto"/>
          </w:tcPr>
          <w:p w:rsidRPr="008A3EFC" w:rsidR="008A3EFC" w:rsidP="0013459C" w:rsidRDefault="008A3EFC" w14:paraId="0EFA746C" w14:textId="77777777">
            <w:pPr>
              <w:spacing w:after="0" w:line="240" w:lineRule="auto"/>
              <w:jc w:val="center"/>
              <w:rPr>
                <w:rFonts w:ascii="Times New Roman" w:hAnsi="Times New Roman" w:eastAsia="Times New Roman"/>
                <w:sz w:val="20"/>
                <w:szCs w:val="20"/>
              </w:rPr>
            </w:pPr>
            <w:r w:rsidRPr="008A3EFC">
              <w:rPr>
                <w:rFonts w:ascii="Times New Roman" w:hAnsi="Times New Roman" w:eastAsia="Times New Roman"/>
                <w:sz w:val="20"/>
                <w:szCs w:val="20"/>
              </w:rPr>
              <w:t>Total Annual Responses</w:t>
            </w:r>
          </w:p>
        </w:tc>
        <w:tc>
          <w:tcPr>
            <w:tcW w:w="857" w:type="pct"/>
            <w:tcBorders>
              <w:bottom w:val="single" w:color="auto" w:sz="4" w:space="0"/>
            </w:tcBorders>
            <w:shd w:val="clear" w:color="auto" w:fill="auto"/>
          </w:tcPr>
          <w:p w:rsidRPr="008A3EFC" w:rsidR="008A3EFC" w:rsidP="0013459C" w:rsidRDefault="008A3EFC" w14:paraId="39510D4E" w14:textId="77777777">
            <w:pPr>
              <w:spacing w:after="0" w:line="240" w:lineRule="auto"/>
              <w:jc w:val="center"/>
              <w:rPr>
                <w:rFonts w:ascii="Times New Roman" w:hAnsi="Times New Roman" w:eastAsia="Times New Roman"/>
                <w:sz w:val="20"/>
                <w:szCs w:val="20"/>
              </w:rPr>
            </w:pPr>
            <w:r w:rsidRPr="008A3EFC">
              <w:rPr>
                <w:rFonts w:ascii="Times New Roman" w:hAnsi="Times New Roman" w:eastAsia="Times New Roman"/>
                <w:bCs/>
                <w:sz w:val="20"/>
                <w:szCs w:val="20"/>
              </w:rPr>
              <w:t>Average Burden per Response</w:t>
            </w:r>
          </w:p>
        </w:tc>
        <w:tc>
          <w:tcPr>
            <w:tcW w:w="429" w:type="pct"/>
            <w:tcBorders>
              <w:bottom w:val="single" w:color="auto" w:sz="4" w:space="0"/>
            </w:tcBorders>
            <w:shd w:val="clear" w:color="auto" w:fill="auto"/>
          </w:tcPr>
          <w:p w:rsidRPr="008A3EFC" w:rsidR="008A3EFC" w:rsidP="0013459C" w:rsidRDefault="008A3EFC" w14:paraId="75783A68" w14:textId="77777777">
            <w:pPr>
              <w:spacing w:after="0" w:line="240" w:lineRule="auto"/>
              <w:jc w:val="center"/>
              <w:rPr>
                <w:rFonts w:ascii="Times New Roman" w:hAnsi="Times New Roman" w:eastAsia="Times New Roman"/>
                <w:sz w:val="20"/>
                <w:szCs w:val="20"/>
              </w:rPr>
            </w:pPr>
            <w:r w:rsidRPr="008A3EFC">
              <w:rPr>
                <w:rFonts w:ascii="Times New Roman" w:hAnsi="Times New Roman" w:eastAsia="Times New Roman"/>
                <w:sz w:val="20"/>
                <w:szCs w:val="20"/>
              </w:rPr>
              <w:t>Total Hours</w:t>
            </w:r>
          </w:p>
        </w:tc>
      </w:tr>
      <w:tr w:rsidRPr="008A3EFC" w:rsidR="008A3EFC" w:rsidTr="00C97C45" w14:paraId="6DA29567" w14:textId="77777777">
        <w:trPr>
          <w:cantSplit/>
          <w:trHeight w:val="22"/>
        </w:trPr>
        <w:tc>
          <w:tcPr>
            <w:tcW w:w="1333" w:type="pct"/>
            <w:tcBorders>
              <w:bottom w:val="single" w:color="auto" w:sz="4" w:space="0"/>
            </w:tcBorders>
            <w:shd w:val="clear" w:color="auto" w:fill="auto"/>
          </w:tcPr>
          <w:p w:rsidRPr="008A3EFC" w:rsidR="008A3EFC" w:rsidP="0013459C" w:rsidRDefault="008A3EFC" w14:paraId="743E1F12" w14:textId="77777777">
            <w:pPr>
              <w:spacing w:after="0" w:line="240" w:lineRule="auto"/>
              <w:rPr>
                <w:rFonts w:ascii="Times New Roman" w:hAnsi="Times New Roman" w:eastAsia="Times New Roman"/>
                <w:sz w:val="20"/>
                <w:szCs w:val="20"/>
              </w:rPr>
            </w:pPr>
            <w:r w:rsidRPr="008A3EFC">
              <w:rPr>
                <w:rFonts w:ascii="Times New Roman" w:hAnsi="Times New Roman" w:eastAsia="Times New Roman"/>
                <w:sz w:val="20"/>
                <w:szCs w:val="20"/>
              </w:rPr>
              <w:t xml:space="preserve">Annual reporting for custom devices </w:t>
            </w:r>
          </w:p>
        </w:tc>
        <w:tc>
          <w:tcPr>
            <w:tcW w:w="714" w:type="pct"/>
            <w:tcBorders>
              <w:bottom w:val="single" w:color="auto" w:sz="4" w:space="0"/>
            </w:tcBorders>
            <w:shd w:val="clear" w:color="auto" w:fill="auto"/>
          </w:tcPr>
          <w:p w:rsidRPr="008A3EFC" w:rsidR="008A3EFC" w:rsidP="0013459C" w:rsidRDefault="008A3EFC" w14:paraId="0E3AEBA1" w14:textId="77777777">
            <w:pPr>
              <w:spacing w:after="0" w:line="240" w:lineRule="auto"/>
              <w:jc w:val="right"/>
              <w:rPr>
                <w:rFonts w:ascii="Times New Roman" w:hAnsi="Times New Roman" w:eastAsia="Times New Roman"/>
                <w:sz w:val="20"/>
                <w:szCs w:val="20"/>
              </w:rPr>
            </w:pPr>
            <w:r w:rsidRPr="008A3EFC">
              <w:rPr>
                <w:rFonts w:ascii="Times New Roman" w:hAnsi="Times New Roman" w:eastAsia="Times New Roman"/>
                <w:sz w:val="20"/>
                <w:szCs w:val="20"/>
              </w:rPr>
              <w:t>34</w:t>
            </w:r>
          </w:p>
        </w:tc>
        <w:tc>
          <w:tcPr>
            <w:tcW w:w="905" w:type="pct"/>
            <w:tcBorders>
              <w:bottom w:val="single" w:color="auto" w:sz="4" w:space="0"/>
            </w:tcBorders>
            <w:shd w:val="clear" w:color="auto" w:fill="auto"/>
          </w:tcPr>
          <w:p w:rsidRPr="008A3EFC" w:rsidR="008A3EFC" w:rsidP="0013459C" w:rsidRDefault="008A3EFC" w14:paraId="056E3D28" w14:textId="77777777">
            <w:pPr>
              <w:spacing w:after="0" w:line="240" w:lineRule="auto"/>
              <w:jc w:val="right"/>
              <w:rPr>
                <w:rFonts w:ascii="Times New Roman" w:hAnsi="Times New Roman" w:eastAsia="Times New Roman"/>
                <w:bCs/>
                <w:sz w:val="20"/>
                <w:szCs w:val="20"/>
              </w:rPr>
            </w:pPr>
            <w:r w:rsidRPr="008A3EFC">
              <w:rPr>
                <w:rFonts w:ascii="Times New Roman" w:hAnsi="Times New Roman" w:eastAsia="Times New Roman"/>
                <w:bCs/>
                <w:sz w:val="20"/>
                <w:szCs w:val="20"/>
              </w:rPr>
              <w:t>1</w:t>
            </w:r>
          </w:p>
        </w:tc>
        <w:tc>
          <w:tcPr>
            <w:tcW w:w="762" w:type="pct"/>
            <w:tcBorders>
              <w:bottom w:val="single" w:color="auto" w:sz="4" w:space="0"/>
            </w:tcBorders>
            <w:shd w:val="clear" w:color="auto" w:fill="auto"/>
          </w:tcPr>
          <w:p w:rsidRPr="008A3EFC" w:rsidR="008A3EFC" w:rsidP="0013459C" w:rsidRDefault="008A3EFC" w14:paraId="712CEDD0" w14:textId="77777777">
            <w:pPr>
              <w:spacing w:after="0" w:line="240" w:lineRule="auto"/>
              <w:jc w:val="right"/>
              <w:rPr>
                <w:rFonts w:ascii="Times New Roman" w:hAnsi="Times New Roman" w:eastAsia="Times New Roman"/>
                <w:sz w:val="20"/>
                <w:szCs w:val="20"/>
              </w:rPr>
            </w:pPr>
            <w:r w:rsidRPr="008A3EFC">
              <w:rPr>
                <w:rFonts w:ascii="Times New Roman" w:hAnsi="Times New Roman" w:eastAsia="Times New Roman"/>
                <w:sz w:val="20"/>
                <w:szCs w:val="20"/>
              </w:rPr>
              <w:t>34</w:t>
            </w:r>
          </w:p>
        </w:tc>
        <w:tc>
          <w:tcPr>
            <w:tcW w:w="857" w:type="pct"/>
            <w:tcBorders>
              <w:bottom w:val="single" w:color="auto" w:sz="4" w:space="0"/>
            </w:tcBorders>
            <w:shd w:val="clear" w:color="auto" w:fill="auto"/>
          </w:tcPr>
          <w:p w:rsidRPr="008A3EFC" w:rsidR="008A3EFC" w:rsidP="0013459C" w:rsidRDefault="008A3EFC" w14:paraId="63AC2CF0" w14:textId="77777777">
            <w:pPr>
              <w:spacing w:after="0" w:line="240" w:lineRule="auto"/>
              <w:jc w:val="right"/>
              <w:rPr>
                <w:rFonts w:ascii="Times New Roman" w:hAnsi="Times New Roman" w:eastAsia="Times New Roman"/>
                <w:bCs/>
                <w:sz w:val="20"/>
                <w:szCs w:val="20"/>
              </w:rPr>
            </w:pPr>
            <w:r w:rsidRPr="008A3EFC">
              <w:rPr>
                <w:rFonts w:ascii="Times New Roman" w:hAnsi="Times New Roman" w:eastAsia="Times New Roman"/>
                <w:bCs/>
                <w:sz w:val="20"/>
                <w:szCs w:val="20"/>
              </w:rPr>
              <w:t>40</w:t>
            </w:r>
          </w:p>
        </w:tc>
        <w:tc>
          <w:tcPr>
            <w:tcW w:w="429" w:type="pct"/>
            <w:tcBorders>
              <w:bottom w:val="single" w:color="auto" w:sz="4" w:space="0"/>
            </w:tcBorders>
            <w:shd w:val="clear" w:color="auto" w:fill="auto"/>
          </w:tcPr>
          <w:p w:rsidRPr="008A3EFC" w:rsidR="008A3EFC" w:rsidP="0013459C" w:rsidRDefault="008A3EFC" w14:paraId="5F44CE13" w14:textId="77777777">
            <w:pPr>
              <w:spacing w:after="0" w:line="240" w:lineRule="auto"/>
              <w:jc w:val="right"/>
              <w:rPr>
                <w:rFonts w:ascii="Times New Roman" w:hAnsi="Times New Roman" w:eastAsia="Times New Roman"/>
                <w:sz w:val="20"/>
                <w:szCs w:val="20"/>
              </w:rPr>
            </w:pPr>
            <w:r w:rsidRPr="008A3EFC">
              <w:rPr>
                <w:rFonts w:ascii="Times New Roman" w:hAnsi="Times New Roman" w:eastAsia="Times New Roman"/>
                <w:sz w:val="20"/>
                <w:szCs w:val="20"/>
              </w:rPr>
              <w:t>1,360</w:t>
            </w:r>
          </w:p>
        </w:tc>
      </w:tr>
    </w:tbl>
    <w:p w:rsidR="00BE51EF" w:rsidP="0013459C" w:rsidRDefault="00BE51EF" w14:paraId="114A7CD8" w14:textId="77777777">
      <w:pPr>
        <w:spacing w:after="0" w:line="240" w:lineRule="auto"/>
        <w:rPr>
          <w:rFonts w:ascii="Times New Roman" w:hAnsi="Times New Roman" w:eastAsia="Times New Roman"/>
          <w:sz w:val="24"/>
          <w:szCs w:val="24"/>
        </w:rPr>
      </w:pPr>
    </w:p>
    <w:p w:rsidR="00A918C5" w:rsidP="00A918C5" w:rsidRDefault="00A918C5" w14:paraId="71A417A6" w14:textId="5F5AFD76">
      <w:pPr>
        <w:spacing w:after="0" w:line="240" w:lineRule="auto"/>
        <w:rPr>
          <w:rFonts w:ascii="Times New Roman" w:hAnsi="Times New Roman" w:eastAsia="Times New Roman"/>
          <w:sz w:val="24"/>
          <w:szCs w:val="24"/>
        </w:rPr>
      </w:pPr>
      <w:r>
        <w:rPr>
          <w:rFonts w:ascii="Times New Roman" w:hAnsi="Times New Roman" w:eastAsia="Times New Roman"/>
          <w:sz w:val="24"/>
          <w:szCs w:val="24"/>
        </w:rPr>
        <w:t>Our estimate is based on 34 submissions received in 2019.  We assume 40 hours is necessary to prepare the report and base this on the elements described and discussed in the guidance document.</w:t>
      </w:r>
    </w:p>
    <w:p w:rsidRPr="00A918C5" w:rsidR="00A918C5" w:rsidP="00A918C5" w:rsidRDefault="00E721D0" w14:paraId="3F2C2973" w14:textId="5CAE27A8">
      <w:pPr>
        <w:spacing w:after="0" w:line="240" w:lineRule="auto"/>
        <w:rPr>
          <w:rFonts w:ascii="Times New Roman" w:hAnsi="Times New Roman" w:eastAsia="Times New Roman"/>
          <w:sz w:val="24"/>
          <w:szCs w:val="24"/>
        </w:rPr>
      </w:pPr>
      <w:r>
        <w:rPr>
          <w:rFonts w:ascii="Times New Roman" w:hAnsi="Times New Roman" w:eastAsia="Times New Roman"/>
          <w:sz w:val="24"/>
          <w:szCs w:val="24"/>
        </w:rPr>
        <w:br w:type="page"/>
      </w:r>
    </w:p>
    <w:p w:rsidRPr="004550C2" w:rsidR="009B448F" w:rsidP="0013459C" w:rsidRDefault="009B448F" w14:paraId="1C3EFB38" w14:textId="77777777">
      <w:pPr>
        <w:spacing w:after="0" w:line="240" w:lineRule="auto"/>
        <w:ind w:left="360"/>
        <w:rPr>
          <w:rFonts w:ascii="Times New Roman" w:hAnsi="Times New Roman" w:eastAsia="Times New Roman"/>
          <w:i/>
          <w:sz w:val="24"/>
          <w:szCs w:val="20"/>
        </w:rPr>
      </w:pPr>
      <w:r w:rsidRPr="004550C2">
        <w:rPr>
          <w:rFonts w:ascii="Times New Roman" w:hAnsi="Times New Roman" w:eastAsia="Times New Roman"/>
          <w:i/>
          <w:sz w:val="24"/>
          <w:szCs w:val="20"/>
        </w:rPr>
        <w:t>12b. Annualized Cost Burden Estimate</w:t>
      </w:r>
    </w:p>
    <w:tbl>
      <w:tblPr>
        <w:tblpPr w:leftFromText="180" w:rightFromText="180" w:vertAnchor="text" w:horzAnchor="margin" w:tblpY="142"/>
        <w:tblW w:w="9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8"/>
        <w:gridCol w:w="2160"/>
        <w:gridCol w:w="1890"/>
        <w:gridCol w:w="1620"/>
      </w:tblGrid>
      <w:tr w:rsidRPr="002923E6" w:rsidR="002923E6" w:rsidTr="004550C2" w14:paraId="7C4C1887" w14:textId="77777777">
        <w:trPr>
          <w:trHeight w:val="509"/>
        </w:trPr>
        <w:tc>
          <w:tcPr>
            <w:tcW w:w="3438" w:type="dxa"/>
            <w:shd w:val="clear" w:color="auto" w:fill="auto"/>
          </w:tcPr>
          <w:p w:rsidRPr="002923E6" w:rsidR="002923E6" w:rsidP="0013459C" w:rsidRDefault="002923E6" w14:paraId="37385009" w14:textId="77777777">
            <w:pPr>
              <w:keepNext/>
              <w:spacing w:after="0" w:line="240" w:lineRule="auto"/>
              <w:ind w:left="72"/>
              <w:jc w:val="center"/>
              <w:rPr>
                <w:rFonts w:ascii="Times New Roman" w:hAnsi="Times New Roman" w:eastAsia="Times New Roman"/>
                <w:sz w:val="20"/>
                <w:szCs w:val="20"/>
              </w:rPr>
            </w:pPr>
            <w:r w:rsidRPr="002923E6">
              <w:rPr>
                <w:rFonts w:ascii="Times New Roman" w:hAnsi="Times New Roman" w:eastAsia="Times New Roman"/>
                <w:sz w:val="20"/>
                <w:szCs w:val="20"/>
              </w:rPr>
              <w:t>Type of Respondent</w:t>
            </w:r>
          </w:p>
        </w:tc>
        <w:tc>
          <w:tcPr>
            <w:tcW w:w="2160" w:type="dxa"/>
            <w:shd w:val="clear" w:color="auto" w:fill="auto"/>
          </w:tcPr>
          <w:p w:rsidRPr="002923E6" w:rsidR="002923E6" w:rsidP="0013459C" w:rsidRDefault="002923E6" w14:paraId="0663480F" w14:textId="77777777">
            <w:pPr>
              <w:keepNext/>
              <w:spacing w:after="0" w:line="240" w:lineRule="auto"/>
              <w:ind w:left="72"/>
              <w:jc w:val="center"/>
              <w:rPr>
                <w:rFonts w:ascii="Times New Roman" w:hAnsi="Times New Roman" w:eastAsia="Times New Roman"/>
                <w:sz w:val="20"/>
                <w:szCs w:val="20"/>
              </w:rPr>
            </w:pPr>
            <w:r w:rsidRPr="002923E6">
              <w:rPr>
                <w:rFonts w:ascii="Times New Roman" w:hAnsi="Times New Roman" w:eastAsia="Times New Roman"/>
                <w:sz w:val="20"/>
                <w:szCs w:val="20"/>
              </w:rPr>
              <w:t>Total Burden Hours</w:t>
            </w:r>
          </w:p>
        </w:tc>
        <w:tc>
          <w:tcPr>
            <w:tcW w:w="1890" w:type="dxa"/>
            <w:shd w:val="clear" w:color="auto" w:fill="auto"/>
          </w:tcPr>
          <w:p w:rsidRPr="002923E6" w:rsidR="002923E6" w:rsidP="0013459C" w:rsidRDefault="002923E6" w14:paraId="29D0124F" w14:textId="77777777">
            <w:pPr>
              <w:keepNext/>
              <w:spacing w:after="0" w:line="240" w:lineRule="auto"/>
              <w:ind w:left="72"/>
              <w:jc w:val="center"/>
              <w:rPr>
                <w:rFonts w:ascii="Times New Roman" w:hAnsi="Times New Roman" w:eastAsia="Times New Roman"/>
                <w:sz w:val="20"/>
                <w:szCs w:val="20"/>
              </w:rPr>
            </w:pPr>
            <w:r w:rsidRPr="002923E6">
              <w:rPr>
                <w:rFonts w:ascii="Times New Roman" w:hAnsi="Times New Roman" w:eastAsia="Times New Roman"/>
                <w:sz w:val="20"/>
                <w:szCs w:val="20"/>
              </w:rPr>
              <w:t>Hourly Wage Rate</w:t>
            </w:r>
          </w:p>
        </w:tc>
        <w:tc>
          <w:tcPr>
            <w:tcW w:w="1620" w:type="dxa"/>
            <w:shd w:val="clear" w:color="auto" w:fill="auto"/>
          </w:tcPr>
          <w:p w:rsidRPr="002923E6" w:rsidR="002923E6" w:rsidP="0013459C" w:rsidRDefault="002923E6" w14:paraId="2E5B36A5" w14:textId="77777777">
            <w:pPr>
              <w:keepNext/>
              <w:spacing w:after="0" w:line="240" w:lineRule="auto"/>
              <w:ind w:left="72"/>
              <w:jc w:val="center"/>
              <w:rPr>
                <w:rFonts w:ascii="Times New Roman" w:hAnsi="Times New Roman" w:eastAsia="Times New Roman"/>
                <w:sz w:val="20"/>
                <w:szCs w:val="20"/>
              </w:rPr>
            </w:pPr>
            <w:r w:rsidRPr="002923E6">
              <w:rPr>
                <w:rFonts w:ascii="Times New Roman" w:hAnsi="Times New Roman" w:eastAsia="Times New Roman"/>
                <w:sz w:val="20"/>
                <w:szCs w:val="20"/>
              </w:rPr>
              <w:t>Total Costs</w:t>
            </w:r>
          </w:p>
        </w:tc>
      </w:tr>
      <w:tr w:rsidRPr="002923E6" w:rsidR="002923E6" w:rsidTr="004550C2" w14:paraId="371327E5" w14:textId="77777777">
        <w:trPr>
          <w:trHeight w:val="509"/>
        </w:trPr>
        <w:tc>
          <w:tcPr>
            <w:tcW w:w="3438" w:type="dxa"/>
            <w:shd w:val="clear" w:color="auto" w:fill="auto"/>
          </w:tcPr>
          <w:p w:rsidRPr="002923E6" w:rsidR="002923E6" w:rsidP="0013459C" w:rsidRDefault="002923E6" w14:paraId="0E55E2EA" w14:textId="77777777">
            <w:pPr>
              <w:keepNext/>
              <w:spacing w:after="0" w:line="240" w:lineRule="auto"/>
              <w:ind w:left="72"/>
              <w:rPr>
                <w:rFonts w:ascii="Times New Roman" w:hAnsi="Times New Roman" w:eastAsia="Times New Roman"/>
                <w:sz w:val="20"/>
                <w:szCs w:val="20"/>
              </w:rPr>
            </w:pPr>
            <w:r>
              <w:rPr>
                <w:rFonts w:ascii="Times New Roman" w:hAnsi="Times New Roman" w:eastAsia="Times New Roman"/>
                <w:sz w:val="20"/>
                <w:szCs w:val="20"/>
              </w:rPr>
              <w:t xml:space="preserve">Marketing Manager and Lawyer </w:t>
            </w:r>
            <w:r w:rsidRPr="002923E6">
              <w:rPr>
                <w:rFonts w:ascii="Times New Roman" w:hAnsi="Times New Roman" w:eastAsia="Times New Roman"/>
                <w:sz w:val="20"/>
                <w:szCs w:val="20"/>
              </w:rPr>
              <w:t>*</w:t>
            </w:r>
          </w:p>
        </w:tc>
        <w:tc>
          <w:tcPr>
            <w:tcW w:w="2160" w:type="dxa"/>
            <w:shd w:val="clear" w:color="auto" w:fill="auto"/>
          </w:tcPr>
          <w:p w:rsidRPr="002923E6" w:rsidR="002923E6" w:rsidP="0013459C" w:rsidRDefault="002923E6" w14:paraId="0FEEE5D4" w14:textId="77777777">
            <w:pPr>
              <w:keepNext/>
              <w:spacing w:after="0" w:line="240" w:lineRule="auto"/>
              <w:ind w:left="72"/>
              <w:jc w:val="right"/>
              <w:rPr>
                <w:rFonts w:ascii="Times New Roman" w:hAnsi="Times New Roman" w:eastAsia="Times New Roman"/>
                <w:sz w:val="20"/>
                <w:szCs w:val="20"/>
              </w:rPr>
            </w:pPr>
            <w:r>
              <w:rPr>
                <w:rFonts w:ascii="Times New Roman" w:hAnsi="Times New Roman" w:eastAsia="Times New Roman"/>
                <w:sz w:val="20"/>
                <w:szCs w:val="20"/>
              </w:rPr>
              <w:t>1,360</w:t>
            </w:r>
          </w:p>
        </w:tc>
        <w:tc>
          <w:tcPr>
            <w:tcW w:w="1890" w:type="dxa"/>
            <w:shd w:val="clear" w:color="auto" w:fill="auto"/>
          </w:tcPr>
          <w:p w:rsidRPr="002923E6" w:rsidR="002923E6" w:rsidP="0013459C" w:rsidRDefault="002923E6" w14:paraId="5AF3C00B" w14:textId="77777777">
            <w:pPr>
              <w:keepNext/>
              <w:spacing w:after="0" w:line="240" w:lineRule="auto"/>
              <w:ind w:left="72"/>
              <w:jc w:val="right"/>
              <w:rPr>
                <w:rFonts w:ascii="Times New Roman" w:hAnsi="Times New Roman" w:eastAsia="Times New Roman"/>
                <w:sz w:val="20"/>
                <w:szCs w:val="20"/>
              </w:rPr>
            </w:pPr>
            <w:r w:rsidRPr="002923E6">
              <w:rPr>
                <w:rFonts w:ascii="Times New Roman" w:hAnsi="Times New Roman" w:eastAsia="Times New Roman"/>
                <w:sz w:val="20"/>
                <w:szCs w:val="20"/>
              </w:rPr>
              <w:t>$</w:t>
            </w:r>
            <w:r>
              <w:rPr>
                <w:rFonts w:ascii="Times New Roman" w:hAnsi="Times New Roman" w:eastAsia="Times New Roman"/>
                <w:sz w:val="20"/>
                <w:szCs w:val="20"/>
              </w:rPr>
              <w:t>71</w:t>
            </w:r>
          </w:p>
        </w:tc>
        <w:tc>
          <w:tcPr>
            <w:tcW w:w="1620" w:type="dxa"/>
            <w:shd w:val="clear" w:color="auto" w:fill="auto"/>
          </w:tcPr>
          <w:p w:rsidRPr="002923E6" w:rsidR="002923E6" w:rsidP="0013459C" w:rsidRDefault="002923E6" w14:paraId="541B5184" w14:textId="77777777">
            <w:pPr>
              <w:keepNext/>
              <w:spacing w:after="0" w:line="240" w:lineRule="auto"/>
              <w:ind w:left="108"/>
              <w:jc w:val="right"/>
              <w:rPr>
                <w:rFonts w:ascii="Times New Roman" w:hAnsi="Times New Roman" w:eastAsia="Times New Roman"/>
                <w:sz w:val="20"/>
                <w:szCs w:val="20"/>
              </w:rPr>
            </w:pPr>
            <w:r w:rsidRPr="002923E6">
              <w:rPr>
                <w:rFonts w:ascii="Times New Roman" w:hAnsi="Times New Roman" w:eastAsia="Times New Roman"/>
                <w:sz w:val="20"/>
                <w:szCs w:val="20"/>
              </w:rPr>
              <w:t>$</w:t>
            </w:r>
            <w:r>
              <w:rPr>
                <w:rFonts w:ascii="Times New Roman" w:hAnsi="Times New Roman" w:eastAsia="Times New Roman"/>
                <w:sz w:val="20"/>
                <w:szCs w:val="20"/>
              </w:rPr>
              <w:t>96,560</w:t>
            </w:r>
          </w:p>
        </w:tc>
      </w:tr>
    </w:tbl>
    <w:p w:rsidR="002923E6" w:rsidP="0013459C" w:rsidRDefault="002923E6" w14:paraId="74EE4817" w14:textId="77777777">
      <w:pPr>
        <w:spacing w:after="0" w:line="240" w:lineRule="auto"/>
        <w:rPr>
          <w:rFonts w:ascii="Times New Roman" w:hAnsi="Times New Roman" w:eastAsia="Times New Roman"/>
          <w:sz w:val="24"/>
          <w:szCs w:val="24"/>
        </w:rPr>
      </w:pPr>
    </w:p>
    <w:p w:rsidRPr="00E721D0" w:rsidR="009B448F" w:rsidP="0013459C" w:rsidRDefault="002923E6" w14:paraId="74509AA1" w14:textId="77777777">
      <w:pPr>
        <w:spacing w:after="0" w:line="240" w:lineRule="auto"/>
        <w:rPr>
          <w:rFonts w:eastAsia="Times New Roman"/>
          <w:color w:val="1F497D"/>
          <w:sz w:val="20"/>
          <w:szCs w:val="20"/>
        </w:rPr>
      </w:pPr>
      <w:r>
        <w:rPr>
          <w:rFonts w:ascii="Times New Roman" w:hAnsi="Times New Roman" w:eastAsia="Times New Roman"/>
          <w:sz w:val="24"/>
          <w:szCs w:val="24"/>
        </w:rPr>
        <w:t>*</w:t>
      </w:r>
      <w:r w:rsidRPr="00E721D0" w:rsidR="004550C2">
        <w:rPr>
          <w:rFonts w:ascii="Times New Roman" w:hAnsi="Times New Roman" w:eastAsia="Times New Roman"/>
          <w:sz w:val="20"/>
          <w:szCs w:val="20"/>
        </w:rPr>
        <w:t>Based</w:t>
      </w:r>
      <w:r w:rsidRPr="00E721D0" w:rsidR="009B448F">
        <w:rPr>
          <w:rFonts w:ascii="Times New Roman" w:hAnsi="Times New Roman" w:eastAsia="Times New Roman"/>
          <w:sz w:val="20"/>
          <w:szCs w:val="20"/>
        </w:rPr>
        <w:t xml:space="preserve"> on May 201</w:t>
      </w:r>
      <w:r w:rsidRPr="00E721D0" w:rsidR="004C07FF">
        <w:rPr>
          <w:rFonts w:ascii="Times New Roman" w:hAnsi="Times New Roman" w:eastAsia="Times New Roman"/>
          <w:sz w:val="20"/>
          <w:szCs w:val="20"/>
        </w:rPr>
        <w:t>9</w:t>
      </w:r>
      <w:r w:rsidRPr="00E721D0" w:rsidR="009B448F">
        <w:rPr>
          <w:rFonts w:ascii="Times New Roman" w:hAnsi="Times New Roman" w:eastAsia="Times New Roman"/>
          <w:sz w:val="20"/>
          <w:szCs w:val="20"/>
        </w:rPr>
        <w:t xml:space="preserve"> wage estimates issued by the Bureau of Labor Statistics (</w:t>
      </w:r>
      <w:hyperlink w:tooltip="http://www.bls.gov/oes/current/oes_nat.htm" w:history="1" r:id="rId9">
        <w:r w:rsidRPr="00E721D0" w:rsidR="009B448F">
          <w:rPr>
            <w:rFonts w:ascii="Times New Roman" w:hAnsi="Times New Roman" w:eastAsia="Times New Roman"/>
            <w:color w:val="0000FF"/>
            <w:sz w:val="20"/>
            <w:szCs w:val="20"/>
            <w:u w:val="single"/>
          </w:rPr>
          <w:t>http://www.bls.gov/oes/c</w:t>
        </w:r>
        <w:r w:rsidRPr="00E721D0" w:rsidR="009B448F">
          <w:rPr>
            <w:rFonts w:ascii="Times New Roman" w:hAnsi="Times New Roman" w:eastAsia="Times New Roman"/>
            <w:color w:val="0000FF"/>
            <w:sz w:val="20"/>
            <w:szCs w:val="20"/>
            <w:u w:val="single"/>
          </w:rPr>
          <w:t>u</w:t>
        </w:r>
        <w:r w:rsidRPr="00E721D0" w:rsidR="009B448F">
          <w:rPr>
            <w:rFonts w:ascii="Times New Roman" w:hAnsi="Times New Roman" w:eastAsia="Times New Roman"/>
            <w:color w:val="0000FF"/>
            <w:sz w:val="20"/>
            <w:szCs w:val="20"/>
            <w:u w:val="single"/>
          </w:rPr>
          <w:t>rrent/oe</w:t>
        </w:r>
        <w:r w:rsidRPr="00E721D0" w:rsidR="009B448F">
          <w:rPr>
            <w:rFonts w:ascii="Times New Roman" w:hAnsi="Times New Roman" w:eastAsia="Times New Roman"/>
            <w:color w:val="0000FF"/>
            <w:sz w:val="20"/>
            <w:szCs w:val="20"/>
            <w:u w:val="single"/>
          </w:rPr>
          <w:t>s_na</w:t>
        </w:r>
        <w:r w:rsidRPr="00E721D0" w:rsidR="009B448F">
          <w:rPr>
            <w:rFonts w:ascii="Times New Roman" w:hAnsi="Times New Roman" w:eastAsia="Times New Roman"/>
            <w:color w:val="0000FF"/>
            <w:sz w:val="20"/>
            <w:szCs w:val="20"/>
            <w:u w:val="single"/>
          </w:rPr>
          <w:t>t</w:t>
        </w:r>
        <w:r w:rsidRPr="00E721D0" w:rsidR="009B448F">
          <w:rPr>
            <w:rFonts w:ascii="Times New Roman" w:hAnsi="Times New Roman" w:eastAsia="Times New Roman"/>
            <w:color w:val="0000FF"/>
            <w:sz w:val="20"/>
            <w:szCs w:val="20"/>
            <w:u w:val="single"/>
          </w:rPr>
          <w:t>.htm</w:t>
        </w:r>
      </w:hyperlink>
      <w:r w:rsidRPr="00E721D0" w:rsidR="009B448F">
        <w:rPr>
          <w:rFonts w:ascii="Times New Roman" w:hAnsi="Times New Roman" w:eastAsia="Times New Roman"/>
          <w:sz w:val="20"/>
          <w:szCs w:val="20"/>
        </w:rPr>
        <w:t>) for the “</w:t>
      </w:r>
      <w:r w:rsidRPr="00E721D0" w:rsidR="009B448F">
        <w:rPr>
          <w:rFonts w:ascii="Times New Roman" w:hAnsi="Times New Roman" w:eastAsia="Times New Roman"/>
          <w:i/>
          <w:sz w:val="20"/>
          <w:szCs w:val="20"/>
        </w:rPr>
        <w:t>Marketing Manager</w:t>
      </w:r>
      <w:r w:rsidRPr="00E721D0" w:rsidR="009B448F">
        <w:rPr>
          <w:rFonts w:ascii="Times New Roman" w:hAnsi="Times New Roman" w:eastAsia="Times New Roman"/>
          <w:sz w:val="20"/>
          <w:szCs w:val="20"/>
        </w:rPr>
        <w:t>” and “</w:t>
      </w:r>
      <w:r w:rsidRPr="00E721D0" w:rsidR="009B448F">
        <w:rPr>
          <w:rFonts w:ascii="Times New Roman" w:hAnsi="Times New Roman" w:eastAsia="Times New Roman"/>
          <w:i/>
          <w:sz w:val="20"/>
          <w:szCs w:val="20"/>
        </w:rPr>
        <w:t>Lawyer</w:t>
      </w:r>
      <w:r w:rsidRPr="00E721D0" w:rsidR="009B448F">
        <w:rPr>
          <w:rFonts w:ascii="Times New Roman" w:hAnsi="Times New Roman" w:eastAsia="Times New Roman"/>
          <w:sz w:val="20"/>
          <w:szCs w:val="20"/>
        </w:rPr>
        <w:t xml:space="preserve">” occupations (occupation codes 11-2021 and 23-1011, respectively).  Therefore, FDA estimates the total annual reporting cost to industry for submissions of an </w:t>
      </w:r>
      <w:r w:rsidRPr="00E721D0" w:rsidR="00EA66C0">
        <w:rPr>
          <w:rFonts w:ascii="Times New Roman" w:hAnsi="Times New Roman" w:eastAsia="Times New Roman"/>
          <w:sz w:val="20"/>
          <w:szCs w:val="20"/>
        </w:rPr>
        <w:t>annual</w:t>
      </w:r>
      <w:r w:rsidRPr="00E721D0" w:rsidR="009B448F">
        <w:rPr>
          <w:rFonts w:ascii="Times New Roman" w:hAnsi="Times New Roman" w:eastAsia="Times New Roman"/>
          <w:sz w:val="20"/>
          <w:szCs w:val="20"/>
        </w:rPr>
        <w:t xml:space="preserve"> report</w:t>
      </w:r>
      <w:r w:rsidRPr="00E721D0" w:rsidR="00EA66C0">
        <w:rPr>
          <w:rFonts w:ascii="Times New Roman" w:hAnsi="Times New Roman" w:eastAsia="Times New Roman"/>
          <w:sz w:val="20"/>
          <w:szCs w:val="20"/>
        </w:rPr>
        <w:t xml:space="preserve"> on custom devices</w:t>
      </w:r>
      <w:r w:rsidRPr="00E721D0" w:rsidR="009B448F">
        <w:rPr>
          <w:rFonts w:ascii="Times New Roman" w:hAnsi="Times New Roman" w:eastAsia="Times New Roman"/>
          <w:sz w:val="20"/>
          <w:szCs w:val="20"/>
        </w:rPr>
        <w:t xml:space="preserve"> is </w:t>
      </w:r>
      <w:r w:rsidRPr="00E721D0" w:rsidR="00EA66C0">
        <w:rPr>
          <w:rFonts w:ascii="Times New Roman" w:hAnsi="Times New Roman" w:eastAsia="Times New Roman"/>
          <w:sz w:val="20"/>
          <w:szCs w:val="20"/>
        </w:rPr>
        <w:t>1,3</w:t>
      </w:r>
      <w:r w:rsidRPr="00E721D0" w:rsidR="00C80C8A">
        <w:rPr>
          <w:rFonts w:ascii="Times New Roman" w:hAnsi="Times New Roman" w:eastAsia="Times New Roman"/>
          <w:sz w:val="20"/>
          <w:szCs w:val="20"/>
        </w:rPr>
        <w:t>6</w:t>
      </w:r>
      <w:r w:rsidRPr="00E721D0" w:rsidR="00EA66C0">
        <w:rPr>
          <w:rFonts w:ascii="Times New Roman" w:hAnsi="Times New Roman" w:eastAsia="Times New Roman"/>
          <w:sz w:val="20"/>
          <w:szCs w:val="20"/>
        </w:rPr>
        <w:t>0</w:t>
      </w:r>
      <w:r w:rsidRPr="00E721D0" w:rsidR="009B448F">
        <w:rPr>
          <w:rFonts w:ascii="Times New Roman" w:hAnsi="Times New Roman" w:eastAsia="Times New Roman"/>
          <w:sz w:val="20"/>
          <w:szCs w:val="20"/>
        </w:rPr>
        <w:t xml:space="preserve"> total hours multiplied by $</w:t>
      </w:r>
      <w:r w:rsidRPr="00E721D0" w:rsidR="00C80C8A">
        <w:rPr>
          <w:rFonts w:ascii="Times New Roman" w:hAnsi="Times New Roman" w:eastAsia="Times New Roman"/>
          <w:sz w:val="20"/>
          <w:szCs w:val="20"/>
        </w:rPr>
        <w:t xml:space="preserve">71 </w:t>
      </w:r>
      <w:r w:rsidRPr="00E721D0" w:rsidR="009B448F">
        <w:rPr>
          <w:rFonts w:ascii="Times New Roman" w:hAnsi="Times New Roman" w:eastAsia="Times New Roman"/>
          <w:sz w:val="20"/>
          <w:szCs w:val="20"/>
        </w:rPr>
        <w:t>per hour equals $</w:t>
      </w:r>
      <w:r w:rsidRPr="00E721D0" w:rsidR="00C80C8A">
        <w:rPr>
          <w:rFonts w:ascii="Times New Roman" w:hAnsi="Times New Roman" w:eastAsia="Times New Roman"/>
          <w:sz w:val="20"/>
          <w:szCs w:val="20"/>
        </w:rPr>
        <w:t>96</w:t>
      </w:r>
      <w:r w:rsidRPr="00E721D0" w:rsidR="00BE51EF">
        <w:rPr>
          <w:rFonts w:ascii="Times New Roman" w:hAnsi="Times New Roman" w:eastAsia="Times New Roman"/>
          <w:sz w:val="20"/>
          <w:szCs w:val="20"/>
        </w:rPr>
        <w:t>,</w:t>
      </w:r>
      <w:r w:rsidRPr="00E721D0" w:rsidR="00C80C8A">
        <w:rPr>
          <w:rFonts w:ascii="Times New Roman" w:hAnsi="Times New Roman" w:eastAsia="Times New Roman"/>
          <w:sz w:val="20"/>
          <w:szCs w:val="20"/>
        </w:rPr>
        <w:t>5</w:t>
      </w:r>
      <w:r w:rsidRPr="00E721D0" w:rsidR="00BE51EF">
        <w:rPr>
          <w:rFonts w:ascii="Times New Roman" w:hAnsi="Times New Roman" w:eastAsia="Times New Roman"/>
          <w:sz w:val="20"/>
          <w:szCs w:val="20"/>
        </w:rPr>
        <w:t>60</w:t>
      </w:r>
      <w:r w:rsidRPr="00E721D0" w:rsidR="009B448F">
        <w:rPr>
          <w:rFonts w:ascii="Times New Roman" w:hAnsi="Times New Roman" w:eastAsia="Times New Roman"/>
          <w:sz w:val="20"/>
          <w:szCs w:val="20"/>
        </w:rPr>
        <w:t xml:space="preserve">.  When divided by </w:t>
      </w:r>
      <w:r w:rsidRPr="00E721D0" w:rsidR="00EA66C0">
        <w:rPr>
          <w:rFonts w:ascii="Times New Roman" w:hAnsi="Times New Roman" w:eastAsia="Times New Roman"/>
          <w:sz w:val="20"/>
          <w:szCs w:val="20"/>
        </w:rPr>
        <w:t>3</w:t>
      </w:r>
      <w:r w:rsidRPr="00E721D0" w:rsidR="00C80C8A">
        <w:rPr>
          <w:rFonts w:ascii="Times New Roman" w:hAnsi="Times New Roman" w:eastAsia="Times New Roman"/>
          <w:sz w:val="20"/>
          <w:szCs w:val="20"/>
        </w:rPr>
        <w:t>4</w:t>
      </w:r>
      <w:r w:rsidRPr="00E721D0" w:rsidR="009B448F">
        <w:rPr>
          <w:rFonts w:ascii="Times New Roman" w:hAnsi="Times New Roman" w:eastAsia="Times New Roman"/>
          <w:sz w:val="20"/>
          <w:szCs w:val="20"/>
        </w:rPr>
        <w:t xml:space="preserve"> submissions, this is an average of $</w:t>
      </w:r>
      <w:r w:rsidRPr="00E721D0" w:rsidR="00BE51EF">
        <w:rPr>
          <w:rFonts w:ascii="Times New Roman" w:hAnsi="Times New Roman" w:eastAsia="Times New Roman"/>
          <w:sz w:val="20"/>
          <w:szCs w:val="20"/>
        </w:rPr>
        <w:t>2,</w:t>
      </w:r>
      <w:r w:rsidRPr="00E721D0" w:rsidR="00C80C8A">
        <w:rPr>
          <w:rFonts w:ascii="Times New Roman" w:hAnsi="Times New Roman" w:eastAsia="Times New Roman"/>
          <w:sz w:val="20"/>
          <w:szCs w:val="20"/>
        </w:rPr>
        <w:t xml:space="preserve">840 </w:t>
      </w:r>
      <w:r w:rsidRPr="00E721D0" w:rsidR="009B448F">
        <w:rPr>
          <w:rFonts w:ascii="Times New Roman" w:hAnsi="Times New Roman" w:eastAsia="Times New Roman"/>
          <w:sz w:val="20"/>
          <w:szCs w:val="20"/>
        </w:rPr>
        <w:t>per submission.</w:t>
      </w:r>
    </w:p>
    <w:p w:rsidRPr="009B448F" w:rsidR="009B448F" w:rsidP="0013459C" w:rsidRDefault="009B448F" w14:paraId="5349117E" w14:textId="77777777">
      <w:pPr>
        <w:spacing w:after="0" w:line="240" w:lineRule="auto"/>
        <w:rPr>
          <w:rFonts w:ascii="Times New Roman" w:hAnsi="Times New Roman" w:eastAsia="Times New Roman"/>
          <w:sz w:val="24"/>
          <w:szCs w:val="24"/>
        </w:rPr>
      </w:pPr>
    </w:p>
    <w:p w:rsidRPr="009B448F" w:rsidR="009B448F" w:rsidP="0013459C" w:rsidRDefault="009B448F" w14:paraId="3530E41E"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Estimates of Other Total Annual Costs to Respondents</w:t>
      </w:r>
      <w:r w:rsidR="007C626E">
        <w:rPr>
          <w:rFonts w:ascii="Times New Roman" w:hAnsi="Times New Roman" w:eastAsia="Times New Roman"/>
          <w:sz w:val="24"/>
          <w:szCs w:val="24"/>
          <w:u w:val="single"/>
        </w:rPr>
        <w:t>/</w:t>
      </w:r>
      <w:r w:rsidRPr="009B448F">
        <w:rPr>
          <w:rFonts w:ascii="Times New Roman" w:hAnsi="Times New Roman" w:eastAsia="Times New Roman"/>
          <w:sz w:val="24"/>
          <w:szCs w:val="24"/>
          <w:u w:val="single"/>
        </w:rPr>
        <w:t>Recordkeepers</w:t>
      </w:r>
      <w:r w:rsidR="007C626E">
        <w:rPr>
          <w:rFonts w:ascii="Times New Roman" w:hAnsi="Times New Roman" w:eastAsia="Times New Roman"/>
          <w:sz w:val="24"/>
          <w:szCs w:val="24"/>
          <w:u w:val="single"/>
        </w:rPr>
        <w:t xml:space="preserve"> or </w:t>
      </w:r>
      <w:r w:rsidRPr="009B448F">
        <w:rPr>
          <w:rFonts w:ascii="Times New Roman" w:hAnsi="Times New Roman" w:eastAsia="Times New Roman"/>
          <w:sz w:val="24"/>
          <w:szCs w:val="24"/>
          <w:u w:val="single"/>
        </w:rPr>
        <w:t>Capital Costs</w:t>
      </w:r>
    </w:p>
    <w:p w:rsidRPr="009B448F" w:rsidR="009B448F" w:rsidP="0013459C" w:rsidRDefault="009B448F" w14:paraId="2FAC2878" w14:textId="77777777">
      <w:pPr>
        <w:spacing w:after="0" w:line="240" w:lineRule="auto"/>
        <w:rPr>
          <w:rFonts w:ascii="Times New Roman" w:hAnsi="Times New Roman" w:eastAsia="Times New Roman"/>
          <w:sz w:val="24"/>
          <w:szCs w:val="24"/>
        </w:rPr>
      </w:pPr>
      <w:r w:rsidRPr="009B448F">
        <w:rPr>
          <w:rFonts w:ascii="Times New Roman" w:hAnsi="Times New Roman" w:eastAsia="Times New Roman"/>
          <w:sz w:val="24"/>
          <w:szCs w:val="24"/>
        </w:rPr>
        <w:t>There are no capital, start-up, operating or maintenance costs associated with this information collection.</w:t>
      </w:r>
    </w:p>
    <w:p w:rsidRPr="009B448F" w:rsidR="009B448F" w:rsidP="0013459C" w:rsidRDefault="009B448F" w14:paraId="7A9947B3" w14:textId="77777777">
      <w:pPr>
        <w:keepNext/>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Annualized Cost to the Federal Government</w:t>
      </w:r>
    </w:p>
    <w:p w:rsidRPr="009B448F" w:rsidR="009B448F" w:rsidP="0013459C" w:rsidRDefault="002071D6" w14:paraId="6560A280" w14:textId="7AC31E1D">
      <w:pPr>
        <w:spacing w:after="73" w:line="240" w:lineRule="auto"/>
        <w:rPr>
          <w:rFonts w:ascii="Times New Roman" w:hAnsi="Times New Roman" w:eastAsia="Times New Roman"/>
          <w:sz w:val="24"/>
          <w:szCs w:val="24"/>
        </w:rPr>
      </w:pPr>
      <w:r>
        <w:rPr>
          <w:rFonts w:ascii="Times New Roman" w:hAnsi="Times New Roman" w:eastAsia="Times New Roman"/>
          <w:sz w:val="24"/>
          <w:szCs w:val="24"/>
        </w:rPr>
        <w:t xml:space="preserve">Costs for </w:t>
      </w:r>
      <w:r w:rsidRPr="009B448F" w:rsidR="009B448F">
        <w:rPr>
          <w:rFonts w:ascii="Times New Roman" w:hAnsi="Times New Roman" w:eastAsia="Times New Roman"/>
          <w:sz w:val="24"/>
          <w:szCs w:val="24"/>
        </w:rPr>
        <w:t xml:space="preserve">review of </w:t>
      </w:r>
      <w:r w:rsidR="00F50259">
        <w:rPr>
          <w:rFonts w:ascii="Times New Roman" w:hAnsi="Times New Roman" w:eastAsia="Times New Roman"/>
          <w:sz w:val="24"/>
          <w:szCs w:val="24"/>
        </w:rPr>
        <w:t>annual reports for custom devices</w:t>
      </w:r>
      <w:r w:rsidRPr="009B448F" w:rsidR="009B448F">
        <w:rPr>
          <w:rFonts w:ascii="Times New Roman" w:hAnsi="Times New Roman" w:eastAsia="Times New Roman"/>
          <w:sz w:val="24"/>
          <w:szCs w:val="24"/>
        </w:rPr>
        <w:t xml:space="preserve"> will be </w:t>
      </w:r>
      <w:r>
        <w:rPr>
          <w:rFonts w:ascii="Times New Roman" w:hAnsi="Times New Roman" w:eastAsia="Times New Roman"/>
          <w:sz w:val="24"/>
          <w:szCs w:val="24"/>
        </w:rPr>
        <w:t xml:space="preserve">absorbed through </w:t>
      </w:r>
      <w:r w:rsidR="00602E85">
        <w:rPr>
          <w:rFonts w:ascii="Times New Roman" w:hAnsi="Times New Roman" w:eastAsia="Times New Roman"/>
          <w:sz w:val="24"/>
          <w:szCs w:val="24"/>
        </w:rPr>
        <w:t>existing</w:t>
      </w:r>
      <w:bookmarkStart w:name="_GoBack" w:id="0"/>
      <w:bookmarkEnd w:id="0"/>
      <w:r>
        <w:rPr>
          <w:rFonts w:ascii="Times New Roman" w:hAnsi="Times New Roman" w:eastAsia="Times New Roman"/>
          <w:sz w:val="24"/>
          <w:szCs w:val="24"/>
        </w:rPr>
        <w:t xml:space="preserve"> resource allocations.</w:t>
      </w:r>
    </w:p>
    <w:p w:rsidRPr="009B448F" w:rsidR="009B448F" w:rsidP="0013459C" w:rsidRDefault="009B448F" w14:paraId="4746E7BC"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Explanation for Program Changes or Adjustments</w:t>
      </w:r>
    </w:p>
    <w:p w:rsidRPr="009B448F" w:rsidR="009B448F" w:rsidP="0013459C" w:rsidRDefault="002071D6" w14:paraId="0634EBF8" w14:textId="092A2375">
      <w:pPr>
        <w:spacing w:after="120" w:line="240" w:lineRule="auto"/>
        <w:rPr>
          <w:rFonts w:ascii="Times New Roman" w:hAnsi="Times New Roman" w:eastAsia="Times New Roman"/>
          <w:sz w:val="24"/>
          <w:szCs w:val="24"/>
        </w:rPr>
      </w:pPr>
      <w:r>
        <w:rPr>
          <w:rFonts w:ascii="Times New Roman" w:hAnsi="Times New Roman" w:eastAsia="Times New Roman"/>
          <w:sz w:val="24"/>
          <w:szCs w:val="24"/>
        </w:rPr>
        <w:t xml:space="preserve">The information collection reflects adjustment.  We have </w:t>
      </w:r>
      <w:r w:rsidR="005F5DCE">
        <w:rPr>
          <w:rFonts w:ascii="Times New Roman" w:hAnsi="Times New Roman" w:eastAsia="Times New Roman"/>
          <w:sz w:val="24"/>
          <w:szCs w:val="24"/>
        </w:rPr>
        <w:t xml:space="preserve">increased </w:t>
      </w:r>
      <w:r>
        <w:rPr>
          <w:rFonts w:ascii="Times New Roman" w:hAnsi="Times New Roman" w:eastAsia="Times New Roman"/>
          <w:sz w:val="24"/>
          <w:szCs w:val="24"/>
        </w:rPr>
        <w:t xml:space="preserve">the number of respondents </w:t>
      </w:r>
      <w:r w:rsidR="005F5DCE">
        <w:rPr>
          <w:rFonts w:ascii="Times New Roman" w:hAnsi="Times New Roman" w:eastAsia="Times New Roman"/>
          <w:sz w:val="24"/>
          <w:szCs w:val="24"/>
        </w:rPr>
        <w:t xml:space="preserve">from 33 to 34 </w:t>
      </w:r>
      <w:r>
        <w:rPr>
          <w:rFonts w:ascii="Times New Roman" w:hAnsi="Times New Roman" w:eastAsia="Times New Roman"/>
          <w:sz w:val="24"/>
          <w:szCs w:val="24"/>
        </w:rPr>
        <w:t>to reflect more recent data.</w:t>
      </w:r>
      <w:r w:rsidR="005F5DCE">
        <w:rPr>
          <w:rFonts w:ascii="Times New Roman" w:hAnsi="Times New Roman" w:eastAsia="Times New Roman"/>
          <w:sz w:val="24"/>
          <w:szCs w:val="24"/>
        </w:rPr>
        <w:t xml:space="preserve"> </w:t>
      </w:r>
    </w:p>
    <w:p w:rsidRPr="009B448F" w:rsidR="009B448F" w:rsidP="0013459C" w:rsidRDefault="009B448F" w14:paraId="374D4650"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Plans for Tabulation and Publication and Project Time Schedule</w:t>
      </w:r>
    </w:p>
    <w:p w:rsidRPr="009B448F" w:rsidR="009B448F" w:rsidP="0013459C" w:rsidRDefault="002071D6" w14:paraId="2A8F2DE6" w14:textId="3F18446F">
      <w:pPr>
        <w:spacing w:before="100" w:beforeAutospacing="1" w:after="100" w:afterAutospacing="1" w:line="240" w:lineRule="auto"/>
        <w:rPr>
          <w:rFonts w:ascii="Times New Roman" w:hAnsi="Times New Roman" w:eastAsia="Times New Roman"/>
          <w:sz w:val="24"/>
          <w:szCs w:val="24"/>
          <w:u w:val="single"/>
        </w:rPr>
      </w:pPr>
      <w:r>
        <w:rPr>
          <w:rFonts w:ascii="Times New Roman" w:hAnsi="Times New Roman" w:eastAsia="Times New Roman"/>
          <w:sz w:val="24"/>
          <w:szCs w:val="24"/>
        </w:rPr>
        <w:t xml:space="preserve">We do </w:t>
      </w:r>
      <w:r w:rsidRPr="009B448F" w:rsidR="009B448F">
        <w:rPr>
          <w:rFonts w:ascii="Times New Roman" w:hAnsi="Times New Roman" w:eastAsia="Times New Roman"/>
          <w:sz w:val="24"/>
          <w:szCs w:val="24"/>
        </w:rPr>
        <w:t>not intend to publish or tabulate the results of this information collection.</w:t>
      </w:r>
    </w:p>
    <w:p w:rsidRPr="009B448F" w:rsidR="009B448F" w:rsidP="0013459C" w:rsidRDefault="009B448F" w14:paraId="51E0AB4B"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Reason(s) Display of OMB Expiration Date is Inappropriate</w:t>
      </w:r>
    </w:p>
    <w:p w:rsidRPr="009B448F" w:rsidR="009B448F" w:rsidP="0013459C" w:rsidRDefault="002071D6" w14:paraId="331834D0" w14:textId="6BC7D70B">
      <w:pPr>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Display of the </w:t>
      </w:r>
      <w:r w:rsidRPr="009B448F" w:rsidR="009B448F">
        <w:rPr>
          <w:rFonts w:ascii="Times New Roman" w:hAnsi="Times New Roman" w:eastAsia="Times New Roman"/>
          <w:sz w:val="24"/>
          <w:szCs w:val="24"/>
        </w:rPr>
        <w:t>OMB expiration date</w:t>
      </w:r>
      <w:r>
        <w:rPr>
          <w:rFonts w:ascii="Times New Roman" w:hAnsi="Times New Roman" w:eastAsia="Times New Roman"/>
          <w:sz w:val="24"/>
          <w:szCs w:val="24"/>
        </w:rPr>
        <w:t xml:space="preserve"> is appropriate.</w:t>
      </w:r>
    </w:p>
    <w:p w:rsidRPr="009B448F" w:rsidR="009B448F" w:rsidP="0013459C" w:rsidRDefault="009B448F" w14:paraId="42AEDDDD" w14:textId="77777777">
      <w:pPr>
        <w:numPr>
          <w:ilvl w:val="0"/>
          <w:numId w:val="5"/>
        </w:numPr>
        <w:spacing w:before="100" w:beforeAutospacing="1" w:after="100" w:afterAutospacing="1" w:line="240" w:lineRule="auto"/>
        <w:rPr>
          <w:rFonts w:ascii="Times New Roman" w:hAnsi="Times New Roman" w:eastAsia="Times New Roman"/>
          <w:sz w:val="24"/>
          <w:szCs w:val="24"/>
          <w:u w:val="single"/>
        </w:rPr>
      </w:pPr>
      <w:r w:rsidRPr="009B448F">
        <w:rPr>
          <w:rFonts w:ascii="Times New Roman" w:hAnsi="Times New Roman" w:eastAsia="Times New Roman"/>
          <w:sz w:val="24"/>
          <w:szCs w:val="24"/>
          <w:u w:val="single"/>
        </w:rPr>
        <w:t>Exceptions to Certification for Paperwork Reduction Act Submissions</w:t>
      </w:r>
    </w:p>
    <w:p w:rsidRPr="009B448F" w:rsidR="009B448F" w:rsidP="0013459C" w:rsidRDefault="009B448F" w14:paraId="49823A01" w14:textId="77777777">
      <w:pPr>
        <w:spacing w:before="100" w:beforeAutospacing="1" w:after="100" w:afterAutospacing="1" w:line="240" w:lineRule="auto"/>
        <w:rPr>
          <w:rFonts w:ascii="Times New Roman" w:hAnsi="Times New Roman" w:eastAsia="Times New Roman"/>
          <w:sz w:val="24"/>
          <w:szCs w:val="24"/>
        </w:rPr>
      </w:pPr>
      <w:r w:rsidRPr="009B448F">
        <w:rPr>
          <w:rFonts w:ascii="Times New Roman" w:hAnsi="Times New Roman" w:eastAsia="Times New Roman"/>
          <w:sz w:val="24"/>
          <w:szCs w:val="24"/>
        </w:rPr>
        <w:t>There are no exceptions to the certification.</w:t>
      </w:r>
    </w:p>
    <w:p w:rsidRPr="009B448F" w:rsidR="009B448F" w:rsidP="0013459C" w:rsidRDefault="009B448F" w14:paraId="23F82696" w14:textId="77777777">
      <w:pPr>
        <w:spacing w:after="0" w:line="240" w:lineRule="auto"/>
        <w:rPr>
          <w:rFonts w:ascii="Times New Roman" w:hAnsi="Times New Roman" w:eastAsia="Times New Roman"/>
          <w:sz w:val="24"/>
          <w:szCs w:val="24"/>
        </w:rPr>
      </w:pPr>
    </w:p>
    <w:p w:rsidR="00C031BD" w:rsidP="0013459C" w:rsidRDefault="00C031BD" w14:paraId="01ED0364" w14:textId="77777777">
      <w:pPr>
        <w:spacing w:line="240" w:lineRule="auto"/>
      </w:pPr>
    </w:p>
    <w:sectPr w:rsidR="00C031B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80380" w14:textId="77777777" w:rsidR="00C97C45" w:rsidRDefault="00C97C45">
      <w:pPr>
        <w:spacing w:after="0" w:line="240" w:lineRule="auto"/>
      </w:pPr>
      <w:r>
        <w:separator/>
      </w:r>
    </w:p>
  </w:endnote>
  <w:endnote w:type="continuationSeparator" w:id="0">
    <w:p w14:paraId="561925A2" w14:textId="77777777" w:rsidR="00C97C45" w:rsidRDefault="00C9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D0189" w14:textId="77777777" w:rsidR="00C97C45" w:rsidRDefault="00C97C45">
      <w:pPr>
        <w:spacing w:after="0" w:line="240" w:lineRule="auto"/>
      </w:pPr>
      <w:r>
        <w:separator/>
      </w:r>
    </w:p>
  </w:footnote>
  <w:footnote w:type="continuationSeparator" w:id="0">
    <w:p w14:paraId="5F494082" w14:textId="77777777" w:rsidR="00C97C45" w:rsidRDefault="00C97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21113"/>
    <w:multiLevelType w:val="hybridMultilevel"/>
    <w:tmpl w:val="65C4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B1711"/>
    <w:multiLevelType w:val="hybridMultilevel"/>
    <w:tmpl w:val="F8A80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41A43"/>
    <w:multiLevelType w:val="hybridMultilevel"/>
    <w:tmpl w:val="6BAE8644"/>
    <w:lvl w:ilvl="0" w:tplc="4DA2C3CC">
      <w:start w:val="1"/>
      <w:numFmt w:val="bullet"/>
      <w:lvlText w:val="•"/>
      <w:lvlJc w:val="left"/>
      <w:pPr>
        <w:tabs>
          <w:tab w:val="num" w:pos="720"/>
        </w:tabs>
        <w:ind w:left="720" w:hanging="360"/>
      </w:pPr>
      <w:rPr>
        <w:rFonts w:ascii="Times New Roman" w:hAnsi="Times New Roman" w:hint="default"/>
      </w:rPr>
    </w:lvl>
    <w:lvl w:ilvl="1" w:tplc="F3580584" w:tentative="1">
      <w:start w:val="1"/>
      <w:numFmt w:val="bullet"/>
      <w:lvlText w:val="•"/>
      <w:lvlJc w:val="left"/>
      <w:pPr>
        <w:tabs>
          <w:tab w:val="num" w:pos="1440"/>
        </w:tabs>
        <w:ind w:left="1440" w:hanging="360"/>
      </w:pPr>
      <w:rPr>
        <w:rFonts w:ascii="Times New Roman" w:hAnsi="Times New Roman" w:hint="default"/>
      </w:rPr>
    </w:lvl>
    <w:lvl w:ilvl="2" w:tplc="E296252C" w:tentative="1">
      <w:start w:val="1"/>
      <w:numFmt w:val="bullet"/>
      <w:lvlText w:val="•"/>
      <w:lvlJc w:val="left"/>
      <w:pPr>
        <w:tabs>
          <w:tab w:val="num" w:pos="2160"/>
        </w:tabs>
        <w:ind w:left="2160" w:hanging="360"/>
      </w:pPr>
      <w:rPr>
        <w:rFonts w:ascii="Times New Roman" w:hAnsi="Times New Roman" w:hint="default"/>
      </w:rPr>
    </w:lvl>
    <w:lvl w:ilvl="3" w:tplc="92787626" w:tentative="1">
      <w:start w:val="1"/>
      <w:numFmt w:val="bullet"/>
      <w:lvlText w:val="•"/>
      <w:lvlJc w:val="left"/>
      <w:pPr>
        <w:tabs>
          <w:tab w:val="num" w:pos="2880"/>
        </w:tabs>
        <w:ind w:left="2880" w:hanging="360"/>
      </w:pPr>
      <w:rPr>
        <w:rFonts w:ascii="Times New Roman" w:hAnsi="Times New Roman" w:hint="default"/>
      </w:rPr>
    </w:lvl>
    <w:lvl w:ilvl="4" w:tplc="FF6EA55E" w:tentative="1">
      <w:start w:val="1"/>
      <w:numFmt w:val="bullet"/>
      <w:lvlText w:val="•"/>
      <w:lvlJc w:val="left"/>
      <w:pPr>
        <w:tabs>
          <w:tab w:val="num" w:pos="3600"/>
        </w:tabs>
        <w:ind w:left="3600" w:hanging="360"/>
      </w:pPr>
      <w:rPr>
        <w:rFonts w:ascii="Times New Roman" w:hAnsi="Times New Roman" w:hint="default"/>
      </w:rPr>
    </w:lvl>
    <w:lvl w:ilvl="5" w:tplc="8E049894" w:tentative="1">
      <w:start w:val="1"/>
      <w:numFmt w:val="bullet"/>
      <w:lvlText w:val="•"/>
      <w:lvlJc w:val="left"/>
      <w:pPr>
        <w:tabs>
          <w:tab w:val="num" w:pos="4320"/>
        </w:tabs>
        <w:ind w:left="4320" w:hanging="360"/>
      </w:pPr>
      <w:rPr>
        <w:rFonts w:ascii="Times New Roman" w:hAnsi="Times New Roman" w:hint="default"/>
      </w:rPr>
    </w:lvl>
    <w:lvl w:ilvl="6" w:tplc="CBD8AE54" w:tentative="1">
      <w:start w:val="1"/>
      <w:numFmt w:val="bullet"/>
      <w:lvlText w:val="•"/>
      <w:lvlJc w:val="left"/>
      <w:pPr>
        <w:tabs>
          <w:tab w:val="num" w:pos="5040"/>
        </w:tabs>
        <w:ind w:left="5040" w:hanging="360"/>
      </w:pPr>
      <w:rPr>
        <w:rFonts w:ascii="Times New Roman" w:hAnsi="Times New Roman" w:hint="default"/>
      </w:rPr>
    </w:lvl>
    <w:lvl w:ilvl="7" w:tplc="74740BFC" w:tentative="1">
      <w:start w:val="1"/>
      <w:numFmt w:val="bullet"/>
      <w:lvlText w:val="•"/>
      <w:lvlJc w:val="left"/>
      <w:pPr>
        <w:tabs>
          <w:tab w:val="num" w:pos="5760"/>
        </w:tabs>
        <w:ind w:left="5760" w:hanging="360"/>
      </w:pPr>
      <w:rPr>
        <w:rFonts w:ascii="Times New Roman" w:hAnsi="Times New Roman" w:hint="default"/>
      </w:rPr>
    </w:lvl>
    <w:lvl w:ilvl="8" w:tplc="12D4A4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7E551A6"/>
    <w:multiLevelType w:val="hybridMultilevel"/>
    <w:tmpl w:val="3FCCF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48F"/>
    <w:rsid w:val="00002C0E"/>
    <w:rsid w:val="0000395D"/>
    <w:rsid w:val="00006F94"/>
    <w:rsid w:val="00025913"/>
    <w:rsid w:val="00072E57"/>
    <w:rsid w:val="000936CE"/>
    <w:rsid w:val="000E2B9A"/>
    <w:rsid w:val="0013459C"/>
    <w:rsid w:val="001A046A"/>
    <w:rsid w:val="001B1FD4"/>
    <w:rsid w:val="001C1B63"/>
    <w:rsid w:val="001C2CDD"/>
    <w:rsid w:val="001C3114"/>
    <w:rsid w:val="001C3D6D"/>
    <w:rsid w:val="001D46AF"/>
    <w:rsid w:val="001E78F7"/>
    <w:rsid w:val="0020218D"/>
    <w:rsid w:val="002071D6"/>
    <w:rsid w:val="00214741"/>
    <w:rsid w:val="002215A7"/>
    <w:rsid w:val="00223434"/>
    <w:rsid w:val="002236BA"/>
    <w:rsid w:val="002348F5"/>
    <w:rsid w:val="00235EC5"/>
    <w:rsid w:val="002864B0"/>
    <w:rsid w:val="002923E6"/>
    <w:rsid w:val="002A0846"/>
    <w:rsid w:val="002E1595"/>
    <w:rsid w:val="00310681"/>
    <w:rsid w:val="00314137"/>
    <w:rsid w:val="0032216C"/>
    <w:rsid w:val="00324999"/>
    <w:rsid w:val="003376F9"/>
    <w:rsid w:val="003405F9"/>
    <w:rsid w:val="00366350"/>
    <w:rsid w:val="00371D97"/>
    <w:rsid w:val="003729A8"/>
    <w:rsid w:val="003946D6"/>
    <w:rsid w:val="003B141E"/>
    <w:rsid w:val="003B492C"/>
    <w:rsid w:val="00411CDB"/>
    <w:rsid w:val="0042440A"/>
    <w:rsid w:val="0043261F"/>
    <w:rsid w:val="00441ED3"/>
    <w:rsid w:val="00451EF1"/>
    <w:rsid w:val="00452849"/>
    <w:rsid w:val="004550C2"/>
    <w:rsid w:val="004812EE"/>
    <w:rsid w:val="00482A4C"/>
    <w:rsid w:val="004A1D8D"/>
    <w:rsid w:val="004B03F0"/>
    <w:rsid w:val="004C07FF"/>
    <w:rsid w:val="004D1BBA"/>
    <w:rsid w:val="004E7F63"/>
    <w:rsid w:val="004F4199"/>
    <w:rsid w:val="00514267"/>
    <w:rsid w:val="00517C8E"/>
    <w:rsid w:val="00517E82"/>
    <w:rsid w:val="005237EE"/>
    <w:rsid w:val="00527A0E"/>
    <w:rsid w:val="00545793"/>
    <w:rsid w:val="005500EA"/>
    <w:rsid w:val="00550846"/>
    <w:rsid w:val="005533FE"/>
    <w:rsid w:val="00566756"/>
    <w:rsid w:val="005719F6"/>
    <w:rsid w:val="005B078D"/>
    <w:rsid w:val="005F5DCE"/>
    <w:rsid w:val="00602E85"/>
    <w:rsid w:val="00615F0C"/>
    <w:rsid w:val="006729EF"/>
    <w:rsid w:val="00676ECD"/>
    <w:rsid w:val="006902B3"/>
    <w:rsid w:val="006C624C"/>
    <w:rsid w:val="00717BDC"/>
    <w:rsid w:val="0072725D"/>
    <w:rsid w:val="007369B1"/>
    <w:rsid w:val="0073782E"/>
    <w:rsid w:val="00760764"/>
    <w:rsid w:val="00767F63"/>
    <w:rsid w:val="007A214C"/>
    <w:rsid w:val="007A5950"/>
    <w:rsid w:val="007C5599"/>
    <w:rsid w:val="007C626E"/>
    <w:rsid w:val="008057F8"/>
    <w:rsid w:val="008069D5"/>
    <w:rsid w:val="008105D4"/>
    <w:rsid w:val="00854254"/>
    <w:rsid w:val="008571D2"/>
    <w:rsid w:val="00865AC5"/>
    <w:rsid w:val="008756C8"/>
    <w:rsid w:val="00875C0A"/>
    <w:rsid w:val="008A3EFC"/>
    <w:rsid w:val="008A5AA3"/>
    <w:rsid w:val="008D77F4"/>
    <w:rsid w:val="00937FA2"/>
    <w:rsid w:val="009463F5"/>
    <w:rsid w:val="00960C0C"/>
    <w:rsid w:val="009712A0"/>
    <w:rsid w:val="00995B0F"/>
    <w:rsid w:val="009B448F"/>
    <w:rsid w:val="009B6F81"/>
    <w:rsid w:val="009E21E9"/>
    <w:rsid w:val="009F0E24"/>
    <w:rsid w:val="00A17C78"/>
    <w:rsid w:val="00A237D3"/>
    <w:rsid w:val="00A24120"/>
    <w:rsid w:val="00A873EA"/>
    <w:rsid w:val="00A918C5"/>
    <w:rsid w:val="00AA3959"/>
    <w:rsid w:val="00AF1C3F"/>
    <w:rsid w:val="00B01EA3"/>
    <w:rsid w:val="00B70CD7"/>
    <w:rsid w:val="00B7465B"/>
    <w:rsid w:val="00B92C93"/>
    <w:rsid w:val="00BA3A8D"/>
    <w:rsid w:val="00BE51EF"/>
    <w:rsid w:val="00BF54CC"/>
    <w:rsid w:val="00C031BD"/>
    <w:rsid w:val="00C033EF"/>
    <w:rsid w:val="00C24B11"/>
    <w:rsid w:val="00C6103D"/>
    <w:rsid w:val="00C61D19"/>
    <w:rsid w:val="00C71472"/>
    <w:rsid w:val="00C80C8A"/>
    <w:rsid w:val="00C82C5C"/>
    <w:rsid w:val="00C97C45"/>
    <w:rsid w:val="00CB34FA"/>
    <w:rsid w:val="00CD40F4"/>
    <w:rsid w:val="00CF4FAC"/>
    <w:rsid w:val="00D124E2"/>
    <w:rsid w:val="00D1549D"/>
    <w:rsid w:val="00D233D9"/>
    <w:rsid w:val="00D25941"/>
    <w:rsid w:val="00D362BD"/>
    <w:rsid w:val="00D435A4"/>
    <w:rsid w:val="00D55696"/>
    <w:rsid w:val="00D71BBE"/>
    <w:rsid w:val="00D7479C"/>
    <w:rsid w:val="00D80D30"/>
    <w:rsid w:val="00DA4084"/>
    <w:rsid w:val="00DF52E0"/>
    <w:rsid w:val="00E15B5F"/>
    <w:rsid w:val="00E721D0"/>
    <w:rsid w:val="00EA2977"/>
    <w:rsid w:val="00EA3911"/>
    <w:rsid w:val="00EA66C0"/>
    <w:rsid w:val="00EC0F2F"/>
    <w:rsid w:val="00ED3D70"/>
    <w:rsid w:val="00F0006F"/>
    <w:rsid w:val="00F06A91"/>
    <w:rsid w:val="00F175F7"/>
    <w:rsid w:val="00F25A6A"/>
    <w:rsid w:val="00F27E27"/>
    <w:rsid w:val="00F50259"/>
    <w:rsid w:val="00F51A47"/>
    <w:rsid w:val="00F61454"/>
    <w:rsid w:val="00F71A6A"/>
    <w:rsid w:val="00F862E5"/>
    <w:rsid w:val="00F870DE"/>
    <w:rsid w:val="00F87829"/>
    <w:rsid w:val="00F932B8"/>
    <w:rsid w:val="00FA4F7E"/>
    <w:rsid w:val="00FC299F"/>
    <w:rsid w:val="00FC4CBC"/>
    <w:rsid w:val="00FC7E62"/>
    <w:rsid w:val="00FD7B16"/>
    <w:rsid w:val="00F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E14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B448F"/>
    <w:rPr>
      <w:sz w:val="20"/>
      <w:szCs w:val="20"/>
    </w:rPr>
  </w:style>
  <w:style w:type="character" w:customStyle="1" w:styleId="CommentTextChar">
    <w:name w:val="Comment Text Char"/>
    <w:basedOn w:val="DefaultParagraphFont"/>
    <w:link w:val="CommentText"/>
    <w:uiPriority w:val="99"/>
    <w:semiHidden/>
    <w:rsid w:val="009B448F"/>
  </w:style>
  <w:style w:type="character" w:styleId="CommentReference">
    <w:name w:val="annotation reference"/>
    <w:semiHidden/>
    <w:rsid w:val="009B448F"/>
    <w:rPr>
      <w:rFonts w:cs="Times New Roman"/>
      <w:sz w:val="16"/>
      <w:szCs w:val="16"/>
    </w:rPr>
  </w:style>
  <w:style w:type="paragraph" w:styleId="BalloonText">
    <w:name w:val="Balloon Text"/>
    <w:basedOn w:val="Normal"/>
    <w:link w:val="BalloonTextChar"/>
    <w:uiPriority w:val="99"/>
    <w:semiHidden/>
    <w:unhideWhenUsed/>
    <w:rsid w:val="009B448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448F"/>
    <w:rPr>
      <w:rFonts w:ascii="Tahoma" w:hAnsi="Tahoma" w:cs="Tahoma"/>
      <w:sz w:val="16"/>
      <w:szCs w:val="16"/>
    </w:rPr>
  </w:style>
  <w:style w:type="paragraph" w:styleId="ListParagraph">
    <w:name w:val="List Paragraph"/>
    <w:basedOn w:val="Normal"/>
    <w:uiPriority w:val="34"/>
    <w:qFormat/>
    <w:rsid w:val="00717BDC"/>
    <w:pPr>
      <w:spacing w:after="0" w:line="240" w:lineRule="auto"/>
      <w:ind w:left="720"/>
      <w:contextualSpacing/>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B492C"/>
    <w:rPr>
      <w:b/>
      <w:bCs/>
    </w:rPr>
  </w:style>
  <w:style w:type="character" w:customStyle="1" w:styleId="CommentSubjectChar">
    <w:name w:val="Comment Subject Char"/>
    <w:link w:val="CommentSubject"/>
    <w:uiPriority w:val="99"/>
    <w:semiHidden/>
    <w:rsid w:val="003B492C"/>
    <w:rPr>
      <w:b/>
      <w:bCs/>
    </w:rPr>
  </w:style>
  <w:style w:type="character" w:customStyle="1" w:styleId="text2">
    <w:name w:val="text2"/>
    <w:rsid w:val="00875C0A"/>
  </w:style>
  <w:style w:type="character" w:styleId="Hyperlink">
    <w:name w:val="Hyperlink"/>
    <w:uiPriority w:val="99"/>
    <w:unhideWhenUsed/>
    <w:rsid w:val="00F932B8"/>
    <w:rPr>
      <w:color w:val="0563C1"/>
      <w:u w:val="single"/>
    </w:rPr>
  </w:style>
  <w:style w:type="paragraph" w:styleId="NormalWeb">
    <w:name w:val="Normal (Web)"/>
    <w:basedOn w:val="Normal"/>
    <w:uiPriority w:val="99"/>
    <w:semiHidden/>
    <w:unhideWhenUsed/>
    <w:rsid w:val="00F932B8"/>
    <w:pPr>
      <w:spacing w:before="100" w:beforeAutospacing="1" w:after="100" w:afterAutospacing="1" w:line="240" w:lineRule="auto"/>
    </w:pPr>
    <w:rPr>
      <w:rFonts w:cs="Calibri"/>
    </w:rPr>
  </w:style>
  <w:style w:type="character" w:styleId="Emphasis">
    <w:name w:val="Emphasis"/>
    <w:uiPriority w:val="20"/>
    <w:qFormat/>
    <w:rsid w:val="00F932B8"/>
    <w:rPr>
      <w:i/>
      <w:iCs/>
    </w:rPr>
  </w:style>
  <w:style w:type="character" w:styleId="UnresolvedMention">
    <w:name w:val="Unresolved Mention"/>
    <w:uiPriority w:val="99"/>
    <w:semiHidden/>
    <w:unhideWhenUsed/>
    <w:rsid w:val="00F932B8"/>
    <w:rPr>
      <w:color w:val="605E5C"/>
      <w:shd w:val="clear" w:color="auto" w:fill="E1DFDD"/>
    </w:rPr>
  </w:style>
  <w:style w:type="paragraph" w:styleId="Revision">
    <w:name w:val="Revision"/>
    <w:hidden/>
    <w:uiPriority w:val="99"/>
    <w:semiHidden/>
    <w:rsid w:val="00D80D30"/>
    <w:rPr>
      <w:sz w:val="22"/>
      <w:szCs w:val="22"/>
    </w:rPr>
  </w:style>
  <w:style w:type="paragraph" w:styleId="FootnoteText">
    <w:name w:val="footnote text"/>
    <w:basedOn w:val="Normal"/>
    <w:link w:val="FootnoteTextChar"/>
    <w:uiPriority w:val="99"/>
    <w:semiHidden/>
    <w:unhideWhenUsed/>
    <w:rsid w:val="00CB34FA"/>
    <w:rPr>
      <w:sz w:val="20"/>
      <w:szCs w:val="20"/>
    </w:rPr>
  </w:style>
  <w:style w:type="character" w:customStyle="1" w:styleId="FootnoteTextChar">
    <w:name w:val="Footnote Text Char"/>
    <w:basedOn w:val="DefaultParagraphFont"/>
    <w:link w:val="FootnoteText"/>
    <w:uiPriority w:val="99"/>
    <w:semiHidden/>
    <w:rsid w:val="00CB34FA"/>
  </w:style>
  <w:style w:type="character" w:styleId="FootnoteReference">
    <w:name w:val="footnote reference"/>
    <w:uiPriority w:val="99"/>
    <w:semiHidden/>
    <w:unhideWhenUsed/>
    <w:rsid w:val="00CB34FA"/>
    <w:rPr>
      <w:vertAlign w:val="superscript"/>
    </w:rPr>
  </w:style>
  <w:style w:type="character" w:styleId="FollowedHyperlink">
    <w:name w:val="FollowedHyperlink"/>
    <w:uiPriority w:val="99"/>
    <w:semiHidden/>
    <w:unhideWhenUsed/>
    <w:rsid w:val="001C1B63"/>
    <w:rPr>
      <w:color w:val="954F72"/>
      <w:u w:val="single"/>
    </w:rPr>
  </w:style>
  <w:style w:type="paragraph" w:styleId="Header">
    <w:name w:val="header"/>
    <w:basedOn w:val="Normal"/>
    <w:link w:val="HeaderChar"/>
    <w:uiPriority w:val="99"/>
    <w:unhideWhenUsed/>
    <w:rsid w:val="0073782E"/>
    <w:pPr>
      <w:tabs>
        <w:tab w:val="center" w:pos="4680"/>
        <w:tab w:val="right" w:pos="9360"/>
      </w:tabs>
    </w:pPr>
  </w:style>
  <w:style w:type="character" w:customStyle="1" w:styleId="HeaderChar">
    <w:name w:val="Header Char"/>
    <w:basedOn w:val="DefaultParagraphFont"/>
    <w:link w:val="Header"/>
    <w:uiPriority w:val="99"/>
    <w:rsid w:val="0073782E"/>
    <w:rPr>
      <w:sz w:val="22"/>
      <w:szCs w:val="22"/>
    </w:rPr>
  </w:style>
  <w:style w:type="paragraph" w:styleId="Footer">
    <w:name w:val="footer"/>
    <w:basedOn w:val="Normal"/>
    <w:link w:val="FooterChar"/>
    <w:uiPriority w:val="99"/>
    <w:unhideWhenUsed/>
    <w:rsid w:val="0073782E"/>
    <w:pPr>
      <w:tabs>
        <w:tab w:val="center" w:pos="4680"/>
        <w:tab w:val="right" w:pos="9360"/>
      </w:tabs>
    </w:pPr>
  </w:style>
  <w:style w:type="character" w:customStyle="1" w:styleId="FooterChar">
    <w:name w:val="Footer Char"/>
    <w:basedOn w:val="DefaultParagraphFont"/>
    <w:link w:val="Footer"/>
    <w:uiPriority w:val="99"/>
    <w:rsid w:val="007378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06102">
      <w:bodyDiv w:val="1"/>
      <w:marLeft w:val="0"/>
      <w:marRight w:val="0"/>
      <w:marTop w:val="0"/>
      <w:marBottom w:val="0"/>
      <w:divBdr>
        <w:top w:val="none" w:sz="0" w:space="0" w:color="auto"/>
        <w:left w:val="none" w:sz="0" w:space="0" w:color="auto"/>
        <w:bottom w:val="none" w:sz="0" w:space="0" w:color="auto"/>
        <w:right w:val="none" w:sz="0" w:space="0" w:color="auto"/>
      </w:divBdr>
      <w:divsChild>
        <w:div w:id="688874520">
          <w:marLeft w:val="547"/>
          <w:marRight w:val="0"/>
          <w:marTop w:val="317"/>
          <w:marBottom w:val="0"/>
          <w:divBdr>
            <w:top w:val="none" w:sz="0" w:space="0" w:color="auto"/>
            <w:left w:val="none" w:sz="0" w:space="0" w:color="auto"/>
            <w:bottom w:val="none" w:sz="0" w:space="0" w:color="auto"/>
            <w:right w:val="none" w:sz="0" w:space="0" w:color="auto"/>
          </w:divBdr>
        </w:div>
      </w:divsChild>
    </w:div>
    <w:div w:id="1162239383">
      <w:bodyDiv w:val="1"/>
      <w:marLeft w:val="0"/>
      <w:marRight w:val="0"/>
      <w:marTop w:val="0"/>
      <w:marBottom w:val="0"/>
      <w:divBdr>
        <w:top w:val="none" w:sz="0" w:space="0" w:color="auto"/>
        <w:left w:val="none" w:sz="0" w:space="0" w:color="auto"/>
        <w:bottom w:val="none" w:sz="0" w:space="0" w:color="auto"/>
        <w:right w:val="none" w:sz="0" w:space="0" w:color="auto"/>
      </w:divBdr>
    </w:div>
    <w:div w:id="1639452612">
      <w:bodyDiv w:val="1"/>
      <w:marLeft w:val="0"/>
      <w:marRight w:val="0"/>
      <w:marTop w:val="0"/>
      <w:marBottom w:val="0"/>
      <w:divBdr>
        <w:top w:val="none" w:sz="0" w:space="0" w:color="auto"/>
        <w:left w:val="none" w:sz="0" w:space="0" w:color="auto"/>
        <w:bottom w:val="none" w:sz="0" w:space="0" w:color="auto"/>
        <w:right w:val="none" w:sz="0" w:space="0" w:color="auto"/>
      </w:divBdr>
    </w:div>
    <w:div w:id="18739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MedicalDevices/defaul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3BB3-6039-402A-9DC8-42390578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5177438</vt:i4>
      </vt:variant>
      <vt:variant>
        <vt:i4>0</vt:i4>
      </vt:variant>
      <vt:variant>
        <vt:i4>0</vt:i4>
      </vt:variant>
      <vt:variant>
        <vt:i4>5</vt:i4>
      </vt:variant>
      <vt:variant>
        <vt:lpwstr>http://www.fda.gov/MedicalDevices/default.htm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2020-08-31T17:46:00Z</dcterms:created>
  <dcterms:modified xsi:type="dcterms:W3CDTF">2020-08-31T17:46:00Z</dcterms:modified>
</cp:coreProperties>
</file>