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2A7" w:rsidP="007B225C" w:rsidRDefault="00EE22A7" w14:paraId="5FBE54B9" w14:textId="77777777">
      <w:pPr>
        <w:jc w:val="center"/>
      </w:pPr>
      <w:r>
        <w:t>UNITED STATES FOOD &amp; DRUG ADMINISTRATION</w:t>
      </w:r>
    </w:p>
    <w:p w:rsidR="00EE22A7" w:rsidP="007B225C" w:rsidRDefault="00EE22A7" w14:paraId="23C534F2" w14:textId="77777777">
      <w:pPr>
        <w:jc w:val="center"/>
      </w:pPr>
    </w:p>
    <w:p w:rsidRPr="00DA0A22" w:rsidR="007B225C" w:rsidP="007B225C" w:rsidRDefault="00DE389A" w14:paraId="5F8CFC6E" w14:textId="77777777">
      <w:pPr>
        <w:jc w:val="center"/>
      </w:pPr>
      <w:r>
        <w:t xml:space="preserve">Medical Devices:  </w:t>
      </w:r>
      <w:r w:rsidR="00BE0651">
        <w:t xml:space="preserve">Records and Reports on Devices </w:t>
      </w:r>
      <w:r w:rsidRPr="00664390" w:rsidR="00D67325">
        <w:t>Reports</w:t>
      </w:r>
    </w:p>
    <w:p w:rsidRPr="00DA0A22" w:rsidR="007B225C" w:rsidP="007B225C" w:rsidRDefault="007B225C" w14:paraId="3EBD03F8" w14:textId="77777777">
      <w:pPr>
        <w:jc w:val="center"/>
      </w:pPr>
    </w:p>
    <w:p w:rsidRPr="005D4F55" w:rsidR="00795DF3" w:rsidP="00956643" w:rsidRDefault="00EE22A7" w14:paraId="744E0C2B" w14:textId="77777777">
      <w:pPr>
        <w:jc w:val="center"/>
        <w:rPr>
          <w:b/>
        </w:rPr>
      </w:pPr>
      <w:r w:rsidRPr="00EE22A7">
        <w:rPr>
          <w:u w:val="single"/>
        </w:rPr>
        <w:t xml:space="preserve">OMB Control No. </w:t>
      </w:r>
      <w:r w:rsidRPr="00EE22A7" w:rsidR="007B225C">
        <w:rPr>
          <w:u w:val="single"/>
        </w:rPr>
        <w:t>0910-</w:t>
      </w:r>
      <w:r w:rsidRPr="00EE22A7" w:rsidR="00D67325">
        <w:rPr>
          <w:u w:val="single"/>
        </w:rPr>
        <w:t>0359</w:t>
      </w:r>
      <w:r w:rsidR="005D4F55">
        <w:t xml:space="preserve"> - Revision</w:t>
      </w:r>
    </w:p>
    <w:p w:rsidRPr="00DA0A22" w:rsidR="00EB7538" w:rsidP="00B23769" w:rsidRDefault="00EB7538" w14:paraId="7135CDF8" w14:textId="77777777">
      <w:pPr>
        <w:jc w:val="center"/>
      </w:pPr>
    </w:p>
    <w:p w:rsidRPr="00DA0A22" w:rsidR="00EB7538" w:rsidP="00EE22A7" w:rsidRDefault="00EB7538" w14:paraId="382BA924" w14:textId="77777777">
      <w:r w:rsidRPr="00DA0A22">
        <w:t>SUPPORTING STATEMENT</w:t>
      </w:r>
      <w:r w:rsidR="005D4F55">
        <w:t xml:space="preserve"> – </w:t>
      </w:r>
      <w:r w:rsidRPr="00BE0651" w:rsidR="005D4F55">
        <w:rPr>
          <w:b/>
        </w:rPr>
        <w:t xml:space="preserve">Part </w:t>
      </w:r>
      <w:r w:rsidRPr="00BE0651" w:rsidR="00EE22A7">
        <w:rPr>
          <w:b/>
        </w:rPr>
        <w:t>A</w:t>
      </w:r>
      <w:r w:rsidR="005D4F55">
        <w:rPr>
          <w:b/>
        </w:rPr>
        <w:t xml:space="preserve">:  </w:t>
      </w:r>
      <w:r w:rsidRPr="00EE22A7" w:rsidR="00EE22A7">
        <w:rPr>
          <w:b/>
        </w:rPr>
        <w:t>Justification</w:t>
      </w:r>
      <w:r w:rsidR="00EE22A7">
        <w:t>:</w:t>
      </w:r>
    </w:p>
    <w:p w:rsidRPr="00DA0A22" w:rsidR="00810FF1" w:rsidP="00B23769" w:rsidRDefault="00810FF1" w14:paraId="7E04A244" w14:textId="77777777">
      <w:pPr>
        <w:jc w:val="center"/>
        <w:rPr>
          <w:b/>
        </w:rPr>
      </w:pPr>
    </w:p>
    <w:p w:rsidRPr="00DA0A22" w:rsidR="008B30AB" w:rsidP="008B30AB" w:rsidRDefault="00EB7538" w14:paraId="12D202E4" w14:textId="77777777">
      <w:pPr>
        <w:numPr>
          <w:ilvl w:val="0"/>
          <w:numId w:val="1"/>
        </w:numPr>
        <w:spacing w:before="100" w:beforeAutospacing="1" w:after="100" w:afterAutospacing="1"/>
        <w:rPr>
          <w:u w:val="single"/>
        </w:rPr>
      </w:pPr>
      <w:r w:rsidRPr="00DA0A22">
        <w:rPr>
          <w:u w:val="single"/>
        </w:rPr>
        <w:t>Circumstances Making the Collection of Information Necessary</w:t>
      </w:r>
    </w:p>
    <w:p w:rsidR="009760E8" w:rsidP="009760E8" w:rsidRDefault="00577A21" w14:paraId="1DC5A5CB" w14:textId="77777777">
      <w:pPr>
        <w:spacing w:before="100" w:beforeAutospacing="1" w:after="100" w:afterAutospacing="1"/>
        <w:ind w:left="720"/>
      </w:pPr>
      <w:r>
        <w:t>This information collection supports</w:t>
      </w:r>
      <w:r w:rsidR="00DE389A">
        <w:t xml:space="preserve"> Food and Drug Administration (FDA, the agency, us or we) regulations</w:t>
      </w:r>
      <w:r w:rsidR="00FB7564">
        <w:t xml:space="preserve"> that </w:t>
      </w:r>
      <w:r w:rsidRPr="00FB7564" w:rsidR="00FB7564">
        <w:t>implement section 519(g) of the Federal Food, Drug, and Cosmetic Act (</w:t>
      </w:r>
      <w:r w:rsidR="00FB7564">
        <w:t>FD&amp;C Act</w:t>
      </w:r>
      <w:r w:rsidRPr="00FB7564" w:rsidR="00FB7564">
        <w:t>)</w:t>
      </w:r>
      <w:r w:rsidR="00FB7564">
        <w:t>.  Section 519(g) of the FD&amp;C Act requires</w:t>
      </w:r>
      <w:r w:rsidR="00DE389A">
        <w:t xml:space="preserve"> </w:t>
      </w:r>
      <w:r w:rsidRPr="00DE389A" w:rsidR="00DE389A">
        <w:t xml:space="preserve">device manufacturers and importers to report promptly to </w:t>
      </w:r>
      <w:r w:rsidR="00FB7564">
        <w:t xml:space="preserve">FDA </w:t>
      </w:r>
      <w:r w:rsidRPr="00DE389A" w:rsidR="00DE389A">
        <w:t>certain actions concerning device corrections and removals, and to maintain records of all corrections and removals regardless of whether such corrections and removals are required to be reported to FDA.</w:t>
      </w:r>
      <w:r w:rsidR="00FB7564">
        <w:t xml:space="preserve">  The regulations are codified in 21 CFR part 806:  </w:t>
      </w:r>
      <w:r w:rsidRPr="00BE0651" w:rsidR="00FB7564">
        <w:rPr>
          <w:i/>
        </w:rPr>
        <w:t xml:space="preserve">Medical Devices; Reports </w:t>
      </w:r>
      <w:r w:rsidRPr="00BE0651" w:rsidR="006C67D4">
        <w:rPr>
          <w:i/>
        </w:rPr>
        <w:t>of corrections and removals</w:t>
      </w:r>
      <w:r w:rsidR="00FB7564">
        <w:t>.</w:t>
      </w:r>
      <w:r w:rsidR="00BE0651">
        <w:t xml:space="preserve">  We are revising the collection to include reporting and recordkeeping associated with combination products found in 21 CFR part 4 (</w:t>
      </w:r>
      <w:r w:rsidRPr="00BE0651" w:rsidR="00BE0651">
        <w:rPr>
          <w:i/>
        </w:rPr>
        <w:t>Regulation of Combination Products</w:t>
      </w:r>
      <w:r w:rsidR="00BE0651">
        <w:t xml:space="preserve">).  </w:t>
      </w:r>
      <w:r w:rsidR="008E6CF0">
        <w:t>Combination products are products that include two or more regulated components.  R</w:t>
      </w:r>
      <w:r w:rsidR="00BE0651">
        <w:t xml:space="preserve">egulations in </w:t>
      </w:r>
      <w:r w:rsidR="008E6CF0">
        <w:t xml:space="preserve">21 CFR §§ 4.102 and 4.105 provide for specific postmarketing reporting and recordkeeping applicable to combination products that include a device </w:t>
      </w:r>
      <w:r w:rsidR="00854587">
        <w:t>constituent</w:t>
      </w:r>
      <w:r w:rsidR="008E6CF0">
        <w:t xml:space="preserve"> part</w:t>
      </w:r>
      <w:r w:rsidR="001734C3">
        <w:t xml:space="preserve"> and are therefore subject to the safety reporting and recordkeeping found in part 806.</w:t>
      </w:r>
      <w:r w:rsidR="009760E8">
        <w:t xml:space="preserve">  The regulations also provide for certain exemptions from the reporting requirements as described in 21 CFR part 806.1(b). </w:t>
      </w:r>
    </w:p>
    <w:p w:rsidRPr="00DA0A22" w:rsidR="001734C3" w:rsidP="00BE0651" w:rsidRDefault="001734C3" w14:paraId="427622BB" w14:textId="3AE5181C">
      <w:pPr>
        <w:spacing w:before="100" w:beforeAutospacing="1" w:after="100" w:afterAutospacing="1"/>
        <w:ind w:left="720"/>
      </w:pPr>
      <w:r>
        <w:t>We therefore request OMB approval for the information collection provisions found in 21 CFR part 806, and the information collection provisions found in 21 CFR part 4 pertaining to postmarketing safety reporting and related recordkeeping.  We note that the product sharing provisions found in 21 CFR part</w:t>
      </w:r>
      <w:r w:rsidR="000A7855">
        <w:t xml:space="preserve"> </w:t>
      </w:r>
      <w:r w:rsidRPr="00204D85" w:rsidR="000A7855">
        <w:t>4.</w:t>
      </w:r>
      <w:r w:rsidRPr="00204D85">
        <w:t>103</w:t>
      </w:r>
      <w:r>
        <w:t xml:space="preserve"> are currently approved OMB control no. 0910-0834.</w:t>
      </w:r>
    </w:p>
    <w:p w:rsidRPr="00DA0A22" w:rsidR="008B30AB" w:rsidP="008B30AB" w:rsidRDefault="00EB7538" w14:paraId="491F2C6F" w14:textId="77777777">
      <w:pPr>
        <w:numPr>
          <w:ilvl w:val="0"/>
          <w:numId w:val="1"/>
        </w:numPr>
        <w:spacing w:before="100" w:beforeAutospacing="1" w:after="100" w:afterAutospacing="1"/>
        <w:rPr>
          <w:u w:val="single"/>
        </w:rPr>
      </w:pPr>
      <w:r w:rsidRPr="00664390">
        <w:rPr>
          <w:u w:val="single"/>
        </w:rPr>
        <w:t>Purpose and Use of t</w:t>
      </w:r>
      <w:r w:rsidRPr="00DA0A22">
        <w:rPr>
          <w:u w:val="single"/>
        </w:rPr>
        <w:t xml:space="preserve">he Information Collection </w:t>
      </w:r>
    </w:p>
    <w:p w:rsidRPr="0042417B" w:rsidR="00CC2894" w:rsidP="00F207A4" w:rsidRDefault="009A6D96" w14:paraId="4BF8899F" w14:textId="77777777">
      <w:pPr>
        <w:ind w:left="720"/>
        <w:rPr>
          <w:i/>
        </w:rPr>
      </w:pPr>
      <w:r w:rsidRPr="00DA0A22">
        <w:t xml:space="preserve">The information collected in the reports of corrections and removals will be used by FDA to identify marketed devices that have serious problems and to ensure that defective devices are removed from the market.  This will assure </w:t>
      </w:r>
      <w:r w:rsidRPr="00F72B8F">
        <w:t>that FDA has current and complete information regarding these corrections and removals to determine whether recall action i</w:t>
      </w:r>
      <w:r w:rsidRPr="0042417B">
        <w:t>s adequate. Failure to collect this information would prevent FDA from receiving timely information about devices that may have a serious effect on the health of users of the devices.</w:t>
      </w:r>
    </w:p>
    <w:p w:rsidRPr="000E014F" w:rsidR="002746DB" w:rsidP="00216D5C" w:rsidRDefault="005C0E7A" w14:paraId="18C476CD" w14:textId="77777777">
      <w:pPr>
        <w:keepNext/>
        <w:numPr>
          <w:ilvl w:val="0"/>
          <w:numId w:val="1"/>
        </w:numPr>
        <w:spacing w:before="100" w:beforeAutospacing="1" w:after="100" w:afterAutospacing="1"/>
        <w:ind w:right="-1440"/>
        <w:rPr>
          <w:u w:val="single"/>
        </w:rPr>
      </w:pPr>
      <w:r>
        <w:br w:type="page"/>
      </w:r>
      <w:r w:rsidRPr="000E014F" w:rsidR="00EB7538">
        <w:rPr>
          <w:u w:val="single"/>
        </w:rPr>
        <w:lastRenderedPageBreak/>
        <w:t xml:space="preserve">Use of Improved Information Technology and Burden Reduction </w:t>
      </w:r>
    </w:p>
    <w:p w:rsidRPr="004964F4" w:rsidR="00843752" w:rsidP="00F207A4" w:rsidRDefault="00423640" w14:paraId="440E4860" w14:textId="77777777">
      <w:pPr>
        <w:ind w:left="720"/>
      </w:pPr>
      <w:r>
        <w:t xml:space="preserve">Although the regulations do not </w:t>
      </w:r>
      <w:r w:rsidR="0030119B">
        <w:t xml:space="preserve">mandate </w:t>
      </w:r>
      <w:r>
        <w:t>electronic record</w:t>
      </w:r>
      <w:r w:rsidR="0030119B">
        <w:t>s</w:t>
      </w:r>
      <w:r>
        <w:t>, we encourage this approach</w:t>
      </w:r>
      <w:r w:rsidR="0030119B">
        <w:t xml:space="preserve">.  While mail-in submissions remain acceptable, we have </w:t>
      </w:r>
      <w:r>
        <w:t xml:space="preserve">established a web-based submission process to facilitate </w:t>
      </w:r>
      <w:r w:rsidR="0030119B">
        <w:t xml:space="preserve">reporting.  We </w:t>
      </w:r>
      <w:r w:rsidRPr="004964F4" w:rsidR="00216D5C">
        <w:t xml:space="preserve">estimate </w:t>
      </w:r>
      <w:r w:rsidRPr="004964F4" w:rsidR="0075672F">
        <w:t>50</w:t>
      </w:r>
      <w:r w:rsidRPr="004964F4" w:rsidR="00216D5C">
        <w:t xml:space="preserve">% of the respondents will use electronic means to fulfill the </w:t>
      </w:r>
      <w:r w:rsidR="0030119B">
        <w:t xml:space="preserve">information collection </w:t>
      </w:r>
      <w:r w:rsidRPr="004964F4" w:rsidR="00216D5C">
        <w:t>requirement</w:t>
      </w:r>
      <w:r w:rsidR="0030119B">
        <w:t>s</w:t>
      </w:r>
      <w:r w:rsidRPr="004964F4" w:rsidR="00216D5C">
        <w:t>.</w:t>
      </w:r>
      <w:r w:rsidR="0030119B">
        <w:t xml:space="preserve">  Respondents to the information collection are for-profit device applicants seeking FDA approval of a marketing or licensing application.</w:t>
      </w:r>
    </w:p>
    <w:p w:rsidRPr="004964F4" w:rsidR="002746DB" w:rsidP="00EB7538" w:rsidRDefault="00EB7538" w14:paraId="72FB63AA" w14:textId="77777777">
      <w:pPr>
        <w:numPr>
          <w:ilvl w:val="0"/>
          <w:numId w:val="1"/>
        </w:numPr>
        <w:spacing w:before="100" w:beforeAutospacing="1" w:after="100" w:afterAutospacing="1"/>
        <w:rPr>
          <w:u w:val="single"/>
        </w:rPr>
      </w:pPr>
      <w:r w:rsidRPr="004964F4">
        <w:rPr>
          <w:u w:val="single"/>
        </w:rPr>
        <w:t xml:space="preserve">Efforts to Identify Duplication and Use of Similar Information </w:t>
      </w:r>
    </w:p>
    <w:p w:rsidRPr="004964F4" w:rsidR="002746DB" w:rsidP="00F207A4" w:rsidRDefault="0030119B" w14:paraId="312B53F7" w14:textId="77777777">
      <w:pPr>
        <w:ind w:left="720"/>
      </w:pPr>
      <w:r>
        <w:t xml:space="preserve">We are unaware of duplicative information collection. </w:t>
      </w:r>
    </w:p>
    <w:p w:rsidRPr="004964F4" w:rsidR="002746DB" w:rsidP="00EB7538" w:rsidRDefault="00EB7538" w14:paraId="6640F116" w14:textId="77777777">
      <w:pPr>
        <w:numPr>
          <w:ilvl w:val="0"/>
          <w:numId w:val="1"/>
        </w:numPr>
        <w:spacing w:before="100" w:beforeAutospacing="1" w:after="100" w:afterAutospacing="1"/>
        <w:rPr>
          <w:u w:val="single"/>
        </w:rPr>
      </w:pPr>
      <w:r w:rsidRPr="004964F4">
        <w:rPr>
          <w:u w:val="single"/>
        </w:rPr>
        <w:t>Impact on Small Businesses or Other Small Entities</w:t>
      </w:r>
    </w:p>
    <w:p w:rsidRPr="004964F4" w:rsidR="00CD77C3" w:rsidP="00DA45DD" w:rsidRDefault="002C61EC" w14:paraId="646DC855" w14:textId="77777777">
      <w:pPr>
        <w:ind w:left="720"/>
      </w:pPr>
      <w:r w:rsidRPr="004964F4">
        <w:t>We estimate 80 percent of respondents are small businesses.</w:t>
      </w:r>
      <w:r w:rsidR="0030119B">
        <w:t xml:space="preserve">  We assist </w:t>
      </w:r>
      <w:r w:rsidRPr="004964F4" w:rsidR="00216D5C">
        <w:t>small business</w:t>
      </w:r>
      <w:r w:rsidR="0030119B">
        <w:t>es</w:t>
      </w:r>
      <w:r w:rsidRPr="004964F4" w:rsidR="00216D5C">
        <w:t xml:space="preserve"> by providing guidance and information through </w:t>
      </w:r>
      <w:r w:rsidR="0030119B">
        <w:t xml:space="preserve">our </w:t>
      </w:r>
      <w:r w:rsidRPr="004964F4" w:rsidR="00216D5C">
        <w:t xml:space="preserve">Division </w:t>
      </w:r>
      <w:r w:rsidR="0030119B">
        <w:t xml:space="preserve">of Industry </w:t>
      </w:r>
      <w:r w:rsidRPr="004964F4" w:rsidR="00216D5C">
        <w:t xml:space="preserve">and Consumer </w:t>
      </w:r>
      <w:r w:rsidRPr="004964F4" w:rsidR="007B0159">
        <w:t>Education</w:t>
      </w:r>
      <w:r w:rsidRPr="004964F4" w:rsidR="00216D5C">
        <w:t xml:space="preserve"> (D</w:t>
      </w:r>
      <w:r w:rsidRPr="004964F4" w:rsidR="007B0159">
        <w:t>I</w:t>
      </w:r>
      <w:r w:rsidRPr="004964F4" w:rsidR="00216D5C">
        <w:t>C</w:t>
      </w:r>
      <w:r w:rsidRPr="004964F4" w:rsidR="007B0159">
        <w:t>E</w:t>
      </w:r>
      <w:r w:rsidRPr="004964F4" w:rsidR="00216D5C">
        <w:t>) and the Device Registration and Listing Branch within the Center for Devices and Radiological Health.  DIC</w:t>
      </w:r>
      <w:r w:rsidRPr="004964F4" w:rsidR="007B0159">
        <w:t>E</w:t>
      </w:r>
      <w:r w:rsidRPr="004964F4" w:rsidR="00216D5C">
        <w:t xml:space="preserve"> </w:t>
      </w:r>
      <w:r w:rsidR="00DA45DD">
        <w:t xml:space="preserve">holds </w:t>
      </w:r>
      <w:r w:rsidRPr="004964F4" w:rsidR="00216D5C">
        <w:t xml:space="preserve">workshops, </w:t>
      </w:r>
      <w:r w:rsidR="00DA45DD">
        <w:t xml:space="preserve">conducts </w:t>
      </w:r>
      <w:r w:rsidRPr="004964F4" w:rsidR="00216D5C">
        <w:t xml:space="preserve">onsite evaluations, and </w:t>
      </w:r>
      <w:r w:rsidR="00DA45DD">
        <w:t xml:space="preserve">provides </w:t>
      </w:r>
      <w:r w:rsidRPr="004964F4" w:rsidR="00216D5C">
        <w:t>other technical and nonfinancial assistance to small manufacturers.  The workshops make available publications and educational materials, which include medical device establishment and listing requirements.</w:t>
      </w:r>
      <w:r w:rsidR="0030119B">
        <w:t xml:space="preserve">  </w:t>
      </w:r>
      <w:r w:rsidRPr="004964F4" w:rsidR="00216D5C">
        <w:t xml:space="preserve">The Division also maintains a toll-free telephone number and </w:t>
      </w:r>
      <w:r w:rsidR="00DA45DD">
        <w:t xml:space="preserve">maintains a page on our </w:t>
      </w:r>
      <w:r w:rsidRPr="004964F4" w:rsidR="00216D5C">
        <w:t>website</w:t>
      </w:r>
      <w:r w:rsidR="00DA45DD">
        <w:t xml:space="preserve"> from </w:t>
      </w:r>
      <w:r w:rsidRPr="004964F4" w:rsidR="00216D5C">
        <w:t>which firms may obtain regulatory information.</w:t>
      </w:r>
      <w:r w:rsidR="00DA45DD">
        <w:t xml:space="preserve">  Finally, </w:t>
      </w:r>
      <w:r w:rsidRPr="004964F4" w:rsidR="00216D5C">
        <w:t xml:space="preserve">representatives </w:t>
      </w:r>
      <w:r w:rsidR="00DA45DD">
        <w:t xml:space="preserve">our </w:t>
      </w:r>
      <w:r w:rsidRPr="004964F4" w:rsidR="00216D5C">
        <w:t xml:space="preserve">regional offices and scientific and administrative staff </w:t>
      </w:r>
      <w:r w:rsidR="00DA45DD">
        <w:t>are available as appropriate through meetings and communications with the agency</w:t>
      </w:r>
      <w:r w:rsidRPr="004964F4" w:rsidR="00216D5C">
        <w:t>.</w:t>
      </w:r>
    </w:p>
    <w:p w:rsidRPr="004964F4" w:rsidR="00CD77C3" w:rsidP="00EB7538" w:rsidRDefault="00EB7538" w14:paraId="62AB61EF" w14:textId="77777777">
      <w:pPr>
        <w:numPr>
          <w:ilvl w:val="0"/>
          <w:numId w:val="1"/>
        </w:numPr>
        <w:spacing w:before="100" w:beforeAutospacing="1" w:after="100" w:afterAutospacing="1"/>
        <w:rPr>
          <w:u w:val="single"/>
        </w:rPr>
      </w:pPr>
      <w:r w:rsidRPr="004964F4">
        <w:rPr>
          <w:u w:val="single"/>
        </w:rPr>
        <w:t>Consequences of Collecting the Information Less Frequently</w:t>
      </w:r>
    </w:p>
    <w:p w:rsidRPr="004964F4" w:rsidR="00CD77C3" w:rsidP="00F207A4" w:rsidRDefault="00DA45DD" w14:paraId="63D8EDBB" w14:textId="77777777">
      <w:pPr>
        <w:ind w:left="720"/>
      </w:pPr>
      <w:r>
        <w:t xml:space="preserve">The information collection schedule is consistent with </w:t>
      </w:r>
      <w:r w:rsidR="00854587">
        <w:t>statutory</w:t>
      </w:r>
      <w:r>
        <w:t xml:space="preserve"> and regulatory requirements.</w:t>
      </w:r>
    </w:p>
    <w:p w:rsidRPr="004964F4" w:rsidR="00CD77C3" w:rsidP="004368B4" w:rsidRDefault="00EB7538" w14:paraId="14250BF5" w14:textId="77777777">
      <w:pPr>
        <w:keepNext/>
        <w:numPr>
          <w:ilvl w:val="0"/>
          <w:numId w:val="1"/>
        </w:numPr>
        <w:spacing w:before="100" w:beforeAutospacing="1" w:after="100" w:afterAutospacing="1"/>
        <w:rPr>
          <w:u w:val="single"/>
        </w:rPr>
      </w:pPr>
      <w:r w:rsidRPr="004964F4">
        <w:rPr>
          <w:u w:val="single"/>
        </w:rPr>
        <w:t>Special Circumstances Relating to the Guidelines of 5 CFR 1320.5</w:t>
      </w:r>
    </w:p>
    <w:p w:rsidRPr="004964F4" w:rsidR="008108FA" w:rsidP="008108FA" w:rsidRDefault="00DA45DD" w14:paraId="6C48747E" w14:textId="77777777">
      <w:pPr>
        <w:ind w:left="720"/>
      </w:pPr>
      <w:r>
        <w:t xml:space="preserve">Applicable regulations require that postmarket safety reports be retained at least 10 years. </w:t>
      </w:r>
    </w:p>
    <w:p w:rsidRPr="004964F4" w:rsidR="00CD77C3" w:rsidP="007B0159" w:rsidRDefault="00EB7538" w14:paraId="32A9F258" w14:textId="77777777">
      <w:pPr>
        <w:keepNext/>
        <w:numPr>
          <w:ilvl w:val="0"/>
          <w:numId w:val="1"/>
        </w:numPr>
        <w:spacing w:before="100" w:beforeAutospacing="1" w:after="100" w:afterAutospacing="1"/>
        <w:rPr>
          <w:u w:val="single"/>
        </w:rPr>
      </w:pPr>
      <w:r w:rsidRPr="004964F4">
        <w:rPr>
          <w:u w:val="single"/>
        </w:rPr>
        <w:t>Comments in Response to the Federal Register Notice and Efforts to Consult Outside the Agency</w:t>
      </w:r>
    </w:p>
    <w:p w:rsidRPr="004964F4" w:rsidR="00B22B6C" w:rsidP="00705086" w:rsidRDefault="00705086" w14:paraId="3CC2FB73" w14:textId="77777777">
      <w:pPr>
        <w:ind w:left="720"/>
      </w:pPr>
      <w:r w:rsidRPr="004964F4">
        <w:t xml:space="preserve">In accordance with 5 CFR 1320.8(d), </w:t>
      </w:r>
      <w:r w:rsidR="00432C14">
        <w:t xml:space="preserve">we </w:t>
      </w:r>
      <w:r w:rsidRPr="004964F4">
        <w:t>published a 60</w:t>
      </w:r>
      <w:r w:rsidRPr="004964F4" w:rsidR="004368B4">
        <w:t>-</w:t>
      </w:r>
      <w:r w:rsidRPr="004964F4">
        <w:t xml:space="preserve">day notice </w:t>
      </w:r>
      <w:r w:rsidR="00432C14">
        <w:t xml:space="preserve">soliciting </w:t>
      </w:r>
      <w:r w:rsidRPr="004964F4">
        <w:t xml:space="preserve">public comment in the </w:t>
      </w:r>
      <w:r w:rsidRPr="00432C14" w:rsidR="004368B4">
        <w:rPr>
          <w:u w:val="single"/>
        </w:rPr>
        <w:t>Federal Register</w:t>
      </w:r>
      <w:r w:rsidRPr="004964F4">
        <w:t xml:space="preserve"> of </w:t>
      </w:r>
      <w:r w:rsidR="00432C14">
        <w:t>February 21, 2020</w:t>
      </w:r>
      <w:r w:rsidRPr="004964F4">
        <w:t xml:space="preserve"> (</w:t>
      </w:r>
      <w:r w:rsidRPr="004964F4" w:rsidR="0022433C">
        <w:t>85 FR 10168</w:t>
      </w:r>
      <w:r w:rsidRPr="004964F4">
        <w:t xml:space="preserve">).  </w:t>
      </w:r>
      <w:r w:rsidR="00432C14">
        <w:t>No comments were received.</w:t>
      </w:r>
    </w:p>
    <w:p w:rsidRPr="004964F4" w:rsidR="00CD77C3" w:rsidP="00E00EA0" w:rsidRDefault="005C0E7A" w14:paraId="1F3550AF" w14:textId="77777777">
      <w:pPr>
        <w:numPr>
          <w:ilvl w:val="0"/>
          <w:numId w:val="1"/>
        </w:numPr>
        <w:spacing w:before="100" w:beforeAutospacing="1" w:after="100" w:afterAutospacing="1"/>
        <w:rPr>
          <w:u w:val="single"/>
        </w:rPr>
      </w:pPr>
      <w:r>
        <w:br w:type="page"/>
      </w:r>
      <w:r w:rsidRPr="004964F4" w:rsidR="00EB7538">
        <w:rPr>
          <w:u w:val="single"/>
        </w:rPr>
        <w:lastRenderedPageBreak/>
        <w:t>Explanation of Any Payment or Gift to Respondents</w:t>
      </w:r>
    </w:p>
    <w:p w:rsidRPr="004964F4" w:rsidR="00CD77C3" w:rsidP="00DD09F5" w:rsidRDefault="004368B4" w14:paraId="5B64FE3F" w14:textId="77777777">
      <w:pPr>
        <w:ind w:left="720"/>
      </w:pPr>
      <w:r w:rsidRPr="004964F4">
        <w:t>No payment or gifts in any manner or form shall be provided to respondents.</w:t>
      </w:r>
    </w:p>
    <w:p w:rsidRPr="004964F4" w:rsidR="00CD77C3" w:rsidP="00EB7538" w:rsidRDefault="00EB7538" w14:paraId="4C7AAB53" w14:textId="77777777">
      <w:pPr>
        <w:numPr>
          <w:ilvl w:val="0"/>
          <w:numId w:val="1"/>
        </w:numPr>
        <w:spacing w:before="100" w:beforeAutospacing="1" w:after="100" w:afterAutospacing="1"/>
        <w:rPr>
          <w:u w:val="single"/>
        </w:rPr>
      </w:pPr>
      <w:r w:rsidRPr="004964F4">
        <w:rPr>
          <w:u w:val="single"/>
        </w:rPr>
        <w:t>Assurance of Confidentiality Provided to Respondents</w:t>
      </w:r>
    </w:p>
    <w:p w:rsidRPr="004964F4" w:rsidR="0022433C" w:rsidP="005F620B" w:rsidRDefault="00432C14" w14:paraId="190B7356" w14:textId="77777777">
      <w:pPr>
        <w:spacing w:before="100" w:beforeAutospacing="1" w:after="100" w:afterAutospacing="1"/>
        <w:ind w:left="720"/>
      </w:pPr>
      <w:r>
        <w:t>I</w:t>
      </w:r>
      <w:r w:rsidRPr="004964F4">
        <w:t xml:space="preserve">n preparing this </w:t>
      </w:r>
      <w:r>
        <w:t xml:space="preserve">supporting statement we </w:t>
      </w:r>
      <w:r w:rsidRPr="004964F4">
        <w:t xml:space="preserve">consulted with </w:t>
      </w:r>
      <w:r>
        <w:t xml:space="preserve">our </w:t>
      </w:r>
      <w:r w:rsidRPr="004964F4">
        <w:t>Privacy Office to ensure appropriate handling of information collected.</w:t>
      </w:r>
      <w:r>
        <w:t xml:space="preserve">  We </w:t>
      </w:r>
      <w:r w:rsidRPr="004964F4" w:rsidR="0022433C">
        <w:t>determined that</w:t>
      </w:r>
      <w:r>
        <w:t>,</w:t>
      </w:r>
      <w:r w:rsidRPr="004964F4" w:rsidR="0022433C">
        <w:t xml:space="preserve"> although PII is collected</w:t>
      </w:r>
      <w:r>
        <w:t xml:space="preserve">, it is </w:t>
      </w:r>
      <w:r w:rsidRPr="004964F4" w:rsidR="0022433C">
        <w:t>not subject to the Privacy Act of 1974 and the particular notice and other requirements of the Act do not apply.</w:t>
      </w:r>
      <w:r>
        <w:t xml:space="preserve">  </w:t>
      </w:r>
      <w:r w:rsidRPr="004964F4" w:rsidR="0022433C">
        <w:t xml:space="preserve">Specifically, </w:t>
      </w:r>
      <w:r>
        <w:t xml:space="preserve">we do </w:t>
      </w:r>
      <w:r w:rsidRPr="004964F4" w:rsidR="0022433C">
        <w:t>not use name or any other personal identifier to routinely retrieve records from the information collected.</w:t>
      </w:r>
    </w:p>
    <w:p w:rsidR="0022433C" w:rsidP="0022433C" w:rsidRDefault="00432C14" w14:paraId="67545819" w14:textId="77777777">
      <w:pPr>
        <w:ind w:left="720"/>
      </w:pPr>
      <w:r>
        <w:t>In additi</w:t>
      </w:r>
      <w:r w:rsidR="009760E8">
        <w:t>on</w:t>
      </w:r>
      <w:r>
        <w:t>, r</w:t>
      </w:r>
      <w:r w:rsidRPr="004964F4" w:rsidR="0022433C">
        <w:t>eports and other information submitted to F</w:t>
      </w:r>
      <w:r w:rsidRPr="00282816" w:rsidR="0022433C">
        <w:t xml:space="preserve">DA under 21 CFR part 806 </w:t>
      </w:r>
      <w:r>
        <w:t>is</w:t>
      </w:r>
      <w:r w:rsidRPr="00282816" w:rsidR="0022433C">
        <w:t xml:space="preserve"> releasable if </w:t>
      </w:r>
      <w:r w:rsidR="009760E8">
        <w:t xml:space="preserve">it </w:t>
      </w:r>
      <w:r w:rsidRPr="00282816" w:rsidR="0022433C">
        <w:t>fall</w:t>
      </w:r>
      <w:r w:rsidR="009760E8">
        <w:t>s</w:t>
      </w:r>
      <w:r w:rsidRPr="00282816" w:rsidR="0022433C">
        <w:t xml:space="preserve"> within the scope of </w:t>
      </w:r>
      <w:r w:rsidR="009760E8">
        <w:t xml:space="preserve">our </w:t>
      </w:r>
      <w:r w:rsidRPr="00282816" w:rsidR="0022433C">
        <w:t>regulation concerning</w:t>
      </w:r>
      <w:r>
        <w:t xml:space="preserve"> “</w:t>
      </w:r>
      <w:r w:rsidRPr="00432C14" w:rsidR="0022433C">
        <w:rPr>
          <w:i/>
        </w:rPr>
        <w:t>Public Information</w:t>
      </w:r>
      <w:r w:rsidRPr="00282816" w:rsidR="0022433C">
        <w:t>” (21 CFR p</w:t>
      </w:r>
      <w:r w:rsidRPr="00E860DF" w:rsidR="0022433C">
        <w:t>art 20).  However, FOIA exempts disc</w:t>
      </w:r>
      <w:r w:rsidRPr="00782354" w:rsidR="0022433C">
        <w:t>losures of certain government records from mandatory public disclosures (5 U.S.C. 522(b)(1-9)).  One such provision exempt</w:t>
      </w:r>
      <w:r w:rsidRPr="001A6E7B" w:rsidR="0022433C">
        <w:t>s from public disclosure “</w:t>
      </w:r>
      <w:r w:rsidRPr="00432C14" w:rsidR="0022433C">
        <w:rPr>
          <w:i/>
        </w:rPr>
        <w:t>trade secrets</w:t>
      </w:r>
      <w:r w:rsidRPr="001A6E7B" w:rsidR="0022433C">
        <w:t>” and “</w:t>
      </w:r>
      <w:r w:rsidRPr="00432C14" w:rsidR="0022433C">
        <w:rPr>
          <w:i/>
        </w:rPr>
        <w:t>confidential commercial or financial information</w:t>
      </w:r>
      <w:r w:rsidRPr="001A6E7B" w:rsidR="0022433C">
        <w:t>” that is privileged (5 U</w:t>
      </w:r>
      <w:r w:rsidRPr="001229E4" w:rsidR="0022433C">
        <w:t>.S.C. 522(b)(4)</w:t>
      </w:r>
      <w:r w:rsidRPr="00A5160E" w:rsidR="0022433C">
        <w:t>).</w:t>
      </w:r>
    </w:p>
    <w:p w:rsidRPr="00A5160E" w:rsidR="005C0E7A" w:rsidP="0022433C" w:rsidRDefault="005C0E7A" w14:paraId="29C49737" w14:textId="77777777">
      <w:pPr>
        <w:ind w:left="720"/>
      </w:pPr>
    </w:p>
    <w:p w:rsidRPr="000A3D0E" w:rsidR="004C6979" w:rsidP="00D9147E" w:rsidRDefault="00EB7538" w14:paraId="75E9F48A" w14:textId="77777777">
      <w:pPr>
        <w:keepNext/>
        <w:numPr>
          <w:ilvl w:val="0"/>
          <w:numId w:val="1"/>
        </w:numPr>
        <w:spacing w:before="100" w:beforeAutospacing="1" w:after="100" w:afterAutospacing="1"/>
        <w:rPr>
          <w:u w:val="single"/>
        </w:rPr>
      </w:pPr>
      <w:r w:rsidRPr="000A3D0E">
        <w:rPr>
          <w:u w:val="single"/>
        </w:rPr>
        <w:t>Justification for Sensitive Questions</w:t>
      </w:r>
    </w:p>
    <w:p w:rsidRPr="00005853" w:rsidR="004C6979" w:rsidP="007331F3" w:rsidRDefault="007331F3" w14:paraId="2B5750FD" w14:textId="77777777">
      <w:pPr>
        <w:pStyle w:val="BodyText2"/>
        <w:ind w:left="720"/>
        <w:rPr>
          <w:szCs w:val="24"/>
        </w:rPr>
      </w:pPr>
      <w:r w:rsidRPr="000A3D0E">
        <w:rPr>
          <w:szCs w:val="24"/>
        </w:rPr>
        <w:t>This information collection does not</w:t>
      </w:r>
      <w:r w:rsidRPr="00721303">
        <w:rPr>
          <w:szCs w:val="24"/>
        </w:rPr>
        <w:t xml:space="preserve"> include questions </w:t>
      </w:r>
      <w:r w:rsidRPr="00721303" w:rsidR="008D795B">
        <w:rPr>
          <w:szCs w:val="24"/>
        </w:rPr>
        <w:t>of a sensitive nature, such as those regarding</w:t>
      </w:r>
      <w:r w:rsidRPr="00721303">
        <w:rPr>
          <w:szCs w:val="24"/>
        </w:rPr>
        <w:t xml:space="preserve"> sexual behavior</w:t>
      </w:r>
      <w:r w:rsidRPr="00721303" w:rsidR="008D795B">
        <w:rPr>
          <w:szCs w:val="24"/>
        </w:rPr>
        <w:t xml:space="preserve"> and</w:t>
      </w:r>
      <w:r w:rsidRPr="00005853">
        <w:rPr>
          <w:szCs w:val="24"/>
        </w:rPr>
        <w:t xml:space="preserve"> attitude</w:t>
      </w:r>
      <w:r w:rsidRPr="00005853" w:rsidR="008D795B">
        <w:rPr>
          <w:szCs w:val="24"/>
        </w:rPr>
        <w:t>s</w:t>
      </w:r>
      <w:r w:rsidRPr="00005853">
        <w:rPr>
          <w:szCs w:val="24"/>
        </w:rPr>
        <w:t>, religious beliefs, or other matters that are commonly considered private.</w:t>
      </w:r>
    </w:p>
    <w:p w:rsidRPr="00005853" w:rsidR="004C6979" w:rsidP="007B0159" w:rsidRDefault="00EB7538" w14:paraId="4FCAC151" w14:textId="77777777">
      <w:pPr>
        <w:keepNext/>
        <w:numPr>
          <w:ilvl w:val="0"/>
          <w:numId w:val="1"/>
        </w:numPr>
        <w:spacing w:before="100" w:beforeAutospacing="1" w:after="100" w:afterAutospacing="1"/>
        <w:rPr>
          <w:u w:val="single"/>
        </w:rPr>
      </w:pPr>
      <w:r w:rsidRPr="00005853">
        <w:rPr>
          <w:u w:val="single"/>
        </w:rPr>
        <w:t>Estimates of Annualized Burden Hours and Costs</w:t>
      </w:r>
    </w:p>
    <w:p w:rsidRPr="009760E8" w:rsidR="004C6979" w:rsidP="009760E8" w:rsidRDefault="008B0E29" w14:paraId="30671E3D" w14:textId="77777777">
      <w:pPr>
        <w:keepNext/>
        <w:ind w:left="720"/>
        <w:rPr>
          <w:i/>
        </w:rPr>
      </w:pPr>
      <w:r w:rsidRPr="009760E8">
        <w:rPr>
          <w:i/>
        </w:rPr>
        <w:t xml:space="preserve">12a. </w:t>
      </w:r>
      <w:r w:rsidRPr="009760E8" w:rsidR="00411D11">
        <w:rPr>
          <w:i/>
        </w:rPr>
        <w:t xml:space="preserve">Annualized </w:t>
      </w:r>
      <w:r w:rsidRPr="009760E8" w:rsidR="004C6979">
        <w:rPr>
          <w:i/>
        </w:rPr>
        <w:t>Hour Burden Estimate</w:t>
      </w:r>
    </w:p>
    <w:p w:rsidRPr="00567831" w:rsidR="00811778" w:rsidP="00E51D82" w:rsidRDefault="00811778" w14:paraId="7EFFCD84" w14:textId="77777777">
      <w:pPr>
        <w:ind w:left="720"/>
      </w:pPr>
    </w:p>
    <w:p w:rsidRPr="00664390" w:rsidR="00811778" w:rsidP="00811778" w:rsidRDefault="00811778" w14:paraId="367C4C78" w14:textId="77777777">
      <w:pPr>
        <w:keepNext/>
        <w:contextualSpacing/>
        <w:jc w:val="center"/>
        <w:rPr>
          <w:vertAlign w:val="superscript"/>
        </w:rPr>
      </w:pPr>
      <w:r w:rsidRPr="00567831">
        <w:t>Table 1.--Estimated Annual Reporting Burden</w:t>
      </w:r>
    </w:p>
    <w:tbl>
      <w:tblPr>
        <w:tblW w:w="4672" w:type="pct"/>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60"/>
        <w:gridCol w:w="1395"/>
        <w:gridCol w:w="1474"/>
        <w:gridCol w:w="1145"/>
        <w:gridCol w:w="1122"/>
        <w:gridCol w:w="857"/>
        <w:gridCol w:w="1353"/>
      </w:tblGrid>
      <w:tr w:rsidRPr="009760E8" w:rsidR="005C0E7A" w:rsidTr="005C0E7A" w14:paraId="006EDC33" w14:textId="77777777">
        <w:trPr>
          <w:cantSplit/>
          <w:trHeight w:val="865"/>
          <w:tblHeader/>
        </w:trPr>
        <w:tc>
          <w:tcPr>
            <w:tcW w:w="928" w:type="pct"/>
            <w:shd w:val="clear" w:color="auto" w:fill="F2F2F2" w:themeFill="background1" w:themeFillShade="F2"/>
          </w:tcPr>
          <w:p w:rsidRPr="009760E8" w:rsidR="00811778" w:rsidP="00811778" w:rsidRDefault="00811778" w14:paraId="598E79D3" w14:textId="77777777">
            <w:pPr>
              <w:keepNext/>
              <w:jc w:val="center"/>
              <w:rPr>
                <w:sz w:val="22"/>
                <w:szCs w:val="22"/>
              </w:rPr>
            </w:pPr>
            <w:r w:rsidRPr="009760E8">
              <w:rPr>
                <w:sz w:val="22"/>
                <w:szCs w:val="22"/>
              </w:rPr>
              <w:t>21 CFR</w:t>
            </w:r>
            <w:r w:rsidR="009760E8">
              <w:rPr>
                <w:sz w:val="22"/>
                <w:szCs w:val="22"/>
              </w:rPr>
              <w:t>; IC Activity</w:t>
            </w:r>
          </w:p>
        </w:tc>
        <w:tc>
          <w:tcPr>
            <w:tcW w:w="781" w:type="pct"/>
            <w:shd w:val="clear" w:color="auto" w:fill="F2F2F2" w:themeFill="background1" w:themeFillShade="F2"/>
          </w:tcPr>
          <w:p w:rsidRPr="009760E8" w:rsidR="00811778" w:rsidP="00811778" w:rsidRDefault="00811778" w14:paraId="49E47283" w14:textId="77777777">
            <w:pPr>
              <w:keepNext/>
              <w:jc w:val="center"/>
              <w:rPr>
                <w:sz w:val="22"/>
                <w:szCs w:val="22"/>
              </w:rPr>
            </w:pPr>
            <w:r w:rsidRPr="009760E8">
              <w:rPr>
                <w:sz w:val="22"/>
                <w:szCs w:val="22"/>
              </w:rPr>
              <w:t>No. of Respondents</w:t>
            </w:r>
          </w:p>
        </w:tc>
        <w:tc>
          <w:tcPr>
            <w:tcW w:w="825" w:type="pct"/>
            <w:shd w:val="clear" w:color="auto" w:fill="F2F2F2" w:themeFill="background1" w:themeFillShade="F2"/>
          </w:tcPr>
          <w:p w:rsidRPr="009760E8" w:rsidR="00811778" w:rsidP="00811778" w:rsidRDefault="00811778" w14:paraId="5C09E3C7" w14:textId="77777777">
            <w:pPr>
              <w:keepNext/>
              <w:jc w:val="center"/>
              <w:rPr>
                <w:sz w:val="22"/>
                <w:szCs w:val="22"/>
              </w:rPr>
            </w:pPr>
            <w:r w:rsidRPr="009760E8">
              <w:rPr>
                <w:bCs/>
                <w:sz w:val="22"/>
                <w:szCs w:val="22"/>
              </w:rPr>
              <w:t>No. of Responses per Respondent</w:t>
            </w:r>
          </w:p>
        </w:tc>
        <w:tc>
          <w:tcPr>
            <w:tcW w:w="621" w:type="pct"/>
            <w:shd w:val="clear" w:color="auto" w:fill="F2F2F2" w:themeFill="background1" w:themeFillShade="F2"/>
          </w:tcPr>
          <w:p w:rsidRPr="009760E8" w:rsidR="00811778" w:rsidP="00811778" w:rsidRDefault="00811778" w14:paraId="0274417B" w14:textId="77777777">
            <w:pPr>
              <w:keepNext/>
              <w:jc w:val="center"/>
              <w:rPr>
                <w:sz w:val="22"/>
                <w:szCs w:val="22"/>
              </w:rPr>
            </w:pPr>
            <w:r w:rsidRPr="009760E8">
              <w:rPr>
                <w:sz w:val="22"/>
                <w:szCs w:val="22"/>
              </w:rPr>
              <w:t>Total Annual Responses</w:t>
            </w:r>
          </w:p>
        </w:tc>
        <w:tc>
          <w:tcPr>
            <w:tcW w:w="629" w:type="pct"/>
            <w:shd w:val="clear" w:color="auto" w:fill="F2F2F2" w:themeFill="background1" w:themeFillShade="F2"/>
          </w:tcPr>
          <w:p w:rsidRPr="009760E8" w:rsidR="00811778" w:rsidP="00811778" w:rsidRDefault="00811778" w14:paraId="4100CCA6" w14:textId="77777777">
            <w:pPr>
              <w:keepNext/>
              <w:jc w:val="center"/>
              <w:rPr>
                <w:sz w:val="22"/>
                <w:szCs w:val="22"/>
              </w:rPr>
            </w:pPr>
            <w:r w:rsidRPr="009760E8">
              <w:rPr>
                <w:bCs/>
                <w:sz w:val="22"/>
                <w:szCs w:val="22"/>
              </w:rPr>
              <w:t>Av</w:t>
            </w:r>
            <w:r w:rsidR="0026211B">
              <w:rPr>
                <w:bCs/>
                <w:sz w:val="22"/>
                <w:szCs w:val="22"/>
              </w:rPr>
              <w:t>g.</w:t>
            </w:r>
            <w:r w:rsidRPr="009760E8">
              <w:rPr>
                <w:bCs/>
                <w:sz w:val="22"/>
                <w:szCs w:val="22"/>
              </w:rPr>
              <w:t xml:space="preserve"> Burden per Response</w:t>
            </w:r>
          </w:p>
        </w:tc>
        <w:tc>
          <w:tcPr>
            <w:tcW w:w="482" w:type="pct"/>
            <w:shd w:val="clear" w:color="auto" w:fill="F2F2F2" w:themeFill="background1" w:themeFillShade="F2"/>
          </w:tcPr>
          <w:p w:rsidRPr="009760E8" w:rsidR="00811778" w:rsidP="00811778" w:rsidRDefault="00811778" w14:paraId="56B7C24A" w14:textId="77777777">
            <w:pPr>
              <w:keepNext/>
              <w:jc w:val="center"/>
              <w:rPr>
                <w:sz w:val="22"/>
                <w:szCs w:val="22"/>
              </w:rPr>
            </w:pPr>
            <w:r w:rsidRPr="009760E8">
              <w:rPr>
                <w:sz w:val="22"/>
                <w:szCs w:val="22"/>
              </w:rPr>
              <w:t>Total Hours</w:t>
            </w:r>
            <w:r w:rsidRPr="009760E8" w:rsidR="0094101B">
              <w:rPr>
                <w:sz w:val="22"/>
                <w:szCs w:val="22"/>
                <w:vertAlign w:val="superscript"/>
              </w:rPr>
              <w:t>1</w:t>
            </w:r>
          </w:p>
        </w:tc>
        <w:tc>
          <w:tcPr>
            <w:tcW w:w="734" w:type="pct"/>
            <w:shd w:val="clear" w:color="auto" w:fill="F2F2F2" w:themeFill="background1" w:themeFillShade="F2"/>
          </w:tcPr>
          <w:p w:rsidRPr="009760E8" w:rsidR="00811778" w:rsidP="00811778" w:rsidRDefault="00811778" w14:paraId="62A57463" w14:textId="77777777">
            <w:pPr>
              <w:keepNext/>
              <w:jc w:val="center"/>
              <w:rPr>
                <w:sz w:val="22"/>
                <w:szCs w:val="22"/>
              </w:rPr>
            </w:pPr>
            <w:r w:rsidRPr="009760E8">
              <w:rPr>
                <w:sz w:val="22"/>
                <w:szCs w:val="22"/>
              </w:rPr>
              <w:t xml:space="preserve">Total Operating </w:t>
            </w:r>
            <w:r w:rsidR="0026211B">
              <w:rPr>
                <w:sz w:val="22"/>
                <w:szCs w:val="22"/>
              </w:rPr>
              <w:t xml:space="preserve">&amp; </w:t>
            </w:r>
            <w:r w:rsidRPr="009760E8">
              <w:rPr>
                <w:sz w:val="22"/>
                <w:szCs w:val="22"/>
              </w:rPr>
              <w:t>Maintenance Costs</w:t>
            </w:r>
          </w:p>
        </w:tc>
      </w:tr>
      <w:tr w:rsidRPr="009760E8" w:rsidR="005C0E7A" w:rsidTr="005C0E7A" w14:paraId="38D45D69" w14:textId="77777777">
        <w:trPr>
          <w:cantSplit/>
          <w:trHeight w:val="19"/>
        </w:trPr>
        <w:tc>
          <w:tcPr>
            <w:tcW w:w="928" w:type="pct"/>
            <w:tcBorders>
              <w:bottom w:val="single" w:color="auto" w:sz="4" w:space="0"/>
            </w:tcBorders>
            <w:shd w:val="clear" w:color="auto" w:fill="auto"/>
          </w:tcPr>
          <w:p w:rsidRPr="009760E8" w:rsidR="00811778" w:rsidP="00811778" w:rsidRDefault="00811778" w14:paraId="38024906" w14:textId="77777777">
            <w:pPr>
              <w:keepNext/>
              <w:rPr>
                <w:sz w:val="22"/>
                <w:szCs w:val="22"/>
              </w:rPr>
            </w:pPr>
            <w:r w:rsidRPr="009760E8">
              <w:rPr>
                <w:sz w:val="22"/>
                <w:szCs w:val="22"/>
              </w:rPr>
              <w:t xml:space="preserve">Electronic process </w:t>
            </w:r>
            <w:r w:rsidRPr="009760E8" w:rsidR="0094101B">
              <w:rPr>
                <w:sz w:val="22"/>
                <w:szCs w:val="22"/>
              </w:rPr>
              <w:t>setup</w:t>
            </w:r>
            <w:r w:rsidRPr="009760E8" w:rsidR="0094101B">
              <w:rPr>
                <w:sz w:val="22"/>
                <w:szCs w:val="22"/>
                <w:vertAlign w:val="superscript"/>
              </w:rPr>
              <w:t>2</w:t>
            </w:r>
          </w:p>
        </w:tc>
        <w:tc>
          <w:tcPr>
            <w:tcW w:w="781" w:type="pct"/>
            <w:tcBorders>
              <w:bottom w:val="single" w:color="auto" w:sz="4" w:space="0"/>
            </w:tcBorders>
            <w:shd w:val="clear" w:color="auto" w:fill="auto"/>
          </w:tcPr>
          <w:p w:rsidRPr="009760E8" w:rsidR="00811778" w:rsidP="00811778" w:rsidRDefault="00811778" w14:paraId="4AB8435F" w14:textId="77777777">
            <w:pPr>
              <w:keepNext/>
              <w:jc w:val="right"/>
              <w:rPr>
                <w:sz w:val="22"/>
                <w:szCs w:val="22"/>
              </w:rPr>
            </w:pPr>
            <w:r w:rsidRPr="009760E8">
              <w:rPr>
                <w:sz w:val="22"/>
                <w:szCs w:val="22"/>
              </w:rPr>
              <w:t>517</w:t>
            </w:r>
          </w:p>
        </w:tc>
        <w:tc>
          <w:tcPr>
            <w:tcW w:w="825" w:type="pct"/>
            <w:tcBorders>
              <w:bottom w:val="single" w:color="auto" w:sz="4" w:space="0"/>
            </w:tcBorders>
            <w:shd w:val="clear" w:color="auto" w:fill="auto"/>
          </w:tcPr>
          <w:p w:rsidRPr="009760E8" w:rsidR="00811778" w:rsidP="00811778" w:rsidRDefault="00811778" w14:paraId="19FD70CD" w14:textId="77777777">
            <w:pPr>
              <w:keepNext/>
              <w:jc w:val="right"/>
              <w:rPr>
                <w:sz w:val="22"/>
                <w:szCs w:val="22"/>
              </w:rPr>
            </w:pPr>
            <w:r w:rsidRPr="009760E8">
              <w:rPr>
                <w:sz w:val="22"/>
                <w:szCs w:val="22"/>
              </w:rPr>
              <w:t>1</w:t>
            </w:r>
          </w:p>
        </w:tc>
        <w:tc>
          <w:tcPr>
            <w:tcW w:w="621" w:type="pct"/>
            <w:tcBorders>
              <w:bottom w:val="single" w:color="auto" w:sz="4" w:space="0"/>
            </w:tcBorders>
            <w:shd w:val="clear" w:color="auto" w:fill="auto"/>
          </w:tcPr>
          <w:p w:rsidRPr="009760E8" w:rsidR="00811778" w:rsidP="00811778" w:rsidRDefault="00811778" w14:paraId="2ADD216B" w14:textId="77777777">
            <w:pPr>
              <w:keepNext/>
              <w:jc w:val="right"/>
              <w:rPr>
                <w:sz w:val="22"/>
                <w:szCs w:val="22"/>
              </w:rPr>
            </w:pPr>
            <w:r w:rsidRPr="009760E8">
              <w:rPr>
                <w:sz w:val="22"/>
                <w:szCs w:val="22"/>
              </w:rPr>
              <w:t>517</w:t>
            </w:r>
          </w:p>
        </w:tc>
        <w:tc>
          <w:tcPr>
            <w:tcW w:w="629" w:type="pct"/>
            <w:tcBorders>
              <w:bottom w:val="single" w:color="auto" w:sz="4" w:space="0"/>
            </w:tcBorders>
            <w:shd w:val="clear" w:color="auto" w:fill="auto"/>
          </w:tcPr>
          <w:p w:rsidRPr="009760E8" w:rsidR="00811778" w:rsidP="00811778" w:rsidRDefault="00811778" w14:paraId="0057E183" w14:textId="77777777">
            <w:pPr>
              <w:keepNext/>
              <w:jc w:val="right"/>
              <w:rPr>
                <w:sz w:val="22"/>
                <w:szCs w:val="22"/>
              </w:rPr>
            </w:pPr>
            <w:r w:rsidRPr="009760E8">
              <w:rPr>
                <w:sz w:val="22"/>
                <w:szCs w:val="22"/>
              </w:rPr>
              <w:t>3.08</w:t>
            </w:r>
          </w:p>
        </w:tc>
        <w:tc>
          <w:tcPr>
            <w:tcW w:w="482" w:type="pct"/>
            <w:tcBorders>
              <w:bottom w:val="single" w:color="auto" w:sz="4" w:space="0"/>
            </w:tcBorders>
            <w:shd w:val="clear" w:color="auto" w:fill="auto"/>
          </w:tcPr>
          <w:p w:rsidRPr="009760E8" w:rsidR="00811778" w:rsidP="00811778" w:rsidRDefault="00811778" w14:paraId="467317AF" w14:textId="77777777">
            <w:pPr>
              <w:keepNext/>
              <w:jc w:val="right"/>
              <w:rPr>
                <w:sz w:val="22"/>
                <w:szCs w:val="22"/>
              </w:rPr>
            </w:pPr>
            <w:r w:rsidRPr="009760E8">
              <w:rPr>
                <w:sz w:val="22"/>
                <w:szCs w:val="22"/>
              </w:rPr>
              <w:t>1,</w:t>
            </w:r>
            <w:r w:rsidRPr="009760E8" w:rsidR="0094101B">
              <w:rPr>
                <w:sz w:val="22"/>
                <w:szCs w:val="22"/>
              </w:rPr>
              <w:t>592</w:t>
            </w:r>
          </w:p>
        </w:tc>
        <w:tc>
          <w:tcPr>
            <w:tcW w:w="734" w:type="pct"/>
            <w:tcBorders>
              <w:bottom w:val="single" w:color="auto" w:sz="4" w:space="0"/>
            </w:tcBorders>
            <w:shd w:val="clear" w:color="auto" w:fill="auto"/>
          </w:tcPr>
          <w:p w:rsidRPr="009760E8" w:rsidR="00811778" w:rsidP="00811778" w:rsidRDefault="00811778" w14:paraId="48607E26" w14:textId="77777777">
            <w:pPr>
              <w:keepNext/>
              <w:jc w:val="right"/>
              <w:rPr>
                <w:sz w:val="22"/>
                <w:szCs w:val="22"/>
              </w:rPr>
            </w:pPr>
            <w:r w:rsidRPr="009760E8">
              <w:rPr>
                <w:sz w:val="22"/>
                <w:szCs w:val="22"/>
              </w:rPr>
              <w:t>$25,850</w:t>
            </w:r>
          </w:p>
        </w:tc>
      </w:tr>
      <w:tr w:rsidRPr="009760E8" w:rsidR="005C0E7A" w:rsidTr="005C0E7A" w14:paraId="28DE931F" w14:textId="77777777">
        <w:trPr>
          <w:cantSplit/>
          <w:trHeight w:val="19"/>
        </w:trPr>
        <w:tc>
          <w:tcPr>
            <w:tcW w:w="928" w:type="pct"/>
            <w:tcBorders>
              <w:bottom w:val="single" w:color="auto" w:sz="4" w:space="0"/>
              <w:right w:val="single" w:color="auto" w:sz="4" w:space="0"/>
            </w:tcBorders>
            <w:shd w:val="clear" w:color="auto" w:fill="auto"/>
          </w:tcPr>
          <w:p w:rsidRPr="009760E8" w:rsidR="00811778" w:rsidP="00811778" w:rsidRDefault="0026211B" w14:paraId="4610444F" w14:textId="77777777">
            <w:pPr>
              <w:rPr>
                <w:sz w:val="22"/>
                <w:szCs w:val="22"/>
              </w:rPr>
            </w:pPr>
            <w:r>
              <w:rPr>
                <w:sz w:val="22"/>
                <w:szCs w:val="22"/>
              </w:rPr>
              <w:t xml:space="preserve">806; device product </w:t>
            </w:r>
            <w:r w:rsidRPr="009760E8" w:rsidR="00811778">
              <w:rPr>
                <w:sz w:val="22"/>
                <w:szCs w:val="22"/>
              </w:rPr>
              <w:t xml:space="preserve">corrections </w:t>
            </w:r>
            <w:r>
              <w:rPr>
                <w:sz w:val="22"/>
                <w:szCs w:val="22"/>
              </w:rPr>
              <w:t>or</w:t>
            </w:r>
            <w:r w:rsidRPr="009760E8" w:rsidR="00811778">
              <w:rPr>
                <w:sz w:val="22"/>
                <w:szCs w:val="22"/>
              </w:rPr>
              <w:t xml:space="preserve"> removals</w:t>
            </w:r>
          </w:p>
        </w:tc>
        <w:tc>
          <w:tcPr>
            <w:tcW w:w="781" w:type="pct"/>
            <w:tcBorders>
              <w:left w:val="single" w:color="auto" w:sz="4" w:space="0"/>
              <w:bottom w:val="single" w:color="auto" w:sz="4" w:space="0"/>
              <w:right w:val="single" w:color="auto" w:sz="4" w:space="0"/>
            </w:tcBorders>
            <w:shd w:val="clear" w:color="auto" w:fill="auto"/>
          </w:tcPr>
          <w:p w:rsidRPr="009760E8" w:rsidR="00811778" w:rsidP="00811778" w:rsidRDefault="00811778" w14:paraId="79196941" w14:textId="77777777">
            <w:pPr>
              <w:jc w:val="right"/>
              <w:rPr>
                <w:sz w:val="22"/>
                <w:szCs w:val="22"/>
              </w:rPr>
            </w:pPr>
            <w:r w:rsidRPr="009760E8">
              <w:rPr>
                <w:sz w:val="22"/>
                <w:szCs w:val="22"/>
              </w:rPr>
              <w:t>1,033</w:t>
            </w:r>
          </w:p>
        </w:tc>
        <w:tc>
          <w:tcPr>
            <w:tcW w:w="825" w:type="pct"/>
            <w:tcBorders>
              <w:left w:val="single" w:color="auto" w:sz="4" w:space="0"/>
              <w:bottom w:val="single" w:color="auto" w:sz="4" w:space="0"/>
              <w:right w:val="single" w:color="auto" w:sz="4" w:space="0"/>
            </w:tcBorders>
            <w:shd w:val="clear" w:color="auto" w:fill="auto"/>
          </w:tcPr>
          <w:p w:rsidRPr="009760E8" w:rsidR="00811778" w:rsidP="00811778" w:rsidRDefault="00811778" w14:paraId="5EE7EBA8" w14:textId="77777777">
            <w:pPr>
              <w:jc w:val="right"/>
              <w:rPr>
                <w:sz w:val="22"/>
                <w:szCs w:val="22"/>
              </w:rPr>
            </w:pPr>
            <w:r w:rsidRPr="009760E8">
              <w:rPr>
                <w:sz w:val="22"/>
                <w:szCs w:val="22"/>
              </w:rPr>
              <w:t>1</w:t>
            </w:r>
          </w:p>
        </w:tc>
        <w:tc>
          <w:tcPr>
            <w:tcW w:w="621" w:type="pct"/>
            <w:tcBorders>
              <w:left w:val="single" w:color="auto" w:sz="4" w:space="0"/>
              <w:bottom w:val="single" w:color="auto" w:sz="4" w:space="0"/>
              <w:right w:val="single" w:color="auto" w:sz="4" w:space="0"/>
            </w:tcBorders>
            <w:shd w:val="clear" w:color="auto" w:fill="auto"/>
          </w:tcPr>
          <w:p w:rsidRPr="009760E8" w:rsidR="00811778" w:rsidP="00811778" w:rsidRDefault="00811778" w14:paraId="02486E6B" w14:textId="77777777">
            <w:pPr>
              <w:jc w:val="right"/>
              <w:rPr>
                <w:sz w:val="22"/>
                <w:szCs w:val="22"/>
              </w:rPr>
            </w:pPr>
            <w:r w:rsidRPr="009760E8">
              <w:rPr>
                <w:sz w:val="22"/>
                <w:szCs w:val="22"/>
              </w:rPr>
              <w:t>1,033</w:t>
            </w:r>
          </w:p>
        </w:tc>
        <w:tc>
          <w:tcPr>
            <w:tcW w:w="629" w:type="pct"/>
            <w:tcBorders>
              <w:left w:val="single" w:color="auto" w:sz="4" w:space="0"/>
              <w:bottom w:val="single" w:color="auto" w:sz="4" w:space="0"/>
              <w:right w:val="single" w:color="auto" w:sz="4" w:space="0"/>
            </w:tcBorders>
            <w:shd w:val="clear" w:color="auto" w:fill="auto"/>
          </w:tcPr>
          <w:p w:rsidRPr="009760E8" w:rsidR="00811778" w:rsidP="00811778" w:rsidRDefault="00811778" w14:paraId="2FC09EF1" w14:textId="77777777">
            <w:pPr>
              <w:jc w:val="right"/>
              <w:rPr>
                <w:sz w:val="22"/>
                <w:szCs w:val="22"/>
              </w:rPr>
            </w:pPr>
            <w:r w:rsidRPr="009760E8">
              <w:rPr>
                <w:color w:val="000000"/>
                <w:sz w:val="22"/>
                <w:szCs w:val="22"/>
              </w:rPr>
              <w:t>10</w:t>
            </w:r>
          </w:p>
        </w:tc>
        <w:tc>
          <w:tcPr>
            <w:tcW w:w="482" w:type="pct"/>
            <w:tcBorders>
              <w:left w:val="single" w:color="auto" w:sz="4" w:space="0"/>
              <w:bottom w:val="single" w:color="auto" w:sz="4" w:space="0"/>
              <w:right w:val="single" w:color="auto" w:sz="4" w:space="0"/>
            </w:tcBorders>
            <w:shd w:val="clear" w:color="auto" w:fill="auto"/>
          </w:tcPr>
          <w:p w:rsidRPr="009760E8" w:rsidR="00811778" w:rsidP="00811778" w:rsidRDefault="00811778" w14:paraId="0B9E5381" w14:textId="77777777">
            <w:pPr>
              <w:jc w:val="right"/>
              <w:rPr>
                <w:sz w:val="22"/>
                <w:szCs w:val="22"/>
              </w:rPr>
            </w:pPr>
            <w:r w:rsidRPr="009760E8">
              <w:rPr>
                <w:color w:val="000000"/>
                <w:sz w:val="22"/>
                <w:szCs w:val="22"/>
              </w:rPr>
              <w:t>10,330</w:t>
            </w:r>
          </w:p>
        </w:tc>
        <w:tc>
          <w:tcPr>
            <w:tcW w:w="734" w:type="pct"/>
            <w:tcBorders>
              <w:left w:val="single" w:color="auto" w:sz="4" w:space="0"/>
              <w:bottom w:val="single" w:color="auto" w:sz="4" w:space="0"/>
            </w:tcBorders>
            <w:shd w:val="clear" w:color="auto" w:fill="auto"/>
          </w:tcPr>
          <w:p w:rsidRPr="009760E8" w:rsidR="00811778" w:rsidP="00811778" w:rsidRDefault="00811778" w14:paraId="53F63F13" w14:textId="77777777">
            <w:pPr>
              <w:jc w:val="right"/>
              <w:rPr>
                <w:sz w:val="22"/>
                <w:szCs w:val="22"/>
              </w:rPr>
            </w:pPr>
          </w:p>
        </w:tc>
      </w:tr>
      <w:tr w:rsidRPr="009760E8" w:rsidR="005C0E7A" w:rsidTr="005C0E7A" w14:paraId="3D865BCE" w14:textId="77777777">
        <w:trPr>
          <w:cantSplit/>
          <w:trHeight w:val="19"/>
        </w:trPr>
        <w:tc>
          <w:tcPr>
            <w:tcW w:w="928" w:type="pct"/>
            <w:tcBorders>
              <w:bottom w:val="single" w:color="auto" w:sz="4" w:space="0"/>
              <w:right w:val="single" w:color="auto" w:sz="4" w:space="0"/>
            </w:tcBorders>
            <w:shd w:val="clear" w:color="auto" w:fill="auto"/>
          </w:tcPr>
          <w:p w:rsidRPr="009760E8" w:rsidR="00AA4CE3" w:rsidP="00811778" w:rsidRDefault="00C91A98" w14:paraId="7DBED038" w14:textId="77777777">
            <w:pPr>
              <w:rPr>
                <w:sz w:val="22"/>
                <w:szCs w:val="22"/>
              </w:rPr>
            </w:pPr>
            <w:r w:rsidRPr="009760E8">
              <w:rPr>
                <w:sz w:val="22"/>
                <w:szCs w:val="22"/>
              </w:rPr>
              <w:t>4.102</w:t>
            </w:r>
            <w:r w:rsidR="0026211B">
              <w:rPr>
                <w:sz w:val="22"/>
                <w:szCs w:val="22"/>
              </w:rPr>
              <w:t xml:space="preserve">; combination product </w:t>
            </w:r>
            <w:r w:rsidRPr="009760E8">
              <w:rPr>
                <w:sz w:val="22"/>
                <w:szCs w:val="22"/>
              </w:rPr>
              <w:t>correction</w:t>
            </w:r>
            <w:r w:rsidR="0026211B">
              <w:rPr>
                <w:sz w:val="22"/>
                <w:szCs w:val="22"/>
              </w:rPr>
              <w:t>s</w:t>
            </w:r>
            <w:r w:rsidRPr="009760E8">
              <w:rPr>
                <w:sz w:val="22"/>
                <w:szCs w:val="22"/>
              </w:rPr>
              <w:t xml:space="preserve"> or removal</w:t>
            </w:r>
            <w:r w:rsidR="0026211B">
              <w:rPr>
                <w:sz w:val="22"/>
                <w:szCs w:val="22"/>
              </w:rPr>
              <w:t>s</w:t>
            </w:r>
          </w:p>
        </w:tc>
        <w:tc>
          <w:tcPr>
            <w:tcW w:w="781" w:type="pct"/>
            <w:tcBorders>
              <w:left w:val="single" w:color="auto" w:sz="4" w:space="0"/>
              <w:bottom w:val="single" w:color="auto" w:sz="4" w:space="0"/>
              <w:right w:val="single" w:color="auto" w:sz="4" w:space="0"/>
            </w:tcBorders>
            <w:shd w:val="clear" w:color="auto" w:fill="auto"/>
          </w:tcPr>
          <w:p w:rsidRPr="009760E8" w:rsidR="00AA4CE3" w:rsidP="00811778" w:rsidRDefault="00C91A98" w14:paraId="1C46EAE2" w14:textId="77777777">
            <w:pPr>
              <w:jc w:val="right"/>
              <w:rPr>
                <w:sz w:val="22"/>
                <w:szCs w:val="22"/>
              </w:rPr>
            </w:pPr>
            <w:r w:rsidRPr="009760E8">
              <w:rPr>
                <w:sz w:val="22"/>
                <w:szCs w:val="22"/>
              </w:rPr>
              <w:t>20</w:t>
            </w:r>
          </w:p>
        </w:tc>
        <w:tc>
          <w:tcPr>
            <w:tcW w:w="825" w:type="pct"/>
            <w:tcBorders>
              <w:left w:val="single" w:color="auto" w:sz="4" w:space="0"/>
              <w:bottom w:val="single" w:color="auto" w:sz="4" w:space="0"/>
              <w:right w:val="single" w:color="auto" w:sz="4" w:space="0"/>
            </w:tcBorders>
            <w:shd w:val="clear" w:color="auto" w:fill="auto"/>
          </w:tcPr>
          <w:p w:rsidRPr="009760E8" w:rsidR="00AA4CE3" w:rsidP="00811778" w:rsidRDefault="00C91A98" w14:paraId="67ADA15D" w14:textId="77777777">
            <w:pPr>
              <w:jc w:val="right"/>
              <w:rPr>
                <w:sz w:val="22"/>
                <w:szCs w:val="22"/>
              </w:rPr>
            </w:pPr>
            <w:r w:rsidRPr="009760E8">
              <w:rPr>
                <w:sz w:val="22"/>
                <w:szCs w:val="22"/>
              </w:rPr>
              <w:t>1</w:t>
            </w:r>
          </w:p>
        </w:tc>
        <w:tc>
          <w:tcPr>
            <w:tcW w:w="621" w:type="pct"/>
            <w:tcBorders>
              <w:left w:val="single" w:color="auto" w:sz="4" w:space="0"/>
              <w:bottom w:val="single" w:color="auto" w:sz="4" w:space="0"/>
              <w:right w:val="single" w:color="auto" w:sz="4" w:space="0"/>
            </w:tcBorders>
            <w:shd w:val="clear" w:color="auto" w:fill="auto"/>
          </w:tcPr>
          <w:p w:rsidRPr="009760E8" w:rsidR="00AA4CE3" w:rsidP="00811778" w:rsidRDefault="00C91A98" w14:paraId="0B144EA5" w14:textId="77777777">
            <w:pPr>
              <w:jc w:val="right"/>
              <w:rPr>
                <w:sz w:val="22"/>
                <w:szCs w:val="22"/>
              </w:rPr>
            </w:pPr>
            <w:r w:rsidRPr="009760E8">
              <w:rPr>
                <w:sz w:val="22"/>
                <w:szCs w:val="22"/>
              </w:rPr>
              <w:t>20</w:t>
            </w:r>
          </w:p>
        </w:tc>
        <w:tc>
          <w:tcPr>
            <w:tcW w:w="629" w:type="pct"/>
            <w:tcBorders>
              <w:left w:val="single" w:color="auto" w:sz="4" w:space="0"/>
              <w:bottom w:val="single" w:color="auto" w:sz="4" w:space="0"/>
              <w:right w:val="single" w:color="auto" w:sz="4" w:space="0"/>
            </w:tcBorders>
            <w:shd w:val="clear" w:color="auto" w:fill="auto"/>
          </w:tcPr>
          <w:p w:rsidRPr="009760E8" w:rsidR="00AA4CE3" w:rsidP="00811778" w:rsidRDefault="00C91A98" w14:paraId="2519CBF6" w14:textId="77777777">
            <w:pPr>
              <w:jc w:val="right"/>
              <w:rPr>
                <w:color w:val="000000"/>
                <w:sz w:val="22"/>
                <w:szCs w:val="22"/>
              </w:rPr>
            </w:pPr>
            <w:r w:rsidRPr="009760E8">
              <w:rPr>
                <w:color w:val="000000"/>
                <w:sz w:val="22"/>
                <w:szCs w:val="22"/>
              </w:rPr>
              <w:t>10</w:t>
            </w:r>
          </w:p>
        </w:tc>
        <w:tc>
          <w:tcPr>
            <w:tcW w:w="482" w:type="pct"/>
            <w:tcBorders>
              <w:left w:val="single" w:color="auto" w:sz="4" w:space="0"/>
              <w:bottom w:val="single" w:color="auto" w:sz="4" w:space="0"/>
              <w:right w:val="single" w:color="auto" w:sz="4" w:space="0"/>
            </w:tcBorders>
            <w:shd w:val="clear" w:color="auto" w:fill="auto"/>
          </w:tcPr>
          <w:p w:rsidRPr="009760E8" w:rsidR="00AA4CE3" w:rsidP="00811778" w:rsidRDefault="00C91A98" w14:paraId="69B262CC" w14:textId="77777777">
            <w:pPr>
              <w:jc w:val="right"/>
              <w:rPr>
                <w:color w:val="000000"/>
                <w:sz w:val="22"/>
                <w:szCs w:val="22"/>
              </w:rPr>
            </w:pPr>
            <w:r w:rsidRPr="009760E8">
              <w:rPr>
                <w:color w:val="000000"/>
                <w:sz w:val="22"/>
                <w:szCs w:val="22"/>
              </w:rPr>
              <w:t>200</w:t>
            </w:r>
          </w:p>
        </w:tc>
        <w:tc>
          <w:tcPr>
            <w:tcW w:w="734" w:type="pct"/>
            <w:tcBorders>
              <w:left w:val="single" w:color="auto" w:sz="4" w:space="0"/>
              <w:bottom w:val="single" w:color="auto" w:sz="4" w:space="0"/>
            </w:tcBorders>
            <w:shd w:val="clear" w:color="auto" w:fill="auto"/>
          </w:tcPr>
          <w:p w:rsidRPr="009760E8" w:rsidR="00AA4CE3" w:rsidP="00811778" w:rsidRDefault="00AA4CE3" w14:paraId="7B85226B" w14:textId="77777777">
            <w:pPr>
              <w:jc w:val="right"/>
              <w:rPr>
                <w:sz w:val="22"/>
                <w:szCs w:val="22"/>
              </w:rPr>
            </w:pPr>
          </w:p>
        </w:tc>
      </w:tr>
      <w:tr w:rsidRPr="009760E8" w:rsidR="005C0E7A" w:rsidTr="005C0E7A" w14:paraId="1CAE62D5" w14:textId="77777777">
        <w:trPr>
          <w:cantSplit/>
          <w:trHeight w:val="19"/>
        </w:trPr>
        <w:tc>
          <w:tcPr>
            <w:tcW w:w="928" w:type="pct"/>
            <w:tcBorders>
              <w:bottom w:val="single" w:color="auto" w:sz="4" w:space="0"/>
              <w:right w:val="single" w:color="auto" w:sz="4" w:space="0"/>
            </w:tcBorders>
            <w:shd w:val="clear" w:color="auto" w:fill="auto"/>
          </w:tcPr>
          <w:p w:rsidRPr="009760E8" w:rsidR="0026211B" w:rsidP="00811778" w:rsidRDefault="0026211B" w14:paraId="667CCE44" w14:textId="77777777">
            <w:pPr>
              <w:rPr>
                <w:sz w:val="22"/>
                <w:szCs w:val="22"/>
              </w:rPr>
            </w:pPr>
            <w:r>
              <w:rPr>
                <w:sz w:val="22"/>
                <w:szCs w:val="22"/>
              </w:rPr>
              <w:t>TOTAL</w:t>
            </w:r>
          </w:p>
        </w:tc>
        <w:tc>
          <w:tcPr>
            <w:tcW w:w="781" w:type="pct"/>
            <w:tcBorders>
              <w:left w:val="single" w:color="auto" w:sz="4" w:space="0"/>
              <w:bottom w:val="single" w:color="auto" w:sz="4" w:space="0"/>
              <w:right w:val="single" w:color="auto" w:sz="4" w:space="0"/>
            </w:tcBorders>
            <w:shd w:val="clear" w:color="auto" w:fill="auto"/>
          </w:tcPr>
          <w:p w:rsidRPr="009760E8" w:rsidR="0026211B" w:rsidP="00811778" w:rsidRDefault="0026211B" w14:paraId="5D01FE23" w14:textId="77777777">
            <w:pPr>
              <w:jc w:val="right"/>
              <w:rPr>
                <w:sz w:val="22"/>
                <w:szCs w:val="22"/>
              </w:rPr>
            </w:pPr>
          </w:p>
        </w:tc>
        <w:tc>
          <w:tcPr>
            <w:tcW w:w="825" w:type="pct"/>
            <w:tcBorders>
              <w:left w:val="single" w:color="auto" w:sz="4" w:space="0"/>
              <w:bottom w:val="single" w:color="auto" w:sz="4" w:space="0"/>
              <w:right w:val="single" w:color="auto" w:sz="4" w:space="0"/>
            </w:tcBorders>
            <w:shd w:val="clear" w:color="auto" w:fill="auto"/>
          </w:tcPr>
          <w:p w:rsidRPr="009760E8" w:rsidR="0026211B" w:rsidP="00811778" w:rsidRDefault="0026211B" w14:paraId="307F7316" w14:textId="77777777">
            <w:pPr>
              <w:jc w:val="right"/>
              <w:rPr>
                <w:sz w:val="22"/>
                <w:szCs w:val="22"/>
              </w:rPr>
            </w:pPr>
          </w:p>
        </w:tc>
        <w:tc>
          <w:tcPr>
            <w:tcW w:w="621" w:type="pct"/>
            <w:tcBorders>
              <w:left w:val="single" w:color="auto" w:sz="4" w:space="0"/>
              <w:bottom w:val="single" w:color="auto" w:sz="4" w:space="0"/>
              <w:right w:val="single" w:color="auto" w:sz="4" w:space="0"/>
            </w:tcBorders>
            <w:shd w:val="clear" w:color="auto" w:fill="auto"/>
          </w:tcPr>
          <w:p w:rsidRPr="009760E8" w:rsidR="0026211B" w:rsidP="00811778" w:rsidRDefault="0026211B" w14:paraId="246EDBD3" w14:textId="77777777">
            <w:pPr>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1,570</w:t>
            </w:r>
            <w:r>
              <w:rPr>
                <w:sz w:val="22"/>
                <w:szCs w:val="22"/>
              </w:rPr>
              <w:fldChar w:fldCharType="end"/>
            </w:r>
          </w:p>
        </w:tc>
        <w:tc>
          <w:tcPr>
            <w:tcW w:w="629" w:type="pct"/>
            <w:tcBorders>
              <w:left w:val="single" w:color="auto" w:sz="4" w:space="0"/>
              <w:bottom w:val="single" w:color="auto" w:sz="4" w:space="0"/>
              <w:right w:val="single" w:color="auto" w:sz="4" w:space="0"/>
            </w:tcBorders>
            <w:shd w:val="clear" w:color="auto" w:fill="auto"/>
          </w:tcPr>
          <w:p w:rsidRPr="009760E8" w:rsidR="0026211B" w:rsidP="00811778" w:rsidRDefault="0026211B" w14:paraId="4BF3F668" w14:textId="77777777">
            <w:pPr>
              <w:jc w:val="right"/>
              <w:rPr>
                <w:color w:val="000000"/>
                <w:sz w:val="22"/>
                <w:szCs w:val="22"/>
              </w:rPr>
            </w:pPr>
          </w:p>
        </w:tc>
        <w:tc>
          <w:tcPr>
            <w:tcW w:w="482" w:type="pct"/>
            <w:tcBorders>
              <w:left w:val="single" w:color="auto" w:sz="4" w:space="0"/>
              <w:bottom w:val="single" w:color="auto" w:sz="4" w:space="0"/>
              <w:right w:val="single" w:color="auto" w:sz="4" w:space="0"/>
            </w:tcBorders>
            <w:shd w:val="clear" w:color="auto" w:fill="auto"/>
          </w:tcPr>
          <w:p w:rsidRPr="009760E8" w:rsidR="0026211B" w:rsidP="00811778" w:rsidRDefault="00B465AB" w14:paraId="6940DBEE" w14:textId="77777777">
            <w:pPr>
              <w:jc w:val="right"/>
              <w:rPr>
                <w:color w:val="000000"/>
                <w:sz w:val="22"/>
                <w:szCs w:val="22"/>
              </w:rPr>
            </w:pPr>
            <w:r>
              <w:rPr>
                <w:color w:val="000000"/>
                <w:sz w:val="22"/>
                <w:szCs w:val="22"/>
              </w:rPr>
              <w:fldChar w:fldCharType="begin"/>
            </w:r>
            <w:r>
              <w:rPr>
                <w:color w:val="000000"/>
                <w:sz w:val="22"/>
                <w:szCs w:val="22"/>
              </w:rPr>
              <w:instrText xml:space="preserve"> =SUM(ABOVE) </w:instrText>
            </w:r>
            <w:r>
              <w:rPr>
                <w:color w:val="000000"/>
                <w:sz w:val="22"/>
                <w:szCs w:val="22"/>
              </w:rPr>
              <w:fldChar w:fldCharType="separate"/>
            </w:r>
            <w:r>
              <w:rPr>
                <w:noProof/>
                <w:color w:val="000000"/>
                <w:sz w:val="22"/>
                <w:szCs w:val="22"/>
              </w:rPr>
              <w:t>12,122</w:t>
            </w:r>
            <w:r>
              <w:rPr>
                <w:color w:val="000000"/>
                <w:sz w:val="22"/>
                <w:szCs w:val="22"/>
              </w:rPr>
              <w:fldChar w:fldCharType="end"/>
            </w:r>
          </w:p>
        </w:tc>
        <w:tc>
          <w:tcPr>
            <w:tcW w:w="734" w:type="pct"/>
            <w:tcBorders>
              <w:left w:val="single" w:color="auto" w:sz="4" w:space="0"/>
              <w:bottom w:val="single" w:color="auto" w:sz="4" w:space="0"/>
            </w:tcBorders>
            <w:shd w:val="clear" w:color="auto" w:fill="auto"/>
          </w:tcPr>
          <w:p w:rsidRPr="009760E8" w:rsidR="0026211B" w:rsidP="00811778" w:rsidRDefault="0026211B" w14:paraId="784225BB" w14:textId="77777777">
            <w:pPr>
              <w:jc w:val="right"/>
              <w:rPr>
                <w:sz w:val="22"/>
                <w:szCs w:val="22"/>
              </w:rPr>
            </w:pPr>
          </w:p>
        </w:tc>
      </w:tr>
      <w:tr w:rsidRPr="009760E8" w:rsidR="00811778" w:rsidTr="005C0E7A" w14:paraId="7E57D5FB" w14:textId="77777777">
        <w:trPr>
          <w:cantSplit/>
          <w:trHeight w:val="19"/>
        </w:trPr>
        <w:tc>
          <w:tcPr>
            <w:tcW w:w="5000" w:type="pct"/>
            <w:gridSpan w:val="7"/>
            <w:tcBorders>
              <w:top w:val="nil"/>
              <w:left w:val="nil"/>
              <w:bottom w:val="nil"/>
              <w:right w:val="nil"/>
            </w:tcBorders>
            <w:shd w:val="clear" w:color="auto" w:fill="auto"/>
          </w:tcPr>
          <w:p w:rsidRPr="009760E8" w:rsidR="00811778" w:rsidP="00811778" w:rsidRDefault="0094101B" w14:paraId="69124E6F" w14:textId="77777777">
            <w:pPr>
              <w:rPr>
                <w:sz w:val="20"/>
                <w:szCs w:val="20"/>
              </w:rPr>
            </w:pPr>
            <w:r w:rsidRPr="009760E8">
              <w:rPr>
                <w:sz w:val="20"/>
                <w:szCs w:val="20"/>
                <w:vertAlign w:val="superscript"/>
              </w:rPr>
              <w:t>1</w:t>
            </w:r>
            <w:r w:rsidRPr="009760E8">
              <w:rPr>
                <w:sz w:val="20"/>
                <w:szCs w:val="20"/>
              </w:rPr>
              <w:t xml:space="preserve"> </w:t>
            </w:r>
            <w:r w:rsidR="0026211B">
              <w:rPr>
                <w:sz w:val="20"/>
                <w:szCs w:val="20"/>
              </w:rPr>
              <w:t>Figures rounded</w:t>
            </w:r>
            <w:r w:rsidRPr="009760E8" w:rsidR="00811778">
              <w:rPr>
                <w:sz w:val="20"/>
                <w:szCs w:val="20"/>
              </w:rPr>
              <w:t>.</w:t>
            </w:r>
          </w:p>
        </w:tc>
      </w:tr>
      <w:tr w:rsidRPr="009760E8" w:rsidR="00811778" w:rsidTr="005C0E7A" w14:paraId="764EAA59" w14:textId="77777777">
        <w:trPr>
          <w:cantSplit/>
          <w:trHeight w:val="19"/>
        </w:trPr>
        <w:tc>
          <w:tcPr>
            <w:tcW w:w="5000" w:type="pct"/>
            <w:gridSpan w:val="7"/>
            <w:tcBorders>
              <w:top w:val="nil"/>
              <w:left w:val="nil"/>
              <w:bottom w:val="nil"/>
              <w:right w:val="nil"/>
            </w:tcBorders>
            <w:shd w:val="clear" w:color="auto" w:fill="auto"/>
          </w:tcPr>
          <w:p w:rsidRPr="009760E8" w:rsidR="00811778" w:rsidP="00811778" w:rsidRDefault="0094101B" w14:paraId="0AB90056" w14:textId="77777777">
            <w:pPr>
              <w:rPr>
                <w:sz w:val="20"/>
                <w:szCs w:val="20"/>
              </w:rPr>
            </w:pPr>
            <w:r w:rsidRPr="009760E8">
              <w:rPr>
                <w:sz w:val="20"/>
                <w:szCs w:val="20"/>
                <w:vertAlign w:val="superscript"/>
              </w:rPr>
              <w:lastRenderedPageBreak/>
              <w:t>2</w:t>
            </w:r>
            <w:r w:rsidRPr="009760E8">
              <w:rPr>
                <w:sz w:val="20"/>
                <w:szCs w:val="20"/>
              </w:rPr>
              <w:t xml:space="preserve"> </w:t>
            </w:r>
            <w:r w:rsidRPr="009760E8" w:rsidR="00811778">
              <w:rPr>
                <w:sz w:val="20"/>
                <w:szCs w:val="20"/>
              </w:rPr>
              <w:t>The burden hours for setup of the electronic process listed in the reporting burden table are divided by 3 to avoid double counting in the Office of Information and Regulatory Affairs Consolidated Information System.  However, the one-time Average Burden per Response is 9.25 hours, resulting in a total one-time burden of 4,782 hours for the setup of the electronic process.</w:t>
            </w:r>
          </w:p>
        </w:tc>
      </w:tr>
    </w:tbl>
    <w:p w:rsidRPr="00567831" w:rsidR="00811778" w:rsidP="00811778" w:rsidRDefault="00811778" w14:paraId="42EA00A2" w14:textId="77777777">
      <w:pPr>
        <w:ind w:firstLine="720"/>
        <w:contextualSpacing/>
        <w:jc w:val="center"/>
      </w:pPr>
    </w:p>
    <w:p w:rsidRPr="00721303" w:rsidR="00811778" w:rsidP="00811778" w:rsidRDefault="00811778" w14:paraId="26271AB3" w14:textId="77777777">
      <w:pPr>
        <w:ind w:firstLine="720"/>
        <w:contextualSpacing/>
        <w:jc w:val="center"/>
      </w:pPr>
      <w:r w:rsidRPr="00567831">
        <w:t>Table 2.--Estimated Annual Recordkeeping Burden</w:t>
      </w:r>
    </w:p>
    <w:tbl>
      <w:tblPr>
        <w:tblW w:w="4717" w:type="pct"/>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1"/>
        <w:gridCol w:w="1524"/>
        <w:gridCol w:w="1438"/>
        <w:gridCol w:w="937"/>
        <w:gridCol w:w="1548"/>
        <w:gridCol w:w="824"/>
      </w:tblGrid>
      <w:tr w:rsidRPr="0026211B" w:rsidR="00811778" w:rsidTr="0026211B" w14:paraId="4ADC30E5" w14:textId="77777777">
        <w:trPr>
          <w:cantSplit/>
          <w:trHeight w:val="773"/>
        </w:trPr>
        <w:tc>
          <w:tcPr>
            <w:tcW w:w="1631" w:type="pct"/>
            <w:shd w:val="clear" w:color="auto" w:fill="auto"/>
          </w:tcPr>
          <w:p w:rsidRPr="0026211B" w:rsidR="00811778" w:rsidP="00811778" w:rsidRDefault="0026211B" w14:paraId="45380252" w14:textId="77777777">
            <w:pPr>
              <w:jc w:val="center"/>
              <w:rPr>
                <w:sz w:val="22"/>
                <w:szCs w:val="22"/>
              </w:rPr>
            </w:pPr>
            <w:r w:rsidRPr="0026211B">
              <w:rPr>
                <w:sz w:val="22"/>
                <w:szCs w:val="22"/>
              </w:rPr>
              <w:t xml:space="preserve">21 CFR; IC </w:t>
            </w:r>
            <w:r w:rsidRPr="0026211B" w:rsidR="00811778">
              <w:rPr>
                <w:sz w:val="22"/>
                <w:szCs w:val="22"/>
              </w:rPr>
              <w:t xml:space="preserve">Activity </w:t>
            </w:r>
          </w:p>
        </w:tc>
        <w:tc>
          <w:tcPr>
            <w:tcW w:w="819" w:type="pct"/>
            <w:shd w:val="clear" w:color="auto" w:fill="auto"/>
          </w:tcPr>
          <w:p w:rsidRPr="0026211B" w:rsidR="00811778" w:rsidP="00811778" w:rsidRDefault="00811778" w14:paraId="10BDCD99" w14:textId="77777777">
            <w:pPr>
              <w:jc w:val="center"/>
              <w:rPr>
                <w:sz w:val="22"/>
                <w:szCs w:val="22"/>
              </w:rPr>
            </w:pPr>
            <w:r w:rsidRPr="0026211B">
              <w:rPr>
                <w:sz w:val="22"/>
                <w:szCs w:val="22"/>
              </w:rPr>
              <w:t>No. of Recordkeepers</w:t>
            </w:r>
          </w:p>
        </w:tc>
        <w:tc>
          <w:tcPr>
            <w:tcW w:w="773" w:type="pct"/>
            <w:shd w:val="clear" w:color="auto" w:fill="auto"/>
          </w:tcPr>
          <w:p w:rsidRPr="0026211B" w:rsidR="00811778" w:rsidP="00811778" w:rsidRDefault="00811778" w14:paraId="5C8516D6" w14:textId="77777777">
            <w:pPr>
              <w:jc w:val="center"/>
              <w:rPr>
                <w:sz w:val="22"/>
                <w:szCs w:val="22"/>
              </w:rPr>
            </w:pPr>
            <w:r w:rsidRPr="0026211B">
              <w:rPr>
                <w:bCs/>
                <w:sz w:val="22"/>
                <w:szCs w:val="22"/>
              </w:rPr>
              <w:t>No. of Records per Recordkeeper</w:t>
            </w:r>
          </w:p>
        </w:tc>
        <w:tc>
          <w:tcPr>
            <w:tcW w:w="503" w:type="pct"/>
            <w:shd w:val="clear" w:color="auto" w:fill="auto"/>
          </w:tcPr>
          <w:p w:rsidRPr="0026211B" w:rsidR="00811778" w:rsidP="00811778" w:rsidRDefault="00811778" w14:paraId="78C9E8AE" w14:textId="77777777">
            <w:pPr>
              <w:jc w:val="center"/>
              <w:rPr>
                <w:sz w:val="22"/>
                <w:szCs w:val="22"/>
              </w:rPr>
            </w:pPr>
            <w:r w:rsidRPr="0026211B">
              <w:rPr>
                <w:sz w:val="22"/>
                <w:szCs w:val="22"/>
              </w:rPr>
              <w:t>Total Annual Records</w:t>
            </w:r>
          </w:p>
        </w:tc>
        <w:tc>
          <w:tcPr>
            <w:tcW w:w="832" w:type="pct"/>
            <w:shd w:val="clear" w:color="auto" w:fill="auto"/>
          </w:tcPr>
          <w:p w:rsidRPr="0026211B" w:rsidR="00811778" w:rsidP="00811778" w:rsidRDefault="00811778" w14:paraId="74F04C5A" w14:textId="77777777">
            <w:pPr>
              <w:jc w:val="center"/>
              <w:rPr>
                <w:sz w:val="22"/>
                <w:szCs w:val="22"/>
              </w:rPr>
            </w:pPr>
            <w:r w:rsidRPr="0026211B">
              <w:rPr>
                <w:bCs/>
                <w:sz w:val="22"/>
                <w:szCs w:val="22"/>
              </w:rPr>
              <w:t>Av</w:t>
            </w:r>
            <w:r w:rsidR="0026211B">
              <w:rPr>
                <w:bCs/>
                <w:sz w:val="22"/>
                <w:szCs w:val="22"/>
              </w:rPr>
              <w:t>g.</w:t>
            </w:r>
            <w:r w:rsidRPr="0026211B">
              <w:rPr>
                <w:bCs/>
                <w:sz w:val="22"/>
                <w:szCs w:val="22"/>
              </w:rPr>
              <w:t xml:space="preserve"> Burden per Recordkeeping</w:t>
            </w:r>
          </w:p>
        </w:tc>
        <w:tc>
          <w:tcPr>
            <w:tcW w:w="443" w:type="pct"/>
            <w:shd w:val="clear" w:color="auto" w:fill="auto"/>
          </w:tcPr>
          <w:p w:rsidRPr="0026211B" w:rsidR="00811778" w:rsidP="00811778" w:rsidRDefault="00811778" w14:paraId="41ADFD53" w14:textId="77777777">
            <w:pPr>
              <w:jc w:val="center"/>
              <w:rPr>
                <w:sz w:val="22"/>
                <w:szCs w:val="22"/>
              </w:rPr>
            </w:pPr>
            <w:r w:rsidRPr="0026211B">
              <w:rPr>
                <w:sz w:val="22"/>
                <w:szCs w:val="22"/>
              </w:rPr>
              <w:t>Total Hours</w:t>
            </w:r>
            <w:r w:rsidRPr="0026211B" w:rsidR="005F6123">
              <w:rPr>
                <w:sz w:val="22"/>
                <w:szCs w:val="22"/>
                <w:vertAlign w:val="superscript"/>
              </w:rPr>
              <w:t>1</w:t>
            </w:r>
          </w:p>
        </w:tc>
      </w:tr>
      <w:tr w:rsidRPr="0026211B" w:rsidR="00811778" w:rsidTr="0026211B" w14:paraId="6FA6ABC3" w14:textId="77777777">
        <w:trPr>
          <w:cantSplit/>
          <w:trHeight w:val="19"/>
        </w:trPr>
        <w:tc>
          <w:tcPr>
            <w:tcW w:w="1631" w:type="pct"/>
            <w:shd w:val="clear" w:color="auto" w:fill="auto"/>
          </w:tcPr>
          <w:p w:rsidRPr="0026211B" w:rsidR="00811778" w:rsidP="00811778" w:rsidRDefault="0026211B" w14:paraId="7C4C8F90" w14:textId="77777777">
            <w:pPr>
              <w:rPr>
                <w:sz w:val="22"/>
                <w:szCs w:val="22"/>
              </w:rPr>
            </w:pPr>
            <w:r w:rsidRPr="0026211B">
              <w:rPr>
                <w:sz w:val="22"/>
                <w:szCs w:val="22"/>
              </w:rPr>
              <w:t xml:space="preserve">806; device product </w:t>
            </w:r>
            <w:r w:rsidRPr="0026211B" w:rsidR="00811778">
              <w:rPr>
                <w:sz w:val="22"/>
                <w:szCs w:val="22"/>
              </w:rPr>
              <w:t>corrections and removals</w:t>
            </w:r>
          </w:p>
        </w:tc>
        <w:tc>
          <w:tcPr>
            <w:tcW w:w="819" w:type="pct"/>
            <w:shd w:val="clear" w:color="auto" w:fill="auto"/>
          </w:tcPr>
          <w:p w:rsidRPr="0026211B" w:rsidR="00811778" w:rsidP="00811778" w:rsidRDefault="00811778" w14:paraId="202C875E" w14:textId="77777777">
            <w:pPr>
              <w:jc w:val="right"/>
              <w:rPr>
                <w:sz w:val="22"/>
                <w:szCs w:val="22"/>
              </w:rPr>
            </w:pPr>
            <w:r w:rsidRPr="0026211B">
              <w:rPr>
                <w:sz w:val="22"/>
                <w:szCs w:val="22"/>
              </w:rPr>
              <w:t>93</w:t>
            </w:r>
          </w:p>
        </w:tc>
        <w:tc>
          <w:tcPr>
            <w:tcW w:w="773" w:type="pct"/>
            <w:shd w:val="clear" w:color="auto" w:fill="auto"/>
          </w:tcPr>
          <w:p w:rsidRPr="0026211B" w:rsidR="00811778" w:rsidP="00811778" w:rsidRDefault="00811778" w14:paraId="6751E4F5" w14:textId="77777777">
            <w:pPr>
              <w:jc w:val="right"/>
              <w:rPr>
                <w:sz w:val="22"/>
                <w:szCs w:val="22"/>
              </w:rPr>
            </w:pPr>
            <w:r w:rsidRPr="0026211B">
              <w:rPr>
                <w:sz w:val="22"/>
                <w:szCs w:val="22"/>
              </w:rPr>
              <w:t>1</w:t>
            </w:r>
          </w:p>
        </w:tc>
        <w:tc>
          <w:tcPr>
            <w:tcW w:w="503" w:type="pct"/>
            <w:shd w:val="clear" w:color="auto" w:fill="auto"/>
          </w:tcPr>
          <w:p w:rsidRPr="0026211B" w:rsidR="00811778" w:rsidP="00811778" w:rsidRDefault="00811778" w14:paraId="4BC9739A" w14:textId="77777777">
            <w:pPr>
              <w:jc w:val="right"/>
              <w:rPr>
                <w:sz w:val="22"/>
                <w:szCs w:val="22"/>
              </w:rPr>
            </w:pPr>
            <w:r w:rsidRPr="0026211B">
              <w:rPr>
                <w:sz w:val="22"/>
                <w:szCs w:val="22"/>
              </w:rPr>
              <w:t>93</w:t>
            </w:r>
          </w:p>
        </w:tc>
        <w:tc>
          <w:tcPr>
            <w:tcW w:w="832" w:type="pct"/>
            <w:shd w:val="clear" w:color="auto" w:fill="auto"/>
          </w:tcPr>
          <w:p w:rsidRPr="0026211B" w:rsidR="00811778" w:rsidP="00811778" w:rsidRDefault="00811778" w14:paraId="0A64CAAB" w14:textId="77777777">
            <w:pPr>
              <w:jc w:val="right"/>
              <w:rPr>
                <w:sz w:val="22"/>
                <w:szCs w:val="22"/>
              </w:rPr>
            </w:pPr>
            <w:r w:rsidRPr="0026211B">
              <w:rPr>
                <w:sz w:val="22"/>
                <w:szCs w:val="22"/>
              </w:rPr>
              <w:t>10</w:t>
            </w:r>
          </w:p>
        </w:tc>
        <w:tc>
          <w:tcPr>
            <w:tcW w:w="443" w:type="pct"/>
            <w:shd w:val="clear" w:color="auto" w:fill="auto"/>
          </w:tcPr>
          <w:p w:rsidRPr="0026211B" w:rsidR="00811778" w:rsidP="00811778" w:rsidRDefault="00811778" w14:paraId="57BFAEED" w14:textId="77777777">
            <w:pPr>
              <w:jc w:val="right"/>
              <w:rPr>
                <w:sz w:val="22"/>
                <w:szCs w:val="22"/>
              </w:rPr>
            </w:pPr>
            <w:r w:rsidRPr="0026211B">
              <w:rPr>
                <w:sz w:val="22"/>
                <w:szCs w:val="22"/>
              </w:rPr>
              <w:t>930</w:t>
            </w:r>
          </w:p>
        </w:tc>
      </w:tr>
      <w:tr w:rsidRPr="0026211B" w:rsidR="00BB2309" w:rsidTr="0026211B" w14:paraId="7E037779" w14:textId="77777777">
        <w:trPr>
          <w:cantSplit/>
          <w:trHeight w:val="19"/>
        </w:trPr>
        <w:tc>
          <w:tcPr>
            <w:tcW w:w="1631" w:type="pct"/>
            <w:shd w:val="clear" w:color="auto" w:fill="auto"/>
          </w:tcPr>
          <w:p w:rsidRPr="0026211B" w:rsidR="00BB2309" w:rsidP="00811778" w:rsidRDefault="00BB2309" w14:paraId="681846BB" w14:textId="77777777">
            <w:pPr>
              <w:rPr>
                <w:sz w:val="22"/>
                <w:szCs w:val="22"/>
                <w:vertAlign w:val="superscript"/>
              </w:rPr>
            </w:pPr>
            <w:r w:rsidRPr="0026211B">
              <w:rPr>
                <w:sz w:val="22"/>
                <w:szCs w:val="22"/>
              </w:rPr>
              <w:t>4.105</w:t>
            </w:r>
            <w:r w:rsidRPr="0026211B" w:rsidR="0026211B">
              <w:rPr>
                <w:sz w:val="22"/>
                <w:szCs w:val="22"/>
              </w:rPr>
              <w:t xml:space="preserve">; </w:t>
            </w:r>
            <w:r w:rsidRPr="0026211B">
              <w:rPr>
                <w:sz w:val="22"/>
                <w:szCs w:val="22"/>
              </w:rPr>
              <w:t>device-led combination products</w:t>
            </w:r>
            <w:r w:rsidRPr="0026211B" w:rsidR="005E58D4">
              <w:rPr>
                <w:sz w:val="22"/>
                <w:szCs w:val="22"/>
                <w:vertAlign w:val="superscript"/>
              </w:rPr>
              <w:t>1</w:t>
            </w:r>
          </w:p>
        </w:tc>
        <w:tc>
          <w:tcPr>
            <w:tcW w:w="819" w:type="pct"/>
            <w:shd w:val="clear" w:color="auto" w:fill="auto"/>
          </w:tcPr>
          <w:p w:rsidRPr="0026211B" w:rsidR="00BB2309" w:rsidP="00811778" w:rsidRDefault="00BB2309" w14:paraId="065E6D8C" w14:textId="77777777">
            <w:pPr>
              <w:jc w:val="right"/>
              <w:rPr>
                <w:sz w:val="22"/>
                <w:szCs w:val="22"/>
              </w:rPr>
            </w:pPr>
            <w:r w:rsidRPr="0026211B">
              <w:rPr>
                <w:sz w:val="22"/>
                <w:szCs w:val="22"/>
              </w:rPr>
              <w:t>279</w:t>
            </w:r>
          </w:p>
        </w:tc>
        <w:tc>
          <w:tcPr>
            <w:tcW w:w="773" w:type="pct"/>
            <w:shd w:val="clear" w:color="auto" w:fill="auto"/>
          </w:tcPr>
          <w:p w:rsidRPr="0026211B" w:rsidR="00BB2309" w:rsidP="00811778" w:rsidRDefault="00BB2309" w14:paraId="6F9D3FC4" w14:textId="77777777">
            <w:pPr>
              <w:jc w:val="right"/>
              <w:rPr>
                <w:sz w:val="22"/>
                <w:szCs w:val="22"/>
              </w:rPr>
            </w:pPr>
            <w:r w:rsidRPr="0026211B">
              <w:rPr>
                <w:sz w:val="22"/>
                <w:szCs w:val="22"/>
              </w:rPr>
              <w:t>.45</w:t>
            </w:r>
          </w:p>
        </w:tc>
        <w:tc>
          <w:tcPr>
            <w:tcW w:w="503" w:type="pct"/>
            <w:shd w:val="clear" w:color="auto" w:fill="auto"/>
          </w:tcPr>
          <w:p w:rsidRPr="0026211B" w:rsidR="00BB2309" w:rsidP="00811778" w:rsidRDefault="00BB2309" w14:paraId="7EA42CF9" w14:textId="77777777">
            <w:pPr>
              <w:jc w:val="right"/>
              <w:rPr>
                <w:sz w:val="22"/>
                <w:szCs w:val="22"/>
              </w:rPr>
            </w:pPr>
            <w:r w:rsidRPr="0026211B">
              <w:rPr>
                <w:sz w:val="22"/>
                <w:szCs w:val="22"/>
              </w:rPr>
              <w:t>126</w:t>
            </w:r>
          </w:p>
        </w:tc>
        <w:tc>
          <w:tcPr>
            <w:tcW w:w="832" w:type="pct"/>
            <w:shd w:val="clear" w:color="auto" w:fill="auto"/>
          </w:tcPr>
          <w:p w:rsidRPr="0026211B" w:rsidR="00BB2309" w:rsidP="00811778" w:rsidRDefault="00BB2309" w14:paraId="7B5E4683" w14:textId="77777777">
            <w:pPr>
              <w:jc w:val="right"/>
              <w:rPr>
                <w:sz w:val="22"/>
                <w:szCs w:val="22"/>
              </w:rPr>
            </w:pPr>
            <w:r w:rsidRPr="0026211B">
              <w:rPr>
                <w:sz w:val="22"/>
                <w:szCs w:val="22"/>
              </w:rPr>
              <w:t>.5</w:t>
            </w:r>
          </w:p>
        </w:tc>
        <w:tc>
          <w:tcPr>
            <w:tcW w:w="443" w:type="pct"/>
            <w:shd w:val="clear" w:color="auto" w:fill="auto"/>
          </w:tcPr>
          <w:p w:rsidRPr="0026211B" w:rsidR="00BB2309" w:rsidP="00811778" w:rsidRDefault="00BB2309" w14:paraId="6AC40BBE" w14:textId="77777777">
            <w:pPr>
              <w:jc w:val="right"/>
              <w:rPr>
                <w:sz w:val="22"/>
                <w:szCs w:val="22"/>
              </w:rPr>
            </w:pPr>
            <w:r w:rsidRPr="0026211B">
              <w:rPr>
                <w:sz w:val="22"/>
                <w:szCs w:val="22"/>
              </w:rPr>
              <w:t>63</w:t>
            </w:r>
          </w:p>
        </w:tc>
      </w:tr>
      <w:tr w:rsidRPr="0026211B" w:rsidR="0026211B" w:rsidTr="0026211B" w14:paraId="3AB62EEF" w14:textId="77777777">
        <w:trPr>
          <w:cantSplit/>
          <w:trHeight w:val="19"/>
        </w:trPr>
        <w:tc>
          <w:tcPr>
            <w:tcW w:w="1631" w:type="pct"/>
            <w:shd w:val="clear" w:color="auto" w:fill="auto"/>
          </w:tcPr>
          <w:p w:rsidRPr="0026211B" w:rsidR="0026211B" w:rsidP="00811778" w:rsidRDefault="0026211B" w14:paraId="660B5C09" w14:textId="77777777">
            <w:pPr>
              <w:rPr>
                <w:sz w:val="22"/>
                <w:szCs w:val="22"/>
              </w:rPr>
            </w:pPr>
            <w:r w:rsidRPr="0026211B">
              <w:rPr>
                <w:sz w:val="22"/>
                <w:szCs w:val="22"/>
              </w:rPr>
              <w:t>TOTAL</w:t>
            </w:r>
          </w:p>
        </w:tc>
        <w:tc>
          <w:tcPr>
            <w:tcW w:w="819" w:type="pct"/>
            <w:shd w:val="clear" w:color="auto" w:fill="auto"/>
          </w:tcPr>
          <w:p w:rsidRPr="0026211B" w:rsidR="0026211B" w:rsidP="00811778" w:rsidRDefault="0026211B" w14:paraId="5CD6A181" w14:textId="77777777">
            <w:pPr>
              <w:jc w:val="right"/>
              <w:rPr>
                <w:sz w:val="22"/>
                <w:szCs w:val="22"/>
              </w:rPr>
            </w:pPr>
          </w:p>
        </w:tc>
        <w:tc>
          <w:tcPr>
            <w:tcW w:w="773" w:type="pct"/>
            <w:shd w:val="clear" w:color="auto" w:fill="auto"/>
          </w:tcPr>
          <w:p w:rsidRPr="0026211B" w:rsidR="0026211B" w:rsidP="00811778" w:rsidRDefault="0026211B" w14:paraId="30FEC2B5" w14:textId="77777777">
            <w:pPr>
              <w:jc w:val="right"/>
              <w:rPr>
                <w:sz w:val="22"/>
                <w:szCs w:val="22"/>
              </w:rPr>
            </w:pPr>
          </w:p>
        </w:tc>
        <w:tc>
          <w:tcPr>
            <w:tcW w:w="503" w:type="pct"/>
            <w:shd w:val="clear" w:color="auto" w:fill="auto"/>
          </w:tcPr>
          <w:p w:rsidRPr="0026211B" w:rsidR="0026211B" w:rsidP="00811778" w:rsidRDefault="0026211B" w14:paraId="3880625C" w14:textId="77777777">
            <w:pPr>
              <w:jc w:val="right"/>
              <w:rPr>
                <w:sz w:val="22"/>
                <w:szCs w:val="22"/>
              </w:rPr>
            </w:pPr>
            <w:r w:rsidRPr="0026211B">
              <w:rPr>
                <w:sz w:val="22"/>
                <w:szCs w:val="22"/>
              </w:rPr>
              <w:fldChar w:fldCharType="begin"/>
            </w:r>
            <w:r w:rsidRPr="0026211B">
              <w:rPr>
                <w:sz w:val="22"/>
                <w:szCs w:val="22"/>
              </w:rPr>
              <w:instrText xml:space="preserve"> =SUM(ABOVE) </w:instrText>
            </w:r>
            <w:r w:rsidRPr="0026211B">
              <w:rPr>
                <w:sz w:val="22"/>
                <w:szCs w:val="22"/>
              </w:rPr>
              <w:fldChar w:fldCharType="separate"/>
            </w:r>
            <w:r w:rsidRPr="0026211B">
              <w:rPr>
                <w:noProof/>
                <w:sz w:val="22"/>
                <w:szCs w:val="22"/>
              </w:rPr>
              <w:t>219</w:t>
            </w:r>
            <w:r w:rsidRPr="0026211B">
              <w:rPr>
                <w:sz w:val="22"/>
                <w:szCs w:val="22"/>
              </w:rPr>
              <w:fldChar w:fldCharType="end"/>
            </w:r>
          </w:p>
        </w:tc>
        <w:tc>
          <w:tcPr>
            <w:tcW w:w="832" w:type="pct"/>
            <w:shd w:val="clear" w:color="auto" w:fill="auto"/>
          </w:tcPr>
          <w:p w:rsidRPr="0026211B" w:rsidR="0026211B" w:rsidP="00811778" w:rsidRDefault="0026211B" w14:paraId="304A3DA3" w14:textId="77777777">
            <w:pPr>
              <w:jc w:val="right"/>
              <w:rPr>
                <w:sz w:val="22"/>
                <w:szCs w:val="22"/>
              </w:rPr>
            </w:pPr>
          </w:p>
        </w:tc>
        <w:tc>
          <w:tcPr>
            <w:tcW w:w="443" w:type="pct"/>
            <w:shd w:val="clear" w:color="auto" w:fill="auto"/>
          </w:tcPr>
          <w:p w:rsidRPr="0026211B" w:rsidR="0026211B" w:rsidP="00811778" w:rsidRDefault="0026211B" w14:paraId="2B2B645E" w14:textId="77777777">
            <w:pPr>
              <w:jc w:val="right"/>
              <w:rPr>
                <w:sz w:val="22"/>
                <w:szCs w:val="22"/>
              </w:rPr>
            </w:pPr>
            <w:r w:rsidRPr="0026211B">
              <w:rPr>
                <w:sz w:val="22"/>
                <w:szCs w:val="22"/>
              </w:rPr>
              <w:fldChar w:fldCharType="begin"/>
            </w:r>
            <w:r w:rsidRPr="0026211B">
              <w:rPr>
                <w:sz w:val="22"/>
                <w:szCs w:val="22"/>
              </w:rPr>
              <w:instrText xml:space="preserve"> =SUM(ABOVE) </w:instrText>
            </w:r>
            <w:r w:rsidRPr="0026211B">
              <w:rPr>
                <w:sz w:val="22"/>
                <w:szCs w:val="22"/>
              </w:rPr>
              <w:fldChar w:fldCharType="separate"/>
            </w:r>
            <w:r w:rsidRPr="0026211B">
              <w:rPr>
                <w:noProof/>
                <w:sz w:val="22"/>
                <w:szCs w:val="22"/>
              </w:rPr>
              <w:t>993</w:t>
            </w:r>
            <w:r w:rsidRPr="0026211B">
              <w:rPr>
                <w:sz w:val="22"/>
                <w:szCs w:val="22"/>
              </w:rPr>
              <w:fldChar w:fldCharType="end"/>
            </w:r>
          </w:p>
        </w:tc>
      </w:tr>
    </w:tbl>
    <w:p w:rsidRPr="0026211B" w:rsidR="001229E4" w:rsidP="0026211B" w:rsidRDefault="0026211B" w14:paraId="7A3356EB" w14:textId="77777777">
      <w:pPr>
        <w:ind w:left="450"/>
        <w:rPr>
          <w:sz w:val="20"/>
          <w:szCs w:val="20"/>
        </w:rPr>
      </w:pPr>
      <w:r>
        <w:rPr>
          <w:sz w:val="20"/>
          <w:szCs w:val="20"/>
          <w:vertAlign w:val="superscript"/>
        </w:rPr>
        <w:t xml:space="preserve">  </w:t>
      </w:r>
      <w:r w:rsidRPr="0026211B" w:rsidR="005F6123">
        <w:rPr>
          <w:sz w:val="20"/>
          <w:szCs w:val="20"/>
          <w:vertAlign w:val="superscript"/>
        </w:rPr>
        <w:t>1</w:t>
      </w:r>
      <w:r w:rsidRPr="0026211B" w:rsidR="001229E4">
        <w:rPr>
          <w:sz w:val="20"/>
          <w:szCs w:val="20"/>
        </w:rPr>
        <w:t xml:space="preserve"> </w:t>
      </w:r>
      <w:r w:rsidRPr="0026211B">
        <w:rPr>
          <w:sz w:val="20"/>
          <w:szCs w:val="20"/>
        </w:rPr>
        <w:t>Figures rounded</w:t>
      </w:r>
      <w:r w:rsidRPr="0026211B" w:rsidR="001229E4">
        <w:rPr>
          <w:sz w:val="20"/>
          <w:szCs w:val="20"/>
        </w:rPr>
        <w:t>.</w:t>
      </w:r>
    </w:p>
    <w:p w:rsidRPr="00DA0A22" w:rsidR="003740BC" w:rsidP="000846FD" w:rsidRDefault="003740BC" w14:paraId="1E9A7C3F" w14:textId="77777777">
      <w:pPr>
        <w:jc w:val="center"/>
      </w:pPr>
    </w:p>
    <w:p w:rsidRPr="0026211B" w:rsidR="00A93ED9" w:rsidP="00E51D82" w:rsidRDefault="00A93ED9" w14:paraId="279D2E91" w14:textId="77777777">
      <w:pPr>
        <w:pStyle w:val="BodyText2"/>
        <w:ind w:left="720"/>
        <w:rPr>
          <w:i/>
          <w:szCs w:val="24"/>
        </w:rPr>
      </w:pPr>
      <w:r w:rsidRPr="0026211B">
        <w:rPr>
          <w:i/>
          <w:szCs w:val="24"/>
        </w:rPr>
        <w:t xml:space="preserve">12b. </w:t>
      </w:r>
      <w:r w:rsidRPr="0026211B" w:rsidR="00411D11">
        <w:rPr>
          <w:i/>
          <w:szCs w:val="24"/>
        </w:rPr>
        <w:t>Annualized Cost Burden Estimate</w:t>
      </w:r>
    </w:p>
    <w:p w:rsidRPr="00DA0A22" w:rsidR="00A93ED9" w:rsidP="001D495A" w:rsidRDefault="00A93ED9" w14:paraId="5410348F" w14:textId="77777777">
      <w:pPr>
        <w:pStyle w:val="BodyText2"/>
        <w:ind w:left="720"/>
        <w:rPr>
          <w:szCs w:val="24"/>
        </w:rPr>
      </w:pPr>
    </w:p>
    <w:p w:rsidRPr="00F72B8F" w:rsidR="002C3874" w:rsidP="007B0A3D" w:rsidRDefault="002C3874" w14:paraId="0CBD4185" w14:textId="77777777">
      <w:pPr>
        <w:ind w:left="720"/>
      </w:pPr>
      <w:r w:rsidRPr="00A778D1">
        <w:t xml:space="preserve">We estimated the annual cost burden based on </w:t>
      </w:r>
      <w:r w:rsidRPr="00A778D1" w:rsidR="00C66FCA">
        <w:t xml:space="preserve">the updated </w:t>
      </w:r>
      <w:r w:rsidRPr="00A778D1">
        <w:t xml:space="preserve">wage rate for a </w:t>
      </w:r>
      <w:r w:rsidRPr="00A778D1" w:rsidR="00103DDB">
        <w:t>R</w:t>
      </w:r>
      <w:r w:rsidRPr="00A778D1">
        <w:t xml:space="preserve">egulatory </w:t>
      </w:r>
      <w:r w:rsidRPr="00A778D1" w:rsidR="00103DDB">
        <w:t>A</w:t>
      </w:r>
      <w:r w:rsidRPr="00A778D1">
        <w:t xml:space="preserve">ffairs </w:t>
      </w:r>
      <w:r w:rsidRPr="00A778D1" w:rsidR="00103DDB">
        <w:t>P</w:t>
      </w:r>
      <w:r w:rsidRPr="00A778D1">
        <w:t>rofessional</w:t>
      </w:r>
      <w:r w:rsidRPr="00A778D1" w:rsidR="00C66FCA">
        <w:t>.</w:t>
      </w:r>
      <w:r w:rsidRPr="00A778D1" w:rsidR="00C31ABA">
        <w:t>*</w:t>
      </w:r>
      <w:r w:rsidRPr="00A778D1" w:rsidR="009B428D">
        <w:t xml:space="preserve"> </w:t>
      </w:r>
      <w:r w:rsidRPr="00A778D1" w:rsidR="00E51D82">
        <w:t>T</w:t>
      </w:r>
      <w:r w:rsidRPr="00A778D1" w:rsidR="009B428D">
        <w:t>he</w:t>
      </w:r>
      <w:r w:rsidRPr="00A778D1" w:rsidR="00E51D82">
        <w:t xml:space="preserve"> estimate includes</w:t>
      </w:r>
      <w:r w:rsidRPr="00A778D1" w:rsidR="009B428D">
        <w:t xml:space="preserve"> electronic process set-up (</w:t>
      </w:r>
      <w:r w:rsidRPr="00A778D1" w:rsidR="00BB6A64">
        <w:t>4,7</w:t>
      </w:r>
      <w:r w:rsidRPr="00A778D1" w:rsidR="00032B76">
        <w:t>82</w:t>
      </w:r>
      <w:r w:rsidRPr="00A778D1" w:rsidR="009B428D">
        <w:t xml:space="preserve"> hours</w:t>
      </w:r>
      <w:r w:rsidRPr="00A778D1" w:rsidR="00617F3B">
        <w:t xml:space="preserve">**), </w:t>
      </w:r>
      <w:r w:rsidRPr="00A778D1" w:rsidR="00E51D82">
        <w:t xml:space="preserve">preparation and assembly of </w:t>
      </w:r>
      <w:r w:rsidRPr="00A778D1" w:rsidR="00617F3B">
        <w:t>submissions of corrections and removals (</w:t>
      </w:r>
      <w:r w:rsidRPr="00A778D1" w:rsidR="00D9147E">
        <w:t>10,330</w:t>
      </w:r>
      <w:r w:rsidRPr="00A778D1" w:rsidR="00617F3B">
        <w:t xml:space="preserve"> hours),</w:t>
      </w:r>
      <w:r w:rsidRPr="00A778D1" w:rsidR="00276009">
        <w:t xml:space="preserve"> </w:t>
      </w:r>
      <w:r w:rsidRPr="00A778D1" w:rsidR="00617F3B">
        <w:t xml:space="preserve"> </w:t>
      </w:r>
      <w:r w:rsidR="00A5160E">
        <w:t>corrections and removals for device-led combination products under 4.102(c)(1)(iii) (</w:t>
      </w:r>
      <w:r w:rsidR="00405DD7">
        <w:t>200</w:t>
      </w:r>
      <w:r w:rsidR="00A5160E">
        <w:t xml:space="preserve"> hours</w:t>
      </w:r>
      <w:r w:rsidR="00567831">
        <w:t>)</w:t>
      </w:r>
      <w:r w:rsidR="00A5160E">
        <w:t xml:space="preserve">, </w:t>
      </w:r>
      <w:r w:rsidRPr="00A778D1" w:rsidR="00E51D82">
        <w:t>maintenance of</w:t>
      </w:r>
      <w:r w:rsidRPr="00A778D1" w:rsidR="00617F3B">
        <w:t xml:space="preserve"> record</w:t>
      </w:r>
      <w:r w:rsidRPr="00A778D1" w:rsidR="00E51D82">
        <w:t>s</w:t>
      </w:r>
      <w:r w:rsidRPr="00A778D1" w:rsidR="00D9147E">
        <w:t xml:space="preserve"> under part 806 (93</w:t>
      </w:r>
      <w:r w:rsidRPr="00A778D1" w:rsidR="00617F3B">
        <w:t>0 hours)</w:t>
      </w:r>
      <w:r w:rsidRPr="00A778D1" w:rsidR="00276009">
        <w:t>, and additional recordkeeping by device-l</w:t>
      </w:r>
      <w:r w:rsidRPr="00F72B8F" w:rsidR="00276009">
        <w:t xml:space="preserve">ed combination products under </w:t>
      </w:r>
      <w:r w:rsidRPr="00005853" w:rsidR="0098377A">
        <w:t>4.105(b)</w:t>
      </w:r>
      <w:r w:rsidRPr="00F72B8F" w:rsidR="00276009">
        <w:t xml:space="preserve"> (63 hours)</w:t>
      </w:r>
      <w:r w:rsidRPr="00F72B8F">
        <w:t>.</w:t>
      </w:r>
    </w:p>
    <w:p w:rsidRPr="00567831" w:rsidR="002C3874" w:rsidP="002C3874" w:rsidRDefault="002C3874" w14:paraId="5387508D" w14:textId="77777777">
      <w:pPr>
        <w:pStyle w:val="BodyTextIndent3"/>
        <w:tabs>
          <w:tab w:val="left" w:pos="-1080"/>
          <w:tab w:val="left" w:pos="-720"/>
          <w:tab w:val="left" w:pos="360"/>
          <w:tab w:val="left" w:pos="540"/>
          <w:tab w:val="left" w:pos="1440"/>
        </w:tabs>
        <w:rPr>
          <w:sz w:val="24"/>
          <w:szCs w:val="24"/>
        </w:rPr>
      </w:pPr>
    </w:p>
    <w:tbl>
      <w:tblPr>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58"/>
        <w:gridCol w:w="1789"/>
        <w:gridCol w:w="2187"/>
        <w:gridCol w:w="1940"/>
      </w:tblGrid>
      <w:tr w:rsidRPr="00567831" w:rsidR="009B428D" w:rsidTr="005C0E7A" w14:paraId="43541BC4" w14:textId="77777777">
        <w:trPr>
          <w:cantSplit/>
          <w:tblHeader/>
          <w:jc w:val="center"/>
        </w:trPr>
        <w:tc>
          <w:tcPr>
            <w:tcW w:w="2758" w:type="dxa"/>
            <w:shd w:val="clear" w:color="auto" w:fill="auto"/>
          </w:tcPr>
          <w:p w:rsidRPr="00664390" w:rsidR="009B428D" w:rsidP="00A378B9" w:rsidRDefault="009B428D" w14:paraId="092A04C5" w14:textId="77777777">
            <w:pPr>
              <w:keepNext/>
              <w:jc w:val="center"/>
            </w:pPr>
            <w:r w:rsidRPr="00664390">
              <w:t>Type of Respondent</w:t>
            </w:r>
          </w:p>
        </w:tc>
        <w:tc>
          <w:tcPr>
            <w:tcW w:w="1789" w:type="dxa"/>
            <w:shd w:val="clear" w:color="auto" w:fill="auto"/>
          </w:tcPr>
          <w:p w:rsidRPr="00DA0A22" w:rsidR="009B428D" w:rsidP="00A378B9" w:rsidRDefault="009B428D" w14:paraId="2C05C159" w14:textId="77777777">
            <w:pPr>
              <w:keepNext/>
              <w:jc w:val="center"/>
            </w:pPr>
            <w:r w:rsidRPr="00DA0A22">
              <w:t>Total Burden Hours</w:t>
            </w:r>
          </w:p>
        </w:tc>
        <w:tc>
          <w:tcPr>
            <w:tcW w:w="2187" w:type="dxa"/>
            <w:shd w:val="clear" w:color="auto" w:fill="auto"/>
          </w:tcPr>
          <w:p w:rsidRPr="00DA0A22" w:rsidR="009B428D" w:rsidP="00A378B9" w:rsidRDefault="009B428D" w14:paraId="73D74D9E" w14:textId="77777777">
            <w:pPr>
              <w:keepNext/>
              <w:jc w:val="center"/>
            </w:pPr>
            <w:r w:rsidRPr="00DA0A22">
              <w:t>Hourly Wage Rate</w:t>
            </w:r>
          </w:p>
        </w:tc>
        <w:tc>
          <w:tcPr>
            <w:tcW w:w="1940" w:type="dxa"/>
            <w:shd w:val="clear" w:color="auto" w:fill="auto"/>
          </w:tcPr>
          <w:p w:rsidRPr="00DA0A22" w:rsidR="009B428D" w:rsidP="00A378B9" w:rsidRDefault="009B428D" w14:paraId="25C9A1E2" w14:textId="77777777">
            <w:pPr>
              <w:keepNext/>
              <w:jc w:val="center"/>
            </w:pPr>
            <w:r w:rsidRPr="00DA0A22">
              <w:t>Total Respondent Costs</w:t>
            </w:r>
            <w:r w:rsidRPr="00DA0A22" w:rsidR="00617F3B">
              <w:t>***</w:t>
            </w:r>
          </w:p>
        </w:tc>
      </w:tr>
      <w:tr w:rsidRPr="00567831" w:rsidR="009B428D" w:rsidTr="005C0E7A" w14:paraId="2FC8238E" w14:textId="77777777">
        <w:trPr>
          <w:cantSplit/>
          <w:jc w:val="center"/>
        </w:trPr>
        <w:tc>
          <w:tcPr>
            <w:tcW w:w="2758" w:type="dxa"/>
            <w:shd w:val="clear" w:color="auto" w:fill="auto"/>
          </w:tcPr>
          <w:p w:rsidRPr="00567831" w:rsidR="009B428D" w:rsidP="00A378B9" w:rsidRDefault="009B428D" w14:paraId="0CB9FEAE" w14:textId="77777777">
            <w:pPr>
              <w:keepNext/>
            </w:pPr>
            <w:r w:rsidRPr="00567831">
              <w:t>Regulatory Affairs Professional</w:t>
            </w:r>
          </w:p>
        </w:tc>
        <w:tc>
          <w:tcPr>
            <w:tcW w:w="1789" w:type="dxa"/>
            <w:shd w:val="clear" w:color="auto" w:fill="auto"/>
          </w:tcPr>
          <w:p w:rsidRPr="00567831" w:rsidR="009B428D" w:rsidP="00A378B9" w:rsidRDefault="0084233F" w14:paraId="566C0FD5" w14:textId="77777777">
            <w:pPr>
              <w:keepNext/>
              <w:jc w:val="right"/>
            </w:pPr>
            <w:r>
              <w:t>16,305</w:t>
            </w:r>
          </w:p>
        </w:tc>
        <w:tc>
          <w:tcPr>
            <w:tcW w:w="2187" w:type="dxa"/>
            <w:shd w:val="clear" w:color="auto" w:fill="auto"/>
          </w:tcPr>
          <w:p w:rsidRPr="00567831" w:rsidR="009B428D" w:rsidP="00C66FCA" w:rsidRDefault="005E58D4" w14:paraId="0AA8482E" w14:textId="77777777">
            <w:pPr>
              <w:keepNext/>
              <w:jc w:val="right"/>
            </w:pPr>
            <w:r w:rsidRPr="00567831">
              <w:t>$</w:t>
            </w:r>
            <w:r w:rsidRPr="00567831" w:rsidR="002B33DA">
              <w:t>59</w:t>
            </w:r>
          </w:p>
        </w:tc>
        <w:tc>
          <w:tcPr>
            <w:tcW w:w="1940" w:type="dxa"/>
            <w:shd w:val="clear" w:color="auto" w:fill="auto"/>
          </w:tcPr>
          <w:p w:rsidRPr="00567831" w:rsidR="009B428D" w:rsidP="00C66FCA" w:rsidRDefault="002B33DA" w14:paraId="74E5D277" w14:textId="77777777">
            <w:pPr>
              <w:keepNext/>
              <w:jc w:val="right"/>
            </w:pPr>
            <w:r w:rsidRPr="00567831">
              <w:t>$</w:t>
            </w:r>
            <w:r w:rsidR="0084233F">
              <w:t>961,995</w:t>
            </w:r>
          </w:p>
        </w:tc>
      </w:tr>
    </w:tbl>
    <w:p w:rsidRPr="00567831" w:rsidR="002C3874" w:rsidP="002C3874" w:rsidRDefault="002C3874" w14:paraId="2C08D009" w14:textId="77777777">
      <w:pPr>
        <w:pStyle w:val="BodyTextIndent3"/>
        <w:tabs>
          <w:tab w:val="left" w:pos="-1080"/>
          <w:tab w:val="left" w:pos="-720"/>
          <w:tab w:val="left" w:pos="360"/>
          <w:tab w:val="left" w:pos="540"/>
          <w:tab w:val="left" w:pos="1440"/>
        </w:tabs>
        <w:rPr>
          <w:sz w:val="24"/>
          <w:szCs w:val="24"/>
        </w:rPr>
      </w:pPr>
    </w:p>
    <w:p w:rsidRPr="00567831" w:rsidR="00C66FCA" w:rsidP="00C66FCA" w:rsidRDefault="00C66FCA" w14:paraId="6921ADC0" w14:textId="77777777">
      <w:pPr>
        <w:pStyle w:val="BodyText2"/>
        <w:ind w:left="720"/>
        <w:rPr>
          <w:szCs w:val="24"/>
        </w:rPr>
      </w:pPr>
      <w:r w:rsidRPr="00664390">
        <w:rPr>
          <w:szCs w:val="24"/>
        </w:rPr>
        <w:t xml:space="preserve">* </w:t>
      </w:r>
      <w:r w:rsidRPr="00567831">
        <w:rPr>
          <w:szCs w:val="24"/>
        </w:rPr>
        <w:t>Based on The Regulatory Affairs Professional Society (RAPS) overall base annual compensation of $12</w:t>
      </w:r>
      <w:r w:rsidRPr="00567831" w:rsidR="004974C1">
        <w:rPr>
          <w:szCs w:val="24"/>
        </w:rPr>
        <w:t>2</w:t>
      </w:r>
      <w:r w:rsidRPr="00567831">
        <w:rPr>
          <w:szCs w:val="24"/>
        </w:rPr>
        <w:t>,</w:t>
      </w:r>
      <w:r w:rsidRPr="00567831" w:rsidR="004974C1">
        <w:rPr>
          <w:szCs w:val="24"/>
        </w:rPr>
        <w:t>711</w:t>
      </w:r>
      <w:r w:rsidRPr="00567831">
        <w:rPr>
          <w:szCs w:val="24"/>
        </w:rPr>
        <w:t xml:space="preserve"> for a U.S. regulatory affairs professional (</w:t>
      </w:r>
      <w:hyperlink w:history="1" r:id="rId8">
        <w:r w:rsidRPr="00051799" w:rsidR="00A64363">
          <w:rPr>
            <w:rStyle w:val="Hyperlink"/>
            <w:szCs w:val="24"/>
          </w:rPr>
          <w:t>https://www.raps.org/careers/scope-of-practice-survey</w:t>
        </w:r>
      </w:hyperlink>
      <w:r w:rsidRPr="00567831">
        <w:rPr>
          <w:szCs w:val="24"/>
        </w:rPr>
        <w:t xml:space="preserve">). The hourly rate of </w:t>
      </w:r>
      <w:r w:rsidRPr="00567831" w:rsidR="002B33DA">
        <w:rPr>
          <w:szCs w:val="24"/>
        </w:rPr>
        <w:t>$59</w:t>
      </w:r>
      <w:r w:rsidRPr="00567831" w:rsidR="006755DE">
        <w:rPr>
          <w:szCs w:val="24"/>
        </w:rPr>
        <w:t xml:space="preserve"> </w:t>
      </w:r>
      <w:r w:rsidRPr="00567831">
        <w:rPr>
          <w:szCs w:val="24"/>
        </w:rPr>
        <w:t>above assumes a 40-hour work week and is rounded to the nearest dollar.</w:t>
      </w:r>
    </w:p>
    <w:p w:rsidRPr="00567831" w:rsidR="00617F3B" w:rsidP="007B0A3D" w:rsidRDefault="00617F3B" w14:paraId="4C139FB4" w14:textId="77777777">
      <w:pPr>
        <w:ind w:left="720"/>
      </w:pPr>
      <w:r w:rsidRPr="00664390">
        <w:t>**</w:t>
      </w:r>
      <w:r w:rsidRPr="00DA0A22" w:rsidR="001C289E">
        <w:t xml:space="preserve"> </w:t>
      </w:r>
      <w:r w:rsidRPr="00DA0A22" w:rsidR="00D9147E">
        <w:t>The a</w:t>
      </w:r>
      <w:r w:rsidRPr="00567831" w:rsidR="00D9147E">
        <w:t>ctual burden hours for set-up of the electronic process listed in the reporting burden table are divided by three to avoid double counting.</w:t>
      </w:r>
    </w:p>
    <w:p w:rsidRPr="00664390" w:rsidR="00617F3B" w:rsidP="007B0A3D" w:rsidRDefault="00617F3B" w14:paraId="27E28705" w14:textId="77777777">
      <w:pPr>
        <w:ind w:left="720"/>
      </w:pPr>
      <w:r w:rsidRPr="00567831">
        <w:t>***Total is rounded to the nearest dollar.</w:t>
      </w:r>
    </w:p>
    <w:p w:rsidRPr="00A778D1" w:rsidR="004C6979" w:rsidP="00EB7538" w:rsidRDefault="005C0E7A" w14:paraId="3862A15C" w14:textId="1B190D9E">
      <w:pPr>
        <w:numPr>
          <w:ilvl w:val="0"/>
          <w:numId w:val="1"/>
        </w:numPr>
        <w:spacing w:before="100" w:beforeAutospacing="1" w:after="100" w:afterAutospacing="1"/>
        <w:rPr>
          <w:u w:val="single"/>
        </w:rPr>
      </w:pPr>
      <w:r>
        <w:br w:type="page"/>
      </w:r>
      <w:r w:rsidRPr="00DA0A22" w:rsidR="00EB7538">
        <w:rPr>
          <w:u w:val="single"/>
        </w:rPr>
        <w:lastRenderedPageBreak/>
        <w:t>Estimates of Other Total Annual Cost</w:t>
      </w:r>
      <w:r w:rsidRPr="00DA0A22" w:rsidR="007C75B1">
        <w:rPr>
          <w:u w:val="single"/>
        </w:rPr>
        <w:t>s</w:t>
      </w:r>
      <w:r w:rsidRPr="00DA0A22" w:rsidR="00EB7538">
        <w:rPr>
          <w:u w:val="single"/>
        </w:rPr>
        <w:t xml:space="preserve"> to Respondents</w:t>
      </w:r>
      <w:r w:rsidRPr="00DA0A22" w:rsidR="00B217E8">
        <w:rPr>
          <w:u w:val="single"/>
        </w:rPr>
        <w:t>/</w:t>
      </w:r>
      <w:r w:rsidRPr="00DA0A22" w:rsidR="00350523">
        <w:rPr>
          <w:u w:val="single"/>
        </w:rPr>
        <w:t>Recordkeepers</w:t>
      </w:r>
      <w:r w:rsidRPr="00DA0A22" w:rsidR="00B217E8">
        <w:rPr>
          <w:u w:val="single"/>
        </w:rPr>
        <w:t xml:space="preserve"> or</w:t>
      </w:r>
      <w:r w:rsidRPr="00DA0A22" w:rsidR="00EF4737">
        <w:rPr>
          <w:u w:val="single"/>
        </w:rPr>
        <w:t xml:space="preserve"> </w:t>
      </w:r>
      <w:r w:rsidRPr="00DA0A22" w:rsidR="00350523">
        <w:rPr>
          <w:u w:val="single"/>
        </w:rPr>
        <w:t>Capital Costs</w:t>
      </w:r>
      <w:r w:rsidR="00F84DE4">
        <w:rPr>
          <w:u w:val="single"/>
        </w:rPr>
        <w:t>-</w:t>
      </w:r>
    </w:p>
    <w:p w:rsidRPr="00664390" w:rsidR="00993379" w:rsidP="00993379" w:rsidRDefault="004C2B62" w14:paraId="3AD51865" w14:textId="77777777">
      <w:pPr>
        <w:ind w:left="720"/>
      </w:pPr>
      <w:r w:rsidRPr="00A778D1">
        <w:t>For respondents for who submit corrections and removals using the electronic process, t</w:t>
      </w:r>
      <w:r w:rsidRPr="00A778D1" w:rsidR="00BC6D16">
        <w:t xml:space="preserve">he operating and maintenance costs associated with this information collection are </w:t>
      </w:r>
      <w:r w:rsidRPr="00A778D1" w:rsidR="00C5752C">
        <w:t xml:space="preserve">approximately </w:t>
      </w:r>
      <w:r w:rsidRPr="00A778D1" w:rsidR="00BC6D16">
        <w:t>$</w:t>
      </w:r>
      <w:r w:rsidRPr="00A778D1" w:rsidR="002830B2">
        <w:t xml:space="preserve">50 </w:t>
      </w:r>
      <w:r w:rsidRPr="00A778D1" w:rsidR="00BC6D16">
        <w:t>per year</w:t>
      </w:r>
      <w:r w:rsidRPr="00A778D1" w:rsidR="00993379">
        <w:t xml:space="preserve"> </w:t>
      </w:r>
      <w:r w:rsidRPr="00A778D1" w:rsidR="00BC6D16">
        <w:t xml:space="preserve">to </w:t>
      </w:r>
      <w:r w:rsidRPr="00A778D1" w:rsidR="00F8751C">
        <w:t>purchase a</w:t>
      </w:r>
      <w:r w:rsidRPr="00A778D1" w:rsidR="00BC6D16">
        <w:t xml:space="preserve"> </w:t>
      </w:r>
      <w:r w:rsidRPr="00A778D1" w:rsidR="00C5752C">
        <w:t xml:space="preserve">digital </w:t>
      </w:r>
      <w:r w:rsidRPr="00A778D1" w:rsidR="00BC6D16">
        <w:t>verification certificate</w:t>
      </w:r>
      <w:r w:rsidRPr="00A778D1" w:rsidR="00993379">
        <w:t xml:space="preserve"> (certificate must be valid for 1 to 3 years)</w:t>
      </w:r>
      <w:r w:rsidRPr="00A778D1" w:rsidR="00BC6D16">
        <w:t>.</w:t>
      </w:r>
      <w:r w:rsidRPr="00A778D1" w:rsidR="00C5752C">
        <w:t xml:space="preserve"> This burden may be minimized if the respondent </w:t>
      </w:r>
      <w:r w:rsidRPr="00A778D1" w:rsidR="006D136B">
        <w:t xml:space="preserve">has already </w:t>
      </w:r>
      <w:r w:rsidRPr="00567831" w:rsidR="006D136B">
        <w:t>purchased a</w:t>
      </w:r>
      <w:r w:rsidRPr="00567831" w:rsidR="00C5752C">
        <w:t xml:space="preserve"> verification certificate</w:t>
      </w:r>
      <w:r w:rsidRPr="00567831" w:rsidR="00993379">
        <w:t xml:space="preserve"> for other electronic submissions to FDA</w:t>
      </w:r>
      <w:r w:rsidRPr="00567831" w:rsidR="006D136B">
        <w:t>.</w:t>
      </w:r>
      <w:r w:rsidRPr="00567831" w:rsidR="00C5752C">
        <w:t xml:space="preserve"> </w:t>
      </w:r>
      <w:r w:rsidRPr="00567831">
        <w:t>However</w:t>
      </w:r>
      <w:r w:rsidRPr="00567831" w:rsidR="006D136B">
        <w:t xml:space="preserve">, </w:t>
      </w:r>
      <w:r w:rsidRPr="00567831" w:rsidR="00C5752C">
        <w:t xml:space="preserve">FDA is assuming that all respondents </w:t>
      </w:r>
      <w:r w:rsidRPr="00567831" w:rsidR="006D136B">
        <w:t>who submit corrections and removals using the electronic process</w:t>
      </w:r>
      <w:r w:rsidRPr="00567831" w:rsidR="00C5752C">
        <w:t xml:space="preserve"> will be </w:t>
      </w:r>
      <w:r w:rsidRPr="00567831" w:rsidR="006D136B">
        <w:t>establishing a</w:t>
      </w:r>
      <w:r w:rsidRPr="00567831" w:rsidR="00993379">
        <w:t xml:space="preserve"> new</w:t>
      </w:r>
      <w:r w:rsidRPr="00567831" w:rsidR="006D136B">
        <w:t xml:space="preserve"> WebTrader account </w:t>
      </w:r>
      <w:r w:rsidRPr="00567831" w:rsidR="00993379">
        <w:t>and purchasing a digital verification certificate. We therefore estimate the total operating and maintenance c</w:t>
      </w:r>
      <w:r w:rsidRPr="00567831" w:rsidR="00A1549A">
        <w:t>osts to be $</w:t>
      </w:r>
      <w:r w:rsidRPr="00567831" w:rsidR="00EF4737">
        <w:t>25,</w:t>
      </w:r>
      <w:r w:rsidRPr="00567831" w:rsidR="00C14F88">
        <w:t>8</w:t>
      </w:r>
      <w:r w:rsidRPr="00567831" w:rsidR="00EF4737">
        <w:t>50</w:t>
      </w:r>
      <w:r w:rsidRPr="00567831" w:rsidR="00A1549A">
        <w:t xml:space="preserve"> annually (</w:t>
      </w:r>
      <w:r w:rsidRPr="00567831" w:rsidR="002830B2">
        <w:t>51</w:t>
      </w:r>
      <w:r w:rsidRPr="00567831" w:rsidR="00C14F88">
        <w:t>7</w:t>
      </w:r>
      <w:r w:rsidRPr="00567831" w:rsidR="00993379">
        <w:t xml:space="preserve"> respondents x $</w:t>
      </w:r>
      <w:r w:rsidRPr="00567831" w:rsidR="002830B2">
        <w:t>50</w:t>
      </w:r>
      <w:r w:rsidRPr="00567831" w:rsidR="00993379">
        <w:t>).</w:t>
      </w:r>
    </w:p>
    <w:p w:rsidRPr="00DA0A22" w:rsidR="004C6979" w:rsidP="00EB7538" w:rsidRDefault="00EB7538" w14:paraId="1C15A998" w14:textId="77777777">
      <w:pPr>
        <w:numPr>
          <w:ilvl w:val="0"/>
          <w:numId w:val="1"/>
        </w:numPr>
        <w:spacing w:before="100" w:beforeAutospacing="1" w:after="100" w:afterAutospacing="1"/>
        <w:rPr>
          <w:u w:val="single"/>
        </w:rPr>
      </w:pPr>
      <w:r w:rsidRPr="00DA0A22">
        <w:rPr>
          <w:u w:val="single"/>
        </w:rPr>
        <w:t>Annualized Cost to the Federal Government</w:t>
      </w:r>
    </w:p>
    <w:p w:rsidRPr="00E860DF" w:rsidR="00EE3B89" w:rsidP="00EE3B89" w:rsidRDefault="005C0E7A" w14:paraId="0617E9F7" w14:textId="77777777">
      <w:pPr>
        <w:pStyle w:val="BodyText2"/>
        <w:ind w:left="720"/>
        <w:rPr>
          <w:szCs w:val="24"/>
        </w:rPr>
      </w:pPr>
      <w:r>
        <w:rPr>
          <w:szCs w:val="24"/>
        </w:rPr>
        <w:t xml:space="preserve">We allocate approximately </w:t>
      </w:r>
      <w:r w:rsidRPr="00DA0A22" w:rsidR="00F8751C">
        <w:rPr>
          <w:szCs w:val="24"/>
        </w:rPr>
        <w:t xml:space="preserve">seven full time equivalent positions (FTEs) to ensure compliance with the Reports of Corrections and Removals regulations required by section 519(g) of the </w:t>
      </w:r>
      <w:r w:rsidRPr="00F72B8F" w:rsidR="00F8751C">
        <w:rPr>
          <w:szCs w:val="24"/>
        </w:rPr>
        <w:t>FD&amp;C Act.</w:t>
      </w:r>
      <w:r>
        <w:rPr>
          <w:szCs w:val="24"/>
        </w:rPr>
        <w:t xml:space="preserve">  Assuming each </w:t>
      </w:r>
      <w:r w:rsidRPr="0042417B" w:rsidR="00EE3B89">
        <w:rPr>
          <w:szCs w:val="24"/>
        </w:rPr>
        <w:t xml:space="preserve">FTE is </w:t>
      </w:r>
      <w:r w:rsidRPr="000E014F" w:rsidR="00EA143B">
        <w:rPr>
          <w:szCs w:val="24"/>
        </w:rPr>
        <w:t>cost</w:t>
      </w:r>
      <w:r>
        <w:rPr>
          <w:szCs w:val="24"/>
        </w:rPr>
        <w:t>s</w:t>
      </w:r>
      <w:r w:rsidRPr="000E014F" w:rsidR="00EA143B">
        <w:rPr>
          <w:szCs w:val="24"/>
        </w:rPr>
        <w:t xml:space="preserve"> FDA/CDRH </w:t>
      </w:r>
      <w:r w:rsidR="00B9099E">
        <w:t xml:space="preserve">263,094 </w:t>
      </w:r>
      <w:r w:rsidRPr="004964F4" w:rsidR="00EE3B89">
        <w:rPr>
          <w:szCs w:val="24"/>
        </w:rPr>
        <w:t>*</w:t>
      </w:r>
      <w:r w:rsidRPr="004964F4" w:rsidR="00EA143B">
        <w:rPr>
          <w:szCs w:val="24"/>
        </w:rPr>
        <w:t xml:space="preserve"> annually,</w:t>
      </w:r>
      <w:r w:rsidRPr="004964F4" w:rsidR="00EE3B89">
        <w:rPr>
          <w:szCs w:val="24"/>
        </w:rPr>
        <w:t xml:space="preserve"> </w:t>
      </w:r>
      <w:r>
        <w:rPr>
          <w:szCs w:val="24"/>
        </w:rPr>
        <w:t xml:space="preserve">and includes </w:t>
      </w:r>
      <w:r w:rsidRPr="004964F4" w:rsidR="00EE3B89">
        <w:rPr>
          <w:szCs w:val="24"/>
        </w:rPr>
        <w:t xml:space="preserve">employee salary and overhead </w:t>
      </w:r>
      <w:r>
        <w:rPr>
          <w:szCs w:val="24"/>
        </w:rPr>
        <w:t xml:space="preserve">expenses; </w:t>
      </w:r>
      <w:r w:rsidRPr="00282816" w:rsidR="00EE3B89">
        <w:rPr>
          <w:szCs w:val="24"/>
        </w:rPr>
        <w:t xml:space="preserve">the </w:t>
      </w:r>
      <w:r>
        <w:rPr>
          <w:szCs w:val="24"/>
        </w:rPr>
        <w:t xml:space="preserve">annual </w:t>
      </w:r>
      <w:r w:rsidRPr="00E860DF" w:rsidR="00EE3B89">
        <w:rPr>
          <w:szCs w:val="24"/>
        </w:rPr>
        <w:t>cost to the government $</w:t>
      </w:r>
      <w:r w:rsidR="00567831">
        <w:rPr>
          <w:szCs w:val="24"/>
        </w:rPr>
        <w:t>1,841,658</w:t>
      </w:r>
      <w:r w:rsidRPr="00E860DF" w:rsidR="00EE3B89">
        <w:rPr>
          <w:szCs w:val="24"/>
        </w:rPr>
        <w:t>.</w:t>
      </w:r>
    </w:p>
    <w:p w:rsidRPr="00E860DF" w:rsidR="00EE3B89" w:rsidP="00EE3B89" w:rsidRDefault="00EE3B89" w14:paraId="5E774F9E" w14:textId="77777777">
      <w:pPr>
        <w:pStyle w:val="BodyText2"/>
        <w:ind w:left="720"/>
        <w:rPr>
          <w:szCs w:val="24"/>
        </w:rPr>
      </w:pPr>
    </w:p>
    <w:p w:rsidRPr="00DA0A22" w:rsidR="00EB72B9" w:rsidP="00EB72B9" w:rsidRDefault="00EB72B9" w14:paraId="223644A8" w14:textId="77777777">
      <w:pPr>
        <w:pStyle w:val="BodyText2"/>
        <w:ind w:left="720"/>
        <w:rPr>
          <w:szCs w:val="24"/>
        </w:rPr>
      </w:pPr>
      <w:r w:rsidRPr="00E860DF">
        <w:rPr>
          <w:szCs w:val="24"/>
        </w:rPr>
        <w:t xml:space="preserve">*Based on the </w:t>
      </w:r>
      <w:hyperlink w:history="1" r:id="rId9">
        <w:r w:rsidR="00405DD7">
          <w:rPr>
            <w:rStyle w:val="Hyperlink"/>
            <w:szCs w:val="24"/>
          </w:rPr>
          <w:t>FY 2019 FDA Budget Request – Executive Summary – All Purpose Table</w:t>
        </w:r>
      </w:hyperlink>
      <w:r w:rsidRPr="00E860DF">
        <w:rPr>
          <w:szCs w:val="24"/>
        </w:rPr>
        <w:t>.</w:t>
      </w:r>
    </w:p>
    <w:p w:rsidRPr="00DA0A22" w:rsidR="009269E6" w:rsidP="009269E6" w:rsidRDefault="00EB7538" w14:paraId="16F495DC" w14:textId="77777777">
      <w:pPr>
        <w:numPr>
          <w:ilvl w:val="0"/>
          <w:numId w:val="1"/>
        </w:numPr>
        <w:spacing w:before="100" w:beforeAutospacing="1" w:after="100" w:afterAutospacing="1"/>
        <w:rPr>
          <w:u w:val="single"/>
        </w:rPr>
      </w:pPr>
      <w:r w:rsidRPr="00DA0A22">
        <w:rPr>
          <w:u w:val="single"/>
        </w:rPr>
        <w:t>Explanation for Program Changes or Adjustments</w:t>
      </w:r>
    </w:p>
    <w:p w:rsidR="00E246A9" w:rsidP="00854587" w:rsidRDefault="005C0E7A" w14:paraId="4025CE92" w14:textId="2AC89CE4">
      <w:pPr>
        <w:spacing w:before="100" w:beforeAutospacing="1" w:after="100" w:afterAutospacing="1"/>
        <w:ind w:left="720"/>
      </w:pPr>
      <w:r>
        <w:t xml:space="preserve">The information collection reflects revision and adjustment.  </w:t>
      </w:r>
      <w:r w:rsidRPr="00204D85">
        <w:t>We have revised the collection to include reporting and recordkeeping resulting from provisions associated with combination products established by rulemaking (0910-A</w:t>
      </w:r>
      <w:r w:rsidRPr="00204D85" w:rsidR="00854587">
        <w:t>F82)</w:t>
      </w:r>
      <w:r w:rsidRPr="00204D85" w:rsidR="00F84DE4">
        <w:t xml:space="preserve"> and approved under OMB Control No. </w:t>
      </w:r>
      <w:r w:rsidRPr="00204D85" w:rsidR="00A655A3">
        <w:t>0910-0834</w:t>
      </w:r>
      <w:r w:rsidRPr="00204D85" w:rsidR="00854587">
        <w:t>.</w:t>
      </w:r>
      <w:r w:rsidR="00854587">
        <w:t xml:space="preserve"> </w:t>
      </w:r>
      <w:bookmarkStart w:name="_GoBack" w:id="0"/>
      <w:bookmarkEnd w:id="0"/>
      <w:r w:rsidR="00854587">
        <w:t xml:space="preserve"> At the same time, upon review we noted calculation errors in our last submission.  Cumulatively these changes result in 653 additional responses, 1,293 fewer burden hours, and a reduction of $4,810 in costs</w:t>
      </w:r>
      <w:r w:rsidR="00E246A9">
        <w:t xml:space="preserve">. </w:t>
      </w:r>
    </w:p>
    <w:p w:rsidRPr="00E860DF" w:rsidR="004C6979" w:rsidP="009269E6" w:rsidRDefault="00EB7538" w14:paraId="057292FB" w14:textId="77777777">
      <w:pPr>
        <w:numPr>
          <w:ilvl w:val="0"/>
          <w:numId w:val="1"/>
        </w:numPr>
        <w:spacing w:before="100" w:beforeAutospacing="1" w:after="100" w:afterAutospacing="1"/>
      </w:pPr>
      <w:r w:rsidRPr="00E860DF">
        <w:rPr>
          <w:u w:val="single"/>
        </w:rPr>
        <w:t>Plans for Tabulation and Publication and Project Time Schedule</w:t>
      </w:r>
    </w:p>
    <w:p w:rsidRPr="00E860DF" w:rsidR="003C4EBB" w:rsidP="003C4EBB" w:rsidRDefault="000225FE" w14:paraId="177D55CB" w14:textId="77777777">
      <w:pPr>
        <w:ind w:left="720"/>
      </w:pPr>
      <w:r w:rsidRPr="00E860DF">
        <w:t>No tabulation of the data is planned or anticipated.</w:t>
      </w:r>
    </w:p>
    <w:p w:rsidRPr="004C6979" w:rsidR="004C6979" w:rsidP="00EB7538" w:rsidRDefault="00EB7538" w14:paraId="3E50FF79" w14:textId="77777777">
      <w:pPr>
        <w:numPr>
          <w:ilvl w:val="0"/>
          <w:numId w:val="1"/>
        </w:numPr>
        <w:spacing w:before="100" w:beforeAutospacing="1" w:after="100" w:afterAutospacing="1"/>
        <w:rPr>
          <w:u w:val="single"/>
        </w:rPr>
      </w:pPr>
      <w:r w:rsidRPr="004C6979">
        <w:rPr>
          <w:u w:val="single"/>
        </w:rPr>
        <w:t>Reason(s) Display of OMB Expiration Date is Inappropriate</w:t>
      </w:r>
    </w:p>
    <w:p w:rsidR="004C6979" w:rsidP="00D730BF" w:rsidRDefault="005C0E7A" w14:paraId="44659DAC" w14:textId="77777777">
      <w:pPr>
        <w:ind w:left="720"/>
      </w:pPr>
      <w:r>
        <w:t>D</w:t>
      </w:r>
      <w:r w:rsidR="000225FE">
        <w:t>isplay of expiration date or OMB approval of this request.</w:t>
      </w:r>
    </w:p>
    <w:p w:rsidR="00EB7538" w:rsidP="00EB7538" w:rsidRDefault="00EB7538" w14:paraId="095EABBA" w14:textId="77777777">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P="00D730BF" w:rsidRDefault="003D5452" w14:paraId="0FEEA2B0" w14:textId="77777777">
      <w:pPr>
        <w:spacing w:before="100" w:beforeAutospacing="1" w:after="100" w:afterAutospacing="1"/>
        <w:ind w:left="720"/>
      </w:pPr>
      <w:r>
        <w:t>T</w:t>
      </w:r>
      <w:r w:rsidR="00754497">
        <w:t>here are no e</w:t>
      </w:r>
      <w:r>
        <w:t>xceptions to the certification.</w:t>
      </w:r>
    </w:p>
    <w:p w:rsidR="003D5452" w:rsidP="00D730BF" w:rsidRDefault="003D5452" w14:paraId="50E4028B" w14:textId="77777777">
      <w:pPr>
        <w:spacing w:before="100" w:beforeAutospacing="1" w:after="100" w:afterAutospacing="1"/>
        <w:ind w:left="720"/>
      </w:pPr>
    </w:p>
    <w:sectPr w:rsidR="003D5452" w:rsidSect="001734C3">
      <w:footerReference w:type="even" r:id="rId10"/>
      <w:footerReference w:type="default" r:id="rId11"/>
      <w:pgSz w:w="12240" w:h="15840" w:code="1"/>
      <w:pgMar w:top="1440" w:right="1440"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DC09B" w14:textId="77777777" w:rsidR="004B2CB2" w:rsidRDefault="004B2CB2">
      <w:r>
        <w:separator/>
      </w:r>
    </w:p>
  </w:endnote>
  <w:endnote w:type="continuationSeparator" w:id="0">
    <w:p w14:paraId="74A1C38A" w14:textId="77777777" w:rsidR="004B2CB2" w:rsidRDefault="004B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B550B"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FA7523"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CAB58"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7A78">
      <w:rPr>
        <w:rStyle w:val="PageNumber"/>
        <w:noProof/>
      </w:rPr>
      <w:t>1</w:t>
    </w:r>
    <w:r>
      <w:rPr>
        <w:rStyle w:val="PageNumber"/>
      </w:rPr>
      <w:fldChar w:fldCharType="end"/>
    </w:r>
  </w:p>
  <w:p w14:paraId="1FE6169A"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2DF72" w14:textId="77777777" w:rsidR="004B2CB2" w:rsidRDefault="004B2CB2">
      <w:r>
        <w:separator/>
      </w:r>
    </w:p>
  </w:footnote>
  <w:footnote w:type="continuationSeparator" w:id="0">
    <w:p w14:paraId="78D1A3D0" w14:textId="77777777" w:rsidR="004B2CB2" w:rsidRDefault="004B2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9374EA9"/>
    <w:multiLevelType w:val="hybridMultilevel"/>
    <w:tmpl w:val="795AE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7232427F"/>
    <w:multiLevelType w:val="hybridMultilevel"/>
    <w:tmpl w:val="6ED43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3"/>
  </w:num>
  <w:num w:numId="7">
    <w:abstractNumId w:val="29"/>
  </w:num>
  <w:num w:numId="8">
    <w:abstractNumId w:val="4"/>
  </w:num>
  <w:num w:numId="9">
    <w:abstractNumId w:val="24"/>
  </w:num>
  <w:num w:numId="10">
    <w:abstractNumId w:val="19"/>
  </w:num>
  <w:num w:numId="11">
    <w:abstractNumId w:val="9"/>
  </w:num>
  <w:num w:numId="12">
    <w:abstractNumId w:val="32"/>
  </w:num>
  <w:num w:numId="13">
    <w:abstractNumId w:val="18"/>
  </w:num>
  <w:num w:numId="14">
    <w:abstractNumId w:val="8"/>
  </w:num>
  <w:num w:numId="15">
    <w:abstractNumId w:val="14"/>
  </w:num>
  <w:num w:numId="16">
    <w:abstractNumId w:val="13"/>
  </w:num>
  <w:num w:numId="17">
    <w:abstractNumId w:val="28"/>
  </w:num>
  <w:num w:numId="18">
    <w:abstractNumId w:val="31"/>
  </w:num>
  <w:num w:numId="19">
    <w:abstractNumId w:val="30"/>
  </w:num>
  <w:num w:numId="20">
    <w:abstractNumId w:val="17"/>
  </w:num>
  <w:num w:numId="21">
    <w:abstractNumId w:val="12"/>
  </w:num>
  <w:num w:numId="22">
    <w:abstractNumId w:val="3"/>
  </w:num>
  <w:num w:numId="23">
    <w:abstractNumId w:val="25"/>
  </w:num>
  <w:num w:numId="24">
    <w:abstractNumId w:val="21"/>
  </w:num>
  <w:num w:numId="25">
    <w:abstractNumId w:val="11"/>
  </w:num>
  <w:num w:numId="26">
    <w:abstractNumId w:val="6"/>
  </w:num>
  <w:num w:numId="27">
    <w:abstractNumId w:val="33"/>
  </w:num>
  <w:num w:numId="28">
    <w:abstractNumId w:val="26"/>
  </w:num>
  <w:num w:numId="29">
    <w:abstractNumId w:val="5"/>
  </w:num>
  <w:num w:numId="30">
    <w:abstractNumId w:val="16"/>
  </w:num>
  <w:num w:numId="31">
    <w:abstractNumId w:val="2"/>
  </w:num>
  <w:num w:numId="32">
    <w:abstractNumId w:val="1"/>
  </w:num>
  <w:num w:numId="33">
    <w:abstractNumId w:val="27"/>
  </w:num>
  <w:num w:numId="3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853"/>
    <w:rsid w:val="00005CBF"/>
    <w:rsid w:val="00010E93"/>
    <w:rsid w:val="000225FE"/>
    <w:rsid w:val="00032B76"/>
    <w:rsid w:val="00042243"/>
    <w:rsid w:val="0005171D"/>
    <w:rsid w:val="00055FC5"/>
    <w:rsid w:val="0006032D"/>
    <w:rsid w:val="00060D6F"/>
    <w:rsid w:val="0006260A"/>
    <w:rsid w:val="0006570F"/>
    <w:rsid w:val="000846FD"/>
    <w:rsid w:val="0009229C"/>
    <w:rsid w:val="000A3D0E"/>
    <w:rsid w:val="000A6F86"/>
    <w:rsid w:val="000A7855"/>
    <w:rsid w:val="000B2BBB"/>
    <w:rsid w:val="000D466B"/>
    <w:rsid w:val="000D48FD"/>
    <w:rsid w:val="000E014F"/>
    <w:rsid w:val="000E1C64"/>
    <w:rsid w:val="000E5A67"/>
    <w:rsid w:val="000F778A"/>
    <w:rsid w:val="00100739"/>
    <w:rsid w:val="00103DDB"/>
    <w:rsid w:val="00107885"/>
    <w:rsid w:val="00114FC4"/>
    <w:rsid w:val="001229E4"/>
    <w:rsid w:val="0012329C"/>
    <w:rsid w:val="001302FA"/>
    <w:rsid w:val="00131F78"/>
    <w:rsid w:val="00134FA7"/>
    <w:rsid w:val="00137950"/>
    <w:rsid w:val="00152F29"/>
    <w:rsid w:val="00167D9F"/>
    <w:rsid w:val="00170014"/>
    <w:rsid w:val="001734C3"/>
    <w:rsid w:val="00185270"/>
    <w:rsid w:val="00190384"/>
    <w:rsid w:val="00197E09"/>
    <w:rsid w:val="001A3B5A"/>
    <w:rsid w:val="001A6E7B"/>
    <w:rsid w:val="001B734F"/>
    <w:rsid w:val="001B7CE9"/>
    <w:rsid w:val="001C289E"/>
    <w:rsid w:val="001C5508"/>
    <w:rsid w:val="001D4620"/>
    <w:rsid w:val="001D495A"/>
    <w:rsid w:val="001F2C71"/>
    <w:rsid w:val="001F537B"/>
    <w:rsid w:val="00204D85"/>
    <w:rsid w:val="00210613"/>
    <w:rsid w:val="0021606F"/>
    <w:rsid w:val="00216D5C"/>
    <w:rsid w:val="00222C77"/>
    <w:rsid w:val="0022433C"/>
    <w:rsid w:val="00224DB6"/>
    <w:rsid w:val="002259EF"/>
    <w:rsid w:val="00226D42"/>
    <w:rsid w:val="00242ED1"/>
    <w:rsid w:val="0024636E"/>
    <w:rsid w:val="00250AC1"/>
    <w:rsid w:val="00254069"/>
    <w:rsid w:val="0026211B"/>
    <w:rsid w:val="002734E5"/>
    <w:rsid w:val="002746DB"/>
    <w:rsid w:val="00275C14"/>
    <w:rsid w:val="00276009"/>
    <w:rsid w:val="00280CAF"/>
    <w:rsid w:val="002822CF"/>
    <w:rsid w:val="00282816"/>
    <w:rsid w:val="00282F09"/>
    <w:rsid w:val="002830B2"/>
    <w:rsid w:val="00284151"/>
    <w:rsid w:val="002B33DA"/>
    <w:rsid w:val="002C3874"/>
    <w:rsid w:val="002C61EC"/>
    <w:rsid w:val="002D14D8"/>
    <w:rsid w:val="002D4410"/>
    <w:rsid w:val="002D4799"/>
    <w:rsid w:val="002E3FA4"/>
    <w:rsid w:val="002F3490"/>
    <w:rsid w:val="002F4913"/>
    <w:rsid w:val="002F497D"/>
    <w:rsid w:val="0030119B"/>
    <w:rsid w:val="0032277F"/>
    <w:rsid w:val="00323ACA"/>
    <w:rsid w:val="003374B8"/>
    <w:rsid w:val="003402CB"/>
    <w:rsid w:val="00350523"/>
    <w:rsid w:val="00367247"/>
    <w:rsid w:val="00373428"/>
    <w:rsid w:val="003740BC"/>
    <w:rsid w:val="003801A3"/>
    <w:rsid w:val="00383D90"/>
    <w:rsid w:val="00390406"/>
    <w:rsid w:val="003B42B3"/>
    <w:rsid w:val="003B6384"/>
    <w:rsid w:val="003C2ABA"/>
    <w:rsid w:val="003C4EBB"/>
    <w:rsid w:val="003C6632"/>
    <w:rsid w:val="003D1531"/>
    <w:rsid w:val="003D5452"/>
    <w:rsid w:val="003E4EC6"/>
    <w:rsid w:val="003E527E"/>
    <w:rsid w:val="003E553E"/>
    <w:rsid w:val="003E7078"/>
    <w:rsid w:val="003F3DF5"/>
    <w:rsid w:val="00405DD7"/>
    <w:rsid w:val="004070EB"/>
    <w:rsid w:val="004074B1"/>
    <w:rsid w:val="00411D11"/>
    <w:rsid w:val="00415E23"/>
    <w:rsid w:val="00423640"/>
    <w:rsid w:val="00424061"/>
    <w:rsid w:val="0042417B"/>
    <w:rsid w:val="004253C5"/>
    <w:rsid w:val="00427544"/>
    <w:rsid w:val="00432C14"/>
    <w:rsid w:val="004368B4"/>
    <w:rsid w:val="00440F90"/>
    <w:rsid w:val="00442253"/>
    <w:rsid w:val="00443969"/>
    <w:rsid w:val="00447D74"/>
    <w:rsid w:val="00450A74"/>
    <w:rsid w:val="0046323C"/>
    <w:rsid w:val="00465350"/>
    <w:rsid w:val="00466557"/>
    <w:rsid w:val="004846BF"/>
    <w:rsid w:val="004964F4"/>
    <w:rsid w:val="004974C1"/>
    <w:rsid w:val="004B2CB2"/>
    <w:rsid w:val="004C2B62"/>
    <w:rsid w:val="004C6979"/>
    <w:rsid w:val="004D102B"/>
    <w:rsid w:val="004D3E7A"/>
    <w:rsid w:val="004D5994"/>
    <w:rsid w:val="004E2472"/>
    <w:rsid w:val="004E2AA4"/>
    <w:rsid w:val="004E72E1"/>
    <w:rsid w:val="00500F54"/>
    <w:rsid w:val="00504787"/>
    <w:rsid w:val="00525096"/>
    <w:rsid w:val="00544138"/>
    <w:rsid w:val="00551CC1"/>
    <w:rsid w:val="00557653"/>
    <w:rsid w:val="00567831"/>
    <w:rsid w:val="00577A21"/>
    <w:rsid w:val="00584583"/>
    <w:rsid w:val="005A080A"/>
    <w:rsid w:val="005A4099"/>
    <w:rsid w:val="005B43E5"/>
    <w:rsid w:val="005C0E7A"/>
    <w:rsid w:val="005C38B2"/>
    <w:rsid w:val="005C5029"/>
    <w:rsid w:val="005C55C2"/>
    <w:rsid w:val="005D4DF5"/>
    <w:rsid w:val="005D4F55"/>
    <w:rsid w:val="005D4F74"/>
    <w:rsid w:val="005D65D2"/>
    <w:rsid w:val="005E1868"/>
    <w:rsid w:val="005E58D4"/>
    <w:rsid w:val="005F6123"/>
    <w:rsid w:val="005F620B"/>
    <w:rsid w:val="00605AC9"/>
    <w:rsid w:val="00611D6B"/>
    <w:rsid w:val="00612BC9"/>
    <w:rsid w:val="00617F3B"/>
    <w:rsid w:val="00664390"/>
    <w:rsid w:val="00670821"/>
    <w:rsid w:val="00672581"/>
    <w:rsid w:val="006755DE"/>
    <w:rsid w:val="00680CA6"/>
    <w:rsid w:val="006A26C6"/>
    <w:rsid w:val="006A7D5D"/>
    <w:rsid w:val="006B07D4"/>
    <w:rsid w:val="006C67D4"/>
    <w:rsid w:val="006D136B"/>
    <w:rsid w:val="006E4F13"/>
    <w:rsid w:val="006F32B2"/>
    <w:rsid w:val="006F4D6D"/>
    <w:rsid w:val="006F4E69"/>
    <w:rsid w:val="006F748A"/>
    <w:rsid w:val="006F7BAA"/>
    <w:rsid w:val="00705086"/>
    <w:rsid w:val="00712D20"/>
    <w:rsid w:val="00721303"/>
    <w:rsid w:val="00727A78"/>
    <w:rsid w:val="007331F3"/>
    <w:rsid w:val="00750E2E"/>
    <w:rsid w:val="00754497"/>
    <w:rsid w:val="00755A90"/>
    <w:rsid w:val="0075672F"/>
    <w:rsid w:val="00763A7D"/>
    <w:rsid w:val="00777ACE"/>
    <w:rsid w:val="00782354"/>
    <w:rsid w:val="0078632E"/>
    <w:rsid w:val="00787C39"/>
    <w:rsid w:val="00795DF3"/>
    <w:rsid w:val="007A373C"/>
    <w:rsid w:val="007A674B"/>
    <w:rsid w:val="007A7F86"/>
    <w:rsid w:val="007B0159"/>
    <w:rsid w:val="007B0A3D"/>
    <w:rsid w:val="007B225C"/>
    <w:rsid w:val="007B73E0"/>
    <w:rsid w:val="007C63B9"/>
    <w:rsid w:val="007C75B1"/>
    <w:rsid w:val="007D3DFC"/>
    <w:rsid w:val="0080776D"/>
    <w:rsid w:val="00810145"/>
    <w:rsid w:val="008108FA"/>
    <w:rsid w:val="00810FF1"/>
    <w:rsid w:val="00811778"/>
    <w:rsid w:val="0082093D"/>
    <w:rsid w:val="00822336"/>
    <w:rsid w:val="00823DFA"/>
    <w:rsid w:val="00826E38"/>
    <w:rsid w:val="00827DB0"/>
    <w:rsid w:val="008330DD"/>
    <w:rsid w:val="0084233F"/>
    <w:rsid w:val="00843418"/>
    <w:rsid w:val="00843752"/>
    <w:rsid w:val="00850A7C"/>
    <w:rsid w:val="00854587"/>
    <w:rsid w:val="00854D26"/>
    <w:rsid w:val="0087212A"/>
    <w:rsid w:val="008840A8"/>
    <w:rsid w:val="00885B09"/>
    <w:rsid w:val="00887E20"/>
    <w:rsid w:val="00892400"/>
    <w:rsid w:val="008A209D"/>
    <w:rsid w:val="008B0446"/>
    <w:rsid w:val="008B0E29"/>
    <w:rsid w:val="008B0EFA"/>
    <w:rsid w:val="008B30AB"/>
    <w:rsid w:val="008C482F"/>
    <w:rsid w:val="008D7183"/>
    <w:rsid w:val="008D795B"/>
    <w:rsid w:val="008E6CF0"/>
    <w:rsid w:val="008F05F3"/>
    <w:rsid w:val="00905DEF"/>
    <w:rsid w:val="00913A36"/>
    <w:rsid w:val="00913B43"/>
    <w:rsid w:val="009228BB"/>
    <w:rsid w:val="00925864"/>
    <w:rsid w:val="009269E6"/>
    <w:rsid w:val="00926DDD"/>
    <w:rsid w:val="00930203"/>
    <w:rsid w:val="009311D2"/>
    <w:rsid w:val="00931275"/>
    <w:rsid w:val="00936AC7"/>
    <w:rsid w:val="0094101B"/>
    <w:rsid w:val="00956643"/>
    <w:rsid w:val="009641A1"/>
    <w:rsid w:val="00966CE7"/>
    <w:rsid w:val="009760E8"/>
    <w:rsid w:val="0098377A"/>
    <w:rsid w:val="00993379"/>
    <w:rsid w:val="00994CE4"/>
    <w:rsid w:val="009A1674"/>
    <w:rsid w:val="009A6D96"/>
    <w:rsid w:val="009B096D"/>
    <w:rsid w:val="009B2CE6"/>
    <w:rsid w:val="009B428D"/>
    <w:rsid w:val="009C42FF"/>
    <w:rsid w:val="009C5489"/>
    <w:rsid w:val="009C684F"/>
    <w:rsid w:val="009D074C"/>
    <w:rsid w:val="009D0B4D"/>
    <w:rsid w:val="009F2B4F"/>
    <w:rsid w:val="009F66B5"/>
    <w:rsid w:val="00A041CF"/>
    <w:rsid w:val="00A1549A"/>
    <w:rsid w:val="00A20A7D"/>
    <w:rsid w:val="00A22216"/>
    <w:rsid w:val="00A2232E"/>
    <w:rsid w:val="00A23420"/>
    <w:rsid w:val="00A24B46"/>
    <w:rsid w:val="00A35D42"/>
    <w:rsid w:val="00A378B9"/>
    <w:rsid w:val="00A46CCF"/>
    <w:rsid w:val="00A5160E"/>
    <w:rsid w:val="00A56FAD"/>
    <w:rsid w:val="00A64363"/>
    <w:rsid w:val="00A655A3"/>
    <w:rsid w:val="00A70426"/>
    <w:rsid w:val="00A71756"/>
    <w:rsid w:val="00A778D1"/>
    <w:rsid w:val="00A857E5"/>
    <w:rsid w:val="00A86351"/>
    <w:rsid w:val="00A87F77"/>
    <w:rsid w:val="00A91E9A"/>
    <w:rsid w:val="00A93ED9"/>
    <w:rsid w:val="00AA4CE3"/>
    <w:rsid w:val="00AB5597"/>
    <w:rsid w:val="00AC6A99"/>
    <w:rsid w:val="00AF4DAC"/>
    <w:rsid w:val="00AF4FFA"/>
    <w:rsid w:val="00B01A6A"/>
    <w:rsid w:val="00B02089"/>
    <w:rsid w:val="00B0267C"/>
    <w:rsid w:val="00B055EF"/>
    <w:rsid w:val="00B17B61"/>
    <w:rsid w:val="00B217E8"/>
    <w:rsid w:val="00B218F2"/>
    <w:rsid w:val="00B22B6C"/>
    <w:rsid w:val="00B23769"/>
    <w:rsid w:val="00B265E3"/>
    <w:rsid w:val="00B465AB"/>
    <w:rsid w:val="00B469DF"/>
    <w:rsid w:val="00B475CC"/>
    <w:rsid w:val="00B83E51"/>
    <w:rsid w:val="00B86DFA"/>
    <w:rsid w:val="00B9099E"/>
    <w:rsid w:val="00B936D0"/>
    <w:rsid w:val="00B954E3"/>
    <w:rsid w:val="00BA04F1"/>
    <w:rsid w:val="00BB2309"/>
    <w:rsid w:val="00BB6A64"/>
    <w:rsid w:val="00BC6D16"/>
    <w:rsid w:val="00BE01E2"/>
    <w:rsid w:val="00BE0651"/>
    <w:rsid w:val="00BE3600"/>
    <w:rsid w:val="00BE4786"/>
    <w:rsid w:val="00BE68AA"/>
    <w:rsid w:val="00BF6348"/>
    <w:rsid w:val="00C01F6F"/>
    <w:rsid w:val="00C06552"/>
    <w:rsid w:val="00C149AB"/>
    <w:rsid w:val="00C14F88"/>
    <w:rsid w:val="00C169EB"/>
    <w:rsid w:val="00C31ABA"/>
    <w:rsid w:val="00C35B4B"/>
    <w:rsid w:val="00C40694"/>
    <w:rsid w:val="00C5752C"/>
    <w:rsid w:val="00C60236"/>
    <w:rsid w:val="00C6348D"/>
    <w:rsid w:val="00C64590"/>
    <w:rsid w:val="00C66FCA"/>
    <w:rsid w:val="00C70542"/>
    <w:rsid w:val="00C75CBF"/>
    <w:rsid w:val="00C8680F"/>
    <w:rsid w:val="00C91A98"/>
    <w:rsid w:val="00CA033E"/>
    <w:rsid w:val="00CB5C49"/>
    <w:rsid w:val="00CC2265"/>
    <w:rsid w:val="00CC2894"/>
    <w:rsid w:val="00CD77C3"/>
    <w:rsid w:val="00CE112C"/>
    <w:rsid w:val="00CE40FB"/>
    <w:rsid w:val="00D03CBA"/>
    <w:rsid w:val="00D23E38"/>
    <w:rsid w:val="00D31665"/>
    <w:rsid w:val="00D50543"/>
    <w:rsid w:val="00D54471"/>
    <w:rsid w:val="00D576BE"/>
    <w:rsid w:val="00D608DA"/>
    <w:rsid w:val="00D620B0"/>
    <w:rsid w:val="00D65E93"/>
    <w:rsid w:val="00D67325"/>
    <w:rsid w:val="00D70C8D"/>
    <w:rsid w:val="00D730BF"/>
    <w:rsid w:val="00D730CB"/>
    <w:rsid w:val="00D9147E"/>
    <w:rsid w:val="00D928DD"/>
    <w:rsid w:val="00DA0A22"/>
    <w:rsid w:val="00DA45DD"/>
    <w:rsid w:val="00DB54AB"/>
    <w:rsid w:val="00DC3296"/>
    <w:rsid w:val="00DC76C7"/>
    <w:rsid w:val="00DD09F5"/>
    <w:rsid w:val="00DD16C3"/>
    <w:rsid w:val="00DD249C"/>
    <w:rsid w:val="00DD4201"/>
    <w:rsid w:val="00DE389A"/>
    <w:rsid w:val="00DE5202"/>
    <w:rsid w:val="00DE5711"/>
    <w:rsid w:val="00DE5E18"/>
    <w:rsid w:val="00DE6F1C"/>
    <w:rsid w:val="00DF5E3C"/>
    <w:rsid w:val="00E00EA0"/>
    <w:rsid w:val="00E20D6C"/>
    <w:rsid w:val="00E2384E"/>
    <w:rsid w:val="00E246A9"/>
    <w:rsid w:val="00E26359"/>
    <w:rsid w:val="00E26758"/>
    <w:rsid w:val="00E4357B"/>
    <w:rsid w:val="00E4595B"/>
    <w:rsid w:val="00E51D82"/>
    <w:rsid w:val="00E63DE5"/>
    <w:rsid w:val="00E6418D"/>
    <w:rsid w:val="00E65A37"/>
    <w:rsid w:val="00E72051"/>
    <w:rsid w:val="00E728D6"/>
    <w:rsid w:val="00E77B48"/>
    <w:rsid w:val="00E77E8A"/>
    <w:rsid w:val="00E860DF"/>
    <w:rsid w:val="00E91799"/>
    <w:rsid w:val="00E9718B"/>
    <w:rsid w:val="00EA0334"/>
    <w:rsid w:val="00EA08CF"/>
    <w:rsid w:val="00EA143B"/>
    <w:rsid w:val="00EA34E3"/>
    <w:rsid w:val="00EA5F3B"/>
    <w:rsid w:val="00EA70E7"/>
    <w:rsid w:val="00EB6737"/>
    <w:rsid w:val="00EB72B9"/>
    <w:rsid w:val="00EB7538"/>
    <w:rsid w:val="00EC22EE"/>
    <w:rsid w:val="00EC2542"/>
    <w:rsid w:val="00EC6921"/>
    <w:rsid w:val="00EE22A7"/>
    <w:rsid w:val="00EE3B89"/>
    <w:rsid w:val="00EF4737"/>
    <w:rsid w:val="00EF4B23"/>
    <w:rsid w:val="00F207A4"/>
    <w:rsid w:val="00F32DE0"/>
    <w:rsid w:val="00F33EAD"/>
    <w:rsid w:val="00F355AC"/>
    <w:rsid w:val="00F5534A"/>
    <w:rsid w:val="00F57204"/>
    <w:rsid w:val="00F672AA"/>
    <w:rsid w:val="00F7042D"/>
    <w:rsid w:val="00F71A5A"/>
    <w:rsid w:val="00F72B8F"/>
    <w:rsid w:val="00F769E0"/>
    <w:rsid w:val="00F76A36"/>
    <w:rsid w:val="00F8414F"/>
    <w:rsid w:val="00F84DE4"/>
    <w:rsid w:val="00F8751C"/>
    <w:rsid w:val="00FA02B4"/>
    <w:rsid w:val="00FA55E6"/>
    <w:rsid w:val="00FB1EE9"/>
    <w:rsid w:val="00FB5EFF"/>
    <w:rsid w:val="00FB7564"/>
    <w:rsid w:val="00FC4000"/>
    <w:rsid w:val="00FC6BDE"/>
    <w:rsid w:val="00FC7B46"/>
    <w:rsid w:val="00FD4270"/>
    <w:rsid w:val="00FE10CB"/>
    <w:rsid w:val="00FE2060"/>
    <w:rsid w:val="00FE2898"/>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83E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D730CB"/>
    <w:rPr>
      <w:sz w:val="16"/>
      <w:szCs w:val="16"/>
    </w:rPr>
  </w:style>
  <w:style w:type="paragraph" w:styleId="CommentText">
    <w:name w:val="annotation text"/>
    <w:basedOn w:val="Normal"/>
    <w:link w:val="CommentTextChar"/>
    <w:rsid w:val="00D730CB"/>
    <w:rPr>
      <w:sz w:val="20"/>
      <w:szCs w:val="20"/>
    </w:rPr>
  </w:style>
  <w:style w:type="character" w:customStyle="1" w:styleId="CommentTextChar">
    <w:name w:val="Comment Text Char"/>
    <w:basedOn w:val="DefaultParagraphFont"/>
    <w:link w:val="CommentText"/>
    <w:rsid w:val="00D730CB"/>
  </w:style>
  <w:style w:type="paragraph" w:styleId="CommentSubject">
    <w:name w:val="annotation subject"/>
    <w:basedOn w:val="CommentText"/>
    <w:next w:val="CommentText"/>
    <w:link w:val="CommentSubjectChar"/>
    <w:rsid w:val="00D730CB"/>
    <w:rPr>
      <w:b/>
      <w:bCs/>
    </w:rPr>
  </w:style>
  <w:style w:type="character" w:customStyle="1" w:styleId="CommentSubjectChar">
    <w:name w:val="Comment Subject Char"/>
    <w:link w:val="CommentSubject"/>
    <w:rsid w:val="00D730CB"/>
    <w:rPr>
      <w:b/>
      <w:bCs/>
    </w:rPr>
  </w:style>
  <w:style w:type="paragraph" w:styleId="Title">
    <w:name w:val="Title"/>
    <w:basedOn w:val="Normal"/>
    <w:link w:val="TitleChar"/>
    <w:qFormat/>
    <w:rsid w:val="00216D5C"/>
    <w:pPr>
      <w:widowControl w:val="0"/>
      <w:tabs>
        <w:tab w:val="center" w:pos="4680"/>
      </w:tabs>
      <w:jc w:val="center"/>
    </w:pPr>
    <w:rPr>
      <w:b/>
      <w:szCs w:val="20"/>
    </w:rPr>
  </w:style>
  <w:style w:type="character" w:customStyle="1" w:styleId="TitleChar">
    <w:name w:val="Title Char"/>
    <w:link w:val="Title"/>
    <w:rsid w:val="00216D5C"/>
    <w:rPr>
      <w:b/>
      <w:sz w:val="24"/>
    </w:rPr>
  </w:style>
  <w:style w:type="paragraph" w:styleId="BodyTextIndent3">
    <w:name w:val="Body Text Indent 3"/>
    <w:basedOn w:val="Normal"/>
    <w:link w:val="BodyTextIndent3Char"/>
    <w:rsid w:val="002C3874"/>
    <w:pPr>
      <w:spacing w:after="120"/>
      <w:ind w:left="360"/>
    </w:pPr>
    <w:rPr>
      <w:sz w:val="16"/>
      <w:szCs w:val="16"/>
    </w:rPr>
  </w:style>
  <w:style w:type="character" w:customStyle="1" w:styleId="BodyTextIndent3Char">
    <w:name w:val="Body Text Indent 3 Char"/>
    <w:link w:val="BodyTextIndent3"/>
    <w:rsid w:val="002C3874"/>
    <w:rPr>
      <w:sz w:val="16"/>
      <w:szCs w:val="16"/>
    </w:rPr>
  </w:style>
  <w:style w:type="character" w:customStyle="1" w:styleId="BodyText2Char">
    <w:name w:val="Body Text 2 Char"/>
    <w:link w:val="BodyText2"/>
    <w:rsid w:val="00EE3B89"/>
    <w:rPr>
      <w:sz w:val="24"/>
    </w:rPr>
  </w:style>
  <w:style w:type="character" w:styleId="Hyperlink">
    <w:name w:val="Hyperlink"/>
    <w:rsid w:val="00EE3B89"/>
    <w:rPr>
      <w:color w:val="0000FF"/>
      <w:u w:val="single"/>
    </w:rPr>
  </w:style>
  <w:style w:type="character" w:styleId="FollowedHyperlink">
    <w:name w:val="FollowedHyperlink"/>
    <w:rsid w:val="00A22216"/>
    <w:rPr>
      <w:color w:val="800080"/>
      <w:u w:val="single"/>
    </w:rPr>
  </w:style>
  <w:style w:type="paragraph" w:styleId="Revision">
    <w:name w:val="Revision"/>
    <w:hidden/>
    <w:uiPriority w:val="99"/>
    <w:semiHidden/>
    <w:rsid w:val="00A041CF"/>
    <w:rPr>
      <w:sz w:val="24"/>
      <w:szCs w:val="24"/>
    </w:rPr>
  </w:style>
  <w:style w:type="paragraph" w:styleId="PlainText">
    <w:name w:val="Plain Text"/>
    <w:basedOn w:val="Normal"/>
    <w:link w:val="PlainTextChar"/>
    <w:uiPriority w:val="99"/>
    <w:unhideWhenUsed/>
    <w:rsid w:val="00B475CC"/>
    <w:rPr>
      <w:rFonts w:ascii="Calibri" w:eastAsia="Calibri" w:hAnsi="Calibri"/>
      <w:color w:val="000093"/>
      <w:sz w:val="22"/>
      <w:szCs w:val="22"/>
    </w:rPr>
  </w:style>
  <w:style w:type="character" w:customStyle="1" w:styleId="PlainTextChar">
    <w:name w:val="Plain Text Char"/>
    <w:link w:val="PlainText"/>
    <w:uiPriority w:val="99"/>
    <w:rsid w:val="00B475CC"/>
    <w:rPr>
      <w:rFonts w:ascii="Calibri" w:eastAsia="Calibri" w:hAnsi="Calibri"/>
      <w:color w:val="000093"/>
      <w:sz w:val="22"/>
      <w:szCs w:val="22"/>
    </w:rPr>
  </w:style>
  <w:style w:type="character" w:styleId="UnresolvedMention">
    <w:name w:val="Unresolved Mention"/>
    <w:uiPriority w:val="99"/>
    <w:semiHidden/>
    <w:unhideWhenUsed/>
    <w:rsid w:val="004974C1"/>
    <w:rPr>
      <w:color w:val="605E5C"/>
      <w:shd w:val="clear" w:color="auto" w:fill="E1DFDD"/>
    </w:rPr>
  </w:style>
  <w:style w:type="paragraph" w:styleId="Header">
    <w:name w:val="header"/>
    <w:basedOn w:val="Normal"/>
    <w:link w:val="HeaderChar"/>
    <w:rsid w:val="001734C3"/>
    <w:pPr>
      <w:tabs>
        <w:tab w:val="center" w:pos="4680"/>
        <w:tab w:val="right" w:pos="9360"/>
      </w:tabs>
    </w:pPr>
  </w:style>
  <w:style w:type="character" w:customStyle="1" w:styleId="HeaderChar">
    <w:name w:val="Header Char"/>
    <w:basedOn w:val="DefaultParagraphFont"/>
    <w:link w:val="Header"/>
    <w:rsid w:val="001734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43638">
      <w:bodyDiv w:val="1"/>
      <w:marLeft w:val="0"/>
      <w:marRight w:val="0"/>
      <w:marTop w:val="0"/>
      <w:marBottom w:val="0"/>
      <w:divBdr>
        <w:top w:val="none" w:sz="0" w:space="0" w:color="auto"/>
        <w:left w:val="none" w:sz="0" w:space="0" w:color="auto"/>
        <w:bottom w:val="none" w:sz="0" w:space="0" w:color="auto"/>
        <w:right w:val="none" w:sz="0" w:space="0" w:color="auto"/>
      </w:divBdr>
    </w:div>
    <w:div w:id="520822167">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aps.org/careers/scope-of-practice-surve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da.gov/media/115448/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299F5-E36C-4592-94B3-83424398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Links>
    <vt:vector size="12" baseType="variant">
      <vt:variant>
        <vt:i4>4325455</vt:i4>
      </vt:variant>
      <vt:variant>
        <vt:i4>3</vt:i4>
      </vt:variant>
      <vt:variant>
        <vt:i4>0</vt:i4>
      </vt:variant>
      <vt:variant>
        <vt:i4>5</vt:i4>
      </vt:variant>
      <vt:variant>
        <vt:lpwstr>https://www.fda.gov/media/115448/download</vt:lpwstr>
      </vt:variant>
      <vt:variant>
        <vt:lpwstr/>
      </vt:variant>
      <vt:variant>
        <vt:i4>1507352</vt:i4>
      </vt:variant>
      <vt:variant>
        <vt:i4>0</vt:i4>
      </vt:variant>
      <vt:variant>
        <vt:i4>0</vt:i4>
      </vt:variant>
      <vt:variant>
        <vt:i4>5</vt:i4>
      </vt:variant>
      <vt:variant>
        <vt:lpwstr>https://www.raps.org/careers/scope-of-practice-survey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2020-10-09T12:39:00Z</dcterms:created>
  <dcterms:modified xsi:type="dcterms:W3CDTF">2020-10-09T14:31:00Z</dcterms:modified>
</cp:coreProperties>
</file>