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09ED" w:rsidR="00BA1A0C" w:rsidP="009F4030" w:rsidRDefault="009B3794" w14:paraId="05C96524" w14:textId="77777777">
      <w:pPr>
        <w:tabs>
          <w:tab w:val="center" w:pos="4680"/>
        </w:tabs>
        <w:jc w:val="center"/>
        <w:rPr>
          <w:b/>
          <w:bCs/>
          <w:sz w:val="32"/>
          <w:szCs w:val="32"/>
        </w:rPr>
      </w:pPr>
      <w:r w:rsidRPr="002709ED">
        <w:rPr>
          <w:b/>
          <w:bCs/>
          <w:sz w:val="32"/>
          <w:szCs w:val="32"/>
        </w:rPr>
        <w:t xml:space="preserve">Supporting Statement </w:t>
      </w:r>
      <w:r w:rsidRPr="002709ED" w:rsidR="00BA1A0C">
        <w:rPr>
          <w:b/>
          <w:bCs/>
          <w:sz w:val="32"/>
          <w:szCs w:val="32"/>
        </w:rPr>
        <w:t>A</w:t>
      </w:r>
    </w:p>
    <w:p w:rsidRPr="002709ED" w:rsidR="00BA1A0C" w:rsidP="009F4030" w:rsidRDefault="00BA1A0C" w14:paraId="05C96525" w14:textId="77777777">
      <w:pPr>
        <w:tabs>
          <w:tab w:val="center" w:pos="4680"/>
        </w:tabs>
        <w:jc w:val="center"/>
        <w:rPr>
          <w:b/>
          <w:bCs/>
          <w:sz w:val="32"/>
          <w:szCs w:val="32"/>
        </w:rPr>
      </w:pPr>
    </w:p>
    <w:p w:rsidRPr="002709ED" w:rsidR="009B3794" w:rsidP="009F4030" w:rsidRDefault="00172C53" w14:paraId="05C96526" w14:textId="256FC5DD">
      <w:pPr>
        <w:tabs>
          <w:tab w:val="center" w:pos="4680"/>
        </w:tabs>
        <w:jc w:val="center"/>
        <w:rPr>
          <w:b/>
          <w:bCs/>
          <w:sz w:val="32"/>
          <w:szCs w:val="32"/>
        </w:rPr>
      </w:pPr>
      <w:r w:rsidRPr="002709ED">
        <w:rPr>
          <w:b/>
          <w:bCs/>
          <w:sz w:val="32"/>
          <w:szCs w:val="32"/>
        </w:rPr>
        <w:t>Teaching Health Center Graduate Medical Education (THCGME) Program</w:t>
      </w:r>
      <w:r w:rsidRPr="002709ED" w:rsidR="002709ED">
        <w:rPr>
          <w:b/>
          <w:bCs/>
          <w:sz w:val="32"/>
          <w:szCs w:val="32"/>
        </w:rPr>
        <w:t xml:space="preserve"> Cost Evaluation</w:t>
      </w:r>
    </w:p>
    <w:p w:rsidRPr="002709ED" w:rsidR="00BA1A0C" w:rsidP="009F4030" w:rsidRDefault="00BA1A0C" w14:paraId="05C96527" w14:textId="77777777">
      <w:pPr>
        <w:tabs>
          <w:tab w:val="center" w:pos="4680"/>
        </w:tabs>
        <w:jc w:val="center"/>
        <w:rPr>
          <w:b/>
          <w:bCs/>
          <w:sz w:val="32"/>
          <w:szCs w:val="32"/>
        </w:rPr>
      </w:pPr>
    </w:p>
    <w:p w:rsidRPr="002709ED" w:rsidR="00BA1A0C" w:rsidP="009F4030" w:rsidRDefault="00BA1A0C" w14:paraId="05C96528" w14:textId="1CBC37B5">
      <w:pPr>
        <w:tabs>
          <w:tab w:val="center" w:pos="4680"/>
        </w:tabs>
        <w:jc w:val="center"/>
        <w:rPr>
          <w:b/>
          <w:bCs/>
          <w:sz w:val="32"/>
          <w:szCs w:val="32"/>
        </w:rPr>
      </w:pPr>
      <w:r w:rsidRPr="002709ED">
        <w:rPr>
          <w:b/>
          <w:bCs/>
          <w:sz w:val="32"/>
          <w:szCs w:val="32"/>
        </w:rPr>
        <w:t>OMB Control No. 09</w:t>
      </w:r>
      <w:r w:rsidR="006914CE">
        <w:rPr>
          <w:b/>
          <w:bCs/>
          <w:sz w:val="32"/>
          <w:szCs w:val="32"/>
        </w:rPr>
        <w:t>06-XXXX</w:t>
      </w:r>
    </w:p>
    <w:p w:rsidRPr="002709ED" w:rsidR="009B3794" w:rsidP="009F4030" w:rsidRDefault="009B3794" w14:paraId="05C9652A" w14:textId="77777777">
      <w:pPr>
        <w:tabs>
          <w:tab w:val="center" w:pos="4680"/>
        </w:tabs>
        <w:rPr>
          <w:b/>
          <w:bCs/>
          <w:sz w:val="32"/>
          <w:szCs w:val="32"/>
        </w:rPr>
      </w:pPr>
    </w:p>
    <w:p w:rsidRPr="002709ED" w:rsidR="009B3794" w:rsidP="009F4030" w:rsidRDefault="00DE3A45" w14:paraId="05C9652B" w14:textId="72763419">
      <w:pPr>
        <w:rPr>
          <w:b/>
          <w:sz w:val="24"/>
        </w:rPr>
      </w:pPr>
      <w:r w:rsidRPr="002709ED">
        <w:rPr>
          <w:b/>
          <w:sz w:val="24"/>
        </w:rPr>
        <w:t>Terms of Clearance</w:t>
      </w:r>
      <w:r w:rsidRPr="002709ED" w:rsidR="00BA1A0C">
        <w:rPr>
          <w:b/>
          <w:sz w:val="24"/>
        </w:rPr>
        <w:t>:</w:t>
      </w:r>
      <w:r w:rsidRPr="002709ED" w:rsidR="00BA1A0C">
        <w:rPr>
          <w:sz w:val="24"/>
        </w:rPr>
        <w:t xml:space="preserve">  </w:t>
      </w:r>
      <w:r w:rsidRPr="002709ED" w:rsidR="00B33941">
        <w:rPr>
          <w:sz w:val="24"/>
        </w:rPr>
        <w:t>None.</w:t>
      </w:r>
      <w:r w:rsidRPr="002709ED" w:rsidR="00BA1A0C">
        <w:rPr>
          <w:b/>
          <w:sz w:val="24"/>
        </w:rPr>
        <w:t xml:space="preserve"> </w:t>
      </w:r>
      <w:r w:rsidRPr="002709ED" w:rsidR="00DD5BC0">
        <w:rPr>
          <w:b/>
          <w:sz w:val="24"/>
        </w:rPr>
        <w:t xml:space="preserve"> </w:t>
      </w:r>
    </w:p>
    <w:p w:rsidR="009F4030" w:rsidP="009F4030" w:rsidRDefault="009F4030" w14:paraId="428C1547" w14:textId="77777777">
      <w:pPr>
        <w:rPr>
          <w:b/>
          <w:bCs/>
          <w:sz w:val="24"/>
        </w:rPr>
      </w:pPr>
    </w:p>
    <w:p w:rsidR="009B3794" w:rsidP="009F4030" w:rsidRDefault="009B3794" w14:paraId="05C9652C" w14:textId="54762C7F">
      <w:pPr>
        <w:rPr>
          <w:b/>
          <w:bCs/>
          <w:sz w:val="24"/>
        </w:rPr>
      </w:pPr>
      <w:r w:rsidRPr="002709ED">
        <w:rPr>
          <w:b/>
          <w:bCs/>
          <w:sz w:val="24"/>
        </w:rPr>
        <w:t>A.</w:t>
      </w:r>
      <w:r w:rsidRPr="002709ED">
        <w:rPr>
          <w:b/>
          <w:bCs/>
          <w:sz w:val="24"/>
        </w:rPr>
        <w:tab/>
        <w:t>Justification</w:t>
      </w:r>
    </w:p>
    <w:p w:rsidRPr="002709ED" w:rsidR="009F4030" w:rsidP="009F4030" w:rsidRDefault="009F4030" w14:paraId="5495ED8F" w14:textId="77777777">
      <w:pPr>
        <w:rPr>
          <w:b/>
          <w:bCs/>
          <w:sz w:val="24"/>
        </w:rPr>
      </w:pPr>
    </w:p>
    <w:p w:rsidRPr="006914CE" w:rsidR="009B3794" w:rsidP="009F4030" w:rsidRDefault="009B3794" w14:paraId="05C9652D" w14:textId="461BCF9E">
      <w:pPr>
        <w:numPr>
          <w:ilvl w:val="0"/>
          <w:numId w:val="2"/>
        </w:numPr>
        <w:tabs>
          <w:tab w:val="num" w:pos="360"/>
        </w:tabs>
        <w:ind w:left="360"/>
        <w:rPr>
          <w:b/>
          <w:sz w:val="24"/>
        </w:rPr>
      </w:pPr>
      <w:r w:rsidRPr="002709ED">
        <w:rPr>
          <w:b/>
          <w:sz w:val="24"/>
          <w:u w:val="single"/>
        </w:rPr>
        <w:t>Circumstances Making the Collection of Information Necessary</w:t>
      </w:r>
    </w:p>
    <w:p w:rsidR="006914CE" w:rsidP="006914CE" w:rsidRDefault="006914CE" w14:paraId="33F8C8D9" w14:textId="326A0A78">
      <w:pPr>
        <w:rPr>
          <w:b/>
          <w:sz w:val="24"/>
          <w:u w:val="single"/>
        </w:rPr>
      </w:pPr>
    </w:p>
    <w:p w:rsidR="006914CE" w:rsidP="00D616E5" w:rsidRDefault="006914CE" w14:paraId="0F2DB106" w14:textId="465EB81C">
      <w:pPr>
        <w:ind w:right="115"/>
        <w:rPr>
          <w:sz w:val="24"/>
        </w:rPr>
      </w:pPr>
      <w:r>
        <w:rPr>
          <w:sz w:val="24"/>
        </w:rPr>
        <w:t xml:space="preserve">The Health Resources and Services Administration (HRSA) is requesting OMB approval for a new information collection request for the Teaching Health Center Graduate Program (THCGME) Program Cost Evaluation.    </w:t>
      </w:r>
    </w:p>
    <w:p w:rsidR="006914CE" w:rsidP="00D616E5" w:rsidRDefault="006914CE" w14:paraId="5D2D31A8" w14:textId="77777777">
      <w:pPr>
        <w:ind w:right="115"/>
        <w:rPr>
          <w:sz w:val="24"/>
        </w:rPr>
      </w:pPr>
    </w:p>
    <w:p w:rsidRPr="002709ED" w:rsidR="00994A92" w:rsidP="00D616E5" w:rsidRDefault="00994A92" w14:paraId="07191FF5" w14:textId="293A28DA">
      <w:pPr>
        <w:ind w:right="115"/>
        <w:rPr>
          <w:sz w:val="24"/>
        </w:rPr>
      </w:pPr>
      <w:r w:rsidRPr="002709ED">
        <w:rPr>
          <w:sz w:val="24"/>
        </w:rPr>
        <w:t>Section 5508 of the Patient Protection and Affordable Care Act</w:t>
      </w:r>
      <w:r w:rsidR="006914CE">
        <w:rPr>
          <w:sz w:val="24"/>
        </w:rPr>
        <w:t xml:space="preserve"> of 2010 (ACA) established the THCGME</w:t>
      </w:r>
      <w:r w:rsidRPr="002709ED">
        <w:rPr>
          <w:sz w:val="24"/>
        </w:rPr>
        <w:t xml:space="preserve"> program under Title III</w:t>
      </w:r>
      <w:r w:rsidR="00FB46AB">
        <w:rPr>
          <w:sz w:val="24"/>
        </w:rPr>
        <w:t>, Section 340H</w:t>
      </w:r>
      <w:r w:rsidRPr="002709ED">
        <w:rPr>
          <w:sz w:val="24"/>
        </w:rPr>
        <w:t xml:space="preserve"> of the Public Health Service Act</w:t>
      </w:r>
      <w:r w:rsidR="009C333B">
        <w:rPr>
          <w:sz w:val="24"/>
        </w:rPr>
        <w:t xml:space="preserve"> (</w:t>
      </w:r>
      <w:r w:rsidRPr="009C333B" w:rsidR="009C333B">
        <w:rPr>
          <w:sz w:val="24"/>
        </w:rPr>
        <w:t>42 U.S.C. 256h</w:t>
      </w:r>
      <w:r w:rsidR="009C333B">
        <w:rPr>
          <w:sz w:val="24"/>
        </w:rPr>
        <w:t>)</w:t>
      </w:r>
      <w:r w:rsidRPr="002709ED">
        <w:rPr>
          <w:sz w:val="24"/>
        </w:rPr>
        <w:t xml:space="preserve">. </w:t>
      </w:r>
      <w:r w:rsidR="009549D0">
        <w:rPr>
          <w:sz w:val="24"/>
        </w:rPr>
        <w:t xml:space="preserve"> </w:t>
      </w:r>
      <w:r w:rsidRPr="002709ED" w:rsidR="0039060D">
        <w:rPr>
          <w:sz w:val="24"/>
        </w:rPr>
        <w:t>The purpose of this program is to i</w:t>
      </w:r>
      <w:r w:rsidRPr="002709ED">
        <w:rPr>
          <w:sz w:val="24"/>
        </w:rPr>
        <w:t>ncrease the number of new primary care physicians</w:t>
      </w:r>
      <w:r w:rsidR="000365A1">
        <w:rPr>
          <w:sz w:val="24"/>
        </w:rPr>
        <w:t xml:space="preserve"> and dentists</w:t>
      </w:r>
      <w:r w:rsidRPr="002709ED" w:rsidR="0039060D">
        <w:rPr>
          <w:sz w:val="24"/>
        </w:rPr>
        <w:t xml:space="preserve">, especially in rural and underserved </w:t>
      </w:r>
      <w:r w:rsidRPr="002709ED">
        <w:rPr>
          <w:sz w:val="24"/>
        </w:rPr>
        <w:t>setting</w:t>
      </w:r>
      <w:r w:rsidRPr="002709ED" w:rsidR="0039060D">
        <w:rPr>
          <w:sz w:val="24"/>
        </w:rPr>
        <w:t>s.</w:t>
      </w:r>
      <w:r w:rsidRPr="002709ED">
        <w:rPr>
          <w:sz w:val="24"/>
        </w:rPr>
        <w:t xml:space="preserve"> </w:t>
      </w:r>
      <w:r w:rsidR="009549D0">
        <w:rPr>
          <w:sz w:val="24"/>
        </w:rPr>
        <w:t xml:space="preserve"> </w:t>
      </w:r>
      <w:r w:rsidRPr="002709ED">
        <w:rPr>
          <w:sz w:val="24"/>
        </w:rPr>
        <w:t>The THCGME program provides Graduate Medical Education (GME) funding to community</w:t>
      </w:r>
      <w:r w:rsidRPr="002709ED" w:rsidR="00DD5BC0">
        <w:rPr>
          <w:sz w:val="24"/>
        </w:rPr>
        <w:t>-</w:t>
      </w:r>
      <w:r w:rsidRPr="002709ED">
        <w:rPr>
          <w:sz w:val="24"/>
        </w:rPr>
        <w:t>based settings to train primary care</w:t>
      </w:r>
      <w:r w:rsidRPr="002709ED" w:rsidR="000436F9">
        <w:rPr>
          <w:sz w:val="24"/>
        </w:rPr>
        <w:t xml:space="preserve"> </w:t>
      </w:r>
      <w:r w:rsidRPr="002709ED">
        <w:rPr>
          <w:sz w:val="24"/>
        </w:rPr>
        <w:t xml:space="preserve">residents in order to address primary care access issues, particularly in </w:t>
      </w:r>
      <w:r w:rsidR="000365A1">
        <w:rPr>
          <w:sz w:val="24"/>
        </w:rPr>
        <w:t xml:space="preserve">rural and </w:t>
      </w:r>
      <w:r w:rsidRPr="002709ED">
        <w:rPr>
          <w:sz w:val="24"/>
        </w:rPr>
        <w:t xml:space="preserve">underserved settings. </w:t>
      </w:r>
      <w:r w:rsidR="009549D0">
        <w:rPr>
          <w:sz w:val="24"/>
        </w:rPr>
        <w:t xml:space="preserve"> </w:t>
      </w:r>
      <w:r w:rsidRPr="002709ED" w:rsidR="0039060D">
        <w:rPr>
          <w:sz w:val="24"/>
        </w:rPr>
        <w:t>The</w:t>
      </w:r>
      <w:r w:rsidRPr="002709ED">
        <w:rPr>
          <w:sz w:val="24"/>
        </w:rPr>
        <w:t xml:space="preserve"> </w:t>
      </w:r>
      <w:r w:rsidRPr="002709ED" w:rsidR="0039060D">
        <w:rPr>
          <w:sz w:val="24"/>
        </w:rPr>
        <w:t>funding model for the THC</w:t>
      </w:r>
      <w:r w:rsidR="00FB46AB">
        <w:rPr>
          <w:sz w:val="24"/>
        </w:rPr>
        <w:t>GME</w:t>
      </w:r>
      <w:r w:rsidRPr="002709ED" w:rsidR="0039060D">
        <w:rPr>
          <w:sz w:val="24"/>
        </w:rPr>
        <w:t xml:space="preserve"> </w:t>
      </w:r>
      <w:r w:rsidRPr="002709ED">
        <w:rPr>
          <w:sz w:val="24"/>
        </w:rPr>
        <w:t xml:space="preserve">program </w:t>
      </w:r>
      <w:r w:rsidRPr="002709ED" w:rsidR="0039060D">
        <w:rPr>
          <w:sz w:val="24"/>
        </w:rPr>
        <w:t>differs significantly from</w:t>
      </w:r>
      <w:r w:rsidRPr="002709ED">
        <w:rPr>
          <w:sz w:val="24"/>
        </w:rPr>
        <w:t xml:space="preserve"> traditional Medicare GME, </w:t>
      </w:r>
      <w:r w:rsidRPr="002709ED" w:rsidR="0039060D">
        <w:rPr>
          <w:sz w:val="24"/>
        </w:rPr>
        <w:t>which</w:t>
      </w:r>
      <w:r w:rsidRPr="002709ED">
        <w:rPr>
          <w:sz w:val="24"/>
        </w:rPr>
        <w:t xml:space="preserve"> support</w:t>
      </w:r>
      <w:r w:rsidRPr="002709ED" w:rsidR="0039060D">
        <w:rPr>
          <w:sz w:val="24"/>
        </w:rPr>
        <w:t>s</w:t>
      </w:r>
      <w:r w:rsidRPr="002709ED">
        <w:rPr>
          <w:sz w:val="24"/>
        </w:rPr>
        <w:t xml:space="preserve"> residency training </w:t>
      </w:r>
      <w:r w:rsidRPr="002709ED" w:rsidR="0039060D">
        <w:rPr>
          <w:sz w:val="24"/>
        </w:rPr>
        <w:t>in</w:t>
      </w:r>
      <w:r w:rsidRPr="002709ED">
        <w:rPr>
          <w:sz w:val="24"/>
        </w:rPr>
        <w:t xml:space="preserve"> </w:t>
      </w:r>
      <w:r w:rsidRPr="002709ED" w:rsidR="0039060D">
        <w:rPr>
          <w:sz w:val="24"/>
        </w:rPr>
        <w:t xml:space="preserve">hospitals, </w:t>
      </w:r>
      <w:r w:rsidRPr="002709ED">
        <w:rPr>
          <w:sz w:val="24"/>
        </w:rPr>
        <w:t xml:space="preserve">making it difficult for training to occur in </w:t>
      </w:r>
      <w:r w:rsidRPr="002709ED" w:rsidR="0039060D">
        <w:rPr>
          <w:sz w:val="24"/>
        </w:rPr>
        <w:t xml:space="preserve">ambulatory, </w:t>
      </w:r>
      <w:r w:rsidRPr="002709ED">
        <w:rPr>
          <w:sz w:val="24"/>
        </w:rPr>
        <w:t xml:space="preserve">community-based settings. </w:t>
      </w:r>
      <w:r w:rsidR="009549D0">
        <w:rPr>
          <w:sz w:val="24"/>
        </w:rPr>
        <w:t xml:space="preserve"> </w:t>
      </w:r>
      <w:r w:rsidRPr="002709ED" w:rsidR="0039060D">
        <w:rPr>
          <w:sz w:val="24"/>
        </w:rPr>
        <w:t xml:space="preserve">Under THCGME, </w:t>
      </w:r>
      <w:r w:rsidRPr="002709ED">
        <w:rPr>
          <w:sz w:val="24"/>
        </w:rPr>
        <w:t xml:space="preserve">GME funding </w:t>
      </w:r>
      <w:r w:rsidRPr="002709ED" w:rsidR="0039060D">
        <w:rPr>
          <w:sz w:val="24"/>
        </w:rPr>
        <w:t xml:space="preserve">goes </w:t>
      </w:r>
      <w:r w:rsidRPr="002709ED">
        <w:rPr>
          <w:sz w:val="24"/>
        </w:rPr>
        <w:t xml:space="preserve">directly to the </w:t>
      </w:r>
      <w:r w:rsidRPr="002709ED" w:rsidR="009B2DFA">
        <w:rPr>
          <w:sz w:val="24"/>
        </w:rPr>
        <w:t>THCs</w:t>
      </w:r>
      <w:r w:rsidRPr="002709ED" w:rsidR="0039060D">
        <w:rPr>
          <w:sz w:val="24"/>
        </w:rPr>
        <w:t>,</w:t>
      </w:r>
      <w:r w:rsidRPr="002709ED" w:rsidR="009B2DFA">
        <w:rPr>
          <w:sz w:val="24"/>
        </w:rPr>
        <w:t xml:space="preserve"> </w:t>
      </w:r>
      <w:r w:rsidRPr="002709ED" w:rsidR="0039060D">
        <w:rPr>
          <w:sz w:val="24"/>
        </w:rPr>
        <w:t>enabling</w:t>
      </w:r>
      <w:r w:rsidRPr="002709ED">
        <w:rPr>
          <w:sz w:val="24"/>
        </w:rPr>
        <w:t xml:space="preserve"> these </w:t>
      </w:r>
      <w:r w:rsidRPr="002709ED" w:rsidR="0039060D">
        <w:rPr>
          <w:sz w:val="24"/>
        </w:rPr>
        <w:t>residency programs</w:t>
      </w:r>
      <w:r w:rsidRPr="002709ED">
        <w:rPr>
          <w:sz w:val="24"/>
        </w:rPr>
        <w:t xml:space="preserve"> to train future primary care physicians</w:t>
      </w:r>
      <w:r w:rsidRPr="002709ED" w:rsidR="0039060D">
        <w:rPr>
          <w:sz w:val="24"/>
        </w:rPr>
        <w:t xml:space="preserve"> who are more likely to continue practice in underserved and rural settings</w:t>
      </w:r>
      <w:r w:rsidR="000365A1">
        <w:rPr>
          <w:sz w:val="24"/>
        </w:rPr>
        <w:t xml:space="preserve">. </w:t>
      </w:r>
      <w:r w:rsidR="009549D0">
        <w:rPr>
          <w:sz w:val="24"/>
        </w:rPr>
        <w:t xml:space="preserve"> </w:t>
      </w:r>
      <w:r w:rsidR="000365A1">
        <w:rPr>
          <w:sz w:val="24"/>
        </w:rPr>
        <w:t xml:space="preserve">The </w:t>
      </w:r>
      <w:proofErr w:type="spellStart"/>
      <w:r w:rsidR="000365A1">
        <w:rPr>
          <w:sz w:val="24"/>
        </w:rPr>
        <w:t>THC</w:t>
      </w:r>
      <w:r w:rsidR="00FB46AB">
        <w:rPr>
          <w:sz w:val="24"/>
        </w:rPr>
        <w:t>GME</w:t>
      </w:r>
      <w:proofErr w:type="spellEnd"/>
      <w:r w:rsidR="000365A1">
        <w:rPr>
          <w:sz w:val="24"/>
        </w:rPr>
        <w:t xml:space="preserve"> program also</w:t>
      </w:r>
      <w:r w:rsidRPr="002709ED" w:rsidR="0039060D">
        <w:rPr>
          <w:sz w:val="24"/>
        </w:rPr>
        <w:t xml:space="preserve"> develop</w:t>
      </w:r>
      <w:r w:rsidR="000365A1">
        <w:rPr>
          <w:sz w:val="24"/>
        </w:rPr>
        <w:t>s</w:t>
      </w:r>
      <w:r w:rsidRPr="002709ED" w:rsidR="0039060D">
        <w:rPr>
          <w:sz w:val="24"/>
        </w:rPr>
        <w:t xml:space="preserve"> </w:t>
      </w:r>
      <w:r w:rsidR="000365A1">
        <w:rPr>
          <w:sz w:val="24"/>
        </w:rPr>
        <w:t xml:space="preserve">primary care </w:t>
      </w:r>
      <w:r w:rsidRPr="002709ED" w:rsidR="000365A1">
        <w:rPr>
          <w:sz w:val="24"/>
        </w:rPr>
        <w:t>expertise</w:t>
      </w:r>
      <w:r w:rsidR="000365A1">
        <w:rPr>
          <w:sz w:val="24"/>
        </w:rPr>
        <w:t xml:space="preserve"> to</w:t>
      </w:r>
      <w:r w:rsidRPr="002709ED" w:rsidR="0039060D">
        <w:rPr>
          <w:sz w:val="24"/>
        </w:rPr>
        <w:t xml:space="preserve"> car</w:t>
      </w:r>
      <w:r w:rsidR="000365A1">
        <w:rPr>
          <w:sz w:val="24"/>
        </w:rPr>
        <w:t>e</w:t>
      </w:r>
      <w:r w:rsidRPr="002709ED" w:rsidR="0039060D">
        <w:rPr>
          <w:sz w:val="24"/>
        </w:rPr>
        <w:t xml:space="preserve"> for patients in their communities, </w:t>
      </w:r>
      <w:r w:rsidRPr="002709ED">
        <w:rPr>
          <w:sz w:val="24"/>
        </w:rPr>
        <w:t xml:space="preserve">ultimately increasing </w:t>
      </w:r>
      <w:r w:rsidR="000365A1">
        <w:rPr>
          <w:sz w:val="24"/>
        </w:rPr>
        <w:t xml:space="preserve">the </w:t>
      </w:r>
      <w:r w:rsidRPr="002709ED">
        <w:rPr>
          <w:sz w:val="24"/>
        </w:rPr>
        <w:t xml:space="preserve">abilities and competencies </w:t>
      </w:r>
      <w:r w:rsidR="000365A1">
        <w:rPr>
          <w:sz w:val="24"/>
        </w:rPr>
        <w:t xml:space="preserve">of primary care physicians and dentists </w:t>
      </w:r>
      <w:r w:rsidRPr="002709ED">
        <w:rPr>
          <w:sz w:val="24"/>
        </w:rPr>
        <w:t>to provide high quality</w:t>
      </w:r>
      <w:r w:rsidRPr="002709ED" w:rsidR="00C65EF8">
        <w:rPr>
          <w:sz w:val="24"/>
        </w:rPr>
        <w:t>, community-based</w:t>
      </w:r>
      <w:r w:rsidRPr="002709ED" w:rsidR="000436F9">
        <w:rPr>
          <w:sz w:val="24"/>
        </w:rPr>
        <w:t xml:space="preserve"> </w:t>
      </w:r>
      <w:r w:rsidRPr="002709ED">
        <w:rPr>
          <w:sz w:val="24"/>
        </w:rPr>
        <w:t>primary care.</w:t>
      </w:r>
    </w:p>
    <w:p w:rsidRPr="002709ED" w:rsidR="00994A92" w:rsidP="003C2AA2" w:rsidRDefault="00994A92" w14:paraId="69EBA383" w14:textId="77777777">
      <w:pPr>
        <w:rPr>
          <w:sz w:val="24"/>
        </w:rPr>
      </w:pPr>
    </w:p>
    <w:p w:rsidR="00994A92" w:rsidP="00D616E5" w:rsidRDefault="00994A92" w14:paraId="0FECCA8F" w14:textId="45F99684">
      <w:pPr>
        <w:ind w:right="118"/>
        <w:rPr>
          <w:sz w:val="24"/>
        </w:rPr>
      </w:pPr>
      <w:r w:rsidRPr="002709ED">
        <w:rPr>
          <w:sz w:val="24"/>
        </w:rPr>
        <w:t xml:space="preserve">The THCGME program </w:t>
      </w:r>
      <w:r w:rsidRPr="002709ED" w:rsidR="00C823D7">
        <w:rPr>
          <w:sz w:val="24"/>
        </w:rPr>
        <w:t>provides</w:t>
      </w:r>
      <w:r w:rsidRPr="002709ED">
        <w:rPr>
          <w:sz w:val="24"/>
        </w:rPr>
        <w:t xml:space="preserve"> GME payments directly to the THCs</w:t>
      </w:r>
      <w:r w:rsidRPr="002709ED" w:rsidR="00C65EF8">
        <w:rPr>
          <w:sz w:val="24"/>
        </w:rPr>
        <w:t xml:space="preserve">, at a Per Resident Amount </w:t>
      </w:r>
      <w:r w:rsidRPr="002709ED" w:rsidR="00C306F6">
        <w:rPr>
          <w:sz w:val="24"/>
        </w:rPr>
        <w:t xml:space="preserve">(PRA) </w:t>
      </w:r>
      <w:r w:rsidRPr="002709ED" w:rsidR="00C65EF8">
        <w:rPr>
          <w:sz w:val="24"/>
        </w:rPr>
        <w:t>rate</w:t>
      </w:r>
      <w:r w:rsidRPr="002709ED">
        <w:rPr>
          <w:sz w:val="24"/>
        </w:rPr>
        <w:t xml:space="preserve"> set at $150,000 per resident per year</w:t>
      </w:r>
      <w:r w:rsidRPr="002709ED" w:rsidR="00C306F6">
        <w:rPr>
          <w:sz w:val="24"/>
        </w:rPr>
        <w:t xml:space="preserve">. </w:t>
      </w:r>
      <w:r w:rsidR="009549D0">
        <w:rPr>
          <w:sz w:val="24"/>
        </w:rPr>
        <w:t xml:space="preserve"> </w:t>
      </w:r>
      <w:r w:rsidRPr="002709ED" w:rsidR="00C306F6">
        <w:rPr>
          <w:sz w:val="24"/>
        </w:rPr>
        <w:t>An interim PRA</w:t>
      </w:r>
      <w:r w:rsidRPr="002709ED" w:rsidR="001872C8">
        <w:rPr>
          <w:sz w:val="24"/>
        </w:rPr>
        <w:t xml:space="preserve"> </w:t>
      </w:r>
      <w:proofErr w:type="gramStart"/>
      <w:r w:rsidRPr="002709ED" w:rsidR="00C306F6">
        <w:rPr>
          <w:sz w:val="24"/>
        </w:rPr>
        <w:t>was set</w:t>
      </w:r>
      <w:proofErr w:type="gramEnd"/>
      <w:r w:rsidRPr="002709ED" w:rsidR="00C306F6">
        <w:rPr>
          <w:sz w:val="24"/>
        </w:rPr>
        <w:t xml:space="preserve"> by </w:t>
      </w:r>
      <w:r w:rsidRPr="002709ED" w:rsidR="00B5210F">
        <w:rPr>
          <w:sz w:val="24"/>
        </w:rPr>
        <w:t>HRSA, until such time that t</w:t>
      </w:r>
      <w:r w:rsidRPr="002709ED" w:rsidR="001872C8">
        <w:rPr>
          <w:sz w:val="24"/>
        </w:rPr>
        <w:t>he Secretary of HHS defined a direct and indirect payment formula for the program</w:t>
      </w:r>
      <w:r w:rsidR="009C333B">
        <w:rPr>
          <w:sz w:val="24"/>
        </w:rPr>
        <w:t xml:space="preserve"> through regulations</w:t>
      </w:r>
      <w:r w:rsidRPr="002709ED" w:rsidR="001872C8">
        <w:rPr>
          <w:sz w:val="24"/>
        </w:rPr>
        <w:t xml:space="preserve">. </w:t>
      </w:r>
      <w:r w:rsidR="009549D0">
        <w:rPr>
          <w:sz w:val="24"/>
        </w:rPr>
        <w:t xml:space="preserve"> </w:t>
      </w:r>
      <w:r w:rsidRPr="002709ED" w:rsidR="00AD79A6">
        <w:rPr>
          <w:sz w:val="24"/>
        </w:rPr>
        <w:t>The</w:t>
      </w:r>
      <w:r w:rsidRPr="002709ED" w:rsidR="0031525A">
        <w:rPr>
          <w:sz w:val="24"/>
        </w:rPr>
        <w:t xml:space="preserve"> </w:t>
      </w:r>
      <w:r w:rsidRPr="002709ED">
        <w:rPr>
          <w:sz w:val="24"/>
        </w:rPr>
        <w:t>George Washington University (GW)</w:t>
      </w:r>
      <w:r w:rsidRPr="002709ED" w:rsidR="00AD79A6">
        <w:rPr>
          <w:sz w:val="24"/>
        </w:rPr>
        <w:t xml:space="preserve"> </w:t>
      </w:r>
      <w:r w:rsidRPr="002709ED" w:rsidR="001872C8">
        <w:rPr>
          <w:sz w:val="24"/>
        </w:rPr>
        <w:t>conducted a</w:t>
      </w:r>
      <w:r w:rsidRPr="002709ED" w:rsidR="00DD5BC0">
        <w:rPr>
          <w:sz w:val="24"/>
        </w:rPr>
        <w:t xml:space="preserve"> cost evaluation to identify a </w:t>
      </w:r>
      <w:r w:rsidRPr="002709ED" w:rsidR="00C306F6">
        <w:rPr>
          <w:sz w:val="24"/>
        </w:rPr>
        <w:t>PRA</w:t>
      </w:r>
      <w:r w:rsidRPr="002709ED" w:rsidR="001872C8">
        <w:rPr>
          <w:sz w:val="24"/>
        </w:rPr>
        <w:t xml:space="preserve"> that </w:t>
      </w:r>
      <w:proofErr w:type="gramStart"/>
      <w:r w:rsidRPr="002709ED" w:rsidR="001872C8">
        <w:rPr>
          <w:sz w:val="24"/>
        </w:rPr>
        <w:t>was empirically based</w:t>
      </w:r>
      <w:proofErr w:type="gramEnd"/>
      <w:r w:rsidRPr="002709ED" w:rsidR="001872C8">
        <w:rPr>
          <w:sz w:val="24"/>
        </w:rPr>
        <w:t xml:space="preserve"> on expenses and revenues incurred by THCs who had residents in the 2013-2014 Academic Year. </w:t>
      </w:r>
      <w:r w:rsidR="009549D0">
        <w:rPr>
          <w:sz w:val="24"/>
        </w:rPr>
        <w:t xml:space="preserve"> </w:t>
      </w:r>
      <w:proofErr w:type="spellStart"/>
      <w:r w:rsidRPr="002709ED" w:rsidR="00B5210F">
        <w:rPr>
          <w:sz w:val="24"/>
        </w:rPr>
        <w:t>GW</w:t>
      </w:r>
      <w:proofErr w:type="spellEnd"/>
      <w:r w:rsidRPr="002709ED" w:rsidR="00B5210F">
        <w:rPr>
          <w:sz w:val="24"/>
        </w:rPr>
        <w:t xml:space="preserve"> collected financial information from THCs using a customized THC</w:t>
      </w:r>
      <w:r w:rsidR="00A225EB">
        <w:rPr>
          <w:sz w:val="24"/>
        </w:rPr>
        <w:t>GME</w:t>
      </w:r>
      <w:r w:rsidRPr="002709ED" w:rsidR="00B5210F">
        <w:rPr>
          <w:sz w:val="24"/>
        </w:rPr>
        <w:t xml:space="preserve"> Costing Instrument. </w:t>
      </w:r>
      <w:r w:rsidR="009549D0">
        <w:rPr>
          <w:sz w:val="24"/>
        </w:rPr>
        <w:t xml:space="preserve"> </w:t>
      </w:r>
      <w:proofErr w:type="spellStart"/>
      <w:r w:rsidRPr="002709ED" w:rsidR="001872C8">
        <w:rPr>
          <w:sz w:val="24"/>
        </w:rPr>
        <w:t>GW’s</w:t>
      </w:r>
      <w:proofErr w:type="spellEnd"/>
      <w:r w:rsidRPr="002709ED" w:rsidR="001872C8">
        <w:rPr>
          <w:sz w:val="24"/>
        </w:rPr>
        <w:t xml:space="preserve"> </w:t>
      </w:r>
      <w:r w:rsidR="00C346BA">
        <w:rPr>
          <w:sz w:val="24"/>
        </w:rPr>
        <w:t>original</w:t>
      </w:r>
      <w:r w:rsidRPr="002709ED" w:rsidR="00C346BA">
        <w:rPr>
          <w:sz w:val="24"/>
        </w:rPr>
        <w:t xml:space="preserve"> </w:t>
      </w:r>
      <w:r w:rsidRPr="002709ED" w:rsidR="00A33EBC">
        <w:rPr>
          <w:sz w:val="24"/>
        </w:rPr>
        <w:t>evaluation</w:t>
      </w:r>
      <w:r w:rsidRPr="002709ED" w:rsidR="001872C8">
        <w:rPr>
          <w:sz w:val="24"/>
        </w:rPr>
        <w:t xml:space="preserve"> (completed in 2016) estimated the </w:t>
      </w:r>
      <w:r w:rsidRPr="002709ED" w:rsidR="00C306F6">
        <w:rPr>
          <w:sz w:val="24"/>
        </w:rPr>
        <w:t>PRA</w:t>
      </w:r>
      <w:r w:rsidRPr="002709ED" w:rsidR="001872C8">
        <w:rPr>
          <w:sz w:val="24"/>
        </w:rPr>
        <w:t xml:space="preserve"> at $157,602 in 2017 dollars, based on data from 26 THCs whose data were sufficient for the cost evaluation. </w:t>
      </w:r>
      <w:r w:rsidR="009549D0">
        <w:rPr>
          <w:sz w:val="24"/>
        </w:rPr>
        <w:t xml:space="preserve"> </w:t>
      </w:r>
      <w:r w:rsidRPr="002709ED" w:rsidR="001872C8">
        <w:rPr>
          <w:sz w:val="24"/>
        </w:rPr>
        <w:t>Since the time of that estimate, the THC</w:t>
      </w:r>
      <w:r w:rsidR="009C333B">
        <w:rPr>
          <w:sz w:val="24"/>
        </w:rPr>
        <w:t>GME</w:t>
      </w:r>
      <w:r w:rsidRPr="002709ED" w:rsidR="001872C8">
        <w:rPr>
          <w:sz w:val="24"/>
        </w:rPr>
        <w:t xml:space="preserve"> program has </w:t>
      </w:r>
      <w:r w:rsidR="00EE2F2C">
        <w:rPr>
          <w:sz w:val="24"/>
        </w:rPr>
        <w:t>expanded</w:t>
      </w:r>
      <w:r w:rsidRPr="002709ED" w:rsidR="001872C8">
        <w:rPr>
          <w:sz w:val="24"/>
        </w:rPr>
        <w:t xml:space="preserve">, with 56 THCs currently running </w:t>
      </w:r>
      <w:r w:rsidRPr="002709ED" w:rsidR="00C306F6">
        <w:rPr>
          <w:sz w:val="24"/>
        </w:rPr>
        <w:t xml:space="preserve">programs with </w:t>
      </w:r>
      <w:r w:rsidRPr="002709ED" w:rsidR="001872C8">
        <w:rPr>
          <w:sz w:val="24"/>
        </w:rPr>
        <w:t xml:space="preserve">full complements of primary care residents. </w:t>
      </w:r>
      <w:r w:rsidR="009549D0">
        <w:rPr>
          <w:sz w:val="24"/>
        </w:rPr>
        <w:t xml:space="preserve"> </w:t>
      </w:r>
      <w:r w:rsidRPr="002709ED" w:rsidR="001872C8">
        <w:rPr>
          <w:sz w:val="24"/>
        </w:rPr>
        <w:t xml:space="preserve">In September 2019, GW </w:t>
      </w:r>
      <w:r w:rsidRPr="002709ED">
        <w:rPr>
          <w:sz w:val="24"/>
        </w:rPr>
        <w:t>was awarded</w:t>
      </w:r>
      <w:r w:rsidRPr="002709ED" w:rsidR="00AD79A6">
        <w:rPr>
          <w:sz w:val="24"/>
        </w:rPr>
        <w:t xml:space="preserve"> a three-year contract from </w:t>
      </w:r>
      <w:r w:rsidRPr="002709ED" w:rsidR="00B5210F">
        <w:rPr>
          <w:sz w:val="24"/>
        </w:rPr>
        <w:t>HRSA</w:t>
      </w:r>
      <w:r w:rsidRPr="002709ED" w:rsidR="00AD79A6">
        <w:rPr>
          <w:sz w:val="24"/>
        </w:rPr>
        <w:t xml:space="preserve"> to </w:t>
      </w:r>
      <w:r w:rsidRPr="002709ED" w:rsidR="001872C8">
        <w:rPr>
          <w:sz w:val="24"/>
        </w:rPr>
        <w:t xml:space="preserve">conduct </w:t>
      </w:r>
      <w:r w:rsidRPr="002709ED" w:rsidR="001F2A2D">
        <w:rPr>
          <w:sz w:val="24"/>
        </w:rPr>
        <w:t xml:space="preserve">an updated </w:t>
      </w:r>
      <w:r w:rsidRPr="002709ED" w:rsidR="00AD79A6">
        <w:rPr>
          <w:sz w:val="24"/>
        </w:rPr>
        <w:t>evaluat</w:t>
      </w:r>
      <w:r w:rsidRPr="002709ED" w:rsidR="001872C8">
        <w:rPr>
          <w:sz w:val="24"/>
        </w:rPr>
        <w:t>ion of</w:t>
      </w:r>
      <w:r w:rsidRPr="002709ED" w:rsidR="00AD79A6">
        <w:rPr>
          <w:sz w:val="24"/>
        </w:rPr>
        <w:t xml:space="preserve"> the costs of residency training at THCs</w:t>
      </w:r>
      <w:r w:rsidRPr="002709ED" w:rsidR="00C823D7">
        <w:rPr>
          <w:sz w:val="24"/>
        </w:rPr>
        <w:t xml:space="preserve">, including identifying both direct and indirect </w:t>
      </w:r>
      <w:r w:rsidRPr="002709ED" w:rsidR="00A33EBC">
        <w:rPr>
          <w:sz w:val="24"/>
        </w:rPr>
        <w:t>expenses</w:t>
      </w:r>
      <w:r w:rsidRPr="002709ED" w:rsidR="00C823D7">
        <w:rPr>
          <w:sz w:val="24"/>
        </w:rPr>
        <w:t xml:space="preserve"> and representing the full cohort of THCs currently training residents</w:t>
      </w:r>
      <w:r w:rsidRPr="002709ED">
        <w:rPr>
          <w:sz w:val="24"/>
        </w:rPr>
        <w:t>.</w:t>
      </w:r>
      <w:r w:rsidR="009549D0">
        <w:rPr>
          <w:sz w:val="24"/>
        </w:rPr>
        <w:t xml:space="preserve">  </w:t>
      </w:r>
      <w:r w:rsidRPr="002709ED" w:rsidR="00A375F0">
        <w:rPr>
          <w:sz w:val="24"/>
        </w:rPr>
        <w:t>This updated</w:t>
      </w:r>
      <w:r w:rsidRPr="002709ED" w:rsidR="00A33EBC">
        <w:rPr>
          <w:sz w:val="24"/>
        </w:rPr>
        <w:t xml:space="preserve"> cost</w:t>
      </w:r>
      <w:r w:rsidRPr="002709ED" w:rsidR="00A375F0">
        <w:rPr>
          <w:sz w:val="24"/>
        </w:rPr>
        <w:t xml:space="preserve"> estimate will provide HRSA with a methodology to determine appropriate THCGME program payments for</w:t>
      </w:r>
      <w:r w:rsidRPr="002709ED" w:rsidR="006D44A8">
        <w:rPr>
          <w:sz w:val="24"/>
        </w:rPr>
        <w:t xml:space="preserve"> direct</w:t>
      </w:r>
      <w:r w:rsidRPr="002709ED" w:rsidR="00A8384B">
        <w:rPr>
          <w:sz w:val="24"/>
        </w:rPr>
        <w:t xml:space="preserve"> </w:t>
      </w:r>
      <w:r w:rsidRPr="002709ED" w:rsidR="006D44A8">
        <w:rPr>
          <w:sz w:val="24"/>
        </w:rPr>
        <w:t>medical expenses (DME) as well as</w:t>
      </w:r>
      <w:r w:rsidRPr="002709ED" w:rsidR="00A375F0">
        <w:rPr>
          <w:sz w:val="24"/>
        </w:rPr>
        <w:t xml:space="preserve"> </w:t>
      </w:r>
      <w:r w:rsidRPr="002709ED" w:rsidR="0031525A">
        <w:rPr>
          <w:sz w:val="24"/>
        </w:rPr>
        <w:t>indirect medical expenses (IME)</w:t>
      </w:r>
      <w:r w:rsidRPr="002709ED" w:rsidR="006D44A8">
        <w:rPr>
          <w:sz w:val="24"/>
        </w:rPr>
        <w:t>.</w:t>
      </w:r>
    </w:p>
    <w:p w:rsidRPr="002709ED" w:rsidR="009F4030" w:rsidP="00D616E5" w:rsidRDefault="009F4030" w14:paraId="7845B0D6" w14:textId="77777777">
      <w:pPr>
        <w:ind w:right="118"/>
        <w:rPr>
          <w:sz w:val="24"/>
        </w:rPr>
      </w:pPr>
    </w:p>
    <w:p w:rsidRPr="002709ED" w:rsidR="009B3794" w:rsidP="003C2AA2" w:rsidRDefault="009B3794" w14:paraId="05C96532" w14:textId="3393BCE1">
      <w:pPr>
        <w:numPr>
          <w:ilvl w:val="0"/>
          <w:numId w:val="2"/>
        </w:numPr>
        <w:tabs>
          <w:tab w:val="num" w:pos="360"/>
        </w:tabs>
        <w:ind w:left="360"/>
        <w:rPr>
          <w:b/>
          <w:sz w:val="24"/>
        </w:rPr>
      </w:pPr>
      <w:r w:rsidRPr="002709ED">
        <w:rPr>
          <w:b/>
          <w:sz w:val="24"/>
          <w:u w:val="single"/>
        </w:rPr>
        <w:lastRenderedPageBreak/>
        <w:t>Purpose and Use of Information Collection</w:t>
      </w:r>
    </w:p>
    <w:p w:rsidR="000436F9" w:rsidP="00D616E5" w:rsidRDefault="000436F9" w14:paraId="5FDF2197" w14:textId="3E0F176E">
      <w:pPr>
        <w:ind w:right="115"/>
        <w:rPr>
          <w:sz w:val="24"/>
        </w:rPr>
      </w:pPr>
    </w:p>
    <w:p w:rsidRPr="002709ED" w:rsidR="00A375F0" w:rsidP="00D616E5" w:rsidRDefault="00900ED3" w14:paraId="22EECEB7" w14:textId="707542A9">
      <w:pPr>
        <w:ind w:right="115"/>
        <w:rPr>
          <w:sz w:val="24"/>
        </w:rPr>
      </w:pPr>
      <w:r w:rsidRPr="002709ED">
        <w:rPr>
          <w:sz w:val="24"/>
        </w:rPr>
        <w:t xml:space="preserve">The purpose of the current </w:t>
      </w:r>
      <w:r w:rsidRPr="002709ED" w:rsidR="00C07555">
        <w:rPr>
          <w:sz w:val="24"/>
        </w:rPr>
        <w:t>contract</w:t>
      </w:r>
      <w:r w:rsidRPr="002709ED" w:rsidR="00642FC5">
        <w:rPr>
          <w:sz w:val="24"/>
        </w:rPr>
        <w:t xml:space="preserve"> </w:t>
      </w:r>
      <w:r w:rsidRPr="002709ED">
        <w:rPr>
          <w:sz w:val="24"/>
        </w:rPr>
        <w:t xml:space="preserve">is to develop a robust </w:t>
      </w:r>
      <w:r w:rsidRPr="002709ED" w:rsidR="00535AE3">
        <w:rPr>
          <w:sz w:val="24"/>
        </w:rPr>
        <w:t xml:space="preserve">cost </w:t>
      </w:r>
      <w:r w:rsidRPr="002709ED">
        <w:rPr>
          <w:sz w:val="24"/>
        </w:rPr>
        <w:t xml:space="preserve">estimate of how much </w:t>
      </w:r>
      <w:r w:rsidRPr="002709ED" w:rsidR="00C43460">
        <w:rPr>
          <w:sz w:val="24"/>
        </w:rPr>
        <w:t>residency training costs in THCs</w:t>
      </w:r>
      <w:r w:rsidRPr="002709ED">
        <w:rPr>
          <w:sz w:val="24"/>
        </w:rPr>
        <w:t xml:space="preserve">. </w:t>
      </w:r>
      <w:r w:rsidR="009549D0">
        <w:rPr>
          <w:sz w:val="24"/>
        </w:rPr>
        <w:t xml:space="preserve"> </w:t>
      </w:r>
      <w:r w:rsidR="00C346BA">
        <w:rPr>
          <w:sz w:val="24"/>
        </w:rPr>
        <w:t>The</w:t>
      </w:r>
      <w:r w:rsidRPr="002709ED" w:rsidR="00E825F4">
        <w:rPr>
          <w:sz w:val="24"/>
        </w:rPr>
        <w:t xml:space="preserve"> </w:t>
      </w:r>
      <w:proofErr w:type="spellStart"/>
      <w:r w:rsidRPr="002709ED" w:rsidR="00B5210F">
        <w:rPr>
          <w:sz w:val="24"/>
        </w:rPr>
        <w:t>THC</w:t>
      </w:r>
      <w:r w:rsidR="00A225EB">
        <w:rPr>
          <w:sz w:val="24"/>
        </w:rPr>
        <w:t>GME</w:t>
      </w:r>
      <w:proofErr w:type="spellEnd"/>
      <w:r w:rsidRPr="002709ED" w:rsidR="00A375F0">
        <w:rPr>
          <w:sz w:val="24"/>
        </w:rPr>
        <w:t xml:space="preserve"> Costing Instrument </w:t>
      </w:r>
      <w:r w:rsidRPr="002709ED" w:rsidR="00B5210F">
        <w:rPr>
          <w:sz w:val="24"/>
        </w:rPr>
        <w:t>will provide</w:t>
      </w:r>
      <w:r w:rsidRPr="002709ED" w:rsidR="009B2DFA">
        <w:rPr>
          <w:sz w:val="24"/>
        </w:rPr>
        <w:t xml:space="preserve"> cost information to address </w:t>
      </w:r>
      <w:r w:rsidRPr="002709ED" w:rsidR="00A375F0">
        <w:rPr>
          <w:sz w:val="24"/>
        </w:rPr>
        <w:t>the following questions in the HRSA evaluation contract:</w:t>
      </w:r>
    </w:p>
    <w:p w:rsidRPr="002709ED" w:rsidR="00900ED3" w:rsidP="00D616E5" w:rsidRDefault="00A375F0" w14:paraId="06C2A354" w14:textId="6292EC23">
      <w:pPr>
        <w:pStyle w:val="ListParagraph"/>
        <w:numPr>
          <w:ilvl w:val="0"/>
          <w:numId w:val="44"/>
        </w:numPr>
        <w:ind w:right="115"/>
        <w:rPr>
          <w:sz w:val="24"/>
        </w:rPr>
      </w:pPr>
      <w:r w:rsidRPr="002709ED">
        <w:rPr>
          <w:sz w:val="24"/>
        </w:rPr>
        <w:t xml:space="preserve">What are the DME </w:t>
      </w:r>
      <w:r w:rsidRPr="002709ED" w:rsidR="001872C8">
        <w:rPr>
          <w:sz w:val="24"/>
        </w:rPr>
        <w:t xml:space="preserve">and IME </w:t>
      </w:r>
      <w:r w:rsidRPr="002709ED">
        <w:rPr>
          <w:sz w:val="24"/>
        </w:rPr>
        <w:t>costs of training primary care residents in THCs?</w:t>
      </w:r>
    </w:p>
    <w:p w:rsidRPr="002709ED" w:rsidR="004676A2" w:rsidP="00D616E5" w:rsidRDefault="00C43460" w14:paraId="5BDFCEC8" w14:textId="6123F8A2">
      <w:pPr>
        <w:pStyle w:val="ListParagraph"/>
        <w:numPr>
          <w:ilvl w:val="0"/>
          <w:numId w:val="44"/>
        </w:numPr>
        <w:ind w:right="115"/>
        <w:rPr>
          <w:sz w:val="24"/>
        </w:rPr>
      </w:pPr>
      <w:r w:rsidRPr="002709ED">
        <w:rPr>
          <w:sz w:val="24"/>
        </w:rPr>
        <w:t>What are the impacts of THC characteristics on direct and indirect costs</w:t>
      </w:r>
      <w:r w:rsidRPr="002709ED" w:rsidR="005961B4">
        <w:rPr>
          <w:sz w:val="24"/>
        </w:rPr>
        <w:t xml:space="preserve"> of residency training</w:t>
      </w:r>
      <w:r w:rsidRPr="002709ED">
        <w:rPr>
          <w:sz w:val="24"/>
        </w:rPr>
        <w:t>?</w:t>
      </w:r>
    </w:p>
    <w:p w:rsidRPr="002709ED" w:rsidR="00C43460" w:rsidP="00D616E5" w:rsidRDefault="00C43460" w14:paraId="6F832D1E" w14:textId="79957D89">
      <w:pPr>
        <w:numPr>
          <w:ilvl w:val="0"/>
          <w:numId w:val="44"/>
        </w:numPr>
        <w:tabs>
          <w:tab w:val="left" w:pos="821"/>
        </w:tabs>
        <w:autoSpaceDE/>
        <w:autoSpaceDN/>
        <w:adjustRightInd/>
        <w:ind w:right="119"/>
        <w:rPr>
          <w:sz w:val="24"/>
        </w:rPr>
      </w:pPr>
      <w:r w:rsidRPr="002709ED">
        <w:rPr>
          <w:sz w:val="24"/>
        </w:rPr>
        <w:t xml:space="preserve">What are the </w:t>
      </w:r>
      <w:r w:rsidRPr="002709ED" w:rsidR="00B00C6E">
        <w:rPr>
          <w:sz w:val="24"/>
        </w:rPr>
        <w:t xml:space="preserve">ways </w:t>
      </w:r>
      <w:r w:rsidRPr="002709ED" w:rsidR="00F84CEC">
        <w:rPr>
          <w:sz w:val="24"/>
        </w:rPr>
        <w:t>in which</w:t>
      </w:r>
      <w:r w:rsidRPr="002709ED" w:rsidR="00B00C6E">
        <w:rPr>
          <w:sz w:val="24"/>
        </w:rPr>
        <w:t xml:space="preserve"> residency training impacts overall operations of THC settings such as FQHCs or other sponsoring organi</w:t>
      </w:r>
      <w:r w:rsidRPr="002709ED" w:rsidR="007C7E22">
        <w:rPr>
          <w:sz w:val="24"/>
        </w:rPr>
        <w:t>z</w:t>
      </w:r>
      <w:r w:rsidRPr="002709ED" w:rsidR="00B00C6E">
        <w:rPr>
          <w:sz w:val="24"/>
        </w:rPr>
        <w:t xml:space="preserve">ations? </w:t>
      </w:r>
    </w:p>
    <w:p w:rsidRPr="002709ED" w:rsidR="00C43460" w:rsidP="00D616E5" w:rsidRDefault="004676A2" w14:paraId="19ADDF5F" w14:textId="3DDF0D5E">
      <w:pPr>
        <w:numPr>
          <w:ilvl w:val="0"/>
          <w:numId w:val="44"/>
        </w:numPr>
        <w:tabs>
          <w:tab w:val="left" w:pos="821"/>
        </w:tabs>
        <w:autoSpaceDE/>
        <w:autoSpaceDN/>
        <w:adjustRightInd/>
        <w:ind w:right="119"/>
        <w:rPr>
          <w:sz w:val="24"/>
        </w:rPr>
      </w:pPr>
      <w:r w:rsidRPr="002709ED">
        <w:rPr>
          <w:sz w:val="24"/>
        </w:rPr>
        <w:t xml:space="preserve">What sources of in-kind funding do THCs receive that they would otherwise need to account for in running a residency program? </w:t>
      </w:r>
    </w:p>
    <w:p w:rsidRPr="002709ED" w:rsidR="00063A7D" w:rsidP="00D616E5" w:rsidRDefault="00B5210F" w14:paraId="0FC63379" w14:textId="30527071">
      <w:pPr>
        <w:numPr>
          <w:ilvl w:val="0"/>
          <w:numId w:val="44"/>
        </w:numPr>
        <w:tabs>
          <w:tab w:val="left" w:pos="821"/>
        </w:tabs>
        <w:autoSpaceDE/>
        <w:autoSpaceDN/>
        <w:adjustRightInd/>
        <w:ind w:right="119"/>
        <w:rPr>
          <w:sz w:val="24"/>
        </w:rPr>
      </w:pPr>
      <w:r w:rsidRPr="002709ED">
        <w:rPr>
          <w:sz w:val="24"/>
        </w:rPr>
        <w:t>How should</w:t>
      </w:r>
      <w:r w:rsidRPr="002709ED" w:rsidR="00063A7D">
        <w:rPr>
          <w:sz w:val="24"/>
        </w:rPr>
        <w:t xml:space="preserve"> "opportunity costs" (e.g., time spent teaching vs. patient care by THC providers/faculty members) </w:t>
      </w:r>
      <w:r w:rsidRPr="002709ED">
        <w:rPr>
          <w:sz w:val="24"/>
        </w:rPr>
        <w:t xml:space="preserve">or other indirect costs </w:t>
      </w:r>
      <w:r w:rsidRPr="002709ED" w:rsidR="00063A7D">
        <w:rPr>
          <w:sz w:val="24"/>
        </w:rPr>
        <w:t>be considered in the cost analysis?</w:t>
      </w:r>
    </w:p>
    <w:p w:rsidRPr="002709ED" w:rsidR="00900ED3" w:rsidP="00D616E5" w:rsidRDefault="00900ED3" w14:paraId="755BCA32" w14:textId="77777777">
      <w:pPr>
        <w:ind w:right="115"/>
        <w:rPr>
          <w:sz w:val="24"/>
        </w:rPr>
      </w:pPr>
    </w:p>
    <w:p w:rsidR="000436F9" w:rsidP="00D616E5" w:rsidRDefault="000436F9" w14:paraId="50C5A791" w14:textId="638A81B6">
      <w:pPr>
        <w:ind w:right="115"/>
        <w:rPr>
          <w:sz w:val="24"/>
        </w:rPr>
      </w:pPr>
      <w:r w:rsidRPr="002709ED">
        <w:rPr>
          <w:sz w:val="24"/>
        </w:rPr>
        <w:t xml:space="preserve">The </w:t>
      </w:r>
      <w:r w:rsidRPr="002709ED" w:rsidR="00B5210F">
        <w:rPr>
          <w:sz w:val="24"/>
        </w:rPr>
        <w:t>THC</w:t>
      </w:r>
      <w:r w:rsidR="00A225EB">
        <w:rPr>
          <w:sz w:val="24"/>
        </w:rPr>
        <w:t>GME</w:t>
      </w:r>
      <w:r w:rsidRPr="002709ED">
        <w:rPr>
          <w:sz w:val="24"/>
        </w:rPr>
        <w:t xml:space="preserve"> </w:t>
      </w:r>
      <w:r w:rsidRPr="00B117DB">
        <w:rPr>
          <w:sz w:val="24"/>
        </w:rPr>
        <w:t>Costing Instrument (attached in Appendix</w:t>
      </w:r>
      <w:r w:rsidRPr="00B117DB" w:rsidR="00681005">
        <w:rPr>
          <w:sz w:val="24"/>
        </w:rPr>
        <w:t xml:space="preserve"> </w:t>
      </w:r>
      <w:r w:rsidRPr="00B117DB" w:rsidR="000F333A">
        <w:rPr>
          <w:sz w:val="24"/>
        </w:rPr>
        <w:t>A</w:t>
      </w:r>
      <w:r w:rsidRPr="00B117DB">
        <w:rPr>
          <w:sz w:val="24"/>
        </w:rPr>
        <w:t xml:space="preserve">) </w:t>
      </w:r>
      <w:proofErr w:type="gramStart"/>
      <w:r w:rsidRPr="00B117DB">
        <w:rPr>
          <w:sz w:val="24"/>
        </w:rPr>
        <w:t>will be administered</w:t>
      </w:r>
      <w:proofErr w:type="gramEnd"/>
      <w:r w:rsidRPr="00B117DB">
        <w:rPr>
          <w:sz w:val="24"/>
        </w:rPr>
        <w:t xml:space="preserve"> once to all the THC residency programs. </w:t>
      </w:r>
      <w:r w:rsidR="009549D0">
        <w:rPr>
          <w:sz w:val="24"/>
        </w:rPr>
        <w:t xml:space="preserve"> </w:t>
      </w:r>
      <w:r w:rsidRPr="00B117DB">
        <w:rPr>
          <w:sz w:val="24"/>
        </w:rPr>
        <w:t>The information gathered in the</w:t>
      </w:r>
      <w:r w:rsidRPr="00B117DB" w:rsidR="00C07555">
        <w:rPr>
          <w:sz w:val="24"/>
        </w:rPr>
        <w:t xml:space="preserve"> </w:t>
      </w:r>
      <w:r w:rsidRPr="00B117DB" w:rsidR="00B5210F">
        <w:rPr>
          <w:sz w:val="24"/>
        </w:rPr>
        <w:t>THC</w:t>
      </w:r>
      <w:r w:rsidR="00A225EB">
        <w:rPr>
          <w:sz w:val="24"/>
        </w:rPr>
        <w:t>GME</w:t>
      </w:r>
      <w:r w:rsidRPr="00B117DB">
        <w:rPr>
          <w:sz w:val="24"/>
        </w:rPr>
        <w:t xml:space="preserve"> Costing Instrument will include, but is not limited to,</w:t>
      </w:r>
      <w:r w:rsidRPr="00B117DB" w:rsidR="00B5210F">
        <w:rPr>
          <w:sz w:val="24"/>
        </w:rPr>
        <w:t xml:space="preserve"> numbers of precepted visits, faculty and </w:t>
      </w:r>
      <w:r w:rsidRPr="00B117DB">
        <w:rPr>
          <w:sz w:val="24"/>
        </w:rPr>
        <w:t xml:space="preserve">resident salaries and </w:t>
      </w:r>
      <w:r w:rsidRPr="00B117DB" w:rsidR="00E825F4">
        <w:rPr>
          <w:sz w:val="24"/>
        </w:rPr>
        <w:t xml:space="preserve">benefits, </w:t>
      </w:r>
      <w:r w:rsidRPr="00B117DB" w:rsidR="00B5210F">
        <w:rPr>
          <w:sz w:val="24"/>
        </w:rPr>
        <w:t xml:space="preserve">the costs of </w:t>
      </w:r>
      <w:r w:rsidRPr="00B117DB">
        <w:rPr>
          <w:sz w:val="24"/>
        </w:rPr>
        <w:t>medical malpractice</w:t>
      </w:r>
      <w:r w:rsidRPr="002709ED">
        <w:rPr>
          <w:sz w:val="24"/>
        </w:rPr>
        <w:t xml:space="preserve"> insurance, educational </w:t>
      </w:r>
      <w:r w:rsidRPr="002709ED" w:rsidR="00B5210F">
        <w:rPr>
          <w:sz w:val="24"/>
        </w:rPr>
        <w:t>programming</w:t>
      </w:r>
      <w:r w:rsidRPr="002709ED">
        <w:rPr>
          <w:sz w:val="24"/>
        </w:rPr>
        <w:t xml:space="preserve">, administrative support, consortium </w:t>
      </w:r>
      <w:r w:rsidRPr="002709ED" w:rsidR="00B5210F">
        <w:rPr>
          <w:sz w:val="24"/>
        </w:rPr>
        <w:t>fees</w:t>
      </w:r>
      <w:r w:rsidRPr="002709ED">
        <w:rPr>
          <w:sz w:val="24"/>
        </w:rPr>
        <w:t xml:space="preserve">, </w:t>
      </w:r>
      <w:r w:rsidRPr="002709ED" w:rsidR="00B5210F">
        <w:rPr>
          <w:sz w:val="24"/>
        </w:rPr>
        <w:t xml:space="preserve">and </w:t>
      </w:r>
      <w:r w:rsidRPr="002709ED">
        <w:rPr>
          <w:sz w:val="24"/>
        </w:rPr>
        <w:t>patient care</w:t>
      </w:r>
      <w:r w:rsidRPr="002709ED" w:rsidR="00B5210F">
        <w:rPr>
          <w:sz w:val="24"/>
        </w:rPr>
        <w:t xml:space="preserve">. </w:t>
      </w:r>
      <w:r w:rsidR="009549D0">
        <w:rPr>
          <w:sz w:val="24"/>
        </w:rPr>
        <w:t xml:space="preserve"> </w:t>
      </w:r>
      <w:r w:rsidRPr="002709ED" w:rsidR="00B5210F">
        <w:rPr>
          <w:sz w:val="24"/>
        </w:rPr>
        <w:t>It will also include</w:t>
      </w:r>
      <w:r w:rsidRPr="002709ED">
        <w:rPr>
          <w:sz w:val="24"/>
        </w:rPr>
        <w:t xml:space="preserve"> clinical revenue</w:t>
      </w:r>
      <w:r w:rsidRPr="002709ED" w:rsidR="00B5210F">
        <w:rPr>
          <w:sz w:val="24"/>
        </w:rPr>
        <w:t xml:space="preserve"> </w:t>
      </w:r>
      <w:r w:rsidRPr="002709ED">
        <w:rPr>
          <w:sz w:val="24"/>
        </w:rPr>
        <w:t>generated by the residents, financial reports</w:t>
      </w:r>
      <w:r w:rsidRPr="002709ED" w:rsidR="00B5210F">
        <w:rPr>
          <w:sz w:val="24"/>
        </w:rPr>
        <w:t xml:space="preserve"> for data validation purposes</w:t>
      </w:r>
      <w:r w:rsidRPr="002709ED">
        <w:rPr>
          <w:sz w:val="24"/>
        </w:rPr>
        <w:t xml:space="preserve">, as well as general program information to understand the characteristics of </w:t>
      </w:r>
      <w:r w:rsidRPr="002709ED" w:rsidR="00B5210F">
        <w:rPr>
          <w:sz w:val="24"/>
        </w:rPr>
        <w:t>THCs and</w:t>
      </w:r>
      <w:r w:rsidRPr="002709ED">
        <w:rPr>
          <w:sz w:val="24"/>
        </w:rPr>
        <w:t xml:space="preserve"> sponsoring institutions that are involved with residency training. </w:t>
      </w:r>
      <w:r w:rsidR="009549D0">
        <w:rPr>
          <w:sz w:val="24"/>
        </w:rPr>
        <w:t xml:space="preserve"> </w:t>
      </w:r>
      <w:r w:rsidRPr="002709ED">
        <w:rPr>
          <w:sz w:val="24"/>
        </w:rPr>
        <w:t xml:space="preserve">The data collected in the </w:t>
      </w:r>
      <w:r w:rsidRPr="002709ED" w:rsidR="00B5210F">
        <w:rPr>
          <w:sz w:val="24"/>
        </w:rPr>
        <w:t>THC</w:t>
      </w:r>
      <w:r w:rsidR="00EE1396">
        <w:rPr>
          <w:sz w:val="24"/>
        </w:rPr>
        <w:t>GME</w:t>
      </w:r>
      <w:r w:rsidRPr="002709ED">
        <w:rPr>
          <w:sz w:val="24"/>
        </w:rPr>
        <w:t xml:space="preserve"> Costing Instrument will </w:t>
      </w:r>
      <w:r w:rsidRPr="002709ED" w:rsidR="006132B4">
        <w:rPr>
          <w:sz w:val="24"/>
        </w:rPr>
        <w:t>provide</w:t>
      </w:r>
      <w:r w:rsidRPr="002709ED" w:rsidR="004E1F76">
        <w:rPr>
          <w:sz w:val="24"/>
        </w:rPr>
        <w:t xml:space="preserve"> </w:t>
      </w:r>
      <w:r w:rsidRPr="002709ED">
        <w:rPr>
          <w:sz w:val="24"/>
        </w:rPr>
        <w:t>HRSA</w:t>
      </w:r>
      <w:r w:rsidRPr="002709ED" w:rsidR="004E1F76">
        <w:rPr>
          <w:sz w:val="24"/>
        </w:rPr>
        <w:t xml:space="preserve"> with a</w:t>
      </w:r>
      <w:r w:rsidRPr="002709ED" w:rsidR="000754E0">
        <w:rPr>
          <w:sz w:val="24"/>
        </w:rPr>
        <w:t xml:space="preserve"> full</w:t>
      </w:r>
      <w:r w:rsidRPr="002709ED" w:rsidR="004E1F76">
        <w:rPr>
          <w:sz w:val="24"/>
        </w:rPr>
        <w:t xml:space="preserve"> methodology to </w:t>
      </w:r>
      <w:r w:rsidRPr="002709ED" w:rsidR="000754E0">
        <w:rPr>
          <w:sz w:val="24"/>
        </w:rPr>
        <w:t>inform efforts to develop direct and indirect payment formulas for the THCGME</w:t>
      </w:r>
      <w:r w:rsidRPr="002709ED">
        <w:rPr>
          <w:sz w:val="24"/>
        </w:rPr>
        <w:t xml:space="preserve"> program.</w:t>
      </w:r>
    </w:p>
    <w:p w:rsidRPr="002709ED" w:rsidR="009F4030" w:rsidP="00D616E5" w:rsidRDefault="009F4030" w14:paraId="4D48667A" w14:textId="77777777">
      <w:pPr>
        <w:ind w:right="115"/>
        <w:rPr>
          <w:sz w:val="24"/>
        </w:rPr>
      </w:pPr>
    </w:p>
    <w:p w:rsidRPr="002709ED" w:rsidR="009B3794" w:rsidP="003C2AA2" w:rsidRDefault="009B3794" w14:paraId="05C96537" w14:textId="77777777">
      <w:pPr>
        <w:numPr>
          <w:ilvl w:val="0"/>
          <w:numId w:val="2"/>
        </w:numPr>
        <w:tabs>
          <w:tab w:val="num" w:pos="360"/>
        </w:tabs>
        <w:ind w:left="360"/>
        <w:rPr>
          <w:sz w:val="24"/>
        </w:rPr>
      </w:pPr>
      <w:r w:rsidRPr="002709ED">
        <w:rPr>
          <w:b/>
          <w:sz w:val="24"/>
          <w:u w:val="single"/>
        </w:rPr>
        <w:t>Use of Improved Information Technology and Burden Reduction</w:t>
      </w:r>
    </w:p>
    <w:p w:rsidRPr="002709ED" w:rsidR="00063A7D" w:rsidP="00D616E5" w:rsidRDefault="00063A7D" w14:paraId="3DFAED3E" w14:textId="77777777">
      <w:pPr>
        <w:ind w:right="115"/>
        <w:rPr>
          <w:sz w:val="24"/>
        </w:rPr>
      </w:pPr>
    </w:p>
    <w:p w:rsidR="009B3794" w:rsidP="00D616E5" w:rsidRDefault="00C55640" w14:paraId="05C9653B" w14:textId="34A181CC">
      <w:pPr>
        <w:ind w:right="115"/>
        <w:rPr>
          <w:sz w:val="24"/>
        </w:rPr>
      </w:pPr>
      <w:r>
        <w:rPr>
          <w:sz w:val="24"/>
        </w:rPr>
        <w:t xml:space="preserve">The </w:t>
      </w:r>
      <w:r w:rsidRPr="002709ED" w:rsidR="00B5210F">
        <w:rPr>
          <w:sz w:val="24"/>
        </w:rPr>
        <w:t>THC</w:t>
      </w:r>
      <w:r w:rsidR="00EE1396">
        <w:rPr>
          <w:sz w:val="24"/>
        </w:rPr>
        <w:t>GME</w:t>
      </w:r>
      <w:r>
        <w:rPr>
          <w:sz w:val="24"/>
        </w:rPr>
        <w:t xml:space="preserve"> Costing Instrument </w:t>
      </w:r>
      <w:proofErr w:type="gramStart"/>
      <w:r>
        <w:rPr>
          <w:sz w:val="24"/>
        </w:rPr>
        <w:t>has been developed</w:t>
      </w:r>
      <w:proofErr w:type="gramEnd"/>
      <w:r>
        <w:rPr>
          <w:sz w:val="24"/>
        </w:rPr>
        <w:t xml:space="preserve"> so </w:t>
      </w:r>
      <w:r w:rsidRPr="002709ED" w:rsidR="00063A7D">
        <w:rPr>
          <w:sz w:val="24"/>
        </w:rPr>
        <w:t xml:space="preserve">that it utilizes technology to administer, collect, </w:t>
      </w:r>
      <w:r w:rsidR="009549D0">
        <w:rPr>
          <w:sz w:val="24"/>
        </w:rPr>
        <w:t xml:space="preserve">and analyze the data collected.  </w:t>
      </w:r>
      <w:r w:rsidRPr="002709ED" w:rsidR="00063A7D">
        <w:rPr>
          <w:sz w:val="24"/>
        </w:rPr>
        <w:t>Th</w:t>
      </w:r>
      <w:r w:rsidRPr="002709ED" w:rsidR="006132B4">
        <w:rPr>
          <w:sz w:val="24"/>
        </w:rPr>
        <w:t>e</w:t>
      </w:r>
      <w:r w:rsidR="00DA38FF">
        <w:rPr>
          <w:sz w:val="24"/>
        </w:rPr>
        <w:t xml:space="preserve"> </w:t>
      </w:r>
      <w:proofErr w:type="spellStart"/>
      <w:r w:rsidR="00DA38FF">
        <w:rPr>
          <w:sz w:val="24"/>
        </w:rPr>
        <w:t>THC</w:t>
      </w:r>
      <w:r w:rsidR="00EE1396">
        <w:rPr>
          <w:sz w:val="24"/>
        </w:rPr>
        <w:t>GME</w:t>
      </w:r>
      <w:proofErr w:type="spellEnd"/>
      <w:r w:rsidRPr="002709ED" w:rsidR="006132B4">
        <w:rPr>
          <w:sz w:val="24"/>
        </w:rPr>
        <w:t xml:space="preserve"> Costing </w:t>
      </w:r>
      <w:r w:rsidRPr="002709ED" w:rsidR="00063A7D">
        <w:rPr>
          <w:sz w:val="24"/>
        </w:rPr>
        <w:t xml:space="preserve">Instrument will be implemented using fillable excel forms. </w:t>
      </w:r>
      <w:r w:rsidR="009549D0">
        <w:rPr>
          <w:sz w:val="24"/>
        </w:rPr>
        <w:t xml:space="preserve"> </w:t>
      </w:r>
      <w:r w:rsidRPr="002709ED" w:rsidR="00063A7D">
        <w:rPr>
          <w:sz w:val="24"/>
        </w:rPr>
        <w:t>All of the responses (100%) will be collected and submitted electronically.</w:t>
      </w:r>
    </w:p>
    <w:p w:rsidRPr="002709ED" w:rsidR="009F4030" w:rsidP="00D616E5" w:rsidRDefault="009F4030" w14:paraId="61262A27" w14:textId="77777777">
      <w:pPr>
        <w:ind w:right="115"/>
        <w:rPr>
          <w:sz w:val="24"/>
        </w:rPr>
      </w:pPr>
    </w:p>
    <w:p w:rsidRPr="002709ED" w:rsidR="009B3794" w:rsidP="003C2AA2" w:rsidRDefault="009B3794" w14:paraId="05C9653C" w14:textId="7F300EE9">
      <w:pPr>
        <w:numPr>
          <w:ilvl w:val="0"/>
          <w:numId w:val="2"/>
        </w:numPr>
        <w:tabs>
          <w:tab w:val="num" w:pos="360"/>
        </w:tabs>
        <w:ind w:left="360"/>
        <w:rPr>
          <w:b/>
          <w:sz w:val="24"/>
        </w:rPr>
      </w:pPr>
      <w:r w:rsidRPr="002709ED">
        <w:rPr>
          <w:b/>
          <w:sz w:val="24"/>
          <w:u w:val="single"/>
        </w:rPr>
        <w:t>Efforts to Identify Duplication and Use of Similar Information</w:t>
      </w:r>
    </w:p>
    <w:p w:rsidRPr="002709ED" w:rsidR="00063A7D" w:rsidP="00D616E5" w:rsidRDefault="00063A7D" w14:paraId="6E6FF359" w14:textId="77777777">
      <w:pPr>
        <w:ind w:right="118"/>
        <w:rPr>
          <w:sz w:val="24"/>
        </w:rPr>
      </w:pPr>
    </w:p>
    <w:p w:rsidR="00063A7D" w:rsidP="00D616E5" w:rsidRDefault="00063A7D" w14:paraId="619BD3FE" w14:textId="0DE9A692">
      <w:pPr>
        <w:ind w:right="118"/>
        <w:rPr>
          <w:sz w:val="24"/>
        </w:rPr>
      </w:pPr>
      <w:r w:rsidRPr="002709ED">
        <w:rPr>
          <w:sz w:val="24"/>
        </w:rPr>
        <w:t>The</w:t>
      </w:r>
      <w:r w:rsidRPr="002709ED" w:rsidR="00C07555">
        <w:rPr>
          <w:sz w:val="24"/>
        </w:rPr>
        <w:t xml:space="preserve"> </w:t>
      </w:r>
      <w:r w:rsidRPr="002709ED" w:rsidR="007860C0">
        <w:rPr>
          <w:sz w:val="24"/>
        </w:rPr>
        <w:t>THC</w:t>
      </w:r>
      <w:r w:rsidR="00EE1396">
        <w:rPr>
          <w:sz w:val="24"/>
        </w:rPr>
        <w:t>GME</w:t>
      </w:r>
      <w:r w:rsidRPr="002709ED">
        <w:rPr>
          <w:sz w:val="24"/>
        </w:rPr>
        <w:t xml:space="preserve"> Costing Instrument collect</w:t>
      </w:r>
      <w:r w:rsidRPr="002709ED" w:rsidR="007860C0">
        <w:rPr>
          <w:sz w:val="24"/>
        </w:rPr>
        <w:t>s</w:t>
      </w:r>
      <w:r w:rsidRPr="002709ED">
        <w:rPr>
          <w:sz w:val="24"/>
        </w:rPr>
        <w:t xml:space="preserve"> standardized costing information from THC residency programs. </w:t>
      </w:r>
      <w:r w:rsidR="009549D0">
        <w:rPr>
          <w:sz w:val="24"/>
        </w:rPr>
        <w:t xml:space="preserve"> </w:t>
      </w:r>
      <w:r w:rsidRPr="002709ED">
        <w:rPr>
          <w:sz w:val="24"/>
        </w:rPr>
        <w:t xml:space="preserve">Implementation of a standardized </w:t>
      </w:r>
      <w:r w:rsidRPr="002709ED" w:rsidR="002709ED">
        <w:rPr>
          <w:sz w:val="24"/>
        </w:rPr>
        <w:t>THC</w:t>
      </w:r>
      <w:r w:rsidR="00EE1396">
        <w:rPr>
          <w:sz w:val="24"/>
        </w:rPr>
        <w:t>GME</w:t>
      </w:r>
      <w:r w:rsidRPr="002709ED" w:rsidR="002709ED">
        <w:rPr>
          <w:sz w:val="24"/>
        </w:rPr>
        <w:t xml:space="preserve"> </w:t>
      </w:r>
      <w:r w:rsidRPr="002709ED" w:rsidR="006132B4">
        <w:rPr>
          <w:sz w:val="24"/>
        </w:rPr>
        <w:t>Costing I</w:t>
      </w:r>
      <w:r w:rsidRPr="002709ED">
        <w:rPr>
          <w:sz w:val="24"/>
        </w:rPr>
        <w:t>nstrument with all THC</w:t>
      </w:r>
      <w:r w:rsidR="008F7C72">
        <w:rPr>
          <w:sz w:val="24"/>
        </w:rPr>
        <w:t>s</w:t>
      </w:r>
      <w:r w:rsidRPr="002709ED">
        <w:rPr>
          <w:sz w:val="24"/>
        </w:rPr>
        <w:t xml:space="preserve"> will be critical to establish a reasonable and reliable estimate of the cost per resident for THC residency programs, and to determine the areas and degrees of variation between programs. </w:t>
      </w:r>
      <w:r w:rsidR="009549D0">
        <w:rPr>
          <w:sz w:val="24"/>
        </w:rPr>
        <w:t xml:space="preserve"> </w:t>
      </w:r>
      <w:r w:rsidRPr="002709ED">
        <w:rPr>
          <w:sz w:val="24"/>
        </w:rPr>
        <w:t>A previous study conducted by GW provided a methodology to categorize expenses and revenues specific to residency programs</w:t>
      </w:r>
      <w:r w:rsidRPr="002709ED" w:rsidR="00E97C76">
        <w:rPr>
          <w:sz w:val="24"/>
        </w:rPr>
        <w:t>; we will use this methodology in the current study with cost data that reflects more recent and accurate THC experience.</w:t>
      </w:r>
      <w:r w:rsidRPr="002709ED">
        <w:rPr>
          <w:sz w:val="24"/>
        </w:rPr>
        <w:t xml:space="preserve"> </w:t>
      </w:r>
      <w:r w:rsidR="009549D0">
        <w:rPr>
          <w:sz w:val="24"/>
        </w:rPr>
        <w:t xml:space="preserve"> </w:t>
      </w:r>
      <w:r w:rsidRPr="002709ED" w:rsidR="00E97C76">
        <w:rPr>
          <w:sz w:val="24"/>
        </w:rPr>
        <w:t xml:space="preserve">Since 2015, there has been no other systematic collection of this information in the field. </w:t>
      </w:r>
      <w:r w:rsidR="009549D0">
        <w:rPr>
          <w:sz w:val="24"/>
        </w:rPr>
        <w:t xml:space="preserve"> </w:t>
      </w:r>
      <w:r w:rsidRPr="002709ED">
        <w:rPr>
          <w:sz w:val="24"/>
        </w:rPr>
        <w:t xml:space="preserve">The </w:t>
      </w:r>
      <w:proofErr w:type="spellStart"/>
      <w:r w:rsidRPr="002709ED" w:rsidR="007860C0">
        <w:rPr>
          <w:sz w:val="24"/>
        </w:rPr>
        <w:t>THC</w:t>
      </w:r>
      <w:r w:rsidR="00EE1396">
        <w:rPr>
          <w:sz w:val="24"/>
        </w:rPr>
        <w:t>GME</w:t>
      </w:r>
      <w:proofErr w:type="spellEnd"/>
      <w:r w:rsidRPr="002709ED">
        <w:rPr>
          <w:sz w:val="24"/>
        </w:rPr>
        <w:t xml:space="preserve"> Costing Instrument </w:t>
      </w:r>
      <w:proofErr w:type="gramStart"/>
      <w:r w:rsidRPr="002709ED">
        <w:rPr>
          <w:sz w:val="24"/>
        </w:rPr>
        <w:t>will be made</w:t>
      </w:r>
      <w:proofErr w:type="gramEnd"/>
      <w:r w:rsidRPr="002709ED">
        <w:rPr>
          <w:sz w:val="24"/>
        </w:rPr>
        <w:t xml:space="preserve"> available to the individual THC</w:t>
      </w:r>
      <w:r w:rsidR="008F7C72">
        <w:rPr>
          <w:sz w:val="24"/>
        </w:rPr>
        <w:t>s</w:t>
      </w:r>
      <w:r w:rsidRPr="002709ED">
        <w:rPr>
          <w:sz w:val="24"/>
        </w:rPr>
        <w:t xml:space="preserve"> to continue collecting relevant costing information and to add to it as needed.</w:t>
      </w:r>
    </w:p>
    <w:p w:rsidRPr="002709ED" w:rsidR="009F4030" w:rsidP="00D616E5" w:rsidRDefault="009F4030" w14:paraId="01975BD0" w14:textId="77777777">
      <w:pPr>
        <w:ind w:right="118"/>
        <w:rPr>
          <w:sz w:val="24"/>
        </w:rPr>
      </w:pPr>
    </w:p>
    <w:p w:rsidRPr="00C85F2C" w:rsidR="00C85F2C" w:rsidP="00C85F2C" w:rsidRDefault="00C85F2C" w14:paraId="1AB27759" w14:textId="77777777">
      <w:pPr>
        <w:ind w:left="360"/>
        <w:rPr>
          <w:color w:val="000000"/>
          <w:sz w:val="24"/>
        </w:rPr>
      </w:pPr>
    </w:p>
    <w:p w:rsidRPr="002709ED" w:rsidR="009B3794" w:rsidP="003C2AA2" w:rsidRDefault="009B3794" w14:paraId="05C9653E" w14:textId="7CB3D9AB">
      <w:pPr>
        <w:numPr>
          <w:ilvl w:val="0"/>
          <w:numId w:val="2"/>
        </w:numPr>
        <w:tabs>
          <w:tab w:val="num" w:pos="360"/>
        </w:tabs>
        <w:ind w:left="360"/>
        <w:rPr>
          <w:color w:val="000000"/>
          <w:sz w:val="24"/>
        </w:rPr>
      </w:pPr>
      <w:r w:rsidRPr="002709ED">
        <w:rPr>
          <w:b/>
          <w:sz w:val="24"/>
          <w:u w:val="single"/>
        </w:rPr>
        <w:lastRenderedPageBreak/>
        <w:t>Impact on Small Businesses or Other Small Entities</w:t>
      </w:r>
    </w:p>
    <w:p w:rsidRPr="002709ED" w:rsidR="00181AEF" w:rsidP="00D616E5" w:rsidRDefault="00181AEF" w14:paraId="6F4930E7" w14:textId="77777777">
      <w:pPr>
        <w:ind w:right="116"/>
        <w:rPr>
          <w:sz w:val="24"/>
        </w:rPr>
      </w:pPr>
    </w:p>
    <w:p w:rsidRPr="002709ED" w:rsidR="00181AEF" w:rsidP="00D616E5" w:rsidRDefault="00181AEF" w14:paraId="15878593" w14:textId="4CCF1ECA">
      <w:pPr>
        <w:ind w:right="116"/>
        <w:rPr>
          <w:sz w:val="24"/>
        </w:rPr>
      </w:pPr>
      <w:r w:rsidRPr="002709ED">
        <w:rPr>
          <w:sz w:val="24"/>
        </w:rPr>
        <w:t xml:space="preserve">The majority of programs fall under the category of small entities. </w:t>
      </w:r>
      <w:r w:rsidR="00C85F2C">
        <w:rPr>
          <w:sz w:val="24"/>
        </w:rPr>
        <w:t xml:space="preserve"> </w:t>
      </w:r>
      <w:r w:rsidRPr="002709ED">
        <w:rPr>
          <w:sz w:val="24"/>
        </w:rPr>
        <w:t>For example, many of the THC</w:t>
      </w:r>
      <w:r w:rsidR="008F7C72">
        <w:rPr>
          <w:sz w:val="24"/>
        </w:rPr>
        <w:t>s</w:t>
      </w:r>
      <w:r w:rsidRPr="002709ED">
        <w:rPr>
          <w:sz w:val="24"/>
        </w:rPr>
        <w:t xml:space="preserve"> are small </w:t>
      </w:r>
      <w:r w:rsidRPr="002709ED" w:rsidR="00817C6C">
        <w:rPr>
          <w:sz w:val="24"/>
        </w:rPr>
        <w:t xml:space="preserve">community-based </w:t>
      </w:r>
      <w:r w:rsidRPr="002709ED">
        <w:rPr>
          <w:sz w:val="24"/>
        </w:rPr>
        <w:t>non-profits</w:t>
      </w:r>
      <w:r w:rsidRPr="002709ED" w:rsidR="00817C6C">
        <w:rPr>
          <w:sz w:val="24"/>
        </w:rPr>
        <w:t xml:space="preserve"> formed to meet the requirements to qualify for THC residency grants and have</w:t>
      </w:r>
      <w:r w:rsidRPr="002709ED" w:rsidR="00CE2617">
        <w:rPr>
          <w:sz w:val="24"/>
        </w:rPr>
        <w:t xml:space="preserve"> </w:t>
      </w:r>
      <w:r w:rsidRPr="002709ED">
        <w:rPr>
          <w:sz w:val="24"/>
        </w:rPr>
        <w:t>fewer than 30 employees.</w:t>
      </w:r>
      <w:r w:rsidR="00C85F2C">
        <w:rPr>
          <w:sz w:val="24"/>
        </w:rPr>
        <w:t xml:space="preserve"> </w:t>
      </w:r>
      <w:r w:rsidRPr="002709ED">
        <w:rPr>
          <w:sz w:val="24"/>
        </w:rPr>
        <w:t xml:space="preserve"> </w:t>
      </w:r>
      <w:r w:rsidRPr="002709ED" w:rsidR="00817C6C">
        <w:rPr>
          <w:sz w:val="24"/>
        </w:rPr>
        <w:t xml:space="preserve">In nearly all cases, the entity is “not dominant in its field of operation.” </w:t>
      </w:r>
      <w:r w:rsidR="00C85F2C">
        <w:rPr>
          <w:sz w:val="24"/>
        </w:rPr>
        <w:t xml:space="preserve"> </w:t>
      </w:r>
      <w:r w:rsidRPr="002709ED">
        <w:rPr>
          <w:sz w:val="24"/>
        </w:rPr>
        <w:t xml:space="preserve">Wherever possible, the </w:t>
      </w:r>
      <w:r w:rsidRPr="002709ED" w:rsidR="007860C0">
        <w:rPr>
          <w:sz w:val="24"/>
        </w:rPr>
        <w:t>THC</w:t>
      </w:r>
      <w:r w:rsidR="00EE1396">
        <w:rPr>
          <w:sz w:val="24"/>
        </w:rPr>
        <w:t>GME</w:t>
      </w:r>
      <w:r w:rsidRPr="002709ED">
        <w:rPr>
          <w:sz w:val="24"/>
        </w:rPr>
        <w:t xml:space="preserve"> Costing Instrument capture</w:t>
      </w:r>
      <w:r w:rsidRPr="002709ED" w:rsidR="007860C0">
        <w:rPr>
          <w:sz w:val="24"/>
        </w:rPr>
        <w:t>s</w:t>
      </w:r>
      <w:r w:rsidRPr="002709ED">
        <w:rPr>
          <w:sz w:val="24"/>
        </w:rPr>
        <w:t xml:space="preserve"> information collected as part of the financial management of the organization. </w:t>
      </w:r>
      <w:r w:rsidR="00C85F2C">
        <w:rPr>
          <w:sz w:val="24"/>
        </w:rPr>
        <w:t xml:space="preserve"> </w:t>
      </w:r>
      <w:r w:rsidRPr="002709ED">
        <w:rPr>
          <w:sz w:val="24"/>
        </w:rPr>
        <w:t>We have developed guidance that facilitates completion of the</w:t>
      </w:r>
      <w:r w:rsidRPr="002709ED" w:rsidR="006132B4">
        <w:rPr>
          <w:sz w:val="24"/>
        </w:rPr>
        <w:t xml:space="preserve"> </w:t>
      </w:r>
      <w:r w:rsidRPr="002709ED" w:rsidR="007860C0">
        <w:rPr>
          <w:sz w:val="24"/>
        </w:rPr>
        <w:t>THC</w:t>
      </w:r>
      <w:r w:rsidR="00EE1396">
        <w:rPr>
          <w:sz w:val="24"/>
        </w:rPr>
        <w:t>GME</w:t>
      </w:r>
      <w:r w:rsidRPr="002709ED" w:rsidR="007860C0">
        <w:rPr>
          <w:sz w:val="24"/>
        </w:rPr>
        <w:t xml:space="preserve"> </w:t>
      </w:r>
      <w:r w:rsidRPr="002709ED">
        <w:rPr>
          <w:sz w:val="24"/>
        </w:rPr>
        <w:t xml:space="preserve">Costing Instrument and </w:t>
      </w:r>
      <w:r w:rsidRPr="002709ED" w:rsidR="00E41263">
        <w:rPr>
          <w:sz w:val="24"/>
        </w:rPr>
        <w:t xml:space="preserve">will be </w:t>
      </w:r>
      <w:r w:rsidRPr="002709ED">
        <w:rPr>
          <w:sz w:val="24"/>
        </w:rPr>
        <w:t xml:space="preserve">providing </w:t>
      </w:r>
      <w:r w:rsidRPr="002709ED" w:rsidR="00E41263">
        <w:rPr>
          <w:sz w:val="24"/>
        </w:rPr>
        <w:t xml:space="preserve">additional </w:t>
      </w:r>
      <w:r w:rsidRPr="002709ED">
        <w:rPr>
          <w:sz w:val="24"/>
        </w:rPr>
        <w:t>assistance to the programs</w:t>
      </w:r>
      <w:r w:rsidRPr="002709ED" w:rsidR="00E41263">
        <w:rPr>
          <w:sz w:val="24"/>
        </w:rPr>
        <w:t xml:space="preserve"> throughout data collection</w:t>
      </w:r>
      <w:r w:rsidRPr="002709ED">
        <w:rPr>
          <w:sz w:val="24"/>
        </w:rPr>
        <w:t xml:space="preserve">. </w:t>
      </w:r>
      <w:r w:rsidR="00C85F2C">
        <w:rPr>
          <w:sz w:val="24"/>
        </w:rPr>
        <w:t xml:space="preserve"> </w:t>
      </w:r>
      <w:r w:rsidRPr="002709ED">
        <w:rPr>
          <w:sz w:val="24"/>
        </w:rPr>
        <w:t>The</w:t>
      </w:r>
      <w:r w:rsidRPr="002709ED" w:rsidR="006132B4">
        <w:rPr>
          <w:sz w:val="24"/>
        </w:rPr>
        <w:t xml:space="preserve"> </w:t>
      </w:r>
      <w:proofErr w:type="spellStart"/>
      <w:r w:rsidRPr="002709ED" w:rsidR="007860C0">
        <w:rPr>
          <w:sz w:val="24"/>
        </w:rPr>
        <w:t>THC</w:t>
      </w:r>
      <w:r w:rsidR="00EE1396">
        <w:rPr>
          <w:sz w:val="24"/>
        </w:rPr>
        <w:t>GME</w:t>
      </w:r>
      <w:proofErr w:type="spellEnd"/>
      <w:r w:rsidRPr="002709ED" w:rsidR="007860C0">
        <w:rPr>
          <w:sz w:val="24"/>
        </w:rPr>
        <w:t xml:space="preserve"> </w:t>
      </w:r>
      <w:r w:rsidRPr="002709ED">
        <w:rPr>
          <w:sz w:val="24"/>
        </w:rPr>
        <w:t xml:space="preserve">Costing Instrument focuses on specific costs that </w:t>
      </w:r>
      <w:r w:rsidRPr="002709ED" w:rsidR="00E41263">
        <w:rPr>
          <w:sz w:val="24"/>
        </w:rPr>
        <w:t xml:space="preserve">measure </w:t>
      </w:r>
      <w:r w:rsidRPr="002709ED">
        <w:rPr>
          <w:sz w:val="24"/>
        </w:rPr>
        <w:t xml:space="preserve">day-to-day operations and characteristics of the </w:t>
      </w:r>
      <w:r w:rsidRPr="002709ED" w:rsidR="00E41263">
        <w:rPr>
          <w:sz w:val="24"/>
        </w:rPr>
        <w:t xml:space="preserve">individual </w:t>
      </w:r>
      <w:r w:rsidRPr="002709ED">
        <w:rPr>
          <w:sz w:val="24"/>
        </w:rPr>
        <w:t>program</w:t>
      </w:r>
      <w:r w:rsidRPr="002709ED" w:rsidR="00E41263">
        <w:rPr>
          <w:sz w:val="24"/>
        </w:rPr>
        <w:t>s</w:t>
      </w:r>
      <w:r w:rsidRPr="002709ED">
        <w:rPr>
          <w:sz w:val="24"/>
        </w:rPr>
        <w:t xml:space="preserve">. </w:t>
      </w:r>
    </w:p>
    <w:p w:rsidRPr="002709ED" w:rsidR="00181AEF" w:rsidP="00D616E5" w:rsidRDefault="00181AEF" w14:paraId="1B62B318" w14:textId="77777777">
      <w:pPr>
        <w:ind w:right="116"/>
        <w:rPr>
          <w:sz w:val="24"/>
        </w:rPr>
      </w:pPr>
    </w:p>
    <w:p w:rsidR="009B3794" w:rsidP="00D616E5" w:rsidRDefault="00181AEF" w14:paraId="05C96543" w14:textId="6819E1B7">
      <w:pPr>
        <w:ind w:right="116"/>
        <w:rPr>
          <w:sz w:val="24"/>
        </w:rPr>
      </w:pPr>
      <w:r w:rsidRPr="002709ED">
        <w:rPr>
          <w:sz w:val="24"/>
        </w:rPr>
        <w:t xml:space="preserve">All the organizations have someone who is responsible for financial management and operations, and the </w:t>
      </w:r>
      <w:r w:rsidRPr="002709ED" w:rsidR="008969DD">
        <w:rPr>
          <w:sz w:val="24"/>
        </w:rPr>
        <w:t>THC</w:t>
      </w:r>
      <w:r w:rsidR="00EE1396">
        <w:rPr>
          <w:sz w:val="24"/>
        </w:rPr>
        <w:t>GME</w:t>
      </w:r>
      <w:r w:rsidRPr="002709ED" w:rsidR="008969DD">
        <w:rPr>
          <w:sz w:val="24"/>
        </w:rPr>
        <w:t xml:space="preserve"> </w:t>
      </w:r>
      <w:r w:rsidRPr="002709ED" w:rsidR="006132B4">
        <w:rPr>
          <w:sz w:val="24"/>
        </w:rPr>
        <w:t>C</w:t>
      </w:r>
      <w:r w:rsidRPr="002709ED">
        <w:rPr>
          <w:sz w:val="24"/>
        </w:rPr>
        <w:t xml:space="preserve">osting </w:t>
      </w:r>
      <w:r w:rsidRPr="002709ED" w:rsidR="006132B4">
        <w:rPr>
          <w:sz w:val="24"/>
        </w:rPr>
        <w:t>I</w:t>
      </w:r>
      <w:r w:rsidRPr="002709ED">
        <w:rPr>
          <w:sz w:val="24"/>
        </w:rPr>
        <w:t>nstrument was designed to be completed by personnel already available within small residency programs.</w:t>
      </w:r>
    </w:p>
    <w:p w:rsidRPr="002709ED" w:rsidR="009F4030" w:rsidP="00D616E5" w:rsidRDefault="009F4030" w14:paraId="6C5474C5" w14:textId="77777777">
      <w:pPr>
        <w:ind w:right="116"/>
        <w:rPr>
          <w:sz w:val="24"/>
        </w:rPr>
      </w:pPr>
    </w:p>
    <w:p w:rsidRPr="002709ED" w:rsidR="009B3794" w:rsidP="003C2AA2" w:rsidRDefault="009B3794" w14:paraId="05C96544" w14:textId="77777777">
      <w:pPr>
        <w:numPr>
          <w:ilvl w:val="0"/>
          <w:numId w:val="2"/>
        </w:numPr>
        <w:tabs>
          <w:tab w:val="num" w:pos="360"/>
        </w:tabs>
        <w:ind w:left="360"/>
        <w:rPr>
          <w:b/>
          <w:sz w:val="24"/>
        </w:rPr>
      </w:pPr>
      <w:r w:rsidRPr="002709ED">
        <w:rPr>
          <w:b/>
          <w:sz w:val="24"/>
          <w:u w:val="single"/>
        </w:rPr>
        <w:t>Consequences of Collecting the Information Less Frequent</w:t>
      </w:r>
      <w:r w:rsidRPr="002709ED" w:rsidR="001325B2">
        <w:rPr>
          <w:b/>
          <w:sz w:val="24"/>
          <w:u w:val="single"/>
        </w:rPr>
        <w:t>ly</w:t>
      </w:r>
    </w:p>
    <w:p w:rsidRPr="002709ED" w:rsidR="008725D1" w:rsidRDefault="008725D1" w14:paraId="62755730" w14:textId="77777777">
      <w:pPr>
        <w:widowControl/>
        <w:autoSpaceDE/>
        <w:autoSpaceDN/>
        <w:adjustRightInd/>
        <w:rPr>
          <w:color w:val="000000"/>
          <w:sz w:val="24"/>
        </w:rPr>
      </w:pPr>
    </w:p>
    <w:p w:rsidR="00C85F2C" w:rsidRDefault="00817C6C" w14:paraId="7BBD6B8C" w14:textId="77777777">
      <w:pPr>
        <w:widowControl/>
        <w:autoSpaceDE/>
        <w:autoSpaceDN/>
        <w:adjustRightInd/>
        <w:rPr>
          <w:color w:val="000000"/>
          <w:sz w:val="24"/>
        </w:rPr>
      </w:pPr>
      <w:r w:rsidRPr="002709ED">
        <w:rPr>
          <w:color w:val="000000"/>
          <w:sz w:val="24"/>
        </w:rPr>
        <w:t>I</w:t>
      </w:r>
      <w:r w:rsidRPr="002709ED" w:rsidR="008725D1">
        <w:rPr>
          <w:color w:val="000000"/>
          <w:sz w:val="24"/>
        </w:rPr>
        <w:t>t is necessary to implement the</w:t>
      </w:r>
      <w:r w:rsidRPr="002709ED" w:rsidR="00504EDC">
        <w:rPr>
          <w:color w:val="000000"/>
          <w:sz w:val="24"/>
        </w:rPr>
        <w:t xml:space="preserve"> </w:t>
      </w:r>
      <w:r w:rsidRPr="002709ED" w:rsidR="008969DD">
        <w:rPr>
          <w:color w:val="000000"/>
          <w:sz w:val="24"/>
        </w:rPr>
        <w:t>THC</w:t>
      </w:r>
      <w:r w:rsidR="00EE1396">
        <w:rPr>
          <w:sz w:val="24"/>
        </w:rPr>
        <w:t>GME</w:t>
      </w:r>
      <w:r w:rsidRPr="002709ED" w:rsidR="008725D1">
        <w:rPr>
          <w:color w:val="000000"/>
          <w:sz w:val="24"/>
        </w:rPr>
        <w:t xml:space="preserve"> Costing Instrument to gather information about the financial framework of the programs. </w:t>
      </w:r>
      <w:r w:rsidR="00C85F2C">
        <w:rPr>
          <w:color w:val="000000"/>
          <w:sz w:val="24"/>
        </w:rPr>
        <w:t xml:space="preserve"> </w:t>
      </w:r>
      <w:r w:rsidRPr="002709ED" w:rsidR="008725D1">
        <w:rPr>
          <w:color w:val="000000"/>
          <w:sz w:val="24"/>
        </w:rPr>
        <w:t xml:space="preserve">Respondents will </w:t>
      </w:r>
      <w:r w:rsidRPr="002709ED" w:rsidR="008969DD">
        <w:rPr>
          <w:color w:val="000000"/>
          <w:sz w:val="24"/>
        </w:rPr>
        <w:t>complete</w:t>
      </w:r>
      <w:r w:rsidRPr="002709ED" w:rsidR="008725D1">
        <w:rPr>
          <w:color w:val="000000"/>
          <w:sz w:val="24"/>
        </w:rPr>
        <w:t xml:space="preserve"> the data collection </w:t>
      </w:r>
      <w:r w:rsidRPr="002709ED">
        <w:rPr>
          <w:color w:val="000000"/>
          <w:sz w:val="24"/>
        </w:rPr>
        <w:t xml:space="preserve">tool </w:t>
      </w:r>
      <w:r w:rsidRPr="002709ED" w:rsidR="008725D1">
        <w:rPr>
          <w:color w:val="000000"/>
          <w:sz w:val="24"/>
        </w:rPr>
        <w:t xml:space="preserve">once. </w:t>
      </w:r>
      <w:r w:rsidR="00C85F2C">
        <w:rPr>
          <w:color w:val="000000"/>
          <w:sz w:val="24"/>
        </w:rPr>
        <w:t xml:space="preserve"> </w:t>
      </w:r>
    </w:p>
    <w:p w:rsidR="009B3794" w:rsidRDefault="008725D1" w14:paraId="05C96548" w14:textId="708364C2">
      <w:pPr>
        <w:widowControl/>
        <w:autoSpaceDE/>
        <w:autoSpaceDN/>
        <w:adjustRightInd/>
        <w:rPr>
          <w:sz w:val="24"/>
        </w:rPr>
      </w:pPr>
      <w:r w:rsidRPr="002709ED">
        <w:rPr>
          <w:color w:val="000000"/>
          <w:sz w:val="24"/>
        </w:rPr>
        <w:t xml:space="preserve">If the data collection </w:t>
      </w:r>
      <w:proofErr w:type="gramStart"/>
      <w:r w:rsidRPr="002709ED">
        <w:rPr>
          <w:color w:val="000000"/>
          <w:sz w:val="24"/>
        </w:rPr>
        <w:t>is not conducted</w:t>
      </w:r>
      <w:proofErr w:type="gramEnd"/>
      <w:r w:rsidRPr="002709ED" w:rsidR="00817C6C">
        <w:rPr>
          <w:color w:val="000000"/>
          <w:sz w:val="24"/>
        </w:rPr>
        <w:t xml:space="preserve">, </w:t>
      </w:r>
      <w:r w:rsidRPr="002709ED">
        <w:rPr>
          <w:color w:val="000000"/>
          <w:sz w:val="24"/>
        </w:rPr>
        <w:t xml:space="preserve">HRSA will not be informed with a methodology to appropriately provide payment formulas for DME </w:t>
      </w:r>
      <w:r w:rsidRPr="002709ED" w:rsidR="00504EDC">
        <w:rPr>
          <w:color w:val="000000"/>
          <w:sz w:val="24"/>
        </w:rPr>
        <w:t xml:space="preserve">and IME </w:t>
      </w:r>
      <w:r w:rsidRPr="002709ED">
        <w:rPr>
          <w:color w:val="000000"/>
          <w:sz w:val="24"/>
        </w:rPr>
        <w:t xml:space="preserve">costs. </w:t>
      </w:r>
      <w:r w:rsidR="00C85F2C">
        <w:rPr>
          <w:color w:val="000000"/>
          <w:sz w:val="24"/>
        </w:rPr>
        <w:t xml:space="preserve"> </w:t>
      </w:r>
      <w:r w:rsidRPr="002709ED">
        <w:rPr>
          <w:color w:val="000000"/>
          <w:sz w:val="24"/>
        </w:rPr>
        <w:t>There are no legal obstacles to reduce the burden.</w:t>
      </w:r>
      <w:r w:rsidRPr="002709ED" w:rsidR="009B3794">
        <w:rPr>
          <w:sz w:val="24"/>
        </w:rPr>
        <w:tab/>
      </w:r>
    </w:p>
    <w:p w:rsidRPr="002709ED" w:rsidR="009F4030" w:rsidRDefault="009F4030" w14:paraId="2EAFAB5B" w14:textId="77777777">
      <w:pPr>
        <w:widowControl/>
        <w:autoSpaceDE/>
        <w:autoSpaceDN/>
        <w:adjustRightInd/>
        <w:rPr>
          <w:color w:val="000000"/>
          <w:sz w:val="24"/>
        </w:rPr>
      </w:pPr>
    </w:p>
    <w:p w:rsidRPr="002709ED" w:rsidR="009B3794" w:rsidRDefault="009B3794" w14:paraId="05C96549" w14:textId="77777777">
      <w:pPr>
        <w:numPr>
          <w:ilvl w:val="0"/>
          <w:numId w:val="2"/>
        </w:numPr>
        <w:tabs>
          <w:tab w:val="num" w:pos="360"/>
        </w:tabs>
        <w:ind w:left="360"/>
        <w:rPr>
          <w:b/>
          <w:sz w:val="24"/>
        </w:rPr>
      </w:pPr>
      <w:r w:rsidRPr="002709ED">
        <w:rPr>
          <w:b/>
          <w:sz w:val="24"/>
          <w:u w:val="single"/>
        </w:rPr>
        <w:t>Special Circumstances Relating to the Guidelines of 5 CFR 1320.5</w:t>
      </w:r>
    </w:p>
    <w:p w:rsidRPr="002709ED" w:rsidR="008725D1" w:rsidRDefault="008725D1" w14:paraId="3B4AB8E1" w14:textId="77777777">
      <w:pPr>
        <w:rPr>
          <w:sz w:val="24"/>
        </w:rPr>
      </w:pPr>
    </w:p>
    <w:p w:rsidR="008725D1" w:rsidRDefault="008725D1" w14:paraId="227174FD" w14:textId="06291C21">
      <w:pPr>
        <w:rPr>
          <w:sz w:val="24"/>
        </w:rPr>
      </w:pPr>
      <w:r w:rsidRPr="002709ED">
        <w:rPr>
          <w:sz w:val="24"/>
        </w:rPr>
        <w:t xml:space="preserve">In this request, all guidelines </w:t>
      </w:r>
      <w:proofErr w:type="gramStart"/>
      <w:r w:rsidRPr="002709ED">
        <w:rPr>
          <w:sz w:val="24"/>
        </w:rPr>
        <w:t>are met</w:t>
      </w:r>
      <w:proofErr w:type="gramEnd"/>
      <w:r w:rsidRPr="002709ED">
        <w:rPr>
          <w:sz w:val="24"/>
        </w:rPr>
        <w:t xml:space="preserve"> and this request fully complies with the regulation. </w:t>
      </w:r>
      <w:r w:rsidR="00C85F2C">
        <w:rPr>
          <w:sz w:val="24"/>
        </w:rPr>
        <w:t xml:space="preserve"> </w:t>
      </w:r>
      <w:r w:rsidRPr="002709ED">
        <w:rPr>
          <w:sz w:val="24"/>
        </w:rPr>
        <w:t xml:space="preserve">No special circumstances </w:t>
      </w:r>
      <w:proofErr w:type="gramStart"/>
      <w:r w:rsidRPr="002709ED">
        <w:rPr>
          <w:sz w:val="24"/>
        </w:rPr>
        <w:t>are related</w:t>
      </w:r>
      <w:proofErr w:type="gramEnd"/>
      <w:r w:rsidRPr="002709ED">
        <w:rPr>
          <w:sz w:val="24"/>
        </w:rPr>
        <w:t xml:space="preserve"> to the evaluation.</w:t>
      </w:r>
    </w:p>
    <w:p w:rsidRPr="002709ED" w:rsidR="009F4030" w:rsidRDefault="009F4030" w14:paraId="2450436E" w14:textId="77777777">
      <w:pPr>
        <w:rPr>
          <w:sz w:val="24"/>
        </w:rPr>
      </w:pPr>
    </w:p>
    <w:p w:rsidRPr="002709ED" w:rsidR="009B3794" w:rsidRDefault="009B3794" w14:paraId="05C96553" w14:textId="77777777">
      <w:pPr>
        <w:numPr>
          <w:ilvl w:val="0"/>
          <w:numId w:val="2"/>
        </w:numPr>
        <w:tabs>
          <w:tab w:val="num" w:pos="360"/>
        </w:tabs>
        <w:ind w:left="360"/>
        <w:rPr>
          <w:b/>
          <w:sz w:val="24"/>
        </w:rPr>
      </w:pPr>
      <w:r w:rsidRPr="002709ED">
        <w:rPr>
          <w:b/>
          <w:iCs/>
          <w:sz w:val="24"/>
          <w:u w:val="single"/>
        </w:rPr>
        <w:t>Comments in Response to the Federal Register</w:t>
      </w:r>
      <w:r w:rsidRPr="002709ED">
        <w:rPr>
          <w:b/>
          <w:sz w:val="24"/>
          <w:u w:val="single"/>
        </w:rPr>
        <w:t xml:space="preserve"> Notice/Outside Consultation</w:t>
      </w:r>
    </w:p>
    <w:p w:rsidRPr="002709ED" w:rsidR="008725D1" w:rsidRDefault="008725D1" w14:paraId="7C9E1005" w14:textId="77777777">
      <w:pPr>
        <w:rPr>
          <w:b/>
          <w:sz w:val="24"/>
        </w:rPr>
      </w:pPr>
    </w:p>
    <w:p w:rsidR="009B3794" w:rsidRDefault="00AB0294" w14:paraId="05C96557" w14:textId="0AF6288F">
      <w:pPr>
        <w:rPr>
          <w:sz w:val="24"/>
        </w:rPr>
      </w:pPr>
      <w:r w:rsidRPr="00AB0294">
        <w:rPr>
          <w:sz w:val="24"/>
        </w:rPr>
        <w:t xml:space="preserve">A 60-day </w:t>
      </w:r>
      <w:r>
        <w:rPr>
          <w:sz w:val="24"/>
        </w:rPr>
        <w:t xml:space="preserve">Federal Register </w:t>
      </w:r>
      <w:r w:rsidRPr="00AB0294">
        <w:rPr>
          <w:sz w:val="24"/>
        </w:rPr>
        <w:t xml:space="preserve">Notice published in the Federal Register on </w:t>
      </w:r>
      <w:r w:rsidRPr="001A4C52" w:rsidR="001A4C52">
        <w:rPr>
          <w:sz w:val="24"/>
        </w:rPr>
        <w:t>April 30</w:t>
      </w:r>
      <w:r w:rsidRPr="00AB0294">
        <w:rPr>
          <w:sz w:val="24"/>
        </w:rPr>
        <w:t>, 2020, vol. 85, No.</w:t>
      </w:r>
      <w:r>
        <w:rPr>
          <w:sz w:val="24"/>
        </w:rPr>
        <w:t xml:space="preserve"> 84; pp. 23975-</w:t>
      </w:r>
      <w:r w:rsidRPr="00B117DB">
        <w:rPr>
          <w:sz w:val="24"/>
        </w:rPr>
        <w:t xml:space="preserve">76 </w:t>
      </w:r>
      <w:r w:rsidRPr="00B117DB" w:rsidR="009B3794">
        <w:rPr>
          <w:sz w:val="24"/>
        </w:rPr>
        <w:t xml:space="preserve">(see </w:t>
      </w:r>
      <w:r w:rsidRPr="00B117DB" w:rsidR="000F333A">
        <w:rPr>
          <w:sz w:val="24"/>
        </w:rPr>
        <w:t>Appendix B</w:t>
      </w:r>
      <w:r w:rsidRPr="00B117DB" w:rsidR="009B3794">
        <w:rPr>
          <w:sz w:val="24"/>
        </w:rPr>
        <w:t xml:space="preserve">). </w:t>
      </w:r>
      <w:r w:rsidR="00C85F2C">
        <w:rPr>
          <w:sz w:val="24"/>
        </w:rPr>
        <w:t xml:space="preserve"> </w:t>
      </w:r>
      <w:r w:rsidRPr="00B117DB" w:rsidR="009B3794">
        <w:rPr>
          <w:sz w:val="24"/>
        </w:rPr>
        <w:t xml:space="preserve">There </w:t>
      </w:r>
      <w:r w:rsidR="004D5BE4">
        <w:rPr>
          <w:sz w:val="24"/>
        </w:rPr>
        <w:t>was one</w:t>
      </w:r>
      <w:r w:rsidRPr="00B117DB" w:rsidR="00FB46AB">
        <w:rPr>
          <w:sz w:val="24"/>
        </w:rPr>
        <w:t xml:space="preserve"> </w:t>
      </w:r>
      <w:r w:rsidRPr="00B117DB" w:rsidR="009B3794">
        <w:rPr>
          <w:sz w:val="24"/>
        </w:rPr>
        <w:t>public comment</w:t>
      </w:r>
      <w:bookmarkStart w:name="_GoBack" w:id="0"/>
      <w:bookmarkEnd w:id="0"/>
      <w:r w:rsidRPr="00B117DB">
        <w:rPr>
          <w:sz w:val="24"/>
        </w:rPr>
        <w:t xml:space="preserve"> and recommendations from the G</w:t>
      </w:r>
      <w:r w:rsidR="003348C3">
        <w:rPr>
          <w:sz w:val="24"/>
        </w:rPr>
        <w:t>ME</w:t>
      </w:r>
      <w:r w:rsidRPr="00B117DB">
        <w:rPr>
          <w:sz w:val="24"/>
        </w:rPr>
        <w:t xml:space="preserve"> Expert P</w:t>
      </w:r>
      <w:r>
        <w:rPr>
          <w:sz w:val="24"/>
        </w:rPr>
        <w:t>anel</w:t>
      </w:r>
      <w:r w:rsidR="00FB46AB">
        <w:rPr>
          <w:sz w:val="24"/>
        </w:rPr>
        <w:t xml:space="preserve"> described below</w:t>
      </w:r>
      <w:r w:rsidRPr="002709ED" w:rsidR="009B3794">
        <w:rPr>
          <w:sz w:val="24"/>
        </w:rPr>
        <w:t>.</w:t>
      </w:r>
    </w:p>
    <w:p w:rsidRPr="002709ED" w:rsidR="009F4030" w:rsidRDefault="009F4030" w14:paraId="5D2E8307" w14:textId="77777777">
      <w:pPr>
        <w:rPr>
          <w:sz w:val="24"/>
        </w:rPr>
      </w:pPr>
    </w:p>
    <w:p w:rsidRPr="002709ED" w:rsidR="00DE3A45" w:rsidRDefault="00DE3A45" w14:paraId="05C96558" w14:textId="22B4199B">
      <w:pPr>
        <w:rPr>
          <w:b/>
          <w:sz w:val="28"/>
          <w:szCs w:val="28"/>
        </w:rPr>
      </w:pPr>
      <w:r w:rsidRPr="002709ED">
        <w:rPr>
          <w:b/>
          <w:sz w:val="28"/>
          <w:szCs w:val="28"/>
        </w:rPr>
        <w:t>Section 8B:</w:t>
      </w:r>
    </w:p>
    <w:p w:rsidR="009F4030" w:rsidP="00D616E5" w:rsidRDefault="009F4030" w14:paraId="55BA95FA" w14:textId="77777777">
      <w:pPr>
        <w:rPr>
          <w:sz w:val="24"/>
        </w:rPr>
      </w:pPr>
    </w:p>
    <w:p w:rsidRPr="002709ED" w:rsidR="008725D1" w:rsidP="00D616E5" w:rsidRDefault="008725D1" w14:paraId="72471A75" w14:textId="76E90B4A">
      <w:pPr>
        <w:rPr>
          <w:sz w:val="24"/>
        </w:rPr>
      </w:pPr>
      <w:r w:rsidRPr="002709ED">
        <w:rPr>
          <w:sz w:val="24"/>
        </w:rPr>
        <w:t xml:space="preserve">The </w:t>
      </w:r>
      <w:r w:rsidRPr="002709ED" w:rsidR="008969DD">
        <w:rPr>
          <w:sz w:val="24"/>
        </w:rPr>
        <w:t>updated</w:t>
      </w:r>
      <w:r w:rsidRPr="002709ED" w:rsidR="006B5837">
        <w:rPr>
          <w:sz w:val="24"/>
        </w:rPr>
        <w:t xml:space="preserve"> </w:t>
      </w:r>
      <w:r w:rsidRPr="002709ED" w:rsidR="008969DD">
        <w:rPr>
          <w:sz w:val="24"/>
        </w:rPr>
        <w:t>THC</w:t>
      </w:r>
      <w:r w:rsidR="00EE1396">
        <w:rPr>
          <w:sz w:val="24"/>
        </w:rPr>
        <w:t>GME</w:t>
      </w:r>
      <w:r w:rsidRPr="002709ED">
        <w:rPr>
          <w:sz w:val="24"/>
        </w:rPr>
        <w:t xml:space="preserve"> Costing Instrument was de</w:t>
      </w:r>
      <w:r w:rsidRPr="002709ED" w:rsidR="001F4CA1">
        <w:rPr>
          <w:sz w:val="24"/>
        </w:rPr>
        <w:t xml:space="preserve">veloped from </w:t>
      </w:r>
      <w:r w:rsidRPr="002709ED" w:rsidR="00543AB2">
        <w:rPr>
          <w:sz w:val="24"/>
        </w:rPr>
        <w:t xml:space="preserve">the </w:t>
      </w:r>
      <w:r w:rsidR="00C346BA">
        <w:rPr>
          <w:sz w:val="24"/>
        </w:rPr>
        <w:t>original</w:t>
      </w:r>
      <w:r w:rsidR="00DA38FF">
        <w:rPr>
          <w:sz w:val="24"/>
        </w:rPr>
        <w:t xml:space="preserve"> THC</w:t>
      </w:r>
      <w:r w:rsidR="00EE1396">
        <w:rPr>
          <w:sz w:val="24"/>
        </w:rPr>
        <w:t>GME</w:t>
      </w:r>
      <w:r w:rsidRPr="002709ED" w:rsidR="00C346BA">
        <w:rPr>
          <w:sz w:val="24"/>
        </w:rPr>
        <w:t xml:space="preserve"> </w:t>
      </w:r>
      <w:r w:rsidRPr="002709ED" w:rsidR="006132B4">
        <w:rPr>
          <w:sz w:val="24"/>
        </w:rPr>
        <w:t>C</w:t>
      </w:r>
      <w:r w:rsidRPr="002709ED" w:rsidR="00543AB2">
        <w:rPr>
          <w:sz w:val="24"/>
        </w:rPr>
        <w:t xml:space="preserve">osting </w:t>
      </w:r>
      <w:r w:rsidRPr="002709ED" w:rsidR="006132B4">
        <w:rPr>
          <w:sz w:val="24"/>
        </w:rPr>
        <w:t>I</w:t>
      </w:r>
      <w:r w:rsidRPr="002709ED" w:rsidR="00543AB2">
        <w:rPr>
          <w:sz w:val="24"/>
        </w:rPr>
        <w:t xml:space="preserve">nstrument </w:t>
      </w:r>
      <w:r w:rsidRPr="002709ED" w:rsidR="006132B4">
        <w:rPr>
          <w:sz w:val="24"/>
        </w:rPr>
        <w:t xml:space="preserve">previously approved by OMB in 2015 </w:t>
      </w:r>
      <w:r w:rsidRPr="002709ED" w:rsidR="00543AB2">
        <w:rPr>
          <w:sz w:val="24"/>
        </w:rPr>
        <w:t>for</w:t>
      </w:r>
      <w:r w:rsidRPr="002709ED" w:rsidR="001F4CA1">
        <w:rPr>
          <w:sz w:val="24"/>
        </w:rPr>
        <w:t xml:space="preserve"> THCs to identify costs and cost off-sets, both explicit and implicit, and to better understand the reasonable cost ranges and factors that contribute to variation.</w:t>
      </w:r>
    </w:p>
    <w:p w:rsidRPr="00560B3D" w:rsidR="00504EDC" w:rsidP="00D616E5" w:rsidRDefault="00504EDC" w14:paraId="7F3CB8D0" w14:textId="77777777">
      <w:pPr>
        <w:rPr>
          <w:sz w:val="24"/>
        </w:rPr>
      </w:pPr>
    </w:p>
    <w:p w:rsidR="006708B0" w:rsidP="00D616E5" w:rsidRDefault="001F4CA1" w14:paraId="6D8AA931" w14:textId="1D052B30">
      <w:pPr>
        <w:rPr>
          <w:sz w:val="24"/>
        </w:rPr>
      </w:pPr>
      <w:r w:rsidRPr="002709ED">
        <w:rPr>
          <w:sz w:val="24"/>
        </w:rPr>
        <w:t xml:space="preserve">The GW team consulted with a </w:t>
      </w:r>
      <w:r w:rsidR="005B7411">
        <w:rPr>
          <w:sz w:val="24"/>
        </w:rPr>
        <w:t>GME</w:t>
      </w:r>
      <w:r w:rsidRPr="002709ED" w:rsidR="00C50EC7">
        <w:rPr>
          <w:sz w:val="24"/>
        </w:rPr>
        <w:t xml:space="preserve"> Expert</w:t>
      </w:r>
      <w:r w:rsidRPr="002709ED">
        <w:rPr>
          <w:sz w:val="24"/>
        </w:rPr>
        <w:t xml:space="preserve"> Panel to provide </w:t>
      </w:r>
      <w:r w:rsidRPr="002709ED" w:rsidR="00543AB2">
        <w:rPr>
          <w:sz w:val="24"/>
        </w:rPr>
        <w:t xml:space="preserve">an </w:t>
      </w:r>
      <w:r w:rsidRPr="002709ED">
        <w:rPr>
          <w:sz w:val="24"/>
        </w:rPr>
        <w:t>external informed review</w:t>
      </w:r>
      <w:r w:rsidRPr="002709ED" w:rsidR="00543AB2">
        <w:rPr>
          <w:sz w:val="24"/>
        </w:rPr>
        <w:t xml:space="preserve"> of modifications from the </w:t>
      </w:r>
      <w:r w:rsidR="00C346BA">
        <w:rPr>
          <w:sz w:val="24"/>
        </w:rPr>
        <w:t>original</w:t>
      </w:r>
      <w:r w:rsidRPr="002709ED" w:rsidR="00C346BA">
        <w:rPr>
          <w:sz w:val="24"/>
        </w:rPr>
        <w:t xml:space="preserve"> </w:t>
      </w:r>
      <w:r w:rsidR="005B7411">
        <w:rPr>
          <w:sz w:val="24"/>
        </w:rPr>
        <w:t>THC</w:t>
      </w:r>
      <w:r w:rsidR="00EE1396">
        <w:rPr>
          <w:sz w:val="24"/>
        </w:rPr>
        <w:t>GME</w:t>
      </w:r>
      <w:r w:rsidR="005B7411">
        <w:rPr>
          <w:sz w:val="24"/>
        </w:rPr>
        <w:t xml:space="preserve"> </w:t>
      </w:r>
      <w:r w:rsidRPr="002709ED" w:rsidR="006132B4">
        <w:rPr>
          <w:sz w:val="24"/>
        </w:rPr>
        <w:t>C</w:t>
      </w:r>
      <w:r w:rsidRPr="002709ED" w:rsidR="00543AB2">
        <w:rPr>
          <w:sz w:val="24"/>
        </w:rPr>
        <w:t xml:space="preserve">osting </w:t>
      </w:r>
      <w:r w:rsidRPr="002709ED" w:rsidR="006132B4">
        <w:rPr>
          <w:sz w:val="24"/>
        </w:rPr>
        <w:t>I</w:t>
      </w:r>
      <w:r w:rsidRPr="002709ED" w:rsidR="00543AB2">
        <w:rPr>
          <w:sz w:val="24"/>
        </w:rPr>
        <w:t>nstrument and to examine the</w:t>
      </w:r>
      <w:r w:rsidRPr="002709ED" w:rsidR="006132B4">
        <w:rPr>
          <w:sz w:val="24"/>
        </w:rPr>
        <w:t xml:space="preserve"> updated</w:t>
      </w:r>
      <w:r w:rsidRPr="002709ED" w:rsidR="00543AB2">
        <w:rPr>
          <w:sz w:val="24"/>
        </w:rPr>
        <w:t xml:space="preserve"> </w:t>
      </w:r>
      <w:r w:rsidRPr="002709ED" w:rsidR="002709ED">
        <w:rPr>
          <w:sz w:val="24"/>
        </w:rPr>
        <w:t>THC</w:t>
      </w:r>
      <w:r w:rsidR="00EE1396">
        <w:rPr>
          <w:sz w:val="24"/>
        </w:rPr>
        <w:t>GME</w:t>
      </w:r>
      <w:r w:rsidRPr="002709ED" w:rsidR="002709ED">
        <w:rPr>
          <w:sz w:val="24"/>
        </w:rPr>
        <w:t xml:space="preserve"> </w:t>
      </w:r>
      <w:r w:rsidRPr="002709ED" w:rsidR="00543AB2">
        <w:rPr>
          <w:sz w:val="24"/>
        </w:rPr>
        <w:t>Costing Instrument for appropriate content, format, and</w:t>
      </w:r>
      <w:r w:rsidRPr="002709ED" w:rsidR="006132B4">
        <w:rPr>
          <w:sz w:val="24"/>
        </w:rPr>
        <w:t xml:space="preserve"> DME and IME </w:t>
      </w:r>
      <w:r w:rsidRPr="002709ED" w:rsidR="00543AB2">
        <w:rPr>
          <w:sz w:val="24"/>
        </w:rPr>
        <w:t>costs.</w:t>
      </w:r>
      <w:r w:rsidRPr="002709ED" w:rsidR="000D39D1">
        <w:rPr>
          <w:sz w:val="24"/>
        </w:rPr>
        <w:t xml:space="preserve"> </w:t>
      </w:r>
      <w:r w:rsidR="00FD1A11">
        <w:rPr>
          <w:sz w:val="24"/>
        </w:rPr>
        <w:t xml:space="preserve"> </w:t>
      </w:r>
      <w:r w:rsidRPr="002709ED" w:rsidR="000D39D1">
        <w:rPr>
          <w:sz w:val="24"/>
        </w:rPr>
        <w:t xml:space="preserve">The panel </w:t>
      </w:r>
      <w:proofErr w:type="gramStart"/>
      <w:r w:rsidRPr="002709ED" w:rsidR="000D39D1">
        <w:rPr>
          <w:sz w:val="24"/>
        </w:rPr>
        <w:t>was constituted</w:t>
      </w:r>
      <w:proofErr w:type="gramEnd"/>
      <w:r w:rsidRPr="002709ED" w:rsidR="000D39D1">
        <w:rPr>
          <w:sz w:val="24"/>
        </w:rPr>
        <w:t xml:space="preserve"> in November 2019 and </w:t>
      </w:r>
      <w:r w:rsidRPr="002709ED" w:rsidR="008969DD">
        <w:rPr>
          <w:sz w:val="24"/>
        </w:rPr>
        <w:t>provides</w:t>
      </w:r>
      <w:r w:rsidRPr="002709ED" w:rsidR="000D39D1">
        <w:rPr>
          <w:sz w:val="24"/>
        </w:rPr>
        <w:t xml:space="preserve"> ongoing consultation/expert guidance for a three-year period coinciding with the dates of the project contract (September 2019 – September 2022).</w:t>
      </w:r>
      <w:r w:rsidRPr="002709ED" w:rsidR="00543AB2">
        <w:rPr>
          <w:sz w:val="24"/>
        </w:rPr>
        <w:t xml:space="preserve"> </w:t>
      </w:r>
    </w:p>
    <w:p w:rsidR="00055205" w:rsidP="009E689B" w:rsidRDefault="00383726" w14:paraId="7A36949D" w14:textId="537C5611">
      <w:pPr>
        <w:rPr>
          <w:sz w:val="24"/>
        </w:rPr>
      </w:pPr>
      <w:r w:rsidRPr="002709ED">
        <w:rPr>
          <w:sz w:val="24"/>
        </w:rPr>
        <w:lastRenderedPageBreak/>
        <w:t xml:space="preserve">The GME Expert Panel convened in November 2019 for </w:t>
      </w:r>
      <w:r w:rsidRPr="002709ED" w:rsidR="00420ED8">
        <w:rPr>
          <w:sz w:val="24"/>
        </w:rPr>
        <w:t>a</w:t>
      </w:r>
      <w:r w:rsidRPr="002709ED">
        <w:rPr>
          <w:sz w:val="24"/>
        </w:rPr>
        <w:t xml:space="preserve"> review of the </w:t>
      </w:r>
      <w:r w:rsidRPr="002709ED" w:rsidR="00420ED8">
        <w:rPr>
          <w:sz w:val="24"/>
        </w:rPr>
        <w:t>updated</w:t>
      </w:r>
      <w:r w:rsidRPr="002709ED">
        <w:rPr>
          <w:sz w:val="24"/>
        </w:rPr>
        <w:t xml:space="preserve"> </w:t>
      </w:r>
      <w:r w:rsidRPr="002709ED" w:rsidR="00420ED8">
        <w:rPr>
          <w:sz w:val="24"/>
        </w:rPr>
        <w:t>THC</w:t>
      </w:r>
      <w:r w:rsidR="00EE1396">
        <w:rPr>
          <w:sz w:val="24"/>
        </w:rPr>
        <w:t>GME</w:t>
      </w:r>
      <w:r w:rsidRPr="002709ED" w:rsidR="00420ED8">
        <w:rPr>
          <w:sz w:val="24"/>
        </w:rPr>
        <w:t xml:space="preserve"> Costing Instrument. </w:t>
      </w:r>
      <w:r w:rsidR="00FD1A11">
        <w:rPr>
          <w:sz w:val="24"/>
        </w:rPr>
        <w:t xml:space="preserve"> </w:t>
      </w:r>
      <w:proofErr w:type="gramStart"/>
      <w:r w:rsidRPr="002709ED" w:rsidR="00420ED8">
        <w:rPr>
          <w:sz w:val="24"/>
        </w:rPr>
        <w:t>N</w:t>
      </w:r>
      <w:r w:rsidRPr="002709ED">
        <w:rPr>
          <w:sz w:val="24"/>
        </w:rPr>
        <w:t>o major problems were identified</w:t>
      </w:r>
      <w:r w:rsidRPr="002709ED" w:rsidR="00420ED8">
        <w:rPr>
          <w:sz w:val="24"/>
        </w:rPr>
        <w:t xml:space="preserve"> by the GME Expert Panel</w:t>
      </w:r>
      <w:proofErr w:type="gramEnd"/>
      <w:r w:rsidRPr="002709ED">
        <w:rPr>
          <w:sz w:val="24"/>
        </w:rPr>
        <w:t xml:space="preserve">. </w:t>
      </w:r>
      <w:r w:rsidR="00FD1A11">
        <w:rPr>
          <w:sz w:val="24"/>
        </w:rPr>
        <w:t xml:space="preserve"> </w:t>
      </w:r>
      <w:r w:rsidRPr="002709ED">
        <w:rPr>
          <w:sz w:val="24"/>
        </w:rPr>
        <w:t xml:space="preserve">The consensus of the GME Expert Panel </w:t>
      </w:r>
      <w:r w:rsidRPr="002709ED" w:rsidR="00420ED8">
        <w:rPr>
          <w:sz w:val="24"/>
        </w:rPr>
        <w:t xml:space="preserve">was </w:t>
      </w:r>
      <w:r w:rsidRPr="002709ED">
        <w:rPr>
          <w:sz w:val="24"/>
        </w:rPr>
        <w:t>strong</w:t>
      </w:r>
      <w:r w:rsidRPr="002709ED" w:rsidR="00420ED8">
        <w:rPr>
          <w:sz w:val="24"/>
        </w:rPr>
        <w:t xml:space="preserve"> support for the updated THC</w:t>
      </w:r>
      <w:r w:rsidR="00EE1396">
        <w:rPr>
          <w:sz w:val="24"/>
        </w:rPr>
        <w:t>GME</w:t>
      </w:r>
      <w:r w:rsidRPr="002709ED">
        <w:rPr>
          <w:sz w:val="24"/>
        </w:rPr>
        <w:t xml:space="preserve"> Costing Instrument as originally developed. </w:t>
      </w:r>
      <w:r w:rsidR="00FD1A11">
        <w:rPr>
          <w:sz w:val="24"/>
        </w:rPr>
        <w:t xml:space="preserve"> </w:t>
      </w:r>
      <w:r w:rsidRPr="002709ED" w:rsidR="00B117DB">
        <w:rPr>
          <w:sz w:val="24"/>
        </w:rPr>
        <w:t xml:space="preserve">The </w:t>
      </w:r>
      <w:proofErr w:type="spellStart"/>
      <w:r w:rsidRPr="002709ED" w:rsidR="00B117DB">
        <w:rPr>
          <w:sz w:val="24"/>
        </w:rPr>
        <w:t>GME</w:t>
      </w:r>
      <w:proofErr w:type="spellEnd"/>
      <w:r w:rsidRPr="002709ED" w:rsidR="00B117DB">
        <w:rPr>
          <w:sz w:val="24"/>
        </w:rPr>
        <w:t xml:space="preserve"> Expert Panel convened </w:t>
      </w:r>
      <w:r w:rsidR="00B117DB">
        <w:rPr>
          <w:sz w:val="24"/>
        </w:rPr>
        <w:t xml:space="preserve">again </w:t>
      </w:r>
      <w:r w:rsidRPr="002709ED" w:rsidR="00B117DB">
        <w:rPr>
          <w:sz w:val="24"/>
        </w:rPr>
        <w:t xml:space="preserve">in </w:t>
      </w:r>
      <w:r w:rsidR="00B117DB">
        <w:rPr>
          <w:sz w:val="24"/>
        </w:rPr>
        <w:t>May 2020</w:t>
      </w:r>
      <w:r w:rsidRPr="002709ED" w:rsidR="00B117DB">
        <w:rPr>
          <w:sz w:val="24"/>
        </w:rPr>
        <w:t xml:space="preserve"> for a review of the </w:t>
      </w:r>
      <w:r w:rsidR="00B117DB">
        <w:rPr>
          <w:sz w:val="24"/>
        </w:rPr>
        <w:t xml:space="preserve">most recently </w:t>
      </w:r>
      <w:r w:rsidRPr="002709ED" w:rsidR="00B117DB">
        <w:rPr>
          <w:sz w:val="24"/>
        </w:rPr>
        <w:t>updated THC</w:t>
      </w:r>
      <w:r w:rsidR="00EE1396">
        <w:rPr>
          <w:sz w:val="24"/>
        </w:rPr>
        <w:t>GME</w:t>
      </w:r>
      <w:r w:rsidRPr="002709ED" w:rsidR="00B117DB">
        <w:rPr>
          <w:sz w:val="24"/>
        </w:rPr>
        <w:t xml:space="preserve"> Costing Instrument</w:t>
      </w:r>
      <w:r w:rsidR="00B117DB">
        <w:rPr>
          <w:sz w:val="24"/>
        </w:rPr>
        <w:t xml:space="preserve"> and m</w:t>
      </w:r>
      <w:r w:rsidRPr="002709ED">
        <w:rPr>
          <w:sz w:val="24"/>
        </w:rPr>
        <w:t xml:space="preserve">inor revisions </w:t>
      </w:r>
      <w:proofErr w:type="gramStart"/>
      <w:r w:rsidRPr="002709ED">
        <w:rPr>
          <w:sz w:val="24"/>
        </w:rPr>
        <w:t>were suggested</w:t>
      </w:r>
      <w:proofErr w:type="gramEnd"/>
      <w:r w:rsidRPr="002709ED">
        <w:rPr>
          <w:sz w:val="24"/>
        </w:rPr>
        <w:t xml:space="preserve"> by the GME Expert Panel and have been made in the </w:t>
      </w:r>
      <w:r w:rsidRPr="002709ED" w:rsidR="00420ED8">
        <w:rPr>
          <w:sz w:val="24"/>
        </w:rPr>
        <w:t>updated</w:t>
      </w:r>
      <w:r w:rsidRPr="002709ED">
        <w:rPr>
          <w:sz w:val="24"/>
        </w:rPr>
        <w:t xml:space="preserve"> </w:t>
      </w:r>
      <w:r w:rsidRPr="002709ED" w:rsidR="00420ED8">
        <w:rPr>
          <w:sz w:val="24"/>
        </w:rPr>
        <w:t>THC</w:t>
      </w:r>
      <w:r w:rsidR="00EE1396">
        <w:rPr>
          <w:sz w:val="24"/>
        </w:rPr>
        <w:t>GME</w:t>
      </w:r>
      <w:r w:rsidRPr="002709ED" w:rsidR="00420ED8">
        <w:rPr>
          <w:sz w:val="24"/>
        </w:rPr>
        <w:t xml:space="preserve"> </w:t>
      </w:r>
      <w:r w:rsidRPr="002709ED">
        <w:rPr>
          <w:sz w:val="24"/>
        </w:rPr>
        <w:t>Costing Instrument</w:t>
      </w:r>
      <w:r w:rsidR="00B117DB">
        <w:rPr>
          <w:sz w:val="24"/>
        </w:rPr>
        <w:t xml:space="preserve"> included</w:t>
      </w:r>
      <w:r w:rsidRPr="002709ED">
        <w:rPr>
          <w:sz w:val="24"/>
        </w:rPr>
        <w:t xml:space="preserve">. </w:t>
      </w:r>
    </w:p>
    <w:p w:rsidR="00055205" w:rsidP="009E689B" w:rsidRDefault="00055205" w14:paraId="217C42A4" w14:textId="77777777">
      <w:pPr>
        <w:rPr>
          <w:sz w:val="24"/>
        </w:rPr>
      </w:pPr>
    </w:p>
    <w:p w:rsidR="006B5837" w:rsidP="009E689B" w:rsidRDefault="005E03BA" w14:paraId="21EFFBD9" w14:textId="6D963050">
      <w:pPr>
        <w:rPr>
          <w:sz w:val="24"/>
        </w:rPr>
      </w:pPr>
      <w:proofErr w:type="gramStart"/>
      <w:r w:rsidRPr="005E03BA">
        <w:rPr>
          <w:sz w:val="24"/>
        </w:rPr>
        <w:t xml:space="preserve">The feedback provided by the </w:t>
      </w:r>
      <w:r w:rsidR="00060E21">
        <w:rPr>
          <w:sz w:val="24"/>
        </w:rPr>
        <w:t xml:space="preserve">public comments and the </w:t>
      </w:r>
      <w:r w:rsidRPr="005E03BA">
        <w:rPr>
          <w:sz w:val="24"/>
        </w:rPr>
        <w:t>G</w:t>
      </w:r>
      <w:r>
        <w:rPr>
          <w:sz w:val="24"/>
        </w:rPr>
        <w:t>ME</w:t>
      </w:r>
      <w:r w:rsidRPr="005E03BA">
        <w:rPr>
          <w:sz w:val="24"/>
        </w:rPr>
        <w:t xml:space="preserve"> Expert Panel included recommendations to: </w:t>
      </w:r>
      <w:r w:rsidR="00FD1A11">
        <w:rPr>
          <w:sz w:val="24"/>
        </w:rPr>
        <w:t xml:space="preserve"> </w:t>
      </w:r>
      <w:r w:rsidRPr="005E03BA">
        <w:rPr>
          <w:sz w:val="24"/>
        </w:rPr>
        <w:t>1) collect information on telehealth visits in 2018-2019 as a benchmark for telehealth a</w:t>
      </w:r>
      <w:r w:rsidR="00060E21">
        <w:rPr>
          <w:sz w:val="24"/>
        </w:rPr>
        <w:t>ctivity post COVID-19 pandemic</w:t>
      </w:r>
      <w:r w:rsidRPr="005E03BA">
        <w:rPr>
          <w:sz w:val="24"/>
        </w:rPr>
        <w:t>; 2) change to academic year 2018-2019 for the data collection period; 3) further solidify the IME methodology for the non-THC F</w:t>
      </w:r>
      <w:r w:rsidR="00EE1396">
        <w:rPr>
          <w:sz w:val="24"/>
        </w:rPr>
        <w:t xml:space="preserve">ederally </w:t>
      </w:r>
      <w:r w:rsidRPr="005E03BA">
        <w:rPr>
          <w:sz w:val="24"/>
        </w:rPr>
        <w:t>Q</w:t>
      </w:r>
      <w:r w:rsidR="00EE1396">
        <w:rPr>
          <w:sz w:val="24"/>
        </w:rPr>
        <w:t xml:space="preserve">ualified </w:t>
      </w:r>
      <w:r w:rsidRPr="005E03BA">
        <w:rPr>
          <w:sz w:val="24"/>
        </w:rPr>
        <w:t>H</w:t>
      </w:r>
      <w:r w:rsidR="00EE1396">
        <w:rPr>
          <w:sz w:val="24"/>
        </w:rPr>
        <w:t xml:space="preserve">ealth </w:t>
      </w:r>
      <w:r w:rsidRPr="005E03BA">
        <w:rPr>
          <w:sz w:val="24"/>
        </w:rPr>
        <w:t>C</w:t>
      </w:r>
      <w:r w:rsidR="00EE1396">
        <w:rPr>
          <w:sz w:val="24"/>
        </w:rPr>
        <w:t>enter</w:t>
      </w:r>
      <w:r w:rsidRPr="005E03BA">
        <w:rPr>
          <w:sz w:val="24"/>
        </w:rPr>
        <w:t xml:space="preserve"> comparison group; and 4) enhance the THC</w:t>
      </w:r>
      <w:r w:rsidR="00EE1396">
        <w:rPr>
          <w:sz w:val="24"/>
        </w:rPr>
        <w:t>GME</w:t>
      </w:r>
      <w:r w:rsidRPr="005E03BA">
        <w:rPr>
          <w:sz w:val="24"/>
        </w:rPr>
        <w:t xml:space="preserve"> Costing Instrument </w:t>
      </w:r>
      <w:r w:rsidR="00AF7468">
        <w:rPr>
          <w:sz w:val="24"/>
        </w:rPr>
        <w:t>and Instruction Guide</w:t>
      </w:r>
      <w:r w:rsidRPr="005E03BA">
        <w:rPr>
          <w:sz w:val="24"/>
        </w:rPr>
        <w:t>.</w:t>
      </w:r>
      <w:proofErr w:type="gramEnd"/>
      <w:r w:rsidRPr="005E03BA">
        <w:rPr>
          <w:sz w:val="24"/>
        </w:rPr>
        <w:t xml:space="preserve"> </w:t>
      </w:r>
      <w:r w:rsidR="00FD1A11">
        <w:rPr>
          <w:sz w:val="24"/>
        </w:rPr>
        <w:t xml:space="preserve"> </w:t>
      </w:r>
      <w:r w:rsidR="00E53AFD">
        <w:rPr>
          <w:sz w:val="24"/>
        </w:rPr>
        <w:t xml:space="preserve">After </w:t>
      </w:r>
      <w:r w:rsidR="00010853">
        <w:rPr>
          <w:sz w:val="24"/>
        </w:rPr>
        <w:t>consideration</w:t>
      </w:r>
      <w:r w:rsidR="00E53AFD">
        <w:rPr>
          <w:sz w:val="24"/>
        </w:rPr>
        <w:t xml:space="preserve"> of the comments, </w:t>
      </w:r>
      <w:r w:rsidRPr="00E53AFD" w:rsidR="00E53AFD">
        <w:rPr>
          <w:sz w:val="24"/>
        </w:rPr>
        <w:t>a few line items in the THCGME Costing Instrument and Instruction Guide</w:t>
      </w:r>
      <w:r w:rsidR="00010853">
        <w:rPr>
          <w:sz w:val="24"/>
        </w:rPr>
        <w:t xml:space="preserve"> </w:t>
      </w:r>
      <w:proofErr w:type="gramStart"/>
      <w:r w:rsidR="00010853">
        <w:rPr>
          <w:sz w:val="24"/>
        </w:rPr>
        <w:t>were further clarified</w:t>
      </w:r>
      <w:proofErr w:type="gramEnd"/>
      <w:r w:rsidRPr="00E53AFD" w:rsidR="00E53AFD">
        <w:rPr>
          <w:sz w:val="24"/>
        </w:rPr>
        <w:t xml:space="preserve">. </w:t>
      </w:r>
      <w:r w:rsidR="00FD1A11">
        <w:rPr>
          <w:sz w:val="24"/>
        </w:rPr>
        <w:t xml:space="preserve"> </w:t>
      </w:r>
      <w:r w:rsidRPr="00E53AFD" w:rsidR="00E53AFD">
        <w:rPr>
          <w:sz w:val="24"/>
        </w:rPr>
        <w:t>These line ite</w:t>
      </w:r>
      <w:r w:rsidR="00010853">
        <w:rPr>
          <w:sz w:val="24"/>
        </w:rPr>
        <w:t>m</w:t>
      </w:r>
      <w:r w:rsidRPr="00E53AFD" w:rsidR="00E53AFD">
        <w:rPr>
          <w:sz w:val="24"/>
        </w:rPr>
        <w:t xml:space="preserve"> changes are on the Faculty Salaries and Benefits worksheet and </w:t>
      </w:r>
      <w:proofErr w:type="gramStart"/>
      <w:r w:rsidRPr="00E53AFD" w:rsidR="00E53AFD">
        <w:rPr>
          <w:sz w:val="24"/>
        </w:rPr>
        <w:t>include:</w:t>
      </w:r>
      <w:proofErr w:type="gramEnd"/>
      <w:r w:rsidRPr="00E53AFD" w:rsidR="00E53AFD">
        <w:rPr>
          <w:sz w:val="24"/>
        </w:rPr>
        <w:t xml:space="preserve"> </w:t>
      </w:r>
      <w:r w:rsidR="00FD1A11">
        <w:rPr>
          <w:sz w:val="24"/>
        </w:rPr>
        <w:t xml:space="preserve"> </w:t>
      </w:r>
      <w:r w:rsidRPr="00E53AFD" w:rsidR="00E53AFD">
        <w:rPr>
          <w:sz w:val="24"/>
        </w:rPr>
        <w:t>defining part time faculty as “other faculty” and separating clinic administrative time into two columns to specify resident-related and non-resident related clinic administrative time.</w:t>
      </w:r>
      <w:r w:rsidRPr="002709ED" w:rsidR="00383726">
        <w:rPr>
          <w:sz w:val="24"/>
        </w:rPr>
        <w:t xml:space="preserve">  </w:t>
      </w:r>
    </w:p>
    <w:p w:rsidRPr="002709ED" w:rsidR="009F4030" w:rsidP="009E689B" w:rsidRDefault="009F4030" w14:paraId="4D5014EA" w14:textId="77777777">
      <w:pPr>
        <w:rPr>
          <w:sz w:val="24"/>
        </w:rPr>
      </w:pPr>
    </w:p>
    <w:p w:rsidRPr="002709ED" w:rsidR="009B3794" w:rsidP="003C2AA2" w:rsidRDefault="009B3794" w14:paraId="05C96561" w14:textId="0C442342">
      <w:pPr>
        <w:numPr>
          <w:ilvl w:val="0"/>
          <w:numId w:val="2"/>
        </w:numPr>
        <w:tabs>
          <w:tab w:val="num" w:pos="360"/>
        </w:tabs>
        <w:ind w:left="360"/>
        <w:rPr>
          <w:b/>
          <w:sz w:val="24"/>
        </w:rPr>
      </w:pPr>
      <w:r w:rsidRPr="002709ED">
        <w:rPr>
          <w:b/>
          <w:sz w:val="24"/>
          <w:u w:val="single"/>
        </w:rPr>
        <w:t>Explanation of any Payment/Gift to Respondents</w:t>
      </w:r>
    </w:p>
    <w:p w:rsidR="008725D1" w:rsidRDefault="008725D1" w14:paraId="591F595D" w14:textId="6CCB807E">
      <w:pPr>
        <w:rPr>
          <w:sz w:val="24"/>
        </w:rPr>
      </w:pPr>
    </w:p>
    <w:p w:rsidR="00935E77" w:rsidRDefault="008725D1" w14:paraId="05C96564" w14:textId="6E162F09">
      <w:pPr>
        <w:rPr>
          <w:sz w:val="24"/>
        </w:rPr>
      </w:pPr>
      <w:r w:rsidRPr="002709ED">
        <w:rPr>
          <w:sz w:val="24"/>
        </w:rPr>
        <w:t xml:space="preserve">Respondents </w:t>
      </w:r>
      <w:r w:rsidRPr="002709ED" w:rsidR="00935E77">
        <w:rPr>
          <w:sz w:val="24"/>
        </w:rPr>
        <w:t xml:space="preserve">will not receive </w:t>
      </w:r>
      <w:r w:rsidRPr="002709ED" w:rsidR="008B04CA">
        <w:rPr>
          <w:sz w:val="24"/>
        </w:rPr>
        <w:t xml:space="preserve">any </w:t>
      </w:r>
      <w:r w:rsidRPr="002709ED" w:rsidR="00935E77">
        <w:rPr>
          <w:sz w:val="24"/>
        </w:rPr>
        <w:t>payment</w:t>
      </w:r>
      <w:r w:rsidRPr="002709ED" w:rsidR="008B04CA">
        <w:rPr>
          <w:sz w:val="24"/>
        </w:rPr>
        <w:t>s</w:t>
      </w:r>
      <w:r w:rsidRPr="002709ED" w:rsidR="00935E77">
        <w:rPr>
          <w:sz w:val="24"/>
        </w:rPr>
        <w:t xml:space="preserve"> or gifts.</w:t>
      </w:r>
      <w:r w:rsidRPr="002709ED" w:rsidR="00DA4F02">
        <w:rPr>
          <w:sz w:val="24"/>
        </w:rPr>
        <w:t xml:space="preserve"> </w:t>
      </w:r>
    </w:p>
    <w:p w:rsidRPr="002709ED" w:rsidR="009F4030" w:rsidRDefault="009F4030" w14:paraId="31EB728B" w14:textId="77777777">
      <w:pPr>
        <w:rPr>
          <w:sz w:val="24"/>
        </w:rPr>
      </w:pPr>
    </w:p>
    <w:p w:rsidRPr="002709ED" w:rsidR="009B3794" w:rsidRDefault="009B3794" w14:paraId="05C96565" w14:textId="51E6862F">
      <w:pPr>
        <w:numPr>
          <w:ilvl w:val="0"/>
          <w:numId w:val="2"/>
        </w:numPr>
        <w:tabs>
          <w:tab w:val="num" w:pos="360"/>
        </w:tabs>
        <w:ind w:left="360"/>
        <w:rPr>
          <w:b/>
          <w:sz w:val="24"/>
        </w:rPr>
      </w:pPr>
      <w:r w:rsidRPr="002709ED">
        <w:rPr>
          <w:b/>
          <w:sz w:val="24"/>
          <w:u w:val="single"/>
        </w:rPr>
        <w:t>Assurance of Confidentiality Provided to Respondents</w:t>
      </w:r>
    </w:p>
    <w:p w:rsidRPr="002709ED" w:rsidR="0026396B" w:rsidP="009E689B" w:rsidRDefault="0026396B" w14:paraId="218A9376" w14:textId="1D4E8916">
      <w:pPr>
        <w:ind w:right="114"/>
        <w:rPr>
          <w:sz w:val="24"/>
        </w:rPr>
      </w:pPr>
    </w:p>
    <w:p w:rsidR="0026396B" w:rsidP="009E689B" w:rsidRDefault="005371F7" w14:paraId="4E33DDFC" w14:textId="0D0E17B3">
      <w:pPr>
        <w:ind w:right="216"/>
        <w:rPr>
          <w:sz w:val="24"/>
        </w:rPr>
      </w:pPr>
      <w:r w:rsidRPr="002709ED">
        <w:rPr>
          <w:sz w:val="24"/>
        </w:rPr>
        <w:t xml:space="preserve">The </w:t>
      </w:r>
      <w:r w:rsidRPr="002709ED" w:rsidR="004F1890">
        <w:rPr>
          <w:sz w:val="24"/>
        </w:rPr>
        <w:t>THC</w:t>
      </w:r>
      <w:r w:rsidR="00EE1396">
        <w:rPr>
          <w:sz w:val="24"/>
        </w:rPr>
        <w:t>GME</w:t>
      </w:r>
      <w:r w:rsidRPr="002709ED">
        <w:rPr>
          <w:sz w:val="24"/>
        </w:rPr>
        <w:t xml:space="preserve"> Costing Instrument </w:t>
      </w:r>
      <w:proofErr w:type="gramStart"/>
      <w:r w:rsidRPr="002709ED">
        <w:rPr>
          <w:sz w:val="24"/>
        </w:rPr>
        <w:t>will be implemented</w:t>
      </w:r>
      <w:proofErr w:type="gramEnd"/>
      <w:r w:rsidRPr="002709ED">
        <w:rPr>
          <w:sz w:val="24"/>
        </w:rPr>
        <w:t xml:space="preserve"> </w:t>
      </w:r>
      <w:r w:rsidRPr="002709ED" w:rsidR="004F1890">
        <w:rPr>
          <w:sz w:val="24"/>
        </w:rPr>
        <w:t>one time</w:t>
      </w:r>
      <w:r w:rsidRPr="002709ED">
        <w:rPr>
          <w:sz w:val="24"/>
        </w:rPr>
        <w:t xml:space="preserve"> with </w:t>
      </w:r>
      <w:r w:rsidRPr="002709ED" w:rsidR="004F1890">
        <w:rPr>
          <w:sz w:val="24"/>
        </w:rPr>
        <w:t>the full cohort of</w:t>
      </w:r>
      <w:r w:rsidRPr="002709ED">
        <w:rPr>
          <w:sz w:val="24"/>
        </w:rPr>
        <w:t xml:space="preserve"> HRSA-funded THCs. </w:t>
      </w:r>
      <w:r w:rsidR="00FD1A11">
        <w:rPr>
          <w:sz w:val="24"/>
        </w:rPr>
        <w:t xml:space="preserve"> </w:t>
      </w:r>
      <w:r w:rsidRPr="002709ED">
        <w:rPr>
          <w:sz w:val="24"/>
        </w:rPr>
        <w:t xml:space="preserve">As noted above, the </w:t>
      </w:r>
      <w:r w:rsidRPr="002709ED" w:rsidR="004F1890">
        <w:rPr>
          <w:sz w:val="24"/>
        </w:rPr>
        <w:t>THC</w:t>
      </w:r>
      <w:r w:rsidR="00EE1396">
        <w:rPr>
          <w:sz w:val="24"/>
        </w:rPr>
        <w:t>GME</w:t>
      </w:r>
      <w:r w:rsidRPr="002709ED" w:rsidR="004F1890">
        <w:rPr>
          <w:sz w:val="24"/>
        </w:rPr>
        <w:t xml:space="preserve"> </w:t>
      </w:r>
      <w:r w:rsidRPr="002709ED">
        <w:rPr>
          <w:sz w:val="24"/>
        </w:rPr>
        <w:t>Costing Instrument collects financial and budget data on the residency program and will be implemented as a fillable excel form delivered via e-mail to the THC primary contact person</w:t>
      </w:r>
      <w:r w:rsidRPr="002709ED" w:rsidR="0026396B">
        <w:rPr>
          <w:sz w:val="24"/>
        </w:rPr>
        <w:t>.</w:t>
      </w:r>
      <w:r w:rsidRPr="002709ED" w:rsidR="004F1890">
        <w:rPr>
          <w:sz w:val="24"/>
        </w:rPr>
        <w:t xml:space="preserve"> </w:t>
      </w:r>
      <w:r w:rsidR="00FD1A11">
        <w:rPr>
          <w:sz w:val="24"/>
        </w:rPr>
        <w:t xml:space="preserve"> </w:t>
      </w:r>
      <w:r w:rsidRPr="002709ED" w:rsidR="0026396B">
        <w:rPr>
          <w:sz w:val="24"/>
        </w:rPr>
        <w:t xml:space="preserve">Completed </w:t>
      </w:r>
      <w:r w:rsidRPr="002709ED" w:rsidR="004F1890">
        <w:rPr>
          <w:sz w:val="24"/>
        </w:rPr>
        <w:t>THC</w:t>
      </w:r>
      <w:r w:rsidR="00EE1396">
        <w:rPr>
          <w:sz w:val="24"/>
        </w:rPr>
        <w:t>GME</w:t>
      </w:r>
      <w:r w:rsidRPr="002709ED" w:rsidR="004F1890">
        <w:rPr>
          <w:sz w:val="24"/>
        </w:rPr>
        <w:t xml:space="preserve"> </w:t>
      </w:r>
      <w:r w:rsidRPr="002709ED" w:rsidR="00F71CD8">
        <w:rPr>
          <w:sz w:val="24"/>
        </w:rPr>
        <w:t>Costing I</w:t>
      </w:r>
      <w:r w:rsidRPr="002709ED" w:rsidR="0026396B">
        <w:rPr>
          <w:sz w:val="24"/>
        </w:rPr>
        <w:t>nstruments</w:t>
      </w:r>
      <w:r w:rsidRPr="002709ED" w:rsidR="004F1890">
        <w:rPr>
          <w:sz w:val="24"/>
        </w:rPr>
        <w:t xml:space="preserve"> </w:t>
      </w:r>
      <w:proofErr w:type="gramStart"/>
      <w:r w:rsidRPr="002709ED" w:rsidR="0026396B">
        <w:rPr>
          <w:sz w:val="24"/>
        </w:rPr>
        <w:t>will be exported</w:t>
      </w:r>
      <w:proofErr w:type="gramEnd"/>
      <w:r w:rsidRPr="002709ED" w:rsidR="0026396B">
        <w:rPr>
          <w:sz w:val="24"/>
        </w:rPr>
        <w:t xml:space="preserve"> to a </w:t>
      </w:r>
      <w:r w:rsidRPr="002709ED" w:rsidR="006132B4">
        <w:rPr>
          <w:sz w:val="24"/>
        </w:rPr>
        <w:t xml:space="preserve">password-protected </w:t>
      </w:r>
      <w:r w:rsidRPr="002709ED" w:rsidR="0026396B">
        <w:rPr>
          <w:sz w:val="24"/>
        </w:rPr>
        <w:t xml:space="preserve">database. </w:t>
      </w:r>
      <w:r w:rsidR="00FD1A11">
        <w:rPr>
          <w:sz w:val="24"/>
        </w:rPr>
        <w:t xml:space="preserve"> </w:t>
      </w:r>
      <w:r w:rsidRPr="002709ED" w:rsidR="0026396B">
        <w:rPr>
          <w:sz w:val="24"/>
        </w:rPr>
        <w:t>All data will be stored on password</w:t>
      </w:r>
      <w:r w:rsidRPr="002709ED" w:rsidR="006132B4">
        <w:rPr>
          <w:sz w:val="24"/>
        </w:rPr>
        <w:t>-</w:t>
      </w:r>
      <w:r w:rsidRPr="002709ED" w:rsidR="0026396B">
        <w:rPr>
          <w:sz w:val="24"/>
        </w:rPr>
        <w:t xml:space="preserve">protected secure computers in locked offices. </w:t>
      </w:r>
      <w:r w:rsidR="00FD1A11">
        <w:rPr>
          <w:sz w:val="24"/>
        </w:rPr>
        <w:t xml:space="preserve"> </w:t>
      </w:r>
      <w:r w:rsidRPr="002709ED" w:rsidR="0026396B">
        <w:rPr>
          <w:sz w:val="24"/>
        </w:rPr>
        <w:t xml:space="preserve">Data reported back to HRSA </w:t>
      </w:r>
      <w:proofErr w:type="gramStart"/>
      <w:r w:rsidRPr="002709ED" w:rsidR="0026396B">
        <w:rPr>
          <w:sz w:val="24"/>
        </w:rPr>
        <w:t>will be reported</w:t>
      </w:r>
      <w:proofErr w:type="gramEnd"/>
      <w:r w:rsidRPr="002709ED" w:rsidR="0026396B">
        <w:rPr>
          <w:sz w:val="24"/>
        </w:rPr>
        <w:t xml:space="preserve"> on an individual THC basis</w:t>
      </w:r>
      <w:r w:rsidRPr="002709ED" w:rsidR="004F1890">
        <w:rPr>
          <w:sz w:val="24"/>
        </w:rPr>
        <w:t xml:space="preserve"> and as aggregate findings</w:t>
      </w:r>
      <w:r w:rsidRPr="002709ED" w:rsidR="0026396B">
        <w:rPr>
          <w:sz w:val="24"/>
        </w:rPr>
        <w:t xml:space="preserve">. </w:t>
      </w:r>
      <w:r w:rsidR="00FD1A11">
        <w:rPr>
          <w:sz w:val="24"/>
        </w:rPr>
        <w:t xml:space="preserve"> </w:t>
      </w:r>
      <w:r w:rsidRPr="002709ED" w:rsidR="004F1890">
        <w:rPr>
          <w:sz w:val="24"/>
        </w:rPr>
        <w:t xml:space="preserve">Any </w:t>
      </w:r>
      <w:r w:rsidRPr="002709ED" w:rsidR="0026396B">
        <w:rPr>
          <w:sz w:val="24"/>
        </w:rPr>
        <w:t xml:space="preserve">publicly available documents </w:t>
      </w:r>
      <w:r w:rsidRPr="002709ED" w:rsidR="004F1890">
        <w:rPr>
          <w:sz w:val="24"/>
        </w:rPr>
        <w:t>using data from the THC</w:t>
      </w:r>
      <w:r w:rsidR="00EE1396">
        <w:rPr>
          <w:sz w:val="24"/>
        </w:rPr>
        <w:t>GME</w:t>
      </w:r>
      <w:r w:rsidRPr="002709ED" w:rsidR="004F1890">
        <w:rPr>
          <w:sz w:val="24"/>
        </w:rPr>
        <w:t xml:space="preserve"> Costing Instrument </w:t>
      </w:r>
      <w:r w:rsidRPr="002709ED" w:rsidR="0026396B">
        <w:rPr>
          <w:sz w:val="24"/>
        </w:rPr>
        <w:t xml:space="preserve">will </w:t>
      </w:r>
      <w:r w:rsidRPr="002709ED" w:rsidR="004F1890">
        <w:rPr>
          <w:sz w:val="24"/>
        </w:rPr>
        <w:t xml:space="preserve">use aggregate findings only. </w:t>
      </w:r>
      <w:r w:rsidR="00FD1A11">
        <w:rPr>
          <w:sz w:val="24"/>
        </w:rPr>
        <w:t xml:space="preserve"> </w:t>
      </w:r>
      <w:r w:rsidRPr="002709ED" w:rsidR="0026396B">
        <w:rPr>
          <w:sz w:val="24"/>
        </w:rPr>
        <w:t>Publicly available data will include the mean, range and standard deviation of costs to train a resident across all THC</w:t>
      </w:r>
      <w:r w:rsidR="00596C33">
        <w:rPr>
          <w:sz w:val="24"/>
        </w:rPr>
        <w:t>s</w:t>
      </w:r>
      <w:r w:rsidRPr="002709ED" w:rsidR="0026396B">
        <w:rPr>
          <w:sz w:val="24"/>
        </w:rPr>
        <w:t>.</w:t>
      </w:r>
    </w:p>
    <w:p w:rsidRPr="002709ED" w:rsidR="006708B0" w:rsidP="009E689B" w:rsidRDefault="006708B0" w14:paraId="011AAB96" w14:textId="77777777">
      <w:pPr>
        <w:ind w:right="216"/>
        <w:rPr>
          <w:sz w:val="24"/>
        </w:rPr>
      </w:pPr>
    </w:p>
    <w:p w:rsidRPr="002709ED" w:rsidR="0026396B" w:rsidP="009E689B" w:rsidRDefault="0026396B" w14:paraId="149A020A" w14:textId="76598BA2">
      <w:pPr>
        <w:ind w:right="216"/>
        <w:rPr>
          <w:sz w:val="24"/>
        </w:rPr>
      </w:pPr>
      <w:r w:rsidRPr="002709ED">
        <w:rPr>
          <w:sz w:val="24"/>
        </w:rPr>
        <w:t xml:space="preserve">The project </w:t>
      </w:r>
      <w:proofErr w:type="gramStart"/>
      <w:r w:rsidRPr="002709ED">
        <w:rPr>
          <w:sz w:val="24"/>
        </w:rPr>
        <w:t xml:space="preserve">has </w:t>
      </w:r>
      <w:r w:rsidRPr="002709ED" w:rsidR="00E137B8">
        <w:rPr>
          <w:sz w:val="24"/>
        </w:rPr>
        <w:t>been deemed</w:t>
      </w:r>
      <w:proofErr w:type="gramEnd"/>
      <w:r w:rsidRPr="002709ED" w:rsidR="00E137B8">
        <w:rPr>
          <w:sz w:val="24"/>
        </w:rPr>
        <w:t xml:space="preserve"> Not Human Subjects Research </w:t>
      </w:r>
      <w:r w:rsidRPr="002709ED">
        <w:rPr>
          <w:sz w:val="24"/>
        </w:rPr>
        <w:t>from IRB</w:t>
      </w:r>
      <w:r w:rsidRPr="002709ED" w:rsidR="00E137B8">
        <w:rPr>
          <w:sz w:val="24"/>
        </w:rPr>
        <w:t>, and further review was not required</w:t>
      </w:r>
      <w:r w:rsidRPr="002709ED">
        <w:rPr>
          <w:sz w:val="24"/>
        </w:rPr>
        <w:t xml:space="preserve">. </w:t>
      </w:r>
      <w:r w:rsidR="00FD1A11">
        <w:rPr>
          <w:sz w:val="24"/>
        </w:rPr>
        <w:t xml:space="preserve"> </w:t>
      </w:r>
      <w:r w:rsidRPr="004439D5">
        <w:rPr>
          <w:sz w:val="24"/>
        </w:rPr>
        <w:t xml:space="preserve">A copy of the </w:t>
      </w:r>
      <w:r w:rsidRPr="004439D5" w:rsidR="00E137B8">
        <w:rPr>
          <w:sz w:val="24"/>
        </w:rPr>
        <w:t xml:space="preserve">IRB Outcome </w:t>
      </w:r>
      <w:r w:rsidRPr="00B117DB">
        <w:rPr>
          <w:sz w:val="24"/>
        </w:rPr>
        <w:t xml:space="preserve">letter </w:t>
      </w:r>
      <w:proofErr w:type="gramStart"/>
      <w:r w:rsidRPr="00B117DB">
        <w:rPr>
          <w:sz w:val="24"/>
        </w:rPr>
        <w:t>is attached</w:t>
      </w:r>
      <w:proofErr w:type="gramEnd"/>
      <w:r w:rsidRPr="00B117DB">
        <w:rPr>
          <w:sz w:val="24"/>
        </w:rPr>
        <w:t xml:space="preserve"> in Appendix </w:t>
      </w:r>
      <w:r w:rsidRPr="00B117DB" w:rsidR="003D7871">
        <w:rPr>
          <w:sz w:val="24"/>
        </w:rPr>
        <w:t>C</w:t>
      </w:r>
      <w:r w:rsidRPr="00B117DB">
        <w:rPr>
          <w:sz w:val="24"/>
        </w:rPr>
        <w:t>.</w:t>
      </w:r>
    </w:p>
    <w:p w:rsidRPr="002709ED" w:rsidR="0026396B" w:rsidP="009E689B" w:rsidRDefault="0026396B" w14:paraId="226CE023" w14:textId="36D7EC89">
      <w:pPr>
        <w:ind w:right="216"/>
        <w:rPr>
          <w:sz w:val="24"/>
        </w:rPr>
        <w:sectPr w:rsidRPr="002709ED" w:rsidR="0026396B" w:rsidSect="00C85F2C">
          <w:footerReference w:type="default" r:id="rId13"/>
          <w:type w:val="continuous"/>
          <w:pgSz w:w="12240" w:h="15840"/>
          <w:pgMar w:top="1380" w:right="1320" w:bottom="280" w:left="1340" w:header="720" w:footer="720" w:gutter="0"/>
          <w:cols w:space="720"/>
          <w:titlePg/>
          <w:docGrid w:linePitch="272"/>
        </w:sectPr>
      </w:pPr>
    </w:p>
    <w:p w:rsidRPr="002709ED" w:rsidR="004F6A37" w:rsidP="003C2AA2" w:rsidRDefault="004F6A37" w14:paraId="13B6A3C6" w14:textId="77777777">
      <w:pPr>
        <w:rPr>
          <w:b/>
          <w:sz w:val="24"/>
        </w:rPr>
      </w:pPr>
    </w:p>
    <w:p w:rsidRPr="002709ED" w:rsidR="009B3794" w:rsidRDefault="009B3794" w14:paraId="05C9656D" w14:textId="77777777">
      <w:pPr>
        <w:numPr>
          <w:ilvl w:val="0"/>
          <w:numId w:val="2"/>
        </w:numPr>
        <w:tabs>
          <w:tab w:val="num" w:pos="360"/>
        </w:tabs>
        <w:ind w:left="360"/>
        <w:rPr>
          <w:b/>
          <w:sz w:val="24"/>
        </w:rPr>
      </w:pPr>
      <w:r w:rsidRPr="002709ED">
        <w:rPr>
          <w:b/>
          <w:sz w:val="24"/>
          <w:u w:val="single"/>
        </w:rPr>
        <w:t>Justification for Sensitive Questions</w:t>
      </w:r>
    </w:p>
    <w:p w:rsidRPr="002709ED" w:rsidR="00756780" w:rsidP="009E689B" w:rsidRDefault="00756780" w14:paraId="6D7D6CBC" w14:textId="77777777">
      <w:pPr>
        <w:ind w:right="217"/>
        <w:rPr>
          <w:sz w:val="24"/>
        </w:rPr>
      </w:pPr>
    </w:p>
    <w:p w:rsidR="0026396B" w:rsidP="009E689B" w:rsidRDefault="0026396B" w14:paraId="7A0472BD" w14:textId="074FBBFE">
      <w:pPr>
        <w:ind w:right="217"/>
        <w:rPr>
          <w:sz w:val="24"/>
        </w:rPr>
      </w:pPr>
      <w:r w:rsidRPr="002709ED">
        <w:rPr>
          <w:sz w:val="24"/>
        </w:rPr>
        <w:t xml:space="preserve">The </w:t>
      </w:r>
      <w:r w:rsidRPr="002709ED" w:rsidR="00C32433">
        <w:rPr>
          <w:sz w:val="24"/>
        </w:rPr>
        <w:t>THC</w:t>
      </w:r>
      <w:r w:rsidR="00EE1396">
        <w:rPr>
          <w:sz w:val="24"/>
        </w:rPr>
        <w:t>GME</w:t>
      </w:r>
      <w:r w:rsidRPr="002709ED">
        <w:rPr>
          <w:sz w:val="24"/>
        </w:rPr>
        <w:t xml:space="preserve"> Costing Instrument asks programs to report their financial information, which </w:t>
      </w:r>
      <w:proofErr w:type="gramStart"/>
      <w:r w:rsidRPr="002709ED" w:rsidR="00AC04E8">
        <w:rPr>
          <w:sz w:val="24"/>
        </w:rPr>
        <w:t>may</w:t>
      </w:r>
      <w:r w:rsidRPr="002709ED">
        <w:rPr>
          <w:sz w:val="24"/>
        </w:rPr>
        <w:t xml:space="preserve"> be considered</w:t>
      </w:r>
      <w:proofErr w:type="gramEnd"/>
      <w:r w:rsidRPr="002709ED">
        <w:rPr>
          <w:sz w:val="24"/>
        </w:rPr>
        <w:t xml:space="preserve"> sensitive.</w:t>
      </w:r>
      <w:r w:rsidRPr="002709ED" w:rsidR="0081782A">
        <w:rPr>
          <w:sz w:val="24"/>
        </w:rPr>
        <w:t xml:space="preserve"> </w:t>
      </w:r>
      <w:r w:rsidR="00FD1A11">
        <w:rPr>
          <w:sz w:val="24"/>
        </w:rPr>
        <w:t xml:space="preserve"> </w:t>
      </w:r>
      <w:r w:rsidRPr="002709ED" w:rsidR="0081782A">
        <w:rPr>
          <w:sz w:val="24"/>
        </w:rPr>
        <w:t xml:space="preserve">The financial information collected in the </w:t>
      </w:r>
      <w:r w:rsidRPr="002709ED" w:rsidR="00C32433">
        <w:rPr>
          <w:sz w:val="24"/>
        </w:rPr>
        <w:t>THC</w:t>
      </w:r>
      <w:r w:rsidR="00EE1396">
        <w:rPr>
          <w:sz w:val="24"/>
        </w:rPr>
        <w:t>GME</w:t>
      </w:r>
      <w:r w:rsidRPr="002709ED" w:rsidR="00C32433">
        <w:rPr>
          <w:sz w:val="24"/>
        </w:rPr>
        <w:t xml:space="preserve"> </w:t>
      </w:r>
      <w:r w:rsidRPr="002709ED" w:rsidR="00F71CD8">
        <w:rPr>
          <w:sz w:val="24"/>
        </w:rPr>
        <w:t>C</w:t>
      </w:r>
      <w:r w:rsidRPr="002709ED" w:rsidR="0081782A">
        <w:rPr>
          <w:sz w:val="24"/>
        </w:rPr>
        <w:t xml:space="preserve">osting </w:t>
      </w:r>
      <w:r w:rsidRPr="002709ED" w:rsidR="00F71CD8">
        <w:rPr>
          <w:sz w:val="24"/>
        </w:rPr>
        <w:t>I</w:t>
      </w:r>
      <w:r w:rsidRPr="002709ED" w:rsidR="0081782A">
        <w:rPr>
          <w:sz w:val="24"/>
        </w:rPr>
        <w:t xml:space="preserve">nstrument is necessary, as it provides </w:t>
      </w:r>
      <w:r w:rsidRPr="002709ED" w:rsidR="00C32433">
        <w:rPr>
          <w:sz w:val="24"/>
        </w:rPr>
        <w:t>the basis for developing a</w:t>
      </w:r>
      <w:r w:rsidRPr="002709ED" w:rsidR="0081782A">
        <w:rPr>
          <w:sz w:val="24"/>
        </w:rPr>
        <w:t>n</w:t>
      </w:r>
      <w:r w:rsidRPr="002709ED">
        <w:rPr>
          <w:sz w:val="24"/>
        </w:rPr>
        <w:t xml:space="preserve"> </w:t>
      </w:r>
      <w:r w:rsidRPr="002709ED" w:rsidR="0081782A">
        <w:rPr>
          <w:sz w:val="24"/>
        </w:rPr>
        <w:t xml:space="preserve">accurate </w:t>
      </w:r>
      <w:r w:rsidRPr="002709ED" w:rsidR="00C32433">
        <w:rPr>
          <w:sz w:val="24"/>
        </w:rPr>
        <w:t>estimate</w:t>
      </w:r>
      <w:r w:rsidRPr="002709ED" w:rsidR="0081782A">
        <w:rPr>
          <w:sz w:val="24"/>
        </w:rPr>
        <w:t xml:space="preserve"> of</w:t>
      </w:r>
      <w:r w:rsidRPr="002709ED">
        <w:rPr>
          <w:sz w:val="24"/>
        </w:rPr>
        <w:t xml:space="preserve"> the cost of training a resident in a community-based setting</w:t>
      </w:r>
      <w:r w:rsidRPr="002709ED" w:rsidR="0081782A">
        <w:rPr>
          <w:sz w:val="24"/>
        </w:rPr>
        <w:t xml:space="preserve">. </w:t>
      </w:r>
      <w:r w:rsidR="00FD1A11">
        <w:rPr>
          <w:sz w:val="24"/>
        </w:rPr>
        <w:t xml:space="preserve"> </w:t>
      </w:r>
      <w:r w:rsidRPr="002709ED" w:rsidR="0081782A">
        <w:rPr>
          <w:sz w:val="24"/>
        </w:rPr>
        <w:t>Further, this information</w:t>
      </w:r>
      <w:r w:rsidRPr="002709ED">
        <w:rPr>
          <w:sz w:val="24"/>
        </w:rPr>
        <w:t xml:space="preserve"> is essential </w:t>
      </w:r>
      <w:r w:rsidRPr="002709ED" w:rsidR="0081782A">
        <w:rPr>
          <w:sz w:val="24"/>
        </w:rPr>
        <w:t>in determining</w:t>
      </w:r>
      <w:r w:rsidRPr="002709ED">
        <w:rPr>
          <w:sz w:val="24"/>
        </w:rPr>
        <w:t xml:space="preserve"> if the </w:t>
      </w:r>
      <w:r w:rsidRPr="002709ED" w:rsidR="005B7411">
        <w:rPr>
          <w:sz w:val="24"/>
        </w:rPr>
        <w:t>THC</w:t>
      </w:r>
      <w:r w:rsidR="005B7411">
        <w:rPr>
          <w:sz w:val="24"/>
        </w:rPr>
        <w:t>s</w:t>
      </w:r>
      <w:r w:rsidRPr="002709ED" w:rsidR="005B7411">
        <w:rPr>
          <w:sz w:val="24"/>
        </w:rPr>
        <w:t xml:space="preserve"> </w:t>
      </w:r>
      <w:proofErr w:type="gramStart"/>
      <w:r w:rsidR="005B7411">
        <w:rPr>
          <w:sz w:val="24"/>
        </w:rPr>
        <w:t>are</w:t>
      </w:r>
      <w:r w:rsidRPr="002709ED">
        <w:rPr>
          <w:sz w:val="24"/>
        </w:rPr>
        <w:t xml:space="preserve"> funded</w:t>
      </w:r>
      <w:proofErr w:type="gramEnd"/>
      <w:r w:rsidRPr="002709ED">
        <w:rPr>
          <w:sz w:val="24"/>
        </w:rPr>
        <w:t xml:space="preserve"> at the correct amount, and </w:t>
      </w:r>
      <w:r w:rsidRPr="002709ED" w:rsidR="0081782A">
        <w:rPr>
          <w:sz w:val="24"/>
        </w:rPr>
        <w:t>in adjusting</w:t>
      </w:r>
      <w:r w:rsidRPr="002709ED">
        <w:rPr>
          <w:sz w:val="24"/>
        </w:rPr>
        <w:t xml:space="preserve"> the program</w:t>
      </w:r>
      <w:r w:rsidRPr="002709ED" w:rsidR="00C32433">
        <w:rPr>
          <w:sz w:val="24"/>
        </w:rPr>
        <w:t xml:space="preserve"> in future years</w:t>
      </w:r>
      <w:r w:rsidRPr="002709ED">
        <w:rPr>
          <w:sz w:val="24"/>
        </w:rPr>
        <w:t xml:space="preserve">, </w:t>
      </w:r>
      <w:r w:rsidRPr="002709ED" w:rsidR="00C32433">
        <w:rPr>
          <w:sz w:val="24"/>
        </w:rPr>
        <w:t>as</w:t>
      </w:r>
      <w:r w:rsidRPr="002709ED">
        <w:rPr>
          <w:sz w:val="24"/>
        </w:rPr>
        <w:t xml:space="preserve"> needed. </w:t>
      </w:r>
      <w:r w:rsidR="00FD1A11">
        <w:rPr>
          <w:sz w:val="24"/>
        </w:rPr>
        <w:t xml:space="preserve"> </w:t>
      </w:r>
      <w:r w:rsidRPr="002709ED" w:rsidR="009249A6">
        <w:rPr>
          <w:sz w:val="24"/>
        </w:rPr>
        <w:t>C</w:t>
      </w:r>
      <w:r w:rsidRPr="002709ED">
        <w:rPr>
          <w:sz w:val="24"/>
        </w:rPr>
        <w:t xml:space="preserve">ompletion of </w:t>
      </w:r>
      <w:r w:rsidRPr="002709ED" w:rsidR="003D7871">
        <w:rPr>
          <w:sz w:val="24"/>
        </w:rPr>
        <w:t xml:space="preserve">the </w:t>
      </w:r>
      <w:r w:rsidRPr="002709ED" w:rsidR="00C32433">
        <w:rPr>
          <w:sz w:val="24"/>
        </w:rPr>
        <w:t>THC</w:t>
      </w:r>
      <w:r w:rsidR="00EE1396">
        <w:rPr>
          <w:sz w:val="24"/>
        </w:rPr>
        <w:t>GME</w:t>
      </w:r>
      <w:r w:rsidRPr="002709ED" w:rsidR="00C32433">
        <w:rPr>
          <w:sz w:val="24"/>
        </w:rPr>
        <w:t xml:space="preserve"> </w:t>
      </w:r>
      <w:r w:rsidRPr="002709ED" w:rsidR="003D7871">
        <w:rPr>
          <w:sz w:val="24"/>
        </w:rPr>
        <w:t>Costing</w:t>
      </w:r>
      <w:r w:rsidRPr="002709ED">
        <w:rPr>
          <w:sz w:val="24"/>
        </w:rPr>
        <w:t xml:space="preserve"> Instrument is voluntary</w:t>
      </w:r>
      <w:r w:rsidRPr="002709ED" w:rsidR="009249A6">
        <w:rPr>
          <w:sz w:val="24"/>
        </w:rPr>
        <w:t xml:space="preserve">. </w:t>
      </w:r>
      <w:r w:rsidR="00FD1A11">
        <w:rPr>
          <w:sz w:val="24"/>
        </w:rPr>
        <w:t xml:space="preserve"> </w:t>
      </w:r>
      <w:r w:rsidRPr="002709ED" w:rsidR="009249A6">
        <w:rPr>
          <w:sz w:val="24"/>
        </w:rPr>
        <w:t>I</w:t>
      </w:r>
      <w:r w:rsidRPr="002709ED">
        <w:rPr>
          <w:sz w:val="24"/>
        </w:rPr>
        <w:t xml:space="preserve">f financial information is not </w:t>
      </w:r>
      <w:r w:rsidRPr="002709ED" w:rsidR="009249A6">
        <w:rPr>
          <w:sz w:val="24"/>
        </w:rPr>
        <w:t xml:space="preserve">feasibly collected or reported, </w:t>
      </w:r>
      <w:r w:rsidRPr="002709ED">
        <w:rPr>
          <w:sz w:val="24"/>
        </w:rPr>
        <w:t xml:space="preserve">programs </w:t>
      </w:r>
      <w:r w:rsidRPr="002709ED" w:rsidR="009249A6">
        <w:rPr>
          <w:sz w:val="24"/>
        </w:rPr>
        <w:t>may choose to leave those fields in the THC</w:t>
      </w:r>
      <w:r w:rsidR="00EE1396">
        <w:rPr>
          <w:sz w:val="24"/>
        </w:rPr>
        <w:t>GME</w:t>
      </w:r>
      <w:r w:rsidRPr="002709ED" w:rsidR="009249A6">
        <w:rPr>
          <w:sz w:val="24"/>
        </w:rPr>
        <w:t xml:space="preserve"> Costing Instrument</w:t>
      </w:r>
      <w:r w:rsidRPr="002709ED">
        <w:rPr>
          <w:sz w:val="24"/>
        </w:rPr>
        <w:t xml:space="preserve"> </w:t>
      </w:r>
      <w:r w:rsidRPr="002709ED" w:rsidR="009249A6">
        <w:rPr>
          <w:sz w:val="24"/>
        </w:rPr>
        <w:t>blank</w:t>
      </w:r>
      <w:r w:rsidRPr="002709ED">
        <w:rPr>
          <w:sz w:val="24"/>
        </w:rPr>
        <w:t>.</w:t>
      </w:r>
    </w:p>
    <w:p w:rsidRPr="002709ED" w:rsidR="009F4030" w:rsidP="009E689B" w:rsidRDefault="009F4030" w14:paraId="0D6B58C9" w14:textId="77777777">
      <w:pPr>
        <w:ind w:right="217"/>
        <w:rPr>
          <w:sz w:val="24"/>
        </w:rPr>
      </w:pPr>
    </w:p>
    <w:p w:rsidRPr="002709ED" w:rsidR="009B3794" w:rsidP="003C2AA2" w:rsidRDefault="009B3794" w14:paraId="05C96573" w14:textId="77777777">
      <w:pPr>
        <w:numPr>
          <w:ilvl w:val="0"/>
          <w:numId w:val="2"/>
        </w:numPr>
        <w:tabs>
          <w:tab w:val="num" w:pos="360"/>
        </w:tabs>
        <w:ind w:left="360"/>
        <w:rPr>
          <w:sz w:val="24"/>
        </w:rPr>
      </w:pPr>
      <w:r w:rsidRPr="002709ED">
        <w:rPr>
          <w:b/>
          <w:sz w:val="24"/>
          <w:u w:val="single"/>
        </w:rPr>
        <w:lastRenderedPageBreak/>
        <w:t xml:space="preserve">Estimates of Annualized Hour and Cost Burden  </w:t>
      </w:r>
    </w:p>
    <w:p w:rsidR="009F4030" w:rsidRDefault="009F4030" w14:paraId="16908EEF" w14:textId="77777777">
      <w:pPr>
        <w:rPr>
          <w:sz w:val="24"/>
        </w:rPr>
      </w:pPr>
    </w:p>
    <w:p w:rsidR="009B3794" w:rsidRDefault="009B3794" w14:paraId="05C96574" w14:textId="766A7013">
      <w:pPr>
        <w:rPr>
          <w:sz w:val="24"/>
        </w:rPr>
      </w:pPr>
      <w:r w:rsidRPr="002709ED">
        <w:rPr>
          <w:sz w:val="24"/>
        </w:rPr>
        <w:t xml:space="preserve">This section summarizes the total burden hours for this information collection in addition to the cost associated with those hours. </w:t>
      </w:r>
    </w:p>
    <w:p w:rsidRPr="002709ED" w:rsidR="009F4030" w:rsidRDefault="009F4030" w14:paraId="38468A54" w14:textId="77777777">
      <w:pPr>
        <w:rPr>
          <w:sz w:val="24"/>
        </w:rPr>
      </w:pPr>
    </w:p>
    <w:p w:rsidRPr="002709ED" w:rsidR="009B3794" w:rsidRDefault="009B3794" w14:paraId="05C96576" w14:textId="77777777">
      <w:pPr>
        <w:widowControl/>
        <w:tabs>
          <w:tab w:val="num" w:pos="720"/>
        </w:tabs>
        <w:rPr>
          <w:sz w:val="24"/>
        </w:rPr>
      </w:pPr>
      <w:r w:rsidRPr="002709ED">
        <w:rPr>
          <w:b/>
          <w:sz w:val="28"/>
          <w:szCs w:val="28"/>
        </w:rPr>
        <w:t>12A.</w:t>
      </w:r>
      <w:r w:rsidRPr="002709ED">
        <w:rPr>
          <w:sz w:val="24"/>
        </w:rPr>
        <w:t xml:space="preserve">        </w:t>
      </w:r>
      <w:r w:rsidRPr="002709ED">
        <w:rPr>
          <w:b/>
          <w:sz w:val="24"/>
        </w:rPr>
        <w:t>Estimated Annualized Burden Hours</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5"/>
        <w:gridCol w:w="1329"/>
        <w:gridCol w:w="1523"/>
        <w:gridCol w:w="1451"/>
        <w:gridCol w:w="1270"/>
        <w:gridCol w:w="1194"/>
        <w:gridCol w:w="1078"/>
      </w:tblGrid>
      <w:tr w:rsidRPr="002709ED" w:rsidR="00085057" w:rsidTr="00FD1A11" w14:paraId="05C96588" w14:textId="77777777">
        <w:trPr>
          <w:trHeight w:val="1520"/>
        </w:trPr>
        <w:tc>
          <w:tcPr>
            <w:tcW w:w="1632" w:type="dxa"/>
            <w:vAlign w:val="bottom"/>
          </w:tcPr>
          <w:p w:rsidRPr="002709ED" w:rsidR="00085057" w:rsidP="00FD1A11" w:rsidRDefault="00085057" w14:paraId="05C96577" w14:textId="77777777">
            <w:pPr>
              <w:widowControl/>
              <w:tabs>
                <w:tab w:val="num" w:pos="1080"/>
              </w:tabs>
              <w:jc w:val="center"/>
              <w:rPr>
                <w:b/>
                <w:bCs/>
                <w:sz w:val="24"/>
              </w:rPr>
            </w:pPr>
            <w:r w:rsidRPr="002709ED">
              <w:rPr>
                <w:b/>
                <w:bCs/>
                <w:sz w:val="24"/>
              </w:rPr>
              <w:t>Type of</w:t>
            </w:r>
          </w:p>
          <w:p w:rsidRPr="002709ED" w:rsidR="00085057" w:rsidP="00FD1A11" w:rsidRDefault="00085057" w14:paraId="05C96578" w14:textId="77777777">
            <w:pPr>
              <w:widowControl/>
              <w:tabs>
                <w:tab w:val="num" w:pos="1080"/>
              </w:tabs>
              <w:jc w:val="center"/>
              <w:rPr>
                <w:b/>
                <w:bCs/>
                <w:sz w:val="24"/>
              </w:rPr>
            </w:pPr>
            <w:r w:rsidRPr="002709ED">
              <w:rPr>
                <w:b/>
                <w:bCs/>
                <w:sz w:val="24"/>
              </w:rPr>
              <w:t>Respondent</w:t>
            </w:r>
          </w:p>
          <w:p w:rsidRPr="002709ED" w:rsidR="00085057" w:rsidP="00FD1A11" w:rsidRDefault="00085057" w14:paraId="05C96579" w14:textId="77777777">
            <w:pPr>
              <w:widowControl/>
              <w:tabs>
                <w:tab w:val="num" w:pos="1080"/>
              </w:tabs>
              <w:jc w:val="center"/>
              <w:rPr>
                <w:b/>
                <w:bCs/>
                <w:sz w:val="24"/>
              </w:rPr>
            </w:pPr>
          </w:p>
        </w:tc>
        <w:tc>
          <w:tcPr>
            <w:tcW w:w="1455" w:type="dxa"/>
            <w:vAlign w:val="bottom"/>
          </w:tcPr>
          <w:p w:rsidRPr="002709ED" w:rsidR="00085057" w:rsidP="00FD1A11" w:rsidRDefault="00085057" w14:paraId="05C9657A" w14:textId="77777777">
            <w:pPr>
              <w:widowControl/>
              <w:tabs>
                <w:tab w:val="num" w:pos="1080"/>
              </w:tabs>
              <w:jc w:val="center"/>
              <w:rPr>
                <w:b/>
                <w:bCs/>
                <w:sz w:val="24"/>
              </w:rPr>
            </w:pPr>
            <w:r w:rsidRPr="002709ED">
              <w:rPr>
                <w:b/>
                <w:bCs/>
                <w:sz w:val="24"/>
              </w:rPr>
              <w:t>Form</w:t>
            </w:r>
          </w:p>
          <w:p w:rsidRPr="002709ED" w:rsidR="00085057" w:rsidP="00FD1A11" w:rsidRDefault="00085057" w14:paraId="05C9657B" w14:textId="77777777">
            <w:pPr>
              <w:widowControl/>
              <w:tabs>
                <w:tab w:val="num" w:pos="1080"/>
              </w:tabs>
              <w:jc w:val="center"/>
              <w:rPr>
                <w:b/>
                <w:bCs/>
                <w:sz w:val="24"/>
              </w:rPr>
            </w:pPr>
            <w:r w:rsidRPr="002709ED">
              <w:rPr>
                <w:b/>
                <w:bCs/>
                <w:sz w:val="24"/>
              </w:rPr>
              <w:t>Name</w:t>
            </w:r>
          </w:p>
          <w:p w:rsidRPr="002709ED" w:rsidR="00085057" w:rsidP="00FD1A11" w:rsidRDefault="00085057" w14:paraId="05C9657C" w14:textId="77777777">
            <w:pPr>
              <w:widowControl/>
              <w:tabs>
                <w:tab w:val="num" w:pos="1080"/>
              </w:tabs>
              <w:jc w:val="center"/>
              <w:rPr>
                <w:b/>
                <w:bCs/>
                <w:sz w:val="24"/>
              </w:rPr>
            </w:pPr>
          </w:p>
        </w:tc>
        <w:tc>
          <w:tcPr>
            <w:tcW w:w="1523" w:type="dxa"/>
            <w:vAlign w:val="bottom"/>
          </w:tcPr>
          <w:p w:rsidRPr="002709ED" w:rsidR="00085057" w:rsidP="00FD1A11" w:rsidRDefault="00085057" w14:paraId="05C9657D" w14:textId="77777777">
            <w:pPr>
              <w:widowControl/>
              <w:tabs>
                <w:tab w:val="num" w:pos="1080"/>
              </w:tabs>
              <w:jc w:val="center"/>
              <w:rPr>
                <w:b/>
                <w:bCs/>
                <w:sz w:val="24"/>
              </w:rPr>
            </w:pPr>
            <w:r w:rsidRPr="002709ED">
              <w:rPr>
                <w:b/>
                <w:bCs/>
                <w:sz w:val="24"/>
              </w:rPr>
              <w:t>No. of</w:t>
            </w:r>
          </w:p>
          <w:p w:rsidRPr="002709ED" w:rsidR="00085057" w:rsidP="00FD1A11" w:rsidRDefault="00085057" w14:paraId="05C9657E" w14:textId="77777777">
            <w:pPr>
              <w:widowControl/>
              <w:tabs>
                <w:tab w:val="num" w:pos="1080"/>
              </w:tabs>
              <w:jc w:val="center"/>
              <w:rPr>
                <w:b/>
                <w:bCs/>
                <w:sz w:val="24"/>
              </w:rPr>
            </w:pPr>
            <w:r w:rsidRPr="002709ED">
              <w:rPr>
                <w:b/>
                <w:bCs/>
                <w:sz w:val="24"/>
              </w:rPr>
              <w:t>Respondents</w:t>
            </w:r>
          </w:p>
        </w:tc>
        <w:tc>
          <w:tcPr>
            <w:tcW w:w="1487" w:type="dxa"/>
            <w:vAlign w:val="bottom"/>
          </w:tcPr>
          <w:p w:rsidRPr="002709ED" w:rsidR="00085057" w:rsidP="00FD1A11" w:rsidRDefault="00085057" w14:paraId="05C9657F" w14:textId="77777777">
            <w:pPr>
              <w:widowControl/>
              <w:tabs>
                <w:tab w:val="num" w:pos="1080"/>
              </w:tabs>
              <w:jc w:val="center"/>
              <w:rPr>
                <w:b/>
                <w:bCs/>
                <w:sz w:val="24"/>
              </w:rPr>
            </w:pPr>
            <w:r w:rsidRPr="002709ED">
              <w:rPr>
                <w:b/>
                <w:bCs/>
                <w:sz w:val="24"/>
              </w:rPr>
              <w:t>No.</w:t>
            </w:r>
          </w:p>
          <w:p w:rsidRPr="002709ED" w:rsidR="00085057" w:rsidP="00FD1A11" w:rsidRDefault="00085057" w14:paraId="05C96580" w14:textId="77777777">
            <w:pPr>
              <w:widowControl/>
              <w:tabs>
                <w:tab w:val="num" w:pos="1080"/>
              </w:tabs>
              <w:jc w:val="center"/>
              <w:rPr>
                <w:b/>
                <w:bCs/>
                <w:sz w:val="24"/>
              </w:rPr>
            </w:pPr>
            <w:r w:rsidRPr="002709ED">
              <w:rPr>
                <w:b/>
                <w:bCs/>
                <w:sz w:val="24"/>
              </w:rPr>
              <w:t>Responses</w:t>
            </w:r>
          </w:p>
          <w:p w:rsidRPr="002709ED" w:rsidR="00085057" w:rsidP="00FD1A11" w:rsidRDefault="00085057" w14:paraId="05C96581" w14:textId="77777777">
            <w:pPr>
              <w:widowControl/>
              <w:tabs>
                <w:tab w:val="num" w:pos="1080"/>
              </w:tabs>
              <w:jc w:val="center"/>
              <w:rPr>
                <w:b/>
                <w:bCs/>
                <w:sz w:val="24"/>
              </w:rPr>
            </w:pPr>
            <w:r w:rsidRPr="002709ED">
              <w:rPr>
                <w:b/>
                <w:bCs/>
                <w:sz w:val="24"/>
              </w:rPr>
              <w:t>per</w:t>
            </w:r>
          </w:p>
          <w:p w:rsidRPr="002709ED" w:rsidR="00085057" w:rsidP="00FD1A11" w:rsidRDefault="00085057" w14:paraId="05C96582" w14:textId="77777777">
            <w:pPr>
              <w:widowControl/>
              <w:tabs>
                <w:tab w:val="num" w:pos="1080"/>
              </w:tabs>
              <w:jc w:val="center"/>
              <w:rPr>
                <w:b/>
                <w:bCs/>
                <w:sz w:val="24"/>
              </w:rPr>
            </w:pPr>
            <w:r w:rsidRPr="002709ED">
              <w:rPr>
                <w:b/>
                <w:bCs/>
                <w:sz w:val="24"/>
              </w:rPr>
              <w:t>Respondent</w:t>
            </w:r>
          </w:p>
        </w:tc>
        <w:tc>
          <w:tcPr>
            <w:tcW w:w="799" w:type="dxa"/>
            <w:vAlign w:val="bottom"/>
          </w:tcPr>
          <w:p w:rsidRPr="002709ED" w:rsidR="00085057" w:rsidP="00FD1A11" w:rsidRDefault="00085057" w14:paraId="3FEAC1B1" w14:textId="30023AE3">
            <w:pPr>
              <w:widowControl/>
              <w:tabs>
                <w:tab w:val="num" w:pos="1080"/>
              </w:tabs>
              <w:jc w:val="center"/>
              <w:rPr>
                <w:b/>
                <w:bCs/>
                <w:sz w:val="24"/>
              </w:rPr>
            </w:pPr>
            <w:r>
              <w:rPr>
                <w:b/>
                <w:bCs/>
                <w:sz w:val="24"/>
              </w:rPr>
              <w:t>Total Responses</w:t>
            </w:r>
          </w:p>
        </w:tc>
        <w:tc>
          <w:tcPr>
            <w:tcW w:w="1224" w:type="dxa"/>
            <w:vAlign w:val="bottom"/>
          </w:tcPr>
          <w:p w:rsidRPr="002709ED" w:rsidR="00085057" w:rsidP="00FD1A11" w:rsidRDefault="00085057" w14:paraId="05C96583" w14:textId="5AF68F77">
            <w:pPr>
              <w:widowControl/>
              <w:tabs>
                <w:tab w:val="num" w:pos="1080"/>
              </w:tabs>
              <w:jc w:val="center"/>
              <w:rPr>
                <w:b/>
                <w:bCs/>
                <w:sz w:val="24"/>
              </w:rPr>
            </w:pPr>
            <w:r w:rsidRPr="002709ED">
              <w:rPr>
                <w:b/>
                <w:bCs/>
                <w:sz w:val="24"/>
              </w:rPr>
              <w:t>Average</w:t>
            </w:r>
          </w:p>
          <w:p w:rsidRPr="002709ED" w:rsidR="00085057" w:rsidP="00FD1A11" w:rsidRDefault="00085057" w14:paraId="05C96584" w14:textId="77777777">
            <w:pPr>
              <w:widowControl/>
              <w:tabs>
                <w:tab w:val="num" w:pos="1080"/>
              </w:tabs>
              <w:jc w:val="center"/>
              <w:rPr>
                <w:b/>
                <w:bCs/>
                <w:sz w:val="24"/>
              </w:rPr>
            </w:pPr>
            <w:r w:rsidRPr="002709ED">
              <w:rPr>
                <w:b/>
                <w:bCs/>
                <w:sz w:val="24"/>
              </w:rPr>
              <w:t>Burden per</w:t>
            </w:r>
          </w:p>
          <w:p w:rsidRPr="002709ED" w:rsidR="00085057" w:rsidP="00FD1A11" w:rsidRDefault="00085057" w14:paraId="05C96585" w14:textId="77777777">
            <w:pPr>
              <w:widowControl/>
              <w:tabs>
                <w:tab w:val="num" w:pos="1080"/>
              </w:tabs>
              <w:jc w:val="center"/>
              <w:rPr>
                <w:b/>
                <w:bCs/>
                <w:sz w:val="24"/>
              </w:rPr>
            </w:pPr>
            <w:r w:rsidRPr="002709ED">
              <w:rPr>
                <w:b/>
                <w:bCs/>
                <w:sz w:val="24"/>
              </w:rPr>
              <w:t>Response</w:t>
            </w:r>
          </w:p>
          <w:p w:rsidRPr="002709ED" w:rsidR="00085057" w:rsidP="00FD1A11" w:rsidRDefault="00085057" w14:paraId="05C96586" w14:textId="77777777">
            <w:pPr>
              <w:widowControl/>
              <w:tabs>
                <w:tab w:val="num" w:pos="1080"/>
              </w:tabs>
              <w:jc w:val="center"/>
              <w:rPr>
                <w:b/>
                <w:bCs/>
                <w:sz w:val="24"/>
              </w:rPr>
            </w:pPr>
            <w:r w:rsidRPr="002709ED">
              <w:rPr>
                <w:b/>
                <w:bCs/>
                <w:sz w:val="24"/>
              </w:rPr>
              <w:t>(in hours)</w:t>
            </w:r>
          </w:p>
        </w:tc>
        <w:tc>
          <w:tcPr>
            <w:tcW w:w="1230" w:type="dxa"/>
            <w:vAlign w:val="bottom"/>
          </w:tcPr>
          <w:p w:rsidRPr="002709ED" w:rsidR="00085057" w:rsidP="00FD1A11" w:rsidRDefault="00085057" w14:paraId="05C96587" w14:textId="77777777">
            <w:pPr>
              <w:widowControl/>
              <w:tabs>
                <w:tab w:val="num" w:pos="1080"/>
              </w:tabs>
              <w:jc w:val="center"/>
              <w:rPr>
                <w:b/>
                <w:bCs/>
                <w:sz w:val="24"/>
              </w:rPr>
            </w:pPr>
            <w:r w:rsidRPr="002709ED">
              <w:rPr>
                <w:b/>
                <w:bCs/>
                <w:sz w:val="24"/>
              </w:rPr>
              <w:t>Total Burden Hours</w:t>
            </w:r>
          </w:p>
        </w:tc>
      </w:tr>
      <w:tr w:rsidRPr="002709ED" w:rsidR="00085057" w:rsidTr="00FD1A11" w14:paraId="05C9658F" w14:textId="77777777">
        <w:trPr>
          <w:trHeight w:val="679"/>
        </w:trPr>
        <w:tc>
          <w:tcPr>
            <w:tcW w:w="1632" w:type="dxa"/>
          </w:tcPr>
          <w:p w:rsidRPr="002709ED" w:rsidR="00085057" w:rsidP="003C2AA2" w:rsidRDefault="00085057" w14:paraId="05C96589" w14:textId="16EC34F1">
            <w:pPr>
              <w:widowControl/>
              <w:tabs>
                <w:tab w:val="num" w:pos="1080"/>
              </w:tabs>
              <w:rPr>
                <w:b/>
                <w:bCs/>
                <w:sz w:val="24"/>
              </w:rPr>
            </w:pPr>
            <w:r w:rsidRPr="002709ED">
              <w:rPr>
                <w:b/>
                <w:bCs/>
                <w:sz w:val="24"/>
              </w:rPr>
              <w:t xml:space="preserve">THC Program Directors and/or Financial Officers </w:t>
            </w:r>
          </w:p>
        </w:tc>
        <w:tc>
          <w:tcPr>
            <w:tcW w:w="1455" w:type="dxa"/>
          </w:tcPr>
          <w:p w:rsidRPr="002709ED" w:rsidR="00085057" w:rsidP="00584C3F" w:rsidRDefault="00085057" w14:paraId="05C9658A" w14:textId="25C91376">
            <w:pPr>
              <w:widowControl/>
              <w:tabs>
                <w:tab w:val="num" w:pos="1080"/>
              </w:tabs>
              <w:rPr>
                <w:b/>
                <w:bCs/>
                <w:sz w:val="24"/>
              </w:rPr>
            </w:pPr>
            <w:r w:rsidRPr="002709ED">
              <w:rPr>
                <w:sz w:val="24"/>
              </w:rPr>
              <w:t>Teaching Health Center Costing Instrument</w:t>
            </w:r>
          </w:p>
        </w:tc>
        <w:tc>
          <w:tcPr>
            <w:tcW w:w="1523" w:type="dxa"/>
            <w:vAlign w:val="center"/>
          </w:tcPr>
          <w:p w:rsidRPr="002709ED" w:rsidR="00085057" w:rsidP="00FD1A11" w:rsidRDefault="00085057" w14:paraId="05C9658B" w14:textId="2791DDA7">
            <w:pPr>
              <w:widowControl/>
              <w:tabs>
                <w:tab w:val="num" w:pos="1080"/>
              </w:tabs>
              <w:jc w:val="right"/>
              <w:rPr>
                <w:b/>
                <w:bCs/>
                <w:sz w:val="24"/>
              </w:rPr>
            </w:pPr>
            <w:r w:rsidRPr="002709ED">
              <w:rPr>
                <w:sz w:val="24"/>
              </w:rPr>
              <w:t xml:space="preserve">56  </w:t>
            </w:r>
          </w:p>
        </w:tc>
        <w:tc>
          <w:tcPr>
            <w:tcW w:w="1487" w:type="dxa"/>
            <w:vAlign w:val="center"/>
          </w:tcPr>
          <w:p w:rsidRPr="002709ED" w:rsidR="00085057" w:rsidP="00FD1A11" w:rsidRDefault="00085057" w14:paraId="05C9658C" w14:textId="375FE51D">
            <w:pPr>
              <w:widowControl/>
              <w:tabs>
                <w:tab w:val="num" w:pos="1080"/>
              </w:tabs>
              <w:jc w:val="right"/>
              <w:rPr>
                <w:b/>
                <w:bCs/>
                <w:sz w:val="24"/>
              </w:rPr>
            </w:pPr>
            <w:r w:rsidRPr="002709ED">
              <w:rPr>
                <w:sz w:val="24"/>
              </w:rPr>
              <w:t>1</w:t>
            </w:r>
          </w:p>
        </w:tc>
        <w:tc>
          <w:tcPr>
            <w:tcW w:w="799" w:type="dxa"/>
            <w:vAlign w:val="center"/>
          </w:tcPr>
          <w:p w:rsidRPr="002709ED" w:rsidR="00085057" w:rsidP="00FD1A11" w:rsidRDefault="00085057" w14:paraId="4C35A4DE" w14:textId="66E3C0A5">
            <w:pPr>
              <w:widowControl/>
              <w:tabs>
                <w:tab w:val="num" w:pos="1080"/>
              </w:tabs>
              <w:jc w:val="right"/>
              <w:rPr>
                <w:sz w:val="24"/>
              </w:rPr>
            </w:pPr>
            <w:r>
              <w:rPr>
                <w:sz w:val="24"/>
              </w:rPr>
              <w:t>56</w:t>
            </w:r>
          </w:p>
        </w:tc>
        <w:tc>
          <w:tcPr>
            <w:tcW w:w="1224" w:type="dxa"/>
            <w:vAlign w:val="center"/>
          </w:tcPr>
          <w:p w:rsidRPr="002709ED" w:rsidR="00085057" w:rsidP="00FD1A11" w:rsidRDefault="00085057" w14:paraId="05C9658D" w14:textId="2C1567A3">
            <w:pPr>
              <w:widowControl/>
              <w:tabs>
                <w:tab w:val="num" w:pos="1080"/>
              </w:tabs>
              <w:jc w:val="right"/>
              <w:rPr>
                <w:b/>
                <w:bCs/>
                <w:sz w:val="24"/>
              </w:rPr>
            </w:pPr>
            <w:r w:rsidRPr="002709ED">
              <w:rPr>
                <w:sz w:val="24"/>
              </w:rPr>
              <w:t>10</w:t>
            </w:r>
          </w:p>
        </w:tc>
        <w:tc>
          <w:tcPr>
            <w:tcW w:w="1230" w:type="dxa"/>
            <w:vAlign w:val="center"/>
          </w:tcPr>
          <w:p w:rsidRPr="002709ED" w:rsidR="00085057" w:rsidP="00FD1A11" w:rsidRDefault="00085057" w14:paraId="05C9658E" w14:textId="41D4420A">
            <w:pPr>
              <w:widowControl/>
              <w:tabs>
                <w:tab w:val="num" w:pos="1080"/>
              </w:tabs>
              <w:jc w:val="right"/>
              <w:rPr>
                <w:b/>
                <w:bCs/>
                <w:sz w:val="24"/>
              </w:rPr>
            </w:pPr>
            <w:r w:rsidRPr="002709ED">
              <w:rPr>
                <w:sz w:val="24"/>
              </w:rPr>
              <w:t>5</w:t>
            </w:r>
            <w:r>
              <w:rPr>
                <w:sz w:val="24"/>
              </w:rPr>
              <w:t>60</w:t>
            </w:r>
          </w:p>
        </w:tc>
      </w:tr>
      <w:tr w:rsidRPr="002709ED" w:rsidR="00085057" w:rsidTr="00FD1A11" w14:paraId="05C9659F" w14:textId="77777777">
        <w:trPr>
          <w:trHeight w:val="815"/>
        </w:trPr>
        <w:tc>
          <w:tcPr>
            <w:tcW w:w="1632" w:type="dxa"/>
          </w:tcPr>
          <w:p w:rsidRPr="002709ED" w:rsidR="00085057" w:rsidP="003C2AA2" w:rsidRDefault="00085057" w14:paraId="05C96598" w14:textId="77777777">
            <w:pPr>
              <w:widowControl/>
              <w:tabs>
                <w:tab w:val="num" w:pos="1080"/>
              </w:tabs>
              <w:rPr>
                <w:b/>
                <w:bCs/>
                <w:sz w:val="24"/>
              </w:rPr>
            </w:pPr>
            <w:r w:rsidRPr="002709ED">
              <w:rPr>
                <w:b/>
                <w:bCs/>
                <w:sz w:val="24"/>
              </w:rPr>
              <w:t>Total</w:t>
            </w:r>
          </w:p>
        </w:tc>
        <w:tc>
          <w:tcPr>
            <w:tcW w:w="1455" w:type="dxa"/>
          </w:tcPr>
          <w:p w:rsidRPr="002709ED" w:rsidR="00085057" w:rsidP="009E689B" w:rsidRDefault="00085057" w14:paraId="05C96599" w14:textId="543A3EBA">
            <w:pPr>
              <w:widowControl/>
              <w:tabs>
                <w:tab w:val="num" w:pos="1080"/>
              </w:tabs>
              <w:rPr>
                <w:sz w:val="24"/>
              </w:rPr>
            </w:pPr>
          </w:p>
        </w:tc>
        <w:tc>
          <w:tcPr>
            <w:tcW w:w="1523" w:type="dxa"/>
            <w:vAlign w:val="center"/>
          </w:tcPr>
          <w:p w:rsidRPr="002709ED" w:rsidR="00085057" w:rsidP="00FD1A11" w:rsidRDefault="00085057" w14:paraId="05C9659A" w14:textId="75123901">
            <w:pPr>
              <w:widowControl/>
              <w:tabs>
                <w:tab w:val="num" w:pos="1080"/>
              </w:tabs>
              <w:jc w:val="right"/>
              <w:rPr>
                <w:sz w:val="24"/>
              </w:rPr>
            </w:pPr>
            <w:r w:rsidRPr="002709ED">
              <w:rPr>
                <w:sz w:val="24"/>
              </w:rPr>
              <w:t>56</w:t>
            </w:r>
          </w:p>
        </w:tc>
        <w:tc>
          <w:tcPr>
            <w:tcW w:w="1487" w:type="dxa"/>
            <w:vAlign w:val="center"/>
          </w:tcPr>
          <w:p w:rsidRPr="002709ED" w:rsidR="00085057" w:rsidP="00FD1A11" w:rsidRDefault="00085057" w14:paraId="05C9659B" w14:textId="6866FEF1">
            <w:pPr>
              <w:widowControl/>
              <w:tabs>
                <w:tab w:val="num" w:pos="1080"/>
              </w:tabs>
              <w:jc w:val="right"/>
              <w:rPr>
                <w:sz w:val="24"/>
              </w:rPr>
            </w:pPr>
          </w:p>
        </w:tc>
        <w:tc>
          <w:tcPr>
            <w:tcW w:w="799" w:type="dxa"/>
            <w:vAlign w:val="center"/>
          </w:tcPr>
          <w:p w:rsidRPr="002709ED" w:rsidR="00085057" w:rsidP="00FD1A11" w:rsidRDefault="00085057" w14:paraId="1E7AE31D" w14:textId="51FFC4F9">
            <w:pPr>
              <w:widowControl/>
              <w:tabs>
                <w:tab w:val="num" w:pos="1080"/>
              </w:tabs>
              <w:jc w:val="right"/>
              <w:rPr>
                <w:sz w:val="24"/>
              </w:rPr>
            </w:pPr>
            <w:r>
              <w:rPr>
                <w:sz w:val="24"/>
              </w:rPr>
              <w:t>56</w:t>
            </w:r>
          </w:p>
        </w:tc>
        <w:tc>
          <w:tcPr>
            <w:tcW w:w="1224" w:type="dxa"/>
            <w:vAlign w:val="center"/>
          </w:tcPr>
          <w:p w:rsidRPr="002709ED" w:rsidR="00085057" w:rsidP="00FD1A11" w:rsidRDefault="00085057" w14:paraId="05C9659C" w14:textId="4102AB85">
            <w:pPr>
              <w:widowControl/>
              <w:tabs>
                <w:tab w:val="num" w:pos="1080"/>
              </w:tabs>
              <w:jc w:val="right"/>
              <w:rPr>
                <w:sz w:val="24"/>
              </w:rPr>
            </w:pPr>
          </w:p>
        </w:tc>
        <w:tc>
          <w:tcPr>
            <w:tcW w:w="1230" w:type="dxa"/>
            <w:vAlign w:val="center"/>
          </w:tcPr>
          <w:p w:rsidRPr="002709ED" w:rsidR="00085057" w:rsidP="00FD1A11" w:rsidRDefault="00085057" w14:paraId="05C9659E" w14:textId="60A4064C">
            <w:pPr>
              <w:widowControl/>
              <w:tabs>
                <w:tab w:val="num" w:pos="1080"/>
              </w:tabs>
              <w:jc w:val="right"/>
              <w:rPr>
                <w:sz w:val="24"/>
              </w:rPr>
            </w:pPr>
            <w:r w:rsidRPr="002709ED">
              <w:rPr>
                <w:sz w:val="24"/>
              </w:rPr>
              <w:t>5</w:t>
            </w:r>
            <w:r>
              <w:rPr>
                <w:sz w:val="24"/>
              </w:rPr>
              <w:t>60</w:t>
            </w:r>
          </w:p>
        </w:tc>
      </w:tr>
    </w:tbl>
    <w:p w:rsidR="009F4030" w:rsidP="003C2AA2" w:rsidRDefault="009F4030" w14:paraId="595AD93E" w14:textId="77777777">
      <w:pPr>
        <w:widowControl/>
        <w:rPr>
          <w:b/>
          <w:sz w:val="28"/>
          <w:szCs w:val="28"/>
        </w:rPr>
      </w:pPr>
    </w:p>
    <w:p w:rsidRPr="002709ED" w:rsidR="009B3794" w:rsidRDefault="009B3794" w14:paraId="05C965AB" w14:textId="7B4259B3">
      <w:pPr>
        <w:widowControl/>
        <w:rPr>
          <w:b/>
          <w:sz w:val="24"/>
        </w:rPr>
      </w:pPr>
      <w:r w:rsidRPr="002709ED">
        <w:rPr>
          <w:b/>
          <w:sz w:val="28"/>
          <w:szCs w:val="28"/>
        </w:rPr>
        <w:t>12B</w:t>
      </w:r>
      <w:r w:rsidRPr="002709ED">
        <w:rPr>
          <w:sz w:val="28"/>
          <w:szCs w:val="28"/>
        </w:rPr>
        <w:t xml:space="preserve">. </w:t>
      </w:r>
      <w:r w:rsidRPr="002709ED">
        <w:rPr>
          <w:b/>
          <w:sz w:val="24"/>
        </w:rPr>
        <w:t>Estimated Annualized Burden Costs</w:t>
      </w:r>
    </w:p>
    <w:tbl>
      <w:tblPr>
        <w:tblW w:w="918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8"/>
        <w:gridCol w:w="1330"/>
        <w:gridCol w:w="1429"/>
        <w:gridCol w:w="3193"/>
      </w:tblGrid>
      <w:tr w:rsidRPr="002709ED" w:rsidR="009B3794" w:rsidTr="009F4030" w14:paraId="05C965B7" w14:textId="77777777">
        <w:tc>
          <w:tcPr>
            <w:tcW w:w="3228" w:type="dxa"/>
          </w:tcPr>
          <w:p w:rsidRPr="002709ED" w:rsidR="009B3794" w:rsidRDefault="009B3794" w14:paraId="05C965AC" w14:textId="77777777">
            <w:pPr>
              <w:widowControl/>
              <w:rPr>
                <w:b/>
                <w:bCs/>
                <w:sz w:val="24"/>
              </w:rPr>
            </w:pPr>
            <w:r w:rsidRPr="002709ED">
              <w:rPr>
                <w:b/>
                <w:bCs/>
                <w:sz w:val="24"/>
              </w:rPr>
              <w:t>Type of</w:t>
            </w:r>
          </w:p>
          <w:p w:rsidRPr="002709ED" w:rsidR="009B3794" w:rsidRDefault="009B3794" w14:paraId="05C965AD" w14:textId="77777777">
            <w:pPr>
              <w:widowControl/>
              <w:rPr>
                <w:sz w:val="24"/>
              </w:rPr>
            </w:pPr>
            <w:r w:rsidRPr="002709ED">
              <w:rPr>
                <w:b/>
                <w:bCs/>
                <w:sz w:val="24"/>
              </w:rPr>
              <w:t>Respondent</w:t>
            </w:r>
          </w:p>
          <w:p w:rsidRPr="002709ED" w:rsidR="009B3794" w:rsidRDefault="009B3794" w14:paraId="05C965AE" w14:textId="77777777">
            <w:pPr>
              <w:widowControl/>
              <w:rPr>
                <w:b/>
                <w:bCs/>
                <w:sz w:val="24"/>
              </w:rPr>
            </w:pPr>
          </w:p>
        </w:tc>
        <w:tc>
          <w:tcPr>
            <w:tcW w:w="1330" w:type="dxa"/>
          </w:tcPr>
          <w:p w:rsidRPr="002709ED" w:rsidR="009B3794" w:rsidRDefault="009B3794" w14:paraId="05C965AF" w14:textId="77777777">
            <w:pPr>
              <w:widowControl/>
              <w:rPr>
                <w:b/>
                <w:bCs/>
                <w:sz w:val="24"/>
              </w:rPr>
            </w:pPr>
            <w:r w:rsidRPr="002709ED">
              <w:rPr>
                <w:b/>
                <w:bCs/>
                <w:sz w:val="24"/>
              </w:rPr>
              <w:t>Total Burden</w:t>
            </w:r>
          </w:p>
          <w:p w:rsidRPr="002709ED" w:rsidR="009B3794" w:rsidRDefault="009B3794" w14:paraId="05C965B0" w14:textId="77777777">
            <w:pPr>
              <w:widowControl/>
              <w:rPr>
                <w:sz w:val="24"/>
              </w:rPr>
            </w:pPr>
            <w:r w:rsidRPr="002709ED">
              <w:rPr>
                <w:b/>
                <w:bCs/>
                <w:sz w:val="24"/>
              </w:rPr>
              <w:t>Hours</w:t>
            </w:r>
          </w:p>
          <w:p w:rsidRPr="002709ED" w:rsidR="009B3794" w:rsidRDefault="009B3794" w14:paraId="05C965B1" w14:textId="77777777">
            <w:pPr>
              <w:widowControl/>
              <w:rPr>
                <w:b/>
                <w:bCs/>
                <w:sz w:val="24"/>
              </w:rPr>
            </w:pPr>
          </w:p>
        </w:tc>
        <w:tc>
          <w:tcPr>
            <w:tcW w:w="1429" w:type="dxa"/>
          </w:tcPr>
          <w:p w:rsidRPr="002709ED" w:rsidR="009B3794" w:rsidRDefault="009B3794" w14:paraId="05C965B2" w14:textId="77777777">
            <w:pPr>
              <w:widowControl/>
              <w:rPr>
                <w:b/>
                <w:bCs/>
                <w:sz w:val="24"/>
              </w:rPr>
            </w:pPr>
            <w:r w:rsidRPr="002709ED">
              <w:rPr>
                <w:b/>
                <w:bCs/>
                <w:sz w:val="24"/>
              </w:rPr>
              <w:t>Hourly</w:t>
            </w:r>
          </w:p>
          <w:p w:rsidRPr="002709ED" w:rsidR="009B3794" w:rsidRDefault="009B3794" w14:paraId="05C965B3" w14:textId="77777777">
            <w:pPr>
              <w:widowControl/>
              <w:rPr>
                <w:sz w:val="24"/>
              </w:rPr>
            </w:pPr>
            <w:r w:rsidRPr="002709ED">
              <w:rPr>
                <w:b/>
                <w:bCs/>
                <w:sz w:val="24"/>
              </w:rPr>
              <w:t>Wage Rate</w:t>
            </w:r>
          </w:p>
          <w:p w:rsidRPr="002709ED" w:rsidR="009B3794" w:rsidRDefault="009B3794" w14:paraId="05C965B4" w14:textId="77777777">
            <w:pPr>
              <w:widowControl/>
              <w:rPr>
                <w:b/>
                <w:bCs/>
                <w:sz w:val="24"/>
              </w:rPr>
            </w:pPr>
          </w:p>
        </w:tc>
        <w:tc>
          <w:tcPr>
            <w:tcW w:w="3193" w:type="dxa"/>
          </w:tcPr>
          <w:p w:rsidRPr="002709ED" w:rsidR="009B3794" w:rsidRDefault="009B3794" w14:paraId="05C965B5" w14:textId="77777777">
            <w:pPr>
              <w:widowControl/>
              <w:rPr>
                <w:sz w:val="24"/>
              </w:rPr>
            </w:pPr>
            <w:r w:rsidRPr="002709ED">
              <w:rPr>
                <w:b/>
                <w:bCs/>
                <w:sz w:val="24"/>
              </w:rPr>
              <w:t>Total Respondent Costs</w:t>
            </w:r>
          </w:p>
          <w:p w:rsidRPr="002709ED" w:rsidR="009B3794" w:rsidRDefault="009B3794" w14:paraId="05C965B6" w14:textId="77777777">
            <w:pPr>
              <w:widowControl/>
              <w:rPr>
                <w:b/>
                <w:bCs/>
                <w:sz w:val="24"/>
              </w:rPr>
            </w:pPr>
          </w:p>
        </w:tc>
      </w:tr>
      <w:tr w:rsidRPr="002709ED" w:rsidR="009B3794" w:rsidTr="009F4030" w14:paraId="05C965BC" w14:textId="77777777">
        <w:tc>
          <w:tcPr>
            <w:tcW w:w="3228" w:type="dxa"/>
          </w:tcPr>
          <w:p w:rsidRPr="002709ED" w:rsidR="009B3794" w:rsidP="003C2AA2" w:rsidRDefault="00CC3955" w14:paraId="05C965B8" w14:textId="4EB85907">
            <w:pPr>
              <w:rPr>
                <w:sz w:val="24"/>
              </w:rPr>
            </w:pPr>
            <w:r w:rsidRPr="002709ED">
              <w:rPr>
                <w:b/>
                <w:bCs/>
                <w:sz w:val="24"/>
              </w:rPr>
              <w:t>THC Program Directors and/or Financial Officers</w:t>
            </w:r>
          </w:p>
        </w:tc>
        <w:tc>
          <w:tcPr>
            <w:tcW w:w="1330" w:type="dxa"/>
          </w:tcPr>
          <w:p w:rsidRPr="002709ED" w:rsidR="009B3794" w:rsidRDefault="00D459E3" w14:paraId="05C965B9" w14:textId="371F9937">
            <w:pPr>
              <w:rPr>
                <w:sz w:val="24"/>
              </w:rPr>
            </w:pPr>
            <w:r>
              <w:rPr>
                <w:sz w:val="24"/>
              </w:rPr>
              <w:t>560</w:t>
            </w:r>
          </w:p>
        </w:tc>
        <w:tc>
          <w:tcPr>
            <w:tcW w:w="1429" w:type="dxa"/>
          </w:tcPr>
          <w:p w:rsidRPr="002709ED" w:rsidR="009B3794" w:rsidP="009E689B" w:rsidRDefault="009B3794" w14:paraId="05C965BA" w14:textId="74142693">
            <w:pPr>
              <w:rPr>
                <w:sz w:val="24"/>
              </w:rPr>
            </w:pPr>
            <w:r w:rsidRPr="002709ED">
              <w:rPr>
                <w:sz w:val="24"/>
              </w:rPr>
              <w:t xml:space="preserve"> $</w:t>
            </w:r>
            <w:r w:rsidRPr="002709ED" w:rsidR="00CC3955">
              <w:rPr>
                <w:sz w:val="24"/>
              </w:rPr>
              <w:t>98.02</w:t>
            </w:r>
            <w:r w:rsidRPr="002709ED" w:rsidR="00B1355F">
              <w:rPr>
                <w:sz w:val="24"/>
                <w:vertAlign w:val="superscript"/>
                <w:lang w:val="fr-FR"/>
              </w:rPr>
              <w:t>1</w:t>
            </w:r>
            <w:r w:rsidRPr="002709ED">
              <w:rPr>
                <w:sz w:val="24"/>
              </w:rPr>
              <w:t xml:space="preserve"> </w:t>
            </w:r>
          </w:p>
        </w:tc>
        <w:tc>
          <w:tcPr>
            <w:tcW w:w="3193" w:type="dxa"/>
          </w:tcPr>
          <w:p w:rsidRPr="002709ED" w:rsidR="009B3794" w:rsidP="009E689B" w:rsidRDefault="009B3794" w14:paraId="05C965BB" w14:textId="1D717D58">
            <w:pPr>
              <w:rPr>
                <w:sz w:val="24"/>
              </w:rPr>
            </w:pPr>
            <w:r w:rsidRPr="002709ED">
              <w:rPr>
                <w:sz w:val="24"/>
              </w:rPr>
              <w:t xml:space="preserve"> $</w:t>
            </w:r>
            <w:r w:rsidR="00D459E3">
              <w:rPr>
                <w:sz w:val="24"/>
              </w:rPr>
              <w:t>54,891.20</w:t>
            </w:r>
          </w:p>
        </w:tc>
      </w:tr>
      <w:tr w:rsidRPr="002709ED" w:rsidR="009B3794" w:rsidTr="009F4030" w14:paraId="05C965C6" w14:textId="77777777">
        <w:trPr>
          <w:trHeight w:val="440"/>
        </w:trPr>
        <w:tc>
          <w:tcPr>
            <w:tcW w:w="3228" w:type="dxa"/>
          </w:tcPr>
          <w:p w:rsidRPr="002709ED" w:rsidR="009B3794" w:rsidP="003C2AA2" w:rsidRDefault="009B3794" w14:paraId="05C965C2" w14:textId="77777777">
            <w:pPr>
              <w:widowControl/>
              <w:rPr>
                <w:sz w:val="24"/>
              </w:rPr>
            </w:pPr>
            <w:r w:rsidRPr="002709ED">
              <w:rPr>
                <w:sz w:val="24"/>
              </w:rPr>
              <w:t>Total</w:t>
            </w:r>
          </w:p>
        </w:tc>
        <w:tc>
          <w:tcPr>
            <w:tcW w:w="1330" w:type="dxa"/>
          </w:tcPr>
          <w:p w:rsidRPr="002709ED" w:rsidR="009B3794" w:rsidRDefault="007E74EA" w14:paraId="05C965C3" w14:textId="7C195BE7">
            <w:pPr>
              <w:widowControl/>
              <w:rPr>
                <w:sz w:val="24"/>
              </w:rPr>
            </w:pPr>
            <w:r>
              <w:rPr>
                <w:sz w:val="24"/>
              </w:rPr>
              <w:t>560</w:t>
            </w:r>
          </w:p>
        </w:tc>
        <w:tc>
          <w:tcPr>
            <w:tcW w:w="1429" w:type="dxa"/>
          </w:tcPr>
          <w:p w:rsidRPr="002709ED" w:rsidR="009B3794" w:rsidP="009E689B" w:rsidRDefault="009B3794" w14:paraId="05C965C4" w14:textId="62B1D3C3">
            <w:pPr>
              <w:widowControl/>
              <w:rPr>
                <w:sz w:val="24"/>
              </w:rPr>
            </w:pPr>
          </w:p>
        </w:tc>
        <w:tc>
          <w:tcPr>
            <w:tcW w:w="3193" w:type="dxa"/>
          </w:tcPr>
          <w:p w:rsidRPr="002709ED" w:rsidR="009B3794" w:rsidP="009E689B" w:rsidRDefault="009B3794" w14:paraId="05C965C5" w14:textId="25E25C42">
            <w:pPr>
              <w:widowControl/>
              <w:rPr>
                <w:sz w:val="24"/>
              </w:rPr>
            </w:pPr>
            <w:r w:rsidRPr="002709ED">
              <w:rPr>
                <w:sz w:val="24"/>
              </w:rPr>
              <w:t>$</w:t>
            </w:r>
            <w:r w:rsidR="00D459E3">
              <w:rPr>
                <w:sz w:val="24"/>
              </w:rPr>
              <w:t>54,891.20</w:t>
            </w:r>
          </w:p>
        </w:tc>
      </w:tr>
    </w:tbl>
    <w:p w:rsidR="00B1355F" w:rsidP="003C2AA2" w:rsidRDefault="00B1355F" w14:paraId="14B4341E" w14:textId="26B9DACD">
      <w:pPr>
        <w:ind w:left="360" w:right="186"/>
        <w:rPr>
          <w:color w:val="0000FF"/>
          <w:sz w:val="22"/>
          <w:szCs w:val="22"/>
          <w:u w:val="single" w:color="0000FF"/>
        </w:rPr>
      </w:pPr>
      <w:r w:rsidRPr="002709ED">
        <w:rPr>
          <w:position w:val="9"/>
          <w:szCs w:val="20"/>
        </w:rPr>
        <w:t>1</w:t>
      </w:r>
      <w:r w:rsidRPr="002709ED">
        <w:rPr>
          <w:sz w:val="22"/>
          <w:szCs w:val="22"/>
        </w:rPr>
        <w:t>Program directors of residency programs are required to be physicians as part of the residency program academic</w:t>
      </w:r>
      <w:r w:rsidRPr="002709ED">
        <w:rPr>
          <w:w w:val="99"/>
          <w:sz w:val="22"/>
          <w:szCs w:val="22"/>
        </w:rPr>
        <w:t xml:space="preserve"> </w:t>
      </w:r>
      <w:r w:rsidRPr="002709ED">
        <w:rPr>
          <w:sz w:val="22"/>
          <w:szCs w:val="22"/>
        </w:rPr>
        <w:t xml:space="preserve">accreditation. </w:t>
      </w:r>
      <w:r w:rsidR="00FD1A11">
        <w:rPr>
          <w:sz w:val="22"/>
          <w:szCs w:val="22"/>
        </w:rPr>
        <w:t xml:space="preserve"> </w:t>
      </w:r>
      <w:r w:rsidRPr="002709ED">
        <w:rPr>
          <w:sz w:val="22"/>
          <w:szCs w:val="22"/>
        </w:rPr>
        <w:t>Therefore, we used the average hourly wage of physicians provided by the Bureau of Labor and</w:t>
      </w:r>
      <w:r w:rsidRPr="002709ED">
        <w:rPr>
          <w:w w:val="99"/>
          <w:sz w:val="22"/>
          <w:szCs w:val="22"/>
        </w:rPr>
        <w:t xml:space="preserve"> </w:t>
      </w:r>
      <w:r w:rsidRPr="002709ED">
        <w:rPr>
          <w:sz w:val="22"/>
          <w:szCs w:val="22"/>
        </w:rPr>
        <w:t xml:space="preserve">Statistics to calculate the total respondent costs in the table above. </w:t>
      </w:r>
      <w:r w:rsidR="00FD1A11">
        <w:rPr>
          <w:sz w:val="22"/>
          <w:szCs w:val="22"/>
        </w:rPr>
        <w:t xml:space="preserve"> </w:t>
      </w:r>
      <w:r w:rsidRPr="002709ED">
        <w:rPr>
          <w:sz w:val="22"/>
          <w:szCs w:val="22"/>
        </w:rPr>
        <w:t>The link to the hourly</w:t>
      </w:r>
      <w:r w:rsidRPr="002709ED">
        <w:rPr>
          <w:w w:val="99"/>
          <w:sz w:val="22"/>
          <w:szCs w:val="22"/>
        </w:rPr>
        <w:t xml:space="preserve"> </w:t>
      </w:r>
      <w:r w:rsidRPr="002709ED">
        <w:rPr>
          <w:sz w:val="22"/>
          <w:szCs w:val="22"/>
        </w:rPr>
        <w:t xml:space="preserve">wage information </w:t>
      </w:r>
      <w:proofErr w:type="gramStart"/>
      <w:r w:rsidRPr="002709ED">
        <w:rPr>
          <w:sz w:val="22"/>
          <w:szCs w:val="22"/>
        </w:rPr>
        <w:t>can be found</w:t>
      </w:r>
      <w:proofErr w:type="gramEnd"/>
      <w:r w:rsidRPr="002709ED">
        <w:rPr>
          <w:sz w:val="22"/>
          <w:szCs w:val="22"/>
        </w:rPr>
        <w:t xml:space="preserve"> here: </w:t>
      </w:r>
      <w:hyperlink r:id="rId14">
        <w:r w:rsidRPr="002709ED">
          <w:rPr>
            <w:color w:val="0000FF"/>
            <w:sz w:val="22"/>
            <w:szCs w:val="22"/>
            <w:u w:val="single" w:color="0000FF"/>
          </w:rPr>
          <w:t>http://www.bls.gov/oes/current/oes291069.htm</w:t>
        </w:r>
      </w:hyperlink>
    </w:p>
    <w:p w:rsidRPr="002709ED" w:rsidR="009F4030" w:rsidRDefault="009F4030" w14:paraId="2A4A280C" w14:textId="77777777">
      <w:pPr>
        <w:ind w:left="360" w:right="186"/>
        <w:rPr>
          <w:color w:val="0000FF"/>
          <w:sz w:val="22"/>
          <w:szCs w:val="22"/>
          <w:u w:val="single" w:color="0000FF"/>
        </w:rPr>
      </w:pPr>
    </w:p>
    <w:p w:rsidRPr="002709ED" w:rsidR="009B3794" w:rsidRDefault="009B3794" w14:paraId="05C965C8" w14:textId="4418B862">
      <w:pPr>
        <w:numPr>
          <w:ilvl w:val="0"/>
          <w:numId w:val="2"/>
        </w:numPr>
        <w:tabs>
          <w:tab w:val="num" w:pos="360"/>
        </w:tabs>
        <w:ind w:left="360"/>
        <w:rPr>
          <w:b/>
          <w:sz w:val="24"/>
        </w:rPr>
      </w:pPr>
      <w:r w:rsidRPr="002709ED">
        <w:rPr>
          <w:b/>
          <w:sz w:val="24"/>
          <w:u w:val="single"/>
        </w:rPr>
        <w:t>Estimates of other Total Annual Cost Burden to Respondents or Recordkeepers/Capital Costs</w:t>
      </w:r>
    </w:p>
    <w:p w:rsidR="009F4030" w:rsidRDefault="009F4030" w14:paraId="152AC26B" w14:textId="77777777">
      <w:pPr>
        <w:pStyle w:val="BodyTextIndent"/>
        <w:ind w:left="0"/>
        <w:rPr>
          <w:rFonts w:ascii="Times New Roman" w:hAnsi="Times New Roman"/>
        </w:rPr>
      </w:pPr>
    </w:p>
    <w:p w:rsidR="00D11CA3" w:rsidRDefault="00D11CA3" w14:paraId="05C965CB" w14:textId="291B3E1E">
      <w:pPr>
        <w:pStyle w:val="BodyTextIndent"/>
        <w:ind w:left="0"/>
        <w:rPr>
          <w:rFonts w:ascii="Times New Roman" w:hAnsi="Times New Roman"/>
        </w:rPr>
      </w:pPr>
      <w:r w:rsidRPr="002709ED">
        <w:rPr>
          <w:rFonts w:ascii="Times New Roman" w:hAnsi="Times New Roman"/>
        </w:rPr>
        <w:t>Other than their time, there is no cost to respondents.</w:t>
      </w:r>
    </w:p>
    <w:p w:rsidRPr="002709ED" w:rsidR="009F4030" w:rsidRDefault="009F4030" w14:paraId="3C3566C9" w14:textId="77777777">
      <w:pPr>
        <w:pStyle w:val="BodyTextIndent"/>
        <w:ind w:left="0"/>
        <w:rPr>
          <w:rFonts w:ascii="Times New Roman" w:hAnsi="Times New Roman"/>
        </w:rPr>
      </w:pPr>
    </w:p>
    <w:p w:rsidR="00FD1A11" w:rsidRDefault="00FD1A11" w14:paraId="317A6E04" w14:textId="77777777">
      <w:pPr>
        <w:widowControl/>
        <w:autoSpaceDE/>
        <w:autoSpaceDN/>
        <w:adjustRightInd/>
        <w:rPr>
          <w:b/>
          <w:sz w:val="24"/>
          <w:u w:val="single"/>
        </w:rPr>
      </w:pPr>
      <w:r>
        <w:rPr>
          <w:b/>
          <w:sz w:val="24"/>
          <w:u w:val="single"/>
        </w:rPr>
        <w:br w:type="page"/>
      </w:r>
    </w:p>
    <w:p w:rsidRPr="002709ED" w:rsidR="009B3794" w:rsidRDefault="009B3794" w14:paraId="05C965CC" w14:textId="4C13E61B">
      <w:pPr>
        <w:numPr>
          <w:ilvl w:val="0"/>
          <w:numId w:val="2"/>
        </w:numPr>
        <w:tabs>
          <w:tab w:val="num" w:pos="360"/>
        </w:tabs>
        <w:ind w:left="360"/>
        <w:rPr>
          <w:b/>
          <w:sz w:val="24"/>
        </w:rPr>
      </w:pPr>
      <w:r w:rsidRPr="002709ED">
        <w:rPr>
          <w:b/>
          <w:sz w:val="24"/>
          <w:u w:val="single"/>
        </w:rPr>
        <w:lastRenderedPageBreak/>
        <w:t>Annualized Cost to Federal Government</w:t>
      </w:r>
    </w:p>
    <w:p w:rsidR="009F4030" w:rsidP="009E689B" w:rsidRDefault="009F4030" w14:paraId="4CBB04C0" w14:textId="77777777">
      <w:pPr>
        <w:ind w:right="160"/>
        <w:rPr>
          <w:sz w:val="24"/>
        </w:rPr>
      </w:pPr>
    </w:p>
    <w:p w:rsidR="00B1355F" w:rsidP="009E689B" w:rsidRDefault="00B1355F" w14:paraId="73746F97" w14:textId="1586D1D5">
      <w:pPr>
        <w:ind w:right="160"/>
        <w:rPr>
          <w:sz w:val="24"/>
        </w:rPr>
      </w:pPr>
      <w:r w:rsidRPr="00FB7406">
        <w:rPr>
          <w:sz w:val="24"/>
        </w:rPr>
        <w:t>The systems used to c</w:t>
      </w:r>
      <w:r w:rsidRPr="00FB7406" w:rsidR="00AE3589">
        <w:rPr>
          <w:sz w:val="24"/>
        </w:rPr>
        <w:t xml:space="preserve">ollect the data will be at GWU and the cost to the government for this contract is </w:t>
      </w:r>
      <w:r w:rsidRPr="00FB7406" w:rsidR="00FB7406">
        <w:rPr>
          <w:sz w:val="24"/>
        </w:rPr>
        <w:t>$</w:t>
      </w:r>
      <w:r w:rsidRPr="00FB7406" w:rsidR="00AE3589">
        <w:rPr>
          <w:sz w:val="24"/>
        </w:rPr>
        <w:t>645,949 annually.</w:t>
      </w:r>
      <w:r w:rsidRPr="00FB7406" w:rsidR="008E09FC">
        <w:rPr>
          <w:sz w:val="24"/>
        </w:rPr>
        <w:t xml:space="preserve"> </w:t>
      </w:r>
      <w:r w:rsidR="00FD1A11">
        <w:rPr>
          <w:sz w:val="24"/>
        </w:rPr>
        <w:t xml:space="preserve"> </w:t>
      </w:r>
      <w:r w:rsidRPr="00FB7406">
        <w:rPr>
          <w:sz w:val="24"/>
        </w:rPr>
        <w:t>I</w:t>
      </w:r>
      <w:r w:rsidRPr="002709ED">
        <w:rPr>
          <w:sz w:val="24"/>
        </w:rPr>
        <w:t>t is estimated that the amount of staff time needed for the contract representative and review and approval of reports is 2 FTEs at the GS-13</w:t>
      </w:r>
      <w:r w:rsidR="00596C33">
        <w:rPr>
          <w:sz w:val="24"/>
        </w:rPr>
        <w:t>; Step</w:t>
      </w:r>
      <w:r w:rsidRPr="002709ED">
        <w:rPr>
          <w:sz w:val="24"/>
        </w:rPr>
        <w:t xml:space="preserve"> level</w:t>
      </w:r>
      <w:r w:rsidR="00596C33">
        <w:rPr>
          <w:sz w:val="24"/>
        </w:rPr>
        <w:t xml:space="preserve"> </w:t>
      </w:r>
      <w:r w:rsidR="00584C3F">
        <w:rPr>
          <w:sz w:val="24"/>
        </w:rPr>
        <w:t>5</w:t>
      </w:r>
      <w:r w:rsidRPr="002709ED">
        <w:rPr>
          <w:sz w:val="24"/>
        </w:rPr>
        <w:t>—for a total of $</w:t>
      </w:r>
      <w:r w:rsidRPr="002709ED" w:rsidR="009A23DA">
        <w:rPr>
          <w:sz w:val="24"/>
        </w:rPr>
        <w:t>232,</w:t>
      </w:r>
      <w:r w:rsidR="009E6A3B">
        <w:rPr>
          <w:sz w:val="24"/>
        </w:rPr>
        <w:t>706</w:t>
      </w:r>
      <w:r w:rsidRPr="002709ED">
        <w:rPr>
          <w:sz w:val="24"/>
        </w:rPr>
        <w:t xml:space="preserve">. </w:t>
      </w:r>
      <w:r w:rsidR="00FD1A11">
        <w:rPr>
          <w:sz w:val="24"/>
        </w:rPr>
        <w:t xml:space="preserve"> </w:t>
      </w:r>
      <w:r w:rsidRPr="002709ED">
        <w:rPr>
          <w:sz w:val="24"/>
        </w:rPr>
        <w:t xml:space="preserve">Collectively the estimated annualized cost to the government in staff time </w:t>
      </w:r>
      <w:proofErr w:type="gramStart"/>
      <w:r w:rsidRPr="002709ED">
        <w:rPr>
          <w:sz w:val="24"/>
        </w:rPr>
        <w:t>is estimated</w:t>
      </w:r>
      <w:proofErr w:type="gramEnd"/>
      <w:r w:rsidRPr="002709ED">
        <w:rPr>
          <w:sz w:val="24"/>
        </w:rPr>
        <w:t xml:space="preserve"> to be $</w:t>
      </w:r>
      <w:r w:rsidR="00AE3589">
        <w:rPr>
          <w:sz w:val="24"/>
        </w:rPr>
        <w:t xml:space="preserve">878,655.  </w:t>
      </w:r>
    </w:p>
    <w:p w:rsidRPr="002709ED" w:rsidR="009F4030" w:rsidP="009E689B" w:rsidRDefault="009F4030" w14:paraId="35A11515" w14:textId="77777777">
      <w:pPr>
        <w:ind w:right="160"/>
        <w:rPr>
          <w:sz w:val="24"/>
        </w:rPr>
      </w:pPr>
    </w:p>
    <w:p w:rsidRPr="002709ED" w:rsidR="009B3794" w:rsidP="003C2AA2" w:rsidRDefault="009B3794" w14:paraId="05C965CF" w14:textId="77777777">
      <w:pPr>
        <w:numPr>
          <w:ilvl w:val="0"/>
          <w:numId w:val="2"/>
        </w:numPr>
        <w:tabs>
          <w:tab w:val="num" w:pos="360"/>
        </w:tabs>
        <w:ind w:left="360"/>
        <w:rPr>
          <w:b/>
          <w:sz w:val="24"/>
        </w:rPr>
      </w:pPr>
      <w:r w:rsidRPr="002709ED">
        <w:rPr>
          <w:b/>
          <w:sz w:val="24"/>
          <w:u w:val="single"/>
        </w:rPr>
        <w:t>Explanation for Program Changes or Adjustments</w:t>
      </w:r>
    </w:p>
    <w:p w:rsidR="009F4030" w:rsidRDefault="009F4030" w14:paraId="48599E22" w14:textId="77777777">
      <w:pPr>
        <w:pStyle w:val="BodyTextIndent"/>
        <w:ind w:left="0"/>
        <w:rPr>
          <w:rFonts w:ascii="Times New Roman" w:hAnsi="Times New Roman"/>
        </w:rPr>
      </w:pPr>
    </w:p>
    <w:p w:rsidR="00E962DB" w:rsidRDefault="00B1355F" w14:paraId="05C965D6" w14:textId="00834E25">
      <w:pPr>
        <w:pStyle w:val="BodyTextIndent"/>
        <w:ind w:left="0"/>
        <w:rPr>
          <w:rFonts w:ascii="Times New Roman" w:hAnsi="Times New Roman"/>
        </w:rPr>
      </w:pPr>
      <w:r w:rsidRPr="002709ED">
        <w:rPr>
          <w:rFonts w:ascii="Times New Roman" w:hAnsi="Times New Roman"/>
        </w:rPr>
        <w:t>This is a new information collection.</w:t>
      </w:r>
    </w:p>
    <w:p w:rsidRPr="002709ED" w:rsidR="009F4030" w:rsidRDefault="009F4030" w14:paraId="72F74660" w14:textId="77777777">
      <w:pPr>
        <w:pStyle w:val="BodyTextIndent"/>
        <w:ind w:left="0"/>
        <w:rPr>
          <w:rFonts w:ascii="Times New Roman" w:hAnsi="Times New Roman"/>
        </w:rPr>
      </w:pPr>
    </w:p>
    <w:p w:rsidRPr="002709ED" w:rsidR="009B3794" w:rsidRDefault="009B3794" w14:paraId="05C965D7" w14:textId="77777777">
      <w:pPr>
        <w:numPr>
          <w:ilvl w:val="0"/>
          <w:numId w:val="2"/>
        </w:numPr>
        <w:tabs>
          <w:tab w:val="num" w:pos="360"/>
        </w:tabs>
        <w:ind w:left="360"/>
        <w:rPr>
          <w:b/>
          <w:sz w:val="24"/>
        </w:rPr>
      </w:pPr>
      <w:r w:rsidRPr="002709ED">
        <w:rPr>
          <w:b/>
          <w:sz w:val="24"/>
          <w:u w:val="single"/>
        </w:rPr>
        <w:t>Plans for Tabulation</w:t>
      </w:r>
      <w:r w:rsidRPr="002709ED" w:rsidR="002118B4">
        <w:rPr>
          <w:b/>
          <w:sz w:val="24"/>
          <w:u w:val="single"/>
        </w:rPr>
        <w:t xml:space="preserve">, </w:t>
      </w:r>
      <w:r w:rsidRPr="002709ED">
        <w:rPr>
          <w:b/>
          <w:sz w:val="24"/>
          <w:u w:val="single"/>
        </w:rPr>
        <w:t>Publication</w:t>
      </w:r>
      <w:r w:rsidRPr="002709ED" w:rsidR="002118B4">
        <w:rPr>
          <w:b/>
          <w:sz w:val="24"/>
          <w:u w:val="single"/>
        </w:rPr>
        <w:t>,</w:t>
      </w:r>
      <w:r w:rsidRPr="002709ED">
        <w:rPr>
          <w:b/>
          <w:sz w:val="24"/>
          <w:u w:val="single"/>
        </w:rPr>
        <w:t xml:space="preserve"> and Project Time Schedule</w:t>
      </w:r>
    </w:p>
    <w:p w:rsidR="009F4030" w:rsidP="00FD2759" w:rsidRDefault="009F4030" w14:paraId="3BDB3941" w14:textId="77777777">
      <w:pPr>
        <w:ind w:right="159"/>
        <w:rPr>
          <w:sz w:val="24"/>
        </w:rPr>
      </w:pPr>
    </w:p>
    <w:p w:rsidRPr="002709ED" w:rsidR="004C4D0F" w:rsidP="00FD2759" w:rsidRDefault="004C4D0F" w14:paraId="1FE623F0" w14:textId="6F27AD3A">
      <w:pPr>
        <w:ind w:right="159"/>
        <w:rPr>
          <w:sz w:val="24"/>
        </w:rPr>
      </w:pPr>
      <w:r w:rsidRPr="002709ED">
        <w:rPr>
          <w:sz w:val="24"/>
        </w:rPr>
        <w:t xml:space="preserve">Data collected through the </w:t>
      </w:r>
      <w:r w:rsidRPr="002709ED" w:rsidR="002709ED">
        <w:rPr>
          <w:sz w:val="24"/>
        </w:rPr>
        <w:t>THC</w:t>
      </w:r>
      <w:r w:rsidR="00EE1396">
        <w:rPr>
          <w:sz w:val="24"/>
        </w:rPr>
        <w:t>GME</w:t>
      </w:r>
      <w:r w:rsidR="002709ED">
        <w:rPr>
          <w:sz w:val="24"/>
        </w:rPr>
        <w:t xml:space="preserve"> </w:t>
      </w:r>
      <w:r w:rsidRPr="002709ED">
        <w:rPr>
          <w:sz w:val="24"/>
        </w:rPr>
        <w:t xml:space="preserve">Costing Instrument serve a number of important purposes including strengthening program performance, responding to federal reporting requirements, and responding to congressional inquiries. </w:t>
      </w:r>
      <w:r w:rsidR="00FD1A11">
        <w:rPr>
          <w:sz w:val="24"/>
        </w:rPr>
        <w:t xml:space="preserve"> </w:t>
      </w:r>
      <w:r w:rsidRPr="002709ED">
        <w:rPr>
          <w:sz w:val="24"/>
        </w:rPr>
        <w:t xml:space="preserve">Since programs are publicly- funded, data collected </w:t>
      </w:r>
      <w:proofErr w:type="gramStart"/>
      <w:r w:rsidRPr="002709ED">
        <w:rPr>
          <w:sz w:val="24"/>
        </w:rPr>
        <w:t>may be showcased</w:t>
      </w:r>
      <w:proofErr w:type="gramEnd"/>
      <w:r w:rsidRPr="002709ED">
        <w:rPr>
          <w:sz w:val="24"/>
        </w:rPr>
        <w:t xml:space="preserve"> in peer-reviewed articles, conferences, and/or reports published through and/or sponsored by HRSA.</w:t>
      </w:r>
      <w:r w:rsidR="00FD1A11">
        <w:rPr>
          <w:sz w:val="24"/>
        </w:rPr>
        <w:t xml:space="preserve"> </w:t>
      </w:r>
      <w:r w:rsidRPr="002709ED">
        <w:rPr>
          <w:sz w:val="24"/>
        </w:rPr>
        <w:t xml:space="preserve"> In the case of publication, all THC identifiable information will be aggregated and de-identified.</w:t>
      </w:r>
    </w:p>
    <w:p w:rsidRPr="002709ED" w:rsidR="00667281" w:rsidP="00FD2759" w:rsidRDefault="00667281" w14:paraId="44B86F19" w14:textId="728ADE48">
      <w:pPr>
        <w:ind w:right="159"/>
        <w:rPr>
          <w:sz w:val="24"/>
        </w:rPr>
      </w:pPr>
    </w:p>
    <w:p w:rsidR="00667281" w:rsidP="00FD2759" w:rsidRDefault="00667281" w14:paraId="547E65F1" w14:textId="22229DF5">
      <w:pPr>
        <w:ind w:right="159"/>
        <w:rPr>
          <w:sz w:val="24"/>
        </w:rPr>
      </w:pPr>
      <w:r w:rsidRPr="002709ED">
        <w:rPr>
          <w:sz w:val="24"/>
        </w:rPr>
        <w:t xml:space="preserve">The time schedule for the project </w:t>
      </w:r>
      <w:r w:rsidRPr="002709ED" w:rsidR="00C00A17">
        <w:rPr>
          <w:sz w:val="24"/>
        </w:rPr>
        <w:t>is</w:t>
      </w:r>
      <w:r w:rsidRPr="002709ED">
        <w:rPr>
          <w:sz w:val="24"/>
        </w:rPr>
        <w:t xml:space="preserve"> as follows:</w:t>
      </w:r>
    </w:p>
    <w:p w:rsidRPr="002709ED" w:rsidR="009F4030" w:rsidP="00FD2759" w:rsidRDefault="009F4030" w14:paraId="25127C40" w14:textId="77777777">
      <w:pPr>
        <w:ind w:right="159"/>
        <w:rPr>
          <w:sz w:val="24"/>
        </w:rPr>
      </w:pPr>
    </w:p>
    <w:p w:rsidRPr="002709ED" w:rsidR="00751EF3" w:rsidP="00FD2759" w:rsidRDefault="00667281" w14:paraId="44DBEE54" w14:textId="58175E86">
      <w:pPr>
        <w:ind w:right="159"/>
        <w:rPr>
          <w:sz w:val="24"/>
        </w:rPr>
      </w:pPr>
      <w:r w:rsidRPr="002709ED">
        <w:rPr>
          <w:sz w:val="24"/>
          <w:u w:val="single"/>
        </w:rPr>
        <w:t xml:space="preserve">Distribution of the </w:t>
      </w:r>
      <w:r w:rsidRPr="002709ED" w:rsidR="009249A6">
        <w:rPr>
          <w:sz w:val="24"/>
          <w:u w:val="single"/>
        </w:rPr>
        <w:t>THC</w:t>
      </w:r>
      <w:r w:rsidRPr="00977B71" w:rsidR="00EE1396">
        <w:rPr>
          <w:sz w:val="24"/>
          <w:u w:val="single"/>
        </w:rPr>
        <w:t>GME</w:t>
      </w:r>
      <w:r w:rsidRPr="00014A61">
        <w:rPr>
          <w:sz w:val="24"/>
          <w:u w:val="single"/>
        </w:rPr>
        <w:t xml:space="preserve"> </w:t>
      </w:r>
      <w:r w:rsidRPr="002709ED">
        <w:rPr>
          <w:sz w:val="24"/>
          <w:u w:val="single"/>
        </w:rPr>
        <w:t>Costing Instrument</w:t>
      </w:r>
      <w:r w:rsidRPr="002709ED" w:rsidR="00837950">
        <w:rPr>
          <w:sz w:val="24"/>
          <w:u w:val="single"/>
        </w:rPr>
        <w:t>:</w:t>
      </w:r>
      <w:r w:rsidRPr="002709ED" w:rsidR="00837950">
        <w:rPr>
          <w:sz w:val="24"/>
        </w:rPr>
        <w:t xml:space="preserve"> </w:t>
      </w:r>
      <w:r w:rsidR="00FD1A11">
        <w:rPr>
          <w:sz w:val="24"/>
        </w:rPr>
        <w:t xml:space="preserve"> </w:t>
      </w:r>
      <w:r w:rsidR="003C2AA2">
        <w:rPr>
          <w:sz w:val="24"/>
        </w:rPr>
        <w:t xml:space="preserve">The GW team </w:t>
      </w:r>
      <w:r w:rsidRPr="002709ED" w:rsidR="00773545">
        <w:rPr>
          <w:sz w:val="24"/>
        </w:rPr>
        <w:t>anticipate</w:t>
      </w:r>
      <w:r w:rsidR="003C2AA2">
        <w:rPr>
          <w:sz w:val="24"/>
        </w:rPr>
        <w:t>s</w:t>
      </w:r>
      <w:r w:rsidRPr="002709ED" w:rsidR="00773545">
        <w:rPr>
          <w:sz w:val="24"/>
        </w:rPr>
        <w:t xml:space="preserve"> distributing the</w:t>
      </w:r>
      <w:r w:rsidR="00C346BA">
        <w:rPr>
          <w:sz w:val="24"/>
        </w:rPr>
        <w:t xml:space="preserve"> </w:t>
      </w:r>
      <w:r w:rsidRPr="002709ED" w:rsidR="002709ED">
        <w:rPr>
          <w:sz w:val="24"/>
        </w:rPr>
        <w:t>THC</w:t>
      </w:r>
      <w:r w:rsidR="00EE1396">
        <w:rPr>
          <w:sz w:val="24"/>
        </w:rPr>
        <w:t>GME</w:t>
      </w:r>
      <w:r w:rsidRPr="002709ED" w:rsidR="00773545">
        <w:rPr>
          <w:sz w:val="24"/>
        </w:rPr>
        <w:t xml:space="preserve"> </w:t>
      </w:r>
      <w:r w:rsidRPr="002709ED" w:rsidR="003D7871">
        <w:rPr>
          <w:sz w:val="24"/>
        </w:rPr>
        <w:t>C</w:t>
      </w:r>
      <w:r w:rsidRPr="002709ED" w:rsidR="00773545">
        <w:rPr>
          <w:sz w:val="24"/>
        </w:rPr>
        <w:t xml:space="preserve">osting </w:t>
      </w:r>
      <w:r w:rsidRPr="002709ED" w:rsidR="003D7871">
        <w:rPr>
          <w:sz w:val="24"/>
        </w:rPr>
        <w:t>I</w:t>
      </w:r>
      <w:r w:rsidRPr="002709ED" w:rsidR="00773545">
        <w:rPr>
          <w:sz w:val="24"/>
        </w:rPr>
        <w:t xml:space="preserve">nstrument </w:t>
      </w:r>
      <w:r w:rsidRPr="002709ED" w:rsidR="00751EF3">
        <w:rPr>
          <w:sz w:val="24"/>
        </w:rPr>
        <w:t xml:space="preserve">1-2 weeks </w:t>
      </w:r>
      <w:r w:rsidRPr="002709ED" w:rsidR="00773545">
        <w:rPr>
          <w:sz w:val="24"/>
        </w:rPr>
        <w:t>following</w:t>
      </w:r>
      <w:r w:rsidRPr="002709ED" w:rsidR="00751EF3">
        <w:rPr>
          <w:sz w:val="24"/>
        </w:rPr>
        <w:t xml:space="preserve"> OMB approval</w:t>
      </w:r>
      <w:r w:rsidRPr="002709ED" w:rsidR="00773545">
        <w:rPr>
          <w:sz w:val="24"/>
        </w:rPr>
        <w:t xml:space="preserve">. </w:t>
      </w:r>
      <w:r w:rsidR="00FD1A11">
        <w:rPr>
          <w:sz w:val="24"/>
        </w:rPr>
        <w:t xml:space="preserve"> </w:t>
      </w:r>
      <w:r w:rsidR="003C2AA2">
        <w:rPr>
          <w:sz w:val="24"/>
        </w:rPr>
        <w:t>They</w:t>
      </w:r>
      <w:r w:rsidRPr="002709ED" w:rsidR="003C2AA2">
        <w:rPr>
          <w:sz w:val="24"/>
        </w:rPr>
        <w:t xml:space="preserve"> </w:t>
      </w:r>
      <w:r w:rsidRPr="002709ED" w:rsidR="00773545">
        <w:rPr>
          <w:sz w:val="24"/>
        </w:rPr>
        <w:t xml:space="preserve">will use the </w:t>
      </w:r>
      <w:r w:rsidRPr="002709ED" w:rsidR="009249A6">
        <w:rPr>
          <w:sz w:val="24"/>
        </w:rPr>
        <w:t xml:space="preserve">organization’s </w:t>
      </w:r>
      <w:r w:rsidR="00FF0CB2">
        <w:rPr>
          <w:sz w:val="24"/>
        </w:rPr>
        <w:t>2018-2019 academic year data for the analysis</w:t>
      </w:r>
      <w:r w:rsidRPr="002709ED" w:rsidR="009249A6">
        <w:rPr>
          <w:sz w:val="24"/>
        </w:rPr>
        <w:t xml:space="preserve">. </w:t>
      </w:r>
    </w:p>
    <w:p w:rsidRPr="002709ED" w:rsidR="007938B5" w:rsidP="00FD2759" w:rsidRDefault="007938B5" w14:paraId="7CFDCCFC" w14:textId="77777777">
      <w:pPr>
        <w:ind w:right="159"/>
        <w:rPr>
          <w:sz w:val="24"/>
          <w:u w:val="single"/>
        </w:rPr>
      </w:pPr>
    </w:p>
    <w:p w:rsidR="00751EF3" w:rsidP="00FD2759" w:rsidRDefault="00667281" w14:paraId="4987E4DF" w14:textId="6B08B732">
      <w:pPr>
        <w:ind w:right="159"/>
        <w:rPr>
          <w:sz w:val="24"/>
        </w:rPr>
      </w:pPr>
      <w:r w:rsidRPr="002709ED">
        <w:rPr>
          <w:sz w:val="24"/>
          <w:u w:val="single"/>
        </w:rPr>
        <w:t>Data collection</w:t>
      </w:r>
      <w:r w:rsidRPr="002709ED" w:rsidR="00837950">
        <w:rPr>
          <w:sz w:val="24"/>
          <w:u w:val="single"/>
        </w:rPr>
        <w:t>:</w:t>
      </w:r>
      <w:r w:rsidR="00FD1A11">
        <w:rPr>
          <w:sz w:val="24"/>
        </w:rPr>
        <w:t xml:space="preserve"> </w:t>
      </w:r>
      <w:r w:rsidRPr="002709ED" w:rsidR="00837950">
        <w:rPr>
          <w:sz w:val="24"/>
        </w:rPr>
        <w:t xml:space="preserve"> </w:t>
      </w:r>
      <w:r w:rsidRPr="002709ED" w:rsidR="007654A7">
        <w:rPr>
          <w:sz w:val="24"/>
        </w:rPr>
        <w:t>Data collection will b</w:t>
      </w:r>
      <w:r w:rsidRPr="002709ED" w:rsidR="007759B6">
        <w:rPr>
          <w:sz w:val="24"/>
        </w:rPr>
        <w:t xml:space="preserve">egin 2 weeks after OMB approval and end </w:t>
      </w:r>
      <w:r w:rsidRPr="002709ED" w:rsidR="003D7871">
        <w:rPr>
          <w:sz w:val="24"/>
        </w:rPr>
        <w:t>32</w:t>
      </w:r>
      <w:r w:rsidRPr="002709ED" w:rsidR="007759B6">
        <w:rPr>
          <w:sz w:val="24"/>
        </w:rPr>
        <w:t xml:space="preserve"> weeks after OMB approval. </w:t>
      </w:r>
      <w:r w:rsidR="00294467">
        <w:rPr>
          <w:sz w:val="24"/>
        </w:rPr>
        <w:t xml:space="preserve"> </w:t>
      </w:r>
      <w:r w:rsidRPr="002709ED" w:rsidR="007759B6">
        <w:rPr>
          <w:sz w:val="24"/>
        </w:rPr>
        <w:t xml:space="preserve">Data collection and cleaning will go through a multi-stage process to ensure that the information collected from the THCs is accurate and consistent and conforms to the purposes of the costing evaluation to identify all relevant expenses and revenues associated with residency training in THC settings. </w:t>
      </w:r>
    </w:p>
    <w:p w:rsidRPr="002709ED" w:rsidR="009F4030" w:rsidP="00FD2759" w:rsidRDefault="009F4030" w14:paraId="22FF54A4" w14:textId="77777777">
      <w:pPr>
        <w:ind w:right="159"/>
        <w:rPr>
          <w:sz w:val="24"/>
        </w:rPr>
      </w:pPr>
    </w:p>
    <w:p w:rsidRPr="002709ED" w:rsidR="00773545" w:rsidP="00FD2759" w:rsidRDefault="00773545" w14:paraId="2C807690" w14:textId="798F672B">
      <w:pPr>
        <w:pStyle w:val="ListParagraph"/>
        <w:numPr>
          <w:ilvl w:val="0"/>
          <w:numId w:val="46"/>
        </w:numPr>
        <w:rPr>
          <w:sz w:val="24"/>
        </w:rPr>
      </w:pPr>
      <w:r w:rsidRPr="002709ED">
        <w:rPr>
          <w:sz w:val="24"/>
        </w:rPr>
        <w:t xml:space="preserve">GW will hold technical assistance webinars to explain the </w:t>
      </w:r>
      <w:r w:rsidRPr="002709ED" w:rsidR="009249A6">
        <w:rPr>
          <w:sz w:val="24"/>
        </w:rPr>
        <w:t>THC</w:t>
      </w:r>
      <w:r w:rsidR="00EE1396">
        <w:rPr>
          <w:sz w:val="24"/>
        </w:rPr>
        <w:t>GME</w:t>
      </w:r>
      <w:r w:rsidRPr="002709ED" w:rsidR="009249A6">
        <w:rPr>
          <w:sz w:val="24"/>
        </w:rPr>
        <w:t xml:space="preserve"> </w:t>
      </w:r>
      <w:r w:rsidRPr="002709ED" w:rsidR="003D7871">
        <w:rPr>
          <w:sz w:val="24"/>
        </w:rPr>
        <w:t>C</w:t>
      </w:r>
      <w:r w:rsidRPr="002709ED">
        <w:rPr>
          <w:sz w:val="24"/>
        </w:rPr>
        <w:t xml:space="preserve">osting </w:t>
      </w:r>
      <w:r w:rsidRPr="002709ED" w:rsidR="003D7871">
        <w:rPr>
          <w:sz w:val="24"/>
        </w:rPr>
        <w:t>I</w:t>
      </w:r>
      <w:r w:rsidRPr="002709ED">
        <w:rPr>
          <w:sz w:val="24"/>
        </w:rPr>
        <w:t xml:space="preserve">nstrument and data collection process to </w:t>
      </w:r>
      <w:r w:rsidRPr="002709ED" w:rsidR="003D7871">
        <w:rPr>
          <w:sz w:val="24"/>
        </w:rPr>
        <w:t>Program Directors, Chief Financial Officers,</w:t>
      </w:r>
      <w:r w:rsidRPr="002709ED">
        <w:rPr>
          <w:sz w:val="24"/>
        </w:rPr>
        <w:t xml:space="preserve"> </w:t>
      </w:r>
      <w:r w:rsidR="00014A61">
        <w:rPr>
          <w:sz w:val="24"/>
        </w:rPr>
        <w:t>and</w:t>
      </w:r>
      <w:r w:rsidRPr="002709ED">
        <w:rPr>
          <w:sz w:val="24"/>
        </w:rPr>
        <w:t xml:space="preserve"> other THC staff who will be responsible for </w:t>
      </w:r>
      <w:r w:rsidRPr="002709ED" w:rsidR="003D7871">
        <w:rPr>
          <w:sz w:val="24"/>
        </w:rPr>
        <w:t xml:space="preserve">submitting </w:t>
      </w:r>
      <w:r w:rsidRPr="002709ED">
        <w:rPr>
          <w:sz w:val="24"/>
        </w:rPr>
        <w:t>program responses for the</w:t>
      </w:r>
      <w:r w:rsidR="00DA38FF">
        <w:rPr>
          <w:sz w:val="24"/>
        </w:rPr>
        <w:t xml:space="preserve"> THC</w:t>
      </w:r>
      <w:r w:rsidR="00D316C8">
        <w:rPr>
          <w:sz w:val="24"/>
        </w:rPr>
        <w:t>GME</w:t>
      </w:r>
      <w:r w:rsidRPr="002709ED">
        <w:rPr>
          <w:sz w:val="24"/>
        </w:rPr>
        <w:t xml:space="preserve"> </w:t>
      </w:r>
      <w:r w:rsidRPr="002709ED" w:rsidR="003D7871">
        <w:rPr>
          <w:sz w:val="24"/>
        </w:rPr>
        <w:t>C</w:t>
      </w:r>
      <w:r w:rsidRPr="002709ED">
        <w:rPr>
          <w:sz w:val="24"/>
        </w:rPr>
        <w:t xml:space="preserve">osting </w:t>
      </w:r>
      <w:r w:rsidRPr="002709ED" w:rsidR="003D7871">
        <w:rPr>
          <w:sz w:val="24"/>
        </w:rPr>
        <w:t>I</w:t>
      </w:r>
      <w:r w:rsidRPr="002709ED">
        <w:rPr>
          <w:sz w:val="24"/>
        </w:rPr>
        <w:t xml:space="preserve">nstrument. </w:t>
      </w:r>
    </w:p>
    <w:p w:rsidRPr="002709ED" w:rsidR="00773545" w:rsidP="00FD2759" w:rsidRDefault="00773545" w14:paraId="707F3E5A" w14:textId="10611889">
      <w:pPr>
        <w:pStyle w:val="ListParagraph"/>
        <w:numPr>
          <w:ilvl w:val="0"/>
          <w:numId w:val="46"/>
        </w:numPr>
      </w:pPr>
      <w:r w:rsidRPr="002709ED">
        <w:rPr>
          <w:sz w:val="24"/>
        </w:rPr>
        <w:t xml:space="preserve">Like the previous study, </w:t>
      </w:r>
      <w:r w:rsidR="003C2AA2">
        <w:rPr>
          <w:sz w:val="24"/>
        </w:rPr>
        <w:t>the GW team</w:t>
      </w:r>
      <w:r w:rsidRPr="002709ED" w:rsidR="003C2AA2">
        <w:rPr>
          <w:sz w:val="24"/>
        </w:rPr>
        <w:t xml:space="preserve"> </w:t>
      </w:r>
      <w:r w:rsidRPr="002709ED">
        <w:rPr>
          <w:sz w:val="24"/>
        </w:rPr>
        <w:t xml:space="preserve">will ask THCs to complete the </w:t>
      </w:r>
      <w:r w:rsidRPr="002709ED" w:rsidR="002709ED">
        <w:rPr>
          <w:sz w:val="24"/>
        </w:rPr>
        <w:t>THC</w:t>
      </w:r>
      <w:r w:rsidR="004340A6">
        <w:rPr>
          <w:sz w:val="24"/>
        </w:rPr>
        <w:t>GME</w:t>
      </w:r>
      <w:r w:rsidRPr="002709ED" w:rsidR="002709ED">
        <w:rPr>
          <w:sz w:val="24"/>
        </w:rPr>
        <w:t xml:space="preserve"> </w:t>
      </w:r>
      <w:r w:rsidRPr="002709ED" w:rsidR="005D7DBE">
        <w:rPr>
          <w:sz w:val="24"/>
        </w:rPr>
        <w:t>C</w:t>
      </w:r>
      <w:r w:rsidRPr="002709ED">
        <w:rPr>
          <w:sz w:val="24"/>
        </w:rPr>
        <w:t xml:space="preserve">osting </w:t>
      </w:r>
      <w:r w:rsidRPr="002709ED" w:rsidR="005D7DBE">
        <w:rPr>
          <w:sz w:val="24"/>
        </w:rPr>
        <w:t>I</w:t>
      </w:r>
      <w:r w:rsidRPr="002709ED">
        <w:rPr>
          <w:sz w:val="24"/>
        </w:rPr>
        <w:t xml:space="preserve">nstrument to the best of their ability and submit it to GW. </w:t>
      </w:r>
    </w:p>
    <w:p w:rsidRPr="002709ED" w:rsidR="0087662E" w:rsidP="00FD2759" w:rsidRDefault="003C2AA2" w14:paraId="475D32CD" w14:textId="7B435816">
      <w:pPr>
        <w:pStyle w:val="ListParagraph"/>
        <w:numPr>
          <w:ilvl w:val="0"/>
          <w:numId w:val="46"/>
        </w:numPr>
      </w:pPr>
      <w:r>
        <w:rPr>
          <w:sz w:val="24"/>
        </w:rPr>
        <w:t>The GW team</w:t>
      </w:r>
      <w:r w:rsidRPr="002709ED">
        <w:rPr>
          <w:sz w:val="24"/>
        </w:rPr>
        <w:t xml:space="preserve"> </w:t>
      </w:r>
      <w:r w:rsidRPr="002709ED" w:rsidR="00773545">
        <w:rPr>
          <w:sz w:val="24"/>
        </w:rPr>
        <w:t xml:space="preserve">will conduct a virtual site visit with each THC to jointly review the </w:t>
      </w:r>
      <w:r w:rsidRPr="002709ED" w:rsidR="002709ED">
        <w:rPr>
          <w:sz w:val="24"/>
        </w:rPr>
        <w:t>THC</w:t>
      </w:r>
      <w:r w:rsidR="004340A6">
        <w:rPr>
          <w:sz w:val="24"/>
        </w:rPr>
        <w:t>GME</w:t>
      </w:r>
      <w:r w:rsidRPr="002709ED" w:rsidR="002709ED">
        <w:rPr>
          <w:sz w:val="24"/>
        </w:rPr>
        <w:t xml:space="preserve"> </w:t>
      </w:r>
      <w:r w:rsidRPr="002709ED" w:rsidR="005D7DBE">
        <w:rPr>
          <w:sz w:val="24"/>
        </w:rPr>
        <w:t>Costing I</w:t>
      </w:r>
      <w:r w:rsidRPr="002709ED" w:rsidR="00773545">
        <w:rPr>
          <w:sz w:val="24"/>
        </w:rPr>
        <w:t xml:space="preserve">nstrument and make changes in real time, based on discussions with the </w:t>
      </w:r>
      <w:r w:rsidRPr="002709ED" w:rsidR="005D7DBE">
        <w:rPr>
          <w:sz w:val="24"/>
        </w:rPr>
        <w:t>THC</w:t>
      </w:r>
      <w:r w:rsidRPr="002709ED" w:rsidR="00773545">
        <w:rPr>
          <w:sz w:val="24"/>
        </w:rPr>
        <w:t xml:space="preserve"> staff, as determined by GW and the THC </w:t>
      </w:r>
      <w:r w:rsidRPr="002709ED" w:rsidR="005D7DBE">
        <w:rPr>
          <w:sz w:val="24"/>
        </w:rPr>
        <w:t>P</w:t>
      </w:r>
      <w:r w:rsidRPr="002709ED" w:rsidR="00773545">
        <w:rPr>
          <w:sz w:val="24"/>
        </w:rPr>
        <w:t xml:space="preserve">rogram </w:t>
      </w:r>
      <w:r w:rsidRPr="002709ED" w:rsidR="005D7DBE">
        <w:rPr>
          <w:sz w:val="24"/>
        </w:rPr>
        <w:t>D</w:t>
      </w:r>
      <w:r w:rsidRPr="002709ED" w:rsidR="00773545">
        <w:rPr>
          <w:sz w:val="24"/>
        </w:rPr>
        <w:t xml:space="preserve">irector. </w:t>
      </w:r>
    </w:p>
    <w:p w:rsidRPr="002709ED" w:rsidR="00773545" w:rsidP="00FD2759" w:rsidRDefault="003C2AA2" w14:paraId="50C62B4A" w14:textId="2FBD4103">
      <w:pPr>
        <w:pStyle w:val="ListParagraph"/>
        <w:numPr>
          <w:ilvl w:val="0"/>
          <w:numId w:val="46"/>
        </w:numPr>
        <w:rPr>
          <w:sz w:val="24"/>
        </w:rPr>
      </w:pPr>
      <w:r>
        <w:rPr>
          <w:sz w:val="24"/>
        </w:rPr>
        <w:t>The GW team</w:t>
      </w:r>
      <w:r w:rsidRPr="002709ED">
        <w:rPr>
          <w:sz w:val="24"/>
        </w:rPr>
        <w:t xml:space="preserve"> </w:t>
      </w:r>
      <w:r w:rsidRPr="002709ED" w:rsidR="00773545">
        <w:rPr>
          <w:sz w:val="24"/>
        </w:rPr>
        <w:t xml:space="preserve">will </w:t>
      </w:r>
      <w:r w:rsidRPr="002709ED" w:rsidR="003D7871">
        <w:rPr>
          <w:sz w:val="24"/>
        </w:rPr>
        <w:t xml:space="preserve">supplement the </w:t>
      </w:r>
      <w:r w:rsidRPr="002709ED" w:rsidR="002709ED">
        <w:rPr>
          <w:sz w:val="24"/>
        </w:rPr>
        <w:t>THC</w:t>
      </w:r>
      <w:r w:rsidR="004340A6">
        <w:rPr>
          <w:sz w:val="24"/>
        </w:rPr>
        <w:t>GME</w:t>
      </w:r>
      <w:r w:rsidRPr="002709ED" w:rsidR="002709ED">
        <w:rPr>
          <w:sz w:val="24"/>
        </w:rPr>
        <w:t xml:space="preserve"> </w:t>
      </w:r>
      <w:r w:rsidRPr="002709ED" w:rsidR="003D7871">
        <w:rPr>
          <w:sz w:val="24"/>
        </w:rPr>
        <w:t xml:space="preserve">Costing Instrument data with </w:t>
      </w:r>
      <w:r w:rsidRPr="002709ED" w:rsidR="00773545">
        <w:rPr>
          <w:sz w:val="24"/>
        </w:rPr>
        <w:t xml:space="preserve">other secondary sources to support or enhance direct data collection, </w:t>
      </w:r>
      <w:r w:rsidRPr="002709ED" w:rsidR="003D7871">
        <w:rPr>
          <w:sz w:val="24"/>
        </w:rPr>
        <w:t>and</w:t>
      </w:r>
      <w:r w:rsidRPr="002709ED" w:rsidR="00773545">
        <w:rPr>
          <w:sz w:val="24"/>
        </w:rPr>
        <w:t xml:space="preserve"> to inform </w:t>
      </w:r>
      <w:r>
        <w:rPr>
          <w:sz w:val="24"/>
        </w:rPr>
        <w:t>their</w:t>
      </w:r>
      <w:r w:rsidRPr="002709ED">
        <w:rPr>
          <w:sz w:val="24"/>
        </w:rPr>
        <w:t xml:space="preserve"> </w:t>
      </w:r>
      <w:r w:rsidRPr="002709ED" w:rsidR="00773545">
        <w:rPr>
          <w:sz w:val="24"/>
        </w:rPr>
        <w:t xml:space="preserve">understanding of the THC data. </w:t>
      </w:r>
      <w:r w:rsidRPr="002709ED" w:rsidR="003D7871">
        <w:rPr>
          <w:sz w:val="24"/>
        </w:rPr>
        <w:t xml:space="preserve">These secondary data sources include the Uniform Data System data, Medicare Cost Reports, and findings from peer-reviewed and grey </w:t>
      </w:r>
      <w:r w:rsidRPr="002709ED" w:rsidR="003D7871">
        <w:rPr>
          <w:sz w:val="24"/>
        </w:rPr>
        <w:lastRenderedPageBreak/>
        <w:t xml:space="preserve">literature. </w:t>
      </w:r>
      <w:r w:rsidR="00294467">
        <w:rPr>
          <w:sz w:val="24"/>
        </w:rPr>
        <w:t xml:space="preserve"> </w:t>
      </w:r>
      <w:r w:rsidRPr="002709ED" w:rsidR="003D7871">
        <w:rPr>
          <w:sz w:val="24"/>
        </w:rPr>
        <w:t>Th</w:t>
      </w:r>
      <w:r w:rsidRPr="002709ED" w:rsidR="005D7DBE">
        <w:rPr>
          <w:sz w:val="24"/>
        </w:rPr>
        <w:t>ese</w:t>
      </w:r>
      <w:r w:rsidRPr="002709ED" w:rsidR="002279F1">
        <w:rPr>
          <w:sz w:val="24"/>
        </w:rPr>
        <w:t xml:space="preserve"> </w:t>
      </w:r>
      <w:r w:rsidRPr="002709ED" w:rsidR="005D7DBE">
        <w:rPr>
          <w:sz w:val="24"/>
        </w:rPr>
        <w:t xml:space="preserve">secondary data sources </w:t>
      </w:r>
      <w:r w:rsidRPr="002709ED" w:rsidR="00AA7CF0">
        <w:rPr>
          <w:sz w:val="24"/>
        </w:rPr>
        <w:t>may identify additional</w:t>
      </w:r>
      <w:r w:rsidRPr="002709ED" w:rsidR="002279F1">
        <w:rPr>
          <w:sz w:val="24"/>
        </w:rPr>
        <w:t xml:space="preserve"> </w:t>
      </w:r>
      <w:r w:rsidRPr="002709ED" w:rsidR="00D3101B">
        <w:rPr>
          <w:sz w:val="24"/>
        </w:rPr>
        <w:t>common cost elements</w:t>
      </w:r>
      <w:r w:rsidRPr="002709ED" w:rsidR="002279F1">
        <w:rPr>
          <w:sz w:val="24"/>
        </w:rPr>
        <w:t xml:space="preserve"> among THC FQHCs and non-THC FQHCs </w:t>
      </w:r>
      <w:r w:rsidRPr="002709ED" w:rsidR="00D3101B">
        <w:rPr>
          <w:sz w:val="24"/>
        </w:rPr>
        <w:t>as well as unique features of THCGME programs</w:t>
      </w:r>
      <w:r w:rsidRPr="002709ED" w:rsidR="002279F1">
        <w:rPr>
          <w:sz w:val="24"/>
        </w:rPr>
        <w:t>.</w:t>
      </w:r>
    </w:p>
    <w:p w:rsidR="009F4030" w:rsidP="00FD2759" w:rsidRDefault="009F4030" w14:paraId="450B7A7E" w14:textId="77777777">
      <w:pPr>
        <w:ind w:right="159"/>
        <w:rPr>
          <w:sz w:val="24"/>
        </w:rPr>
      </w:pPr>
    </w:p>
    <w:p w:rsidRPr="002709ED" w:rsidR="007654A7" w:rsidP="00FD2759" w:rsidRDefault="003C2AA2" w14:paraId="7F0EA57B" w14:textId="104CB01D">
      <w:pPr>
        <w:ind w:right="159"/>
        <w:rPr>
          <w:sz w:val="24"/>
        </w:rPr>
      </w:pPr>
      <w:r>
        <w:rPr>
          <w:sz w:val="24"/>
        </w:rPr>
        <w:t>The GW team</w:t>
      </w:r>
      <w:r w:rsidRPr="002709ED">
        <w:rPr>
          <w:sz w:val="24"/>
        </w:rPr>
        <w:t xml:space="preserve"> </w:t>
      </w:r>
      <w:r w:rsidRPr="002709ED" w:rsidR="0087662E">
        <w:rPr>
          <w:sz w:val="24"/>
        </w:rPr>
        <w:t>anticipate</w:t>
      </w:r>
      <w:r>
        <w:rPr>
          <w:sz w:val="24"/>
        </w:rPr>
        <w:t>s</w:t>
      </w:r>
      <w:r w:rsidRPr="002709ED" w:rsidR="0087662E">
        <w:rPr>
          <w:sz w:val="24"/>
        </w:rPr>
        <w:t xml:space="preserve"> having additional </w:t>
      </w:r>
      <w:r w:rsidRPr="002709ED" w:rsidR="00383726">
        <w:rPr>
          <w:sz w:val="24"/>
        </w:rPr>
        <w:t>communications via telephone or email</w:t>
      </w:r>
      <w:r w:rsidRPr="002709ED" w:rsidR="0087662E">
        <w:rPr>
          <w:sz w:val="24"/>
        </w:rPr>
        <w:t xml:space="preserve"> </w:t>
      </w:r>
      <w:r w:rsidRPr="002709ED" w:rsidR="005D7DBE">
        <w:rPr>
          <w:sz w:val="24"/>
        </w:rPr>
        <w:t xml:space="preserve">with the THCs </w:t>
      </w:r>
      <w:r w:rsidRPr="002709ED" w:rsidR="0087662E">
        <w:rPr>
          <w:sz w:val="24"/>
        </w:rPr>
        <w:t xml:space="preserve">throughout the data collection process to follow-up, verify, and assist with ongoing questions in relation to the </w:t>
      </w:r>
      <w:r w:rsidRPr="002709ED" w:rsidR="002709ED">
        <w:rPr>
          <w:sz w:val="24"/>
        </w:rPr>
        <w:t>THC</w:t>
      </w:r>
      <w:r w:rsidR="004340A6">
        <w:rPr>
          <w:sz w:val="24"/>
        </w:rPr>
        <w:t>GME</w:t>
      </w:r>
      <w:r w:rsidRPr="002709ED" w:rsidR="002709ED">
        <w:rPr>
          <w:sz w:val="24"/>
        </w:rPr>
        <w:t xml:space="preserve"> </w:t>
      </w:r>
      <w:r w:rsidRPr="002709ED" w:rsidR="0087662E">
        <w:rPr>
          <w:sz w:val="24"/>
        </w:rPr>
        <w:t>Costing Instrument.</w:t>
      </w:r>
    </w:p>
    <w:p w:rsidRPr="002709ED" w:rsidR="00751EF3" w:rsidP="00FD2759" w:rsidRDefault="00751EF3" w14:paraId="07A259B7" w14:textId="11CB1788">
      <w:pPr>
        <w:ind w:right="159"/>
        <w:rPr>
          <w:sz w:val="24"/>
        </w:rPr>
      </w:pPr>
    </w:p>
    <w:p w:rsidRPr="002709ED" w:rsidR="004C4D0F" w:rsidP="00FD2759" w:rsidRDefault="004C4D0F" w14:paraId="5AFD8241" w14:textId="0F734ECE">
      <w:pPr>
        <w:rPr>
          <w:sz w:val="24"/>
        </w:rPr>
      </w:pPr>
      <w:r w:rsidRPr="002709ED">
        <w:rPr>
          <w:sz w:val="24"/>
        </w:rPr>
        <w:t>The</w:t>
      </w:r>
      <w:r w:rsidRPr="002709ED" w:rsidR="00667281">
        <w:rPr>
          <w:sz w:val="24"/>
        </w:rPr>
        <w:t xml:space="preserve"> anal</w:t>
      </w:r>
      <w:r w:rsidRPr="002709ED" w:rsidR="007654A7">
        <w:rPr>
          <w:sz w:val="24"/>
        </w:rPr>
        <w:t>y</w:t>
      </w:r>
      <w:r w:rsidRPr="002709ED" w:rsidR="00667281">
        <w:rPr>
          <w:sz w:val="24"/>
        </w:rPr>
        <w:t>sis plan</w:t>
      </w:r>
      <w:r w:rsidRPr="002709ED">
        <w:rPr>
          <w:sz w:val="24"/>
        </w:rPr>
        <w:t xml:space="preserve"> for cleaning, analyzing, and reporting data will consist of the following steps:</w:t>
      </w:r>
    </w:p>
    <w:p w:rsidRPr="002709ED" w:rsidR="007654A7" w:rsidP="00FD2759" w:rsidRDefault="007654A7" w14:paraId="259DBE8A" w14:textId="77777777">
      <w:pPr>
        <w:rPr>
          <w:sz w:val="24"/>
        </w:rPr>
      </w:pPr>
    </w:p>
    <w:p w:rsidR="00212F62" w:rsidP="00FD2759" w:rsidRDefault="004C4D0F" w14:paraId="77B1401B" w14:textId="088DD62C">
      <w:pPr>
        <w:ind w:right="160"/>
        <w:rPr>
          <w:sz w:val="24"/>
        </w:rPr>
      </w:pPr>
      <w:r w:rsidRPr="002709ED">
        <w:rPr>
          <w:sz w:val="24"/>
          <w:u w:val="single"/>
        </w:rPr>
        <w:t>Step 1: Data cleaning</w:t>
      </w:r>
      <w:r w:rsidRPr="002709ED" w:rsidR="00DD42F4">
        <w:rPr>
          <w:sz w:val="24"/>
        </w:rPr>
        <w:t xml:space="preserve">: </w:t>
      </w:r>
      <w:r w:rsidR="00294467">
        <w:rPr>
          <w:sz w:val="24"/>
        </w:rPr>
        <w:t xml:space="preserve"> </w:t>
      </w:r>
      <w:r w:rsidRPr="002709ED" w:rsidR="007654A7">
        <w:rPr>
          <w:sz w:val="24"/>
        </w:rPr>
        <w:t xml:space="preserve">Data cleaning will begin </w:t>
      </w:r>
      <w:r w:rsidRPr="002709ED" w:rsidR="005D7DBE">
        <w:rPr>
          <w:sz w:val="24"/>
        </w:rPr>
        <w:t>12</w:t>
      </w:r>
      <w:r w:rsidRPr="002709ED" w:rsidR="007654A7">
        <w:rPr>
          <w:sz w:val="24"/>
        </w:rPr>
        <w:t xml:space="preserve"> weeks after OMB approval and end </w:t>
      </w:r>
      <w:r w:rsidRPr="002709ED" w:rsidR="005D7DBE">
        <w:rPr>
          <w:sz w:val="24"/>
        </w:rPr>
        <w:t>50</w:t>
      </w:r>
      <w:r w:rsidRPr="002709ED" w:rsidR="007654A7">
        <w:rPr>
          <w:sz w:val="24"/>
        </w:rPr>
        <w:t xml:space="preserve"> weeks after OMB approval. </w:t>
      </w:r>
      <w:r w:rsidR="00294467">
        <w:rPr>
          <w:sz w:val="24"/>
        </w:rPr>
        <w:t xml:space="preserve"> </w:t>
      </w:r>
      <w:r w:rsidRPr="002709ED" w:rsidR="00DD42F4">
        <w:rPr>
          <w:sz w:val="24"/>
        </w:rPr>
        <w:t xml:space="preserve">Data </w:t>
      </w:r>
      <w:proofErr w:type="gramStart"/>
      <w:r w:rsidRPr="002709ED" w:rsidR="00DD42F4">
        <w:rPr>
          <w:sz w:val="24"/>
        </w:rPr>
        <w:t>will be cleaned</w:t>
      </w:r>
      <w:proofErr w:type="gramEnd"/>
      <w:r w:rsidRPr="002709ED" w:rsidR="00DD42F4">
        <w:rPr>
          <w:sz w:val="24"/>
        </w:rPr>
        <w:t xml:space="preserve"> using a series of predetermined analytic rules within 30 days of receipt at </w:t>
      </w:r>
      <w:r w:rsidR="008F7C72">
        <w:rPr>
          <w:sz w:val="24"/>
        </w:rPr>
        <w:t>GW</w:t>
      </w:r>
      <w:r w:rsidRPr="002709ED" w:rsidR="00DD42F4">
        <w:rPr>
          <w:sz w:val="24"/>
        </w:rPr>
        <w:t xml:space="preserve">. </w:t>
      </w:r>
      <w:r w:rsidR="00294467">
        <w:rPr>
          <w:sz w:val="24"/>
        </w:rPr>
        <w:t xml:space="preserve"> </w:t>
      </w:r>
      <w:r w:rsidRPr="002709ED" w:rsidR="00DD42F4">
        <w:rPr>
          <w:sz w:val="24"/>
        </w:rPr>
        <w:t xml:space="preserve">Errors or discrepancies in </w:t>
      </w:r>
      <w:r w:rsidRPr="002709ED" w:rsidR="007938B5">
        <w:rPr>
          <w:sz w:val="24"/>
        </w:rPr>
        <w:t xml:space="preserve">the </w:t>
      </w:r>
      <w:r w:rsidRPr="002709ED" w:rsidR="00DD42F4">
        <w:rPr>
          <w:sz w:val="24"/>
        </w:rPr>
        <w:t xml:space="preserve">data </w:t>
      </w:r>
      <w:proofErr w:type="gramStart"/>
      <w:r w:rsidRPr="002709ED" w:rsidR="00DD42F4">
        <w:rPr>
          <w:sz w:val="24"/>
        </w:rPr>
        <w:t>will be flagged and resolved with individual THC</w:t>
      </w:r>
      <w:r w:rsidR="008F7C72">
        <w:rPr>
          <w:sz w:val="24"/>
        </w:rPr>
        <w:t xml:space="preserve">s </w:t>
      </w:r>
      <w:r w:rsidRPr="002709ED" w:rsidR="00DD42F4">
        <w:rPr>
          <w:sz w:val="24"/>
        </w:rPr>
        <w:t>where appropriate</w:t>
      </w:r>
      <w:proofErr w:type="gramEnd"/>
      <w:r w:rsidRPr="002709ED" w:rsidR="00DD42F4">
        <w:rPr>
          <w:sz w:val="24"/>
        </w:rPr>
        <w:t xml:space="preserve">. </w:t>
      </w:r>
      <w:r w:rsidR="00294467">
        <w:rPr>
          <w:sz w:val="24"/>
        </w:rPr>
        <w:t xml:space="preserve"> </w:t>
      </w:r>
      <w:proofErr w:type="spellStart"/>
      <w:r w:rsidR="00212F62">
        <w:rPr>
          <w:sz w:val="24"/>
        </w:rPr>
        <w:t>GW</w:t>
      </w:r>
      <w:proofErr w:type="spellEnd"/>
      <w:r w:rsidR="00212F62">
        <w:rPr>
          <w:sz w:val="24"/>
        </w:rPr>
        <w:t xml:space="preserve"> may request documentation as part of the validation process. </w:t>
      </w:r>
      <w:r w:rsidR="00294467">
        <w:rPr>
          <w:sz w:val="24"/>
        </w:rPr>
        <w:t xml:space="preserve"> </w:t>
      </w:r>
      <w:r w:rsidR="00212F62">
        <w:rPr>
          <w:sz w:val="24"/>
        </w:rPr>
        <w:t xml:space="preserve">These requests would take place on an ad-hoc basis. </w:t>
      </w:r>
      <w:r w:rsidR="00294467">
        <w:rPr>
          <w:sz w:val="24"/>
        </w:rPr>
        <w:t xml:space="preserve"> </w:t>
      </w:r>
      <w:r w:rsidR="00212F62">
        <w:rPr>
          <w:sz w:val="24"/>
        </w:rPr>
        <w:t xml:space="preserve">This documentation may </w:t>
      </w:r>
      <w:r w:rsidR="00875E64">
        <w:rPr>
          <w:sz w:val="24"/>
        </w:rPr>
        <w:t xml:space="preserve">include: </w:t>
      </w:r>
      <w:r w:rsidR="00294467">
        <w:rPr>
          <w:sz w:val="24"/>
        </w:rPr>
        <w:t xml:space="preserve"> </w:t>
      </w:r>
      <w:r w:rsidR="00875E64">
        <w:rPr>
          <w:sz w:val="24"/>
        </w:rPr>
        <w:t>general ledgers and trial balances used in the THC</w:t>
      </w:r>
      <w:r w:rsidR="004340A6">
        <w:rPr>
          <w:sz w:val="24"/>
        </w:rPr>
        <w:t>GME</w:t>
      </w:r>
      <w:r w:rsidR="00875E64">
        <w:rPr>
          <w:sz w:val="24"/>
        </w:rPr>
        <w:t xml:space="preserve"> Costing Instrument, audited financial statements for the periods covering the academic year, source documentation as needed, and supporting schedules to develop a </w:t>
      </w:r>
      <w:proofErr w:type="gramStart"/>
      <w:r w:rsidR="00875E64">
        <w:rPr>
          <w:sz w:val="24"/>
        </w:rPr>
        <w:t>cross-walk</w:t>
      </w:r>
      <w:proofErr w:type="gramEnd"/>
      <w:r w:rsidR="00875E64">
        <w:rPr>
          <w:sz w:val="24"/>
        </w:rPr>
        <w:t xml:space="preserve"> between the general ledger and the THC</w:t>
      </w:r>
      <w:r w:rsidR="004340A6">
        <w:rPr>
          <w:sz w:val="24"/>
        </w:rPr>
        <w:t>GME</w:t>
      </w:r>
      <w:r w:rsidR="00875E64">
        <w:rPr>
          <w:sz w:val="24"/>
        </w:rPr>
        <w:t xml:space="preserve"> Costing Instrument.</w:t>
      </w:r>
      <w:r w:rsidR="00212F62">
        <w:rPr>
          <w:sz w:val="24"/>
        </w:rPr>
        <w:t xml:space="preserve"> </w:t>
      </w:r>
      <w:r w:rsidR="00294467">
        <w:rPr>
          <w:sz w:val="24"/>
        </w:rPr>
        <w:t xml:space="preserve"> </w:t>
      </w:r>
      <w:r w:rsidR="003C2AA2">
        <w:rPr>
          <w:sz w:val="24"/>
        </w:rPr>
        <w:t xml:space="preserve">They </w:t>
      </w:r>
      <w:r w:rsidR="00212F62">
        <w:rPr>
          <w:sz w:val="24"/>
        </w:rPr>
        <w:t xml:space="preserve">expect that THCs </w:t>
      </w:r>
      <w:r w:rsidR="00875E64">
        <w:rPr>
          <w:sz w:val="24"/>
        </w:rPr>
        <w:t>will</w:t>
      </w:r>
      <w:r w:rsidR="00212F62">
        <w:rPr>
          <w:sz w:val="24"/>
        </w:rPr>
        <w:t xml:space="preserve"> have these documents </w:t>
      </w:r>
      <w:r w:rsidR="00875E64">
        <w:rPr>
          <w:sz w:val="24"/>
        </w:rPr>
        <w:t>readily</w:t>
      </w:r>
      <w:r w:rsidR="00212F62">
        <w:rPr>
          <w:sz w:val="24"/>
        </w:rPr>
        <w:t xml:space="preserve"> available since they will need the documents to complete the </w:t>
      </w:r>
      <w:r w:rsidR="00875E64">
        <w:rPr>
          <w:sz w:val="24"/>
        </w:rPr>
        <w:t>THC</w:t>
      </w:r>
      <w:r w:rsidR="004340A6">
        <w:rPr>
          <w:sz w:val="24"/>
        </w:rPr>
        <w:t>GME</w:t>
      </w:r>
      <w:r w:rsidR="00875E64">
        <w:rPr>
          <w:sz w:val="24"/>
        </w:rPr>
        <w:t xml:space="preserve"> Costing Instrument. </w:t>
      </w:r>
      <w:r w:rsidR="00294467">
        <w:rPr>
          <w:sz w:val="24"/>
        </w:rPr>
        <w:t xml:space="preserve"> </w:t>
      </w:r>
      <w:r w:rsidR="00875E64">
        <w:rPr>
          <w:sz w:val="24"/>
        </w:rPr>
        <w:t>These document requests do not present an additional burden to the THCs.</w:t>
      </w:r>
    </w:p>
    <w:p w:rsidR="00212F62" w:rsidP="00FD2759" w:rsidRDefault="00212F62" w14:paraId="0BBD2015" w14:textId="77777777">
      <w:pPr>
        <w:ind w:right="160"/>
        <w:rPr>
          <w:sz w:val="24"/>
        </w:rPr>
      </w:pPr>
    </w:p>
    <w:p w:rsidR="00212F62" w:rsidP="00FD2759" w:rsidRDefault="007938B5" w14:paraId="7F212048" w14:textId="298F53FA">
      <w:pPr>
        <w:ind w:right="160"/>
        <w:rPr>
          <w:sz w:val="24"/>
        </w:rPr>
      </w:pPr>
      <w:r w:rsidRPr="002709ED">
        <w:rPr>
          <w:sz w:val="24"/>
        </w:rPr>
        <w:t>Following</w:t>
      </w:r>
      <w:r w:rsidRPr="002709ED" w:rsidR="006F3120">
        <w:rPr>
          <w:sz w:val="24"/>
        </w:rPr>
        <w:t xml:space="preserve"> the GW </w:t>
      </w:r>
      <w:r w:rsidRPr="002709ED" w:rsidR="0087662E">
        <w:rPr>
          <w:sz w:val="24"/>
        </w:rPr>
        <w:t xml:space="preserve">study </w:t>
      </w:r>
      <w:r w:rsidRPr="002709ED" w:rsidR="006F3120">
        <w:rPr>
          <w:sz w:val="24"/>
        </w:rPr>
        <w:t>team’s internal review</w:t>
      </w:r>
      <w:r w:rsidRPr="002709ED">
        <w:rPr>
          <w:sz w:val="24"/>
        </w:rPr>
        <w:t xml:space="preserve"> and quality checks, data </w:t>
      </w:r>
      <w:proofErr w:type="gramStart"/>
      <w:r w:rsidRPr="002709ED">
        <w:rPr>
          <w:sz w:val="24"/>
        </w:rPr>
        <w:t xml:space="preserve">will </w:t>
      </w:r>
      <w:r w:rsidRPr="002709ED" w:rsidR="006F3120">
        <w:rPr>
          <w:sz w:val="24"/>
        </w:rPr>
        <w:t xml:space="preserve">be </w:t>
      </w:r>
      <w:r w:rsidRPr="002709ED">
        <w:rPr>
          <w:sz w:val="24"/>
        </w:rPr>
        <w:t xml:space="preserve">reviewed and </w:t>
      </w:r>
      <w:r w:rsidRPr="002709ED" w:rsidR="006F3120">
        <w:rPr>
          <w:sz w:val="24"/>
        </w:rPr>
        <w:t xml:space="preserve">validated </w:t>
      </w:r>
      <w:r w:rsidRPr="002709ED">
        <w:rPr>
          <w:sz w:val="24"/>
        </w:rPr>
        <w:t>by</w:t>
      </w:r>
      <w:r w:rsidRPr="002709ED" w:rsidR="006F3120">
        <w:rPr>
          <w:sz w:val="24"/>
        </w:rPr>
        <w:t xml:space="preserve"> two external GME auditing experts</w:t>
      </w:r>
      <w:proofErr w:type="gramEnd"/>
      <w:r w:rsidRPr="002709ED" w:rsidR="00DD42F4">
        <w:rPr>
          <w:sz w:val="24"/>
        </w:rPr>
        <w:t xml:space="preserve">. </w:t>
      </w:r>
      <w:r w:rsidR="00294467">
        <w:rPr>
          <w:sz w:val="24"/>
        </w:rPr>
        <w:t xml:space="preserve"> </w:t>
      </w:r>
      <w:proofErr w:type="gramStart"/>
      <w:r w:rsidRPr="002709ED" w:rsidR="0087662E">
        <w:rPr>
          <w:sz w:val="24"/>
        </w:rPr>
        <w:t>A final review will be conducted by the GW study team</w:t>
      </w:r>
      <w:proofErr w:type="gramEnd"/>
      <w:r w:rsidRPr="002709ED" w:rsidR="0087662E">
        <w:rPr>
          <w:sz w:val="24"/>
        </w:rPr>
        <w:t>.</w:t>
      </w:r>
      <w:r w:rsidRPr="002709ED" w:rsidR="005D7DBE">
        <w:rPr>
          <w:sz w:val="24"/>
        </w:rPr>
        <w:t xml:space="preserve"> </w:t>
      </w:r>
      <w:r w:rsidR="00294467">
        <w:rPr>
          <w:sz w:val="24"/>
        </w:rPr>
        <w:t xml:space="preserve"> </w:t>
      </w:r>
      <w:r w:rsidRPr="002709ED" w:rsidR="003D7871">
        <w:rPr>
          <w:sz w:val="24"/>
        </w:rPr>
        <w:t xml:space="preserve">Because </w:t>
      </w:r>
      <w:r w:rsidR="003C2AA2">
        <w:rPr>
          <w:sz w:val="24"/>
        </w:rPr>
        <w:t>they</w:t>
      </w:r>
      <w:r w:rsidRPr="002709ED" w:rsidR="003C2AA2">
        <w:rPr>
          <w:sz w:val="24"/>
        </w:rPr>
        <w:t xml:space="preserve"> </w:t>
      </w:r>
      <w:r w:rsidRPr="002709ED" w:rsidR="003D7871">
        <w:rPr>
          <w:sz w:val="24"/>
        </w:rPr>
        <w:t xml:space="preserve">fielded the original </w:t>
      </w:r>
      <w:r w:rsidRPr="002709ED">
        <w:rPr>
          <w:sz w:val="24"/>
        </w:rPr>
        <w:t>THC</w:t>
      </w:r>
      <w:r w:rsidR="004340A6">
        <w:rPr>
          <w:sz w:val="24"/>
        </w:rPr>
        <w:t>GME</w:t>
      </w:r>
      <w:r w:rsidRPr="002709ED">
        <w:rPr>
          <w:sz w:val="24"/>
        </w:rPr>
        <w:t xml:space="preserve"> </w:t>
      </w:r>
      <w:r w:rsidRPr="002709ED" w:rsidR="005D7DBE">
        <w:rPr>
          <w:sz w:val="24"/>
        </w:rPr>
        <w:t>C</w:t>
      </w:r>
      <w:r w:rsidRPr="002709ED" w:rsidR="003D7871">
        <w:rPr>
          <w:sz w:val="24"/>
        </w:rPr>
        <w:t xml:space="preserve">osting </w:t>
      </w:r>
      <w:r w:rsidRPr="002709ED" w:rsidR="005D7DBE">
        <w:rPr>
          <w:sz w:val="24"/>
        </w:rPr>
        <w:t>I</w:t>
      </w:r>
      <w:r w:rsidRPr="002709ED" w:rsidR="003D7871">
        <w:rPr>
          <w:sz w:val="24"/>
        </w:rPr>
        <w:t xml:space="preserve">nstrument, </w:t>
      </w:r>
      <w:r w:rsidR="003C2AA2">
        <w:rPr>
          <w:sz w:val="24"/>
        </w:rPr>
        <w:t>they</w:t>
      </w:r>
      <w:r w:rsidRPr="002709ED" w:rsidR="003C2AA2">
        <w:rPr>
          <w:sz w:val="24"/>
        </w:rPr>
        <w:t xml:space="preserve"> </w:t>
      </w:r>
      <w:r w:rsidRPr="002709ED" w:rsidR="003D7871">
        <w:rPr>
          <w:sz w:val="24"/>
        </w:rPr>
        <w:t xml:space="preserve">are familiar with the types of responses </w:t>
      </w:r>
      <w:r w:rsidR="003C2AA2">
        <w:rPr>
          <w:sz w:val="24"/>
        </w:rPr>
        <w:t>they</w:t>
      </w:r>
      <w:r w:rsidRPr="002709ED" w:rsidR="003C2AA2">
        <w:rPr>
          <w:sz w:val="24"/>
        </w:rPr>
        <w:t xml:space="preserve"> </w:t>
      </w:r>
      <w:r w:rsidRPr="002709ED" w:rsidR="003D7871">
        <w:rPr>
          <w:sz w:val="24"/>
        </w:rPr>
        <w:t xml:space="preserve">are likely to get from programs, including inaccuracies or incomplete answers before data went through an extensive cleaning process. </w:t>
      </w:r>
      <w:r w:rsidR="00294467">
        <w:rPr>
          <w:sz w:val="24"/>
        </w:rPr>
        <w:t xml:space="preserve"> </w:t>
      </w:r>
      <w:r w:rsidR="003C2AA2">
        <w:rPr>
          <w:sz w:val="24"/>
        </w:rPr>
        <w:t>The</w:t>
      </w:r>
      <w:r w:rsidRPr="002709ED" w:rsidR="003C2AA2">
        <w:rPr>
          <w:sz w:val="24"/>
        </w:rPr>
        <w:t xml:space="preserve"> </w:t>
      </w:r>
      <w:r w:rsidRPr="002709ED" w:rsidR="003D7871">
        <w:rPr>
          <w:sz w:val="24"/>
        </w:rPr>
        <w:t>study team can anticipate some of the challenges that THCs will have completing the</w:t>
      </w:r>
      <w:r w:rsidR="00C346BA">
        <w:rPr>
          <w:sz w:val="24"/>
        </w:rPr>
        <w:t xml:space="preserve"> updated</w:t>
      </w:r>
      <w:r w:rsidRPr="002709ED">
        <w:rPr>
          <w:sz w:val="24"/>
        </w:rPr>
        <w:t xml:space="preserve"> THC</w:t>
      </w:r>
      <w:r w:rsidR="004340A6">
        <w:rPr>
          <w:sz w:val="24"/>
        </w:rPr>
        <w:t>GME</w:t>
      </w:r>
      <w:r w:rsidRPr="002709ED" w:rsidR="003D7871">
        <w:rPr>
          <w:sz w:val="24"/>
        </w:rPr>
        <w:t xml:space="preserve"> </w:t>
      </w:r>
      <w:r w:rsidRPr="002709ED" w:rsidR="005D7DBE">
        <w:rPr>
          <w:sz w:val="24"/>
        </w:rPr>
        <w:t>Costing I</w:t>
      </w:r>
      <w:r w:rsidRPr="002709ED" w:rsidR="003D7871">
        <w:rPr>
          <w:sz w:val="24"/>
        </w:rPr>
        <w:t xml:space="preserve">nstrument. </w:t>
      </w:r>
      <w:r w:rsidR="00294467">
        <w:rPr>
          <w:sz w:val="24"/>
        </w:rPr>
        <w:t xml:space="preserve"> </w:t>
      </w:r>
      <w:r w:rsidR="003C2AA2">
        <w:rPr>
          <w:sz w:val="24"/>
        </w:rPr>
        <w:t>They</w:t>
      </w:r>
      <w:r w:rsidRPr="002709ED" w:rsidR="003C2AA2">
        <w:rPr>
          <w:sz w:val="24"/>
        </w:rPr>
        <w:t xml:space="preserve"> </w:t>
      </w:r>
      <w:r w:rsidRPr="002709ED" w:rsidR="003D7871">
        <w:rPr>
          <w:sz w:val="24"/>
        </w:rPr>
        <w:t>will develop a list of data elements, assumptions, examples, hypothetical scenarios, or other information to facilitate an efficient and high-quality data reporting process.</w:t>
      </w:r>
      <w:r w:rsidR="00212F62">
        <w:rPr>
          <w:sz w:val="24"/>
        </w:rPr>
        <w:t xml:space="preserve"> </w:t>
      </w:r>
    </w:p>
    <w:p w:rsidRPr="002709ED" w:rsidR="003D7871" w:rsidP="00FD2759" w:rsidRDefault="003D7871" w14:paraId="0A48911A" w14:textId="77777777">
      <w:pPr>
        <w:ind w:right="160"/>
        <w:rPr>
          <w:sz w:val="24"/>
        </w:rPr>
      </w:pPr>
    </w:p>
    <w:p w:rsidRPr="002709ED" w:rsidR="007F6DE5" w:rsidP="00FD2759" w:rsidRDefault="004C4D0F" w14:paraId="26CA5B3D" w14:textId="640101D5">
      <w:pPr>
        <w:ind w:right="158"/>
        <w:rPr>
          <w:sz w:val="24"/>
        </w:rPr>
      </w:pPr>
      <w:r w:rsidRPr="002709ED">
        <w:rPr>
          <w:sz w:val="24"/>
          <w:u w:val="single"/>
        </w:rPr>
        <w:t>Step 2: Analysis.</w:t>
      </w:r>
      <w:r w:rsidRPr="002709ED">
        <w:rPr>
          <w:sz w:val="24"/>
        </w:rPr>
        <w:t xml:space="preserve"> </w:t>
      </w:r>
      <w:r w:rsidR="00294467">
        <w:rPr>
          <w:sz w:val="24"/>
        </w:rPr>
        <w:t xml:space="preserve"> </w:t>
      </w:r>
      <w:r w:rsidRPr="002709ED" w:rsidR="00196E0D">
        <w:rPr>
          <w:sz w:val="24"/>
        </w:rPr>
        <w:t xml:space="preserve">Data analysis will begin </w:t>
      </w:r>
      <w:r w:rsidRPr="002709ED" w:rsidR="005D7DBE">
        <w:rPr>
          <w:sz w:val="24"/>
        </w:rPr>
        <w:t>48</w:t>
      </w:r>
      <w:r w:rsidRPr="002709ED" w:rsidR="00196E0D">
        <w:rPr>
          <w:sz w:val="24"/>
        </w:rPr>
        <w:t xml:space="preserve"> weeks after OMB approval and will end </w:t>
      </w:r>
      <w:r w:rsidRPr="002709ED" w:rsidR="005D7DBE">
        <w:rPr>
          <w:sz w:val="24"/>
        </w:rPr>
        <w:t>92</w:t>
      </w:r>
      <w:r w:rsidRPr="002709ED" w:rsidR="00196E0D">
        <w:rPr>
          <w:sz w:val="24"/>
        </w:rPr>
        <w:t xml:space="preserve"> weeks after OMB approval. </w:t>
      </w:r>
      <w:r w:rsidRPr="002709ED">
        <w:rPr>
          <w:sz w:val="24"/>
        </w:rPr>
        <w:t>Analysis of all data will be conducted under the THC Evaluation contract</w:t>
      </w:r>
      <w:r w:rsidRPr="002709ED" w:rsidR="002A77BD">
        <w:rPr>
          <w:sz w:val="24"/>
        </w:rPr>
        <w:t xml:space="preserve">. In this second step, the GW study team will first identify the descriptive statistics of the THCs in the full data sample. </w:t>
      </w:r>
      <w:r w:rsidR="00294467">
        <w:rPr>
          <w:sz w:val="24"/>
        </w:rPr>
        <w:t xml:space="preserve"> </w:t>
      </w:r>
      <w:r w:rsidRPr="002709ED" w:rsidR="002A77BD">
        <w:rPr>
          <w:sz w:val="24"/>
        </w:rPr>
        <w:t xml:space="preserve">Then, GW will begin construction of the data set through conducting an analysis of THCs by major categories of expenses and revenues. </w:t>
      </w:r>
      <w:r w:rsidR="00294467">
        <w:rPr>
          <w:sz w:val="24"/>
        </w:rPr>
        <w:t xml:space="preserve"> </w:t>
      </w:r>
      <w:r w:rsidRPr="002709ED" w:rsidR="005D7DBE">
        <w:rPr>
          <w:sz w:val="24"/>
        </w:rPr>
        <w:t>T</w:t>
      </w:r>
      <w:r w:rsidRPr="002709ED" w:rsidR="00B61E7B">
        <w:rPr>
          <w:sz w:val="24"/>
        </w:rPr>
        <w:t>he GW study team will identify cost estimate formulas for DME</w:t>
      </w:r>
      <w:r w:rsidRPr="002709ED" w:rsidR="005D7DBE">
        <w:rPr>
          <w:sz w:val="24"/>
        </w:rPr>
        <w:t xml:space="preserve"> and </w:t>
      </w:r>
      <w:r w:rsidRPr="002709ED" w:rsidR="00B61E7B">
        <w:rPr>
          <w:sz w:val="24"/>
        </w:rPr>
        <w:t xml:space="preserve">IME costs for residency training in THCs. </w:t>
      </w:r>
      <w:r w:rsidR="00294467">
        <w:rPr>
          <w:sz w:val="24"/>
        </w:rPr>
        <w:t xml:space="preserve"> </w:t>
      </w:r>
      <w:r w:rsidRPr="002709ED" w:rsidR="005D7DBE">
        <w:rPr>
          <w:sz w:val="24"/>
        </w:rPr>
        <w:t>To the extent possible, GW will develop adjustments to the formulas based on various THC characteristics, such as size, geographical location, specialty, and governance model.</w:t>
      </w:r>
    </w:p>
    <w:p w:rsidR="009F4030" w:rsidP="00FD2759" w:rsidRDefault="009F4030" w14:paraId="32DBEF6E" w14:textId="77777777">
      <w:pPr>
        <w:ind w:right="157"/>
        <w:rPr>
          <w:sz w:val="24"/>
          <w:u w:val="single"/>
        </w:rPr>
      </w:pPr>
    </w:p>
    <w:p w:rsidR="004C4D0F" w:rsidP="00FD2759" w:rsidRDefault="004C4D0F" w14:paraId="23373C20" w14:textId="3091A41C">
      <w:pPr>
        <w:ind w:right="157"/>
        <w:rPr>
          <w:sz w:val="24"/>
        </w:rPr>
      </w:pPr>
      <w:r w:rsidRPr="002709ED">
        <w:rPr>
          <w:sz w:val="24"/>
          <w:u w:val="single"/>
        </w:rPr>
        <w:t>Step 3: Reporting.</w:t>
      </w:r>
      <w:r w:rsidRPr="002709ED">
        <w:rPr>
          <w:sz w:val="24"/>
        </w:rPr>
        <w:t xml:space="preserve"> </w:t>
      </w:r>
      <w:r w:rsidR="00294467">
        <w:rPr>
          <w:sz w:val="24"/>
        </w:rPr>
        <w:t xml:space="preserve"> </w:t>
      </w:r>
      <w:r w:rsidRPr="002709ED" w:rsidR="00196E0D">
        <w:rPr>
          <w:sz w:val="24"/>
        </w:rPr>
        <w:t xml:space="preserve">Data reporting will begin 53 weeks after OMB approval and will conclude no later than 90 weeks after OMB approval (6 weeks prior to the end of the contract). </w:t>
      </w:r>
      <w:r w:rsidR="00294467">
        <w:rPr>
          <w:sz w:val="24"/>
        </w:rPr>
        <w:t xml:space="preserve"> </w:t>
      </w:r>
      <w:proofErr w:type="spellStart"/>
      <w:r w:rsidRPr="002709ED">
        <w:rPr>
          <w:sz w:val="24"/>
        </w:rPr>
        <w:t>GW</w:t>
      </w:r>
      <w:proofErr w:type="spellEnd"/>
      <w:r w:rsidRPr="002709ED">
        <w:rPr>
          <w:sz w:val="24"/>
        </w:rPr>
        <w:t xml:space="preserve"> will provide HRSA with data on all THC</w:t>
      </w:r>
      <w:r w:rsidR="008F7C72">
        <w:rPr>
          <w:sz w:val="24"/>
        </w:rPr>
        <w:t>s</w:t>
      </w:r>
      <w:r w:rsidRPr="002709ED">
        <w:rPr>
          <w:sz w:val="24"/>
        </w:rPr>
        <w:t xml:space="preserve"> individually identified. </w:t>
      </w:r>
      <w:r w:rsidR="00294467">
        <w:rPr>
          <w:sz w:val="24"/>
        </w:rPr>
        <w:t xml:space="preserve"> </w:t>
      </w:r>
      <w:r w:rsidRPr="002709ED">
        <w:rPr>
          <w:sz w:val="24"/>
        </w:rPr>
        <w:t xml:space="preserve">However, in the case of publication, all </w:t>
      </w:r>
      <w:r w:rsidR="008F7C72">
        <w:rPr>
          <w:sz w:val="24"/>
        </w:rPr>
        <w:t xml:space="preserve">specific </w:t>
      </w:r>
      <w:r w:rsidRPr="002709ED">
        <w:rPr>
          <w:sz w:val="24"/>
        </w:rPr>
        <w:t xml:space="preserve">THC identifiable information </w:t>
      </w:r>
      <w:proofErr w:type="gramStart"/>
      <w:r w:rsidRPr="002709ED">
        <w:rPr>
          <w:sz w:val="24"/>
        </w:rPr>
        <w:t>will be aggregated and de-identified</w:t>
      </w:r>
      <w:proofErr w:type="gramEnd"/>
      <w:r w:rsidRPr="002709ED">
        <w:rPr>
          <w:sz w:val="24"/>
        </w:rPr>
        <w:t>.</w:t>
      </w:r>
      <w:r w:rsidRPr="002709ED" w:rsidR="00A8384B">
        <w:rPr>
          <w:sz w:val="24"/>
        </w:rPr>
        <w:t xml:space="preserve"> </w:t>
      </w:r>
    </w:p>
    <w:p w:rsidRPr="002709ED" w:rsidR="003B6D22" w:rsidP="00FD2759" w:rsidRDefault="003B6D22" w14:paraId="4B57EC25" w14:textId="77777777">
      <w:pPr>
        <w:ind w:right="157"/>
        <w:rPr>
          <w:sz w:val="24"/>
        </w:rPr>
      </w:pPr>
    </w:p>
    <w:p w:rsidRPr="002709ED" w:rsidR="009B3794" w:rsidRDefault="009B3794" w14:paraId="05C965DA" w14:textId="77777777">
      <w:pPr>
        <w:numPr>
          <w:ilvl w:val="0"/>
          <w:numId w:val="2"/>
        </w:numPr>
        <w:tabs>
          <w:tab w:val="num" w:pos="360"/>
        </w:tabs>
        <w:ind w:left="360"/>
        <w:rPr>
          <w:b/>
          <w:sz w:val="24"/>
        </w:rPr>
      </w:pPr>
      <w:r w:rsidRPr="002709ED">
        <w:rPr>
          <w:b/>
          <w:sz w:val="24"/>
          <w:u w:val="single"/>
        </w:rPr>
        <w:lastRenderedPageBreak/>
        <w:t>Reason(s) Display of OMB Expiration Date is Inappropriate</w:t>
      </w:r>
    </w:p>
    <w:p w:rsidR="009F4030" w:rsidRDefault="009F4030" w14:paraId="1B067724" w14:textId="77777777">
      <w:pPr>
        <w:pStyle w:val="BodyTextIndent"/>
        <w:ind w:left="0"/>
        <w:rPr>
          <w:rFonts w:ascii="Times New Roman" w:hAnsi="Times New Roman"/>
        </w:rPr>
      </w:pPr>
    </w:p>
    <w:p w:rsidR="00B1355F" w:rsidRDefault="00D11CA3" w14:paraId="391538E1" w14:textId="3EFB8880">
      <w:pPr>
        <w:pStyle w:val="BodyTextIndent"/>
        <w:ind w:left="0"/>
        <w:rPr>
          <w:rFonts w:ascii="Times New Roman" w:hAnsi="Times New Roman"/>
        </w:rPr>
      </w:pPr>
      <w:r w:rsidRPr="002709ED">
        <w:rPr>
          <w:rFonts w:ascii="Times New Roman" w:hAnsi="Times New Roman"/>
        </w:rPr>
        <w:t>The OMB number and Expiration date will be displayed on every page of every</w:t>
      </w:r>
      <w:r w:rsidRPr="002709ED" w:rsidR="00B1355F">
        <w:rPr>
          <w:rFonts w:ascii="Times New Roman" w:hAnsi="Times New Roman"/>
        </w:rPr>
        <w:t xml:space="preserve"> form/instrument.</w:t>
      </w:r>
    </w:p>
    <w:p w:rsidRPr="002709ED" w:rsidR="00D823C9" w:rsidRDefault="00D823C9" w14:paraId="52B05E6E" w14:textId="77777777">
      <w:pPr>
        <w:pStyle w:val="BodyTextIndent"/>
        <w:ind w:left="0"/>
        <w:rPr>
          <w:rFonts w:ascii="Times New Roman" w:hAnsi="Times New Roman"/>
        </w:rPr>
      </w:pPr>
    </w:p>
    <w:p w:rsidRPr="002709ED" w:rsidR="009B3794" w:rsidRDefault="009B3794" w14:paraId="05C965DC" w14:textId="77777777">
      <w:pPr>
        <w:numPr>
          <w:ilvl w:val="0"/>
          <w:numId w:val="2"/>
        </w:numPr>
        <w:tabs>
          <w:tab w:val="num" w:pos="360"/>
        </w:tabs>
        <w:ind w:left="360"/>
        <w:rPr>
          <w:b/>
          <w:sz w:val="24"/>
        </w:rPr>
      </w:pPr>
      <w:r w:rsidRPr="002709ED">
        <w:rPr>
          <w:b/>
          <w:sz w:val="24"/>
          <w:u w:val="single"/>
        </w:rPr>
        <w:t>Exceptions to Certification for Paperwork Reduction Act Submissions</w:t>
      </w:r>
    </w:p>
    <w:p w:rsidR="009F4030" w:rsidRDefault="009F4030" w14:paraId="01AF31FD" w14:textId="77777777">
      <w:pPr>
        <w:pStyle w:val="BodyTextIndent"/>
        <w:ind w:left="0"/>
        <w:rPr>
          <w:rFonts w:ascii="Times New Roman" w:hAnsi="Times New Roman"/>
        </w:rPr>
      </w:pPr>
    </w:p>
    <w:p w:rsidRPr="002709ED" w:rsidR="009B3794" w:rsidRDefault="00B1355F" w14:paraId="05C965DD" w14:textId="30D54B1C">
      <w:pPr>
        <w:pStyle w:val="BodyTextIndent"/>
        <w:ind w:left="0"/>
        <w:rPr>
          <w:rFonts w:ascii="Times New Roman" w:hAnsi="Times New Roman"/>
        </w:rPr>
      </w:pPr>
      <w:r w:rsidRPr="002709ED">
        <w:rPr>
          <w:rFonts w:ascii="Times New Roman" w:hAnsi="Times New Roman"/>
        </w:rPr>
        <w:t>There are no exceptions to the certification.</w:t>
      </w:r>
    </w:p>
    <w:sectPr w:rsidRPr="002709ED" w:rsidR="009B3794" w:rsidSect="00294467">
      <w:footerReference w:type="default" r:id="rId15"/>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B6591" w14:textId="77777777" w:rsidR="00B34400" w:rsidRDefault="00B34400">
      <w:r>
        <w:separator/>
      </w:r>
    </w:p>
  </w:endnote>
  <w:endnote w:type="continuationSeparator" w:id="0">
    <w:p w14:paraId="28041A7A" w14:textId="77777777" w:rsidR="00B34400" w:rsidRDefault="00B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200162"/>
      <w:docPartObj>
        <w:docPartGallery w:val="Page Numbers (Bottom of Page)"/>
        <w:docPartUnique/>
      </w:docPartObj>
    </w:sdtPr>
    <w:sdtEndPr>
      <w:rPr>
        <w:noProof/>
      </w:rPr>
    </w:sdtEndPr>
    <w:sdtContent>
      <w:p w14:paraId="5ACA69AC" w14:textId="3996F881" w:rsidR="00C85F2C" w:rsidRDefault="00C85F2C">
        <w:pPr>
          <w:pStyle w:val="Footer"/>
          <w:jc w:val="center"/>
        </w:pPr>
        <w:r>
          <w:fldChar w:fldCharType="begin"/>
        </w:r>
        <w:r>
          <w:instrText xml:space="preserve"> PAGE   \* MERGEFORMAT </w:instrText>
        </w:r>
        <w:r>
          <w:fldChar w:fldCharType="separate"/>
        </w:r>
        <w:r w:rsidR="004D5BE4">
          <w:rPr>
            <w:noProof/>
          </w:rPr>
          <w:t>4</w:t>
        </w:r>
        <w:r>
          <w:rPr>
            <w:noProof/>
          </w:rPr>
          <w:fldChar w:fldCharType="end"/>
        </w:r>
      </w:p>
    </w:sdtContent>
  </w:sdt>
  <w:p w14:paraId="1835E0E9" w14:textId="77777777" w:rsidR="00C85F2C" w:rsidRDefault="00C85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65E2" w14:textId="77777777" w:rsidR="003C172A" w:rsidRDefault="003C172A">
    <w:pPr>
      <w:spacing w:line="240" w:lineRule="exact"/>
    </w:pPr>
  </w:p>
  <w:p w14:paraId="05C965E3" w14:textId="3740DEA4" w:rsidR="003C172A" w:rsidRDefault="003C172A">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D5BE4">
      <w:rPr>
        <w:noProof/>
        <w:sz w:val="24"/>
      </w:rPr>
      <w:t>8</w:t>
    </w:r>
    <w:r>
      <w:rPr>
        <w:sz w:val="24"/>
      </w:rPr>
      <w:fldChar w:fldCharType="end"/>
    </w:r>
  </w:p>
  <w:p w14:paraId="05C965E4" w14:textId="77777777" w:rsidR="003C172A" w:rsidRDefault="003C172A">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6D42" w14:textId="77777777" w:rsidR="00B34400" w:rsidRDefault="00B34400">
      <w:r>
        <w:separator/>
      </w:r>
    </w:p>
  </w:footnote>
  <w:footnote w:type="continuationSeparator" w:id="0">
    <w:p w14:paraId="070DC95D" w14:textId="77777777" w:rsidR="00B34400" w:rsidRDefault="00B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3065060"/>
    <w:multiLevelType w:val="hybridMultilevel"/>
    <w:tmpl w:val="AE72BFBA"/>
    <w:lvl w:ilvl="0" w:tplc="06DC9B5C">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957377"/>
    <w:multiLevelType w:val="hybridMultilevel"/>
    <w:tmpl w:val="EA9AAAB2"/>
    <w:lvl w:ilvl="0" w:tplc="E6748276">
      <w:start w:val="1"/>
      <w:numFmt w:val="bullet"/>
      <w:lvlText w:val=""/>
      <w:lvlJc w:val="left"/>
      <w:pPr>
        <w:ind w:left="820" w:hanging="360"/>
      </w:pPr>
      <w:rPr>
        <w:rFonts w:ascii="Symbol" w:eastAsia="Symbol" w:hAnsi="Symbol" w:hint="default"/>
        <w:sz w:val="24"/>
        <w:szCs w:val="24"/>
      </w:rPr>
    </w:lvl>
    <w:lvl w:ilvl="1" w:tplc="880A7BBE">
      <w:start w:val="1"/>
      <w:numFmt w:val="bullet"/>
      <w:lvlText w:val="•"/>
      <w:lvlJc w:val="left"/>
      <w:pPr>
        <w:ind w:left="1696" w:hanging="360"/>
      </w:pPr>
      <w:rPr>
        <w:rFonts w:hint="default"/>
      </w:rPr>
    </w:lvl>
    <w:lvl w:ilvl="2" w:tplc="C4B25282">
      <w:start w:val="1"/>
      <w:numFmt w:val="bullet"/>
      <w:lvlText w:val="•"/>
      <w:lvlJc w:val="left"/>
      <w:pPr>
        <w:ind w:left="2572" w:hanging="360"/>
      </w:pPr>
      <w:rPr>
        <w:rFonts w:hint="default"/>
      </w:rPr>
    </w:lvl>
    <w:lvl w:ilvl="3" w:tplc="D592C682">
      <w:start w:val="1"/>
      <w:numFmt w:val="bullet"/>
      <w:lvlText w:val="•"/>
      <w:lvlJc w:val="left"/>
      <w:pPr>
        <w:ind w:left="3448" w:hanging="360"/>
      </w:pPr>
      <w:rPr>
        <w:rFonts w:hint="default"/>
      </w:rPr>
    </w:lvl>
    <w:lvl w:ilvl="4" w:tplc="F5DC820C">
      <w:start w:val="1"/>
      <w:numFmt w:val="bullet"/>
      <w:lvlText w:val="•"/>
      <w:lvlJc w:val="left"/>
      <w:pPr>
        <w:ind w:left="4324" w:hanging="360"/>
      </w:pPr>
      <w:rPr>
        <w:rFonts w:hint="default"/>
      </w:rPr>
    </w:lvl>
    <w:lvl w:ilvl="5" w:tplc="6C1AA552">
      <w:start w:val="1"/>
      <w:numFmt w:val="bullet"/>
      <w:lvlText w:val="•"/>
      <w:lvlJc w:val="left"/>
      <w:pPr>
        <w:ind w:left="5200" w:hanging="360"/>
      </w:pPr>
      <w:rPr>
        <w:rFonts w:hint="default"/>
      </w:rPr>
    </w:lvl>
    <w:lvl w:ilvl="6" w:tplc="E37C9892">
      <w:start w:val="1"/>
      <w:numFmt w:val="bullet"/>
      <w:lvlText w:val="•"/>
      <w:lvlJc w:val="left"/>
      <w:pPr>
        <w:ind w:left="6076" w:hanging="360"/>
      </w:pPr>
      <w:rPr>
        <w:rFonts w:hint="default"/>
      </w:rPr>
    </w:lvl>
    <w:lvl w:ilvl="7" w:tplc="B08467CE">
      <w:start w:val="1"/>
      <w:numFmt w:val="bullet"/>
      <w:lvlText w:val="•"/>
      <w:lvlJc w:val="left"/>
      <w:pPr>
        <w:ind w:left="6952" w:hanging="360"/>
      </w:pPr>
      <w:rPr>
        <w:rFonts w:hint="default"/>
      </w:rPr>
    </w:lvl>
    <w:lvl w:ilvl="8" w:tplc="E5127D80">
      <w:start w:val="1"/>
      <w:numFmt w:val="bullet"/>
      <w:lvlText w:val="•"/>
      <w:lvlJc w:val="left"/>
      <w:pPr>
        <w:ind w:left="7828" w:hanging="360"/>
      </w:pPr>
      <w:rPr>
        <w:rFont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79F4A57"/>
    <w:multiLevelType w:val="hybridMultilevel"/>
    <w:tmpl w:val="36E20058"/>
    <w:lvl w:ilvl="0" w:tplc="AA04EC02">
      <w:start w:val="1"/>
      <w:numFmt w:val="decimal"/>
      <w:lvlText w:val="%1."/>
      <w:lvlJc w:val="left"/>
      <w:pPr>
        <w:ind w:left="720" w:hanging="360"/>
      </w:pPr>
      <w:rPr>
        <w:rFonts w:hint="default"/>
        <w:color w:val="22222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A6B0232"/>
    <w:multiLevelType w:val="hybridMultilevel"/>
    <w:tmpl w:val="B1EC6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490EF8"/>
    <w:multiLevelType w:val="hybridMultilevel"/>
    <w:tmpl w:val="FBA8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3"/>
  </w:num>
  <w:num w:numId="3">
    <w:abstractNumId w:val="15"/>
  </w:num>
  <w:num w:numId="4">
    <w:abstractNumId w:val="43"/>
  </w:num>
  <w:num w:numId="5">
    <w:abstractNumId w:val="46"/>
  </w:num>
  <w:num w:numId="6">
    <w:abstractNumId w:val="9"/>
  </w:num>
  <w:num w:numId="7">
    <w:abstractNumId w:val="39"/>
  </w:num>
  <w:num w:numId="8">
    <w:abstractNumId w:val="18"/>
  </w:num>
  <w:num w:numId="9">
    <w:abstractNumId w:val="27"/>
  </w:num>
  <w:num w:numId="10">
    <w:abstractNumId w:val="20"/>
  </w:num>
  <w:num w:numId="11">
    <w:abstractNumId w:val="8"/>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6"/>
  </w:num>
  <w:num w:numId="19">
    <w:abstractNumId w:val="38"/>
  </w:num>
  <w:num w:numId="20">
    <w:abstractNumId w:val="35"/>
  </w:num>
  <w:num w:numId="21">
    <w:abstractNumId w:val="19"/>
  </w:num>
  <w:num w:numId="22">
    <w:abstractNumId w:val="42"/>
  </w:num>
  <w:num w:numId="23">
    <w:abstractNumId w:val="33"/>
  </w:num>
  <w:num w:numId="24">
    <w:abstractNumId w:val="34"/>
  </w:num>
  <w:num w:numId="25">
    <w:abstractNumId w:val="45"/>
  </w:num>
  <w:num w:numId="26">
    <w:abstractNumId w:val="41"/>
  </w:num>
  <w:num w:numId="27">
    <w:abstractNumId w:val="3"/>
  </w:num>
  <w:num w:numId="28">
    <w:abstractNumId w:val="17"/>
  </w:num>
  <w:num w:numId="29">
    <w:abstractNumId w:val="44"/>
  </w:num>
  <w:num w:numId="30">
    <w:abstractNumId w:val="40"/>
  </w:num>
  <w:num w:numId="31">
    <w:abstractNumId w:val="37"/>
  </w:num>
  <w:num w:numId="32">
    <w:abstractNumId w:val="10"/>
  </w:num>
  <w:num w:numId="33">
    <w:abstractNumId w:val="2"/>
  </w:num>
  <w:num w:numId="34">
    <w:abstractNumId w:val="29"/>
  </w:num>
  <w:num w:numId="35">
    <w:abstractNumId w:val="12"/>
  </w:num>
  <w:num w:numId="36">
    <w:abstractNumId w:val="11"/>
  </w:num>
  <w:num w:numId="37">
    <w:abstractNumId w:val="14"/>
  </w:num>
  <w:num w:numId="38">
    <w:abstractNumId w:val="4"/>
  </w:num>
  <w:num w:numId="39">
    <w:abstractNumId w:val="32"/>
  </w:num>
  <w:num w:numId="40">
    <w:abstractNumId w:val="6"/>
  </w:num>
  <w:num w:numId="41">
    <w:abstractNumId w:val="31"/>
  </w:num>
  <w:num w:numId="42">
    <w:abstractNumId w:val="25"/>
  </w:num>
  <w:num w:numId="43">
    <w:abstractNumId w:val="5"/>
  </w:num>
  <w:num w:numId="44">
    <w:abstractNumId w:val="36"/>
  </w:num>
  <w:num w:numId="45">
    <w:abstractNumId w:val="21"/>
  </w:num>
  <w:num w:numId="46">
    <w:abstractNumId w:val="28"/>
  </w:num>
  <w:num w:numId="47">
    <w:abstractNumId w:val="30"/>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0853"/>
    <w:rsid w:val="00014A61"/>
    <w:rsid w:val="00015505"/>
    <w:rsid w:val="00020C96"/>
    <w:rsid w:val="000365A1"/>
    <w:rsid w:val="00041F6B"/>
    <w:rsid w:val="000436F9"/>
    <w:rsid w:val="00055205"/>
    <w:rsid w:val="00057111"/>
    <w:rsid w:val="00057892"/>
    <w:rsid w:val="00060E21"/>
    <w:rsid w:val="00063A7D"/>
    <w:rsid w:val="000754E0"/>
    <w:rsid w:val="00085057"/>
    <w:rsid w:val="000B59BF"/>
    <w:rsid w:val="000D39D1"/>
    <w:rsid w:val="000F333A"/>
    <w:rsid w:val="00114690"/>
    <w:rsid w:val="00115E2A"/>
    <w:rsid w:val="00121762"/>
    <w:rsid w:val="001325B2"/>
    <w:rsid w:val="00140FEA"/>
    <w:rsid w:val="00144B43"/>
    <w:rsid w:val="00154C09"/>
    <w:rsid w:val="00172C53"/>
    <w:rsid w:val="00181AEF"/>
    <w:rsid w:val="001872C8"/>
    <w:rsid w:val="001920C3"/>
    <w:rsid w:val="00196E0D"/>
    <w:rsid w:val="001A4C52"/>
    <w:rsid w:val="001D4856"/>
    <w:rsid w:val="001F2A2D"/>
    <w:rsid w:val="001F35A7"/>
    <w:rsid w:val="001F4CA1"/>
    <w:rsid w:val="001F71C6"/>
    <w:rsid w:val="002118B4"/>
    <w:rsid w:val="00212F62"/>
    <w:rsid w:val="002248DA"/>
    <w:rsid w:val="002279F1"/>
    <w:rsid w:val="0026396B"/>
    <w:rsid w:val="002640E7"/>
    <w:rsid w:val="002709ED"/>
    <w:rsid w:val="002777EB"/>
    <w:rsid w:val="002811B1"/>
    <w:rsid w:val="00294467"/>
    <w:rsid w:val="002A3244"/>
    <w:rsid w:val="002A77BD"/>
    <w:rsid w:val="002B52BE"/>
    <w:rsid w:val="002D54E9"/>
    <w:rsid w:val="00300EB6"/>
    <w:rsid w:val="0031525A"/>
    <w:rsid w:val="00322313"/>
    <w:rsid w:val="003348C3"/>
    <w:rsid w:val="00374348"/>
    <w:rsid w:val="003771FE"/>
    <w:rsid w:val="00381102"/>
    <w:rsid w:val="00383726"/>
    <w:rsid w:val="003846AA"/>
    <w:rsid w:val="00386A0E"/>
    <w:rsid w:val="0039060D"/>
    <w:rsid w:val="00391E16"/>
    <w:rsid w:val="003A1EE6"/>
    <w:rsid w:val="003B6D22"/>
    <w:rsid w:val="003C172A"/>
    <w:rsid w:val="003C2AA2"/>
    <w:rsid w:val="003D23B1"/>
    <w:rsid w:val="003D7871"/>
    <w:rsid w:val="00420ED8"/>
    <w:rsid w:val="00425E81"/>
    <w:rsid w:val="004340A6"/>
    <w:rsid w:val="00442415"/>
    <w:rsid w:val="004439D5"/>
    <w:rsid w:val="004648A3"/>
    <w:rsid w:val="004676A2"/>
    <w:rsid w:val="00472847"/>
    <w:rsid w:val="004746CA"/>
    <w:rsid w:val="0048048B"/>
    <w:rsid w:val="00490720"/>
    <w:rsid w:val="004962DF"/>
    <w:rsid w:val="004A3A07"/>
    <w:rsid w:val="004C4D0F"/>
    <w:rsid w:val="004D39C6"/>
    <w:rsid w:val="004D5BE4"/>
    <w:rsid w:val="004E1F76"/>
    <w:rsid w:val="004E687D"/>
    <w:rsid w:val="004F1890"/>
    <w:rsid w:val="004F6A37"/>
    <w:rsid w:val="00501964"/>
    <w:rsid w:val="00503BAB"/>
    <w:rsid w:val="00504EDC"/>
    <w:rsid w:val="00526171"/>
    <w:rsid w:val="00535AE3"/>
    <w:rsid w:val="005371F7"/>
    <w:rsid w:val="00543AB2"/>
    <w:rsid w:val="00553C6F"/>
    <w:rsid w:val="00554D31"/>
    <w:rsid w:val="00560B3D"/>
    <w:rsid w:val="00584C3F"/>
    <w:rsid w:val="005961B4"/>
    <w:rsid w:val="00596C33"/>
    <w:rsid w:val="005A32EB"/>
    <w:rsid w:val="005A7132"/>
    <w:rsid w:val="005B7411"/>
    <w:rsid w:val="005B7F8D"/>
    <w:rsid w:val="005D7625"/>
    <w:rsid w:val="005D7DBE"/>
    <w:rsid w:val="005E03BA"/>
    <w:rsid w:val="005E1765"/>
    <w:rsid w:val="005F6593"/>
    <w:rsid w:val="00600197"/>
    <w:rsid w:val="00607AB2"/>
    <w:rsid w:val="006132B4"/>
    <w:rsid w:val="006204D3"/>
    <w:rsid w:val="00624019"/>
    <w:rsid w:val="00627D0F"/>
    <w:rsid w:val="00627FFD"/>
    <w:rsid w:val="00642FC5"/>
    <w:rsid w:val="00662307"/>
    <w:rsid w:val="006667D0"/>
    <w:rsid w:val="00667281"/>
    <w:rsid w:val="006708B0"/>
    <w:rsid w:val="00671A1B"/>
    <w:rsid w:val="00680D76"/>
    <w:rsid w:val="00681005"/>
    <w:rsid w:val="006914CE"/>
    <w:rsid w:val="006B4FA0"/>
    <w:rsid w:val="006B5837"/>
    <w:rsid w:val="006D44A8"/>
    <w:rsid w:val="006E51CE"/>
    <w:rsid w:val="006F3120"/>
    <w:rsid w:val="00711258"/>
    <w:rsid w:val="0072489A"/>
    <w:rsid w:val="0073114C"/>
    <w:rsid w:val="0073789D"/>
    <w:rsid w:val="00741D9A"/>
    <w:rsid w:val="00751EF3"/>
    <w:rsid w:val="00756780"/>
    <w:rsid w:val="007654A7"/>
    <w:rsid w:val="00771DCE"/>
    <w:rsid w:val="00773545"/>
    <w:rsid w:val="007759B6"/>
    <w:rsid w:val="00780153"/>
    <w:rsid w:val="007860C0"/>
    <w:rsid w:val="007938B5"/>
    <w:rsid w:val="007B222A"/>
    <w:rsid w:val="007C7E22"/>
    <w:rsid w:val="007D2D7D"/>
    <w:rsid w:val="007E74EA"/>
    <w:rsid w:val="007F047A"/>
    <w:rsid w:val="007F6DE5"/>
    <w:rsid w:val="008002AB"/>
    <w:rsid w:val="0081255E"/>
    <w:rsid w:val="0081782A"/>
    <w:rsid w:val="00817C6C"/>
    <w:rsid w:val="00837950"/>
    <w:rsid w:val="00864422"/>
    <w:rsid w:val="008725D1"/>
    <w:rsid w:val="00875E64"/>
    <w:rsid w:val="0087662E"/>
    <w:rsid w:val="00881B11"/>
    <w:rsid w:val="008969DD"/>
    <w:rsid w:val="008B04CA"/>
    <w:rsid w:val="008C0A8D"/>
    <w:rsid w:val="008D2D67"/>
    <w:rsid w:val="008D5FE8"/>
    <w:rsid w:val="008E09FC"/>
    <w:rsid w:val="008F7C72"/>
    <w:rsid w:val="00900ED3"/>
    <w:rsid w:val="00903915"/>
    <w:rsid w:val="009249A6"/>
    <w:rsid w:val="00935E77"/>
    <w:rsid w:val="00954245"/>
    <w:rsid w:val="009549D0"/>
    <w:rsid w:val="00975CF7"/>
    <w:rsid w:val="00977B71"/>
    <w:rsid w:val="00994A92"/>
    <w:rsid w:val="009A23DA"/>
    <w:rsid w:val="009B2DFA"/>
    <w:rsid w:val="009B3794"/>
    <w:rsid w:val="009B7E4D"/>
    <w:rsid w:val="009C333B"/>
    <w:rsid w:val="009D347A"/>
    <w:rsid w:val="009E5823"/>
    <w:rsid w:val="009E60BF"/>
    <w:rsid w:val="009E689B"/>
    <w:rsid w:val="009E6A3B"/>
    <w:rsid w:val="009F4030"/>
    <w:rsid w:val="00A1688A"/>
    <w:rsid w:val="00A225EB"/>
    <w:rsid w:val="00A2644E"/>
    <w:rsid w:val="00A33EBC"/>
    <w:rsid w:val="00A36957"/>
    <w:rsid w:val="00A375F0"/>
    <w:rsid w:val="00A8384B"/>
    <w:rsid w:val="00A84180"/>
    <w:rsid w:val="00A8544F"/>
    <w:rsid w:val="00A9192B"/>
    <w:rsid w:val="00A92CAB"/>
    <w:rsid w:val="00AA7CF0"/>
    <w:rsid w:val="00AB0294"/>
    <w:rsid w:val="00AC04E8"/>
    <w:rsid w:val="00AD79A6"/>
    <w:rsid w:val="00AE3589"/>
    <w:rsid w:val="00AE7154"/>
    <w:rsid w:val="00AF3422"/>
    <w:rsid w:val="00AF7468"/>
    <w:rsid w:val="00B00C6E"/>
    <w:rsid w:val="00B117DB"/>
    <w:rsid w:val="00B1355F"/>
    <w:rsid w:val="00B17CC2"/>
    <w:rsid w:val="00B3351F"/>
    <w:rsid w:val="00B33941"/>
    <w:rsid w:val="00B34400"/>
    <w:rsid w:val="00B378B7"/>
    <w:rsid w:val="00B46AD2"/>
    <w:rsid w:val="00B471A2"/>
    <w:rsid w:val="00B47E60"/>
    <w:rsid w:val="00B5210F"/>
    <w:rsid w:val="00B61E7B"/>
    <w:rsid w:val="00B655C6"/>
    <w:rsid w:val="00BA1A0C"/>
    <w:rsid w:val="00BF33E1"/>
    <w:rsid w:val="00BF5B17"/>
    <w:rsid w:val="00C00A17"/>
    <w:rsid w:val="00C07555"/>
    <w:rsid w:val="00C306F6"/>
    <w:rsid w:val="00C32433"/>
    <w:rsid w:val="00C346BA"/>
    <w:rsid w:val="00C43460"/>
    <w:rsid w:val="00C45431"/>
    <w:rsid w:val="00C50EC7"/>
    <w:rsid w:val="00C55640"/>
    <w:rsid w:val="00C65EF8"/>
    <w:rsid w:val="00C74B86"/>
    <w:rsid w:val="00C823D7"/>
    <w:rsid w:val="00C85F2C"/>
    <w:rsid w:val="00C92DA4"/>
    <w:rsid w:val="00CA3DA6"/>
    <w:rsid w:val="00CC3955"/>
    <w:rsid w:val="00CD36E7"/>
    <w:rsid w:val="00CE2617"/>
    <w:rsid w:val="00CE5AA9"/>
    <w:rsid w:val="00CE5BBA"/>
    <w:rsid w:val="00D11CA3"/>
    <w:rsid w:val="00D254C8"/>
    <w:rsid w:val="00D3101B"/>
    <w:rsid w:val="00D316C8"/>
    <w:rsid w:val="00D44F56"/>
    <w:rsid w:val="00D459E3"/>
    <w:rsid w:val="00D46313"/>
    <w:rsid w:val="00D5063F"/>
    <w:rsid w:val="00D56CC2"/>
    <w:rsid w:val="00D616E5"/>
    <w:rsid w:val="00D74B86"/>
    <w:rsid w:val="00D823C9"/>
    <w:rsid w:val="00D92E1D"/>
    <w:rsid w:val="00DA38FF"/>
    <w:rsid w:val="00DA4F02"/>
    <w:rsid w:val="00DC1536"/>
    <w:rsid w:val="00DD42F4"/>
    <w:rsid w:val="00DD5BC0"/>
    <w:rsid w:val="00DE3A45"/>
    <w:rsid w:val="00E00CEE"/>
    <w:rsid w:val="00E137B8"/>
    <w:rsid w:val="00E203FA"/>
    <w:rsid w:val="00E34A1F"/>
    <w:rsid w:val="00E41263"/>
    <w:rsid w:val="00E43C65"/>
    <w:rsid w:val="00E45705"/>
    <w:rsid w:val="00E52EB9"/>
    <w:rsid w:val="00E53AFD"/>
    <w:rsid w:val="00E63420"/>
    <w:rsid w:val="00E825F4"/>
    <w:rsid w:val="00E85703"/>
    <w:rsid w:val="00E868B1"/>
    <w:rsid w:val="00E87554"/>
    <w:rsid w:val="00E962DB"/>
    <w:rsid w:val="00E97C76"/>
    <w:rsid w:val="00EB1CFB"/>
    <w:rsid w:val="00EC38CD"/>
    <w:rsid w:val="00EC6A2F"/>
    <w:rsid w:val="00ED013B"/>
    <w:rsid w:val="00ED18EA"/>
    <w:rsid w:val="00EE1396"/>
    <w:rsid w:val="00EE2F2C"/>
    <w:rsid w:val="00EE529C"/>
    <w:rsid w:val="00F11FFB"/>
    <w:rsid w:val="00F14C8D"/>
    <w:rsid w:val="00F32E6A"/>
    <w:rsid w:val="00F4221E"/>
    <w:rsid w:val="00F446F4"/>
    <w:rsid w:val="00F453E4"/>
    <w:rsid w:val="00F71CD8"/>
    <w:rsid w:val="00F84CEC"/>
    <w:rsid w:val="00F85437"/>
    <w:rsid w:val="00FB46AB"/>
    <w:rsid w:val="00FB7406"/>
    <w:rsid w:val="00FD1A11"/>
    <w:rsid w:val="00FD2759"/>
    <w:rsid w:val="00FE6C30"/>
    <w:rsid w:val="00FF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96518"/>
  <w15:docId w15:val="{849B795B-BBD1-42BD-AAC4-700CC52A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semiHidden/>
    <w:unhideWhenUsed/>
    <w:rsid w:val="00063A7D"/>
    <w:rPr>
      <w:sz w:val="16"/>
      <w:szCs w:val="16"/>
    </w:rPr>
  </w:style>
  <w:style w:type="paragraph" w:styleId="CommentText">
    <w:name w:val="annotation text"/>
    <w:basedOn w:val="Normal"/>
    <w:link w:val="CommentTextChar"/>
    <w:semiHidden/>
    <w:unhideWhenUsed/>
    <w:rsid w:val="00063A7D"/>
    <w:rPr>
      <w:szCs w:val="20"/>
    </w:rPr>
  </w:style>
  <w:style w:type="character" w:customStyle="1" w:styleId="CommentTextChar">
    <w:name w:val="Comment Text Char"/>
    <w:basedOn w:val="DefaultParagraphFont"/>
    <w:link w:val="CommentText"/>
    <w:semiHidden/>
    <w:rsid w:val="00063A7D"/>
  </w:style>
  <w:style w:type="paragraph" w:styleId="CommentSubject">
    <w:name w:val="annotation subject"/>
    <w:basedOn w:val="CommentText"/>
    <w:next w:val="CommentText"/>
    <w:link w:val="CommentSubjectChar"/>
    <w:semiHidden/>
    <w:unhideWhenUsed/>
    <w:rsid w:val="00063A7D"/>
    <w:rPr>
      <w:b/>
      <w:bCs/>
    </w:rPr>
  </w:style>
  <w:style w:type="character" w:customStyle="1" w:styleId="CommentSubjectChar">
    <w:name w:val="Comment Subject Char"/>
    <w:basedOn w:val="CommentTextChar"/>
    <w:link w:val="CommentSubject"/>
    <w:semiHidden/>
    <w:rsid w:val="00063A7D"/>
    <w:rPr>
      <w:b/>
      <w:bCs/>
    </w:rPr>
  </w:style>
  <w:style w:type="character" w:styleId="PlaceholderText">
    <w:name w:val="Placeholder Text"/>
    <w:basedOn w:val="DefaultParagraphFont"/>
    <w:uiPriority w:val="99"/>
    <w:semiHidden/>
    <w:rsid w:val="00B1355F"/>
    <w:rPr>
      <w:color w:val="808080"/>
    </w:rPr>
  </w:style>
  <w:style w:type="character" w:customStyle="1" w:styleId="UnresolvedMention1">
    <w:name w:val="Unresolved Mention1"/>
    <w:basedOn w:val="DefaultParagraphFont"/>
    <w:uiPriority w:val="99"/>
    <w:semiHidden/>
    <w:unhideWhenUsed/>
    <w:rsid w:val="00607AB2"/>
    <w:rPr>
      <w:color w:val="605E5C"/>
      <w:shd w:val="clear" w:color="auto" w:fill="E1DFDD"/>
    </w:rPr>
  </w:style>
  <w:style w:type="paragraph" w:styleId="Header">
    <w:name w:val="header"/>
    <w:basedOn w:val="Normal"/>
    <w:link w:val="HeaderChar"/>
    <w:unhideWhenUsed/>
    <w:rsid w:val="00C85F2C"/>
    <w:pPr>
      <w:tabs>
        <w:tab w:val="center" w:pos="4680"/>
        <w:tab w:val="right" w:pos="9360"/>
      </w:tabs>
    </w:pPr>
  </w:style>
  <w:style w:type="character" w:customStyle="1" w:styleId="HeaderChar">
    <w:name w:val="Header Char"/>
    <w:basedOn w:val="DefaultParagraphFont"/>
    <w:link w:val="Header"/>
    <w:rsid w:val="00C85F2C"/>
    <w:rPr>
      <w:szCs w:val="24"/>
    </w:rPr>
  </w:style>
  <w:style w:type="paragraph" w:styleId="Footer">
    <w:name w:val="footer"/>
    <w:basedOn w:val="Normal"/>
    <w:link w:val="FooterChar"/>
    <w:uiPriority w:val="99"/>
    <w:unhideWhenUsed/>
    <w:rsid w:val="00C85F2C"/>
    <w:pPr>
      <w:tabs>
        <w:tab w:val="center" w:pos="4680"/>
        <w:tab w:val="right" w:pos="9360"/>
      </w:tabs>
    </w:pPr>
  </w:style>
  <w:style w:type="character" w:customStyle="1" w:styleId="FooterChar">
    <w:name w:val="Footer Char"/>
    <w:basedOn w:val="DefaultParagraphFont"/>
    <w:link w:val="Footer"/>
    <w:uiPriority w:val="99"/>
    <w:rsid w:val="00C85F2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81508">
      <w:bodyDiv w:val="1"/>
      <w:marLeft w:val="0"/>
      <w:marRight w:val="0"/>
      <w:marTop w:val="0"/>
      <w:marBottom w:val="0"/>
      <w:divBdr>
        <w:top w:val="none" w:sz="0" w:space="0" w:color="auto"/>
        <w:left w:val="none" w:sz="0" w:space="0" w:color="auto"/>
        <w:bottom w:val="none" w:sz="0" w:space="0" w:color="auto"/>
        <w:right w:val="none" w:sz="0" w:space="0" w:color="auto"/>
      </w:divBdr>
    </w:div>
    <w:div w:id="739012944">
      <w:bodyDiv w:val="1"/>
      <w:marLeft w:val="0"/>
      <w:marRight w:val="0"/>
      <w:marTop w:val="0"/>
      <w:marBottom w:val="0"/>
      <w:divBdr>
        <w:top w:val="none" w:sz="0" w:space="0" w:color="auto"/>
        <w:left w:val="none" w:sz="0" w:space="0" w:color="auto"/>
        <w:bottom w:val="none" w:sz="0" w:space="0" w:color="auto"/>
        <w:right w:val="none" w:sz="0" w:space="0" w:color="auto"/>
      </w:divBdr>
    </w:div>
    <w:div w:id="747070227">
      <w:bodyDiv w:val="1"/>
      <w:marLeft w:val="0"/>
      <w:marRight w:val="0"/>
      <w:marTop w:val="0"/>
      <w:marBottom w:val="0"/>
      <w:divBdr>
        <w:top w:val="none" w:sz="0" w:space="0" w:color="auto"/>
        <w:left w:val="none" w:sz="0" w:space="0" w:color="auto"/>
        <w:bottom w:val="none" w:sz="0" w:space="0" w:color="auto"/>
        <w:right w:val="none" w:sz="0" w:space="0" w:color="auto"/>
      </w:divBdr>
    </w:div>
    <w:div w:id="971443801">
      <w:bodyDiv w:val="1"/>
      <w:marLeft w:val="0"/>
      <w:marRight w:val="0"/>
      <w:marTop w:val="0"/>
      <w:marBottom w:val="0"/>
      <w:divBdr>
        <w:top w:val="none" w:sz="0" w:space="0" w:color="auto"/>
        <w:left w:val="none" w:sz="0" w:space="0" w:color="auto"/>
        <w:bottom w:val="none" w:sz="0" w:space="0" w:color="auto"/>
        <w:right w:val="none" w:sz="0" w:space="0" w:color="auto"/>
      </w:divBdr>
    </w:div>
    <w:div w:id="1100250306">
      <w:bodyDiv w:val="1"/>
      <w:marLeft w:val="0"/>
      <w:marRight w:val="0"/>
      <w:marTop w:val="0"/>
      <w:marBottom w:val="0"/>
      <w:divBdr>
        <w:top w:val="none" w:sz="0" w:space="0" w:color="auto"/>
        <w:left w:val="none" w:sz="0" w:space="0" w:color="auto"/>
        <w:bottom w:val="none" w:sz="0" w:space="0" w:color="auto"/>
        <w:right w:val="none" w:sz="0" w:space="0" w:color="auto"/>
      </w:divBdr>
      <w:divsChild>
        <w:div w:id="1851916344">
          <w:marLeft w:val="0"/>
          <w:marRight w:val="0"/>
          <w:marTop w:val="0"/>
          <w:marBottom w:val="0"/>
          <w:divBdr>
            <w:top w:val="none" w:sz="0" w:space="0" w:color="auto"/>
            <w:left w:val="none" w:sz="0" w:space="0" w:color="auto"/>
            <w:bottom w:val="none" w:sz="0" w:space="0" w:color="auto"/>
            <w:right w:val="none" w:sz="0" w:space="0" w:color="auto"/>
          </w:divBdr>
          <w:divsChild>
            <w:div w:id="1216429720">
              <w:marLeft w:val="0"/>
              <w:marRight w:val="0"/>
              <w:marTop w:val="0"/>
              <w:marBottom w:val="0"/>
              <w:divBdr>
                <w:top w:val="none" w:sz="0" w:space="0" w:color="auto"/>
                <w:left w:val="none" w:sz="0" w:space="0" w:color="auto"/>
                <w:bottom w:val="none" w:sz="0" w:space="0" w:color="auto"/>
                <w:right w:val="none" w:sz="0" w:space="0" w:color="auto"/>
              </w:divBdr>
            </w:div>
          </w:divsChild>
        </w:div>
        <w:div w:id="624166697">
          <w:marLeft w:val="0"/>
          <w:marRight w:val="0"/>
          <w:marTop w:val="0"/>
          <w:marBottom w:val="0"/>
          <w:divBdr>
            <w:top w:val="none" w:sz="0" w:space="0" w:color="auto"/>
            <w:left w:val="none" w:sz="0" w:space="0" w:color="auto"/>
            <w:bottom w:val="none" w:sz="0" w:space="0" w:color="auto"/>
            <w:right w:val="none" w:sz="0" w:space="0" w:color="auto"/>
          </w:divBdr>
          <w:divsChild>
            <w:div w:id="20216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70193">
      <w:bodyDiv w:val="1"/>
      <w:marLeft w:val="0"/>
      <w:marRight w:val="0"/>
      <w:marTop w:val="0"/>
      <w:marBottom w:val="0"/>
      <w:divBdr>
        <w:top w:val="none" w:sz="0" w:space="0" w:color="auto"/>
        <w:left w:val="none" w:sz="0" w:space="0" w:color="auto"/>
        <w:bottom w:val="none" w:sz="0" w:space="0" w:color="auto"/>
        <w:right w:val="none" w:sz="0" w:space="0" w:color="auto"/>
      </w:divBdr>
    </w:div>
    <w:div w:id="18281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29106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WZ63U36FQ2UJ-1977657543-2098</_dlc_DocId>
    <_dlc_DocIdUrl xmlns="053a5afd-1424-405b-82d9-63deec7446f8">
      <Url>https://sharepoint.hrsa.gov/sites/BHW/DPSD/frns-regs/_layouts/15/DocIdRedir.aspx?ID=WZ63U36FQ2UJ-1977657543-2098</Url>
      <Description>WZ63U36FQ2UJ-1977657543-2098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88333B9F-86B4-4766-AE44-BB937D25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fdd5923-a2c2-4931-ba39-644f5cbc34d7"/>
    <ds:schemaRef ds:uri="http://schemas.microsoft.com/office/2006/documentManagement/typ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F5D4EDB8-32FA-47A1-B1B6-94AF67DCC23C}">
  <ds:schemaRefs>
    <ds:schemaRef ds:uri="http://schemas.microsoft.com/sharepoint/events"/>
  </ds:schemaRefs>
</ds:datastoreItem>
</file>

<file path=customXml/itemProps5.xml><?xml version="1.0" encoding="utf-8"?>
<ds:datastoreItem xmlns:ds="http://schemas.openxmlformats.org/officeDocument/2006/customXml" ds:itemID="{94C6321C-2211-45A9-8A00-AB1184528C76}">
  <ds:schemaRefs>
    <ds:schemaRef ds:uri="Microsoft.SharePoint.Taxonomy.ContentTypeSync"/>
  </ds:schemaRefs>
</ds:datastoreItem>
</file>

<file path=customXml/itemProps6.xml><?xml version="1.0" encoding="utf-8"?>
<ds:datastoreItem xmlns:ds="http://schemas.openxmlformats.org/officeDocument/2006/customXml" ds:itemID="{9D4F537F-10AF-4A52-B56F-442D289C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2999</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19878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5</cp:revision>
  <cp:lastPrinted>2010-10-14T13:41:00Z</cp:lastPrinted>
  <dcterms:created xsi:type="dcterms:W3CDTF">2020-08-13T15:46:00Z</dcterms:created>
  <dcterms:modified xsi:type="dcterms:W3CDTF">2020-08-13T16:02:00Z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f2dd99de-deed-4f01-abcc-b0751780dfd7</vt:lpwstr>
  </property>
</Properties>
</file>