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pPr>
        <w:pStyle w:val="Heading1"/>
        <w:ind w:left="0"/>
        <w:jc w:val="center"/>
        <w:rPr>
          <w:rFonts w:cs="Times New Roman"/>
        </w:rPr>
      </w:pPr>
      <w:r w:rsidRPr="00BD7237">
        <w:rPr>
          <w:rFonts w:cs="Times New Roman"/>
        </w:rPr>
        <w:t>SUPPORTING STATEMENT</w:t>
      </w:r>
    </w:p>
    <w:p w:rsidRPr="00BD7237" w:rsidR="00BD7237" w:rsidP="00BD7237" w:rsidRDefault="001477A3">
      <w:pPr>
        <w:spacing w:before="22" w:line="259" w:lineRule="auto"/>
        <w:ind w:firstLine="14"/>
        <w:jc w:val="center"/>
        <w:rPr>
          <w:rFonts w:cs="Times New Roman"/>
          <w:b/>
          <w:szCs w:val="24"/>
        </w:rPr>
      </w:pPr>
      <w:r w:rsidRPr="00BD7237">
        <w:rPr>
          <w:rFonts w:cs="Times New Roman"/>
          <w:b/>
          <w:szCs w:val="24"/>
        </w:rPr>
        <w:t>U.S. Department of Commerce</w:t>
      </w:r>
    </w:p>
    <w:p w:rsidRPr="00BD7237" w:rsidR="008E61C9" w:rsidP="00BD7237" w:rsidRDefault="00BD7237">
      <w:pPr>
        <w:spacing w:before="22" w:line="259" w:lineRule="auto"/>
        <w:ind w:firstLine="14"/>
        <w:jc w:val="center"/>
        <w:rPr>
          <w:rFonts w:cs="Times New Roman"/>
          <w:b/>
          <w:szCs w:val="24"/>
        </w:rPr>
      </w:pPr>
      <w:r w:rsidRPr="00BD7237">
        <w:rPr>
          <w:rFonts w:cs="Times New Roman"/>
          <w:b/>
          <w:szCs w:val="24"/>
        </w:rPr>
        <w:t>National Oceanic &amp; Atmospheric Administration</w:t>
      </w:r>
    </w:p>
    <w:p w:rsidR="001A4562" w:rsidP="00BD7237" w:rsidRDefault="00DC7319">
      <w:pPr>
        <w:spacing w:line="259" w:lineRule="auto"/>
        <w:ind w:hanging="6"/>
        <w:jc w:val="center"/>
        <w:rPr>
          <w:rFonts w:cs="Times New Roman"/>
          <w:b/>
          <w:szCs w:val="24"/>
        </w:rPr>
      </w:pPr>
      <w:r>
        <w:rPr>
          <w:rFonts w:cs="Times New Roman"/>
          <w:b/>
          <w:szCs w:val="24"/>
        </w:rPr>
        <w:t>Reporting Requirements Under Section</w:t>
      </w:r>
      <w:r w:rsidR="00454649">
        <w:rPr>
          <w:rFonts w:cs="Times New Roman"/>
          <w:b/>
          <w:szCs w:val="24"/>
        </w:rPr>
        <w:t>s 101 and</w:t>
      </w:r>
      <w:r>
        <w:rPr>
          <w:rFonts w:cs="Times New Roman"/>
          <w:b/>
          <w:szCs w:val="24"/>
        </w:rPr>
        <w:t xml:space="preserve"> 118 of the Marine Mammal Protection Act </w:t>
      </w:r>
    </w:p>
    <w:p w:rsidRPr="00BD7237" w:rsidR="008E61C9" w:rsidP="00BD7237" w:rsidRDefault="001477A3">
      <w:pPr>
        <w:spacing w:line="259" w:lineRule="auto"/>
        <w:ind w:hanging="6"/>
        <w:jc w:val="center"/>
        <w:rPr>
          <w:rFonts w:cs="Times New Roman"/>
          <w:b/>
          <w:szCs w:val="24"/>
        </w:rPr>
      </w:pPr>
      <w:r w:rsidRPr="00BD7237">
        <w:rPr>
          <w:rFonts w:cs="Times New Roman"/>
          <w:b/>
          <w:szCs w:val="24"/>
        </w:rPr>
        <w:t>OMB Control No. 06</w:t>
      </w:r>
      <w:r w:rsidRPr="00BD7237" w:rsidR="00BD7237">
        <w:rPr>
          <w:rFonts w:cs="Times New Roman"/>
          <w:b/>
          <w:szCs w:val="24"/>
        </w:rPr>
        <w:t>48</w:t>
      </w:r>
      <w:r w:rsidR="00DC7319">
        <w:rPr>
          <w:rFonts w:cs="Times New Roman"/>
          <w:b/>
          <w:szCs w:val="24"/>
        </w:rPr>
        <w:t>-0292</w:t>
      </w:r>
    </w:p>
    <w:p w:rsidRPr="00BD7237" w:rsidR="008E61C9" w:rsidP="00BD7237" w:rsidRDefault="008E61C9">
      <w:pPr>
        <w:pStyle w:val="BodyText"/>
        <w:spacing w:before="1"/>
        <w:ind w:left="0"/>
        <w:jc w:val="center"/>
        <w:rPr>
          <w:rFonts w:cs="Times New Roman"/>
          <w:b/>
        </w:rPr>
      </w:pPr>
    </w:p>
    <w:p w:rsidRPr="00BD7237" w:rsidR="008E61C9" w:rsidP="00BD7237" w:rsidRDefault="001477A3">
      <w:pPr>
        <w:pStyle w:val="Heading1"/>
        <w:spacing w:before="199"/>
        <w:ind w:left="0"/>
        <w:rPr>
          <w:rFonts w:cs="Times New Roman"/>
        </w:rPr>
      </w:pPr>
      <w:r w:rsidRPr="00BD7237">
        <w:rPr>
          <w:rFonts w:cs="Times New Roman"/>
        </w:rPr>
        <w:t>Abstract</w:t>
      </w:r>
    </w:p>
    <w:p w:rsidRPr="000B64C2" w:rsidR="000B64C2" w:rsidP="00BD7237" w:rsidRDefault="00454649">
      <w:pPr>
        <w:spacing w:before="144" w:line="259" w:lineRule="auto"/>
        <w:rPr>
          <w:rFonts w:cs="Times New Roman"/>
          <w:szCs w:val="24"/>
        </w:rPr>
      </w:pPr>
      <w:r>
        <w:rPr>
          <w:rFonts w:cs="Times New Roman"/>
          <w:szCs w:val="24"/>
        </w:rPr>
        <w:t xml:space="preserve">This request is for the revision of an existing information collection. </w:t>
      </w:r>
      <w:r w:rsidRPr="000B64C2" w:rsidR="000B64C2">
        <w:rPr>
          <w:rFonts w:cs="Times New Roman"/>
          <w:szCs w:val="24"/>
        </w:rPr>
        <w:t>Reporting injury and /or mortalities of marine mammals is mandated under Section 118 of the</w:t>
      </w:r>
      <w:r w:rsidR="00F16A48">
        <w:rPr>
          <w:rFonts w:cs="Times New Roman"/>
          <w:szCs w:val="24"/>
        </w:rPr>
        <w:t xml:space="preserve"> Marine Mammal Protection Act. T</w:t>
      </w:r>
      <w:r w:rsidRPr="000B64C2" w:rsidR="000B64C2">
        <w:rPr>
          <w:rFonts w:cs="Times New Roman"/>
          <w:szCs w:val="24"/>
        </w:rPr>
        <w:t>his information is required to determine the impacts of commercial fishing on marine mammal populations.  This information is also used to categorize commercial fisheries into Category I, II or III.  Participants in the first two categories have to be authorized to take marine mammals, while those in Category III are exempt from that requirements.  All categories must report injuries or mortalities on the NMFS Marine Mammal Authorization Program marine mammal mortality/injury form.</w:t>
      </w:r>
      <w:r w:rsidR="000B64C2">
        <w:rPr>
          <w:rFonts w:cs="Times New Roman"/>
          <w:szCs w:val="24"/>
        </w:rPr>
        <w:t xml:space="preserve"> R</w:t>
      </w:r>
      <w:r w:rsidRPr="000B64C2" w:rsidR="000B64C2">
        <w:rPr>
          <w:rFonts w:cs="Times New Roman"/>
          <w:szCs w:val="24"/>
        </w:rPr>
        <w:t>evision to the current MMAP M/I form (0648-0292</w:t>
      </w:r>
      <w:r w:rsidR="000B64C2">
        <w:rPr>
          <w:rFonts w:cs="Times New Roman"/>
          <w:szCs w:val="24"/>
        </w:rPr>
        <w:t xml:space="preserve">) add fields to collect information on if a deterrent device was used and if a marine mammal was </w:t>
      </w:r>
      <w:r w:rsidRPr="000B64C2" w:rsidR="000B64C2">
        <w:rPr>
          <w:rFonts w:cs="Times New Roman"/>
          <w:szCs w:val="24"/>
        </w:rPr>
        <w:t>incidentally kill</w:t>
      </w:r>
      <w:r w:rsidR="000B64C2">
        <w:rPr>
          <w:rFonts w:cs="Times New Roman"/>
          <w:szCs w:val="24"/>
        </w:rPr>
        <w:t>ed</w:t>
      </w:r>
      <w:r w:rsidRPr="000B64C2" w:rsidR="000B64C2">
        <w:rPr>
          <w:rFonts w:cs="Times New Roman"/>
          <w:szCs w:val="24"/>
        </w:rPr>
        <w:t xml:space="preserve"> or injure</w:t>
      </w:r>
      <w:r w:rsidR="000B64C2">
        <w:rPr>
          <w:rFonts w:cs="Times New Roman"/>
          <w:szCs w:val="24"/>
        </w:rPr>
        <w:t>d</w:t>
      </w:r>
      <w:r w:rsidRPr="000B64C2" w:rsidR="000B64C2">
        <w:rPr>
          <w:rFonts w:cs="Times New Roman"/>
          <w:szCs w:val="24"/>
        </w:rPr>
        <w:t xml:space="preserve"> during deterrence use.</w:t>
      </w:r>
      <w:r w:rsidR="005D3F27">
        <w:rPr>
          <w:rFonts w:cs="Times New Roman"/>
          <w:szCs w:val="24"/>
        </w:rPr>
        <w:t xml:space="preserve"> </w:t>
      </w:r>
      <w:r>
        <w:rPr>
          <w:rFonts w:cs="Times New Roman"/>
          <w:szCs w:val="24"/>
        </w:rPr>
        <w:t>The proposed rule 0648-BG55 would add a</w:t>
      </w:r>
      <w:r w:rsidRPr="005D3F27" w:rsidR="005D3F27">
        <w:rPr>
          <w:rFonts w:cs="Times New Roman"/>
          <w:szCs w:val="24"/>
        </w:rPr>
        <w:t xml:space="preserve"> new information collection</w:t>
      </w:r>
      <w:r>
        <w:rPr>
          <w:rFonts w:cs="Times New Roman"/>
          <w:szCs w:val="24"/>
        </w:rPr>
        <w:t xml:space="preserve"> (IC)</w:t>
      </w:r>
      <w:r w:rsidRPr="005D3F27" w:rsidR="005D3F27">
        <w:rPr>
          <w:rFonts w:cs="Times New Roman"/>
          <w:szCs w:val="24"/>
        </w:rPr>
        <w:t xml:space="preserve"> </w:t>
      </w:r>
      <w:r>
        <w:rPr>
          <w:rFonts w:cs="Times New Roman"/>
          <w:szCs w:val="24"/>
        </w:rPr>
        <w:t xml:space="preserve">that </w:t>
      </w:r>
      <w:r w:rsidRPr="005D3F27" w:rsidR="005D3F27">
        <w:rPr>
          <w:rFonts w:cs="Times New Roman"/>
          <w:szCs w:val="24"/>
        </w:rPr>
        <w:t>will be used by recreational fishermen and private and public property owners to report marine mammal mortalities and injuries incident</w:t>
      </w:r>
      <w:r>
        <w:rPr>
          <w:rFonts w:cs="Times New Roman"/>
          <w:szCs w:val="24"/>
        </w:rPr>
        <w:t xml:space="preserve">al to deterring marine </w:t>
      </w:r>
      <w:r w:rsidR="005D3F27">
        <w:rPr>
          <w:rFonts w:cs="Times New Roman"/>
          <w:szCs w:val="24"/>
        </w:rPr>
        <w:t>mammals.</w:t>
      </w:r>
      <w:r>
        <w:rPr>
          <w:rFonts w:cs="Times New Roman"/>
          <w:szCs w:val="24"/>
        </w:rPr>
        <w:t xml:space="preserve"> The title for 0648-0292 will be revised to “Reporting Requirements Under Sections 101and 118 of the Marine Mammal Protection Act,” due to the addition of a new IC pursuant to proposed rule 0648-BG55. </w:t>
      </w:r>
    </w:p>
    <w:p w:rsidRPr="00BD7237" w:rsidR="008E61C9" w:rsidP="00BD7237" w:rsidRDefault="001477A3">
      <w:pPr>
        <w:pStyle w:val="Heading1"/>
        <w:spacing w:before="124"/>
        <w:ind w:left="0"/>
        <w:rPr>
          <w:rFonts w:cs="Times New Roman"/>
        </w:rPr>
      </w:pPr>
      <w:r w:rsidRPr="00BD7237">
        <w:rPr>
          <w:rFonts w:cs="Times New Roman"/>
        </w:rPr>
        <w:t>Justification</w:t>
      </w:r>
    </w:p>
    <w:p w:rsidRPr="00BD7237" w:rsidR="008E61C9" w:rsidP="00BD7237" w:rsidRDefault="001477A3">
      <w:pPr>
        <w:pStyle w:val="ListParagraph"/>
        <w:numPr>
          <w:ilvl w:val="0"/>
          <w:numId w:val="7"/>
        </w:numPr>
        <w:tabs>
          <w:tab w:val="left" w:pos="360"/>
        </w:tabs>
        <w:spacing w:before="182" w:line="259" w:lineRule="auto"/>
        <w:ind w:left="0" w:firstLine="0"/>
        <w:rPr>
          <w:rFonts w:cs="Times New Roman"/>
          <w:b/>
          <w:szCs w:val="24"/>
        </w:rPr>
      </w:pPr>
      <w:r w:rsidRPr="00BD7237">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B64C2" w:rsidP="000B64C2" w:rsidRDefault="000B64C2">
      <w:pPr>
        <w:widowControl/>
      </w:pPr>
    </w:p>
    <w:p w:rsidRPr="002A1B23" w:rsidR="000B64C2" w:rsidP="000B64C2" w:rsidRDefault="000B64C2">
      <w:pPr>
        <w:widowControl/>
      </w:pPr>
      <w:r w:rsidRPr="002A1B23">
        <w:t xml:space="preserve">The </w:t>
      </w:r>
      <w:hyperlink w:history="1" w:anchor="marine-mammal-protection-act" r:id="rId7">
        <w:r w:rsidRPr="00E776F4">
          <w:rPr>
            <w:rStyle w:val="Hyperlink"/>
          </w:rPr>
          <w:t>Marine Mammal Protection Act</w:t>
        </w:r>
      </w:hyperlink>
      <w:r w:rsidRPr="002A1B23">
        <w:t xml:space="preserve"> (16 U.S.C. 1361 et seq.; MMPA or the Act) mandates the protection and conservation of marine mammals and makes the taking of marine mammals, except under limited exceptions, a violation of the Act.  MMPA section 118 provides an exception to that prohibition for taking of marine mammals incidental to commercial fishing operations subject to requirements listed in that section.  Th</w:t>
      </w:r>
      <w:r>
        <w:t xml:space="preserve">e owner of any </w:t>
      </w:r>
      <w:r w:rsidRPr="002A1B23">
        <w:t xml:space="preserve">fishing vessel engaged in any fishery identified by </w:t>
      </w:r>
      <w:r>
        <w:t>the National Marine Fisheries Service (</w:t>
      </w:r>
      <w:r w:rsidRPr="002A1B23">
        <w:t>NMFS</w:t>
      </w:r>
      <w:r>
        <w:t>)</w:t>
      </w:r>
      <w:r w:rsidRPr="002A1B23">
        <w:t xml:space="preserve"> as having either frequent (Category I) or occasional (Category II) tak</w:t>
      </w:r>
      <w:r>
        <w:t>es</w:t>
      </w:r>
      <w:r w:rsidRPr="002A1B23">
        <w:t xml:space="preserve"> of a marine mammal is to register with the Secretary</w:t>
      </w:r>
      <w:r>
        <w:t xml:space="preserve"> of Commerce (Secretary)</w:t>
      </w:r>
      <w:r w:rsidRPr="002A1B23">
        <w:t xml:space="preserve"> in order to obtain an authorization for the purpose of </w:t>
      </w:r>
      <w:r>
        <w:t xml:space="preserve">lawfully, </w:t>
      </w:r>
      <w:r w:rsidRPr="002A1B23">
        <w:t>incidentally taking marine</w:t>
      </w:r>
      <w:r>
        <w:t xml:space="preserve"> mammals</w:t>
      </w:r>
      <w:r w:rsidRPr="002A1B23">
        <w:t xml:space="preserve">.  Fishers operating in fisheries identified by NMFS as having only a remote chance (Category III) </w:t>
      </w:r>
      <w:r>
        <w:t>of taking</w:t>
      </w:r>
      <w:r w:rsidRPr="002A1B23">
        <w:t xml:space="preserve"> marine mammals need not </w:t>
      </w:r>
      <w:r>
        <w:t>register for such an authorization</w:t>
      </w:r>
      <w:r w:rsidRPr="002A1B23">
        <w:t xml:space="preserve">.  The </w:t>
      </w:r>
      <w:r>
        <w:t>collection of information</w:t>
      </w:r>
      <w:r w:rsidRPr="002A1B23">
        <w:t xml:space="preserve"> for the registration of fishers is approved under OM</w:t>
      </w:r>
      <w:r>
        <w:t>B Control No.</w:t>
      </w:r>
      <w:r w:rsidRPr="002A1B23">
        <w:t xml:space="preserve"> 0648-0293.</w:t>
      </w:r>
    </w:p>
    <w:p w:rsidRPr="002A1B23" w:rsidR="000B64C2" w:rsidP="000B64C2" w:rsidRDefault="000B64C2">
      <w:pPr>
        <w:widowControl/>
      </w:pPr>
    </w:p>
    <w:p w:rsidR="000B64C2" w:rsidP="000B64C2" w:rsidRDefault="000B64C2">
      <w:pPr>
        <w:widowControl/>
      </w:pPr>
      <w:r w:rsidRPr="002A1B23">
        <w:t xml:space="preserve">The owner or operator of a commercial fishing vessel, regardless of the classification of the fishery, is required under the Act to report all incidental mortality and injury of marine mammals in the course of commercial fishing operations.  Supplying the information </w:t>
      </w:r>
      <w:r>
        <w:t xml:space="preserve">within 48-hours after the end of a fishing trip </w:t>
      </w:r>
      <w:r w:rsidRPr="002A1B23">
        <w:t>is mandated under Section 118(e) of the MMPA and is needed by NMFS to determine the correct category placement for fisheries.</w:t>
      </w:r>
      <w:r>
        <w:t xml:space="preserve">  MMPA section 118(c) requires NMFS to reexamine the classification </w:t>
      </w:r>
      <w:r>
        <w:lastRenderedPageBreak/>
        <w:t>of fisheries based on information gathered under the MMPA, including these injury and mortality reports from fishermen.</w:t>
      </w:r>
    </w:p>
    <w:p w:rsidR="00EC56BD" w:rsidP="000B64C2" w:rsidRDefault="00EC56BD">
      <w:pPr>
        <w:widowControl/>
      </w:pPr>
    </w:p>
    <w:p w:rsidR="00EC56BD" w:rsidP="00EC56BD" w:rsidRDefault="00EC56BD">
      <w:pPr>
        <w:pStyle w:val="BodyText"/>
        <w:spacing w:before="159" w:line="259" w:lineRule="auto"/>
        <w:ind w:left="0"/>
        <w:rPr>
          <w:rFonts w:cs="Times New Roman"/>
          <w:color w:val="000000" w:themeColor="text1"/>
        </w:rPr>
      </w:pPr>
      <w:r w:rsidRPr="00977E21">
        <w:rPr>
          <w:rFonts w:cs="Times New Roman"/>
          <w:color w:val="000000" w:themeColor="text1"/>
        </w:rPr>
        <w:t xml:space="preserve">NOAA’s National Marine Fisheries Service (NMFS) is proposing regulations to safely deter marine mammals from damaging fishing gear or catch, damaging personal or public property, or endangering personal safety pursuant to the Marine Mammal Protect Act (MMPA) section 101(a)(4). To ensure that we can evaluate the impacts of the guidelines and specific measures on marine mammals, the </w:t>
      </w:r>
      <w:r w:rsidR="00454649">
        <w:rPr>
          <w:rFonts w:cs="Times New Roman"/>
          <w:color w:val="000000" w:themeColor="text1"/>
        </w:rPr>
        <w:t xml:space="preserve">proposed </w:t>
      </w:r>
      <w:r w:rsidRPr="00977E21">
        <w:rPr>
          <w:rFonts w:cs="Times New Roman"/>
          <w:color w:val="000000" w:themeColor="text1"/>
        </w:rPr>
        <w:t xml:space="preserve">rule </w:t>
      </w:r>
      <w:r w:rsidR="00454649">
        <w:rPr>
          <w:rFonts w:cs="Times New Roman"/>
          <w:color w:val="000000" w:themeColor="text1"/>
        </w:rPr>
        <w:t xml:space="preserve">0648-BG55 </w:t>
      </w:r>
      <w:r w:rsidRPr="00977E21">
        <w:rPr>
          <w:rFonts w:cs="Times New Roman"/>
          <w:color w:val="000000" w:themeColor="text1"/>
        </w:rPr>
        <w:t>include</w:t>
      </w:r>
      <w:r>
        <w:rPr>
          <w:rFonts w:cs="Times New Roman"/>
          <w:color w:val="000000" w:themeColor="text1"/>
        </w:rPr>
        <w:t>s</w:t>
      </w:r>
      <w:r w:rsidRPr="00977E21">
        <w:rPr>
          <w:rFonts w:cs="Times New Roman"/>
          <w:color w:val="000000" w:themeColor="text1"/>
        </w:rPr>
        <w:t xml:space="preserve"> a reporting requirement for people who incidentally kill or injure a marine mammal during deterrence. This new information collection will be used by recreational fishermen and private and public property owners to report marine mammal mortalities and injuries that occur while deterring marine mammals for the purposes noted above.</w:t>
      </w:r>
    </w:p>
    <w:p w:rsidRPr="00977E21" w:rsidR="00EC56BD" w:rsidP="00EC56BD" w:rsidRDefault="00EC56BD">
      <w:pPr>
        <w:pStyle w:val="BodyText"/>
        <w:spacing w:before="159" w:line="259" w:lineRule="auto"/>
        <w:ind w:left="0"/>
        <w:rPr>
          <w:rFonts w:cs="Times New Roman"/>
          <w:color w:val="000000" w:themeColor="text1"/>
        </w:rPr>
      </w:pPr>
      <w:r w:rsidRPr="00B34D30">
        <w:rPr>
          <w:rFonts w:cs="Times New Roman"/>
          <w:color w:val="000000" w:themeColor="text1"/>
        </w:rPr>
        <w:t>If a marine mammal is observed injured or killed during or as a result of using a deterrent included in the guidelines or recommended specific measures, that injury or death must be reported to NMFS within 48 hours in order for the protection from liability in section 101(a)(4)(B) to apply.</w:t>
      </w:r>
      <w:r>
        <w:rPr>
          <w:rFonts w:cs="Times New Roman"/>
          <w:color w:val="000000" w:themeColor="text1"/>
        </w:rPr>
        <w:t xml:space="preserve"> </w:t>
      </w:r>
    </w:p>
    <w:p w:rsidRPr="000B64C2" w:rsidR="00EC56BD" w:rsidP="000B64C2" w:rsidRDefault="00EC56BD">
      <w:pPr>
        <w:widowControl/>
      </w:pPr>
    </w:p>
    <w:p w:rsidR="008E61C9" w:rsidP="00BD7237" w:rsidRDefault="001477A3">
      <w:pPr>
        <w:pStyle w:val="Heading1"/>
        <w:numPr>
          <w:ilvl w:val="0"/>
          <w:numId w:val="7"/>
        </w:numPr>
        <w:tabs>
          <w:tab w:val="left" w:pos="360"/>
        </w:tabs>
        <w:spacing w:before="197"/>
        <w:ind w:left="0" w:firstLine="0"/>
        <w:rPr>
          <w:rFonts w:cs="Times New Roman"/>
        </w:rPr>
      </w:pPr>
      <w:r w:rsidRPr="00BD7237">
        <w:rPr>
          <w:rFonts w:cs="Times New Roman"/>
          <w:bCs w:val="0"/>
        </w:rPr>
        <w:t>Indicate how, by whom, and for what purpose the information is to be used. Except for a</w:t>
      </w:r>
      <w:r w:rsidRPr="00BD7237">
        <w:rPr>
          <w:rFonts w:cs="Times New Roman"/>
        </w:rPr>
        <w:t xml:space="preserve"> </w:t>
      </w:r>
      <w:r w:rsidRPr="00BD7237">
        <w:rPr>
          <w:rFonts w:cs="Times New Roman"/>
          <w:bCs w:val="0"/>
        </w:rPr>
        <w:t>new collection, indicate the actual use the agency has made of the information received from the</w:t>
      </w:r>
      <w:r w:rsidRPr="00BD7237">
        <w:rPr>
          <w:rFonts w:cs="Times New Roman"/>
        </w:rPr>
        <w:t xml:space="preserve"> current</w:t>
      </w:r>
      <w:r w:rsidRPr="00BD7237">
        <w:rPr>
          <w:rFonts w:cs="Times New Roman"/>
          <w:spacing w:val="-1"/>
        </w:rPr>
        <w:t xml:space="preserve"> </w:t>
      </w:r>
      <w:r w:rsidRPr="00BD7237">
        <w:rPr>
          <w:rFonts w:cs="Times New Roman"/>
        </w:rPr>
        <w:t>collection.</w:t>
      </w:r>
    </w:p>
    <w:p w:rsidRPr="000B64C2" w:rsidR="000B64C2" w:rsidP="000B64C2" w:rsidRDefault="000B64C2">
      <w:pPr>
        <w:pStyle w:val="Heading1"/>
        <w:tabs>
          <w:tab w:val="left" w:pos="360"/>
        </w:tabs>
        <w:spacing w:before="197"/>
        <w:ind w:left="0"/>
        <w:rPr>
          <w:rFonts w:cs="Times New Roman"/>
          <w:b w:val="0"/>
        </w:rPr>
      </w:pPr>
      <w:r w:rsidRPr="000B64C2">
        <w:rPr>
          <w:rFonts w:cs="Times New Roman"/>
          <w:b w:val="0"/>
        </w:rPr>
        <w:t>The information supplied by the owner or operator of a commercial fishing vessel is mandated by Section 118(e) of the MMPA and is needed by the agency to determine the correct category placement of fisheries.  The MMPA states:</w:t>
      </w:r>
    </w:p>
    <w:p w:rsidRPr="000B64C2" w:rsidR="000B64C2" w:rsidP="000B64C2" w:rsidRDefault="000B64C2">
      <w:pPr>
        <w:pStyle w:val="Heading1"/>
        <w:tabs>
          <w:tab w:val="left" w:pos="360"/>
        </w:tabs>
        <w:spacing w:before="197"/>
        <w:rPr>
          <w:rFonts w:cs="Times New Roman"/>
          <w:b w:val="0"/>
        </w:rPr>
      </w:pPr>
      <w:r w:rsidRPr="000B64C2">
        <w:rPr>
          <w:rFonts w:cs="Times New Roman"/>
          <w:b w:val="0"/>
        </w:rPr>
        <w:t>“The owner or operator of a commercial fishing vessel subject to the Act shall report all incidental mortality and serious injury of marine mammals in the course of commercial fishing operations to the Secretary by mail or other means acceptable to the Secretary within 48 hours after the end of each fishing trip on a standard postage-paid form to be developed by the Secretary under this section.  Such form shall be capable of being readily entered into and usable by an automated or computerized data processing system and shall require the vessel owner or operator to provide the following:</w:t>
      </w:r>
    </w:p>
    <w:p w:rsidRPr="000B64C2" w:rsidR="000B64C2" w:rsidP="000B64C2" w:rsidRDefault="000B64C2">
      <w:pPr>
        <w:pStyle w:val="Heading1"/>
        <w:tabs>
          <w:tab w:val="left" w:pos="360"/>
        </w:tabs>
        <w:spacing w:before="197"/>
        <w:rPr>
          <w:rFonts w:cs="Times New Roman"/>
          <w:b w:val="0"/>
        </w:rPr>
      </w:pPr>
      <w:r w:rsidRPr="000B64C2">
        <w:rPr>
          <w:rFonts w:cs="Times New Roman"/>
          <w:b w:val="0"/>
        </w:rPr>
        <w:t>a.</w:t>
      </w:r>
      <w:r w:rsidRPr="000B64C2">
        <w:rPr>
          <w:rFonts w:cs="Times New Roman"/>
          <w:b w:val="0"/>
        </w:rPr>
        <w:tab/>
        <w:t>The vessel name, and Federal, states, or tribal registration numbers of the registered vessel.</w:t>
      </w:r>
    </w:p>
    <w:p w:rsidRPr="000B64C2" w:rsidR="000B64C2" w:rsidP="000B64C2" w:rsidRDefault="000B64C2">
      <w:pPr>
        <w:pStyle w:val="Heading1"/>
        <w:tabs>
          <w:tab w:val="left" w:pos="360"/>
        </w:tabs>
        <w:spacing w:before="197"/>
        <w:rPr>
          <w:rFonts w:cs="Times New Roman"/>
          <w:b w:val="0"/>
        </w:rPr>
      </w:pPr>
      <w:r w:rsidRPr="000B64C2">
        <w:rPr>
          <w:rFonts w:cs="Times New Roman"/>
          <w:b w:val="0"/>
        </w:rPr>
        <w:t>b.</w:t>
      </w:r>
      <w:r w:rsidRPr="000B64C2">
        <w:rPr>
          <w:rFonts w:cs="Times New Roman"/>
          <w:b w:val="0"/>
        </w:rPr>
        <w:tab/>
        <w:t>The name and address of the vessel owner or operator.</w:t>
      </w:r>
    </w:p>
    <w:p w:rsidRPr="000B64C2" w:rsidR="000B64C2" w:rsidP="000B64C2" w:rsidRDefault="000B64C2">
      <w:pPr>
        <w:pStyle w:val="Heading1"/>
        <w:tabs>
          <w:tab w:val="left" w:pos="360"/>
        </w:tabs>
        <w:spacing w:before="197"/>
        <w:rPr>
          <w:rFonts w:cs="Times New Roman"/>
          <w:b w:val="0"/>
        </w:rPr>
      </w:pPr>
      <w:r w:rsidRPr="000B64C2">
        <w:rPr>
          <w:rFonts w:cs="Times New Roman"/>
          <w:b w:val="0"/>
        </w:rPr>
        <w:t>c.</w:t>
      </w:r>
      <w:r w:rsidRPr="000B64C2">
        <w:rPr>
          <w:rFonts w:cs="Times New Roman"/>
          <w:b w:val="0"/>
        </w:rPr>
        <w:tab/>
        <w:t>The name and description of the fishery.</w:t>
      </w:r>
    </w:p>
    <w:p w:rsidRPr="000B64C2" w:rsidR="000B64C2" w:rsidP="000B64C2" w:rsidRDefault="000B64C2">
      <w:pPr>
        <w:pStyle w:val="Heading1"/>
        <w:tabs>
          <w:tab w:val="left" w:pos="360"/>
        </w:tabs>
        <w:spacing w:before="197"/>
        <w:rPr>
          <w:rFonts w:cs="Times New Roman"/>
          <w:b w:val="0"/>
        </w:rPr>
      </w:pPr>
      <w:r w:rsidRPr="000B64C2">
        <w:rPr>
          <w:rFonts w:cs="Times New Roman"/>
          <w:b w:val="0"/>
        </w:rPr>
        <w:t>d.</w:t>
      </w:r>
      <w:r w:rsidRPr="000B64C2">
        <w:rPr>
          <w:rFonts w:cs="Times New Roman"/>
          <w:b w:val="0"/>
        </w:rPr>
        <w:tab/>
        <w:t>The species of each marine mammal incidentally killed or injured, and the date, time, and geographic location of such occurrence.”</w:t>
      </w:r>
    </w:p>
    <w:p w:rsidR="009B59A8" w:rsidP="000B64C2" w:rsidRDefault="000B64C2">
      <w:pPr>
        <w:pStyle w:val="Heading1"/>
        <w:tabs>
          <w:tab w:val="left" w:pos="360"/>
        </w:tabs>
        <w:spacing w:before="197"/>
        <w:ind w:left="0"/>
        <w:rPr>
          <w:rFonts w:cs="Times New Roman"/>
          <w:b w:val="0"/>
        </w:rPr>
      </w:pPr>
      <w:r w:rsidRPr="000B64C2">
        <w:rPr>
          <w:rFonts w:cs="Times New Roman"/>
          <w:b w:val="0"/>
        </w:rPr>
        <w:t>Since 1996, NMFS has received marine mammal mortality and serious injury reports as well as additional information available on the taking of marine mammals.  Based on these reports and available scientific information, NMFS has classified or reclassified fisheries as Category I, II, or III.  Regardless of the classification of the fishery, all incidental mortality and injury of marine mammals in the course of commercial fishing opera</w:t>
      </w:r>
      <w:r w:rsidR="009B59A8">
        <w:rPr>
          <w:rFonts w:cs="Times New Roman"/>
          <w:b w:val="0"/>
        </w:rPr>
        <w:t>tions must be reported to NMFS.</w:t>
      </w:r>
    </w:p>
    <w:p w:rsidR="009B59A8" w:rsidP="009B59A8" w:rsidRDefault="009B59A8">
      <w:pPr>
        <w:pStyle w:val="Heading1"/>
        <w:tabs>
          <w:tab w:val="left" w:pos="360"/>
        </w:tabs>
        <w:spacing w:before="197"/>
        <w:ind w:left="0"/>
        <w:rPr>
          <w:rFonts w:cs="Times New Roman"/>
          <w:b w:val="0"/>
        </w:rPr>
      </w:pPr>
      <w:r>
        <w:rPr>
          <w:rFonts w:cs="Times New Roman"/>
          <w:b w:val="0"/>
        </w:rPr>
        <w:t>For the new information collection, recreational fishermen and public/private property owners who injury or kill a marine mammal while using a deterrent will provide the following information:</w:t>
      </w:r>
    </w:p>
    <w:p w:rsidRPr="00331708" w:rsidR="009B59A8" w:rsidP="009B59A8" w:rsidRDefault="009B59A8">
      <w:pPr>
        <w:pStyle w:val="Heading1"/>
        <w:tabs>
          <w:tab w:val="left" w:pos="360"/>
        </w:tabs>
        <w:spacing w:before="197"/>
        <w:rPr>
          <w:rFonts w:cs="Times New Roman"/>
          <w:b w:val="0"/>
        </w:rPr>
      </w:pPr>
      <w:r w:rsidRPr="00331708">
        <w:rPr>
          <w:rFonts w:cs="Times New Roman"/>
          <w:b w:val="0"/>
        </w:rPr>
        <w:lastRenderedPageBreak/>
        <w:t>1.</w:t>
      </w:r>
      <w:r w:rsidRPr="00331708">
        <w:rPr>
          <w:rFonts w:cs="Times New Roman"/>
          <w:b w:val="0"/>
        </w:rPr>
        <w:tab/>
        <w:t>The name and address of the person deterring the marine mammal(s);</w:t>
      </w:r>
    </w:p>
    <w:p w:rsidRPr="00331708" w:rsidR="009B59A8" w:rsidP="009B59A8" w:rsidRDefault="009B59A8">
      <w:pPr>
        <w:pStyle w:val="Heading1"/>
        <w:tabs>
          <w:tab w:val="left" w:pos="360"/>
        </w:tabs>
        <w:spacing w:before="197"/>
        <w:rPr>
          <w:rFonts w:cs="Times New Roman"/>
          <w:b w:val="0"/>
        </w:rPr>
      </w:pPr>
      <w:r w:rsidRPr="00331708">
        <w:rPr>
          <w:rFonts w:cs="Times New Roman"/>
          <w:b w:val="0"/>
        </w:rPr>
        <w:t>2.</w:t>
      </w:r>
      <w:r w:rsidRPr="00331708">
        <w:rPr>
          <w:rFonts w:cs="Times New Roman"/>
          <w:b w:val="0"/>
        </w:rPr>
        <w:tab/>
        <w:t xml:space="preserve">The vessel name, and Federal, state, or tribal registration numbers of the registered vessel and/or the saltwater angler registration number if deterrence occurred during fishing; </w:t>
      </w:r>
    </w:p>
    <w:p w:rsidRPr="00331708" w:rsidR="009B59A8" w:rsidP="009B59A8" w:rsidRDefault="009B59A8">
      <w:pPr>
        <w:pStyle w:val="Heading1"/>
        <w:tabs>
          <w:tab w:val="left" w:pos="360"/>
        </w:tabs>
        <w:spacing w:before="197"/>
        <w:rPr>
          <w:rFonts w:cs="Times New Roman"/>
          <w:b w:val="0"/>
        </w:rPr>
      </w:pPr>
      <w:r w:rsidRPr="00331708">
        <w:rPr>
          <w:rFonts w:cs="Times New Roman"/>
          <w:b w:val="0"/>
        </w:rPr>
        <w:t>3.</w:t>
      </w:r>
      <w:r w:rsidRPr="00331708">
        <w:rPr>
          <w:rFonts w:cs="Times New Roman"/>
          <w:b w:val="0"/>
        </w:rPr>
        <w:tab/>
        <w:t>A description of the fishery, including gear type and target, or of the property where the deterrence occurred;</w:t>
      </w:r>
    </w:p>
    <w:p w:rsidRPr="00331708" w:rsidR="009B59A8" w:rsidP="009B59A8" w:rsidRDefault="009B59A8">
      <w:pPr>
        <w:pStyle w:val="Heading1"/>
        <w:tabs>
          <w:tab w:val="left" w:pos="360"/>
        </w:tabs>
        <w:spacing w:before="197"/>
        <w:rPr>
          <w:rFonts w:cs="Times New Roman"/>
          <w:b w:val="0"/>
        </w:rPr>
      </w:pPr>
      <w:r w:rsidRPr="00331708">
        <w:rPr>
          <w:rFonts w:cs="Times New Roman"/>
          <w:b w:val="0"/>
        </w:rPr>
        <w:t>4.</w:t>
      </w:r>
      <w:r w:rsidRPr="00331708">
        <w:rPr>
          <w:rFonts w:cs="Times New Roman"/>
          <w:b w:val="0"/>
        </w:rPr>
        <w:tab/>
        <w:t>A description of the deterrent including number of attempts/deployments, specifications of devices, and any other relevant characteristics;</w:t>
      </w:r>
    </w:p>
    <w:p w:rsidRPr="00331708" w:rsidR="009B59A8" w:rsidP="009B59A8" w:rsidRDefault="009B59A8">
      <w:pPr>
        <w:pStyle w:val="Heading1"/>
        <w:tabs>
          <w:tab w:val="left" w:pos="360"/>
        </w:tabs>
        <w:spacing w:before="197"/>
        <w:rPr>
          <w:rFonts w:cs="Times New Roman"/>
          <w:b w:val="0"/>
        </w:rPr>
      </w:pPr>
      <w:r w:rsidRPr="00331708">
        <w:rPr>
          <w:rFonts w:cs="Times New Roman"/>
          <w:b w:val="0"/>
        </w:rPr>
        <w:t>5.</w:t>
      </w:r>
      <w:r w:rsidRPr="00331708">
        <w:rPr>
          <w:rFonts w:cs="Times New Roman"/>
          <w:b w:val="0"/>
        </w:rPr>
        <w:tab/>
        <w:t>The species and number of each marine mammal incidentally killed or injured or a description (and/or photograph or video if available) of the animal(s) killed or injured if the species is unknown;</w:t>
      </w:r>
    </w:p>
    <w:p w:rsidRPr="00331708" w:rsidR="009B59A8" w:rsidP="009B59A8" w:rsidRDefault="009B59A8">
      <w:pPr>
        <w:pStyle w:val="Heading1"/>
        <w:tabs>
          <w:tab w:val="left" w:pos="360"/>
        </w:tabs>
        <w:spacing w:before="197"/>
        <w:rPr>
          <w:rFonts w:cs="Times New Roman"/>
          <w:b w:val="0"/>
        </w:rPr>
      </w:pPr>
      <w:r w:rsidRPr="00331708">
        <w:rPr>
          <w:rFonts w:cs="Times New Roman"/>
          <w:b w:val="0"/>
        </w:rPr>
        <w:t>6.</w:t>
      </w:r>
      <w:r w:rsidRPr="00331708">
        <w:rPr>
          <w:rFonts w:cs="Times New Roman"/>
          <w:b w:val="0"/>
        </w:rPr>
        <w:tab/>
        <w:t xml:space="preserve">The disposition of the animal (e.g., injured or dead, type of wounds); </w:t>
      </w:r>
    </w:p>
    <w:p w:rsidR="009B59A8" w:rsidP="009B59A8" w:rsidRDefault="009B59A8">
      <w:pPr>
        <w:pStyle w:val="Heading1"/>
        <w:tabs>
          <w:tab w:val="left" w:pos="360"/>
        </w:tabs>
        <w:spacing w:before="197"/>
        <w:rPr>
          <w:rFonts w:cs="Times New Roman"/>
          <w:b w:val="0"/>
        </w:rPr>
      </w:pPr>
      <w:r w:rsidRPr="00331708">
        <w:rPr>
          <w:rFonts w:cs="Times New Roman"/>
          <w:b w:val="0"/>
        </w:rPr>
        <w:t>7.</w:t>
      </w:r>
      <w:r w:rsidRPr="00331708">
        <w:rPr>
          <w:rFonts w:cs="Times New Roman"/>
          <w:b w:val="0"/>
        </w:rPr>
        <w:tab/>
        <w:t>The date, time, and approximate geographic location where the mortality or injury occurred; and</w:t>
      </w:r>
    </w:p>
    <w:p w:rsidR="009B59A8" w:rsidP="009B59A8" w:rsidRDefault="009B59A8">
      <w:pPr>
        <w:pStyle w:val="Heading1"/>
        <w:tabs>
          <w:tab w:val="left" w:pos="360"/>
        </w:tabs>
        <w:spacing w:before="197"/>
        <w:rPr>
          <w:rFonts w:cs="Times New Roman"/>
          <w:b w:val="0"/>
        </w:rPr>
      </w:pPr>
      <w:r w:rsidRPr="00331708">
        <w:rPr>
          <w:rFonts w:cs="Times New Roman"/>
          <w:b w:val="0"/>
        </w:rPr>
        <w:t>8.</w:t>
      </w:r>
      <w:r w:rsidRPr="00331708">
        <w:rPr>
          <w:rFonts w:cs="Times New Roman"/>
          <w:b w:val="0"/>
        </w:rPr>
        <w:tab/>
        <w:t>Other relevant information such as the behavior of the animal in response to the deterrent, other protected species in the vicinity, etc.</w:t>
      </w:r>
    </w:p>
    <w:p w:rsidR="009B59A8" w:rsidP="009B59A8" w:rsidRDefault="009B59A8">
      <w:pPr>
        <w:pStyle w:val="Heading1"/>
        <w:tabs>
          <w:tab w:val="left" w:pos="360"/>
        </w:tabs>
        <w:spacing w:before="197"/>
        <w:ind w:left="0"/>
        <w:rPr>
          <w:rFonts w:cs="Times New Roman"/>
          <w:b w:val="0"/>
        </w:rPr>
      </w:pPr>
      <w:r w:rsidRPr="00A92B2F">
        <w:rPr>
          <w:rFonts w:cs="Times New Roman"/>
          <w:b w:val="0"/>
        </w:rPr>
        <w:t xml:space="preserve">Forms may be submitted via any of the following means: (1) online using the </w:t>
      </w:r>
      <w:r>
        <w:rPr>
          <w:rFonts w:cs="Times New Roman"/>
          <w:b w:val="0"/>
        </w:rPr>
        <w:t xml:space="preserve">online google </w:t>
      </w:r>
      <w:r w:rsidRPr="00A92B2F">
        <w:rPr>
          <w:rFonts w:cs="Times New Roman"/>
          <w:b w:val="0"/>
        </w:rPr>
        <w:t>form; (2) emailed as an attachment to nmfs.mireport@noaa.gov; (3) faxed to the NMFS Office of Protected Resources at 301-713-0376; or (4) mailed to the NMFS Office of Protected Resources</w:t>
      </w:r>
      <w:r>
        <w:rPr>
          <w:rFonts w:cs="Times New Roman"/>
          <w:b w:val="0"/>
        </w:rPr>
        <w:t xml:space="preserve"> using the postage-paid form.</w:t>
      </w:r>
      <w:r w:rsidRPr="00A92B2F">
        <w:rPr>
          <w:rFonts w:cs="Times New Roman"/>
          <w:b w:val="0"/>
        </w:rPr>
        <w:t xml:space="preserve"> </w:t>
      </w:r>
    </w:p>
    <w:p w:rsidRPr="000B64C2" w:rsidR="009B59A8" w:rsidP="009B59A8" w:rsidRDefault="009B59A8">
      <w:pPr>
        <w:pStyle w:val="Heading1"/>
        <w:tabs>
          <w:tab w:val="left" w:pos="360"/>
        </w:tabs>
        <w:spacing w:before="197"/>
        <w:ind w:left="0"/>
        <w:rPr>
          <w:rFonts w:cs="Times New Roman"/>
          <w:b w:val="0"/>
        </w:rPr>
      </w:pPr>
      <w:r w:rsidRPr="000B64C2">
        <w:rPr>
          <w:rFonts w:cs="Times New Roman"/>
          <w:b w:val="0"/>
        </w:rPr>
        <w:t>It is anticipated that the information collected will be disseminated to the public or used to support publ</w:t>
      </w:r>
      <w:r>
        <w:rPr>
          <w:rFonts w:cs="Times New Roman"/>
          <w:b w:val="0"/>
        </w:rPr>
        <w:t>icly disseminated information. NMFS will use the</w:t>
      </w:r>
      <w:r w:rsidRPr="00A92B2F">
        <w:rPr>
          <w:rFonts w:cs="Times New Roman"/>
          <w:b w:val="0"/>
        </w:rPr>
        <w:t xml:space="preserve"> information to evaluate whether the </w:t>
      </w:r>
      <w:r>
        <w:rPr>
          <w:rFonts w:cs="Times New Roman"/>
          <w:b w:val="0"/>
        </w:rPr>
        <w:t xml:space="preserve">deterrence </w:t>
      </w:r>
      <w:r w:rsidRPr="00A92B2F">
        <w:rPr>
          <w:rFonts w:cs="Times New Roman"/>
          <w:b w:val="0"/>
        </w:rPr>
        <w:t>guidelines and recommended specific measures are working as intended for saf</w:t>
      </w:r>
      <w:r>
        <w:rPr>
          <w:rFonts w:cs="Times New Roman"/>
          <w:b w:val="0"/>
        </w:rPr>
        <w:t xml:space="preserve">ely deterring marine mammals. </w:t>
      </w:r>
      <w:r w:rsidRPr="000B64C2">
        <w:rPr>
          <w:rFonts w:cs="Times New Roman"/>
          <w:b w:val="0"/>
        </w:rPr>
        <w:t xml:space="preserve">NMFS </w:t>
      </w:r>
      <w:r>
        <w:rPr>
          <w:rFonts w:cs="Times New Roman"/>
          <w:b w:val="0"/>
        </w:rPr>
        <w:t>will also use</w:t>
      </w:r>
      <w:r w:rsidRPr="000B64C2">
        <w:rPr>
          <w:rFonts w:cs="Times New Roman"/>
          <w:b w:val="0"/>
        </w:rPr>
        <w:t xml:space="preserve"> this information in marine mammal stock assessment reports that are required by MMPA section 117.  </w:t>
      </w:r>
    </w:p>
    <w:p w:rsidRPr="00BD7237" w:rsidR="008E61C9" w:rsidP="00BD7237" w:rsidRDefault="008E61C9">
      <w:pPr>
        <w:pStyle w:val="BodyText"/>
        <w:spacing w:before="7"/>
        <w:ind w:left="0"/>
        <w:rPr>
          <w:rFonts w:cs="Times New Roman"/>
          <w:b/>
        </w:rPr>
      </w:pPr>
    </w:p>
    <w:p w:rsidRPr="00BD7237" w:rsidR="008E61C9" w:rsidP="00BD7237" w:rsidRDefault="001477A3">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cs="Times New Roman"/>
          <w:b/>
          <w:spacing w:val="-6"/>
          <w:szCs w:val="24"/>
        </w:rPr>
        <w:t xml:space="preserve"> </w:t>
      </w:r>
      <w:r w:rsidRPr="00BD7237">
        <w:rPr>
          <w:rFonts w:cs="Times New Roman"/>
          <w:b/>
          <w:szCs w:val="24"/>
        </w:rPr>
        <w:t>burden.</w:t>
      </w:r>
    </w:p>
    <w:p w:rsidR="00574B36" w:rsidP="00BD7237" w:rsidRDefault="00D65EAB">
      <w:pPr>
        <w:spacing w:before="161"/>
        <w:rPr>
          <w:rFonts w:cs="Times New Roman"/>
          <w:szCs w:val="24"/>
        </w:rPr>
      </w:pPr>
      <w:r w:rsidRPr="00D65EAB">
        <w:rPr>
          <w:rFonts w:cs="Times New Roman"/>
          <w:szCs w:val="24"/>
        </w:rPr>
        <w:t xml:space="preserve">The Act requires that all reports of incidental mortality and serious injury be submitted to the Secretary by mail on the postage paid form or other means acceptable within 48 hours after the end of each fishing trip.  Such forms are capable of being readily entered into and usable by an automated or computerized data processing system.  The legislative history of the amendments indicates that Congress intended for the report forms to be machine-readable for use in a computerized data system.  Online electronic forms and fillable PDF forms are available at </w:t>
      </w:r>
      <w:hyperlink w:history="1" w:anchor="reporting-a-death-or-injury-of-a-marine-mammal-during-commercial-fishing-operations" r:id="rId8">
        <w:r w:rsidRPr="00D32A3F" w:rsidR="00DE183E">
          <w:rPr>
            <w:rStyle w:val="Hyperlink"/>
            <w:rFonts w:cs="Times New Roman"/>
            <w:szCs w:val="24"/>
          </w:rPr>
          <w:t>https://www.fisheries.noaa.gov/national/marine-mammal-protection/marine-mammal-authorization-program#reporting-a-death-or-injury-of-a-marine-mammal-during-commercial-fishing-operations</w:t>
        </w:r>
      </w:hyperlink>
      <w:r w:rsidRPr="00D65EAB">
        <w:rPr>
          <w:rFonts w:cs="Times New Roman"/>
          <w:szCs w:val="24"/>
        </w:rPr>
        <w:t>.</w:t>
      </w:r>
    </w:p>
    <w:p w:rsidR="00574B36" w:rsidP="00574B36" w:rsidRDefault="00574B36">
      <w:pPr>
        <w:pStyle w:val="ListParagraph"/>
        <w:tabs>
          <w:tab w:val="left" w:pos="360"/>
        </w:tabs>
        <w:spacing w:before="199"/>
        <w:ind w:left="0" w:firstLine="0"/>
        <w:rPr>
          <w:rFonts w:cs="Times New Roman"/>
        </w:rPr>
      </w:pPr>
      <w:r w:rsidRPr="00A92B2F">
        <w:rPr>
          <w:rFonts w:cs="Times New Roman"/>
        </w:rPr>
        <w:t xml:space="preserve">Forms may be submitted via any of the following means: (1) online using the </w:t>
      </w:r>
      <w:r w:rsidRPr="00574B36">
        <w:rPr>
          <w:rFonts w:cs="Times New Roman"/>
        </w:rPr>
        <w:t>online google</w:t>
      </w:r>
      <w:r>
        <w:rPr>
          <w:rFonts w:cs="Times New Roman"/>
          <w:b/>
        </w:rPr>
        <w:t xml:space="preserve"> </w:t>
      </w:r>
      <w:r w:rsidRPr="00A92B2F">
        <w:rPr>
          <w:rFonts w:cs="Times New Roman"/>
        </w:rPr>
        <w:t xml:space="preserve">form; (2) emailed </w:t>
      </w:r>
      <w:r w:rsidRPr="00AD0FA9">
        <w:rPr>
          <w:rFonts w:cs="Times New Roman"/>
        </w:rPr>
        <w:t>as an attachment to nmfs.mireport@noaa.gov; (3) faxed to the NMFS Office of Protected Resources at 301-713-0376; or (4) mailed to the NMFS Office of Protected Resources using the postage-paid form.</w:t>
      </w:r>
    </w:p>
    <w:p w:rsidR="00574B36" w:rsidP="00BD7237" w:rsidRDefault="00574B36">
      <w:pPr>
        <w:spacing w:before="161"/>
        <w:rPr>
          <w:rFonts w:cs="Times New Roman"/>
          <w:szCs w:val="24"/>
        </w:rPr>
      </w:pPr>
    </w:p>
    <w:p w:rsidRPr="00D65EAB" w:rsidR="00DE183E" w:rsidP="00BD7237" w:rsidRDefault="00DE183E">
      <w:pPr>
        <w:spacing w:before="161"/>
        <w:rPr>
          <w:rFonts w:cs="Times New Roman"/>
          <w:szCs w:val="24"/>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efforts to identify duplication. Show specifically why any similar information already available cannot be used or modified for use for the purposes described in Question</w:t>
      </w:r>
      <w:r w:rsidRPr="00BD7237">
        <w:rPr>
          <w:rFonts w:cs="Times New Roman"/>
          <w:b/>
          <w:spacing w:val="-42"/>
          <w:szCs w:val="24"/>
        </w:rPr>
        <w:t xml:space="preserve"> </w:t>
      </w:r>
      <w:r w:rsidRPr="00BD7237">
        <w:rPr>
          <w:rFonts w:cs="Times New Roman"/>
          <w:b/>
          <w:szCs w:val="24"/>
        </w:rPr>
        <w:t>2</w:t>
      </w:r>
    </w:p>
    <w:p w:rsidR="00574B36" w:rsidP="00BD7237" w:rsidRDefault="00D65EAB">
      <w:pPr>
        <w:pStyle w:val="BodyText"/>
        <w:ind w:left="0"/>
        <w:rPr>
          <w:rFonts w:cs="Times New Roman"/>
        </w:rPr>
      </w:pPr>
      <w:r w:rsidRPr="00D65EAB">
        <w:rPr>
          <w:rFonts w:cs="Times New Roman"/>
        </w:rPr>
        <w:t>NMFS has joint authority with the U.S. Fish and Wildlife Service (USFWS), Department of the Interior, to manage marine mammals.  The U.S. Department of the Interior has not been authorized by statute to promulgate regulations on this matter: therefore, USFWS has not established its own registration and reporting system for authorization on its marine mammal species, but cooperates with NMFS in establishing a single registration and reporting system.  NMFS remains responsible for the information collection process, distributing authorizations, and maintaining the marine mammal reporting system for all marine mammal species.</w:t>
      </w:r>
    </w:p>
    <w:p w:rsidR="00574B36" w:rsidP="00574B36" w:rsidRDefault="00574B36">
      <w:pPr>
        <w:pStyle w:val="BodyText"/>
        <w:ind w:left="0"/>
        <w:rPr>
          <w:rFonts w:cs="Times New Roman"/>
          <w:color w:val="000000" w:themeColor="text1"/>
        </w:rPr>
      </w:pPr>
      <w:r>
        <w:rPr>
          <w:rFonts w:cs="Times New Roman"/>
          <w:color w:val="000000" w:themeColor="text1"/>
        </w:rPr>
        <w:t xml:space="preserve">The proposed </w:t>
      </w:r>
      <w:r w:rsidRPr="00AC4D6D">
        <w:rPr>
          <w:rFonts w:cs="Times New Roman"/>
          <w:color w:val="000000" w:themeColor="text1"/>
        </w:rPr>
        <w:t>regulations to safely deter marine mammals from damaging fishing gear or catch, damaging personal or public property, or endangering personal safety pursuant to the Marine Mammal Protect Act (MMPA) section 101(a)</w:t>
      </w:r>
      <w:r>
        <w:rPr>
          <w:rFonts w:cs="Times New Roman"/>
          <w:color w:val="000000" w:themeColor="text1"/>
        </w:rPr>
        <w:t>(4) are new agency regulations. The information proposed in this collection are not collected by NOAA, DOC or other government agency.</w:t>
      </w:r>
    </w:p>
    <w:p w:rsidRPr="00D65EAB" w:rsidR="00DE183E" w:rsidP="00BD7237" w:rsidRDefault="00DE183E">
      <w:pPr>
        <w:pStyle w:val="BodyText"/>
        <w:ind w:left="0"/>
        <w:rPr>
          <w:rFonts w:cs="Times New Roman"/>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the collection of information impacts small businesses or other small entities, describe any methods used to minimize burden.</w:t>
      </w:r>
    </w:p>
    <w:p w:rsidR="00D65EAB" w:rsidP="00BD7237" w:rsidRDefault="00D65EAB">
      <w:pPr>
        <w:pStyle w:val="BodyText"/>
        <w:spacing w:before="160"/>
        <w:ind w:left="0"/>
        <w:rPr>
          <w:rFonts w:cs="Times New Roman"/>
        </w:rPr>
      </w:pPr>
      <w:r w:rsidRPr="00D65EAB">
        <w:rPr>
          <w:rFonts w:cs="Times New Roman"/>
        </w:rPr>
        <w:t>This collection will not have a signifi</w:t>
      </w:r>
      <w:r w:rsidR="003B7E1D">
        <w:rPr>
          <w:rFonts w:cs="Times New Roman"/>
        </w:rPr>
        <w:t xml:space="preserve">cant impact on small entities. </w:t>
      </w:r>
      <w:r w:rsidRPr="00D65EAB">
        <w:rPr>
          <w:rFonts w:cs="Times New Roman"/>
        </w:rPr>
        <w:t>The MMPA Amendments instructs the Secretary to develop a standard postage-paid reporting form capable of being readily entered into and usable by an automated or comput</w:t>
      </w:r>
      <w:r w:rsidR="003B7E1D">
        <w:rPr>
          <w:rFonts w:cs="Times New Roman"/>
        </w:rPr>
        <w:t xml:space="preserve">erized data processing system. </w:t>
      </w:r>
      <w:r w:rsidRPr="00D65EAB">
        <w:rPr>
          <w:rFonts w:cs="Times New Roman"/>
        </w:rPr>
        <w:t>This postage-paid form requires less than 15 minutes to complete and can be dropped in any mailbox, faxed, emailed, or completed online within 48 hours of the vessel’s return to port.  There is no cost or significant investment of time required to fulfill the reporting requirement.</w:t>
      </w:r>
    </w:p>
    <w:p w:rsidRPr="00D65EAB" w:rsidR="00DE183E" w:rsidP="00BD7237" w:rsidRDefault="00DE183E">
      <w:pPr>
        <w:pStyle w:val="BodyText"/>
        <w:spacing w:before="160"/>
        <w:ind w:left="0"/>
        <w:rPr>
          <w:rFonts w:cs="Times New Roman"/>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the consequence to Federal program or policy activities if the collection is not conducted or is conducted less frequently, as well as any technical or legal obstacles to reducing burden.</w:t>
      </w:r>
    </w:p>
    <w:p w:rsidR="00D65EAB" w:rsidP="00BD7237" w:rsidRDefault="00D65EAB">
      <w:pPr>
        <w:pStyle w:val="BodyText"/>
        <w:spacing w:before="115"/>
        <w:ind w:left="0"/>
        <w:rPr>
          <w:rFonts w:cs="Times New Roman"/>
        </w:rPr>
      </w:pPr>
      <w:r w:rsidRPr="00D65EAB">
        <w:rPr>
          <w:rFonts w:cs="Times New Roman"/>
        </w:rPr>
        <w:t>Without reports of mortality or serious injury, NMFS would be unable to implement the statutory mandate to assess the impact of U.S. commercial fisheries on marine mammal populations and stocks.</w:t>
      </w:r>
      <w:r w:rsidR="0090532B">
        <w:rPr>
          <w:rFonts w:cs="Times New Roman"/>
        </w:rPr>
        <w:t xml:space="preserve"> </w:t>
      </w:r>
      <w:r w:rsidRPr="00360E62" w:rsidR="0090532B">
        <w:rPr>
          <w:rFonts w:cs="Times New Roman"/>
          <w:color w:val="000000" w:themeColor="text1"/>
        </w:rPr>
        <w:t xml:space="preserve">NMFS would </w:t>
      </w:r>
      <w:r w:rsidR="0090532B">
        <w:rPr>
          <w:rFonts w:cs="Times New Roman"/>
          <w:color w:val="000000" w:themeColor="text1"/>
        </w:rPr>
        <w:t xml:space="preserve">also </w:t>
      </w:r>
      <w:r w:rsidRPr="00360E62" w:rsidR="0090532B">
        <w:rPr>
          <w:rFonts w:cs="Times New Roman"/>
          <w:color w:val="000000" w:themeColor="text1"/>
        </w:rPr>
        <w:t>be unable to implement the statutory mandate to ensure non-lethal deterrence of marine mammals.</w:t>
      </w:r>
    </w:p>
    <w:p w:rsidRPr="00D65EAB" w:rsidR="00DE183E" w:rsidP="00BD7237" w:rsidRDefault="00DE183E">
      <w:pPr>
        <w:pStyle w:val="BodyText"/>
        <w:spacing w:before="115"/>
        <w:ind w:left="0"/>
        <w:rPr>
          <w:rFonts w:cs="Times New Roman"/>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any special circumstances that would cause an information collection to be conducted in a manner:</w:t>
      </w:r>
    </w:p>
    <w:p w:rsidRPr="00454649" w:rsidR="008E61C9" w:rsidP="00454649" w:rsidRDefault="002D5FA6">
      <w:pPr>
        <w:spacing w:before="120"/>
        <w:rPr>
          <w:rFonts w:cs="Times New Roman"/>
          <w:szCs w:val="24"/>
        </w:rPr>
      </w:pPr>
      <w:r w:rsidRPr="00454649">
        <w:rPr>
          <w:rFonts w:cs="Times New Roman"/>
          <w:szCs w:val="24"/>
        </w:rPr>
        <w:t>MMPA section 118(e) requires owner or operator of a commercial fishing vessel subject to this Act shall report all incidental mortality and injury of marine mammals in the course of commercial fishing operations to the Secretary by mail or other means acceptable to the Secretary within 48 hours after the end of each fishing trip on a standard postage paid form.</w:t>
      </w:r>
      <w:r w:rsidRPr="00454649" w:rsidR="0090532B">
        <w:rPr>
          <w:rFonts w:cs="Times New Roman"/>
          <w:szCs w:val="24"/>
        </w:rPr>
        <w:t xml:space="preserve"> In addition, the proposed rule requires reporting marine mammal injuries and mortalities from deterrent use within 48 hours.</w:t>
      </w:r>
    </w:p>
    <w:p w:rsidRPr="00454649" w:rsidR="00454649" w:rsidP="00454649" w:rsidRDefault="00454649">
      <w:pPr>
        <w:pStyle w:val="ListParagraph"/>
        <w:spacing w:before="120"/>
        <w:ind w:left="720" w:firstLine="0"/>
        <w:rPr>
          <w:rFonts w:cs="Times New Roman"/>
          <w:szCs w:val="24"/>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If applicable, provide a copy and identify the date and page number of publications in the </w:t>
      </w:r>
      <w:r w:rsidRPr="00BD7237">
        <w:rPr>
          <w:rFonts w:cs="Times New Roman"/>
          <w:b/>
          <w:szCs w:val="24"/>
        </w:rPr>
        <w:lastRenderedPageBreak/>
        <w:t>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D425F" w:rsidR="00AD425F" w:rsidP="00AD425F" w:rsidRDefault="004868AE">
      <w:pPr>
        <w:pStyle w:val="BodyText"/>
        <w:spacing w:before="159"/>
        <w:ind w:left="0"/>
        <w:rPr>
          <w:rFonts w:cs="Times New Roman"/>
        </w:rPr>
      </w:pPr>
      <w:r w:rsidRPr="004868AE">
        <w:rPr>
          <w:rFonts w:cs="Times New Roman"/>
        </w:rPr>
        <w:t xml:space="preserve">This </w:t>
      </w:r>
      <w:r w:rsidR="0090532B">
        <w:rPr>
          <w:rFonts w:cs="Times New Roman"/>
        </w:rPr>
        <w:t xml:space="preserve">existing </w:t>
      </w:r>
      <w:r w:rsidR="00454649">
        <w:rPr>
          <w:rFonts w:cs="Times New Roman"/>
        </w:rPr>
        <w:t>collection 0648-0292</w:t>
      </w:r>
      <w:r w:rsidRPr="004868AE">
        <w:rPr>
          <w:rFonts w:cs="Times New Roman"/>
        </w:rPr>
        <w:t xml:space="preserve"> was last renewed in 2019. </w:t>
      </w:r>
      <w:r w:rsidRPr="00AD425F" w:rsidR="00AD425F">
        <w:rPr>
          <w:rFonts w:cs="Times New Roman"/>
        </w:rPr>
        <w:t>A Federal Register Notice published on November 1, 2018 (83 FR 54916) solicited public comment on this submissi</w:t>
      </w:r>
      <w:r w:rsidR="00AD425F">
        <w:rPr>
          <w:rFonts w:cs="Times New Roman"/>
        </w:rPr>
        <w:t>on.  No comments were received.</w:t>
      </w:r>
    </w:p>
    <w:p w:rsidRPr="00AD425F" w:rsidR="00AD425F" w:rsidP="00AD425F" w:rsidRDefault="00AD425F">
      <w:pPr>
        <w:pStyle w:val="BodyText"/>
        <w:spacing w:before="159"/>
        <w:ind w:left="0"/>
        <w:rPr>
          <w:rFonts w:cs="Times New Roman"/>
        </w:rPr>
      </w:pPr>
      <w:r w:rsidRPr="00AD425F">
        <w:rPr>
          <w:rFonts w:cs="Times New Roman"/>
        </w:rPr>
        <w:t>Additionally, NMFS solicited comments from three non-NOAA stakeholders and received two comm</w:t>
      </w:r>
      <w:r>
        <w:rPr>
          <w:rFonts w:cs="Times New Roman"/>
        </w:rPr>
        <w:t>ents from commercial fishermen.</w:t>
      </w:r>
    </w:p>
    <w:p w:rsidRPr="00AD425F" w:rsidR="00AD425F" w:rsidP="00AD425F" w:rsidRDefault="00AD425F">
      <w:pPr>
        <w:pStyle w:val="BodyText"/>
        <w:spacing w:before="159"/>
        <w:ind w:left="0"/>
        <w:rPr>
          <w:rFonts w:cs="Times New Roman"/>
        </w:rPr>
      </w:pPr>
      <w:r w:rsidRPr="00AD425F">
        <w:rPr>
          <w:rFonts w:cs="Times New Roman"/>
        </w:rPr>
        <w:t>The first comment we received supports the use of the form and stated the form is very straightforward and does not ask for any personal information that woul</w:t>
      </w:r>
      <w:r>
        <w:rPr>
          <w:rFonts w:cs="Times New Roman"/>
        </w:rPr>
        <w:t xml:space="preserve">d put fishermen’s PII at risk. </w:t>
      </w:r>
    </w:p>
    <w:p w:rsidRPr="00AD425F" w:rsidR="00AD425F" w:rsidP="00AD425F" w:rsidRDefault="00AD425F">
      <w:pPr>
        <w:pStyle w:val="BodyText"/>
        <w:spacing w:before="159"/>
        <w:ind w:left="0"/>
        <w:rPr>
          <w:rFonts w:cs="Times New Roman"/>
        </w:rPr>
      </w:pPr>
      <w:r w:rsidRPr="00AD425F">
        <w:rPr>
          <w:rFonts w:cs="Times New Roman"/>
        </w:rPr>
        <w:t>The second comment we received identified that it is not possible to squeeze the text in the mailing address section on the fillable pdf form.  When the address is long, the font becomes too small and is not readable.  The commenter also stated the form is very easy to fill out and appreciates the prompt response from NMFS when submitting the form via email.  NMFS appreciates this comment and has corrected the formatting on the fillable pdf form to make the text in the mailing address section more readable.</w:t>
      </w:r>
    </w:p>
    <w:p w:rsidR="004868AE" w:rsidP="00AD425F" w:rsidRDefault="00AD425F">
      <w:pPr>
        <w:pStyle w:val="BodyText"/>
        <w:spacing w:before="159"/>
        <w:ind w:left="0"/>
        <w:rPr>
          <w:rFonts w:cs="Times New Roman"/>
        </w:rPr>
      </w:pPr>
      <w:r w:rsidRPr="00AD425F">
        <w:rPr>
          <w:rFonts w:cs="Times New Roman"/>
        </w:rPr>
        <w:t>NMFS routinely shares information gathered under 0648-0292 with marine mammal take reduction teams.  These stakeholder-based teams are charged with providing consensus recommendations to NMFS for reducing bycatch of marine mammals in specific commercial fisheries.  The value of and need for information provided via 0648-0292 is often discussed with take reduction teams in terms of the specific details provided, the format of the information, etc.  Those teams include several representati</w:t>
      </w:r>
      <w:r w:rsidR="00DE183E">
        <w:rPr>
          <w:rFonts w:cs="Times New Roman"/>
        </w:rPr>
        <w:t>ves from the fishing industry.</w:t>
      </w:r>
    </w:p>
    <w:p w:rsidRPr="004B0034" w:rsidR="0090532B" w:rsidP="0090532B" w:rsidRDefault="0090532B">
      <w:pPr>
        <w:pStyle w:val="BodyText"/>
        <w:spacing w:before="159"/>
        <w:ind w:left="0"/>
        <w:rPr>
          <w:rFonts w:cs="Times New Roman"/>
          <w:color w:val="000000" w:themeColor="text1"/>
        </w:rPr>
      </w:pPr>
      <w:r w:rsidRPr="004B0034">
        <w:rPr>
          <w:rFonts w:cs="Times New Roman"/>
          <w:color w:val="000000" w:themeColor="text1"/>
        </w:rPr>
        <w:t>Public comments will be solicited through the proposed rule 0648-BG55.</w:t>
      </w: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Explain any decision to provide any payment or gift to respondents, other than </w:t>
      </w:r>
      <w:r w:rsidRPr="00BD7237" w:rsidR="00D64DF9">
        <w:rPr>
          <w:rFonts w:cs="Times New Roman"/>
          <w:b/>
          <w:szCs w:val="24"/>
        </w:rPr>
        <w:t>remuneration</w:t>
      </w:r>
      <w:r w:rsidRPr="00BD7237">
        <w:rPr>
          <w:rFonts w:cs="Times New Roman"/>
          <w:b/>
          <w:szCs w:val="24"/>
        </w:rPr>
        <w:t xml:space="preserve"> of contractors or grantees.</w:t>
      </w:r>
    </w:p>
    <w:p w:rsidR="000F0F10" w:rsidP="00BD7237" w:rsidRDefault="000F0F10">
      <w:pPr>
        <w:pStyle w:val="BodyText"/>
        <w:spacing w:before="158"/>
        <w:ind w:left="0"/>
        <w:rPr>
          <w:rFonts w:cs="Times New Roman"/>
        </w:rPr>
      </w:pPr>
      <w:r w:rsidRPr="000F0F10">
        <w:rPr>
          <w:rFonts w:cs="Times New Roman"/>
        </w:rPr>
        <w:t>There is no provision to provide any payment or gift to respondents.</w:t>
      </w:r>
    </w:p>
    <w:p w:rsidRPr="000F0F10" w:rsidR="00DE183E" w:rsidP="00BD7237" w:rsidRDefault="00DE183E">
      <w:pPr>
        <w:pStyle w:val="BodyText"/>
        <w:spacing w:before="158"/>
        <w:ind w:left="0"/>
        <w:rPr>
          <w:rFonts w:cs="Times New Roman"/>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0F0F10" w:rsidP="00BD7237" w:rsidRDefault="000F0F10">
      <w:pPr>
        <w:pStyle w:val="BodyText"/>
        <w:spacing w:before="158"/>
        <w:ind w:left="0"/>
        <w:rPr>
          <w:rFonts w:cs="Times New Roman"/>
        </w:rPr>
      </w:pPr>
      <w:r w:rsidRPr="000F0F10">
        <w:rPr>
          <w:rFonts w:cs="Times New Roman"/>
        </w:rPr>
        <w:t>NMFS regulations at 50 CFR 229.11 (a):  Proprietary information collected under this part is confidential and includes information, the unauthorized disclosure of which could be prejudicial or harmful, such as information or data that are identifiable with an individual fisher. This information is covered by the Privacy Act System of Record Notice COMMERCE/NOAA-12, Marine Mammals, Endangered and Threatened Species, Permits and Authorizations, Applicants.</w:t>
      </w:r>
    </w:p>
    <w:p w:rsidRPr="000F0F10" w:rsidR="00DE183E" w:rsidP="00BD7237" w:rsidRDefault="00DE183E">
      <w:pPr>
        <w:pStyle w:val="BodyText"/>
        <w:spacing w:before="158"/>
        <w:ind w:left="0"/>
        <w:rPr>
          <w:rFonts w:cs="Times New Roman"/>
        </w:rPr>
      </w:pPr>
    </w:p>
    <w:p w:rsidR="008E61C9" w:rsidP="00FD395A"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D395A" w:rsidP="00FD395A" w:rsidRDefault="00FD39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A1B23" w:rsidR="00FD395A" w:rsidP="00FD395A" w:rsidRDefault="00FD39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No sensitive questions are asked.</w:t>
      </w:r>
    </w:p>
    <w:p w:rsidRPr="00BD7237" w:rsidR="008E61C9" w:rsidP="00BD7237" w:rsidRDefault="008E61C9">
      <w:pPr>
        <w:spacing w:line="259" w:lineRule="auto"/>
        <w:rPr>
          <w:rFonts w:cs="Times New Roman"/>
          <w:szCs w:val="24"/>
        </w:rPr>
      </w:pPr>
    </w:p>
    <w:p w:rsidRPr="00454649" w:rsidR="00D02899" w:rsidP="00454649"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estimates of the hour burden of the collection of information.</w:t>
      </w:r>
    </w:p>
    <w:p w:rsidRPr="00D02899" w:rsidR="00D02899" w:rsidP="00D02899" w:rsidRDefault="00D02899">
      <w:pPr>
        <w:spacing w:before="120"/>
        <w:rPr>
          <w:rFonts w:cs="Times New Roman"/>
          <w:szCs w:val="24"/>
        </w:rPr>
      </w:pPr>
    </w:p>
    <w:p w:rsidRPr="00D02899" w:rsidR="00D02899" w:rsidP="00D02899" w:rsidRDefault="00D02899">
      <w:pPr>
        <w:spacing w:before="120"/>
        <w:rPr>
          <w:rFonts w:cs="Times New Roman"/>
          <w:b/>
          <w:szCs w:val="24"/>
        </w:rPr>
      </w:pPr>
    </w:p>
    <w:tbl>
      <w:tblPr>
        <w:tblW w:w="0" w:type="auto"/>
        <w:tblInd w:w="-25" w:type="dxa"/>
        <w:tblLook w:val="04A0" w:firstRow="1" w:lastRow="0" w:firstColumn="1" w:lastColumn="0" w:noHBand="0" w:noVBand="1"/>
      </w:tblPr>
      <w:tblGrid>
        <w:gridCol w:w="1537"/>
        <w:gridCol w:w="1206"/>
        <w:gridCol w:w="1456"/>
        <w:gridCol w:w="1102"/>
        <w:gridCol w:w="981"/>
        <w:gridCol w:w="900"/>
        <w:gridCol w:w="761"/>
        <w:gridCol w:w="1176"/>
        <w:gridCol w:w="966"/>
      </w:tblGrid>
      <w:tr w:rsidRPr="00D64DF9" w:rsidR="00E6214C" w:rsidTr="001D7575">
        <w:trPr>
          <w:trHeight w:val="1365"/>
        </w:trPr>
        <w:tc>
          <w:tcPr>
            <w:tcW w:w="0" w:type="auto"/>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Information Collection</w:t>
            </w:r>
          </w:p>
        </w:tc>
        <w:tc>
          <w:tcPr>
            <w:tcW w:w="0" w:type="auto"/>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Type of Respondent (e.g., Occupational Title)</w:t>
            </w:r>
          </w:p>
        </w:tc>
        <w:tc>
          <w:tcPr>
            <w:tcW w:w="0" w:type="auto"/>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of Respondents/year</w:t>
            </w:r>
            <w:r w:rsidRPr="00D64DF9">
              <w:rPr>
                <w:rFonts w:ascii="Calibri" w:hAnsi="Calibri" w:eastAsia="Times New Roman" w:cs="Calibri"/>
                <w:b/>
                <w:bCs/>
                <w:color w:val="000000"/>
                <w:sz w:val="16"/>
                <w:szCs w:val="16"/>
              </w:rPr>
              <w:br/>
              <w:t>(a)</w:t>
            </w:r>
          </w:p>
        </w:tc>
        <w:tc>
          <w:tcPr>
            <w:tcW w:w="0" w:type="auto"/>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Annual # of Responses / Respondent</w:t>
            </w:r>
            <w:r w:rsidRPr="00D64DF9">
              <w:rPr>
                <w:rFonts w:ascii="Calibri" w:hAnsi="Calibri" w:eastAsia="Times New Roman" w:cs="Calibri"/>
                <w:b/>
                <w:bCs/>
                <w:color w:val="000000"/>
                <w:sz w:val="16"/>
                <w:szCs w:val="16"/>
              </w:rPr>
              <w:br/>
              <w:t>(b)</w:t>
            </w:r>
          </w:p>
        </w:tc>
        <w:tc>
          <w:tcPr>
            <w:tcW w:w="0" w:type="auto"/>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 Total # of Annual Responses</w:t>
            </w:r>
            <w:r w:rsidRPr="00D64DF9">
              <w:rPr>
                <w:rFonts w:ascii="Calibri" w:hAnsi="Calibri" w:eastAsia="Times New Roman" w:cs="Calibri"/>
                <w:b/>
                <w:bCs/>
                <w:color w:val="000000"/>
                <w:sz w:val="16"/>
                <w:szCs w:val="16"/>
              </w:rPr>
              <w:br/>
              <w:t>(c) = (a) x (b)</w:t>
            </w:r>
          </w:p>
        </w:tc>
        <w:tc>
          <w:tcPr>
            <w:tcW w:w="0" w:type="auto"/>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Burden Hrs / Response</w:t>
            </w:r>
            <w:r w:rsidRPr="00D64DF9">
              <w:rPr>
                <w:rFonts w:ascii="Calibri" w:hAnsi="Calibri" w:eastAsia="Times New Roman" w:cs="Calibri"/>
                <w:b/>
                <w:bCs/>
                <w:color w:val="000000"/>
                <w:sz w:val="16"/>
                <w:szCs w:val="16"/>
              </w:rPr>
              <w:br/>
              <w:t>(d)</w:t>
            </w:r>
          </w:p>
        </w:tc>
        <w:tc>
          <w:tcPr>
            <w:tcW w:w="0" w:type="auto"/>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Total Annual Burden Hrs</w:t>
            </w:r>
            <w:r w:rsidRPr="00D64DF9">
              <w:rPr>
                <w:rFonts w:ascii="Calibri" w:hAnsi="Calibri" w:eastAsia="Times New Roman" w:cs="Calibri"/>
                <w:b/>
                <w:bCs/>
                <w:color w:val="000000"/>
                <w:sz w:val="16"/>
                <w:szCs w:val="16"/>
              </w:rPr>
              <w:br/>
              <w:t>(e)  = (c) x (d)</w:t>
            </w:r>
          </w:p>
        </w:tc>
        <w:tc>
          <w:tcPr>
            <w:tcW w:w="0" w:type="auto"/>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Hourly Wage Rate  (for Type of Respondent)</w:t>
            </w:r>
            <w:r w:rsidRPr="00D64DF9">
              <w:rPr>
                <w:rFonts w:ascii="Calibri" w:hAnsi="Calibri" w:eastAsia="Times New Roman" w:cs="Calibri"/>
                <w:b/>
                <w:bCs/>
                <w:color w:val="000000"/>
                <w:sz w:val="16"/>
                <w:szCs w:val="16"/>
              </w:rPr>
              <w:br/>
              <w:t>(f)</w:t>
            </w:r>
          </w:p>
        </w:tc>
        <w:tc>
          <w:tcPr>
            <w:tcW w:w="0" w:type="auto"/>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Total Annual Wage Burden Costs</w:t>
            </w:r>
            <w:r w:rsidRPr="00D64DF9">
              <w:rPr>
                <w:rFonts w:ascii="Calibri" w:hAnsi="Calibri" w:eastAsia="Times New Roman" w:cs="Calibri"/>
                <w:b/>
                <w:bCs/>
                <w:color w:val="000000"/>
                <w:sz w:val="16"/>
                <w:szCs w:val="16"/>
              </w:rPr>
              <w:br/>
              <w:t>(g) = (e) x (f)</w:t>
            </w:r>
          </w:p>
        </w:tc>
      </w:tr>
      <w:tr w:rsidRPr="00D64DF9" w:rsidR="00D64DF9" w:rsidTr="001D7575">
        <w:trPr>
          <w:trHeight w:val="300"/>
        </w:trPr>
        <w:tc>
          <w:tcPr>
            <w:tcW w:w="0" w:type="auto"/>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1D7575">
            <w:pPr>
              <w:widowControl/>
              <w:autoSpaceDE/>
              <w:autoSpaceDN/>
              <w:rPr>
                <w:rFonts w:ascii="Calibri" w:hAnsi="Calibri" w:eastAsia="Times New Roman" w:cs="Calibri"/>
                <w:color w:val="000000"/>
                <w:sz w:val="16"/>
                <w:szCs w:val="16"/>
              </w:rPr>
            </w:pPr>
            <w:r w:rsidRPr="001D7575">
              <w:rPr>
                <w:rFonts w:ascii="Calibri" w:hAnsi="Calibri" w:eastAsia="Times New Roman" w:cs="Calibri"/>
                <w:color w:val="000000"/>
                <w:sz w:val="16"/>
                <w:szCs w:val="16"/>
              </w:rPr>
              <w:t>Reporting Requirements for Commercial Fisheries Authorization Under Section 118 of the Marine Mammal Protection Act</w:t>
            </w:r>
          </w:p>
        </w:tc>
        <w:tc>
          <w:tcPr>
            <w:tcW w:w="0" w:type="auto"/>
            <w:tcBorders>
              <w:top w:val="nil"/>
              <w:left w:val="nil"/>
              <w:bottom w:val="single" w:color="auto" w:sz="4" w:space="0"/>
              <w:right w:val="single" w:color="auto" w:sz="4" w:space="0"/>
            </w:tcBorders>
            <w:shd w:val="clear" w:color="auto" w:fill="auto"/>
            <w:vAlign w:val="bottom"/>
            <w:hideMark/>
          </w:tcPr>
          <w:p w:rsidRPr="00D64DF9" w:rsidR="00D64DF9" w:rsidP="00D64DF9" w:rsidRDefault="00026771">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Commercial fishermen</w:t>
            </w:r>
            <w:r w:rsidRPr="00D64DF9" w:rsidR="00D64DF9">
              <w:rPr>
                <w:rFonts w:ascii="Calibri" w:hAnsi="Calibri" w:eastAsia="Times New Roman" w:cs="Calibri"/>
                <w:color w:val="000000"/>
                <w:sz w:val="16"/>
                <w:szCs w:val="16"/>
              </w:rPr>
              <w:t> </w:t>
            </w:r>
          </w:p>
        </w:tc>
        <w:tc>
          <w:tcPr>
            <w:tcW w:w="0" w:type="auto"/>
            <w:tcBorders>
              <w:top w:val="nil"/>
              <w:left w:val="nil"/>
              <w:bottom w:val="single" w:color="auto" w:sz="4" w:space="0"/>
              <w:right w:val="single" w:color="auto" w:sz="4" w:space="0"/>
            </w:tcBorders>
            <w:shd w:val="clear" w:color="auto" w:fill="auto"/>
            <w:vAlign w:val="bottom"/>
            <w:hideMark/>
          </w:tcPr>
          <w:p w:rsidRPr="00D64DF9" w:rsidR="00D64DF9" w:rsidP="00D64DF9" w:rsidRDefault="00026771">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200</w:t>
            </w:r>
          </w:p>
        </w:tc>
        <w:tc>
          <w:tcPr>
            <w:tcW w:w="0" w:type="auto"/>
            <w:tcBorders>
              <w:top w:val="nil"/>
              <w:left w:val="nil"/>
              <w:bottom w:val="single" w:color="auto" w:sz="4" w:space="0"/>
              <w:right w:val="single" w:color="auto" w:sz="4" w:space="0"/>
            </w:tcBorders>
            <w:shd w:val="clear" w:color="auto" w:fill="auto"/>
            <w:vAlign w:val="bottom"/>
            <w:hideMark/>
          </w:tcPr>
          <w:p w:rsidRPr="00D64DF9" w:rsidR="00D64DF9" w:rsidP="00D64DF9" w:rsidRDefault="005504F6">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0" w:type="auto"/>
            <w:tcBorders>
              <w:top w:val="nil"/>
              <w:left w:val="nil"/>
              <w:bottom w:val="single" w:color="auto" w:sz="4" w:space="0"/>
              <w:right w:val="single" w:color="auto" w:sz="4" w:space="0"/>
            </w:tcBorders>
            <w:shd w:val="clear" w:color="auto" w:fill="auto"/>
            <w:vAlign w:val="bottom"/>
            <w:hideMark/>
          </w:tcPr>
          <w:p w:rsidRPr="00D64DF9" w:rsidR="00D64DF9" w:rsidP="00D64DF9" w:rsidRDefault="005504F6">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200</w:t>
            </w:r>
            <w:r w:rsidRPr="00D64DF9" w:rsidR="00D64DF9">
              <w:rPr>
                <w:rFonts w:ascii="Calibri" w:hAnsi="Calibri" w:eastAsia="Times New Roman" w:cs="Calibri"/>
                <w:color w:val="000000"/>
                <w:sz w:val="16"/>
                <w:szCs w:val="16"/>
              </w:rPr>
              <w:t> </w:t>
            </w:r>
          </w:p>
        </w:tc>
        <w:tc>
          <w:tcPr>
            <w:tcW w:w="0" w:type="auto"/>
            <w:tcBorders>
              <w:top w:val="nil"/>
              <w:left w:val="nil"/>
              <w:bottom w:val="single" w:color="auto" w:sz="4" w:space="0"/>
              <w:right w:val="single" w:color="auto" w:sz="4" w:space="0"/>
            </w:tcBorders>
            <w:shd w:val="clear" w:color="auto" w:fill="auto"/>
            <w:vAlign w:val="bottom"/>
            <w:hideMark/>
          </w:tcPr>
          <w:p w:rsidRPr="00D64DF9" w:rsidR="00D64DF9" w:rsidP="00D64DF9" w:rsidRDefault="005504F6">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.25</w:t>
            </w:r>
            <w:r w:rsidRPr="00D64DF9" w:rsidR="00D64DF9">
              <w:rPr>
                <w:rFonts w:ascii="Calibri" w:hAnsi="Calibri" w:eastAsia="Times New Roman" w:cs="Calibri"/>
                <w:color w:val="000000"/>
                <w:sz w:val="16"/>
                <w:szCs w:val="16"/>
              </w:rPr>
              <w:t> </w:t>
            </w:r>
          </w:p>
        </w:tc>
        <w:tc>
          <w:tcPr>
            <w:tcW w:w="0" w:type="auto"/>
            <w:tcBorders>
              <w:top w:val="nil"/>
              <w:left w:val="nil"/>
              <w:bottom w:val="single" w:color="auto" w:sz="4" w:space="0"/>
              <w:right w:val="single" w:color="auto" w:sz="4" w:space="0"/>
            </w:tcBorders>
            <w:shd w:val="clear" w:color="auto" w:fill="auto"/>
            <w:vAlign w:val="bottom"/>
            <w:hideMark/>
          </w:tcPr>
          <w:p w:rsidRPr="00D64DF9" w:rsidR="00D64DF9" w:rsidP="00D64DF9" w:rsidRDefault="005504F6">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50</w:t>
            </w:r>
          </w:p>
        </w:tc>
        <w:tc>
          <w:tcPr>
            <w:tcW w:w="0" w:type="auto"/>
            <w:tcBorders>
              <w:top w:val="nil"/>
              <w:left w:val="nil"/>
              <w:bottom w:val="single" w:color="auto" w:sz="4" w:space="0"/>
              <w:right w:val="single" w:color="auto" w:sz="4" w:space="0"/>
            </w:tcBorders>
            <w:shd w:val="clear" w:color="auto" w:fill="auto"/>
            <w:noWrap/>
            <w:vAlign w:val="bottom"/>
            <w:hideMark/>
          </w:tcPr>
          <w:p w:rsidRPr="00D64DF9" w:rsidR="00D64DF9" w:rsidP="00D64DF9" w:rsidRDefault="00026771">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$22.25</w:t>
            </w:r>
            <w:r w:rsidR="00E6214C">
              <w:rPr>
                <w:rFonts w:ascii="Calibri" w:hAnsi="Calibri" w:eastAsia="Times New Roman" w:cs="Calibri"/>
                <w:color w:val="000000"/>
                <w:sz w:val="16"/>
                <w:szCs w:val="16"/>
              </w:rPr>
              <w:t>*</w:t>
            </w:r>
            <w:r w:rsidRPr="00D64DF9" w:rsidR="00D64DF9">
              <w:rPr>
                <w:rFonts w:ascii="Calibri" w:hAnsi="Calibri" w:eastAsia="Times New Roman" w:cs="Calibri"/>
                <w:color w:val="000000"/>
                <w:sz w:val="16"/>
                <w:szCs w:val="16"/>
              </w:rPr>
              <w:t> </w:t>
            </w:r>
          </w:p>
        </w:tc>
        <w:tc>
          <w:tcPr>
            <w:tcW w:w="0" w:type="auto"/>
            <w:tcBorders>
              <w:top w:val="nil"/>
              <w:left w:val="nil"/>
              <w:bottom w:val="single" w:color="auto" w:sz="4" w:space="0"/>
              <w:right w:val="single" w:color="auto" w:sz="8" w:space="0"/>
            </w:tcBorders>
            <w:shd w:val="clear" w:color="auto" w:fill="auto"/>
            <w:noWrap/>
            <w:vAlign w:val="bottom"/>
            <w:hideMark/>
          </w:tcPr>
          <w:p w:rsidRPr="00D64DF9" w:rsidR="00D64DF9" w:rsidP="00D64DF9" w:rsidRDefault="005504F6">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$1,112.50</w:t>
            </w:r>
          </w:p>
        </w:tc>
      </w:tr>
      <w:tr w:rsidRPr="00D64DF9" w:rsidR="001D7575" w:rsidTr="001D7575">
        <w:trPr>
          <w:trHeight w:val="300"/>
        </w:trPr>
        <w:tc>
          <w:tcPr>
            <w:tcW w:w="0" w:type="auto"/>
            <w:tcBorders>
              <w:top w:val="nil"/>
              <w:left w:val="single" w:color="auto" w:sz="8" w:space="0"/>
              <w:bottom w:val="single" w:color="auto" w:sz="4" w:space="0"/>
              <w:right w:val="single" w:color="auto" w:sz="4" w:space="0"/>
            </w:tcBorders>
            <w:shd w:val="clear" w:color="auto" w:fill="auto"/>
            <w:vAlign w:val="bottom"/>
          </w:tcPr>
          <w:p w:rsidRPr="001D7575" w:rsidR="001D7575" w:rsidP="00D64DF9" w:rsidRDefault="001D7575">
            <w:pPr>
              <w:widowControl/>
              <w:autoSpaceDE/>
              <w:autoSpaceDN/>
              <w:rPr>
                <w:rFonts w:ascii="Calibri" w:hAnsi="Calibri" w:eastAsia="Times New Roman" w:cs="Calibri"/>
                <w:color w:val="000000"/>
                <w:sz w:val="16"/>
                <w:szCs w:val="16"/>
              </w:rPr>
            </w:pPr>
            <w:r w:rsidRPr="001D7575">
              <w:rPr>
                <w:rFonts w:ascii="Calibri" w:hAnsi="Calibri" w:eastAsia="Times New Roman" w:cs="Calibri"/>
                <w:color w:val="000000"/>
                <w:sz w:val="16"/>
                <w:szCs w:val="16"/>
              </w:rPr>
              <w:t>Reporting Marine Mammal Mortalities and Injuries While Using Deterrents Under Section 101 of the Marine Mammal Protection Act</w:t>
            </w:r>
          </w:p>
        </w:tc>
        <w:tc>
          <w:tcPr>
            <w:tcW w:w="0" w:type="auto"/>
            <w:tcBorders>
              <w:top w:val="nil"/>
              <w:left w:val="nil"/>
              <w:bottom w:val="single" w:color="auto" w:sz="4" w:space="0"/>
              <w:right w:val="single" w:color="auto" w:sz="4" w:space="0"/>
            </w:tcBorders>
            <w:shd w:val="clear" w:color="auto" w:fill="auto"/>
            <w:vAlign w:val="bottom"/>
          </w:tcPr>
          <w:p w:rsidR="001D7575" w:rsidP="00D64DF9" w:rsidRDefault="001D7575">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All occupations</w:t>
            </w:r>
          </w:p>
        </w:tc>
        <w:tc>
          <w:tcPr>
            <w:tcW w:w="0" w:type="auto"/>
            <w:tcBorders>
              <w:top w:val="nil"/>
              <w:left w:val="nil"/>
              <w:bottom w:val="single" w:color="auto" w:sz="4" w:space="0"/>
              <w:right w:val="single" w:color="auto" w:sz="4" w:space="0"/>
            </w:tcBorders>
            <w:shd w:val="clear" w:color="auto" w:fill="auto"/>
            <w:vAlign w:val="bottom"/>
          </w:tcPr>
          <w:p w:rsidR="001D7575" w:rsidP="00D64DF9" w:rsidRDefault="001D7575">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50</w:t>
            </w:r>
          </w:p>
        </w:tc>
        <w:tc>
          <w:tcPr>
            <w:tcW w:w="0" w:type="auto"/>
            <w:tcBorders>
              <w:top w:val="nil"/>
              <w:left w:val="nil"/>
              <w:bottom w:val="single" w:color="auto" w:sz="4" w:space="0"/>
              <w:right w:val="single" w:color="auto" w:sz="4" w:space="0"/>
            </w:tcBorders>
            <w:shd w:val="clear" w:color="auto" w:fill="auto"/>
            <w:vAlign w:val="bottom"/>
          </w:tcPr>
          <w:p w:rsidR="001D7575" w:rsidP="00D64DF9" w:rsidRDefault="001D7575">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0" w:type="auto"/>
            <w:tcBorders>
              <w:top w:val="nil"/>
              <w:left w:val="nil"/>
              <w:bottom w:val="single" w:color="auto" w:sz="4" w:space="0"/>
              <w:right w:val="single" w:color="auto" w:sz="4" w:space="0"/>
            </w:tcBorders>
            <w:shd w:val="clear" w:color="auto" w:fill="auto"/>
            <w:vAlign w:val="bottom"/>
          </w:tcPr>
          <w:p w:rsidR="001D7575" w:rsidP="00D64DF9" w:rsidRDefault="001D7575">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50</w:t>
            </w:r>
          </w:p>
        </w:tc>
        <w:tc>
          <w:tcPr>
            <w:tcW w:w="0" w:type="auto"/>
            <w:tcBorders>
              <w:top w:val="nil"/>
              <w:left w:val="nil"/>
              <w:bottom w:val="single" w:color="auto" w:sz="4" w:space="0"/>
              <w:right w:val="single" w:color="auto" w:sz="4" w:space="0"/>
            </w:tcBorders>
            <w:shd w:val="clear" w:color="auto" w:fill="auto"/>
            <w:vAlign w:val="bottom"/>
          </w:tcPr>
          <w:p w:rsidR="001D7575" w:rsidP="00D64DF9" w:rsidRDefault="001D7575">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.25</w:t>
            </w:r>
          </w:p>
        </w:tc>
        <w:tc>
          <w:tcPr>
            <w:tcW w:w="0" w:type="auto"/>
            <w:tcBorders>
              <w:top w:val="nil"/>
              <w:left w:val="nil"/>
              <w:bottom w:val="single" w:color="auto" w:sz="4" w:space="0"/>
              <w:right w:val="single" w:color="auto" w:sz="4" w:space="0"/>
            </w:tcBorders>
            <w:shd w:val="clear" w:color="auto" w:fill="auto"/>
            <w:vAlign w:val="bottom"/>
          </w:tcPr>
          <w:p w:rsidR="001D7575" w:rsidP="00D64DF9" w:rsidRDefault="00E6214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12.5</w:t>
            </w:r>
          </w:p>
        </w:tc>
        <w:tc>
          <w:tcPr>
            <w:tcW w:w="0" w:type="auto"/>
            <w:tcBorders>
              <w:top w:val="nil"/>
              <w:left w:val="nil"/>
              <w:bottom w:val="single" w:color="auto" w:sz="4" w:space="0"/>
              <w:right w:val="single" w:color="auto" w:sz="4" w:space="0"/>
            </w:tcBorders>
            <w:shd w:val="clear" w:color="auto" w:fill="auto"/>
            <w:noWrap/>
            <w:vAlign w:val="bottom"/>
          </w:tcPr>
          <w:p w:rsidR="001D7575" w:rsidP="00D64DF9" w:rsidRDefault="00E6214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$25.72**</w:t>
            </w:r>
          </w:p>
        </w:tc>
        <w:tc>
          <w:tcPr>
            <w:tcW w:w="0" w:type="auto"/>
            <w:tcBorders>
              <w:top w:val="nil"/>
              <w:left w:val="nil"/>
              <w:bottom w:val="single" w:color="auto" w:sz="4" w:space="0"/>
              <w:right w:val="single" w:color="auto" w:sz="8" w:space="0"/>
            </w:tcBorders>
            <w:shd w:val="clear" w:color="auto" w:fill="auto"/>
            <w:noWrap/>
            <w:vAlign w:val="bottom"/>
          </w:tcPr>
          <w:p w:rsidR="001D7575" w:rsidP="00D64DF9" w:rsidRDefault="00E6214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$321.50</w:t>
            </w:r>
          </w:p>
        </w:tc>
      </w:tr>
      <w:tr w:rsidRPr="00D64DF9" w:rsidR="00E6214C" w:rsidTr="001D7575">
        <w:trPr>
          <w:trHeight w:val="615"/>
        </w:trPr>
        <w:tc>
          <w:tcPr>
            <w:tcW w:w="0" w:type="auto"/>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Totals</w:t>
            </w:r>
          </w:p>
        </w:tc>
        <w:tc>
          <w:tcPr>
            <w:tcW w:w="0" w:type="auto"/>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0" w:type="auto"/>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0" w:type="auto"/>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0" w:type="auto"/>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r w:rsidR="00E6214C">
              <w:rPr>
                <w:rFonts w:ascii="Calibri" w:hAnsi="Calibri" w:eastAsia="Times New Roman" w:cs="Calibri"/>
                <w:b/>
                <w:bCs/>
                <w:color w:val="000000"/>
              </w:rPr>
              <w:t>250</w:t>
            </w:r>
          </w:p>
        </w:tc>
        <w:tc>
          <w:tcPr>
            <w:tcW w:w="0" w:type="auto"/>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0" w:type="auto"/>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E6214C">
            <w:pPr>
              <w:widowControl/>
              <w:autoSpaceDE/>
              <w:autoSpaceDN/>
              <w:rPr>
                <w:rFonts w:ascii="Calibri" w:hAnsi="Calibri" w:eastAsia="Times New Roman" w:cs="Calibri"/>
                <w:b/>
                <w:bCs/>
                <w:color w:val="000000"/>
              </w:rPr>
            </w:pPr>
            <w:r>
              <w:rPr>
                <w:rFonts w:ascii="Calibri" w:hAnsi="Calibri" w:eastAsia="Times New Roman" w:cs="Calibri"/>
                <w:b/>
                <w:bCs/>
                <w:color w:val="000000"/>
              </w:rPr>
              <w:t>62.5</w:t>
            </w:r>
          </w:p>
        </w:tc>
        <w:tc>
          <w:tcPr>
            <w:tcW w:w="0" w:type="auto"/>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0" w:type="auto"/>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5504F6">
            <w:pPr>
              <w:widowControl/>
              <w:autoSpaceDE/>
              <w:autoSpaceDN/>
              <w:rPr>
                <w:rFonts w:ascii="Calibri" w:hAnsi="Calibri" w:eastAsia="Times New Roman" w:cs="Calibri"/>
                <w:b/>
                <w:bCs/>
                <w:color w:val="000000"/>
              </w:rPr>
            </w:pPr>
            <w:r>
              <w:rPr>
                <w:rFonts w:ascii="Calibri" w:hAnsi="Calibri" w:eastAsia="Times New Roman" w:cs="Calibri"/>
                <w:b/>
                <w:bCs/>
                <w:color w:val="000000"/>
              </w:rPr>
              <w:t>$1</w:t>
            </w:r>
            <w:r w:rsidR="002557E0">
              <w:rPr>
                <w:rFonts w:ascii="Calibri" w:hAnsi="Calibri" w:eastAsia="Times New Roman" w:cs="Calibri"/>
                <w:b/>
                <w:bCs/>
                <w:color w:val="000000"/>
              </w:rPr>
              <w:t>,</w:t>
            </w:r>
            <w:r w:rsidR="00E6214C">
              <w:rPr>
                <w:rFonts w:ascii="Calibri" w:hAnsi="Calibri" w:eastAsia="Times New Roman" w:cs="Calibri"/>
                <w:b/>
                <w:bCs/>
                <w:color w:val="000000"/>
              </w:rPr>
              <w:t>434</w:t>
            </w:r>
          </w:p>
        </w:tc>
      </w:tr>
    </w:tbl>
    <w:p w:rsidRPr="00E6214C" w:rsidR="00D64DF9" w:rsidP="00D64DF9" w:rsidRDefault="00D64DF9">
      <w:pPr>
        <w:spacing w:line="259" w:lineRule="auto"/>
        <w:rPr>
          <w:rFonts w:cs="Times New Roman"/>
          <w:color w:val="FF0000"/>
          <w:szCs w:val="24"/>
        </w:rPr>
      </w:pPr>
    </w:p>
    <w:p w:rsidRPr="00E6214C" w:rsidR="008E61C9" w:rsidP="00BD7237" w:rsidRDefault="001477A3">
      <w:pPr>
        <w:spacing w:line="259" w:lineRule="auto"/>
        <w:ind w:hanging="43"/>
        <w:jc w:val="center"/>
        <w:rPr>
          <w:rFonts w:cs="Times New Roman"/>
          <w:color w:val="000000" w:themeColor="text1"/>
          <w:szCs w:val="24"/>
          <w:u w:val="single" w:color="0563C1"/>
        </w:rPr>
      </w:pPr>
      <w:r w:rsidRPr="00E6214C">
        <w:rPr>
          <w:rFonts w:cs="Times New Roman"/>
          <w:color w:val="000000" w:themeColor="text1"/>
          <w:szCs w:val="24"/>
        </w:rPr>
        <w:t>*</w:t>
      </w:r>
      <w:r w:rsidRPr="00E6214C" w:rsidR="005504F6">
        <w:rPr>
          <w:rFonts w:cs="Times New Roman"/>
          <w:color w:val="000000" w:themeColor="text1"/>
          <w:szCs w:val="24"/>
        </w:rPr>
        <w:t xml:space="preserve">National annual hourly wage rate for commercial fishermen from </w:t>
      </w:r>
      <w:r w:rsidRPr="00E6214C">
        <w:rPr>
          <w:rFonts w:cs="Times New Roman"/>
          <w:color w:val="000000" w:themeColor="text1"/>
          <w:szCs w:val="24"/>
        </w:rPr>
        <w:t xml:space="preserve">BLS’s </w:t>
      </w:r>
      <w:r w:rsidRPr="00E6214C">
        <w:rPr>
          <w:rFonts w:cs="Times New Roman"/>
          <w:i/>
          <w:color w:val="000000" w:themeColor="text1"/>
          <w:szCs w:val="24"/>
        </w:rPr>
        <w:t xml:space="preserve">Occupational Outlook Handbook </w:t>
      </w:r>
      <w:r w:rsidRPr="00E6214C">
        <w:rPr>
          <w:rFonts w:cs="Times New Roman"/>
          <w:color w:val="000000" w:themeColor="text1"/>
          <w:szCs w:val="24"/>
        </w:rPr>
        <w:t xml:space="preserve">- a good wage source. </w:t>
      </w:r>
      <w:hyperlink r:id="rId9">
        <w:r w:rsidRPr="00E6214C">
          <w:rPr>
            <w:rFonts w:cs="Times New Roman"/>
            <w:color w:val="000000" w:themeColor="text1"/>
            <w:szCs w:val="24"/>
            <w:u w:val="single" w:color="0563C1"/>
          </w:rPr>
          <w:t>https://www.bls.gov/bls/blswage.htm</w:t>
        </w:r>
      </w:hyperlink>
    </w:p>
    <w:p w:rsidRPr="00E6214C" w:rsidR="00E6214C" w:rsidP="00E6214C" w:rsidRDefault="00E6214C">
      <w:pPr>
        <w:spacing w:line="259" w:lineRule="auto"/>
        <w:ind w:hanging="43"/>
        <w:jc w:val="center"/>
        <w:rPr>
          <w:rFonts w:cs="Times New Roman"/>
          <w:color w:val="000000" w:themeColor="text1"/>
          <w:szCs w:val="24"/>
          <w:u w:val="single" w:color="0563C1"/>
        </w:rPr>
      </w:pPr>
      <w:r w:rsidRPr="00E6214C">
        <w:rPr>
          <w:rFonts w:cs="Times New Roman"/>
          <w:color w:val="000000" w:themeColor="text1"/>
          <w:szCs w:val="24"/>
        </w:rPr>
        <w:t xml:space="preserve">**National annual hourly wage rate for all occupations from BLS’s </w:t>
      </w:r>
      <w:r w:rsidRPr="00E6214C">
        <w:rPr>
          <w:rFonts w:cs="Times New Roman"/>
          <w:i/>
          <w:color w:val="000000" w:themeColor="text1"/>
          <w:szCs w:val="24"/>
        </w:rPr>
        <w:t xml:space="preserve">Occupational Outlook Handbook </w:t>
      </w:r>
      <w:r w:rsidRPr="00E6214C">
        <w:rPr>
          <w:rFonts w:cs="Times New Roman"/>
          <w:color w:val="000000" w:themeColor="text1"/>
          <w:szCs w:val="24"/>
        </w:rPr>
        <w:t xml:space="preserve">- a good wage source. </w:t>
      </w:r>
      <w:hyperlink r:id="rId10">
        <w:r w:rsidRPr="00E6214C">
          <w:rPr>
            <w:rFonts w:cs="Times New Roman"/>
            <w:color w:val="000000" w:themeColor="text1"/>
            <w:szCs w:val="24"/>
            <w:u w:val="single" w:color="0563C1"/>
          </w:rPr>
          <w:t>https://www.bls.gov/bls/blswage.htm</w:t>
        </w:r>
      </w:hyperlink>
    </w:p>
    <w:p w:rsidR="00E6214C" w:rsidP="00BD7237" w:rsidRDefault="00E6214C">
      <w:pPr>
        <w:spacing w:line="259" w:lineRule="auto"/>
        <w:ind w:hanging="43"/>
        <w:jc w:val="center"/>
        <w:rPr>
          <w:rFonts w:cs="Times New Roman"/>
          <w:b/>
          <w:color w:val="000000" w:themeColor="text1"/>
          <w:szCs w:val="24"/>
          <w:u w:val="single" w:color="0563C1"/>
        </w:rPr>
      </w:pPr>
    </w:p>
    <w:p w:rsidRPr="005504F6" w:rsidR="00E6214C" w:rsidP="00BD7237" w:rsidRDefault="00E6214C">
      <w:pPr>
        <w:spacing w:line="259" w:lineRule="auto"/>
        <w:ind w:hanging="43"/>
        <w:jc w:val="center"/>
        <w:rPr>
          <w:rFonts w:cs="Times New Roman"/>
          <w:b/>
          <w:color w:val="000000" w:themeColor="text1"/>
          <w:szCs w:val="24"/>
        </w:rPr>
      </w:pPr>
    </w:p>
    <w:p w:rsidRPr="00BD7237" w:rsidR="008E61C9" w:rsidP="00BD7237" w:rsidRDefault="008E61C9">
      <w:pPr>
        <w:spacing w:line="259" w:lineRule="auto"/>
        <w:jc w:val="center"/>
        <w:rPr>
          <w:rFonts w:cs="Times New Roman"/>
          <w:szCs w:val="24"/>
        </w:rPr>
        <w:sectPr w:rsidRPr="00BD7237" w:rsidR="008E61C9" w:rsidSect="009A77DE">
          <w:footerReference w:type="default" r:id="rId11"/>
          <w:pgSz w:w="12240" w:h="15840"/>
          <w:pgMar w:top="1200" w:right="1080" w:bottom="640" w:left="1080" w:header="0" w:footer="1014" w:gutter="0"/>
          <w:cols w:space="720"/>
          <w:docGrid w:linePitch="326"/>
        </w:sectPr>
      </w:pPr>
    </w:p>
    <w:p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lastRenderedPageBreak/>
        <w:t>Provide an estimate for the total annual cost burden to respondents or record keepers resulting from the collection of information. (Do not include the cost of any hour burden already reflected on the burden worksheet).</w:t>
      </w:r>
    </w:p>
    <w:p w:rsidR="002557E0" w:rsidP="002557E0" w:rsidRDefault="002557E0">
      <w:pPr>
        <w:tabs>
          <w:tab w:val="left" w:pos="360"/>
        </w:tabs>
        <w:spacing w:before="80"/>
        <w:rPr>
          <w:rFonts w:cs="Times New Roman"/>
          <w:b/>
          <w:szCs w:val="24"/>
        </w:rPr>
      </w:pPr>
    </w:p>
    <w:p w:rsidRPr="002557E0" w:rsidR="002557E0" w:rsidP="002557E0" w:rsidRDefault="002557E0">
      <w:pPr>
        <w:tabs>
          <w:tab w:val="left" w:pos="360"/>
        </w:tabs>
        <w:spacing w:before="80"/>
        <w:rPr>
          <w:rFonts w:cs="Times New Roman"/>
          <w:szCs w:val="24"/>
        </w:rPr>
      </w:pPr>
      <w:r w:rsidRPr="002557E0">
        <w:rPr>
          <w:rFonts w:cs="Times New Roman"/>
          <w:szCs w:val="24"/>
        </w:rPr>
        <w:t>There are no expected costs to respondents to complete the postage-paid reporting form.</w:t>
      </w:r>
      <w:r>
        <w:rPr>
          <w:rFonts w:cs="Times New Roman"/>
          <w:szCs w:val="24"/>
        </w:rPr>
        <w:t xml:space="preserve"> Respondents print the fillable pdf and mail the form postage paid to NOAA. Respondents can also email the completed form or complete the form online. Respondents are not required to keep a record of the form. The original is provided to NOAA.</w:t>
      </w:r>
    </w:p>
    <w:p w:rsidRPr="00BD7237" w:rsidR="008E61C9" w:rsidP="00BD7237" w:rsidRDefault="008E61C9">
      <w:pPr>
        <w:pStyle w:val="BodyText"/>
        <w:spacing w:before="7"/>
        <w:ind w:left="0"/>
        <w:rPr>
          <w:rFonts w:cs="Times New Roman"/>
          <w:b/>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4699B" w:rsidR="00C4699B" w:rsidP="00BD7237" w:rsidRDefault="00C4699B">
      <w:pPr>
        <w:pStyle w:val="BodyText"/>
        <w:ind w:left="0"/>
        <w:rPr>
          <w:rFonts w:cs="Times New Roman"/>
          <w:color w:val="000000" w:themeColor="text1"/>
        </w:rPr>
      </w:pPr>
      <w:r w:rsidRPr="00C4699B">
        <w:rPr>
          <w:rFonts w:cs="Times New Roman"/>
          <w:color w:val="000000" w:themeColor="text1"/>
        </w:rPr>
        <w:t xml:space="preserve">Estimated costs to the Federal government include federal employee time to collect form and collate responses and paid postage for the forms. </w:t>
      </w:r>
      <w:r w:rsidR="007361C7">
        <w:rPr>
          <w:rFonts w:cs="Times New Roman"/>
          <w:color w:val="000000" w:themeColor="text1"/>
        </w:rPr>
        <w:t>Estimating more than half the forms</w:t>
      </w:r>
      <w:r w:rsidRPr="00C4699B">
        <w:rPr>
          <w:rFonts w:cs="Times New Roman"/>
          <w:color w:val="000000" w:themeColor="text1"/>
        </w:rPr>
        <w:t xml:space="preserve"> are emailed or completed online, therefore, estimates below for postage are for 100 mailed forms</w:t>
      </w:r>
      <w:r w:rsidR="00BF1B4D">
        <w:rPr>
          <w:rFonts w:cs="Times New Roman"/>
          <w:color w:val="000000" w:themeColor="text1"/>
        </w:rPr>
        <w:t xml:space="preserve"> (under other costs)</w:t>
      </w:r>
      <w:r w:rsidRPr="00C4699B">
        <w:rPr>
          <w:rFonts w:cs="Times New Roman"/>
          <w:color w:val="000000" w:themeColor="text1"/>
        </w:rPr>
        <w:t>.</w:t>
      </w:r>
    </w:p>
    <w:p w:rsidR="008E61C9" w:rsidP="00BD7237" w:rsidRDefault="008E61C9">
      <w:pPr>
        <w:pStyle w:val="BodyText"/>
        <w:spacing w:before="9" w:after="1"/>
        <w:ind w:left="0"/>
        <w:rPr>
          <w:rFonts w:cs="Times New Roman"/>
          <w:b/>
        </w:rPr>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DF0CE3" w:rsidR="00DF0CE3" w:rsidTr="00DF0CE3">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Cost to Government</w:t>
            </w:r>
          </w:p>
        </w:tc>
      </w:tr>
      <w:tr w:rsidRPr="00DF0CE3" w:rsidR="00DF0CE3" w:rsidTr="00DF0CE3">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BF1B4D">
              <w:rPr>
                <w:rFonts w:ascii="Calibri" w:hAnsi="Calibri" w:eastAsia="Times New Roman" w:cs="Calibri"/>
                <w:color w:val="000000"/>
                <w:sz w:val="16"/>
                <w:szCs w:val="16"/>
              </w:rPr>
              <w:t>ZP3</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BF1B4D">
              <w:rPr>
                <w:rFonts w:ascii="Calibri" w:hAnsi="Calibri" w:eastAsia="Times New Roman" w:cs="Calibri"/>
                <w:color w:val="000000"/>
                <w:sz w:val="16"/>
                <w:szCs w:val="16"/>
              </w:rPr>
              <w:t>$112,000</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BF1B4D">
              <w:rPr>
                <w:rFonts w:ascii="Calibri" w:hAnsi="Calibri" w:eastAsia="Times New Roman" w:cs="Calibri"/>
                <w:color w:val="000000"/>
                <w:sz w:val="16"/>
                <w:szCs w:val="16"/>
              </w:rPr>
              <w:t>10%</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BF1B4D">
              <w:rPr>
                <w:rFonts w:ascii="Calibri" w:hAnsi="Calibri" w:eastAsia="Times New Roman" w:cs="Calibri"/>
                <w:color w:val="000000"/>
                <w:sz w:val="16"/>
                <w:szCs w:val="16"/>
              </w:rPr>
              <w:t>$11,200</w:t>
            </w:r>
          </w:p>
        </w:tc>
      </w:tr>
      <w:tr w:rsidRPr="00DF0CE3"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r>
      <w:tr w:rsidRPr="00DF0CE3"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r>
      <w:tr w:rsidRPr="00DF0CE3"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r>
      <w:tr w:rsidRPr="00DF0CE3" w:rsidR="00DF0CE3" w:rsidTr="00DF0CE3">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BF1B4D">
              <w:rPr>
                <w:rFonts w:ascii="Calibri" w:hAnsi="Calibri" w:eastAsia="Times New Roman" w:cs="Calibri"/>
                <w:color w:val="000000"/>
                <w:sz w:val="16"/>
                <w:szCs w:val="16"/>
              </w:rPr>
              <w:t>0</w:t>
            </w:r>
          </w:p>
        </w:tc>
      </w:tr>
      <w:tr w:rsidRPr="00DF0CE3"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r>
      <w:tr w:rsidRPr="00DF0CE3"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r>
      <w:tr w:rsidRPr="00DF0CE3"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BF1B4D">
              <w:rPr>
                <w:rFonts w:ascii="Calibri" w:hAnsi="Calibri" w:eastAsia="Times New Roman" w:cs="Calibri"/>
                <w:color w:val="000000"/>
                <w:sz w:val="16"/>
                <w:szCs w:val="16"/>
              </w:rPr>
              <w:t>0</w:t>
            </w:r>
          </w:p>
        </w:tc>
      </w:tr>
      <w:tr w:rsidRPr="00DF0CE3" w:rsidR="00DF0CE3" w:rsidTr="00DF0CE3">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BF1B4D">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$55</w:t>
            </w:r>
          </w:p>
        </w:tc>
      </w:tr>
      <w:tr w:rsidRPr="00DF0CE3" w:rsidR="00DF0CE3" w:rsidTr="001477A3">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BF1B4D">
              <w:rPr>
                <w:rFonts w:ascii="Calibri" w:hAnsi="Calibri" w:eastAsia="Times New Roman" w:cs="Calibri"/>
                <w:color w:val="000000"/>
                <w:sz w:val="16"/>
                <w:szCs w:val="16"/>
              </w:rPr>
              <w:t>$11,255</w:t>
            </w:r>
          </w:p>
        </w:tc>
      </w:tr>
    </w:tbl>
    <w:p w:rsidRPr="00BD7237" w:rsidR="00DF0CE3" w:rsidP="00BD7237" w:rsidRDefault="00DF0CE3">
      <w:pPr>
        <w:pStyle w:val="BodyText"/>
        <w:spacing w:before="9" w:after="1"/>
        <w:ind w:left="0"/>
        <w:rPr>
          <w:rFonts w:cs="Times New Roman"/>
          <w:b/>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the reasons for any program changes or adjustments reported in ROCIS.</w:t>
      </w:r>
    </w:p>
    <w:p w:rsidR="00150196" w:rsidP="00BD7237" w:rsidRDefault="00150196">
      <w:pPr>
        <w:pStyle w:val="BodyText"/>
        <w:spacing w:before="159"/>
        <w:ind w:left="0"/>
        <w:rPr>
          <w:rFonts w:cs="Times New Roman"/>
          <w:color w:val="000000" w:themeColor="text1"/>
        </w:rPr>
      </w:pPr>
      <w:r>
        <w:rPr>
          <w:rFonts w:cs="Times New Roman"/>
          <w:color w:val="000000" w:themeColor="text1"/>
        </w:rPr>
        <w:t xml:space="preserve">Changes to the </w:t>
      </w:r>
      <w:r w:rsidR="007361C7">
        <w:rPr>
          <w:rFonts w:cs="Times New Roman"/>
          <w:color w:val="000000" w:themeColor="text1"/>
        </w:rPr>
        <w:t xml:space="preserve">existing </w:t>
      </w:r>
      <w:r>
        <w:rPr>
          <w:rFonts w:cs="Times New Roman"/>
          <w:color w:val="000000" w:themeColor="text1"/>
        </w:rPr>
        <w:t>form include the addition of four fields requesting information on the use of deterrents on marine mammals. This change is due to upcoming proposed rule 0648-BG55. The four fields are: 1) deterrent used, 2) number of attempts, 3) type of deterrent used and species targeted and 4) visual scan conducted.</w:t>
      </w:r>
    </w:p>
    <w:p w:rsidRPr="00150196" w:rsidR="00150196" w:rsidP="00BD7237" w:rsidRDefault="00150196">
      <w:pPr>
        <w:pStyle w:val="BodyText"/>
        <w:spacing w:before="159"/>
        <w:ind w:left="0"/>
        <w:rPr>
          <w:rFonts w:cs="Times New Roman"/>
          <w:color w:val="000000" w:themeColor="text1"/>
        </w:rPr>
      </w:pPr>
      <w:r w:rsidRPr="00150196">
        <w:rPr>
          <w:rFonts w:cs="Times New Roman"/>
          <w:color w:val="000000" w:themeColor="text1"/>
        </w:rPr>
        <w:t>Estimated costs for printing and postage were updated from 2019 based on actual agency practice. Prior costs estimates included printing 30,000 copies of the form and paying postage for all 30,000 forms. NOAA is not printing hard copies of the form and mailing them to all commercial fishermen anymore. Fishermen obtain the form from the NOAA Fisheries website. In addition, the postage rate changed from 2019 to 2020 and that is reflected here.</w:t>
      </w:r>
      <w:r>
        <w:rPr>
          <w:rFonts w:cs="Times New Roman"/>
          <w:color w:val="000000" w:themeColor="text1"/>
        </w:rPr>
        <w:t xml:space="preserve"> In addition, this 2020 renewal is the first time federal government labor costs estimates were provided for the information collection.</w:t>
      </w:r>
    </w:p>
    <w:p w:rsidR="008E61C9" w:rsidP="00BD7237" w:rsidRDefault="008E61C9">
      <w:pPr>
        <w:pStyle w:val="BodyText"/>
        <w:spacing w:before="7"/>
        <w:ind w:left="0"/>
        <w:rPr>
          <w:rFonts w:cs="Times New Roman"/>
          <w:b/>
        </w:rPr>
      </w:pPr>
    </w:p>
    <w:tbl>
      <w:tblPr>
        <w:tblW w:w="9590" w:type="dxa"/>
        <w:tblLook w:val="04A0" w:firstRow="1" w:lastRow="0" w:firstColumn="1" w:lastColumn="0" w:noHBand="0" w:noVBand="1"/>
      </w:tblPr>
      <w:tblGrid>
        <w:gridCol w:w="1792"/>
        <w:gridCol w:w="1034"/>
        <w:gridCol w:w="1022"/>
        <w:gridCol w:w="1020"/>
        <w:gridCol w:w="1021"/>
        <w:gridCol w:w="1020"/>
        <w:gridCol w:w="1021"/>
        <w:gridCol w:w="1660"/>
      </w:tblGrid>
      <w:tr w:rsidRPr="00243CD0" w:rsidR="00243CD0" w:rsidTr="00243CD0">
        <w:trPr>
          <w:trHeight w:val="356"/>
        </w:trPr>
        <w:tc>
          <w:tcPr>
            <w:tcW w:w="1792"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sidRPr="00243CD0">
              <w:rPr>
                <w:rFonts w:ascii="Calibri" w:hAnsi="Calibri" w:eastAsia="Times New Roman" w:cs="Calibri"/>
                <w:b/>
                <w:bCs/>
                <w:color w:val="000000"/>
                <w:sz w:val="16"/>
                <w:szCs w:val="16"/>
              </w:rPr>
              <w:t>Information Collection</w:t>
            </w:r>
          </w:p>
        </w:tc>
        <w:tc>
          <w:tcPr>
            <w:tcW w:w="2056" w:type="dxa"/>
            <w:gridSpan w:val="2"/>
            <w:tcBorders>
              <w:top w:val="single" w:color="auto" w:sz="8" w:space="0"/>
              <w:left w:val="nil"/>
              <w:bottom w:val="single" w:color="auto" w:sz="8" w:space="0"/>
              <w:right w:val="single" w:color="000000" w:sz="8" w:space="0"/>
            </w:tcBorders>
            <w:shd w:val="clear" w:color="000000" w:fill="5B9BD5"/>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sidRPr="00243CD0">
              <w:rPr>
                <w:rFonts w:ascii="Calibri" w:hAnsi="Calibri" w:eastAsia="Times New Roman" w:cs="Calibri"/>
                <w:b/>
                <w:bCs/>
                <w:color w:val="000000"/>
                <w:sz w:val="16"/>
                <w:szCs w:val="16"/>
              </w:rPr>
              <w:t>Respondents</w:t>
            </w:r>
          </w:p>
        </w:tc>
        <w:tc>
          <w:tcPr>
            <w:tcW w:w="2041" w:type="dxa"/>
            <w:gridSpan w:val="2"/>
            <w:tcBorders>
              <w:top w:val="single" w:color="auto" w:sz="8" w:space="0"/>
              <w:left w:val="nil"/>
              <w:bottom w:val="single" w:color="auto" w:sz="8" w:space="0"/>
              <w:right w:val="single" w:color="000000" w:sz="8" w:space="0"/>
            </w:tcBorders>
            <w:shd w:val="clear" w:color="000000" w:fill="5B9BD5"/>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sidRPr="00243CD0">
              <w:rPr>
                <w:rFonts w:ascii="Calibri" w:hAnsi="Calibri" w:eastAsia="Times New Roman" w:cs="Calibri"/>
                <w:b/>
                <w:bCs/>
                <w:color w:val="000000"/>
                <w:sz w:val="16"/>
                <w:szCs w:val="16"/>
              </w:rPr>
              <w:t>Responses</w:t>
            </w:r>
          </w:p>
        </w:tc>
        <w:tc>
          <w:tcPr>
            <w:tcW w:w="2041" w:type="dxa"/>
            <w:gridSpan w:val="2"/>
            <w:tcBorders>
              <w:top w:val="single" w:color="auto" w:sz="8" w:space="0"/>
              <w:left w:val="nil"/>
              <w:bottom w:val="single" w:color="auto" w:sz="8" w:space="0"/>
              <w:right w:val="single" w:color="000000" w:sz="8" w:space="0"/>
            </w:tcBorders>
            <w:shd w:val="clear" w:color="000000" w:fill="5B9BD5"/>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sidRPr="00243CD0">
              <w:rPr>
                <w:rFonts w:ascii="Calibri" w:hAnsi="Calibri" w:eastAsia="Times New Roman" w:cs="Calibri"/>
                <w:b/>
                <w:bCs/>
                <w:color w:val="000000"/>
                <w:sz w:val="16"/>
                <w:szCs w:val="16"/>
              </w:rPr>
              <w:t>Burden Hours</w:t>
            </w:r>
          </w:p>
        </w:tc>
        <w:tc>
          <w:tcPr>
            <w:tcW w:w="166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sidRPr="00243CD0">
              <w:rPr>
                <w:rFonts w:ascii="Calibri" w:hAnsi="Calibri" w:eastAsia="Times New Roman" w:cs="Calibri"/>
                <w:b/>
                <w:bCs/>
                <w:color w:val="000000"/>
                <w:sz w:val="16"/>
                <w:szCs w:val="16"/>
              </w:rPr>
              <w:t>Reason for change or adjustment</w:t>
            </w:r>
          </w:p>
        </w:tc>
      </w:tr>
      <w:tr w:rsidRPr="00243CD0" w:rsidR="00243CD0" w:rsidTr="00243CD0">
        <w:trPr>
          <w:trHeight w:val="761"/>
        </w:trPr>
        <w:tc>
          <w:tcPr>
            <w:tcW w:w="1792" w:type="dxa"/>
            <w:vMerge/>
            <w:tcBorders>
              <w:top w:val="single" w:color="auto" w:sz="8" w:space="0"/>
              <w:left w:val="single" w:color="auto" w:sz="8" w:space="0"/>
              <w:bottom w:val="single" w:color="000000" w:sz="8" w:space="0"/>
              <w:right w:val="single" w:color="auto" w:sz="8" w:space="0"/>
            </w:tcBorders>
            <w:vAlign w:val="center"/>
            <w:hideMark/>
          </w:tcPr>
          <w:p w:rsidRPr="00243CD0" w:rsidR="00243CD0" w:rsidP="00243CD0" w:rsidRDefault="00243CD0">
            <w:pPr>
              <w:widowControl/>
              <w:autoSpaceDE/>
              <w:autoSpaceDN/>
              <w:rPr>
                <w:rFonts w:ascii="Calibri" w:hAnsi="Calibri" w:eastAsia="Times New Roman" w:cs="Calibri"/>
                <w:b/>
                <w:bCs/>
                <w:color w:val="000000"/>
                <w:sz w:val="16"/>
                <w:szCs w:val="16"/>
              </w:rPr>
            </w:pPr>
          </w:p>
        </w:tc>
        <w:tc>
          <w:tcPr>
            <w:tcW w:w="1034" w:type="dxa"/>
            <w:tcBorders>
              <w:top w:val="nil"/>
              <w:left w:val="nil"/>
              <w:bottom w:val="single" w:color="auto" w:sz="8" w:space="0"/>
              <w:right w:val="dashed" w:color="auto" w:sz="8" w:space="0"/>
            </w:tcBorders>
            <w:shd w:val="clear" w:color="000000" w:fill="FBE4D5"/>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sidRPr="00243CD0">
              <w:rPr>
                <w:rFonts w:ascii="Calibri" w:hAnsi="Calibri" w:eastAsia="Times New Roman" w:cs="Calibri"/>
                <w:color w:val="000000"/>
                <w:sz w:val="16"/>
                <w:szCs w:val="16"/>
              </w:rPr>
              <w:t>Current Renewal / Revision</w:t>
            </w:r>
          </w:p>
        </w:tc>
        <w:tc>
          <w:tcPr>
            <w:tcW w:w="1022" w:type="dxa"/>
            <w:tcBorders>
              <w:top w:val="nil"/>
              <w:left w:val="nil"/>
              <w:bottom w:val="single" w:color="auto" w:sz="8" w:space="0"/>
              <w:right w:val="single" w:color="auto" w:sz="8" w:space="0"/>
            </w:tcBorders>
            <w:shd w:val="clear" w:color="000000" w:fill="FBE4D5"/>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sidRPr="00243CD0">
              <w:rPr>
                <w:rFonts w:ascii="Calibri" w:hAnsi="Calibri" w:eastAsia="Times New Roman" w:cs="Calibri"/>
                <w:color w:val="000000"/>
                <w:sz w:val="16"/>
                <w:szCs w:val="16"/>
              </w:rPr>
              <w:t>Previous Renewal / Revision</w:t>
            </w:r>
          </w:p>
        </w:tc>
        <w:tc>
          <w:tcPr>
            <w:tcW w:w="1020" w:type="dxa"/>
            <w:tcBorders>
              <w:top w:val="nil"/>
              <w:left w:val="nil"/>
              <w:bottom w:val="single" w:color="auto" w:sz="8" w:space="0"/>
              <w:right w:val="dashed" w:color="auto" w:sz="8" w:space="0"/>
            </w:tcBorders>
            <w:shd w:val="clear" w:color="000000" w:fill="FBE4D5"/>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sidRPr="00243CD0">
              <w:rPr>
                <w:rFonts w:ascii="Calibri" w:hAnsi="Calibri" w:eastAsia="Times New Roman" w:cs="Calibri"/>
                <w:color w:val="000000"/>
                <w:sz w:val="16"/>
                <w:szCs w:val="16"/>
              </w:rPr>
              <w:t>Current Renewal / Revision</w:t>
            </w:r>
          </w:p>
        </w:tc>
        <w:tc>
          <w:tcPr>
            <w:tcW w:w="1021" w:type="dxa"/>
            <w:tcBorders>
              <w:top w:val="nil"/>
              <w:left w:val="nil"/>
              <w:bottom w:val="single" w:color="auto" w:sz="8" w:space="0"/>
              <w:right w:val="single" w:color="auto" w:sz="8" w:space="0"/>
            </w:tcBorders>
            <w:shd w:val="clear" w:color="000000" w:fill="FBE4D5"/>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sidRPr="00243CD0">
              <w:rPr>
                <w:rFonts w:ascii="Calibri" w:hAnsi="Calibri" w:eastAsia="Times New Roman" w:cs="Calibri"/>
                <w:color w:val="000000"/>
                <w:sz w:val="16"/>
                <w:szCs w:val="16"/>
              </w:rPr>
              <w:t>Previous Renewal / Revision</w:t>
            </w:r>
          </w:p>
        </w:tc>
        <w:tc>
          <w:tcPr>
            <w:tcW w:w="1020" w:type="dxa"/>
            <w:tcBorders>
              <w:top w:val="nil"/>
              <w:left w:val="nil"/>
              <w:bottom w:val="single" w:color="auto" w:sz="8" w:space="0"/>
              <w:right w:val="dashed" w:color="auto" w:sz="8" w:space="0"/>
            </w:tcBorders>
            <w:shd w:val="clear" w:color="000000" w:fill="FBE4D5"/>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sidRPr="00243CD0">
              <w:rPr>
                <w:rFonts w:ascii="Calibri" w:hAnsi="Calibri" w:eastAsia="Times New Roman" w:cs="Calibri"/>
                <w:color w:val="000000"/>
                <w:sz w:val="16"/>
                <w:szCs w:val="16"/>
              </w:rPr>
              <w:t>Current Renewal / Revision</w:t>
            </w:r>
          </w:p>
        </w:tc>
        <w:tc>
          <w:tcPr>
            <w:tcW w:w="1021" w:type="dxa"/>
            <w:tcBorders>
              <w:top w:val="nil"/>
              <w:left w:val="nil"/>
              <w:bottom w:val="single" w:color="auto" w:sz="8" w:space="0"/>
              <w:right w:val="single" w:color="auto" w:sz="8" w:space="0"/>
            </w:tcBorders>
            <w:shd w:val="clear" w:color="000000" w:fill="FBE4D5"/>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sidRPr="00243CD0">
              <w:rPr>
                <w:rFonts w:ascii="Calibri" w:hAnsi="Calibri" w:eastAsia="Times New Roman" w:cs="Calibri"/>
                <w:color w:val="000000"/>
                <w:sz w:val="16"/>
                <w:szCs w:val="16"/>
              </w:rPr>
              <w:t>Previous Renewal / Revision</w:t>
            </w:r>
          </w:p>
        </w:tc>
        <w:tc>
          <w:tcPr>
            <w:tcW w:w="1660" w:type="dxa"/>
            <w:vMerge/>
            <w:tcBorders>
              <w:top w:val="single" w:color="auto" w:sz="8" w:space="0"/>
              <w:left w:val="single" w:color="auto" w:sz="8" w:space="0"/>
              <w:bottom w:val="single" w:color="000000" w:sz="8" w:space="0"/>
              <w:right w:val="single" w:color="auto" w:sz="8" w:space="0"/>
            </w:tcBorders>
            <w:vAlign w:val="center"/>
            <w:hideMark/>
          </w:tcPr>
          <w:p w:rsidRPr="00243CD0" w:rsidR="00243CD0" w:rsidP="00243CD0" w:rsidRDefault="00243CD0">
            <w:pPr>
              <w:widowControl/>
              <w:autoSpaceDE/>
              <w:autoSpaceDN/>
              <w:rPr>
                <w:rFonts w:ascii="Calibri" w:hAnsi="Calibri" w:eastAsia="Times New Roman" w:cs="Calibri"/>
                <w:b/>
                <w:bCs/>
                <w:color w:val="000000"/>
                <w:sz w:val="16"/>
                <w:szCs w:val="16"/>
              </w:rPr>
            </w:pPr>
          </w:p>
        </w:tc>
      </w:tr>
      <w:tr w:rsidRPr="00243CD0" w:rsidR="00243CD0" w:rsidTr="00243CD0">
        <w:trPr>
          <w:trHeight w:val="356"/>
        </w:trPr>
        <w:tc>
          <w:tcPr>
            <w:tcW w:w="1792" w:type="dxa"/>
            <w:tcBorders>
              <w:top w:val="nil"/>
              <w:left w:val="single" w:color="auto" w:sz="8" w:space="0"/>
              <w:bottom w:val="single" w:color="auto" w:sz="8" w:space="0"/>
              <w:right w:val="single" w:color="auto" w:sz="8" w:space="0"/>
            </w:tcBorders>
            <w:shd w:val="clear" w:color="auto" w:fill="auto"/>
            <w:vAlign w:val="center"/>
            <w:hideMark/>
          </w:tcPr>
          <w:p w:rsidRPr="00243CD0" w:rsidR="00243CD0" w:rsidP="00243CD0" w:rsidRDefault="00243CD0">
            <w:pPr>
              <w:widowControl/>
              <w:autoSpaceDE/>
              <w:autoSpaceDN/>
              <w:rPr>
                <w:rFonts w:ascii="Calibri" w:hAnsi="Calibri" w:eastAsia="Times New Roman" w:cs="Calibri"/>
                <w:color w:val="000000"/>
                <w:sz w:val="16"/>
                <w:szCs w:val="16"/>
              </w:rPr>
            </w:pPr>
            <w:r w:rsidRPr="00243CD0">
              <w:rPr>
                <w:rFonts w:ascii="Calibri" w:hAnsi="Calibri" w:eastAsia="Times New Roman" w:cs="Calibri"/>
                <w:color w:val="000000"/>
                <w:sz w:val="16"/>
                <w:szCs w:val="16"/>
              </w:rPr>
              <w:t> </w:t>
            </w:r>
            <w:r w:rsidRPr="001D7575">
              <w:rPr>
                <w:rFonts w:ascii="Calibri" w:hAnsi="Calibri" w:eastAsia="Times New Roman" w:cs="Calibri"/>
                <w:color w:val="000000"/>
                <w:sz w:val="16"/>
                <w:szCs w:val="16"/>
              </w:rPr>
              <w:t>Reporting Marine Mammal Mortalities and Injuries While Using Deterrents Under Section 101 of the Marine Mammal Protection Act</w:t>
            </w:r>
          </w:p>
        </w:tc>
        <w:tc>
          <w:tcPr>
            <w:tcW w:w="1034" w:type="dxa"/>
            <w:tcBorders>
              <w:top w:val="nil"/>
              <w:left w:val="nil"/>
              <w:bottom w:val="dotted" w:color="auto" w:sz="4" w:space="0"/>
              <w:right w:val="dashed" w:color="auto" w:sz="8" w:space="0"/>
            </w:tcBorders>
            <w:shd w:val="clear" w:color="auto" w:fill="auto"/>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50</w:t>
            </w:r>
            <w:r w:rsidRPr="00243CD0">
              <w:rPr>
                <w:rFonts w:ascii="Calibri" w:hAnsi="Calibri" w:eastAsia="Times New Roman" w:cs="Calibri"/>
                <w:color w:val="000000"/>
                <w:sz w:val="16"/>
                <w:szCs w:val="16"/>
              </w:rPr>
              <w:t> </w:t>
            </w:r>
          </w:p>
        </w:tc>
        <w:tc>
          <w:tcPr>
            <w:tcW w:w="1022" w:type="dxa"/>
            <w:tcBorders>
              <w:top w:val="nil"/>
              <w:left w:val="nil"/>
              <w:bottom w:val="dotted" w:color="auto" w:sz="4" w:space="0"/>
              <w:right w:val="single" w:color="auto" w:sz="8" w:space="0"/>
            </w:tcBorders>
            <w:shd w:val="clear" w:color="auto" w:fill="auto"/>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NA</w:t>
            </w:r>
            <w:r w:rsidRPr="00243CD0">
              <w:rPr>
                <w:rFonts w:ascii="Calibri" w:hAnsi="Calibri" w:eastAsia="Times New Roman" w:cs="Calibri"/>
                <w:color w:val="000000"/>
                <w:sz w:val="16"/>
                <w:szCs w:val="16"/>
              </w:rPr>
              <w:t> </w:t>
            </w:r>
          </w:p>
        </w:tc>
        <w:tc>
          <w:tcPr>
            <w:tcW w:w="1020" w:type="dxa"/>
            <w:tcBorders>
              <w:top w:val="nil"/>
              <w:left w:val="nil"/>
              <w:bottom w:val="dotted" w:color="auto" w:sz="4" w:space="0"/>
              <w:right w:val="dashed" w:color="auto" w:sz="8" w:space="0"/>
            </w:tcBorders>
            <w:shd w:val="clear" w:color="auto" w:fill="auto"/>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50</w:t>
            </w:r>
          </w:p>
        </w:tc>
        <w:tc>
          <w:tcPr>
            <w:tcW w:w="1021" w:type="dxa"/>
            <w:tcBorders>
              <w:top w:val="nil"/>
              <w:left w:val="nil"/>
              <w:bottom w:val="dotted" w:color="auto" w:sz="4" w:space="0"/>
              <w:right w:val="single" w:color="auto" w:sz="8" w:space="0"/>
            </w:tcBorders>
            <w:shd w:val="clear" w:color="auto" w:fill="auto"/>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sidRPr="00243CD0">
              <w:rPr>
                <w:rFonts w:ascii="Calibri" w:hAnsi="Calibri" w:eastAsia="Times New Roman" w:cs="Calibri"/>
                <w:color w:val="000000"/>
                <w:sz w:val="16"/>
                <w:szCs w:val="16"/>
              </w:rPr>
              <w:t> </w:t>
            </w:r>
            <w:r>
              <w:rPr>
                <w:rFonts w:ascii="Calibri" w:hAnsi="Calibri" w:eastAsia="Times New Roman" w:cs="Calibri"/>
                <w:color w:val="000000"/>
                <w:sz w:val="16"/>
                <w:szCs w:val="16"/>
              </w:rPr>
              <w:t>NA</w:t>
            </w:r>
          </w:p>
        </w:tc>
        <w:tc>
          <w:tcPr>
            <w:tcW w:w="1020" w:type="dxa"/>
            <w:tcBorders>
              <w:top w:val="nil"/>
              <w:left w:val="nil"/>
              <w:bottom w:val="dotted" w:color="auto" w:sz="4" w:space="0"/>
              <w:right w:val="dashed" w:color="auto" w:sz="8" w:space="0"/>
            </w:tcBorders>
            <w:shd w:val="clear" w:color="auto" w:fill="auto"/>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12.5</w:t>
            </w:r>
          </w:p>
        </w:tc>
        <w:tc>
          <w:tcPr>
            <w:tcW w:w="1021" w:type="dxa"/>
            <w:tcBorders>
              <w:top w:val="nil"/>
              <w:left w:val="nil"/>
              <w:bottom w:val="dotted" w:color="auto" w:sz="4" w:space="0"/>
              <w:right w:val="single" w:color="auto" w:sz="8" w:space="0"/>
            </w:tcBorders>
            <w:shd w:val="clear" w:color="auto" w:fill="auto"/>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NA</w:t>
            </w:r>
            <w:r w:rsidRPr="00243CD0">
              <w:rPr>
                <w:rFonts w:ascii="Calibri" w:hAnsi="Calibri" w:eastAsia="Times New Roman" w:cs="Calibri"/>
                <w:color w:val="000000"/>
                <w:sz w:val="16"/>
                <w:szCs w:val="16"/>
              </w:rPr>
              <w:t> </w:t>
            </w:r>
          </w:p>
        </w:tc>
        <w:tc>
          <w:tcPr>
            <w:tcW w:w="1660" w:type="dxa"/>
            <w:tcBorders>
              <w:top w:val="nil"/>
              <w:left w:val="nil"/>
              <w:bottom w:val="dotted" w:color="auto" w:sz="4" w:space="0"/>
              <w:right w:val="single" w:color="auto" w:sz="8" w:space="0"/>
            </w:tcBorders>
            <w:shd w:val="clear" w:color="auto" w:fill="auto"/>
            <w:vAlign w:val="center"/>
            <w:hideMark/>
          </w:tcPr>
          <w:p w:rsidRPr="00243CD0" w:rsidR="00243CD0" w:rsidP="00243CD0" w:rsidRDefault="00243CD0">
            <w:pPr>
              <w:widowControl/>
              <w:autoSpaceDE/>
              <w:autoSpaceDN/>
              <w:rPr>
                <w:rFonts w:ascii="Calibri" w:hAnsi="Calibri" w:eastAsia="Times New Roman" w:cs="Calibri"/>
                <w:color w:val="000000"/>
                <w:sz w:val="16"/>
                <w:szCs w:val="16"/>
              </w:rPr>
            </w:pPr>
            <w:r w:rsidRPr="00243CD0">
              <w:rPr>
                <w:rFonts w:ascii="Calibri" w:hAnsi="Calibri" w:eastAsia="Times New Roman" w:cs="Calibri"/>
                <w:color w:val="000000"/>
                <w:sz w:val="16"/>
                <w:szCs w:val="16"/>
              </w:rPr>
              <w:t> </w:t>
            </w:r>
            <w:r>
              <w:rPr>
                <w:rFonts w:ascii="Calibri" w:hAnsi="Calibri" w:eastAsia="Times New Roman" w:cs="Calibri"/>
                <w:color w:val="000000"/>
                <w:sz w:val="16"/>
                <w:szCs w:val="16"/>
              </w:rPr>
              <w:t>New collection added pursuant to proposed rule 0648-BG55</w:t>
            </w:r>
          </w:p>
        </w:tc>
      </w:tr>
      <w:tr w:rsidRPr="00243CD0" w:rsidR="00243CD0" w:rsidTr="00243CD0">
        <w:trPr>
          <w:trHeight w:val="553"/>
        </w:trPr>
        <w:tc>
          <w:tcPr>
            <w:tcW w:w="1792" w:type="dxa"/>
            <w:tcBorders>
              <w:top w:val="nil"/>
              <w:left w:val="single" w:color="auto" w:sz="8" w:space="0"/>
              <w:bottom w:val="nil"/>
              <w:right w:val="single" w:color="auto" w:sz="8" w:space="0"/>
            </w:tcBorders>
            <w:shd w:val="clear" w:color="000000" w:fill="BDD6EE"/>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sidRPr="00243CD0">
              <w:rPr>
                <w:rFonts w:ascii="Calibri" w:hAnsi="Calibri" w:eastAsia="Times New Roman" w:cs="Calibri"/>
                <w:b/>
                <w:bCs/>
                <w:color w:val="000000"/>
                <w:sz w:val="16"/>
                <w:szCs w:val="16"/>
              </w:rPr>
              <w:t>Total for Collection</w:t>
            </w:r>
          </w:p>
        </w:tc>
        <w:tc>
          <w:tcPr>
            <w:tcW w:w="1034" w:type="dxa"/>
            <w:tcBorders>
              <w:top w:val="nil"/>
              <w:left w:val="nil"/>
              <w:bottom w:val="nil"/>
              <w:right w:val="dashed" w:color="auto" w:sz="8" w:space="0"/>
            </w:tcBorders>
            <w:shd w:val="clear" w:color="000000" w:fill="BDD6EE"/>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sidRPr="00243CD0">
              <w:rPr>
                <w:rFonts w:ascii="Calibri" w:hAnsi="Calibri" w:eastAsia="Times New Roman" w:cs="Calibri"/>
                <w:b/>
                <w:bCs/>
                <w:color w:val="000000"/>
                <w:sz w:val="16"/>
                <w:szCs w:val="16"/>
              </w:rPr>
              <w:t> </w:t>
            </w:r>
            <w:r>
              <w:rPr>
                <w:rFonts w:ascii="Calibri" w:hAnsi="Calibri" w:eastAsia="Times New Roman" w:cs="Calibri"/>
                <w:b/>
                <w:bCs/>
                <w:color w:val="000000"/>
                <w:sz w:val="16"/>
                <w:szCs w:val="16"/>
              </w:rPr>
              <w:t>250</w:t>
            </w:r>
          </w:p>
        </w:tc>
        <w:tc>
          <w:tcPr>
            <w:tcW w:w="1021" w:type="dxa"/>
            <w:tcBorders>
              <w:top w:val="nil"/>
              <w:left w:val="nil"/>
              <w:bottom w:val="nil"/>
              <w:right w:val="single" w:color="auto" w:sz="8" w:space="0"/>
            </w:tcBorders>
            <w:shd w:val="clear" w:color="000000" w:fill="BDD6EE"/>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200</w:t>
            </w:r>
          </w:p>
        </w:tc>
        <w:tc>
          <w:tcPr>
            <w:tcW w:w="1020" w:type="dxa"/>
            <w:tcBorders>
              <w:top w:val="nil"/>
              <w:left w:val="nil"/>
              <w:bottom w:val="nil"/>
              <w:right w:val="dashed" w:color="auto" w:sz="8" w:space="0"/>
            </w:tcBorders>
            <w:shd w:val="clear" w:color="000000" w:fill="BDD6EE"/>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250</w:t>
            </w:r>
          </w:p>
        </w:tc>
        <w:tc>
          <w:tcPr>
            <w:tcW w:w="1021" w:type="dxa"/>
            <w:tcBorders>
              <w:top w:val="nil"/>
              <w:left w:val="nil"/>
              <w:bottom w:val="nil"/>
              <w:right w:val="single" w:color="auto" w:sz="8" w:space="0"/>
            </w:tcBorders>
            <w:shd w:val="clear" w:color="000000" w:fill="BDD6EE"/>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200</w:t>
            </w:r>
          </w:p>
        </w:tc>
        <w:tc>
          <w:tcPr>
            <w:tcW w:w="1020" w:type="dxa"/>
            <w:tcBorders>
              <w:top w:val="nil"/>
              <w:left w:val="nil"/>
              <w:bottom w:val="nil"/>
              <w:right w:val="dashed" w:color="auto" w:sz="8" w:space="0"/>
            </w:tcBorders>
            <w:shd w:val="clear" w:color="000000" w:fill="BDD6EE"/>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62.5</w:t>
            </w:r>
            <w:r w:rsidRPr="00243CD0">
              <w:rPr>
                <w:rFonts w:ascii="Calibri" w:hAnsi="Calibri" w:eastAsia="Times New Roman" w:cs="Calibri"/>
                <w:b/>
                <w:bCs/>
                <w:color w:val="000000"/>
                <w:sz w:val="16"/>
                <w:szCs w:val="16"/>
              </w:rPr>
              <w:t> </w:t>
            </w:r>
          </w:p>
        </w:tc>
        <w:tc>
          <w:tcPr>
            <w:tcW w:w="1021" w:type="dxa"/>
            <w:tcBorders>
              <w:top w:val="nil"/>
              <w:left w:val="nil"/>
              <w:bottom w:val="nil"/>
              <w:right w:val="single" w:color="auto" w:sz="8" w:space="0"/>
            </w:tcBorders>
            <w:shd w:val="clear" w:color="000000" w:fill="BDD6EE"/>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sidRPr="00243CD0">
              <w:rPr>
                <w:rFonts w:ascii="Calibri" w:hAnsi="Calibri" w:eastAsia="Times New Roman" w:cs="Calibri"/>
                <w:b/>
                <w:bCs/>
                <w:color w:val="000000"/>
                <w:sz w:val="16"/>
                <w:szCs w:val="16"/>
              </w:rPr>
              <w:t> </w:t>
            </w:r>
            <w:r>
              <w:rPr>
                <w:rFonts w:ascii="Calibri" w:hAnsi="Calibri" w:eastAsia="Times New Roman" w:cs="Calibri"/>
                <w:b/>
                <w:bCs/>
                <w:color w:val="000000"/>
                <w:sz w:val="16"/>
                <w:szCs w:val="16"/>
              </w:rPr>
              <w:t>50</w:t>
            </w:r>
          </w:p>
        </w:tc>
        <w:tc>
          <w:tcPr>
            <w:tcW w:w="1660" w:type="dxa"/>
            <w:tcBorders>
              <w:top w:val="nil"/>
              <w:left w:val="nil"/>
              <w:bottom w:val="nil"/>
              <w:right w:val="single" w:color="auto" w:sz="8" w:space="0"/>
            </w:tcBorders>
            <w:shd w:val="clear" w:color="000000" w:fill="000000"/>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sidRPr="00243CD0">
              <w:rPr>
                <w:rFonts w:ascii="Calibri" w:hAnsi="Calibri" w:eastAsia="Times New Roman" w:cs="Calibri"/>
                <w:b/>
                <w:bCs/>
                <w:color w:val="000000"/>
                <w:sz w:val="16"/>
                <w:szCs w:val="16"/>
              </w:rPr>
              <w:t> </w:t>
            </w:r>
          </w:p>
        </w:tc>
      </w:tr>
      <w:tr w:rsidRPr="00243CD0" w:rsidR="00243CD0" w:rsidTr="00243CD0">
        <w:trPr>
          <w:trHeight w:val="356"/>
        </w:trPr>
        <w:tc>
          <w:tcPr>
            <w:tcW w:w="1792" w:type="dxa"/>
            <w:tcBorders>
              <w:top w:val="single" w:color="auto" w:sz="8" w:space="0"/>
              <w:left w:val="single" w:color="auto" w:sz="8" w:space="0"/>
              <w:bottom w:val="single" w:color="auto" w:sz="8" w:space="0"/>
              <w:right w:val="nil"/>
            </w:tcBorders>
            <w:shd w:val="clear" w:color="000000" w:fill="FCE4D6"/>
            <w:noWrap/>
            <w:vAlign w:val="bottom"/>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sidRPr="00243CD0">
              <w:rPr>
                <w:rFonts w:ascii="Calibri" w:hAnsi="Calibri" w:eastAsia="Times New Roman" w:cs="Calibri"/>
                <w:b/>
                <w:bCs/>
                <w:color w:val="000000"/>
                <w:sz w:val="16"/>
                <w:szCs w:val="16"/>
              </w:rPr>
              <w:t>Difference</w:t>
            </w:r>
          </w:p>
        </w:tc>
        <w:tc>
          <w:tcPr>
            <w:tcW w:w="2056"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243CD0" w:rsidR="00243CD0" w:rsidP="00243CD0" w:rsidRDefault="00243CD0">
            <w:pPr>
              <w:widowControl/>
              <w:autoSpaceDE/>
              <w:autoSpaceDN/>
              <w:jc w:val="center"/>
              <w:rPr>
                <w:rFonts w:ascii="Calibri" w:hAnsi="Calibri" w:eastAsia="Times New Roman" w:cs="Calibri"/>
                <w:color w:val="000000"/>
                <w:sz w:val="22"/>
              </w:rPr>
            </w:pPr>
            <w:r>
              <w:rPr>
                <w:rFonts w:ascii="Calibri" w:hAnsi="Calibri" w:eastAsia="Times New Roman" w:cs="Calibri"/>
                <w:color w:val="000000"/>
                <w:sz w:val="22"/>
              </w:rPr>
              <w:t>+50</w:t>
            </w:r>
            <w:r w:rsidRPr="00243CD0">
              <w:rPr>
                <w:rFonts w:ascii="Calibri" w:hAnsi="Calibri" w:eastAsia="Times New Roman" w:cs="Calibri"/>
                <w:color w:val="000000"/>
                <w:sz w:val="22"/>
              </w:rPr>
              <w:t> </w:t>
            </w:r>
          </w:p>
        </w:tc>
        <w:tc>
          <w:tcPr>
            <w:tcW w:w="2041"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243CD0" w:rsidR="00243CD0" w:rsidP="00243CD0" w:rsidRDefault="00243CD0">
            <w:pPr>
              <w:widowControl/>
              <w:autoSpaceDE/>
              <w:autoSpaceDN/>
              <w:jc w:val="center"/>
              <w:rPr>
                <w:rFonts w:ascii="Calibri" w:hAnsi="Calibri" w:eastAsia="Times New Roman" w:cs="Calibri"/>
                <w:color w:val="000000"/>
                <w:sz w:val="22"/>
              </w:rPr>
            </w:pPr>
            <w:r w:rsidRPr="00243CD0">
              <w:rPr>
                <w:rFonts w:ascii="Calibri" w:hAnsi="Calibri" w:eastAsia="Times New Roman" w:cs="Calibri"/>
                <w:color w:val="000000"/>
                <w:sz w:val="22"/>
              </w:rPr>
              <w:t> </w:t>
            </w:r>
            <w:r>
              <w:rPr>
                <w:rFonts w:ascii="Calibri" w:hAnsi="Calibri" w:eastAsia="Times New Roman" w:cs="Calibri"/>
                <w:color w:val="000000"/>
                <w:sz w:val="22"/>
              </w:rPr>
              <w:t>+50</w:t>
            </w:r>
          </w:p>
        </w:tc>
        <w:tc>
          <w:tcPr>
            <w:tcW w:w="2041"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243CD0" w:rsidR="00243CD0" w:rsidP="00243CD0" w:rsidRDefault="00243CD0">
            <w:pPr>
              <w:widowControl/>
              <w:autoSpaceDE/>
              <w:autoSpaceDN/>
              <w:jc w:val="center"/>
              <w:rPr>
                <w:rFonts w:ascii="Calibri" w:hAnsi="Calibri" w:eastAsia="Times New Roman" w:cs="Calibri"/>
                <w:color w:val="000000"/>
                <w:sz w:val="22"/>
              </w:rPr>
            </w:pPr>
            <w:r>
              <w:rPr>
                <w:rFonts w:ascii="Calibri" w:hAnsi="Calibri" w:eastAsia="Times New Roman" w:cs="Calibri"/>
                <w:color w:val="000000"/>
                <w:sz w:val="22"/>
              </w:rPr>
              <w:t>+12.5</w:t>
            </w:r>
            <w:r w:rsidRPr="00243CD0">
              <w:rPr>
                <w:rFonts w:ascii="Calibri" w:hAnsi="Calibri" w:eastAsia="Times New Roman" w:cs="Calibri"/>
                <w:color w:val="000000"/>
                <w:sz w:val="22"/>
              </w:rPr>
              <w:t> </w:t>
            </w:r>
          </w:p>
        </w:tc>
        <w:tc>
          <w:tcPr>
            <w:tcW w:w="1660" w:type="dxa"/>
            <w:tcBorders>
              <w:top w:val="single" w:color="auto" w:sz="8" w:space="0"/>
              <w:left w:val="nil"/>
              <w:bottom w:val="single" w:color="auto" w:sz="8" w:space="0"/>
              <w:right w:val="single" w:color="auto" w:sz="8" w:space="0"/>
            </w:tcBorders>
            <w:shd w:val="clear" w:color="000000" w:fill="000000"/>
            <w:noWrap/>
            <w:vAlign w:val="bottom"/>
            <w:hideMark/>
          </w:tcPr>
          <w:p w:rsidRPr="00243CD0" w:rsidR="00243CD0" w:rsidP="00243CD0" w:rsidRDefault="00243CD0">
            <w:pPr>
              <w:widowControl/>
              <w:autoSpaceDE/>
              <w:autoSpaceDN/>
              <w:rPr>
                <w:rFonts w:ascii="Calibri" w:hAnsi="Calibri" w:eastAsia="Times New Roman" w:cs="Calibri"/>
                <w:color w:val="000000"/>
                <w:sz w:val="22"/>
              </w:rPr>
            </w:pPr>
            <w:r w:rsidRPr="00243CD0">
              <w:rPr>
                <w:rFonts w:ascii="Calibri" w:hAnsi="Calibri" w:eastAsia="Times New Roman" w:cs="Calibri"/>
                <w:color w:val="000000"/>
                <w:sz w:val="22"/>
              </w:rPr>
              <w:t> </w:t>
            </w:r>
          </w:p>
        </w:tc>
      </w:tr>
    </w:tbl>
    <w:p w:rsidR="00243CD0" w:rsidP="00BD7237" w:rsidRDefault="00243CD0">
      <w:pPr>
        <w:pStyle w:val="BodyText"/>
        <w:spacing w:before="7"/>
        <w:ind w:left="0"/>
        <w:rPr>
          <w:rFonts w:cs="Times New Roman"/>
          <w:b/>
        </w:rPr>
      </w:pPr>
    </w:p>
    <w:p w:rsidR="00DF0CE3" w:rsidP="00BD7237" w:rsidRDefault="00DF0CE3">
      <w:pPr>
        <w:pStyle w:val="BodyText"/>
        <w:spacing w:before="7"/>
        <w:ind w:left="0"/>
        <w:rPr>
          <w:rFonts w:cs="Times New Roman"/>
          <w:b/>
        </w:rPr>
      </w:pPr>
    </w:p>
    <w:tbl>
      <w:tblPr>
        <w:tblW w:w="9580" w:type="dxa"/>
        <w:tblLook w:val="04A0" w:firstRow="1" w:lastRow="0" w:firstColumn="1" w:lastColumn="0" w:noHBand="0" w:noVBand="1"/>
      </w:tblPr>
      <w:tblGrid>
        <w:gridCol w:w="2125"/>
        <w:gridCol w:w="1206"/>
        <w:gridCol w:w="1307"/>
        <w:gridCol w:w="1206"/>
        <w:gridCol w:w="1307"/>
        <w:gridCol w:w="2429"/>
      </w:tblGrid>
      <w:tr w:rsidRPr="00243CD0" w:rsidR="00243CD0" w:rsidTr="00243CD0">
        <w:trPr>
          <w:trHeight w:val="321"/>
        </w:trPr>
        <w:tc>
          <w:tcPr>
            <w:tcW w:w="212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sidRPr="00243CD0">
              <w:rPr>
                <w:rFonts w:ascii="Calibri" w:hAnsi="Calibri" w:eastAsia="Times New Roman" w:cs="Calibri"/>
                <w:b/>
                <w:bCs/>
                <w:color w:val="000000"/>
                <w:sz w:val="16"/>
                <w:szCs w:val="16"/>
              </w:rPr>
              <w:t>Information Collection</w:t>
            </w:r>
          </w:p>
        </w:tc>
        <w:tc>
          <w:tcPr>
            <w:tcW w:w="2513" w:type="dxa"/>
            <w:gridSpan w:val="2"/>
            <w:tcBorders>
              <w:top w:val="single" w:color="auto" w:sz="8" w:space="0"/>
              <w:left w:val="nil"/>
              <w:bottom w:val="single" w:color="auto" w:sz="8" w:space="0"/>
              <w:right w:val="single" w:color="000000" w:sz="8" w:space="0"/>
            </w:tcBorders>
            <w:shd w:val="clear" w:color="000000" w:fill="5B9BD5"/>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sidRPr="00243CD0">
              <w:rPr>
                <w:rFonts w:ascii="Calibri" w:hAnsi="Calibri" w:eastAsia="Times New Roman" w:cs="Calibri"/>
                <w:b/>
                <w:bCs/>
                <w:color w:val="000000"/>
                <w:sz w:val="16"/>
                <w:szCs w:val="16"/>
              </w:rPr>
              <w:t>Labor Costs</w:t>
            </w:r>
          </w:p>
        </w:tc>
        <w:tc>
          <w:tcPr>
            <w:tcW w:w="2513" w:type="dxa"/>
            <w:gridSpan w:val="2"/>
            <w:tcBorders>
              <w:top w:val="single" w:color="auto" w:sz="8" w:space="0"/>
              <w:left w:val="nil"/>
              <w:bottom w:val="single" w:color="auto" w:sz="8" w:space="0"/>
              <w:right w:val="single" w:color="000000" w:sz="8" w:space="0"/>
            </w:tcBorders>
            <w:shd w:val="clear" w:color="000000" w:fill="5B9BD5"/>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sidRPr="00243CD0">
              <w:rPr>
                <w:rFonts w:ascii="Calibri" w:hAnsi="Calibri" w:eastAsia="Times New Roman" w:cs="Calibri"/>
                <w:b/>
                <w:bCs/>
                <w:color w:val="000000"/>
                <w:sz w:val="16"/>
                <w:szCs w:val="16"/>
              </w:rPr>
              <w:t>Miscellaneous Costs</w:t>
            </w:r>
          </w:p>
        </w:tc>
        <w:tc>
          <w:tcPr>
            <w:tcW w:w="2429"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sidRPr="00243CD0">
              <w:rPr>
                <w:rFonts w:ascii="Calibri" w:hAnsi="Calibri" w:eastAsia="Times New Roman" w:cs="Calibri"/>
                <w:b/>
                <w:bCs/>
                <w:color w:val="000000"/>
                <w:sz w:val="16"/>
                <w:szCs w:val="16"/>
              </w:rPr>
              <w:t>Reason for change or adjustment</w:t>
            </w:r>
          </w:p>
        </w:tc>
      </w:tr>
      <w:tr w:rsidRPr="00243CD0" w:rsidR="00243CD0" w:rsidTr="00243CD0">
        <w:trPr>
          <w:trHeight w:val="686"/>
        </w:trPr>
        <w:tc>
          <w:tcPr>
            <w:tcW w:w="2125" w:type="dxa"/>
            <w:vMerge/>
            <w:tcBorders>
              <w:top w:val="single" w:color="auto" w:sz="8" w:space="0"/>
              <w:left w:val="single" w:color="auto" w:sz="8" w:space="0"/>
              <w:bottom w:val="single" w:color="000000" w:sz="8" w:space="0"/>
              <w:right w:val="single" w:color="auto" w:sz="8" w:space="0"/>
            </w:tcBorders>
            <w:vAlign w:val="center"/>
            <w:hideMark/>
          </w:tcPr>
          <w:p w:rsidRPr="00243CD0" w:rsidR="00243CD0" w:rsidP="00243CD0" w:rsidRDefault="00243CD0">
            <w:pPr>
              <w:widowControl/>
              <w:autoSpaceDE/>
              <w:autoSpaceDN/>
              <w:rPr>
                <w:rFonts w:ascii="Calibri" w:hAnsi="Calibri" w:eastAsia="Times New Roman" w:cs="Calibri"/>
                <w:b/>
                <w:bCs/>
                <w:color w:val="000000"/>
                <w:sz w:val="16"/>
                <w:szCs w:val="16"/>
              </w:rPr>
            </w:pPr>
          </w:p>
        </w:tc>
        <w:tc>
          <w:tcPr>
            <w:tcW w:w="1206" w:type="dxa"/>
            <w:tcBorders>
              <w:top w:val="nil"/>
              <w:left w:val="nil"/>
              <w:bottom w:val="single" w:color="auto" w:sz="8" w:space="0"/>
              <w:right w:val="dashed" w:color="auto" w:sz="8" w:space="0"/>
            </w:tcBorders>
            <w:shd w:val="clear" w:color="000000" w:fill="FBE4D5"/>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sidRPr="00243CD0">
              <w:rPr>
                <w:rFonts w:ascii="Calibri" w:hAnsi="Calibri" w:eastAsia="Times New Roman" w:cs="Calibri"/>
                <w:color w:val="000000"/>
                <w:sz w:val="16"/>
                <w:szCs w:val="16"/>
              </w:rPr>
              <w:t>Current</w:t>
            </w:r>
          </w:p>
        </w:tc>
        <w:tc>
          <w:tcPr>
            <w:tcW w:w="1307" w:type="dxa"/>
            <w:tcBorders>
              <w:top w:val="nil"/>
              <w:left w:val="nil"/>
              <w:bottom w:val="single" w:color="auto" w:sz="8" w:space="0"/>
              <w:right w:val="single" w:color="auto" w:sz="8" w:space="0"/>
            </w:tcBorders>
            <w:shd w:val="clear" w:color="000000" w:fill="FBE4D5"/>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sidRPr="00243CD0">
              <w:rPr>
                <w:rFonts w:ascii="Calibri" w:hAnsi="Calibri" w:eastAsia="Times New Roman" w:cs="Calibri"/>
                <w:color w:val="000000"/>
                <w:sz w:val="16"/>
                <w:szCs w:val="16"/>
              </w:rPr>
              <w:t>Previous</w:t>
            </w:r>
          </w:p>
        </w:tc>
        <w:tc>
          <w:tcPr>
            <w:tcW w:w="1206" w:type="dxa"/>
            <w:tcBorders>
              <w:top w:val="nil"/>
              <w:left w:val="nil"/>
              <w:bottom w:val="single" w:color="auto" w:sz="8" w:space="0"/>
              <w:right w:val="dashed" w:color="auto" w:sz="8" w:space="0"/>
            </w:tcBorders>
            <w:shd w:val="clear" w:color="000000" w:fill="FBE4D5"/>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sidRPr="00243CD0">
              <w:rPr>
                <w:rFonts w:ascii="Calibri" w:hAnsi="Calibri" w:eastAsia="Times New Roman" w:cs="Calibri"/>
                <w:color w:val="000000"/>
                <w:sz w:val="16"/>
                <w:szCs w:val="16"/>
              </w:rPr>
              <w:t>Current</w:t>
            </w:r>
          </w:p>
        </w:tc>
        <w:tc>
          <w:tcPr>
            <w:tcW w:w="1307" w:type="dxa"/>
            <w:tcBorders>
              <w:top w:val="nil"/>
              <w:left w:val="nil"/>
              <w:bottom w:val="single" w:color="auto" w:sz="8" w:space="0"/>
              <w:right w:val="single" w:color="auto" w:sz="8" w:space="0"/>
            </w:tcBorders>
            <w:shd w:val="clear" w:color="000000" w:fill="FBE4D5"/>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sidRPr="00243CD0">
              <w:rPr>
                <w:rFonts w:ascii="Calibri" w:hAnsi="Calibri" w:eastAsia="Times New Roman" w:cs="Calibri"/>
                <w:color w:val="000000"/>
                <w:sz w:val="16"/>
                <w:szCs w:val="16"/>
              </w:rPr>
              <w:t>Previous</w:t>
            </w:r>
          </w:p>
        </w:tc>
        <w:tc>
          <w:tcPr>
            <w:tcW w:w="2429" w:type="dxa"/>
            <w:vMerge/>
            <w:tcBorders>
              <w:top w:val="single" w:color="auto" w:sz="8" w:space="0"/>
              <w:left w:val="single" w:color="auto" w:sz="8" w:space="0"/>
              <w:bottom w:val="single" w:color="000000" w:sz="8" w:space="0"/>
              <w:right w:val="single" w:color="auto" w:sz="8" w:space="0"/>
            </w:tcBorders>
            <w:vAlign w:val="center"/>
            <w:hideMark/>
          </w:tcPr>
          <w:p w:rsidRPr="00243CD0" w:rsidR="00243CD0" w:rsidP="00243CD0" w:rsidRDefault="00243CD0">
            <w:pPr>
              <w:widowControl/>
              <w:autoSpaceDE/>
              <w:autoSpaceDN/>
              <w:rPr>
                <w:rFonts w:ascii="Calibri" w:hAnsi="Calibri" w:eastAsia="Times New Roman" w:cs="Calibri"/>
                <w:b/>
                <w:bCs/>
                <w:color w:val="000000"/>
                <w:sz w:val="16"/>
                <w:szCs w:val="16"/>
              </w:rPr>
            </w:pPr>
          </w:p>
        </w:tc>
      </w:tr>
      <w:tr w:rsidRPr="00243CD0" w:rsidR="00243CD0" w:rsidTr="00243CD0">
        <w:trPr>
          <w:trHeight w:val="321"/>
        </w:trPr>
        <w:tc>
          <w:tcPr>
            <w:tcW w:w="2125" w:type="dxa"/>
            <w:tcBorders>
              <w:top w:val="nil"/>
              <w:left w:val="single" w:color="auto" w:sz="8" w:space="0"/>
              <w:bottom w:val="single" w:color="auto" w:sz="8" w:space="0"/>
              <w:right w:val="single" w:color="auto" w:sz="8" w:space="0"/>
            </w:tcBorders>
            <w:shd w:val="clear" w:color="auto" w:fill="auto"/>
            <w:vAlign w:val="center"/>
            <w:hideMark/>
          </w:tcPr>
          <w:p w:rsidRPr="00243CD0" w:rsidR="00243CD0" w:rsidP="00243CD0" w:rsidRDefault="00243CD0">
            <w:pPr>
              <w:widowControl/>
              <w:autoSpaceDE/>
              <w:autoSpaceDN/>
              <w:rPr>
                <w:rFonts w:ascii="Calibri" w:hAnsi="Calibri" w:eastAsia="Times New Roman" w:cs="Calibri"/>
                <w:color w:val="000000"/>
                <w:sz w:val="16"/>
                <w:szCs w:val="16"/>
              </w:rPr>
            </w:pPr>
            <w:r w:rsidRPr="00243CD0">
              <w:rPr>
                <w:rFonts w:ascii="Calibri" w:hAnsi="Calibri" w:eastAsia="Times New Roman" w:cs="Calibri"/>
                <w:color w:val="000000"/>
                <w:sz w:val="16"/>
                <w:szCs w:val="16"/>
              </w:rPr>
              <w:t> </w:t>
            </w:r>
            <w:r w:rsidRPr="001D7575">
              <w:rPr>
                <w:rFonts w:ascii="Calibri" w:hAnsi="Calibri" w:eastAsia="Times New Roman" w:cs="Calibri"/>
                <w:color w:val="000000"/>
                <w:sz w:val="16"/>
                <w:szCs w:val="16"/>
              </w:rPr>
              <w:t>Reporting Requirements for Commercial Fisheries Authorization Under Section 118 of the Marine Mammal Protection Act</w:t>
            </w:r>
          </w:p>
        </w:tc>
        <w:tc>
          <w:tcPr>
            <w:tcW w:w="1206" w:type="dxa"/>
            <w:tcBorders>
              <w:top w:val="nil"/>
              <w:left w:val="nil"/>
              <w:bottom w:val="dotted" w:color="auto" w:sz="4" w:space="0"/>
              <w:right w:val="dashed" w:color="auto" w:sz="8" w:space="0"/>
            </w:tcBorders>
            <w:shd w:val="clear" w:color="auto" w:fill="auto"/>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$1112.50</w:t>
            </w:r>
            <w:r w:rsidRPr="00243CD0">
              <w:rPr>
                <w:rFonts w:ascii="Calibri" w:hAnsi="Calibri" w:eastAsia="Times New Roman" w:cs="Calibri"/>
                <w:color w:val="000000"/>
                <w:sz w:val="16"/>
                <w:szCs w:val="16"/>
              </w:rPr>
              <w:t> </w:t>
            </w:r>
          </w:p>
        </w:tc>
        <w:tc>
          <w:tcPr>
            <w:tcW w:w="1307" w:type="dxa"/>
            <w:tcBorders>
              <w:top w:val="nil"/>
              <w:left w:val="nil"/>
              <w:bottom w:val="dotted" w:color="auto" w:sz="4" w:space="0"/>
              <w:right w:val="single" w:color="auto" w:sz="8" w:space="0"/>
            </w:tcBorders>
            <w:shd w:val="clear" w:color="auto" w:fill="auto"/>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NA</w:t>
            </w:r>
            <w:r w:rsidRPr="00243CD0">
              <w:rPr>
                <w:rFonts w:ascii="Calibri" w:hAnsi="Calibri" w:eastAsia="Times New Roman" w:cs="Calibri"/>
                <w:color w:val="000000"/>
                <w:sz w:val="16"/>
                <w:szCs w:val="16"/>
              </w:rPr>
              <w:t> </w:t>
            </w:r>
          </w:p>
        </w:tc>
        <w:tc>
          <w:tcPr>
            <w:tcW w:w="1206" w:type="dxa"/>
            <w:tcBorders>
              <w:top w:val="nil"/>
              <w:left w:val="nil"/>
              <w:bottom w:val="dotted" w:color="auto" w:sz="4" w:space="0"/>
              <w:right w:val="dashed" w:color="auto" w:sz="8" w:space="0"/>
            </w:tcBorders>
            <w:shd w:val="clear" w:color="auto" w:fill="auto"/>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sidRPr="00243CD0">
              <w:rPr>
                <w:rFonts w:ascii="Calibri" w:hAnsi="Calibri" w:eastAsia="Times New Roman" w:cs="Calibri"/>
                <w:color w:val="000000"/>
                <w:sz w:val="16"/>
                <w:szCs w:val="16"/>
              </w:rPr>
              <w:t> </w:t>
            </w:r>
            <w:r>
              <w:rPr>
                <w:rFonts w:ascii="Calibri" w:hAnsi="Calibri" w:eastAsia="Times New Roman" w:cs="Calibri"/>
                <w:color w:val="000000"/>
                <w:sz w:val="16"/>
                <w:szCs w:val="16"/>
              </w:rPr>
              <w:t>$0</w:t>
            </w:r>
          </w:p>
        </w:tc>
        <w:tc>
          <w:tcPr>
            <w:tcW w:w="1307" w:type="dxa"/>
            <w:tcBorders>
              <w:top w:val="nil"/>
              <w:left w:val="nil"/>
              <w:bottom w:val="dotted" w:color="auto" w:sz="4" w:space="0"/>
              <w:right w:val="single" w:color="auto" w:sz="8" w:space="0"/>
            </w:tcBorders>
            <w:shd w:val="clear" w:color="auto" w:fill="auto"/>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r w:rsidRPr="00243CD0">
              <w:rPr>
                <w:rFonts w:ascii="Calibri" w:hAnsi="Calibri" w:eastAsia="Times New Roman" w:cs="Calibri"/>
                <w:color w:val="000000"/>
                <w:sz w:val="16"/>
                <w:szCs w:val="16"/>
              </w:rPr>
              <w:t> </w:t>
            </w:r>
          </w:p>
        </w:tc>
        <w:tc>
          <w:tcPr>
            <w:tcW w:w="2429" w:type="dxa"/>
            <w:tcBorders>
              <w:top w:val="nil"/>
              <w:left w:val="nil"/>
              <w:bottom w:val="dotted" w:color="auto" w:sz="4" w:space="0"/>
              <w:right w:val="single" w:color="auto" w:sz="8" w:space="0"/>
            </w:tcBorders>
            <w:shd w:val="clear" w:color="auto" w:fill="auto"/>
            <w:vAlign w:val="center"/>
            <w:hideMark/>
          </w:tcPr>
          <w:p w:rsidRPr="00243CD0" w:rsidR="00243CD0" w:rsidP="00243CD0" w:rsidRDefault="00243CD0">
            <w:pPr>
              <w:widowControl/>
              <w:autoSpaceDE/>
              <w:autoSpaceDN/>
              <w:rPr>
                <w:rFonts w:ascii="Calibri" w:hAnsi="Calibri" w:eastAsia="Times New Roman" w:cs="Calibri"/>
                <w:color w:val="000000"/>
                <w:sz w:val="16"/>
                <w:szCs w:val="16"/>
              </w:rPr>
            </w:pPr>
            <w:r w:rsidRPr="00243CD0">
              <w:rPr>
                <w:rFonts w:ascii="Calibri" w:hAnsi="Calibri" w:eastAsia="Times New Roman" w:cs="Calibri"/>
                <w:color w:val="000000"/>
                <w:sz w:val="16"/>
                <w:szCs w:val="16"/>
              </w:rPr>
              <w:t> </w:t>
            </w:r>
            <w:r>
              <w:rPr>
                <w:rFonts w:ascii="Calibri" w:hAnsi="Calibri" w:eastAsia="Times New Roman" w:cs="Calibri"/>
                <w:color w:val="000000"/>
                <w:sz w:val="16"/>
                <w:szCs w:val="16"/>
              </w:rPr>
              <w:t>Labor costs not included in previous revision</w:t>
            </w:r>
          </w:p>
        </w:tc>
      </w:tr>
      <w:tr w:rsidRPr="00243CD0" w:rsidR="00243CD0" w:rsidTr="00243CD0">
        <w:trPr>
          <w:trHeight w:val="321"/>
        </w:trPr>
        <w:tc>
          <w:tcPr>
            <w:tcW w:w="2125" w:type="dxa"/>
            <w:tcBorders>
              <w:top w:val="nil"/>
              <w:left w:val="single" w:color="auto" w:sz="8" w:space="0"/>
              <w:bottom w:val="single" w:color="auto" w:sz="8" w:space="0"/>
              <w:right w:val="single" w:color="auto" w:sz="8" w:space="0"/>
            </w:tcBorders>
            <w:shd w:val="clear" w:color="auto" w:fill="auto"/>
            <w:vAlign w:val="center"/>
            <w:hideMark/>
          </w:tcPr>
          <w:p w:rsidRPr="00243CD0" w:rsidR="00243CD0" w:rsidP="00243CD0" w:rsidRDefault="00243CD0">
            <w:pPr>
              <w:widowControl/>
              <w:autoSpaceDE/>
              <w:autoSpaceDN/>
              <w:rPr>
                <w:rFonts w:ascii="Calibri" w:hAnsi="Calibri" w:eastAsia="Times New Roman" w:cs="Calibri"/>
                <w:color w:val="000000"/>
                <w:sz w:val="16"/>
                <w:szCs w:val="16"/>
              </w:rPr>
            </w:pPr>
            <w:r w:rsidRPr="00243CD0">
              <w:rPr>
                <w:rFonts w:ascii="Calibri" w:hAnsi="Calibri" w:eastAsia="Times New Roman" w:cs="Calibri"/>
                <w:color w:val="000000"/>
                <w:sz w:val="16"/>
                <w:szCs w:val="16"/>
              </w:rPr>
              <w:t> </w:t>
            </w:r>
            <w:r w:rsidRPr="001D7575">
              <w:rPr>
                <w:rFonts w:ascii="Calibri" w:hAnsi="Calibri" w:eastAsia="Times New Roman" w:cs="Calibri"/>
                <w:color w:val="000000"/>
                <w:sz w:val="16"/>
                <w:szCs w:val="16"/>
              </w:rPr>
              <w:t>Reporting Marine Mammal Mortalities and Injuries While Using Deterrents Under Section 101 of the Marine Mammal Protection Act</w:t>
            </w:r>
          </w:p>
        </w:tc>
        <w:tc>
          <w:tcPr>
            <w:tcW w:w="1206" w:type="dxa"/>
            <w:tcBorders>
              <w:top w:val="nil"/>
              <w:left w:val="nil"/>
              <w:bottom w:val="dotted" w:color="auto" w:sz="4" w:space="0"/>
              <w:right w:val="dashed" w:color="auto" w:sz="8" w:space="0"/>
            </w:tcBorders>
            <w:shd w:val="clear" w:color="auto" w:fill="auto"/>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$321.50</w:t>
            </w:r>
            <w:r w:rsidRPr="00243CD0">
              <w:rPr>
                <w:rFonts w:ascii="Calibri" w:hAnsi="Calibri" w:eastAsia="Times New Roman" w:cs="Calibri"/>
                <w:color w:val="000000"/>
                <w:sz w:val="16"/>
                <w:szCs w:val="16"/>
              </w:rPr>
              <w:t> </w:t>
            </w:r>
          </w:p>
        </w:tc>
        <w:tc>
          <w:tcPr>
            <w:tcW w:w="1307" w:type="dxa"/>
            <w:tcBorders>
              <w:top w:val="nil"/>
              <w:left w:val="nil"/>
              <w:bottom w:val="dotted" w:color="auto" w:sz="4" w:space="0"/>
              <w:right w:val="single" w:color="auto" w:sz="8" w:space="0"/>
            </w:tcBorders>
            <w:shd w:val="clear" w:color="auto" w:fill="auto"/>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sidRPr="00243CD0">
              <w:rPr>
                <w:rFonts w:ascii="Calibri" w:hAnsi="Calibri" w:eastAsia="Times New Roman" w:cs="Calibri"/>
                <w:color w:val="000000"/>
                <w:sz w:val="16"/>
                <w:szCs w:val="16"/>
              </w:rPr>
              <w:t> </w:t>
            </w:r>
            <w:r>
              <w:rPr>
                <w:rFonts w:ascii="Calibri" w:hAnsi="Calibri" w:eastAsia="Times New Roman" w:cs="Calibri"/>
                <w:color w:val="000000"/>
                <w:sz w:val="16"/>
                <w:szCs w:val="16"/>
              </w:rPr>
              <w:t>NA</w:t>
            </w:r>
          </w:p>
        </w:tc>
        <w:tc>
          <w:tcPr>
            <w:tcW w:w="1206" w:type="dxa"/>
            <w:tcBorders>
              <w:top w:val="nil"/>
              <w:left w:val="nil"/>
              <w:bottom w:val="dotted" w:color="auto" w:sz="4" w:space="0"/>
              <w:right w:val="dashed" w:color="auto" w:sz="8" w:space="0"/>
            </w:tcBorders>
            <w:shd w:val="clear" w:color="auto" w:fill="auto"/>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sidRPr="00243CD0">
              <w:rPr>
                <w:rFonts w:ascii="Calibri" w:hAnsi="Calibri" w:eastAsia="Times New Roman" w:cs="Calibri"/>
                <w:color w:val="000000"/>
                <w:sz w:val="16"/>
                <w:szCs w:val="16"/>
              </w:rPr>
              <w:t> </w:t>
            </w:r>
            <w:r>
              <w:rPr>
                <w:rFonts w:ascii="Calibri" w:hAnsi="Calibri" w:eastAsia="Times New Roman" w:cs="Calibri"/>
                <w:color w:val="000000"/>
                <w:sz w:val="16"/>
                <w:szCs w:val="16"/>
              </w:rPr>
              <w:t>$0</w:t>
            </w:r>
          </w:p>
        </w:tc>
        <w:tc>
          <w:tcPr>
            <w:tcW w:w="1307" w:type="dxa"/>
            <w:tcBorders>
              <w:top w:val="nil"/>
              <w:left w:val="nil"/>
              <w:bottom w:val="dotted" w:color="auto" w:sz="4" w:space="0"/>
              <w:right w:val="single" w:color="auto" w:sz="8" w:space="0"/>
            </w:tcBorders>
            <w:shd w:val="clear" w:color="auto" w:fill="auto"/>
            <w:vAlign w:val="center"/>
            <w:hideMark/>
          </w:tcPr>
          <w:p w:rsidRPr="00243CD0" w:rsidR="00243CD0" w:rsidP="00243CD0" w:rsidRDefault="00243CD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NA</w:t>
            </w:r>
            <w:r w:rsidRPr="00243CD0">
              <w:rPr>
                <w:rFonts w:ascii="Calibri" w:hAnsi="Calibri" w:eastAsia="Times New Roman" w:cs="Calibri"/>
                <w:color w:val="000000"/>
                <w:sz w:val="16"/>
                <w:szCs w:val="16"/>
              </w:rPr>
              <w:t> </w:t>
            </w:r>
          </w:p>
        </w:tc>
        <w:tc>
          <w:tcPr>
            <w:tcW w:w="2429" w:type="dxa"/>
            <w:tcBorders>
              <w:top w:val="nil"/>
              <w:left w:val="nil"/>
              <w:bottom w:val="dotted" w:color="auto" w:sz="4" w:space="0"/>
              <w:right w:val="single" w:color="auto" w:sz="8" w:space="0"/>
            </w:tcBorders>
            <w:shd w:val="clear" w:color="auto" w:fill="auto"/>
            <w:vAlign w:val="center"/>
            <w:hideMark/>
          </w:tcPr>
          <w:p w:rsidRPr="00243CD0" w:rsidR="00243CD0" w:rsidP="00243CD0" w:rsidRDefault="00243CD0">
            <w:pPr>
              <w:widowControl/>
              <w:autoSpaceDE/>
              <w:autoSpaceDN/>
              <w:rPr>
                <w:rFonts w:ascii="Calibri" w:hAnsi="Calibri" w:eastAsia="Times New Roman" w:cs="Calibri"/>
                <w:color w:val="000000"/>
                <w:sz w:val="16"/>
                <w:szCs w:val="16"/>
              </w:rPr>
            </w:pPr>
            <w:r w:rsidRPr="00243CD0">
              <w:rPr>
                <w:rFonts w:ascii="Calibri" w:hAnsi="Calibri" w:eastAsia="Times New Roman" w:cs="Calibri"/>
                <w:color w:val="000000"/>
                <w:sz w:val="16"/>
                <w:szCs w:val="16"/>
              </w:rPr>
              <w:t> </w:t>
            </w:r>
            <w:r>
              <w:rPr>
                <w:rFonts w:ascii="Calibri" w:hAnsi="Calibri" w:eastAsia="Times New Roman" w:cs="Calibri"/>
                <w:color w:val="000000"/>
                <w:sz w:val="16"/>
                <w:szCs w:val="16"/>
              </w:rPr>
              <w:t>New collection added pursuant to proposed rule 0648-BG55</w:t>
            </w:r>
          </w:p>
        </w:tc>
      </w:tr>
      <w:tr w:rsidRPr="00243CD0" w:rsidR="00243CD0" w:rsidTr="00243CD0">
        <w:trPr>
          <w:trHeight w:val="498"/>
        </w:trPr>
        <w:tc>
          <w:tcPr>
            <w:tcW w:w="2125" w:type="dxa"/>
            <w:tcBorders>
              <w:top w:val="nil"/>
              <w:left w:val="single" w:color="auto" w:sz="8" w:space="0"/>
              <w:bottom w:val="nil"/>
              <w:right w:val="single" w:color="auto" w:sz="8" w:space="0"/>
            </w:tcBorders>
            <w:shd w:val="clear" w:color="000000" w:fill="BDD6EE"/>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sidRPr="00243CD0">
              <w:rPr>
                <w:rFonts w:ascii="Calibri" w:hAnsi="Calibri" w:eastAsia="Times New Roman" w:cs="Calibri"/>
                <w:b/>
                <w:bCs/>
                <w:color w:val="000000"/>
                <w:sz w:val="16"/>
                <w:szCs w:val="16"/>
              </w:rPr>
              <w:t>Total for Collection</w:t>
            </w:r>
          </w:p>
        </w:tc>
        <w:tc>
          <w:tcPr>
            <w:tcW w:w="1206" w:type="dxa"/>
            <w:tcBorders>
              <w:top w:val="nil"/>
              <w:left w:val="nil"/>
              <w:bottom w:val="nil"/>
              <w:right w:val="dashed" w:color="auto" w:sz="8" w:space="0"/>
            </w:tcBorders>
            <w:shd w:val="clear" w:color="000000" w:fill="BDD6EE"/>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rPr>
              <w:t>$1,434</w:t>
            </w:r>
            <w:r w:rsidRPr="00243CD0">
              <w:rPr>
                <w:rFonts w:ascii="Calibri" w:hAnsi="Calibri" w:eastAsia="Times New Roman" w:cs="Calibri"/>
                <w:b/>
                <w:bCs/>
                <w:color w:val="000000"/>
                <w:sz w:val="16"/>
                <w:szCs w:val="16"/>
              </w:rPr>
              <w:t> </w:t>
            </w:r>
          </w:p>
        </w:tc>
        <w:tc>
          <w:tcPr>
            <w:tcW w:w="1307" w:type="dxa"/>
            <w:tcBorders>
              <w:top w:val="nil"/>
              <w:left w:val="nil"/>
              <w:bottom w:val="nil"/>
              <w:right w:val="single" w:color="auto" w:sz="8" w:space="0"/>
            </w:tcBorders>
            <w:shd w:val="clear" w:color="000000" w:fill="BDD6EE"/>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sidRPr="00243CD0">
              <w:rPr>
                <w:rFonts w:ascii="Calibri" w:hAnsi="Calibri" w:eastAsia="Times New Roman" w:cs="Calibri"/>
                <w:b/>
                <w:bCs/>
                <w:color w:val="000000"/>
                <w:sz w:val="16"/>
                <w:szCs w:val="16"/>
              </w:rPr>
              <w:t> </w:t>
            </w:r>
            <w:r>
              <w:rPr>
                <w:rFonts w:ascii="Calibri" w:hAnsi="Calibri" w:eastAsia="Times New Roman" w:cs="Calibri"/>
                <w:b/>
                <w:bCs/>
                <w:color w:val="000000"/>
                <w:sz w:val="16"/>
                <w:szCs w:val="16"/>
              </w:rPr>
              <w:t>NA</w:t>
            </w:r>
          </w:p>
        </w:tc>
        <w:tc>
          <w:tcPr>
            <w:tcW w:w="1206" w:type="dxa"/>
            <w:tcBorders>
              <w:top w:val="nil"/>
              <w:left w:val="nil"/>
              <w:bottom w:val="nil"/>
              <w:right w:val="dashed" w:color="auto" w:sz="8" w:space="0"/>
            </w:tcBorders>
            <w:shd w:val="clear" w:color="000000" w:fill="BDD6EE"/>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$0</w:t>
            </w:r>
            <w:r w:rsidRPr="00243CD0">
              <w:rPr>
                <w:rFonts w:ascii="Calibri" w:hAnsi="Calibri" w:eastAsia="Times New Roman" w:cs="Calibri"/>
                <w:b/>
                <w:bCs/>
                <w:color w:val="000000"/>
                <w:sz w:val="16"/>
                <w:szCs w:val="16"/>
              </w:rPr>
              <w:t> </w:t>
            </w:r>
          </w:p>
        </w:tc>
        <w:tc>
          <w:tcPr>
            <w:tcW w:w="1307" w:type="dxa"/>
            <w:tcBorders>
              <w:top w:val="nil"/>
              <w:left w:val="nil"/>
              <w:bottom w:val="nil"/>
              <w:right w:val="single" w:color="auto" w:sz="8" w:space="0"/>
            </w:tcBorders>
            <w:shd w:val="clear" w:color="000000" w:fill="BDD6EE"/>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$0</w:t>
            </w:r>
            <w:r w:rsidRPr="00243CD0">
              <w:rPr>
                <w:rFonts w:ascii="Calibri" w:hAnsi="Calibri" w:eastAsia="Times New Roman" w:cs="Calibri"/>
                <w:b/>
                <w:bCs/>
                <w:color w:val="000000"/>
                <w:sz w:val="16"/>
                <w:szCs w:val="16"/>
              </w:rPr>
              <w:t> </w:t>
            </w:r>
          </w:p>
        </w:tc>
        <w:tc>
          <w:tcPr>
            <w:tcW w:w="2429" w:type="dxa"/>
            <w:tcBorders>
              <w:top w:val="nil"/>
              <w:left w:val="nil"/>
              <w:bottom w:val="nil"/>
              <w:right w:val="single" w:color="auto" w:sz="8" w:space="0"/>
            </w:tcBorders>
            <w:shd w:val="clear" w:color="000000" w:fill="000000"/>
            <w:vAlign w:val="center"/>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sidRPr="00243CD0">
              <w:rPr>
                <w:rFonts w:ascii="Calibri" w:hAnsi="Calibri" w:eastAsia="Times New Roman" w:cs="Calibri"/>
                <w:b/>
                <w:bCs/>
                <w:color w:val="000000"/>
                <w:sz w:val="16"/>
                <w:szCs w:val="16"/>
              </w:rPr>
              <w:t> </w:t>
            </w:r>
          </w:p>
        </w:tc>
      </w:tr>
      <w:tr w:rsidRPr="00243CD0" w:rsidR="00243CD0" w:rsidTr="00243CD0">
        <w:trPr>
          <w:trHeight w:val="321"/>
        </w:trPr>
        <w:tc>
          <w:tcPr>
            <w:tcW w:w="2125" w:type="dxa"/>
            <w:tcBorders>
              <w:top w:val="single" w:color="auto" w:sz="8" w:space="0"/>
              <w:left w:val="single" w:color="auto" w:sz="8" w:space="0"/>
              <w:bottom w:val="single" w:color="auto" w:sz="8" w:space="0"/>
              <w:right w:val="nil"/>
            </w:tcBorders>
            <w:shd w:val="clear" w:color="000000" w:fill="FCE4D6"/>
            <w:noWrap/>
            <w:vAlign w:val="bottom"/>
            <w:hideMark/>
          </w:tcPr>
          <w:p w:rsidRPr="00243CD0" w:rsidR="00243CD0" w:rsidP="00243CD0" w:rsidRDefault="00243CD0">
            <w:pPr>
              <w:widowControl/>
              <w:autoSpaceDE/>
              <w:autoSpaceDN/>
              <w:jc w:val="center"/>
              <w:rPr>
                <w:rFonts w:ascii="Calibri" w:hAnsi="Calibri" w:eastAsia="Times New Roman" w:cs="Calibri"/>
                <w:b/>
                <w:bCs/>
                <w:color w:val="000000"/>
                <w:sz w:val="16"/>
                <w:szCs w:val="16"/>
              </w:rPr>
            </w:pPr>
            <w:r w:rsidRPr="00243CD0">
              <w:rPr>
                <w:rFonts w:ascii="Calibri" w:hAnsi="Calibri" w:eastAsia="Times New Roman" w:cs="Calibri"/>
                <w:b/>
                <w:bCs/>
                <w:color w:val="000000"/>
                <w:sz w:val="16"/>
                <w:szCs w:val="16"/>
              </w:rPr>
              <w:t>Difference</w:t>
            </w:r>
          </w:p>
        </w:tc>
        <w:tc>
          <w:tcPr>
            <w:tcW w:w="2513"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243CD0" w:rsidR="00243CD0" w:rsidP="00243CD0" w:rsidRDefault="00243CD0">
            <w:pPr>
              <w:widowControl/>
              <w:autoSpaceDE/>
              <w:autoSpaceDN/>
              <w:jc w:val="center"/>
              <w:rPr>
                <w:rFonts w:ascii="Calibri" w:hAnsi="Calibri" w:eastAsia="Times New Roman" w:cs="Calibri"/>
                <w:color w:val="000000"/>
                <w:sz w:val="22"/>
              </w:rPr>
            </w:pPr>
            <w:r w:rsidRPr="00243CD0">
              <w:rPr>
                <w:rFonts w:ascii="Calibri" w:hAnsi="Calibri" w:eastAsia="Times New Roman" w:cs="Calibri"/>
                <w:color w:val="000000"/>
                <w:sz w:val="22"/>
              </w:rPr>
              <w:t> </w:t>
            </w:r>
            <w:r>
              <w:rPr>
                <w:rFonts w:ascii="Calibri" w:hAnsi="Calibri" w:eastAsia="Times New Roman" w:cs="Calibri"/>
                <w:color w:val="000000"/>
                <w:sz w:val="22"/>
              </w:rPr>
              <w:t>+1,434</w:t>
            </w:r>
          </w:p>
        </w:tc>
        <w:tc>
          <w:tcPr>
            <w:tcW w:w="2513"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243CD0" w:rsidR="00243CD0" w:rsidP="00243CD0" w:rsidRDefault="00243CD0">
            <w:pPr>
              <w:widowControl/>
              <w:autoSpaceDE/>
              <w:autoSpaceDN/>
              <w:jc w:val="center"/>
              <w:rPr>
                <w:rFonts w:ascii="Calibri" w:hAnsi="Calibri" w:eastAsia="Times New Roman" w:cs="Calibri"/>
                <w:color w:val="000000"/>
                <w:sz w:val="22"/>
              </w:rPr>
            </w:pPr>
            <w:r>
              <w:rPr>
                <w:rFonts w:ascii="Calibri" w:hAnsi="Calibri" w:eastAsia="Times New Roman" w:cs="Calibri"/>
                <w:color w:val="000000"/>
                <w:sz w:val="22"/>
              </w:rPr>
              <w:t>-</w:t>
            </w:r>
            <w:r w:rsidRPr="00243CD0">
              <w:rPr>
                <w:rFonts w:ascii="Calibri" w:hAnsi="Calibri" w:eastAsia="Times New Roman" w:cs="Calibri"/>
                <w:color w:val="000000"/>
                <w:sz w:val="22"/>
              </w:rPr>
              <w:t> </w:t>
            </w:r>
          </w:p>
        </w:tc>
        <w:tc>
          <w:tcPr>
            <w:tcW w:w="2429" w:type="dxa"/>
            <w:tcBorders>
              <w:top w:val="single" w:color="auto" w:sz="8" w:space="0"/>
              <w:left w:val="nil"/>
              <w:bottom w:val="single" w:color="auto" w:sz="8" w:space="0"/>
              <w:right w:val="single" w:color="auto" w:sz="8" w:space="0"/>
            </w:tcBorders>
            <w:shd w:val="clear" w:color="000000" w:fill="000000"/>
            <w:noWrap/>
            <w:vAlign w:val="bottom"/>
            <w:hideMark/>
          </w:tcPr>
          <w:p w:rsidRPr="00243CD0" w:rsidR="00243CD0" w:rsidP="00243CD0" w:rsidRDefault="00243CD0">
            <w:pPr>
              <w:widowControl/>
              <w:autoSpaceDE/>
              <w:autoSpaceDN/>
              <w:rPr>
                <w:rFonts w:ascii="Calibri" w:hAnsi="Calibri" w:eastAsia="Times New Roman" w:cs="Calibri"/>
                <w:color w:val="000000"/>
                <w:sz w:val="22"/>
              </w:rPr>
            </w:pPr>
            <w:r w:rsidRPr="00243CD0">
              <w:rPr>
                <w:rFonts w:ascii="Calibri" w:hAnsi="Calibri" w:eastAsia="Times New Roman" w:cs="Calibri"/>
                <w:color w:val="000000"/>
                <w:sz w:val="22"/>
              </w:rPr>
              <w:t> </w:t>
            </w:r>
          </w:p>
        </w:tc>
      </w:tr>
    </w:tbl>
    <w:p w:rsidR="00DF0CE3" w:rsidP="00BD7237" w:rsidRDefault="00DF0CE3">
      <w:pPr>
        <w:pStyle w:val="BodyText"/>
        <w:spacing w:before="7"/>
        <w:ind w:left="0"/>
        <w:rPr>
          <w:rFonts w:cs="Times New Roman"/>
          <w:b/>
        </w:rPr>
      </w:pPr>
    </w:p>
    <w:p w:rsidR="00DF0CE3" w:rsidP="00BD7237" w:rsidRDefault="00DF0CE3">
      <w:pPr>
        <w:pStyle w:val="BodyText"/>
        <w:spacing w:before="7"/>
        <w:ind w:left="0"/>
        <w:rPr>
          <w:rFonts w:cs="Times New Roman"/>
          <w:b/>
        </w:rPr>
      </w:pPr>
      <w:bookmarkStart w:name="_GoBack" w:id="0"/>
      <w:bookmarkEnd w:id="0"/>
    </w:p>
    <w:p w:rsidRPr="00BD7237" w:rsidR="00DF0CE3" w:rsidP="00BD7237" w:rsidRDefault="00DF0CE3">
      <w:pPr>
        <w:pStyle w:val="BodyText"/>
        <w:spacing w:before="7"/>
        <w:ind w:left="0"/>
        <w:rPr>
          <w:rFonts w:cs="Times New Roman"/>
          <w:b/>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E684F" w:rsidP="00BD7237" w:rsidRDefault="00BE684F">
      <w:pPr>
        <w:pStyle w:val="BodyText"/>
        <w:spacing w:before="160"/>
        <w:ind w:left="0"/>
        <w:rPr>
          <w:rFonts w:cs="Times New Roman"/>
          <w:color w:val="000000" w:themeColor="text1"/>
        </w:rPr>
      </w:pPr>
      <w:r w:rsidRPr="00BE684F">
        <w:rPr>
          <w:rFonts w:cs="Times New Roman"/>
          <w:color w:val="000000" w:themeColor="text1"/>
        </w:rPr>
        <w:t>The results from this information collection are not published but are available upon request.</w:t>
      </w:r>
    </w:p>
    <w:p w:rsidRPr="00BE684F" w:rsidR="00BE684F" w:rsidP="00BD7237" w:rsidRDefault="00BE684F">
      <w:pPr>
        <w:pStyle w:val="BodyText"/>
        <w:spacing w:before="160"/>
        <w:ind w:left="0"/>
        <w:rPr>
          <w:rFonts w:cs="Times New Roman"/>
          <w:color w:val="000000" w:themeColor="text1"/>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seeking approval to not display the expiration date for OMB approval of the information collection, explain the reasons that display would be inappropriate.</w:t>
      </w:r>
    </w:p>
    <w:p w:rsidR="008E61C9" w:rsidP="00BD7237" w:rsidRDefault="0061105D">
      <w:pPr>
        <w:spacing w:before="161"/>
        <w:rPr>
          <w:rFonts w:cs="Times New Roman"/>
          <w:color w:val="000000" w:themeColor="text1"/>
          <w:szCs w:val="24"/>
        </w:rPr>
      </w:pPr>
      <w:r w:rsidRPr="0061105D">
        <w:rPr>
          <w:rFonts w:cs="Times New Roman"/>
          <w:color w:val="000000" w:themeColor="text1"/>
          <w:szCs w:val="24"/>
        </w:rPr>
        <w:t xml:space="preserve">The agency </w:t>
      </w:r>
      <w:r>
        <w:rPr>
          <w:rFonts w:cs="Times New Roman"/>
          <w:color w:val="000000" w:themeColor="text1"/>
          <w:szCs w:val="24"/>
        </w:rPr>
        <w:t>displays</w:t>
      </w:r>
      <w:r w:rsidRPr="0061105D">
        <w:rPr>
          <w:rFonts w:cs="Times New Roman"/>
          <w:color w:val="000000" w:themeColor="text1"/>
          <w:szCs w:val="24"/>
        </w:rPr>
        <w:t xml:space="preserve"> the expiration date for OMB approval of the information collection on all instruments.</w:t>
      </w:r>
    </w:p>
    <w:p w:rsidRPr="00BD7237" w:rsidR="0061105D" w:rsidP="00BD7237" w:rsidRDefault="0061105D">
      <w:pPr>
        <w:spacing w:before="161"/>
        <w:rPr>
          <w:rFonts w:cs="Times New Roman"/>
          <w:i/>
          <w:szCs w:val="24"/>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each exception to the certification statement identified in “Certification for Paperwork Reduction Act Submissions."</w:t>
      </w:r>
    </w:p>
    <w:p w:rsidRPr="00BD7237" w:rsidR="008E61C9" w:rsidP="00BD7237" w:rsidRDefault="001477A3">
      <w:pPr>
        <w:spacing w:before="124"/>
        <w:rPr>
          <w:rFonts w:cs="Times New Roman"/>
          <w:b/>
          <w:szCs w:val="24"/>
        </w:rPr>
      </w:pPr>
      <w:r w:rsidRPr="00BD7237">
        <w:rPr>
          <w:rFonts w:cs="Times New Roman"/>
          <w:b/>
          <w:szCs w:val="24"/>
          <w:u w:val="thick"/>
        </w:rPr>
        <w:t>Certification Statement for Paperwork Reduction Act Submissions</w:t>
      </w:r>
    </w:p>
    <w:p w:rsidRPr="002C497D" w:rsidR="008E61C9" w:rsidP="00BD7237" w:rsidRDefault="001477A3">
      <w:pPr>
        <w:spacing w:before="182" w:line="259" w:lineRule="auto"/>
        <w:rPr>
          <w:rFonts w:cs="Times New Roman"/>
          <w:szCs w:val="24"/>
        </w:rPr>
      </w:pPr>
      <w:r w:rsidRPr="002C497D">
        <w:rPr>
          <w:rFonts w:cs="Times New Roman"/>
          <w:szCs w:val="24"/>
        </w:rPr>
        <w:t xml:space="preserve">On behalf of this Federal agency, I certify that the collection of information encompassed by this request </w:t>
      </w:r>
      <w:r w:rsidRPr="002C497D">
        <w:rPr>
          <w:rFonts w:cs="Times New Roman"/>
          <w:szCs w:val="24"/>
        </w:rPr>
        <w:lastRenderedPageBreak/>
        <w:t xml:space="preserve">complies with </w:t>
      </w:r>
      <w:hyperlink r:id="rId12">
        <w:r w:rsidRPr="002C497D">
          <w:rPr>
            <w:rFonts w:cs="Times New Roman"/>
            <w:color w:val="0563C1"/>
            <w:szCs w:val="24"/>
            <w:u w:val="thick" w:color="0563C1"/>
          </w:rPr>
          <w:t>5 CFR 1320.9</w:t>
        </w:r>
        <w:r w:rsidRPr="002C497D">
          <w:rPr>
            <w:rFonts w:cs="Times New Roman"/>
            <w:color w:val="0563C1"/>
            <w:szCs w:val="24"/>
          </w:rPr>
          <w:t xml:space="preserve"> </w:t>
        </w:r>
      </w:hyperlink>
      <w:r w:rsidRPr="002C497D">
        <w:rPr>
          <w:rFonts w:cs="Times New Roman"/>
          <w:szCs w:val="24"/>
        </w:rPr>
        <w:t xml:space="preserve">and the related provisions of </w:t>
      </w:r>
      <w:hyperlink r:id="rId13">
        <w:r w:rsidRPr="002C497D">
          <w:rPr>
            <w:rFonts w:cs="Times New Roman"/>
            <w:color w:val="0563C1"/>
            <w:szCs w:val="24"/>
            <w:u w:val="thick" w:color="0563C1"/>
          </w:rPr>
          <w:t>5 CFR 1320.8(b)(3)</w:t>
        </w:r>
      </w:hyperlink>
      <w:r w:rsidRPr="002C497D">
        <w:rPr>
          <w:rFonts w:cs="Times New Roman"/>
          <w:szCs w:val="24"/>
        </w:rPr>
        <w:t>.</w:t>
      </w:r>
    </w:p>
    <w:sectPr w:rsidRPr="002C497D" w:rsidR="008E61C9"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B18" w:rsidRDefault="00BD0B18">
      <w:r>
        <w:separator/>
      </w:r>
    </w:p>
  </w:endnote>
  <w:endnote w:type="continuationSeparator" w:id="0">
    <w:p w:rsidR="00BD0B18" w:rsidRDefault="00BD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FA6" w:rsidRDefault="002D5FA6">
    <w:pPr>
      <w:pStyle w:val="BodyText"/>
      <w:spacing w:before="0" w:line="14" w:lineRule="auto"/>
      <w:ind w:left="0"/>
      <w:rPr>
        <w:sz w:val="20"/>
      </w:rPr>
    </w:pPr>
    <w:r>
      <w:rPr>
        <w:noProof/>
      </w:rPr>
      <mc:AlternateContent>
        <mc:Choice Requires="wps">
          <w:drawing>
            <wp:anchor distT="0" distB="0" distL="114300" distR="114300" simplePos="0" relativeHeight="250567680" behindDoc="1" locked="0" layoutInCell="1" allowOverlap="1">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FA6" w:rsidRDefault="002D5FA6">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rsidR="002D5FA6" w:rsidRDefault="002D5FA6">
                    <w:pPr>
                      <w:spacing w:line="245" w:lineRule="exact"/>
                      <w:ind w:left="20"/>
                      <w:rPr>
                        <w:rFonts w:ascii="Calibri"/>
                        <w:b/>
                      </w:rPr>
                    </w:pPr>
                  </w:p>
                </w:txbxContent>
              </v:textbox>
              <w10:wrap anchorx="page" anchory="page"/>
            </v:shape>
          </w:pict>
        </mc:Fallback>
      </mc:AlternateContent>
    </w:r>
    <w:r>
      <w:rPr>
        <w:noProof/>
      </w:rPr>
      <mc:AlternateContent>
        <mc:Choice Requires="wps">
          <w:drawing>
            <wp:anchor distT="0" distB="0" distL="114300" distR="114300" simplePos="0" relativeHeight="250568704" behindDoc="1" locked="0" layoutInCell="1" allowOverlap="1">
              <wp:simplePos x="0" y="0"/>
              <wp:positionH relativeFrom="page">
                <wp:posOffset>5293995</wp:posOffset>
              </wp:positionH>
              <wp:positionV relativeFrom="page">
                <wp:posOffset>9274810</wp:posOffset>
              </wp:positionV>
              <wp:extent cx="18129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FA6" w:rsidRDefault="002D5FA6">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16.85pt;margin-top:730.3pt;width:142.75pt;height:13.05pt;z-index:-25274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rdrQ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" filled="f" stroked="f">
              <v:textbox inset="0,0,0,0">
                <w:txbxContent>
                  <w:p w:rsidR="002D5FA6" w:rsidRDefault="002D5FA6">
                    <w:pPr>
                      <w:spacing w:line="245" w:lineRule="exact"/>
                      <w:ind w:left="20"/>
                      <w:rPr>
                        <w:rFonts w:ascii="Calibri"/>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B18" w:rsidRDefault="00BD0B18">
      <w:r>
        <w:separator/>
      </w:r>
    </w:p>
  </w:footnote>
  <w:footnote w:type="continuationSeparator" w:id="0">
    <w:p w:rsidR="00BD0B18" w:rsidRDefault="00BD0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0"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2"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26771"/>
    <w:rsid w:val="00092CB1"/>
    <w:rsid w:val="000B64C2"/>
    <w:rsid w:val="000F0BFB"/>
    <w:rsid w:val="000F0F10"/>
    <w:rsid w:val="00115034"/>
    <w:rsid w:val="001477A3"/>
    <w:rsid w:val="00150196"/>
    <w:rsid w:val="0016492E"/>
    <w:rsid w:val="0018236F"/>
    <w:rsid w:val="001A4562"/>
    <w:rsid w:val="001D7575"/>
    <w:rsid w:val="00243CD0"/>
    <w:rsid w:val="002557E0"/>
    <w:rsid w:val="002C497D"/>
    <w:rsid w:val="002D5FA6"/>
    <w:rsid w:val="003B7E1D"/>
    <w:rsid w:val="003C0CD8"/>
    <w:rsid w:val="00454649"/>
    <w:rsid w:val="004868AE"/>
    <w:rsid w:val="004C4050"/>
    <w:rsid w:val="004F32E9"/>
    <w:rsid w:val="0050663C"/>
    <w:rsid w:val="005504F6"/>
    <w:rsid w:val="00572908"/>
    <w:rsid w:val="00574B36"/>
    <w:rsid w:val="005D3F27"/>
    <w:rsid w:val="005E71EA"/>
    <w:rsid w:val="0061105D"/>
    <w:rsid w:val="007361C7"/>
    <w:rsid w:val="007E71CD"/>
    <w:rsid w:val="0082262E"/>
    <w:rsid w:val="008E61C9"/>
    <w:rsid w:val="0090532B"/>
    <w:rsid w:val="009A77DE"/>
    <w:rsid w:val="009B116F"/>
    <w:rsid w:val="009B59A8"/>
    <w:rsid w:val="009C713E"/>
    <w:rsid w:val="00AD1431"/>
    <w:rsid w:val="00AD425F"/>
    <w:rsid w:val="00AD441D"/>
    <w:rsid w:val="00AE3A3D"/>
    <w:rsid w:val="00BD0B18"/>
    <w:rsid w:val="00BD7237"/>
    <w:rsid w:val="00BE684F"/>
    <w:rsid w:val="00BF1B4D"/>
    <w:rsid w:val="00C4699B"/>
    <w:rsid w:val="00CC3B4D"/>
    <w:rsid w:val="00D02899"/>
    <w:rsid w:val="00D64DF9"/>
    <w:rsid w:val="00D65EAB"/>
    <w:rsid w:val="00D805B6"/>
    <w:rsid w:val="00DC7319"/>
    <w:rsid w:val="00DE183E"/>
    <w:rsid w:val="00DF0CE3"/>
    <w:rsid w:val="00E6214C"/>
    <w:rsid w:val="00EA35DE"/>
    <w:rsid w:val="00EA79E9"/>
    <w:rsid w:val="00EC56BD"/>
    <w:rsid w:val="00EF2637"/>
    <w:rsid w:val="00F16A48"/>
    <w:rsid w:val="00F60F98"/>
    <w:rsid w:val="00FD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0B152"/>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unhideWhenUsed/>
    <w:rsid w:val="000B64C2"/>
    <w:rPr>
      <w:color w:val="0000FF" w:themeColor="hyperlink"/>
      <w:u w:val="single"/>
    </w:rPr>
  </w:style>
  <w:style w:type="paragraph" w:styleId="Header">
    <w:name w:val="header"/>
    <w:basedOn w:val="Normal"/>
    <w:link w:val="HeaderChar"/>
    <w:uiPriority w:val="99"/>
    <w:unhideWhenUsed/>
    <w:rsid w:val="00243CD0"/>
    <w:pPr>
      <w:tabs>
        <w:tab w:val="center" w:pos="4680"/>
        <w:tab w:val="right" w:pos="9360"/>
      </w:tabs>
    </w:pPr>
  </w:style>
  <w:style w:type="character" w:customStyle="1" w:styleId="HeaderChar">
    <w:name w:val="Header Char"/>
    <w:basedOn w:val="DefaultParagraphFont"/>
    <w:link w:val="Header"/>
    <w:uiPriority w:val="99"/>
    <w:rsid w:val="00243CD0"/>
  </w:style>
  <w:style w:type="paragraph" w:styleId="Footer">
    <w:name w:val="footer"/>
    <w:basedOn w:val="Normal"/>
    <w:link w:val="FooterChar"/>
    <w:uiPriority w:val="99"/>
    <w:unhideWhenUsed/>
    <w:rsid w:val="00243CD0"/>
    <w:pPr>
      <w:tabs>
        <w:tab w:val="center" w:pos="4680"/>
        <w:tab w:val="right" w:pos="9360"/>
      </w:tabs>
    </w:pPr>
  </w:style>
  <w:style w:type="character" w:customStyle="1" w:styleId="FooterChar">
    <w:name w:val="Footer Char"/>
    <w:basedOn w:val="DefaultParagraphFont"/>
    <w:link w:val="Footer"/>
    <w:uiPriority w:val="99"/>
    <w:rsid w:val="00243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56535">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395935210">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national/marine-mammal-protection/marine-mammal-authorization-program" TargetMode="External"/><Relationship Id="rId13" Type="http://schemas.openxmlformats.org/officeDocument/2006/relationships/hyperlink" Target="http://www.gpo.gov/fdsys/pkg/CFR-2014-title5-vol3/pdf/CFR-2014-title5-vol3-sec1320-8.pdf" TargetMode="External"/><Relationship Id="rId3" Type="http://schemas.openxmlformats.org/officeDocument/2006/relationships/settings" Target="settings.xml"/><Relationship Id="rId7" Type="http://schemas.openxmlformats.org/officeDocument/2006/relationships/hyperlink" Target="https://www.fisheries.noaa.gov/topic/laws-policies" TargetMode="External"/><Relationship Id="rId12" Type="http://schemas.openxmlformats.org/officeDocument/2006/relationships/hyperlink" Target="http://www.gpo.gov/fdsys/pkg/CFR-2014-title5-vol3/pdf/CFR-2014-title5-vol3-sec1320-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ls.gov/bls/blswage.htm" TargetMode="External"/><Relationship Id="rId4" Type="http://schemas.openxmlformats.org/officeDocument/2006/relationships/webSettings" Target="webSettings.xml"/><Relationship Id="rId9" Type="http://schemas.openxmlformats.org/officeDocument/2006/relationships/hyperlink" Target="https://www.bls.gov/bls/blswage.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1662</TotalTime>
  <Pages>9</Pages>
  <Words>3400</Words>
  <Characters>19381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Janet.Peery</cp:lastModifiedBy>
  <cp:revision>33</cp:revision>
  <dcterms:created xsi:type="dcterms:W3CDTF">2020-08-03T19:55:00Z</dcterms:created>
  <dcterms:modified xsi:type="dcterms:W3CDTF">2020-08-19T16:07:00Z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