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D329B" w:rsidR="00444FA6" w:rsidP="00444FA6" w:rsidRDefault="00187D2F" w14:paraId="018DE1B2" w14:textId="049DD4CA">
      <w:pPr>
        <w:widowControl/>
        <w:autoSpaceDE/>
        <w:autoSpaceDN/>
        <w:adjustRightInd/>
        <w:rPr>
          <w:b/>
          <w:sz w:val="24"/>
          <w:szCs w:val="24"/>
          <w:lang w:val="en-CA"/>
        </w:rPr>
      </w:pPr>
      <w:r>
        <w:rPr>
          <w:b/>
          <w:sz w:val="24"/>
          <w:szCs w:val="24"/>
          <w:lang w:val="en-CA"/>
        </w:rPr>
        <w:t xml:space="preserve"> </w:t>
      </w:r>
    </w:p>
    <w:p w:rsidRPr="006D329B" w:rsidR="00444FA6" w:rsidP="00444FA6" w:rsidRDefault="00444FA6" w14:paraId="3B1813B3" w14:textId="77777777">
      <w:pPr>
        <w:widowControl/>
        <w:autoSpaceDE/>
        <w:autoSpaceDN/>
        <w:adjustRightInd/>
        <w:jc w:val="center"/>
        <w:rPr>
          <w:b/>
          <w:sz w:val="24"/>
          <w:szCs w:val="24"/>
          <w:lang w:val="en-CA"/>
        </w:rPr>
      </w:pPr>
      <w:r w:rsidRPr="006D329B">
        <w:rPr>
          <w:b/>
          <w:sz w:val="24"/>
          <w:szCs w:val="24"/>
          <w:lang w:val="en-CA"/>
        </w:rPr>
        <w:t>BUREAU OF CONSUMER FINANCIAL PROTECTION</w:t>
      </w:r>
    </w:p>
    <w:p w:rsidRPr="006D329B" w:rsidR="00444FA6" w:rsidP="00444FA6" w:rsidRDefault="00444FA6" w14:paraId="25B8900C" w14:textId="77777777">
      <w:pPr>
        <w:widowControl/>
        <w:autoSpaceDE/>
        <w:autoSpaceDN/>
        <w:adjustRightInd/>
        <w:jc w:val="center"/>
        <w:rPr>
          <w:b/>
          <w:sz w:val="24"/>
          <w:szCs w:val="24"/>
          <w:lang w:val="en-CA"/>
        </w:rPr>
      </w:pPr>
      <w:r w:rsidRPr="006D329B">
        <w:rPr>
          <w:b/>
          <w:sz w:val="24"/>
          <w:szCs w:val="24"/>
          <w:lang w:val="en-CA"/>
        </w:rPr>
        <w:t>PAPERWORK REDUCTION ACT SUBMISSION</w:t>
      </w:r>
    </w:p>
    <w:p w:rsidRPr="006D329B" w:rsidR="00444FA6" w:rsidP="00444FA6" w:rsidRDefault="00444FA6" w14:paraId="347AEF62" w14:textId="77777777">
      <w:pPr>
        <w:pStyle w:val="CM12"/>
        <w:jc w:val="center"/>
        <w:rPr>
          <w:b/>
          <w:bCs/>
          <w:color w:val="000000"/>
        </w:rPr>
      </w:pPr>
      <w:r w:rsidRPr="006D329B">
        <w:rPr>
          <w:b/>
          <w:bCs/>
          <w:color w:val="000000"/>
        </w:rPr>
        <w:t>INFORMATION COLLECTION REQUEST</w:t>
      </w:r>
    </w:p>
    <w:p w:rsidRPr="006D329B" w:rsidR="00444FA6" w:rsidP="00444FA6" w:rsidRDefault="00444FA6" w14:paraId="6B3E3FF7" w14:textId="77777777">
      <w:pPr>
        <w:pStyle w:val="CM12"/>
        <w:jc w:val="center"/>
        <w:rPr>
          <w:b/>
          <w:bCs/>
          <w:color w:val="000000"/>
        </w:rPr>
      </w:pPr>
    </w:p>
    <w:p w:rsidRPr="006D329B" w:rsidR="00444FA6" w:rsidP="00444FA6" w:rsidRDefault="00444FA6" w14:paraId="4E28DDDE" w14:textId="77777777">
      <w:pPr>
        <w:pStyle w:val="CM12"/>
        <w:jc w:val="center"/>
        <w:rPr>
          <w:b/>
          <w:bCs/>
          <w:color w:val="000000"/>
        </w:rPr>
      </w:pPr>
      <w:r w:rsidRPr="006D329B">
        <w:rPr>
          <w:b/>
          <w:bCs/>
          <w:color w:val="000000"/>
        </w:rPr>
        <w:t>SUPPORTING STATEMENT PART A</w:t>
      </w:r>
    </w:p>
    <w:p w:rsidRPr="006D329B" w:rsidR="00444FA6" w:rsidP="00444FA6" w:rsidRDefault="00444FA6" w14:paraId="10D4604C" w14:textId="77777777">
      <w:pPr>
        <w:rPr>
          <w:sz w:val="24"/>
          <w:szCs w:val="24"/>
        </w:rPr>
      </w:pPr>
    </w:p>
    <w:p w:rsidRPr="006D329B" w:rsidR="00444FA6" w:rsidP="00444FA6" w:rsidRDefault="00444FA6" w14:paraId="3E7F04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4"/>
          <w:szCs w:val="24"/>
        </w:rPr>
      </w:pPr>
      <w:r w:rsidRPr="006D329B">
        <w:rPr>
          <w:b/>
          <w:bCs/>
          <w:caps/>
          <w:sz w:val="24"/>
          <w:szCs w:val="24"/>
        </w:rPr>
        <w:t>Payday, Vehicle Title, and Certain High-Cost Installment Loans (1</w:t>
      </w:r>
      <w:r w:rsidRPr="006D329B">
        <w:rPr>
          <w:b/>
          <w:sz w:val="24"/>
          <w:szCs w:val="24"/>
        </w:rPr>
        <w:t>2 CFR PART 1041</w:t>
      </w:r>
      <w:r w:rsidRPr="006D329B">
        <w:rPr>
          <w:sz w:val="24"/>
          <w:szCs w:val="24"/>
        </w:rPr>
        <w:t>)</w:t>
      </w:r>
    </w:p>
    <w:p w:rsidRPr="006D329B" w:rsidR="00444FA6" w:rsidP="00444FA6" w:rsidRDefault="00444FA6" w14:paraId="29DC61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Pr="006D329B" w:rsidR="00444FA6" w:rsidP="00444FA6" w:rsidRDefault="00444FA6" w14:paraId="0695D594" w14:textId="34491F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6D329B" w:rsidDel="00B531E1">
        <w:rPr>
          <w:b/>
          <w:bCs/>
          <w:sz w:val="24"/>
          <w:szCs w:val="24"/>
        </w:rPr>
        <w:t xml:space="preserve"> </w:t>
      </w:r>
      <w:r w:rsidRPr="006D329B">
        <w:rPr>
          <w:b/>
          <w:bCs/>
          <w:sz w:val="24"/>
          <w:szCs w:val="24"/>
        </w:rPr>
        <w:t>(OMB CONTROL NUMBER: 3170-</w:t>
      </w:r>
      <w:r w:rsidRPr="006D329B" w:rsidR="003345C0">
        <w:rPr>
          <w:b/>
          <w:bCs/>
          <w:sz w:val="24"/>
          <w:szCs w:val="24"/>
        </w:rPr>
        <w:t>00</w:t>
      </w:r>
      <w:r w:rsidR="003345C0">
        <w:rPr>
          <w:b/>
          <w:bCs/>
          <w:sz w:val="24"/>
          <w:szCs w:val="24"/>
        </w:rPr>
        <w:t>71</w:t>
      </w:r>
      <w:r w:rsidRPr="006D329B">
        <w:rPr>
          <w:b/>
          <w:bCs/>
          <w:sz w:val="24"/>
          <w:szCs w:val="24"/>
        </w:rPr>
        <w:t>)</w:t>
      </w:r>
    </w:p>
    <w:p w:rsidRPr="006D329B" w:rsidR="00444FA6" w:rsidP="00444FA6" w:rsidRDefault="00444FA6" w14:paraId="3D2F5353" w14:textId="77777777">
      <w:pPr>
        <w:pBdr>
          <w:bottom w:val="single" w:color="auto" w:sz="6"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6D329B" w:rsidR="00444FA6" w:rsidP="00444FA6" w:rsidRDefault="00444FA6" w14:paraId="5B9C78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44FA6" w:rsidP="00444FA6" w:rsidRDefault="00444FA6" w14:paraId="1CCFA4A1" w14:textId="1305A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329B">
        <w:rPr>
          <w:b/>
          <w:sz w:val="24"/>
          <w:szCs w:val="24"/>
        </w:rPr>
        <w:t>OMB TERMS OF CLEARANCE</w:t>
      </w:r>
      <w:bookmarkStart w:name="_Hlk36111677" w:id="0"/>
      <w:r w:rsidRPr="006D329B">
        <w:rPr>
          <w:b/>
          <w:sz w:val="24"/>
          <w:szCs w:val="24"/>
        </w:rPr>
        <w:t>:</w:t>
      </w:r>
      <w:r w:rsidRPr="006D329B">
        <w:rPr>
          <w:sz w:val="24"/>
          <w:szCs w:val="24"/>
        </w:rPr>
        <w:t xml:space="preserve"> </w:t>
      </w:r>
      <w:r w:rsidR="00F04F73">
        <w:rPr>
          <w:sz w:val="24"/>
          <w:szCs w:val="24"/>
        </w:rPr>
        <w:t>T</w:t>
      </w:r>
      <w:r w:rsidR="006654F6">
        <w:rPr>
          <w:sz w:val="24"/>
          <w:szCs w:val="24"/>
        </w:rPr>
        <w:t>his</w:t>
      </w:r>
      <w:r w:rsidR="00A752E6">
        <w:rPr>
          <w:sz w:val="24"/>
          <w:szCs w:val="24"/>
        </w:rPr>
        <w:t xml:space="preserve"> information collection request </w:t>
      </w:r>
      <w:r w:rsidR="0014190D">
        <w:rPr>
          <w:sz w:val="24"/>
          <w:szCs w:val="24"/>
        </w:rPr>
        <w:t xml:space="preserve">(ICR) </w:t>
      </w:r>
      <w:r w:rsidR="00A752E6">
        <w:rPr>
          <w:sz w:val="24"/>
          <w:szCs w:val="24"/>
        </w:rPr>
        <w:t xml:space="preserve">was </w:t>
      </w:r>
      <w:r w:rsidR="00D5233F">
        <w:rPr>
          <w:sz w:val="24"/>
          <w:szCs w:val="24"/>
        </w:rPr>
        <w:t xml:space="preserve">most recently </w:t>
      </w:r>
      <w:r w:rsidR="00A752E6">
        <w:rPr>
          <w:sz w:val="24"/>
          <w:szCs w:val="24"/>
        </w:rPr>
        <w:t>submitted to the Office of Management and Budget (OMB)</w:t>
      </w:r>
      <w:r w:rsidR="00284CDD">
        <w:rPr>
          <w:sz w:val="24"/>
          <w:szCs w:val="24"/>
        </w:rPr>
        <w:t xml:space="preserve"> </w:t>
      </w:r>
      <w:r w:rsidR="00F70688">
        <w:rPr>
          <w:sz w:val="24"/>
          <w:szCs w:val="24"/>
        </w:rPr>
        <w:t xml:space="preserve">when the proposed rule for RIN 3170-AA80 was published in the </w:t>
      </w:r>
      <w:r w:rsidRPr="00F70688" w:rsidR="00F70688">
        <w:rPr>
          <w:i/>
          <w:sz w:val="24"/>
          <w:szCs w:val="24"/>
        </w:rPr>
        <w:t>Federal Register</w:t>
      </w:r>
      <w:r w:rsidR="00F70688">
        <w:rPr>
          <w:sz w:val="24"/>
          <w:szCs w:val="24"/>
        </w:rPr>
        <w:t xml:space="preserve"> on </w:t>
      </w:r>
      <w:r w:rsidR="00D30641">
        <w:rPr>
          <w:sz w:val="24"/>
          <w:szCs w:val="24"/>
        </w:rPr>
        <w:t>February 14, 2019</w:t>
      </w:r>
      <w:r w:rsidRPr="006D329B">
        <w:rPr>
          <w:sz w:val="24"/>
          <w:szCs w:val="24"/>
        </w:rPr>
        <w:t>.</w:t>
      </w:r>
      <w:r w:rsidR="00D30641">
        <w:rPr>
          <w:sz w:val="24"/>
          <w:szCs w:val="24"/>
        </w:rPr>
        <w:t xml:space="preserve"> OMB </w:t>
      </w:r>
      <w:r w:rsidR="00DC74DD">
        <w:rPr>
          <w:sz w:val="24"/>
          <w:szCs w:val="24"/>
        </w:rPr>
        <w:t xml:space="preserve">concluded </w:t>
      </w:r>
      <w:r w:rsidR="00D30641">
        <w:rPr>
          <w:sz w:val="24"/>
          <w:szCs w:val="24"/>
        </w:rPr>
        <w:t xml:space="preserve">its review of that request on </w:t>
      </w:r>
      <w:r w:rsidR="00DC74DD">
        <w:rPr>
          <w:sz w:val="24"/>
          <w:szCs w:val="24"/>
        </w:rPr>
        <w:t xml:space="preserve">October 29, 2019 providing the following Terms of Clearance: </w:t>
      </w:r>
    </w:p>
    <w:bookmarkEnd w:id="0"/>
    <w:p w:rsidR="00DC74DD" w:rsidP="00444FA6" w:rsidRDefault="00DC74DD" w14:paraId="52E3D086" w14:textId="443729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C74DD" w:rsidP="00444FA6" w:rsidRDefault="0014190D" w14:paraId="13450B9D" w14:textId="602423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14190D">
        <w:rPr>
          <w:i/>
          <w:sz w:val="24"/>
          <w:szCs w:val="24"/>
        </w:rPr>
        <w:t>OMB files this comment in accordance with 5 CFR 1320.11(c). This OMB action is not an approval to conduct or sponsor an information collection under the Paperwork Reduction Act of 1995. This action has no effect on any current approvals. If OMB has assigned this ICR a new OMB Control Number, the OMB Control Number will not appear in the active inventory. For future submissions of this information collection, reference the OMB Control Number provided. Resubmit when proposed rule is finalized.</w:t>
      </w:r>
    </w:p>
    <w:p w:rsidR="00B62894" w:rsidP="00444FA6" w:rsidRDefault="00B62894" w14:paraId="656C8D8E" w14:textId="107F6F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rsidRPr="00B62894" w:rsidR="00B62894" w:rsidP="00444FA6" w:rsidRDefault="00B62894" w14:paraId="03DED531" w14:textId="03AC8A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w:t>
      </w:r>
      <w:r w:rsidR="0070395C">
        <w:rPr>
          <w:sz w:val="24"/>
          <w:szCs w:val="24"/>
        </w:rPr>
        <w:t>submission</w:t>
      </w:r>
      <w:r>
        <w:rPr>
          <w:sz w:val="24"/>
          <w:szCs w:val="24"/>
        </w:rPr>
        <w:t xml:space="preserve"> of this ICR to OMB</w:t>
      </w:r>
      <w:r w:rsidR="0023510A">
        <w:rPr>
          <w:sz w:val="24"/>
          <w:szCs w:val="24"/>
        </w:rPr>
        <w:t xml:space="preserve"> </w:t>
      </w:r>
      <w:r w:rsidR="0044006E">
        <w:rPr>
          <w:sz w:val="24"/>
          <w:szCs w:val="24"/>
        </w:rPr>
        <w:t>at</w:t>
      </w:r>
      <w:r w:rsidR="0023510A">
        <w:rPr>
          <w:sz w:val="24"/>
          <w:szCs w:val="24"/>
        </w:rPr>
        <w:t xml:space="preserve"> the final rule </w:t>
      </w:r>
      <w:r w:rsidR="0044006E">
        <w:rPr>
          <w:sz w:val="24"/>
          <w:szCs w:val="24"/>
        </w:rPr>
        <w:t xml:space="preserve">stage </w:t>
      </w:r>
      <w:r w:rsidR="0023510A">
        <w:rPr>
          <w:sz w:val="24"/>
          <w:szCs w:val="24"/>
        </w:rPr>
        <w:t>for RIN 3170-AA80 satisfies this OMB Ter</w:t>
      </w:r>
      <w:r w:rsidR="009C5207">
        <w:rPr>
          <w:sz w:val="24"/>
          <w:szCs w:val="24"/>
        </w:rPr>
        <w:t xml:space="preserve">ms of Clearance. </w:t>
      </w:r>
    </w:p>
    <w:p w:rsidRPr="006D329B" w:rsidR="00DC74DD" w:rsidP="00444FA6" w:rsidRDefault="00DC74DD" w14:paraId="510FCC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44FA6" w:rsidP="00444FA6" w:rsidRDefault="00444FA6" w14:paraId="64EB650A" w14:textId="2BEA8C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44FA6" w:rsidP="00444FA6" w:rsidRDefault="00444FA6" w14:paraId="35902572" w14:textId="15D1E1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329B">
        <w:rPr>
          <w:b/>
          <w:sz w:val="24"/>
          <w:szCs w:val="24"/>
        </w:rPr>
        <w:t xml:space="preserve">ABSTRACT: </w:t>
      </w:r>
      <w:r w:rsidRPr="006D329B">
        <w:rPr>
          <w:sz w:val="24"/>
          <w:szCs w:val="24"/>
        </w:rPr>
        <w:t xml:space="preserve"> This regulation applies to non-depository institutions and loan brokers engaged in consumer lending, credit intermediation activities, or activities related to credit intermediation, along with banks and credit unions that make loans that are subject to the rule.  The purpose of this rule is to identify certain unfair and abusive acts or practices in connection with certain consumer credit transactions, to set forth requirements for preventing such acts or practices, and to provide certain partial conditional exemptions from aspects of this rule</w:t>
      </w:r>
      <w:r>
        <w:rPr>
          <w:sz w:val="24"/>
          <w:szCs w:val="24"/>
        </w:rPr>
        <w:t>.</w:t>
      </w:r>
      <w:r w:rsidR="00E25BC7">
        <w:rPr>
          <w:sz w:val="24"/>
          <w:szCs w:val="24"/>
        </w:rPr>
        <w:t xml:space="preserve">  </w:t>
      </w:r>
      <w:r w:rsidR="0081056D">
        <w:rPr>
          <w:sz w:val="24"/>
          <w:szCs w:val="24"/>
        </w:rPr>
        <w:t xml:space="preserve">This rule also contains </w:t>
      </w:r>
      <w:r w:rsidR="000C28AF">
        <w:rPr>
          <w:sz w:val="24"/>
          <w:szCs w:val="24"/>
        </w:rPr>
        <w:t xml:space="preserve">requirements to ensure </w:t>
      </w:r>
      <w:r w:rsidR="00321097">
        <w:rPr>
          <w:sz w:val="24"/>
          <w:szCs w:val="24"/>
        </w:rPr>
        <w:t xml:space="preserve">that the features </w:t>
      </w:r>
      <w:r w:rsidR="008349BB">
        <w:rPr>
          <w:sz w:val="24"/>
          <w:szCs w:val="24"/>
        </w:rPr>
        <w:t xml:space="preserve">of </w:t>
      </w:r>
      <w:r w:rsidR="0037223C">
        <w:rPr>
          <w:sz w:val="24"/>
          <w:szCs w:val="24"/>
        </w:rPr>
        <w:t xml:space="preserve">those consumer credit transactions </w:t>
      </w:r>
      <w:r w:rsidR="009B5EE4">
        <w:rPr>
          <w:sz w:val="24"/>
          <w:szCs w:val="24"/>
        </w:rPr>
        <w:t xml:space="preserve">are fully, accurately, </w:t>
      </w:r>
      <w:r w:rsidR="008C349E">
        <w:rPr>
          <w:sz w:val="24"/>
          <w:szCs w:val="24"/>
        </w:rPr>
        <w:t>and effectively disclosed to consumers</w:t>
      </w:r>
      <w:r w:rsidR="003334DD">
        <w:rPr>
          <w:sz w:val="24"/>
          <w:szCs w:val="24"/>
        </w:rPr>
        <w:t>.</w:t>
      </w:r>
    </w:p>
    <w:p w:rsidR="009C5207" w:rsidP="00444FA6" w:rsidRDefault="009C5207" w14:paraId="39F047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D50340" w:rsidP="00444FA6" w:rsidRDefault="00D50340" w14:paraId="7B4AB7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F2700D" w:rsidR="00444FA6" w:rsidP="00444FA6" w:rsidRDefault="00444FA6" w14:paraId="7BF40383" w14:textId="141B6D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F2700D">
        <w:rPr>
          <w:b/>
          <w:sz w:val="24"/>
          <w:szCs w:val="24"/>
        </w:rPr>
        <w:t>NOTE-TO-REVIEWERS</w:t>
      </w:r>
    </w:p>
    <w:p w:rsidR="00444FA6" w:rsidP="00444FA6" w:rsidRDefault="00444FA6" w14:paraId="5B37C1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44FA6" w:rsidP="00444FA6" w:rsidRDefault="00444FA6" w14:paraId="50BBE31A" w14:textId="20A447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u w:val="single"/>
        </w:rPr>
      </w:pPr>
      <w:r w:rsidRPr="00444FA6">
        <w:rPr>
          <w:sz w:val="24"/>
          <w:szCs w:val="24"/>
        </w:rPr>
        <w:t>The collections of information related to the 2017 Final Rule (82 FR 54472</w:t>
      </w:r>
      <w:r w:rsidR="0016597B">
        <w:rPr>
          <w:sz w:val="24"/>
          <w:szCs w:val="24"/>
        </w:rPr>
        <w:t>, Nov. 17, 2017</w:t>
      </w:r>
      <w:r w:rsidRPr="00444FA6">
        <w:rPr>
          <w:sz w:val="24"/>
          <w:szCs w:val="24"/>
        </w:rPr>
        <w:t xml:space="preserve">) were </w:t>
      </w:r>
      <w:r w:rsidR="00D73547">
        <w:rPr>
          <w:sz w:val="24"/>
          <w:szCs w:val="24"/>
        </w:rPr>
        <w:t xml:space="preserve">first </w:t>
      </w:r>
      <w:r w:rsidRPr="00444FA6">
        <w:rPr>
          <w:sz w:val="24"/>
          <w:szCs w:val="24"/>
        </w:rPr>
        <w:t xml:space="preserve">submitted to OMB in accordance with the Paperwork Reduction Act of 1995 (“PRA”) and </w:t>
      </w:r>
      <w:r w:rsidRPr="00444FA6">
        <w:rPr>
          <w:sz w:val="24"/>
          <w:szCs w:val="24"/>
        </w:rPr>
        <w:lastRenderedPageBreak/>
        <w:t xml:space="preserve">assigned OMB Control Number 3170-0065 for tracking purposes. </w:t>
      </w:r>
      <w:r w:rsidR="00EC78AF">
        <w:rPr>
          <w:sz w:val="24"/>
          <w:szCs w:val="24"/>
        </w:rPr>
        <w:t xml:space="preserve"> </w:t>
      </w:r>
      <w:r w:rsidRPr="00444FA6">
        <w:rPr>
          <w:sz w:val="24"/>
          <w:szCs w:val="24"/>
        </w:rPr>
        <w:t xml:space="preserve">The collection of information is not yet active, however, as OMB has not yet approved </w:t>
      </w:r>
      <w:r w:rsidR="008B3935">
        <w:rPr>
          <w:sz w:val="24"/>
          <w:szCs w:val="24"/>
        </w:rPr>
        <w:t xml:space="preserve">(or disapproved) </w:t>
      </w:r>
      <w:r w:rsidRPr="00444FA6">
        <w:rPr>
          <w:sz w:val="24"/>
          <w:szCs w:val="24"/>
        </w:rPr>
        <w:t xml:space="preserve">the 2017 Final Rule information collection request.  </w:t>
      </w:r>
      <w:r w:rsidR="00012B93">
        <w:rPr>
          <w:sz w:val="24"/>
          <w:szCs w:val="24"/>
        </w:rPr>
        <w:t>(</w:t>
      </w:r>
      <w:r w:rsidR="00736472">
        <w:rPr>
          <w:sz w:val="24"/>
          <w:szCs w:val="24"/>
        </w:rPr>
        <w:t xml:space="preserve">The Bureau </w:t>
      </w:r>
      <w:r w:rsidR="001F2E6F">
        <w:rPr>
          <w:sz w:val="24"/>
          <w:szCs w:val="24"/>
        </w:rPr>
        <w:t xml:space="preserve">submitted a new </w:t>
      </w:r>
      <w:r w:rsidR="00012B93">
        <w:rPr>
          <w:sz w:val="24"/>
          <w:szCs w:val="24"/>
        </w:rPr>
        <w:t xml:space="preserve">ICR in 2019 when it published a proposed rule, as noted above.)  </w:t>
      </w:r>
      <w:r w:rsidRPr="00444FA6">
        <w:rPr>
          <w:sz w:val="24"/>
          <w:szCs w:val="24"/>
        </w:rPr>
        <w:t>The Bureau is issuing a new rule (“</w:t>
      </w:r>
      <w:r w:rsidR="00D230A4">
        <w:rPr>
          <w:sz w:val="24"/>
          <w:szCs w:val="24"/>
        </w:rPr>
        <w:t>2020</w:t>
      </w:r>
      <w:r w:rsidRPr="00444FA6">
        <w:rPr>
          <w:sz w:val="24"/>
          <w:szCs w:val="24"/>
        </w:rPr>
        <w:t xml:space="preserve"> </w:t>
      </w:r>
      <w:r w:rsidR="00D230A4">
        <w:rPr>
          <w:sz w:val="24"/>
          <w:szCs w:val="24"/>
        </w:rPr>
        <w:t xml:space="preserve">Final </w:t>
      </w:r>
      <w:r w:rsidRPr="00444FA6">
        <w:rPr>
          <w:sz w:val="24"/>
          <w:szCs w:val="24"/>
        </w:rPr>
        <w:t>Rule”</w:t>
      </w:r>
      <w:r w:rsidR="009B5DF5">
        <w:rPr>
          <w:sz w:val="24"/>
          <w:szCs w:val="24"/>
        </w:rPr>
        <w:t>)</w:t>
      </w:r>
      <w:r w:rsidRPr="00444FA6">
        <w:rPr>
          <w:sz w:val="24"/>
          <w:szCs w:val="24"/>
        </w:rPr>
        <w:t xml:space="preserve"> </w:t>
      </w:r>
      <w:r w:rsidR="009B5DF5">
        <w:rPr>
          <w:sz w:val="24"/>
          <w:szCs w:val="24"/>
        </w:rPr>
        <w:t>that</w:t>
      </w:r>
      <w:r w:rsidR="00670417">
        <w:rPr>
          <w:sz w:val="24"/>
          <w:szCs w:val="24"/>
        </w:rPr>
        <w:t xml:space="preserve"> revokes a portion of the regulations promulgated in 2017</w:t>
      </w:r>
      <w:r w:rsidR="009B5DF5">
        <w:rPr>
          <w:sz w:val="24"/>
          <w:szCs w:val="24"/>
        </w:rPr>
        <w:t>.</w:t>
      </w:r>
      <w:r w:rsidR="00670417">
        <w:rPr>
          <w:sz w:val="24"/>
          <w:szCs w:val="24"/>
        </w:rPr>
        <w:t xml:space="preserve"> </w:t>
      </w:r>
      <w:r w:rsidRPr="00444FA6" w:rsidR="00670417">
        <w:rPr>
          <w:sz w:val="24"/>
          <w:szCs w:val="24"/>
        </w:rPr>
        <w:t xml:space="preserve"> </w:t>
      </w:r>
      <w:r w:rsidRPr="00444FA6">
        <w:rPr>
          <w:sz w:val="24"/>
          <w:szCs w:val="24"/>
        </w:rPr>
        <w:t>The</w:t>
      </w:r>
      <w:r w:rsidR="009B5DF5">
        <w:rPr>
          <w:sz w:val="24"/>
          <w:szCs w:val="24"/>
        </w:rPr>
        <w:t xml:space="preserve">re </w:t>
      </w:r>
      <w:r w:rsidR="00991AC5">
        <w:rPr>
          <w:sz w:val="24"/>
          <w:szCs w:val="24"/>
        </w:rPr>
        <w:t>are</w:t>
      </w:r>
      <w:r w:rsidR="009B5DF5">
        <w:rPr>
          <w:sz w:val="24"/>
          <w:szCs w:val="24"/>
        </w:rPr>
        <w:t xml:space="preserve"> no </w:t>
      </w:r>
      <w:r w:rsidR="003D0C8B">
        <w:rPr>
          <w:sz w:val="24"/>
          <w:szCs w:val="24"/>
        </w:rPr>
        <w:t xml:space="preserve">new </w:t>
      </w:r>
      <w:r w:rsidR="009B5DF5">
        <w:rPr>
          <w:sz w:val="24"/>
          <w:szCs w:val="24"/>
        </w:rPr>
        <w:t>information collection</w:t>
      </w:r>
      <w:r w:rsidR="003D0C8B">
        <w:rPr>
          <w:sz w:val="24"/>
          <w:szCs w:val="24"/>
        </w:rPr>
        <w:t>s</w:t>
      </w:r>
      <w:r w:rsidR="009B5DF5">
        <w:rPr>
          <w:sz w:val="24"/>
          <w:szCs w:val="24"/>
        </w:rPr>
        <w:t xml:space="preserve"> associated</w:t>
      </w:r>
      <w:r w:rsidRPr="00444FA6">
        <w:rPr>
          <w:sz w:val="24"/>
          <w:szCs w:val="24"/>
        </w:rPr>
        <w:t xml:space="preserve"> </w:t>
      </w:r>
      <w:r w:rsidR="009B5DF5">
        <w:rPr>
          <w:sz w:val="24"/>
          <w:szCs w:val="24"/>
        </w:rPr>
        <w:t xml:space="preserve">with the </w:t>
      </w:r>
      <w:r w:rsidRPr="00444FA6">
        <w:rPr>
          <w:sz w:val="24"/>
          <w:szCs w:val="24"/>
        </w:rPr>
        <w:t>20</w:t>
      </w:r>
      <w:r w:rsidR="00D230A4">
        <w:rPr>
          <w:sz w:val="24"/>
          <w:szCs w:val="24"/>
        </w:rPr>
        <w:t>20</w:t>
      </w:r>
      <w:r w:rsidRPr="00444FA6">
        <w:rPr>
          <w:sz w:val="24"/>
          <w:szCs w:val="24"/>
        </w:rPr>
        <w:t xml:space="preserve"> </w:t>
      </w:r>
      <w:r w:rsidR="00D230A4">
        <w:rPr>
          <w:sz w:val="24"/>
          <w:szCs w:val="24"/>
        </w:rPr>
        <w:t>Final</w:t>
      </w:r>
      <w:r w:rsidRPr="00444FA6">
        <w:rPr>
          <w:sz w:val="24"/>
          <w:szCs w:val="24"/>
        </w:rPr>
        <w:t xml:space="preserve"> Rule</w:t>
      </w:r>
      <w:r w:rsidR="009B5DF5">
        <w:rPr>
          <w:sz w:val="24"/>
          <w:szCs w:val="24"/>
        </w:rPr>
        <w:t xml:space="preserve">.  Rather, the </w:t>
      </w:r>
      <w:r w:rsidRPr="00444FA6">
        <w:rPr>
          <w:sz w:val="24"/>
          <w:szCs w:val="24"/>
        </w:rPr>
        <w:t>information collection</w:t>
      </w:r>
      <w:r w:rsidR="009B5DF5">
        <w:rPr>
          <w:sz w:val="24"/>
          <w:szCs w:val="24"/>
        </w:rPr>
        <w:t xml:space="preserve">s for which the Bureau is </w:t>
      </w:r>
      <w:r w:rsidR="00012B93">
        <w:rPr>
          <w:sz w:val="24"/>
          <w:szCs w:val="24"/>
        </w:rPr>
        <w:t>continuing to seek</w:t>
      </w:r>
      <w:r w:rsidR="009B5DF5">
        <w:rPr>
          <w:sz w:val="24"/>
          <w:szCs w:val="24"/>
        </w:rPr>
        <w:t xml:space="preserve"> approval are</w:t>
      </w:r>
      <w:r w:rsidRPr="00444FA6">
        <w:rPr>
          <w:sz w:val="24"/>
          <w:szCs w:val="24"/>
        </w:rPr>
        <w:t xml:space="preserve"> </w:t>
      </w:r>
      <w:r w:rsidR="00670417">
        <w:rPr>
          <w:sz w:val="24"/>
          <w:szCs w:val="24"/>
        </w:rPr>
        <w:t xml:space="preserve">associated with the </w:t>
      </w:r>
      <w:r w:rsidR="009B5DF5">
        <w:rPr>
          <w:sz w:val="24"/>
          <w:szCs w:val="24"/>
        </w:rPr>
        <w:t>remaining, now-c</w:t>
      </w:r>
      <w:r w:rsidR="00670417">
        <w:rPr>
          <w:sz w:val="24"/>
          <w:szCs w:val="24"/>
        </w:rPr>
        <w:t xml:space="preserve">odified portions of the </w:t>
      </w:r>
      <w:r w:rsidRPr="00444FA6">
        <w:rPr>
          <w:sz w:val="24"/>
          <w:szCs w:val="24"/>
        </w:rPr>
        <w:t>2017 Final Rule</w:t>
      </w:r>
      <w:r w:rsidR="006C0A18">
        <w:rPr>
          <w:sz w:val="24"/>
          <w:szCs w:val="24"/>
        </w:rPr>
        <w:t xml:space="preserve">, </w:t>
      </w:r>
      <w:r w:rsidR="009B5DF5">
        <w:rPr>
          <w:sz w:val="24"/>
          <w:szCs w:val="24"/>
        </w:rPr>
        <w:t>and</w:t>
      </w:r>
      <w:r w:rsidRPr="00444FA6" w:rsidR="009B5DF5">
        <w:rPr>
          <w:sz w:val="24"/>
          <w:szCs w:val="24"/>
        </w:rPr>
        <w:t xml:space="preserve"> </w:t>
      </w:r>
      <w:r w:rsidRPr="00444FA6">
        <w:rPr>
          <w:sz w:val="24"/>
          <w:szCs w:val="24"/>
        </w:rPr>
        <w:t>this supporting statement describes and analyzes</w:t>
      </w:r>
      <w:r w:rsidR="00670417">
        <w:rPr>
          <w:sz w:val="24"/>
          <w:szCs w:val="24"/>
        </w:rPr>
        <w:t xml:space="preserve"> only the</w:t>
      </w:r>
      <w:r w:rsidR="009B5DF5">
        <w:rPr>
          <w:sz w:val="24"/>
          <w:szCs w:val="24"/>
        </w:rPr>
        <w:t>se remaining</w:t>
      </w:r>
      <w:r w:rsidR="00670417">
        <w:rPr>
          <w:sz w:val="24"/>
          <w:szCs w:val="24"/>
        </w:rPr>
        <w:t xml:space="preserve"> information collections</w:t>
      </w:r>
      <w:r w:rsidRPr="00444FA6">
        <w:rPr>
          <w:sz w:val="24"/>
          <w:szCs w:val="24"/>
        </w:rPr>
        <w:t xml:space="preserve">. </w:t>
      </w:r>
      <w:r w:rsidR="00670417">
        <w:rPr>
          <w:sz w:val="24"/>
          <w:szCs w:val="24"/>
        </w:rPr>
        <w:t xml:space="preserve"> </w:t>
      </w:r>
      <w:r w:rsidRPr="0083622E" w:rsidR="0083622E">
        <w:rPr>
          <w:sz w:val="24"/>
          <w:szCs w:val="24"/>
        </w:rPr>
        <w:t>Th</w:t>
      </w:r>
      <w:r w:rsidR="00012B93">
        <w:rPr>
          <w:sz w:val="24"/>
          <w:szCs w:val="24"/>
        </w:rPr>
        <w:t>us, th</w:t>
      </w:r>
      <w:r w:rsidRPr="0083622E" w:rsidR="0083622E">
        <w:rPr>
          <w:sz w:val="24"/>
          <w:szCs w:val="24"/>
        </w:rPr>
        <w:t>e Bureau is seeking OMB approval for the information collection requirements remaining in 12 CFR</w:t>
      </w:r>
      <w:r w:rsidR="00633400">
        <w:rPr>
          <w:sz w:val="24"/>
          <w:szCs w:val="24"/>
        </w:rPr>
        <w:t xml:space="preserve"> part</w:t>
      </w:r>
      <w:r w:rsidRPr="0083622E" w:rsidR="0083622E">
        <w:rPr>
          <w:sz w:val="24"/>
          <w:szCs w:val="24"/>
        </w:rPr>
        <w:t xml:space="preserve"> 1041</w:t>
      </w:r>
      <w:r w:rsidR="00C10CCA">
        <w:rPr>
          <w:sz w:val="24"/>
          <w:szCs w:val="24"/>
        </w:rPr>
        <w:t>, Subpart C,</w:t>
      </w:r>
      <w:r w:rsidRPr="0083622E" w:rsidR="0083622E">
        <w:rPr>
          <w:sz w:val="24"/>
          <w:szCs w:val="24"/>
        </w:rPr>
        <w:t xml:space="preserve"> contained in </w:t>
      </w:r>
      <w:r w:rsidR="009E5B93">
        <w:rPr>
          <w:sz w:val="24"/>
          <w:szCs w:val="24"/>
        </w:rPr>
        <w:t>§§ </w:t>
      </w:r>
      <w:r w:rsidRPr="0083622E" w:rsidR="0083622E">
        <w:rPr>
          <w:sz w:val="24"/>
          <w:szCs w:val="24"/>
        </w:rPr>
        <w:t>1041.8</w:t>
      </w:r>
      <w:r w:rsidR="003769E1">
        <w:rPr>
          <w:sz w:val="24"/>
          <w:szCs w:val="24"/>
        </w:rPr>
        <w:t xml:space="preserve">, </w:t>
      </w:r>
      <w:r w:rsidRPr="0083622E" w:rsidR="0083622E">
        <w:rPr>
          <w:sz w:val="24"/>
          <w:szCs w:val="24"/>
        </w:rPr>
        <w:t>1041.9</w:t>
      </w:r>
      <w:r w:rsidR="003769E1">
        <w:rPr>
          <w:sz w:val="24"/>
          <w:szCs w:val="24"/>
        </w:rPr>
        <w:t xml:space="preserve">, </w:t>
      </w:r>
      <w:r w:rsidRPr="0083622E" w:rsidR="0083622E">
        <w:rPr>
          <w:sz w:val="24"/>
          <w:szCs w:val="24"/>
        </w:rPr>
        <w:t xml:space="preserve">and 1041.12 </w:t>
      </w:r>
      <w:r w:rsidR="00AC46BD">
        <w:rPr>
          <w:rStyle w:val="FootnoteReference"/>
          <w:sz w:val="24"/>
          <w:szCs w:val="24"/>
        </w:rPr>
        <w:footnoteReference w:id="2"/>
      </w:r>
      <w:r w:rsidR="0083622E">
        <w:rPr>
          <w:sz w:val="24"/>
          <w:szCs w:val="24"/>
        </w:rPr>
        <w:t xml:space="preserve"> </w:t>
      </w:r>
      <w:r w:rsidRPr="00444FA6">
        <w:rPr>
          <w:sz w:val="24"/>
          <w:szCs w:val="24"/>
        </w:rPr>
        <w:t>As such, the Bureau submitted this new information collection request seeking approval and a new OMB control number pursuant to section 3507(d) of the PRA.</w:t>
      </w:r>
      <w:r w:rsidR="0085128D">
        <w:rPr>
          <w:b/>
          <w:bCs/>
          <w:sz w:val="24"/>
          <w:szCs w:val="24"/>
          <w:u w:val="single"/>
        </w:rPr>
        <w:t xml:space="preserve"> </w:t>
      </w:r>
    </w:p>
    <w:p w:rsidR="0085128D" w:rsidP="00444FA6" w:rsidRDefault="0085128D" w14:paraId="10109B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u w:val="single"/>
        </w:rPr>
      </w:pPr>
    </w:p>
    <w:p w:rsidR="009C5207" w:rsidP="00444FA6" w:rsidRDefault="009C5207" w14:paraId="449CF2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u w:val="single"/>
        </w:rPr>
      </w:pPr>
    </w:p>
    <w:p w:rsidRPr="006D329B" w:rsidR="00444FA6" w:rsidP="00444FA6" w:rsidRDefault="00444FA6" w14:paraId="53044FC2" w14:textId="52027D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6D329B">
        <w:rPr>
          <w:b/>
          <w:bCs/>
          <w:sz w:val="24"/>
          <w:szCs w:val="24"/>
          <w:u w:val="single"/>
        </w:rPr>
        <w:t>JUSTIFICATION</w:t>
      </w:r>
    </w:p>
    <w:p w:rsidRPr="006D329B" w:rsidR="00444FA6" w:rsidP="00444FA6" w:rsidRDefault="00444FA6" w14:paraId="6774B4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D329B" w:rsidR="00444FA6" w:rsidP="00444FA6" w:rsidRDefault="00444FA6" w14:paraId="0332B4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u w:val="single"/>
        </w:rPr>
      </w:pPr>
      <w:r w:rsidRPr="006D329B">
        <w:rPr>
          <w:b/>
          <w:sz w:val="24"/>
          <w:szCs w:val="24"/>
        </w:rPr>
        <w:t>1.</w:t>
      </w:r>
      <w:r w:rsidRPr="006D329B">
        <w:rPr>
          <w:b/>
          <w:sz w:val="24"/>
          <w:szCs w:val="24"/>
        </w:rPr>
        <w:tab/>
      </w:r>
      <w:r w:rsidRPr="006D329B">
        <w:rPr>
          <w:b/>
          <w:sz w:val="24"/>
          <w:szCs w:val="24"/>
          <w:u w:val="single"/>
        </w:rPr>
        <w:t>Circumstances Necessitating the Data Collection</w:t>
      </w:r>
    </w:p>
    <w:p w:rsidRPr="006D329B" w:rsidR="00444FA6" w:rsidP="00444FA6" w:rsidRDefault="00444FA6" w14:paraId="4B30D7F7" w14:textId="77777777">
      <w:pPr>
        <w:tabs>
          <w:tab w:val="left" w:pos="-1080"/>
          <w:tab w:val="left" w:pos="-720"/>
          <w:tab w:val="left" w:pos="0"/>
          <w:tab w:val="left" w:pos="360"/>
          <w:tab w:val="left" w:pos="3125"/>
        </w:tabs>
        <w:ind w:left="360" w:hanging="360"/>
        <w:rPr>
          <w:b/>
          <w:sz w:val="24"/>
          <w:szCs w:val="24"/>
        </w:rPr>
      </w:pPr>
      <w:r w:rsidRPr="006D329B">
        <w:rPr>
          <w:b/>
          <w:sz w:val="24"/>
          <w:szCs w:val="24"/>
        </w:rPr>
        <w:tab/>
        <w:t xml:space="preserve"> </w:t>
      </w:r>
      <w:r w:rsidRPr="006D329B">
        <w:rPr>
          <w:b/>
          <w:sz w:val="24"/>
          <w:szCs w:val="24"/>
        </w:rPr>
        <w:tab/>
      </w:r>
    </w:p>
    <w:p w:rsidR="003607E7" w:rsidP="00444FA6" w:rsidRDefault="00670417" w14:paraId="52536DEC" w14:textId="2916B4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In 2017, the Bureau issued a </w:t>
      </w:r>
      <w:r w:rsidR="00903EBD">
        <w:rPr>
          <w:sz w:val="24"/>
          <w:szCs w:val="24"/>
        </w:rPr>
        <w:t>final</w:t>
      </w:r>
      <w:r w:rsidRPr="00F10965" w:rsidR="00444FA6">
        <w:rPr>
          <w:sz w:val="24"/>
          <w:szCs w:val="24"/>
        </w:rPr>
        <w:t xml:space="preserve"> rule for payday, vehicle title, and certain high-cost installment loans (12 CFR part 1041) pursuant to Title X of the Dodd-Frank Wall Street Reform and Consumer Protection Act (12 U.S.C. 5481, </w:t>
      </w:r>
      <w:r w:rsidRPr="00F10965" w:rsidR="00444FA6">
        <w:rPr>
          <w:i/>
          <w:sz w:val="24"/>
          <w:szCs w:val="24"/>
        </w:rPr>
        <w:t>et seq</w:t>
      </w:r>
      <w:r w:rsidRPr="00F10965" w:rsidR="00444FA6">
        <w:rPr>
          <w:sz w:val="24"/>
          <w:szCs w:val="24"/>
        </w:rPr>
        <w:t xml:space="preserve">.).  </w:t>
      </w:r>
      <w:r>
        <w:rPr>
          <w:sz w:val="24"/>
          <w:szCs w:val="24"/>
        </w:rPr>
        <w:t xml:space="preserve">The rule contains four subparts: A (General); B (Underwriting); C (Payments); and D (Information furnishing, record-keeping, anti-evasion, and severability). </w:t>
      </w:r>
      <w:r w:rsidR="00013402">
        <w:rPr>
          <w:sz w:val="24"/>
          <w:szCs w:val="24"/>
        </w:rPr>
        <w:t xml:space="preserve"> </w:t>
      </w:r>
      <w:r w:rsidR="00EA3AAC">
        <w:rPr>
          <w:sz w:val="24"/>
          <w:szCs w:val="24"/>
        </w:rPr>
        <w:t xml:space="preserve">The </w:t>
      </w:r>
      <w:r>
        <w:rPr>
          <w:sz w:val="24"/>
          <w:szCs w:val="24"/>
        </w:rPr>
        <w:t xml:space="preserve">2020 </w:t>
      </w:r>
      <w:r w:rsidR="00EA3AAC">
        <w:rPr>
          <w:sz w:val="24"/>
          <w:szCs w:val="24"/>
        </w:rPr>
        <w:t>Final</w:t>
      </w:r>
      <w:r w:rsidRPr="00F10965" w:rsidR="00EA3AAC">
        <w:rPr>
          <w:sz w:val="24"/>
          <w:szCs w:val="24"/>
        </w:rPr>
        <w:t xml:space="preserve"> </w:t>
      </w:r>
      <w:r w:rsidR="00EA3AAC">
        <w:rPr>
          <w:sz w:val="24"/>
          <w:szCs w:val="24"/>
        </w:rPr>
        <w:t>R</w:t>
      </w:r>
      <w:r w:rsidRPr="00F10965" w:rsidR="00EA3AAC">
        <w:rPr>
          <w:sz w:val="24"/>
          <w:szCs w:val="24"/>
        </w:rPr>
        <w:t xml:space="preserve">ule </w:t>
      </w:r>
      <w:r>
        <w:rPr>
          <w:sz w:val="24"/>
          <w:szCs w:val="24"/>
        </w:rPr>
        <w:t xml:space="preserve">revokes all of subpart B and provisions of subpart D that relate to mandatory underwriting.  </w:t>
      </w:r>
    </w:p>
    <w:p w:rsidR="003607E7" w:rsidP="00444FA6" w:rsidRDefault="003607E7" w14:paraId="336296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D329B" w:rsidR="00444FA6" w:rsidP="00444FA6" w:rsidRDefault="003607E7" w14:paraId="2BDA08C2" w14:textId="670A4C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Thus, the collections of information for which the Bureau seeks approval are set forth entirely in the portions of 12 CFR </w:t>
      </w:r>
      <w:r w:rsidR="00EA3AAC">
        <w:rPr>
          <w:sz w:val="24"/>
          <w:szCs w:val="24"/>
        </w:rPr>
        <w:t xml:space="preserve">part </w:t>
      </w:r>
      <w:r>
        <w:rPr>
          <w:sz w:val="24"/>
          <w:szCs w:val="24"/>
        </w:rPr>
        <w:t xml:space="preserve">1041 that will remain following publication of the 2020 Final Rule.  </w:t>
      </w:r>
      <w:r w:rsidRPr="00F10965">
        <w:rPr>
          <w:sz w:val="24"/>
          <w:szCs w:val="24"/>
        </w:rPr>
        <w:t xml:space="preserve"> </w:t>
      </w:r>
      <w:r>
        <w:rPr>
          <w:sz w:val="24"/>
          <w:szCs w:val="24"/>
        </w:rPr>
        <w:t>These provisions include</w:t>
      </w:r>
      <w:r w:rsidRPr="00F10965" w:rsidR="00444FA6">
        <w:rPr>
          <w:sz w:val="24"/>
          <w:szCs w:val="24"/>
        </w:rPr>
        <w:t xml:space="preserve"> requirements to ensure that </w:t>
      </w:r>
      <w:r w:rsidR="008C1FDE">
        <w:rPr>
          <w:sz w:val="24"/>
          <w:szCs w:val="24"/>
        </w:rPr>
        <w:t xml:space="preserve">certain </w:t>
      </w:r>
      <w:r w:rsidRPr="00F10965" w:rsidR="00444FA6">
        <w:rPr>
          <w:sz w:val="24"/>
          <w:szCs w:val="24"/>
        </w:rPr>
        <w:t>features of th</w:t>
      </w:r>
      <w:r w:rsidR="008C1FDE">
        <w:rPr>
          <w:sz w:val="24"/>
          <w:szCs w:val="24"/>
        </w:rPr>
        <w:t>e covered loans</w:t>
      </w:r>
      <w:r w:rsidRPr="00F10965" w:rsidR="00444FA6">
        <w:rPr>
          <w:sz w:val="24"/>
          <w:szCs w:val="24"/>
        </w:rPr>
        <w:t xml:space="preserve"> are fully, accurately, and effectively disclosed to consumers and mandates certain recordkeeping requirements. </w:t>
      </w:r>
      <w:r w:rsidR="00F2677D">
        <w:rPr>
          <w:sz w:val="24"/>
          <w:szCs w:val="24"/>
        </w:rPr>
        <w:t xml:space="preserve"> </w:t>
      </w:r>
      <w:r w:rsidRPr="00F10965" w:rsidR="00444FA6">
        <w:rPr>
          <w:sz w:val="24"/>
          <w:szCs w:val="24"/>
        </w:rPr>
        <w:t xml:space="preserve">The following statement describes the impact the </w:t>
      </w:r>
      <w:r>
        <w:rPr>
          <w:sz w:val="24"/>
          <w:szCs w:val="24"/>
        </w:rPr>
        <w:t>provisions of 12 CFR part 1041, following revocation of subpart B,</w:t>
      </w:r>
      <w:r w:rsidRPr="00F10965" w:rsidR="00444FA6">
        <w:rPr>
          <w:sz w:val="24"/>
          <w:szCs w:val="24"/>
        </w:rPr>
        <w:t xml:space="preserve"> </w:t>
      </w:r>
      <w:r w:rsidR="00405B92">
        <w:rPr>
          <w:sz w:val="24"/>
          <w:szCs w:val="24"/>
        </w:rPr>
        <w:t>are</w:t>
      </w:r>
      <w:r w:rsidRPr="00F10965" w:rsidR="00444FA6">
        <w:rPr>
          <w:sz w:val="24"/>
          <w:szCs w:val="24"/>
        </w:rPr>
        <w:t xml:space="preserve"> expected to have with respect to the burdens and costs relevant to the reporting requirements described in the Paperwork Reduction Act.</w:t>
      </w:r>
    </w:p>
    <w:p w:rsidRPr="006D329B" w:rsidR="00444FA6" w:rsidP="00444FA6" w:rsidRDefault="00444FA6" w14:paraId="668EC5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D329B" w:rsidR="00444FA6" w:rsidP="00444FA6" w:rsidRDefault="00444FA6" w14:paraId="0E4652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329B">
        <w:rPr>
          <w:sz w:val="24"/>
          <w:szCs w:val="24"/>
        </w:rPr>
        <w:t xml:space="preserve">For most consumers, credit provides a means of purchasing goods or services and spreading the cost of repayment over time.  Consumers living paycheck to paycheck and with little to no savings have used credit as a means of coping with shortfalls, with the credit allowing them to </w:t>
      </w:r>
      <w:r w:rsidRPr="006D329B">
        <w:rPr>
          <w:sz w:val="24"/>
          <w:szCs w:val="24"/>
        </w:rPr>
        <w:lastRenderedPageBreak/>
        <w:t xml:space="preserve">cover miscellaneous living and short-term expenses until they receive additional income.  These shortfalls can arise from mismatched timing between income and expenses, misaligned cash flows, income volatility, unexpected expenses or income shocks, or expenses that simply exceed income.  Whatever the cause of the shortfall, consumers in these situations sometimes seek what may broadly be termed a “liquidity loan.”  There are a variety of loans and products that consumers use for these purposes including credit cards, home equity loans and lines of credit, deposit account overdraft, pawn loans, payday loans, vehicle title loans, and installment loans. </w:t>
      </w:r>
    </w:p>
    <w:p w:rsidRPr="006D329B" w:rsidR="00444FA6" w:rsidP="00444FA6" w:rsidRDefault="00444FA6" w14:paraId="3ACBCE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6D329B" w:rsidR="00444FA6" w:rsidP="00444FA6" w:rsidRDefault="00444FA6" w14:paraId="37C4E1D9" w14:textId="559F4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329B">
        <w:rPr>
          <w:sz w:val="24"/>
          <w:szCs w:val="24"/>
        </w:rPr>
        <w:t xml:space="preserve">Credit cards, home equity loans and lines of credit, and deposit account overdraft services are already subject to federal consumer protection </w:t>
      </w:r>
      <w:r w:rsidR="004154F5">
        <w:rPr>
          <w:sz w:val="24"/>
          <w:szCs w:val="24"/>
        </w:rPr>
        <w:t xml:space="preserve">statutory and regulatory </w:t>
      </w:r>
      <w:r w:rsidRPr="006D329B">
        <w:rPr>
          <w:sz w:val="24"/>
          <w:szCs w:val="24"/>
        </w:rPr>
        <w:t xml:space="preserve">requirements.  The Bureau considers these markets to be outside the scope of this rulemaking.  This rulemaking is focused on three general categories of liquidity loan products: (1) short-term loans, (2) longer-term balloon payment loans, and (3) certain higher-cost longer-term installment loans.  The largest category of short-term loans </w:t>
      </w:r>
      <w:r w:rsidR="00DB583E">
        <w:rPr>
          <w:sz w:val="24"/>
          <w:szCs w:val="24"/>
        </w:rPr>
        <w:t>is</w:t>
      </w:r>
      <w:r w:rsidRPr="006D329B">
        <w:rPr>
          <w:sz w:val="24"/>
          <w:szCs w:val="24"/>
        </w:rPr>
        <w:t xml:space="preserve"> “payday loans,” which are generally required to be repaid in a lump-sum single payment on receipt of the borrower’s next income payment, and short-term vehicle title loans, which are also almost always due in a lump-sum single payment, typically within 30 days after the loan is made.  The second category consists of longer-term loans with a balloon payment, which the rule generally defines as having a single payment or, where there are multiple payments, a payment that is at least twice as large as any other payment. </w:t>
      </w:r>
      <w:r w:rsidR="000A5FC6">
        <w:rPr>
          <w:sz w:val="24"/>
          <w:szCs w:val="24"/>
        </w:rPr>
        <w:t xml:space="preserve"> </w:t>
      </w:r>
      <w:r w:rsidRPr="006D329B">
        <w:rPr>
          <w:sz w:val="24"/>
          <w:szCs w:val="24"/>
        </w:rPr>
        <w:t xml:space="preserve">The third category consists of higher-cost longer-term installment loans.  It includes both what are often referred to as “payday installment loans”—that is, loans that are repaid over time with each payment timed to be paid with the borrower’s income payment and electronically deducted from an account into which the income payment is deposited—and vehicle title installment loans.  While loans covered by this rulemaking are most often made by non-bank lenders, some depository institution products also fit these descriptions.  Some of these loans are available at storefront locations and branches, others are available on the Internet, and some loans are available through multiple delivery channels.  The rulemaking covers both closed-end loans and open-end lines of credit. </w:t>
      </w:r>
    </w:p>
    <w:p w:rsidR="00444FA6" w:rsidP="00444FA6" w:rsidRDefault="00444FA6" w14:paraId="171906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F3672" w:rsidP="00444FA6" w:rsidRDefault="00913964" w14:paraId="54FD102E" w14:textId="2B42CA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regulations </w:t>
      </w:r>
      <w:r w:rsidR="00C22A91">
        <w:rPr>
          <w:sz w:val="24"/>
          <w:szCs w:val="24"/>
        </w:rPr>
        <w:t xml:space="preserve">in Subpart C </w:t>
      </w:r>
      <w:r>
        <w:rPr>
          <w:sz w:val="24"/>
          <w:szCs w:val="24"/>
        </w:rPr>
        <w:t xml:space="preserve">pertaining to payment practices by lenders </w:t>
      </w:r>
      <w:r w:rsidR="00C22A91">
        <w:rPr>
          <w:sz w:val="24"/>
          <w:szCs w:val="24"/>
        </w:rPr>
        <w:t xml:space="preserve">and </w:t>
      </w:r>
      <w:r w:rsidR="00FA676A">
        <w:rPr>
          <w:sz w:val="24"/>
          <w:szCs w:val="24"/>
        </w:rPr>
        <w:t>consisting of §</w:t>
      </w:r>
      <w:r w:rsidR="00955B40">
        <w:rPr>
          <w:sz w:val="24"/>
          <w:szCs w:val="24"/>
        </w:rPr>
        <w:t>§ </w:t>
      </w:r>
      <w:r w:rsidR="006B5701">
        <w:rPr>
          <w:sz w:val="24"/>
          <w:szCs w:val="24"/>
        </w:rPr>
        <w:t>1041.7 to 1041.9</w:t>
      </w:r>
      <w:r>
        <w:rPr>
          <w:sz w:val="24"/>
          <w:szCs w:val="24"/>
        </w:rPr>
        <w:t xml:space="preserve"> (“Payment Provisions”)</w:t>
      </w:r>
      <w:r w:rsidR="00FC5514">
        <w:rPr>
          <w:sz w:val="24"/>
          <w:szCs w:val="24"/>
        </w:rPr>
        <w:t xml:space="preserve">, </w:t>
      </w:r>
      <w:r w:rsidR="00DF0E70">
        <w:rPr>
          <w:sz w:val="24"/>
          <w:szCs w:val="24"/>
        </w:rPr>
        <w:t>apply to all three categories.</w:t>
      </w:r>
      <w:r w:rsidR="00E02BEF">
        <w:rPr>
          <w:sz w:val="24"/>
          <w:szCs w:val="24"/>
        </w:rPr>
        <w:t xml:space="preserve"> </w:t>
      </w:r>
      <w:r w:rsidR="00C75DCE">
        <w:rPr>
          <w:sz w:val="24"/>
          <w:szCs w:val="24"/>
        </w:rPr>
        <w:t xml:space="preserve"> Sections </w:t>
      </w:r>
      <w:r w:rsidR="00665485">
        <w:rPr>
          <w:sz w:val="24"/>
          <w:szCs w:val="24"/>
        </w:rPr>
        <w:t xml:space="preserve">1041.12 and </w:t>
      </w:r>
      <w:r w:rsidR="000D044F">
        <w:rPr>
          <w:sz w:val="24"/>
          <w:szCs w:val="24"/>
        </w:rPr>
        <w:t xml:space="preserve">1041.13 likewise apply to all </w:t>
      </w:r>
      <w:r w:rsidR="00974E5B">
        <w:rPr>
          <w:sz w:val="24"/>
          <w:szCs w:val="24"/>
        </w:rPr>
        <w:t>three categories.</w:t>
      </w:r>
    </w:p>
    <w:p w:rsidR="00DF0E70" w:rsidP="00444FA6" w:rsidRDefault="00DF0E70" w14:paraId="608E0239" w14:textId="6817B8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D329B" w:rsidR="0085128D" w:rsidP="00444FA6" w:rsidRDefault="0085128D" w14:paraId="711B59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D329B" w:rsidR="00444FA6" w:rsidP="00444FA6" w:rsidRDefault="00444FA6" w14:paraId="36114C25" w14:textId="77777777">
      <w:pPr>
        <w:pStyle w:val="CM12"/>
      </w:pPr>
      <w:r w:rsidRPr="006D329B">
        <w:rPr>
          <w:b/>
          <w:bCs/>
        </w:rPr>
        <w:t xml:space="preserve">2.  </w:t>
      </w:r>
      <w:r w:rsidRPr="006D329B">
        <w:rPr>
          <w:b/>
          <w:bCs/>
          <w:u w:val="single"/>
        </w:rPr>
        <w:t>Use of the Information</w:t>
      </w:r>
    </w:p>
    <w:p w:rsidRPr="006D329B" w:rsidR="00444FA6" w:rsidP="00444FA6" w:rsidRDefault="00444FA6" w14:paraId="50A2F6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D329B" w:rsidR="00444FA6" w:rsidP="00444FA6" w:rsidRDefault="00444FA6" w14:paraId="16CB8B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329B">
        <w:rPr>
          <w:sz w:val="24"/>
          <w:szCs w:val="24"/>
        </w:rPr>
        <w:t xml:space="preserve">The Bureau’s rulemaking includes information collection requirements related to (1) upcoming payment notices (including unusual payment notices), and consumer rights notices; and (2) retention of loan agreement obtained when making a covered short-term loan, covered longer-term balloon payment loan, or covered longer-term installment loan, and payment practices. </w:t>
      </w:r>
    </w:p>
    <w:p w:rsidRPr="006D329B" w:rsidR="00444FA6" w:rsidP="00444FA6" w:rsidRDefault="00444FA6" w14:paraId="19C57E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D329B" w:rsidR="00444FA6" w:rsidP="00444FA6" w:rsidRDefault="00762E19" w14:paraId="489623FF" w14:textId="2AF7EA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329B">
        <w:rPr>
          <w:sz w:val="24"/>
          <w:szCs w:val="24"/>
        </w:rPr>
        <w:t>Under §</w:t>
      </w:r>
      <w:r>
        <w:rPr>
          <w:sz w:val="24"/>
          <w:szCs w:val="24"/>
        </w:rPr>
        <w:t> </w:t>
      </w:r>
      <w:r w:rsidRPr="006D329B">
        <w:rPr>
          <w:sz w:val="24"/>
          <w:szCs w:val="24"/>
        </w:rPr>
        <w:t>1041.</w:t>
      </w:r>
      <w:r>
        <w:rPr>
          <w:sz w:val="24"/>
          <w:szCs w:val="24"/>
        </w:rPr>
        <w:t xml:space="preserve">7, </w:t>
      </w:r>
      <w:r w:rsidR="001A7E50">
        <w:rPr>
          <w:sz w:val="24"/>
          <w:szCs w:val="24"/>
        </w:rPr>
        <w:t>i</w:t>
      </w:r>
      <w:r w:rsidRPr="00660B7A" w:rsidR="00660B7A">
        <w:rPr>
          <w:sz w:val="24"/>
          <w:szCs w:val="24"/>
        </w:rPr>
        <w:t>t is an unfair and abusive practice for a lender to make attempts to withdraw payment from consumers</w:t>
      </w:r>
      <w:r w:rsidR="006B3531">
        <w:rPr>
          <w:sz w:val="24"/>
          <w:szCs w:val="24"/>
        </w:rPr>
        <w:t>’</w:t>
      </w:r>
      <w:r w:rsidRPr="00660B7A" w:rsidR="00660B7A">
        <w:rPr>
          <w:sz w:val="24"/>
          <w:szCs w:val="24"/>
        </w:rPr>
        <w:t xml:space="preserve"> accounts in connection with a covered loan after the lender</w:t>
      </w:r>
      <w:r w:rsidR="0055604A">
        <w:rPr>
          <w:sz w:val="24"/>
          <w:szCs w:val="24"/>
        </w:rPr>
        <w:t>’</w:t>
      </w:r>
      <w:r w:rsidRPr="00660B7A" w:rsidR="00660B7A">
        <w:rPr>
          <w:sz w:val="24"/>
          <w:szCs w:val="24"/>
        </w:rPr>
        <w:t xml:space="preserve">s second </w:t>
      </w:r>
      <w:r w:rsidRPr="00660B7A" w:rsidR="00660B7A">
        <w:rPr>
          <w:sz w:val="24"/>
          <w:szCs w:val="24"/>
        </w:rPr>
        <w:lastRenderedPageBreak/>
        <w:t>consecutive attempts to withdraw payments from the accounts from which the prior attempts were made have failed due to a lack of sufficient funds, unless the lender obtains the consumers</w:t>
      </w:r>
      <w:r w:rsidR="0055604A">
        <w:rPr>
          <w:sz w:val="24"/>
          <w:szCs w:val="24"/>
        </w:rPr>
        <w:t>’</w:t>
      </w:r>
      <w:r w:rsidRPr="00660B7A" w:rsidR="00660B7A">
        <w:rPr>
          <w:sz w:val="24"/>
          <w:szCs w:val="24"/>
        </w:rPr>
        <w:t xml:space="preserve"> new and specific authorization to make further withdrawals from the accounts.</w:t>
      </w:r>
      <w:r w:rsidR="00031D79">
        <w:rPr>
          <w:sz w:val="24"/>
          <w:szCs w:val="24"/>
        </w:rPr>
        <w:t xml:space="preserve">  </w:t>
      </w:r>
      <w:r w:rsidRPr="006D329B" w:rsidR="00444FA6">
        <w:rPr>
          <w:sz w:val="24"/>
          <w:szCs w:val="24"/>
        </w:rPr>
        <w:t>Under § 1041.8, lenders would obtain a new and specific authorization from a consumer in order to withdraw payment from a consumer’s deposit account after two consecutive payment transfer attempts have failed.  Th</w:t>
      </w:r>
      <w:r w:rsidR="004154F5">
        <w:rPr>
          <w:sz w:val="24"/>
          <w:szCs w:val="24"/>
        </w:rPr>
        <w:t xml:space="preserve">is requirement ensures that lenders obtain a </w:t>
      </w:r>
      <w:r w:rsidRPr="006D329B" w:rsidR="00444FA6">
        <w:rPr>
          <w:sz w:val="24"/>
          <w:szCs w:val="24"/>
        </w:rPr>
        <w:t xml:space="preserve">new and specific authorization </w:t>
      </w:r>
      <w:r w:rsidR="004154F5">
        <w:rPr>
          <w:sz w:val="24"/>
          <w:szCs w:val="24"/>
        </w:rPr>
        <w:t xml:space="preserve">before </w:t>
      </w:r>
      <w:r w:rsidRPr="006D329B" w:rsidR="00444FA6">
        <w:rPr>
          <w:sz w:val="24"/>
          <w:szCs w:val="24"/>
        </w:rPr>
        <w:t>withdraw</w:t>
      </w:r>
      <w:r w:rsidR="004154F5">
        <w:rPr>
          <w:sz w:val="24"/>
          <w:szCs w:val="24"/>
        </w:rPr>
        <w:t xml:space="preserve">ing </w:t>
      </w:r>
      <w:r w:rsidRPr="006D329B" w:rsidR="00444FA6">
        <w:rPr>
          <w:sz w:val="24"/>
          <w:szCs w:val="24"/>
        </w:rPr>
        <w:t xml:space="preserve">payments on a covered loan from the consumer’s deposit account after two consecutive failed payment transfer attempts. </w:t>
      </w:r>
    </w:p>
    <w:p w:rsidRPr="006D329B" w:rsidR="00444FA6" w:rsidP="00444FA6" w:rsidRDefault="00444FA6" w14:paraId="42EFCF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D329B" w:rsidR="00444FA6" w:rsidP="00444FA6" w:rsidRDefault="00444FA6" w14:paraId="05065683" w14:textId="03EF1B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329B">
        <w:rPr>
          <w:sz w:val="24"/>
          <w:szCs w:val="24"/>
        </w:rPr>
        <w:t xml:space="preserve">Loan disclosures would be provided, as applicable, by lenders or vendors working on their behalf.  Under the rule, disclosures may be provided through a variety of channels, including electronically.  Under § 1041.9, lenders making covered loans </w:t>
      </w:r>
      <w:r w:rsidR="00B810F6">
        <w:rPr>
          <w:sz w:val="24"/>
          <w:szCs w:val="24"/>
        </w:rPr>
        <w:t>would</w:t>
      </w:r>
      <w:r w:rsidRPr="006D329B">
        <w:rPr>
          <w:sz w:val="24"/>
          <w:szCs w:val="24"/>
        </w:rPr>
        <w:t xml:space="preserve"> provide disclosures before initial payment withdrawal attempts, and before any unusual withdrawal attempts.  The payment notice would alert consumers to the upcoming withdrawal, including potential changes to the typical payment amount, thereby mitigating the risk of certain adverse consequences associated with payment transfer attempts when the consumer’s account lacks sufficient funds.  </w:t>
      </w:r>
      <w:r w:rsidR="004154F5">
        <w:rPr>
          <w:sz w:val="24"/>
          <w:szCs w:val="24"/>
        </w:rPr>
        <w:t>U</w:t>
      </w:r>
      <w:r w:rsidRPr="006D329B">
        <w:rPr>
          <w:sz w:val="24"/>
          <w:szCs w:val="24"/>
        </w:rPr>
        <w:t xml:space="preserve">nder § 1041.9, lenders </w:t>
      </w:r>
      <w:r w:rsidR="004154F5">
        <w:rPr>
          <w:sz w:val="24"/>
          <w:szCs w:val="24"/>
        </w:rPr>
        <w:t xml:space="preserve">also </w:t>
      </w:r>
      <w:r w:rsidR="002E258F">
        <w:rPr>
          <w:sz w:val="24"/>
          <w:szCs w:val="24"/>
        </w:rPr>
        <w:t>would</w:t>
      </w:r>
      <w:r w:rsidRPr="006D329B">
        <w:rPr>
          <w:sz w:val="24"/>
          <w:szCs w:val="24"/>
        </w:rPr>
        <w:t xml:space="preserve"> provide a consumer rights notice in certain circumstances when two payment transfer attempts have failed.  Lenders making covered loans would be required to provide this notice, as applicable.  The consumer rights notice would ensure that the costs, benefits, and risks of the loan and associated payments are effectively disclosed to consumers. </w:t>
      </w:r>
    </w:p>
    <w:p w:rsidRPr="006D329B" w:rsidR="00444FA6" w:rsidP="00444FA6" w:rsidRDefault="00444FA6" w14:paraId="5F3191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D329B" w:rsidR="00444FA6" w:rsidP="00444FA6" w:rsidRDefault="00444FA6" w14:paraId="0BA487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329B">
        <w:rPr>
          <w:sz w:val="24"/>
          <w:szCs w:val="24"/>
        </w:rPr>
        <w:t xml:space="preserve">Under § 1041.12 lenders would be required to retain several types of documentation related to evidence of compliance with the requirements of the rule.  The rule requires lenders to use electronic records to satisfy certain recordkeeping requirements.  The recordkeeping requirements would facilitate the Bureau’s supervision and enforcement of the requirements of the rule.   </w:t>
      </w:r>
    </w:p>
    <w:p w:rsidRPr="006D329B" w:rsidR="00444FA6" w:rsidP="00444FA6" w:rsidRDefault="00444FA6" w14:paraId="41F678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D329B" w:rsidR="00444FA6" w:rsidP="00444FA6" w:rsidRDefault="00444FA6" w14:paraId="277E7E79" w14:textId="77777777">
      <w:pPr>
        <w:pStyle w:val="Default"/>
        <w:rPr>
          <w:b/>
          <w:bCs/>
          <w:u w:val="single"/>
        </w:rPr>
      </w:pPr>
      <w:r w:rsidRPr="006D329B">
        <w:rPr>
          <w:b/>
          <w:bCs/>
        </w:rPr>
        <w:t xml:space="preserve">3.  </w:t>
      </w:r>
      <w:r w:rsidRPr="006D329B">
        <w:rPr>
          <w:b/>
          <w:bCs/>
          <w:u w:val="single"/>
        </w:rPr>
        <w:t>Use of Information Technology</w:t>
      </w:r>
    </w:p>
    <w:p w:rsidRPr="006D329B" w:rsidR="00444FA6" w:rsidP="00444FA6" w:rsidRDefault="00444FA6" w14:paraId="3AC6B476" w14:textId="77777777">
      <w:pPr>
        <w:pStyle w:val="Default"/>
        <w:rPr>
          <w:color w:val="auto"/>
        </w:rPr>
      </w:pPr>
    </w:p>
    <w:p w:rsidRPr="006D329B" w:rsidR="00444FA6" w:rsidP="00444FA6" w:rsidRDefault="007E20A6" w14:paraId="7405D7CC" w14:textId="7A5184D0">
      <w:pPr>
        <w:rPr>
          <w:sz w:val="24"/>
          <w:szCs w:val="24"/>
        </w:rPr>
      </w:pPr>
      <w:r>
        <w:rPr>
          <w:sz w:val="24"/>
          <w:szCs w:val="24"/>
        </w:rPr>
        <w:t xml:space="preserve">The Bureau has incorporated </w:t>
      </w:r>
      <w:r w:rsidRPr="006D329B" w:rsidR="00444FA6">
        <w:rPr>
          <w:sz w:val="24"/>
          <w:szCs w:val="24"/>
        </w:rPr>
        <w:t xml:space="preserve">information technology and other automated means </w:t>
      </w:r>
      <w:r>
        <w:rPr>
          <w:sz w:val="24"/>
          <w:szCs w:val="24"/>
        </w:rPr>
        <w:t xml:space="preserve">of compliance into the rule </w:t>
      </w:r>
      <w:r w:rsidR="00370052">
        <w:rPr>
          <w:sz w:val="24"/>
          <w:szCs w:val="24"/>
        </w:rPr>
        <w:t xml:space="preserve">to </w:t>
      </w:r>
      <w:r w:rsidRPr="006D329B" w:rsidR="00444FA6">
        <w:rPr>
          <w:sz w:val="24"/>
          <w:szCs w:val="24"/>
        </w:rPr>
        <w:t>potentially reduce or limit the information collection burdens associated with the rule.  For example, the required disclosures could be made electronically through various means.  Additionally, the recordkeeping provision in § 1041.12 would not limit the use of available technology to maintain required records.  The rule would allow covered persons to retain records in any legible form, and in the same manner, format, or place as such records are kept in the ordinary course of business (</w:t>
      </w:r>
      <w:r w:rsidRPr="006D329B" w:rsidR="00444FA6">
        <w:rPr>
          <w:i/>
          <w:sz w:val="24"/>
          <w:szCs w:val="24"/>
        </w:rPr>
        <w:t>See</w:t>
      </w:r>
      <w:r w:rsidRPr="006D329B" w:rsidR="00444FA6">
        <w:rPr>
          <w:sz w:val="24"/>
          <w:szCs w:val="24"/>
        </w:rPr>
        <w:t xml:space="preserve"> § 1041.12(b)).  The rule does, however, require lenders to retain certain data in an electronic, tabular format.  Thus, this rule is consistent with the aims of the Government Paperwork Elimination Act, 44 U.S.C. 3504.  </w:t>
      </w:r>
    </w:p>
    <w:p w:rsidRPr="006D329B" w:rsidR="00444FA6" w:rsidP="00444FA6" w:rsidRDefault="00444FA6" w14:paraId="1F34B183" w14:textId="77777777">
      <w:pPr>
        <w:rPr>
          <w:sz w:val="24"/>
          <w:szCs w:val="24"/>
        </w:rPr>
      </w:pPr>
    </w:p>
    <w:p w:rsidRPr="006D329B" w:rsidR="00444FA6" w:rsidP="00444FA6" w:rsidRDefault="00444FA6" w14:paraId="438AA091" w14:textId="77777777">
      <w:pPr>
        <w:pStyle w:val="CM12"/>
        <w:rPr>
          <w:b/>
          <w:bCs/>
          <w:u w:val="single"/>
        </w:rPr>
      </w:pPr>
      <w:r w:rsidRPr="006D329B">
        <w:rPr>
          <w:b/>
          <w:bCs/>
        </w:rPr>
        <w:t xml:space="preserve">4.  </w:t>
      </w:r>
      <w:r w:rsidRPr="006D329B">
        <w:rPr>
          <w:b/>
          <w:bCs/>
          <w:u w:val="single"/>
        </w:rPr>
        <w:t>Efforts to Identify Duplication</w:t>
      </w:r>
    </w:p>
    <w:p w:rsidRPr="006D329B" w:rsidR="00444FA6" w:rsidP="00444FA6" w:rsidRDefault="00444FA6" w14:paraId="383EBA6F" w14:textId="77777777">
      <w:pPr>
        <w:rPr>
          <w:sz w:val="24"/>
          <w:szCs w:val="24"/>
        </w:rPr>
      </w:pPr>
    </w:p>
    <w:p w:rsidRPr="006D329B" w:rsidR="00444FA6" w:rsidP="00444FA6" w:rsidRDefault="00444FA6" w14:paraId="59831368" w14:textId="77777777">
      <w:pPr>
        <w:tabs>
          <w:tab w:val="left" w:pos="-1080"/>
          <w:tab w:val="left" w:pos="-720"/>
          <w:tab w:val="left" w:pos="0"/>
          <w:tab w:val="left" w:pos="27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329B">
        <w:rPr>
          <w:sz w:val="24"/>
          <w:szCs w:val="24"/>
        </w:rPr>
        <w:t xml:space="preserve">The recordkeeping, reporting, and disclosure provisions in the rule would not duplicate any other Federal information collection requirement.  The information collection requirements are unique </w:t>
      </w:r>
      <w:r w:rsidRPr="006D329B">
        <w:rPr>
          <w:sz w:val="24"/>
          <w:szCs w:val="24"/>
        </w:rPr>
        <w:lastRenderedPageBreak/>
        <w:t>to this rule.</w:t>
      </w:r>
    </w:p>
    <w:p w:rsidRPr="006D329B" w:rsidR="00444FA6" w:rsidP="00444FA6" w:rsidRDefault="00444FA6" w14:paraId="148C69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D329B" w:rsidR="00444FA6" w:rsidP="001F2E6F" w:rsidRDefault="00444FA6" w14:paraId="69C6A232" w14:textId="71019E12">
      <w:pPr>
        <w:pStyle w:val="CM12"/>
        <w:keepNext/>
      </w:pPr>
      <w:r w:rsidRPr="006D329B">
        <w:rPr>
          <w:b/>
          <w:bCs/>
        </w:rPr>
        <w:t xml:space="preserve">5.  </w:t>
      </w:r>
      <w:r w:rsidRPr="006D329B">
        <w:rPr>
          <w:b/>
          <w:bCs/>
          <w:u w:val="single"/>
        </w:rPr>
        <w:t>Efforts to Minimize Burdens on Small Entities</w:t>
      </w:r>
    </w:p>
    <w:p w:rsidRPr="006D329B" w:rsidR="00444FA6" w:rsidP="001F2E6F" w:rsidRDefault="00444FA6" w14:paraId="0449409E" w14:textId="77777777">
      <w:pPr>
        <w:keepNext/>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D329B">
        <w:rPr>
          <w:sz w:val="24"/>
          <w:szCs w:val="24"/>
        </w:rPr>
        <w:tab/>
      </w:r>
    </w:p>
    <w:p w:rsidR="00444FA6" w:rsidP="00444FA6" w:rsidRDefault="00444FA6" w14:paraId="0940A8D2" w14:textId="04A8CE59">
      <w:pPr>
        <w:tabs>
          <w:tab w:val="left" w:pos="-1080"/>
          <w:tab w:val="left" w:pos="-720"/>
          <w:tab w:val="left" w:pos="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329B">
        <w:rPr>
          <w:sz w:val="24"/>
          <w:szCs w:val="24"/>
        </w:rPr>
        <w:t>The disclosure and recordkeeping requirements would be imposed on lenders making covered short-term</w:t>
      </w:r>
      <w:r w:rsidR="00D91D22">
        <w:rPr>
          <w:sz w:val="24"/>
          <w:szCs w:val="24"/>
        </w:rPr>
        <w:t xml:space="preserve"> loans, </w:t>
      </w:r>
      <w:r w:rsidR="00E84A3B">
        <w:rPr>
          <w:sz w:val="24"/>
          <w:szCs w:val="24"/>
        </w:rPr>
        <w:t>l</w:t>
      </w:r>
      <w:r w:rsidRPr="006D329B">
        <w:rPr>
          <w:sz w:val="24"/>
          <w:szCs w:val="24"/>
        </w:rPr>
        <w:t>onger-term balloon-payment loans, and covered high-cost installment loans. The Bureau estimates that approximately 90% of respondents are small entities.  Most lenders today utilize some measure of computerization in their business, and the rule would permit lenders to rely on computer support, among other alternatives, to meet their recordkeeping, reporting, and disclosure requirements.  This flexibility presumably would yield reduced disclosure, reporting, and recordkeeping costs (</w:t>
      </w:r>
      <w:r w:rsidRPr="006D329B">
        <w:rPr>
          <w:i/>
          <w:sz w:val="24"/>
          <w:szCs w:val="24"/>
        </w:rPr>
        <w:t>see</w:t>
      </w:r>
      <w:r w:rsidRPr="006D329B">
        <w:rPr>
          <w:sz w:val="24"/>
          <w:szCs w:val="24"/>
        </w:rPr>
        <w:t xml:space="preserve"> section 3 of this supporting statement, above).  The rule also provides model forms that could be used to comply with certain of its requirements, and lenders that use the model forms would be deemed to </w:t>
      </w:r>
      <w:proofErr w:type="gramStart"/>
      <w:r w:rsidRPr="006D329B">
        <w:rPr>
          <w:sz w:val="24"/>
          <w:szCs w:val="24"/>
        </w:rPr>
        <w:t>be in compliance with</w:t>
      </w:r>
      <w:proofErr w:type="gramEnd"/>
      <w:r w:rsidRPr="006D329B">
        <w:rPr>
          <w:sz w:val="24"/>
          <w:szCs w:val="24"/>
        </w:rPr>
        <w:t xml:space="preserve"> the disclosure requirement with respect to such model forms.</w:t>
      </w:r>
    </w:p>
    <w:p w:rsidRPr="006D329B" w:rsidR="00444FA6" w:rsidP="00444FA6" w:rsidRDefault="00444FA6" w14:paraId="109935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D329B" w:rsidR="00444FA6" w:rsidP="00444FA6" w:rsidRDefault="00444FA6" w14:paraId="60A01528" w14:textId="77777777">
      <w:pPr>
        <w:pStyle w:val="CM12"/>
        <w:rPr>
          <w:b/>
          <w:bCs/>
          <w:u w:val="single"/>
        </w:rPr>
      </w:pPr>
      <w:r w:rsidRPr="006D329B">
        <w:rPr>
          <w:b/>
          <w:bCs/>
        </w:rPr>
        <w:t xml:space="preserve">6.  </w:t>
      </w:r>
      <w:r w:rsidRPr="006D329B">
        <w:rPr>
          <w:b/>
          <w:bCs/>
          <w:u w:val="single"/>
        </w:rPr>
        <w:t>Consequences of Less Frequent Collection and Obstacles to Burden Reduction</w:t>
      </w:r>
    </w:p>
    <w:p w:rsidRPr="006D329B" w:rsidR="00444FA6" w:rsidP="00444FA6" w:rsidRDefault="00444FA6" w14:paraId="78589577" w14:textId="77777777">
      <w:pPr>
        <w:rPr>
          <w:sz w:val="24"/>
          <w:szCs w:val="24"/>
        </w:rPr>
      </w:pPr>
    </w:p>
    <w:p w:rsidRPr="006D329B" w:rsidR="00444FA6" w:rsidP="00444FA6" w:rsidRDefault="00444FA6" w14:paraId="796AF2AF" w14:textId="77777777">
      <w:pPr>
        <w:rPr>
          <w:sz w:val="24"/>
          <w:szCs w:val="24"/>
        </w:rPr>
      </w:pPr>
      <w:r w:rsidRPr="006D329B">
        <w:rPr>
          <w:sz w:val="24"/>
          <w:szCs w:val="24"/>
        </w:rPr>
        <w:t xml:space="preserve">If the rule, including the information collection requirements contained therein, is not adopted, some of the most vulnerable consumers who rely on the loan products that are covered by this rule would not have the protections contained in the rule that are intended to prevent certain unfair and abusive acts or practices in connection with certain consumer credit transactions.   </w:t>
      </w:r>
    </w:p>
    <w:p w:rsidRPr="006D329B" w:rsidR="00444FA6" w:rsidP="00444FA6" w:rsidRDefault="00444FA6" w14:paraId="16ED188A" w14:textId="77777777">
      <w:pPr>
        <w:rPr>
          <w:sz w:val="24"/>
          <w:szCs w:val="24"/>
        </w:rPr>
      </w:pPr>
    </w:p>
    <w:p w:rsidRPr="006D329B" w:rsidR="00444FA6" w:rsidP="00444FA6" w:rsidRDefault="00444FA6" w14:paraId="20D32E71" w14:textId="77777777">
      <w:pPr>
        <w:rPr>
          <w:sz w:val="24"/>
          <w:szCs w:val="24"/>
        </w:rPr>
      </w:pPr>
      <w:r w:rsidRPr="006D329B">
        <w:rPr>
          <w:sz w:val="24"/>
          <w:szCs w:val="24"/>
        </w:rPr>
        <w:t xml:space="preserve">Without the recordkeeping and reporting requirements, the Bureau would not have a tangible mechanism to ensure that consumers are receiving the protections contained in the rule. </w:t>
      </w:r>
    </w:p>
    <w:p w:rsidRPr="006D329B" w:rsidR="00444FA6" w:rsidP="00444FA6" w:rsidRDefault="00444FA6" w14:paraId="60A963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D329B" w:rsidR="00444FA6" w:rsidP="00444FA6" w:rsidRDefault="00444FA6" w14:paraId="5D56D1F6" w14:textId="77777777">
      <w:pPr>
        <w:ind w:right="-20"/>
        <w:rPr>
          <w:sz w:val="24"/>
          <w:szCs w:val="24"/>
        </w:rPr>
      </w:pPr>
      <w:r w:rsidRPr="006D329B">
        <w:rPr>
          <w:b/>
          <w:bCs/>
          <w:position w:val="-1"/>
          <w:sz w:val="24"/>
          <w:szCs w:val="24"/>
        </w:rPr>
        <w:t xml:space="preserve">7.  </w:t>
      </w:r>
      <w:r w:rsidRPr="006D329B">
        <w:rPr>
          <w:b/>
          <w:bCs/>
          <w:position w:val="-1"/>
          <w:sz w:val="24"/>
          <w:szCs w:val="24"/>
          <w:u w:val="thick" w:color="000000"/>
        </w:rPr>
        <w:t>Ci</w:t>
      </w:r>
      <w:r w:rsidRPr="006D329B">
        <w:rPr>
          <w:b/>
          <w:bCs/>
          <w:spacing w:val="-1"/>
          <w:position w:val="-1"/>
          <w:sz w:val="24"/>
          <w:szCs w:val="24"/>
          <w:u w:val="thick" w:color="000000"/>
        </w:rPr>
        <w:t>rc</w:t>
      </w:r>
      <w:r w:rsidRPr="006D329B">
        <w:rPr>
          <w:b/>
          <w:bCs/>
          <w:spacing w:val="1"/>
          <w:position w:val="-1"/>
          <w:sz w:val="24"/>
          <w:szCs w:val="24"/>
          <w:u w:val="thick" w:color="000000"/>
        </w:rPr>
        <w:t>u</w:t>
      </w:r>
      <w:r w:rsidRPr="006D329B">
        <w:rPr>
          <w:b/>
          <w:bCs/>
          <w:spacing w:val="-3"/>
          <w:position w:val="-1"/>
          <w:sz w:val="24"/>
          <w:szCs w:val="24"/>
          <w:u w:val="thick" w:color="000000"/>
        </w:rPr>
        <w:t>m</w:t>
      </w:r>
      <w:r w:rsidRPr="006D329B">
        <w:rPr>
          <w:b/>
          <w:bCs/>
          <w:position w:val="-1"/>
          <w:sz w:val="24"/>
          <w:szCs w:val="24"/>
          <w:u w:val="thick" w:color="000000"/>
        </w:rPr>
        <w:t>stanc</w:t>
      </w:r>
      <w:r w:rsidRPr="006D329B">
        <w:rPr>
          <w:b/>
          <w:bCs/>
          <w:spacing w:val="-1"/>
          <w:position w:val="-1"/>
          <w:sz w:val="24"/>
          <w:szCs w:val="24"/>
          <w:u w:val="thick" w:color="000000"/>
        </w:rPr>
        <w:t>e</w:t>
      </w:r>
      <w:r w:rsidRPr="006D329B">
        <w:rPr>
          <w:b/>
          <w:bCs/>
          <w:position w:val="-1"/>
          <w:sz w:val="24"/>
          <w:szCs w:val="24"/>
          <w:u w:val="thick" w:color="000000"/>
        </w:rPr>
        <w:t>s R</w:t>
      </w:r>
      <w:r w:rsidRPr="006D329B">
        <w:rPr>
          <w:b/>
          <w:bCs/>
          <w:spacing w:val="-1"/>
          <w:position w:val="-1"/>
          <w:sz w:val="24"/>
          <w:szCs w:val="24"/>
          <w:u w:val="thick" w:color="000000"/>
        </w:rPr>
        <w:t>e</w:t>
      </w:r>
      <w:r w:rsidRPr="006D329B">
        <w:rPr>
          <w:b/>
          <w:bCs/>
          <w:spacing w:val="1"/>
          <w:position w:val="-1"/>
          <w:sz w:val="24"/>
          <w:szCs w:val="24"/>
          <w:u w:val="thick" w:color="000000"/>
        </w:rPr>
        <w:t>qu</w:t>
      </w:r>
      <w:r w:rsidRPr="006D329B">
        <w:rPr>
          <w:b/>
          <w:bCs/>
          <w:position w:val="-1"/>
          <w:sz w:val="24"/>
          <w:szCs w:val="24"/>
          <w:u w:val="thick" w:color="000000"/>
        </w:rPr>
        <w:t>iri</w:t>
      </w:r>
      <w:r w:rsidRPr="006D329B">
        <w:rPr>
          <w:b/>
          <w:bCs/>
          <w:spacing w:val="1"/>
          <w:position w:val="-1"/>
          <w:sz w:val="24"/>
          <w:szCs w:val="24"/>
          <w:u w:val="thick" w:color="000000"/>
        </w:rPr>
        <w:t>n</w:t>
      </w:r>
      <w:r w:rsidRPr="006D329B">
        <w:rPr>
          <w:b/>
          <w:bCs/>
          <w:position w:val="-1"/>
          <w:sz w:val="24"/>
          <w:szCs w:val="24"/>
          <w:u w:val="thick" w:color="000000"/>
        </w:rPr>
        <w:t xml:space="preserve">g </w:t>
      </w:r>
      <w:r w:rsidRPr="006D329B">
        <w:rPr>
          <w:b/>
          <w:bCs/>
          <w:spacing w:val="1"/>
          <w:position w:val="-1"/>
          <w:sz w:val="24"/>
          <w:szCs w:val="24"/>
          <w:u w:val="thick" w:color="000000"/>
        </w:rPr>
        <w:t>Sp</w:t>
      </w:r>
      <w:r w:rsidRPr="006D329B">
        <w:rPr>
          <w:b/>
          <w:bCs/>
          <w:spacing w:val="-1"/>
          <w:position w:val="-1"/>
          <w:sz w:val="24"/>
          <w:szCs w:val="24"/>
          <w:u w:val="thick" w:color="000000"/>
        </w:rPr>
        <w:t>ec</w:t>
      </w:r>
      <w:r w:rsidRPr="006D329B">
        <w:rPr>
          <w:b/>
          <w:bCs/>
          <w:position w:val="-1"/>
          <w:sz w:val="24"/>
          <w:szCs w:val="24"/>
          <w:u w:val="thick" w:color="000000"/>
        </w:rPr>
        <w:t>ial</w:t>
      </w:r>
      <w:r w:rsidRPr="006D329B">
        <w:rPr>
          <w:b/>
          <w:bCs/>
          <w:spacing w:val="1"/>
          <w:position w:val="-1"/>
          <w:sz w:val="24"/>
          <w:szCs w:val="24"/>
          <w:u w:val="thick" w:color="000000"/>
        </w:rPr>
        <w:t xml:space="preserve"> </w:t>
      </w:r>
      <w:r w:rsidRPr="006D329B">
        <w:rPr>
          <w:b/>
          <w:bCs/>
          <w:position w:val="-1"/>
          <w:sz w:val="24"/>
          <w:szCs w:val="24"/>
          <w:u w:val="thick" w:color="000000"/>
        </w:rPr>
        <w:t>I</w:t>
      </w:r>
      <w:r w:rsidRPr="006D329B">
        <w:rPr>
          <w:b/>
          <w:bCs/>
          <w:spacing w:val="1"/>
          <w:position w:val="-1"/>
          <w:sz w:val="24"/>
          <w:szCs w:val="24"/>
          <w:u w:val="thick" w:color="000000"/>
        </w:rPr>
        <w:t>nf</w:t>
      </w:r>
      <w:r w:rsidRPr="006D329B">
        <w:rPr>
          <w:b/>
          <w:bCs/>
          <w:position w:val="-1"/>
          <w:sz w:val="24"/>
          <w:szCs w:val="24"/>
          <w:u w:val="thick" w:color="000000"/>
        </w:rPr>
        <w:t>o</w:t>
      </w:r>
      <w:r w:rsidRPr="006D329B">
        <w:rPr>
          <w:b/>
          <w:bCs/>
          <w:spacing w:val="-1"/>
          <w:position w:val="-1"/>
          <w:sz w:val="24"/>
          <w:szCs w:val="24"/>
          <w:u w:val="thick" w:color="000000"/>
        </w:rPr>
        <w:t>r</w:t>
      </w:r>
      <w:r w:rsidRPr="006D329B">
        <w:rPr>
          <w:b/>
          <w:bCs/>
          <w:spacing w:val="-3"/>
          <w:position w:val="-1"/>
          <w:sz w:val="24"/>
          <w:szCs w:val="24"/>
          <w:u w:val="thick" w:color="000000"/>
        </w:rPr>
        <w:t>m</w:t>
      </w:r>
      <w:r w:rsidRPr="006D329B">
        <w:rPr>
          <w:b/>
          <w:bCs/>
          <w:position w:val="-1"/>
          <w:sz w:val="24"/>
          <w:szCs w:val="24"/>
          <w:u w:val="thick" w:color="000000"/>
        </w:rPr>
        <w:t>a</w:t>
      </w:r>
      <w:r w:rsidRPr="006D329B">
        <w:rPr>
          <w:b/>
          <w:bCs/>
          <w:spacing w:val="-1"/>
          <w:position w:val="-1"/>
          <w:sz w:val="24"/>
          <w:szCs w:val="24"/>
          <w:u w:val="thick" w:color="000000"/>
        </w:rPr>
        <w:t>t</w:t>
      </w:r>
      <w:r w:rsidRPr="006D329B">
        <w:rPr>
          <w:b/>
          <w:bCs/>
          <w:position w:val="-1"/>
          <w:sz w:val="24"/>
          <w:szCs w:val="24"/>
          <w:u w:val="thick" w:color="000000"/>
        </w:rPr>
        <w:t>ion</w:t>
      </w:r>
      <w:r w:rsidRPr="006D329B">
        <w:rPr>
          <w:b/>
          <w:bCs/>
          <w:spacing w:val="1"/>
          <w:position w:val="-1"/>
          <w:sz w:val="24"/>
          <w:szCs w:val="24"/>
          <w:u w:val="thick" w:color="000000"/>
        </w:rPr>
        <w:t xml:space="preserve"> </w:t>
      </w:r>
      <w:r w:rsidRPr="006D329B">
        <w:rPr>
          <w:b/>
          <w:bCs/>
          <w:position w:val="-1"/>
          <w:sz w:val="24"/>
          <w:szCs w:val="24"/>
          <w:u w:val="thick" w:color="000000"/>
        </w:rPr>
        <w:t>Colle</w:t>
      </w:r>
      <w:r w:rsidRPr="006D329B">
        <w:rPr>
          <w:b/>
          <w:bCs/>
          <w:spacing w:val="-1"/>
          <w:position w:val="-1"/>
          <w:sz w:val="24"/>
          <w:szCs w:val="24"/>
          <w:u w:val="thick" w:color="000000"/>
        </w:rPr>
        <w:t>c</w:t>
      </w:r>
      <w:r w:rsidRPr="006D329B">
        <w:rPr>
          <w:b/>
          <w:bCs/>
          <w:position w:val="-1"/>
          <w:sz w:val="24"/>
          <w:szCs w:val="24"/>
          <w:u w:val="thick" w:color="000000"/>
        </w:rPr>
        <w:t>tion</w:t>
      </w:r>
    </w:p>
    <w:p w:rsidRPr="006D329B" w:rsidR="00444FA6" w:rsidP="00444FA6" w:rsidRDefault="00444FA6" w14:paraId="66C1B404" w14:textId="77777777">
      <w:pPr>
        <w:ind w:right="474"/>
        <w:rPr>
          <w:sz w:val="24"/>
          <w:szCs w:val="24"/>
        </w:rPr>
      </w:pPr>
      <w:r w:rsidRPr="006D329B">
        <w:rPr>
          <w:sz w:val="24"/>
          <w:szCs w:val="24"/>
        </w:rPr>
        <w:t xml:space="preserve">  </w:t>
      </w:r>
    </w:p>
    <w:p w:rsidRPr="006D329B" w:rsidR="00444FA6" w:rsidP="00444FA6" w:rsidRDefault="00444FA6" w14:paraId="3023DBA4" w14:textId="77777777">
      <w:pPr>
        <w:ind w:right="474"/>
        <w:rPr>
          <w:sz w:val="24"/>
          <w:szCs w:val="24"/>
        </w:rPr>
      </w:pPr>
      <w:r w:rsidRPr="006D329B">
        <w:rPr>
          <w:sz w:val="24"/>
          <w:szCs w:val="24"/>
        </w:rPr>
        <w:t>Th</w:t>
      </w:r>
      <w:r w:rsidRPr="006D329B">
        <w:rPr>
          <w:spacing w:val="-1"/>
          <w:sz w:val="24"/>
          <w:szCs w:val="24"/>
        </w:rPr>
        <w:t>e</w:t>
      </w:r>
      <w:r w:rsidRPr="006D329B">
        <w:rPr>
          <w:sz w:val="24"/>
          <w:szCs w:val="24"/>
        </w:rPr>
        <w:t>re</w:t>
      </w:r>
      <w:r w:rsidRPr="006D329B">
        <w:rPr>
          <w:spacing w:val="-2"/>
          <w:sz w:val="24"/>
          <w:szCs w:val="24"/>
        </w:rPr>
        <w:t xml:space="preserve"> </w:t>
      </w:r>
      <w:r w:rsidRPr="006D329B">
        <w:rPr>
          <w:spacing w:val="-1"/>
          <w:sz w:val="24"/>
          <w:szCs w:val="24"/>
        </w:rPr>
        <w:t>a</w:t>
      </w:r>
      <w:r w:rsidRPr="006D329B">
        <w:rPr>
          <w:sz w:val="24"/>
          <w:szCs w:val="24"/>
        </w:rPr>
        <w:t>re</w:t>
      </w:r>
      <w:r w:rsidRPr="006D329B">
        <w:rPr>
          <w:spacing w:val="-2"/>
          <w:sz w:val="24"/>
          <w:szCs w:val="24"/>
        </w:rPr>
        <w:t xml:space="preserve"> </w:t>
      </w:r>
      <w:r w:rsidRPr="006D329B">
        <w:rPr>
          <w:sz w:val="24"/>
          <w:szCs w:val="24"/>
        </w:rPr>
        <w:t>no sp</w:t>
      </w:r>
      <w:r w:rsidRPr="006D329B">
        <w:rPr>
          <w:spacing w:val="-1"/>
          <w:sz w:val="24"/>
          <w:szCs w:val="24"/>
        </w:rPr>
        <w:t>ec</w:t>
      </w:r>
      <w:r w:rsidRPr="006D329B">
        <w:rPr>
          <w:sz w:val="24"/>
          <w:szCs w:val="24"/>
        </w:rPr>
        <w:t xml:space="preserve">ial </w:t>
      </w:r>
      <w:r w:rsidRPr="006D329B">
        <w:rPr>
          <w:spacing w:val="-1"/>
          <w:sz w:val="24"/>
          <w:szCs w:val="24"/>
        </w:rPr>
        <w:t>c</w:t>
      </w:r>
      <w:r w:rsidRPr="006D329B">
        <w:rPr>
          <w:sz w:val="24"/>
          <w:szCs w:val="24"/>
        </w:rPr>
        <w:t>ir</w:t>
      </w:r>
      <w:r w:rsidRPr="006D329B">
        <w:rPr>
          <w:spacing w:val="-1"/>
          <w:sz w:val="24"/>
          <w:szCs w:val="24"/>
        </w:rPr>
        <w:t>c</w:t>
      </w:r>
      <w:r w:rsidRPr="006D329B">
        <w:rPr>
          <w:sz w:val="24"/>
          <w:szCs w:val="24"/>
        </w:rPr>
        <w:t>ums</w:t>
      </w:r>
      <w:r w:rsidRPr="006D329B">
        <w:rPr>
          <w:spacing w:val="1"/>
          <w:sz w:val="24"/>
          <w:szCs w:val="24"/>
        </w:rPr>
        <w:t>t</w:t>
      </w:r>
      <w:r w:rsidRPr="006D329B">
        <w:rPr>
          <w:spacing w:val="-1"/>
          <w:sz w:val="24"/>
          <w:szCs w:val="24"/>
        </w:rPr>
        <w:t>a</w:t>
      </w:r>
      <w:r w:rsidRPr="006D329B">
        <w:rPr>
          <w:sz w:val="24"/>
          <w:szCs w:val="24"/>
        </w:rPr>
        <w:t>n</w:t>
      </w:r>
      <w:r w:rsidRPr="006D329B">
        <w:rPr>
          <w:spacing w:val="-1"/>
          <w:sz w:val="24"/>
          <w:szCs w:val="24"/>
        </w:rPr>
        <w:t>ce</w:t>
      </w:r>
      <w:r w:rsidRPr="006D329B">
        <w:rPr>
          <w:sz w:val="24"/>
          <w:szCs w:val="24"/>
        </w:rPr>
        <w:t xml:space="preserve">s.  The </w:t>
      </w:r>
      <w:r w:rsidRPr="006D329B">
        <w:rPr>
          <w:spacing w:val="-1"/>
          <w:sz w:val="24"/>
          <w:szCs w:val="24"/>
        </w:rPr>
        <w:t>c</w:t>
      </w:r>
      <w:r w:rsidRPr="006D329B">
        <w:rPr>
          <w:sz w:val="24"/>
          <w:szCs w:val="24"/>
        </w:rPr>
        <w:t>ol</w:t>
      </w:r>
      <w:r w:rsidRPr="006D329B">
        <w:rPr>
          <w:spacing w:val="1"/>
          <w:sz w:val="24"/>
          <w:szCs w:val="24"/>
        </w:rPr>
        <w:t>l</w:t>
      </w:r>
      <w:r w:rsidRPr="006D329B">
        <w:rPr>
          <w:spacing w:val="-1"/>
          <w:sz w:val="24"/>
          <w:szCs w:val="24"/>
        </w:rPr>
        <w:t>ec</w:t>
      </w:r>
      <w:r w:rsidRPr="006D329B">
        <w:rPr>
          <w:sz w:val="24"/>
          <w:szCs w:val="24"/>
        </w:rPr>
        <w:t>t</w:t>
      </w:r>
      <w:r w:rsidRPr="006D329B">
        <w:rPr>
          <w:spacing w:val="1"/>
          <w:sz w:val="24"/>
          <w:szCs w:val="24"/>
        </w:rPr>
        <w:t>i</w:t>
      </w:r>
      <w:r w:rsidRPr="006D329B">
        <w:rPr>
          <w:sz w:val="24"/>
          <w:szCs w:val="24"/>
        </w:rPr>
        <w:t>on of</w:t>
      </w:r>
      <w:r w:rsidRPr="006D329B">
        <w:rPr>
          <w:spacing w:val="-1"/>
          <w:sz w:val="24"/>
          <w:szCs w:val="24"/>
        </w:rPr>
        <w:t xml:space="preserve"> </w:t>
      </w:r>
      <w:r w:rsidRPr="006D329B">
        <w:rPr>
          <w:sz w:val="24"/>
          <w:szCs w:val="24"/>
        </w:rPr>
        <w:t>info</w:t>
      </w:r>
      <w:r w:rsidRPr="006D329B">
        <w:rPr>
          <w:spacing w:val="-1"/>
          <w:sz w:val="24"/>
          <w:szCs w:val="24"/>
        </w:rPr>
        <w:t>r</w:t>
      </w:r>
      <w:r w:rsidRPr="006D329B">
        <w:rPr>
          <w:sz w:val="24"/>
          <w:szCs w:val="24"/>
        </w:rPr>
        <w:t>mation</w:t>
      </w:r>
      <w:r w:rsidRPr="006D329B">
        <w:rPr>
          <w:spacing w:val="1"/>
          <w:sz w:val="24"/>
          <w:szCs w:val="24"/>
        </w:rPr>
        <w:t xml:space="preserve"> </w:t>
      </w:r>
      <w:r w:rsidRPr="006D329B">
        <w:rPr>
          <w:sz w:val="24"/>
          <w:szCs w:val="24"/>
        </w:rPr>
        <w:t>r</w:t>
      </w:r>
      <w:r w:rsidRPr="006D329B">
        <w:rPr>
          <w:spacing w:val="-2"/>
          <w:sz w:val="24"/>
          <w:szCs w:val="24"/>
        </w:rPr>
        <w:t>e</w:t>
      </w:r>
      <w:r w:rsidRPr="006D329B">
        <w:rPr>
          <w:sz w:val="24"/>
          <w:szCs w:val="24"/>
        </w:rPr>
        <w:t>quir</w:t>
      </w:r>
      <w:r w:rsidRPr="006D329B">
        <w:rPr>
          <w:spacing w:val="-1"/>
          <w:sz w:val="24"/>
          <w:szCs w:val="24"/>
        </w:rPr>
        <w:t>e</w:t>
      </w:r>
      <w:r w:rsidRPr="006D329B">
        <w:rPr>
          <w:sz w:val="24"/>
          <w:szCs w:val="24"/>
        </w:rPr>
        <w:t xml:space="preserve">ments </w:t>
      </w:r>
      <w:proofErr w:type="gramStart"/>
      <w:r w:rsidRPr="006D329B">
        <w:rPr>
          <w:spacing w:val="-1"/>
          <w:sz w:val="24"/>
          <w:szCs w:val="24"/>
        </w:rPr>
        <w:t>a</w:t>
      </w:r>
      <w:r w:rsidRPr="006D329B">
        <w:rPr>
          <w:sz w:val="24"/>
          <w:szCs w:val="24"/>
        </w:rPr>
        <w:t>re</w:t>
      </w:r>
      <w:proofErr w:type="gramEnd"/>
      <w:r w:rsidRPr="006D329B">
        <w:rPr>
          <w:spacing w:val="-2"/>
          <w:sz w:val="24"/>
          <w:szCs w:val="24"/>
        </w:rPr>
        <w:t xml:space="preserve"> </w:t>
      </w:r>
      <w:r w:rsidRPr="006D329B">
        <w:rPr>
          <w:spacing w:val="-1"/>
          <w:sz w:val="24"/>
          <w:szCs w:val="24"/>
        </w:rPr>
        <w:t>c</w:t>
      </w:r>
      <w:r w:rsidRPr="006D329B">
        <w:rPr>
          <w:sz w:val="24"/>
          <w:szCs w:val="24"/>
        </w:rPr>
        <w:t xml:space="preserve">onsistent with the </w:t>
      </w:r>
      <w:r w:rsidRPr="006D329B">
        <w:rPr>
          <w:spacing w:val="-1"/>
          <w:sz w:val="24"/>
          <w:szCs w:val="24"/>
        </w:rPr>
        <w:t>a</w:t>
      </w:r>
      <w:r w:rsidRPr="006D329B">
        <w:rPr>
          <w:sz w:val="24"/>
          <w:szCs w:val="24"/>
        </w:rPr>
        <w:t>ppl</w:t>
      </w:r>
      <w:r w:rsidRPr="006D329B">
        <w:rPr>
          <w:spacing w:val="1"/>
          <w:sz w:val="24"/>
          <w:szCs w:val="24"/>
        </w:rPr>
        <w:t>i</w:t>
      </w:r>
      <w:r w:rsidRPr="006D329B">
        <w:rPr>
          <w:spacing w:val="-1"/>
          <w:sz w:val="24"/>
          <w:szCs w:val="24"/>
        </w:rPr>
        <w:t>ca</w:t>
      </w:r>
      <w:r w:rsidRPr="006D329B">
        <w:rPr>
          <w:sz w:val="24"/>
          <w:szCs w:val="24"/>
        </w:rPr>
        <w:t xml:space="preserve">ble </w:t>
      </w:r>
      <w:r w:rsidRPr="006D329B">
        <w:rPr>
          <w:spacing w:val="-3"/>
          <w:sz w:val="24"/>
          <w:szCs w:val="24"/>
        </w:rPr>
        <w:t>g</w:t>
      </w:r>
      <w:r w:rsidRPr="006D329B">
        <w:rPr>
          <w:sz w:val="24"/>
          <w:szCs w:val="24"/>
        </w:rPr>
        <w:t>uidel</w:t>
      </w:r>
      <w:r w:rsidRPr="006D329B">
        <w:rPr>
          <w:spacing w:val="1"/>
          <w:sz w:val="24"/>
          <w:szCs w:val="24"/>
        </w:rPr>
        <w:t>i</w:t>
      </w:r>
      <w:r w:rsidRPr="006D329B">
        <w:rPr>
          <w:sz w:val="24"/>
          <w:szCs w:val="24"/>
        </w:rPr>
        <w:t>n</w:t>
      </w:r>
      <w:r w:rsidRPr="006D329B">
        <w:rPr>
          <w:spacing w:val="-1"/>
          <w:sz w:val="24"/>
          <w:szCs w:val="24"/>
        </w:rPr>
        <w:t>e</w:t>
      </w:r>
      <w:r w:rsidRPr="006D329B">
        <w:rPr>
          <w:sz w:val="24"/>
          <w:szCs w:val="24"/>
        </w:rPr>
        <w:t>s co</w:t>
      </w:r>
      <w:r w:rsidRPr="006D329B">
        <w:rPr>
          <w:spacing w:val="-1"/>
          <w:sz w:val="24"/>
          <w:szCs w:val="24"/>
        </w:rPr>
        <w:t>n</w:t>
      </w:r>
      <w:r w:rsidRPr="006D329B">
        <w:rPr>
          <w:sz w:val="24"/>
          <w:szCs w:val="24"/>
        </w:rPr>
        <w:t>tain</w:t>
      </w:r>
      <w:r w:rsidRPr="006D329B">
        <w:rPr>
          <w:spacing w:val="-1"/>
          <w:sz w:val="24"/>
          <w:szCs w:val="24"/>
        </w:rPr>
        <w:t>e</w:t>
      </w:r>
      <w:r w:rsidRPr="006D329B">
        <w:rPr>
          <w:sz w:val="24"/>
          <w:szCs w:val="24"/>
        </w:rPr>
        <w:t xml:space="preserve">d in 5 </w:t>
      </w:r>
      <w:r w:rsidRPr="006D329B">
        <w:rPr>
          <w:spacing w:val="1"/>
          <w:sz w:val="24"/>
          <w:szCs w:val="24"/>
        </w:rPr>
        <w:t>C</w:t>
      </w:r>
      <w:r w:rsidRPr="006D329B">
        <w:rPr>
          <w:spacing w:val="-1"/>
          <w:sz w:val="24"/>
          <w:szCs w:val="24"/>
        </w:rPr>
        <w:t>F</w:t>
      </w:r>
      <w:r w:rsidRPr="006D329B">
        <w:rPr>
          <w:sz w:val="24"/>
          <w:szCs w:val="24"/>
        </w:rPr>
        <w:t>R § 1320.5</w:t>
      </w:r>
      <w:r w:rsidRPr="006D329B">
        <w:rPr>
          <w:spacing w:val="-1"/>
          <w:sz w:val="24"/>
          <w:szCs w:val="24"/>
        </w:rPr>
        <w:t>(</w:t>
      </w:r>
      <w:r w:rsidRPr="006D329B">
        <w:rPr>
          <w:sz w:val="24"/>
          <w:szCs w:val="24"/>
        </w:rPr>
        <w:t>d</w:t>
      </w:r>
      <w:r w:rsidRPr="006D329B">
        <w:rPr>
          <w:spacing w:val="-1"/>
          <w:sz w:val="24"/>
          <w:szCs w:val="24"/>
        </w:rPr>
        <w:t>)</w:t>
      </w:r>
      <w:r w:rsidRPr="006D329B">
        <w:rPr>
          <w:sz w:val="24"/>
          <w:szCs w:val="24"/>
        </w:rPr>
        <w:t>(2</w:t>
      </w:r>
      <w:r w:rsidRPr="006D329B">
        <w:rPr>
          <w:spacing w:val="-1"/>
          <w:sz w:val="24"/>
          <w:szCs w:val="24"/>
        </w:rPr>
        <w:t>)</w:t>
      </w:r>
      <w:r w:rsidRPr="006D329B">
        <w:rPr>
          <w:sz w:val="24"/>
          <w:szCs w:val="24"/>
        </w:rPr>
        <w:t>.</w:t>
      </w:r>
    </w:p>
    <w:p w:rsidRPr="006D329B" w:rsidR="00444FA6" w:rsidP="00444FA6" w:rsidRDefault="00444FA6" w14:paraId="6AADE26A" w14:textId="77777777">
      <w:pPr>
        <w:rPr>
          <w:sz w:val="24"/>
          <w:szCs w:val="24"/>
        </w:rPr>
      </w:pPr>
    </w:p>
    <w:p w:rsidRPr="006D329B" w:rsidR="00444FA6" w:rsidP="00444FA6" w:rsidRDefault="00444FA6" w14:paraId="2BD3F36C" w14:textId="77777777">
      <w:pPr>
        <w:keepNext/>
        <w:ind w:right="-14"/>
        <w:rPr>
          <w:sz w:val="24"/>
          <w:szCs w:val="24"/>
        </w:rPr>
      </w:pPr>
      <w:r w:rsidRPr="006D329B">
        <w:rPr>
          <w:b/>
          <w:bCs/>
          <w:sz w:val="24"/>
          <w:szCs w:val="24"/>
        </w:rPr>
        <w:t xml:space="preserve">8.  </w:t>
      </w:r>
      <w:r w:rsidRPr="006D329B">
        <w:rPr>
          <w:b/>
          <w:bCs/>
          <w:sz w:val="24"/>
          <w:szCs w:val="24"/>
          <w:u w:val="thick" w:color="000000"/>
        </w:rPr>
        <w:t>Cons</w:t>
      </w:r>
      <w:r w:rsidRPr="006D329B">
        <w:rPr>
          <w:b/>
          <w:bCs/>
          <w:spacing w:val="1"/>
          <w:sz w:val="24"/>
          <w:szCs w:val="24"/>
          <w:u w:val="thick" w:color="000000"/>
        </w:rPr>
        <w:t>u</w:t>
      </w:r>
      <w:r w:rsidRPr="006D329B">
        <w:rPr>
          <w:b/>
          <w:bCs/>
          <w:sz w:val="24"/>
          <w:szCs w:val="24"/>
          <w:u w:val="thick" w:color="000000"/>
        </w:rPr>
        <w:t>lta</w:t>
      </w:r>
      <w:r w:rsidRPr="006D329B">
        <w:rPr>
          <w:b/>
          <w:bCs/>
          <w:spacing w:val="-1"/>
          <w:sz w:val="24"/>
          <w:szCs w:val="24"/>
          <w:u w:val="thick" w:color="000000"/>
        </w:rPr>
        <w:t>t</w:t>
      </w:r>
      <w:r w:rsidRPr="006D329B">
        <w:rPr>
          <w:b/>
          <w:bCs/>
          <w:sz w:val="24"/>
          <w:szCs w:val="24"/>
          <w:u w:val="thick" w:color="000000"/>
        </w:rPr>
        <w:t>ion</w:t>
      </w:r>
      <w:r w:rsidRPr="006D329B">
        <w:rPr>
          <w:b/>
          <w:bCs/>
          <w:spacing w:val="1"/>
          <w:sz w:val="24"/>
          <w:szCs w:val="24"/>
          <w:u w:val="thick" w:color="000000"/>
        </w:rPr>
        <w:t xml:space="preserve"> </w:t>
      </w:r>
      <w:r w:rsidRPr="006D329B">
        <w:rPr>
          <w:b/>
          <w:bCs/>
          <w:sz w:val="24"/>
          <w:szCs w:val="24"/>
          <w:u w:val="thick" w:color="000000"/>
        </w:rPr>
        <w:t>O</w:t>
      </w:r>
      <w:r w:rsidRPr="006D329B">
        <w:rPr>
          <w:b/>
          <w:bCs/>
          <w:spacing w:val="1"/>
          <w:sz w:val="24"/>
          <w:szCs w:val="24"/>
          <w:u w:val="thick" w:color="000000"/>
        </w:rPr>
        <w:t>u</w:t>
      </w:r>
      <w:r w:rsidRPr="006D329B">
        <w:rPr>
          <w:b/>
          <w:bCs/>
          <w:sz w:val="24"/>
          <w:szCs w:val="24"/>
          <w:u w:val="thick" w:color="000000"/>
        </w:rPr>
        <w:t>tsi</w:t>
      </w:r>
      <w:r w:rsidRPr="006D329B">
        <w:rPr>
          <w:b/>
          <w:bCs/>
          <w:spacing w:val="1"/>
          <w:sz w:val="24"/>
          <w:szCs w:val="24"/>
          <w:u w:val="thick" w:color="000000"/>
        </w:rPr>
        <w:t>d</w:t>
      </w:r>
      <w:r w:rsidRPr="006D329B">
        <w:rPr>
          <w:b/>
          <w:bCs/>
          <w:sz w:val="24"/>
          <w:szCs w:val="24"/>
          <w:u w:val="thick" w:color="000000"/>
        </w:rPr>
        <w:t>e</w:t>
      </w:r>
      <w:r w:rsidRPr="006D329B">
        <w:rPr>
          <w:b/>
          <w:bCs/>
          <w:spacing w:val="-1"/>
          <w:sz w:val="24"/>
          <w:szCs w:val="24"/>
          <w:u w:val="thick" w:color="000000"/>
        </w:rPr>
        <w:t xml:space="preserve"> t</w:t>
      </w:r>
      <w:r w:rsidRPr="006D329B">
        <w:rPr>
          <w:b/>
          <w:bCs/>
          <w:spacing w:val="1"/>
          <w:sz w:val="24"/>
          <w:szCs w:val="24"/>
          <w:u w:val="thick" w:color="000000"/>
        </w:rPr>
        <w:t>h</w:t>
      </w:r>
      <w:r w:rsidRPr="006D329B">
        <w:rPr>
          <w:b/>
          <w:bCs/>
          <w:sz w:val="24"/>
          <w:szCs w:val="24"/>
          <w:u w:val="thick" w:color="000000"/>
        </w:rPr>
        <w:t>e</w:t>
      </w:r>
      <w:r w:rsidRPr="006D329B">
        <w:rPr>
          <w:b/>
          <w:bCs/>
          <w:spacing w:val="-1"/>
          <w:sz w:val="24"/>
          <w:szCs w:val="24"/>
          <w:u w:val="thick" w:color="000000"/>
        </w:rPr>
        <w:t xml:space="preserve"> </w:t>
      </w:r>
      <w:r w:rsidRPr="006D329B">
        <w:rPr>
          <w:b/>
          <w:bCs/>
          <w:sz w:val="24"/>
          <w:szCs w:val="24"/>
          <w:u w:val="thick" w:color="000000"/>
        </w:rPr>
        <w:t>Ag</w:t>
      </w:r>
      <w:r w:rsidRPr="006D329B">
        <w:rPr>
          <w:b/>
          <w:bCs/>
          <w:spacing w:val="-1"/>
          <w:sz w:val="24"/>
          <w:szCs w:val="24"/>
          <w:u w:val="thick" w:color="000000"/>
        </w:rPr>
        <w:t>e</w:t>
      </w:r>
      <w:r w:rsidRPr="006D329B">
        <w:rPr>
          <w:b/>
          <w:bCs/>
          <w:spacing w:val="1"/>
          <w:sz w:val="24"/>
          <w:szCs w:val="24"/>
          <w:u w:val="thick" w:color="000000"/>
        </w:rPr>
        <w:t>n</w:t>
      </w:r>
      <w:r w:rsidRPr="006D329B">
        <w:rPr>
          <w:b/>
          <w:bCs/>
          <w:spacing w:val="-1"/>
          <w:sz w:val="24"/>
          <w:szCs w:val="24"/>
          <w:u w:val="thick" w:color="000000"/>
        </w:rPr>
        <w:t>c</w:t>
      </w:r>
      <w:r w:rsidRPr="006D329B">
        <w:rPr>
          <w:b/>
          <w:bCs/>
          <w:sz w:val="24"/>
          <w:szCs w:val="24"/>
          <w:u w:val="thick" w:color="000000"/>
        </w:rPr>
        <w:t>y</w:t>
      </w:r>
    </w:p>
    <w:p w:rsidRPr="006D329B" w:rsidR="00444FA6" w:rsidP="00444FA6" w:rsidRDefault="00444FA6" w14:paraId="7D2E33D2" w14:textId="77777777">
      <w:pPr>
        <w:rPr>
          <w:sz w:val="24"/>
          <w:szCs w:val="24"/>
        </w:rPr>
      </w:pPr>
    </w:p>
    <w:p w:rsidRPr="00471AE7" w:rsidR="00FB1640" w:rsidP="00FB1640" w:rsidRDefault="00FB1640" w14:paraId="5657733D" w14:textId="6A0603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471AE7">
        <w:rPr>
          <w:color w:val="000000" w:themeColor="text1"/>
          <w:sz w:val="24"/>
          <w:szCs w:val="24"/>
        </w:rPr>
        <w:t xml:space="preserve">In accordance with 5 CFR 1320.11, on </w:t>
      </w:r>
      <w:r>
        <w:rPr>
          <w:color w:val="000000" w:themeColor="text1"/>
          <w:sz w:val="24"/>
          <w:szCs w:val="24"/>
        </w:rPr>
        <w:t xml:space="preserve">July 22, 2016 </w:t>
      </w:r>
      <w:r w:rsidRPr="00471AE7">
        <w:rPr>
          <w:color w:val="000000" w:themeColor="text1"/>
          <w:sz w:val="24"/>
          <w:szCs w:val="24"/>
        </w:rPr>
        <w:t xml:space="preserve">the Bureau published a notice of proposed rulemaking </w:t>
      </w:r>
      <w:r w:rsidR="00F80ED2">
        <w:rPr>
          <w:color w:val="000000" w:themeColor="text1"/>
          <w:sz w:val="24"/>
          <w:szCs w:val="24"/>
        </w:rPr>
        <w:t xml:space="preserve">(2016 NPRM) </w:t>
      </w:r>
      <w:r w:rsidRPr="00471AE7">
        <w:rPr>
          <w:color w:val="000000" w:themeColor="text1"/>
          <w:sz w:val="24"/>
          <w:szCs w:val="24"/>
        </w:rPr>
        <w:t xml:space="preserve">in the </w:t>
      </w:r>
      <w:r w:rsidRPr="00471AE7">
        <w:rPr>
          <w:i/>
          <w:color w:val="000000" w:themeColor="text1"/>
          <w:sz w:val="24"/>
          <w:szCs w:val="24"/>
        </w:rPr>
        <w:t>Federal Register</w:t>
      </w:r>
      <w:r>
        <w:rPr>
          <w:color w:val="000000" w:themeColor="text1"/>
          <w:sz w:val="24"/>
          <w:szCs w:val="24"/>
        </w:rPr>
        <w:t>, 81 FR 47863,</w:t>
      </w:r>
      <w:r w:rsidRPr="00471AE7">
        <w:rPr>
          <w:i/>
          <w:color w:val="000000" w:themeColor="text1"/>
          <w:sz w:val="24"/>
          <w:szCs w:val="24"/>
        </w:rPr>
        <w:t xml:space="preserve"> </w:t>
      </w:r>
      <w:r w:rsidRPr="00471AE7">
        <w:rPr>
          <w:color w:val="000000" w:themeColor="text1"/>
          <w:sz w:val="24"/>
          <w:szCs w:val="24"/>
        </w:rPr>
        <w:t xml:space="preserve">inviting the public to comment on the information collection requirements </w:t>
      </w:r>
      <w:r w:rsidR="00C756F9">
        <w:rPr>
          <w:color w:val="000000" w:themeColor="text1"/>
          <w:sz w:val="24"/>
          <w:szCs w:val="24"/>
        </w:rPr>
        <w:t xml:space="preserve">associated with the </w:t>
      </w:r>
      <w:r w:rsidR="004045EB">
        <w:rPr>
          <w:color w:val="000000" w:themeColor="text1"/>
          <w:sz w:val="24"/>
          <w:szCs w:val="24"/>
        </w:rPr>
        <w:t xml:space="preserve">Payment Provisions </w:t>
      </w:r>
      <w:r w:rsidRPr="00471AE7">
        <w:rPr>
          <w:color w:val="000000" w:themeColor="text1"/>
          <w:sz w:val="24"/>
          <w:szCs w:val="24"/>
        </w:rPr>
        <w:t>contained in th</w:t>
      </w:r>
      <w:r w:rsidR="00BA1023">
        <w:rPr>
          <w:color w:val="000000" w:themeColor="text1"/>
          <w:sz w:val="24"/>
          <w:szCs w:val="24"/>
        </w:rPr>
        <w:t xml:space="preserve">e 2017 Final Rule and </w:t>
      </w:r>
      <w:r w:rsidR="00F402D2">
        <w:rPr>
          <w:color w:val="000000" w:themeColor="text1"/>
          <w:sz w:val="24"/>
          <w:szCs w:val="24"/>
        </w:rPr>
        <w:t>preserved</w:t>
      </w:r>
      <w:r w:rsidR="00BA1023">
        <w:rPr>
          <w:color w:val="000000" w:themeColor="text1"/>
          <w:sz w:val="24"/>
          <w:szCs w:val="24"/>
        </w:rPr>
        <w:t xml:space="preserve"> by the 2020 Final Rule</w:t>
      </w:r>
      <w:r>
        <w:rPr>
          <w:color w:val="000000" w:themeColor="text1"/>
          <w:sz w:val="24"/>
          <w:szCs w:val="24"/>
        </w:rPr>
        <w:t xml:space="preserve">. </w:t>
      </w:r>
      <w:r w:rsidRPr="00471AE7">
        <w:rPr>
          <w:color w:val="000000" w:themeColor="text1"/>
          <w:sz w:val="24"/>
          <w:szCs w:val="24"/>
        </w:rPr>
        <w:t xml:space="preserve"> </w:t>
      </w:r>
      <w:r>
        <w:rPr>
          <w:color w:val="000000" w:themeColor="text1"/>
          <w:sz w:val="24"/>
          <w:szCs w:val="24"/>
        </w:rPr>
        <w:t>T</w:t>
      </w:r>
      <w:r w:rsidRPr="00471AE7">
        <w:rPr>
          <w:color w:val="000000" w:themeColor="text1"/>
          <w:sz w:val="24"/>
          <w:szCs w:val="24"/>
        </w:rPr>
        <w:t>he Bureau received</w:t>
      </w:r>
      <w:r>
        <w:rPr>
          <w:color w:val="000000" w:themeColor="text1"/>
          <w:sz w:val="24"/>
          <w:szCs w:val="24"/>
        </w:rPr>
        <w:t xml:space="preserve"> over 1.4 million </w:t>
      </w:r>
      <w:r w:rsidRPr="00471AE7">
        <w:rPr>
          <w:color w:val="000000" w:themeColor="text1"/>
          <w:sz w:val="24"/>
          <w:szCs w:val="24"/>
        </w:rPr>
        <w:t>comments</w:t>
      </w:r>
      <w:r w:rsidR="007E20A6">
        <w:rPr>
          <w:color w:val="000000" w:themeColor="text1"/>
          <w:sz w:val="24"/>
          <w:szCs w:val="24"/>
        </w:rPr>
        <w:t>,</w:t>
      </w:r>
      <w:r>
        <w:rPr>
          <w:rStyle w:val="FootnoteReference"/>
          <w:color w:val="000000" w:themeColor="text1"/>
          <w:sz w:val="24"/>
          <w:szCs w:val="24"/>
        </w:rPr>
        <w:footnoteReference w:id="3"/>
      </w:r>
      <w:r w:rsidRPr="00471AE7">
        <w:rPr>
          <w:color w:val="000000" w:themeColor="text1"/>
          <w:sz w:val="24"/>
          <w:szCs w:val="24"/>
        </w:rPr>
        <w:t xml:space="preserve"> which are summarized along with the Bureau’s response to those comments in the preamble to the </w:t>
      </w:r>
      <w:r w:rsidR="00BC250F">
        <w:rPr>
          <w:color w:val="000000" w:themeColor="text1"/>
          <w:sz w:val="24"/>
          <w:szCs w:val="24"/>
        </w:rPr>
        <w:t>2017 Final Rule</w:t>
      </w:r>
      <w:r w:rsidR="00915D8D">
        <w:rPr>
          <w:color w:val="000000" w:themeColor="text1"/>
          <w:sz w:val="24"/>
          <w:szCs w:val="24"/>
        </w:rPr>
        <w:t xml:space="preserve"> </w:t>
      </w:r>
      <w:r w:rsidRPr="00444FA6" w:rsidR="00915D8D">
        <w:rPr>
          <w:sz w:val="24"/>
          <w:szCs w:val="24"/>
        </w:rPr>
        <w:t>(82 FR 54472</w:t>
      </w:r>
      <w:r w:rsidR="00915D8D">
        <w:rPr>
          <w:sz w:val="24"/>
          <w:szCs w:val="24"/>
        </w:rPr>
        <w:t>, Nov. 17, 2017</w:t>
      </w:r>
      <w:r w:rsidRPr="00444FA6" w:rsidR="00915D8D">
        <w:rPr>
          <w:sz w:val="24"/>
          <w:szCs w:val="24"/>
        </w:rPr>
        <w:t>)</w:t>
      </w:r>
      <w:r w:rsidRPr="00471AE7">
        <w:rPr>
          <w:color w:val="000000" w:themeColor="text1"/>
          <w:sz w:val="24"/>
          <w:szCs w:val="24"/>
        </w:rPr>
        <w:t>.</w:t>
      </w:r>
    </w:p>
    <w:p w:rsidR="00FB1640" w:rsidP="00444FA6" w:rsidRDefault="00FB1640" w14:paraId="41666DD9" w14:textId="77777777">
      <w:pPr>
        <w:pStyle w:val="BodyText"/>
        <w:spacing w:before="9"/>
        <w:rPr>
          <w:lang w:bidi="ar-SA"/>
        </w:rPr>
      </w:pPr>
    </w:p>
    <w:p w:rsidR="00444FA6" w:rsidP="00444FA6" w:rsidRDefault="002B6E4E" w14:paraId="70870B54" w14:textId="78237794">
      <w:pPr>
        <w:pStyle w:val="BodyText"/>
        <w:spacing w:before="9"/>
        <w:rPr>
          <w:lang w:bidi="ar-SA"/>
        </w:rPr>
      </w:pPr>
      <w:r>
        <w:rPr>
          <w:lang w:bidi="ar-SA"/>
        </w:rPr>
        <w:lastRenderedPageBreak/>
        <w:t>Also,</w:t>
      </w:r>
      <w:r w:rsidR="00FE104E">
        <w:rPr>
          <w:lang w:bidi="ar-SA"/>
        </w:rPr>
        <w:t xml:space="preserve"> i</w:t>
      </w:r>
      <w:r w:rsidRPr="006D329B" w:rsidR="00444FA6">
        <w:rPr>
          <w:lang w:bidi="ar-SA"/>
        </w:rPr>
        <w:t xml:space="preserve">n accordance with 5 CFR </w:t>
      </w:r>
      <w:r w:rsidRPr="006D329B" w:rsidR="00444FA6">
        <w:t>§</w:t>
      </w:r>
      <w:r w:rsidR="00444FA6">
        <w:t xml:space="preserve"> </w:t>
      </w:r>
      <w:r w:rsidRPr="006D329B" w:rsidR="00444FA6">
        <w:rPr>
          <w:lang w:bidi="ar-SA"/>
        </w:rPr>
        <w:t xml:space="preserve">1320.11, the Bureau published a notice of proposed rulemaking in the </w:t>
      </w:r>
      <w:r w:rsidRPr="00BE6729" w:rsidR="00444FA6">
        <w:rPr>
          <w:i/>
          <w:lang w:bidi="ar-SA"/>
        </w:rPr>
        <w:t>Federal Register</w:t>
      </w:r>
      <w:r w:rsidRPr="006D329B" w:rsidR="00444FA6">
        <w:rPr>
          <w:lang w:bidi="ar-SA"/>
        </w:rPr>
        <w:t xml:space="preserve"> inviting the public to comment on the information collection requirements contained in the proposed rule.  </w:t>
      </w:r>
      <w:r w:rsidR="00ED3103">
        <w:rPr>
          <w:lang w:bidi="ar-SA"/>
        </w:rPr>
        <w:t xml:space="preserve">The Bureau received </w:t>
      </w:r>
      <w:r w:rsidR="00BE7251">
        <w:rPr>
          <w:lang w:bidi="ar-SA"/>
        </w:rPr>
        <w:t>approximately 197,000</w:t>
      </w:r>
      <w:r w:rsidR="00ED3103">
        <w:rPr>
          <w:lang w:bidi="ar-SA"/>
        </w:rPr>
        <w:t xml:space="preserve"> comments which</w:t>
      </w:r>
      <w:r w:rsidR="006A6E94">
        <w:rPr>
          <w:lang w:bidi="ar-SA"/>
        </w:rPr>
        <w:t xml:space="preserve"> can be viewed at </w:t>
      </w:r>
      <w:hyperlink w:history="1" r:id="rId11">
        <w:r w:rsidRPr="00824550" w:rsidR="006A6E94">
          <w:rPr>
            <w:rStyle w:val="Hyperlink"/>
            <w:lang w:bidi="ar-SA"/>
          </w:rPr>
          <w:t>https://www.regulations.gov/docketBrowser?rpp=25&amp;so=DESC&amp;sb=commentDueDate&amp;po=0&amp;D=CFPB-2019-0006</w:t>
        </w:r>
      </w:hyperlink>
      <w:r w:rsidR="006A6E94">
        <w:rPr>
          <w:lang w:bidi="ar-SA"/>
        </w:rPr>
        <w:t xml:space="preserve">. </w:t>
      </w:r>
      <w:r w:rsidR="00A65A8E">
        <w:rPr>
          <w:lang w:bidi="ar-SA"/>
        </w:rPr>
        <w:t xml:space="preserve"> </w:t>
      </w:r>
      <w:r w:rsidR="006A6E94">
        <w:rPr>
          <w:lang w:bidi="ar-SA"/>
        </w:rPr>
        <w:t>These comments</w:t>
      </w:r>
      <w:r w:rsidR="00ED3103">
        <w:rPr>
          <w:lang w:bidi="ar-SA"/>
        </w:rPr>
        <w:t xml:space="preserve"> are </w:t>
      </w:r>
      <w:r w:rsidR="006A6E94">
        <w:rPr>
          <w:lang w:bidi="ar-SA"/>
        </w:rPr>
        <w:t xml:space="preserve">also </w:t>
      </w:r>
      <w:r w:rsidR="00ED3103">
        <w:rPr>
          <w:lang w:bidi="ar-SA"/>
        </w:rPr>
        <w:t xml:space="preserve">summarized along with the Bureau’s response to those comments in the preamble to the </w:t>
      </w:r>
      <w:r w:rsidR="0054003D">
        <w:rPr>
          <w:lang w:bidi="ar-SA"/>
        </w:rPr>
        <w:t>20</w:t>
      </w:r>
      <w:r w:rsidR="00B55EA8">
        <w:rPr>
          <w:lang w:bidi="ar-SA"/>
        </w:rPr>
        <w:t>20</w:t>
      </w:r>
      <w:r w:rsidR="0054003D">
        <w:rPr>
          <w:lang w:bidi="ar-SA"/>
        </w:rPr>
        <w:t xml:space="preserve"> </w:t>
      </w:r>
      <w:r w:rsidR="00ED3103">
        <w:rPr>
          <w:lang w:bidi="ar-SA"/>
        </w:rPr>
        <w:t>Notice of Final Rulemaking</w:t>
      </w:r>
      <w:r w:rsidRPr="006D329B" w:rsidR="00444FA6">
        <w:rPr>
          <w:lang w:bidi="ar-SA"/>
        </w:rPr>
        <w:t>.</w:t>
      </w:r>
    </w:p>
    <w:p w:rsidR="004829C7" w:rsidP="00444FA6" w:rsidRDefault="004829C7" w14:paraId="5A988B17" w14:textId="291CE0ED">
      <w:pPr>
        <w:pStyle w:val="BodyText"/>
        <w:spacing w:before="9"/>
        <w:rPr>
          <w:lang w:bidi="ar-SA"/>
        </w:rPr>
      </w:pPr>
    </w:p>
    <w:p w:rsidR="003221D2" w:rsidP="00B56DCC" w:rsidRDefault="00B56DCC" w14:paraId="4B8878B7" w14:textId="24611ABF">
      <w:pPr>
        <w:rPr>
          <w:sz w:val="24"/>
          <w:szCs w:val="24"/>
        </w:rPr>
      </w:pPr>
      <w:r w:rsidRPr="00B56DCC">
        <w:rPr>
          <w:sz w:val="24"/>
          <w:szCs w:val="24"/>
        </w:rPr>
        <w:t xml:space="preserve">The Bureau has been studying and conducting market monitoring activities of the markets for liquidity loans for more than </w:t>
      </w:r>
      <w:r w:rsidR="008E2A2C">
        <w:rPr>
          <w:sz w:val="24"/>
          <w:szCs w:val="24"/>
        </w:rPr>
        <w:t>eight</w:t>
      </w:r>
      <w:r w:rsidRPr="00B56DCC">
        <w:rPr>
          <w:sz w:val="24"/>
          <w:szCs w:val="24"/>
        </w:rPr>
        <w:t xml:space="preserve"> years, gaining insights from a variety of sources.  During this time</w:t>
      </w:r>
      <w:r w:rsidR="0057658A">
        <w:rPr>
          <w:sz w:val="24"/>
          <w:szCs w:val="24"/>
        </w:rPr>
        <w:t xml:space="preserve">, </w:t>
      </w:r>
      <w:r w:rsidRPr="00B56DCC">
        <w:rPr>
          <w:sz w:val="24"/>
          <w:szCs w:val="24"/>
        </w:rPr>
        <w:t>the Bureau has also conducted supervisory examinations of a number of payday lenders and enforcement investigations of a number of different types of liquidity lenders.  Through all of these activities, the Bureau has gained insights into the business models and practices of such lenders and also has obtained extensive loan-level data that the Bureau has studied to better understand risks to consumers.  The Bureau has published four reports based upon these data along with a supplemental report included with the issuance of the</w:t>
      </w:r>
      <w:r w:rsidR="00337453">
        <w:rPr>
          <w:sz w:val="24"/>
          <w:szCs w:val="24"/>
        </w:rPr>
        <w:t xml:space="preserve"> 2016</w:t>
      </w:r>
      <w:r w:rsidRPr="00B56DCC">
        <w:rPr>
          <w:sz w:val="24"/>
          <w:szCs w:val="24"/>
        </w:rPr>
        <w:t xml:space="preserve"> </w:t>
      </w:r>
      <w:r w:rsidR="00890EAF">
        <w:rPr>
          <w:sz w:val="24"/>
          <w:szCs w:val="24"/>
        </w:rPr>
        <w:t>NPRM</w:t>
      </w:r>
      <w:r w:rsidRPr="00B56DCC">
        <w:rPr>
          <w:sz w:val="24"/>
          <w:szCs w:val="24"/>
        </w:rPr>
        <w:t xml:space="preserve">.  The Bureau has also carefully reviewed the published literature with respect to small dollar loans and a number of outside researchers have presented their research at seminars for Bureau staff.  </w:t>
      </w:r>
    </w:p>
    <w:p w:rsidR="003221D2" w:rsidP="00B56DCC" w:rsidRDefault="003221D2" w14:paraId="0BEDA9AB" w14:textId="77777777">
      <w:pPr>
        <w:rPr>
          <w:sz w:val="24"/>
          <w:szCs w:val="24"/>
        </w:rPr>
      </w:pPr>
    </w:p>
    <w:p w:rsidRPr="006D329B" w:rsidR="00B821C3" w:rsidP="00B821C3" w:rsidRDefault="00B56DCC" w14:paraId="3162F1DA" w14:textId="02A14FB4">
      <w:pPr>
        <w:pStyle w:val="BodyText"/>
        <w:spacing w:before="9"/>
        <w:rPr>
          <w:lang w:bidi="ar-SA"/>
        </w:rPr>
      </w:pPr>
      <w:r w:rsidRPr="00B56DCC">
        <w:t xml:space="preserve">In addition, over the course of the past </w:t>
      </w:r>
      <w:r w:rsidR="00337453">
        <w:t>eight</w:t>
      </w:r>
      <w:r w:rsidRPr="00B56DCC">
        <w:t xml:space="preserve"> years the Bureau has engaged in extensive outreach with a variety of stakeholders in both formal and informal settings, including several Bureau field hearings across the country specifically focused on the subject of small dollar lending, meetings with the Bureau’s standing advisory groups, meetings with State and Federal regulators, meetings with consumer advocates, religious groups, and industry trade associations, consultations with Indian tribes, and through a Small Business Review Panel process.</w:t>
      </w:r>
      <w:r w:rsidR="003221D2">
        <w:t xml:space="preserve">  </w:t>
      </w:r>
      <w:r w:rsidR="00454A25">
        <w:rPr>
          <w:lang w:bidi="ar-SA"/>
        </w:rPr>
        <w:t xml:space="preserve"> The Bureau </w:t>
      </w:r>
      <w:r w:rsidR="00B21D9F">
        <w:rPr>
          <w:lang w:bidi="ar-SA"/>
        </w:rPr>
        <w:t>also received related</w:t>
      </w:r>
      <w:r w:rsidR="007A2896">
        <w:rPr>
          <w:lang w:bidi="ar-SA"/>
        </w:rPr>
        <w:t xml:space="preserve"> public</w:t>
      </w:r>
      <w:r w:rsidR="00B21D9F">
        <w:rPr>
          <w:lang w:bidi="ar-SA"/>
        </w:rPr>
        <w:t xml:space="preserve"> </w:t>
      </w:r>
      <w:r w:rsidR="00B21D9F">
        <w:t>comments in response to other Bureau initiatives, such as the Requests for Information that the Bureau issued in 2018.</w:t>
      </w:r>
      <w:r w:rsidR="00BF49DE">
        <w:rPr>
          <w:rStyle w:val="FootnoteReference"/>
        </w:rPr>
        <w:footnoteReference w:id="4"/>
      </w:r>
      <w:r w:rsidR="00B821C3">
        <w:t xml:space="preserve">  </w:t>
      </w:r>
      <w:r w:rsidRPr="007C1679" w:rsidR="00B821C3">
        <w:rPr>
          <w:lang w:bidi="ar-SA"/>
        </w:rPr>
        <w:t xml:space="preserve">See Part III of the Preamble to the </w:t>
      </w:r>
      <w:r w:rsidR="00B821C3">
        <w:rPr>
          <w:lang w:bidi="ar-SA"/>
        </w:rPr>
        <w:t>2017 Final Rule and Part III of the Preamble to the 2020 Final Rule</w:t>
      </w:r>
      <w:r w:rsidRPr="007C1679" w:rsidR="00B821C3">
        <w:rPr>
          <w:lang w:bidi="ar-SA"/>
        </w:rPr>
        <w:t xml:space="preserve"> for a full description of the Bureau’s efforts to consult with parties outside of the Bureau.</w:t>
      </w:r>
    </w:p>
    <w:p w:rsidRPr="00B56DCC" w:rsidR="00B56DCC" w:rsidP="00B56DCC" w:rsidRDefault="00B56DCC" w14:paraId="493895E6" w14:textId="77777777">
      <w:pPr>
        <w:rPr>
          <w:sz w:val="24"/>
          <w:szCs w:val="24"/>
        </w:rPr>
      </w:pPr>
    </w:p>
    <w:p w:rsidR="00B56DCC" w:rsidP="00B56DCC" w:rsidRDefault="00D36976" w14:paraId="47867E42" w14:textId="44A09FD3">
      <w:pPr>
        <w:rPr>
          <w:sz w:val="24"/>
          <w:szCs w:val="24"/>
        </w:rPr>
      </w:pPr>
      <w:r>
        <w:rPr>
          <w:sz w:val="24"/>
          <w:szCs w:val="24"/>
        </w:rPr>
        <w:t xml:space="preserve">In response to the 2016 </w:t>
      </w:r>
      <w:r w:rsidR="00890EAF">
        <w:rPr>
          <w:sz w:val="24"/>
          <w:szCs w:val="24"/>
        </w:rPr>
        <w:t>NPRM</w:t>
      </w:r>
      <w:r>
        <w:rPr>
          <w:sz w:val="24"/>
          <w:szCs w:val="24"/>
        </w:rPr>
        <w:t>, t</w:t>
      </w:r>
      <w:r w:rsidRPr="00B56DCC" w:rsidR="00B56DCC">
        <w:rPr>
          <w:sz w:val="24"/>
          <w:szCs w:val="24"/>
        </w:rPr>
        <w:t xml:space="preserve">he Bureau received numerous comments addressing the estimates of burden hours and costs subject to the </w:t>
      </w:r>
      <w:r w:rsidR="00E05231">
        <w:rPr>
          <w:sz w:val="24"/>
          <w:szCs w:val="24"/>
        </w:rPr>
        <w:t>pro</w:t>
      </w:r>
      <w:r w:rsidR="00A66C02">
        <w:rPr>
          <w:sz w:val="24"/>
          <w:szCs w:val="24"/>
        </w:rPr>
        <w:t xml:space="preserve">posed </w:t>
      </w:r>
      <w:r w:rsidR="004045EB">
        <w:rPr>
          <w:sz w:val="24"/>
          <w:szCs w:val="24"/>
        </w:rPr>
        <w:t xml:space="preserve">Payment Provisions </w:t>
      </w:r>
      <w:r w:rsidR="00250D0C">
        <w:rPr>
          <w:sz w:val="24"/>
          <w:szCs w:val="24"/>
        </w:rPr>
        <w:t>that were finalized at 12 CFR</w:t>
      </w:r>
      <w:r w:rsidR="00A23FC9">
        <w:rPr>
          <w:sz w:val="24"/>
          <w:szCs w:val="24"/>
        </w:rPr>
        <w:t xml:space="preserve"> part</w:t>
      </w:r>
      <w:r w:rsidR="00250D0C">
        <w:rPr>
          <w:sz w:val="24"/>
          <w:szCs w:val="24"/>
        </w:rPr>
        <w:t xml:space="preserve"> 1041,</w:t>
      </w:r>
      <w:r w:rsidR="00851020">
        <w:rPr>
          <w:sz w:val="24"/>
          <w:szCs w:val="24"/>
        </w:rPr>
        <w:t xml:space="preserve"> </w:t>
      </w:r>
      <w:r w:rsidR="007A4603">
        <w:rPr>
          <w:sz w:val="24"/>
          <w:szCs w:val="24"/>
        </w:rPr>
        <w:t>and t</w:t>
      </w:r>
      <w:r w:rsidRPr="00B56DCC" w:rsidR="00B56DCC">
        <w:rPr>
          <w:sz w:val="24"/>
          <w:szCs w:val="24"/>
        </w:rPr>
        <w:t xml:space="preserve">he Bureau provided several updates to burden hour and cost estimates </w:t>
      </w:r>
      <w:r w:rsidR="00017806">
        <w:rPr>
          <w:sz w:val="24"/>
          <w:szCs w:val="24"/>
        </w:rPr>
        <w:t>in the 2017 Final Rule</w:t>
      </w:r>
      <w:r w:rsidRPr="00B56DCC" w:rsidR="00B56DCC">
        <w:rPr>
          <w:sz w:val="24"/>
          <w:szCs w:val="24"/>
        </w:rPr>
        <w:t>.  Some burden hour and cost assumptions were left unchanged.</w:t>
      </w:r>
      <w:r w:rsidR="00BD11A7">
        <w:rPr>
          <w:sz w:val="24"/>
          <w:szCs w:val="24"/>
        </w:rPr>
        <w:t xml:space="preserve">  </w:t>
      </w:r>
    </w:p>
    <w:p w:rsidR="00B56DCC" w:rsidP="00B56DCC" w:rsidRDefault="00B56DCC" w14:paraId="4A5AA0BB" w14:textId="77777777">
      <w:pPr>
        <w:rPr>
          <w:sz w:val="24"/>
          <w:szCs w:val="24"/>
        </w:rPr>
      </w:pPr>
    </w:p>
    <w:p w:rsidR="00B45A56" w:rsidP="00B56DCC" w:rsidRDefault="00F63610" w14:paraId="501F7503" w14:textId="708772BF">
      <w:pPr>
        <w:rPr>
          <w:sz w:val="24"/>
          <w:szCs w:val="24"/>
        </w:rPr>
      </w:pPr>
      <w:r>
        <w:rPr>
          <w:sz w:val="24"/>
          <w:szCs w:val="24"/>
        </w:rPr>
        <w:t>The Bureau</w:t>
      </w:r>
      <w:r w:rsidRPr="008C529A">
        <w:rPr>
          <w:sz w:val="24"/>
          <w:szCs w:val="24"/>
        </w:rPr>
        <w:t xml:space="preserve"> </w:t>
      </w:r>
      <w:r w:rsidR="00BD11A7">
        <w:rPr>
          <w:sz w:val="24"/>
          <w:szCs w:val="24"/>
        </w:rPr>
        <w:t xml:space="preserve">also </w:t>
      </w:r>
      <w:r w:rsidRPr="008C529A" w:rsidR="00943FB8">
        <w:rPr>
          <w:sz w:val="24"/>
          <w:szCs w:val="24"/>
        </w:rPr>
        <w:t xml:space="preserve">received </w:t>
      </w:r>
      <w:r w:rsidR="00103523">
        <w:rPr>
          <w:sz w:val="24"/>
          <w:szCs w:val="24"/>
        </w:rPr>
        <w:t>some</w:t>
      </w:r>
      <w:r w:rsidRPr="008C529A" w:rsidR="00943FB8">
        <w:rPr>
          <w:sz w:val="24"/>
          <w:szCs w:val="24"/>
        </w:rPr>
        <w:t xml:space="preserve"> industry comments </w:t>
      </w:r>
      <w:r>
        <w:rPr>
          <w:sz w:val="24"/>
          <w:szCs w:val="24"/>
        </w:rPr>
        <w:t xml:space="preserve">in response to the 2019 NPRM </w:t>
      </w:r>
      <w:r w:rsidR="0057658A">
        <w:rPr>
          <w:sz w:val="24"/>
          <w:szCs w:val="24"/>
        </w:rPr>
        <w:t xml:space="preserve">asking the agency </w:t>
      </w:r>
      <w:r w:rsidR="00435636">
        <w:rPr>
          <w:sz w:val="24"/>
          <w:szCs w:val="24"/>
        </w:rPr>
        <w:t xml:space="preserve">to reconsider </w:t>
      </w:r>
      <w:r w:rsidRPr="008C529A" w:rsidR="00943FB8">
        <w:rPr>
          <w:sz w:val="24"/>
          <w:szCs w:val="24"/>
        </w:rPr>
        <w:t>the Payment Provisions</w:t>
      </w:r>
      <w:r w:rsidR="002C17B9">
        <w:rPr>
          <w:sz w:val="24"/>
          <w:szCs w:val="24"/>
        </w:rPr>
        <w:t xml:space="preserve">, but </w:t>
      </w:r>
      <w:r w:rsidR="00250D0C">
        <w:rPr>
          <w:sz w:val="24"/>
          <w:szCs w:val="24"/>
        </w:rPr>
        <w:t xml:space="preserve">they did not provide new data and did not result in changes to </w:t>
      </w:r>
      <w:r w:rsidR="0062074C">
        <w:rPr>
          <w:sz w:val="24"/>
          <w:szCs w:val="24"/>
        </w:rPr>
        <w:t>the burden hour and cost estimates</w:t>
      </w:r>
      <w:r w:rsidR="008C3C9F">
        <w:rPr>
          <w:sz w:val="24"/>
          <w:szCs w:val="24"/>
        </w:rPr>
        <w:t xml:space="preserve"> </w:t>
      </w:r>
      <w:r w:rsidR="002505A0">
        <w:rPr>
          <w:sz w:val="24"/>
          <w:szCs w:val="24"/>
        </w:rPr>
        <w:t xml:space="preserve">of </w:t>
      </w:r>
      <w:r w:rsidR="004045EB">
        <w:rPr>
          <w:sz w:val="24"/>
          <w:szCs w:val="24"/>
        </w:rPr>
        <w:t xml:space="preserve">the Payment Provisions in </w:t>
      </w:r>
      <w:r w:rsidR="00C10CCA">
        <w:rPr>
          <w:sz w:val="24"/>
          <w:szCs w:val="24"/>
        </w:rPr>
        <w:t>Subp</w:t>
      </w:r>
      <w:r w:rsidR="003B59A3">
        <w:rPr>
          <w:sz w:val="24"/>
          <w:szCs w:val="24"/>
        </w:rPr>
        <w:t xml:space="preserve">art C of </w:t>
      </w:r>
      <w:r w:rsidR="00250D0C">
        <w:rPr>
          <w:sz w:val="24"/>
          <w:szCs w:val="24"/>
        </w:rPr>
        <w:t>12 CFR</w:t>
      </w:r>
      <w:r w:rsidR="00A23FC9">
        <w:rPr>
          <w:sz w:val="24"/>
          <w:szCs w:val="24"/>
        </w:rPr>
        <w:t xml:space="preserve"> part</w:t>
      </w:r>
      <w:r w:rsidR="00250D0C">
        <w:rPr>
          <w:sz w:val="24"/>
          <w:szCs w:val="24"/>
        </w:rPr>
        <w:t xml:space="preserve"> 1041.</w:t>
      </w:r>
      <w:r w:rsidRPr="008C529A" w:rsidR="00943FB8">
        <w:rPr>
          <w:sz w:val="24"/>
          <w:szCs w:val="24"/>
        </w:rPr>
        <w:t xml:space="preserve"> </w:t>
      </w:r>
      <w:r w:rsidR="0015767A">
        <w:rPr>
          <w:sz w:val="24"/>
          <w:szCs w:val="24"/>
        </w:rPr>
        <w:t xml:space="preserve"> </w:t>
      </w:r>
    </w:p>
    <w:p w:rsidR="00B45A56" w:rsidP="00943FB8" w:rsidRDefault="00B45A56" w14:paraId="54DCBB15" w14:textId="77777777">
      <w:pPr>
        <w:rPr>
          <w:sz w:val="24"/>
          <w:szCs w:val="24"/>
        </w:rPr>
      </w:pPr>
    </w:p>
    <w:p w:rsidRPr="008C529A" w:rsidR="00943FB8" w:rsidP="00943FB8" w:rsidRDefault="00943FB8" w14:paraId="3C1911C1" w14:textId="111F1EA4">
      <w:pPr>
        <w:rPr>
          <w:sz w:val="24"/>
          <w:szCs w:val="24"/>
        </w:rPr>
      </w:pPr>
      <w:r w:rsidRPr="008C529A">
        <w:rPr>
          <w:sz w:val="24"/>
          <w:szCs w:val="24"/>
        </w:rPr>
        <w:t xml:space="preserve">Some </w:t>
      </w:r>
      <w:r w:rsidRPr="008C529A" w:rsidR="00250D0C">
        <w:rPr>
          <w:sz w:val="24"/>
          <w:szCs w:val="24"/>
        </w:rPr>
        <w:t>comment</w:t>
      </w:r>
      <w:r w:rsidR="00250D0C">
        <w:rPr>
          <w:sz w:val="24"/>
          <w:szCs w:val="24"/>
        </w:rPr>
        <w:t xml:space="preserve">s submitted </w:t>
      </w:r>
      <w:r w:rsidR="00211294">
        <w:rPr>
          <w:sz w:val="24"/>
          <w:szCs w:val="24"/>
        </w:rPr>
        <w:t xml:space="preserve">in response to the 2019 NPRM </w:t>
      </w:r>
      <w:r w:rsidRPr="008C529A">
        <w:rPr>
          <w:sz w:val="24"/>
          <w:szCs w:val="24"/>
        </w:rPr>
        <w:t xml:space="preserve">noted a lack of clarity with respect to the breadth of the </w:t>
      </w:r>
      <w:r w:rsidR="00250D0C">
        <w:rPr>
          <w:sz w:val="24"/>
          <w:szCs w:val="24"/>
        </w:rPr>
        <w:t>Payment P</w:t>
      </w:r>
      <w:r w:rsidRPr="008C529A">
        <w:rPr>
          <w:sz w:val="24"/>
          <w:szCs w:val="24"/>
        </w:rPr>
        <w:t xml:space="preserve">rovisions, including definitional questions as to whether the Bureau intends </w:t>
      </w:r>
      <w:r w:rsidR="004A75C5">
        <w:rPr>
          <w:sz w:val="24"/>
          <w:szCs w:val="24"/>
        </w:rPr>
        <w:t xml:space="preserve">the </w:t>
      </w:r>
      <w:r w:rsidRPr="008C529A">
        <w:rPr>
          <w:sz w:val="24"/>
          <w:szCs w:val="24"/>
        </w:rPr>
        <w:t xml:space="preserve">Payment Provisions </w:t>
      </w:r>
      <w:r w:rsidR="009D50F1">
        <w:rPr>
          <w:sz w:val="24"/>
          <w:szCs w:val="24"/>
        </w:rPr>
        <w:t xml:space="preserve">to </w:t>
      </w:r>
      <w:r w:rsidRPr="008C529A">
        <w:rPr>
          <w:sz w:val="24"/>
          <w:szCs w:val="24"/>
        </w:rPr>
        <w:t>apply to bridge loans</w:t>
      </w:r>
      <w:r w:rsidR="00A27043">
        <w:rPr>
          <w:sz w:val="24"/>
          <w:szCs w:val="24"/>
        </w:rPr>
        <w:t xml:space="preserve"> </w:t>
      </w:r>
      <w:r w:rsidR="00D6114B">
        <w:rPr>
          <w:sz w:val="24"/>
          <w:szCs w:val="24"/>
        </w:rPr>
        <w:t>and</w:t>
      </w:r>
      <w:r w:rsidRPr="008C529A">
        <w:rPr>
          <w:sz w:val="24"/>
          <w:szCs w:val="24"/>
        </w:rPr>
        <w:t xml:space="preserve"> loans secured by a</w:t>
      </w:r>
      <w:r w:rsidR="002C40A8">
        <w:rPr>
          <w:sz w:val="24"/>
          <w:szCs w:val="24"/>
        </w:rPr>
        <w:t>n inve</w:t>
      </w:r>
      <w:r w:rsidR="00981E69">
        <w:rPr>
          <w:sz w:val="24"/>
          <w:szCs w:val="24"/>
        </w:rPr>
        <w:t>st</w:t>
      </w:r>
      <w:r w:rsidR="002C40A8">
        <w:rPr>
          <w:sz w:val="24"/>
          <w:szCs w:val="24"/>
        </w:rPr>
        <w:t>ment</w:t>
      </w:r>
      <w:r w:rsidRPr="008C529A">
        <w:rPr>
          <w:sz w:val="24"/>
          <w:szCs w:val="24"/>
        </w:rPr>
        <w:t xml:space="preserve"> security that has interest</w:t>
      </w:r>
      <w:r w:rsidR="00362B44">
        <w:rPr>
          <w:sz w:val="24"/>
          <w:szCs w:val="24"/>
        </w:rPr>
        <w:t>-</w:t>
      </w:r>
      <w:r w:rsidRPr="008C529A">
        <w:rPr>
          <w:sz w:val="24"/>
          <w:szCs w:val="24"/>
        </w:rPr>
        <w:t>only payments with a balloon final payment.  A number of commenters</w:t>
      </w:r>
      <w:r w:rsidRPr="008C529A" w:rsidDel="00390B1D">
        <w:rPr>
          <w:sz w:val="24"/>
          <w:szCs w:val="24"/>
        </w:rPr>
        <w:t xml:space="preserve"> </w:t>
      </w:r>
      <w:r w:rsidR="00390B1D">
        <w:rPr>
          <w:sz w:val="24"/>
          <w:szCs w:val="24"/>
        </w:rPr>
        <w:t>stated</w:t>
      </w:r>
      <w:r w:rsidRPr="008C529A">
        <w:rPr>
          <w:sz w:val="24"/>
          <w:szCs w:val="24"/>
        </w:rPr>
        <w:t xml:space="preserve"> that the burden </w:t>
      </w:r>
      <w:r w:rsidR="00250D0C">
        <w:rPr>
          <w:sz w:val="24"/>
          <w:szCs w:val="24"/>
        </w:rPr>
        <w:t>would be</w:t>
      </w:r>
      <w:r w:rsidRPr="008C529A" w:rsidR="00250D0C">
        <w:rPr>
          <w:sz w:val="24"/>
          <w:szCs w:val="24"/>
        </w:rPr>
        <w:t xml:space="preserve"> </w:t>
      </w:r>
      <w:r w:rsidRPr="008C529A">
        <w:rPr>
          <w:sz w:val="24"/>
          <w:szCs w:val="24"/>
        </w:rPr>
        <w:t xml:space="preserve">substantial and </w:t>
      </w:r>
      <w:r w:rsidR="00250D0C">
        <w:rPr>
          <w:sz w:val="24"/>
          <w:szCs w:val="24"/>
        </w:rPr>
        <w:t>would be</w:t>
      </w:r>
      <w:r w:rsidR="00033E5A">
        <w:rPr>
          <w:sz w:val="24"/>
          <w:szCs w:val="24"/>
        </w:rPr>
        <w:t xml:space="preserve"> </w:t>
      </w:r>
      <w:r w:rsidRPr="008C529A">
        <w:rPr>
          <w:sz w:val="24"/>
          <w:szCs w:val="24"/>
        </w:rPr>
        <w:t xml:space="preserve">unwarranted </w:t>
      </w:r>
      <w:r w:rsidR="00684381">
        <w:rPr>
          <w:sz w:val="24"/>
          <w:szCs w:val="24"/>
        </w:rPr>
        <w:t>because</w:t>
      </w:r>
      <w:r w:rsidRPr="008C529A">
        <w:rPr>
          <w:sz w:val="24"/>
          <w:szCs w:val="24"/>
        </w:rPr>
        <w:t xml:space="preserve"> consumers would receive little, if any, benefit; </w:t>
      </w:r>
      <w:r w:rsidR="00C52C46">
        <w:rPr>
          <w:sz w:val="24"/>
          <w:szCs w:val="24"/>
        </w:rPr>
        <w:t xml:space="preserve">that </w:t>
      </w:r>
      <w:r w:rsidRPr="008C529A">
        <w:rPr>
          <w:sz w:val="24"/>
          <w:szCs w:val="24"/>
        </w:rPr>
        <w:t>the Payment Provisions would likely reduce options and flexibility for consumers</w:t>
      </w:r>
      <w:r w:rsidR="00E016F8">
        <w:rPr>
          <w:sz w:val="24"/>
          <w:szCs w:val="24"/>
        </w:rPr>
        <w:t>; and that they</w:t>
      </w:r>
      <w:r w:rsidRPr="008C529A">
        <w:rPr>
          <w:sz w:val="24"/>
          <w:szCs w:val="24"/>
        </w:rPr>
        <w:t xml:space="preserve"> may reduce credit availability to consumers deemed to be a credit risk, as </w:t>
      </w:r>
      <w:r w:rsidR="008C5812">
        <w:rPr>
          <w:sz w:val="24"/>
          <w:szCs w:val="24"/>
        </w:rPr>
        <w:t>lenders’</w:t>
      </w:r>
      <w:r w:rsidR="003B3FAC">
        <w:rPr>
          <w:sz w:val="24"/>
          <w:szCs w:val="24"/>
        </w:rPr>
        <w:t xml:space="preserve"> </w:t>
      </w:r>
      <w:r w:rsidR="00EC36E4">
        <w:rPr>
          <w:sz w:val="24"/>
          <w:szCs w:val="24"/>
        </w:rPr>
        <w:t xml:space="preserve">inability to </w:t>
      </w:r>
      <w:r w:rsidR="0024056B">
        <w:rPr>
          <w:sz w:val="24"/>
          <w:szCs w:val="24"/>
        </w:rPr>
        <w:t xml:space="preserve">make more than two </w:t>
      </w:r>
      <w:r w:rsidRPr="00660B7A" w:rsidR="008C5812">
        <w:rPr>
          <w:sz w:val="24"/>
          <w:szCs w:val="24"/>
        </w:rPr>
        <w:t>attempts to withdraw payment from consumers</w:t>
      </w:r>
      <w:r w:rsidR="008C5812">
        <w:rPr>
          <w:sz w:val="24"/>
          <w:szCs w:val="24"/>
        </w:rPr>
        <w:t>’</w:t>
      </w:r>
      <w:r w:rsidRPr="00660B7A" w:rsidR="008C5812">
        <w:rPr>
          <w:sz w:val="24"/>
          <w:szCs w:val="24"/>
        </w:rPr>
        <w:t xml:space="preserve"> accounts </w:t>
      </w:r>
      <w:r w:rsidRPr="00660B7A" w:rsidR="005E0208">
        <w:rPr>
          <w:sz w:val="24"/>
          <w:szCs w:val="24"/>
        </w:rPr>
        <w:t>unless the</w:t>
      </w:r>
      <w:r w:rsidR="0031191B">
        <w:rPr>
          <w:sz w:val="24"/>
          <w:szCs w:val="24"/>
        </w:rPr>
        <w:t>y</w:t>
      </w:r>
      <w:r w:rsidRPr="00660B7A" w:rsidR="005E0208">
        <w:rPr>
          <w:sz w:val="24"/>
          <w:szCs w:val="24"/>
        </w:rPr>
        <w:t xml:space="preserve"> obtain consumers</w:t>
      </w:r>
      <w:r w:rsidR="005E0208">
        <w:rPr>
          <w:sz w:val="24"/>
          <w:szCs w:val="24"/>
        </w:rPr>
        <w:t>’</w:t>
      </w:r>
      <w:r w:rsidRPr="00660B7A" w:rsidR="005E0208">
        <w:rPr>
          <w:sz w:val="24"/>
          <w:szCs w:val="24"/>
        </w:rPr>
        <w:t xml:space="preserve"> new and specific authorization </w:t>
      </w:r>
      <w:r w:rsidR="00087853">
        <w:rPr>
          <w:sz w:val="24"/>
          <w:szCs w:val="24"/>
        </w:rPr>
        <w:t>for further attempts</w:t>
      </w:r>
      <w:r w:rsidRPr="008C529A">
        <w:rPr>
          <w:sz w:val="24"/>
          <w:szCs w:val="24"/>
        </w:rPr>
        <w:t xml:space="preserve"> will increase the risk associated with providing credit</w:t>
      </w:r>
      <w:r w:rsidR="00720231">
        <w:rPr>
          <w:sz w:val="24"/>
          <w:szCs w:val="24"/>
        </w:rPr>
        <w:t xml:space="preserve"> and increase debt collection activity</w:t>
      </w:r>
      <w:r w:rsidRPr="008C529A">
        <w:rPr>
          <w:sz w:val="24"/>
          <w:szCs w:val="24"/>
        </w:rPr>
        <w:t>.  Commenters however, did not provide any new cost estimates to conform with these provisions.</w:t>
      </w:r>
    </w:p>
    <w:p w:rsidRPr="008C529A" w:rsidR="00943FB8" w:rsidP="00943FB8" w:rsidRDefault="00943FB8" w14:paraId="28CAE671" w14:textId="77777777">
      <w:pPr>
        <w:rPr>
          <w:sz w:val="24"/>
          <w:szCs w:val="24"/>
        </w:rPr>
      </w:pPr>
    </w:p>
    <w:p w:rsidRPr="008C529A" w:rsidR="00943FB8" w:rsidP="00943FB8" w:rsidRDefault="0057658A" w14:paraId="0AF741EA" w14:textId="2F9012D1">
      <w:pPr>
        <w:rPr>
          <w:sz w:val="24"/>
          <w:szCs w:val="24"/>
        </w:rPr>
      </w:pPr>
      <w:r>
        <w:rPr>
          <w:sz w:val="24"/>
          <w:szCs w:val="24"/>
        </w:rPr>
        <w:t>Some c</w:t>
      </w:r>
      <w:r w:rsidRPr="008C529A" w:rsidR="00943FB8">
        <w:rPr>
          <w:sz w:val="24"/>
          <w:szCs w:val="24"/>
        </w:rPr>
        <w:t>ommenters</w:t>
      </w:r>
      <w:r w:rsidRPr="008C529A" w:rsidDel="009A589C" w:rsidR="00943FB8">
        <w:rPr>
          <w:sz w:val="24"/>
          <w:szCs w:val="24"/>
        </w:rPr>
        <w:t xml:space="preserve"> </w:t>
      </w:r>
      <w:r w:rsidR="009A589C">
        <w:rPr>
          <w:sz w:val="24"/>
          <w:szCs w:val="24"/>
        </w:rPr>
        <w:t>stated</w:t>
      </w:r>
      <w:r w:rsidRPr="008C529A" w:rsidR="00943FB8">
        <w:rPr>
          <w:sz w:val="24"/>
          <w:szCs w:val="24"/>
        </w:rPr>
        <w:t xml:space="preserve"> that the Payment Provisions are </w:t>
      </w:r>
      <w:r w:rsidR="007C729A">
        <w:rPr>
          <w:sz w:val="24"/>
          <w:szCs w:val="24"/>
        </w:rPr>
        <w:t>redundant</w:t>
      </w:r>
      <w:r w:rsidR="0087106E">
        <w:rPr>
          <w:sz w:val="24"/>
          <w:szCs w:val="24"/>
        </w:rPr>
        <w:t xml:space="preserve"> because</w:t>
      </w:r>
      <w:r w:rsidRPr="008C529A" w:rsidR="00943FB8">
        <w:rPr>
          <w:sz w:val="24"/>
          <w:szCs w:val="24"/>
        </w:rPr>
        <w:t xml:space="preserve"> NACHA rules already provide </w:t>
      </w:r>
      <w:r w:rsidR="00445DB9">
        <w:rPr>
          <w:sz w:val="24"/>
          <w:szCs w:val="24"/>
        </w:rPr>
        <w:t xml:space="preserve">sufficient </w:t>
      </w:r>
      <w:r w:rsidRPr="008C529A" w:rsidR="00943FB8">
        <w:rPr>
          <w:sz w:val="24"/>
          <w:szCs w:val="24"/>
        </w:rPr>
        <w:t xml:space="preserve">protection to consumers by setting return thresholds that </w:t>
      </w:r>
      <w:r w:rsidR="009937A1">
        <w:rPr>
          <w:sz w:val="24"/>
          <w:szCs w:val="24"/>
        </w:rPr>
        <w:t>allow it to more closely scrutinize</w:t>
      </w:r>
      <w:r w:rsidRPr="008C529A" w:rsidR="00013C7F">
        <w:rPr>
          <w:sz w:val="24"/>
          <w:szCs w:val="24"/>
        </w:rPr>
        <w:t xml:space="preserve"> </w:t>
      </w:r>
      <w:r w:rsidRPr="008C529A" w:rsidR="00943FB8">
        <w:rPr>
          <w:sz w:val="24"/>
          <w:szCs w:val="24"/>
        </w:rPr>
        <w:t xml:space="preserve">lenders from initiating repeated debits that would harm consumers; </w:t>
      </w:r>
      <w:r w:rsidR="00F250D3">
        <w:rPr>
          <w:sz w:val="24"/>
          <w:szCs w:val="24"/>
        </w:rPr>
        <w:t xml:space="preserve">they also argued </w:t>
      </w:r>
      <w:r w:rsidR="00BD2630">
        <w:rPr>
          <w:sz w:val="24"/>
          <w:szCs w:val="24"/>
        </w:rPr>
        <w:t xml:space="preserve">that the </w:t>
      </w:r>
      <w:r w:rsidR="00F80ED2">
        <w:rPr>
          <w:sz w:val="24"/>
          <w:szCs w:val="24"/>
        </w:rPr>
        <w:t>P</w:t>
      </w:r>
      <w:r w:rsidRPr="008C529A" w:rsidR="00F80ED2">
        <w:rPr>
          <w:sz w:val="24"/>
          <w:szCs w:val="24"/>
        </w:rPr>
        <w:t xml:space="preserve">ayment </w:t>
      </w:r>
      <w:r w:rsidR="00F80ED2">
        <w:rPr>
          <w:sz w:val="24"/>
          <w:szCs w:val="24"/>
        </w:rPr>
        <w:t>P</w:t>
      </w:r>
      <w:r w:rsidRPr="008C529A" w:rsidR="00F80ED2">
        <w:rPr>
          <w:sz w:val="24"/>
          <w:szCs w:val="24"/>
        </w:rPr>
        <w:t xml:space="preserve">rovisions </w:t>
      </w:r>
      <w:r w:rsidRPr="008C529A" w:rsidR="00943FB8">
        <w:rPr>
          <w:sz w:val="24"/>
          <w:szCs w:val="24"/>
        </w:rPr>
        <w:t xml:space="preserve">should be made consistent with NACHA rules rather than create new requirements.  Commenters also noted that payments are already heavily regulated by federal law.  </w:t>
      </w:r>
      <w:r w:rsidR="00254A46">
        <w:rPr>
          <w:sz w:val="24"/>
          <w:szCs w:val="24"/>
        </w:rPr>
        <w:t xml:space="preserve">Similar comments were </w:t>
      </w:r>
      <w:r w:rsidR="00196B34">
        <w:rPr>
          <w:sz w:val="24"/>
          <w:szCs w:val="24"/>
        </w:rPr>
        <w:t xml:space="preserve">raised </w:t>
      </w:r>
      <w:r w:rsidR="00D90964">
        <w:rPr>
          <w:sz w:val="24"/>
          <w:szCs w:val="24"/>
        </w:rPr>
        <w:t xml:space="preserve">in response to the </w:t>
      </w:r>
      <w:r w:rsidR="00CD5A6B">
        <w:rPr>
          <w:sz w:val="24"/>
          <w:szCs w:val="24"/>
        </w:rPr>
        <w:t xml:space="preserve">2016 </w:t>
      </w:r>
      <w:r w:rsidR="00890EAF">
        <w:rPr>
          <w:sz w:val="24"/>
          <w:szCs w:val="24"/>
        </w:rPr>
        <w:t xml:space="preserve">NPRM </w:t>
      </w:r>
      <w:r w:rsidR="00D90964">
        <w:rPr>
          <w:sz w:val="24"/>
          <w:szCs w:val="24"/>
        </w:rPr>
        <w:t xml:space="preserve">and the Bureau </w:t>
      </w:r>
      <w:r w:rsidR="00A35222">
        <w:rPr>
          <w:sz w:val="24"/>
          <w:szCs w:val="24"/>
        </w:rPr>
        <w:t xml:space="preserve">noted </w:t>
      </w:r>
      <w:r w:rsidR="00D03842">
        <w:rPr>
          <w:sz w:val="24"/>
          <w:szCs w:val="24"/>
        </w:rPr>
        <w:t xml:space="preserve">in the 2017 Final Rule </w:t>
      </w:r>
      <w:r w:rsidR="00A35222">
        <w:rPr>
          <w:sz w:val="24"/>
          <w:szCs w:val="24"/>
        </w:rPr>
        <w:t xml:space="preserve">that NACHA’s </w:t>
      </w:r>
      <w:r w:rsidR="0066466E">
        <w:rPr>
          <w:sz w:val="24"/>
          <w:szCs w:val="24"/>
        </w:rPr>
        <w:t>guidelines do not impact payment</w:t>
      </w:r>
      <w:r w:rsidR="00F02322">
        <w:rPr>
          <w:sz w:val="24"/>
          <w:szCs w:val="24"/>
        </w:rPr>
        <w:t xml:space="preserve"> transfers outside the ACH system</w:t>
      </w:r>
      <w:r w:rsidR="00D85649">
        <w:rPr>
          <w:sz w:val="24"/>
          <w:szCs w:val="24"/>
        </w:rPr>
        <w:t xml:space="preserve"> and lenders may be continuing problemat</w:t>
      </w:r>
      <w:r w:rsidR="00AC1F50">
        <w:rPr>
          <w:sz w:val="24"/>
          <w:szCs w:val="24"/>
        </w:rPr>
        <w:t xml:space="preserve">ic payment practices through </w:t>
      </w:r>
      <w:r w:rsidR="00076116">
        <w:rPr>
          <w:sz w:val="24"/>
          <w:szCs w:val="24"/>
        </w:rPr>
        <w:t>non-ACH</w:t>
      </w:r>
      <w:r w:rsidR="00AC1F50">
        <w:rPr>
          <w:sz w:val="24"/>
          <w:szCs w:val="24"/>
        </w:rPr>
        <w:t xml:space="preserve"> channels.</w:t>
      </w:r>
      <w:r w:rsidR="00F02322">
        <w:rPr>
          <w:sz w:val="24"/>
          <w:szCs w:val="24"/>
        </w:rPr>
        <w:t xml:space="preserve"> </w:t>
      </w:r>
      <w:r w:rsidR="006F35CB">
        <w:rPr>
          <w:sz w:val="24"/>
          <w:szCs w:val="24"/>
        </w:rPr>
        <w:t xml:space="preserve"> </w:t>
      </w:r>
      <w:r w:rsidR="00131507">
        <w:rPr>
          <w:sz w:val="24"/>
          <w:szCs w:val="24"/>
        </w:rPr>
        <w:t xml:space="preserve">Further, </w:t>
      </w:r>
      <w:r w:rsidR="005A69BC">
        <w:rPr>
          <w:sz w:val="24"/>
          <w:szCs w:val="24"/>
        </w:rPr>
        <w:t xml:space="preserve">within the ACH channel </w:t>
      </w:r>
      <w:r w:rsidR="004F3A94">
        <w:rPr>
          <w:sz w:val="24"/>
          <w:szCs w:val="24"/>
        </w:rPr>
        <w:t xml:space="preserve">violations of the NACHA Rules </w:t>
      </w:r>
      <w:r w:rsidR="00BB0A6A">
        <w:rPr>
          <w:sz w:val="24"/>
          <w:szCs w:val="24"/>
        </w:rPr>
        <w:t xml:space="preserve">may not be enforced </w:t>
      </w:r>
      <w:r w:rsidR="00740558">
        <w:rPr>
          <w:sz w:val="24"/>
          <w:szCs w:val="24"/>
        </w:rPr>
        <w:t xml:space="preserve">by NACHA </w:t>
      </w:r>
      <w:r w:rsidR="00BB0A6A">
        <w:rPr>
          <w:sz w:val="24"/>
          <w:szCs w:val="24"/>
        </w:rPr>
        <w:t>to the same extent as would be violations of Federal law</w:t>
      </w:r>
      <w:r w:rsidR="00FC6F5D">
        <w:rPr>
          <w:sz w:val="24"/>
          <w:szCs w:val="24"/>
        </w:rPr>
        <w:t xml:space="preserve"> by the CFPB and other Federal agencies</w:t>
      </w:r>
      <w:r w:rsidR="00BB0A6A">
        <w:rPr>
          <w:sz w:val="24"/>
          <w:szCs w:val="24"/>
        </w:rPr>
        <w:t xml:space="preserve">.  </w:t>
      </w:r>
      <w:r w:rsidR="00514A96">
        <w:rPr>
          <w:sz w:val="24"/>
          <w:szCs w:val="24"/>
        </w:rPr>
        <w:t xml:space="preserve">Moreover, </w:t>
      </w:r>
      <w:r>
        <w:rPr>
          <w:sz w:val="24"/>
          <w:szCs w:val="24"/>
        </w:rPr>
        <w:t xml:space="preserve">as noted in </w:t>
      </w:r>
      <w:r w:rsidR="00B332EF">
        <w:rPr>
          <w:sz w:val="24"/>
          <w:szCs w:val="24"/>
        </w:rPr>
        <w:t xml:space="preserve">the 2017 </w:t>
      </w:r>
      <w:r w:rsidR="007C72DE">
        <w:rPr>
          <w:sz w:val="24"/>
          <w:szCs w:val="24"/>
        </w:rPr>
        <w:t>Final Rule</w:t>
      </w:r>
      <w:r w:rsidR="00B332EF">
        <w:rPr>
          <w:sz w:val="24"/>
          <w:szCs w:val="24"/>
        </w:rPr>
        <w:t xml:space="preserve"> </w:t>
      </w:r>
      <w:r>
        <w:rPr>
          <w:sz w:val="24"/>
          <w:szCs w:val="24"/>
        </w:rPr>
        <w:t xml:space="preserve">and </w:t>
      </w:r>
      <w:r w:rsidR="00863DDF">
        <w:rPr>
          <w:sz w:val="24"/>
          <w:szCs w:val="24"/>
        </w:rPr>
        <w:t>reflected</w:t>
      </w:r>
      <w:r w:rsidR="00D31E1C">
        <w:rPr>
          <w:sz w:val="24"/>
          <w:szCs w:val="24"/>
        </w:rPr>
        <w:t xml:space="preserve"> in comments re</w:t>
      </w:r>
      <w:r w:rsidR="00E9364B">
        <w:rPr>
          <w:sz w:val="24"/>
          <w:szCs w:val="24"/>
        </w:rPr>
        <w:t xml:space="preserve">ceived in </w:t>
      </w:r>
      <w:r w:rsidR="00863DDF">
        <w:rPr>
          <w:sz w:val="24"/>
          <w:szCs w:val="24"/>
        </w:rPr>
        <w:t>response to the 2019 NPRM</w:t>
      </w:r>
      <w:r>
        <w:rPr>
          <w:sz w:val="24"/>
          <w:szCs w:val="24"/>
        </w:rPr>
        <w:t xml:space="preserve">, </w:t>
      </w:r>
      <w:r w:rsidR="00E727B2">
        <w:rPr>
          <w:sz w:val="24"/>
          <w:szCs w:val="24"/>
        </w:rPr>
        <w:t>comment</w:t>
      </w:r>
      <w:r w:rsidR="00B65DF2">
        <w:rPr>
          <w:sz w:val="24"/>
          <w:szCs w:val="24"/>
        </w:rPr>
        <w:t>ers did not</w:t>
      </w:r>
      <w:r w:rsidR="00BA01C3">
        <w:rPr>
          <w:sz w:val="24"/>
          <w:szCs w:val="24"/>
        </w:rPr>
        <w:t xml:space="preserve"> state that the </w:t>
      </w:r>
      <w:r w:rsidR="008E3BD1">
        <w:rPr>
          <w:sz w:val="24"/>
          <w:szCs w:val="24"/>
        </w:rPr>
        <w:t>p</w:t>
      </w:r>
      <w:r w:rsidR="00B0648E">
        <w:rPr>
          <w:sz w:val="24"/>
          <w:szCs w:val="24"/>
        </w:rPr>
        <w:t>ractice of multiple representments has ceased entirely</w:t>
      </w:r>
      <w:r w:rsidR="008E7E55">
        <w:rPr>
          <w:sz w:val="24"/>
          <w:szCs w:val="24"/>
        </w:rPr>
        <w:t xml:space="preserve"> or that the </w:t>
      </w:r>
      <w:r w:rsidR="00DB356B">
        <w:rPr>
          <w:sz w:val="24"/>
          <w:szCs w:val="24"/>
        </w:rPr>
        <w:t>likelihood</w:t>
      </w:r>
      <w:r w:rsidR="008E7E55">
        <w:rPr>
          <w:sz w:val="24"/>
          <w:szCs w:val="24"/>
        </w:rPr>
        <w:t xml:space="preserve"> that a </w:t>
      </w:r>
      <w:r w:rsidR="00D646F2">
        <w:rPr>
          <w:sz w:val="24"/>
          <w:szCs w:val="24"/>
        </w:rPr>
        <w:t xml:space="preserve">payment attempt would succeed has been </w:t>
      </w:r>
      <w:r w:rsidR="00DB356B">
        <w:rPr>
          <w:sz w:val="24"/>
          <w:szCs w:val="24"/>
        </w:rPr>
        <w:t>impacted</w:t>
      </w:r>
      <w:r w:rsidR="00D646F2">
        <w:rPr>
          <w:sz w:val="24"/>
          <w:szCs w:val="24"/>
        </w:rPr>
        <w:t xml:space="preserve"> by </w:t>
      </w:r>
      <w:r w:rsidR="00F10510">
        <w:rPr>
          <w:sz w:val="24"/>
          <w:szCs w:val="24"/>
        </w:rPr>
        <w:t xml:space="preserve">NACHA rules or </w:t>
      </w:r>
      <w:r w:rsidR="00DB356B">
        <w:rPr>
          <w:sz w:val="24"/>
          <w:szCs w:val="24"/>
        </w:rPr>
        <w:t>intervening enforcement actions.</w:t>
      </w:r>
    </w:p>
    <w:p w:rsidRPr="008C529A" w:rsidR="00943FB8" w:rsidP="00943FB8" w:rsidRDefault="00943FB8" w14:paraId="4AA85EB6" w14:textId="77777777">
      <w:pPr>
        <w:rPr>
          <w:sz w:val="24"/>
          <w:szCs w:val="24"/>
        </w:rPr>
      </w:pPr>
    </w:p>
    <w:p w:rsidRPr="008C529A" w:rsidR="00943FB8" w:rsidP="00943FB8" w:rsidRDefault="00943FB8" w14:paraId="38464881" w14:textId="4632805C">
      <w:pPr>
        <w:rPr>
          <w:sz w:val="24"/>
          <w:szCs w:val="24"/>
        </w:rPr>
      </w:pPr>
      <w:r w:rsidRPr="008C529A">
        <w:rPr>
          <w:sz w:val="24"/>
          <w:szCs w:val="24"/>
        </w:rPr>
        <w:t xml:space="preserve">Some commenters argued that the Payment Provisions are overly broad.  The Payment Provisions </w:t>
      </w:r>
      <w:r w:rsidR="006F19E2">
        <w:rPr>
          <w:sz w:val="24"/>
          <w:szCs w:val="24"/>
        </w:rPr>
        <w:t>prevent</w:t>
      </w:r>
      <w:r w:rsidRPr="008C529A">
        <w:rPr>
          <w:sz w:val="24"/>
          <w:szCs w:val="24"/>
        </w:rPr>
        <w:t xml:space="preserve"> lenders from representing a borrower’s check </w:t>
      </w:r>
      <w:r w:rsidR="00B67E58">
        <w:rPr>
          <w:sz w:val="24"/>
          <w:szCs w:val="24"/>
        </w:rPr>
        <w:t>or ACH deb</w:t>
      </w:r>
      <w:r w:rsidR="001E6F0C">
        <w:rPr>
          <w:sz w:val="24"/>
          <w:szCs w:val="24"/>
        </w:rPr>
        <w:t xml:space="preserve">it </w:t>
      </w:r>
      <w:r w:rsidRPr="008C529A">
        <w:rPr>
          <w:sz w:val="24"/>
          <w:szCs w:val="24"/>
        </w:rPr>
        <w:t>more than two times</w:t>
      </w:r>
      <w:r w:rsidR="0070016A">
        <w:rPr>
          <w:sz w:val="24"/>
          <w:szCs w:val="24"/>
        </w:rPr>
        <w:t>,</w:t>
      </w:r>
      <w:r w:rsidRPr="008C529A">
        <w:rPr>
          <w:sz w:val="24"/>
          <w:szCs w:val="24"/>
        </w:rPr>
        <w:t xml:space="preserve"> thereby </w:t>
      </w:r>
      <w:r w:rsidR="0070016A">
        <w:rPr>
          <w:sz w:val="24"/>
          <w:szCs w:val="24"/>
        </w:rPr>
        <w:t>preventing</w:t>
      </w:r>
      <w:r w:rsidRPr="008C529A">
        <w:rPr>
          <w:sz w:val="24"/>
          <w:szCs w:val="24"/>
        </w:rPr>
        <w:t xml:space="preserve"> more than two NSF fees. </w:t>
      </w:r>
      <w:r w:rsidR="00764314">
        <w:rPr>
          <w:sz w:val="24"/>
          <w:szCs w:val="24"/>
        </w:rPr>
        <w:t xml:space="preserve"> </w:t>
      </w:r>
      <w:r w:rsidRPr="008C529A">
        <w:rPr>
          <w:sz w:val="24"/>
          <w:szCs w:val="24"/>
        </w:rPr>
        <w:t>As written, some commenters argue</w:t>
      </w:r>
      <w:r w:rsidR="0009710B">
        <w:rPr>
          <w:sz w:val="24"/>
          <w:szCs w:val="24"/>
        </w:rPr>
        <w:t>d</w:t>
      </w:r>
      <w:r w:rsidRPr="008C529A">
        <w:rPr>
          <w:sz w:val="24"/>
          <w:szCs w:val="24"/>
        </w:rPr>
        <w:t>, the Payment Provision</w:t>
      </w:r>
      <w:r w:rsidR="00CF61D4">
        <w:rPr>
          <w:sz w:val="24"/>
          <w:szCs w:val="24"/>
        </w:rPr>
        <w:t>s</w:t>
      </w:r>
      <w:r w:rsidRPr="008C529A">
        <w:rPr>
          <w:sz w:val="24"/>
          <w:szCs w:val="24"/>
        </w:rPr>
        <w:t xml:space="preserve"> encompass debit cards that do not present an NSF risk and should not be covered.  </w:t>
      </w:r>
      <w:r w:rsidR="00C57B48">
        <w:rPr>
          <w:sz w:val="24"/>
          <w:szCs w:val="24"/>
        </w:rPr>
        <w:t xml:space="preserve">In response to comments </w:t>
      </w:r>
      <w:r w:rsidR="000D7763">
        <w:rPr>
          <w:sz w:val="24"/>
          <w:szCs w:val="24"/>
        </w:rPr>
        <w:t xml:space="preserve">of this nature </w:t>
      </w:r>
      <w:r w:rsidR="0028146B">
        <w:rPr>
          <w:sz w:val="24"/>
          <w:szCs w:val="24"/>
        </w:rPr>
        <w:t xml:space="preserve">on the Payment Provisions of the </w:t>
      </w:r>
      <w:r w:rsidR="004C661E">
        <w:rPr>
          <w:sz w:val="24"/>
          <w:szCs w:val="24"/>
        </w:rPr>
        <w:t>2016 NPRM</w:t>
      </w:r>
      <w:r w:rsidR="00C57B48">
        <w:rPr>
          <w:sz w:val="24"/>
          <w:szCs w:val="24"/>
        </w:rPr>
        <w:t>, the Bur</w:t>
      </w:r>
      <w:r w:rsidR="00BE00AC">
        <w:rPr>
          <w:sz w:val="24"/>
          <w:szCs w:val="24"/>
        </w:rPr>
        <w:t xml:space="preserve">eau </w:t>
      </w:r>
      <w:r w:rsidR="0009710B">
        <w:rPr>
          <w:sz w:val="24"/>
          <w:szCs w:val="24"/>
        </w:rPr>
        <w:t xml:space="preserve">noted </w:t>
      </w:r>
      <w:r w:rsidR="004C661E">
        <w:rPr>
          <w:sz w:val="24"/>
          <w:szCs w:val="24"/>
        </w:rPr>
        <w:t xml:space="preserve">in the 2017 Final Rule </w:t>
      </w:r>
      <w:r w:rsidR="0009710B">
        <w:rPr>
          <w:sz w:val="24"/>
          <w:szCs w:val="24"/>
        </w:rPr>
        <w:t>that lender</w:t>
      </w:r>
      <w:r w:rsidR="009B4874">
        <w:rPr>
          <w:sz w:val="24"/>
          <w:szCs w:val="24"/>
        </w:rPr>
        <w:t>s</w:t>
      </w:r>
      <w:r w:rsidR="0009710B">
        <w:rPr>
          <w:sz w:val="24"/>
          <w:szCs w:val="24"/>
        </w:rPr>
        <w:t xml:space="preserve"> may impose</w:t>
      </w:r>
      <w:r w:rsidR="009B4874">
        <w:rPr>
          <w:sz w:val="24"/>
          <w:szCs w:val="24"/>
        </w:rPr>
        <w:t xml:space="preserve"> fees</w:t>
      </w:r>
      <w:r w:rsidR="0009710B">
        <w:rPr>
          <w:sz w:val="24"/>
          <w:szCs w:val="24"/>
        </w:rPr>
        <w:t xml:space="preserve"> </w:t>
      </w:r>
      <w:r w:rsidR="007E6C25">
        <w:rPr>
          <w:sz w:val="24"/>
          <w:szCs w:val="24"/>
        </w:rPr>
        <w:t xml:space="preserve">for </w:t>
      </w:r>
      <w:r w:rsidR="004A6409">
        <w:rPr>
          <w:sz w:val="24"/>
          <w:szCs w:val="24"/>
        </w:rPr>
        <w:t xml:space="preserve">declined </w:t>
      </w:r>
      <w:r w:rsidR="007E6C25">
        <w:rPr>
          <w:sz w:val="24"/>
          <w:szCs w:val="24"/>
        </w:rPr>
        <w:t xml:space="preserve">withdrawal attempts </w:t>
      </w:r>
      <w:r w:rsidR="0009710B">
        <w:rPr>
          <w:sz w:val="24"/>
          <w:szCs w:val="24"/>
        </w:rPr>
        <w:t>on debit cards and</w:t>
      </w:r>
      <w:r w:rsidR="00634179">
        <w:rPr>
          <w:sz w:val="24"/>
          <w:szCs w:val="24"/>
        </w:rPr>
        <w:t xml:space="preserve"> certain prepaid cards even </w:t>
      </w:r>
      <w:r w:rsidR="002353A6">
        <w:rPr>
          <w:sz w:val="24"/>
          <w:szCs w:val="24"/>
        </w:rPr>
        <w:t>if the account-holding institution</w:t>
      </w:r>
      <w:r w:rsidR="008E231F">
        <w:rPr>
          <w:sz w:val="24"/>
          <w:szCs w:val="24"/>
        </w:rPr>
        <w:t xml:space="preserve"> may not charge a fee.</w:t>
      </w:r>
      <w:r w:rsidRPr="008C529A">
        <w:rPr>
          <w:sz w:val="24"/>
          <w:szCs w:val="24"/>
        </w:rPr>
        <w:t xml:space="preserve">  </w:t>
      </w:r>
      <w:r w:rsidR="006E4D93">
        <w:rPr>
          <w:sz w:val="24"/>
          <w:szCs w:val="24"/>
        </w:rPr>
        <w:t xml:space="preserve">The 2017 Final Rule also noted that </w:t>
      </w:r>
      <w:r w:rsidR="008E2944">
        <w:rPr>
          <w:sz w:val="24"/>
          <w:szCs w:val="24"/>
        </w:rPr>
        <w:t xml:space="preserve">after two failed attempts </w:t>
      </w:r>
      <w:r w:rsidR="00D16500">
        <w:rPr>
          <w:sz w:val="24"/>
          <w:szCs w:val="24"/>
        </w:rPr>
        <w:t>debit card transactions may trigger overdraft fees</w:t>
      </w:r>
      <w:r w:rsidR="00A762DC">
        <w:rPr>
          <w:sz w:val="24"/>
          <w:szCs w:val="24"/>
        </w:rPr>
        <w:t xml:space="preserve"> and that </w:t>
      </w:r>
      <w:r w:rsidR="003C2351">
        <w:rPr>
          <w:sz w:val="24"/>
          <w:szCs w:val="24"/>
        </w:rPr>
        <w:t>e</w:t>
      </w:r>
      <w:r w:rsidR="006E6252">
        <w:rPr>
          <w:sz w:val="24"/>
          <w:szCs w:val="24"/>
        </w:rPr>
        <w:t>x</w:t>
      </w:r>
      <w:r w:rsidR="002D7742">
        <w:rPr>
          <w:sz w:val="24"/>
          <w:szCs w:val="24"/>
        </w:rPr>
        <w:t>c</w:t>
      </w:r>
      <w:r w:rsidR="006E6252">
        <w:rPr>
          <w:sz w:val="24"/>
          <w:szCs w:val="24"/>
        </w:rPr>
        <w:t>luding debit cards would not materially reduce lenders’ compliance costs</w:t>
      </w:r>
      <w:r w:rsidR="00D0006E">
        <w:rPr>
          <w:sz w:val="24"/>
          <w:szCs w:val="24"/>
        </w:rPr>
        <w:t xml:space="preserve"> because lenders would need to develop processes and procedures for covered payment types regardless.</w:t>
      </w:r>
      <w:r w:rsidR="003C2351">
        <w:rPr>
          <w:sz w:val="24"/>
          <w:szCs w:val="24"/>
        </w:rPr>
        <w:t xml:space="preserve"> </w:t>
      </w:r>
      <w:r w:rsidR="00D0006E">
        <w:rPr>
          <w:sz w:val="24"/>
          <w:szCs w:val="24"/>
        </w:rPr>
        <w:t xml:space="preserve"> </w:t>
      </w:r>
      <w:bookmarkStart w:name="_Hlk38640118" w:id="1"/>
      <w:r w:rsidR="00F80ED2">
        <w:rPr>
          <w:sz w:val="24"/>
          <w:szCs w:val="24"/>
        </w:rPr>
        <w:t xml:space="preserve">On </w:t>
      </w:r>
      <w:r w:rsidR="008430D4">
        <w:rPr>
          <w:sz w:val="24"/>
          <w:szCs w:val="24"/>
        </w:rPr>
        <w:t>July 7</w:t>
      </w:r>
      <w:r w:rsidR="00F80ED2">
        <w:rPr>
          <w:sz w:val="24"/>
          <w:szCs w:val="24"/>
        </w:rPr>
        <w:t xml:space="preserve">, 2020, the Bureau denied a petition requesting that the Bureau amend the Payment Provisions to </w:t>
      </w:r>
      <w:r w:rsidR="00F25819">
        <w:rPr>
          <w:sz w:val="24"/>
          <w:szCs w:val="24"/>
        </w:rPr>
        <w:t xml:space="preserve">remove </w:t>
      </w:r>
      <w:r w:rsidR="00F80ED2">
        <w:rPr>
          <w:sz w:val="24"/>
          <w:szCs w:val="24"/>
        </w:rPr>
        <w:t xml:space="preserve">debit cards from the </w:t>
      </w:r>
      <w:r w:rsidR="00F25819">
        <w:rPr>
          <w:sz w:val="24"/>
          <w:szCs w:val="24"/>
        </w:rPr>
        <w:t xml:space="preserve">scope of </w:t>
      </w:r>
      <w:r w:rsidR="00F80ED2">
        <w:rPr>
          <w:sz w:val="24"/>
          <w:szCs w:val="24"/>
        </w:rPr>
        <w:t xml:space="preserve">application of the Payment Provisions. </w:t>
      </w:r>
      <w:r w:rsidR="00362EC2">
        <w:rPr>
          <w:sz w:val="24"/>
          <w:szCs w:val="24"/>
        </w:rPr>
        <w:t xml:space="preserve"> </w:t>
      </w:r>
      <w:bookmarkEnd w:id="1"/>
      <w:r w:rsidR="00CA5C1C">
        <w:rPr>
          <w:sz w:val="24"/>
          <w:szCs w:val="24"/>
        </w:rPr>
        <w:t>Commenters also stated that t</w:t>
      </w:r>
      <w:r w:rsidRPr="008C529A">
        <w:rPr>
          <w:sz w:val="24"/>
          <w:szCs w:val="24"/>
        </w:rPr>
        <w:t xml:space="preserve">he Payment Provisions are </w:t>
      </w:r>
      <w:r w:rsidR="00CA5C1C">
        <w:rPr>
          <w:sz w:val="24"/>
          <w:szCs w:val="24"/>
        </w:rPr>
        <w:t xml:space="preserve">overly broad because they are </w:t>
      </w:r>
      <w:r w:rsidRPr="008C529A">
        <w:rPr>
          <w:sz w:val="24"/>
          <w:szCs w:val="24"/>
        </w:rPr>
        <w:t>not limited to small-dollar loans</w:t>
      </w:r>
      <w:r w:rsidR="00E23273">
        <w:rPr>
          <w:sz w:val="24"/>
          <w:szCs w:val="24"/>
        </w:rPr>
        <w:t xml:space="preserve"> or to </w:t>
      </w:r>
      <w:r w:rsidRPr="008C529A">
        <w:rPr>
          <w:sz w:val="24"/>
          <w:szCs w:val="24"/>
        </w:rPr>
        <w:t>high</w:t>
      </w:r>
      <w:r w:rsidR="00E23273">
        <w:rPr>
          <w:sz w:val="24"/>
          <w:szCs w:val="24"/>
        </w:rPr>
        <w:t>-</w:t>
      </w:r>
      <w:r w:rsidRPr="008C529A">
        <w:rPr>
          <w:sz w:val="24"/>
          <w:szCs w:val="24"/>
        </w:rPr>
        <w:t xml:space="preserve">cost loans, and </w:t>
      </w:r>
      <w:r w:rsidR="00710FA5">
        <w:rPr>
          <w:sz w:val="24"/>
          <w:szCs w:val="24"/>
        </w:rPr>
        <w:lastRenderedPageBreak/>
        <w:t xml:space="preserve">because </w:t>
      </w:r>
      <w:r w:rsidRPr="008C529A">
        <w:rPr>
          <w:sz w:val="24"/>
          <w:szCs w:val="24"/>
        </w:rPr>
        <w:t>the</w:t>
      </w:r>
      <w:r w:rsidR="000B2C66">
        <w:rPr>
          <w:sz w:val="24"/>
          <w:szCs w:val="24"/>
        </w:rPr>
        <w:t xml:space="preserve">y cover </w:t>
      </w:r>
      <w:r w:rsidR="00DC7D9E">
        <w:rPr>
          <w:sz w:val="24"/>
          <w:szCs w:val="24"/>
        </w:rPr>
        <w:t>installment loans</w:t>
      </w:r>
      <w:r w:rsidR="00A71AE6">
        <w:rPr>
          <w:sz w:val="24"/>
          <w:szCs w:val="24"/>
        </w:rPr>
        <w:t xml:space="preserve">, </w:t>
      </w:r>
      <w:r w:rsidR="00147265">
        <w:rPr>
          <w:sz w:val="24"/>
          <w:szCs w:val="24"/>
        </w:rPr>
        <w:t>where</w:t>
      </w:r>
      <w:r w:rsidR="00721126">
        <w:rPr>
          <w:sz w:val="24"/>
          <w:szCs w:val="24"/>
        </w:rPr>
        <w:t>, commenters asserted,</w:t>
      </w:r>
      <w:r w:rsidR="00147265">
        <w:rPr>
          <w:sz w:val="24"/>
          <w:szCs w:val="24"/>
        </w:rPr>
        <w:t xml:space="preserve"> the</w:t>
      </w:r>
      <w:r w:rsidR="006954AA">
        <w:rPr>
          <w:sz w:val="24"/>
          <w:szCs w:val="24"/>
        </w:rPr>
        <w:t xml:space="preserve">re is less </w:t>
      </w:r>
      <w:r w:rsidR="00721126">
        <w:rPr>
          <w:sz w:val="24"/>
          <w:szCs w:val="24"/>
        </w:rPr>
        <w:t>evidence of consumer harm</w:t>
      </w:r>
      <w:r w:rsidRPr="008C529A">
        <w:rPr>
          <w:sz w:val="24"/>
          <w:szCs w:val="24"/>
        </w:rPr>
        <w:t>.</w:t>
      </w:r>
    </w:p>
    <w:p w:rsidRPr="006D329B" w:rsidR="00444FA6" w:rsidP="00D50340" w:rsidRDefault="00444FA6" w14:paraId="07CA8217" w14:textId="77777777">
      <w:pPr>
        <w:pStyle w:val="BodyText"/>
        <w:spacing w:before="9"/>
      </w:pPr>
    </w:p>
    <w:p w:rsidRPr="006D329B" w:rsidR="00444FA6" w:rsidP="00444FA6" w:rsidRDefault="00444FA6" w14:paraId="7EED6778" w14:textId="77777777">
      <w:pPr>
        <w:pStyle w:val="Default"/>
        <w:tabs>
          <w:tab w:val="left" w:pos="720"/>
        </w:tabs>
        <w:rPr>
          <w:color w:val="auto"/>
        </w:rPr>
      </w:pPr>
      <w:r w:rsidRPr="006D329B">
        <w:rPr>
          <w:b/>
          <w:bCs/>
          <w:color w:val="auto"/>
        </w:rPr>
        <w:t xml:space="preserve">9.  </w:t>
      </w:r>
      <w:r w:rsidRPr="006D329B">
        <w:rPr>
          <w:b/>
          <w:bCs/>
          <w:color w:val="auto"/>
          <w:u w:val="single"/>
        </w:rPr>
        <w:t>Payments or Gifts to Respondents</w:t>
      </w:r>
    </w:p>
    <w:p w:rsidRPr="006D329B" w:rsidR="00444FA6" w:rsidP="00444FA6" w:rsidRDefault="00444FA6" w14:paraId="74A772DB" w14:textId="77777777">
      <w:pPr>
        <w:pStyle w:val="CM10"/>
      </w:pPr>
    </w:p>
    <w:p w:rsidRPr="006D329B" w:rsidR="00444FA6" w:rsidP="00444FA6" w:rsidRDefault="00444FA6" w14:paraId="56EE3CF5" w14:textId="77777777">
      <w:pPr>
        <w:pStyle w:val="CM10"/>
      </w:pPr>
      <w:r w:rsidRPr="006D329B">
        <w:t>Not applicable.  No payment, gifts, or other incentives are provided to respondents.</w:t>
      </w:r>
    </w:p>
    <w:p w:rsidRPr="006D329B" w:rsidR="00444FA6" w:rsidP="00444FA6" w:rsidRDefault="00444FA6" w14:paraId="0CA57785" w14:textId="77777777">
      <w:pPr>
        <w:rPr>
          <w:sz w:val="24"/>
          <w:szCs w:val="24"/>
        </w:rPr>
      </w:pPr>
    </w:p>
    <w:p w:rsidRPr="006D329B" w:rsidR="00444FA6" w:rsidP="00444FA6" w:rsidRDefault="00444FA6" w14:paraId="42E6EE1A" w14:textId="77777777">
      <w:pPr>
        <w:pStyle w:val="Default"/>
        <w:rPr>
          <w:b/>
          <w:bCs/>
          <w:color w:val="auto"/>
          <w:u w:val="single"/>
        </w:rPr>
      </w:pPr>
      <w:r w:rsidRPr="006D329B">
        <w:rPr>
          <w:b/>
          <w:bCs/>
          <w:color w:val="auto"/>
        </w:rPr>
        <w:t xml:space="preserve">10.  </w:t>
      </w:r>
      <w:r w:rsidRPr="006D329B">
        <w:rPr>
          <w:b/>
          <w:bCs/>
          <w:color w:val="auto"/>
          <w:u w:val="single"/>
        </w:rPr>
        <w:t>Assurances of Confidentiality</w:t>
      </w:r>
    </w:p>
    <w:p w:rsidRPr="006D329B" w:rsidR="00444FA6" w:rsidP="00444FA6" w:rsidRDefault="00444FA6" w14:paraId="30492B8C" w14:textId="77777777">
      <w:pPr>
        <w:pStyle w:val="Default"/>
        <w:rPr>
          <w:color w:val="auto"/>
        </w:rPr>
      </w:pPr>
    </w:p>
    <w:p w:rsidRPr="006D329B" w:rsidR="00444FA6" w:rsidP="00444FA6" w:rsidRDefault="00444FA6" w14:paraId="02185402" w14:textId="77777777">
      <w:pPr>
        <w:pStyle w:val="Default"/>
      </w:pPr>
      <w:r w:rsidRPr="006D329B">
        <w:t>The Bureau does not collect any information under this rule. To the extent that information covered by a recordkeeping requirement is collected by the Bureau for law enforcement purposes, the confidentiality provisions of the Bureau’s rules on Disclosure of Records and Information, 12 CFR part 1070, would apply.</w:t>
      </w:r>
    </w:p>
    <w:p w:rsidRPr="006D329B" w:rsidR="00444FA6" w:rsidP="00444FA6" w:rsidRDefault="00444FA6" w14:paraId="7A5B82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6D329B" w:rsidR="00444FA6" w:rsidP="00444FA6" w:rsidRDefault="00444FA6" w14:paraId="23A693AC" w14:textId="77777777">
      <w:pPr>
        <w:pStyle w:val="Default"/>
        <w:rPr>
          <w:color w:val="auto"/>
        </w:rPr>
      </w:pPr>
      <w:r w:rsidRPr="006D329B">
        <w:rPr>
          <w:b/>
        </w:rPr>
        <w:t xml:space="preserve">11.  </w:t>
      </w:r>
      <w:r w:rsidRPr="006D329B">
        <w:rPr>
          <w:b/>
          <w:bCs/>
          <w:color w:val="auto"/>
          <w:u w:val="single"/>
        </w:rPr>
        <w:t>Justification for Sensitive Questions</w:t>
      </w:r>
    </w:p>
    <w:p w:rsidRPr="006D329B" w:rsidR="00444FA6" w:rsidP="00444FA6" w:rsidRDefault="00444FA6" w14:paraId="487BE7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D329B">
        <w:rPr>
          <w:sz w:val="24"/>
          <w:szCs w:val="24"/>
        </w:rPr>
        <w:tab/>
      </w:r>
    </w:p>
    <w:p w:rsidRPr="006D329B" w:rsidR="00444FA6" w:rsidP="00444FA6" w:rsidRDefault="00444FA6" w14:paraId="546943EB" w14:textId="77777777">
      <w:pPr>
        <w:pStyle w:val="BodyText"/>
        <w:spacing w:before="90"/>
      </w:pPr>
      <w:r w:rsidRPr="006D329B">
        <w:t>There is no information of a sensitive nature being requested by the bureau under this information collection.</w:t>
      </w:r>
    </w:p>
    <w:p w:rsidRPr="006D329B" w:rsidR="00444FA6" w:rsidP="00444FA6" w:rsidRDefault="00444FA6" w14:paraId="655F5E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D329B" w:rsidR="00444FA6" w:rsidP="00444FA6" w:rsidRDefault="00444FA6" w14:paraId="16BDC1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329B">
        <w:rPr>
          <w:b/>
          <w:bCs/>
          <w:sz w:val="24"/>
          <w:szCs w:val="24"/>
        </w:rPr>
        <w:t xml:space="preserve">12.  </w:t>
      </w:r>
      <w:r w:rsidRPr="006D329B">
        <w:rPr>
          <w:b/>
          <w:bCs/>
          <w:sz w:val="24"/>
          <w:szCs w:val="24"/>
          <w:u w:val="single"/>
        </w:rPr>
        <w:t>Estimated Burden of Information Collection</w:t>
      </w:r>
    </w:p>
    <w:p w:rsidRPr="006D329B" w:rsidR="00444FA6" w:rsidP="00444FA6" w:rsidRDefault="00444FA6" w14:paraId="08C24B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D329B" w:rsidR="00444FA6" w:rsidP="00444FA6" w:rsidRDefault="00444FA6" w14:paraId="20CE5AB4" w14:textId="77777777">
      <w:pPr>
        <w:rPr>
          <w:color w:val="000000"/>
          <w:sz w:val="24"/>
          <w:szCs w:val="24"/>
        </w:rPr>
      </w:pPr>
      <w:r w:rsidRPr="006D329B">
        <w:rPr>
          <w:sz w:val="24"/>
          <w:szCs w:val="24"/>
        </w:rPr>
        <w:t>In calculating the potential burdens of information collections that are required by the rule, the Bureau generally relies on estimates of the market as it existed at the time of the Notice of Proposed Rulemaking</w:t>
      </w:r>
      <w:r w:rsidR="00AA2FE9">
        <w:rPr>
          <w:sz w:val="24"/>
          <w:szCs w:val="24"/>
        </w:rPr>
        <w:t>.</w:t>
      </w:r>
      <w:r w:rsidRPr="006D329B">
        <w:rPr>
          <w:sz w:val="24"/>
          <w:szCs w:val="24"/>
        </w:rPr>
        <w:t xml:space="preserve">  Using the Bureau’s burden estimation methodology, the total estimated burden for the approximately </w:t>
      </w:r>
      <w:r w:rsidRPr="006D329B">
        <w:rPr>
          <w:color w:val="000000"/>
          <w:sz w:val="24"/>
          <w:szCs w:val="24"/>
        </w:rPr>
        <w:t xml:space="preserve">9,900 </w:t>
      </w:r>
      <w:r w:rsidRPr="006D329B">
        <w:rPr>
          <w:sz w:val="24"/>
          <w:szCs w:val="24"/>
        </w:rPr>
        <w:t xml:space="preserve">institutions subject to the rule, including Bureau respondents, would be approximately 3,189,587 labor burden hours annually.  </w:t>
      </w:r>
    </w:p>
    <w:p w:rsidRPr="006D329B" w:rsidR="00444FA6" w:rsidP="00444FA6" w:rsidRDefault="00444FA6" w14:paraId="277A6D8E" w14:textId="77777777">
      <w:pPr>
        <w:spacing w:before="40" w:after="40"/>
        <w:rPr>
          <w:color w:val="000000"/>
          <w:sz w:val="24"/>
          <w:szCs w:val="24"/>
        </w:rPr>
      </w:pPr>
    </w:p>
    <w:p w:rsidRPr="006D329B" w:rsidR="00444FA6" w:rsidP="00444FA6" w:rsidRDefault="00444FA6" w14:paraId="1EC9A2FA" w14:textId="77777777">
      <w:pPr>
        <w:spacing w:before="40" w:after="40"/>
        <w:rPr>
          <w:color w:val="000000"/>
          <w:sz w:val="24"/>
          <w:szCs w:val="24"/>
        </w:rPr>
      </w:pPr>
      <w:r w:rsidRPr="006D329B">
        <w:rPr>
          <w:color w:val="000000"/>
          <w:sz w:val="24"/>
          <w:szCs w:val="24"/>
        </w:rPr>
        <w:t xml:space="preserve">The aggregate estimates of total burdens are based on estimated costs that are averages across respondents.  The Bureau expects that the amount of time required to implement each of the changes for a given institution may vary based on the size, complexity, and practices of the respondent. </w:t>
      </w:r>
    </w:p>
    <w:p w:rsidRPr="006D329B" w:rsidR="00444FA6" w:rsidP="00444FA6" w:rsidRDefault="00444FA6" w14:paraId="387E01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94A5E" w:rsidP="00444FA6" w:rsidRDefault="00B94A5E" w14:paraId="7263A073"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94A5E" w:rsidP="00444FA6" w:rsidRDefault="00B94A5E" w14:paraId="781A73F7" w14:textId="6DFD79A0">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94A5E" w:rsidP="00444FA6" w:rsidRDefault="00B94A5E" w14:paraId="302FDA20"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6D329B" w:rsidR="00444FA6" w:rsidP="00B94A5E" w:rsidRDefault="00444FA6" w14:paraId="5515EDAD" w14:textId="7351CAF2">
      <w:pPr>
        <w:keepNext/>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D329B">
        <w:rPr>
          <w:b/>
          <w:sz w:val="24"/>
          <w:szCs w:val="24"/>
        </w:rPr>
        <w:t xml:space="preserve">Exhibit 1: Burden Hour Summary </w:t>
      </w:r>
      <w:r w:rsidRPr="006D329B">
        <w:rPr>
          <w:rStyle w:val="FootnoteReference"/>
          <w:b/>
          <w:sz w:val="24"/>
          <w:szCs w:val="24"/>
        </w:rPr>
        <w:footnoteReference w:id="5"/>
      </w:r>
    </w:p>
    <w:p w:rsidRPr="006D329B" w:rsidR="00444FA6" w:rsidP="00B94A5E" w:rsidRDefault="00444FA6" w14:paraId="454BF843" w14:textId="77777777">
      <w:pPr>
        <w:keepNext/>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Style w:val="TableGrid1"/>
        <w:tblW w:w="5425" w:type="pct"/>
        <w:tblLayout w:type="fixed"/>
        <w:tblLook w:val="04A0" w:firstRow="1" w:lastRow="0" w:firstColumn="1" w:lastColumn="0" w:noHBand="0" w:noVBand="1"/>
      </w:tblPr>
      <w:tblGrid>
        <w:gridCol w:w="1510"/>
        <w:gridCol w:w="844"/>
        <w:gridCol w:w="1447"/>
        <w:gridCol w:w="1138"/>
        <w:gridCol w:w="1142"/>
        <w:gridCol w:w="1055"/>
        <w:gridCol w:w="966"/>
        <w:gridCol w:w="846"/>
        <w:gridCol w:w="1197"/>
      </w:tblGrid>
      <w:tr w:rsidRPr="00BE6729" w:rsidR="00444FA6" w:rsidTr="001E01D6" w14:paraId="2860240A" w14:textId="77777777">
        <w:trPr>
          <w:tblHeader/>
        </w:trPr>
        <w:tc>
          <w:tcPr>
            <w:tcW w:w="744" w:type="pct"/>
            <w:shd w:val="clear" w:color="auto" w:fill="D9D9D9" w:themeFill="background1" w:themeFillShade="D9"/>
          </w:tcPr>
          <w:p w:rsidRPr="00BE6729" w:rsidR="00444FA6" w:rsidP="00367D78" w:rsidRDefault="00444FA6" w14:paraId="0E800A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BE6729">
              <w:rPr>
                <w:b/>
                <w:sz w:val="18"/>
                <w:szCs w:val="18"/>
              </w:rPr>
              <w:t>Information Collection Requirement</w:t>
            </w:r>
          </w:p>
        </w:tc>
        <w:tc>
          <w:tcPr>
            <w:tcW w:w="416" w:type="pct"/>
            <w:shd w:val="clear" w:color="auto" w:fill="D9D9D9" w:themeFill="background1" w:themeFillShade="D9"/>
          </w:tcPr>
          <w:p w:rsidRPr="00BE6729" w:rsidR="00444FA6" w:rsidP="00367D78" w:rsidRDefault="00444FA6" w14:paraId="6113CA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BE6729">
              <w:rPr>
                <w:b/>
                <w:sz w:val="18"/>
                <w:szCs w:val="18"/>
              </w:rPr>
              <w:t>No. of Respondents</w:t>
            </w:r>
          </w:p>
        </w:tc>
        <w:tc>
          <w:tcPr>
            <w:tcW w:w="713" w:type="pct"/>
            <w:shd w:val="clear" w:color="auto" w:fill="D9D9D9" w:themeFill="background1" w:themeFillShade="D9"/>
          </w:tcPr>
          <w:p w:rsidRPr="00BE6729" w:rsidR="00444FA6" w:rsidP="00367D78" w:rsidRDefault="00444FA6" w14:paraId="4F40DC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BE6729">
              <w:rPr>
                <w:b/>
                <w:sz w:val="18"/>
                <w:szCs w:val="18"/>
              </w:rPr>
              <w:t>Type of IC</w:t>
            </w:r>
          </w:p>
        </w:tc>
        <w:tc>
          <w:tcPr>
            <w:tcW w:w="561" w:type="pct"/>
            <w:shd w:val="clear" w:color="auto" w:fill="D9D9D9" w:themeFill="background1" w:themeFillShade="D9"/>
          </w:tcPr>
          <w:p w:rsidRPr="00BE6729" w:rsidR="00444FA6" w:rsidP="00367D78" w:rsidRDefault="00444FA6" w14:paraId="0659AE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BE6729">
              <w:rPr>
                <w:b/>
                <w:sz w:val="18"/>
                <w:szCs w:val="18"/>
              </w:rPr>
              <w:t>Frequency</w:t>
            </w:r>
          </w:p>
        </w:tc>
        <w:tc>
          <w:tcPr>
            <w:tcW w:w="563" w:type="pct"/>
            <w:shd w:val="clear" w:color="auto" w:fill="D9D9D9" w:themeFill="background1" w:themeFillShade="D9"/>
          </w:tcPr>
          <w:p w:rsidRPr="00BE6729" w:rsidR="00444FA6" w:rsidP="00367D78" w:rsidRDefault="00444FA6" w14:paraId="398504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BE6729">
              <w:rPr>
                <w:b/>
                <w:sz w:val="18"/>
                <w:szCs w:val="18"/>
              </w:rPr>
              <w:t>Annual Responses</w:t>
            </w:r>
          </w:p>
        </w:tc>
        <w:tc>
          <w:tcPr>
            <w:tcW w:w="520" w:type="pct"/>
            <w:shd w:val="clear" w:color="auto" w:fill="D9D9D9" w:themeFill="background1" w:themeFillShade="D9"/>
          </w:tcPr>
          <w:p w:rsidRPr="00BE6729" w:rsidR="00444FA6" w:rsidP="00367D78" w:rsidRDefault="00444FA6" w14:paraId="3F0113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BE6729">
              <w:rPr>
                <w:b/>
                <w:sz w:val="18"/>
                <w:szCs w:val="18"/>
              </w:rPr>
              <w:t>Average Response Time</w:t>
            </w:r>
          </w:p>
        </w:tc>
        <w:tc>
          <w:tcPr>
            <w:tcW w:w="476" w:type="pct"/>
            <w:shd w:val="clear" w:color="auto" w:fill="D9D9D9" w:themeFill="background1" w:themeFillShade="D9"/>
          </w:tcPr>
          <w:p w:rsidRPr="00BE6729" w:rsidR="00444FA6" w:rsidP="00367D78" w:rsidRDefault="00444FA6" w14:paraId="274665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BE6729">
              <w:rPr>
                <w:b/>
                <w:sz w:val="18"/>
                <w:szCs w:val="18"/>
              </w:rPr>
              <w:t>Annual Burden Hours</w:t>
            </w:r>
          </w:p>
        </w:tc>
        <w:tc>
          <w:tcPr>
            <w:tcW w:w="417" w:type="pct"/>
            <w:shd w:val="clear" w:color="auto" w:fill="D9D9D9" w:themeFill="background1" w:themeFillShade="D9"/>
          </w:tcPr>
          <w:p w:rsidRPr="00BE6729" w:rsidR="00444FA6" w:rsidP="00367D78" w:rsidRDefault="00444FA6" w14:paraId="52B55F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BE6729">
              <w:rPr>
                <w:b/>
                <w:sz w:val="18"/>
                <w:szCs w:val="18"/>
              </w:rPr>
              <w:t>Hourly Rate</w:t>
            </w:r>
            <w:r w:rsidRPr="00BE6729">
              <w:rPr>
                <w:rStyle w:val="FootnoteReference"/>
                <w:b/>
                <w:sz w:val="18"/>
                <w:szCs w:val="18"/>
              </w:rPr>
              <w:footnoteReference w:id="6"/>
            </w:r>
          </w:p>
        </w:tc>
        <w:tc>
          <w:tcPr>
            <w:tcW w:w="590" w:type="pct"/>
            <w:shd w:val="clear" w:color="auto" w:fill="D9D9D9" w:themeFill="background1" w:themeFillShade="D9"/>
          </w:tcPr>
          <w:p w:rsidRPr="00BE6729" w:rsidR="00444FA6" w:rsidP="00367D78" w:rsidRDefault="00444FA6" w14:paraId="132909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BE6729">
              <w:rPr>
                <w:b/>
                <w:sz w:val="18"/>
                <w:szCs w:val="18"/>
              </w:rPr>
              <w:t>Annual Burden Hour Costs</w:t>
            </w:r>
          </w:p>
        </w:tc>
      </w:tr>
      <w:tr w:rsidRPr="00BE6729" w:rsidR="00444FA6" w:rsidTr="001E01D6" w14:paraId="3591F901" w14:textId="77777777">
        <w:tc>
          <w:tcPr>
            <w:tcW w:w="744" w:type="pct"/>
          </w:tcPr>
          <w:p w:rsidRPr="00BE6729" w:rsidR="00444FA6" w:rsidP="00367D78" w:rsidRDefault="00444FA6" w14:paraId="0B5367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BE6729">
              <w:rPr>
                <w:sz w:val="18"/>
                <w:szCs w:val="18"/>
              </w:rPr>
              <w:t xml:space="preserve">Disclosures </w:t>
            </w:r>
          </w:p>
          <w:p w:rsidRPr="00BE6729" w:rsidR="00444FA6" w:rsidP="00367D78" w:rsidRDefault="00AB4821" w14:paraId="19C3F655" w14:textId="344064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BE6729">
              <w:rPr>
                <w:sz w:val="18"/>
                <w:szCs w:val="18"/>
              </w:rPr>
              <w:t>§</w:t>
            </w:r>
            <w:r w:rsidRPr="00BE6729" w:rsidR="00444FA6">
              <w:rPr>
                <w:sz w:val="18"/>
                <w:szCs w:val="18"/>
              </w:rPr>
              <w:t xml:space="preserve"> 1041.9</w:t>
            </w:r>
          </w:p>
        </w:tc>
        <w:tc>
          <w:tcPr>
            <w:tcW w:w="416" w:type="pct"/>
          </w:tcPr>
          <w:p w:rsidRPr="00BE6729" w:rsidR="00444FA6" w:rsidP="00367D78" w:rsidRDefault="00444FA6" w14:paraId="0DCDD0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BE6729">
              <w:rPr>
                <w:sz w:val="18"/>
                <w:szCs w:val="18"/>
              </w:rPr>
              <w:t>9,045</w:t>
            </w:r>
          </w:p>
        </w:tc>
        <w:tc>
          <w:tcPr>
            <w:tcW w:w="713" w:type="pct"/>
          </w:tcPr>
          <w:p w:rsidRPr="00BE6729" w:rsidR="00444FA6" w:rsidP="00367D78" w:rsidRDefault="00444FA6" w14:paraId="2BB467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BE6729">
              <w:rPr>
                <w:sz w:val="18"/>
                <w:szCs w:val="18"/>
              </w:rPr>
              <w:t xml:space="preserve"> 3</w:t>
            </w:r>
            <w:r w:rsidRPr="00BE6729">
              <w:rPr>
                <w:sz w:val="18"/>
                <w:szCs w:val="18"/>
                <w:vertAlign w:val="superscript"/>
              </w:rPr>
              <w:t>rd</w:t>
            </w:r>
            <w:r w:rsidRPr="00BE6729">
              <w:rPr>
                <w:sz w:val="18"/>
                <w:szCs w:val="18"/>
              </w:rPr>
              <w:t xml:space="preserve"> Party Disclosure </w:t>
            </w:r>
          </w:p>
        </w:tc>
        <w:tc>
          <w:tcPr>
            <w:tcW w:w="561" w:type="pct"/>
          </w:tcPr>
          <w:p w:rsidRPr="00BE6729" w:rsidR="00444FA6" w:rsidP="00367D78" w:rsidRDefault="00444FA6" w14:paraId="42FD44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BE6729">
              <w:rPr>
                <w:sz w:val="18"/>
                <w:szCs w:val="18"/>
              </w:rPr>
              <w:t>On occasion</w:t>
            </w:r>
          </w:p>
        </w:tc>
        <w:tc>
          <w:tcPr>
            <w:tcW w:w="563" w:type="pct"/>
          </w:tcPr>
          <w:p w:rsidRPr="00CC64F2" w:rsidR="00444FA6" w:rsidP="00367D78" w:rsidRDefault="00444FA6" w14:paraId="0945900B" w14:textId="70EE05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CC64F2">
              <w:rPr>
                <w:sz w:val="18"/>
                <w:szCs w:val="18"/>
              </w:rPr>
              <w:t>231,732,981</w:t>
            </w:r>
          </w:p>
        </w:tc>
        <w:tc>
          <w:tcPr>
            <w:tcW w:w="520" w:type="pct"/>
          </w:tcPr>
          <w:p w:rsidRPr="00BE6729" w:rsidR="00444FA6" w:rsidP="00367D78" w:rsidRDefault="00444FA6" w14:paraId="4CB3BD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BE6729">
              <w:rPr>
                <w:sz w:val="18"/>
                <w:szCs w:val="18"/>
              </w:rPr>
              <w:t>0.013</w:t>
            </w:r>
          </w:p>
        </w:tc>
        <w:tc>
          <w:tcPr>
            <w:tcW w:w="476" w:type="pct"/>
          </w:tcPr>
          <w:p w:rsidRPr="00BE6729" w:rsidR="00444FA6" w:rsidP="00367D78" w:rsidRDefault="00444FA6" w14:paraId="2678D61A" w14:textId="13705B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BE6729">
              <w:rPr>
                <w:sz w:val="18"/>
                <w:szCs w:val="18"/>
              </w:rPr>
              <w:t>3,054,872</w:t>
            </w:r>
          </w:p>
        </w:tc>
        <w:tc>
          <w:tcPr>
            <w:tcW w:w="417" w:type="pct"/>
          </w:tcPr>
          <w:p w:rsidRPr="00BE6729" w:rsidR="00444FA6" w:rsidP="00367D78" w:rsidRDefault="00444FA6" w14:paraId="04BA62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BE6729">
              <w:rPr>
                <w:sz w:val="18"/>
                <w:szCs w:val="18"/>
              </w:rPr>
              <w:t>$21.19</w:t>
            </w:r>
          </w:p>
        </w:tc>
        <w:tc>
          <w:tcPr>
            <w:tcW w:w="590" w:type="pct"/>
          </w:tcPr>
          <w:p w:rsidRPr="00BE6729" w:rsidR="00444FA6" w:rsidP="00367D78" w:rsidRDefault="00444FA6" w14:paraId="7D68B919" w14:textId="587047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BE6729">
              <w:rPr>
                <w:sz w:val="18"/>
                <w:szCs w:val="18"/>
              </w:rPr>
              <w:t>$64,723,890</w:t>
            </w:r>
          </w:p>
        </w:tc>
      </w:tr>
      <w:tr w:rsidRPr="00BE6729" w:rsidR="00444FA6" w:rsidTr="001E01D6" w14:paraId="582F1ED3" w14:textId="77777777">
        <w:tc>
          <w:tcPr>
            <w:tcW w:w="744" w:type="pct"/>
          </w:tcPr>
          <w:p w:rsidRPr="00BE6729" w:rsidR="00444FA6" w:rsidP="00367D78" w:rsidRDefault="00444FA6" w14:paraId="3C0A7E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BE6729">
              <w:rPr>
                <w:sz w:val="18"/>
                <w:szCs w:val="18"/>
              </w:rPr>
              <w:t xml:space="preserve">Prohibited payment transfer attempts – requirements and conditions for obtaining consumer’s authorization </w:t>
            </w:r>
          </w:p>
          <w:p w:rsidRPr="00BE6729" w:rsidR="00444FA6" w:rsidP="00367D78" w:rsidRDefault="00444FA6" w14:paraId="79980E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BE6729">
              <w:rPr>
                <w:sz w:val="18"/>
                <w:szCs w:val="18"/>
              </w:rPr>
              <w:t>[§ 1041.8]</w:t>
            </w:r>
          </w:p>
        </w:tc>
        <w:tc>
          <w:tcPr>
            <w:tcW w:w="416" w:type="pct"/>
          </w:tcPr>
          <w:p w:rsidRPr="00BE6729" w:rsidR="00444FA6" w:rsidP="00367D78" w:rsidRDefault="00444FA6" w14:paraId="595F99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BE6729">
              <w:rPr>
                <w:sz w:val="18"/>
                <w:szCs w:val="18"/>
              </w:rPr>
              <w:t>9,045</w:t>
            </w:r>
          </w:p>
        </w:tc>
        <w:tc>
          <w:tcPr>
            <w:tcW w:w="713" w:type="pct"/>
          </w:tcPr>
          <w:p w:rsidRPr="00BE6729" w:rsidR="00444FA6" w:rsidP="00367D78" w:rsidRDefault="00444FA6" w14:paraId="4393BE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BE6729">
              <w:rPr>
                <w:sz w:val="18"/>
                <w:szCs w:val="18"/>
              </w:rPr>
              <w:t>Recordkeeping</w:t>
            </w:r>
          </w:p>
        </w:tc>
        <w:tc>
          <w:tcPr>
            <w:tcW w:w="561" w:type="pct"/>
          </w:tcPr>
          <w:p w:rsidRPr="00BE6729" w:rsidR="00444FA6" w:rsidP="00367D78" w:rsidRDefault="00444FA6" w14:paraId="15EDBE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BE6729">
              <w:rPr>
                <w:sz w:val="18"/>
                <w:szCs w:val="18"/>
              </w:rPr>
              <w:t>On occasion</w:t>
            </w:r>
          </w:p>
        </w:tc>
        <w:tc>
          <w:tcPr>
            <w:tcW w:w="563" w:type="pct"/>
          </w:tcPr>
          <w:p w:rsidRPr="00BE6729" w:rsidR="00444FA6" w:rsidP="00367D78" w:rsidRDefault="00444FA6" w14:paraId="5CAA6C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BE6729">
              <w:rPr>
                <w:sz w:val="18"/>
                <w:szCs w:val="18"/>
              </w:rPr>
              <w:t>14,478,524</w:t>
            </w:r>
          </w:p>
        </w:tc>
        <w:tc>
          <w:tcPr>
            <w:tcW w:w="520" w:type="pct"/>
          </w:tcPr>
          <w:p w:rsidRPr="00BE6729" w:rsidR="00444FA6" w:rsidP="00367D78" w:rsidRDefault="00444FA6" w14:paraId="111D1D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BE6729">
              <w:rPr>
                <w:sz w:val="18"/>
                <w:szCs w:val="18"/>
              </w:rPr>
              <w:t>0.009</w:t>
            </w:r>
          </w:p>
        </w:tc>
        <w:tc>
          <w:tcPr>
            <w:tcW w:w="476" w:type="pct"/>
          </w:tcPr>
          <w:p w:rsidRPr="00BE6729" w:rsidR="00444FA6" w:rsidP="00367D78" w:rsidRDefault="00444FA6" w14:paraId="24F0BC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BE6729">
              <w:rPr>
                <w:sz w:val="18"/>
                <w:szCs w:val="18"/>
              </w:rPr>
              <w:t>134,715</w:t>
            </w:r>
          </w:p>
        </w:tc>
        <w:tc>
          <w:tcPr>
            <w:tcW w:w="417" w:type="pct"/>
          </w:tcPr>
          <w:p w:rsidRPr="00BE6729" w:rsidR="00444FA6" w:rsidP="00367D78" w:rsidRDefault="00444FA6" w14:paraId="428854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BE6729">
              <w:rPr>
                <w:sz w:val="18"/>
                <w:szCs w:val="18"/>
              </w:rPr>
              <w:t>$25.54</w:t>
            </w:r>
          </w:p>
        </w:tc>
        <w:tc>
          <w:tcPr>
            <w:tcW w:w="590" w:type="pct"/>
          </w:tcPr>
          <w:p w:rsidRPr="00BE6729" w:rsidR="00444FA6" w:rsidP="00367D78" w:rsidRDefault="00444FA6" w14:paraId="032908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BE6729">
              <w:rPr>
                <w:sz w:val="18"/>
                <w:szCs w:val="18"/>
              </w:rPr>
              <w:t>$3,440,461</w:t>
            </w:r>
          </w:p>
        </w:tc>
      </w:tr>
      <w:tr w:rsidRPr="00BE6729" w:rsidR="00444FA6" w:rsidTr="001E01D6" w14:paraId="4BF98CBE" w14:textId="77777777">
        <w:tc>
          <w:tcPr>
            <w:tcW w:w="744" w:type="pct"/>
          </w:tcPr>
          <w:p w:rsidRPr="00BE6729" w:rsidR="00444FA6" w:rsidP="00367D78" w:rsidRDefault="00444FA6" w14:paraId="22BE63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BE6729">
              <w:rPr>
                <w:sz w:val="18"/>
                <w:szCs w:val="18"/>
              </w:rPr>
              <w:t xml:space="preserve">Record Retention </w:t>
            </w:r>
          </w:p>
          <w:p w:rsidRPr="00BE6729" w:rsidR="00444FA6" w:rsidP="00367D78" w:rsidRDefault="00444FA6" w14:paraId="7D0527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BE6729">
              <w:rPr>
                <w:sz w:val="18"/>
                <w:szCs w:val="18"/>
              </w:rPr>
              <w:t>[§ 1041.12]</w:t>
            </w:r>
            <w:r w:rsidRPr="00BE6729">
              <w:rPr>
                <w:rStyle w:val="FootnoteReference"/>
                <w:sz w:val="18"/>
                <w:szCs w:val="18"/>
              </w:rPr>
              <w:footnoteReference w:id="7"/>
            </w:r>
          </w:p>
        </w:tc>
        <w:tc>
          <w:tcPr>
            <w:tcW w:w="416" w:type="pct"/>
          </w:tcPr>
          <w:p w:rsidRPr="00BE6729" w:rsidR="00444FA6" w:rsidP="00367D78" w:rsidRDefault="00444FA6" w14:paraId="49C530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BE6729">
              <w:rPr>
                <w:sz w:val="18"/>
                <w:szCs w:val="18"/>
              </w:rPr>
              <w:t>9,887</w:t>
            </w:r>
          </w:p>
        </w:tc>
        <w:tc>
          <w:tcPr>
            <w:tcW w:w="713" w:type="pct"/>
          </w:tcPr>
          <w:p w:rsidRPr="00BE6729" w:rsidR="00444FA6" w:rsidP="00367D78" w:rsidRDefault="00444FA6" w14:paraId="2CE06E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BE6729">
              <w:rPr>
                <w:sz w:val="18"/>
                <w:szCs w:val="18"/>
              </w:rPr>
              <w:t>Recordkeeping</w:t>
            </w:r>
          </w:p>
        </w:tc>
        <w:tc>
          <w:tcPr>
            <w:tcW w:w="561" w:type="pct"/>
          </w:tcPr>
          <w:p w:rsidRPr="00BE6729" w:rsidR="00444FA6" w:rsidP="00367D78" w:rsidRDefault="00444FA6" w14:paraId="3908F7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BE6729">
              <w:rPr>
                <w:sz w:val="18"/>
                <w:szCs w:val="18"/>
              </w:rPr>
              <w:t>On occasion</w:t>
            </w:r>
          </w:p>
        </w:tc>
        <w:tc>
          <w:tcPr>
            <w:tcW w:w="563" w:type="pct"/>
          </w:tcPr>
          <w:p w:rsidRPr="00BE6729" w:rsidR="00444FA6" w:rsidP="00367D78" w:rsidRDefault="00444FA6" w14:paraId="28075D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BE6729">
              <w:rPr>
                <w:sz w:val="18"/>
                <w:szCs w:val="18"/>
              </w:rPr>
              <w:t>120,085,002</w:t>
            </w:r>
          </w:p>
        </w:tc>
        <w:tc>
          <w:tcPr>
            <w:tcW w:w="520" w:type="pct"/>
          </w:tcPr>
          <w:p w:rsidRPr="00BE6729" w:rsidR="00444FA6" w:rsidP="00367D78" w:rsidRDefault="00444FA6" w14:paraId="3D8E0A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BE6729">
              <w:rPr>
                <w:sz w:val="18"/>
                <w:szCs w:val="18"/>
              </w:rPr>
              <w:t>0</w:t>
            </w:r>
          </w:p>
        </w:tc>
        <w:tc>
          <w:tcPr>
            <w:tcW w:w="476" w:type="pct"/>
          </w:tcPr>
          <w:p w:rsidRPr="00BE6729" w:rsidR="00444FA6" w:rsidP="00367D78" w:rsidRDefault="00444FA6" w14:paraId="0D2436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BE6729">
              <w:rPr>
                <w:sz w:val="18"/>
                <w:szCs w:val="18"/>
              </w:rPr>
              <w:t>0</w:t>
            </w:r>
          </w:p>
        </w:tc>
        <w:tc>
          <w:tcPr>
            <w:tcW w:w="417" w:type="pct"/>
          </w:tcPr>
          <w:p w:rsidRPr="00BE6729" w:rsidR="00444FA6" w:rsidP="00367D78" w:rsidRDefault="00444FA6" w14:paraId="414C3C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BE6729">
              <w:rPr>
                <w:sz w:val="18"/>
                <w:szCs w:val="18"/>
              </w:rPr>
              <w:t>$0</w:t>
            </w:r>
          </w:p>
        </w:tc>
        <w:tc>
          <w:tcPr>
            <w:tcW w:w="590" w:type="pct"/>
          </w:tcPr>
          <w:p w:rsidRPr="00BE6729" w:rsidR="00444FA6" w:rsidP="00367D78" w:rsidRDefault="00444FA6" w14:paraId="24C245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BE6729">
              <w:rPr>
                <w:sz w:val="18"/>
                <w:szCs w:val="18"/>
              </w:rPr>
              <w:t>$0</w:t>
            </w:r>
          </w:p>
        </w:tc>
      </w:tr>
      <w:tr w:rsidRPr="00BE6729" w:rsidR="00444FA6" w:rsidTr="001E01D6" w14:paraId="53929700" w14:textId="77777777">
        <w:tc>
          <w:tcPr>
            <w:tcW w:w="744" w:type="pct"/>
          </w:tcPr>
          <w:p w:rsidRPr="00BE6729" w:rsidR="00444FA6" w:rsidP="00367D78" w:rsidRDefault="00444FA6" w14:paraId="3F993A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BE6729">
              <w:rPr>
                <w:b/>
                <w:sz w:val="18"/>
                <w:szCs w:val="18"/>
              </w:rPr>
              <w:t>Totals:</w:t>
            </w:r>
          </w:p>
        </w:tc>
        <w:tc>
          <w:tcPr>
            <w:tcW w:w="416" w:type="pct"/>
          </w:tcPr>
          <w:p w:rsidRPr="00BE6729" w:rsidR="00444FA6" w:rsidP="00367D78" w:rsidRDefault="00444FA6" w14:paraId="745C92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BE6729">
              <w:rPr>
                <w:b/>
                <w:sz w:val="18"/>
                <w:szCs w:val="18"/>
              </w:rPr>
              <w:t>9,887*</w:t>
            </w:r>
          </w:p>
        </w:tc>
        <w:tc>
          <w:tcPr>
            <w:tcW w:w="713" w:type="pct"/>
          </w:tcPr>
          <w:p w:rsidRPr="00BE6729" w:rsidR="00444FA6" w:rsidP="00367D78" w:rsidRDefault="00444FA6" w14:paraId="1E6560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c>
        <w:tc>
          <w:tcPr>
            <w:tcW w:w="561" w:type="pct"/>
          </w:tcPr>
          <w:p w:rsidRPr="00BE6729" w:rsidR="00444FA6" w:rsidP="00367D78" w:rsidRDefault="00444FA6" w14:paraId="323E6C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p>
        </w:tc>
        <w:tc>
          <w:tcPr>
            <w:tcW w:w="563" w:type="pct"/>
          </w:tcPr>
          <w:p w:rsidRPr="00BE6729" w:rsidR="00444FA6" w:rsidP="00367D78" w:rsidRDefault="00444FA6" w14:paraId="1FE13C15" w14:textId="1A9FE5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BE6729">
              <w:rPr>
                <w:b/>
                <w:sz w:val="18"/>
                <w:szCs w:val="18"/>
              </w:rPr>
              <w:t>366,296,507</w:t>
            </w:r>
          </w:p>
        </w:tc>
        <w:tc>
          <w:tcPr>
            <w:tcW w:w="520" w:type="pct"/>
          </w:tcPr>
          <w:p w:rsidRPr="00BE6729" w:rsidR="00444FA6" w:rsidP="00367D78" w:rsidRDefault="00444FA6" w14:paraId="1ECAC7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p>
        </w:tc>
        <w:tc>
          <w:tcPr>
            <w:tcW w:w="476" w:type="pct"/>
          </w:tcPr>
          <w:p w:rsidRPr="00BE6729" w:rsidR="00444FA6" w:rsidP="00367D78" w:rsidRDefault="00444FA6" w14:paraId="644B9382" w14:textId="033B8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18"/>
                <w:szCs w:val="18"/>
              </w:rPr>
            </w:pPr>
            <w:r w:rsidRPr="00BE6729">
              <w:rPr>
                <w:b/>
                <w:sz w:val="18"/>
                <w:szCs w:val="18"/>
              </w:rPr>
              <w:t>3,189,587</w:t>
            </w:r>
          </w:p>
        </w:tc>
        <w:tc>
          <w:tcPr>
            <w:tcW w:w="417" w:type="pct"/>
          </w:tcPr>
          <w:p w:rsidRPr="00BE6729" w:rsidR="00444FA6" w:rsidP="00367D78" w:rsidRDefault="00444FA6" w14:paraId="4266BC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p>
        </w:tc>
        <w:tc>
          <w:tcPr>
            <w:tcW w:w="590" w:type="pct"/>
          </w:tcPr>
          <w:p w:rsidRPr="00BE6729" w:rsidR="00444FA6" w:rsidP="00367D78" w:rsidRDefault="00444FA6" w14:paraId="7A4F6996" w14:textId="1E7B4C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highlight w:val="yellow"/>
              </w:rPr>
            </w:pPr>
            <w:r w:rsidRPr="00BE6729">
              <w:rPr>
                <w:b/>
                <w:sz w:val="18"/>
                <w:szCs w:val="18"/>
              </w:rPr>
              <w:t>68,164,351</w:t>
            </w:r>
          </w:p>
        </w:tc>
      </w:tr>
    </w:tbl>
    <w:p w:rsidRPr="006D329B" w:rsidR="00444FA6" w:rsidP="00444FA6" w:rsidRDefault="00444FA6" w14:paraId="39B7D06A" w14:textId="77777777">
      <w:pPr>
        <w:rPr>
          <w:sz w:val="24"/>
          <w:szCs w:val="24"/>
        </w:rPr>
      </w:pPr>
      <w:r w:rsidRPr="006D329B">
        <w:rPr>
          <w:sz w:val="24"/>
          <w:szCs w:val="24"/>
        </w:rPr>
        <w:t>*Note: Unduplicated count. Total number of entities that would be required to comply with this regulation.</w:t>
      </w:r>
    </w:p>
    <w:p w:rsidRPr="006D329B" w:rsidR="00444FA6" w:rsidP="00444FA6" w:rsidRDefault="00444FA6" w14:paraId="5BC33E2F" w14:textId="77777777">
      <w:pPr>
        <w:ind w:left="180"/>
        <w:rPr>
          <w:b/>
          <w:sz w:val="24"/>
          <w:szCs w:val="24"/>
        </w:rPr>
      </w:pPr>
    </w:p>
    <w:p w:rsidRPr="006D329B" w:rsidR="00444FA6" w:rsidP="00444FA6" w:rsidRDefault="00444FA6" w14:paraId="6C357C72" w14:textId="77777777">
      <w:pPr>
        <w:ind w:left="180"/>
        <w:rPr>
          <w:b/>
          <w:sz w:val="24"/>
          <w:szCs w:val="24"/>
        </w:rPr>
      </w:pPr>
      <w:r w:rsidRPr="006D329B">
        <w:rPr>
          <w:b/>
          <w:sz w:val="24"/>
          <w:szCs w:val="24"/>
        </w:rPr>
        <w:t xml:space="preserve">A.  Disclosures </w:t>
      </w:r>
    </w:p>
    <w:p w:rsidRPr="006D329B" w:rsidR="00444FA6" w:rsidP="00444FA6" w:rsidRDefault="00444FA6" w14:paraId="5AF4066B" w14:textId="77777777">
      <w:pPr>
        <w:ind w:left="180"/>
        <w:rPr>
          <w:sz w:val="24"/>
          <w:szCs w:val="24"/>
        </w:rPr>
      </w:pPr>
    </w:p>
    <w:p w:rsidRPr="006D329B" w:rsidR="00444FA6" w:rsidP="00444FA6" w:rsidRDefault="00444FA6" w14:paraId="5EA70B04" w14:textId="0CE1263F">
      <w:pPr>
        <w:rPr>
          <w:sz w:val="24"/>
          <w:szCs w:val="24"/>
        </w:rPr>
      </w:pPr>
      <w:r w:rsidRPr="006D329B">
        <w:rPr>
          <w:sz w:val="24"/>
          <w:szCs w:val="24"/>
        </w:rPr>
        <w:t xml:space="preserve">The rule </w:t>
      </w:r>
      <w:r w:rsidR="00393A8A">
        <w:rPr>
          <w:sz w:val="24"/>
          <w:szCs w:val="24"/>
        </w:rPr>
        <w:t>(12 CFR</w:t>
      </w:r>
      <w:r w:rsidR="00633400">
        <w:rPr>
          <w:sz w:val="24"/>
          <w:szCs w:val="24"/>
        </w:rPr>
        <w:t xml:space="preserve"> part</w:t>
      </w:r>
      <w:r w:rsidR="00393A8A">
        <w:rPr>
          <w:sz w:val="24"/>
          <w:szCs w:val="24"/>
        </w:rPr>
        <w:t xml:space="preserve"> 1041) </w:t>
      </w:r>
      <w:r w:rsidRPr="006D329B">
        <w:rPr>
          <w:sz w:val="24"/>
          <w:szCs w:val="24"/>
        </w:rPr>
        <w:t>requires notices related to lenders’ attempts to obtain payments on covered loans by initiating withdrawals from borrowers’ deposit accounts or prepaid card accounts</w:t>
      </w:r>
      <w:r>
        <w:rPr>
          <w:sz w:val="24"/>
          <w:szCs w:val="24"/>
        </w:rPr>
        <w:t>.</w:t>
      </w:r>
      <w:r w:rsidRPr="006D329B">
        <w:rPr>
          <w:sz w:val="24"/>
          <w:szCs w:val="24"/>
        </w:rPr>
        <w:t xml:space="preserve"> </w:t>
      </w:r>
      <w:r w:rsidR="009A1E40">
        <w:rPr>
          <w:sz w:val="24"/>
          <w:szCs w:val="24"/>
        </w:rPr>
        <w:t xml:space="preserve"> </w:t>
      </w:r>
      <w:r w:rsidRPr="00570626" w:rsidR="009A1E40">
        <w:rPr>
          <w:sz w:val="24"/>
          <w:szCs w:val="24"/>
        </w:rPr>
        <w:t xml:space="preserve">One notice </w:t>
      </w:r>
      <w:r w:rsidR="009A1E40">
        <w:rPr>
          <w:sz w:val="24"/>
          <w:szCs w:val="24"/>
        </w:rPr>
        <w:t xml:space="preserve">is </w:t>
      </w:r>
      <w:r w:rsidRPr="00570626" w:rsidR="009A1E40">
        <w:rPr>
          <w:sz w:val="24"/>
          <w:szCs w:val="24"/>
        </w:rPr>
        <w:t xml:space="preserve">required in advance of </w:t>
      </w:r>
      <w:r w:rsidR="009A1E40">
        <w:rPr>
          <w:sz w:val="24"/>
          <w:szCs w:val="24"/>
        </w:rPr>
        <w:t>the lender’s first payment attempt, and another must be provided before</w:t>
      </w:r>
      <w:r w:rsidRPr="00570626" w:rsidR="009A1E40">
        <w:rPr>
          <w:sz w:val="24"/>
          <w:szCs w:val="24"/>
        </w:rPr>
        <w:t xml:space="preserve"> </w:t>
      </w:r>
      <w:r w:rsidR="009A1E40">
        <w:rPr>
          <w:sz w:val="24"/>
          <w:szCs w:val="24"/>
        </w:rPr>
        <w:t xml:space="preserve">attempting </w:t>
      </w:r>
      <w:r w:rsidRPr="00570626" w:rsidR="009A1E40">
        <w:rPr>
          <w:sz w:val="24"/>
          <w:szCs w:val="24"/>
        </w:rPr>
        <w:t>a</w:t>
      </w:r>
      <w:r w:rsidR="009A1E40">
        <w:rPr>
          <w:sz w:val="24"/>
          <w:szCs w:val="24"/>
        </w:rPr>
        <w:t>n unusual</w:t>
      </w:r>
      <w:r w:rsidRPr="00570626" w:rsidR="009A1E40">
        <w:rPr>
          <w:sz w:val="24"/>
          <w:szCs w:val="24"/>
        </w:rPr>
        <w:t xml:space="preserve"> payment</w:t>
      </w:r>
      <w:r w:rsidR="009A1E40">
        <w:rPr>
          <w:sz w:val="24"/>
          <w:szCs w:val="24"/>
        </w:rPr>
        <w:t xml:space="preserve"> withdrawal.  The other</w:t>
      </w:r>
      <w:r w:rsidRPr="00570626" w:rsidR="009A1E40">
        <w:rPr>
          <w:sz w:val="24"/>
          <w:szCs w:val="24"/>
        </w:rPr>
        <w:t xml:space="preserve"> disclosure </w:t>
      </w:r>
      <w:r w:rsidR="009A1E40">
        <w:rPr>
          <w:sz w:val="24"/>
          <w:szCs w:val="24"/>
        </w:rPr>
        <w:t xml:space="preserve">is </w:t>
      </w:r>
      <w:r w:rsidRPr="00570626" w:rsidR="009A1E40">
        <w:rPr>
          <w:sz w:val="24"/>
          <w:szCs w:val="24"/>
        </w:rPr>
        <w:t xml:space="preserve">required if a lender were no longer permitted to attempt to collect payment directly from a borrower’s account because prior </w:t>
      </w:r>
      <w:r w:rsidR="009A1E40">
        <w:rPr>
          <w:sz w:val="24"/>
          <w:szCs w:val="24"/>
        </w:rPr>
        <w:t xml:space="preserve">consecutive </w:t>
      </w:r>
      <w:r w:rsidRPr="00570626" w:rsidR="009A1E40">
        <w:rPr>
          <w:sz w:val="24"/>
          <w:szCs w:val="24"/>
        </w:rPr>
        <w:t>payment attempts had failed due to non-sufficient funds</w:t>
      </w:r>
      <w:r w:rsidR="009A1E40">
        <w:rPr>
          <w:sz w:val="24"/>
          <w:szCs w:val="24"/>
        </w:rPr>
        <w:t xml:space="preserve">.  </w:t>
      </w:r>
    </w:p>
    <w:p w:rsidRPr="006D329B" w:rsidR="00444FA6" w:rsidP="00444FA6" w:rsidRDefault="00444FA6" w14:paraId="495E719E" w14:textId="77777777">
      <w:pPr>
        <w:rPr>
          <w:sz w:val="24"/>
          <w:szCs w:val="24"/>
        </w:rPr>
      </w:pPr>
    </w:p>
    <w:p w:rsidRPr="006D329B" w:rsidR="00444FA6" w:rsidP="00444FA6" w:rsidRDefault="00444FA6" w14:paraId="47399A15" w14:textId="77777777">
      <w:pPr>
        <w:rPr>
          <w:rStyle w:val="CommentReference"/>
          <w:rFonts w:eastAsia="Calibri"/>
          <w:sz w:val="24"/>
          <w:szCs w:val="24"/>
        </w:rPr>
      </w:pPr>
      <w:r w:rsidRPr="006D329B">
        <w:rPr>
          <w:sz w:val="24"/>
          <w:szCs w:val="24"/>
        </w:rPr>
        <w:t xml:space="preserve">The Bureau believes that all lenders originating covered loans would incur some burden due to the disclosure requirements with the exception of lenders making vehicle title loans. The </w:t>
      </w:r>
      <w:r w:rsidRPr="006D329B">
        <w:rPr>
          <w:sz w:val="24"/>
          <w:szCs w:val="24"/>
        </w:rPr>
        <w:lastRenderedPageBreak/>
        <w:t xml:space="preserve">disclosures are required when lenders obtain and use the ability to initiate withdrawals from consumers’ accounts for payment on a covered loan.  Vehicle title lenders do not typically obtain and use the ability to initiate withdrawals from consumers’ accounts.  Thus, when calculating the estimated burden of the notices on respondents, specifically for non-depositories, vehicle title lenders are excluded.  </w:t>
      </w:r>
    </w:p>
    <w:p w:rsidRPr="006D329B" w:rsidR="00444FA6" w:rsidP="00444FA6" w:rsidRDefault="00444FA6" w14:paraId="07D8EFC0" w14:textId="77777777">
      <w:pPr>
        <w:tabs>
          <w:tab w:val="left" w:pos="3532"/>
        </w:tabs>
        <w:rPr>
          <w:rStyle w:val="CommentReference"/>
          <w:rFonts w:eastAsia="Calibri"/>
          <w:sz w:val="24"/>
          <w:szCs w:val="24"/>
        </w:rPr>
      </w:pPr>
      <w:r w:rsidRPr="006D329B">
        <w:rPr>
          <w:rStyle w:val="CommentReference"/>
          <w:rFonts w:eastAsia="Calibri"/>
          <w:sz w:val="24"/>
          <w:szCs w:val="24"/>
        </w:rPr>
        <w:tab/>
      </w:r>
    </w:p>
    <w:p w:rsidRPr="006D329B" w:rsidR="00444FA6" w:rsidP="00444FA6" w:rsidRDefault="00444FA6" w14:paraId="28723D3E" w14:textId="77777777">
      <w:pPr>
        <w:rPr>
          <w:sz w:val="24"/>
          <w:szCs w:val="24"/>
        </w:rPr>
      </w:pPr>
      <w:r w:rsidRPr="006D329B">
        <w:rPr>
          <w:sz w:val="24"/>
          <w:szCs w:val="24"/>
        </w:rPr>
        <w:t xml:space="preserve">Under the rule, it would be the lender’s responsibility to deliver each of the disclosures, although an affiliate or service provider may create and deliver the notices on the lender’s behalf.  </w:t>
      </w:r>
    </w:p>
    <w:p w:rsidR="004965BE" w:rsidP="004965BE" w:rsidRDefault="004965BE" w14:paraId="49E5F615" w14:textId="77777777">
      <w:pPr>
        <w:rPr>
          <w:sz w:val="24"/>
          <w:szCs w:val="24"/>
        </w:rPr>
      </w:pPr>
    </w:p>
    <w:p w:rsidR="004965BE" w:rsidP="004965BE" w:rsidRDefault="004965BE" w14:paraId="5F956EC5" w14:textId="161E4DF6">
      <w:pPr>
        <w:rPr>
          <w:sz w:val="24"/>
          <w:szCs w:val="24"/>
        </w:rPr>
      </w:pPr>
      <w:r w:rsidRPr="00570626">
        <w:rPr>
          <w:sz w:val="24"/>
          <w:szCs w:val="24"/>
        </w:rPr>
        <w:t xml:space="preserve">The Bureau believes that all lenders that would be affected by the new disclosure requirements have some disclosure system </w:t>
      </w:r>
      <w:r>
        <w:rPr>
          <w:sz w:val="24"/>
          <w:szCs w:val="24"/>
        </w:rPr>
        <w:t xml:space="preserve">already </w:t>
      </w:r>
      <w:r w:rsidRPr="00570626">
        <w:rPr>
          <w:sz w:val="24"/>
          <w:szCs w:val="24"/>
        </w:rPr>
        <w:t xml:space="preserve">in place to comply with existing </w:t>
      </w:r>
      <w:r>
        <w:rPr>
          <w:sz w:val="24"/>
          <w:szCs w:val="24"/>
        </w:rPr>
        <w:t>F</w:t>
      </w:r>
      <w:r w:rsidRPr="00834090">
        <w:rPr>
          <w:sz w:val="24"/>
          <w:szCs w:val="24"/>
        </w:rPr>
        <w:t xml:space="preserve">ederal and </w:t>
      </w:r>
      <w:r>
        <w:rPr>
          <w:sz w:val="24"/>
          <w:szCs w:val="24"/>
        </w:rPr>
        <w:t>S</w:t>
      </w:r>
      <w:r w:rsidRPr="00834090">
        <w:rPr>
          <w:sz w:val="24"/>
          <w:szCs w:val="24"/>
        </w:rPr>
        <w:t xml:space="preserve">tate law </w:t>
      </w:r>
      <w:r w:rsidRPr="00570626">
        <w:rPr>
          <w:sz w:val="24"/>
          <w:szCs w:val="24"/>
        </w:rPr>
        <w:t>disclosure requirements, such as those imposed under Regulation Z, 12 CFR part 1026 and Regulation E, 12 CFR part 1005</w:t>
      </w:r>
      <w:r>
        <w:rPr>
          <w:sz w:val="24"/>
          <w:szCs w:val="24"/>
        </w:rPr>
        <w:t xml:space="preserve">.  </w:t>
      </w:r>
      <w:r w:rsidRPr="00570626">
        <w:rPr>
          <w:sz w:val="24"/>
          <w:szCs w:val="24"/>
        </w:rPr>
        <w:t>Lenders enter data directly into the disclosure system, or the system automatically collects data from the lenders’ loan origination system</w:t>
      </w:r>
      <w:r>
        <w:rPr>
          <w:sz w:val="24"/>
          <w:szCs w:val="24"/>
        </w:rPr>
        <w:t xml:space="preserve">.  </w:t>
      </w:r>
      <w:r w:rsidRPr="00834090">
        <w:rPr>
          <w:sz w:val="24"/>
          <w:szCs w:val="24"/>
        </w:rPr>
        <w:t>For this analysi</w:t>
      </w:r>
      <w:r>
        <w:rPr>
          <w:sz w:val="24"/>
          <w:szCs w:val="24"/>
        </w:rPr>
        <w:t>s, the Bureau assumes that most</w:t>
      </w:r>
      <w:r w:rsidRPr="00834090">
        <w:rPr>
          <w:sz w:val="24"/>
          <w:szCs w:val="24"/>
        </w:rPr>
        <w:t xml:space="preserve"> lenders </w:t>
      </w:r>
      <w:r>
        <w:rPr>
          <w:sz w:val="24"/>
          <w:szCs w:val="24"/>
        </w:rPr>
        <w:t xml:space="preserve">would </w:t>
      </w:r>
      <w:r w:rsidRPr="00834090">
        <w:rPr>
          <w:sz w:val="24"/>
          <w:szCs w:val="24"/>
        </w:rPr>
        <w:t>use the services of a vendor to print and/or deliver disclosures.</w:t>
      </w:r>
      <w:r>
        <w:rPr>
          <w:rStyle w:val="FootnoteReference"/>
          <w:sz w:val="24"/>
          <w:szCs w:val="24"/>
        </w:rPr>
        <w:footnoteReference w:id="8"/>
      </w:r>
      <w:r w:rsidRPr="00834090">
        <w:rPr>
          <w:sz w:val="24"/>
          <w:szCs w:val="24"/>
        </w:rPr>
        <w:t xml:space="preserve">  </w:t>
      </w:r>
      <w:r w:rsidRPr="00570626">
        <w:rPr>
          <w:sz w:val="24"/>
          <w:szCs w:val="24"/>
        </w:rPr>
        <w:t>For disclosures provided via mail, email, or text message, the disclosure system forwards to a vendor, in electronic form, the information necessary to prepare the disclosures, and the vendor then prepares and delivers the disclosures</w:t>
      </w:r>
      <w:r>
        <w:rPr>
          <w:sz w:val="24"/>
          <w:szCs w:val="24"/>
        </w:rPr>
        <w:t xml:space="preserve">.  </w:t>
      </w:r>
      <w:r w:rsidRPr="00570626">
        <w:rPr>
          <w:sz w:val="24"/>
          <w:szCs w:val="24"/>
        </w:rPr>
        <w:t>For disclosures provided in person, the disclosure system produces a disclosure</w:t>
      </w:r>
      <w:r>
        <w:rPr>
          <w:sz w:val="24"/>
          <w:szCs w:val="24"/>
        </w:rPr>
        <w:t>,</w:t>
      </w:r>
      <w:r w:rsidRPr="00570626">
        <w:rPr>
          <w:sz w:val="24"/>
          <w:szCs w:val="24"/>
        </w:rPr>
        <w:t xml:space="preserve"> which the lender then provides to the borrower</w:t>
      </w:r>
      <w:r>
        <w:rPr>
          <w:sz w:val="24"/>
          <w:szCs w:val="24"/>
        </w:rPr>
        <w:t xml:space="preserve">.  </w:t>
      </w:r>
    </w:p>
    <w:p w:rsidR="004965BE" w:rsidP="004965BE" w:rsidRDefault="004965BE" w14:paraId="02C752B6" w14:textId="77777777">
      <w:pPr>
        <w:rPr>
          <w:sz w:val="24"/>
          <w:szCs w:val="24"/>
        </w:rPr>
      </w:pPr>
    </w:p>
    <w:p w:rsidR="00FF1663" w:rsidP="00FF1663" w:rsidRDefault="004965BE" w14:paraId="44AAAAF5" w14:textId="0E5F7411">
      <w:pPr>
        <w:rPr>
          <w:sz w:val="24"/>
          <w:szCs w:val="24"/>
        </w:rPr>
      </w:pPr>
      <w:r w:rsidRPr="00570626">
        <w:rPr>
          <w:sz w:val="24"/>
          <w:szCs w:val="24"/>
        </w:rPr>
        <w:t xml:space="preserve">Respondents would incur a one-time burden to </w:t>
      </w:r>
      <w:r>
        <w:rPr>
          <w:sz w:val="24"/>
          <w:szCs w:val="24"/>
        </w:rPr>
        <w:t>modify</w:t>
      </w:r>
      <w:r w:rsidRPr="00570626">
        <w:rPr>
          <w:sz w:val="24"/>
          <w:szCs w:val="24"/>
        </w:rPr>
        <w:t xml:space="preserve"> their </w:t>
      </w:r>
      <w:r>
        <w:rPr>
          <w:sz w:val="24"/>
          <w:szCs w:val="24"/>
        </w:rPr>
        <w:t xml:space="preserve">existing </w:t>
      </w:r>
      <w:r w:rsidRPr="00570626">
        <w:rPr>
          <w:sz w:val="24"/>
          <w:szCs w:val="24"/>
        </w:rPr>
        <w:t>disclosure systems to comply with new disclosure requirements</w:t>
      </w:r>
      <w:r>
        <w:rPr>
          <w:sz w:val="24"/>
          <w:szCs w:val="24"/>
        </w:rPr>
        <w:t xml:space="preserve">.  </w:t>
      </w:r>
      <w:r w:rsidRPr="00570626">
        <w:rPr>
          <w:sz w:val="24"/>
          <w:szCs w:val="24"/>
        </w:rPr>
        <w:t xml:space="preserve">Respondents would need to </w:t>
      </w:r>
      <w:r>
        <w:rPr>
          <w:sz w:val="24"/>
          <w:szCs w:val="24"/>
        </w:rPr>
        <w:t>modify</w:t>
      </w:r>
      <w:r w:rsidRPr="00570626">
        <w:rPr>
          <w:sz w:val="24"/>
          <w:szCs w:val="24"/>
        </w:rPr>
        <w:t xml:space="preserve"> their disclosure systems to compile necessary loan information to send to the vendors that would produce and deliver the disclosures relating to payments</w:t>
      </w:r>
      <w:r>
        <w:rPr>
          <w:sz w:val="24"/>
          <w:szCs w:val="24"/>
        </w:rPr>
        <w:t xml:space="preserve">. </w:t>
      </w:r>
      <w:r w:rsidRPr="00FF1663" w:rsidR="00FF1663">
        <w:rPr>
          <w:sz w:val="24"/>
          <w:szCs w:val="24"/>
        </w:rPr>
        <w:t>Lenders are categorized by those who have their own internal disclosure systems and those that use Entity systems.  For lenders with internal disclosure and Entity systems respectively, the Bureau estimates one</w:t>
      </w:r>
      <w:r w:rsidR="00FF1663">
        <w:rPr>
          <w:sz w:val="24"/>
          <w:szCs w:val="24"/>
        </w:rPr>
        <w:t>-</w:t>
      </w:r>
      <w:r w:rsidRPr="00FF1663" w:rsidR="00FF1663">
        <w:rPr>
          <w:sz w:val="24"/>
          <w:szCs w:val="24"/>
        </w:rPr>
        <w:t>time burden costs of $15,455,725 and $1,351,167.  Lenders would also have one</w:t>
      </w:r>
      <w:r w:rsidR="00FF1663">
        <w:rPr>
          <w:sz w:val="24"/>
          <w:szCs w:val="24"/>
        </w:rPr>
        <w:t>-</w:t>
      </w:r>
      <w:r w:rsidRPr="00FF1663" w:rsidR="00FF1663">
        <w:rPr>
          <w:sz w:val="24"/>
          <w:szCs w:val="24"/>
        </w:rPr>
        <w:t>time burden costs for software seat licenses and staff training, which the Bureau estimates at $2,300,505 and $4,473,253 respectively.</w:t>
      </w:r>
    </w:p>
    <w:p w:rsidRPr="006D329B" w:rsidR="00444FA6" w:rsidP="00444FA6" w:rsidRDefault="00444FA6" w14:paraId="41A4389C" w14:textId="1CC3EC36">
      <w:pPr>
        <w:rPr>
          <w:sz w:val="24"/>
          <w:szCs w:val="24"/>
        </w:rPr>
      </w:pPr>
    </w:p>
    <w:p w:rsidRPr="006D329B" w:rsidR="00444FA6" w:rsidP="00444FA6" w:rsidRDefault="00444FA6" w14:paraId="541C7E48" w14:textId="77777777">
      <w:pPr>
        <w:rPr>
          <w:sz w:val="24"/>
          <w:szCs w:val="24"/>
        </w:rPr>
      </w:pPr>
    </w:p>
    <w:p w:rsidRPr="006D329B" w:rsidR="00444FA6" w:rsidP="00444FA6" w:rsidRDefault="00444FA6" w14:paraId="6425602E" w14:textId="193563AA">
      <w:pPr>
        <w:ind w:left="540" w:firstLine="180"/>
        <w:rPr>
          <w:sz w:val="24"/>
          <w:szCs w:val="24"/>
        </w:rPr>
      </w:pPr>
      <w:r>
        <w:rPr>
          <w:sz w:val="24"/>
          <w:szCs w:val="24"/>
        </w:rPr>
        <w:t>i</w:t>
      </w:r>
      <w:r w:rsidRPr="006D329B">
        <w:rPr>
          <w:sz w:val="24"/>
          <w:szCs w:val="24"/>
        </w:rPr>
        <w:t xml:space="preserve">. </w:t>
      </w:r>
      <w:r w:rsidR="00A760E1">
        <w:rPr>
          <w:sz w:val="24"/>
          <w:szCs w:val="24"/>
        </w:rPr>
        <w:t>Upcoming Payment</w:t>
      </w:r>
      <w:r w:rsidR="00B738B2">
        <w:rPr>
          <w:sz w:val="24"/>
          <w:szCs w:val="24"/>
        </w:rPr>
        <w:t xml:space="preserve"> Attempt</w:t>
      </w:r>
      <w:r w:rsidR="00AA5E66">
        <w:rPr>
          <w:sz w:val="24"/>
          <w:szCs w:val="24"/>
        </w:rPr>
        <w:t xml:space="preserve"> and </w:t>
      </w:r>
      <w:r w:rsidRPr="006D329B">
        <w:rPr>
          <w:sz w:val="24"/>
          <w:szCs w:val="24"/>
        </w:rPr>
        <w:t xml:space="preserve">Unusual Payment </w:t>
      </w:r>
      <w:r w:rsidR="00AA5E66">
        <w:rPr>
          <w:sz w:val="24"/>
          <w:szCs w:val="24"/>
        </w:rPr>
        <w:t xml:space="preserve">Attempt </w:t>
      </w:r>
      <w:r w:rsidRPr="006D329B">
        <w:rPr>
          <w:sz w:val="24"/>
          <w:szCs w:val="24"/>
        </w:rPr>
        <w:t>Disclosure</w:t>
      </w:r>
      <w:r w:rsidR="00AA5E66">
        <w:rPr>
          <w:sz w:val="24"/>
          <w:szCs w:val="24"/>
        </w:rPr>
        <w:t>s</w:t>
      </w:r>
      <w:r w:rsidRPr="006D329B">
        <w:rPr>
          <w:sz w:val="24"/>
          <w:szCs w:val="24"/>
        </w:rPr>
        <w:t xml:space="preserve"> </w:t>
      </w:r>
    </w:p>
    <w:p w:rsidRPr="006D329B" w:rsidR="00444FA6" w:rsidP="00444FA6" w:rsidRDefault="00444FA6" w14:paraId="08E79E41" w14:textId="77777777">
      <w:pPr>
        <w:rPr>
          <w:sz w:val="24"/>
          <w:szCs w:val="24"/>
        </w:rPr>
      </w:pPr>
    </w:p>
    <w:p w:rsidR="00591962" w:rsidP="00F210C2" w:rsidRDefault="00444FA6" w14:paraId="21E99D97" w14:textId="77777777">
      <w:pPr>
        <w:rPr>
          <w:sz w:val="24"/>
          <w:szCs w:val="24"/>
        </w:rPr>
      </w:pPr>
      <w:r w:rsidRPr="006D329B">
        <w:rPr>
          <w:sz w:val="24"/>
          <w:szCs w:val="24"/>
        </w:rPr>
        <w:t xml:space="preserve">For all covered loan payments, other than for loans made under one of the conditional exemptions, where lenders obtain and use the ability to initiate withdrawals from consumers’ accounts for loan payments, the rule would require payment disclosures, which vary depending on the nature of the payment request.  </w:t>
      </w:r>
    </w:p>
    <w:p w:rsidR="00591962" w:rsidP="00F210C2" w:rsidRDefault="00591962" w14:paraId="7670C15C" w14:textId="77777777">
      <w:pPr>
        <w:rPr>
          <w:sz w:val="24"/>
          <w:szCs w:val="24"/>
        </w:rPr>
      </w:pPr>
    </w:p>
    <w:p w:rsidR="005824A1" w:rsidP="00F210C2" w:rsidRDefault="005824A1" w14:paraId="281BF446" w14:textId="0BB5CA94">
      <w:pPr>
        <w:rPr>
          <w:sz w:val="24"/>
          <w:szCs w:val="24"/>
        </w:rPr>
      </w:pPr>
      <w:r>
        <w:rPr>
          <w:sz w:val="24"/>
          <w:szCs w:val="24"/>
        </w:rPr>
        <w:t>A</w:t>
      </w:r>
      <w:r w:rsidR="00F210C2">
        <w:rPr>
          <w:sz w:val="24"/>
          <w:szCs w:val="24"/>
        </w:rPr>
        <w:t xml:space="preserve"> </w:t>
      </w:r>
      <w:r w:rsidR="007730D2">
        <w:rPr>
          <w:sz w:val="24"/>
          <w:szCs w:val="24"/>
        </w:rPr>
        <w:t>respondent (</w:t>
      </w:r>
      <w:r w:rsidR="00F210C2">
        <w:rPr>
          <w:sz w:val="24"/>
          <w:szCs w:val="24"/>
        </w:rPr>
        <w:t>lender</w:t>
      </w:r>
      <w:r w:rsidR="007730D2">
        <w:rPr>
          <w:sz w:val="24"/>
          <w:szCs w:val="24"/>
        </w:rPr>
        <w:t>)</w:t>
      </w:r>
      <w:r w:rsidR="00F210C2">
        <w:rPr>
          <w:sz w:val="24"/>
          <w:szCs w:val="24"/>
        </w:rPr>
        <w:t xml:space="preserve"> must provide a consumer with a first payment withdrawal notice before the lender initiates the first payment withdrawal from the consumer’s account in connection with </w:t>
      </w:r>
      <w:r w:rsidR="008102EB">
        <w:rPr>
          <w:sz w:val="24"/>
          <w:szCs w:val="24"/>
        </w:rPr>
        <w:lastRenderedPageBreak/>
        <w:t>a covered</w:t>
      </w:r>
      <w:r w:rsidR="00F210C2">
        <w:rPr>
          <w:sz w:val="24"/>
          <w:szCs w:val="24"/>
        </w:rPr>
        <w:t xml:space="preserve"> loan.  The </w:t>
      </w:r>
      <w:r w:rsidR="0056724E">
        <w:rPr>
          <w:sz w:val="24"/>
          <w:szCs w:val="24"/>
        </w:rPr>
        <w:t>respondent</w:t>
      </w:r>
      <w:r w:rsidR="00F210C2">
        <w:rPr>
          <w:sz w:val="24"/>
          <w:szCs w:val="24"/>
        </w:rPr>
        <w:t xml:space="preserve"> has flexibility to provide the first payment withdrawal notice at the time of loan origination or at a later time closer to the </w:t>
      </w:r>
      <w:r w:rsidR="00EF43AA">
        <w:rPr>
          <w:sz w:val="24"/>
          <w:szCs w:val="24"/>
        </w:rPr>
        <w:t xml:space="preserve">first payment </w:t>
      </w:r>
      <w:r w:rsidR="00F210C2">
        <w:rPr>
          <w:sz w:val="24"/>
          <w:szCs w:val="24"/>
        </w:rPr>
        <w:t>withdrawal date.</w:t>
      </w:r>
    </w:p>
    <w:p w:rsidR="00F210C2" w:rsidP="00F210C2" w:rsidRDefault="00F210C2" w14:paraId="11DD60FC" w14:textId="74A2E444">
      <w:pPr>
        <w:rPr>
          <w:sz w:val="24"/>
          <w:szCs w:val="24"/>
        </w:rPr>
      </w:pPr>
      <w:r>
        <w:rPr>
          <w:sz w:val="24"/>
          <w:szCs w:val="24"/>
        </w:rPr>
        <w:t xml:space="preserve">  </w:t>
      </w:r>
    </w:p>
    <w:p w:rsidR="007C2989" w:rsidP="00444FA6" w:rsidRDefault="00444FA6" w14:paraId="523ED1FF" w14:textId="77777777">
      <w:pPr>
        <w:rPr>
          <w:sz w:val="24"/>
          <w:szCs w:val="24"/>
        </w:rPr>
      </w:pPr>
      <w:r w:rsidRPr="006D329B">
        <w:rPr>
          <w:sz w:val="24"/>
          <w:szCs w:val="24"/>
        </w:rPr>
        <w:t xml:space="preserve">If a respondent is attempting to withdraw an unusual payment from the borrower’s account, such as a payment that is being withdrawn on a day different from what was originally scheduled or a payment for a higher amount than was originally provided in the payment schedule, the payment notice will provide the borrower with that information as well.  </w:t>
      </w:r>
    </w:p>
    <w:p w:rsidR="007C2989" w:rsidP="00444FA6" w:rsidRDefault="007C2989" w14:paraId="75518FFA" w14:textId="77777777">
      <w:pPr>
        <w:rPr>
          <w:sz w:val="24"/>
          <w:szCs w:val="24"/>
        </w:rPr>
      </w:pPr>
    </w:p>
    <w:p w:rsidRPr="006D329B" w:rsidR="00444FA6" w:rsidP="00444FA6" w:rsidRDefault="00444FA6" w14:paraId="38AED96A" w14:textId="4F0B087D">
      <w:pPr>
        <w:rPr>
          <w:i/>
          <w:iCs/>
          <w:color w:val="1F497D"/>
          <w:sz w:val="24"/>
          <w:szCs w:val="24"/>
        </w:rPr>
      </w:pPr>
      <w:r w:rsidRPr="006D329B">
        <w:rPr>
          <w:sz w:val="24"/>
          <w:szCs w:val="24"/>
        </w:rPr>
        <w:t>Using information from industry and data provided to the Bureau by lenders, the Bureau has estimated the total number of loans that would be covered by the rule.  Additionally, the Bureau has used data from several lenders to calculate the average number of payments for each of the products that would be covered by the rule.  The Bureau believes that 4 percent of the payment requests would be subject to the unusual payment notice.</w:t>
      </w:r>
      <w:r w:rsidRPr="006D329B">
        <w:rPr>
          <w:rStyle w:val="FootnoteReference"/>
          <w:sz w:val="24"/>
          <w:szCs w:val="24"/>
        </w:rPr>
        <w:footnoteReference w:id="9"/>
      </w:r>
    </w:p>
    <w:p w:rsidRPr="006D329B" w:rsidR="00444FA6" w:rsidP="00444FA6" w:rsidRDefault="00444FA6" w14:paraId="26D77B05" w14:textId="77777777">
      <w:pPr>
        <w:rPr>
          <w:sz w:val="24"/>
          <w:szCs w:val="24"/>
        </w:rPr>
      </w:pPr>
      <w:r w:rsidRPr="006D329B">
        <w:rPr>
          <w:sz w:val="24"/>
          <w:szCs w:val="24"/>
        </w:rPr>
        <w:t xml:space="preserve"> </w:t>
      </w:r>
    </w:p>
    <w:p w:rsidRPr="006D329B" w:rsidR="00444FA6" w:rsidP="00444FA6" w:rsidRDefault="00444FA6" w14:paraId="33973B8B" w14:textId="77777777">
      <w:pPr>
        <w:rPr>
          <w:sz w:val="24"/>
          <w:szCs w:val="24"/>
        </w:rPr>
      </w:pPr>
      <w:r w:rsidRPr="006D329B">
        <w:rPr>
          <w:sz w:val="24"/>
          <w:szCs w:val="24"/>
        </w:rPr>
        <w:t xml:space="preserve">The Bureau estimates there would be no labor burden associated with these </w:t>
      </w:r>
      <w:proofErr w:type="gramStart"/>
      <w:r w:rsidRPr="006D329B">
        <w:rPr>
          <w:sz w:val="24"/>
          <w:szCs w:val="24"/>
        </w:rPr>
        <w:t>payments</w:t>
      </w:r>
      <w:proofErr w:type="gramEnd"/>
      <w:r w:rsidRPr="006D329B">
        <w:rPr>
          <w:sz w:val="24"/>
          <w:szCs w:val="24"/>
        </w:rPr>
        <w:t xml:space="preserve"> disclosures.  </w:t>
      </w:r>
    </w:p>
    <w:p w:rsidRPr="006D329B" w:rsidR="00444FA6" w:rsidP="00444FA6" w:rsidRDefault="00444FA6" w14:paraId="4BD41D56" w14:textId="77777777">
      <w:pPr>
        <w:rPr>
          <w:sz w:val="24"/>
          <w:szCs w:val="24"/>
        </w:rPr>
      </w:pPr>
    </w:p>
    <w:p w:rsidRPr="006D329B" w:rsidR="00444FA6" w:rsidP="00444FA6" w:rsidRDefault="00444FA6" w14:paraId="23763DEB" w14:textId="77777777">
      <w:pPr>
        <w:ind w:left="540" w:firstLine="180"/>
        <w:rPr>
          <w:sz w:val="24"/>
          <w:szCs w:val="24"/>
        </w:rPr>
      </w:pPr>
      <w:r>
        <w:rPr>
          <w:sz w:val="24"/>
          <w:szCs w:val="24"/>
        </w:rPr>
        <w:t>ii</w:t>
      </w:r>
      <w:r w:rsidRPr="006D329B">
        <w:rPr>
          <w:sz w:val="24"/>
          <w:szCs w:val="24"/>
        </w:rPr>
        <w:t>. Consumer Rights Disclosure</w:t>
      </w:r>
    </w:p>
    <w:p w:rsidRPr="006D329B" w:rsidR="00444FA6" w:rsidP="00444FA6" w:rsidRDefault="00444FA6" w14:paraId="0A321367" w14:textId="77777777">
      <w:pPr>
        <w:rPr>
          <w:sz w:val="24"/>
          <w:szCs w:val="24"/>
        </w:rPr>
      </w:pPr>
    </w:p>
    <w:p w:rsidRPr="006D329B" w:rsidR="00444FA6" w:rsidP="00444FA6" w:rsidRDefault="00444FA6" w14:paraId="3E1EFE48" w14:textId="07629DE4">
      <w:pPr>
        <w:rPr>
          <w:sz w:val="24"/>
          <w:szCs w:val="24"/>
        </w:rPr>
      </w:pPr>
      <w:r w:rsidRPr="006D329B">
        <w:rPr>
          <w:sz w:val="24"/>
          <w:szCs w:val="24"/>
        </w:rPr>
        <w:t xml:space="preserve">For the consumer rights disclosure, respondents would be required to provide a consumer rights notice to borrowers after a respondent has made two consecutive unsuccessful attempts to withdraw payment from a borrower’s deposit account.  This disclosure requirement would apply to all covered loans that meet the other criteria for the disclosure.  Based on industry data and Bureau analysis, the Bureau uses estimates of the number of loan payments that are made and the share of loan payments that fail twice in a row to determine the number of payments that would be subject to the consumer rights notice.  The Bureau estimates that </w:t>
      </w:r>
      <w:r w:rsidR="0005548F">
        <w:rPr>
          <w:sz w:val="24"/>
          <w:szCs w:val="24"/>
        </w:rPr>
        <w:t xml:space="preserve">lenders would be required to send the consumer rights notice for </w:t>
      </w:r>
      <w:r w:rsidRPr="006D329B">
        <w:rPr>
          <w:sz w:val="24"/>
          <w:szCs w:val="24"/>
        </w:rPr>
        <w:t>about 4 percent of payment requests</w:t>
      </w:r>
      <w:r w:rsidR="0005548F">
        <w:rPr>
          <w:sz w:val="24"/>
          <w:szCs w:val="24"/>
        </w:rPr>
        <w:t xml:space="preserve">. </w:t>
      </w:r>
      <w:r w:rsidRPr="006D329B">
        <w:rPr>
          <w:sz w:val="24"/>
          <w:szCs w:val="24"/>
        </w:rPr>
        <w:t xml:space="preserve">  </w:t>
      </w:r>
    </w:p>
    <w:p w:rsidRPr="006D329B" w:rsidR="00444FA6" w:rsidP="00444FA6" w:rsidRDefault="00444FA6" w14:paraId="460DDBE9" w14:textId="77777777">
      <w:pPr>
        <w:rPr>
          <w:sz w:val="24"/>
          <w:szCs w:val="24"/>
        </w:rPr>
      </w:pPr>
      <w:r w:rsidRPr="006D329B">
        <w:rPr>
          <w:sz w:val="24"/>
          <w:szCs w:val="24"/>
        </w:rPr>
        <w:tab/>
      </w:r>
    </w:p>
    <w:p w:rsidRPr="006D329B" w:rsidR="00444FA6" w:rsidP="00444FA6" w:rsidRDefault="00444FA6" w14:paraId="1CBA45A0" w14:textId="77777777">
      <w:pPr>
        <w:rPr>
          <w:sz w:val="24"/>
          <w:szCs w:val="24"/>
        </w:rPr>
      </w:pPr>
      <w:r w:rsidRPr="006D329B">
        <w:rPr>
          <w:sz w:val="24"/>
          <w:szCs w:val="24"/>
        </w:rPr>
        <w:t xml:space="preserve">The Bureau estimates there would be no labor burden associated with the consumer rights disclosures.  </w:t>
      </w:r>
    </w:p>
    <w:p w:rsidRPr="006D329B" w:rsidR="00444FA6" w:rsidP="00444FA6" w:rsidRDefault="00444FA6" w14:paraId="310DC5A5" w14:textId="77777777">
      <w:pPr>
        <w:rPr>
          <w:sz w:val="24"/>
          <w:szCs w:val="24"/>
        </w:rPr>
      </w:pPr>
    </w:p>
    <w:p w:rsidRPr="006D329B" w:rsidR="00444FA6" w:rsidP="00444FA6" w:rsidRDefault="00444FA6" w14:paraId="78641F75" w14:textId="77777777">
      <w:pPr>
        <w:ind w:left="180"/>
        <w:rPr>
          <w:b/>
          <w:sz w:val="24"/>
          <w:szCs w:val="24"/>
        </w:rPr>
      </w:pPr>
      <w:r w:rsidRPr="006D329B">
        <w:rPr>
          <w:b/>
          <w:sz w:val="24"/>
          <w:szCs w:val="24"/>
        </w:rPr>
        <w:t>B.  Obtaining a New and Specific Authorization</w:t>
      </w:r>
    </w:p>
    <w:p w:rsidRPr="006D329B" w:rsidR="00444FA6" w:rsidP="00444FA6" w:rsidRDefault="00444FA6" w14:paraId="3417C783" w14:textId="77777777">
      <w:pPr>
        <w:ind w:left="180"/>
        <w:rPr>
          <w:b/>
          <w:sz w:val="24"/>
          <w:szCs w:val="24"/>
        </w:rPr>
      </w:pPr>
    </w:p>
    <w:p w:rsidRPr="006D329B" w:rsidR="00444FA6" w:rsidP="00444FA6" w:rsidRDefault="00444FA6" w14:paraId="0F4DB7BF" w14:textId="77777777">
      <w:pPr>
        <w:rPr>
          <w:sz w:val="24"/>
          <w:szCs w:val="24"/>
        </w:rPr>
      </w:pPr>
      <w:r w:rsidRPr="006D329B">
        <w:rPr>
          <w:sz w:val="24"/>
          <w:szCs w:val="24"/>
        </w:rPr>
        <w:t xml:space="preserve">After a respondent has made two consecutive unsuccessful attempts to withdraw payment for a covered loan from a borrower’s account, the rule would prohibit lenders from making additional payment attempts to withdraw funds from the borrower’s account unless a new and specific authorization is obtained from the borrower to do so.  The Bureau believes that most respondents would send the request to obtain a new and specific authorization while sending the consumer rights disclosure as described in the “Disclosures” section.  </w:t>
      </w:r>
    </w:p>
    <w:p w:rsidRPr="006D329B" w:rsidR="00444FA6" w:rsidP="00444FA6" w:rsidRDefault="00444FA6" w14:paraId="338ED4FB" w14:textId="77777777">
      <w:pPr>
        <w:rPr>
          <w:sz w:val="24"/>
          <w:szCs w:val="24"/>
        </w:rPr>
      </w:pPr>
    </w:p>
    <w:p w:rsidRPr="006D329B" w:rsidR="00444FA6" w:rsidP="00444FA6" w:rsidRDefault="00444FA6" w14:paraId="098D7CAD" w14:textId="77777777">
      <w:pPr>
        <w:rPr>
          <w:sz w:val="24"/>
          <w:szCs w:val="24"/>
        </w:rPr>
      </w:pPr>
      <w:r w:rsidRPr="006D329B">
        <w:rPr>
          <w:sz w:val="24"/>
          <w:szCs w:val="24"/>
        </w:rPr>
        <w:t>As discussed in the “Disclosures” section, vehicle title lenders do not typically obtain and use the ability to initiate payment withdrawals from consumers’ accounts, and thus, such lenders are excluded when calculating the burden for obtaining a new and specific authorization to withdraw payment from a borrower’s deposit account.</w:t>
      </w:r>
    </w:p>
    <w:p w:rsidRPr="006D329B" w:rsidR="00444FA6" w:rsidP="00444FA6" w:rsidRDefault="00444FA6" w14:paraId="13F4A402" w14:textId="77777777">
      <w:pPr>
        <w:ind w:left="180"/>
        <w:rPr>
          <w:sz w:val="24"/>
          <w:szCs w:val="24"/>
        </w:rPr>
      </w:pPr>
    </w:p>
    <w:p w:rsidRPr="006D329B" w:rsidR="00444FA6" w:rsidP="00444FA6" w:rsidRDefault="00444FA6" w14:paraId="2B44AC2E" w14:textId="77777777">
      <w:pPr>
        <w:ind w:left="180"/>
        <w:rPr>
          <w:sz w:val="24"/>
          <w:szCs w:val="24"/>
        </w:rPr>
      </w:pPr>
      <w:r w:rsidRPr="006D329B">
        <w:rPr>
          <w:sz w:val="24"/>
          <w:szCs w:val="24"/>
        </w:rPr>
        <w:tab/>
        <w:t>i. One-Time Burden</w:t>
      </w:r>
    </w:p>
    <w:p w:rsidRPr="006D329B" w:rsidR="00444FA6" w:rsidP="00444FA6" w:rsidRDefault="00444FA6" w14:paraId="048E372F" w14:textId="77777777">
      <w:pPr>
        <w:ind w:left="180"/>
        <w:rPr>
          <w:sz w:val="24"/>
          <w:szCs w:val="24"/>
        </w:rPr>
      </w:pPr>
    </w:p>
    <w:p w:rsidRPr="006D329B" w:rsidR="00444FA6" w:rsidP="00444FA6" w:rsidRDefault="00444FA6" w14:paraId="5EE7AAB6" w14:textId="77777777">
      <w:pPr>
        <w:rPr>
          <w:sz w:val="24"/>
          <w:szCs w:val="24"/>
        </w:rPr>
      </w:pPr>
      <w:r w:rsidRPr="006D329B">
        <w:rPr>
          <w:sz w:val="24"/>
          <w:szCs w:val="24"/>
        </w:rPr>
        <w:t>The Bureau estimates that 25 percent of small storefront lenders and all the remaining respondents would upgrade their websites to allow for borrowers to provide authorization online.  The Bureau estimates that it would take the respondents 40 burden hours to perform these upgrades.  For depositories, the annualized one-time burden to program their systems to obtain authorization through their websites would be 24,173 burden hours, the equivalent of $1,198,259 in burden hour costs.  For non-depositories, the annualized one-time to program their systems to obtain authorization through their websites would be 15,360 labor burden hours, the equivalent of $742,594 in burden hour costs.</w:t>
      </w:r>
    </w:p>
    <w:p w:rsidRPr="006D329B" w:rsidR="00444FA6" w:rsidP="00444FA6" w:rsidRDefault="00444FA6" w14:paraId="788D017F" w14:textId="77777777">
      <w:pPr>
        <w:ind w:left="180"/>
        <w:rPr>
          <w:sz w:val="24"/>
          <w:szCs w:val="24"/>
        </w:rPr>
      </w:pPr>
    </w:p>
    <w:p w:rsidRPr="006D329B" w:rsidR="00444FA6" w:rsidP="00444FA6" w:rsidRDefault="00444FA6" w14:paraId="547F6F3B" w14:textId="77777777">
      <w:pPr>
        <w:ind w:left="720"/>
        <w:rPr>
          <w:sz w:val="24"/>
          <w:szCs w:val="24"/>
        </w:rPr>
      </w:pPr>
      <w:r w:rsidRPr="006D329B">
        <w:rPr>
          <w:sz w:val="24"/>
          <w:szCs w:val="24"/>
        </w:rPr>
        <w:t xml:space="preserve">ii. Ongoing Costs </w:t>
      </w:r>
    </w:p>
    <w:p w:rsidRPr="006D329B" w:rsidR="00444FA6" w:rsidP="00444FA6" w:rsidRDefault="00444FA6" w14:paraId="37DAFB48" w14:textId="77777777">
      <w:pPr>
        <w:ind w:left="180"/>
        <w:rPr>
          <w:sz w:val="24"/>
          <w:szCs w:val="24"/>
        </w:rPr>
      </w:pPr>
    </w:p>
    <w:p w:rsidRPr="006D329B" w:rsidR="00444FA6" w:rsidP="00444FA6" w:rsidRDefault="00444FA6" w14:paraId="66E6D29E" w14:textId="77777777">
      <w:pPr>
        <w:rPr>
          <w:sz w:val="24"/>
          <w:szCs w:val="24"/>
        </w:rPr>
      </w:pPr>
      <w:r w:rsidRPr="006D329B">
        <w:rPr>
          <w:sz w:val="24"/>
          <w:szCs w:val="24"/>
        </w:rPr>
        <w:t>When borrowers do not provide a new and specific authorization on the lender’s website, there would be labor burden to the lenders to obtain the consumer’s authorization.  When consumers reauthorize by clicking a link, the marginal cost would be zero.  When consumers reauthorize by responding to a lender’s new and specific authorization request with another email, phone call, or store visit, the cost to lenders to process the reauthorization would be two minutes.  The Bureau estimates that storefront lenders would engage with consumers for 80 percent of the authorization requests.  For lenders operating online, the Bureau estimates that lenders would engage with consumers for 50 percent of the authorization requests.  For depositories, the total annual burden to obtain a new and specific authorization would be 1,105 labor burden hours, the equivalent of $18,978 in burden hour costs.  For non-depositories, total annual burden to obtain authorization through their websites would be 94,077 labor burden hours, the equivalent of $1,480,631 in burden hour costs.</w:t>
      </w:r>
    </w:p>
    <w:p w:rsidRPr="006D329B" w:rsidR="00444FA6" w:rsidP="00444FA6" w:rsidRDefault="00444FA6" w14:paraId="402AF2F5" w14:textId="77777777">
      <w:pPr>
        <w:rPr>
          <w:sz w:val="24"/>
          <w:szCs w:val="24"/>
        </w:rPr>
      </w:pPr>
    </w:p>
    <w:p w:rsidRPr="006D329B" w:rsidR="00444FA6" w:rsidP="00444FA6" w:rsidRDefault="00444FA6" w14:paraId="4AB768A3" w14:textId="77777777">
      <w:pPr>
        <w:ind w:left="180"/>
        <w:rPr>
          <w:b/>
          <w:sz w:val="24"/>
          <w:szCs w:val="24"/>
        </w:rPr>
      </w:pPr>
      <w:r w:rsidRPr="006D329B">
        <w:rPr>
          <w:b/>
          <w:sz w:val="24"/>
          <w:szCs w:val="24"/>
        </w:rPr>
        <w:t>C. Recordkeeping Requirements</w:t>
      </w:r>
    </w:p>
    <w:p w:rsidR="00444FA6" w:rsidP="00444FA6" w:rsidRDefault="00444FA6" w14:paraId="79360190" w14:textId="77777777">
      <w:pPr>
        <w:rPr>
          <w:sz w:val="24"/>
          <w:szCs w:val="24"/>
        </w:rPr>
      </w:pPr>
    </w:p>
    <w:p w:rsidRPr="006D329B" w:rsidR="00444FA6" w:rsidP="00444FA6" w:rsidRDefault="00444FA6" w14:paraId="27E6F50A" w14:textId="59437F85">
      <w:pPr>
        <w:rPr>
          <w:b/>
          <w:sz w:val="24"/>
          <w:szCs w:val="24"/>
        </w:rPr>
      </w:pPr>
      <w:r w:rsidRPr="006D329B">
        <w:rPr>
          <w:sz w:val="24"/>
          <w:szCs w:val="24"/>
        </w:rPr>
        <w:t>Under § 1041.12 lenders would be required to retain several types of documentation related to evidence of compliance with the requirements of the rule.  The rule requires lenders to use electronic records to satisfy certain recordkeeping requirements. Section 1041.12 provides that a lender making a covered loan must develop and follow written policies and procedures that are reasonably designed to ensure compliance with the requirements of part 1041. Section 1041.12(b) provides that a lender must retain evidence of compliance with part 1041 for 36 months after the date on which a covered loan ceases to be an outstanding loan.  Section</w:t>
      </w:r>
      <w:r w:rsidR="0004366E">
        <w:rPr>
          <w:sz w:val="24"/>
          <w:szCs w:val="24"/>
        </w:rPr>
        <w:t>s</w:t>
      </w:r>
      <w:r w:rsidRPr="006D329B">
        <w:rPr>
          <w:sz w:val="24"/>
          <w:szCs w:val="24"/>
        </w:rPr>
        <w:t xml:space="preserve"> 1041.12(b)(1)</w:t>
      </w:r>
      <w:r w:rsidR="0004366E">
        <w:rPr>
          <w:sz w:val="24"/>
          <w:szCs w:val="24"/>
        </w:rPr>
        <w:t>, (4), and (5)</w:t>
      </w:r>
      <w:r w:rsidRPr="006D329B">
        <w:rPr>
          <w:sz w:val="24"/>
          <w:szCs w:val="24"/>
        </w:rPr>
        <w:t xml:space="preserve"> set forth particular requirements for retaining specific records, including</w:t>
      </w:r>
      <w:r w:rsidR="007D07DB">
        <w:rPr>
          <w:sz w:val="24"/>
          <w:szCs w:val="24"/>
        </w:rPr>
        <w:t>:</w:t>
      </w:r>
      <w:r w:rsidRPr="006D329B">
        <w:rPr>
          <w:sz w:val="24"/>
          <w:szCs w:val="24"/>
        </w:rPr>
        <w:t xml:space="preserve"> retention of the loan agreement </w:t>
      </w:r>
      <w:r w:rsidR="001A4527">
        <w:rPr>
          <w:sz w:val="24"/>
          <w:szCs w:val="24"/>
        </w:rPr>
        <w:t xml:space="preserve">for each covered loan </w:t>
      </w:r>
      <w:r w:rsidR="00DF2744">
        <w:rPr>
          <w:sz w:val="24"/>
          <w:szCs w:val="24"/>
        </w:rPr>
        <w:t>that the lender originates</w:t>
      </w:r>
      <w:r w:rsidRPr="006D329B">
        <w:rPr>
          <w:sz w:val="24"/>
          <w:szCs w:val="24"/>
        </w:rPr>
        <w:t xml:space="preserve"> (§ </w:t>
      </w:r>
      <w:r w:rsidRPr="006D329B">
        <w:rPr>
          <w:sz w:val="24"/>
          <w:szCs w:val="24"/>
        </w:rPr>
        <w:lastRenderedPageBreak/>
        <w:t>1041.12(b)(1)); retention of records relating to payment practices for covered loans (§ 1041.12(b)(4)</w:t>
      </w:r>
      <w:r w:rsidR="00E354C5">
        <w:rPr>
          <w:sz w:val="24"/>
          <w:szCs w:val="24"/>
        </w:rPr>
        <w:t>)</w:t>
      </w:r>
      <w:r w:rsidR="000A0B5E">
        <w:rPr>
          <w:sz w:val="24"/>
          <w:szCs w:val="24"/>
        </w:rPr>
        <w:t xml:space="preserve">; and </w:t>
      </w:r>
      <w:r w:rsidR="000E411D">
        <w:rPr>
          <w:sz w:val="24"/>
          <w:szCs w:val="24"/>
        </w:rPr>
        <w:t xml:space="preserve">electronic records in tabular </w:t>
      </w:r>
      <w:r w:rsidR="00C23477">
        <w:rPr>
          <w:sz w:val="24"/>
          <w:szCs w:val="24"/>
        </w:rPr>
        <w:t>format regarding payment practices for covered loans</w:t>
      </w:r>
      <w:r w:rsidR="000766B5">
        <w:rPr>
          <w:sz w:val="24"/>
          <w:szCs w:val="24"/>
        </w:rPr>
        <w:t xml:space="preserve"> </w:t>
      </w:r>
      <w:r w:rsidRPr="006D329B" w:rsidR="000766B5">
        <w:rPr>
          <w:sz w:val="24"/>
          <w:szCs w:val="24"/>
        </w:rPr>
        <w:t>(§ 1041.12(b)(</w:t>
      </w:r>
      <w:r w:rsidR="000766B5">
        <w:rPr>
          <w:sz w:val="24"/>
          <w:szCs w:val="24"/>
        </w:rPr>
        <w:t>5</w:t>
      </w:r>
      <w:r w:rsidRPr="006D329B" w:rsidR="000766B5">
        <w:rPr>
          <w:sz w:val="24"/>
          <w:szCs w:val="24"/>
        </w:rPr>
        <w:t>)</w:t>
      </w:r>
      <w:r w:rsidR="000766B5">
        <w:rPr>
          <w:sz w:val="24"/>
          <w:szCs w:val="24"/>
        </w:rPr>
        <w:t>)</w:t>
      </w:r>
      <w:r>
        <w:rPr>
          <w:sz w:val="24"/>
          <w:szCs w:val="24"/>
        </w:rPr>
        <w:t>.</w:t>
      </w:r>
    </w:p>
    <w:p w:rsidRPr="006D329B" w:rsidR="00444FA6" w:rsidP="00444FA6" w:rsidRDefault="00444FA6" w14:paraId="625340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6D329B" w:rsidR="00444FA6" w:rsidP="00444FA6" w:rsidRDefault="00444FA6" w14:paraId="2EE5D21E" w14:textId="77777777">
      <w:pPr>
        <w:pStyle w:val="CM12"/>
      </w:pPr>
      <w:r w:rsidRPr="006D329B">
        <w:rPr>
          <w:b/>
          <w:bCs/>
        </w:rPr>
        <w:t xml:space="preserve">13.  </w:t>
      </w:r>
      <w:r w:rsidRPr="006D329B">
        <w:rPr>
          <w:b/>
          <w:bCs/>
          <w:u w:val="single"/>
        </w:rPr>
        <w:t>Estimated Total Annual Cost Burden to Respondents or Recordkeepers</w:t>
      </w:r>
    </w:p>
    <w:p w:rsidRPr="006D329B" w:rsidR="00444FA6" w:rsidP="00444FA6" w:rsidRDefault="00444FA6" w14:paraId="41BAA07D" w14:textId="77777777">
      <w:pPr>
        <w:rPr>
          <w:sz w:val="24"/>
          <w:szCs w:val="24"/>
        </w:rPr>
      </w:pPr>
    </w:p>
    <w:p w:rsidRPr="006D329B" w:rsidR="00444FA6" w:rsidP="00444FA6" w:rsidRDefault="00444FA6" w14:paraId="2FABC237" w14:textId="77777777">
      <w:pPr>
        <w:rPr>
          <w:sz w:val="24"/>
          <w:szCs w:val="24"/>
        </w:rPr>
      </w:pPr>
      <w:r w:rsidRPr="006D329B">
        <w:rPr>
          <w:sz w:val="24"/>
          <w:szCs w:val="24"/>
        </w:rPr>
        <w:t xml:space="preserve">The Bureau estimates the material cost burden to respondents as a result of each of the information collections.  </w:t>
      </w:r>
    </w:p>
    <w:p w:rsidRPr="006D329B" w:rsidR="00444FA6" w:rsidP="00444FA6" w:rsidRDefault="00444FA6" w14:paraId="6B46738C" w14:textId="77777777">
      <w:pPr>
        <w:rPr>
          <w:sz w:val="24"/>
          <w:szCs w:val="24"/>
        </w:rPr>
      </w:pPr>
    </w:p>
    <w:p w:rsidRPr="006D329B" w:rsidR="00444FA6" w:rsidP="00444FA6" w:rsidRDefault="00444FA6" w14:paraId="08CBAB36" w14:textId="5FE3076F">
      <w:pPr>
        <w:rPr>
          <w:sz w:val="24"/>
          <w:szCs w:val="24"/>
        </w:rPr>
      </w:pPr>
      <w:r w:rsidRPr="006D329B">
        <w:rPr>
          <w:sz w:val="24"/>
          <w:szCs w:val="24"/>
        </w:rPr>
        <w:t xml:space="preserve">Using the Bureau’s cost burden estimation methodology, the total estimated cost burden annually for the approximately </w:t>
      </w:r>
      <w:r w:rsidRPr="006D329B">
        <w:rPr>
          <w:color w:val="000000"/>
          <w:sz w:val="24"/>
          <w:szCs w:val="24"/>
        </w:rPr>
        <w:t xml:space="preserve">9,900 </w:t>
      </w:r>
      <w:r w:rsidRPr="006D329B">
        <w:rPr>
          <w:sz w:val="24"/>
          <w:szCs w:val="24"/>
        </w:rPr>
        <w:t xml:space="preserve">institutions subject to the rule, including Bureau respondents, would be approximately </w:t>
      </w:r>
      <w:r w:rsidRPr="006D329B">
        <w:rPr>
          <w:color w:val="000000"/>
          <w:sz w:val="24"/>
          <w:szCs w:val="24"/>
        </w:rPr>
        <w:t>$11,188,035</w:t>
      </w:r>
      <w:r w:rsidRPr="006D329B">
        <w:rPr>
          <w:sz w:val="24"/>
          <w:szCs w:val="24"/>
        </w:rPr>
        <w:t xml:space="preserve">.  </w:t>
      </w:r>
      <w:r w:rsidRPr="006D329B">
        <w:rPr>
          <w:color w:val="000000"/>
          <w:sz w:val="24"/>
          <w:szCs w:val="24"/>
        </w:rPr>
        <w:t xml:space="preserve">For the Bureau institutions subject to this rule, </w:t>
      </w:r>
      <w:r w:rsidRPr="006D329B">
        <w:rPr>
          <w:sz w:val="24"/>
          <w:szCs w:val="24"/>
        </w:rPr>
        <w:t xml:space="preserve">the total estimated cost burden annually would be approximately </w:t>
      </w:r>
      <w:r w:rsidRPr="006D329B">
        <w:rPr>
          <w:color w:val="000000"/>
          <w:sz w:val="24"/>
          <w:szCs w:val="24"/>
        </w:rPr>
        <w:t xml:space="preserve">$4,698,455.  The Bureau assumes that the one-time costs to comply with requirements, such as software upgrades, includes costs to hire outside firms to assist with the implementation of the requirements. While the Bureau believes these costs to be </w:t>
      </w:r>
      <w:r w:rsidR="00AB5A98">
        <w:rPr>
          <w:color w:val="000000"/>
          <w:sz w:val="24"/>
          <w:szCs w:val="24"/>
        </w:rPr>
        <w:t>small</w:t>
      </w:r>
      <w:r w:rsidRPr="006D329B">
        <w:rPr>
          <w:color w:val="000000"/>
          <w:sz w:val="24"/>
          <w:szCs w:val="24"/>
        </w:rPr>
        <w:t>, these one-time cost estimates could potentially underestimate the true cost for some lenders.</w:t>
      </w:r>
    </w:p>
    <w:p w:rsidRPr="006D329B" w:rsidR="00444FA6" w:rsidP="00444FA6" w:rsidRDefault="00444FA6" w14:paraId="0873F9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44FA6" w:rsidP="00444FA6" w:rsidRDefault="00444FA6" w14:paraId="642752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D329B">
        <w:rPr>
          <w:b/>
          <w:sz w:val="24"/>
          <w:szCs w:val="24"/>
        </w:rPr>
        <w:t xml:space="preserve">Exhibit 2: Cost Burden Summary </w:t>
      </w:r>
      <w:r w:rsidRPr="006D329B">
        <w:rPr>
          <w:rStyle w:val="FootnoteReference"/>
          <w:b/>
          <w:sz w:val="24"/>
          <w:szCs w:val="24"/>
        </w:rPr>
        <w:footnoteReference w:id="10"/>
      </w:r>
    </w:p>
    <w:p w:rsidRPr="006D329B" w:rsidR="00444FA6" w:rsidP="00444FA6" w:rsidRDefault="00444FA6" w14:paraId="5395CB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Style w:val="TableGrid"/>
        <w:tblW w:w="0" w:type="auto"/>
        <w:tblLook w:val="04A0" w:firstRow="1" w:lastRow="0" w:firstColumn="1" w:lastColumn="0" w:noHBand="0" w:noVBand="1"/>
      </w:tblPr>
      <w:tblGrid>
        <w:gridCol w:w="3749"/>
        <w:gridCol w:w="1557"/>
        <w:gridCol w:w="1979"/>
        <w:gridCol w:w="2065"/>
      </w:tblGrid>
      <w:tr w:rsidRPr="006D329B" w:rsidR="00444FA6" w:rsidTr="00367D78" w14:paraId="58EEE1FE" w14:textId="77777777">
        <w:tc>
          <w:tcPr>
            <w:tcW w:w="3749" w:type="dxa"/>
          </w:tcPr>
          <w:p w:rsidRPr="006D329B" w:rsidR="00444FA6" w:rsidP="00367D78" w:rsidRDefault="00444FA6" w14:paraId="34BA36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D329B">
              <w:rPr>
                <w:b/>
                <w:sz w:val="24"/>
                <w:szCs w:val="24"/>
              </w:rPr>
              <w:t>Description of Costs (O&amp;M)</w:t>
            </w:r>
          </w:p>
        </w:tc>
        <w:tc>
          <w:tcPr>
            <w:tcW w:w="1557" w:type="dxa"/>
          </w:tcPr>
          <w:p w:rsidRPr="006D329B" w:rsidR="00444FA6" w:rsidP="00367D78" w:rsidRDefault="00444FA6" w14:paraId="66CE56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D329B">
              <w:rPr>
                <w:b/>
                <w:sz w:val="24"/>
                <w:szCs w:val="24"/>
              </w:rPr>
              <w:t>Per Unit Costs</w:t>
            </w:r>
          </w:p>
        </w:tc>
        <w:tc>
          <w:tcPr>
            <w:tcW w:w="1979" w:type="dxa"/>
          </w:tcPr>
          <w:p w:rsidRPr="006D329B" w:rsidR="00444FA6" w:rsidP="00367D78" w:rsidRDefault="00444FA6" w14:paraId="14C992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D329B">
              <w:rPr>
                <w:b/>
                <w:sz w:val="24"/>
                <w:szCs w:val="24"/>
              </w:rPr>
              <w:t>Quantity</w:t>
            </w:r>
          </w:p>
        </w:tc>
        <w:tc>
          <w:tcPr>
            <w:tcW w:w="2065" w:type="dxa"/>
          </w:tcPr>
          <w:p w:rsidRPr="006D329B" w:rsidR="00444FA6" w:rsidP="00367D78" w:rsidRDefault="00444FA6" w14:paraId="140683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D329B">
              <w:rPr>
                <w:b/>
                <w:sz w:val="24"/>
                <w:szCs w:val="24"/>
              </w:rPr>
              <w:t>Total Cost</w:t>
            </w:r>
          </w:p>
        </w:tc>
      </w:tr>
      <w:tr w:rsidRPr="006D329B" w:rsidR="00444FA6" w:rsidTr="00367D78" w14:paraId="66E9EBF8" w14:textId="77777777">
        <w:tc>
          <w:tcPr>
            <w:tcW w:w="3749" w:type="dxa"/>
          </w:tcPr>
          <w:p w:rsidRPr="006D329B" w:rsidR="00444FA6" w:rsidP="00367D78" w:rsidRDefault="00444FA6" w14:paraId="5F60C5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D329B">
              <w:rPr>
                <w:b/>
                <w:sz w:val="24"/>
                <w:szCs w:val="24"/>
              </w:rPr>
              <w:t>Information Collection Requirement</w:t>
            </w:r>
          </w:p>
        </w:tc>
        <w:tc>
          <w:tcPr>
            <w:tcW w:w="1557" w:type="dxa"/>
          </w:tcPr>
          <w:p w:rsidRPr="006D329B" w:rsidR="00444FA6" w:rsidP="00367D78" w:rsidRDefault="00444FA6" w14:paraId="1E75A1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979" w:type="dxa"/>
          </w:tcPr>
          <w:p w:rsidRPr="006D329B" w:rsidR="00444FA6" w:rsidP="00367D78" w:rsidRDefault="00444FA6" w14:paraId="21C09F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2065" w:type="dxa"/>
          </w:tcPr>
          <w:p w:rsidRPr="006D329B" w:rsidR="00444FA6" w:rsidP="00367D78" w:rsidRDefault="00444FA6" w14:paraId="75C378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Pr="006D329B" w:rsidR="00444FA6" w:rsidTr="00367D78" w14:paraId="36C1B218" w14:textId="77777777">
        <w:tc>
          <w:tcPr>
            <w:tcW w:w="3749" w:type="dxa"/>
          </w:tcPr>
          <w:p w:rsidRPr="006D329B" w:rsidR="00444FA6" w:rsidP="00367D78" w:rsidRDefault="00444FA6" w14:paraId="370E8181" w14:textId="77777777">
            <w:pPr>
              <w:rPr>
                <w:sz w:val="24"/>
                <w:szCs w:val="24"/>
              </w:rPr>
            </w:pPr>
            <w:r w:rsidRPr="006D329B">
              <w:rPr>
                <w:sz w:val="24"/>
                <w:szCs w:val="24"/>
              </w:rPr>
              <w:t xml:space="preserve">Disclosures </w:t>
            </w:r>
          </w:p>
          <w:p w:rsidRPr="006D329B" w:rsidR="00444FA6" w:rsidP="00367D78" w:rsidRDefault="000A422E" w14:paraId="428B07BB" w14:textId="77777777">
            <w:pPr>
              <w:rPr>
                <w:sz w:val="24"/>
                <w:szCs w:val="24"/>
              </w:rPr>
            </w:pPr>
            <w:r>
              <w:rPr>
                <w:sz w:val="24"/>
                <w:szCs w:val="24"/>
              </w:rPr>
              <w:t>[</w:t>
            </w:r>
            <w:r w:rsidRPr="006D329B">
              <w:rPr>
                <w:sz w:val="24"/>
                <w:szCs w:val="24"/>
              </w:rPr>
              <w:t>§</w:t>
            </w:r>
            <w:r w:rsidRPr="006D329B" w:rsidR="00444FA6">
              <w:rPr>
                <w:sz w:val="24"/>
                <w:szCs w:val="24"/>
              </w:rPr>
              <w:t xml:space="preserve"> 1041.9]</w:t>
            </w:r>
          </w:p>
        </w:tc>
        <w:tc>
          <w:tcPr>
            <w:tcW w:w="1557" w:type="dxa"/>
          </w:tcPr>
          <w:p w:rsidRPr="006D329B" w:rsidR="00444FA6" w:rsidP="00367D78" w:rsidRDefault="00444FA6" w14:paraId="6AB470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329B">
              <w:rPr>
                <w:sz w:val="24"/>
                <w:szCs w:val="24"/>
              </w:rPr>
              <w:t>$0.05</w:t>
            </w:r>
          </w:p>
        </w:tc>
        <w:tc>
          <w:tcPr>
            <w:tcW w:w="1979" w:type="dxa"/>
          </w:tcPr>
          <w:p w:rsidRPr="006D329B" w:rsidR="00444FA6" w:rsidP="00367D78" w:rsidRDefault="00444FA6" w14:paraId="275CB5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yellow"/>
              </w:rPr>
            </w:pPr>
            <w:r w:rsidRPr="006D329B">
              <w:rPr>
                <w:sz w:val="24"/>
                <w:szCs w:val="24"/>
              </w:rPr>
              <w:t>231,732,981</w:t>
            </w:r>
          </w:p>
        </w:tc>
        <w:tc>
          <w:tcPr>
            <w:tcW w:w="2065" w:type="dxa"/>
          </w:tcPr>
          <w:p w:rsidRPr="006D329B" w:rsidR="00444FA6" w:rsidP="00367D78" w:rsidRDefault="00444FA6" w14:paraId="2A987B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yellow"/>
              </w:rPr>
            </w:pPr>
            <w:r w:rsidRPr="00BE6729">
              <w:rPr>
                <w:sz w:val="24"/>
                <w:szCs w:val="24"/>
              </w:rPr>
              <w:t>$</w:t>
            </w:r>
            <w:r w:rsidRPr="006D329B">
              <w:rPr>
                <w:sz w:val="24"/>
                <w:szCs w:val="24"/>
              </w:rPr>
              <w:t>10,961,522</w:t>
            </w:r>
          </w:p>
        </w:tc>
      </w:tr>
      <w:tr w:rsidRPr="006D329B" w:rsidR="00444FA6" w:rsidTr="00367D78" w14:paraId="2505866B" w14:textId="77777777">
        <w:tc>
          <w:tcPr>
            <w:tcW w:w="3749" w:type="dxa"/>
          </w:tcPr>
          <w:p w:rsidRPr="006D329B" w:rsidR="00444FA6" w:rsidP="00367D78" w:rsidRDefault="00444FA6" w14:paraId="3FDA20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329B">
              <w:rPr>
                <w:sz w:val="24"/>
                <w:szCs w:val="24"/>
              </w:rPr>
              <w:t xml:space="preserve">Prohibited payment transfer attempts – requirements and conditions for obtaining consumer’s authorization </w:t>
            </w:r>
          </w:p>
          <w:p w:rsidRPr="006D329B" w:rsidR="00444FA6" w:rsidP="00367D78" w:rsidRDefault="00444FA6" w14:paraId="2E21A4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D329B">
              <w:rPr>
                <w:sz w:val="24"/>
                <w:szCs w:val="24"/>
              </w:rPr>
              <w:t>[§ 1041.8]</w:t>
            </w:r>
          </w:p>
        </w:tc>
        <w:tc>
          <w:tcPr>
            <w:tcW w:w="1557" w:type="dxa"/>
          </w:tcPr>
          <w:p w:rsidRPr="006D329B" w:rsidR="00444FA6" w:rsidP="00367D78" w:rsidRDefault="00444FA6" w14:paraId="5BB5E2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D329B">
              <w:rPr>
                <w:sz w:val="24"/>
                <w:szCs w:val="24"/>
              </w:rPr>
              <w:t>$0.02</w:t>
            </w:r>
          </w:p>
        </w:tc>
        <w:tc>
          <w:tcPr>
            <w:tcW w:w="1979" w:type="dxa"/>
          </w:tcPr>
          <w:p w:rsidRPr="006D329B" w:rsidR="00444FA6" w:rsidP="00367D78" w:rsidRDefault="00444FA6" w14:paraId="6BB56D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329B">
              <w:rPr>
                <w:sz w:val="24"/>
                <w:szCs w:val="24"/>
              </w:rPr>
              <w:t>14,478,524</w:t>
            </w:r>
          </w:p>
        </w:tc>
        <w:tc>
          <w:tcPr>
            <w:tcW w:w="2065" w:type="dxa"/>
          </w:tcPr>
          <w:p w:rsidRPr="006D329B" w:rsidR="00444FA6" w:rsidP="00367D78" w:rsidRDefault="00444FA6" w14:paraId="2A3096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D329B">
              <w:rPr>
                <w:sz w:val="24"/>
                <w:szCs w:val="24"/>
              </w:rPr>
              <w:t>$226,513</w:t>
            </w:r>
          </w:p>
        </w:tc>
      </w:tr>
      <w:tr w:rsidRPr="006D329B" w:rsidR="007D0F1E" w:rsidTr="00367D78" w14:paraId="25429DD1" w14:textId="77777777">
        <w:tc>
          <w:tcPr>
            <w:tcW w:w="3749" w:type="dxa"/>
          </w:tcPr>
          <w:p w:rsidR="004D050D" w:rsidP="00367D78" w:rsidRDefault="004D050D" w14:paraId="27F4F4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Record Retention </w:t>
            </w:r>
          </w:p>
          <w:p w:rsidRPr="006D329B" w:rsidR="007D0F1E" w:rsidP="00367D78" w:rsidRDefault="004D050D" w14:paraId="3827007E" w14:textId="53881E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t>
            </w:r>
            <w:r w:rsidRPr="006D329B">
              <w:rPr>
                <w:sz w:val="24"/>
                <w:szCs w:val="24"/>
              </w:rPr>
              <w:t>§</w:t>
            </w:r>
            <w:r>
              <w:rPr>
                <w:sz w:val="24"/>
                <w:szCs w:val="24"/>
              </w:rPr>
              <w:t xml:space="preserve"> 1041.12]</w:t>
            </w:r>
          </w:p>
        </w:tc>
        <w:tc>
          <w:tcPr>
            <w:tcW w:w="1557" w:type="dxa"/>
          </w:tcPr>
          <w:p w:rsidRPr="006D329B" w:rsidR="007D0F1E" w:rsidP="00367D78" w:rsidRDefault="004D050D" w14:paraId="4B4AA9EE" w14:textId="21675A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$0.00</w:t>
            </w:r>
          </w:p>
        </w:tc>
        <w:tc>
          <w:tcPr>
            <w:tcW w:w="1979" w:type="dxa"/>
          </w:tcPr>
          <w:p w:rsidRPr="006D329B" w:rsidR="007D0F1E" w:rsidP="00367D78" w:rsidRDefault="004D050D" w14:paraId="0A65E63B" w14:textId="7385A9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120,085,002</w:t>
            </w:r>
          </w:p>
        </w:tc>
        <w:tc>
          <w:tcPr>
            <w:tcW w:w="2065" w:type="dxa"/>
          </w:tcPr>
          <w:p w:rsidRPr="006D329B" w:rsidR="007D0F1E" w:rsidP="00367D78" w:rsidRDefault="004D050D" w14:paraId="023E25F3" w14:textId="61AD61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$0</w:t>
            </w:r>
          </w:p>
        </w:tc>
      </w:tr>
      <w:tr w:rsidRPr="006D329B" w:rsidR="00444FA6" w:rsidTr="00367D78" w14:paraId="5157C7BA" w14:textId="77777777">
        <w:tc>
          <w:tcPr>
            <w:tcW w:w="3749" w:type="dxa"/>
          </w:tcPr>
          <w:p w:rsidRPr="006D329B" w:rsidR="00444FA6" w:rsidP="00367D78" w:rsidRDefault="00444FA6" w14:paraId="60026A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329B">
              <w:rPr>
                <w:b/>
                <w:sz w:val="24"/>
                <w:szCs w:val="24"/>
              </w:rPr>
              <w:t>Totals:</w:t>
            </w:r>
          </w:p>
        </w:tc>
        <w:tc>
          <w:tcPr>
            <w:tcW w:w="1557" w:type="dxa"/>
          </w:tcPr>
          <w:p w:rsidRPr="006D329B" w:rsidR="00444FA6" w:rsidP="00367D78" w:rsidRDefault="00444FA6" w14:paraId="57B989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c>
        <w:tc>
          <w:tcPr>
            <w:tcW w:w="1979" w:type="dxa"/>
          </w:tcPr>
          <w:p w:rsidRPr="006D329B" w:rsidR="00444FA6" w:rsidP="00367D78" w:rsidRDefault="00444FA6" w14:paraId="03EB2B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D329B">
              <w:rPr>
                <w:b/>
                <w:sz w:val="24"/>
                <w:szCs w:val="24"/>
              </w:rPr>
              <w:t>366,296,507</w:t>
            </w:r>
          </w:p>
        </w:tc>
        <w:tc>
          <w:tcPr>
            <w:tcW w:w="2065" w:type="dxa"/>
          </w:tcPr>
          <w:p w:rsidRPr="006D329B" w:rsidR="00444FA6" w:rsidP="00367D78" w:rsidRDefault="00444FA6" w14:paraId="6FF627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D329B">
              <w:rPr>
                <w:b/>
                <w:sz w:val="24"/>
                <w:szCs w:val="24"/>
              </w:rPr>
              <w:t>$11,188,035</w:t>
            </w:r>
          </w:p>
        </w:tc>
      </w:tr>
    </w:tbl>
    <w:p w:rsidRPr="006D329B" w:rsidR="00444FA6" w:rsidP="00444FA6" w:rsidRDefault="00444FA6" w14:paraId="2F96084F" w14:textId="77777777">
      <w:pPr>
        <w:rPr>
          <w:sz w:val="24"/>
          <w:szCs w:val="24"/>
        </w:rPr>
      </w:pPr>
      <w:r w:rsidRPr="006D329B" w:rsidDel="005C5C57">
        <w:rPr>
          <w:sz w:val="24"/>
          <w:szCs w:val="24"/>
        </w:rPr>
        <w:t xml:space="preserve"> </w:t>
      </w:r>
    </w:p>
    <w:p w:rsidRPr="006D329B" w:rsidR="00444FA6" w:rsidP="00444FA6" w:rsidRDefault="00444FA6" w14:paraId="29C97B18" w14:textId="77777777">
      <w:pPr>
        <w:keepNext/>
        <w:ind w:left="187"/>
        <w:rPr>
          <w:sz w:val="24"/>
          <w:szCs w:val="24"/>
        </w:rPr>
      </w:pPr>
      <w:r w:rsidRPr="006D329B">
        <w:rPr>
          <w:b/>
          <w:sz w:val="24"/>
          <w:szCs w:val="24"/>
        </w:rPr>
        <w:t xml:space="preserve">A.  Disclosures </w:t>
      </w:r>
    </w:p>
    <w:p w:rsidRPr="006D329B" w:rsidR="00D35997" w:rsidP="00A3113A" w:rsidRDefault="00D35997" w14:paraId="5F6F4AA5" w14:textId="3932ED33">
      <w:pPr>
        <w:ind w:left="540"/>
        <w:rPr>
          <w:sz w:val="24"/>
          <w:szCs w:val="24"/>
        </w:rPr>
      </w:pPr>
    </w:p>
    <w:p w:rsidRPr="006D329B" w:rsidR="00444FA6" w:rsidP="00F53204" w:rsidRDefault="00444FA6" w14:paraId="47DFE69C" w14:textId="766878DB">
      <w:pPr>
        <w:ind w:left="540"/>
        <w:rPr>
          <w:sz w:val="24"/>
          <w:szCs w:val="24"/>
        </w:rPr>
      </w:pPr>
      <w:r>
        <w:rPr>
          <w:sz w:val="24"/>
          <w:szCs w:val="24"/>
        </w:rPr>
        <w:t>i</w:t>
      </w:r>
      <w:r w:rsidRPr="006D329B">
        <w:rPr>
          <w:sz w:val="24"/>
          <w:szCs w:val="24"/>
        </w:rPr>
        <w:t xml:space="preserve">. </w:t>
      </w:r>
      <w:r w:rsidR="00B738B2">
        <w:rPr>
          <w:sz w:val="24"/>
          <w:szCs w:val="24"/>
        </w:rPr>
        <w:t xml:space="preserve">Upcoming </w:t>
      </w:r>
      <w:r w:rsidR="00FA680F">
        <w:rPr>
          <w:sz w:val="24"/>
          <w:szCs w:val="24"/>
        </w:rPr>
        <w:t xml:space="preserve">Payment Attempt </w:t>
      </w:r>
      <w:r w:rsidR="008B701B">
        <w:rPr>
          <w:sz w:val="24"/>
          <w:szCs w:val="24"/>
        </w:rPr>
        <w:t xml:space="preserve">and </w:t>
      </w:r>
      <w:r w:rsidRPr="006D329B">
        <w:rPr>
          <w:sz w:val="24"/>
          <w:szCs w:val="24"/>
        </w:rPr>
        <w:t xml:space="preserve">Unusual Payment </w:t>
      </w:r>
      <w:r w:rsidR="00E7738F">
        <w:rPr>
          <w:sz w:val="24"/>
          <w:szCs w:val="24"/>
        </w:rPr>
        <w:t xml:space="preserve">Attempt </w:t>
      </w:r>
      <w:r w:rsidRPr="006D329B">
        <w:rPr>
          <w:sz w:val="24"/>
          <w:szCs w:val="24"/>
        </w:rPr>
        <w:t>Disclosure</w:t>
      </w:r>
      <w:r w:rsidR="00E7738F">
        <w:rPr>
          <w:sz w:val="24"/>
          <w:szCs w:val="24"/>
        </w:rPr>
        <w:t>s</w:t>
      </w:r>
      <w:r w:rsidRPr="006D329B" w:rsidR="00FA680F">
        <w:rPr>
          <w:sz w:val="24"/>
          <w:szCs w:val="24"/>
        </w:rPr>
        <w:t xml:space="preserve"> </w:t>
      </w:r>
    </w:p>
    <w:p w:rsidR="00F53204" w:rsidP="00444FA6" w:rsidRDefault="00F53204" w14:paraId="379663E8" w14:textId="77777777">
      <w:pPr>
        <w:rPr>
          <w:sz w:val="24"/>
          <w:szCs w:val="24"/>
        </w:rPr>
      </w:pPr>
    </w:p>
    <w:p w:rsidR="004B4115" w:rsidP="00444FA6" w:rsidRDefault="0050347A" w14:paraId="054CBE36" w14:textId="1EA19323">
      <w:pPr>
        <w:rPr>
          <w:sz w:val="24"/>
          <w:szCs w:val="24"/>
        </w:rPr>
      </w:pPr>
      <w:r w:rsidRPr="0060118A">
        <w:rPr>
          <w:sz w:val="24"/>
          <w:szCs w:val="24"/>
        </w:rPr>
        <w:lastRenderedPageBreak/>
        <w:t>An initial payment disclosure must be made to the borrower at least three days in advance of an attempt to collect payment.  The Bureau believes that these disclosures would be provided by the lender at origination.  The Bureau further believes that 100 percent of large lenders and 80 percent of small lenders that provide disclosures in person use disclosure systems that automatically collect data from the lenders’ loan origination system, meaning these new disclosures could be generated automatically, once their systems are updated to account for the new requirements.  For the remaining 20 percent, lenders would spend two minutes to enter payment information directly into the disclosure system.</w:t>
      </w:r>
    </w:p>
    <w:p w:rsidR="00FA3BF0" w:rsidP="00444FA6" w:rsidRDefault="00FA3BF0" w14:paraId="2E6626AA" w14:textId="77777777">
      <w:pPr>
        <w:rPr>
          <w:sz w:val="24"/>
          <w:szCs w:val="24"/>
        </w:rPr>
      </w:pPr>
    </w:p>
    <w:p w:rsidRPr="006D329B" w:rsidR="00444FA6" w:rsidP="00444FA6" w:rsidRDefault="00444FA6" w14:paraId="739EBD58" w14:textId="24E63403">
      <w:pPr>
        <w:rPr>
          <w:sz w:val="24"/>
          <w:szCs w:val="24"/>
        </w:rPr>
      </w:pPr>
      <w:r w:rsidRPr="006D329B">
        <w:rPr>
          <w:sz w:val="24"/>
          <w:szCs w:val="24"/>
        </w:rPr>
        <w:t xml:space="preserve">The Bureau believes that 4 percent of payment requests would be subject to the unusual payment notice.   </w:t>
      </w:r>
    </w:p>
    <w:p w:rsidRPr="006D329B" w:rsidR="00444FA6" w:rsidP="00444FA6" w:rsidRDefault="00444FA6" w14:paraId="2BD2CE88" w14:textId="77777777">
      <w:pPr>
        <w:rPr>
          <w:sz w:val="24"/>
          <w:szCs w:val="24"/>
        </w:rPr>
      </w:pPr>
    </w:p>
    <w:p w:rsidRPr="006D329B" w:rsidR="00444FA6" w:rsidP="00444FA6" w:rsidRDefault="00444FA6" w14:paraId="514A1118" w14:textId="5C9D2DF3">
      <w:pPr>
        <w:rPr>
          <w:sz w:val="24"/>
          <w:szCs w:val="24"/>
        </w:rPr>
      </w:pPr>
      <w:r w:rsidRPr="006D329B">
        <w:rPr>
          <w:sz w:val="24"/>
          <w:szCs w:val="24"/>
        </w:rPr>
        <w:t xml:space="preserve">For both covered short-term and longer-term loans originated in a storefront, the Bureau estimates that 10 percent of the payment notices would be delivered by mail, 80 percent of the payment notices will be delivered by e-mail, and 10 percent of the payment notices would be delivered by text message.  For covered loans originated online, the Bureau estimates that 80 percent of the payment notices would be delivered by e-mail, and 20 percent of the payment notices would be delivered by text message.  </w:t>
      </w:r>
    </w:p>
    <w:p w:rsidRPr="006D329B" w:rsidR="00444FA6" w:rsidP="00444FA6" w:rsidRDefault="00444FA6" w14:paraId="217EAFD2" w14:textId="77777777">
      <w:pPr>
        <w:rPr>
          <w:sz w:val="24"/>
          <w:szCs w:val="24"/>
        </w:rPr>
      </w:pPr>
    </w:p>
    <w:p w:rsidRPr="006D329B" w:rsidR="00444FA6" w:rsidP="00444FA6" w:rsidRDefault="00444FA6" w14:paraId="142BC68F" w14:textId="77777777">
      <w:pPr>
        <w:rPr>
          <w:sz w:val="24"/>
          <w:szCs w:val="24"/>
        </w:rPr>
      </w:pPr>
      <w:r w:rsidRPr="006D329B">
        <w:rPr>
          <w:sz w:val="24"/>
          <w:szCs w:val="24"/>
        </w:rPr>
        <w:t xml:space="preserve">Similar to the section above, for each unusual payment notice, the Bureau estimates lenders would pay the vendor $0.53 or $1.00, depending on volume, for disclosures delivered by mail, $0.01 for disclosures delivered by e-mail, and $0.08 for disclosures delivered by text message.  The total annual burden that non-depositories would incur for the payment notices would be $670,589 in materials cost.  </w:t>
      </w:r>
    </w:p>
    <w:p w:rsidRPr="006D329B" w:rsidR="00444FA6" w:rsidP="00444FA6" w:rsidRDefault="00444FA6" w14:paraId="6E6D296C" w14:textId="77777777">
      <w:pPr>
        <w:rPr>
          <w:sz w:val="24"/>
          <w:szCs w:val="24"/>
        </w:rPr>
      </w:pPr>
    </w:p>
    <w:p w:rsidRPr="006D329B" w:rsidR="00444FA6" w:rsidP="00444FA6" w:rsidRDefault="00444FA6" w14:paraId="6CDB0D64" w14:textId="64379D0C">
      <w:pPr>
        <w:ind w:left="540"/>
        <w:rPr>
          <w:sz w:val="24"/>
          <w:szCs w:val="24"/>
        </w:rPr>
      </w:pPr>
      <w:r>
        <w:rPr>
          <w:sz w:val="24"/>
          <w:szCs w:val="24"/>
        </w:rPr>
        <w:t>i</w:t>
      </w:r>
      <w:r w:rsidR="006C026C">
        <w:rPr>
          <w:sz w:val="24"/>
          <w:szCs w:val="24"/>
        </w:rPr>
        <w:t>i</w:t>
      </w:r>
      <w:r w:rsidRPr="006D329B">
        <w:rPr>
          <w:sz w:val="24"/>
          <w:szCs w:val="24"/>
        </w:rPr>
        <w:t>. Consumer Rights Disclosure</w:t>
      </w:r>
    </w:p>
    <w:p w:rsidRPr="006D329B" w:rsidR="00444FA6" w:rsidP="00444FA6" w:rsidRDefault="00444FA6" w14:paraId="2A9DAA98" w14:textId="77777777">
      <w:pPr>
        <w:rPr>
          <w:sz w:val="24"/>
          <w:szCs w:val="24"/>
        </w:rPr>
      </w:pPr>
    </w:p>
    <w:p w:rsidRPr="006D329B" w:rsidR="00444FA6" w:rsidP="00444FA6" w:rsidRDefault="00444FA6" w14:paraId="7DA64708" w14:textId="19240F70">
      <w:pPr>
        <w:rPr>
          <w:sz w:val="24"/>
          <w:szCs w:val="24"/>
        </w:rPr>
      </w:pPr>
      <w:r w:rsidRPr="006D329B">
        <w:rPr>
          <w:sz w:val="24"/>
          <w:szCs w:val="24"/>
        </w:rPr>
        <w:t xml:space="preserve">The Bureau estimates that about 4 percent of payment requests would cause the need for the consumer rights notice.  For loans originated at a storefront location, the Bureau estimates 10 percent of notices would be delivered by mail, 80 percent of notices would be delivered by e-mail, and 10 percent of notices would be delivered by text message.  For loans originated online, the Bureau estimates that </w:t>
      </w:r>
      <w:r w:rsidR="006B1AB1">
        <w:rPr>
          <w:sz w:val="24"/>
          <w:szCs w:val="24"/>
        </w:rPr>
        <w:t>8</w:t>
      </w:r>
      <w:r w:rsidRPr="006D329B">
        <w:rPr>
          <w:sz w:val="24"/>
          <w:szCs w:val="24"/>
        </w:rPr>
        <w:t xml:space="preserve">0 percent of notices would be delivered by e-mail, and </w:t>
      </w:r>
      <w:r w:rsidR="006B1AB1">
        <w:rPr>
          <w:sz w:val="24"/>
          <w:szCs w:val="24"/>
        </w:rPr>
        <w:t>2</w:t>
      </w:r>
      <w:r w:rsidRPr="006D329B">
        <w:rPr>
          <w:sz w:val="24"/>
          <w:szCs w:val="24"/>
        </w:rPr>
        <w:t xml:space="preserve">0 percent of notices would be delivered by text message.  The total annual burden imposed on depositories to provide the consumer rights disclosure would be $17,620 in materials cost.  The total annual burden imposed on non-depositories to provide the consumer rights disclosure would be $259,771 in materials cost.  </w:t>
      </w:r>
    </w:p>
    <w:p w:rsidRPr="006D329B" w:rsidR="00444FA6" w:rsidP="00444FA6" w:rsidRDefault="00444FA6" w14:paraId="6EFFF87D" w14:textId="77777777">
      <w:pPr>
        <w:rPr>
          <w:sz w:val="24"/>
          <w:szCs w:val="24"/>
        </w:rPr>
      </w:pPr>
    </w:p>
    <w:p w:rsidRPr="006D329B" w:rsidR="00444FA6" w:rsidP="00444FA6" w:rsidRDefault="00444FA6" w14:paraId="6CECB38A" w14:textId="77777777">
      <w:pPr>
        <w:pStyle w:val="CM12"/>
        <w:rPr>
          <w:b/>
          <w:bCs/>
          <w:u w:val="single"/>
        </w:rPr>
      </w:pPr>
      <w:r w:rsidRPr="006D329B">
        <w:rPr>
          <w:b/>
          <w:bCs/>
        </w:rPr>
        <w:t xml:space="preserve">14.  </w:t>
      </w:r>
      <w:r w:rsidRPr="006D329B">
        <w:rPr>
          <w:b/>
          <w:bCs/>
          <w:u w:val="single"/>
        </w:rPr>
        <w:t>Estimated Cost to the Federal Government</w:t>
      </w:r>
    </w:p>
    <w:p w:rsidRPr="006D329B" w:rsidR="00444FA6" w:rsidP="00444FA6" w:rsidRDefault="00444FA6" w14:paraId="4FB0B722" w14:textId="77777777">
      <w:pPr>
        <w:rPr>
          <w:sz w:val="24"/>
          <w:szCs w:val="24"/>
        </w:rPr>
      </w:pPr>
    </w:p>
    <w:p w:rsidRPr="006D329B" w:rsidR="00444FA6" w:rsidP="00444FA6" w:rsidRDefault="00444FA6" w14:paraId="496E72E3" w14:textId="77777777">
      <w:pPr>
        <w:rPr>
          <w:b/>
          <w:sz w:val="24"/>
          <w:szCs w:val="24"/>
        </w:rPr>
      </w:pPr>
      <w:r w:rsidRPr="006D329B">
        <w:rPr>
          <w:sz w:val="24"/>
          <w:szCs w:val="24"/>
        </w:rPr>
        <w:t>There are no additional costs to the Federal Government.</w:t>
      </w:r>
    </w:p>
    <w:p w:rsidR="00444FA6" w:rsidP="00444FA6" w:rsidRDefault="00444FA6" w14:paraId="2D3A38A5" w14:textId="22FD3A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1781D" w:rsidP="00444FA6" w:rsidRDefault="00E1781D" w14:paraId="67AA4D1C" w14:textId="0B5D13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D329B" w:rsidR="00E1781D" w:rsidP="00444FA6" w:rsidRDefault="00E1781D" w14:paraId="0CBB1D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D329B" w:rsidR="00444FA6" w:rsidP="00444FA6" w:rsidRDefault="00444FA6" w14:paraId="2D9BE50A" w14:textId="77777777">
      <w:pPr>
        <w:pStyle w:val="Default"/>
        <w:rPr>
          <w:b/>
          <w:bCs/>
          <w:u w:val="single"/>
        </w:rPr>
      </w:pPr>
      <w:r w:rsidRPr="006D329B">
        <w:rPr>
          <w:b/>
          <w:bCs/>
        </w:rPr>
        <w:lastRenderedPageBreak/>
        <w:t xml:space="preserve">15.  </w:t>
      </w:r>
      <w:r w:rsidRPr="006D329B">
        <w:rPr>
          <w:b/>
          <w:bCs/>
          <w:u w:val="single"/>
        </w:rPr>
        <w:t>Program Changes or Adjustments</w:t>
      </w:r>
    </w:p>
    <w:p w:rsidRPr="006D329B" w:rsidR="00444FA6" w:rsidP="00444FA6" w:rsidRDefault="00444FA6" w14:paraId="50AE74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44FA6" w:rsidP="00444FA6" w:rsidRDefault="00643C08" w14:paraId="1770E443" w14:textId="0156B45A">
      <w:pPr>
        <w:rPr>
          <w:color w:val="000000"/>
          <w:sz w:val="24"/>
          <w:szCs w:val="24"/>
        </w:rPr>
      </w:pPr>
      <w:r w:rsidRPr="00643C08">
        <w:rPr>
          <w:color w:val="000000"/>
          <w:sz w:val="24"/>
          <w:szCs w:val="24"/>
        </w:rPr>
        <w:t xml:space="preserve">Since this is a new information collection request associated with a new rulemaking, all burden associated with this ICR is new, and is the result of a program change due to agency discretion. </w:t>
      </w:r>
      <w:r w:rsidRPr="00BF50AA" w:rsidR="00943C4D">
        <w:rPr>
          <w:color w:val="000000"/>
          <w:sz w:val="24"/>
          <w:szCs w:val="24"/>
        </w:rPr>
        <w:t>A</w:t>
      </w:r>
      <w:r w:rsidRPr="00BF50AA">
        <w:rPr>
          <w:color w:val="000000"/>
          <w:sz w:val="24"/>
          <w:szCs w:val="24"/>
        </w:rPr>
        <w:t>ll t</w:t>
      </w:r>
      <w:r w:rsidRPr="00643C08">
        <w:rPr>
          <w:color w:val="000000"/>
          <w:sz w:val="24"/>
          <w:szCs w:val="24"/>
        </w:rPr>
        <w:t>he burden considered in this request is considered to be a program change. As a result of this final rule and associated information collection, the Bureau estimates a new annual time burden of 366,296,507 ho</w:t>
      </w:r>
      <w:bookmarkStart w:name="_GoBack" w:id="2"/>
      <w:bookmarkEnd w:id="2"/>
      <w:r w:rsidRPr="00643C08">
        <w:rPr>
          <w:color w:val="000000"/>
          <w:sz w:val="24"/>
          <w:szCs w:val="24"/>
        </w:rPr>
        <w:t xml:space="preserve">urs and an annual cost burden of $11,188,035. However, this Final Rule (RIN 3170-AA80) would substantially reduce the burdens associated with the previous payday lending current rule for 12 CFR part 1041 for which an information collection request was previously pending at OMB under OMB number 3170-0065. The previous information collection request was withdrawn on </w:t>
      </w:r>
      <w:r w:rsidR="00996CA7">
        <w:rPr>
          <w:color w:val="000000"/>
          <w:sz w:val="24"/>
          <w:szCs w:val="24"/>
        </w:rPr>
        <w:t>July 14</w:t>
      </w:r>
      <w:r w:rsidRPr="00643C08">
        <w:rPr>
          <w:color w:val="000000"/>
          <w:sz w:val="24"/>
          <w:szCs w:val="24"/>
        </w:rPr>
        <w:t>, 2020. This final rule could result in a burden reduction of 5, 010,232 hours (from 8,199,819 to 3,189,587) and 89,656,332 cost burden (from $100,844,367 to $11,188,035) from what the Bureau estimated for the burdens associated with the 2017 Final Rule.</w:t>
      </w:r>
    </w:p>
    <w:p w:rsidRPr="006D329B" w:rsidR="00E1781D" w:rsidP="00444FA6" w:rsidRDefault="00E1781D" w14:paraId="76518362" w14:textId="77777777">
      <w:pPr>
        <w:rPr>
          <w:color w:val="1F497D"/>
          <w:sz w:val="24"/>
          <w:szCs w:val="24"/>
        </w:rPr>
      </w:pPr>
    </w:p>
    <w:p w:rsidRPr="006D329B" w:rsidR="00444FA6" w:rsidP="00444FA6" w:rsidRDefault="00444FA6" w14:paraId="60F18DC5" w14:textId="77777777">
      <w:pPr>
        <w:pStyle w:val="CM12"/>
      </w:pPr>
      <w:r w:rsidRPr="006D329B">
        <w:rPr>
          <w:b/>
          <w:bCs/>
        </w:rPr>
        <w:t xml:space="preserve">16.  </w:t>
      </w:r>
      <w:r w:rsidRPr="006D329B">
        <w:rPr>
          <w:b/>
          <w:bCs/>
          <w:u w:val="single"/>
        </w:rPr>
        <w:t>Plans for Tabulation, Statistical Analysis, and Publication</w:t>
      </w:r>
    </w:p>
    <w:p w:rsidRPr="006D329B" w:rsidR="00444FA6" w:rsidP="00444FA6" w:rsidRDefault="00444FA6" w14:paraId="2DD89795" w14:textId="77777777">
      <w:pPr>
        <w:rPr>
          <w:sz w:val="24"/>
          <w:szCs w:val="24"/>
        </w:rPr>
      </w:pPr>
    </w:p>
    <w:p w:rsidRPr="006D329B" w:rsidR="00444FA6" w:rsidP="00444FA6" w:rsidRDefault="00444FA6" w14:paraId="693C00E0" w14:textId="77777777">
      <w:pPr>
        <w:rPr>
          <w:bCs/>
          <w:color w:val="000000"/>
          <w:sz w:val="24"/>
          <w:szCs w:val="24"/>
        </w:rPr>
      </w:pPr>
      <w:r w:rsidRPr="006D329B">
        <w:rPr>
          <w:bCs/>
          <w:color w:val="000000"/>
          <w:sz w:val="24"/>
          <w:szCs w:val="24"/>
        </w:rPr>
        <w:t>There are no plans to provide any publications based on the information collection of this regulation.</w:t>
      </w:r>
    </w:p>
    <w:p w:rsidRPr="006D329B" w:rsidR="00444FA6" w:rsidP="00444FA6" w:rsidRDefault="00444FA6" w14:paraId="3DFA71BC" w14:textId="77777777">
      <w:pPr>
        <w:ind w:firstLine="720"/>
        <w:rPr>
          <w:bCs/>
          <w:color w:val="000000"/>
          <w:sz w:val="24"/>
          <w:szCs w:val="24"/>
        </w:rPr>
      </w:pPr>
    </w:p>
    <w:p w:rsidRPr="006D329B" w:rsidR="00444FA6" w:rsidP="00444FA6" w:rsidRDefault="00444FA6" w14:paraId="4BEA0367" w14:textId="77777777">
      <w:pPr>
        <w:pStyle w:val="Default"/>
        <w:rPr>
          <w:b/>
          <w:bCs/>
          <w:color w:val="auto"/>
          <w:u w:val="single"/>
        </w:rPr>
      </w:pPr>
      <w:r w:rsidRPr="006D329B">
        <w:rPr>
          <w:b/>
          <w:bCs/>
          <w:color w:val="auto"/>
        </w:rPr>
        <w:t xml:space="preserve">17.  </w:t>
      </w:r>
      <w:r w:rsidRPr="006D329B">
        <w:rPr>
          <w:b/>
          <w:bCs/>
          <w:color w:val="auto"/>
          <w:u w:val="single"/>
        </w:rPr>
        <w:t>Display of Expiration Date</w:t>
      </w:r>
    </w:p>
    <w:p w:rsidRPr="006D329B" w:rsidR="00444FA6" w:rsidP="00444FA6" w:rsidRDefault="00444FA6" w14:paraId="6B91528B" w14:textId="77777777">
      <w:pPr>
        <w:pStyle w:val="Default"/>
        <w:rPr>
          <w:color w:val="auto"/>
        </w:rPr>
      </w:pPr>
    </w:p>
    <w:p w:rsidRPr="006D329B" w:rsidR="00444FA6" w:rsidP="00444FA6" w:rsidRDefault="00444FA6" w14:paraId="41188D51" w14:textId="77777777">
      <w:pPr>
        <w:pStyle w:val="Default"/>
        <w:rPr>
          <w:bCs/>
        </w:rPr>
      </w:pPr>
      <w:r w:rsidRPr="006D329B">
        <w:rPr>
          <w:bCs/>
        </w:rPr>
        <w:t xml:space="preserve">The OMB control number and expiration date associated with this PRA submission will be displayed on the Federal government’s electronic PRA docket at </w:t>
      </w:r>
      <w:hyperlink w:history="1" r:id="rId12">
        <w:r w:rsidRPr="006D329B">
          <w:rPr>
            <w:rStyle w:val="Hyperlink"/>
            <w:bCs/>
          </w:rPr>
          <w:t>www.reginfo.gov</w:t>
        </w:r>
      </w:hyperlink>
      <w:r w:rsidRPr="006D329B">
        <w:rPr>
          <w:bCs/>
        </w:rPr>
        <w:t>, as well as in the Code of Federal Regulations.  There are no required forms or other documents upon which display of the control number and expiration date would be appropriate.</w:t>
      </w:r>
    </w:p>
    <w:p w:rsidRPr="006D329B" w:rsidR="00444FA6" w:rsidP="00444FA6" w:rsidRDefault="00444FA6" w14:paraId="65F228C7" w14:textId="77777777">
      <w:pPr>
        <w:rPr>
          <w:sz w:val="24"/>
          <w:szCs w:val="24"/>
        </w:rPr>
      </w:pPr>
    </w:p>
    <w:p w:rsidRPr="006D329B" w:rsidR="00444FA6" w:rsidP="00444FA6" w:rsidRDefault="00444FA6" w14:paraId="161337A8" w14:textId="77777777">
      <w:pPr>
        <w:pStyle w:val="Default"/>
      </w:pPr>
      <w:r w:rsidRPr="006D329B">
        <w:rPr>
          <w:b/>
          <w:bCs/>
          <w:color w:val="auto"/>
        </w:rPr>
        <w:t xml:space="preserve">18.  </w:t>
      </w:r>
      <w:r w:rsidRPr="006D329B">
        <w:rPr>
          <w:b/>
          <w:bCs/>
          <w:color w:val="auto"/>
          <w:u w:val="single"/>
        </w:rPr>
        <w:t>Exceptions to the Certification Requirement</w:t>
      </w:r>
    </w:p>
    <w:p w:rsidRPr="006D329B" w:rsidR="00444FA6" w:rsidP="00444FA6" w:rsidRDefault="00444FA6" w14:paraId="7A4AE7F1" w14:textId="77777777">
      <w:pPr>
        <w:pStyle w:val="NoSpacing"/>
        <w:rPr>
          <w:rFonts w:eastAsia="Times New Roman"/>
          <w:sz w:val="24"/>
        </w:rPr>
      </w:pPr>
    </w:p>
    <w:p w:rsidRPr="006D329B" w:rsidR="00444FA6" w:rsidP="00444FA6" w:rsidRDefault="00444FA6" w14:paraId="26B1066F" w14:textId="77777777">
      <w:pPr>
        <w:pStyle w:val="NoSpacing"/>
        <w:rPr>
          <w:sz w:val="24"/>
        </w:rPr>
      </w:pPr>
      <w:r w:rsidRPr="006D329B">
        <w:rPr>
          <w:sz w:val="24"/>
        </w:rPr>
        <w:t>The Bureau certifies that this collection of information is consistent with the requirements of 5 CFR § 1320.9, and the related provisions of 5 CFR § 1320.8(b)(3) and is not seeking an exemption to these certification requirements.</w:t>
      </w:r>
    </w:p>
    <w:p w:rsidRPr="006D329B" w:rsidR="00444FA6" w:rsidP="00444FA6" w:rsidRDefault="00444FA6" w14:paraId="705089CB" w14:textId="77777777">
      <w:pPr>
        <w:pStyle w:val="NoSpacing"/>
        <w:rPr>
          <w:sz w:val="24"/>
        </w:rPr>
      </w:pPr>
    </w:p>
    <w:p w:rsidRPr="006D329B" w:rsidR="00444FA6" w:rsidP="00444FA6" w:rsidRDefault="00444FA6" w14:paraId="5CC316CC" w14:textId="77777777">
      <w:pPr>
        <w:pStyle w:val="NoSpacing"/>
        <w:rPr>
          <w:sz w:val="24"/>
        </w:rPr>
      </w:pPr>
    </w:p>
    <w:p w:rsidRPr="006D329B" w:rsidR="00444FA6" w:rsidP="00444FA6" w:rsidRDefault="00444FA6" w14:paraId="434E793C" w14:textId="77777777">
      <w:pPr>
        <w:pStyle w:val="NoSpacing"/>
        <w:rPr>
          <w:b/>
          <w:sz w:val="24"/>
        </w:rPr>
      </w:pPr>
      <w:r w:rsidRPr="006D329B">
        <w:rPr>
          <w:b/>
          <w:sz w:val="24"/>
        </w:rPr>
        <w:t>PART B: COLLECTIONS OF INFORMATION USING STATISTICAL METHODS</w:t>
      </w:r>
    </w:p>
    <w:p w:rsidRPr="006D329B" w:rsidR="00444FA6" w:rsidP="00444FA6" w:rsidRDefault="00444FA6" w14:paraId="348DC691" w14:textId="77777777">
      <w:pPr>
        <w:pStyle w:val="NoSpacing"/>
        <w:rPr>
          <w:sz w:val="24"/>
        </w:rPr>
      </w:pPr>
    </w:p>
    <w:p w:rsidRPr="006D329B" w:rsidR="00444FA6" w:rsidP="00444FA6" w:rsidRDefault="00444FA6" w14:paraId="3E07855D" w14:textId="77777777">
      <w:pPr>
        <w:pStyle w:val="NoSpacing"/>
        <w:rPr>
          <w:sz w:val="24"/>
        </w:rPr>
      </w:pPr>
      <w:r w:rsidRPr="006D329B">
        <w:rPr>
          <w:sz w:val="24"/>
        </w:rPr>
        <w:t>Not applicable.  The information collections contained in this rule do not involve the use of statistical methods.</w:t>
      </w:r>
    </w:p>
    <w:p w:rsidRPr="006D329B" w:rsidR="00444FA6" w:rsidP="00444FA6" w:rsidRDefault="00444FA6" w14:paraId="41940EB6" w14:textId="77777777">
      <w:pPr>
        <w:pStyle w:val="NoSpacing"/>
        <w:rPr>
          <w:sz w:val="24"/>
        </w:rPr>
      </w:pPr>
    </w:p>
    <w:p w:rsidRPr="006D329B" w:rsidR="00444FA6" w:rsidP="00444FA6" w:rsidRDefault="00444FA6" w14:paraId="6805325C" w14:textId="77777777">
      <w:pPr>
        <w:pStyle w:val="NoSpacing"/>
        <w:jc w:val="center"/>
        <w:rPr>
          <w:sz w:val="24"/>
        </w:rPr>
      </w:pPr>
      <w:r w:rsidRPr="006D329B">
        <w:rPr>
          <w:sz w:val="24"/>
        </w:rPr>
        <w:t>###</w:t>
      </w:r>
    </w:p>
    <w:p w:rsidR="00367D78" w:rsidRDefault="00367D78" w14:paraId="2A69CFE3" w14:textId="77777777"/>
    <w:sectPr w:rsidR="00367D78" w:rsidSect="00444FA6">
      <w:headerReference w:type="default" r:id="rId13"/>
      <w:footerReference w:type="default" r:id="rId14"/>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9CD2C" w14:textId="77777777" w:rsidR="00DE7B53" w:rsidRDefault="00DE7B53" w:rsidP="00444FA6">
      <w:r>
        <w:separator/>
      </w:r>
    </w:p>
  </w:endnote>
  <w:endnote w:type="continuationSeparator" w:id="0">
    <w:p w14:paraId="328B7668" w14:textId="77777777" w:rsidR="00DE7B53" w:rsidRDefault="00DE7B53" w:rsidP="00444FA6">
      <w:r>
        <w:continuationSeparator/>
      </w:r>
    </w:p>
  </w:endnote>
  <w:endnote w:type="continuationNotice" w:id="1">
    <w:p w14:paraId="5C572105" w14:textId="77777777" w:rsidR="00DE7B53" w:rsidRDefault="00DE7B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2511146"/>
      <w:docPartObj>
        <w:docPartGallery w:val="Page Numbers (Bottom of Page)"/>
        <w:docPartUnique/>
      </w:docPartObj>
    </w:sdtPr>
    <w:sdtEndPr/>
    <w:sdtContent>
      <w:sdt>
        <w:sdtPr>
          <w:id w:val="860082579"/>
          <w:docPartObj>
            <w:docPartGallery w:val="Page Numbers (Top of Page)"/>
            <w:docPartUnique/>
          </w:docPartObj>
        </w:sdtPr>
        <w:sdtEndPr/>
        <w:sdtContent>
          <w:p w14:paraId="0D896873" w14:textId="0D11F217" w:rsidR="00367D78" w:rsidRDefault="00BE725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43C4D">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43C4D">
              <w:rPr>
                <w:b/>
                <w:bCs/>
                <w:noProof/>
              </w:rPr>
              <w:t>16</w:t>
            </w:r>
            <w:r>
              <w:rPr>
                <w:b/>
                <w:bCs/>
                <w:sz w:val="24"/>
                <w:szCs w:val="24"/>
              </w:rPr>
              <w:fldChar w:fldCharType="end"/>
            </w:r>
          </w:p>
        </w:sdtContent>
      </w:sdt>
    </w:sdtContent>
  </w:sdt>
  <w:p w14:paraId="6B78BDEB" w14:textId="77777777" w:rsidR="00367D78" w:rsidRDefault="00367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2A41E" w14:textId="77777777" w:rsidR="00DE7B53" w:rsidRDefault="00DE7B53" w:rsidP="00444FA6">
      <w:r>
        <w:separator/>
      </w:r>
    </w:p>
  </w:footnote>
  <w:footnote w:type="continuationSeparator" w:id="0">
    <w:p w14:paraId="31AEC15F" w14:textId="77777777" w:rsidR="00DE7B53" w:rsidRDefault="00DE7B53" w:rsidP="00444FA6">
      <w:r>
        <w:continuationSeparator/>
      </w:r>
    </w:p>
  </w:footnote>
  <w:footnote w:type="continuationNotice" w:id="1">
    <w:p w14:paraId="7B66FDB7" w14:textId="77777777" w:rsidR="00DE7B53" w:rsidRDefault="00DE7B53"/>
  </w:footnote>
  <w:footnote w:id="2">
    <w:p w14:paraId="2B28A133" w14:textId="1A73358C" w:rsidR="00AC46BD" w:rsidRPr="00D9740C" w:rsidRDefault="00AC46BD">
      <w:pPr>
        <w:pStyle w:val="FootnoteText"/>
      </w:pPr>
      <w:r>
        <w:rPr>
          <w:rStyle w:val="FootnoteReference"/>
        </w:rPr>
        <w:footnoteRef/>
      </w:r>
      <w:r>
        <w:t xml:space="preserve"> </w:t>
      </w:r>
      <w:r w:rsidRPr="00D9740C">
        <w:t>The 2020 final rule revokes the mandatory underwriting requirements of 12 CFR part 1041</w:t>
      </w:r>
      <w:r w:rsidR="0027338C" w:rsidRPr="00D9740C">
        <w:t xml:space="preserve">, </w:t>
      </w:r>
      <w:r w:rsidRPr="00D9740C">
        <w:t xml:space="preserve">thereby removing the information collection requirements previously contained in §§ 1041.5, 1041.6, 1041.10, and 1041.11.  </w:t>
      </w:r>
      <w:r w:rsidR="0027338C" w:rsidRPr="00D9740C">
        <w:t xml:space="preserve">On July 7, 2020, the Bureau issued a </w:t>
      </w:r>
      <w:r w:rsidR="00C471AE" w:rsidRPr="00D9740C">
        <w:t xml:space="preserve">notice </w:t>
      </w:r>
      <w:r w:rsidR="0027338C" w:rsidRPr="00D9740C">
        <w:t>ratifying its 2017 rulemaking promulgating the payment provisions of 12 CFR part 1041, including §§ 1041.2, 1041.3, 1041.7–1041.9, 1041.12(a), (b) introductory text, (b)(4)–(5), 1041.13</w:t>
      </w:r>
      <w:r w:rsidR="00C471AE" w:rsidRPr="00D9740C">
        <w:t xml:space="preserve">, </w:t>
      </w:r>
      <w:hyperlink r:id="rId1" w:history="1">
        <w:r w:rsidR="00C471AE" w:rsidRPr="00D9740C">
          <w:rPr>
            <w:rStyle w:val="Hyperlink"/>
          </w:rPr>
          <w:t>https://files.consumerfinance.gov/f/documents/cfpb_ratification_payment-provisions_2020-07.pdf</w:t>
        </w:r>
      </w:hyperlink>
      <w:r w:rsidR="00C471AE" w:rsidRPr="00D9740C">
        <w:t>.</w:t>
      </w:r>
    </w:p>
  </w:footnote>
  <w:footnote w:id="3">
    <w:p w14:paraId="73ECD674" w14:textId="2D6A2E55" w:rsidR="00FB1640" w:rsidRDefault="00FB1640" w:rsidP="00FB1640">
      <w:pPr>
        <w:pStyle w:val="FootnoteText"/>
      </w:pPr>
      <w:r>
        <w:rPr>
          <w:rStyle w:val="FootnoteReference"/>
        </w:rPr>
        <w:footnoteRef/>
      </w:r>
      <w:r>
        <w:t xml:space="preserve"> </w:t>
      </w:r>
      <w:r w:rsidR="005922CE">
        <w:t xml:space="preserve">Comments can be viewed at </w:t>
      </w:r>
      <w:hyperlink r:id="rId2" w:history="1">
        <w:r w:rsidR="005922CE">
          <w:rPr>
            <w:rStyle w:val="Hyperlink"/>
          </w:rPr>
          <w:t>https://www.regulations.gov/docketBrowser?rpp=25&amp;so=DESC&amp;sb=commentDueDate&amp;po=0&amp;dct=PS&amp;D=CFPB-2016-0025</w:t>
        </w:r>
      </w:hyperlink>
      <w:r w:rsidR="005922CE">
        <w:t>.</w:t>
      </w:r>
    </w:p>
  </w:footnote>
  <w:footnote w:id="4">
    <w:p w14:paraId="2A8641C3" w14:textId="3D57FD92" w:rsidR="00BF49DE" w:rsidRPr="00A2074C" w:rsidRDefault="00BF49DE" w:rsidP="00BF49DE">
      <w:pPr>
        <w:pStyle w:val="FootnoteText"/>
      </w:pPr>
      <w:r>
        <w:rPr>
          <w:rStyle w:val="FootnoteReference"/>
        </w:rPr>
        <w:footnoteRef/>
      </w:r>
      <w:r>
        <w:t xml:space="preserve"> </w:t>
      </w:r>
      <w:r w:rsidR="00007AD9">
        <w:t>T</w:t>
      </w:r>
      <w:r w:rsidR="00C8704E">
        <w:t xml:space="preserve">he </w:t>
      </w:r>
      <w:r w:rsidR="00D164D8">
        <w:t xml:space="preserve">2018 </w:t>
      </w:r>
      <w:r w:rsidR="00227AFA">
        <w:t xml:space="preserve">Requests for Information </w:t>
      </w:r>
      <w:r w:rsidR="00D6746A">
        <w:t xml:space="preserve">are available </w:t>
      </w:r>
      <w:r w:rsidR="00D3526F">
        <w:t>at</w:t>
      </w:r>
      <w:r w:rsidRPr="00174D18">
        <w:t xml:space="preserve"> </w:t>
      </w:r>
      <w:hyperlink r:id="rId3" w:history="1">
        <w:r w:rsidRPr="00174D18">
          <w:rPr>
            <w:rStyle w:val="Hyperlink"/>
            <w:i/>
          </w:rPr>
          <w:t>https://www.consumerfinance.gov/policy-compliance/notice-opportunities-comment/archive-closed/call-for-evidence/</w:t>
        </w:r>
      </w:hyperlink>
      <w:r w:rsidRPr="00174D18">
        <w:rPr>
          <w:i/>
        </w:rPr>
        <w:t>.</w:t>
      </w:r>
      <w:r>
        <w:t xml:space="preserve"> </w:t>
      </w:r>
    </w:p>
    <w:p w14:paraId="5C24BE41" w14:textId="0ADBBA49" w:rsidR="00BF49DE" w:rsidRDefault="00BF49DE">
      <w:pPr>
        <w:pStyle w:val="FootnoteText"/>
      </w:pPr>
    </w:p>
  </w:footnote>
  <w:footnote w:id="5">
    <w:p w14:paraId="7AD159C9" w14:textId="5F4E2DE1" w:rsidR="00444FA6" w:rsidRDefault="00444FA6" w:rsidP="00444FA6">
      <w:pPr>
        <w:pStyle w:val="FootnoteText"/>
      </w:pPr>
      <w:r>
        <w:rPr>
          <w:rStyle w:val="FootnoteReference"/>
        </w:rPr>
        <w:footnoteRef/>
      </w:r>
      <w:r>
        <w:t xml:space="preserve"> Hourly rate and average response Time estimates are subject to rounding error because they are derived from the annual responses, average response time, and annual burden hour costs estimates.</w:t>
      </w:r>
      <w:r w:rsidR="00CB7762">
        <w:t xml:space="preserve">  One-time costs are included and annualized over a three-year period. The non-annualized costs are detailed below.</w:t>
      </w:r>
    </w:p>
  </w:footnote>
  <w:footnote w:id="6">
    <w:p w14:paraId="4C6E5B7F" w14:textId="77777777" w:rsidR="00444FA6" w:rsidRDefault="00444FA6" w:rsidP="00444FA6">
      <w:pPr>
        <w:pStyle w:val="FootnoteText"/>
      </w:pPr>
      <w:r>
        <w:rPr>
          <w:rStyle w:val="FootnoteReference"/>
        </w:rPr>
        <w:footnoteRef/>
      </w:r>
      <w:r>
        <w:t xml:space="preserve"> Bureau of Labor Statistics, May 2016, </w:t>
      </w:r>
      <w:r w:rsidRPr="00F4304F">
        <w:t>Occupational Employment and Wage Estimates</w:t>
      </w:r>
      <w:r>
        <w:t xml:space="preserve">, </w:t>
      </w:r>
      <w:hyperlink r:id="rId4" w:history="1">
        <w:r w:rsidRPr="00735A18">
          <w:rPr>
            <w:rStyle w:val="Hyperlink"/>
          </w:rPr>
          <w:t>http://www.bls.gov/oes/current/oessrci.htm</w:t>
        </w:r>
      </w:hyperlink>
      <w:r>
        <w:t xml:space="preserve">.  The hourly rate and annual burden hour costs incorporate BLS wages which are weighted averages composed of the average wages for a specific sector and corresponding occupation.   </w:t>
      </w:r>
    </w:p>
  </w:footnote>
  <w:footnote w:id="7">
    <w:p w14:paraId="40B8EB22" w14:textId="052D02EE" w:rsidR="00444FA6" w:rsidRDefault="00444FA6" w:rsidP="00444FA6">
      <w:pPr>
        <w:pStyle w:val="FootnoteText"/>
      </w:pPr>
      <w:r>
        <w:rPr>
          <w:rStyle w:val="FootnoteReference"/>
        </w:rPr>
        <w:footnoteRef/>
      </w:r>
      <w:r>
        <w:t xml:space="preserve"> This information collection requires lenders to retain records of the loan and payments made under it for 36 months. The </w:t>
      </w:r>
      <w:r w:rsidR="00B82124">
        <w:t>B</w:t>
      </w:r>
      <w:r>
        <w:t>ureau believes that lenders do this for their own business purposes in the ordinary course of business already and so is assigning zero burden to this information collection</w:t>
      </w:r>
      <w:r w:rsidR="00B06038">
        <w:t>.</w:t>
      </w:r>
      <w:r>
        <w:t xml:space="preserve"> </w:t>
      </w:r>
    </w:p>
  </w:footnote>
  <w:footnote w:id="8">
    <w:p w14:paraId="6D157F77" w14:textId="77777777" w:rsidR="004965BE" w:rsidRDefault="004965BE" w:rsidP="004965BE">
      <w:pPr>
        <w:pStyle w:val="FootnoteText"/>
      </w:pPr>
      <w:r>
        <w:rPr>
          <w:rStyle w:val="FootnoteReference"/>
        </w:rPr>
        <w:footnoteRef/>
      </w:r>
      <w:r>
        <w:t xml:space="preserve"> Although some lenders may currently create and deliver disclosures in-house, given the increase in the volume of disclosures the rule would require, the Bureau believes most lenders would typically rely on vendors to print and deliver the disclosures. </w:t>
      </w:r>
    </w:p>
  </w:footnote>
  <w:footnote w:id="9">
    <w:p w14:paraId="11214295" w14:textId="77777777" w:rsidR="00444FA6" w:rsidRDefault="00444FA6" w:rsidP="00444FA6">
      <w:pPr>
        <w:pStyle w:val="FootnoteText"/>
      </w:pPr>
      <w:r>
        <w:rPr>
          <w:rStyle w:val="FootnoteReference"/>
        </w:rPr>
        <w:footnoteRef/>
      </w:r>
      <w:r>
        <w:t xml:space="preserve"> </w:t>
      </w:r>
      <w:r w:rsidRPr="00DC7F3A">
        <w:rPr>
          <w:iCs/>
        </w:rPr>
        <w:t>Additionally, the Bureau believes the elimination of allowing lenders to automatically tack on late fees to regularly scheduled payments from the post-cap re-authorization requirements should have no effect on the lenders’ unusual payment notice burdens. The unusual late payment notice requirement for fee-only debits applies regardless of whether the lender is debiting under an original authorization or a new.</w:t>
      </w:r>
    </w:p>
  </w:footnote>
  <w:footnote w:id="10">
    <w:p w14:paraId="44040FB1" w14:textId="0C21C90A" w:rsidR="00444FA6" w:rsidRDefault="00444FA6" w:rsidP="00444FA6">
      <w:pPr>
        <w:pStyle w:val="FootnoteText"/>
      </w:pPr>
      <w:r>
        <w:rPr>
          <w:rStyle w:val="FootnoteReference"/>
        </w:rPr>
        <w:footnoteRef/>
      </w:r>
      <w:r>
        <w:t xml:space="preserve"> Per unit cost estimates are subject to rounding error because they are derived from the quantity and total cost estimates.</w:t>
      </w:r>
      <w:r w:rsidR="00CB7762">
        <w:t xml:space="preserve">  One-time costs are included and annualized over a three-year period. The non-annualized costs are detailed below.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574A9" w14:textId="06F58345" w:rsidR="00367D78" w:rsidRDefault="00BE7251" w:rsidP="00367D78">
    <w:pPr>
      <w:pStyle w:val="Header"/>
      <w:rPr>
        <w:b/>
      </w:rPr>
    </w:pPr>
    <w:r>
      <w:rPr>
        <w:b/>
      </w:rPr>
      <w:tab/>
    </w:r>
    <w:r>
      <w:rPr>
        <w:b/>
      </w:rPr>
      <w:tab/>
      <w:t xml:space="preserve">RIN 3170-AA80 </w:t>
    </w:r>
    <w:r w:rsidR="00CF7139">
      <w:rPr>
        <w:b/>
      </w:rPr>
      <w:t>Final Rule</w:t>
    </w:r>
    <w:r>
      <w:rPr>
        <w:b/>
      </w:rPr>
      <w:t xml:space="preserve"> Version</w:t>
    </w:r>
  </w:p>
  <w:p w14:paraId="757343C4" w14:textId="6AB7F72F" w:rsidR="00367D78" w:rsidRPr="00A230E7" w:rsidRDefault="00367D78" w:rsidP="001F2E6F">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D36798"/>
    <w:multiLevelType w:val="hybridMultilevel"/>
    <w:tmpl w:val="8A405804"/>
    <w:lvl w:ilvl="0" w:tplc="0900BC48">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FA6"/>
    <w:rsid w:val="000024EA"/>
    <w:rsid w:val="00002790"/>
    <w:rsid w:val="00002A83"/>
    <w:rsid w:val="000030C5"/>
    <w:rsid w:val="00003A79"/>
    <w:rsid w:val="00005873"/>
    <w:rsid w:val="00005916"/>
    <w:rsid w:val="0000648C"/>
    <w:rsid w:val="00007AD9"/>
    <w:rsid w:val="00010E1D"/>
    <w:rsid w:val="00012B93"/>
    <w:rsid w:val="00013402"/>
    <w:rsid w:val="00013C7F"/>
    <w:rsid w:val="000167A6"/>
    <w:rsid w:val="00016CEE"/>
    <w:rsid w:val="00017806"/>
    <w:rsid w:val="0002478A"/>
    <w:rsid w:val="00026041"/>
    <w:rsid w:val="00026292"/>
    <w:rsid w:val="00030018"/>
    <w:rsid w:val="00031D79"/>
    <w:rsid w:val="000333D0"/>
    <w:rsid w:val="0003391D"/>
    <w:rsid w:val="00033E5A"/>
    <w:rsid w:val="00034BF6"/>
    <w:rsid w:val="00037F06"/>
    <w:rsid w:val="00042B82"/>
    <w:rsid w:val="0004366E"/>
    <w:rsid w:val="0004440B"/>
    <w:rsid w:val="00045DEC"/>
    <w:rsid w:val="0004622D"/>
    <w:rsid w:val="00046DBA"/>
    <w:rsid w:val="00050DB7"/>
    <w:rsid w:val="00051E4A"/>
    <w:rsid w:val="0005312B"/>
    <w:rsid w:val="000534CA"/>
    <w:rsid w:val="00054111"/>
    <w:rsid w:val="00054267"/>
    <w:rsid w:val="0005548F"/>
    <w:rsid w:val="000556AF"/>
    <w:rsid w:val="00055E6A"/>
    <w:rsid w:val="00057F94"/>
    <w:rsid w:val="000606EC"/>
    <w:rsid w:val="00061D7D"/>
    <w:rsid w:val="0006476D"/>
    <w:rsid w:val="00065F71"/>
    <w:rsid w:val="00067080"/>
    <w:rsid w:val="00070738"/>
    <w:rsid w:val="000712D5"/>
    <w:rsid w:val="000726E4"/>
    <w:rsid w:val="000729ED"/>
    <w:rsid w:val="000734D9"/>
    <w:rsid w:val="00074DCC"/>
    <w:rsid w:val="0007518E"/>
    <w:rsid w:val="000760CE"/>
    <w:rsid w:val="00076116"/>
    <w:rsid w:val="000766B5"/>
    <w:rsid w:val="00083876"/>
    <w:rsid w:val="00084885"/>
    <w:rsid w:val="00085AC2"/>
    <w:rsid w:val="0008685C"/>
    <w:rsid w:val="00086F7A"/>
    <w:rsid w:val="000873C0"/>
    <w:rsid w:val="00087853"/>
    <w:rsid w:val="0009104A"/>
    <w:rsid w:val="0009710B"/>
    <w:rsid w:val="00097FE6"/>
    <w:rsid w:val="000A0B5E"/>
    <w:rsid w:val="000A422E"/>
    <w:rsid w:val="000A5FC6"/>
    <w:rsid w:val="000A636F"/>
    <w:rsid w:val="000B024C"/>
    <w:rsid w:val="000B2C66"/>
    <w:rsid w:val="000B484F"/>
    <w:rsid w:val="000B6689"/>
    <w:rsid w:val="000C28AF"/>
    <w:rsid w:val="000C2C00"/>
    <w:rsid w:val="000C5A0C"/>
    <w:rsid w:val="000C62CC"/>
    <w:rsid w:val="000C7558"/>
    <w:rsid w:val="000D044F"/>
    <w:rsid w:val="000D0EC9"/>
    <w:rsid w:val="000D2F57"/>
    <w:rsid w:val="000D5DC9"/>
    <w:rsid w:val="000D6A3D"/>
    <w:rsid w:val="000D7763"/>
    <w:rsid w:val="000D7D80"/>
    <w:rsid w:val="000E120B"/>
    <w:rsid w:val="000E25AB"/>
    <w:rsid w:val="000E411D"/>
    <w:rsid w:val="000E5D15"/>
    <w:rsid w:val="000E60B7"/>
    <w:rsid w:val="000F1E7C"/>
    <w:rsid w:val="001008EB"/>
    <w:rsid w:val="00101575"/>
    <w:rsid w:val="00101F7A"/>
    <w:rsid w:val="001020BF"/>
    <w:rsid w:val="00103523"/>
    <w:rsid w:val="00110A1E"/>
    <w:rsid w:val="00110C4F"/>
    <w:rsid w:val="001117D2"/>
    <w:rsid w:val="001127E8"/>
    <w:rsid w:val="0011403D"/>
    <w:rsid w:val="001145F6"/>
    <w:rsid w:val="001157EA"/>
    <w:rsid w:val="001238B9"/>
    <w:rsid w:val="001250C4"/>
    <w:rsid w:val="0013007E"/>
    <w:rsid w:val="0013098C"/>
    <w:rsid w:val="00131507"/>
    <w:rsid w:val="00131C77"/>
    <w:rsid w:val="00132C9F"/>
    <w:rsid w:val="00133367"/>
    <w:rsid w:val="00134354"/>
    <w:rsid w:val="0014190D"/>
    <w:rsid w:val="0014322F"/>
    <w:rsid w:val="00143DC6"/>
    <w:rsid w:val="00145333"/>
    <w:rsid w:val="00145446"/>
    <w:rsid w:val="00147265"/>
    <w:rsid w:val="00151E7B"/>
    <w:rsid w:val="0015398D"/>
    <w:rsid w:val="0015767A"/>
    <w:rsid w:val="0016105E"/>
    <w:rsid w:val="00161297"/>
    <w:rsid w:val="00164434"/>
    <w:rsid w:val="001656BE"/>
    <w:rsid w:val="0016597B"/>
    <w:rsid w:val="00166902"/>
    <w:rsid w:val="001669AD"/>
    <w:rsid w:val="00166AFD"/>
    <w:rsid w:val="001729F0"/>
    <w:rsid w:val="00173B30"/>
    <w:rsid w:val="00181774"/>
    <w:rsid w:val="00182066"/>
    <w:rsid w:val="001824DA"/>
    <w:rsid w:val="00184E39"/>
    <w:rsid w:val="00187D2F"/>
    <w:rsid w:val="00190B7B"/>
    <w:rsid w:val="00192E8F"/>
    <w:rsid w:val="001931EB"/>
    <w:rsid w:val="00193AFA"/>
    <w:rsid w:val="001961C1"/>
    <w:rsid w:val="00196B34"/>
    <w:rsid w:val="001A1185"/>
    <w:rsid w:val="001A4527"/>
    <w:rsid w:val="001A5195"/>
    <w:rsid w:val="001A5456"/>
    <w:rsid w:val="001A5C6B"/>
    <w:rsid w:val="001A675A"/>
    <w:rsid w:val="001A7E50"/>
    <w:rsid w:val="001B3DB9"/>
    <w:rsid w:val="001B40AC"/>
    <w:rsid w:val="001B4C7D"/>
    <w:rsid w:val="001B510F"/>
    <w:rsid w:val="001B53A6"/>
    <w:rsid w:val="001B58EA"/>
    <w:rsid w:val="001B5B0A"/>
    <w:rsid w:val="001C5D71"/>
    <w:rsid w:val="001D1EA9"/>
    <w:rsid w:val="001D35F2"/>
    <w:rsid w:val="001D4BF9"/>
    <w:rsid w:val="001D5416"/>
    <w:rsid w:val="001D7A61"/>
    <w:rsid w:val="001E01D6"/>
    <w:rsid w:val="001E188F"/>
    <w:rsid w:val="001E2F03"/>
    <w:rsid w:val="001E3BA9"/>
    <w:rsid w:val="001E5480"/>
    <w:rsid w:val="001E5515"/>
    <w:rsid w:val="001E6F0C"/>
    <w:rsid w:val="001E7666"/>
    <w:rsid w:val="001E7A7A"/>
    <w:rsid w:val="001F229C"/>
    <w:rsid w:val="001F2E6F"/>
    <w:rsid w:val="001F49B9"/>
    <w:rsid w:val="001F57A2"/>
    <w:rsid w:val="00207059"/>
    <w:rsid w:val="002072FC"/>
    <w:rsid w:val="002076A1"/>
    <w:rsid w:val="00211294"/>
    <w:rsid w:val="00213EC0"/>
    <w:rsid w:val="00214249"/>
    <w:rsid w:val="00216D29"/>
    <w:rsid w:val="00216FB8"/>
    <w:rsid w:val="00221354"/>
    <w:rsid w:val="00221F0C"/>
    <w:rsid w:val="002225E5"/>
    <w:rsid w:val="002230A3"/>
    <w:rsid w:val="002230CF"/>
    <w:rsid w:val="00227AFA"/>
    <w:rsid w:val="002341EF"/>
    <w:rsid w:val="0023510A"/>
    <w:rsid w:val="00235112"/>
    <w:rsid w:val="002353A6"/>
    <w:rsid w:val="00237456"/>
    <w:rsid w:val="0024056B"/>
    <w:rsid w:val="00241072"/>
    <w:rsid w:val="0024159E"/>
    <w:rsid w:val="00242334"/>
    <w:rsid w:val="0024245E"/>
    <w:rsid w:val="00244638"/>
    <w:rsid w:val="00244B39"/>
    <w:rsid w:val="00244CBF"/>
    <w:rsid w:val="00247B54"/>
    <w:rsid w:val="002505A0"/>
    <w:rsid w:val="00250D0C"/>
    <w:rsid w:val="002510F0"/>
    <w:rsid w:val="00251564"/>
    <w:rsid w:val="00251FD9"/>
    <w:rsid w:val="002525C6"/>
    <w:rsid w:val="00253128"/>
    <w:rsid w:val="00254A46"/>
    <w:rsid w:val="00254E2A"/>
    <w:rsid w:val="002579E9"/>
    <w:rsid w:val="002607BF"/>
    <w:rsid w:val="00261B4B"/>
    <w:rsid w:val="00262356"/>
    <w:rsid w:val="002658ED"/>
    <w:rsid w:val="00267107"/>
    <w:rsid w:val="00271EB3"/>
    <w:rsid w:val="00271FA7"/>
    <w:rsid w:val="00272F3D"/>
    <w:rsid w:val="0027338C"/>
    <w:rsid w:val="00276201"/>
    <w:rsid w:val="0028146B"/>
    <w:rsid w:val="00282B82"/>
    <w:rsid w:val="002846C1"/>
    <w:rsid w:val="00284CDD"/>
    <w:rsid w:val="00285052"/>
    <w:rsid w:val="0028507F"/>
    <w:rsid w:val="0028624B"/>
    <w:rsid w:val="002903A5"/>
    <w:rsid w:val="00291D43"/>
    <w:rsid w:val="00292610"/>
    <w:rsid w:val="00294DB7"/>
    <w:rsid w:val="00295769"/>
    <w:rsid w:val="0029608F"/>
    <w:rsid w:val="0029612A"/>
    <w:rsid w:val="002A177A"/>
    <w:rsid w:val="002A71C0"/>
    <w:rsid w:val="002A7A26"/>
    <w:rsid w:val="002B6E4E"/>
    <w:rsid w:val="002B763C"/>
    <w:rsid w:val="002C17B9"/>
    <w:rsid w:val="002C24CB"/>
    <w:rsid w:val="002C37AD"/>
    <w:rsid w:val="002C40A8"/>
    <w:rsid w:val="002C5A17"/>
    <w:rsid w:val="002C616E"/>
    <w:rsid w:val="002D0392"/>
    <w:rsid w:val="002D189A"/>
    <w:rsid w:val="002D5DEF"/>
    <w:rsid w:val="002D7742"/>
    <w:rsid w:val="002E02A2"/>
    <w:rsid w:val="002E0465"/>
    <w:rsid w:val="002E258F"/>
    <w:rsid w:val="002E3536"/>
    <w:rsid w:val="002E3A4B"/>
    <w:rsid w:val="002E3C28"/>
    <w:rsid w:val="002E40E3"/>
    <w:rsid w:val="002E48E1"/>
    <w:rsid w:val="002F0C5E"/>
    <w:rsid w:val="002F2439"/>
    <w:rsid w:val="002F3672"/>
    <w:rsid w:val="002F6265"/>
    <w:rsid w:val="00304860"/>
    <w:rsid w:val="00304C8E"/>
    <w:rsid w:val="00305318"/>
    <w:rsid w:val="00305FA1"/>
    <w:rsid w:val="0030611D"/>
    <w:rsid w:val="0031191B"/>
    <w:rsid w:val="003129ED"/>
    <w:rsid w:val="0031580A"/>
    <w:rsid w:val="00317C99"/>
    <w:rsid w:val="00320E13"/>
    <w:rsid w:val="00321097"/>
    <w:rsid w:val="003221D2"/>
    <w:rsid w:val="00325EA5"/>
    <w:rsid w:val="00327F8B"/>
    <w:rsid w:val="0033109A"/>
    <w:rsid w:val="003312B3"/>
    <w:rsid w:val="00332786"/>
    <w:rsid w:val="003334DD"/>
    <w:rsid w:val="003345C0"/>
    <w:rsid w:val="00334925"/>
    <w:rsid w:val="00334EE6"/>
    <w:rsid w:val="00337453"/>
    <w:rsid w:val="00344B5D"/>
    <w:rsid w:val="003501B6"/>
    <w:rsid w:val="0035038F"/>
    <w:rsid w:val="0035257C"/>
    <w:rsid w:val="003536FC"/>
    <w:rsid w:val="00355B42"/>
    <w:rsid w:val="003607E7"/>
    <w:rsid w:val="00362B44"/>
    <w:rsid w:val="00362EC2"/>
    <w:rsid w:val="003649A0"/>
    <w:rsid w:val="00364D82"/>
    <w:rsid w:val="00365088"/>
    <w:rsid w:val="00366EEF"/>
    <w:rsid w:val="00367D78"/>
    <w:rsid w:val="00370052"/>
    <w:rsid w:val="0037223C"/>
    <w:rsid w:val="00375D87"/>
    <w:rsid w:val="003769E1"/>
    <w:rsid w:val="00377608"/>
    <w:rsid w:val="00377E28"/>
    <w:rsid w:val="00385920"/>
    <w:rsid w:val="00387937"/>
    <w:rsid w:val="00390B1D"/>
    <w:rsid w:val="00392B9E"/>
    <w:rsid w:val="00393A8A"/>
    <w:rsid w:val="00393A9F"/>
    <w:rsid w:val="00394F48"/>
    <w:rsid w:val="00396251"/>
    <w:rsid w:val="003A1977"/>
    <w:rsid w:val="003A4263"/>
    <w:rsid w:val="003A7D57"/>
    <w:rsid w:val="003B0B54"/>
    <w:rsid w:val="003B3218"/>
    <w:rsid w:val="003B3FAC"/>
    <w:rsid w:val="003B5021"/>
    <w:rsid w:val="003B59A3"/>
    <w:rsid w:val="003B7D7E"/>
    <w:rsid w:val="003B7EDA"/>
    <w:rsid w:val="003C0445"/>
    <w:rsid w:val="003C2351"/>
    <w:rsid w:val="003C37E2"/>
    <w:rsid w:val="003C3C75"/>
    <w:rsid w:val="003D0C8B"/>
    <w:rsid w:val="003D2EE2"/>
    <w:rsid w:val="003D593D"/>
    <w:rsid w:val="003D5CDA"/>
    <w:rsid w:val="003E19EE"/>
    <w:rsid w:val="003E3A93"/>
    <w:rsid w:val="003E56FE"/>
    <w:rsid w:val="003F0A4F"/>
    <w:rsid w:val="003F1F57"/>
    <w:rsid w:val="003F5A99"/>
    <w:rsid w:val="003F5DCA"/>
    <w:rsid w:val="00400AA1"/>
    <w:rsid w:val="00400C10"/>
    <w:rsid w:val="00400F6D"/>
    <w:rsid w:val="004023F5"/>
    <w:rsid w:val="004034CF"/>
    <w:rsid w:val="0040381C"/>
    <w:rsid w:val="004045EB"/>
    <w:rsid w:val="00405B92"/>
    <w:rsid w:val="00407C99"/>
    <w:rsid w:val="00410E98"/>
    <w:rsid w:val="00411BAC"/>
    <w:rsid w:val="00412079"/>
    <w:rsid w:val="004137EF"/>
    <w:rsid w:val="004138A7"/>
    <w:rsid w:val="004154F5"/>
    <w:rsid w:val="00416684"/>
    <w:rsid w:val="00416E57"/>
    <w:rsid w:val="00417464"/>
    <w:rsid w:val="0041796F"/>
    <w:rsid w:val="004238D1"/>
    <w:rsid w:val="004248DE"/>
    <w:rsid w:val="004276EA"/>
    <w:rsid w:val="004307B1"/>
    <w:rsid w:val="004309A0"/>
    <w:rsid w:val="00430E87"/>
    <w:rsid w:val="00433E53"/>
    <w:rsid w:val="00435636"/>
    <w:rsid w:val="00435D65"/>
    <w:rsid w:val="00436097"/>
    <w:rsid w:val="00436D03"/>
    <w:rsid w:val="0044006E"/>
    <w:rsid w:val="004422B9"/>
    <w:rsid w:val="0044375C"/>
    <w:rsid w:val="00444FA6"/>
    <w:rsid w:val="004456CB"/>
    <w:rsid w:val="00445DB9"/>
    <w:rsid w:val="00450909"/>
    <w:rsid w:val="0045446E"/>
    <w:rsid w:val="00454A25"/>
    <w:rsid w:val="00454C5D"/>
    <w:rsid w:val="004553A3"/>
    <w:rsid w:val="00461000"/>
    <w:rsid w:val="00463184"/>
    <w:rsid w:val="0046389B"/>
    <w:rsid w:val="00463E76"/>
    <w:rsid w:val="00465309"/>
    <w:rsid w:val="004669D3"/>
    <w:rsid w:val="004702E1"/>
    <w:rsid w:val="00475150"/>
    <w:rsid w:val="00475592"/>
    <w:rsid w:val="004779BA"/>
    <w:rsid w:val="004802AE"/>
    <w:rsid w:val="004815A2"/>
    <w:rsid w:val="004824E4"/>
    <w:rsid w:val="004829C7"/>
    <w:rsid w:val="00490034"/>
    <w:rsid w:val="004912BB"/>
    <w:rsid w:val="00493E86"/>
    <w:rsid w:val="004965BE"/>
    <w:rsid w:val="004A0189"/>
    <w:rsid w:val="004A08F6"/>
    <w:rsid w:val="004A3280"/>
    <w:rsid w:val="004A37CD"/>
    <w:rsid w:val="004A4A0F"/>
    <w:rsid w:val="004A6409"/>
    <w:rsid w:val="004A6699"/>
    <w:rsid w:val="004A75C5"/>
    <w:rsid w:val="004A7A91"/>
    <w:rsid w:val="004B1892"/>
    <w:rsid w:val="004B26D1"/>
    <w:rsid w:val="004B4115"/>
    <w:rsid w:val="004B5B78"/>
    <w:rsid w:val="004B6526"/>
    <w:rsid w:val="004B7CBA"/>
    <w:rsid w:val="004C163B"/>
    <w:rsid w:val="004C3750"/>
    <w:rsid w:val="004C49E2"/>
    <w:rsid w:val="004C52BC"/>
    <w:rsid w:val="004C661E"/>
    <w:rsid w:val="004C6BC1"/>
    <w:rsid w:val="004D050D"/>
    <w:rsid w:val="004D0F2F"/>
    <w:rsid w:val="004D4127"/>
    <w:rsid w:val="004D51C3"/>
    <w:rsid w:val="004D563D"/>
    <w:rsid w:val="004E1346"/>
    <w:rsid w:val="004E2E79"/>
    <w:rsid w:val="004E5F43"/>
    <w:rsid w:val="004F0CEB"/>
    <w:rsid w:val="004F150C"/>
    <w:rsid w:val="004F1DF7"/>
    <w:rsid w:val="004F1EA0"/>
    <w:rsid w:val="004F3A94"/>
    <w:rsid w:val="004F5A94"/>
    <w:rsid w:val="00501B56"/>
    <w:rsid w:val="0050311B"/>
    <w:rsid w:val="0050347A"/>
    <w:rsid w:val="00505FC5"/>
    <w:rsid w:val="00510086"/>
    <w:rsid w:val="00510A55"/>
    <w:rsid w:val="00510C13"/>
    <w:rsid w:val="00511829"/>
    <w:rsid w:val="00512007"/>
    <w:rsid w:val="0051353E"/>
    <w:rsid w:val="00514A96"/>
    <w:rsid w:val="00514B19"/>
    <w:rsid w:val="00517806"/>
    <w:rsid w:val="005202C4"/>
    <w:rsid w:val="00520CAA"/>
    <w:rsid w:val="00522C88"/>
    <w:rsid w:val="00523893"/>
    <w:rsid w:val="00527A32"/>
    <w:rsid w:val="00527F21"/>
    <w:rsid w:val="005301BA"/>
    <w:rsid w:val="00531699"/>
    <w:rsid w:val="005324B9"/>
    <w:rsid w:val="005351A9"/>
    <w:rsid w:val="005352F7"/>
    <w:rsid w:val="00535D25"/>
    <w:rsid w:val="00536CC0"/>
    <w:rsid w:val="0054003D"/>
    <w:rsid w:val="00543441"/>
    <w:rsid w:val="00545B71"/>
    <w:rsid w:val="0055287D"/>
    <w:rsid w:val="0055604A"/>
    <w:rsid w:val="00560279"/>
    <w:rsid w:val="0056098C"/>
    <w:rsid w:val="00561B1C"/>
    <w:rsid w:val="00565C1F"/>
    <w:rsid w:val="005663EE"/>
    <w:rsid w:val="0056724E"/>
    <w:rsid w:val="00570F23"/>
    <w:rsid w:val="00572BC8"/>
    <w:rsid w:val="00573F25"/>
    <w:rsid w:val="005764A0"/>
    <w:rsid w:val="0057658A"/>
    <w:rsid w:val="005824A1"/>
    <w:rsid w:val="00583B23"/>
    <w:rsid w:val="00585C0B"/>
    <w:rsid w:val="00590662"/>
    <w:rsid w:val="00591962"/>
    <w:rsid w:val="00591D50"/>
    <w:rsid w:val="005922CE"/>
    <w:rsid w:val="005949EF"/>
    <w:rsid w:val="00596BF4"/>
    <w:rsid w:val="005973CC"/>
    <w:rsid w:val="00597AB3"/>
    <w:rsid w:val="005A0F85"/>
    <w:rsid w:val="005A18AF"/>
    <w:rsid w:val="005A26D3"/>
    <w:rsid w:val="005A69BC"/>
    <w:rsid w:val="005B17D7"/>
    <w:rsid w:val="005B1A50"/>
    <w:rsid w:val="005B309A"/>
    <w:rsid w:val="005B6287"/>
    <w:rsid w:val="005B69C9"/>
    <w:rsid w:val="005B77BB"/>
    <w:rsid w:val="005C4171"/>
    <w:rsid w:val="005C55A3"/>
    <w:rsid w:val="005C56F3"/>
    <w:rsid w:val="005C5948"/>
    <w:rsid w:val="005C6B39"/>
    <w:rsid w:val="005D0BA5"/>
    <w:rsid w:val="005D29EC"/>
    <w:rsid w:val="005D37E4"/>
    <w:rsid w:val="005D5432"/>
    <w:rsid w:val="005D7C83"/>
    <w:rsid w:val="005E0208"/>
    <w:rsid w:val="005E3A37"/>
    <w:rsid w:val="005E3E6B"/>
    <w:rsid w:val="005E49F4"/>
    <w:rsid w:val="005E61A0"/>
    <w:rsid w:val="005F1C14"/>
    <w:rsid w:val="0060118A"/>
    <w:rsid w:val="00602379"/>
    <w:rsid w:val="0060514B"/>
    <w:rsid w:val="00605C1E"/>
    <w:rsid w:val="00607407"/>
    <w:rsid w:val="00611830"/>
    <w:rsid w:val="006130ED"/>
    <w:rsid w:val="00614A7F"/>
    <w:rsid w:val="00616768"/>
    <w:rsid w:val="0062074C"/>
    <w:rsid w:val="006207FA"/>
    <w:rsid w:val="00622BFB"/>
    <w:rsid w:val="00623D28"/>
    <w:rsid w:val="00623D77"/>
    <w:rsid w:val="0062597C"/>
    <w:rsid w:val="00626A89"/>
    <w:rsid w:val="00633400"/>
    <w:rsid w:val="00633B4F"/>
    <w:rsid w:val="00634179"/>
    <w:rsid w:val="00634818"/>
    <w:rsid w:val="00635B83"/>
    <w:rsid w:val="00635D4C"/>
    <w:rsid w:val="006416F4"/>
    <w:rsid w:val="00643C08"/>
    <w:rsid w:val="00645220"/>
    <w:rsid w:val="00645F5B"/>
    <w:rsid w:val="00647E60"/>
    <w:rsid w:val="00651E10"/>
    <w:rsid w:val="00655E4B"/>
    <w:rsid w:val="00656CB6"/>
    <w:rsid w:val="00660B7A"/>
    <w:rsid w:val="0066466E"/>
    <w:rsid w:val="00665485"/>
    <w:rsid w:val="006654F6"/>
    <w:rsid w:val="0066685D"/>
    <w:rsid w:val="00666B6A"/>
    <w:rsid w:val="00670417"/>
    <w:rsid w:val="00672C81"/>
    <w:rsid w:val="006800E0"/>
    <w:rsid w:val="00684381"/>
    <w:rsid w:val="00684A15"/>
    <w:rsid w:val="006954AA"/>
    <w:rsid w:val="00695FEA"/>
    <w:rsid w:val="00697F0D"/>
    <w:rsid w:val="006A20E4"/>
    <w:rsid w:val="006A6E94"/>
    <w:rsid w:val="006B1AB1"/>
    <w:rsid w:val="006B3531"/>
    <w:rsid w:val="006B5701"/>
    <w:rsid w:val="006C0240"/>
    <w:rsid w:val="006C026C"/>
    <w:rsid w:val="006C0A18"/>
    <w:rsid w:val="006C348A"/>
    <w:rsid w:val="006C5CC2"/>
    <w:rsid w:val="006C60F2"/>
    <w:rsid w:val="006C6555"/>
    <w:rsid w:val="006C7385"/>
    <w:rsid w:val="006D020D"/>
    <w:rsid w:val="006D2992"/>
    <w:rsid w:val="006D32EA"/>
    <w:rsid w:val="006D7897"/>
    <w:rsid w:val="006E0D14"/>
    <w:rsid w:val="006E1155"/>
    <w:rsid w:val="006E17A1"/>
    <w:rsid w:val="006E1825"/>
    <w:rsid w:val="006E3F5E"/>
    <w:rsid w:val="006E4933"/>
    <w:rsid w:val="006E4D93"/>
    <w:rsid w:val="006E542C"/>
    <w:rsid w:val="006E6252"/>
    <w:rsid w:val="006E6A67"/>
    <w:rsid w:val="006F1918"/>
    <w:rsid w:val="006F19E2"/>
    <w:rsid w:val="006F262D"/>
    <w:rsid w:val="006F2DC3"/>
    <w:rsid w:val="006F35CB"/>
    <w:rsid w:val="006F41D7"/>
    <w:rsid w:val="006F4753"/>
    <w:rsid w:val="006F4DF9"/>
    <w:rsid w:val="006F7690"/>
    <w:rsid w:val="0070016A"/>
    <w:rsid w:val="0070207A"/>
    <w:rsid w:val="0070395C"/>
    <w:rsid w:val="00705410"/>
    <w:rsid w:val="00705E55"/>
    <w:rsid w:val="00707801"/>
    <w:rsid w:val="00710379"/>
    <w:rsid w:val="00710FA5"/>
    <w:rsid w:val="007114F0"/>
    <w:rsid w:val="007115D5"/>
    <w:rsid w:val="00713400"/>
    <w:rsid w:val="00714C3F"/>
    <w:rsid w:val="00716472"/>
    <w:rsid w:val="007171BA"/>
    <w:rsid w:val="0071739F"/>
    <w:rsid w:val="00720231"/>
    <w:rsid w:val="007205FC"/>
    <w:rsid w:val="007208D1"/>
    <w:rsid w:val="00721126"/>
    <w:rsid w:val="0072217D"/>
    <w:rsid w:val="007232A6"/>
    <w:rsid w:val="00723435"/>
    <w:rsid w:val="00724F99"/>
    <w:rsid w:val="00724FB9"/>
    <w:rsid w:val="007279D0"/>
    <w:rsid w:val="007301E6"/>
    <w:rsid w:val="007310A0"/>
    <w:rsid w:val="0073144B"/>
    <w:rsid w:val="00731AB6"/>
    <w:rsid w:val="00731FD0"/>
    <w:rsid w:val="007321EE"/>
    <w:rsid w:val="007352B5"/>
    <w:rsid w:val="00736466"/>
    <w:rsid w:val="00736472"/>
    <w:rsid w:val="00740558"/>
    <w:rsid w:val="00741C27"/>
    <w:rsid w:val="00742292"/>
    <w:rsid w:val="007423EC"/>
    <w:rsid w:val="00747E2E"/>
    <w:rsid w:val="00751BCC"/>
    <w:rsid w:val="00753813"/>
    <w:rsid w:val="00755CE0"/>
    <w:rsid w:val="00757704"/>
    <w:rsid w:val="0076137E"/>
    <w:rsid w:val="00762E19"/>
    <w:rsid w:val="00763838"/>
    <w:rsid w:val="00764314"/>
    <w:rsid w:val="00767B3F"/>
    <w:rsid w:val="007730D2"/>
    <w:rsid w:val="007768C9"/>
    <w:rsid w:val="0078081F"/>
    <w:rsid w:val="00780850"/>
    <w:rsid w:val="00781680"/>
    <w:rsid w:val="007819BF"/>
    <w:rsid w:val="00785BB5"/>
    <w:rsid w:val="007870C8"/>
    <w:rsid w:val="00792862"/>
    <w:rsid w:val="0079571F"/>
    <w:rsid w:val="007972B9"/>
    <w:rsid w:val="00797946"/>
    <w:rsid w:val="007A2896"/>
    <w:rsid w:val="007A2BCE"/>
    <w:rsid w:val="007A2D80"/>
    <w:rsid w:val="007A4603"/>
    <w:rsid w:val="007A5C8A"/>
    <w:rsid w:val="007B64EB"/>
    <w:rsid w:val="007B6C78"/>
    <w:rsid w:val="007B7F5F"/>
    <w:rsid w:val="007C0706"/>
    <w:rsid w:val="007C0934"/>
    <w:rsid w:val="007C0D86"/>
    <w:rsid w:val="007C1679"/>
    <w:rsid w:val="007C2764"/>
    <w:rsid w:val="007C2989"/>
    <w:rsid w:val="007C2BF3"/>
    <w:rsid w:val="007C729A"/>
    <w:rsid w:val="007C72DE"/>
    <w:rsid w:val="007C7E01"/>
    <w:rsid w:val="007D037E"/>
    <w:rsid w:val="007D07DB"/>
    <w:rsid w:val="007D0F1E"/>
    <w:rsid w:val="007D249E"/>
    <w:rsid w:val="007D2B39"/>
    <w:rsid w:val="007D4B52"/>
    <w:rsid w:val="007D4CBD"/>
    <w:rsid w:val="007D662C"/>
    <w:rsid w:val="007D7168"/>
    <w:rsid w:val="007E20A6"/>
    <w:rsid w:val="007E235F"/>
    <w:rsid w:val="007E3948"/>
    <w:rsid w:val="007E4060"/>
    <w:rsid w:val="007E6C25"/>
    <w:rsid w:val="007E7DE7"/>
    <w:rsid w:val="007F0238"/>
    <w:rsid w:val="007F0873"/>
    <w:rsid w:val="007F0D8D"/>
    <w:rsid w:val="007F3CB1"/>
    <w:rsid w:val="007F4203"/>
    <w:rsid w:val="007F5F09"/>
    <w:rsid w:val="007F6DF0"/>
    <w:rsid w:val="007F7462"/>
    <w:rsid w:val="007F7512"/>
    <w:rsid w:val="00800307"/>
    <w:rsid w:val="00802540"/>
    <w:rsid w:val="00802A89"/>
    <w:rsid w:val="008035CA"/>
    <w:rsid w:val="00806EC1"/>
    <w:rsid w:val="008102EB"/>
    <w:rsid w:val="0081056D"/>
    <w:rsid w:val="00810997"/>
    <w:rsid w:val="008136CC"/>
    <w:rsid w:val="00817CC6"/>
    <w:rsid w:val="0082046D"/>
    <w:rsid w:val="00822787"/>
    <w:rsid w:val="00822DD7"/>
    <w:rsid w:val="0082422A"/>
    <w:rsid w:val="008253D7"/>
    <w:rsid w:val="00831DF8"/>
    <w:rsid w:val="008342F1"/>
    <w:rsid w:val="008349BB"/>
    <w:rsid w:val="00835961"/>
    <w:rsid w:val="0083622E"/>
    <w:rsid w:val="00836E0F"/>
    <w:rsid w:val="0083704B"/>
    <w:rsid w:val="0083794E"/>
    <w:rsid w:val="00837BDF"/>
    <w:rsid w:val="00841861"/>
    <w:rsid w:val="008430D4"/>
    <w:rsid w:val="008438D8"/>
    <w:rsid w:val="00844AB3"/>
    <w:rsid w:val="00845075"/>
    <w:rsid w:val="00845990"/>
    <w:rsid w:val="00851020"/>
    <w:rsid w:val="0085128D"/>
    <w:rsid w:val="00851DD6"/>
    <w:rsid w:val="00854D4F"/>
    <w:rsid w:val="008570B3"/>
    <w:rsid w:val="0086052E"/>
    <w:rsid w:val="00862267"/>
    <w:rsid w:val="00862588"/>
    <w:rsid w:val="008634E9"/>
    <w:rsid w:val="00863D85"/>
    <w:rsid w:val="00863DDF"/>
    <w:rsid w:val="00865540"/>
    <w:rsid w:val="0086679B"/>
    <w:rsid w:val="0087106E"/>
    <w:rsid w:val="008729E8"/>
    <w:rsid w:val="00872EA4"/>
    <w:rsid w:val="00873937"/>
    <w:rsid w:val="00875337"/>
    <w:rsid w:val="008757ED"/>
    <w:rsid w:val="00875E87"/>
    <w:rsid w:val="008831CE"/>
    <w:rsid w:val="008840CF"/>
    <w:rsid w:val="00885A1F"/>
    <w:rsid w:val="00890EAF"/>
    <w:rsid w:val="008921B3"/>
    <w:rsid w:val="00892780"/>
    <w:rsid w:val="0089520D"/>
    <w:rsid w:val="0089675A"/>
    <w:rsid w:val="008A6FA5"/>
    <w:rsid w:val="008B244A"/>
    <w:rsid w:val="008B3935"/>
    <w:rsid w:val="008B701B"/>
    <w:rsid w:val="008C1464"/>
    <w:rsid w:val="008C1601"/>
    <w:rsid w:val="008C1802"/>
    <w:rsid w:val="008C1FDE"/>
    <w:rsid w:val="008C230A"/>
    <w:rsid w:val="008C2A3C"/>
    <w:rsid w:val="008C349E"/>
    <w:rsid w:val="008C3C9F"/>
    <w:rsid w:val="008C5284"/>
    <w:rsid w:val="008C529A"/>
    <w:rsid w:val="008C5812"/>
    <w:rsid w:val="008C61AC"/>
    <w:rsid w:val="008C6807"/>
    <w:rsid w:val="008C710E"/>
    <w:rsid w:val="008D10AA"/>
    <w:rsid w:val="008D3D76"/>
    <w:rsid w:val="008E217A"/>
    <w:rsid w:val="008E21A0"/>
    <w:rsid w:val="008E2202"/>
    <w:rsid w:val="008E231F"/>
    <w:rsid w:val="008E2944"/>
    <w:rsid w:val="008E2A2C"/>
    <w:rsid w:val="008E2AED"/>
    <w:rsid w:val="008E3BD1"/>
    <w:rsid w:val="008E7E55"/>
    <w:rsid w:val="008E7FB0"/>
    <w:rsid w:val="008F0B18"/>
    <w:rsid w:val="008F3BE4"/>
    <w:rsid w:val="00903EBD"/>
    <w:rsid w:val="00903EDF"/>
    <w:rsid w:val="00904490"/>
    <w:rsid w:val="00912738"/>
    <w:rsid w:val="0091378A"/>
    <w:rsid w:val="00913964"/>
    <w:rsid w:val="00915D8D"/>
    <w:rsid w:val="0091616E"/>
    <w:rsid w:val="00916C2D"/>
    <w:rsid w:val="00920A73"/>
    <w:rsid w:val="0092101D"/>
    <w:rsid w:val="00921F1B"/>
    <w:rsid w:val="009230EE"/>
    <w:rsid w:val="009242CD"/>
    <w:rsid w:val="00925135"/>
    <w:rsid w:val="00930FEC"/>
    <w:rsid w:val="009345F5"/>
    <w:rsid w:val="00935FA4"/>
    <w:rsid w:val="00936125"/>
    <w:rsid w:val="009367B2"/>
    <w:rsid w:val="00940BD9"/>
    <w:rsid w:val="009426B4"/>
    <w:rsid w:val="00943C4D"/>
    <w:rsid w:val="00943C7C"/>
    <w:rsid w:val="00943FB8"/>
    <w:rsid w:val="00944B81"/>
    <w:rsid w:val="009454BB"/>
    <w:rsid w:val="00946C36"/>
    <w:rsid w:val="00950BEE"/>
    <w:rsid w:val="00951408"/>
    <w:rsid w:val="00952A96"/>
    <w:rsid w:val="00955B40"/>
    <w:rsid w:val="00955FDA"/>
    <w:rsid w:val="00957676"/>
    <w:rsid w:val="009617AC"/>
    <w:rsid w:val="00964E81"/>
    <w:rsid w:val="00966549"/>
    <w:rsid w:val="009731A6"/>
    <w:rsid w:val="0097483C"/>
    <w:rsid w:val="00974E5B"/>
    <w:rsid w:val="00975855"/>
    <w:rsid w:val="00981E69"/>
    <w:rsid w:val="00983831"/>
    <w:rsid w:val="00984510"/>
    <w:rsid w:val="009845CE"/>
    <w:rsid w:val="0099070E"/>
    <w:rsid w:val="00991AC5"/>
    <w:rsid w:val="009937A1"/>
    <w:rsid w:val="009946DA"/>
    <w:rsid w:val="00995A03"/>
    <w:rsid w:val="00996CA7"/>
    <w:rsid w:val="0099768E"/>
    <w:rsid w:val="009A0078"/>
    <w:rsid w:val="009A041C"/>
    <w:rsid w:val="009A1E40"/>
    <w:rsid w:val="009A2890"/>
    <w:rsid w:val="009A589C"/>
    <w:rsid w:val="009A6964"/>
    <w:rsid w:val="009B239A"/>
    <w:rsid w:val="009B258D"/>
    <w:rsid w:val="009B4874"/>
    <w:rsid w:val="009B5332"/>
    <w:rsid w:val="009B5DF5"/>
    <w:rsid w:val="009B5EE4"/>
    <w:rsid w:val="009C0C95"/>
    <w:rsid w:val="009C374A"/>
    <w:rsid w:val="009C5207"/>
    <w:rsid w:val="009C5625"/>
    <w:rsid w:val="009D50F1"/>
    <w:rsid w:val="009D6088"/>
    <w:rsid w:val="009E0BF0"/>
    <w:rsid w:val="009E1058"/>
    <w:rsid w:val="009E13F5"/>
    <w:rsid w:val="009E1581"/>
    <w:rsid w:val="009E1B8F"/>
    <w:rsid w:val="009E408B"/>
    <w:rsid w:val="009E53EA"/>
    <w:rsid w:val="009E5B93"/>
    <w:rsid w:val="009E6BE5"/>
    <w:rsid w:val="009E6CCE"/>
    <w:rsid w:val="009F22B7"/>
    <w:rsid w:val="009F41CB"/>
    <w:rsid w:val="009F4FDB"/>
    <w:rsid w:val="00A007A1"/>
    <w:rsid w:val="00A00FD4"/>
    <w:rsid w:val="00A02BD0"/>
    <w:rsid w:val="00A03468"/>
    <w:rsid w:val="00A038F1"/>
    <w:rsid w:val="00A03A51"/>
    <w:rsid w:val="00A0403C"/>
    <w:rsid w:val="00A06B8F"/>
    <w:rsid w:val="00A07674"/>
    <w:rsid w:val="00A11BB5"/>
    <w:rsid w:val="00A13720"/>
    <w:rsid w:val="00A13E2D"/>
    <w:rsid w:val="00A1404D"/>
    <w:rsid w:val="00A1462C"/>
    <w:rsid w:val="00A14DB9"/>
    <w:rsid w:val="00A15B2E"/>
    <w:rsid w:val="00A20ECA"/>
    <w:rsid w:val="00A21F9B"/>
    <w:rsid w:val="00A220DD"/>
    <w:rsid w:val="00A22589"/>
    <w:rsid w:val="00A23FC9"/>
    <w:rsid w:val="00A24A0F"/>
    <w:rsid w:val="00A27043"/>
    <w:rsid w:val="00A2752C"/>
    <w:rsid w:val="00A3113A"/>
    <w:rsid w:val="00A348D0"/>
    <w:rsid w:val="00A35222"/>
    <w:rsid w:val="00A35352"/>
    <w:rsid w:val="00A41C21"/>
    <w:rsid w:val="00A433A7"/>
    <w:rsid w:val="00A44002"/>
    <w:rsid w:val="00A44027"/>
    <w:rsid w:val="00A44090"/>
    <w:rsid w:val="00A44123"/>
    <w:rsid w:val="00A443F3"/>
    <w:rsid w:val="00A44906"/>
    <w:rsid w:val="00A57151"/>
    <w:rsid w:val="00A57C80"/>
    <w:rsid w:val="00A57EC4"/>
    <w:rsid w:val="00A60B15"/>
    <w:rsid w:val="00A63414"/>
    <w:rsid w:val="00A6560D"/>
    <w:rsid w:val="00A65A8E"/>
    <w:rsid w:val="00A66C02"/>
    <w:rsid w:val="00A712BD"/>
    <w:rsid w:val="00A71AE6"/>
    <w:rsid w:val="00A72726"/>
    <w:rsid w:val="00A752E6"/>
    <w:rsid w:val="00A760E1"/>
    <w:rsid w:val="00A762DC"/>
    <w:rsid w:val="00A827AD"/>
    <w:rsid w:val="00A8400C"/>
    <w:rsid w:val="00A87B71"/>
    <w:rsid w:val="00A90D11"/>
    <w:rsid w:val="00A9390A"/>
    <w:rsid w:val="00A963A4"/>
    <w:rsid w:val="00A96670"/>
    <w:rsid w:val="00AA2BFD"/>
    <w:rsid w:val="00AA2FE9"/>
    <w:rsid w:val="00AA31CE"/>
    <w:rsid w:val="00AA42D7"/>
    <w:rsid w:val="00AA5E66"/>
    <w:rsid w:val="00AA66BB"/>
    <w:rsid w:val="00AB037A"/>
    <w:rsid w:val="00AB0C33"/>
    <w:rsid w:val="00AB1B31"/>
    <w:rsid w:val="00AB3A79"/>
    <w:rsid w:val="00AB4821"/>
    <w:rsid w:val="00AB5A98"/>
    <w:rsid w:val="00AC02D9"/>
    <w:rsid w:val="00AC1F50"/>
    <w:rsid w:val="00AC27EF"/>
    <w:rsid w:val="00AC46BD"/>
    <w:rsid w:val="00AC6D44"/>
    <w:rsid w:val="00AD2EE1"/>
    <w:rsid w:val="00AD5187"/>
    <w:rsid w:val="00AD693A"/>
    <w:rsid w:val="00AE0D5B"/>
    <w:rsid w:val="00AE33B7"/>
    <w:rsid w:val="00AE43B1"/>
    <w:rsid w:val="00AE7341"/>
    <w:rsid w:val="00AF4591"/>
    <w:rsid w:val="00AF7272"/>
    <w:rsid w:val="00B01B8B"/>
    <w:rsid w:val="00B024E3"/>
    <w:rsid w:val="00B06038"/>
    <w:rsid w:val="00B0648E"/>
    <w:rsid w:val="00B0770B"/>
    <w:rsid w:val="00B07967"/>
    <w:rsid w:val="00B15165"/>
    <w:rsid w:val="00B15C62"/>
    <w:rsid w:val="00B1672B"/>
    <w:rsid w:val="00B21D9F"/>
    <w:rsid w:val="00B22F1B"/>
    <w:rsid w:val="00B30614"/>
    <w:rsid w:val="00B310D8"/>
    <w:rsid w:val="00B32DC0"/>
    <w:rsid w:val="00B332EF"/>
    <w:rsid w:val="00B41940"/>
    <w:rsid w:val="00B42368"/>
    <w:rsid w:val="00B42B02"/>
    <w:rsid w:val="00B43F33"/>
    <w:rsid w:val="00B447A2"/>
    <w:rsid w:val="00B45A56"/>
    <w:rsid w:val="00B4689B"/>
    <w:rsid w:val="00B47C62"/>
    <w:rsid w:val="00B50203"/>
    <w:rsid w:val="00B506ED"/>
    <w:rsid w:val="00B519CD"/>
    <w:rsid w:val="00B55EA8"/>
    <w:rsid w:val="00B56DCC"/>
    <w:rsid w:val="00B57004"/>
    <w:rsid w:val="00B625A3"/>
    <w:rsid w:val="00B62894"/>
    <w:rsid w:val="00B63D43"/>
    <w:rsid w:val="00B64604"/>
    <w:rsid w:val="00B64D6B"/>
    <w:rsid w:val="00B64FA3"/>
    <w:rsid w:val="00B65DF2"/>
    <w:rsid w:val="00B67E58"/>
    <w:rsid w:val="00B7252B"/>
    <w:rsid w:val="00B733E5"/>
    <w:rsid w:val="00B738B2"/>
    <w:rsid w:val="00B75EC8"/>
    <w:rsid w:val="00B807EE"/>
    <w:rsid w:val="00B809E8"/>
    <w:rsid w:val="00B810F6"/>
    <w:rsid w:val="00B82124"/>
    <w:rsid w:val="00B821C3"/>
    <w:rsid w:val="00B831F5"/>
    <w:rsid w:val="00B8415A"/>
    <w:rsid w:val="00B84263"/>
    <w:rsid w:val="00B902DC"/>
    <w:rsid w:val="00B91188"/>
    <w:rsid w:val="00B94A5E"/>
    <w:rsid w:val="00BA01C3"/>
    <w:rsid w:val="00BA0677"/>
    <w:rsid w:val="00BA1023"/>
    <w:rsid w:val="00BA1335"/>
    <w:rsid w:val="00BA26B5"/>
    <w:rsid w:val="00BA3E47"/>
    <w:rsid w:val="00BA5A3B"/>
    <w:rsid w:val="00BA717D"/>
    <w:rsid w:val="00BB0A6A"/>
    <w:rsid w:val="00BB21C9"/>
    <w:rsid w:val="00BB2212"/>
    <w:rsid w:val="00BB7351"/>
    <w:rsid w:val="00BB780B"/>
    <w:rsid w:val="00BC1D9F"/>
    <w:rsid w:val="00BC250F"/>
    <w:rsid w:val="00BC35A9"/>
    <w:rsid w:val="00BC4F25"/>
    <w:rsid w:val="00BC5415"/>
    <w:rsid w:val="00BC56A5"/>
    <w:rsid w:val="00BC5FD2"/>
    <w:rsid w:val="00BD11A7"/>
    <w:rsid w:val="00BD2630"/>
    <w:rsid w:val="00BD4BB3"/>
    <w:rsid w:val="00BD53D1"/>
    <w:rsid w:val="00BE00AC"/>
    <w:rsid w:val="00BE29ED"/>
    <w:rsid w:val="00BE3A5D"/>
    <w:rsid w:val="00BE4C02"/>
    <w:rsid w:val="00BE60AA"/>
    <w:rsid w:val="00BE66E6"/>
    <w:rsid w:val="00BE7159"/>
    <w:rsid w:val="00BE7251"/>
    <w:rsid w:val="00BF0F6F"/>
    <w:rsid w:val="00BF4295"/>
    <w:rsid w:val="00BF49DE"/>
    <w:rsid w:val="00BF4CB2"/>
    <w:rsid w:val="00BF4F50"/>
    <w:rsid w:val="00BF50AA"/>
    <w:rsid w:val="00BF728A"/>
    <w:rsid w:val="00BF733D"/>
    <w:rsid w:val="00C00DE4"/>
    <w:rsid w:val="00C02E28"/>
    <w:rsid w:val="00C0408F"/>
    <w:rsid w:val="00C10CCA"/>
    <w:rsid w:val="00C15DF5"/>
    <w:rsid w:val="00C22A91"/>
    <w:rsid w:val="00C22F83"/>
    <w:rsid w:val="00C23477"/>
    <w:rsid w:val="00C27706"/>
    <w:rsid w:val="00C31DC9"/>
    <w:rsid w:val="00C3253C"/>
    <w:rsid w:val="00C33E24"/>
    <w:rsid w:val="00C33E25"/>
    <w:rsid w:val="00C34035"/>
    <w:rsid w:val="00C363AC"/>
    <w:rsid w:val="00C41D47"/>
    <w:rsid w:val="00C43FAD"/>
    <w:rsid w:val="00C44EDA"/>
    <w:rsid w:val="00C470A0"/>
    <w:rsid w:val="00C471AE"/>
    <w:rsid w:val="00C50D05"/>
    <w:rsid w:val="00C51D76"/>
    <w:rsid w:val="00C52C0B"/>
    <w:rsid w:val="00C52C46"/>
    <w:rsid w:val="00C53DBE"/>
    <w:rsid w:val="00C57B48"/>
    <w:rsid w:val="00C62F98"/>
    <w:rsid w:val="00C63835"/>
    <w:rsid w:val="00C638C4"/>
    <w:rsid w:val="00C63F34"/>
    <w:rsid w:val="00C646BF"/>
    <w:rsid w:val="00C650A2"/>
    <w:rsid w:val="00C669DD"/>
    <w:rsid w:val="00C72205"/>
    <w:rsid w:val="00C72404"/>
    <w:rsid w:val="00C756F9"/>
    <w:rsid w:val="00C75DCE"/>
    <w:rsid w:val="00C773D6"/>
    <w:rsid w:val="00C86C6D"/>
    <w:rsid w:val="00C8704E"/>
    <w:rsid w:val="00C87839"/>
    <w:rsid w:val="00C878A3"/>
    <w:rsid w:val="00C90BBD"/>
    <w:rsid w:val="00C95144"/>
    <w:rsid w:val="00C96DDD"/>
    <w:rsid w:val="00CA11A5"/>
    <w:rsid w:val="00CA5544"/>
    <w:rsid w:val="00CA56B6"/>
    <w:rsid w:val="00CA5C1C"/>
    <w:rsid w:val="00CA6299"/>
    <w:rsid w:val="00CA6A15"/>
    <w:rsid w:val="00CB212E"/>
    <w:rsid w:val="00CB4583"/>
    <w:rsid w:val="00CB675F"/>
    <w:rsid w:val="00CB6BA4"/>
    <w:rsid w:val="00CB6C60"/>
    <w:rsid w:val="00CB7762"/>
    <w:rsid w:val="00CB7B02"/>
    <w:rsid w:val="00CC14BA"/>
    <w:rsid w:val="00CC64F2"/>
    <w:rsid w:val="00CD349F"/>
    <w:rsid w:val="00CD42D1"/>
    <w:rsid w:val="00CD5915"/>
    <w:rsid w:val="00CD5A6B"/>
    <w:rsid w:val="00CD5B9C"/>
    <w:rsid w:val="00CD675A"/>
    <w:rsid w:val="00CD7FDC"/>
    <w:rsid w:val="00CE1505"/>
    <w:rsid w:val="00CE179E"/>
    <w:rsid w:val="00CE370E"/>
    <w:rsid w:val="00CE3822"/>
    <w:rsid w:val="00CE4B9B"/>
    <w:rsid w:val="00CE58F8"/>
    <w:rsid w:val="00CE7B40"/>
    <w:rsid w:val="00CF445B"/>
    <w:rsid w:val="00CF61D4"/>
    <w:rsid w:val="00CF7139"/>
    <w:rsid w:val="00CF7D79"/>
    <w:rsid w:val="00D0006E"/>
    <w:rsid w:val="00D01944"/>
    <w:rsid w:val="00D03842"/>
    <w:rsid w:val="00D108B7"/>
    <w:rsid w:val="00D149C3"/>
    <w:rsid w:val="00D163BC"/>
    <w:rsid w:val="00D164D8"/>
    <w:rsid w:val="00D16500"/>
    <w:rsid w:val="00D203C8"/>
    <w:rsid w:val="00D230A4"/>
    <w:rsid w:val="00D30050"/>
    <w:rsid w:val="00D30641"/>
    <w:rsid w:val="00D30E33"/>
    <w:rsid w:val="00D31E1C"/>
    <w:rsid w:val="00D32D32"/>
    <w:rsid w:val="00D34B0A"/>
    <w:rsid w:val="00D3526F"/>
    <w:rsid w:val="00D35997"/>
    <w:rsid w:val="00D35F99"/>
    <w:rsid w:val="00D36976"/>
    <w:rsid w:val="00D422B8"/>
    <w:rsid w:val="00D43CE9"/>
    <w:rsid w:val="00D50340"/>
    <w:rsid w:val="00D5074A"/>
    <w:rsid w:val="00D50FE3"/>
    <w:rsid w:val="00D5233F"/>
    <w:rsid w:val="00D53084"/>
    <w:rsid w:val="00D54A7E"/>
    <w:rsid w:val="00D55277"/>
    <w:rsid w:val="00D55610"/>
    <w:rsid w:val="00D6114B"/>
    <w:rsid w:val="00D61F19"/>
    <w:rsid w:val="00D6256C"/>
    <w:rsid w:val="00D639B9"/>
    <w:rsid w:val="00D646F2"/>
    <w:rsid w:val="00D660E4"/>
    <w:rsid w:val="00D6746A"/>
    <w:rsid w:val="00D70888"/>
    <w:rsid w:val="00D72E32"/>
    <w:rsid w:val="00D73547"/>
    <w:rsid w:val="00D738C3"/>
    <w:rsid w:val="00D744AE"/>
    <w:rsid w:val="00D74C97"/>
    <w:rsid w:val="00D76BCE"/>
    <w:rsid w:val="00D8043D"/>
    <w:rsid w:val="00D806A8"/>
    <w:rsid w:val="00D80C4E"/>
    <w:rsid w:val="00D810DD"/>
    <w:rsid w:val="00D82108"/>
    <w:rsid w:val="00D829DA"/>
    <w:rsid w:val="00D8342E"/>
    <w:rsid w:val="00D83563"/>
    <w:rsid w:val="00D85649"/>
    <w:rsid w:val="00D90964"/>
    <w:rsid w:val="00D91D22"/>
    <w:rsid w:val="00D92CF1"/>
    <w:rsid w:val="00D9740C"/>
    <w:rsid w:val="00D97806"/>
    <w:rsid w:val="00D97931"/>
    <w:rsid w:val="00DA0D17"/>
    <w:rsid w:val="00DA1331"/>
    <w:rsid w:val="00DA20AD"/>
    <w:rsid w:val="00DA7071"/>
    <w:rsid w:val="00DB0F53"/>
    <w:rsid w:val="00DB1B8D"/>
    <w:rsid w:val="00DB22B6"/>
    <w:rsid w:val="00DB2523"/>
    <w:rsid w:val="00DB356B"/>
    <w:rsid w:val="00DB3F00"/>
    <w:rsid w:val="00DB46F7"/>
    <w:rsid w:val="00DB583E"/>
    <w:rsid w:val="00DB5871"/>
    <w:rsid w:val="00DB73C6"/>
    <w:rsid w:val="00DC1353"/>
    <w:rsid w:val="00DC3474"/>
    <w:rsid w:val="00DC3E63"/>
    <w:rsid w:val="00DC6604"/>
    <w:rsid w:val="00DC74DD"/>
    <w:rsid w:val="00DC79B1"/>
    <w:rsid w:val="00DC7D9E"/>
    <w:rsid w:val="00DD569D"/>
    <w:rsid w:val="00DE00BC"/>
    <w:rsid w:val="00DE543D"/>
    <w:rsid w:val="00DE62EC"/>
    <w:rsid w:val="00DE7B53"/>
    <w:rsid w:val="00DF0B44"/>
    <w:rsid w:val="00DF0E70"/>
    <w:rsid w:val="00DF12C5"/>
    <w:rsid w:val="00DF1848"/>
    <w:rsid w:val="00DF2744"/>
    <w:rsid w:val="00DF2D00"/>
    <w:rsid w:val="00DF4368"/>
    <w:rsid w:val="00DF46B2"/>
    <w:rsid w:val="00DF4986"/>
    <w:rsid w:val="00DF6546"/>
    <w:rsid w:val="00DF65DD"/>
    <w:rsid w:val="00E00FAF"/>
    <w:rsid w:val="00E016F8"/>
    <w:rsid w:val="00E017B4"/>
    <w:rsid w:val="00E021C7"/>
    <w:rsid w:val="00E02BEF"/>
    <w:rsid w:val="00E04563"/>
    <w:rsid w:val="00E04C0D"/>
    <w:rsid w:val="00E05231"/>
    <w:rsid w:val="00E065E7"/>
    <w:rsid w:val="00E06808"/>
    <w:rsid w:val="00E06E4F"/>
    <w:rsid w:val="00E07671"/>
    <w:rsid w:val="00E078BE"/>
    <w:rsid w:val="00E11E84"/>
    <w:rsid w:val="00E122A6"/>
    <w:rsid w:val="00E1247F"/>
    <w:rsid w:val="00E13931"/>
    <w:rsid w:val="00E148AB"/>
    <w:rsid w:val="00E1781D"/>
    <w:rsid w:val="00E2299C"/>
    <w:rsid w:val="00E2309D"/>
    <w:rsid w:val="00E23273"/>
    <w:rsid w:val="00E25BC7"/>
    <w:rsid w:val="00E27175"/>
    <w:rsid w:val="00E31420"/>
    <w:rsid w:val="00E3275F"/>
    <w:rsid w:val="00E354C5"/>
    <w:rsid w:val="00E37F4B"/>
    <w:rsid w:val="00E40ACE"/>
    <w:rsid w:val="00E4114D"/>
    <w:rsid w:val="00E41DB8"/>
    <w:rsid w:val="00E41E4F"/>
    <w:rsid w:val="00E426F1"/>
    <w:rsid w:val="00E45A99"/>
    <w:rsid w:val="00E463BD"/>
    <w:rsid w:val="00E46877"/>
    <w:rsid w:val="00E537AC"/>
    <w:rsid w:val="00E56560"/>
    <w:rsid w:val="00E56E0C"/>
    <w:rsid w:val="00E577CD"/>
    <w:rsid w:val="00E61F21"/>
    <w:rsid w:val="00E642B2"/>
    <w:rsid w:val="00E727B2"/>
    <w:rsid w:val="00E7738F"/>
    <w:rsid w:val="00E81B2F"/>
    <w:rsid w:val="00E847B5"/>
    <w:rsid w:val="00E84844"/>
    <w:rsid w:val="00E84A3B"/>
    <w:rsid w:val="00E851AE"/>
    <w:rsid w:val="00E87BA2"/>
    <w:rsid w:val="00E90EAD"/>
    <w:rsid w:val="00E92634"/>
    <w:rsid w:val="00E9364B"/>
    <w:rsid w:val="00EA3AAC"/>
    <w:rsid w:val="00EA6216"/>
    <w:rsid w:val="00EA6531"/>
    <w:rsid w:val="00EA7109"/>
    <w:rsid w:val="00EA7782"/>
    <w:rsid w:val="00EA7E8C"/>
    <w:rsid w:val="00EB0821"/>
    <w:rsid w:val="00EB1553"/>
    <w:rsid w:val="00EB4D23"/>
    <w:rsid w:val="00EB6D94"/>
    <w:rsid w:val="00EB74FB"/>
    <w:rsid w:val="00EC2A9D"/>
    <w:rsid w:val="00EC327A"/>
    <w:rsid w:val="00EC36E4"/>
    <w:rsid w:val="00EC4000"/>
    <w:rsid w:val="00EC78AF"/>
    <w:rsid w:val="00ED0785"/>
    <w:rsid w:val="00ED3103"/>
    <w:rsid w:val="00ED3F71"/>
    <w:rsid w:val="00EE54C4"/>
    <w:rsid w:val="00EF0A8A"/>
    <w:rsid w:val="00EF3180"/>
    <w:rsid w:val="00EF39BF"/>
    <w:rsid w:val="00EF43AA"/>
    <w:rsid w:val="00EF45A6"/>
    <w:rsid w:val="00EF45FB"/>
    <w:rsid w:val="00EF4CEE"/>
    <w:rsid w:val="00EF5414"/>
    <w:rsid w:val="00F02322"/>
    <w:rsid w:val="00F04F73"/>
    <w:rsid w:val="00F10510"/>
    <w:rsid w:val="00F12216"/>
    <w:rsid w:val="00F13773"/>
    <w:rsid w:val="00F140A1"/>
    <w:rsid w:val="00F14A64"/>
    <w:rsid w:val="00F15A56"/>
    <w:rsid w:val="00F15C7F"/>
    <w:rsid w:val="00F210C2"/>
    <w:rsid w:val="00F24693"/>
    <w:rsid w:val="00F250D3"/>
    <w:rsid w:val="00F25819"/>
    <w:rsid w:val="00F2677D"/>
    <w:rsid w:val="00F35358"/>
    <w:rsid w:val="00F402D2"/>
    <w:rsid w:val="00F40547"/>
    <w:rsid w:val="00F4230C"/>
    <w:rsid w:val="00F44C8E"/>
    <w:rsid w:val="00F44D53"/>
    <w:rsid w:val="00F45DF3"/>
    <w:rsid w:val="00F478AA"/>
    <w:rsid w:val="00F50FBA"/>
    <w:rsid w:val="00F53204"/>
    <w:rsid w:val="00F547C7"/>
    <w:rsid w:val="00F55DBA"/>
    <w:rsid w:val="00F62E0D"/>
    <w:rsid w:val="00F63610"/>
    <w:rsid w:val="00F63A21"/>
    <w:rsid w:val="00F63F4E"/>
    <w:rsid w:val="00F64D74"/>
    <w:rsid w:val="00F70688"/>
    <w:rsid w:val="00F71169"/>
    <w:rsid w:val="00F71194"/>
    <w:rsid w:val="00F712E7"/>
    <w:rsid w:val="00F7144A"/>
    <w:rsid w:val="00F7167B"/>
    <w:rsid w:val="00F76B95"/>
    <w:rsid w:val="00F7740B"/>
    <w:rsid w:val="00F806BF"/>
    <w:rsid w:val="00F80ED2"/>
    <w:rsid w:val="00F81C7F"/>
    <w:rsid w:val="00F83411"/>
    <w:rsid w:val="00F8384A"/>
    <w:rsid w:val="00F83C81"/>
    <w:rsid w:val="00F867DB"/>
    <w:rsid w:val="00F874AE"/>
    <w:rsid w:val="00F9358B"/>
    <w:rsid w:val="00F94DC7"/>
    <w:rsid w:val="00F96B1E"/>
    <w:rsid w:val="00F97D82"/>
    <w:rsid w:val="00FA39BF"/>
    <w:rsid w:val="00FA3BF0"/>
    <w:rsid w:val="00FA5089"/>
    <w:rsid w:val="00FA60E5"/>
    <w:rsid w:val="00FA676A"/>
    <w:rsid w:val="00FA680F"/>
    <w:rsid w:val="00FB080A"/>
    <w:rsid w:val="00FB1640"/>
    <w:rsid w:val="00FB32E0"/>
    <w:rsid w:val="00FB5BAB"/>
    <w:rsid w:val="00FC29CC"/>
    <w:rsid w:val="00FC2A4B"/>
    <w:rsid w:val="00FC5514"/>
    <w:rsid w:val="00FC6F5D"/>
    <w:rsid w:val="00FD064A"/>
    <w:rsid w:val="00FD07A3"/>
    <w:rsid w:val="00FD13A6"/>
    <w:rsid w:val="00FD2C10"/>
    <w:rsid w:val="00FD3ED7"/>
    <w:rsid w:val="00FD71FC"/>
    <w:rsid w:val="00FD74EA"/>
    <w:rsid w:val="00FD75F8"/>
    <w:rsid w:val="00FE0B0B"/>
    <w:rsid w:val="00FE104E"/>
    <w:rsid w:val="00FE745F"/>
    <w:rsid w:val="00FE784F"/>
    <w:rsid w:val="00FF09C6"/>
    <w:rsid w:val="00FF1663"/>
    <w:rsid w:val="00FF652A"/>
    <w:rsid w:val="00FF7D0B"/>
    <w:rsid w:val="00FF7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9FD91B"/>
  <w15:chartTrackingRefBased/>
  <w15:docId w15:val="{ECA506A5-D876-404E-B998-C01399795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4FA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2">
    <w:name w:val="CM12"/>
    <w:basedOn w:val="Normal"/>
    <w:next w:val="Normal"/>
    <w:uiPriority w:val="99"/>
    <w:rsid w:val="00444FA6"/>
    <w:rPr>
      <w:sz w:val="24"/>
      <w:szCs w:val="24"/>
    </w:rPr>
  </w:style>
  <w:style w:type="paragraph" w:customStyle="1" w:styleId="Default">
    <w:name w:val="Default"/>
    <w:rsid w:val="00444FA6"/>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iPriority w:val="99"/>
    <w:unhideWhenUsed/>
    <w:qFormat/>
    <w:rsid w:val="00444FA6"/>
    <w:rPr>
      <w:color w:val="0000FF"/>
      <w:u w:val="single"/>
    </w:rPr>
  </w:style>
  <w:style w:type="paragraph" w:styleId="Header">
    <w:name w:val="header"/>
    <w:basedOn w:val="Normal"/>
    <w:link w:val="HeaderChar"/>
    <w:uiPriority w:val="99"/>
    <w:unhideWhenUsed/>
    <w:rsid w:val="00444FA6"/>
    <w:pPr>
      <w:tabs>
        <w:tab w:val="center" w:pos="4680"/>
        <w:tab w:val="right" w:pos="9360"/>
      </w:tabs>
    </w:pPr>
  </w:style>
  <w:style w:type="character" w:customStyle="1" w:styleId="HeaderChar">
    <w:name w:val="Header Char"/>
    <w:basedOn w:val="DefaultParagraphFont"/>
    <w:link w:val="Header"/>
    <w:uiPriority w:val="99"/>
    <w:rsid w:val="00444FA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44FA6"/>
    <w:pPr>
      <w:tabs>
        <w:tab w:val="center" w:pos="4680"/>
        <w:tab w:val="right" w:pos="9360"/>
      </w:tabs>
    </w:pPr>
  </w:style>
  <w:style w:type="character" w:customStyle="1" w:styleId="FooterChar">
    <w:name w:val="Footer Char"/>
    <w:basedOn w:val="DefaultParagraphFont"/>
    <w:link w:val="Footer"/>
    <w:uiPriority w:val="99"/>
    <w:rsid w:val="00444FA6"/>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444FA6"/>
    <w:rPr>
      <w:sz w:val="16"/>
      <w:szCs w:val="16"/>
    </w:rPr>
  </w:style>
  <w:style w:type="paragraph" w:styleId="CommentText">
    <w:name w:val="annotation text"/>
    <w:basedOn w:val="Normal"/>
    <w:link w:val="CommentTextChar"/>
    <w:uiPriority w:val="99"/>
    <w:unhideWhenUsed/>
    <w:rsid w:val="00444FA6"/>
  </w:style>
  <w:style w:type="character" w:customStyle="1" w:styleId="CommentTextChar">
    <w:name w:val="Comment Text Char"/>
    <w:basedOn w:val="DefaultParagraphFont"/>
    <w:link w:val="CommentText"/>
    <w:uiPriority w:val="99"/>
    <w:rsid w:val="00444FA6"/>
    <w:rPr>
      <w:rFonts w:ascii="Times New Roman" w:eastAsia="Times New Roman" w:hAnsi="Times New Roman" w:cs="Times New Roman"/>
      <w:sz w:val="20"/>
      <w:szCs w:val="20"/>
    </w:rPr>
  </w:style>
  <w:style w:type="table" w:styleId="TableGrid">
    <w:name w:val="Table Grid"/>
    <w:basedOn w:val="TableNormal"/>
    <w:uiPriority w:val="59"/>
    <w:rsid w:val="00444FA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uiPriority w:val="99"/>
    <w:rsid w:val="00444FA6"/>
    <w:rPr>
      <w:rFonts w:ascii="Times New Roman" w:eastAsia="Calibri" w:hAnsi="Times New Roman"/>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
    <w:basedOn w:val="Normal"/>
    <w:link w:val="FootnoteTextChar"/>
    <w:uiPriority w:val="99"/>
    <w:unhideWhenUsed/>
    <w:qFormat/>
    <w:rsid w:val="00444FA6"/>
    <w:pPr>
      <w:widowControl/>
      <w:autoSpaceDE/>
      <w:autoSpaceDN/>
      <w:adjustRightInd/>
    </w:pPr>
    <w:rPr>
      <w:rFonts w:eastAsia="Calibri" w:cstheme="minorBidi"/>
      <w:sz w:val="22"/>
      <w:szCs w:val="22"/>
    </w:rPr>
  </w:style>
  <w:style w:type="character" w:customStyle="1" w:styleId="FootnoteTextChar1">
    <w:name w:val="Footnote Text Char1"/>
    <w:basedOn w:val="DefaultParagraphFont"/>
    <w:uiPriority w:val="99"/>
    <w:semiHidden/>
    <w:rsid w:val="00444FA6"/>
    <w:rPr>
      <w:rFonts w:ascii="Times New Roman" w:eastAsia="Times New Roman" w:hAnsi="Times New Roman" w:cs="Times New Roman"/>
      <w:sz w:val="20"/>
      <w:szCs w:val="20"/>
    </w:rPr>
  </w:style>
  <w:style w:type="character" w:styleId="FootnoteReference">
    <w:name w:val="footnote reference"/>
    <w:uiPriority w:val="99"/>
    <w:semiHidden/>
    <w:unhideWhenUsed/>
    <w:rsid w:val="00444FA6"/>
    <w:rPr>
      <w:vertAlign w:val="superscript"/>
    </w:rPr>
  </w:style>
  <w:style w:type="paragraph" w:styleId="NoSpacing">
    <w:name w:val="No Spacing"/>
    <w:uiPriority w:val="1"/>
    <w:qFormat/>
    <w:rsid w:val="00444FA6"/>
    <w:pPr>
      <w:spacing w:after="0" w:line="240" w:lineRule="auto"/>
    </w:pPr>
    <w:rPr>
      <w:rFonts w:ascii="Times New Roman" w:eastAsia="Calibri" w:hAnsi="Times New Roman" w:cs="Times New Roman"/>
      <w:sz w:val="20"/>
      <w:szCs w:val="24"/>
    </w:rPr>
  </w:style>
  <w:style w:type="paragraph" w:customStyle="1" w:styleId="CM10">
    <w:name w:val="CM10"/>
    <w:basedOn w:val="Default"/>
    <w:next w:val="Default"/>
    <w:uiPriority w:val="99"/>
    <w:rsid w:val="00444FA6"/>
    <w:rPr>
      <w:color w:val="auto"/>
    </w:rPr>
  </w:style>
  <w:style w:type="table" w:customStyle="1" w:styleId="TableGrid1">
    <w:name w:val="Table Grid1"/>
    <w:basedOn w:val="TableNormal"/>
    <w:next w:val="TableGrid"/>
    <w:uiPriority w:val="59"/>
    <w:rsid w:val="00444FA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44FA6"/>
    <w:pPr>
      <w:adjustRightInd/>
    </w:pPr>
    <w:rPr>
      <w:sz w:val="24"/>
      <w:szCs w:val="24"/>
      <w:lang w:bidi="en-US"/>
    </w:rPr>
  </w:style>
  <w:style w:type="character" w:customStyle="1" w:styleId="BodyTextChar">
    <w:name w:val="Body Text Char"/>
    <w:basedOn w:val="DefaultParagraphFont"/>
    <w:link w:val="BodyText"/>
    <w:uiPriority w:val="1"/>
    <w:rsid w:val="00444FA6"/>
    <w:rPr>
      <w:rFonts w:ascii="Times New Roman" w:eastAsia="Times New Roman" w:hAnsi="Times New Roman" w:cs="Times New Roman"/>
      <w:sz w:val="24"/>
      <w:szCs w:val="24"/>
      <w:lang w:bidi="en-US"/>
    </w:rPr>
  </w:style>
  <w:style w:type="paragraph" w:styleId="BalloonText">
    <w:name w:val="Balloon Text"/>
    <w:basedOn w:val="Normal"/>
    <w:link w:val="BalloonTextChar"/>
    <w:uiPriority w:val="99"/>
    <w:semiHidden/>
    <w:unhideWhenUsed/>
    <w:rsid w:val="00444F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FA6"/>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A14DB9"/>
    <w:rPr>
      <w:b/>
      <w:bCs/>
    </w:rPr>
  </w:style>
  <w:style w:type="character" w:customStyle="1" w:styleId="CommentSubjectChar">
    <w:name w:val="Comment Subject Char"/>
    <w:basedOn w:val="CommentTextChar"/>
    <w:link w:val="CommentSubject"/>
    <w:uiPriority w:val="99"/>
    <w:semiHidden/>
    <w:rsid w:val="00A14DB9"/>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6A6E94"/>
    <w:rPr>
      <w:color w:val="605E5C"/>
      <w:shd w:val="clear" w:color="auto" w:fill="E1DFDD"/>
    </w:rPr>
  </w:style>
  <w:style w:type="character" w:styleId="FollowedHyperlink">
    <w:name w:val="FollowedHyperlink"/>
    <w:basedOn w:val="DefaultParagraphFont"/>
    <w:uiPriority w:val="99"/>
    <w:semiHidden/>
    <w:unhideWhenUsed/>
    <w:rsid w:val="005D7C83"/>
    <w:rPr>
      <w:color w:val="800080" w:themeColor="followedHyperlink"/>
      <w:u w:val="single"/>
    </w:rPr>
  </w:style>
  <w:style w:type="paragraph" w:styleId="ListParagraph">
    <w:name w:val="List Paragraph"/>
    <w:basedOn w:val="Normal"/>
    <w:uiPriority w:val="34"/>
    <w:qFormat/>
    <w:rsid w:val="00D35997"/>
    <w:pPr>
      <w:ind w:left="720"/>
      <w:contextualSpacing/>
    </w:pPr>
  </w:style>
  <w:style w:type="paragraph" w:styleId="Revision">
    <w:name w:val="Revision"/>
    <w:hidden/>
    <w:uiPriority w:val="99"/>
    <w:semiHidden/>
    <w:rsid w:val="002230A3"/>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571027">
      <w:bodyDiv w:val="1"/>
      <w:marLeft w:val="0"/>
      <w:marRight w:val="0"/>
      <w:marTop w:val="0"/>
      <w:marBottom w:val="0"/>
      <w:divBdr>
        <w:top w:val="none" w:sz="0" w:space="0" w:color="auto"/>
        <w:left w:val="none" w:sz="0" w:space="0" w:color="auto"/>
        <w:bottom w:val="none" w:sz="0" w:space="0" w:color="auto"/>
        <w:right w:val="none" w:sz="0" w:space="0" w:color="auto"/>
      </w:divBdr>
    </w:div>
    <w:div w:id="1350569892">
      <w:bodyDiv w:val="1"/>
      <w:marLeft w:val="0"/>
      <w:marRight w:val="0"/>
      <w:marTop w:val="0"/>
      <w:marBottom w:val="0"/>
      <w:divBdr>
        <w:top w:val="none" w:sz="0" w:space="0" w:color="auto"/>
        <w:left w:val="none" w:sz="0" w:space="0" w:color="auto"/>
        <w:bottom w:val="none" w:sz="0" w:space="0" w:color="auto"/>
        <w:right w:val="none" w:sz="0" w:space="0" w:color="auto"/>
      </w:divBdr>
    </w:div>
    <w:div w:id="1458837468">
      <w:bodyDiv w:val="1"/>
      <w:marLeft w:val="0"/>
      <w:marRight w:val="0"/>
      <w:marTop w:val="0"/>
      <w:marBottom w:val="0"/>
      <w:divBdr>
        <w:top w:val="none" w:sz="0" w:space="0" w:color="auto"/>
        <w:left w:val="none" w:sz="0" w:space="0" w:color="auto"/>
        <w:bottom w:val="none" w:sz="0" w:space="0" w:color="auto"/>
        <w:right w:val="none" w:sz="0" w:space="0" w:color="auto"/>
      </w:divBdr>
    </w:div>
    <w:div w:id="204362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info.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ulations.gov/docketBrowser?rpp=25&amp;so=DESC&amp;sb=commentDueDate&amp;po=0&amp;D=CFPB-2019-000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onsumerfinance.gov/policy-compliance/notice-opportunities-comment/archive-closed/call-for-evidence/" TargetMode="External"/><Relationship Id="rId2" Type="http://schemas.openxmlformats.org/officeDocument/2006/relationships/hyperlink" Target="https://www.regulations.gov/docketBrowser?rpp=25&amp;so=DESC&amp;sb=commentDueDate&amp;po=0&amp;dct=PS&amp;D=CFPB-2016-0025" TargetMode="External"/><Relationship Id="rId1" Type="http://schemas.openxmlformats.org/officeDocument/2006/relationships/hyperlink" Target="https://files.consumerfinance.gov/f/documents/cfpb_ratification_payment-provisions_2020-07.pdf" TargetMode="External"/><Relationship Id="rId4" Type="http://schemas.openxmlformats.org/officeDocument/2006/relationships/hyperlink" Target="http://www.bls.gov/oes/current/oessrc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3190E2FEB88440A39C3F89755716B8" ma:contentTypeVersion="12" ma:contentTypeDescription="Create a new document." ma:contentTypeScope="" ma:versionID="4f0d03ea3dde7eb451a624c7d5626bdd">
  <xsd:schema xmlns:xsd="http://www.w3.org/2001/XMLSchema" xmlns:xs="http://www.w3.org/2001/XMLSchema" xmlns:p="http://schemas.microsoft.com/office/2006/metadata/properties" xmlns:ns3="de889ae0-8a1a-4232-9f8d-124a150fc1b6" xmlns:ns4="22f72fb6-db45-40e3-833c-b31fec6cc4ed" targetNamespace="http://schemas.microsoft.com/office/2006/metadata/properties" ma:root="true" ma:fieldsID="25d55b18e8ca413aa5c6c4bcc2c77863" ns3:_="" ns4:_="">
    <xsd:import namespace="de889ae0-8a1a-4232-9f8d-124a150fc1b6"/>
    <xsd:import namespace="22f72fb6-db45-40e3-833c-b31fec6cc4e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89ae0-8a1a-4232-9f8d-124a150fc1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f72fb6-db45-40e3-833c-b31fec6cc4e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BAC37-A7C5-4B3A-B641-F04DE5AC40AD}">
  <ds:schemaRefs>
    <ds:schemaRef ds:uri="de889ae0-8a1a-4232-9f8d-124a150fc1b6"/>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22f72fb6-db45-40e3-833c-b31fec6cc4ed"/>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6C95E38-9BB1-4F72-BEE8-C2F7ACB68819}">
  <ds:schemaRefs>
    <ds:schemaRef ds:uri="http://schemas.microsoft.com/sharepoint/v3/contenttype/forms"/>
  </ds:schemaRefs>
</ds:datastoreItem>
</file>

<file path=customXml/itemProps3.xml><?xml version="1.0" encoding="utf-8"?>
<ds:datastoreItem xmlns:ds="http://schemas.openxmlformats.org/officeDocument/2006/customXml" ds:itemID="{2F329358-7BC6-4EBC-947F-E24B16773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89ae0-8a1a-4232-9f8d-124a150fc1b6"/>
    <ds:schemaRef ds:uri="22f72fb6-db45-40e3-833c-b31fec6cc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90916C-9E0F-48C4-85F5-CE7E2533D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5715</Words>
  <Characters>32577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38216</CharactersWithSpaces>
  <SharedDoc>false</SharedDoc>
  <HLinks>
    <vt:vector size="36" baseType="variant">
      <vt:variant>
        <vt:i4>3014779</vt:i4>
      </vt:variant>
      <vt:variant>
        <vt:i4>3</vt:i4>
      </vt:variant>
      <vt:variant>
        <vt:i4>0</vt:i4>
      </vt:variant>
      <vt:variant>
        <vt:i4>5</vt:i4>
      </vt:variant>
      <vt:variant>
        <vt:lpwstr>http://www.reginfo.gov/</vt:lpwstr>
      </vt:variant>
      <vt:variant>
        <vt:lpwstr/>
      </vt:variant>
      <vt:variant>
        <vt:i4>1179732</vt:i4>
      </vt:variant>
      <vt:variant>
        <vt:i4>0</vt:i4>
      </vt:variant>
      <vt:variant>
        <vt:i4>0</vt:i4>
      </vt:variant>
      <vt:variant>
        <vt:i4>5</vt:i4>
      </vt:variant>
      <vt:variant>
        <vt:lpwstr>https://www.regulations.gov/docketBrowser?rpp=25&amp;so=DESC&amp;sb=commentDueDate&amp;po=0&amp;D=CFPB-2019-0006</vt:lpwstr>
      </vt:variant>
      <vt:variant>
        <vt:lpwstr/>
      </vt:variant>
      <vt:variant>
        <vt:i4>3473521</vt:i4>
      </vt:variant>
      <vt:variant>
        <vt:i4>6</vt:i4>
      </vt:variant>
      <vt:variant>
        <vt:i4>0</vt:i4>
      </vt:variant>
      <vt:variant>
        <vt:i4>5</vt:i4>
      </vt:variant>
      <vt:variant>
        <vt:lpwstr>http://www.bls.gov/oes/current/oessrci.htm</vt:lpwstr>
      </vt:variant>
      <vt:variant>
        <vt:lpwstr/>
      </vt:variant>
      <vt:variant>
        <vt:i4>1900557</vt:i4>
      </vt:variant>
      <vt:variant>
        <vt:i4>3</vt:i4>
      </vt:variant>
      <vt:variant>
        <vt:i4>0</vt:i4>
      </vt:variant>
      <vt:variant>
        <vt:i4>5</vt:i4>
      </vt:variant>
      <vt:variant>
        <vt:lpwstr>https://www.consumerfinance.gov/policy-compliance/notice-opportunities-comment/archive-closed/call-for-evidence/</vt:lpwstr>
      </vt:variant>
      <vt:variant>
        <vt:lpwstr/>
      </vt:variant>
      <vt:variant>
        <vt:i4>7340134</vt:i4>
      </vt:variant>
      <vt:variant>
        <vt:i4>0</vt:i4>
      </vt:variant>
      <vt:variant>
        <vt:i4>0</vt:i4>
      </vt:variant>
      <vt:variant>
        <vt:i4>5</vt:i4>
      </vt:variant>
      <vt:variant>
        <vt:lpwstr>https://www.regulations.gov/docketBrowser?rpp=25&amp;so=DESC&amp;sb=commentDueDate&amp;po=0&amp;dct=PS&amp;D=CFPB-2016-0025</vt:lpwstr>
      </vt:variant>
      <vt:variant>
        <vt:lpwstr/>
      </vt:variant>
      <vt:variant>
        <vt:i4>7274592</vt:i4>
      </vt:variant>
      <vt:variant>
        <vt:i4>0</vt:i4>
      </vt:variant>
      <vt:variant>
        <vt:i4>0</vt:i4>
      </vt:variant>
      <vt:variant>
        <vt:i4>5</vt:i4>
      </vt:variant>
      <vt:variant>
        <vt:lpwstr>https://www.consumerfinance.gov/documents/7271/cfpb_payday_small-entity-compliance-guide.pdf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Gibbs, Christa (CFPB)</dc:creator>
  <cp:keywords/>
  <dc:description/>
  <cp:lastModifiedBy>King, Darrin (CFPB)</cp:lastModifiedBy>
  <cp:revision>3</cp:revision>
  <dcterms:created xsi:type="dcterms:W3CDTF">2020-09-24T16:15:00Z</dcterms:created>
  <dcterms:modified xsi:type="dcterms:W3CDTF">2020-09-24T16:15:00Z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0x0101009A3190E2FEB88440A39C3F89755716B8</vt:lpwstr>
  </property>
</Properties>
</file>