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E07FF" w:rsidR="00A94885" w:rsidP="00784166" w:rsidRDefault="00784166" w14:paraId="1E3023E1" w14:textId="4C6F99C7">
      <w:pPr>
        <w:rPr>
          <w:b/>
        </w:rPr>
      </w:pPr>
      <w:r>
        <w:rPr>
          <w:b/>
        </w:rPr>
        <w:t>Alaska Plan End of Term Commitments</w:t>
      </w:r>
      <w:r>
        <w:rPr>
          <w:b/>
        </w:rPr>
        <w:tab/>
      </w:r>
      <w:r w:rsidRPr="00EE07FF" w:rsidR="00EE07FF">
        <w:rPr>
          <w:b/>
        </w:rPr>
        <w:tab/>
      </w:r>
      <w:r w:rsidRPr="00EE07FF" w:rsidR="00EE07FF">
        <w:rPr>
          <w:b/>
        </w:rPr>
        <w:tab/>
      </w:r>
      <w:r w:rsidRPr="00EE07FF" w:rsidR="00EE07FF">
        <w:rPr>
          <w:b/>
        </w:rPr>
        <w:tab/>
      </w:r>
      <w:r w:rsidRPr="00EE07FF" w:rsidR="00EE07FF">
        <w:rPr>
          <w:b/>
        </w:rPr>
        <w:tab/>
      </w:r>
      <w:r w:rsidR="00EE07FF">
        <w:rPr>
          <w:b/>
        </w:rPr>
        <w:t xml:space="preserve">          </w:t>
      </w:r>
      <w:r>
        <w:rPr>
          <w:b/>
        </w:rPr>
        <w:tab/>
      </w:r>
      <w:r w:rsidR="009D19AA">
        <w:rPr>
          <w:b/>
        </w:rPr>
        <w:t xml:space="preserve">   </w:t>
      </w:r>
      <w:r>
        <w:rPr>
          <w:b/>
        </w:rPr>
        <w:t>3060-XXXX</w:t>
      </w:r>
      <w:r>
        <w:rPr>
          <w:b/>
        </w:rPr>
        <w:tab/>
      </w:r>
    </w:p>
    <w:p w:rsidR="00EE07FF" w:rsidP="00EE07FF" w:rsidRDefault="009D19AA" w14:paraId="37DD370B" w14:textId="608FF4D9">
      <w:pPr>
        <w:jc w:val="right"/>
        <w:rPr>
          <w:b/>
        </w:rPr>
      </w:pPr>
      <w:r>
        <w:rPr>
          <w:b/>
        </w:rPr>
        <w:t>August</w:t>
      </w:r>
      <w:r w:rsidRPr="00EE07FF" w:rsidR="00EE07FF">
        <w:rPr>
          <w:b/>
        </w:rPr>
        <w:t xml:space="preserve"> 2020</w:t>
      </w:r>
    </w:p>
    <w:p w:rsidR="00EE07FF" w:rsidP="00EE07FF" w:rsidRDefault="00EE07FF" w14:paraId="3C9585B3" w14:textId="77777777">
      <w:pPr>
        <w:rPr>
          <w:b/>
        </w:rPr>
      </w:pPr>
    </w:p>
    <w:p w:rsidR="00EE07FF" w:rsidP="00EE07FF" w:rsidRDefault="00EE07FF" w14:paraId="4F3702A9" w14:textId="77777777">
      <w:pPr>
        <w:rPr>
          <w:b/>
        </w:rPr>
      </w:pPr>
    </w:p>
    <w:p w:rsidRPr="00AC27FF" w:rsidR="00EE07FF" w:rsidP="00EE07FF" w:rsidRDefault="00EE07FF" w14:paraId="0C6DF70C" w14:textId="77777777">
      <w:pPr>
        <w:jc w:val="center"/>
        <w:rPr>
          <w:szCs w:val="24"/>
        </w:rPr>
      </w:pPr>
      <w:r w:rsidRPr="00AC27FF">
        <w:rPr>
          <w:szCs w:val="24"/>
        </w:rPr>
        <w:t>SUPPORTING STATEMENT</w:t>
      </w:r>
    </w:p>
    <w:p w:rsidRPr="00AC27FF" w:rsidR="00EE07FF" w:rsidP="00EE07FF" w:rsidRDefault="00EE07FF" w14:paraId="71AB3F2E" w14:textId="77777777">
      <w:pPr>
        <w:jc w:val="center"/>
        <w:rPr>
          <w:b/>
          <w:szCs w:val="24"/>
        </w:rPr>
      </w:pPr>
    </w:p>
    <w:p w:rsidRPr="000E731F" w:rsidR="00EE07FF" w:rsidP="00EE07FF" w:rsidRDefault="00EE07FF" w14:paraId="51A3ADEA" w14:textId="6954D695">
      <w:r>
        <w:t xml:space="preserve">This </w:t>
      </w:r>
      <w:r w:rsidR="00784166">
        <w:t xml:space="preserve">new information </w:t>
      </w:r>
      <w:r>
        <w:t>collection is</w:t>
      </w:r>
      <w:r w:rsidRPr="000E731F">
        <w:t xml:space="preserve"> being submitt</w:t>
      </w:r>
      <w:r>
        <w:t xml:space="preserve">ed </w:t>
      </w:r>
      <w:r w:rsidRPr="000E731F">
        <w:t>to</w:t>
      </w:r>
      <w:r w:rsidR="00784166">
        <w:t xml:space="preserve"> obtain</w:t>
      </w:r>
      <w:r w:rsidRPr="000E731F">
        <w:t xml:space="preserve"> </w:t>
      </w:r>
      <w:r>
        <w:t xml:space="preserve">the Office of Management and Budget (OMB) </w:t>
      </w:r>
      <w:r w:rsidR="00784166">
        <w:t xml:space="preserve">approval </w:t>
      </w:r>
      <w:r w:rsidR="002623CD">
        <w:t xml:space="preserve">for </w:t>
      </w:r>
      <w:r w:rsidR="00ED4CF2">
        <w:t xml:space="preserve">a </w:t>
      </w:r>
      <w:r w:rsidR="00784166">
        <w:t xml:space="preserve">new </w:t>
      </w:r>
      <w:r w:rsidR="00ED4CF2">
        <w:t>one-time</w:t>
      </w:r>
      <w:r w:rsidR="00AF2992">
        <w:t xml:space="preserve"> </w:t>
      </w:r>
      <w:r>
        <w:t xml:space="preserve">information collection requirement as a result of </w:t>
      </w:r>
      <w:r w:rsidR="00D14AF0">
        <w:t xml:space="preserve">a Federal Communications </w:t>
      </w:r>
      <w:r>
        <w:t>Commission</w:t>
      </w:r>
      <w:r w:rsidR="007C3FBE">
        <w:t xml:space="preserve"> (FCC or Commission</w:t>
      </w:r>
      <w:r w:rsidR="00ED4CF2">
        <w:t>)</w:t>
      </w:r>
      <w:r>
        <w:t xml:space="preserve"> order as explained below. </w:t>
      </w:r>
    </w:p>
    <w:p w:rsidRPr="00AC27FF" w:rsidR="00EE07FF" w:rsidP="00EE07FF" w:rsidRDefault="00EE07FF" w14:paraId="0F53BA8F" w14:textId="77777777">
      <w:pPr>
        <w:jc w:val="center"/>
        <w:rPr>
          <w:b/>
          <w:szCs w:val="24"/>
        </w:rPr>
      </w:pPr>
    </w:p>
    <w:p w:rsidRPr="00EE07FF" w:rsidR="00EE07FF" w:rsidP="00EE07FF" w:rsidRDefault="00EE07FF" w14:paraId="1A28BD8B" w14:textId="77777777">
      <w:pPr>
        <w:pStyle w:val="ListParagraph"/>
        <w:numPr>
          <w:ilvl w:val="0"/>
          <w:numId w:val="2"/>
        </w:numPr>
        <w:rPr>
          <w:b/>
          <w:szCs w:val="24"/>
        </w:rPr>
      </w:pPr>
      <w:r w:rsidRPr="00EE07FF">
        <w:rPr>
          <w:b/>
          <w:szCs w:val="24"/>
          <w:u w:val="single"/>
        </w:rPr>
        <w:t>Justification</w:t>
      </w:r>
      <w:r w:rsidRPr="00EE07FF">
        <w:rPr>
          <w:b/>
          <w:szCs w:val="24"/>
        </w:rPr>
        <w:t>:</w:t>
      </w:r>
    </w:p>
    <w:p w:rsidRPr="00AC27FF" w:rsidR="00EE07FF" w:rsidP="00EE07FF" w:rsidRDefault="00EE07FF" w14:paraId="27FC3CD0" w14:textId="77777777">
      <w:pPr>
        <w:rPr>
          <w:szCs w:val="24"/>
        </w:rPr>
      </w:pPr>
    </w:p>
    <w:p w:rsidR="00F850DB" w:rsidP="00784166" w:rsidRDefault="00EE07FF" w14:paraId="59CF2B27" w14:textId="34D8DA5D">
      <w:pPr>
        <w:numPr>
          <w:ilvl w:val="0"/>
          <w:numId w:val="1"/>
        </w:numPr>
        <w:rPr>
          <w:szCs w:val="24"/>
        </w:rPr>
      </w:pPr>
      <w:r w:rsidRPr="00615254">
        <w:rPr>
          <w:i/>
          <w:kern w:val="28"/>
        </w:rPr>
        <w:t>Circumstances that make the collection necessary.</w:t>
      </w:r>
      <w:r w:rsidR="00784166">
        <w:rPr>
          <w:kern w:val="28"/>
        </w:rPr>
        <w:t xml:space="preserve">  </w:t>
      </w:r>
      <w:r w:rsidR="00AF2992">
        <w:rPr>
          <w:kern w:val="28"/>
        </w:rPr>
        <w:t xml:space="preserve">On </w:t>
      </w:r>
      <w:r w:rsidR="007C3FBE">
        <w:rPr>
          <w:kern w:val="28"/>
        </w:rPr>
        <w:t xml:space="preserve">August 23, 2016, the </w:t>
      </w:r>
      <w:r w:rsidR="003650F4">
        <w:rPr>
          <w:kern w:val="28"/>
        </w:rPr>
        <w:t xml:space="preserve">Commission adopted the </w:t>
      </w:r>
      <w:r w:rsidR="003650F4">
        <w:rPr>
          <w:i/>
          <w:kern w:val="28"/>
        </w:rPr>
        <w:t>Alaska Plan Order</w:t>
      </w:r>
      <w:r w:rsidR="004275EC">
        <w:rPr>
          <w:snapToGrid w:val="0"/>
          <w:kern w:val="28"/>
          <w:szCs w:val="24"/>
          <w:lang w:bidi="he-IL"/>
        </w:rPr>
        <w:t>.</w:t>
      </w:r>
      <w:r w:rsidRPr="00084739" w:rsidR="004275EC">
        <w:rPr>
          <w:color w:val="000000"/>
          <w:szCs w:val="24"/>
        </w:rPr>
        <w:t xml:space="preserve">  </w:t>
      </w:r>
      <w:r w:rsidRPr="00084739" w:rsidR="004275EC">
        <w:rPr>
          <w:i/>
          <w:color w:val="000000"/>
          <w:szCs w:val="24"/>
        </w:rPr>
        <w:t>See</w:t>
      </w:r>
      <w:r w:rsidRPr="00084739" w:rsidR="004275EC">
        <w:rPr>
          <w:color w:val="000000"/>
          <w:szCs w:val="24"/>
        </w:rPr>
        <w:t xml:space="preserve"> </w:t>
      </w:r>
      <w:r w:rsidRPr="00084739" w:rsidR="004275EC">
        <w:rPr>
          <w:i/>
          <w:color w:val="000000"/>
          <w:szCs w:val="24"/>
        </w:rPr>
        <w:t xml:space="preserve">Connect America Fund et al., </w:t>
      </w:r>
      <w:r w:rsidR="004275EC">
        <w:rPr>
          <w:color w:val="000000"/>
          <w:szCs w:val="24"/>
        </w:rPr>
        <w:t xml:space="preserve">WC Docket Nos. 10-90, 16-271, WT Docket No. 10-208, </w:t>
      </w:r>
      <w:r w:rsidRPr="00084739" w:rsidR="004275EC">
        <w:rPr>
          <w:szCs w:val="24"/>
        </w:rPr>
        <w:t>Report and Order and Further Notice of Proposed Rulemaking, 31 FCC Rcd 10139 (2016) (</w:t>
      </w:r>
      <w:r w:rsidRPr="00084739" w:rsidR="004275EC">
        <w:rPr>
          <w:i/>
          <w:szCs w:val="24"/>
        </w:rPr>
        <w:t>Alaska Plan Order</w:t>
      </w:r>
      <w:r w:rsidRPr="00084739" w:rsidR="004275EC">
        <w:rPr>
          <w:szCs w:val="24"/>
        </w:rPr>
        <w:t>).</w:t>
      </w:r>
      <w:r w:rsidR="004275EC">
        <w:rPr>
          <w:szCs w:val="24"/>
        </w:rPr>
        <w:t xml:space="preserve">  In that order, the Commission adopted a plan for providing Alaskan rate-of-return carriers and competitive E</w:t>
      </w:r>
      <w:r w:rsidR="00A92755">
        <w:rPr>
          <w:szCs w:val="24"/>
        </w:rPr>
        <w:t>ligible Telecommunications Carriers (E</w:t>
      </w:r>
      <w:r w:rsidR="004275EC">
        <w:rPr>
          <w:szCs w:val="24"/>
        </w:rPr>
        <w:t>TCs</w:t>
      </w:r>
      <w:r w:rsidR="00A92755">
        <w:rPr>
          <w:szCs w:val="24"/>
        </w:rPr>
        <w:t>)</w:t>
      </w:r>
      <w:r w:rsidR="004275EC">
        <w:rPr>
          <w:szCs w:val="24"/>
        </w:rPr>
        <w:t xml:space="preserve"> the option to obtain a fixed level of funding for a defined term in exchange for committing to deployment obligations that are tailored to each Alaskan carrier’s circumstances.  </w:t>
      </w:r>
      <w:r w:rsidR="006B4F2A">
        <w:rPr>
          <w:szCs w:val="24"/>
        </w:rPr>
        <w:t>A requirement adopted in the</w:t>
      </w:r>
      <w:r w:rsidR="004275EC">
        <w:rPr>
          <w:szCs w:val="24"/>
        </w:rPr>
        <w:t xml:space="preserve"> </w:t>
      </w:r>
      <w:r w:rsidR="004275EC">
        <w:rPr>
          <w:i/>
          <w:szCs w:val="24"/>
        </w:rPr>
        <w:t xml:space="preserve">Alaska Plan Order </w:t>
      </w:r>
      <w:r w:rsidR="004275EC">
        <w:rPr>
          <w:szCs w:val="24"/>
        </w:rPr>
        <w:t xml:space="preserve">requires </w:t>
      </w:r>
      <w:r w:rsidRPr="004275EC" w:rsidR="004275EC">
        <w:rPr>
          <w:szCs w:val="24"/>
        </w:rPr>
        <w:t>that participating carriers update their end-of-term commitments no later than the end of the fourth</w:t>
      </w:r>
      <w:r w:rsidR="006D456D">
        <w:rPr>
          <w:szCs w:val="24"/>
        </w:rPr>
        <w:t xml:space="preserve"> </w:t>
      </w:r>
      <w:r w:rsidRPr="004275EC" w:rsidR="004275EC">
        <w:rPr>
          <w:szCs w:val="24"/>
        </w:rPr>
        <w:t>year of suppor</w:t>
      </w:r>
      <w:r w:rsidR="006D456D">
        <w:rPr>
          <w:szCs w:val="24"/>
        </w:rPr>
        <w:t>t, i.e., by December 3</w:t>
      </w:r>
      <w:r w:rsidR="00A046EE">
        <w:rPr>
          <w:szCs w:val="24"/>
        </w:rPr>
        <w:t>1, 2020.</w:t>
      </w:r>
      <w:r w:rsidR="006D456D">
        <w:rPr>
          <w:szCs w:val="24"/>
        </w:rPr>
        <w:t xml:space="preserve">  </w:t>
      </w:r>
      <w:r w:rsidR="006D456D">
        <w:rPr>
          <w:i/>
          <w:szCs w:val="24"/>
        </w:rPr>
        <w:t xml:space="preserve">See id. </w:t>
      </w:r>
      <w:r w:rsidR="006D456D">
        <w:rPr>
          <w:szCs w:val="24"/>
        </w:rPr>
        <w:t>at 10158, 10166</w:t>
      </w:r>
      <w:r w:rsidR="0079691F">
        <w:rPr>
          <w:szCs w:val="24"/>
        </w:rPr>
        <w:t>-67</w:t>
      </w:r>
      <w:r w:rsidR="006D456D">
        <w:rPr>
          <w:szCs w:val="24"/>
        </w:rPr>
        <w:t>, paras. 61, 85.</w:t>
      </w:r>
      <w:r w:rsidR="00A046EE">
        <w:rPr>
          <w:szCs w:val="24"/>
        </w:rPr>
        <w:t xml:space="preserve">  The purpose of this information collection is to collect from the participating carriers their </w:t>
      </w:r>
      <w:r w:rsidR="004734DD">
        <w:rPr>
          <w:szCs w:val="24"/>
        </w:rPr>
        <w:t xml:space="preserve">updated </w:t>
      </w:r>
      <w:r w:rsidR="00A046EE">
        <w:rPr>
          <w:szCs w:val="24"/>
        </w:rPr>
        <w:t xml:space="preserve">end-of-term commitments.  </w:t>
      </w:r>
      <w:r w:rsidR="006D456D">
        <w:rPr>
          <w:szCs w:val="24"/>
        </w:rPr>
        <w:t xml:space="preserve"> </w:t>
      </w:r>
    </w:p>
    <w:p w:rsidR="00F850DB" w:rsidP="00F850DB" w:rsidRDefault="00F850DB" w14:paraId="46771FB0" w14:textId="77777777">
      <w:pPr>
        <w:rPr>
          <w:i/>
          <w:kern w:val="28"/>
        </w:rPr>
      </w:pPr>
    </w:p>
    <w:p w:rsidR="00663051" w:rsidP="00663051" w:rsidRDefault="00F850DB" w14:paraId="64A05E88" w14:textId="77777777">
      <w:pPr>
        <w:rPr>
          <w:b/>
          <w:bCs/>
          <w:i/>
          <w:kern w:val="28"/>
        </w:rPr>
      </w:pPr>
      <w:r w:rsidRPr="00663051">
        <w:rPr>
          <w:b/>
          <w:bCs/>
          <w:i/>
          <w:kern w:val="28"/>
        </w:rPr>
        <w:t>Requirement for which the Commission seeks OMB approval:</w:t>
      </w:r>
    </w:p>
    <w:p w:rsidR="00663051" w:rsidP="00663051" w:rsidRDefault="00663051" w14:paraId="6F4B9345" w14:textId="77777777">
      <w:pPr>
        <w:rPr>
          <w:b/>
          <w:bCs/>
          <w:i/>
          <w:kern w:val="28"/>
        </w:rPr>
      </w:pPr>
    </w:p>
    <w:p w:rsidR="00EE07FF" w:rsidP="00663051" w:rsidRDefault="00AB3410" w14:paraId="36B13880" w14:textId="25DB4796">
      <w:pPr>
        <w:rPr>
          <w:snapToGrid w:val="0"/>
          <w:kern w:val="28"/>
          <w:szCs w:val="24"/>
          <w:lang w:bidi="he-IL"/>
        </w:rPr>
      </w:pPr>
      <w:r>
        <w:rPr>
          <w:snapToGrid w:val="0"/>
          <w:kern w:val="28"/>
          <w:szCs w:val="24"/>
          <w:lang w:bidi="he-IL"/>
        </w:rPr>
        <w:t>The information requirements in this collection will be used to collect updated end-of-term commitments from Alaskan rate-of-return carriers and competitive ETC carriers.</w:t>
      </w:r>
    </w:p>
    <w:p w:rsidR="00201BF8" w:rsidP="00663051" w:rsidRDefault="00201BF8" w14:paraId="6855F9F1" w14:textId="45627216">
      <w:pPr>
        <w:rPr>
          <w:snapToGrid w:val="0"/>
          <w:kern w:val="28"/>
          <w:szCs w:val="24"/>
          <w:lang w:bidi="he-IL"/>
        </w:rPr>
      </w:pPr>
    </w:p>
    <w:p w:rsidR="00201BF8" w:rsidP="00201BF8" w:rsidRDefault="00201BF8" w14:paraId="473079FF" w14:textId="6817FB44">
      <w:r>
        <w:rPr>
          <w:snapToGrid w:val="0"/>
          <w:kern w:val="28"/>
          <w:szCs w:val="24"/>
          <w:lang w:bidi="he-IL"/>
        </w:rPr>
        <w:t xml:space="preserve">Statutory authority for this information collection is contained in </w:t>
      </w:r>
      <w:r>
        <w:t>47 U.S.C. §§ 151, 152, 154(i), 155, 201-206, 214, 218-220, 251, 252, 254, 256, 303(r), 332, 403, and 1302.</w:t>
      </w:r>
    </w:p>
    <w:p w:rsidR="008B45E0" w:rsidP="00201BF8" w:rsidRDefault="008B45E0" w14:paraId="7B0F46F3" w14:textId="1421E406"/>
    <w:p w:rsidRPr="00663051" w:rsidR="008B45E0" w:rsidP="00201BF8" w:rsidRDefault="008B45E0" w14:paraId="73356483" w14:textId="5B108F28">
      <w:pPr>
        <w:rPr>
          <w:b/>
          <w:bCs/>
          <w:i/>
          <w:kern w:val="28"/>
        </w:rPr>
      </w:pPr>
      <w:r>
        <w:t>This collection of information does not affect individuals or households; thus, there are no impacts under the Privacy Act.</w:t>
      </w:r>
    </w:p>
    <w:p w:rsidR="000F446A" w:rsidP="000F446A" w:rsidRDefault="000F446A" w14:paraId="47D16549" w14:textId="77777777">
      <w:pPr>
        <w:rPr>
          <w:snapToGrid w:val="0"/>
          <w:kern w:val="28"/>
          <w:szCs w:val="24"/>
          <w:lang w:bidi="he-IL"/>
        </w:rPr>
      </w:pPr>
    </w:p>
    <w:p w:rsidR="00D14AF0" w:rsidP="00D14AF0" w:rsidRDefault="000F446A" w14:paraId="472772BE" w14:textId="530614DE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Use of information. </w:t>
      </w:r>
      <w:r w:rsidRPr="00D14AF0">
        <w:rPr>
          <w:szCs w:val="24"/>
        </w:rPr>
        <w:t>The Commission will use the information requirement to determine</w:t>
      </w:r>
      <w:r w:rsidR="00A046EE">
        <w:rPr>
          <w:szCs w:val="24"/>
        </w:rPr>
        <w:t xml:space="preserve"> what the deployment obligations will be at the end of the support term, i.e., December 31, 2026, for Alaska Plan participants.  In the </w:t>
      </w:r>
      <w:r w:rsidR="00D115BD">
        <w:rPr>
          <w:i/>
          <w:szCs w:val="24"/>
        </w:rPr>
        <w:t>Alaska</w:t>
      </w:r>
      <w:r w:rsidR="00A046EE">
        <w:rPr>
          <w:i/>
          <w:szCs w:val="24"/>
        </w:rPr>
        <w:t xml:space="preserve"> Plan Order</w:t>
      </w:r>
      <w:r w:rsidR="00A046EE">
        <w:rPr>
          <w:szCs w:val="24"/>
        </w:rPr>
        <w:t xml:space="preserve">, the Commission delegated </w:t>
      </w:r>
      <w:r w:rsidR="00A046EE">
        <w:t>authority</w:t>
      </w:r>
      <w:r w:rsidR="00D115BD">
        <w:t xml:space="preserve"> </w:t>
      </w:r>
      <w:r w:rsidR="00D115BD">
        <w:rPr>
          <w:szCs w:val="24"/>
        </w:rPr>
        <w:t>to the Wireline Competition Bureau and the Wireless Telecommunications</w:t>
      </w:r>
      <w:r w:rsidR="00A046EE">
        <w:t xml:space="preserve"> </w:t>
      </w:r>
      <w:r w:rsidR="00AC3D73">
        <w:t xml:space="preserve">Bureau </w:t>
      </w:r>
      <w:r w:rsidR="00A046EE">
        <w:t>to review update</w:t>
      </w:r>
      <w:r w:rsidR="00092EFF">
        <w:t>d deployment obligations</w:t>
      </w:r>
      <w:r w:rsidR="00A046EE">
        <w:t xml:space="preserve"> in light of any new developments, including newly available infrastructure, and require revised </w:t>
      </w:r>
      <w:r w:rsidR="00092EFF">
        <w:t>obligations</w:t>
      </w:r>
      <w:r w:rsidR="00A046EE">
        <w:t xml:space="preserve"> if it serves the public intere</w:t>
      </w:r>
      <w:r w:rsidR="00ED4CF2">
        <w:t xml:space="preserve">st. </w:t>
      </w:r>
      <w:r w:rsidR="00ED4CF2">
        <w:rPr>
          <w:i/>
          <w:szCs w:val="24"/>
        </w:rPr>
        <w:t xml:space="preserve">See id. </w:t>
      </w:r>
      <w:r w:rsidR="00ED4CF2">
        <w:rPr>
          <w:szCs w:val="24"/>
        </w:rPr>
        <w:t>at 10158, 10166</w:t>
      </w:r>
      <w:r w:rsidR="00A92755">
        <w:rPr>
          <w:szCs w:val="24"/>
        </w:rPr>
        <w:t>-67</w:t>
      </w:r>
      <w:r w:rsidR="00ED4CF2">
        <w:rPr>
          <w:szCs w:val="24"/>
        </w:rPr>
        <w:t xml:space="preserve">, paras. 61, 85.    </w:t>
      </w:r>
      <w:r w:rsidR="00ED4CF2">
        <w:t xml:space="preserve">  </w:t>
      </w:r>
      <w:r w:rsidR="00A046EE">
        <w:rPr>
          <w:szCs w:val="24"/>
        </w:rPr>
        <w:t xml:space="preserve">  </w:t>
      </w:r>
    </w:p>
    <w:p w:rsidR="00D14AF0" w:rsidP="00D14AF0" w:rsidRDefault="00D14AF0" w14:paraId="4F69B8F7" w14:textId="77777777">
      <w:pPr>
        <w:pStyle w:val="ListParagraph"/>
        <w:rPr>
          <w:szCs w:val="24"/>
        </w:rPr>
      </w:pPr>
    </w:p>
    <w:p w:rsidRPr="009D19AA" w:rsidR="00D14AF0" w:rsidP="00CA5BBD" w:rsidRDefault="000F446A" w14:paraId="13DE7D15" w14:textId="41C76C39">
      <w:pPr>
        <w:pStyle w:val="ListParagraph"/>
        <w:numPr>
          <w:ilvl w:val="0"/>
          <w:numId w:val="1"/>
        </w:numPr>
        <w:rPr>
          <w:szCs w:val="24"/>
        </w:rPr>
      </w:pPr>
      <w:r w:rsidRPr="00924948">
        <w:rPr>
          <w:i/>
          <w:szCs w:val="24"/>
        </w:rPr>
        <w:t xml:space="preserve">Technological collection techniques.  </w:t>
      </w:r>
      <w:r w:rsidRPr="00924948">
        <w:rPr>
          <w:szCs w:val="24"/>
        </w:rPr>
        <w:t xml:space="preserve">In an effort to reduce any burden created by these information collection requirements, </w:t>
      </w:r>
      <w:r w:rsidR="00924948">
        <w:t xml:space="preserve">respondents will need to file responses in the </w:t>
      </w:r>
      <w:r w:rsidR="00924948">
        <w:lastRenderedPageBreak/>
        <w:t>Commission’s Electronic Comment Filing System (ECFS) (</w:t>
      </w:r>
      <w:hyperlink w:history="1" r:id="rId8">
        <w:r w:rsidR="00924948">
          <w:rPr>
            <w:rStyle w:val="Hyperlink"/>
          </w:rPr>
          <w:t>https://www.fcc.gov/ecfs/filings</w:t>
        </w:r>
      </w:hyperlink>
      <w:r w:rsidR="00924948">
        <w:t xml:space="preserve">) in WC Docket No. </w:t>
      </w:r>
      <w:r w:rsidR="00924948">
        <w:rPr>
          <w:color w:val="000000"/>
        </w:rPr>
        <w:t>16-271.</w:t>
      </w:r>
    </w:p>
    <w:p w:rsidRPr="00AE64B3" w:rsidR="00AE64B3" w:rsidP="009D19AA" w:rsidRDefault="00AE64B3" w14:paraId="1A8FAF16" w14:textId="77777777">
      <w:pPr>
        <w:rPr>
          <w:szCs w:val="24"/>
        </w:rPr>
      </w:pPr>
    </w:p>
    <w:p w:rsidR="00D14AF0" w:rsidP="00D14AF0" w:rsidRDefault="000F446A" w14:paraId="5971495F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Efforts to identify duplication.  </w:t>
      </w:r>
      <w:r w:rsidRPr="00D14AF0">
        <w:rPr>
          <w:szCs w:val="24"/>
        </w:rPr>
        <w:t>There will be no duplication of information.  The information sought is unique to each carrier or respondent and similar information is not already available.</w:t>
      </w:r>
    </w:p>
    <w:p w:rsidR="00D14AF0" w:rsidP="00D14AF0" w:rsidRDefault="00D14AF0" w14:paraId="6A18AAEF" w14:textId="77777777">
      <w:pPr>
        <w:pStyle w:val="ListParagraph"/>
        <w:rPr>
          <w:szCs w:val="24"/>
        </w:rPr>
      </w:pPr>
    </w:p>
    <w:p w:rsidR="00D14AF0" w:rsidP="00D14AF0" w:rsidRDefault="000F446A" w14:paraId="4F628277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>Impact on small entities.</w:t>
      </w:r>
      <w:r w:rsidRPr="00D14AF0">
        <w:rPr>
          <w:szCs w:val="24"/>
        </w:rPr>
        <w:t xml:space="preserve">  The collection of information may affect small entities as well as large entities.  The requirement this collection proposes </w:t>
      </w:r>
      <w:r w:rsidR="00D578F0">
        <w:rPr>
          <w:szCs w:val="24"/>
        </w:rPr>
        <w:t>is</w:t>
      </w:r>
      <w:r w:rsidRPr="00D14AF0">
        <w:rPr>
          <w:szCs w:val="24"/>
        </w:rPr>
        <w:t xml:space="preserve"> necessary to ensure compliance with high-cost universal service support </w:t>
      </w:r>
      <w:r w:rsidRPr="00D14AF0" w:rsidR="00774D5F">
        <w:rPr>
          <w:szCs w:val="24"/>
        </w:rPr>
        <w:t>requirements and</w:t>
      </w:r>
      <w:r w:rsidRPr="00D14AF0">
        <w:rPr>
          <w:szCs w:val="24"/>
        </w:rPr>
        <w:t xml:space="preserve"> </w:t>
      </w:r>
      <w:r w:rsidR="00D578F0">
        <w:rPr>
          <w:szCs w:val="24"/>
        </w:rPr>
        <w:t>is</w:t>
      </w:r>
      <w:r w:rsidRPr="00D14AF0">
        <w:rPr>
          <w:szCs w:val="24"/>
        </w:rPr>
        <w:t xml:space="preserve"> designed to limit the burden on small entities as much as possible.</w:t>
      </w:r>
    </w:p>
    <w:p w:rsidR="00D14AF0" w:rsidP="00D14AF0" w:rsidRDefault="00D14AF0" w14:paraId="113401CD" w14:textId="77777777">
      <w:pPr>
        <w:pStyle w:val="ListParagraph"/>
        <w:rPr>
          <w:szCs w:val="24"/>
        </w:rPr>
      </w:pPr>
    </w:p>
    <w:p w:rsidR="00D14AF0" w:rsidP="00D14AF0" w:rsidRDefault="000F446A" w14:paraId="1335BE89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Consequences if information is not collected.  </w:t>
      </w:r>
      <w:r w:rsidRPr="00D14AF0">
        <w:rPr>
          <w:szCs w:val="24"/>
        </w:rPr>
        <w:t xml:space="preserve">The information collected is used to </w:t>
      </w:r>
      <w:r w:rsidR="00750C95">
        <w:rPr>
          <w:szCs w:val="24"/>
        </w:rPr>
        <w:t>determine that each Alaska Plan participant has deployment obligations for the remainder of the Alaska Plan term consistent with the current conditions in the participant’s eligible service areas.</w:t>
      </w:r>
      <w:r w:rsidR="00774D5F">
        <w:rPr>
          <w:szCs w:val="24"/>
        </w:rPr>
        <w:t xml:space="preserve">  If this information is not collected, deployment obligation</w:t>
      </w:r>
      <w:r w:rsidR="00181035">
        <w:rPr>
          <w:szCs w:val="24"/>
        </w:rPr>
        <w:t>s</w:t>
      </w:r>
      <w:r w:rsidR="00774D5F">
        <w:rPr>
          <w:szCs w:val="24"/>
        </w:rPr>
        <w:t xml:space="preserve"> would not necessarily reflect</w:t>
      </w:r>
      <w:r w:rsidR="00750C95">
        <w:rPr>
          <w:szCs w:val="24"/>
        </w:rPr>
        <w:t xml:space="preserve"> </w:t>
      </w:r>
      <w:r w:rsidR="00774D5F">
        <w:rPr>
          <w:szCs w:val="24"/>
        </w:rPr>
        <w:t xml:space="preserve">current conditions and could therefore not be in the public interest.  </w:t>
      </w:r>
      <w:r w:rsidR="00750C95">
        <w:rPr>
          <w:szCs w:val="24"/>
        </w:rPr>
        <w:t xml:space="preserve">    </w:t>
      </w:r>
      <w:r w:rsidRPr="00D14AF0">
        <w:rPr>
          <w:szCs w:val="24"/>
        </w:rPr>
        <w:t xml:space="preserve">  </w:t>
      </w:r>
    </w:p>
    <w:p w:rsidR="00D14AF0" w:rsidP="00D14AF0" w:rsidRDefault="00D14AF0" w14:paraId="0FDB55EE" w14:textId="77777777">
      <w:pPr>
        <w:pStyle w:val="ListParagraph"/>
        <w:rPr>
          <w:szCs w:val="24"/>
        </w:rPr>
      </w:pPr>
    </w:p>
    <w:p w:rsidR="00D14AF0" w:rsidP="00D14AF0" w:rsidRDefault="000F446A" w14:paraId="6C7C3BDD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Special circumstances.  </w:t>
      </w:r>
      <w:r w:rsidRPr="00D14AF0">
        <w:rPr>
          <w:szCs w:val="24"/>
        </w:rPr>
        <w:t>We do not foresee any special circumstances with this information collection.</w:t>
      </w:r>
    </w:p>
    <w:p w:rsidR="00D14AF0" w:rsidP="00D14AF0" w:rsidRDefault="00D14AF0" w14:paraId="75117429" w14:textId="77777777">
      <w:pPr>
        <w:pStyle w:val="ListParagraph"/>
        <w:rPr>
          <w:szCs w:val="24"/>
        </w:rPr>
      </w:pPr>
    </w:p>
    <w:p w:rsidRPr="00D14AF0" w:rsidR="00D14AF0" w:rsidP="00D14AF0" w:rsidRDefault="000F446A" w14:paraId="39A231DF" w14:textId="433E8270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>Federal Register notice; efforts to consult with persons outside the Commission.</w:t>
      </w:r>
      <w:r w:rsidRPr="00D14AF0">
        <w:rPr>
          <w:szCs w:val="24"/>
        </w:rPr>
        <w:t xml:space="preserve">  </w:t>
      </w:r>
      <w:r w:rsidRPr="00D14AF0">
        <w:rPr>
          <w:color w:val="000000"/>
        </w:rPr>
        <w:t xml:space="preserve">A 60-day notice was also published in the </w:t>
      </w:r>
      <w:r w:rsidRPr="00D14AF0">
        <w:rPr>
          <w:i/>
          <w:color w:val="000000"/>
        </w:rPr>
        <w:t>Federal Register</w:t>
      </w:r>
      <w:r w:rsidRPr="00D14AF0">
        <w:rPr>
          <w:color w:val="000000"/>
        </w:rPr>
        <w:t xml:space="preserve"> pursuant to 5 C.F.R. § 1320.8(d) on </w:t>
      </w:r>
      <w:r w:rsidR="009D19AA">
        <w:rPr>
          <w:color w:val="000000"/>
        </w:rPr>
        <w:t>June 2, 2020</w:t>
      </w:r>
      <w:r w:rsidRPr="00D14AF0">
        <w:rPr>
          <w:color w:val="000000"/>
        </w:rPr>
        <w:t xml:space="preserve">, </w:t>
      </w:r>
      <w:r w:rsidRPr="00D14AF0">
        <w:rPr>
          <w:i/>
          <w:color w:val="000000"/>
        </w:rPr>
        <w:t>See</w:t>
      </w:r>
      <w:r w:rsidRPr="00D14AF0">
        <w:rPr>
          <w:color w:val="000000"/>
        </w:rPr>
        <w:t xml:space="preserve"> </w:t>
      </w:r>
      <w:r w:rsidR="009D19AA">
        <w:rPr>
          <w:color w:val="000000"/>
        </w:rPr>
        <w:t xml:space="preserve">85 </w:t>
      </w:r>
      <w:r w:rsidRPr="00D14AF0">
        <w:rPr>
          <w:color w:val="000000"/>
        </w:rPr>
        <w:t>FR</w:t>
      </w:r>
      <w:r w:rsidR="009D19AA">
        <w:rPr>
          <w:color w:val="000000"/>
        </w:rPr>
        <w:t xml:space="preserve"> 33665</w:t>
      </w:r>
      <w:r w:rsidRPr="00D14AF0">
        <w:rPr>
          <w:color w:val="000000"/>
        </w:rPr>
        <w:t>.</w:t>
      </w:r>
      <w:r>
        <w:t xml:space="preserve">  </w:t>
      </w:r>
      <w:r w:rsidRPr="00C55C93">
        <w:t>No comments were received from the public.</w:t>
      </w:r>
    </w:p>
    <w:p w:rsidRPr="00D14AF0" w:rsidR="00D14AF0" w:rsidP="00D14AF0" w:rsidRDefault="00D14AF0" w14:paraId="1E5FFDEC" w14:textId="77777777">
      <w:pPr>
        <w:pStyle w:val="ListParagraph"/>
        <w:rPr>
          <w:szCs w:val="24"/>
        </w:rPr>
      </w:pPr>
    </w:p>
    <w:p w:rsidR="00D14AF0" w:rsidP="00D14AF0" w:rsidRDefault="000F446A" w14:paraId="639D0C44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Payments or gifts to respondents.  </w:t>
      </w:r>
      <w:r w:rsidRPr="00D14AF0">
        <w:rPr>
          <w:szCs w:val="24"/>
        </w:rPr>
        <w:t>The Commission does not anticipate providing any payment or gifts to respondents.</w:t>
      </w:r>
    </w:p>
    <w:p w:rsidR="00D14AF0" w:rsidP="00D14AF0" w:rsidRDefault="00D14AF0" w14:paraId="1AEC7C20" w14:textId="77777777">
      <w:pPr>
        <w:pStyle w:val="ListParagraph"/>
        <w:rPr>
          <w:szCs w:val="24"/>
        </w:rPr>
      </w:pPr>
    </w:p>
    <w:p w:rsidR="00D14AF0" w:rsidP="00D14AF0" w:rsidRDefault="000F446A" w14:paraId="7D628EEB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Assurances of confidentiality.  </w:t>
      </w:r>
      <w:r w:rsidR="002318EA">
        <w:rPr>
          <w:szCs w:val="24"/>
        </w:rPr>
        <w:t>For this information request, p</w:t>
      </w:r>
      <w:r w:rsidRPr="00D14AF0">
        <w:rPr>
          <w:szCs w:val="24"/>
        </w:rPr>
        <w:t>arties may submit confidential information</w:t>
      </w:r>
      <w:r w:rsidR="002318EA">
        <w:rPr>
          <w:szCs w:val="24"/>
        </w:rPr>
        <w:t xml:space="preserve">.  </w:t>
      </w:r>
      <w:r w:rsidR="008714A3">
        <w:rPr>
          <w:szCs w:val="24"/>
        </w:rPr>
        <w:t xml:space="preserve">Requests for confidentiality may be </w:t>
      </w:r>
      <w:r w:rsidRPr="00D14AF0">
        <w:rPr>
          <w:szCs w:val="24"/>
        </w:rPr>
        <w:t>submitted to the Commission to be withheld from public inspection under 47 C.F.R. § 0.459 of the FCC’s rules.</w:t>
      </w:r>
    </w:p>
    <w:p w:rsidR="00D14AF0" w:rsidP="00D14AF0" w:rsidRDefault="00D14AF0" w14:paraId="4911CF85" w14:textId="77777777">
      <w:pPr>
        <w:pStyle w:val="ListParagraph"/>
        <w:rPr>
          <w:szCs w:val="24"/>
        </w:rPr>
      </w:pPr>
    </w:p>
    <w:p w:rsidR="00D14AF0" w:rsidP="00D14AF0" w:rsidRDefault="000F446A" w14:paraId="4B530EC9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Questions of a sensitive nature.  </w:t>
      </w:r>
      <w:r w:rsidRPr="00D14AF0">
        <w:rPr>
          <w:szCs w:val="24"/>
        </w:rPr>
        <w:t>There are no questions of a sensitive nature with respect to the information collections described herein.</w:t>
      </w:r>
    </w:p>
    <w:p w:rsidR="00D14AF0" w:rsidP="00D14AF0" w:rsidRDefault="00D14AF0" w14:paraId="4C6B1D52" w14:textId="77777777">
      <w:pPr>
        <w:pStyle w:val="ListParagraph"/>
        <w:rPr>
          <w:szCs w:val="24"/>
        </w:rPr>
      </w:pPr>
    </w:p>
    <w:p w:rsidR="000F446A" w:rsidP="00D14AF0" w:rsidRDefault="000F446A" w14:paraId="4450A6A2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D14AF0">
        <w:rPr>
          <w:i/>
          <w:szCs w:val="24"/>
        </w:rPr>
        <w:t xml:space="preserve">Estimates of the hour burden of the collection to respondents.  </w:t>
      </w:r>
      <w:r w:rsidRPr="00D14AF0">
        <w:rPr>
          <w:szCs w:val="24"/>
        </w:rPr>
        <w:t>The following represents the hour burden on the collections of information:</w:t>
      </w:r>
    </w:p>
    <w:p w:rsidR="00B66110" w:rsidP="00B66110" w:rsidRDefault="00B66110" w14:paraId="65157881" w14:textId="77777777">
      <w:pPr>
        <w:rPr>
          <w:szCs w:val="24"/>
        </w:rPr>
      </w:pPr>
    </w:p>
    <w:p w:rsidRPr="00663051" w:rsidR="00B66110" w:rsidP="00663051" w:rsidRDefault="00B66110" w14:paraId="03BCDD09" w14:textId="3B5FC911">
      <w:pPr>
        <w:pStyle w:val="ListParagraph"/>
        <w:numPr>
          <w:ilvl w:val="0"/>
          <w:numId w:val="6"/>
        </w:numPr>
        <w:rPr>
          <w:szCs w:val="24"/>
          <w:u w:val="single"/>
        </w:rPr>
      </w:pPr>
      <w:r w:rsidRPr="00663051">
        <w:rPr>
          <w:b/>
          <w:bCs/>
          <w:szCs w:val="24"/>
          <w:u w:val="single"/>
        </w:rPr>
        <w:t>Update to end-of-term commitments</w:t>
      </w:r>
      <w:r w:rsidR="00AB3410">
        <w:rPr>
          <w:b/>
          <w:bCs/>
          <w:szCs w:val="24"/>
        </w:rPr>
        <w:t>:</w:t>
      </w:r>
    </w:p>
    <w:p w:rsidR="000F446A" w:rsidP="000F446A" w:rsidRDefault="000F446A" w14:paraId="7F785285" w14:textId="77777777">
      <w:pPr>
        <w:ind w:left="360" w:hanging="360"/>
        <w:rPr>
          <w:szCs w:val="24"/>
        </w:rPr>
      </w:pPr>
    </w:p>
    <w:p w:rsidRPr="00AC27FF" w:rsidR="00B66110" w:rsidP="00B66110" w:rsidRDefault="00B66110" w14:paraId="4602B79F" w14:textId="77777777">
      <w:pPr>
        <w:ind w:left="720" w:hanging="360"/>
        <w:rPr>
          <w:szCs w:val="24"/>
        </w:rPr>
      </w:pPr>
      <w:r w:rsidRPr="00AC27FF">
        <w:rPr>
          <w:szCs w:val="24"/>
        </w:rPr>
        <w:t xml:space="preserve">(1) </w:t>
      </w:r>
      <w:r w:rsidRPr="00AC27FF">
        <w:rPr>
          <w:szCs w:val="24"/>
          <w:u w:val="single"/>
        </w:rPr>
        <w:t>Number of respondents</w:t>
      </w:r>
      <w:r w:rsidRPr="00AC27FF">
        <w:rPr>
          <w:szCs w:val="24"/>
        </w:rPr>
        <w:t xml:space="preserve">:  </w:t>
      </w:r>
      <w:r>
        <w:rPr>
          <w:szCs w:val="24"/>
        </w:rPr>
        <w:t xml:space="preserve">21 </w:t>
      </w:r>
      <w:r w:rsidR="007344C2">
        <w:rPr>
          <w:szCs w:val="24"/>
        </w:rPr>
        <w:t xml:space="preserve">(13 </w:t>
      </w:r>
      <w:r>
        <w:rPr>
          <w:szCs w:val="24"/>
        </w:rPr>
        <w:t xml:space="preserve">rate-of-return carriers and </w:t>
      </w:r>
      <w:r w:rsidR="007344C2">
        <w:rPr>
          <w:szCs w:val="24"/>
        </w:rPr>
        <w:t xml:space="preserve">8 </w:t>
      </w:r>
      <w:r>
        <w:rPr>
          <w:szCs w:val="24"/>
        </w:rPr>
        <w:t>competitive ETCs participating in the Alaska Plan</w:t>
      </w:r>
      <w:r w:rsidR="007344C2">
        <w:rPr>
          <w:szCs w:val="24"/>
        </w:rPr>
        <w:t>)</w:t>
      </w:r>
    </w:p>
    <w:p w:rsidRPr="00AC27FF" w:rsidR="00B66110" w:rsidP="00B66110" w:rsidRDefault="00B66110" w14:paraId="714B199D" w14:textId="77777777">
      <w:pPr>
        <w:ind w:left="720" w:hanging="360"/>
        <w:rPr>
          <w:szCs w:val="24"/>
        </w:rPr>
      </w:pPr>
    </w:p>
    <w:p w:rsidRPr="00AC27FF" w:rsidR="00B66110" w:rsidP="00B66110" w:rsidRDefault="00B66110" w14:paraId="6922877B" w14:textId="0CE45137">
      <w:pPr>
        <w:ind w:left="720" w:hanging="360"/>
        <w:rPr>
          <w:szCs w:val="24"/>
        </w:rPr>
      </w:pPr>
      <w:r w:rsidRPr="00AC27FF">
        <w:rPr>
          <w:szCs w:val="24"/>
        </w:rPr>
        <w:t xml:space="preserve">(2) </w:t>
      </w:r>
      <w:r w:rsidRPr="00AC27FF">
        <w:rPr>
          <w:szCs w:val="24"/>
          <w:u w:val="single"/>
        </w:rPr>
        <w:t>Frequency of response</w:t>
      </w:r>
      <w:r w:rsidRPr="00AC27FF">
        <w:rPr>
          <w:szCs w:val="24"/>
        </w:rPr>
        <w:t xml:space="preserve">:  </w:t>
      </w:r>
      <w:r w:rsidR="007344C2">
        <w:rPr>
          <w:szCs w:val="24"/>
        </w:rPr>
        <w:t>One</w:t>
      </w:r>
      <w:r w:rsidR="00AE64B3">
        <w:rPr>
          <w:szCs w:val="24"/>
        </w:rPr>
        <w:t>-</w:t>
      </w:r>
      <w:r w:rsidR="007344C2">
        <w:rPr>
          <w:szCs w:val="24"/>
        </w:rPr>
        <w:t>time</w:t>
      </w:r>
      <w:r w:rsidR="008B45E0">
        <w:rPr>
          <w:szCs w:val="24"/>
        </w:rPr>
        <w:t xml:space="preserve"> reporting requirement</w:t>
      </w:r>
      <w:r>
        <w:rPr>
          <w:szCs w:val="24"/>
        </w:rPr>
        <w:t>.</w:t>
      </w:r>
      <w:r w:rsidRPr="00AC27FF">
        <w:rPr>
          <w:szCs w:val="24"/>
        </w:rPr>
        <w:t xml:space="preserve">  </w:t>
      </w:r>
    </w:p>
    <w:p w:rsidRPr="00AC27FF" w:rsidR="00B66110" w:rsidP="00B66110" w:rsidRDefault="00B66110" w14:paraId="6CB465CD" w14:textId="77777777">
      <w:pPr>
        <w:ind w:left="720" w:hanging="360"/>
        <w:rPr>
          <w:szCs w:val="24"/>
        </w:rPr>
      </w:pPr>
    </w:p>
    <w:p w:rsidR="00B66110" w:rsidP="00B66110" w:rsidRDefault="00B66110" w14:paraId="5FB26DCB" w14:textId="77777777">
      <w:pPr>
        <w:ind w:left="720" w:hanging="360"/>
        <w:rPr>
          <w:szCs w:val="24"/>
        </w:rPr>
      </w:pPr>
      <w:r>
        <w:rPr>
          <w:szCs w:val="24"/>
        </w:rPr>
        <w:lastRenderedPageBreak/>
        <w:t xml:space="preserve">(3) </w:t>
      </w:r>
      <w:r w:rsidRPr="00423F95">
        <w:rPr>
          <w:szCs w:val="24"/>
          <w:u w:val="single"/>
        </w:rPr>
        <w:t>Total number of responses per respondent</w:t>
      </w:r>
      <w:r>
        <w:rPr>
          <w:szCs w:val="24"/>
        </w:rPr>
        <w:t>:  1.</w:t>
      </w:r>
    </w:p>
    <w:p w:rsidR="00B66110" w:rsidP="00B66110" w:rsidRDefault="00B66110" w14:paraId="5B2AFC8E" w14:textId="77777777">
      <w:pPr>
        <w:ind w:left="720" w:hanging="360"/>
        <w:rPr>
          <w:szCs w:val="24"/>
          <w:u w:val="single"/>
        </w:rPr>
      </w:pPr>
    </w:p>
    <w:p w:rsidRPr="0046233F" w:rsidR="00B66110" w:rsidP="00B66110" w:rsidRDefault="00B66110" w14:paraId="1B27BE70" w14:textId="77777777">
      <w:pPr>
        <w:ind w:left="720" w:hanging="360"/>
      </w:pPr>
      <w:r w:rsidRPr="00423F95">
        <w:rPr>
          <w:szCs w:val="24"/>
        </w:rPr>
        <w:t xml:space="preserve">(4) </w:t>
      </w:r>
      <w:r>
        <w:rPr>
          <w:szCs w:val="24"/>
          <w:u w:val="single"/>
        </w:rPr>
        <w:t>Estimated time per response</w:t>
      </w:r>
      <w:r w:rsidRPr="00663051">
        <w:rPr>
          <w:szCs w:val="24"/>
        </w:rPr>
        <w:t>:</w:t>
      </w:r>
      <w:r w:rsidRPr="0046233F">
        <w:t xml:space="preserve">  </w:t>
      </w:r>
      <w:r w:rsidR="007344C2">
        <w:rPr>
          <w:szCs w:val="24"/>
        </w:rPr>
        <w:t>10</w:t>
      </w:r>
      <w:r w:rsidRPr="0046233F">
        <w:t xml:space="preserve"> hours. </w:t>
      </w:r>
    </w:p>
    <w:p w:rsidR="00B66110" w:rsidP="00B66110" w:rsidRDefault="00B66110" w14:paraId="5EC182E9" w14:textId="77777777">
      <w:pPr>
        <w:ind w:left="720" w:hanging="360"/>
        <w:rPr>
          <w:szCs w:val="24"/>
          <w:u w:val="single"/>
        </w:rPr>
      </w:pPr>
    </w:p>
    <w:p w:rsidR="00B66110" w:rsidP="00B66110" w:rsidRDefault="00B66110" w14:paraId="40C815A3" w14:textId="77777777">
      <w:pPr>
        <w:ind w:left="720" w:hanging="360"/>
        <w:rPr>
          <w:szCs w:val="24"/>
        </w:rPr>
      </w:pPr>
      <w:r w:rsidRPr="00423F95">
        <w:rPr>
          <w:szCs w:val="24"/>
        </w:rPr>
        <w:t xml:space="preserve">(5) </w:t>
      </w:r>
      <w:r>
        <w:rPr>
          <w:szCs w:val="24"/>
          <w:u w:val="single"/>
        </w:rPr>
        <w:t>Total a</w:t>
      </w:r>
      <w:r w:rsidRPr="00AC27FF">
        <w:rPr>
          <w:szCs w:val="24"/>
          <w:u w:val="single"/>
        </w:rPr>
        <w:t>nnual hour burden</w:t>
      </w:r>
      <w:r>
        <w:rPr>
          <w:szCs w:val="24"/>
        </w:rPr>
        <w:t xml:space="preserve">:  </w:t>
      </w:r>
      <w:r w:rsidR="007344C2">
        <w:rPr>
          <w:szCs w:val="24"/>
        </w:rPr>
        <w:t>210</w:t>
      </w:r>
      <w:r>
        <w:rPr>
          <w:szCs w:val="24"/>
        </w:rPr>
        <w:t xml:space="preserve"> hours.</w:t>
      </w:r>
    </w:p>
    <w:p w:rsidR="00B66110" w:rsidP="00B66110" w:rsidRDefault="00B66110" w14:paraId="56F2E4C2" w14:textId="77777777">
      <w:pPr>
        <w:ind w:left="720" w:hanging="360"/>
        <w:rPr>
          <w:szCs w:val="24"/>
        </w:rPr>
      </w:pPr>
    </w:p>
    <w:p w:rsidRPr="00AC27FF" w:rsidR="00B66110" w:rsidP="00B66110" w:rsidRDefault="00B66110" w14:paraId="3F3EB873" w14:textId="77777777">
      <w:pPr>
        <w:ind w:left="720" w:hanging="360"/>
        <w:rPr>
          <w:szCs w:val="24"/>
        </w:rPr>
      </w:pPr>
      <w:r>
        <w:rPr>
          <w:szCs w:val="24"/>
        </w:rPr>
        <w:t xml:space="preserve">      </w:t>
      </w:r>
      <w:r w:rsidR="007344C2">
        <w:rPr>
          <w:szCs w:val="24"/>
        </w:rPr>
        <w:t>10</w:t>
      </w:r>
      <w:r w:rsidRPr="00AC27FF">
        <w:rPr>
          <w:szCs w:val="24"/>
        </w:rPr>
        <w:t xml:space="preserve"> hours per respondent for </w:t>
      </w:r>
      <w:r>
        <w:rPr>
          <w:szCs w:val="24"/>
        </w:rPr>
        <w:t>21</w:t>
      </w:r>
      <w:r w:rsidRPr="00AC27FF">
        <w:rPr>
          <w:szCs w:val="24"/>
        </w:rPr>
        <w:t xml:space="preserve"> carriers filing on an annual basis.  Total annual hour burden is calculated as follows:  </w:t>
      </w:r>
    </w:p>
    <w:p w:rsidRPr="00AC27FF" w:rsidR="00B66110" w:rsidP="00B66110" w:rsidRDefault="00B66110" w14:paraId="6436E2AD" w14:textId="77777777">
      <w:pPr>
        <w:ind w:left="720"/>
        <w:rPr>
          <w:szCs w:val="24"/>
        </w:rPr>
      </w:pPr>
    </w:p>
    <w:p w:rsidRPr="00AC27FF" w:rsidR="00B66110" w:rsidP="00B66110" w:rsidRDefault="00B66110" w14:paraId="28A2EAF4" w14:textId="77777777">
      <w:pPr>
        <w:ind w:left="720"/>
        <w:rPr>
          <w:szCs w:val="24"/>
        </w:rPr>
      </w:pPr>
      <w:r>
        <w:rPr>
          <w:szCs w:val="24"/>
        </w:rPr>
        <w:t xml:space="preserve">21 </w:t>
      </w:r>
      <w:r w:rsidRPr="00AC27FF">
        <w:rPr>
          <w:szCs w:val="24"/>
        </w:rPr>
        <w:t xml:space="preserve">respondents x </w:t>
      </w:r>
      <w:r>
        <w:rPr>
          <w:szCs w:val="24"/>
        </w:rPr>
        <w:t>1</w:t>
      </w:r>
      <w:r w:rsidRPr="00AC27FF">
        <w:rPr>
          <w:szCs w:val="24"/>
        </w:rPr>
        <w:t xml:space="preserve"> report per respondent = </w:t>
      </w:r>
      <w:r>
        <w:rPr>
          <w:szCs w:val="24"/>
        </w:rPr>
        <w:t xml:space="preserve">21 responses x </w:t>
      </w:r>
      <w:r w:rsidR="007344C2">
        <w:rPr>
          <w:szCs w:val="24"/>
        </w:rPr>
        <w:t>10</w:t>
      </w:r>
      <w:r w:rsidRPr="00AC27FF">
        <w:rPr>
          <w:szCs w:val="24"/>
        </w:rPr>
        <w:t xml:space="preserve"> hours = </w:t>
      </w:r>
      <w:r w:rsidRPr="007344C2" w:rsidR="007344C2">
        <w:rPr>
          <w:b/>
          <w:szCs w:val="24"/>
        </w:rPr>
        <w:t>210</w:t>
      </w:r>
      <w:r w:rsidRPr="00AC27FF">
        <w:rPr>
          <w:b/>
          <w:szCs w:val="24"/>
        </w:rPr>
        <w:t xml:space="preserve"> total annual hours.</w:t>
      </w:r>
      <w:r w:rsidRPr="00AC27FF">
        <w:rPr>
          <w:szCs w:val="24"/>
        </w:rPr>
        <w:t xml:space="preserve">  </w:t>
      </w:r>
    </w:p>
    <w:p w:rsidRPr="00AC27FF" w:rsidR="00B66110" w:rsidP="00B66110" w:rsidRDefault="00B66110" w14:paraId="0D1C5FE5" w14:textId="77777777">
      <w:pPr>
        <w:ind w:left="720" w:hanging="360"/>
        <w:rPr>
          <w:szCs w:val="24"/>
        </w:rPr>
      </w:pPr>
    </w:p>
    <w:p w:rsidRPr="00AC27FF" w:rsidR="00B66110" w:rsidP="00B66110" w:rsidRDefault="00B66110" w14:paraId="14979216" w14:textId="77777777">
      <w:pPr>
        <w:ind w:left="720" w:hanging="360"/>
        <w:rPr>
          <w:szCs w:val="24"/>
        </w:rPr>
      </w:pPr>
      <w:r>
        <w:rPr>
          <w:szCs w:val="24"/>
        </w:rPr>
        <w:t xml:space="preserve">(6) </w:t>
      </w:r>
      <w:r>
        <w:rPr>
          <w:szCs w:val="24"/>
          <w:u w:val="single"/>
        </w:rPr>
        <w:t xml:space="preserve">Total estimate of in-house </w:t>
      </w:r>
      <w:r w:rsidRPr="00AC27FF">
        <w:rPr>
          <w:szCs w:val="24"/>
          <w:u w:val="single"/>
        </w:rPr>
        <w:t>cost to respondents</w:t>
      </w:r>
      <w:r w:rsidRPr="00AC27FF">
        <w:rPr>
          <w:szCs w:val="24"/>
        </w:rPr>
        <w:t>:  $</w:t>
      </w:r>
      <w:r w:rsidR="00A92755">
        <w:rPr>
          <w:szCs w:val="24"/>
        </w:rPr>
        <w:t>26,250</w:t>
      </w:r>
      <w:r>
        <w:rPr>
          <w:szCs w:val="24"/>
        </w:rPr>
        <w:t xml:space="preserve"> </w:t>
      </w:r>
      <w:r w:rsidRPr="00AC27FF">
        <w:rPr>
          <w:szCs w:val="24"/>
        </w:rPr>
        <w:t>(</w:t>
      </w:r>
      <w:r w:rsidR="007344C2">
        <w:rPr>
          <w:szCs w:val="24"/>
        </w:rPr>
        <w:t>210</w:t>
      </w:r>
      <w:r w:rsidRPr="00AC27FF">
        <w:rPr>
          <w:szCs w:val="24"/>
        </w:rPr>
        <w:t xml:space="preserve"> </w:t>
      </w:r>
      <w:r>
        <w:rPr>
          <w:szCs w:val="24"/>
        </w:rPr>
        <w:t>hours x $</w:t>
      </w:r>
      <w:r w:rsidR="00A92755">
        <w:rPr>
          <w:szCs w:val="24"/>
        </w:rPr>
        <w:t>125</w:t>
      </w:r>
      <w:r>
        <w:rPr>
          <w:szCs w:val="24"/>
        </w:rPr>
        <w:t>/hour</w:t>
      </w:r>
      <w:r w:rsidR="003D4832">
        <w:rPr>
          <w:rStyle w:val="FootnoteReference"/>
          <w:szCs w:val="24"/>
        </w:rPr>
        <w:footnoteReference w:id="1"/>
      </w:r>
      <w:r w:rsidRPr="00AC27FF">
        <w:rPr>
          <w:szCs w:val="24"/>
        </w:rPr>
        <w:t>).</w:t>
      </w:r>
    </w:p>
    <w:p w:rsidRPr="00AC27FF" w:rsidR="00B66110" w:rsidP="00B66110" w:rsidRDefault="00B66110" w14:paraId="15CC0AD2" w14:textId="77777777">
      <w:pPr>
        <w:ind w:left="720" w:hanging="360"/>
        <w:rPr>
          <w:szCs w:val="24"/>
        </w:rPr>
      </w:pPr>
      <w:bookmarkStart w:name="_GoBack" w:id="0"/>
      <w:bookmarkEnd w:id="0"/>
    </w:p>
    <w:p w:rsidR="00B66110" w:rsidP="00B66110" w:rsidRDefault="00B66110" w14:paraId="4FC7CFF0" w14:textId="77777777">
      <w:pPr>
        <w:tabs>
          <w:tab w:val="left" w:pos="2250"/>
        </w:tabs>
        <w:ind w:left="720" w:hanging="360"/>
        <w:rPr>
          <w:szCs w:val="24"/>
        </w:rPr>
      </w:pPr>
      <w:r>
        <w:rPr>
          <w:szCs w:val="24"/>
        </w:rPr>
        <w:t xml:space="preserve">(7) </w:t>
      </w:r>
      <w:r w:rsidRPr="00AC27FF">
        <w:rPr>
          <w:szCs w:val="24"/>
          <w:u w:val="single"/>
        </w:rPr>
        <w:t>Explanation of calculation</w:t>
      </w:r>
      <w:r w:rsidRPr="00AC27FF">
        <w:rPr>
          <w:szCs w:val="24"/>
        </w:rPr>
        <w:t xml:space="preserve">:  </w:t>
      </w:r>
      <w:r>
        <w:rPr>
          <w:szCs w:val="24"/>
        </w:rPr>
        <w:t xml:space="preserve">We estimate that each Alaska Plan participant will take </w:t>
      </w:r>
      <w:r w:rsidR="007344C2">
        <w:rPr>
          <w:szCs w:val="24"/>
        </w:rPr>
        <w:t>10</w:t>
      </w:r>
      <w:r>
        <w:rPr>
          <w:szCs w:val="24"/>
        </w:rPr>
        <w:t xml:space="preserve"> hours preparing and submitting the relevant information</w:t>
      </w:r>
      <w:r w:rsidR="007344C2">
        <w:rPr>
          <w:szCs w:val="24"/>
        </w:rPr>
        <w:t xml:space="preserve">.  </w:t>
      </w:r>
    </w:p>
    <w:p w:rsidR="00B66110" w:rsidP="00B66110" w:rsidRDefault="00B66110" w14:paraId="3F810620" w14:textId="77777777">
      <w:pPr>
        <w:tabs>
          <w:tab w:val="left" w:pos="2250"/>
        </w:tabs>
        <w:ind w:left="720" w:hanging="360"/>
        <w:rPr>
          <w:szCs w:val="24"/>
        </w:rPr>
      </w:pPr>
    </w:p>
    <w:p w:rsidR="00B66110" w:rsidP="00B66110" w:rsidRDefault="00B66110" w14:paraId="53D4CE98" w14:textId="2AA588D0">
      <w:pPr>
        <w:tabs>
          <w:tab w:val="left" w:pos="2250"/>
        </w:tabs>
        <w:ind w:left="720" w:hanging="360"/>
        <w:rPr>
          <w:szCs w:val="24"/>
        </w:rPr>
      </w:pPr>
      <w:r>
        <w:rPr>
          <w:szCs w:val="24"/>
        </w:rPr>
        <w:tab/>
        <w:t xml:space="preserve">21 (responses) x </w:t>
      </w:r>
      <w:r w:rsidR="007344C2">
        <w:rPr>
          <w:szCs w:val="24"/>
        </w:rPr>
        <w:t>10</w:t>
      </w:r>
      <w:r>
        <w:rPr>
          <w:szCs w:val="24"/>
        </w:rPr>
        <w:t xml:space="preserve"> (hours to prepare and submit information) x $</w:t>
      </w:r>
      <w:r w:rsidR="00A92755">
        <w:rPr>
          <w:szCs w:val="24"/>
        </w:rPr>
        <w:t>125</w:t>
      </w:r>
      <w:r>
        <w:rPr>
          <w:szCs w:val="24"/>
        </w:rPr>
        <w:t>/h</w:t>
      </w:r>
      <w:r w:rsidR="00765D23">
        <w:rPr>
          <w:szCs w:val="24"/>
        </w:rPr>
        <w:t xml:space="preserve">our </w:t>
      </w:r>
      <w:r>
        <w:rPr>
          <w:szCs w:val="24"/>
        </w:rPr>
        <w:t>= $</w:t>
      </w:r>
      <w:r w:rsidR="00A92755">
        <w:rPr>
          <w:szCs w:val="24"/>
        </w:rPr>
        <w:t>26,250</w:t>
      </w:r>
      <w:r>
        <w:rPr>
          <w:szCs w:val="24"/>
        </w:rPr>
        <w:t>.</w:t>
      </w:r>
    </w:p>
    <w:p w:rsidR="00B66110" w:rsidP="00B66110" w:rsidRDefault="00B66110" w14:paraId="2606764F" w14:textId="77777777">
      <w:pPr>
        <w:tabs>
          <w:tab w:val="left" w:pos="2250"/>
        </w:tabs>
        <w:ind w:left="720" w:hanging="360"/>
        <w:rPr>
          <w:szCs w:val="24"/>
        </w:rPr>
      </w:pPr>
    </w:p>
    <w:p w:rsidRPr="00AC27FF" w:rsidR="007344C2" w:rsidP="007344C2" w:rsidRDefault="007344C2" w14:paraId="60F58D6A" w14:textId="77777777">
      <w:pPr>
        <w:tabs>
          <w:tab w:val="left" w:pos="-720"/>
          <w:tab w:val="left" w:pos="7611"/>
        </w:tabs>
        <w:suppressAutoHyphens/>
        <w:spacing w:line="240" w:lineRule="atLeast"/>
        <w:rPr>
          <w:b/>
          <w:szCs w:val="24"/>
        </w:rPr>
      </w:pPr>
      <w:r w:rsidRPr="00AC27FF">
        <w:rPr>
          <w:b/>
          <w:szCs w:val="24"/>
        </w:rPr>
        <w:t>The estimated respondents and responses and burden hours are listed below:</w:t>
      </w:r>
      <w:r>
        <w:rPr>
          <w:b/>
          <w:szCs w:val="24"/>
        </w:rPr>
        <w:t xml:space="preserve"> </w:t>
      </w:r>
    </w:p>
    <w:p w:rsidRPr="00AC27FF" w:rsidR="00B66110" w:rsidP="000F446A" w:rsidRDefault="00B66110" w14:paraId="473EF7BF" w14:textId="77777777">
      <w:pPr>
        <w:ind w:left="360" w:hanging="360"/>
        <w:rPr>
          <w:szCs w:val="24"/>
        </w:rPr>
      </w:pPr>
    </w:p>
    <w:tbl>
      <w:tblPr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710"/>
        <w:gridCol w:w="1640"/>
        <w:gridCol w:w="1440"/>
        <w:gridCol w:w="1080"/>
        <w:gridCol w:w="1710"/>
      </w:tblGrid>
      <w:tr w:rsidRPr="00AC27FF" w:rsidR="00AF2992" w:rsidTr="007344C2" w14:paraId="191BFEFF" w14:textId="77777777">
        <w:trPr>
          <w:cantSplit/>
          <w:trHeight w:val="1380"/>
          <w:jc w:val="center"/>
        </w:trPr>
        <w:tc>
          <w:tcPr>
            <w:tcW w:w="1885" w:type="dxa"/>
            <w:shd w:val="clear" w:color="auto" w:fill="auto"/>
            <w:vAlign w:val="bottom"/>
          </w:tcPr>
          <w:p w:rsidRPr="00AC27FF" w:rsidR="00AF2992" w:rsidP="0013080D" w:rsidRDefault="00AF2992" w14:paraId="55B324DD" w14:textId="77777777">
            <w:pPr>
              <w:rPr>
                <w:b/>
                <w:bCs/>
                <w:szCs w:val="24"/>
              </w:rPr>
            </w:pPr>
            <w:r w:rsidRPr="00AC27FF">
              <w:rPr>
                <w:b/>
                <w:bCs/>
                <w:szCs w:val="24"/>
              </w:rPr>
              <w:t> </w:t>
            </w:r>
          </w:p>
          <w:p w:rsidRPr="00AC27FF" w:rsidR="00AF2992" w:rsidP="0013080D" w:rsidRDefault="00AF2992" w14:paraId="549A2141" w14:textId="77777777">
            <w:pPr>
              <w:rPr>
                <w:b/>
                <w:bCs/>
                <w:szCs w:val="24"/>
              </w:rPr>
            </w:pPr>
            <w:r w:rsidRPr="00AC27FF">
              <w:rPr>
                <w:b/>
                <w:bCs/>
                <w:szCs w:val="24"/>
              </w:rPr>
              <w:t>Information Collection Requirements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Pr="00AC27FF" w:rsidR="00AF2992" w:rsidP="0013080D" w:rsidRDefault="00AF2992" w14:paraId="37FA94D4" w14:textId="77777777">
            <w:pPr>
              <w:jc w:val="center"/>
              <w:rPr>
                <w:b/>
                <w:bCs/>
                <w:szCs w:val="24"/>
              </w:rPr>
            </w:pPr>
          </w:p>
          <w:p w:rsidRPr="00AC27FF" w:rsidR="00AF2992" w:rsidP="0013080D" w:rsidRDefault="00AF2992" w14:paraId="232C572B" w14:textId="77777777">
            <w:pPr>
              <w:jc w:val="center"/>
              <w:rPr>
                <w:b/>
                <w:bCs/>
                <w:szCs w:val="24"/>
              </w:rPr>
            </w:pPr>
            <w:r w:rsidRPr="00AC27FF">
              <w:rPr>
                <w:b/>
                <w:bCs/>
                <w:szCs w:val="24"/>
              </w:rPr>
              <w:t>Number of Respondents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Pr="00AC27FF" w:rsidR="00AF2992" w:rsidP="0013080D" w:rsidRDefault="00AF2992" w14:paraId="7718D167" w14:textId="77777777">
            <w:pPr>
              <w:jc w:val="center"/>
              <w:rPr>
                <w:b/>
                <w:bCs/>
                <w:szCs w:val="24"/>
              </w:rPr>
            </w:pPr>
          </w:p>
          <w:p w:rsidRPr="00AC27FF" w:rsidR="00AF2992" w:rsidP="0013080D" w:rsidRDefault="00AF2992" w14:paraId="0E2652E2" w14:textId="77777777">
            <w:pPr>
              <w:jc w:val="center"/>
              <w:rPr>
                <w:b/>
                <w:bCs/>
                <w:szCs w:val="24"/>
              </w:rPr>
            </w:pPr>
            <w:r w:rsidRPr="00AC27FF">
              <w:rPr>
                <w:b/>
                <w:bCs/>
                <w:szCs w:val="24"/>
              </w:rPr>
              <w:t>Number of Responses</w:t>
            </w:r>
          </w:p>
          <w:p w:rsidRPr="00AC27FF" w:rsidR="00AF2992" w:rsidP="0013080D" w:rsidRDefault="00AF2992" w14:paraId="6F466251" w14:textId="77777777">
            <w:pPr>
              <w:jc w:val="center"/>
              <w:rPr>
                <w:b/>
                <w:bCs/>
                <w:szCs w:val="24"/>
              </w:rPr>
            </w:pPr>
            <w:r w:rsidRPr="00AC27FF">
              <w:rPr>
                <w:b/>
                <w:bCs/>
                <w:szCs w:val="24"/>
              </w:rPr>
              <w:t>Per Year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Pr="00AC27FF" w:rsidR="00AF2992" w:rsidP="0013080D" w:rsidRDefault="00AF2992" w14:paraId="7A36C2CB" w14:textId="77777777">
            <w:pPr>
              <w:jc w:val="center"/>
              <w:rPr>
                <w:b/>
                <w:bCs/>
                <w:szCs w:val="24"/>
              </w:rPr>
            </w:pPr>
          </w:p>
          <w:p w:rsidRPr="00AC27FF" w:rsidR="00AF2992" w:rsidP="0013080D" w:rsidRDefault="00AF2992" w14:paraId="21DBF23D" w14:textId="777777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Estimated Time </w:t>
            </w:r>
            <w:r w:rsidRPr="00AC27FF">
              <w:rPr>
                <w:b/>
                <w:bCs/>
                <w:szCs w:val="24"/>
              </w:rPr>
              <w:t>per</w:t>
            </w:r>
            <w:r>
              <w:rPr>
                <w:b/>
                <w:bCs/>
                <w:szCs w:val="24"/>
              </w:rPr>
              <w:t xml:space="preserve"> </w:t>
            </w:r>
            <w:r w:rsidRPr="00AC27FF">
              <w:rPr>
                <w:b/>
                <w:bCs/>
                <w:szCs w:val="24"/>
              </w:rPr>
              <w:t>Response (hours)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Pr="00AC27FF" w:rsidR="00AF2992" w:rsidP="0013080D" w:rsidRDefault="00AF2992" w14:paraId="0DE8D7D1" w14:textId="77777777">
            <w:pPr>
              <w:jc w:val="center"/>
              <w:rPr>
                <w:b/>
                <w:bCs/>
                <w:szCs w:val="24"/>
              </w:rPr>
            </w:pPr>
          </w:p>
          <w:p w:rsidRPr="00AC27FF" w:rsidR="00AF2992" w:rsidP="0013080D" w:rsidRDefault="00AF2992" w14:paraId="38AC359B" w14:textId="77777777">
            <w:pPr>
              <w:jc w:val="center"/>
              <w:rPr>
                <w:b/>
                <w:bCs/>
                <w:szCs w:val="24"/>
              </w:rPr>
            </w:pPr>
            <w:r w:rsidRPr="00AC27FF">
              <w:rPr>
                <w:b/>
                <w:bCs/>
                <w:szCs w:val="24"/>
              </w:rPr>
              <w:t>Total Burden Hours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Pr="00AC27FF" w:rsidR="00AF2992" w:rsidP="0013080D" w:rsidRDefault="00AF2992" w14:paraId="41915C7E" w14:textId="77777777">
            <w:pPr>
              <w:jc w:val="center"/>
              <w:rPr>
                <w:b/>
                <w:bCs/>
                <w:szCs w:val="24"/>
              </w:rPr>
            </w:pPr>
          </w:p>
          <w:p w:rsidRPr="00AC27FF" w:rsidR="00AF2992" w:rsidP="0013080D" w:rsidRDefault="00AF2992" w14:paraId="009617CF" w14:textId="777777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In-house</w:t>
            </w:r>
            <w:r w:rsidRPr="00AC27FF">
              <w:rPr>
                <w:b/>
                <w:bCs/>
                <w:szCs w:val="24"/>
              </w:rPr>
              <w:t xml:space="preserve"> Cost</w:t>
            </w:r>
            <w:r>
              <w:rPr>
                <w:b/>
                <w:bCs/>
                <w:szCs w:val="24"/>
              </w:rPr>
              <w:t xml:space="preserve"> to Respondents</w:t>
            </w:r>
          </w:p>
        </w:tc>
      </w:tr>
      <w:tr w:rsidRPr="00AC27FF" w:rsidR="00AF2992" w:rsidTr="007344C2" w14:paraId="1E8B48A5" w14:textId="77777777">
        <w:trPr>
          <w:cantSplit/>
          <w:trHeight w:val="1380"/>
          <w:jc w:val="center"/>
        </w:trPr>
        <w:tc>
          <w:tcPr>
            <w:tcW w:w="1885" w:type="dxa"/>
            <w:shd w:val="clear" w:color="auto" w:fill="auto"/>
            <w:vAlign w:val="bottom"/>
          </w:tcPr>
          <w:p w:rsidRPr="00663051" w:rsidR="00AF2992" w:rsidP="00765D23" w:rsidRDefault="00AB3410" w14:paraId="62124936" w14:textId="3E33AD4C">
            <w:pPr>
              <w:rPr>
                <w:b/>
                <w:bCs/>
                <w:szCs w:val="24"/>
              </w:rPr>
            </w:pPr>
            <w:r w:rsidRPr="00765D23">
              <w:rPr>
                <w:b/>
                <w:bCs/>
                <w:szCs w:val="24"/>
              </w:rPr>
              <w:t>a.</w:t>
            </w:r>
            <w:r>
              <w:rPr>
                <w:b/>
                <w:bCs/>
                <w:szCs w:val="24"/>
              </w:rPr>
              <w:t xml:space="preserve"> </w:t>
            </w:r>
            <w:r w:rsidRPr="00663051" w:rsidR="008714A3">
              <w:rPr>
                <w:b/>
                <w:bCs/>
                <w:szCs w:val="24"/>
              </w:rPr>
              <w:t>Update to end-of-term commitments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Pr="00AC27FF" w:rsidR="00AF2992" w:rsidP="0013080D" w:rsidRDefault="008714A3" w14:paraId="728F9A62" w14:textId="777777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Pr="00AC27FF" w:rsidR="00AF2992" w:rsidP="0013080D" w:rsidRDefault="008714A3" w14:paraId="0A228A34" w14:textId="777777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Pr="00AC27FF" w:rsidR="00AF2992" w:rsidP="0013080D" w:rsidRDefault="008714A3" w14:paraId="6A1CB63E" w14:textId="777777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Pr="00AC27FF" w:rsidR="00AF2992" w:rsidP="0013080D" w:rsidRDefault="008714A3" w14:paraId="6A88620E" w14:textId="777777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210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Pr="00AC27FF" w:rsidR="00AF2992" w:rsidP="0013080D" w:rsidRDefault="00A905C0" w14:paraId="0D26A4C1" w14:textId="777777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$</w:t>
            </w:r>
            <w:r w:rsidR="00A92755">
              <w:rPr>
                <w:b/>
                <w:bCs/>
                <w:szCs w:val="24"/>
              </w:rPr>
              <w:t>26,250</w:t>
            </w:r>
          </w:p>
        </w:tc>
      </w:tr>
    </w:tbl>
    <w:p w:rsidR="000F446A" w:rsidP="000F446A" w:rsidRDefault="000F446A" w14:paraId="606EB52F" w14:textId="77777777">
      <w:pPr>
        <w:rPr>
          <w:szCs w:val="24"/>
        </w:rPr>
      </w:pPr>
    </w:p>
    <w:p w:rsidR="000F446A" w:rsidP="000F446A" w:rsidRDefault="000F446A" w14:paraId="1229C4B6" w14:textId="77777777">
      <w:pPr>
        <w:rPr>
          <w:szCs w:val="24"/>
        </w:rPr>
      </w:pPr>
    </w:p>
    <w:p w:rsidRPr="00AC27FF" w:rsidR="000F446A" w:rsidP="000F446A" w:rsidRDefault="000F446A" w14:paraId="676C3E86" w14:textId="626DE7D7">
      <w:pPr>
        <w:tabs>
          <w:tab w:val="left" w:pos="-720"/>
          <w:tab w:val="left" w:pos="7611"/>
        </w:tabs>
        <w:suppressAutoHyphens/>
        <w:spacing w:line="240" w:lineRule="atLeast"/>
        <w:ind w:left="360"/>
        <w:rPr>
          <w:b/>
          <w:szCs w:val="24"/>
        </w:rPr>
      </w:pPr>
      <w:r w:rsidRPr="00AC27FF">
        <w:rPr>
          <w:b/>
          <w:szCs w:val="24"/>
        </w:rPr>
        <w:t xml:space="preserve">Total Number of </w:t>
      </w:r>
      <w:r w:rsidR="008B45E0">
        <w:rPr>
          <w:b/>
          <w:szCs w:val="24"/>
        </w:rPr>
        <w:t>Respondents</w:t>
      </w:r>
      <w:r w:rsidRPr="00AC27FF">
        <w:rPr>
          <w:b/>
          <w:szCs w:val="24"/>
        </w:rPr>
        <w:t xml:space="preserve">:  </w:t>
      </w:r>
      <w:r w:rsidR="00A905C0">
        <w:rPr>
          <w:b/>
          <w:szCs w:val="24"/>
        </w:rPr>
        <w:t>21</w:t>
      </w:r>
      <w:r w:rsidR="00AB3410">
        <w:rPr>
          <w:b/>
          <w:szCs w:val="24"/>
        </w:rPr>
        <w:t xml:space="preserve"> respondents filing once.</w:t>
      </w:r>
    </w:p>
    <w:p w:rsidRPr="00AC27FF" w:rsidR="000F446A" w:rsidP="000F446A" w:rsidRDefault="000F446A" w14:paraId="3EA794AA" w14:textId="77777777">
      <w:pPr>
        <w:tabs>
          <w:tab w:val="left" w:pos="-720"/>
          <w:tab w:val="left" w:pos="7611"/>
        </w:tabs>
        <w:suppressAutoHyphens/>
        <w:spacing w:line="240" w:lineRule="atLeast"/>
        <w:ind w:left="360"/>
        <w:rPr>
          <w:b/>
          <w:szCs w:val="24"/>
        </w:rPr>
      </w:pPr>
    </w:p>
    <w:p w:rsidRPr="00AC27FF" w:rsidR="000F446A" w:rsidP="000F446A" w:rsidRDefault="000F446A" w14:paraId="3DFF0C82" w14:textId="49754CDF">
      <w:pPr>
        <w:tabs>
          <w:tab w:val="left" w:pos="-720"/>
          <w:tab w:val="left" w:pos="7611"/>
        </w:tabs>
        <w:suppressAutoHyphens/>
        <w:spacing w:line="240" w:lineRule="atLeast"/>
        <w:ind w:left="360"/>
        <w:rPr>
          <w:b/>
          <w:szCs w:val="24"/>
        </w:rPr>
      </w:pPr>
      <w:r w:rsidRPr="00AC27FF">
        <w:rPr>
          <w:b/>
          <w:szCs w:val="24"/>
        </w:rPr>
        <w:t>T</w:t>
      </w:r>
      <w:r w:rsidR="00765D23">
        <w:rPr>
          <w:b/>
          <w:szCs w:val="24"/>
        </w:rPr>
        <w:t>otal Number of Responses Annually</w:t>
      </w:r>
      <w:r w:rsidR="00A905C0">
        <w:rPr>
          <w:b/>
          <w:szCs w:val="24"/>
        </w:rPr>
        <w:t>:</w:t>
      </w:r>
      <w:r w:rsidRPr="00AC27FF">
        <w:rPr>
          <w:b/>
          <w:szCs w:val="24"/>
        </w:rPr>
        <w:t xml:space="preserve">  </w:t>
      </w:r>
      <w:r w:rsidR="00A905C0">
        <w:rPr>
          <w:b/>
          <w:szCs w:val="24"/>
        </w:rPr>
        <w:t>21</w:t>
      </w:r>
    </w:p>
    <w:p w:rsidRPr="00AC27FF" w:rsidR="000F446A" w:rsidP="000F446A" w:rsidRDefault="000F446A" w14:paraId="7C8FAD64" w14:textId="77777777">
      <w:pPr>
        <w:tabs>
          <w:tab w:val="left" w:pos="-720"/>
          <w:tab w:val="left" w:pos="7611"/>
        </w:tabs>
        <w:suppressAutoHyphens/>
        <w:spacing w:line="240" w:lineRule="atLeast"/>
        <w:ind w:left="360"/>
        <w:rPr>
          <w:b/>
          <w:szCs w:val="24"/>
        </w:rPr>
      </w:pPr>
    </w:p>
    <w:p w:rsidR="000F446A" w:rsidP="000F446A" w:rsidRDefault="000F446A" w14:paraId="2EFBD130" w14:textId="77777777">
      <w:pPr>
        <w:tabs>
          <w:tab w:val="left" w:pos="-720"/>
          <w:tab w:val="left" w:pos="7611"/>
        </w:tabs>
        <w:suppressAutoHyphens/>
        <w:spacing w:line="240" w:lineRule="atLeast"/>
        <w:ind w:left="360"/>
        <w:rPr>
          <w:b/>
          <w:szCs w:val="24"/>
        </w:rPr>
      </w:pPr>
      <w:r w:rsidRPr="00AC27FF">
        <w:rPr>
          <w:b/>
          <w:szCs w:val="24"/>
        </w:rPr>
        <w:t xml:space="preserve">Total Annual </w:t>
      </w:r>
      <w:r>
        <w:rPr>
          <w:b/>
          <w:szCs w:val="24"/>
        </w:rPr>
        <w:t>In-house</w:t>
      </w:r>
      <w:r w:rsidRPr="00AC27FF">
        <w:rPr>
          <w:b/>
          <w:szCs w:val="24"/>
        </w:rPr>
        <w:t xml:space="preserve"> Costs</w:t>
      </w:r>
      <w:r>
        <w:rPr>
          <w:b/>
          <w:szCs w:val="24"/>
        </w:rPr>
        <w:t xml:space="preserve"> to respondents</w:t>
      </w:r>
      <w:r w:rsidRPr="00AC27FF">
        <w:rPr>
          <w:b/>
          <w:szCs w:val="24"/>
        </w:rPr>
        <w:t xml:space="preserve">:  </w:t>
      </w:r>
      <w:r w:rsidRPr="000B1458">
        <w:rPr>
          <w:b/>
          <w:szCs w:val="24"/>
        </w:rPr>
        <w:t>$</w:t>
      </w:r>
      <w:r w:rsidR="00A92755">
        <w:rPr>
          <w:b/>
          <w:szCs w:val="24"/>
        </w:rPr>
        <w:t>26,250</w:t>
      </w:r>
    </w:p>
    <w:p w:rsidR="000F446A" w:rsidP="000F446A" w:rsidRDefault="000F446A" w14:paraId="0D94DBA8" w14:textId="77777777">
      <w:pPr>
        <w:rPr>
          <w:szCs w:val="24"/>
        </w:rPr>
      </w:pPr>
    </w:p>
    <w:p w:rsidR="00AF2992" w:rsidP="00AF2992" w:rsidRDefault="000F446A" w14:paraId="22BB7EDF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AF2992">
        <w:rPr>
          <w:i/>
          <w:szCs w:val="24"/>
        </w:rPr>
        <w:t xml:space="preserve">Estimates for the cost burden of the collection to respondents.  </w:t>
      </w:r>
      <w:r w:rsidRPr="00AF2992">
        <w:rPr>
          <w:szCs w:val="24"/>
        </w:rPr>
        <w:t xml:space="preserve">There are no outside contracting costs for this information collection.  </w:t>
      </w:r>
      <w:r w:rsidRPr="00A905C0">
        <w:rPr>
          <w:i/>
          <w:szCs w:val="24"/>
        </w:rPr>
        <w:t>See</w:t>
      </w:r>
      <w:r w:rsidRPr="00AF2992">
        <w:rPr>
          <w:szCs w:val="24"/>
        </w:rPr>
        <w:t xml:space="preserve"> the last column in the chart in item 12 above for the estimated in-house costs to respondents.</w:t>
      </w:r>
    </w:p>
    <w:p w:rsidR="00AF2992" w:rsidP="00AF2992" w:rsidRDefault="00AF2992" w14:paraId="0DFEE564" w14:textId="77777777">
      <w:pPr>
        <w:pStyle w:val="ListParagraph"/>
        <w:rPr>
          <w:szCs w:val="24"/>
        </w:rPr>
      </w:pPr>
    </w:p>
    <w:p w:rsidR="00AF2992" w:rsidP="00AF2992" w:rsidRDefault="000F446A" w14:paraId="06B2DF89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AF2992">
        <w:rPr>
          <w:i/>
          <w:szCs w:val="24"/>
        </w:rPr>
        <w:lastRenderedPageBreak/>
        <w:t xml:space="preserve">Estimates of the cost burden to the Commission.  </w:t>
      </w:r>
      <w:r w:rsidRPr="00AF2992">
        <w:rPr>
          <w:szCs w:val="24"/>
        </w:rPr>
        <w:t>There will be few, if any, costs to the Commission because notice and enforcement requirements are already part of Commission duties.</w:t>
      </w:r>
      <w:bookmarkStart w:name="OLE_LINK1" w:id="1"/>
      <w:bookmarkStart w:name="OLE_LINK2" w:id="2"/>
    </w:p>
    <w:p w:rsidR="00AF2992" w:rsidP="00AF2992" w:rsidRDefault="00AF2992" w14:paraId="173632B6" w14:textId="5E9CB736">
      <w:pPr>
        <w:pStyle w:val="ListParagraph"/>
        <w:rPr>
          <w:szCs w:val="24"/>
        </w:rPr>
      </w:pPr>
    </w:p>
    <w:p w:rsidR="00AF2992" w:rsidP="00D83AD3" w:rsidRDefault="000F446A" w14:paraId="15441C7A" w14:textId="561C3315">
      <w:pPr>
        <w:pStyle w:val="ListParagraph"/>
        <w:numPr>
          <w:ilvl w:val="0"/>
          <w:numId w:val="1"/>
        </w:numPr>
        <w:rPr>
          <w:iCs/>
        </w:rPr>
      </w:pPr>
      <w:r w:rsidRPr="00AF2992">
        <w:rPr>
          <w:i/>
          <w:iCs/>
          <w:color w:val="000000"/>
          <w:szCs w:val="24"/>
        </w:rPr>
        <w:t>Program changes or adjustments.</w:t>
      </w:r>
      <w:r w:rsidRPr="00AF2992">
        <w:rPr>
          <w:iCs/>
          <w:color w:val="000000"/>
          <w:szCs w:val="24"/>
        </w:rPr>
        <w:t xml:space="preserve"> </w:t>
      </w:r>
      <w:r w:rsidRPr="00AF2992">
        <w:rPr>
          <w:i/>
          <w:iCs/>
          <w:szCs w:val="24"/>
        </w:rPr>
        <w:t xml:space="preserve"> </w:t>
      </w:r>
      <w:bookmarkEnd w:id="1"/>
      <w:bookmarkEnd w:id="2"/>
      <w:r w:rsidR="00D83AD3">
        <w:rPr>
          <w:iCs/>
          <w:szCs w:val="24"/>
        </w:rPr>
        <w:t>This is a n</w:t>
      </w:r>
      <w:r w:rsidR="00AB3410">
        <w:rPr>
          <w:iCs/>
          <w:szCs w:val="24"/>
        </w:rPr>
        <w:t xml:space="preserve">ew information collection, resulting in program changes/increase to the total number of respondents to 21, total annual responses of </w:t>
      </w:r>
      <w:r w:rsidR="00765D23">
        <w:rPr>
          <w:iCs/>
          <w:szCs w:val="24"/>
        </w:rPr>
        <w:t>21 and total annual burden hours of 210.</w:t>
      </w:r>
      <w:r w:rsidR="00D83AD3">
        <w:rPr>
          <w:iCs/>
          <w:szCs w:val="24"/>
        </w:rPr>
        <w:t xml:space="preserve"> </w:t>
      </w:r>
    </w:p>
    <w:p w:rsidR="00AF2992" w:rsidP="00AF2992" w:rsidRDefault="00AF2992" w14:paraId="71053C2D" w14:textId="77777777">
      <w:pPr>
        <w:pStyle w:val="ListParagraph"/>
        <w:rPr>
          <w:iCs/>
        </w:rPr>
      </w:pPr>
    </w:p>
    <w:p w:rsidR="00AF2992" w:rsidP="00AF2992" w:rsidRDefault="000F446A" w14:paraId="70E26B9A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AC27FF">
        <w:rPr>
          <w:i/>
          <w:szCs w:val="24"/>
        </w:rPr>
        <w:t xml:space="preserve">Collections of information whose results will be published.  </w:t>
      </w:r>
      <w:r w:rsidRPr="00AC27FF">
        <w:rPr>
          <w:szCs w:val="24"/>
        </w:rPr>
        <w:t xml:space="preserve">The Commission </w:t>
      </w:r>
      <w:r w:rsidR="00D83AD3">
        <w:rPr>
          <w:szCs w:val="24"/>
        </w:rPr>
        <w:t xml:space="preserve">will </w:t>
      </w:r>
      <w:r w:rsidRPr="00AC27FF">
        <w:rPr>
          <w:szCs w:val="24"/>
        </w:rPr>
        <w:t xml:space="preserve">make </w:t>
      </w:r>
      <w:r w:rsidR="00D83AD3">
        <w:rPr>
          <w:szCs w:val="24"/>
        </w:rPr>
        <w:t xml:space="preserve">the Alaska Plan participants’ updated deployment obligations </w:t>
      </w:r>
      <w:r w:rsidRPr="00AC27FF">
        <w:rPr>
          <w:szCs w:val="24"/>
        </w:rPr>
        <w:t>available publicly</w:t>
      </w:r>
      <w:r w:rsidR="00D83AD3">
        <w:rPr>
          <w:szCs w:val="24"/>
        </w:rPr>
        <w:t>.</w:t>
      </w:r>
    </w:p>
    <w:p w:rsidR="00AF2992" w:rsidP="00AF2992" w:rsidRDefault="00AF2992" w14:paraId="3946EA75" w14:textId="77777777">
      <w:pPr>
        <w:pStyle w:val="ListParagraph"/>
        <w:rPr>
          <w:szCs w:val="24"/>
        </w:rPr>
      </w:pPr>
    </w:p>
    <w:p w:rsidR="00AF2992" w:rsidP="00AF2992" w:rsidRDefault="000F446A" w14:paraId="709D598D" w14:textId="695F57E0">
      <w:pPr>
        <w:pStyle w:val="ListParagraph"/>
        <w:numPr>
          <w:ilvl w:val="0"/>
          <w:numId w:val="1"/>
        </w:numPr>
        <w:rPr>
          <w:szCs w:val="24"/>
        </w:rPr>
      </w:pPr>
      <w:r w:rsidRPr="00AF2992">
        <w:rPr>
          <w:i/>
          <w:szCs w:val="24"/>
        </w:rPr>
        <w:t xml:space="preserve">Display of expiration date for OMB approval of information collection.  </w:t>
      </w:r>
      <w:r w:rsidR="00924948">
        <w:t xml:space="preserve">There is no paper form associated with this information collection; it is collected electronically through ECFS described above.  The Commission seeks approval to not display the expiration date for OMB approval of this information collection.  The Commission publishes a list of all OMB-approved information collections in 47 C.F.R. § 0.408 of the Commission’s rules. </w:t>
      </w:r>
    </w:p>
    <w:p w:rsidR="00AF2992" w:rsidP="00AF2992" w:rsidRDefault="00AF2992" w14:paraId="5F816843" w14:textId="77777777">
      <w:pPr>
        <w:pStyle w:val="ListParagraph"/>
        <w:rPr>
          <w:szCs w:val="24"/>
        </w:rPr>
      </w:pPr>
    </w:p>
    <w:p w:rsidR="00AF2992" w:rsidP="00AF2992" w:rsidRDefault="000F446A" w14:paraId="0289BDDE" w14:textId="77777777">
      <w:pPr>
        <w:pStyle w:val="ListParagraph"/>
        <w:numPr>
          <w:ilvl w:val="0"/>
          <w:numId w:val="1"/>
        </w:numPr>
        <w:rPr>
          <w:szCs w:val="24"/>
        </w:rPr>
      </w:pPr>
      <w:r w:rsidRPr="00AF2992">
        <w:rPr>
          <w:i/>
          <w:szCs w:val="24"/>
        </w:rPr>
        <w:t>Exceptions to certification statement for Paperwork Reduction Act submissions</w:t>
      </w:r>
      <w:r w:rsidRPr="00AF2992">
        <w:rPr>
          <w:szCs w:val="24"/>
        </w:rPr>
        <w:t>.   There are no exceptions to the certification statement.</w:t>
      </w:r>
    </w:p>
    <w:p w:rsidRPr="00AF2992" w:rsidR="000F446A" w:rsidP="00AF2992" w:rsidRDefault="000F446A" w14:paraId="794593DC" w14:textId="77777777">
      <w:pPr>
        <w:pStyle w:val="ListParagraph"/>
        <w:rPr>
          <w:szCs w:val="24"/>
        </w:rPr>
      </w:pPr>
      <w:r w:rsidRPr="00AF2992">
        <w:rPr>
          <w:szCs w:val="24"/>
        </w:rPr>
        <w:t xml:space="preserve">  </w:t>
      </w:r>
    </w:p>
    <w:p w:rsidRPr="000F446A" w:rsidR="000F446A" w:rsidP="000F446A" w:rsidRDefault="000F446A" w14:paraId="7D465130" w14:textId="77777777">
      <w:pPr>
        <w:pStyle w:val="ListParagraph"/>
        <w:numPr>
          <w:ilvl w:val="0"/>
          <w:numId w:val="2"/>
        </w:numPr>
        <w:rPr>
          <w:b/>
          <w:szCs w:val="24"/>
        </w:rPr>
      </w:pPr>
      <w:r w:rsidRPr="000F446A">
        <w:rPr>
          <w:b/>
          <w:szCs w:val="24"/>
          <w:u w:val="single"/>
        </w:rPr>
        <w:t>Collections of Information Employing Statistical Methods</w:t>
      </w:r>
      <w:r w:rsidRPr="000F446A">
        <w:rPr>
          <w:b/>
          <w:szCs w:val="24"/>
        </w:rPr>
        <w:t>:</w:t>
      </w:r>
    </w:p>
    <w:p w:rsidRPr="00AC27FF" w:rsidR="000F446A" w:rsidP="000F446A" w:rsidRDefault="000F446A" w14:paraId="0DA58F5C" w14:textId="77777777">
      <w:pPr>
        <w:ind w:left="360" w:hanging="360"/>
        <w:rPr>
          <w:szCs w:val="24"/>
        </w:rPr>
      </w:pPr>
    </w:p>
    <w:p w:rsidRPr="00AC27FF" w:rsidR="000F446A" w:rsidP="009D19AA" w:rsidRDefault="000F446A" w14:paraId="237965B6" w14:textId="77777777">
      <w:pPr>
        <w:ind w:left="720"/>
        <w:rPr>
          <w:szCs w:val="24"/>
        </w:rPr>
      </w:pPr>
      <w:r w:rsidRPr="00AC27FF">
        <w:rPr>
          <w:szCs w:val="24"/>
        </w:rPr>
        <w:t>The Commission does not anticipate that the collection of information will employ statistical methods.</w:t>
      </w:r>
    </w:p>
    <w:p w:rsidRPr="00613F6B" w:rsidR="000F446A" w:rsidP="000F446A" w:rsidRDefault="000F446A" w14:paraId="033FADD2" w14:textId="77777777">
      <w:pPr>
        <w:rPr>
          <w:szCs w:val="24"/>
        </w:rPr>
      </w:pPr>
    </w:p>
    <w:p w:rsidRPr="00EE07FF" w:rsidR="00EE07FF" w:rsidP="00EE07FF" w:rsidRDefault="00EE07FF" w14:paraId="3CFBF555" w14:textId="77777777">
      <w:pPr>
        <w:rPr>
          <w:b/>
        </w:rPr>
      </w:pPr>
    </w:p>
    <w:sectPr w:rsidRPr="00EE07FF" w:rsidR="00EE07F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C15E8" w14:textId="77777777" w:rsidR="00772D98" w:rsidRDefault="00772D98" w:rsidP="006B4F2A">
      <w:r>
        <w:separator/>
      </w:r>
    </w:p>
  </w:endnote>
  <w:endnote w:type="continuationSeparator" w:id="0">
    <w:p w14:paraId="0E30F656" w14:textId="77777777" w:rsidR="00772D98" w:rsidRDefault="00772D98" w:rsidP="006B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5126C" w14:textId="77777777" w:rsidR="00772D98" w:rsidRDefault="00772D98" w:rsidP="006B4F2A">
      <w:r>
        <w:separator/>
      </w:r>
    </w:p>
  </w:footnote>
  <w:footnote w:type="continuationSeparator" w:id="0">
    <w:p w14:paraId="54AEBCAE" w14:textId="77777777" w:rsidR="00772D98" w:rsidRDefault="00772D98" w:rsidP="006B4F2A">
      <w:r>
        <w:continuationSeparator/>
      </w:r>
    </w:p>
  </w:footnote>
  <w:footnote w:id="1">
    <w:p w14:paraId="07282F7F" w14:textId="77777777" w:rsidR="003D4832" w:rsidRPr="00EE630B" w:rsidRDefault="003D48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06022">
        <w:t xml:space="preserve">In-house costs to respondents </w:t>
      </w:r>
      <w:r w:rsidR="00B560B5">
        <w:t xml:space="preserve">can be higher for Alaskan companies.  </w:t>
      </w:r>
      <w:r w:rsidR="00EE630B">
        <w:rPr>
          <w:i/>
        </w:rPr>
        <w:t xml:space="preserve">See </w:t>
      </w:r>
      <w:r w:rsidR="00EE630B">
        <w:t>Comments of Alaska Telephone Association,</w:t>
      </w:r>
      <w:r w:rsidR="007156C4">
        <w:t xml:space="preserve"> </w:t>
      </w:r>
      <w:r w:rsidR="007156C4" w:rsidRPr="007156C4">
        <w:t>OMB Control No. 3060-1228; FCC WC Docket No. 16-271</w:t>
      </w:r>
      <w:r w:rsidR="007156C4">
        <w:t>, at 20 (</w:t>
      </w:r>
      <w:r w:rsidR="005B5ECC">
        <w:t>Jan. 11, 2018)</w:t>
      </w:r>
      <w:r w:rsidR="00EE630B">
        <w:t xml:space="preserve"> (“</w:t>
      </w:r>
      <w:r w:rsidR="00EE630B" w:rsidRPr="00EE630B">
        <w:t>Provider employee labor rates are estimated at $125/hour</w:t>
      </w:r>
      <w:r w:rsidR="005B5ECC">
        <w:t>.</w:t>
      </w:r>
      <w:r w:rsidR="00EE630B" w:rsidRPr="00EE630B">
        <w:t xml:space="preserve"> </w:t>
      </w:r>
      <w:r w:rsidR="005B5ECC">
        <w:t xml:space="preserve"> </w:t>
      </w:r>
      <w:r w:rsidR="00EE630B" w:rsidRPr="00EE630B">
        <w:t>The FCC’s $40/hour estimate does not reflect the Alaska market</w:t>
      </w:r>
      <w:r w:rsidR="00EE630B">
        <w:t xml:space="preserve">, . . .”).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000D" w14:textId="4CF7BFB8" w:rsidR="006B4F2A" w:rsidRDefault="006B4F2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066FC"/>
    <w:multiLevelType w:val="hybridMultilevel"/>
    <w:tmpl w:val="856612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BC1"/>
    <w:multiLevelType w:val="hybridMultilevel"/>
    <w:tmpl w:val="3A38D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512E"/>
    <w:multiLevelType w:val="hybridMultilevel"/>
    <w:tmpl w:val="BE509EF4"/>
    <w:lvl w:ilvl="0" w:tplc="4446AD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035FE"/>
    <w:multiLevelType w:val="hybridMultilevel"/>
    <w:tmpl w:val="6220F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2B45"/>
    <w:multiLevelType w:val="hybridMultilevel"/>
    <w:tmpl w:val="B27E3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82925"/>
    <w:multiLevelType w:val="singleLevel"/>
    <w:tmpl w:val="CD582EDC"/>
    <w:lvl w:ilvl="0">
      <w:start w:val="1"/>
      <w:numFmt w:val="decimal"/>
      <w:pStyle w:val="ParaNum"/>
      <w:lvlText w:val="%1."/>
      <w:lvlJc w:val="left"/>
      <w:pPr>
        <w:tabs>
          <w:tab w:val="num" w:pos="1170"/>
        </w:tabs>
        <w:ind w:left="90" w:firstLine="720"/>
      </w:pPr>
      <w:rPr>
        <w:b w:val="0"/>
        <w:bCs/>
      </w:rPr>
    </w:lvl>
  </w:abstractNum>
  <w:abstractNum w:abstractNumId="6" w15:restartNumberingAfterBreak="0">
    <w:nsid w:val="61BD580B"/>
    <w:multiLevelType w:val="hybridMultilevel"/>
    <w:tmpl w:val="8FB20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FF"/>
    <w:rsid w:val="00092EFF"/>
    <w:rsid w:val="000F446A"/>
    <w:rsid w:val="00106022"/>
    <w:rsid w:val="001442E0"/>
    <w:rsid w:val="0017022F"/>
    <w:rsid w:val="00181035"/>
    <w:rsid w:val="001D5302"/>
    <w:rsid w:val="00201BF8"/>
    <w:rsid w:val="002318EA"/>
    <w:rsid w:val="002623CD"/>
    <w:rsid w:val="00275A19"/>
    <w:rsid w:val="0034118E"/>
    <w:rsid w:val="00343360"/>
    <w:rsid w:val="00360F05"/>
    <w:rsid w:val="00364DE3"/>
    <w:rsid w:val="003650F4"/>
    <w:rsid w:val="003D4832"/>
    <w:rsid w:val="004275EC"/>
    <w:rsid w:val="004734DD"/>
    <w:rsid w:val="005B5ECC"/>
    <w:rsid w:val="00663051"/>
    <w:rsid w:val="006B4F2A"/>
    <w:rsid w:val="006D456D"/>
    <w:rsid w:val="007156C4"/>
    <w:rsid w:val="007344C2"/>
    <w:rsid w:val="00750C95"/>
    <w:rsid w:val="00754ECD"/>
    <w:rsid w:val="00765D23"/>
    <w:rsid w:val="00772D98"/>
    <w:rsid w:val="00774D5F"/>
    <w:rsid w:val="00784166"/>
    <w:rsid w:val="0079691F"/>
    <w:rsid w:val="007C3FBE"/>
    <w:rsid w:val="00801984"/>
    <w:rsid w:val="008714A3"/>
    <w:rsid w:val="008B45E0"/>
    <w:rsid w:val="00924948"/>
    <w:rsid w:val="009D19AA"/>
    <w:rsid w:val="00A046EE"/>
    <w:rsid w:val="00A905C0"/>
    <w:rsid w:val="00A92755"/>
    <w:rsid w:val="00A94885"/>
    <w:rsid w:val="00AB3410"/>
    <w:rsid w:val="00AC3D73"/>
    <w:rsid w:val="00AE64B3"/>
    <w:rsid w:val="00AF2992"/>
    <w:rsid w:val="00B560B5"/>
    <w:rsid w:val="00B66110"/>
    <w:rsid w:val="00BD1954"/>
    <w:rsid w:val="00BD46E4"/>
    <w:rsid w:val="00CA5BBD"/>
    <w:rsid w:val="00D115BD"/>
    <w:rsid w:val="00D14AF0"/>
    <w:rsid w:val="00D578F0"/>
    <w:rsid w:val="00D83AD3"/>
    <w:rsid w:val="00DC5745"/>
    <w:rsid w:val="00E47D38"/>
    <w:rsid w:val="00ED4CF2"/>
    <w:rsid w:val="00EE07FF"/>
    <w:rsid w:val="00EE630B"/>
    <w:rsid w:val="00F850DB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ADEC"/>
  <w15:chartTrackingRefBased/>
  <w15:docId w15:val="{1938C416-5BF4-4AD6-81B9-FDD830B3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7D3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7FF"/>
    <w:pPr>
      <w:ind w:left="720"/>
      <w:contextualSpacing/>
    </w:pPr>
  </w:style>
  <w:style w:type="character" w:styleId="Hyperlink">
    <w:name w:val="Hyperlink"/>
    <w:rsid w:val="000F446A"/>
    <w:rPr>
      <w:color w:val="0000FF"/>
      <w:u w:val="single"/>
    </w:rPr>
  </w:style>
  <w:style w:type="paragraph" w:customStyle="1" w:styleId="ParaNum">
    <w:name w:val="ParaNum"/>
    <w:basedOn w:val="Normal"/>
    <w:rsid w:val="000F446A"/>
    <w:pPr>
      <w:widowControl w:val="0"/>
      <w:numPr>
        <w:numId w:val="4"/>
      </w:numPr>
      <w:tabs>
        <w:tab w:val="left" w:pos="1080"/>
      </w:tabs>
      <w:spacing w:after="220"/>
      <w:ind w:left="0"/>
    </w:pPr>
    <w:rPr>
      <w:rFonts w:eastAsia="Times New Roman" w:cs="Times New Roman"/>
      <w:snapToGrid w:val="0"/>
      <w:kern w:val="28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6B4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F2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B4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F2A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48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483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48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1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9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98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98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ecfs/fil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C214-AA8F-4D0F-8572-D48D88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Jachman</dc:creator>
  <cp:keywords/>
  <dc:description/>
  <cp:lastModifiedBy>Nicole Ongele</cp:lastModifiedBy>
  <cp:revision>3</cp:revision>
  <dcterms:created xsi:type="dcterms:W3CDTF">2020-07-30T15:39:00Z</dcterms:created>
  <dcterms:modified xsi:type="dcterms:W3CDTF">2020-07-30T18:32:00Z</dcterms:modified>
</cp:coreProperties>
</file>