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E0D3B" w14:textId="77777777" w:rsidR="00B53B4B" w:rsidRDefault="00B53B4B" w:rsidP="00B53B4B">
      <w:pPr>
        <w:rPr>
          <w:rFonts w:ascii="Arial" w:hAnsi="Arial" w:cs="Arial"/>
          <w:sz w:val="24"/>
          <w:szCs w:val="24"/>
        </w:rPr>
      </w:pPr>
      <w:bookmarkStart w:id="0" w:name="_GoBack"/>
      <w:bookmarkEnd w:id="0"/>
    </w:p>
    <w:p w14:paraId="380E59CA" w14:textId="77777777" w:rsidR="00B53B4B" w:rsidRDefault="00B53B4B" w:rsidP="00B53B4B">
      <w:pPr>
        <w:rPr>
          <w:rFonts w:ascii="Arial" w:hAnsi="Arial" w:cs="Arial"/>
          <w:b/>
          <w:sz w:val="24"/>
          <w:szCs w:val="24"/>
        </w:rPr>
      </w:pPr>
    </w:p>
    <w:p w14:paraId="19976D8E" w14:textId="77777777" w:rsidR="00B53B4B" w:rsidRDefault="00B53B4B" w:rsidP="00B53B4B">
      <w:pPr>
        <w:pStyle w:val="BodyText"/>
        <w:jc w:val="center"/>
        <w:rPr>
          <w:rFonts w:cs="Arial"/>
          <w:b/>
          <w:szCs w:val="24"/>
        </w:rPr>
      </w:pPr>
      <w:r>
        <w:rPr>
          <w:rFonts w:cs="Arial"/>
          <w:b/>
          <w:szCs w:val="24"/>
        </w:rPr>
        <w:t xml:space="preserve">SUPPORTING STATEMENT </w:t>
      </w:r>
    </w:p>
    <w:p w14:paraId="6152ABE3" w14:textId="77777777" w:rsidR="00B53B4B" w:rsidRDefault="00B53B4B" w:rsidP="00B53B4B">
      <w:pPr>
        <w:pStyle w:val="BodyText"/>
        <w:jc w:val="center"/>
        <w:rPr>
          <w:rFonts w:cs="Arial"/>
          <w:b/>
          <w:szCs w:val="24"/>
        </w:rPr>
      </w:pPr>
    </w:p>
    <w:p w14:paraId="3B99125C" w14:textId="77777777" w:rsidR="00B53B4B" w:rsidRDefault="00B53B4B" w:rsidP="00B53B4B">
      <w:pPr>
        <w:pStyle w:val="BodyText"/>
        <w:jc w:val="center"/>
        <w:rPr>
          <w:rFonts w:cs="Arial"/>
          <w:b/>
          <w:szCs w:val="24"/>
        </w:rPr>
      </w:pPr>
      <w:r>
        <w:rPr>
          <w:rFonts w:cs="Arial"/>
          <w:b/>
          <w:szCs w:val="24"/>
        </w:rPr>
        <w:t xml:space="preserve">FOR: </w:t>
      </w:r>
    </w:p>
    <w:p w14:paraId="7A6226AA" w14:textId="77777777" w:rsidR="00B53B4B" w:rsidRPr="00001200" w:rsidRDefault="00B53B4B" w:rsidP="00B53B4B">
      <w:pPr>
        <w:pStyle w:val="BodyText"/>
        <w:jc w:val="center"/>
        <w:rPr>
          <w:rFonts w:cs="Arial"/>
          <w:b/>
          <w:szCs w:val="24"/>
        </w:rPr>
      </w:pPr>
    </w:p>
    <w:p w14:paraId="22724065" w14:textId="77777777" w:rsidR="002C4F45" w:rsidRPr="00001200" w:rsidRDefault="002C4F45" w:rsidP="002C4F45">
      <w:pPr>
        <w:jc w:val="center"/>
        <w:rPr>
          <w:rFonts w:ascii="Arial" w:hAnsi="Arial" w:cs="Arial"/>
          <w:b/>
          <w:sz w:val="24"/>
          <w:szCs w:val="24"/>
        </w:rPr>
      </w:pPr>
      <w:r w:rsidRPr="00001200">
        <w:rPr>
          <w:rFonts w:ascii="Arial" w:hAnsi="Arial" w:cs="Arial"/>
          <w:b/>
          <w:sz w:val="24"/>
          <w:szCs w:val="24"/>
        </w:rPr>
        <w:t>Dependents’ Request for Change of Program or Place of Training</w:t>
      </w:r>
    </w:p>
    <w:p w14:paraId="141D2741" w14:textId="77777777" w:rsidR="002C4F45" w:rsidRPr="00001200" w:rsidRDefault="002C4F45" w:rsidP="002C4F45">
      <w:pPr>
        <w:jc w:val="center"/>
        <w:rPr>
          <w:rFonts w:ascii="Arial" w:hAnsi="Arial" w:cs="Arial"/>
          <w:b/>
          <w:sz w:val="24"/>
          <w:szCs w:val="24"/>
        </w:rPr>
      </w:pPr>
      <w:r w:rsidRPr="00001200">
        <w:rPr>
          <w:rFonts w:ascii="Arial" w:hAnsi="Arial" w:cs="Arial"/>
          <w:b/>
          <w:sz w:val="24"/>
          <w:szCs w:val="24"/>
        </w:rPr>
        <w:t>(OMB Control Number 2900–0099)</w:t>
      </w:r>
    </w:p>
    <w:p w14:paraId="3D77A3CF" w14:textId="77777777" w:rsidR="002C4F45" w:rsidRPr="00001200" w:rsidRDefault="002C4F45" w:rsidP="00B53B4B">
      <w:pPr>
        <w:pStyle w:val="BodyText"/>
        <w:jc w:val="center"/>
        <w:rPr>
          <w:rFonts w:cs="Arial"/>
          <w:b/>
          <w:szCs w:val="24"/>
        </w:rPr>
      </w:pPr>
    </w:p>
    <w:p w14:paraId="31D402B5" w14:textId="77777777" w:rsidR="00B53B4B" w:rsidRPr="00001200" w:rsidRDefault="00B53B4B" w:rsidP="00B53B4B">
      <w:pPr>
        <w:jc w:val="both"/>
        <w:rPr>
          <w:b/>
          <w:sz w:val="24"/>
          <w:szCs w:val="24"/>
        </w:rPr>
      </w:pPr>
    </w:p>
    <w:p w14:paraId="2D78B0AC" w14:textId="77777777" w:rsidR="00B53B4B" w:rsidRDefault="00B53B4B" w:rsidP="00B53B4B">
      <w:pPr>
        <w:jc w:val="both"/>
        <w:rPr>
          <w:rFonts w:ascii="Arial" w:hAnsi="Arial"/>
          <w:b/>
          <w:sz w:val="28"/>
          <w:szCs w:val="28"/>
        </w:rPr>
      </w:pPr>
      <w:r>
        <w:rPr>
          <w:rFonts w:ascii="Arial" w:hAnsi="Arial"/>
          <w:b/>
          <w:sz w:val="28"/>
          <w:szCs w:val="28"/>
        </w:rPr>
        <w:t>Justification.</w:t>
      </w:r>
    </w:p>
    <w:p w14:paraId="0A1E84F0" w14:textId="77777777" w:rsidR="00B53B4B" w:rsidRDefault="00B53B4B" w:rsidP="00B53B4B">
      <w:pPr>
        <w:jc w:val="both"/>
        <w:rPr>
          <w:rFonts w:ascii="Arial" w:hAnsi="Arial"/>
          <w:b/>
          <w:sz w:val="24"/>
          <w:szCs w:val="24"/>
          <w:u w:val="single"/>
        </w:rPr>
      </w:pPr>
    </w:p>
    <w:p w14:paraId="4FDEA57B" w14:textId="77777777" w:rsidR="00B53B4B" w:rsidRDefault="00B53B4B" w:rsidP="00B53B4B">
      <w:pPr>
        <w:pStyle w:val="BodyText"/>
        <w:rPr>
          <w:b/>
          <w:szCs w:val="24"/>
        </w:rPr>
      </w:pPr>
      <w:r>
        <w:rPr>
          <w:b/>
          <w:szCs w:val="24"/>
        </w:rPr>
        <w:t>1.  Explain the circumstances that make the collection of information necessary.  Identify legal or administrative requirements that necessitate the collection of information.</w:t>
      </w:r>
    </w:p>
    <w:p w14:paraId="2B7F45AA" w14:textId="77777777" w:rsidR="00B53B4B" w:rsidRDefault="00B53B4B" w:rsidP="00B53B4B">
      <w:pPr>
        <w:jc w:val="both"/>
        <w:rPr>
          <w:rFonts w:ascii="Arial" w:hAnsi="Arial"/>
          <w:b/>
          <w:sz w:val="24"/>
          <w:szCs w:val="24"/>
          <w:u w:val="single"/>
        </w:rPr>
      </w:pPr>
    </w:p>
    <w:p w14:paraId="4CA04666" w14:textId="77777777" w:rsidR="00001200" w:rsidRPr="00001200" w:rsidRDefault="00001200" w:rsidP="00001200">
      <w:pPr>
        <w:rPr>
          <w:rFonts w:ascii="Arial" w:hAnsi="Arial" w:cs="Arial"/>
          <w:sz w:val="24"/>
          <w:szCs w:val="24"/>
        </w:rPr>
      </w:pPr>
      <w:r w:rsidRPr="00001200">
        <w:rPr>
          <w:rFonts w:ascii="Arial" w:hAnsi="Arial" w:cs="Arial"/>
          <w:sz w:val="24"/>
          <w:szCs w:val="24"/>
        </w:rPr>
        <w:t>Spouses, surviving spouses, and children who are eligible for Survivor’s and Dependent’s Educational Assistance (DEA) benefits under chapter 35, and children eligible for the Marine Gunnery Sergeant John David Fry Scholarship (Fry Scholarship) under chapter 33, title 38, U.S. Code, may not make any changes in their education program unless the new program is suitable to their abilities, aptitudes, and interests.  Beneficiaries may change their education program the first time solely at their option; however, these beneficiaries may not change their education program a second (or subsequent) time unless the new program is suitable to their abilities, aptitudes, and interests.  In addition to changing their education program, these claimants may also change their school upon application to the Department of Veterans Affairs (VA).  VA Form 22-5495 serves as the procedural requirement for claimants to request a different education program or place of training. The form has been revised to remove the statement that chapter 35 recipients could not use the Electronic Funds Transfer (EFT) option.</w:t>
      </w:r>
    </w:p>
    <w:p w14:paraId="3BB9A75F" w14:textId="77777777" w:rsidR="00001200" w:rsidRPr="00001200" w:rsidRDefault="00001200" w:rsidP="00001200">
      <w:pPr>
        <w:rPr>
          <w:rFonts w:ascii="Arial" w:hAnsi="Arial" w:cs="Arial"/>
          <w:sz w:val="24"/>
          <w:szCs w:val="24"/>
        </w:rPr>
      </w:pPr>
    </w:p>
    <w:p w14:paraId="5C56CC10" w14:textId="77777777" w:rsidR="00001200" w:rsidRPr="00001200" w:rsidRDefault="00001200" w:rsidP="00001200">
      <w:pPr>
        <w:rPr>
          <w:rFonts w:ascii="Arial" w:hAnsi="Arial" w:cs="Arial"/>
          <w:sz w:val="24"/>
          <w:szCs w:val="24"/>
        </w:rPr>
      </w:pPr>
      <w:r w:rsidRPr="00001200">
        <w:rPr>
          <w:rFonts w:ascii="Arial" w:hAnsi="Arial" w:cs="Arial"/>
          <w:sz w:val="24"/>
          <w:szCs w:val="24"/>
        </w:rPr>
        <w:t>The following administrative and legal requirements necessitate the collection:</w:t>
      </w:r>
    </w:p>
    <w:p w14:paraId="08DF78E1" w14:textId="77777777" w:rsidR="00001200" w:rsidRPr="00001200" w:rsidRDefault="00001200" w:rsidP="00001200">
      <w:pPr>
        <w:rPr>
          <w:rFonts w:ascii="Arial" w:hAnsi="Arial" w:cs="Arial"/>
          <w:sz w:val="24"/>
          <w:szCs w:val="24"/>
        </w:rPr>
      </w:pPr>
    </w:p>
    <w:p w14:paraId="002CF4E8" w14:textId="77777777" w:rsidR="00001200" w:rsidRPr="00001200" w:rsidRDefault="00001200" w:rsidP="00001200">
      <w:pPr>
        <w:ind w:left="720"/>
        <w:rPr>
          <w:rFonts w:ascii="Arial" w:hAnsi="Arial" w:cs="Arial"/>
          <w:sz w:val="24"/>
          <w:szCs w:val="24"/>
        </w:rPr>
      </w:pPr>
      <w:r w:rsidRPr="00001200">
        <w:rPr>
          <w:rFonts w:ascii="Arial" w:hAnsi="Arial" w:cs="Arial"/>
          <w:sz w:val="24"/>
          <w:szCs w:val="24"/>
        </w:rPr>
        <w:t>a. 38 United States Code 3034(a), 3034(b), 3323(a), 3323(b), 3471, 3513, 3521, and 3691</w:t>
      </w:r>
    </w:p>
    <w:p w14:paraId="57BC1F5A" w14:textId="77777777" w:rsidR="00001200" w:rsidRPr="00001200" w:rsidRDefault="00001200" w:rsidP="00001200">
      <w:pPr>
        <w:ind w:left="720"/>
        <w:rPr>
          <w:rFonts w:ascii="Arial" w:hAnsi="Arial" w:cs="Arial"/>
          <w:sz w:val="24"/>
          <w:szCs w:val="24"/>
        </w:rPr>
      </w:pPr>
    </w:p>
    <w:p w14:paraId="670BACF1" w14:textId="77777777" w:rsidR="00001200" w:rsidRPr="00001200" w:rsidRDefault="00001200" w:rsidP="00001200">
      <w:pPr>
        <w:ind w:left="720"/>
        <w:rPr>
          <w:rFonts w:ascii="Arial" w:hAnsi="Arial" w:cs="Arial"/>
          <w:sz w:val="24"/>
          <w:szCs w:val="24"/>
        </w:rPr>
      </w:pPr>
      <w:r w:rsidRPr="00001200">
        <w:rPr>
          <w:rFonts w:ascii="Arial" w:hAnsi="Arial" w:cs="Arial"/>
          <w:sz w:val="24"/>
          <w:szCs w:val="24"/>
        </w:rPr>
        <w:t>b. 38 Code of Federal Regulations 21.4234</w:t>
      </w:r>
    </w:p>
    <w:p w14:paraId="45F67B55" w14:textId="77777777" w:rsidR="00B53B4B" w:rsidRPr="00001200" w:rsidRDefault="00B53B4B" w:rsidP="00B53B4B">
      <w:pPr>
        <w:tabs>
          <w:tab w:val="left" w:pos="360"/>
          <w:tab w:val="left" w:pos="792"/>
        </w:tabs>
        <w:rPr>
          <w:rFonts w:ascii="Arial" w:hAnsi="Arial"/>
          <w:sz w:val="24"/>
          <w:szCs w:val="24"/>
        </w:rPr>
      </w:pPr>
    </w:p>
    <w:p w14:paraId="1BE6474B" w14:textId="77777777" w:rsidR="00B53B4B" w:rsidRDefault="00B53B4B" w:rsidP="00B53B4B">
      <w:pPr>
        <w:pStyle w:val="BodyText"/>
        <w:rPr>
          <w:b/>
          <w:szCs w:val="24"/>
        </w:rPr>
      </w:pPr>
      <w:r>
        <w:rPr>
          <w:b/>
          <w:szCs w:val="24"/>
        </w:rPr>
        <w:t>2.  Indicate how, by whom, and for what purposes the information is to be used; indicate actual use the agency has made of the information received from current collection.</w:t>
      </w:r>
    </w:p>
    <w:p w14:paraId="6C49D2CC" w14:textId="77777777" w:rsidR="00B53B4B" w:rsidRPr="00001200" w:rsidRDefault="00B53B4B" w:rsidP="00B53B4B">
      <w:pPr>
        <w:tabs>
          <w:tab w:val="left" w:pos="360"/>
          <w:tab w:val="left" w:pos="792"/>
        </w:tabs>
        <w:rPr>
          <w:rFonts w:ascii="Arial" w:hAnsi="Arial"/>
          <w:sz w:val="24"/>
          <w:szCs w:val="24"/>
        </w:rPr>
      </w:pPr>
    </w:p>
    <w:p w14:paraId="6728D20B" w14:textId="77777777" w:rsidR="00001200" w:rsidRPr="00001200" w:rsidRDefault="00001200" w:rsidP="00001200">
      <w:pPr>
        <w:rPr>
          <w:rFonts w:ascii="Arial" w:hAnsi="Arial" w:cs="Arial"/>
          <w:sz w:val="24"/>
          <w:szCs w:val="24"/>
        </w:rPr>
      </w:pPr>
      <w:r w:rsidRPr="00001200">
        <w:rPr>
          <w:rFonts w:ascii="Arial" w:hAnsi="Arial" w:cs="Arial"/>
          <w:sz w:val="24"/>
          <w:szCs w:val="24"/>
        </w:rPr>
        <w:t>VA has used the current information collection to determine (1) if the claimant continues to qualify for education benefits when taking a different program of training and (2) to verify that a new place of training is approved for benefits.  The information on the form can be obtained only from the individual claimant.  VA cannot make an eligibility determination without this information.</w:t>
      </w:r>
    </w:p>
    <w:p w14:paraId="240EEC9B" w14:textId="77777777" w:rsidR="00001200" w:rsidRDefault="00001200" w:rsidP="00001200">
      <w:pPr>
        <w:rPr>
          <w:rFonts w:ascii="Arial" w:hAnsi="Arial" w:cs="Arial"/>
        </w:rPr>
      </w:pPr>
    </w:p>
    <w:p w14:paraId="6B97AC68" w14:textId="77777777" w:rsidR="00001200" w:rsidRDefault="00001200" w:rsidP="00B53B4B">
      <w:pPr>
        <w:tabs>
          <w:tab w:val="left" w:pos="360"/>
          <w:tab w:val="left" w:pos="792"/>
        </w:tabs>
        <w:rPr>
          <w:rFonts w:ascii="Arial" w:hAnsi="Arial"/>
          <w:sz w:val="24"/>
          <w:szCs w:val="24"/>
        </w:rPr>
      </w:pPr>
    </w:p>
    <w:p w14:paraId="34BDF12A" w14:textId="77777777" w:rsidR="00B53B4B" w:rsidRDefault="00B53B4B" w:rsidP="00B53B4B">
      <w:pPr>
        <w:tabs>
          <w:tab w:val="left" w:pos="360"/>
          <w:tab w:val="left" w:pos="792"/>
        </w:tabs>
        <w:rPr>
          <w:rFonts w:ascii="Arial" w:hAnsi="Arial"/>
          <w:sz w:val="24"/>
          <w:szCs w:val="24"/>
        </w:rPr>
      </w:pPr>
      <w:r>
        <w:rPr>
          <w:rFonts w:ascii="Arial" w:hAnsi="Arial"/>
          <w:sz w:val="24"/>
          <w:szCs w:val="24"/>
        </w:rPr>
        <w:t xml:space="preserve">  </w:t>
      </w:r>
    </w:p>
    <w:p w14:paraId="75D9BAEF" w14:textId="77777777" w:rsidR="00B53B4B" w:rsidRDefault="00B53B4B" w:rsidP="00B53B4B">
      <w:pPr>
        <w:rPr>
          <w:rFonts w:ascii="Arial" w:hAnsi="Arial" w:cs="Arial"/>
          <w:b/>
          <w:bCs/>
          <w:sz w:val="24"/>
          <w:szCs w:val="24"/>
        </w:rPr>
      </w:pPr>
      <w:r>
        <w:rPr>
          <w:rFonts w:ascii="Arial" w:hAnsi="Arial" w:cs="Arial"/>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CE56B7E" w14:textId="77777777" w:rsidR="00B53B4B" w:rsidRDefault="00B53B4B" w:rsidP="00B53B4B">
      <w:pPr>
        <w:rPr>
          <w:rFonts w:ascii="Arial" w:hAnsi="Arial" w:cs="Arial"/>
          <w:sz w:val="24"/>
          <w:szCs w:val="24"/>
        </w:rPr>
      </w:pPr>
      <w:r>
        <w:rPr>
          <w:rFonts w:ascii="Arial" w:hAnsi="Arial" w:cs="Arial"/>
          <w:sz w:val="24"/>
          <w:szCs w:val="24"/>
        </w:rPr>
        <w:t xml:space="preserve"> </w:t>
      </w:r>
    </w:p>
    <w:p w14:paraId="4859A69A" w14:textId="77777777" w:rsidR="00001200" w:rsidRPr="00001200" w:rsidRDefault="00001200" w:rsidP="00001200">
      <w:pPr>
        <w:rPr>
          <w:rFonts w:ascii="Arial" w:hAnsi="Arial" w:cs="Arial"/>
          <w:sz w:val="24"/>
          <w:szCs w:val="24"/>
        </w:rPr>
      </w:pPr>
      <w:r w:rsidRPr="00001200">
        <w:rPr>
          <w:rFonts w:ascii="Arial" w:hAnsi="Arial" w:cs="Arial"/>
          <w:sz w:val="24"/>
          <w:szCs w:val="24"/>
        </w:rPr>
        <w:t>Information is collected when an eligible dependent of a veteran applies for a new program of education or place of training.  Information technology is being used to reduce this burden.</w:t>
      </w:r>
    </w:p>
    <w:p w14:paraId="32593604" w14:textId="77777777" w:rsidR="00001200" w:rsidRPr="00001200" w:rsidRDefault="00001200" w:rsidP="00001200">
      <w:pPr>
        <w:rPr>
          <w:rFonts w:ascii="Arial" w:hAnsi="Arial" w:cs="Arial"/>
          <w:sz w:val="24"/>
          <w:szCs w:val="24"/>
        </w:rPr>
      </w:pPr>
    </w:p>
    <w:p w14:paraId="237A09A7" w14:textId="77777777" w:rsidR="00001200" w:rsidRPr="00001200" w:rsidRDefault="00001200" w:rsidP="00001200">
      <w:pPr>
        <w:rPr>
          <w:rFonts w:ascii="Arial" w:hAnsi="Arial" w:cs="Arial"/>
          <w:color w:val="000000"/>
          <w:sz w:val="24"/>
          <w:szCs w:val="24"/>
        </w:rPr>
      </w:pPr>
      <w:r w:rsidRPr="00001200">
        <w:rPr>
          <w:rFonts w:ascii="Arial" w:hAnsi="Arial" w:cs="Arial"/>
          <w:sz w:val="24"/>
          <w:szCs w:val="24"/>
        </w:rPr>
        <w:t>We have converted this form into an electronic fillable format available on the Internet.  Additionally, this form is available on the v</w:t>
      </w:r>
      <w:r w:rsidR="00B327E8">
        <w:rPr>
          <w:rFonts w:ascii="Arial" w:hAnsi="Arial" w:cs="Arial"/>
          <w:sz w:val="24"/>
          <w:szCs w:val="24"/>
        </w:rPr>
        <w:t>a.gov</w:t>
      </w:r>
      <w:r w:rsidRPr="00001200">
        <w:rPr>
          <w:rFonts w:ascii="Arial" w:hAnsi="Arial" w:cs="Arial"/>
          <w:sz w:val="24"/>
          <w:szCs w:val="24"/>
        </w:rPr>
        <w:t xml:space="preserve"> computer system.  The </w:t>
      </w:r>
      <w:r w:rsidR="00B327E8">
        <w:rPr>
          <w:rFonts w:ascii="Arial" w:hAnsi="Arial" w:cs="Arial"/>
          <w:sz w:val="24"/>
          <w:szCs w:val="24"/>
        </w:rPr>
        <w:t>va.gov</w:t>
      </w:r>
      <w:r w:rsidRPr="00001200">
        <w:rPr>
          <w:rFonts w:ascii="Arial" w:hAnsi="Arial" w:cs="Arial"/>
          <w:sz w:val="24"/>
          <w:szCs w:val="24"/>
        </w:rPr>
        <w:t xml:space="preserve"> version is identical to the printed form, except claimants are guided past questions that do not pertain to them.  </w:t>
      </w:r>
      <w:r w:rsidR="00B327E8">
        <w:rPr>
          <w:rFonts w:ascii="Arial" w:hAnsi="Arial" w:cs="Arial"/>
          <w:sz w:val="24"/>
          <w:szCs w:val="24"/>
        </w:rPr>
        <w:t>Va.gov</w:t>
      </w:r>
      <w:r w:rsidRPr="00001200">
        <w:rPr>
          <w:rFonts w:ascii="Arial" w:hAnsi="Arial" w:cs="Arial"/>
          <w:sz w:val="24"/>
          <w:szCs w:val="24"/>
        </w:rPr>
        <w:t xml:space="preserve"> applies information technology and reduces the burden on the public.  VA estimates that 20% of claimants submit the form via </w:t>
      </w:r>
      <w:r w:rsidR="00B327E8">
        <w:rPr>
          <w:rFonts w:ascii="Arial" w:hAnsi="Arial" w:cs="Arial"/>
          <w:sz w:val="24"/>
          <w:szCs w:val="24"/>
        </w:rPr>
        <w:t>va.gov</w:t>
      </w:r>
      <w:r w:rsidRPr="00001200">
        <w:rPr>
          <w:rFonts w:ascii="Arial" w:hAnsi="Arial" w:cs="Arial"/>
          <w:sz w:val="24"/>
          <w:szCs w:val="24"/>
        </w:rPr>
        <w:t>.</w:t>
      </w:r>
    </w:p>
    <w:p w14:paraId="1BD1091D" w14:textId="77777777" w:rsidR="00B53B4B" w:rsidRDefault="00B53B4B" w:rsidP="00B53B4B">
      <w:pPr>
        <w:tabs>
          <w:tab w:val="left" w:pos="360"/>
          <w:tab w:val="left" w:pos="792"/>
        </w:tabs>
        <w:rPr>
          <w:rFonts w:ascii="Arial" w:hAnsi="Arial"/>
          <w:sz w:val="24"/>
          <w:szCs w:val="24"/>
        </w:rPr>
      </w:pPr>
      <w:r>
        <w:rPr>
          <w:rFonts w:ascii="Arial" w:hAnsi="Arial"/>
          <w:sz w:val="24"/>
          <w:szCs w:val="24"/>
        </w:rPr>
        <w:t xml:space="preserve"> </w:t>
      </w:r>
    </w:p>
    <w:p w14:paraId="3D574EEA" w14:textId="77777777" w:rsidR="00B53B4B" w:rsidRDefault="00B53B4B" w:rsidP="00B53B4B">
      <w:pPr>
        <w:pStyle w:val="BodyText"/>
        <w:rPr>
          <w:b/>
          <w:szCs w:val="24"/>
        </w:rPr>
      </w:pPr>
      <w:r>
        <w:rPr>
          <w:b/>
          <w:szCs w:val="24"/>
        </w:rPr>
        <w:t>4.  Describe efforts to identify duplication.  Show specifically why any similar information already available cannot be used or modified for use for the purposes described in Item 2 above.</w:t>
      </w:r>
    </w:p>
    <w:p w14:paraId="597B3562" w14:textId="77777777" w:rsidR="00F25F4D" w:rsidRDefault="00F25F4D" w:rsidP="00B53B4B">
      <w:pPr>
        <w:pStyle w:val="BodyText"/>
        <w:rPr>
          <w:b/>
          <w:szCs w:val="24"/>
        </w:rPr>
      </w:pPr>
    </w:p>
    <w:p w14:paraId="66BBCA4A" w14:textId="77777777" w:rsidR="00F25F4D" w:rsidRPr="00F25F4D" w:rsidRDefault="00F25F4D" w:rsidP="00F25F4D">
      <w:pPr>
        <w:rPr>
          <w:rFonts w:ascii="Arial" w:hAnsi="Arial" w:cs="Arial"/>
          <w:sz w:val="24"/>
          <w:szCs w:val="24"/>
        </w:rPr>
      </w:pPr>
      <w:r w:rsidRPr="00F25F4D">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4D4C62FB" w14:textId="77777777" w:rsidR="00F25F4D" w:rsidRPr="00F25F4D" w:rsidRDefault="00F25F4D" w:rsidP="00F25F4D">
      <w:pPr>
        <w:rPr>
          <w:rFonts w:ascii="Arial" w:hAnsi="Arial" w:cs="Arial"/>
          <w:sz w:val="24"/>
          <w:szCs w:val="24"/>
        </w:rPr>
      </w:pPr>
    </w:p>
    <w:p w14:paraId="067E18D2" w14:textId="77777777" w:rsidR="00B53B4B" w:rsidRDefault="00B53B4B" w:rsidP="00B53B4B">
      <w:pPr>
        <w:pStyle w:val="BodyText"/>
        <w:rPr>
          <w:b/>
          <w:szCs w:val="24"/>
        </w:rPr>
      </w:pPr>
      <w:r>
        <w:rPr>
          <w:b/>
          <w:szCs w:val="24"/>
        </w:rPr>
        <w:t>5.  If the collection of information impacts small businesses or other small entities, describe any methods used to minimize burden.</w:t>
      </w:r>
    </w:p>
    <w:p w14:paraId="2E8AD767" w14:textId="77777777" w:rsidR="00B53B4B" w:rsidRDefault="00B53B4B" w:rsidP="00B53B4B">
      <w:pPr>
        <w:tabs>
          <w:tab w:val="left" w:pos="360"/>
          <w:tab w:val="left" w:pos="792"/>
        </w:tabs>
        <w:rPr>
          <w:rFonts w:ascii="Arial" w:hAnsi="Arial"/>
          <w:sz w:val="24"/>
          <w:szCs w:val="24"/>
        </w:rPr>
      </w:pPr>
    </w:p>
    <w:p w14:paraId="1F765D37" w14:textId="77777777" w:rsidR="00F25F4D" w:rsidRPr="00F25F4D" w:rsidRDefault="00F25F4D" w:rsidP="00F25F4D">
      <w:pPr>
        <w:rPr>
          <w:rFonts w:ascii="Arial" w:hAnsi="Arial" w:cs="Arial"/>
          <w:sz w:val="24"/>
          <w:szCs w:val="24"/>
        </w:rPr>
      </w:pPr>
      <w:r w:rsidRPr="00F25F4D">
        <w:rPr>
          <w:rFonts w:ascii="Arial" w:hAnsi="Arial" w:cs="Arial"/>
          <w:sz w:val="24"/>
          <w:szCs w:val="24"/>
        </w:rPr>
        <w:t>The information collection only affects eligible dependents of veterans.  There is no impact on education institutions or small businesses.</w:t>
      </w:r>
    </w:p>
    <w:p w14:paraId="1AE2D5CF" w14:textId="77777777" w:rsidR="00F25F4D" w:rsidRDefault="00F25F4D" w:rsidP="00B53B4B">
      <w:pPr>
        <w:tabs>
          <w:tab w:val="left" w:pos="360"/>
          <w:tab w:val="left" w:pos="792"/>
        </w:tabs>
        <w:rPr>
          <w:rFonts w:ascii="Arial" w:hAnsi="Arial"/>
          <w:sz w:val="24"/>
          <w:szCs w:val="24"/>
        </w:rPr>
      </w:pPr>
    </w:p>
    <w:p w14:paraId="0B311CFA" w14:textId="77777777" w:rsidR="00B53B4B" w:rsidRDefault="00B53B4B" w:rsidP="00B53B4B">
      <w:pPr>
        <w:pStyle w:val="BodyText"/>
        <w:rPr>
          <w:b/>
          <w:szCs w:val="24"/>
        </w:rPr>
      </w:pPr>
      <w:r>
        <w:rPr>
          <w:b/>
          <w:szCs w:val="24"/>
        </w:rPr>
        <w:t>6.  Describe the consequences to Federal program or policy activities if the collection is not conducted or is conducted less frequently as well as any technical or legal obstacles to reducing burden.</w:t>
      </w:r>
    </w:p>
    <w:p w14:paraId="76314DD4" w14:textId="77777777" w:rsidR="00B53B4B" w:rsidRPr="00F25F4D" w:rsidRDefault="00B53B4B" w:rsidP="00B53B4B">
      <w:pPr>
        <w:pStyle w:val="BodyText"/>
        <w:rPr>
          <w:b/>
          <w:szCs w:val="24"/>
        </w:rPr>
      </w:pPr>
    </w:p>
    <w:p w14:paraId="5C83A1E5" w14:textId="77777777" w:rsidR="00F25F4D" w:rsidRPr="00F25F4D" w:rsidRDefault="00F25F4D" w:rsidP="00F25F4D">
      <w:pPr>
        <w:rPr>
          <w:rFonts w:ascii="Arial" w:hAnsi="Arial" w:cs="Arial"/>
          <w:sz w:val="24"/>
          <w:szCs w:val="24"/>
        </w:rPr>
      </w:pPr>
      <w:r w:rsidRPr="00F25F4D">
        <w:rPr>
          <w:rFonts w:ascii="Arial" w:hAnsi="Arial" w:cs="Arial"/>
          <w:sz w:val="24"/>
          <w:szCs w:val="24"/>
        </w:rPr>
        <w:t xml:space="preserve">This information is collected only when a dependent of a </w:t>
      </w:r>
      <w:r w:rsidR="008B002E" w:rsidRPr="00F25F4D">
        <w:rPr>
          <w:rFonts w:ascii="Arial" w:hAnsi="Arial" w:cs="Arial"/>
          <w:sz w:val="24"/>
          <w:szCs w:val="24"/>
        </w:rPr>
        <w:t>veteran request</w:t>
      </w:r>
      <w:r w:rsidRPr="00F25F4D">
        <w:rPr>
          <w:rFonts w:ascii="Arial" w:hAnsi="Arial" w:cs="Arial"/>
          <w:sz w:val="24"/>
          <w:szCs w:val="24"/>
        </w:rPr>
        <w:t xml:space="preserve"> a change of educational program or place of training.  If this information is not collected, VA would not have any basis to make eligibility determinations regarding requests for benefits involving a change of program or place of training.  There are no technical or legal obstacles to reducing the burden of this information collection.</w:t>
      </w:r>
    </w:p>
    <w:p w14:paraId="40E6ACFA" w14:textId="77777777" w:rsidR="00F25F4D" w:rsidRDefault="00F25F4D" w:rsidP="00B53B4B">
      <w:pPr>
        <w:pStyle w:val="BodyText"/>
        <w:rPr>
          <w:b/>
          <w:szCs w:val="24"/>
        </w:rPr>
      </w:pPr>
    </w:p>
    <w:p w14:paraId="6C86C40A" w14:textId="77777777" w:rsidR="00B53B4B" w:rsidRDefault="00B53B4B" w:rsidP="00B53B4B">
      <w:pPr>
        <w:pStyle w:val="BodyText"/>
        <w:rPr>
          <w:b/>
          <w:szCs w:val="24"/>
        </w:rPr>
      </w:pPr>
    </w:p>
    <w:p w14:paraId="091BAFF1" w14:textId="77777777" w:rsidR="00B53B4B" w:rsidRDefault="00B53B4B" w:rsidP="00B53B4B">
      <w:pPr>
        <w:pStyle w:val="BodyText"/>
        <w:rPr>
          <w:b/>
          <w:szCs w:val="24"/>
        </w:rPr>
      </w:pPr>
      <w:r>
        <w:rPr>
          <w:b/>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6397138" w14:textId="77777777" w:rsidR="00B53B4B" w:rsidRDefault="00B53B4B" w:rsidP="00B53B4B">
      <w:pPr>
        <w:tabs>
          <w:tab w:val="left" w:pos="360"/>
          <w:tab w:val="left" w:pos="792"/>
        </w:tabs>
        <w:rPr>
          <w:rFonts w:ascii="Arial" w:hAnsi="Arial"/>
          <w:sz w:val="24"/>
          <w:szCs w:val="24"/>
        </w:rPr>
      </w:pPr>
    </w:p>
    <w:p w14:paraId="64B91B74" w14:textId="77777777" w:rsidR="00B53B4B" w:rsidRDefault="00B53B4B" w:rsidP="00B53B4B">
      <w:pPr>
        <w:tabs>
          <w:tab w:val="left" w:pos="360"/>
          <w:tab w:val="left" w:pos="792"/>
        </w:tabs>
        <w:rPr>
          <w:rFonts w:ascii="Arial" w:hAnsi="Arial"/>
          <w:sz w:val="24"/>
          <w:szCs w:val="24"/>
        </w:rPr>
      </w:pPr>
      <w:r>
        <w:rPr>
          <w:rFonts w:ascii="Arial" w:hAnsi="Arial"/>
          <w:sz w:val="24"/>
          <w:szCs w:val="24"/>
        </w:rPr>
        <w:t>The collection of this information does not require any special circumstances.</w:t>
      </w:r>
    </w:p>
    <w:p w14:paraId="2C5F0E21" w14:textId="77777777" w:rsidR="00B53B4B" w:rsidRDefault="00B53B4B" w:rsidP="00B53B4B">
      <w:pPr>
        <w:tabs>
          <w:tab w:val="left" w:pos="360"/>
          <w:tab w:val="left" w:pos="792"/>
        </w:tabs>
        <w:rPr>
          <w:rFonts w:ascii="Arial" w:hAnsi="Arial"/>
          <w:sz w:val="24"/>
          <w:szCs w:val="24"/>
        </w:rPr>
      </w:pPr>
    </w:p>
    <w:p w14:paraId="55ADCB6C" w14:textId="77777777" w:rsidR="00B53B4B" w:rsidRDefault="00B53B4B" w:rsidP="00B53B4B">
      <w:pPr>
        <w:tabs>
          <w:tab w:val="left" w:pos="360"/>
          <w:tab w:val="left" w:pos="792"/>
        </w:tabs>
        <w:rPr>
          <w:rFonts w:ascii="Arial" w:hAnsi="Arial" w:cs="Arial"/>
          <w:sz w:val="24"/>
          <w:szCs w:val="24"/>
        </w:rPr>
      </w:pPr>
      <w:r>
        <w:rPr>
          <w:rFonts w:ascii="Arial" w:hAnsi="Arial" w:cs="Arial"/>
          <w:b/>
          <w:sz w:val="24"/>
          <w:szCs w:val="24"/>
        </w:rPr>
        <w:t xml:space="preserve">8.  If applicable, provide a copy and identify the date and page number of publications in the Federal Register of the sponsor’s notice, required by 5 CFR 1320.8(d), soliciting comments on the information collection prior to submission to OMB.  Summarize public comments received in response </w:t>
      </w:r>
      <w:r>
        <w:rPr>
          <w:rFonts w:ascii="Arial" w:hAnsi="Arial" w:cs="Arial"/>
          <w:b/>
          <w:color w:val="000000" w:themeColor="text1"/>
          <w:sz w:val="24"/>
          <w:szCs w:val="24"/>
        </w:rPr>
        <w:t xml:space="preserve">to that notice and describe actions taken by the sponsor in responses to these comments.  Specifically address comments received on cost and hour burden.   </w:t>
      </w:r>
    </w:p>
    <w:p w14:paraId="0761DA5C" w14:textId="77777777" w:rsidR="00B53B4B" w:rsidRDefault="00B53B4B" w:rsidP="00B53B4B">
      <w:pPr>
        <w:tabs>
          <w:tab w:val="left" w:pos="360"/>
          <w:tab w:val="left" w:pos="792"/>
        </w:tabs>
        <w:rPr>
          <w:rFonts w:ascii="Arial" w:hAnsi="Arial"/>
          <w:sz w:val="24"/>
          <w:szCs w:val="24"/>
        </w:rPr>
      </w:pPr>
    </w:p>
    <w:p w14:paraId="5002B305" w14:textId="3A058D03" w:rsidR="00B53B4B" w:rsidRDefault="00B53B4B" w:rsidP="00B53B4B">
      <w:pPr>
        <w:tabs>
          <w:tab w:val="left" w:pos="360"/>
          <w:tab w:val="left" w:pos="792"/>
        </w:tabs>
        <w:rPr>
          <w:rFonts w:ascii="Arial" w:hAnsi="Arial"/>
          <w:sz w:val="24"/>
          <w:szCs w:val="24"/>
        </w:rPr>
      </w:pPr>
      <w:r>
        <w:rPr>
          <w:rFonts w:ascii="Arial" w:hAnsi="Arial"/>
          <w:sz w:val="24"/>
          <w:szCs w:val="24"/>
        </w:rPr>
        <w:t xml:space="preserve">The Department notice was published in the Federal Register on </w:t>
      </w:r>
      <w:r w:rsidR="00E4544C">
        <w:rPr>
          <w:rFonts w:ascii="Arial" w:hAnsi="Arial"/>
          <w:sz w:val="24"/>
          <w:szCs w:val="24"/>
        </w:rPr>
        <w:t>August 12, 2019, Volume 84,</w:t>
      </w:r>
      <w:r>
        <w:rPr>
          <w:rFonts w:ascii="Arial" w:hAnsi="Arial"/>
          <w:sz w:val="24"/>
          <w:szCs w:val="24"/>
        </w:rPr>
        <w:t xml:space="preserve"> Number </w:t>
      </w:r>
      <w:r w:rsidR="00E4544C">
        <w:rPr>
          <w:rFonts w:ascii="Arial" w:hAnsi="Arial"/>
          <w:sz w:val="24"/>
          <w:szCs w:val="24"/>
        </w:rPr>
        <w:t>155,</w:t>
      </w:r>
      <w:r>
        <w:rPr>
          <w:rFonts w:ascii="Arial" w:hAnsi="Arial"/>
          <w:sz w:val="24"/>
          <w:szCs w:val="24"/>
        </w:rPr>
        <w:t xml:space="preserve"> page </w:t>
      </w:r>
      <w:r w:rsidR="00E4544C">
        <w:rPr>
          <w:rFonts w:ascii="Arial" w:hAnsi="Arial"/>
          <w:sz w:val="24"/>
          <w:szCs w:val="24"/>
        </w:rPr>
        <w:t>39894</w:t>
      </w:r>
      <w:r>
        <w:rPr>
          <w:rFonts w:ascii="Arial" w:hAnsi="Arial"/>
          <w:sz w:val="24"/>
          <w:szCs w:val="24"/>
        </w:rPr>
        <w:t>.  No comments were received.</w:t>
      </w:r>
    </w:p>
    <w:p w14:paraId="129A981E" w14:textId="77777777" w:rsidR="00B53B4B" w:rsidRDefault="00B53B4B" w:rsidP="00B53B4B">
      <w:pPr>
        <w:pStyle w:val="BodyText"/>
        <w:rPr>
          <w:szCs w:val="24"/>
        </w:rPr>
      </w:pPr>
    </w:p>
    <w:p w14:paraId="4FCA6D72" w14:textId="77777777" w:rsidR="00B53B4B" w:rsidRDefault="00B53B4B" w:rsidP="00B53B4B">
      <w:pPr>
        <w:pStyle w:val="BodyText"/>
        <w:rPr>
          <w:b/>
          <w:szCs w:val="24"/>
        </w:rPr>
      </w:pPr>
      <w:r>
        <w:rPr>
          <w:b/>
          <w:szCs w:val="24"/>
        </w:rPr>
        <w:t>9.  Explain any decision to provide any payment or gift to respondents, other</w:t>
      </w:r>
    </w:p>
    <w:p w14:paraId="23D5913F" w14:textId="77777777" w:rsidR="00B53B4B" w:rsidRDefault="00B53B4B" w:rsidP="00B53B4B">
      <w:pPr>
        <w:pStyle w:val="BodyText"/>
        <w:rPr>
          <w:b/>
          <w:szCs w:val="24"/>
        </w:rPr>
      </w:pPr>
      <w:r>
        <w:rPr>
          <w:b/>
          <w:szCs w:val="24"/>
        </w:rPr>
        <w:t>than remuneration of contractors or grantees.</w:t>
      </w:r>
    </w:p>
    <w:p w14:paraId="5331E7C4" w14:textId="77777777" w:rsidR="00B53B4B" w:rsidRDefault="00B53B4B" w:rsidP="00B53B4B">
      <w:pPr>
        <w:tabs>
          <w:tab w:val="left" w:pos="360"/>
          <w:tab w:val="left" w:pos="792"/>
        </w:tabs>
        <w:rPr>
          <w:rFonts w:ascii="Arial" w:hAnsi="Arial"/>
          <w:sz w:val="24"/>
          <w:szCs w:val="24"/>
        </w:rPr>
      </w:pPr>
    </w:p>
    <w:p w14:paraId="3C9527CA" w14:textId="77777777" w:rsidR="00B53B4B" w:rsidRDefault="00B53B4B" w:rsidP="00B53B4B">
      <w:pPr>
        <w:tabs>
          <w:tab w:val="left" w:pos="360"/>
          <w:tab w:val="left" w:pos="792"/>
        </w:tabs>
        <w:rPr>
          <w:rFonts w:ascii="Arial" w:hAnsi="Arial"/>
          <w:sz w:val="24"/>
          <w:szCs w:val="24"/>
        </w:rPr>
      </w:pPr>
      <w:r>
        <w:rPr>
          <w:rFonts w:ascii="Arial" w:hAnsi="Arial"/>
          <w:sz w:val="24"/>
          <w:szCs w:val="24"/>
        </w:rPr>
        <w:t>VA does not provide any payment or gift to respondents.</w:t>
      </w:r>
    </w:p>
    <w:p w14:paraId="41244534" w14:textId="77777777" w:rsidR="00B53B4B" w:rsidRDefault="00B53B4B" w:rsidP="00B53B4B">
      <w:pPr>
        <w:tabs>
          <w:tab w:val="left" w:pos="360"/>
          <w:tab w:val="left" w:pos="792"/>
        </w:tabs>
        <w:rPr>
          <w:rFonts w:ascii="Arial" w:hAnsi="Arial"/>
          <w:sz w:val="24"/>
          <w:szCs w:val="24"/>
        </w:rPr>
      </w:pPr>
    </w:p>
    <w:p w14:paraId="277FA70C" w14:textId="77777777" w:rsidR="00B53B4B" w:rsidRDefault="00B53B4B" w:rsidP="00B53B4B">
      <w:pPr>
        <w:pStyle w:val="BodyText"/>
        <w:rPr>
          <w:b/>
          <w:color w:val="000000"/>
          <w:szCs w:val="24"/>
        </w:rPr>
      </w:pPr>
      <w:r>
        <w:rPr>
          <w:b/>
          <w:szCs w:val="24"/>
        </w:rPr>
        <w:t xml:space="preserve">10. </w:t>
      </w:r>
      <w:r>
        <w:rPr>
          <w:b/>
          <w:color w:val="000000"/>
          <w:szCs w:val="24"/>
        </w:rPr>
        <w:t>Describe any assurance of confidentiality provided to respondents and the basis for the assurance in statute, regulation, or agency policy.</w:t>
      </w:r>
    </w:p>
    <w:p w14:paraId="673831F4" w14:textId="77777777" w:rsidR="00B53B4B" w:rsidRDefault="00B53B4B" w:rsidP="00B53B4B">
      <w:pPr>
        <w:tabs>
          <w:tab w:val="left" w:pos="360"/>
          <w:tab w:val="left" w:pos="792"/>
        </w:tabs>
        <w:rPr>
          <w:rFonts w:ascii="Arial" w:hAnsi="Arial"/>
          <w:sz w:val="24"/>
          <w:szCs w:val="24"/>
        </w:rPr>
      </w:pPr>
    </w:p>
    <w:p w14:paraId="71E13920" w14:textId="77777777" w:rsidR="00B53B4B" w:rsidRDefault="00B53B4B" w:rsidP="00B53B4B">
      <w:pPr>
        <w:tabs>
          <w:tab w:val="left" w:pos="360"/>
          <w:tab w:val="left" w:pos="792"/>
        </w:tabs>
        <w:rPr>
          <w:rFonts w:ascii="Arial" w:hAnsi="Arial"/>
          <w:sz w:val="24"/>
          <w:szCs w:val="24"/>
        </w:rPr>
      </w:pPr>
      <w:r>
        <w:rPr>
          <w:rFonts w:ascii="Arial" w:hAnsi="Arial"/>
          <w:sz w:val="24"/>
          <w:szCs w:val="24"/>
        </w:rPr>
        <w:t xml:space="preserve">VA Form 22-XXXX is retained permanently in the student’s education file.  Our assurance of confidentiality is covered by our System of Records, </w:t>
      </w:r>
      <w:r>
        <w:rPr>
          <w:rFonts w:ascii="Arial" w:hAnsi="Arial"/>
          <w:sz w:val="24"/>
          <w:szCs w:val="24"/>
          <w:u w:val="single"/>
        </w:rPr>
        <w:t xml:space="preserve">Compensation, Pension, Education, Vocational Rehabilitation and Employment Records </w:t>
      </w:r>
      <w:bookmarkStart w:id="1" w:name="_Hlk14346065"/>
      <w:r>
        <w:rPr>
          <w:rFonts w:ascii="Arial" w:hAnsi="Arial"/>
          <w:sz w:val="24"/>
          <w:szCs w:val="24"/>
          <w:u w:val="single"/>
        </w:rPr>
        <w:t>— VA (58VA21/22/28)</w:t>
      </w:r>
      <w:r>
        <w:rPr>
          <w:rFonts w:ascii="Arial" w:hAnsi="Arial"/>
          <w:sz w:val="24"/>
          <w:szCs w:val="24"/>
        </w:rPr>
        <w:t xml:space="preserve"> which are contained in the Privacy Act Issuances, 2012 Compilation</w:t>
      </w:r>
      <w:bookmarkEnd w:id="1"/>
      <w:r>
        <w:rPr>
          <w:rFonts w:ascii="Arial" w:hAnsi="Arial"/>
          <w:sz w:val="24"/>
          <w:szCs w:val="24"/>
        </w:rPr>
        <w:t>.</w:t>
      </w:r>
    </w:p>
    <w:p w14:paraId="68597882" w14:textId="77777777" w:rsidR="00B53B4B" w:rsidRDefault="00B53B4B" w:rsidP="00B53B4B">
      <w:pPr>
        <w:tabs>
          <w:tab w:val="left" w:pos="360"/>
          <w:tab w:val="left" w:pos="792"/>
        </w:tabs>
        <w:rPr>
          <w:rFonts w:ascii="Arial" w:hAnsi="Arial"/>
          <w:sz w:val="24"/>
          <w:szCs w:val="24"/>
        </w:rPr>
      </w:pPr>
    </w:p>
    <w:p w14:paraId="4B71050B" w14:textId="77777777" w:rsidR="00B53B4B" w:rsidRDefault="00B53B4B" w:rsidP="00B53B4B">
      <w:pPr>
        <w:pStyle w:val="BodyText"/>
        <w:rPr>
          <w:b/>
          <w:szCs w:val="24"/>
        </w:rPr>
      </w:pPr>
      <w:r>
        <w:rPr>
          <w:b/>
          <w:szCs w:val="24"/>
        </w:rPr>
        <w:t>11. Provide additional justification for any questions of a sensitive nature</w:t>
      </w:r>
      <w:r>
        <w:rPr>
          <w:b/>
          <w:color w:val="0000FF"/>
          <w:szCs w:val="24"/>
        </w:rPr>
        <w:t xml:space="preserve"> </w:t>
      </w:r>
      <w:r>
        <w:rPr>
          <w:b/>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49DB4D77" w14:textId="77777777" w:rsidR="00B53B4B" w:rsidRDefault="00B53B4B" w:rsidP="00B53B4B">
      <w:pPr>
        <w:tabs>
          <w:tab w:val="left" w:pos="360"/>
          <w:tab w:val="left" w:pos="792"/>
        </w:tabs>
        <w:rPr>
          <w:rFonts w:ascii="Arial" w:hAnsi="Arial"/>
          <w:sz w:val="24"/>
          <w:szCs w:val="24"/>
        </w:rPr>
      </w:pPr>
    </w:p>
    <w:p w14:paraId="7D37993B" w14:textId="77777777" w:rsidR="00B53B4B" w:rsidRDefault="00B53B4B" w:rsidP="00B53B4B">
      <w:pPr>
        <w:tabs>
          <w:tab w:val="left" w:pos="360"/>
          <w:tab w:val="left" w:pos="792"/>
        </w:tabs>
        <w:rPr>
          <w:rFonts w:ascii="Arial" w:hAnsi="Arial"/>
          <w:sz w:val="24"/>
          <w:szCs w:val="24"/>
        </w:rPr>
      </w:pPr>
      <w:r>
        <w:rPr>
          <w:rFonts w:ascii="Arial" w:hAnsi="Arial"/>
          <w:sz w:val="24"/>
          <w:szCs w:val="24"/>
        </w:rPr>
        <w:t xml:space="preserve">None of the questions on the application are of a sensitive nature. </w:t>
      </w:r>
    </w:p>
    <w:p w14:paraId="58FE65D1" w14:textId="77777777" w:rsidR="00B53B4B" w:rsidRDefault="00B53B4B" w:rsidP="00B53B4B">
      <w:pPr>
        <w:tabs>
          <w:tab w:val="left" w:pos="360"/>
          <w:tab w:val="left" w:pos="792"/>
        </w:tabs>
        <w:rPr>
          <w:rFonts w:ascii="Arial" w:hAnsi="Arial"/>
          <w:sz w:val="24"/>
          <w:szCs w:val="24"/>
        </w:rPr>
      </w:pPr>
    </w:p>
    <w:p w14:paraId="3294E6A8" w14:textId="77777777" w:rsidR="00B53B4B" w:rsidRDefault="00B53B4B" w:rsidP="00B53B4B">
      <w:pPr>
        <w:pStyle w:val="BodyText"/>
        <w:rPr>
          <w:b/>
          <w:szCs w:val="24"/>
        </w:rPr>
      </w:pPr>
      <w:r>
        <w:rPr>
          <w:b/>
          <w:szCs w:val="24"/>
        </w:rPr>
        <w:t>12. Estimate of the hour burden of the collection of information:</w:t>
      </w:r>
    </w:p>
    <w:p w14:paraId="15618BCF" w14:textId="77777777" w:rsidR="00B53B4B" w:rsidRDefault="00B53B4B" w:rsidP="00B53B4B">
      <w:pPr>
        <w:pStyle w:val="BodyText"/>
        <w:rPr>
          <w:szCs w:val="24"/>
        </w:rPr>
      </w:pPr>
    </w:p>
    <w:p w14:paraId="5A3D3055" w14:textId="77777777" w:rsidR="00B53B4B" w:rsidRDefault="00B53B4B" w:rsidP="00B53B4B">
      <w:pPr>
        <w:pStyle w:val="BodyText"/>
        <w:rPr>
          <w:szCs w:val="24"/>
        </w:rPr>
      </w:pPr>
      <w:r>
        <w:rPr>
          <w:szCs w:val="24"/>
        </w:rPr>
        <w:t xml:space="preserve">The estimated annual burden hours, as indicated below, for the collection of this information is </w:t>
      </w:r>
      <w:r w:rsidR="0013185C">
        <w:rPr>
          <w:szCs w:val="24"/>
        </w:rPr>
        <w:t xml:space="preserve">27,440 </w:t>
      </w:r>
      <w:r w:rsidRPr="0013185C">
        <w:rPr>
          <w:szCs w:val="24"/>
        </w:rPr>
        <w:t>burden hours</w:t>
      </w:r>
      <w:r>
        <w:rPr>
          <w:szCs w:val="24"/>
        </w:rPr>
        <w:t xml:space="preserve">, calculated based </w:t>
      </w:r>
      <w:r w:rsidR="00444779">
        <w:rPr>
          <w:szCs w:val="24"/>
        </w:rPr>
        <w:t xml:space="preserve">on the 2020 Presidential Budget Submission, of </w:t>
      </w:r>
      <w:r>
        <w:rPr>
          <w:szCs w:val="24"/>
        </w:rPr>
        <w:t xml:space="preserve">the </w:t>
      </w:r>
      <w:r w:rsidR="00444779">
        <w:rPr>
          <w:szCs w:val="24"/>
        </w:rPr>
        <w:t xml:space="preserve">actual </w:t>
      </w:r>
      <w:r>
        <w:rPr>
          <w:szCs w:val="24"/>
        </w:rPr>
        <w:t xml:space="preserve">total </w:t>
      </w:r>
      <w:r w:rsidR="00444779">
        <w:rPr>
          <w:szCs w:val="24"/>
        </w:rPr>
        <w:t xml:space="preserve">of 109,760 </w:t>
      </w:r>
      <w:r>
        <w:rPr>
          <w:szCs w:val="24"/>
        </w:rPr>
        <w:t xml:space="preserve">responses received for years </w:t>
      </w:r>
      <w:r w:rsidR="00444779">
        <w:rPr>
          <w:szCs w:val="24"/>
        </w:rPr>
        <w:t>2016, 2017 and 2018</w:t>
      </w:r>
      <w:r>
        <w:rPr>
          <w:szCs w:val="24"/>
        </w:rPr>
        <w:t>.</w:t>
      </w:r>
      <w:r w:rsidR="00444779">
        <w:rPr>
          <w:szCs w:val="24"/>
        </w:rPr>
        <w:t xml:space="preserve">  This number represents the number of respondents for Chapter 35 Son’s and Daughter’s, and Chapter 35 Spouses and Widow(ers), at 90,263 and 19,497, respectively.</w:t>
      </w:r>
    </w:p>
    <w:p w14:paraId="78740631" w14:textId="77777777" w:rsidR="00B53B4B" w:rsidRDefault="00B53B4B" w:rsidP="00B53B4B">
      <w:pPr>
        <w:pStyle w:val="BodyText"/>
        <w:rPr>
          <w:szCs w:val="24"/>
        </w:rPr>
      </w:pPr>
    </w:p>
    <w:p w14:paraId="161E736C" w14:textId="77777777" w:rsidR="00B53B4B" w:rsidRDefault="00B53B4B" w:rsidP="00B53B4B">
      <w:pPr>
        <w:pStyle w:val="BodyText"/>
        <w:widowControl w:val="0"/>
        <w:numPr>
          <w:ilvl w:val="0"/>
          <w:numId w:val="1"/>
        </w:numPr>
        <w:tabs>
          <w:tab w:val="clear" w:pos="480"/>
          <w:tab w:val="left" w:pos="720"/>
        </w:tabs>
        <w:overflowPunct/>
        <w:autoSpaceDE/>
        <w:adjustRightInd/>
        <w:spacing w:line="240" w:lineRule="auto"/>
        <w:ind w:right="0"/>
        <w:rPr>
          <w:szCs w:val="24"/>
        </w:rPr>
      </w:pPr>
      <w:r>
        <w:rPr>
          <w:szCs w:val="24"/>
        </w:rPr>
        <w:t xml:space="preserve">Number of Respondents:               </w:t>
      </w:r>
      <w:r w:rsidR="00F25F4D">
        <w:rPr>
          <w:szCs w:val="24"/>
        </w:rPr>
        <w:t>109,760</w:t>
      </w:r>
      <w:r w:rsidR="00A44F4B">
        <w:rPr>
          <w:szCs w:val="24"/>
        </w:rPr>
        <w:t xml:space="preserve">  </w:t>
      </w:r>
    </w:p>
    <w:p w14:paraId="293EC62F" w14:textId="77777777" w:rsidR="00B53B4B" w:rsidRDefault="00B53B4B" w:rsidP="00B53B4B">
      <w:pPr>
        <w:pStyle w:val="BodyText"/>
        <w:widowControl w:val="0"/>
        <w:numPr>
          <w:ilvl w:val="0"/>
          <w:numId w:val="1"/>
        </w:numPr>
        <w:tabs>
          <w:tab w:val="clear" w:pos="480"/>
          <w:tab w:val="left" w:pos="720"/>
        </w:tabs>
        <w:overflowPunct/>
        <w:autoSpaceDE/>
        <w:adjustRightInd/>
        <w:spacing w:line="240" w:lineRule="auto"/>
        <w:ind w:right="0"/>
        <w:rPr>
          <w:szCs w:val="24"/>
        </w:rPr>
      </w:pPr>
      <w:r>
        <w:rPr>
          <w:szCs w:val="24"/>
        </w:rPr>
        <w:t xml:space="preserve">Frequency of Response:                </w:t>
      </w:r>
      <w:r w:rsidR="00F25F4D">
        <w:rPr>
          <w:szCs w:val="24"/>
        </w:rPr>
        <w:t xml:space="preserve">On </w:t>
      </w:r>
      <w:r w:rsidR="00A44F4B">
        <w:rPr>
          <w:szCs w:val="24"/>
        </w:rPr>
        <w:t>o</w:t>
      </w:r>
      <w:r w:rsidR="00F25F4D">
        <w:rPr>
          <w:szCs w:val="24"/>
        </w:rPr>
        <w:t>ccasion</w:t>
      </w:r>
    </w:p>
    <w:p w14:paraId="6845CBA5" w14:textId="77777777" w:rsidR="00B53B4B" w:rsidRDefault="00B53B4B" w:rsidP="00B53B4B">
      <w:pPr>
        <w:pStyle w:val="BodyText"/>
        <w:widowControl w:val="0"/>
        <w:numPr>
          <w:ilvl w:val="0"/>
          <w:numId w:val="1"/>
        </w:numPr>
        <w:tabs>
          <w:tab w:val="clear" w:pos="480"/>
          <w:tab w:val="left" w:pos="720"/>
        </w:tabs>
        <w:overflowPunct/>
        <w:autoSpaceDE/>
        <w:adjustRightInd/>
        <w:spacing w:line="240" w:lineRule="auto"/>
        <w:ind w:right="0"/>
        <w:rPr>
          <w:szCs w:val="24"/>
        </w:rPr>
      </w:pPr>
      <w:r>
        <w:rPr>
          <w:color w:val="000000" w:themeColor="text1"/>
          <w:szCs w:val="24"/>
        </w:rPr>
        <w:t xml:space="preserve">Annual </w:t>
      </w:r>
      <w:r>
        <w:rPr>
          <w:szCs w:val="24"/>
        </w:rPr>
        <w:t xml:space="preserve">Burden Hours:                    </w:t>
      </w:r>
      <w:r w:rsidR="00A44F4B">
        <w:rPr>
          <w:szCs w:val="24"/>
        </w:rPr>
        <w:t>27,440</w:t>
      </w:r>
      <w:r>
        <w:rPr>
          <w:szCs w:val="24"/>
        </w:rPr>
        <w:t xml:space="preserve"> (</w:t>
      </w:r>
      <w:r w:rsidR="00444779">
        <w:rPr>
          <w:szCs w:val="24"/>
        </w:rPr>
        <w:t>109</w:t>
      </w:r>
      <w:r w:rsidR="00A44F4B">
        <w:rPr>
          <w:szCs w:val="24"/>
        </w:rPr>
        <w:t>,</w:t>
      </w:r>
      <w:r w:rsidR="00444779">
        <w:rPr>
          <w:szCs w:val="24"/>
        </w:rPr>
        <w:t>760 X 15</w:t>
      </w:r>
      <w:r>
        <w:rPr>
          <w:szCs w:val="24"/>
        </w:rPr>
        <w:t xml:space="preserve"> / 60 = </w:t>
      </w:r>
      <w:r w:rsidR="00A44F4B">
        <w:rPr>
          <w:szCs w:val="24"/>
        </w:rPr>
        <w:t>27,440</w:t>
      </w:r>
      <w:r>
        <w:rPr>
          <w:szCs w:val="24"/>
        </w:rPr>
        <w:t>)</w:t>
      </w:r>
    </w:p>
    <w:p w14:paraId="58A25939" w14:textId="77777777" w:rsidR="00B53B4B" w:rsidRDefault="00B53B4B" w:rsidP="00B53B4B">
      <w:pPr>
        <w:pStyle w:val="BodyText"/>
        <w:widowControl w:val="0"/>
        <w:numPr>
          <w:ilvl w:val="0"/>
          <w:numId w:val="1"/>
        </w:numPr>
        <w:tabs>
          <w:tab w:val="clear" w:pos="480"/>
          <w:tab w:val="left" w:pos="720"/>
        </w:tabs>
        <w:overflowPunct/>
        <w:autoSpaceDE/>
        <w:adjustRightInd/>
        <w:spacing w:line="240" w:lineRule="auto"/>
        <w:ind w:right="0"/>
        <w:rPr>
          <w:szCs w:val="24"/>
        </w:rPr>
      </w:pPr>
      <w:r>
        <w:rPr>
          <w:szCs w:val="24"/>
        </w:rPr>
        <w:t xml:space="preserve">Estimated Completion Time:          </w:t>
      </w:r>
      <w:r w:rsidR="00A44F4B">
        <w:rPr>
          <w:szCs w:val="24"/>
        </w:rPr>
        <w:t>15</w:t>
      </w:r>
      <w:r>
        <w:rPr>
          <w:szCs w:val="24"/>
        </w:rPr>
        <w:t xml:space="preserve"> minutes  </w:t>
      </w:r>
    </w:p>
    <w:p w14:paraId="6745C934" w14:textId="77777777" w:rsidR="00B53B4B" w:rsidRDefault="00B53B4B" w:rsidP="00B53B4B">
      <w:pPr>
        <w:tabs>
          <w:tab w:val="left" w:pos="360"/>
          <w:tab w:val="left" w:pos="792"/>
        </w:tabs>
        <w:rPr>
          <w:rFonts w:ascii="Arial" w:hAnsi="Arial"/>
          <w:sz w:val="24"/>
          <w:szCs w:val="24"/>
        </w:rPr>
      </w:pPr>
    </w:p>
    <w:p w14:paraId="7B44C680" w14:textId="77777777" w:rsidR="00B53B4B" w:rsidRDefault="00B53B4B" w:rsidP="00B53B4B">
      <w:pPr>
        <w:tabs>
          <w:tab w:val="left" w:pos="360"/>
          <w:tab w:val="left" w:pos="792"/>
        </w:tabs>
        <w:rPr>
          <w:rFonts w:ascii="Arial" w:hAnsi="Arial"/>
          <w:sz w:val="24"/>
          <w:szCs w:val="24"/>
        </w:rPr>
      </w:pPr>
      <w:r>
        <w:rPr>
          <w:rFonts w:ascii="Arial" w:hAnsi="Arial"/>
          <w:sz w:val="24"/>
          <w:szCs w:val="24"/>
        </w:rPr>
        <w:t xml:space="preserve"> </w:t>
      </w:r>
    </w:p>
    <w:p w14:paraId="18800AF2" w14:textId="77777777" w:rsidR="00B53B4B" w:rsidRDefault="00B53B4B" w:rsidP="00B53B4B">
      <w:pPr>
        <w:tabs>
          <w:tab w:val="left" w:pos="360"/>
          <w:tab w:val="left" w:pos="792"/>
        </w:tabs>
        <w:rPr>
          <w:rFonts w:ascii="Arial" w:hAnsi="Arial"/>
          <w:sz w:val="24"/>
          <w:szCs w:val="24"/>
        </w:rPr>
      </w:pPr>
    </w:p>
    <w:p w14:paraId="0330B5DE" w14:textId="77777777" w:rsidR="00B53B4B" w:rsidRDefault="00B53B4B" w:rsidP="00B53B4B">
      <w:pPr>
        <w:tabs>
          <w:tab w:val="left" w:pos="480"/>
          <w:tab w:val="left" w:pos="1080"/>
          <w:tab w:val="left" w:pos="1680"/>
        </w:tabs>
        <w:ind w:right="1104"/>
        <w:jc w:val="both"/>
        <w:rPr>
          <w:rFonts w:ascii="Arial" w:hAnsi="Arial"/>
          <w:sz w:val="24"/>
          <w:szCs w:val="24"/>
        </w:rPr>
      </w:pPr>
    </w:p>
    <w:p w14:paraId="7EBDB1DA" w14:textId="77777777" w:rsidR="00A44F4B" w:rsidRPr="00F0477B" w:rsidRDefault="00A44F4B" w:rsidP="00A44F4B">
      <w:pPr>
        <w:ind w:right="684"/>
        <w:rPr>
          <w:rFonts w:ascii="Arial" w:hAnsi="Arial" w:cs="Arial"/>
          <w:sz w:val="24"/>
          <w:szCs w:val="24"/>
        </w:rPr>
      </w:pPr>
      <w:r w:rsidRPr="00F0477B">
        <w:rPr>
          <w:rFonts w:ascii="Arial" w:hAnsi="Arial" w:cs="Arial"/>
          <w:sz w:val="24"/>
          <w:szCs w:val="24"/>
        </w:rPr>
        <w:t>e</w:t>
      </w:r>
      <w:r w:rsidRPr="002F1A2A">
        <w:rPr>
          <w:rFonts w:ascii="Arial" w:hAnsi="Arial" w:cs="Arial"/>
          <w:sz w:val="24"/>
          <w:szCs w:val="24"/>
        </w:rPr>
        <w:t xml:space="preserve">. The respondent population for </w:t>
      </w:r>
      <w:r w:rsidRPr="002F1A2A">
        <w:rPr>
          <w:rFonts w:ascii="Arial" w:hAnsi="Arial" w:cs="Arial"/>
          <w:color w:val="000000"/>
          <w:sz w:val="24"/>
          <w:szCs w:val="24"/>
        </w:rPr>
        <w:t>VA Form 22-</w:t>
      </w:r>
      <w:r>
        <w:rPr>
          <w:rFonts w:ascii="Arial" w:hAnsi="Arial" w:cs="Arial"/>
          <w:color w:val="000000"/>
          <w:sz w:val="24"/>
          <w:szCs w:val="24"/>
        </w:rPr>
        <w:t>5495</w:t>
      </w:r>
      <w:r w:rsidRPr="002F1A2A">
        <w:rPr>
          <w:rFonts w:ascii="Arial" w:hAnsi="Arial" w:cs="Arial"/>
          <w:sz w:val="24"/>
          <w:szCs w:val="24"/>
        </w:rPr>
        <w:t xml:space="preserve"> is composed of individuals who are Veterans and their dependent student. VBA</w:t>
      </w:r>
      <w:r w:rsidRPr="00F0477B">
        <w:rPr>
          <w:rFonts w:ascii="Arial" w:hAnsi="Arial" w:cs="Arial"/>
          <w:sz w:val="24"/>
          <w:szCs w:val="24"/>
        </w:rPr>
        <w:t xml:space="preserve"> cannot make further assumptions about the population of respondents because of the variability of factors such as the educational background and wage potential of </w:t>
      </w:r>
      <w:r>
        <w:rPr>
          <w:rFonts w:ascii="Arial" w:hAnsi="Arial" w:cs="Arial"/>
          <w:sz w:val="24"/>
          <w:szCs w:val="24"/>
        </w:rPr>
        <w:t>r</w:t>
      </w:r>
      <w:r w:rsidRPr="00F0477B">
        <w:rPr>
          <w:rFonts w:ascii="Arial" w:hAnsi="Arial" w:cs="Arial"/>
          <w:sz w:val="24"/>
          <w:szCs w:val="24"/>
        </w:rPr>
        <w:t xml:space="preserve">espondents.  Therefore, VBA used general wage data to estimate the respondents’ costs associated with completing the information collection. </w:t>
      </w:r>
    </w:p>
    <w:p w14:paraId="4E5CFED8" w14:textId="77777777" w:rsidR="00A44F4B" w:rsidRPr="00F0477B" w:rsidRDefault="00A44F4B" w:rsidP="00A44F4B">
      <w:pPr>
        <w:ind w:left="720"/>
        <w:rPr>
          <w:rFonts w:ascii="Arial" w:hAnsi="Arial" w:cs="Arial"/>
          <w:sz w:val="24"/>
          <w:szCs w:val="24"/>
        </w:rPr>
      </w:pPr>
    </w:p>
    <w:p w14:paraId="60A97E9B" w14:textId="77777777" w:rsidR="00A44F4B" w:rsidRDefault="00A44F4B" w:rsidP="00A44F4B">
      <w:pPr>
        <w:tabs>
          <w:tab w:val="left" w:pos="480"/>
          <w:tab w:val="left" w:pos="1080"/>
          <w:tab w:val="left" w:pos="1680"/>
        </w:tabs>
        <w:jc w:val="both"/>
        <w:rPr>
          <w:rFonts w:ascii="Arial" w:hAnsi="Arial" w:cs="Arial"/>
          <w:sz w:val="24"/>
          <w:szCs w:val="24"/>
        </w:rPr>
      </w:pPr>
      <w:r w:rsidRPr="002F1A2A">
        <w:rPr>
          <w:rFonts w:ascii="Arial" w:hAnsi="Arial" w:cs="Arial"/>
          <w:sz w:val="24"/>
          <w:szCs w:val="24"/>
        </w:rPr>
        <w:t xml:space="preserve">The Bureau of Labor Statistics gathers information on full-time wage and salary workers.  Accordingly, the </w:t>
      </w:r>
      <w:r>
        <w:rPr>
          <w:rFonts w:ascii="Arial" w:hAnsi="Arial" w:cs="Arial"/>
          <w:sz w:val="24"/>
          <w:szCs w:val="24"/>
        </w:rPr>
        <w:t xml:space="preserve">median weekly earnings of full-time wage and salary workers is $999.20.  Assuming a forty (40) hour work week, the median hourly wage is $24.98.  </w:t>
      </w:r>
    </w:p>
    <w:p w14:paraId="616AEDDA" w14:textId="77777777" w:rsidR="00A44F4B" w:rsidRDefault="00A44F4B" w:rsidP="00A44F4B">
      <w:pPr>
        <w:tabs>
          <w:tab w:val="left" w:pos="480"/>
          <w:tab w:val="left" w:pos="1080"/>
          <w:tab w:val="left" w:pos="1680"/>
        </w:tabs>
        <w:jc w:val="both"/>
        <w:rPr>
          <w:rFonts w:ascii="Arial" w:hAnsi="Arial" w:cs="Arial"/>
          <w:sz w:val="24"/>
          <w:szCs w:val="24"/>
        </w:rPr>
      </w:pPr>
    </w:p>
    <w:p w14:paraId="5E33B376" w14:textId="77777777" w:rsidR="00A44F4B" w:rsidRPr="003E16B0" w:rsidRDefault="00A44F4B" w:rsidP="00A44F4B">
      <w:pPr>
        <w:tabs>
          <w:tab w:val="left" w:pos="480"/>
          <w:tab w:val="left" w:pos="1080"/>
          <w:tab w:val="left" w:pos="1680"/>
        </w:tabs>
        <w:jc w:val="both"/>
        <w:rPr>
          <w:rFonts w:ascii="Arial" w:hAnsi="Arial" w:cs="Arial"/>
          <w:sz w:val="24"/>
          <w:szCs w:val="24"/>
        </w:rPr>
      </w:pPr>
      <w:r>
        <w:rPr>
          <w:rFonts w:ascii="Arial" w:hAnsi="Arial" w:cs="Arial"/>
          <w:sz w:val="24"/>
          <w:szCs w:val="24"/>
        </w:rPr>
        <w:t xml:space="preserve">The general wage code of </w:t>
      </w:r>
      <w:r w:rsidRPr="003E16B0">
        <w:rPr>
          <w:rFonts w:ascii="Arial" w:hAnsi="Arial" w:cs="Arial"/>
          <w:sz w:val="24"/>
          <w:szCs w:val="24"/>
        </w:rPr>
        <w:t>00-000-0000 for “All Occupations” may be found by clicking this link:</w:t>
      </w:r>
      <w:r w:rsidRPr="003E16B0">
        <w:rPr>
          <w:rFonts w:ascii="Arial" w:hAnsi="Arial" w:cs="Arial"/>
          <w:color w:val="0E23E8"/>
          <w:sz w:val="24"/>
          <w:szCs w:val="24"/>
        </w:rPr>
        <w:t xml:space="preserve"> </w:t>
      </w:r>
      <w:hyperlink r:id="rId11" w:anchor="00-0000" w:history="1">
        <w:r w:rsidRPr="003E16B0">
          <w:rPr>
            <w:rStyle w:val="Hyperlink"/>
            <w:rFonts w:ascii="Arial" w:hAnsi="Arial" w:cs="Arial"/>
            <w:sz w:val="24"/>
            <w:szCs w:val="24"/>
          </w:rPr>
          <w:t>https://www.bls.gov/oes/current/oes_nat.htm#00-0000</w:t>
        </w:r>
      </w:hyperlink>
      <w:r w:rsidRPr="003E16B0">
        <w:rPr>
          <w:rFonts w:ascii="Arial" w:hAnsi="Arial" w:cs="Arial"/>
          <w:sz w:val="24"/>
          <w:szCs w:val="24"/>
        </w:rPr>
        <w:t> </w:t>
      </w:r>
    </w:p>
    <w:p w14:paraId="0078ABF5" w14:textId="77777777" w:rsidR="00A44F4B" w:rsidRDefault="00A44F4B" w:rsidP="00A44F4B">
      <w:pPr>
        <w:pStyle w:val="ListParagraph"/>
        <w:tabs>
          <w:tab w:val="left" w:pos="480"/>
          <w:tab w:val="left" w:pos="1080"/>
          <w:tab w:val="left" w:pos="1680"/>
        </w:tabs>
        <w:jc w:val="both"/>
        <w:rPr>
          <w:rFonts w:ascii="Arial" w:hAnsi="Arial" w:cs="Arial"/>
          <w:sz w:val="24"/>
          <w:szCs w:val="24"/>
        </w:rPr>
      </w:pPr>
    </w:p>
    <w:p w14:paraId="306993AC" w14:textId="77777777" w:rsidR="00A44F4B" w:rsidRPr="002F1A2A" w:rsidRDefault="00A44F4B" w:rsidP="00A44F4B">
      <w:pPr>
        <w:tabs>
          <w:tab w:val="left" w:pos="480"/>
          <w:tab w:val="left" w:pos="1080"/>
          <w:tab w:val="left" w:pos="1680"/>
        </w:tabs>
        <w:jc w:val="both"/>
        <w:rPr>
          <w:rFonts w:ascii="Arial" w:hAnsi="Arial" w:cs="Arial"/>
          <w:sz w:val="24"/>
          <w:szCs w:val="24"/>
        </w:rPr>
      </w:pPr>
      <w:r w:rsidRPr="002F1A2A">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Pr="00D047F9">
        <w:rPr>
          <w:rFonts w:ascii="Arial" w:hAnsi="Arial" w:cs="Arial"/>
          <w:b/>
          <w:sz w:val="24"/>
          <w:szCs w:val="24"/>
        </w:rPr>
        <w:t>$</w:t>
      </w:r>
      <w:r>
        <w:rPr>
          <w:rFonts w:ascii="Arial" w:hAnsi="Arial" w:cs="Arial"/>
          <w:b/>
          <w:sz w:val="24"/>
          <w:szCs w:val="24"/>
        </w:rPr>
        <w:t>685,451</w:t>
      </w:r>
      <w:r>
        <w:rPr>
          <w:rFonts w:ascii="Arial" w:hAnsi="Arial" w:cs="Arial"/>
          <w:sz w:val="24"/>
          <w:szCs w:val="24"/>
        </w:rPr>
        <w:t xml:space="preserve"> </w:t>
      </w:r>
      <w:r w:rsidRPr="002F1A2A">
        <w:rPr>
          <w:rFonts w:ascii="Arial" w:hAnsi="Arial" w:cs="Arial"/>
          <w:sz w:val="24"/>
          <w:szCs w:val="24"/>
        </w:rPr>
        <w:t>(</w:t>
      </w:r>
      <w:r>
        <w:rPr>
          <w:rFonts w:ascii="Arial" w:hAnsi="Arial" w:cs="Arial"/>
          <w:sz w:val="24"/>
          <w:szCs w:val="24"/>
        </w:rPr>
        <w:t>27,440</w:t>
      </w:r>
      <w:r>
        <w:rPr>
          <w:rFonts w:ascii="Arial" w:hAnsi="Arial"/>
          <w:sz w:val="24"/>
          <w:szCs w:val="24"/>
        </w:rPr>
        <w:t xml:space="preserve"> </w:t>
      </w:r>
      <w:r w:rsidRPr="002F1A2A">
        <w:rPr>
          <w:rFonts w:ascii="Arial" w:hAnsi="Arial" w:cs="Arial"/>
          <w:sz w:val="24"/>
          <w:szCs w:val="24"/>
        </w:rPr>
        <w:t>burden hours X $</w:t>
      </w:r>
      <w:r>
        <w:rPr>
          <w:rFonts w:ascii="Arial" w:hAnsi="Arial" w:cs="Arial"/>
          <w:sz w:val="24"/>
          <w:szCs w:val="24"/>
        </w:rPr>
        <w:t>24.98</w:t>
      </w:r>
      <w:r w:rsidRPr="002F1A2A">
        <w:rPr>
          <w:rFonts w:ascii="Arial" w:hAnsi="Arial" w:cs="Arial"/>
          <w:sz w:val="24"/>
          <w:szCs w:val="24"/>
        </w:rPr>
        <w:t xml:space="preserve"> per hour).</w:t>
      </w:r>
    </w:p>
    <w:p w14:paraId="5D52F3C4" w14:textId="77777777" w:rsidR="00A44F4B" w:rsidRDefault="00A44F4B" w:rsidP="00B53B4B">
      <w:pPr>
        <w:pStyle w:val="BodyText"/>
        <w:rPr>
          <w:b/>
          <w:szCs w:val="24"/>
        </w:rPr>
      </w:pPr>
    </w:p>
    <w:p w14:paraId="525E9A14" w14:textId="77777777" w:rsidR="00B53B4B" w:rsidRDefault="00B53B4B" w:rsidP="00B53B4B">
      <w:pPr>
        <w:pStyle w:val="BodyText"/>
        <w:rPr>
          <w:b/>
          <w:szCs w:val="24"/>
        </w:rPr>
      </w:pPr>
      <w:r>
        <w:rPr>
          <w:b/>
          <w:szCs w:val="24"/>
        </w:rPr>
        <w:t>13. Provide estimates of the total annual cost burden to respondents or recordkeepers resulting from the collection of information.  (Do not include the cost of any hour burden shown in Items 12 and 14).</w:t>
      </w:r>
    </w:p>
    <w:p w14:paraId="1249DAC5" w14:textId="77777777" w:rsidR="00B53B4B" w:rsidRDefault="00B53B4B" w:rsidP="00B53B4B">
      <w:pPr>
        <w:tabs>
          <w:tab w:val="left" w:pos="360"/>
          <w:tab w:val="left" w:pos="792"/>
        </w:tabs>
        <w:rPr>
          <w:rFonts w:ascii="Arial" w:hAnsi="Arial"/>
          <w:sz w:val="24"/>
          <w:szCs w:val="24"/>
        </w:rPr>
      </w:pPr>
    </w:p>
    <w:p w14:paraId="365A6174" w14:textId="77777777" w:rsidR="00B53B4B" w:rsidRDefault="00B53B4B" w:rsidP="00B53B4B">
      <w:pPr>
        <w:tabs>
          <w:tab w:val="left" w:pos="360"/>
          <w:tab w:val="left" w:pos="792"/>
        </w:tabs>
        <w:rPr>
          <w:rFonts w:ascii="Arial" w:hAnsi="Arial"/>
          <w:sz w:val="24"/>
          <w:szCs w:val="24"/>
        </w:rPr>
      </w:pPr>
      <w:r>
        <w:rPr>
          <w:rFonts w:ascii="Arial" w:hAnsi="Arial"/>
          <w:sz w:val="24"/>
          <w:szCs w:val="24"/>
        </w:rPr>
        <w:t>This submission does not involve any record keeping costs.</w:t>
      </w:r>
    </w:p>
    <w:p w14:paraId="44596739" w14:textId="77777777" w:rsidR="00B53B4B" w:rsidRDefault="00B53B4B" w:rsidP="00B53B4B">
      <w:pPr>
        <w:tabs>
          <w:tab w:val="left" w:pos="360"/>
          <w:tab w:val="left" w:pos="792"/>
        </w:tabs>
        <w:rPr>
          <w:rFonts w:ascii="Arial" w:hAnsi="Arial"/>
          <w:sz w:val="24"/>
          <w:szCs w:val="24"/>
          <w:highlight w:val="yellow"/>
        </w:rPr>
      </w:pPr>
    </w:p>
    <w:p w14:paraId="34D9C582" w14:textId="77777777" w:rsidR="00B53B4B" w:rsidRDefault="00B53B4B" w:rsidP="00B53B4B">
      <w:pPr>
        <w:pStyle w:val="BodyText"/>
        <w:rPr>
          <w:b/>
          <w:szCs w:val="24"/>
        </w:rPr>
      </w:pPr>
      <w:r>
        <w:rPr>
          <w:b/>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17AD0DD" w14:textId="77777777" w:rsidR="00B53B4B" w:rsidRDefault="00B53B4B" w:rsidP="00B53B4B">
      <w:pPr>
        <w:tabs>
          <w:tab w:val="left" w:pos="360"/>
          <w:tab w:val="left" w:pos="792"/>
        </w:tabs>
        <w:rPr>
          <w:rFonts w:ascii="Arial" w:hAnsi="Arial"/>
          <w:sz w:val="24"/>
          <w:szCs w:val="24"/>
        </w:rPr>
      </w:pPr>
    </w:p>
    <w:p w14:paraId="7FAB7071" w14:textId="77777777" w:rsidR="00B53B4B" w:rsidRDefault="00B53B4B" w:rsidP="00B53B4B">
      <w:pPr>
        <w:pStyle w:val="BodyText"/>
        <w:rPr>
          <w:rStyle w:val="Hyperlink"/>
          <w:rFonts w:eastAsiaTheme="majorEastAsia" w:cs="Arial"/>
        </w:rPr>
      </w:pPr>
      <w:r>
        <w:rPr>
          <w:szCs w:val="24"/>
        </w:rPr>
        <w:t>Estimated</w:t>
      </w:r>
      <w:r>
        <w:rPr>
          <w:spacing w:val="26"/>
          <w:szCs w:val="24"/>
        </w:rPr>
        <w:t xml:space="preserve"> </w:t>
      </w:r>
      <w:r>
        <w:rPr>
          <w:szCs w:val="24"/>
        </w:rPr>
        <w:t>Costs</w:t>
      </w:r>
      <w:r>
        <w:rPr>
          <w:spacing w:val="13"/>
          <w:szCs w:val="24"/>
        </w:rPr>
        <w:t xml:space="preserve"> </w:t>
      </w:r>
      <w:r>
        <w:rPr>
          <w:szCs w:val="24"/>
        </w:rPr>
        <w:t>to</w:t>
      </w:r>
      <w:r>
        <w:rPr>
          <w:spacing w:val="21"/>
          <w:szCs w:val="24"/>
        </w:rPr>
        <w:t xml:space="preserve"> </w:t>
      </w:r>
      <w:r>
        <w:rPr>
          <w:szCs w:val="24"/>
        </w:rPr>
        <w:t>the</w:t>
      </w:r>
      <w:r>
        <w:rPr>
          <w:spacing w:val="32"/>
          <w:szCs w:val="24"/>
        </w:rPr>
        <w:t xml:space="preserve"> </w:t>
      </w:r>
      <w:r>
        <w:rPr>
          <w:szCs w:val="24"/>
        </w:rPr>
        <w:t>Federal</w:t>
      </w:r>
      <w:r>
        <w:rPr>
          <w:spacing w:val="16"/>
          <w:szCs w:val="24"/>
        </w:rPr>
        <w:t xml:space="preserve"> </w:t>
      </w:r>
      <w:r>
        <w:rPr>
          <w:szCs w:val="24"/>
        </w:rPr>
        <w:t xml:space="preserve">Government are accessible through this link:  </w:t>
      </w:r>
      <w:hyperlink r:id="rId12" w:history="1">
        <w:r>
          <w:rPr>
            <w:rStyle w:val="Hyperlink"/>
            <w:rFonts w:eastAsiaTheme="majorEastAsia" w:cs="Arial"/>
            <w:szCs w:val="24"/>
          </w:rPr>
          <w:t>https://www.opm.gov/policy-data-oversight/pay-leave/salaries-wages/2018/general-schedule/</w:t>
        </w:r>
      </w:hyperlink>
    </w:p>
    <w:p w14:paraId="6F05AE29" w14:textId="77777777" w:rsidR="00B53B4B" w:rsidRDefault="00B53B4B" w:rsidP="00B53B4B">
      <w:pPr>
        <w:pStyle w:val="BodyText"/>
        <w:rPr>
          <w:rStyle w:val="Hyperlink"/>
          <w:rFonts w:eastAsiaTheme="majorEastAsia" w:cs="Arial"/>
          <w:szCs w:val="24"/>
        </w:rPr>
      </w:pPr>
    </w:p>
    <w:p w14:paraId="47F758B3" w14:textId="77777777" w:rsidR="00B53B4B" w:rsidRDefault="00B53B4B" w:rsidP="00B53B4B">
      <w:pPr>
        <w:pStyle w:val="BodyText"/>
        <w:rPr>
          <w:rStyle w:val="Hyperlink"/>
          <w:rFonts w:eastAsiaTheme="majorEastAsia" w:cs="Arial"/>
          <w:szCs w:val="24"/>
        </w:rPr>
      </w:pPr>
    </w:p>
    <w:tbl>
      <w:tblPr>
        <w:tblStyle w:val="TableGrid"/>
        <w:tblW w:w="9408" w:type="dxa"/>
        <w:tblInd w:w="136" w:type="dxa"/>
        <w:tblLook w:val="04A0" w:firstRow="1" w:lastRow="0" w:firstColumn="1" w:lastColumn="0" w:noHBand="0" w:noVBand="1"/>
      </w:tblPr>
      <w:tblGrid>
        <w:gridCol w:w="1200"/>
        <w:gridCol w:w="839"/>
        <w:gridCol w:w="1440"/>
        <w:gridCol w:w="1057"/>
        <w:gridCol w:w="1515"/>
        <w:gridCol w:w="1484"/>
        <w:gridCol w:w="1873"/>
      </w:tblGrid>
      <w:tr w:rsidR="008B002E" w14:paraId="6868A05A" w14:textId="77777777" w:rsidTr="008B002E">
        <w:trPr>
          <w:trHeight w:val="1255"/>
        </w:trPr>
        <w:tc>
          <w:tcPr>
            <w:tcW w:w="1200" w:type="dxa"/>
            <w:tcBorders>
              <w:top w:val="single" w:sz="4" w:space="0" w:color="auto"/>
              <w:left w:val="single" w:sz="4" w:space="0" w:color="auto"/>
              <w:bottom w:val="single" w:sz="4" w:space="0" w:color="auto"/>
              <w:right w:val="single" w:sz="4" w:space="0" w:color="auto"/>
            </w:tcBorders>
            <w:hideMark/>
          </w:tcPr>
          <w:p w14:paraId="7712A3F7" w14:textId="77777777" w:rsidR="00B53B4B" w:rsidRDefault="00B53B4B">
            <w:pPr>
              <w:pStyle w:val="BodyText"/>
              <w:rPr>
                <w:rStyle w:val="Hyperlink"/>
                <w:rFonts w:eastAsiaTheme="majorEastAsia" w:cs="Arial"/>
                <w:color w:val="002060"/>
                <w:szCs w:val="24"/>
              </w:rPr>
            </w:pPr>
            <w:r>
              <w:rPr>
                <w:rStyle w:val="Hyperlink"/>
                <w:rFonts w:eastAsiaTheme="majorEastAsia" w:cs="Arial"/>
                <w:color w:val="002060"/>
                <w:szCs w:val="24"/>
              </w:rPr>
              <w:t>Grade</w:t>
            </w:r>
          </w:p>
        </w:tc>
        <w:tc>
          <w:tcPr>
            <w:tcW w:w="839" w:type="dxa"/>
            <w:tcBorders>
              <w:top w:val="single" w:sz="4" w:space="0" w:color="auto"/>
              <w:left w:val="single" w:sz="4" w:space="0" w:color="auto"/>
              <w:bottom w:val="single" w:sz="4" w:space="0" w:color="auto"/>
              <w:right w:val="single" w:sz="4" w:space="0" w:color="auto"/>
            </w:tcBorders>
            <w:hideMark/>
          </w:tcPr>
          <w:p w14:paraId="21292BE0" w14:textId="77777777" w:rsidR="00B53B4B" w:rsidRDefault="00B53B4B">
            <w:pPr>
              <w:pStyle w:val="BodyText"/>
              <w:rPr>
                <w:rStyle w:val="Hyperlink"/>
                <w:rFonts w:eastAsiaTheme="majorEastAsia" w:cs="Arial"/>
                <w:color w:val="002060"/>
                <w:szCs w:val="24"/>
              </w:rPr>
            </w:pPr>
            <w:r>
              <w:rPr>
                <w:rStyle w:val="Hyperlink"/>
                <w:rFonts w:eastAsiaTheme="majorEastAsia" w:cs="Arial"/>
                <w:color w:val="002060"/>
                <w:szCs w:val="24"/>
              </w:rPr>
              <w:t>Step</w:t>
            </w:r>
          </w:p>
        </w:tc>
        <w:tc>
          <w:tcPr>
            <w:tcW w:w="1440" w:type="dxa"/>
            <w:tcBorders>
              <w:top w:val="single" w:sz="4" w:space="0" w:color="auto"/>
              <w:left w:val="single" w:sz="4" w:space="0" w:color="auto"/>
              <w:bottom w:val="single" w:sz="4" w:space="0" w:color="auto"/>
              <w:right w:val="single" w:sz="4" w:space="0" w:color="auto"/>
            </w:tcBorders>
            <w:hideMark/>
          </w:tcPr>
          <w:p w14:paraId="4384EEA4" w14:textId="77777777" w:rsidR="00B53B4B" w:rsidRDefault="008B002E">
            <w:pPr>
              <w:pStyle w:val="BodyText"/>
              <w:rPr>
                <w:rStyle w:val="Hyperlink"/>
                <w:rFonts w:eastAsiaTheme="majorEastAsia" w:cs="Arial"/>
                <w:color w:val="002060"/>
                <w:szCs w:val="24"/>
              </w:rPr>
            </w:pPr>
            <w:r>
              <w:rPr>
                <w:rStyle w:val="Hyperlink"/>
                <w:rFonts w:eastAsiaTheme="majorEastAsia" w:cs="Arial"/>
                <w:color w:val="002060"/>
                <w:szCs w:val="24"/>
              </w:rPr>
              <w:t>P</w:t>
            </w:r>
            <w:r>
              <w:rPr>
                <w:rStyle w:val="Hyperlink"/>
                <w:rFonts w:eastAsiaTheme="majorEastAsia" w:cs="Arial"/>
                <w:color w:val="002060"/>
              </w:rPr>
              <w:t xml:space="preserve">rocessing </w:t>
            </w:r>
            <w:r w:rsidR="00B53B4B">
              <w:rPr>
                <w:rStyle w:val="Hyperlink"/>
                <w:rFonts w:eastAsiaTheme="majorEastAsia" w:cs="Arial"/>
                <w:color w:val="002060"/>
                <w:szCs w:val="24"/>
              </w:rPr>
              <w:t xml:space="preserve">Burden Time </w:t>
            </w:r>
            <w:r>
              <w:rPr>
                <w:rStyle w:val="Hyperlink"/>
                <w:rFonts w:eastAsiaTheme="majorEastAsia" w:cs="Arial"/>
                <w:color w:val="002060"/>
                <w:szCs w:val="24"/>
              </w:rPr>
              <w:t>-</w:t>
            </w:r>
            <w:r w:rsidR="00B53B4B">
              <w:rPr>
                <w:rStyle w:val="Hyperlink"/>
                <w:rFonts w:eastAsiaTheme="majorEastAsia" w:cs="Arial"/>
                <w:color w:val="002060"/>
                <w:szCs w:val="24"/>
              </w:rPr>
              <w:t>Employee</w:t>
            </w:r>
          </w:p>
        </w:tc>
        <w:tc>
          <w:tcPr>
            <w:tcW w:w="1057" w:type="dxa"/>
            <w:tcBorders>
              <w:top w:val="single" w:sz="4" w:space="0" w:color="auto"/>
              <w:left w:val="single" w:sz="4" w:space="0" w:color="auto"/>
              <w:bottom w:val="single" w:sz="4" w:space="0" w:color="auto"/>
              <w:right w:val="single" w:sz="4" w:space="0" w:color="auto"/>
            </w:tcBorders>
            <w:hideMark/>
          </w:tcPr>
          <w:p w14:paraId="5DC3E13E" w14:textId="77777777" w:rsidR="00B53B4B" w:rsidRDefault="00B53B4B">
            <w:pPr>
              <w:pStyle w:val="BodyText"/>
              <w:rPr>
                <w:rStyle w:val="Hyperlink"/>
                <w:rFonts w:eastAsiaTheme="majorEastAsia" w:cs="Arial"/>
                <w:color w:val="002060"/>
                <w:szCs w:val="24"/>
              </w:rPr>
            </w:pPr>
            <w:r>
              <w:rPr>
                <w:rStyle w:val="Hyperlink"/>
                <w:rFonts w:eastAsiaTheme="majorEastAsia" w:cs="Arial"/>
                <w:color w:val="002060"/>
                <w:szCs w:val="24"/>
              </w:rPr>
              <w:t>Hourly Wage Rate</w:t>
            </w:r>
          </w:p>
        </w:tc>
        <w:tc>
          <w:tcPr>
            <w:tcW w:w="1515" w:type="dxa"/>
            <w:tcBorders>
              <w:top w:val="single" w:sz="4" w:space="0" w:color="auto"/>
              <w:left w:val="single" w:sz="4" w:space="0" w:color="auto"/>
              <w:bottom w:val="single" w:sz="4" w:space="0" w:color="auto"/>
              <w:right w:val="single" w:sz="4" w:space="0" w:color="auto"/>
            </w:tcBorders>
            <w:hideMark/>
          </w:tcPr>
          <w:p w14:paraId="3EA4F54B" w14:textId="77777777" w:rsidR="00B53B4B" w:rsidRDefault="00B53B4B">
            <w:pPr>
              <w:pStyle w:val="BodyText"/>
              <w:rPr>
                <w:rStyle w:val="Hyperlink"/>
                <w:rFonts w:eastAsiaTheme="majorEastAsia" w:cs="Arial"/>
                <w:color w:val="002060"/>
                <w:szCs w:val="24"/>
              </w:rPr>
            </w:pPr>
            <w:r>
              <w:rPr>
                <w:rStyle w:val="Hyperlink"/>
                <w:rFonts w:eastAsiaTheme="majorEastAsia" w:cs="Arial"/>
                <w:color w:val="002060"/>
                <w:szCs w:val="24"/>
              </w:rPr>
              <w:t xml:space="preserve">Cost for Response </w:t>
            </w:r>
          </w:p>
        </w:tc>
        <w:tc>
          <w:tcPr>
            <w:tcW w:w="1484" w:type="dxa"/>
            <w:tcBorders>
              <w:top w:val="single" w:sz="4" w:space="0" w:color="auto"/>
              <w:left w:val="single" w:sz="4" w:space="0" w:color="auto"/>
              <w:bottom w:val="single" w:sz="4" w:space="0" w:color="auto"/>
              <w:right w:val="single" w:sz="4" w:space="0" w:color="auto"/>
            </w:tcBorders>
            <w:hideMark/>
          </w:tcPr>
          <w:p w14:paraId="59631C0E" w14:textId="77777777" w:rsidR="00B53B4B" w:rsidRDefault="008B002E">
            <w:pPr>
              <w:pStyle w:val="BodyText"/>
              <w:rPr>
                <w:rStyle w:val="Hyperlink"/>
                <w:rFonts w:eastAsiaTheme="majorEastAsia" w:cs="Arial"/>
                <w:color w:val="002060"/>
                <w:szCs w:val="24"/>
              </w:rPr>
            </w:pPr>
            <w:r>
              <w:rPr>
                <w:rStyle w:val="Hyperlink"/>
                <w:rFonts w:eastAsiaTheme="majorEastAsia" w:cs="Arial"/>
                <w:color w:val="002060"/>
                <w:szCs w:val="24"/>
              </w:rPr>
              <w:t xml:space="preserve">Number of </w:t>
            </w:r>
            <w:r w:rsidR="00B53B4B">
              <w:rPr>
                <w:rStyle w:val="Hyperlink"/>
                <w:rFonts w:eastAsiaTheme="majorEastAsia" w:cs="Arial"/>
                <w:color w:val="002060"/>
                <w:szCs w:val="24"/>
              </w:rPr>
              <w:t>Responses</w:t>
            </w:r>
          </w:p>
        </w:tc>
        <w:tc>
          <w:tcPr>
            <w:tcW w:w="1873" w:type="dxa"/>
            <w:tcBorders>
              <w:top w:val="single" w:sz="4" w:space="0" w:color="auto"/>
              <w:left w:val="single" w:sz="4" w:space="0" w:color="auto"/>
              <w:bottom w:val="single" w:sz="4" w:space="0" w:color="auto"/>
              <w:right w:val="single" w:sz="4" w:space="0" w:color="auto"/>
            </w:tcBorders>
            <w:hideMark/>
          </w:tcPr>
          <w:p w14:paraId="4A382ECF" w14:textId="77777777" w:rsidR="00B53B4B" w:rsidRDefault="00B53B4B">
            <w:pPr>
              <w:pStyle w:val="BodyText"/>
              <w:rPr>
                <w:rStyle w:val="Hyperlink"/>
                <w:rFonts w:eastAsiaTheme="majorEastAsia" w:cs="Arial"/>
                <w:b/>
                <w:color w:val="002060"/>
                <w:szCs w:val="24"/>
              </w:rPr>
            </w:pPr>
            <w:r>
              <w:rPr>
                <w:rStyle w:val="Hyperlink"/>
                <w:rFonts w:eastAsiaTheme="majorEastAsia" w:cs="Arial"/>
                <w:b/>
                <w:color w:val="002060"/>
                <w:szCs w:val="24"/>
              </w:rPr>
              <w:t>Gov. Cost</w:t>
            </w:r>
          </w:p>
        </w:tc>
      </w:tr>
      <w:tr w:rsidR="008B002E" w14:paraId="05189A83" w14:textId="77777777" w:rsidTr="008B002E">
        <w:trPr>
          <w:trHeight w:val="1004"/>
        </w:trPr>
        <w:tc>
          <w:tcPr>
            <w:tcW w:w="1200" w:type="dxa"/>
            <w:tcBorders>
              <w:top w:val="single" w:sz="4" w:space="0" w:color="auto"/>
              <w:left w:val="single" w:sz="4" w:space="0" w:color="auto"/>
              <w:bottom w:val="single" w:sz="4" w:space="0" w:color="auto"/>
              <w:right w:val="single" w:sz="4" w:space="0" w:color="auto"/>
            </w:tcBorders>
            <w:hideMark/>
          </w:tcPr>
          <w:p w14:paraId="10DC7EC8" w14:textId="77777777" w:rsidR="00A44F4B" w:rsidRDefault="00A44F4B">
            <w:pPr>
              <w:pStyle w:val="BodyText"/>
              <w:rPr>
                <w:rStyle w:val="Hyperlink"/>
                <w:rFonts w:eastAsiaTheme="majorEastAsia" w:cs="Arial"/>
                <w:color w:val="002060"/>
                <w:szCs w:val="24"/>
                <w:u w:val="none"/>
              </w:rPr>
            </w:pPr>
          </w:p>
          <w:p w14:paraId="75F86936" w14:textId="77777777" w:rsidR="00B53B4B" w:rsidRPr="00A44F4B" w:rsidRDefault="00B53B4B">
            <w:pPr>
              <w:pStyle w:val="BodyText"/>
              <w:rPr>
                <w:rStyle w:val="Hyperlink"/>
                <w:rFonts w:eastAsiaTheme="majorEastAsia" w:cs="Arial"/>
                <w:color w:val="002060"/>
                <w:szCs w:val="24"/>
                <w:u w:val="none"/>
              </w:rPr>
            </w:pPr>
            <w:r w:rsidRPr="00A44F4B">
              <w:rPr>
                <w:rStyle w:val="Hyperlink"/>
                <w:rFonts w:eastAsiaTheme="majorEastAsia" w:cs="Arial"/>
                <w:color w:val="002060"/>
                <w:szCs w:val="24"/>
                <w:u w:val="none"/>
              </w:rPr>
              <w:t>VCE</w:t>
            </w:r>
          </w:p>
          <w:p w14:paraId="55E9436A" w14:textId="77777777" w:rsidR="00B53B4B" w:rsidRPr="00A44F4B" w:rsidRDefault="00B53B4B" w:rsidP="000F1C3D">
            <w:pPr>
              <w:pStyle w:val="BodyText"/>
              <w:rPr>
                <w:rStyle w:val="Hyperlink"/>
                <w:rFonts w:eastAsiaTheme="majorEastAsia" w:cs="Arial"/>
                <w:color w:val="002060"/>
                <w:szCs w:val="24"/>
                <w:u w:val="none"/>
              </w:rPr>
            </w:pPr>
            <w:r w:rsidRPr="00A44F4B">
              <w:rPr>
                <w:rStyle w:val="Hyperlink"/>
                <w:rFonts w:eastAsiaTheme="majorEastAsia" w:cs="Arial"/>
                <w:color w:val="002060"/>
                <w:szCs w:val="24"/>
                <w:u w:val="none"/>
              </w:rPr>
              <w:t>GS</w:t>
            </w:r>
            <w:r w:rsidR="00A44F4B" w:rsidRPr="00A44F4B">
              <w:rPr>
                <w:rStyle w:val="Hyperlink"/>
                <w:rFonts w:eastAsiaTheme="majorEastAsia" w:cs="Arial"/>
                <w:color w:val="002060"/>
                <w:szCs w:val="24"/>
                <w:u w:val="none"/>
              </w:rPr>
              <w:t xml:space="preserve"> </w:t>
            </w:r>
            <w:r w:rsidR="00A44F4B" w:rsidRPr="00A44F4B">
              <w:rPr>
                <w:rStyle w:val="Hyperlink"/>
                <w:rFonts w:eastAsiaTheme="majorEastAsia" w:cs="Arial"/>
                <w:color w:val="002060"/>
                <w:u w:val="none"/>
              </w:rPr>
              <w:t>9</w:t>
            </w:r>
          </w:p>
        </w:tc>
        <w:tc>
          <w:tcPr>
            <w:tcW w:w="839" w:type="dxa"/>
            <w:tcBorders>
              <w:top w:val="single" w:sz="4" w:space="0" w:color="auto"/>
              <w:left w:val="single" w:sz="4" w:space="0" w:color="auto"/>
              <w:bottom w:val="single" w:sz="4" w:space="0" w:color="auto"/>
              <w:right w:val="single" w:sz="4" w:space="0" w:color="auto"/>
            </w:tcBorders>
            <w:hideMark/>
          </w:tcPr>
          <w:p w14:paraId="70CC0AA7" w14:textId="77777777" w:rsidR="00B53B4B" w:rsidRPr="00A44F4B" w:rsidRDefault="00B53B4B" w:rsidP="00B53B4B">
            <w:pPr>
              <w:pStyle w:val="BodyText"/>
              <w:rPr>
                <w:rStyle w:val="Hyperlink"/>
                <w:rFonts w:eastAsiaTheme="majorEastAsia" w:cs="Arial"/>
                <w:color w:val="002060"/>
                <w:szCs w:val="24"/>
                <w:u w:val="none"/>
              </w:rPr>
            </w:pPr>
          </w:p>
          <w:p w14:paraId="5EC19E01" w14:textId="77777777" w:rsidR="008B002E" w:rsidRDefault="008B002E" w:rsidP="00B53B4B">
            <w:pPr>
              <w:pStyle w:val="BodyText"/>
              <w:rPr>
                <w:rStyle w:val="Hyperlink"/>
                <w:rFonts w:eastAsiaTheme="majorEastAsia" w:cs="Arial"/>
                <w:color w:val="002060"/>
                <w:szCs w:val="24"/>
                <w:u w:val="none"/>
              </w:rPr>
            </w:pPr>
          </w:p>
          <w:p w14:paraId="44D77796" w14:textId="77777777" w:rsidR="00A44F4B" w:rsidRPr="00A44F4B" w:rsidRDefault="00A44F4B" w:rsidP="00B53B4B">
            <w:pPr>
              <w:pStyle w:val="BodyText"/>
              <w:rPr>
                <w:rStyle w:val="Hyperlink"/>
                <w:rFonts w:eastAsiaTheme="majorEastAsia" w:cs="Arial"/>
                <w:color w:val="002060"/>
                <w:szCs w:val="24"/>
                <w:u w:val="none"/>
              </w:rPr>
            </w:pPr>
            <w:r w:rsidRPr="00A44F4B">
              <w:rPr>
                <w:rStyle w:val="Hyperlink"/>
                <w:rFonts w:eastAsiaTheme="majorEastAsia" w:cs="Arial"/>
                <w:color w:val="002060"/>
                <w:szCs w:val="24"/>
                <w:u w:val="none"/>
              </w:rPr>
              <w:t>5</w:t>
            </w:r>
          </w:p>
        </w:tc>
        <w:tc>
          <w:tcPr>
            <w:tcW w:w="1440" w:type="dxa"/>
            <w:tcBorders>
              <w:top w:val="single" w:sz="4" w:space="0" w:color="auto"/>
              <w:left w:val="single" w:sz="4" w:space="0" w:color="auto"/>
              <w:bottom w:val="single" w:sz="4" w:space="0" w:color="auto"/>
              <w:right w:val="single" w:sz="4" w:space="0" w:color="auto"/>
            </w:tcBorders>
            <w:hideMark/>
          </w:tcPr>
          <w:p w14:paraId="19138C90" w14:textId="77777777" w:rsidR="00B53B4B" w:rsidRDefault="00B53B4B">
            <w:pPr>
              <w:pStyle w:val="BodyText"/>
              <w:jc w:val="center"/>
              <w:rPr>
                <w:rStyle w:val="Hyperlink"/>
                <w:rFonts w:eastAsiaTheme="majorEastAsia" w:cs="Arial"/>
                <w:color w:val="002060"/>
                <w:szCs w:val="24"/>
              </w:rPr>
            </w:pPr>
          </w:p>
          <w:p w14:paraId="1E042657" w14:textId="77777777" w:rsidR="008B002E" w:rsidRDefault="008B002E">
            <w:pPr>
              <w:pStyle w:val="BodyText"/>
              <w:jc w:val="center"/>
              <w:rPr>
                <w:rStyle w:val="Hyperlink"/>
                <w:rFonts w:eastAsiaTheme="majorEastAsia" w:cs="Arial"/>
                <w:color w:val="002060"/>
                <w:szCs w:val="24"/>
                <w:u w:val="none"/>
              </w:rPr>
            </w:pPr>
          </w:p>
          <w:p w14:paraId="203F89A9" w14:textId="77777777" w:rsidR="00A44F4B" w:rsidRPr="00A44F4B" w:rsidRDefault="00A44F4B">
            <w:pPr>
              <w:pStyle w:val="BodyText"/>
              <w:jc w:val="center"/>
              <w:rPr>
                <w:rStyle w:val="Hyperlink"/>
                <w:rFonts w:eastAsiaTheme="majorEastAsia" w:cs="Arial"/>
                <w:color w:val="002060"/>
                <w:szCs w:val="24"/>
                <w:u w:val="none"/>
              </w:rPr>
            </w:pPr>
            <w:r w:rsidRPr="00A44F4B">
              <w:rPr>
                <w:rStyle w:val="Hyperlink"/>
                <w:rFonts w:eastAsiaTheme="majorEastAsia" w:cs="Arial"/>
                <w:color w:val="002060"/>
                <w:szCs w:val="24"/>
                <w:u w:val="none"/>
              </w:rPr>
              <w:t>15min</w:t>
            </w:r>
          </w:p>
        </w:tc>
        <w:tc>
          <w:tcPr>
            <w:tcW w:w="1057" w:type="dxa"/>
            <w:tcBorders>
              <w:top w:val="single" w:sz="4" w:space="0" w:color="auto"/>
              <w:left w:val="single" w:sz="4" w:space="0" w:color="auto"/>
              <w:bottom w:val="single" w:sz="4" w:space="0" w:color="auto"/>
              <w:right w:val="single" w:sz="4" w:space="0" w:color="auto"/>
            </w:tcBorders>
            <w:hideMark/>
          </w:tcPr>
          <w:p w14:paraId="4090D8C2" w14:textId="77777777" w:rsidR="00A44F4B" w:rsidRDefault="00A44F4B">
            <w:pPr>
              <w:pStyle w:val="BodyText"/>
              <w:jc w:val="center"/>
              <w:rPr>
                <w:rStyle w:val="Hyperlink"/>
                <w:rFonts w:eastAsiaTheme="majorEastAsia" w:cs="Arial"/>
                <w:color w:val="002060"/>
                <w:szCs w:val="24"/>
              </w:rPr>
            </w:pPr>
          </w:p>
          <w:p w14:paraId="0FD86571" w14:textId="77777777" w:rsidR="008B002E" w:rsidRDefault="008B002E">
            <w:pPr>
              <w:pStyle w:val="BodyText"/>
              <w:jc w:val="center"/>
              <w:rPr>
                <w:rStyle w:val="Hyperlink"/>
                <w:rFonts w:eastAsiaTheme="majorEastAsia" w:cs="Arial"/>
                <w:color w:val="002060"/>
                <w:szCs w:val="24"/>
                <w:u w:val="none"/>
              </w:rPr>
            </w:pPr>
          </w:p>
          <w:p w14:paraId="7BB86728" w14:textId="77777777" w:rsidR="00B53B4B" w:rsidRPr="008B002E" w:rsidRDefault="00B53B4B">
            <w:pPr>
              <w:pStyle w:val="BodyText"/>
              <w:jc w:val="center"/>
              <w:rPr>
                <w:rStyle w:val="Hyperlink"/>
                <w:rFonts w:eastAsiaTheme="majorEastAsia" w:cs="Arial"/>
                <w:color w:val="002060"/>
                <w:szCs w:val="24"/>
                <w:u w:val="none"/>
              </w:rPr>
            </w:pPr>
            <w:r w:rsidRPr="008B002E">
              <w:rPr>
                <w:rStyle w:val="Hyperlink"/>
                <w:rFonts w:eastAsiaTheme="majorEastAsia" w:cs="Arial"/>
                <w:color w:val="002060"/>
                <w:szCs w:val="24"/>
                <w:u w:val="none"/>
              </w:rPr>
              <w:t>$</w:t>
            </w:r>
            <w:r w:rsidR="00A44F4B" w:rsidRPr="008B002E">
              <w:rPr>
                <w:rStyle w:val="Hyperlink"/>
                <w:rFonts w:eastAsiaTheme="majorEastAsia" w:cs="Arial"/>
                <w:color w:val="002060"/>
                <w:szCs w:val="24"/>
                <w:u w:val="none"/>
              </w:rPr>
              <w:t>27.93</w:t>
            </w:r>
          </w:p>
        </w:tc>
        <w:tc>
          <w:tcPr>
            <w:tcW w:w="1515" w:type="dxa"/>
            <w:tcBorders>
              <w:top w:val="single" w:sz="4" w:space="0" w:color="auto"/>
              <w:left w:val="single" w:sz="4" w:space="0" w:color="auto"/>
              <w:bottom w:val="single" w:sz="4" w:space="0" w:color="auto"/>
              <w:right w:val="single" w:sz="4" w:space="0" w:color="auto"/>
            </w:tcBorders>
            <w:hideMark/>
          </w:tcPr>
          <w:p w14:paraId="6C5A51D4" w14:textId="77777777" w:rsidR="00A44F4B" w:rsidRDefault="00A44F4B">
            <w:pPr>
              <w:pStyle w:val="BodyText"/>
              <w:jc w:val="center"/>
              <w:rPr>
                <w:rStyle w:val="Hyperlink"/>
                <w:rFonts w:eastAsiaTheme="majorEastAsia" w:cs="Arial"/>
                <w:color w:val="002060"/>
                <w:szCs w:val="24"/>
              </w:rPr>
            </w:pPr>
          </w:p>
          <w:p w14:paraId="60022C39" w14:textId="77777777" w:rsidR="008B002E" w:rsidRDefault="008B002E">
            <w:pPr>
              <w:pStyle w:val="BodyText"/>
              <w:jc w:val="center"/>
              <w:rPr>
                <w:rStyle w:val="Hyperlink"/>
                <w:rFonts w:eastAsiaTheme="majorEastAsia" w:cs="Arial"/>
                <w:color w:val="002060"/>
                <w:szCs w:val="24"/>
              </w:rPr>
            </w:pPr>
          </w:p>
          <w:p w14:paraId="4E676A70" w14:textId="77777777" w:rsidR="00B53B4B" w:rsidRDefault="00B53B4B">
            <w:pPr>
              <w:pStyle w:val="BodyText"/>
              <w:jc w:val="center"/>
              <w:rPr>
                <w:rStyle w:val="Hyperlink"/>
                <w:rFonts w:eastAsiaTheme="majorEastAsia" w:cs="Arial"/>
                <w:color w:val="002060"/>
                <w:szCs w:val="24"/>
              </w:rPr>
            </w:pPr>
            <w:r>
              <w:rPr>
                <w:rStyle w:val="Hyperlink"/>
                <w:rFonts w:eastAsiaTheme="majorEastAsia" w:cs="Arial"/>
                <w:color w:val="002060"/>
                <w:szCs w:val="24"/>
              </w:rPr>
              <w:t>N/A</w:t>
            </w:r>
          </w:p>
        </w:tc>
        <w:tc>
          <w:tcPr>
            <w:tcW w:w="1484" w:type="dxa"/>
            <w:tcBorders>
              <w:top w:val="single" w:sz="4" w:space="0" w:color="auto"/>
              <w:left w:val="single" w:sz="4" w:space="0" w:color="auto"/>
              <w:bottom w:val="single" w:sz="4" w:space="0" w:color="auto"/>
              <w:right w:val="single" w:sz="4" w:space="0" w:color="auto"/>
            </w:tcBorders>
            <w:hideMark/>
          </w:tcPr>
          <w:p w14:paraId="706B1B75" w14:textId="77777777" w:rsidR="00B53B4B" w:rsidRPr="008B002E" w:rsidRDefault="00B53B4B">
            <w:pPr>
              <w:pStyle w:val="BodyText"/>
              <w:jc w:val="center"/>
              <w:rPr>
                <w:color w:val="002060"/>
              </w:rPr>
            </w:pPr>
          </w:p>
          <w:p w14:paraId="5809505D" w14:textId="77777777" w:rsidR="008B002E" w:rsidRDefault="008B002E">
            <w:pPr>
              <w:pStyle w:val="BodyText"/>
              <w:jc w:val="center"/>
              <w:rPr>
                <w:color w:val="002060"/>
              </w:rPr>
            </w:pPr>
          </w:p>
          <w:p w14:paraId="785CD92C" w14:textId="77777777" w:rsidR="008B002E" w:rsidRPr="008B002E" w:rsidRDefault="008B002E">
            <w:pPr>
              <w:pStyle w:val="BodyText"/>
              <w:jc w:val="center"/>
              <w:rPr>
                <w:color w:val="002060"/>
              </w:rPr>
            </w:pPr>
            <w:r w:rsidRPr="008B002E">
              <w:rPr>
                <w:color w:val="002060"/>
              </w:rPr>
              <w:t>109,760</w:t>
            </w:r>
          </w:p>
        </w:tc>
        <w:tc>
          <w:tcPr>
            <w:tcW w:w="1873" w:type="dxa"/>
            <w:tcBorders>
              <w:top w:val="single" w:sz="4" w:space="0" w:color="auto"/>
              <w:left w:val="single" w:sz="4" w:space="0" w:color="auto"/>
              <w:bottom w:val="single" w:sz="4" w:space="0" w:color="auto"/>
              <w:right w:val="single" w:sz="4" w:space="0" w:color="auto"/>
            </w:tcBorders>
            <w:hideMark/>
          </w:tcPr>
          <w:p w14:paraId="1D046193" w14:textId="77777777" w:rsidR="00B53B4B" w:rsidRPr="008B002E" w:rsidRDefault="00B53B4B">
            <w:pPr>
              <w:pStyle w:val="BodyText"/>
              <w:jc w:val="center"/>
              <w:rPr>
                <w:rStyle w:val="Hyperlink"/>
                <w:rFonts w:eastAsiaTheme="majorEastAsia" w:cs="Arial"/>
                <w:color w:val="002060"/>
              </w:rPr>
            </w:pPr>
            <w:r w:rsidRPr="008B002E">
              <w:rPr>
                <w:rStyle w:val="Hyperlink"/>
                <w:rFonts w:eastAsiaTheme="majorEastAsia" w:cs="Arial"/>
                <w:b/>
                <w:color w:val="002060"/>
                <w:szCs w:val="24"/>
              </w:rPr>
              <w:t>$</w:t>
            </w:r>
            <w:r w:rsidR="008B002E">
              <w:rPr>
                <w:rStyle w:val="Hyperlink"/>
                <w:rFonts w:eastAsiaTheme="majorEastAsia" w:cs="Arial"/>
                <w:b/>
                <w:color w:val="002060"/>
                <w:szCs w:val="24"/>
              </w:rPr>
              <w:t>766,399</w:t>
            </w:r>
            <w:r w:rsidRPr="008B002E">
              <w:rPr>
                <w:rStyle w:val="Hyperlink"/>
                <w:rFonts w:eastAsiaTheme="majorEastAsia" w:cs="Arial"/>
                <w:color w:val="002060"/>
                <w:szCs w:val="24"/>
              </w:rPr>
              <w:t xml:space="preserve">    </w:t>
            </w:r>
          </w:p>
          <w:p w14:paraId="4C201028" w14:textId="77777777" w:rsidR="00B53B4B" w:rsidRPr="008B002E" w:rsidRDefault="008B002E">
            <w:pPr>
              <w:pStyle w:val="BodyText"/>
              <w:jc w:val="center"/>
              <w:rPr>
                <w:rStyle w:val="Hyperlink"/>
                <w:rFonts w:eastAsiaTheme="majorEastAsia" w:cs="Arial"/>
                <w:color w:val="002060"/>
                <w:szCs w:val="24"/>
              </w:rPr>
            </w:pPr>
            <w:r w:rsidRPr="008B002E">
              <w:rPr>
                <w:color w:val="002060"/>
              </w:rPr>
              <w:t>109</w:t>
            </w:r>
            <w:r>
              <w:rPr>
                <w:color w:val="002060"/>
              </w:rPr>
              <w:t>,</w:t>
            </w:r>
            <w:r w:rsidRPr="008B002E">
              <w:rPr>
                <w:color w:val="002060"/>
              </w:rPr>
              <w:t>760</w:t>
            </w:r>
            <w:r w:rsidR="00B53B4B" w:rsidRPr="008B002E">
              <w:rPr>
                <w:color w:val="002060"/>
              </w:rPr>
              <w:t xml:space="preserve"> X </w:t>
            </w:r>
            <w:r w:rsidRPr="008B002E">
              <w:rPr>
                <w:color w:val="002060"/>
              </w:rPr>
              <w:t>$27.93 X 15</w:t>
            </w:r>
            <w:r w:rsidR="00B53B4B" w:rsidRPr="008B002E">
              <w:rPr>
                <w:color w:val="002060"/>
              </w:rPr>
              <w:t xml:space="preserve"> / 60) </w:t>
            </w:r>
          </w:p>
        </w:tc>
      </w:tr>
      <w:tr w:rsidR="00B53B4B" w14:paraId="0E5859FF" w14:textId="77777777" w:rsidTr="008B002E">
        <w:trPr>
          <w:trHeight w:val="737"/>
        </w:trPr>
        <w:tc>
          <w:tcPr>
            <w:tcW w:w="1200" w:type="dxa"/>
            <w:tcBorders>
              <w:top w:val="single" w:sz="4" w:space="0" w:color="auto"/>
              <w:left w:val="single" w:sz="4" w:space="0" w:color="auto"/>
              <w:bottom w:val="single" w:sz="4" w:space="0" w:color="auto"/>
              <w:right w:val="single" w:sz="4" w:space="0" w:color="auto"/>
            </w:tcBorders>
          </w:tcPr>
          <w:p w14:paraId="1BEC4E1D" w14:textId="77777777" w:rsidR="00B53B4B" w:rsidRDefault="00B53B4B">
            <w:pPr>
              <w:pStyle w:val="BodyText"/>
              <w:rPr>
                <w:rStyle w:val="Hyperlink"/>
                <w:rFonts w:eastAsiaTheme="majorEastAsia" w:cs="Arial"/>
                <w:color w:val="002060"/>
                <w:szCs w:val="24"/>
              </w:rPr>
            </w:pPr>
          </w:p>
        </w:tc>
        <w:tc>
          <w:tcPr>
            <w:tcW w:w="6335" w:type="dxa"/>
            <w:gridSpan w:val="5"/>
            <w:tcBorders>
              <w:top w:val="single" w:sz="4" w:space="0" w:color="auto"/>
              <w:left w:val="single" w:sz="4" w:space="0" w:color="auto"/>
              <w:bottom w:val="single" w:sz="4" w:space="0" w:color="auto"/>
              <w:right w:val="single" w:sz="4" w:space="0" w:color="auto"/>
            </w:tcBorders>
            <w:hideMark/>
          </w:tcPr>
          <w:p w14:paraId="537D5CB1" w14:textId="77777777" w:rsidR="00B53B4B" w:rsidRDefault="00B53B4B">
            <w:pPr>
              <w:pStyle w:val="BodyText"/>
              <w:rPr>
                <w:rStyle w:val="Hyperlink"/>
                <w:rFonts w:eastAsiaTheme="majorEastAsia" w:cs="Arial"/>
                <w:color w:val="002060"/>
                <w:szCs w:val="24"/>
              </w:rPr>
            </w:pPr>
            <w:r>
              <w:rPr>
                <w:rStyle w:val="Hyperlink"/>
                <w:rFonts w:eastAsiaTheme="majorEastAsia" w:cs="Arial"/>
                <w:color w:val="002060"/>
                <w:szCs w:val="24"/>
              </w:rPr>
              <w:t xml:space="preserve">Overhead at 100%.  Overhead costs are 100% of </w:t>
            </w:r>
            <w:r w:rsidR="008B002E">
              <w:rPr>
                <w:rStyle w:val="Hyperlink"/>
                <w:rFonts w:eastAsiaTheme="majorEastAsia" w:cs="Arial"/>
                <w:color w:val="002060"/>
                <w:szCs w:val="24"/>
              </w:rPr>
              <w:t>salary and</w:t>
            </w:r>
            <w:r>
              <w:rPr>
                <w:rStyle w:val="Hyperlink"/>
                <w:rFonts w:eastAsiaTheme="majorEastAsia" w:cs="Arial"/>
                <w:color w:val="002060"/>
                <w:szCs w:val="24"/>
              </w:rPr>
              <w:t xml:space="preserve"> are the same as the wage listed above; and the amount is included in the total.</w:t>
            </w:r>
          </w:p>
        </w:tc>
        <w:tc>
          <w:tcPr>
            <w:tcW w:w="1873" w:type="dxa"/>
            <w:tcBorders>
              <w:top w:val="single" w:sz="4" w:space="0" w:color="auto"/>
              <w:left w:val="single" w:sz="4" w:space="0" w:color="auto"/>
              <w:bottom w:val="single" w:sz="4" w:space="0" w:color="auto"/>
              <w:right w:val="single" w:sz="4" w:space="0" w:color="auto"/>
            </w:tcBorders>
            <w:hideMark/>
          </w:tcPr>
          <w:p w14:paraId="0B59C7F3" w14:textId="77777777" w:rsidR="00B53B4B" w:rsidRDefault="00B53B4B">
            <w:pPr>
              <w:pStyle w:val="BodyText"/>
              <w:jc w:val="center"/>
              <w:rPr>
                <w:rStyle w:val="Hyperlink"/>
                <w:rFonts w:eastAsiaTheme="majorEastAsia" w:cs="Arial"/>
                <w:color w:val="002060"/>
                <w:szCs w:val="24"/>
              </w:rPr>
            </w:pPr>
            <w:r>
              <w:rPr>
                <w:rStyle w:val="Hyperlink"/>
                <w:rFonts w:eastAsiaTheme="majorEastAsia" w:cs="Arial"/>
                <w:color w:val="002060"/>
                <w:szCs w:val="24"/>
              </w:rPr>
              <w:t>N/A</w:t>
            </w:r>
          </w:p>
        </w:tc>
      </w:tr>
      <w:tr w:rsidR="00B53B4B" w14:paraId="5F81BFA5" w14:textId="77777777" w:rsidTr="008B002E">
        <w:trPr>
          <w:trHeight w:val="251"/>
        </w:trPr>
        <w:tc>
          <w:tcPr>
            <w:tcW w:w="1200" w:type="dxa"/>
            <w:tcBorders>
              <w:top w:val="single" w:sz="4" w:space="0" w:color="auto"/>
              <w:left w:val="single" w:sz="4" w:space="0" w:color="auto"/>
              <w:bottom w:val="single" w:sz="4" w:space="0" w:color="auto"/>
              <w:right w:val="single" w:sz="4" w:space="0" w:color="auto"/>
            </w:tcBorders>
            <w:hideMark/>
          </w:tcPr>
          <w:p w14:paraId="6E813F43" w14:textId="77777777" w:rsidR="00B53B4B" w:rsidRDefault="00B53B4B">
            <w:pPr>
              <w:pStyle w:val="BodyText"/>
              <w:rPr>
                <w:rStyle w:val="Hyperlink"/>
                <w:rFonts w:eastAsiaTheme="majorEastAsia" w:cs="Arial"/>
                <w:color w:val="002060"/>
                <w:szCs w:val="24"/>
              </w:rPr>
            </w:pPr>
            <w:r>
              <w:rPr>
                <w:rStyle w:val="Hyperlink"/>
                <w:rFonts w:eastAsiaTheme="majorEastAsia" w:cs="Arial"/>
                <w:color w:val="002060"/>
                <w:szCs w:val="24"/>
              </w:rPr>
              <w:t xml:space="preserve"> </w:t>
            </w:r>
          </w:p>
        </w:tc>
        <w:tc>
          <w:tcPr>
            <w:tcW w:w="6335" w:type="dxa"/>
            <w:gridSpan w:val="5"/>
            <w:tcBorders>
              <w:top w:val="single" w:sz="4" w:space="0" w:color="auto"/>
              <w:left w:val="single" w:sz="4" w:space="0" w:color="auto"/>
              <w:bottom w:val="single" w:sz="4" w:space="0" w:color="auto"/>
              <w:right w:val="single" w:sz="4" w:space="0" w:color="auto"/>
            </w:tcBorders>
            <w:hideMark/>
          </w:tcPr>
          <w:p w14:paraId="6F64CCF2" w14:textId="77777777" w:rsidR="00B53B4B" w:rsidRDefault="00B53B4B">
            <w:pPr>
              <w:pStyle w:val="BodyText"/>
              <w:rPr>
                <w:rStyle w:val="Hyperlink"/>
                <w:rFonts w:eastAsiaTheme="majorEastAsia" w:cs="Arial"/>
                <w:color w:val="002060"/>
                <w:szCs w:val="24"/>
              </w:rPr>
            </w:pPr>
            <w:r>
              <w:rPr>
                <w:rStyle w:val="Hyperlink"/>
                <w:rFonts w:eastAsiaTheme="majorEastAsia" w:cs="Arial"/>
                <w:color w:val="002060"/>
                <w:szCs w:val="24"/>
              </w:rPr>
              <w:t xml:space="preserve">Processing / Analyzing Cost </w:t>
            </w:r>
          </w:p>
        </w:tc>
        <w:tc>
          <w:tcPr>
            <w:tcW w:w="1873" w:type="dxa"/>
            <w:tcBorders>
              <w:top w:val="single" w:sz="4" w:space="0" w:color="auto"/>
              <w:left w:val="single" w:sz="4" w:space="0" w:color="auto"/>
              <w:bottom w:val="single" w:sz="4" w:space="0" w:color="auto"/>
              <w:right w:val="single" w:sz="4" w:space="0" w:color="auto"/>
            </w:tcBorders>
            <w:hideMark/>
          </w:tcPr>
          <w:p w14:paraId="0917576E" w14:textId="77777777" w:rsidR="00B53B4B" w:rsidRDefault="00B53B4B">
            <w:pPr>
              <w:pStyle w:val="BodyText"/>
              <w:jc w:val="center"/>
              <w:rPr>
                <w:rStyle w:val="Hyperlink"/>
                <w:rFonts w:eastAsiaTheme="majorEastAsia" w:cs="Arial"/>
                <w:color w:val="002060"/>
                <w:szCs w:val="24"/>
              </w:rPr>
            </w:pPr>
            <w:r>
              <w:rPr>
                <w:rStyle w:val="Hyperlink"/>
                <w:rFonts w:eastAsiaTheme="majorEastAsia" w:cs="Arial"/>
                <w:color w:val="002060"/>
                <w:szCs w:val="24"/>
              </w:rPr>
              <w:t>N/A</w:t>
            </w:r>
          </w:p>
        </w:tc>
      </w:tr>
      <w:tr w:rsidR="00B53B4B" w14:paraId="1D447F01" w14:textId="77777777" w:rsidTr="008B002E">
        <w:trPr>
          <w:trHeight w:val="251"/>
        </w:trPr>
        <w:tc>
          <w:tcPr>
            <w:tcW w:w="1200" w:type="dxa"/>
            <w:tcBorders>
              <w:top w:val="single" w:sz="4" w:space="0" w:color="auto"/>
              <w:left w:val="single" w:sz="4" w:space="0" w:color="auto"/>
              <w:bottom w:val="single" w:sz="4" w:space="0" w:color="auto"/>
              <w:right w:val="single" w:sz="4" w:space="0" w:color="auto"/>
            </w:tcBorders>
          </w:tcPr>
          <w:p w14:paraId="0FA20EFC" w14:textId="77777777" w:rsidR="00B53B4B" w:rsidRDefault="00B53B4B">
            <w:pPr>
              <w:pStyle w:val="BodyText"/>
              <w:rPr>
                <w:rStyle w:val="Hyperlink"/>
                <w:rFonts w:eastAsiaTheme="majorEastAsia" w:cs="Arial"/>
                <w:color w:val="002060"/>
                <w:szCs w:val="24"/>
              </w:rPr>
            </w:pPr>
          </w:p>
        </w:tc>
        <w:tc>
          <w:tcPr>
            <w:tcW w:w="6335" w:type="dxa"/>
            <w:gridSpan w:val="5"/>
            <w:tcBorders>
              <w:top w:val="single" w:sz="4" w:space="0" w:color="auto"/>
              <w:left w:val="single" w:sz="4" w:space="0" w:color="auto"/>
              <w:bottom w:val="single" w:sz="4" w:space="0" w:color="auto"/>
              <w:right w:val="single" w:sz="4" w:space="0" w:color="auto"/>
            </w:tcBorders>
            <w:hideMark/>
          </w:tcPr>
          <w:p w14:paraId="57259E8E" w14:textId="77777777" w:rsidR="00B53B4B" w:rsidRDefault="00B53B4B">
            <w:pPr>
              <w:pStyle w:val="BodyText"/>
              <w:rPr>
                <w:rStyle w:val="Hyperlink"/>
                <w:rFonts w:eastAsiaTheme="majorEastAsia" w:cs="Arial"/>
                <w:color w:val="002060"/>
                <w:szCs w:val="24"/>
              </w:rPr>
            </w:pPr>
            <w:r>
              <w:rPr>
                <w:rStyle w:val="Hyperlink"/>
                <w:rFonts w:eastAsiaTheme="majorEastAsia" w:cs="Arial"/>
                <w:color w:val="002060"/>
                <w:szCs w:val="24"/>
              </w:rPr>
              <w:t xml:space="preserve">Printing and Production Cost </w:t>
            </w:r>
          </w:p>
        </w:tc>
        <w:tc>
          <w:tcPr>
            <w:tcW w:w="1873" w:type="dxa"/>
            <w:tcBorders>
              <w:top w:val="single" w:sz="4" w:space="0" w:color="auto"/>
              <w:left w:val="single" w:sz="4" w:space="0" w:color="auto"/>
              <w:bottom w:val="single" w:sz="4" w:space="0" w:color="auto"/>
              <w:right w:val="single" w:sz="4" w:space="0" w:color="auto"/>
            </w:tcBorders>
            <w:hideMark/>
          </w:tcPr>
          <w:p w14:paraId="59409297" w14:textId="77777777" w:rsidR="00B53B4B" w:rsidRDefault="00B53B4B">
            <w:pPr>
              <w:pStyle w:val="BodyText"/>
              <w:jc w:val="center"/>
              <w:rPr>
                <w:rStyle w:val="Hyperlink"/>
                <w:rFonts w:eastAsiaTheme="majorEastAsia" w:cs="Arial"/>
                <w:color w:val="002060"/>
                <w:szCs w:val="24"/>
              </w:rPr>
            </w:pPr>
            <w:r>
              <w:rPr>
                <w:rStyle w:val="Hyperlink"/>
                <w:rFonts w:eastAsiaTheme="majorEastAsia" w:cs="Arial"/>
                <w:color w:val="002060"/>
                <w:szCs w:val="24"/>
              </w:rPr>
              <w:t>N/A</w:t>
            </w:r>
          </w:p>
        </w:tc>
      </w:tr>
      <w:tr w:rsidR="00372CDB" w14:paraId="247EB6F1" w14:textId="77777777" w:rsidTr="00372CDB">
        <w:trPr>
          <w:trHeight w:val="251"/>
        </w:trPr>
        <w:tc>
          <w:tcPr>
            <w:tcW w:w="9408" w:type="dxa"/>
            <w:gridSpan w:val="7"/>
            <w:tcBorders>
              <w:top w:val="single" w:sz="4" w:space="0" w:color="auto"/>
              <w:left w:val="single" w:sz="4" w:space="0" w:color="auto"/>
              <w:bottom w:val="single" w:sz="4" w:space="0" w:color="auto"/>
              <w:right w:val="single" w:sz="4" w:space="0" w:color="auto"/>
            </w:tcBorders>
            <w:shd w:val="clear" w:color="auto" w:fill="000000" w:themeFill="text1"/>
          </w:tcPr>
          <w:p w14:paraId="67C8FC2A" w14:textId="77777777" w:rsidR="00372CDB" w:rsidRDefault="00372CDB">
            <w:pPr>
              <w:pStyle w:val="BodyText"/>
              <w:jc w:val="center"/>
              <w:rPr>
                <w:rStyle w:val="Hyperlink"/>
                <w:rFonts w:eastAsiaTheme="majorEastAsia" w:cs="Arial"/>
                <w:color w:val="002060"/>
                <w:szCs w:val="24"/>
              </w:rPr>
            </w:pPr>
          </w:p>
        </w:tc>
      </w:tr>
      <w:tr w:rsidR="00B53B4B" w14:paraId="1A662FBD" w14:textId="77777777" w:rsidTr="00B53B4B">
        <w:trPr>
          <w:trHeight w:val="486"/>
        </w:trPr>
        <w:tc>
          <w:tcPr>
            <w:tcW w:w="9408" w:type="dxa"/>
            <w:gridSpan w:val="7"/>
            <w:tcBorders>
              <w:top w:val="single" w:sz="4" w:space="0" w:color="auto"/>
              <w:left w:val="single" w:sz="4" w:space="0" w:color="auto"/>
              <w:bottom w:val="single" w:sz="4" w:space="0" w:color="auto"/>
              <w:right w:val="single" w:sz="4" w:space="0" w:color="auto"/>
            </w:tcBorders>
          </w:tcPr>
          <w:p w14:paraId="2C3D13AB" w14:textId="77777777" w:rsidR="00B53B4B" w:rsidRDefault="00B53B4B">
            <w:pPr>
              <w:pStyle w:val="BodyText"/>
              <w:rPr>
                <w:rStyle w:val="Hyperlink"/>
                <w:rFonts w:eastAsiaTheme="majorEastAsia" w:cs="Arial"/>
                <w:color w:val="002060"/>
                <w:szCs w:val="24"/>
              </w:rPr>
            </w:pPr>
            <w:r>
              <w:rPr>
                <w:rStyle w:val="Hyperlink"/>
                <w:rFonts w:eastAsiaTheme="majorEastAsia" w:cs="Arial"/>
                <w:color w:val="002060"/>
                <w:szCs w:val="24"/>
              </w:rPr>
              <w:t>Total Cost to Government for Processing All Applications (Paper-Electronic</w:t>
            </w:r>
            <w:r w:rsidR="008B002E">
              <w:rPr>
                <w:rStyle w:val="Hyperlink"/>
                <w:rFonts w:eastAsiaTheme="majorEastAsia" w:cs="Arial"/>
                <w:color w:val="002060"/>
                <w:szCs w:val="24"/>
              </w:rPr>
              <w:t>)</w:t>
            </w:r>
          </w:p>
          <w:p w14:paraId="3E2851FA" w14:textId="77777777" w:rsidR="00B53B4B" w:rsidRDefault="00B53B4B">
            <w:pPr>
              <w:pStyle w:val="BodyText"/>
              <w:rPr>
                <w:rStyle w:val="Hyperlink"/>
                <w:rFonts w:eastAsiaTheme="majorEastAsia" w:cs="Arial"/>
                <w:color w:val="002060"/>
                <w:szCs w:val="24"/>
              </w:rPr>
            </w:pPr>
          </w:p>
          <w:p w14:paraId="2BDDA8E8" w14:textId="77777777" w:rsidR="00B53B4B" w:rsidRDefault="00B53B4B">
            <w:pPr>
              <w:pStyle w:val="BodyText"/>
              <w:jc w:val="center"/>
              <w:rPr>
                <w:rStyle w:val="Hyperlink"/>
                <w:rFonts w:eastAsiaTheme="majorEastAsia" w:cs="Arial"/>
                <w:b/>
                <w:color w:val="002060"/>
                <w:szCs w:val="24"/>
                <w:u w:val="double"/>
              </w:rPr>
            </w:pPr>
            <w:r>
              <w:rPr>
                <w:rStyle w:val="Hyperlink"/>
                <w:rFonts w:eastAsiaTheme="majorEastAsia" w:cs="Arial"/>
                <w:b/>
                <w:color w:val="002060"/>
                <w:szCs w:val="24"/>
                <w:u w:val="double"/>
              </w:rPr>
              <w:t>$</w:t>
            </w:r>
            <w:r w:rsidR="008B002E">
              <w:rPr>
                <w:rStyle w:val="Hyperlink"/>
                <w:rFonts w:eastAsiaTheme="majorEastAsia" w:cs="Arial"/>
                <w:b/>
                <w:color w:val="002060"/>
                <w:szCs w:val="24"/>
                <w:u w:val="double"/>
              </w:rPr>
              <w:t>766,399</w:t>
            </w:r>
          </w:p>
          <w:p w14:paraId="71A591E3" w14:textId="77777777" w:rsidR="00B53B4B" w:rsidRDefault="00B53B4B">
            <w:pPr>
              <w:pStyle w:val="BodyText"/>
              <w:jc w:val="center"/>
              <w:rPr>
                <w:rStyle w:val="Hyperlink"/>
                <w:rFonts w:eastAsiaTheme="majorEastAsia" w:cs="Arial"/>
                <w:b/>
                <w:color w:val="002060"/>
                <w:szCs w:val="24"/>
                <w:u w:val="double"/>
              </w:rPr>
            </w:pPr>
          </w:p>
          <w:p w14:paraId="77DAA7D9" w14:textId="77777777" w:rsidR="00B53B4B" w:rsidRDefault="00B53B4B">
            <w:pPr>
              <w:pStyle w:val="BodyText"/>
              <w:jc w:val="center"/>
              <w:rPr>
                <w:rStyle w:val="Hyperlink"/>
                <w:rFonts w:eastAsiaTheme="majorEastAsia" w:cs="Arial"/>
                <w:b/>
                <w:color w:val="002060"/>
                <w:szCs w:val="24"/>
                <w:u w:val="double"/>
              </w:rPr>
            </w:pPr>
          </w:p>
        </w:tc>
      </w:tr>
    </w:tbl>
    <w:p w14:paraId="5D421B88" w14:textId="77777777" w:rsidR="00B53B4B" w:rsidRDefault="00B53B4B" w:rsidP="00B53B4B">
      <w:pPr>
        <w:pStyle w:val="BodyText"/>
        <w:rPr>
          <w:rStyle w:val="Hyperlink"/>
          <w:rFonts w:eastAsiaTheme="majorEastAsia" w:cs="Arial"/>
          <w:szCs w:val="24"/>
        </w:rPr>
      </w:pPr>
    </w:p>
    <w:p w14:paraId="4C27213F" w14:textId="77777777" w:rsidR="00B53B4B" w:rsidRDefault="00B53B4B" w:rsidP="00B53B4B">
      <w:pPr>
        <w:pStyle w:val="BodyText"/>
        <w:rPr>
          <w:szCs w:val="24"/>
        </w:rPr>
      </w:pPr>
      <w:r>
        <w:rPr>
          <w:szCs w:val="24"/>
        </w:rPr>
        <w:t>The</w:t>
      </w:r>
      <w:r>
        <w:rPr>
          <w:spacing w:val="28"/>
          <w:szCs w:val="24"/>
        </w:rPr>
        <w:t xml:space="preserve"> </w:t>
      </w:r>
      <w:r>
        <w:rPr>
          <w:szCs w:val="24"/>
        </w:rPr>
        <w:t>processing</w:t>
      </w:r>
      <w:r>
        <w:rPr>
          <w:spacing w:val="18"/>
          <w:szCs w:val="24"/>
        </w:rPr>
        <w:t xml:space="preserve"> </w:t>
      </w:r>
      <w:r>
        <w:rPr>
          <w:szCs w:val="24"/>
        </w:rPr>
        <w:t>time</w:t>
      </w:r>
      <w:r>
        <w:rPr>
          <w:spacing w:val="21"/>
          <w:szCs w:val="24"/>
        </w:rPr>
        <w:t xml:space="preserve"> </w:t>
      </w:r>
      <w:r>
        <w:rPr>
          <w:szCs w:val="24"/>
        </w:rPr>
        <w:t>above</w:t>
      </w:r>
      <w:r>
        <w:rPr>
          <w:spacing w:val="23"/>
          <w:szCs w:val="24"/>
        </w:rPr>
        <w:t xml:space="preserve"> </w:t>
      </w:r>
      <w:r w:rsidR="008B002E">
        <w:rPr>
          <w:szCs w:val="24"/>
        </w:rPr>
        <w:t>is</w:t>
      </w:r>
      <w:r>
        <w:rPr>
          <w:spacing w:val="17"/>
          <w:szCs w:val="24"/>
        </w:rPr>
        <w:t xml:space="preserve"> </w:t>
      </w:r>
      <w:r>
        <w:rPr>
          <w:szCs w:val="24"/>
        </w:rPr>
        <w:t>based</w:t>
      </w:r>
      <w:r>
        <w:rPr>
          <w:spacing w:val="15"/>
          <w:szCs w:val="24"/>
        </w:rPr>
        <w:t xml:space="preserve"> </w:t>
      </w:r>
      <w:r>
        <w:rPr>
          <w:szCs w:val="24"/>
        </w:rPr>
        <w:t>on</w:t>
      </w:r>
      <w:r>
        <w:rPr>
          <w:spacing w:val="4"/>
          <w:szCs w:val="24"/>
        </w:rPr>
        <w:t xml:space="preserve"> </w:t>
      </w:r>
      <w:r>
        <w:rPr>
          <w:szCs w:val="24"/>
        </w:rPr>
        <w:t>the</w:t>
      </w:r>
      <w:r>
        <w:rPr>
          <w:spacing w:val="17"/>
          <w:szCs w:val="24"/>
        </w:rPr>
        <w:t xml:space="preserve"> </w:t>
      </w:r>
      <w:r>
        <w:rPr>
          <w:szCs w:val="24"/>
        </w:rPr>
        <w:t>actual</w:t>
      </w:r>
      <w:r>
        <w:rPr>
          <w:spacing w:val="13"/>
          <w:szCs w:val="24"/>
        </w:rPr>
        <w:t xml:space="preserve"> </w:t>
      </w:r>
      <w:r>
        <w:rPr>
          <w:szCs w:val="24"/>
        </w:rPr>
        <w:t>amount</w:t>
      </w:r>
      <w:r>
        <w:rPr>
          <w:spacing w:val="21"/>
          <w:szCs w:val="24"/>
        </w:rPr>
        <w:t xml:space="preserve"> </w:t>
      </w:r>
      <w:r>
        <w:rPr>
          <w:szCs w:val="24"/>
        </w:rPr>
        <w:t>of</w:t>
      </w:r>
      <w:r>
        <w:rPr>
          <w:spacing w:val="5"/>
          <w:szCs w:val="24"/>
        </w:rPr>
        <w:t xml:space="preserve"> </w:t>
      </w:r>
      <w:r>
        <w:rPr>
          <w:szCs w:val="24"/>
        </w:rPr>
        <w:t>time</w:t>
      </w:r>
      <w:r>
        <w:rPr>
          <w:w w:val="97"/>
          <w:szCs w:val="24"/>
        </w:rPr>
        <w:t xml:space="preserve"> </w:t>
      </w:r>
      <w:r>
        <w:rPr>
          <w:spacing w:val="-1"/>
          <w:szCs w:val="24"/>
        </w:rPr>
        <w:t>employees</w:t>
      </w:r>
      <w:r>
        <w:rPr>
          <w:spacing w:val="26"/>
          <w:szCs w:val="24"/>
        </w:rPr>
        <w:t xml:space="preserve"> </w:t>
      </w:r>
      <w:r>
        <w:rPr>
          <w:szCs w:val="24"/>
        </w:rPr>
        <w:t>of</w:t>
      </w:r>
      <w:r>
        <w:rPr>
          <w:spacing w:val="4"/>
          <w:szCs w:val="24"/>
        </w:rPr>
        <w:t xml:space="preserve"> </w:t>
      </w:r>
      <w:r>
        <w:rPr>
          <w:szCs w:val="24"/>
        </w:rPr>
        <w:t>the</w:t>
      </w:r>
      <w:r>
        <w:rPr>
          <w:spacing w:val="11"/>
          <w:szCs w:val="24"/>
        </w:rPr>
        <w:t xml:space="preserve"> </w:t>
      </w:r>
      <w:r>
        <w:rPr>
          <w:szCs w:val="24"/>
        </w:rPr>
        <w:t>grade</w:t>
      </w:r>
      <w:r>
        <w:rPr>
          <w:spacing w:val="28"/>
          <w:szCs w:val="24"/>
        </w:rPr>
        <w:t xml:space="preserve"> </w:t>
      </w:r>
      <w:r>
        <w:rPr>
          <w:szCs w:val="24"/>
        </w:rPr>
        <w:t>level</w:t>
      </w:r>
      <w:r>
        <w:rPr>
          <w:spacing w:val="11"/>
          <w:szCs w:val="24"/>
        </w:rPr>
        <w:t xml:space="preserve"> </w:t>
      </w:r>
      <w:r>
        <w:rPr>
          <w:szCs w:val="24"/>
        </w:rPr>
        <w:t>spend</w:t>
      </w:r>
      <w:r>
        <w:rPr>
          <w:spacing w:val="19"/>
          <w:szCs w:val="24"/>
        </w:rPr>
        <w:t xml:space="preserve"> </w:t>
      </w:r>
      <w:r>
        <w:rPr>
          <w:szCs w:val="24"/>
        </w:rPr>
        <w:t>to</w:t>
      </w:r>
      <w:r>
        <w:rPr>
          <w:spacing w:val="21"/>
          <w:szCs w:val="24"/>
        </w:rPr>
        <w:t xml:space="preserve"> </w:t>
      </w:r>
      <w:r>
        <w:rPr>
          <w:szCs w:val="24"/>
        </w:rPr>
        <w:t>process</w:t>
      </w:r>
      <w:r>
        <w:rPr>
          <w:spacing w:val="14"/>
          <w:szCs w:val="24"/>
        </w:rPr>
        <w:t xml:space="preserve"> </w:t>
      </w:r>
      <w:r>
        <w:rPr>
          <w:szCs w:val="24"/>
        </w:rPr>
        <w:t>to</w:t>
      </w:r>
      <w:r>
        <w:rPr>
          <w:spacing w:val="21"/>
          <w:szCs w:val="24"/>
        </w:rPr>
        <w:t xml:space="preserve"> </w:t>
      </w:r>
      <w:r>
        <w:rPr>
          <w:szCs w:val="24"/>
        </w:rPr>
        <w:t>completion</w:t>
      </w:r>
      <w:r>
        <w:rPr>
          <w:spacing w:val="30"/>
          <w:szCs w:val="24"/>
        </w:rPr>
        <w:t xml:space="preserve"> </w:t>
      </w:r>
      <w:r>
        <w:rPr>
          <w:szCs w:val="24"/>
        </w:rPr>
        <w:t>a</w:t>
      </w:r>
      <w:r>
        <w:rPr>
          <w:spacing w:val="15"/>
          <w:szCs w:val="24"/>
        </w:rPr>
        <w:t xml:space="preserve"> </w:t>
      </w:r>
      <w:r>
        <w:rPr>
          <w:szCs w:val="24"/>
        </w:rPr>
        <w:t>claim</w:t>
      </w:r>
      <w:r>
        <w:rPr>
          <w:spacing w:val="28"/>
          <w:szCs w:val="24"/>
        </w:rPr>
        <w:t xml:space="preserve"> </w:t>
      </w:r>
      <w:r>
        <w:rPr>
          <w:szCs w:val="24"/>
        </w:rPr>
        <w:t>received</w:t>
      </w:r>
      <w:r>
        <w:rPr>
          <w:spacing w:val="32"/>
          <w:szCs w:val="24"/>
        </w:rPr>
        <w:t xml:space="preserve"> </w:t>
      </w:r>
      <w:r>
        <w:rPr>
          <w:szCs w:val="24"/>
        </w:rPr>
        <w:t>on</w:t>
      </w:r>
      <w:r>
        <w:rPr>
          <w:spacing w:val="26"/>
          <w:w w:val="99"/>
          <w:szCs w:val="24"/>
        </w:rPr>
        <w:t xml:space="preserve"> </w:t>
      </w:r>
      <w:r>
        <w:rPr>
          <w:szCs w:val="24"/>
        </w:rPr>
        <w:t>th</w:t>
      </w:r>
      <w:r w:rsidR="008B002E">
        <w:rPr>
          <w:szCs w:val="24"/>
        </w:rPr>
        <w:t>is</w:t>
      </w:r>
      <w:r>
        <w:rPr>
          <w:spacing w:val="25"/>
          <w:szCs w:val="24"/>
        </w:rPr>
        <w:t xml:space="preserve"> </w:t>
      </w:r>
      <w:r>
        <w:rPr>
          <w:szCs w:val="24"/>
        </w:rPr>
        <w:t>for</w:t>
      </w:r>
      <w:r>
        <w:rPr>
          <w:spacing w:val="27"/>
          <w:szCs w:val="24"/>
        </w:rPr>
        <w:t>m</w:t>
      </w:r>
      <w:r>
        <w:rPr>
          <w:color w:val="3F3F3F"/>
          <w:szCs w:val="24"/>
        </w:rPr>
        <w:t>.</w:t>
      </w:r>
    </w:p>
    <w:p w14:paraId="14335CDC" w14:textId="77777777" w:rsidR="00B53B4B" w:rsidRDefault="00B53B4B" w:rsidP="00B53B4B">
      <w:pPr>
        <w:tabs>
          <w:tab w:val="left" w:pos="0"/>
          <w:tab w:val="left" w:pos="1080"/>
          <w:tab w:val="left" w:pos="1680"/>
          <w:tab w:val="left" w:pos="2280"/>
          <w:tab w:val="left" w:pos="2880"/>
        </w:tabs>
        <w:spacing w:line="240" w:lineRule="exact"/>
        <w:ind w:right="36"/>
        <w:rPr>
          <w:rFonts w:ascii="Arial" w:hAnsi="Arial"/>
          <w:sz w:val="24"/>
          <w:szCs w:val="24"/>
          <w:highlight w:val="yellow"/>
        </w:rPr>
      </w:pPr>
    </w:p>
    <w:p w14:paraId="117E17C7" w14:textId="77777777" w:rsidR="00B53B4B" w:rsidRDefault="00B53B4B" w:rsidP="00B53B4B">
      <w:pPr>
        <w:pStyle w:val="BodyText"/>
        <w:rPr>
          <w:b/>
          <w:szCs w:val="24"/>
        </w:rPr>
      </w:pPr>
      <w:r>
        <w:rPr>
          <w:b/>
          <w:szCs w:val="24"/>
        </w:rPr>
        <w:t>15. Explain the reason for any burden hour changes since the last submission.</w:t>
      </w:r>
    </w:p>
    <w:p w14:paraId="2D62D515" w14:textId="77777777" w:rsidR="00B53B4B" w:rsidRDefault="00B53B4B" w:rsidP="00B53B4B">
      <w:pPr>
        <w:pStyle w:val="BodyText"/>
        <w:rPr>
          <w:b/>
          <w:color w:val="242323"/>
          <w:szCs w:val="24"/>
        </w:rPr>
      </w:pPr>
    </w:p>
    <w:p w14:paraId="43954B6A" w14:textId="77777777" w:rsidR="00B53B4B" w:rsidRDefault="00B53B4B" w:rsidP="00B53B4B">
      <w:pPr>
        <w:pStyle w:val="BodyText"/>
        <w:rPr>
          <w:b/>
          <w:color w:val="242323"/>
          <w:szCs w:val="24"/>
        </w:rPr>
      </w:pPr>
      <w:r>
        <w:rPr>
          <w:color w:val="242323"/>
        </w:rPr>
        <w:t>There is a</w:t>
      </w:r>
      <w:r w:rsidR="00515779">
        <w:rPr>
          <w:color w:val="242323"/>
        </w:rPr>
        <w:t xml:space="preserve"> </w:t>
      </w:r>
      <w:r w:rsidR="000F1C3D">
        <w:rPr>
          <w:color w:val="242323"/>
        </w:rPr>
        <w:t xml:space="preserve">decrease </w:t>
      </w:r>
      <w:r>
        <w:rPr>
          <w:color w:val="242323"/>
        </w:rPr>
        <w:t xml:space="preserve">in burden hours due to </w:t>
      </w:r>
      <w:r w:rsidR="008B002E">
        <w:rPr>
          <w:color w:val="242323"/>
        </w:rPr>
        <w:t>a</w:t>
      </w:r>
      <w:r w:rsidR="00515779">
        <w:rPr>
          <w:color w:val="242323"/>
        </w:rPr>
        <w:t xml:space="preserve"> decrease</w:t>
      </w:r>
      <w:r w:rsidR="008B002E">
        <w:rPr>
          <w:color w:val="242323"/>
        </w:rPr>
        <w:t xml:space="preserve"> in the actual number of applications/responses received for 2016, 2017 and 2018, as is based on the 2020 Presidential Budget Submission for Chapter 35 sons, daughters, spouses and widows</w:t>
      </w:r>
      <w:r w:rsidR="000F1C3D">
        <w:rPr>
          <w:color w:val="242323"/>
        </w:rPr>
        <w:t>.</w:t>
      </w:r>
      <w:r>
        <w:rPr>
          <w:b/>
          <w:color w:val="242323"/>
        </w:rPr>
        <w:t xml:space="preserve"> </w:t>
      </w:r>
    </w:p>
    <w:p w14:paraId="517AF19B" w14:textId="77777777" w:rsidR="00B53B4B" w:rsidRDefault="00B53B4B" w:rsidP="00B53B4B">
      <w:pPr>
        <w:tabs>
          <w:tab w:val="left" w:pos="480"/>
          <w:tab w:val="left" w:pos="1080"/>
          <w:tab w:val="left" w:pos="1680"/>
          <w:tab w:val="left" w:pos="2280"/>
          <w:tab w:val="left" w:pos="2880"/>
        </w:tabs>
        <w:spacing w:line="240" w:lineRule="exact"/>
        <w:ind w:right="36"/>
        <w:rPr>
          <w:rFonts w:ascii="Arial" w:hAnsi="Arial"/>
          <w:sz w:val="24"/>
          <w:szCs w:val="24"/>
        </w:rPr>
      </w:pPr>
      <w:r>
        <w:rPr>
          <w:rFonts w:ascii="Arial" w:hAnsi="Arial"/>
          <w:sz w:val="24"/>
          <w:szCs w:val="24"/>
        </w:rPr>
        <w:tab/>
      </w:r>
    </w:p>
    <w:p w14:paraId="7493A7D0" w14:textId="77777777" w:rsidR="00B53B4B" w:rsidRDefault="00B53B4B" w:rsidP="00B53B4B">
      <w:pPr>
        <w:pStyle w:val="BodyText"/>
        <w:rPr>
          <w:b/>
          <w:color w:val="494949"/>
          <w:szCs w:val="24"/>
        </w:rPr>
      </w:pPr>
      <w:r>
        <w:rPr>
          <w:b/>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F99D4F7" w14:textId="77777777" w:rsidR="00B53B4B" w:rsidRDefault="00B53B4B" w:rsidP="00B53B4B">
      <w:pPr>
        <w:tabs>
          <w:tab w:val="left" w:pos="360"/>
          <w:tab w:val="left" w:pos="792"/>
        </w:tabs>
        <w:rPr>
          <w:rFonts w:ascii="Arial" w:hAnsi="Arial"/>
          <w:sz w:val="24"/>
          <w:szCs w:val="24"/>
        </w:rPr>
      </w:pPr>
    </w:p>
    <w:p w14:paraId="2B8BF20E" w14:textId="77777777" w:rsidR="00B53B4B" w:rsidRDefault="00B53B4B" w:rsidP="00B53B4B">
      <w:pPr>
        <w:tabs>
          <w:tab w:val="left" w:pos="360"/>
          <w:tab w:val="left" w:pos="792"/>
        </w:tabs>
        <w:rPr>
          <w:rFonts w:ascii="Arial" w:hAnsi="Arial"/>
          <w:sz w:val="24"/>
          <w:szCs w:val="24"/>
        </w:rPr>
      </w:pPr>
      <w:r>
        <w:rPr>
          <w:rFonts w:ascii="Arial" w:hAnsi="Arial"/>
          <w:sz w:val="24"/>
          <w:szCs w:val="24"/>
        </w:rPr>
        <w:t>VA does not publish this information or make it available for publication.</w:t>
      </w:r>
    </w:p>
    <w:p w14:paraId="32D1D343" w14:textId="77777777" w:rsidR="00B53B4B" w:rsidRDefault="00B53B4B" w:rsidP="00B53B4B">
      <w:pPr>
        <w:pStyle w:val="BodyText"/>
        <w:rPr>
          <w:b/>
          <w:szCs w:val="24"/>
        </w:rPr>
      </w:pPr>
    </w:p>
    <w:p w14:paraId="36A27274" w14:textId="77777777" w:rsidR="00B53B4B" w:rsidRDefault="00B53B4B" w:rsidP="00B53B4B">
      <w:pPr>
        <w:pStyle w:val="BodyText"/>
        <w:rPr>
          <w:b/>
          <w:szCs w:val="24"/>
        </w:rPr>
      </w:pPr>
      <w:r>
        <w:rPr>
          <w:b/>
          <w:szCs w:val="24"/>
        </w:rPr>
        <w:t>17. If seeking approval to not display the expiration date</w:t>
      </w:r>
      <w:r>
        <w:rPr>
          <w:b/>
          <w:color w:val="0000FF"/>
          <w:szCs w:val="24"/>
        </w:rPr>
        <w:t xml:space="preserve"> </w:t>
      </w:r>
      <w:r>
        <w:rPr>
          <w:b/>
          <w:szCs w:val="24"/>
        </w:rPr>
        <w:t xml:space="preserve">for OMB approval of the information collection, explain the reasons that display would be inappropriate. </w:t>
      </w:r>
    </w:p>
    <w:p w14:paraId="110DA010" w14:textId="77777777" w:rsidR="00B53B4B" w:rsidRDefault="00B53B4B" w:rsidP="00B53B4B">
      <w:pPr>
        <w:pStyle w:val="BodyText"/>
        <w:rPr>
          <w:szCs w:val="24"/>
        </w:rPr>
      </w:pPr>
    </w:p>
    <w:p w14:paraId="52C24A12" w14:textId="77777777" w:rsidR="00B53B4B" w:rsidRDefault="00B53B4B" w:rsidP="00B53B4B">
      <w:pPr>
        <w:pStyle w:val="BodyText"/>
        <w:rPr>
          <w:szCs w:val="24"/>
        </w:rPr>
      </w:pPr>
      <w:r>
        <w:rPr>
          <w:szCs w:val="24"/>
        </w:rPr>
        <w:t>We are not seeking approval to omit the expiration date for OMB approval.</w:t>
      </w:r>
    </w:p>
    <w:p w14:paraId="02A08097" w14:textId="77777777" w:rsidR="00B53B4B" w:rsidRDefault="00B53B4B" w:rsidP="00B53B4B">
      <w:pPr>
        <w:tabs>
          <w:tab w:val="left" w:pos="360"/>
          <w:tab w:val="left" w:pos="792"/>
        </w:tabs>
        <w:rPr>
          <w:rFonts w:ascii="Arial" w:hAnsi="Arial"/>
          <w:sz w:val="24"/>
          <w:szCs w:val="24"/>
        </w:rPr>
      </w:pPr>
    </w:p>
    <w:p w14:paraId="6271D17B" w14:textId="77777777" w:rsidR="00B53B4B" w:rsidRDefault="00B53B4B" w:rsidP="00B53B4B">
      <w:pPr>
        <w:pStyle w:val="BodyText"/>
        <w:rPr>
          <w:b/>
          <w:szCs w:val="24"/>
        </w:rPr>
      </w:pPr>
      <w:r>
        <w:rPr>
          <w:b/>
          <w:szCs w:val="24"/>
        </w:rPr>
        <w:t>18. Explain each exception to the certification statement identified in Item 19, “Certification for Paperwork Reduction Act Submissions,” of OMB 83-I.</w:t>
      </w:r>
    </w:p>
    <w:p w14:paraId="437E5778" w14:textId="77777777" w:rsidR="00B53B4B" w:rsidRDefault="00B53B4B" w:rsidP="00B53B4B">
      <w:pPr>
        <w:tabs>
          <w:tab w:val="left" w:pos="360"/>
          <w:tab w:val="left" w:pos="792"/>
        </w:tabs>
        <w:rPr>
          <w:rFonts w:ascii="Arial" w:hAnsi="Arial"/>
          <w:sz w:val="24"/>
          <w:szCs w:val="24"/>
        </w:rPr>
      </w:pPr>
    </w:p>
    <w:p w14:paraId="60EE63C5" w14:textId="77777777" w:rsidR="00B53B4B" w:rsidRDefault="00B53B4B" w:rsidP="00B53B4B">
      <w:pPr>
        <w:tabs>
          <w:tab w:val="left" w:pos="360"/>
          <w:tab w:val="left" w:pos="792"/>
        </w:tabs>
        <w:rPr>
          <w:rFonts w:ascii="Arial" w:hAnsi="Arial"/>
          <w:sz w:val="24"/>
          <w:szCs w:val="24"/>
        </w:rPr>
      </w:pPr>
      <w:r>
        <w:rPr>
          <w:rFonts w:ascii="Arial" w:hAnsi="Arial"/>
          <w:sz w:val="24"/>
          <w:szCs w:val="24"/>
        </w:rPr>
        <w:t>This information collection fully complies with all the requirements of 5 CFR 1320.8(b)(3).</w:t>
      </w:r>
    </w:p>
    <w:p w14:paraId="347659DA" w14:textId="77777777" w:rsidR="00B53B4B" w:rsidRDefault="00B53B4B" w:rsidP="00B53B4B">
      <w:pPr>
        <w:tabs>
          <w:tab w:val="left" w:pos="360"/>
          <w:tab w:val="left" w:pos="792"/>
        </w:tabs>
        <w:rPr>
          <w:rFonts w:ascii="Arial" w:hAnsi="Arial"/>
          <w:sz w:val="24"/>
          <w:szCs w:val="24"/>
        </w:rPr>
      </w:pPr>
    </w:p>
    <w:p w14:paraId="3B61DF81" w14:textId="77777777" w:rsidR="00B53B4B" w:rsidRDefault="00B53B4B" w:rsidP="00B53B4B">
      <w:pPr>
        <w:rPr>
          <w:rFonts w:ascii="Arial" w:hAnsi="Arial"/>
          <w:b/>
          <w:sz w:val="24"/>
          <w:szCs w:val="24"/>
          <w:u w:val="single"/>
        </w:rPr>
      </w:pPr>
      <w:r>
        <w:rPr>
          <w:rFonts w:ascii="Arial" w:hAnsi="Arial"/>
          <w:b/>
          <w:sz w:val="24"/>
          <w:szCs w:val="24"/>
          <w:u w:val="single"/>
        </w:rPr>
        <w:t>B.  Collection of Information Employing Statistical Methods.</w:t>
      </w:r>
    </w:p>
    <w:p w14:paraId="34C83380" w14:textId="77777777" w:rsidR="00B53B4B" w:rsidRDefault="00B53B4B" w:rsidP="00B53B4B">
      <w:pPr>
        <w:rPr>
          <w:rFonts w:ascii="Arial" w:hAnsi="Arial"/>
          <w:sz w:val="24"/>
          <w:szCs w:val="24"/>
        </w:rPr>
      </w:pPr>
    </w:p>
    <w:p w14:paraId="7F6C94F5" w14:textId="77777777" w:rsidR="00B53B4B" w:rsidRDefault="00B53B4B" w:rsidP="00B53B4B">
      <w:pPr>
        <w:rPr>
          <w:rFonts w:ascii="Arial" w:hAnsi="Arial"/>
          <w:sz w:val="24"/>
          <w:szCs w:val="24"/>
        </w:rPr>
      </w:pPr>
      <w:r>
        <w:rPr>
          <w:rFonts w:ascii="Arial" w:hAnsi="Arial"/>
          <w:sz w:val="24"/>
          <w:szCs w:val="24"/>
        </w:rPr>
        <w:t>This collection of information by the Veterans Benefits Administration does not employ statistical methods.</w:t>
      </w:r>
    </w:p>
    <w:p w14:paraId="039B6495" w14:textId="77777777" w:rsidR="000F7B91" w:rsidRDefault="00A81230"/>
    <w:sectPr w:rsidR="000F7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E3146"/>
    <w:multiLevelType w:val="hybridMultilevel"/>
    <w:tmpl w:val="AE4C37C2"/>
    <w:lvl w:ilvl="0" w:tplc="6DEEDC30">
      <w:start w:val="1"/>
      <w:numFmt w:val="lowerLetter"/>
      <w:lvlText w:val="%1."/>
      <w:lvlJc w:val="left"/>
      <w:pPr>
        <w:ind w:left="1216" w:hanging="360"/>
      </w:pPr>
    </w:lvl>
    <w:lvl w:ilvl="1" w:tplc="04090019">
      <w:start w:val="1"/>
      <w:numFmt w:val="lowerLetter"/>
      <w:lvlText w:val="%2."/>
      <w:lvlJc w:val="left"/>
      <w:pPr>
        <w:ind w:left="1936" w:hanging="360"/>
      </w:pPr>
    </w:lvl>
    <w:lvl w:ilvl="2" w:tplc="0409001B">
      <w:start w:val="1"/>
      <w:numFmt w:val="lowerRoman"/>
      <w:lvlText w:val="%3."/>
      <w:lvlJc w:val="right"/>
      <w:pPr>
        <w:ind w:left="2656" w:hanging="180"/>
      </w:pPr>
    </w:lvl>
    <w:lvl w:ilvl="3" w:tplc="0409000F">
      <w:start w:val="1"/>
      <w:numFmt w:val="decimal"/>
      <w:lvlText w:val="%4."/>
      <w:lvlJc w:val="left"/>
      <w:pPr>
        <w:ind w:left="3376" w:hanging="360"/>
      </w:pPr>
    </w:lvl>
    <w:lvl w:ilvl="4" w:tplc="04090019">
      <w:start w:val="1"/>
      <w:numFmt w:val="lowerLetter"/>
      <w:lvlText w:val="%5."/>
      <w:lvlJc w:val="left"/>
      <w:pPr>
        <w:ind w:left="4096" w:hanging="360"/>
      </w:pPr>
    </w:lvl>
    <w:lvl w:ilvl="5" w:tplc="0409001B">
      <w:start w:val="1"/>
      <w:numFmt w:val="lowerRoman"/>
      <w:lvlText w:val="%6."/>
      <w:lvlJc w:val="right"/>
      <w:pPr>
        <w:ind w:left="4816" w:hanging="180"/>
      </w:pPr>
    </w:lvl>
    <w:lvl w:ilvl="6" w:tplc="0409000F">
      <w:start w:val="1"/>
      <w:numFmt w:val="decimal"/>
      <w:lvlText w:val="%7."/>
      <w:lvlJc w:val="left"/>
      <w:pPr>
        <w:ind w:left="5536" w:hanging="360"/>
      </w:pPr>
    </w:lvl>
    <w:lvl w:ilvl="7" w:tplc="04090019">
      <w:start w:val="1"/>
      <w:numFmt w:val="lowerLetter"/>
      <w:lvlText w:val="%8."/>
      <w:lvlJc w:val="left"/>
      <w:pPr>
        <w:ind w:left="6256" w:hanging="360"/>
      </w:pPr>
    </w:lvl>
    <w:lvl w:ilvl="8" w:tplc="0409001B">
      <w:start w:val="1"/>
      <w:numFmt w:val="lowerRoman"/>
      <w:lvlText w:val="%9."/>
      <w:lvlJc w:val="right"/>
      <w:pPr>
        <w:ind w:left="697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4B"/>
    <w:rsid w:val="00001200"/>
    <w:rsid w:val="000F1C3D"/>
    <w:rsid w:val="0013185C"/>
    <w:rsid w:val="002C4F45"/>
    <w:rsid w:val="00372CDB"/>
    <w:rsid w:val="00444779"/>
    <w:rsid w:val="004C2042"/>
    <w:rsid w:val="00515779"/>
    <w:rsid w:val="007977A3"/>
    <w:rsid w:val="007F0162"/>
    <w:rsid w:val="0089418C"/>
    <w:rsid w:val="008B002E"/>
    <w:rsid w:val="00A44F4B"/>
    <w:rsid w:val="00A81230"/>
    <w:rsid w:val="00AA212B"/>
    <w:rsid w:val="00B327E8"/>
    <w:rsid w:val="00B53B4B"/>
    <w:rsid w:val="00E4544C"/>
    <w:rsid w:val="00F1030C"/>
    <w:rsid w:val="00F2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B4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B4B"/>
    <w:rPr>
      <w:color w:val="0000FF" w:themeColor="hyperlink"/>
      <w:u w:val="single"/>
    </w:rPr>
  </w:style>
  <w:style w:type="paragraph" w:styleId="BodyText">
    <w:name w:val="Body Text"/>
    <w:basedOn w:val="Normal"/>
    <w:link w:val="BodyTextChar"/>
    <w:semiHidden/>
    <w:unhideWhenUsed/>
    <w:rsid w:val="00B53B4B"/>
    <w:pPr>
      <w:tabs>
        <w:tab w:val="left" w:pos="480"/>
        <w:tab w:val="left" w:pos="1080"/>
        <w:tab w:val="left" w:pos="1680"/>
        <w:tab w:val="left" w:pos="2280"/>
        <w:tab w:val="left" w:pos="2880"/>
      </w:tabs>
      <w:spacing w:line="240" w:lineRule="exact"/>
      <w:ind w:right="36"/>
    </w:pPr>
    <w:rPr>
      <w:rFonts w:ascii="Arial" w:hAnsi="Arial"/>
      <w:sz w:val="24"/>
    </w:rPr>
  </w:style>
  <w:style w:type="character" w:customStyle="1" w:styleId="BodyTextChar">
    <w:name w:val="Body Text Char"/>
    <w:basedOn w:val="DefaultParagraphFont"/>
    <w:link w:val="BodyText"/>
    <w:semiHidden/>
    <w:rsid w:val="00B53B4B"/>
    <w:rPr>
      <w:rFonts w:ascii="Arial" w:eastAsia="Times New Roman" w:hAnsi="Arial" w:cs="Times New Roman"/>
      <w:sz w:val="24"/>
      <w:szCs w:val="20"/>
    </w:rPr>
  </w:style>
  <w:style w:type="paragraph" w:styleId="ListParagraph">
    <w:name w:val="List Paragraph"/>
    <w:basedOn w:val="Normal"/>
    <w:uiPriority w:val="34"/>
    <w:qFormat/>
    <w:rsid w:val="00B53B4B"/>
    <w:pPr>
      <w:ind w:left="720"/>
      <w:contextualSpacing/>
    </w:pPr>
  </w:style>
  <w:style w:type="table" w:styleId="TableGrid">
    <w:name w:val="Table Grid"/>
    <w:basedOn w:val="TableNormal"/>
    <w:uiPriority w:val="59"/>
    <w:rsid w:val="00B53B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B4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B4B"/>
    <w:rPr>
      <w:color w:val="0000FF" w:themeColor="hyperlink"/>
      <w:u w:val="single"/>
    </w:rPr>
  </w:style>
  <w:style w:type="paragraph" w:styleId="BodyText">
    <w:name w:val="Body Text"/>
    <w:basedOn w:val="Normal"/>
    <w:link w:val="BodyTextChar"/>
    <w:semiHidden/>
    <w:unhideWhenUsed/>
    <w:rsid w:val="00B53B4B"/>
    <w:pPr>
      <w:tabs>
        <w:tab w:val="left" w:pos="480"/>
        <w:tab w:val="left" w:pos="1080"/>
        <w:tab w:val="left" w:pos="1680"/>
        <w:tab w:val="left" w:pos="2280"/>
        <w:tab w:val="left" w:pos="2880"/>
      </w:tabs>
      <w:spacing w:line="240" w:lineRule="exact"/>
      <w:ind w:right="36"/>
    </w:pPr>
    <w:rPr>
      <w:rFonts w:ascii="Arial" w:hAnsi="Arial"/>
      <w:sz w:val="24"/>
    </w:rPr>
  </w:style>
  <w:style w:type="character" w:customStyle="1" w:styleId="BodyTextChar">
    <w:name w:val="Body Text Char"/>
    <w:basedOn w:val="DefaultParagraphFont"/>
    <w:link w:val="BodyText"/>
    <w:semiHidden/>
    <w:rsid w:val="00B53B4B"/>
    <w:rPr>
      <w:rFonts w:ascii="Arial" w:eastAsia="Times New Roman" w:hAnsi="Arial" w:cs="Times New Roman"/>
      <w:sz w:val="24"/>
      <w:szCs w:val="20"/>
    </w:rPr>
  </w:style>
  <w:style w:type="paragraph" w:styleId="ListParagraph">
    <w:name w:val="List Paragraph"/>
    <w:basedOn w:val="Normal"/>
    <w:uiPriority w:val="34"/>
    <w:qFormat/>
    <w:rsid w:val="00B53B4B"/>
    <w:pPr>
      <w:ind w:left="720"/>
      <w:contextualSpacing/>
    </w:pPr>
  </w:style>
  <w:style w:type="table" w:styleId="TableGrid">
    <w:name w:val="Table Grid"/>
    <w:basedOn w:val="TableNormal"/>
    <w:uiPriority w:val="59"/>
    <w:rsid w:val="00B53B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8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2018/general-schedu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EDUSHARE-207-1174</_dlc_DocId>
    <_dlc_DocIdUrl xmlns="ced1f988-d16c-4eb7-9443-312b8723c36c">
      <Url>https://vaww.infoshare.va.gov/sites/educationservice/225/225C/_layouts/15/DocIdRedir.aspx?ID=EDUSHARE-207-1174</Url>
      <Description>EDUSHARE-207-1174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20D0F-A045-4003-AD0E-0439DDFC1E48}">
  <ds:schemaRefs>
    <ds:schemaRef ds:uri="http://schemas.microsoft.com/sharepoint/v3/contenttype/forms"/>
  </ds:schemaRefs>
</ds:datastoreItem>
</file>

<file path=customXml/itemProps2.xml><?xml version="1.0" encoding="utf-8"?>
<ds:datastoreItem xmlns:ds="http://schemas.openxmlformats.org/officeDocument/2006/customXml" ds:itemID="{560AD40D-CD08-4B23-BF35-E8E9AA91E4E0}">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056AB284-78C7-4358-9867-824E97EFD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EF76D-03E2-4335-890B-D8AA2ADA71BA}">
  <ds:schemaRefs>
    <ds:schemaRef ds:uri="http://schemas.microsoft.com/sharepoint/events"/>
  </ds:schemaRefs>
</ds:datastoreItem>
</file>

<file path=customXml/itemProps5.xml><?xml version="1.0" encoding="utf-8"?>
<ds:datastoreItem xmlns:ds="http://schemas.openxmlformats.org/officeDocument/2006/customXml" ds:itemID="{FE8722C5-5D38-4DE9-A633-B45C1CAF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2019</vt:lpstr>
    </vt:vector>
  </TitlesOfParts>
  <Company/>
  <LinksUpToDate>false</LinksUpToDate>
  <CharactersWithSpaces>12304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2019</dc:title>
  <dc:subject/>
  <dc:creator>Hopkins, Rodney, VBAVACO</dc:creator>
  <cp:keywords/>
  <dc:description/>
  <cp:lastModifiedBy>SYSTEM</cp:lastModifiedBy>
  <cp:revision>2</cp:revision>
  <dcterms:created xsi:type="dcterms:W3CDTF">2019-10-23T20:20:00Z</dcterms:created>
  <dcterms:modified xsi:type="dcterms:W3CDTF">2019-10-23T20:20:00Z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abb1a31e-0e4e-45ae-afc4-524b41267d13</vt:lpwstr>
  </property>
</Properties>
</file>