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F3525" w14:textId="77777777" w:rsidR="00EE4CEC" w:rsidRPr="00680F45" w:rsidRDefault="00EE4CEC" w:rsidP="00F35909">
      <w:pPr>
        <w:ind w:left="720"/>
        <w:rPr>
          <w:rFonts w:ascii="Arial" w:hAnsi="Arial" w:cs="Arial"/>
          <w:sz w:val="24"/>
          <w:szCs w:val="24"/>
        </w:rPr>
      </w:pPr>
      <w:bookmarkStart w:id="0" w:name="_GoBack"/>
      <w:bookmarkEnd w:id="0"/>
    </w:p>
    <w:p w14:paraId="3A16BF9B" w14:textId="77777777" w:rsidR="00EE4CEC" w:rsidRPr="00680F45" w:rsidRDefault="00EE4CEC" w:rsidP="00EC185D">
      <w:pPr>
        <w:rPr>
          <w:rFonts w:ascii="Arial" w:hAnsi="Arial" w:cs="Arial"/>
          <w:b/>
          <w:sz w:val="24"/>
          <w:szCs w:val="24"/>
        </w:rPr>
      </w:pPr>
    </w:p>
    <w:p w14:paraId="15C17E32" w14:textId="77777777" w:rsidR="00680F45" w:rsidRDefault="00EC185D" w:rsidP="00EC185D">
      <w:pPr>
        <w:pStyle w:val="BodyText"/>
        <w:jc w:val="center"/>
        <w:rPr>
          <w:rFonts w:cs="Arial"/>
          <w:b/>
          <w:szCs w:val="24"/>
        </w:rPr>
      </w:pPr>
      <w:r w:rsidRPr="00680F45">
        <w:rPr>
          <w:rFonts w:cs="Arial"/>
          <w:b/>
          <w:szCs w:val="24"/>
        </w:rPr>
        <w:t xml:space="preserve">SUPPORTING STATEMENT </w:t>
      </w:r>
    </w:p>
    <w:p w14:paraId="3B12F252" w14:textId="77777777" w:rsidR="00680F45" w:rsidRPr="00680F45" w:rsidRDefault="00680F45" w:rsidP="00EC185D">
      <w:pPr>
        <w:pStyle w:val="BodyText"/>
        <w:jc w:val="center"/>
        <w:rPr>
          <w:rFonts w:cs="Arial"/>
          <w:b/>
          <w:szCs w:val="24"/>
        </w:rPr>
      </w:pPr>
    </w:p>
    <w:p w14:paraId="60E7096E" w14:textId="77777777" w:rsidR="00680F45" w:rsidRDefault="00EC185D" w:rsidP="00EC185D">
      <w:pPr>
        <w:pStyle w:val="BodyText"/>
        <w:jc w:val="center"/>
        <w:rPr>
          <w:rFonts w:cs="Arial"/>
          <w:b/>
          <w:szCs w:val="24"/>
        </w:rPr>
      </w:pPr>
      <w:r w:rsidRPr="00680F45">
        <w:rPr>
          <w:rFonts w:cs="Arial"/>
          <w:b/>
          <w:szCs w:val="24"/>
        </w:rPr>
        <w:t>FOR</w:t>
      </w:r>
      <w:r w:rsidR="00680F45" w:rsidRPr="00680F45">
        <w:rPr>
          <w:rFonts w:cs="Arial"/>
          <w:b/>
          <w:szCs w:val="24"/>
        </w:rPr>
        <w:t>:</w:t>
      </w:r>
      <w:r w:rsidRPr="00680F45">
        <w:rPr>
          <w:rFonts w:cs="Arial"/>
          <w:b/>
          <w:szCs w:val="24"/>
        </w:rPr>
        <w:t xml:space="preserve"> </w:t>
      </w:r>
    </w:p>
    <w:p w14:paraId="1A61B268" w14:textId="77777777" w:rsidR="00680F45" w:rsidRPr="00680F45" w:rsidRDefault="00680F45" w:rsidP="00EC185D">
      <w:pPr>
        <w:pStyle w:val="BodyText"/>
        <w:jc w:val="center"/>
        <w:rPr>
          <w:rFonts w:cs="Arial"/>
          <w:b/>
          <w:szCs w:val="24"/>
        </w:rPr>
      </w:pPr>
    </w:p>
    <w:p w14:paraId="4C57BC64" w14:textId="58FB2817" w:rsidR="00EC185D" w:rsidRPr="00B46AF7" w:rsidRDefault="00680F45" w:rsidP="00FB6300">
      <w:pPr>
        <w:spacing w:line="480" w:lineRule="auto"/>
        <w:ind w:right="-187"/>
        <w:rPr>
          <w:rFonts w:cs="Arial"/>
          <w:b/>
          <w:szCs w:val="24"/>
        </w:rPr>
      </w:pPr>
      <w:r w:rsidRPr="00B46AF7">
        <w:rPr>
          <w:rFonts w:ascii="Arial" w:hAnsi="Arial" w:cs="Arial"/>
          <w:b/>
          <w:color w:val="000000" w:themeColor="text1"/>
          <w:sz w:val="24"/>
          <w:szCs w:val="24"/>
        </w:rPr>
        <w:t>Application For VA Education Benefits</w:t>
      </w:r>
      <w:r w:rsidR="00EC185D" w:rsidRPr="00B46AF7">
        <w:rPr>
          <w:rFonts w:ascii="Arial" w:hAnsi="Arial" w:cs="Arial"/>
          <w:b/>
          <w:sz w:val="24"/>
          <w:szCs w:val="24"/>
        </w:rPr>
        <w:t xml:space="preserve"> </w:t>
      </w:r>
      <w:r w:rsidRPr="00B46AF7">
        <w:rPr>
          <w:rFonts w:ascii="Arial" w:hAnsi="Arial" w:cs="Arial"/>
          <w:b/>
          <w:sz w:val="24"/>
          <w:szCs w:val="24"/>
        </w:rPr>
        <w:t xml:space="preserve">(VA Form </w:t>
      </w:r>
      <w:r w:rsidR="00EC185D" w:rsidRPr="00B46AF7">
        <w:rPr>
          <w:rFonts w:ascii="Arial" w:hAnsi="Arial" w:cs="Arial"/>
          <w:b/>
          <w:sz w:val="24"/>
          <w:szCs w:val="24"/>
        </w:rPr>
        <w:t>22-1990</w:t>
      </w:r>
      <w:r w:rsidRPr="00B46AF7">
        <w:rPr>
          <w:rFonts w:ascii="Arial" w:hAnsi="Arial" w:cs="Arial"/>
          <w:b/>
          <w:sz w:val="24"/>
          <w:szCs w:val="24"/>
        </w:rPr>
        <w:t xml:space="preserve">);  </w:t>
      </w:r>
      <w:r w:rsidRPr="00B46AF7">
        <w:rPr>
          <w:rFonts w:ascii="Arial" w:hAnsi="Arial" w:cs="Arial"/>
          <w:b/>
          <w:color w:val="000000" w:themeColor="text1"/>
          <w:sz w:val="24"/>
          <w:szCs w:val="24"/>
        </w:rPr>
        <w:t xml:space="preserve">Application For Family Member To Use Transferred Benefits (VA Form </w:t>
      </w:r>
      <w:r w:rsidR="00EC185D" w:rsidRPr="00B46AF7">
        <w:rPr>
          <w:rFonts w:ascii="Arial" w:hAnsi="Arial" w:cs="Arial"/>
          <w:b/>
          <w:sz w:val="24"/>
          <w:szCs w:val="24"/>
        </w:rPr>
        <w:t>22-1990E</w:t>
      </w:r>
      <w:r w:rsidRPr="00B46AF7">
        <w:rPr>
          <w:rFonts w:ascii="Arial" w:hAnsi="Arial" w:cs="Arial"/>
          <w:b/>
          <w:sz w:val="24"/>
          <w:szCs w:val="24"/>
        </w:rPr>
        <w:t xml:space="preserve">);  </w:t>
      </w:r>
      <w:r w:rsidRPr="00B46AF7">
        <w:rPr>
          <w:rFonts w:ascii="Arial" w:hAnsi="Arial" w:cs="Arial"/>
          <w:b/>
          <w:color w:val="000000" w:themeColor="text1"/>
          <w:sz w:val="24"/>
          <w:szCs w:val="24"/>
        </w:rPr>
        <w:t xml:space="preserve">Application For VA Benefits Under </w:t>
      </w:r>
      <w:r w:rsidR="004B203E" w:rsidRPr="00B46AF7">
        <w:rPr>
          <w:rFonts w:ascii="Arial" w:hAnsi="Arial" w:cs="Arial"/>
          <w:b/>
          <w:color w:val="000000" w:themeColor="text1"/>
          <w:sz w:val="24"/>
          <w:szCs w:val="24"/>
        </w:rPr>
        <w:t>The</w:t>
      </w:r>
      <w:r w:rsidRPr="00B46AF7">
        <w:rPr>
          <w:rFonts w:ascii="Arial" w:hAnsi="Arial" w:cs="Arial"/>
          <w:b/>
          <w:color w:val="000000" w:themeColor="text1"/>
          <w:sz w:val="24"/>
          <w:szCs w:val="24"/>
        </w:rPr>
        <w:t xml:space="preserve"> National Call To Service Program (VA Form 22-1990N)</w:t>
      </w:r>
      <w:r w:rsidR="00B46AF7" w:rsidRPr="00B46AF7">
        <w:rPr>
          <w:rFonts w:ascii="Arial" w:hAnsi="Arial" w:cs="Arial"/>
          <w:b/>
          <w:sz w:val="24"/>
          <w:szCs w:val="24"/>
        </w:rPr>
        <w:t xml:space="preserve">  </w:t>
      </w:r>
      <w:r w:rsidR="00EC185D" w:rsidRPr="00B46AF7">
        <w:rPr>
          <w:rFonts w:ascii="Arial" w:hAnsi="Arial" w:cs="Arial"/>
          <w:b/>
          <w:sz w:val="24"/>
          <w:szCs w:val="24"/>
        </w:rPr>
        <w:t>OMB CONTROL NUMBER 2900-0154</w:t>
      </w:r>
    </w:p>
    <w:p w14:paraId="5CE31979" w14:textId="77777777" w:rsidR="002C1D10" w:rsidRPr="00680F45" w:rsidRDefault="002C1D10" w:rsidP="002C1D10">
      <w:pPr>
        <w:pStyle w:val="BodyText"/>
        <w:rPr>
          <w:rFonts w:cs="Arial"/>
          <w:szCs w:val="24"/>
        </w:rPr>
      </w:pPr>
    </w:p>
    <w:p w14:paraId="0F552C4C" w14:textId="77777777" w:rsidR="00795D22" w:rsidRPr="001E5428" w:rsidRDefault="00795D22" w:rsidP="00795D22">
      <w:pPr>
        <w:jc w:val="both"/>
        <w:rPr>
          <w:sz w:val="24"/>
          <w:szCs w:val="24"/>
        </w:rPr>
      </w:pPr>
    </w:p>
    <w:p w14:paraId="51912451" w14:textId="77777777" w:rsidR="0004534F" w:rsidRPr="009A099C" w:rsidRDefault="00795D22" w:rsidP="0004534F">
      <w:pPr>
        <w:jc w:val="both"/>
        <w:rPr>
          <w:rFonts w:ascii="Arial" w:hAnsi="Arial"/>
          <w:b/>
          <w:sz w:val="28"/>
          <w:szCs w:val="28"/>
        </w:rPr>
      </w:pPr>
      <w:r w:rsidRPr="009A099C">
        <w:rPr>
          <w:rFonts w:ascii="Arial" w:hAnsi="Arial"/>
          <w:b/>
          <w:sz w:val="28"/>
          <w:szCs w:val="28"/>
        </w:rPr>
        <w:t>Justification.</w:t>
      </w:r>
    </w:p>
    <w:p w14:paraId="482B26EB" w14:textId="77777777" w:rsidR="0004534F" w:rsidRDefault="0004534F" w:rsidP="0004534F">
      <w:pPr>
        <w:jc w:val="both"/>
        <w:rPr>
          <w:rFonts w:ascii="Arial" w:hAnsi="Arial"/>
          <w:b/>
          <w:sz w:val="24"/>
          <w:szCs w:val="24"/>
          <w:u w:val="single"/>
        </w:rPr>
      </w:pPr>
    </w:p>
    <w:p w14:paraId="3A80EA00" w14:textId="77777777" w:rsidR="0004534F" w:rsidRPr="00543C1B" w:rsidRDefault="0004534F" w:rsidP="0004534F">
      <w:pPr>
        <w:pStyle w:val="BodyText"/>
        <w:rPr>
          <w:b/>
          <w:szCs w:val="24"/>
        </w:rPr>
      </w:pPr>
      <w:r w:rsidRPr="00543C1B">
        <w:rPr>
          <w:b/>
          <w:szCs w:val="24"/>
        </w:rPr>
        <w:t>1.  Explain the circumstances that make the collection of information necessary.  Identify legal or administrative requirements that necessitate the collection of information.</w:t>
      </w:r>
    </w:p>
    <w:p w14:paraId="7E9DD9AA" w14:textId="77777777" w:rsidR="0004534F" w:rsidRDefault="0004534F" w:rsidP="0004534F">
      <w:pPr>
        <w:jc w:val="both"/>
        <w:rPr>
          <w:rFonts w:ascii="Arial" w:hAnsi="Arial"/>
          <w:b/>
          <w:sz w:val="24"/>
          <w:szCs w:val="24"/>
          <w:u w:val="single"/>
        </w:rPr>
      </w:pPr>
    </w:p>
    <w:p w14:paraId="08B43C88" w14:textId="2AAAC7C6" w:rsidR="00795D22" w:rsidRPr="001E5428" w:rsidRDefault="009A099C" w:rsidP="00017465">
      <w:pPr>
        <w:tabs>
          <w:tab w:val="left" w:pos="360"/>
          <w:tab w:val="left" w:pos="792"/>
        </w:tabs>
        <w:rPr>
          <w:rFonts w:ascii="Arial" w:hAnsi="Arial"/>
          <w:sz w:val="24"/>
          <w:szCs w:val="24"/>
        </w:rPr>
      </w:pPr>
      <w:r w:rsidRPr="001E5428">
        <w:rPr>
          <w:rFonts w:ascii="Arial" w:hAnsi="Arial"/>
          <w:sz w:val="24"/>
          <w:szCs w:val="24"/>
        </w:rPr>
        <w:t>To</w:t>
      </w:r>
      <w:r w:rsidR="00795D22" w:rsidRPr="001E5428">
        <w:rPr>
          <w:rFonts w:ascii="Arial" w:hAnsi="Arial"/>
          <w:sz w:val="24"/>
          <w:szCs w:val="24"/>
        </w:rPr>
        <w:t xml:space="preserve"> receive VA Educational Assistance Allowance under chapters 33 and 30 of title 38, U.S.C., chapter 1606  of title 10, U.S.C., and sections 901 and 903 of Pub. Law 96-342, veterans, servicepersons, and reservists must complete </w:t>
      </w:r>
      <w:r w:rsidR="0079391F">
        <w:rPr>
          <w:rFonts w:ascii="Arial" w:hAnsi="Arial"/>
          <w:sz w:val="24"/>
          <w:szCs w:val="24"/>
        </w:rPr>
        <w:t xml:space="preserve">the </w:t>
      </w:r>
      <w:r w:rsidR="00795D22" w:rsidRPr="001E5428">
        <w:rPr>
          <w:rFonts w:ascii="Arial" w:hAnsi="Arial"/>
          <w:sz w:val="24"/>
          <w:szCs w:val="24"/>
        </w:rPr>
        <w:t>VA Form 22</w:t>
      </w:r>
      <w:r w:rsidR="00795D22" w:rsidRPr="001E5428">
        <w:rPr>
          <w:rFonts w:ascii="Arial" w:hAnsi="Arial"/>
          <w:sz w:val="24"/>
          <w:szCs w:val="24"/>
        </w:rPr>
        <w:noBreakHyphen/>
        <w:t xml:space="preserve">1990, Application for Education Benefits.  </w:t>
      </w:r>
      <w:r w:rsidRPr="001E5428">
        <w:rPr>
          <w:rFonts w:ascii="Arial" w:hAnsi="Arial"/>
          <w:sz w:val="24"/>
          <w:szCs w:val="24"/>
        </w:rPr>
        <w:t>Everyone</w:t>
      </w:r>
      <w:r w:rsidR="00795D22" w:rsidRPr="001E5428">
        <w:rPr>
          <w:rFonts w:ascii="Arial" w:hAnsi="Arial"/>
          <w:sz w:val="24"/>
          <w:szCs w:val="24"/>
        </w:rPr>
        <w:t xml:space="preserve"> completes the form only once.</w:t>
      </w:r>
    </w:p>
    <w:p w14:paraId="0582E4EF" w14:textId="77777777" w:rsidR="00795D22" w:rsidRPr="001E5428" w:rsidRDefault="00795D22" w:rsidP="00795D22">
      <w:pPr>
        <w:tabs>
          <w:tab w:val="left" w:pos="360"/>
          <w:tab w:val="left" w:pos="792"/>
        </w:tabs>
        <w:rPr>
          <w:rFonts w:ascii="Arial" w:hAnsi="Arial"/>
          <w:sz w:val="24"/>
          <w:szCs w:val="24"/>
        </w:rPr>
      </w:pPr>
    </w:p>
    <w:p w14:paraId="099548CB" w14:textId="77777777" w:rsidR="00795D22" w:rsidRPr="001E5428" w:rsidRDefault="0004534F" w:rsidP="00795D22">
      <w:pPr>
        <w:tabs>
          <w:tab w:val="left" w:pos="360"/>
          <w:tab w:val="left" w:pos="792"/>
        </w:tabs>
        <w:rPr>
          <w:rFonts w:ascii="Arial" w:hAnsi="Arial"/>
          <w:sz w:val="24"/>
          <w:szCs w:val="24"/>
        </w:rPr>
      </w:pPr>
      <w:r>
        <w:rPr>
          <w:rFonts w:ascii="Arial" w:hAnsi="Arial"/>
          <w:sz w:val="24"/>
          <w:szCs w:val="24"/>
        </w:rPr>
        <w:t>T</w:t>
      </w:r>
      <w:r w:rsidR="00795D22" w:rsidRPr="001E5428">
        <w:rPr>
          <w:rFonts w:ascii="Arial" w:hAnsi="Arial"/>
          <w:sz w:val="24"/>
          <w:szCs w:val="24"/>
        </w:rPr>
        <w:t>he following administrative and legal requirements necessitate the collection:</w:t>
      </w:r>
    </w:p>
    <w:p w14:paraId="3F164E6A" w14:textId="3F604743" w:rsidR="00795D22" w:rsidRDefault="00795D22" w:rsidP="00477D7A">
      <w:pPr>
        <w:tabs>
          <w:tab w:val="left" w:pos="360"/>
          <w:tab w:val="left" w:pos="792"/>
        </w:tabs>
        <w:rPr>
          <w:rFonts w:ascii="Arial" w:hAnsi="Arial"/>
          <w:sz w:val="24"/>
          <w:szCs w:val="24"/>
        </w:rPr>
      </w:pPr>
      <w:r w:rsidRPr="001E5428">
        <w:rPr>
          <w:rFonts w:ascii="Arial" w:hAnsi="Arial"/>
          <w:sz w:val="24"/>
          <w:szCs w:val="24"/>
        </w:rPr>
        <w:t xml:space="preserve">38 U.S.C. 3034; 3241, 3323(a), 3471, 5101(a); Pub. Law 96-342, sections 901 and 903; 10 U.S.C. 16136(b),. </w:t>
      </w:r>
    </w:p>
    <w:p w14:paraId="55CB1AF6" w14:textId="77777777" w:rsidR="0004534F" w:rsidRDefault="0004534F" w:rsidP="00477D7A">
      <w:pPr>
        <w:tabs>
          <w:tab w:val="left" w:pos="360"/>
          <w:tab w:val="left" w:pos="792"/>
        </w:tabs>
        <w:rPr>
          <w:rFonts w:ascii="Arial" w:hAnsi="Arial"/>
          <w:sz w:val="24"/>
          <w:szCs w:val="24"/>
        </w:rPr>
      </w:pPr>
    </w:p>
    <w:p w14:paraId="6BD64321" w14:textId="77777777" w:rsidR="0004534F" w:rsidRPr="00543C1B" w:rsidRDefault="0004534F" w:rsidP="0004534F">
      <w:pPr>
        <w:pStyle w:val="BodyText"/>
        <w:rPr>
          <w:b/>
          <w:szCs w:val="24"/>
        </w:rPr>
      </w:pPr>
      <w:r w:rsidRPr="00543C1B">
        <w:rPr>
          <w:b/>
          <w:szCs w:val="24"/>
        </w:rPr>
        <w:t>2.  Indicate how, by whom, and for what purposes the information is to be used; indicate actual use the agency has made of the information received from current collection.</w:t>
      </w:r>
    </w:p>
    <w:p w14:paraId="15DA3B2F" w14:textId="77777777" w:rsidR="0004534F" w:rsidRDefault="0004534F" w:rsidP="00795D22">
      <w:pPr>
        <w:tabs>
          <w:tab w:val="left" w:pos="360"/>
          <w:tab w:val="left" w:pos="792"/>
        </w:tabs>
        <w:rPr>
          <w:rFonts w:ascii="Arial" w:hAnsi="Arial"/>
          <w:sz w:val="24"/>
          <w:szCs w:val="24"/>
        </w:rPr>
      </w:pPr>
    </w:p>
    <w:p w14:paraId="701D26A7" w14:textId="7E6C838A" w:rsidR="00F0477B" w:rsidRDefault="00795D22" w:rsidP="00795D22">
      <w:pPr>
        <w:tabs>
          <w:tab w:val="left" w:pos="360"/>
          <w:tab w:val="left" w:pos="792"/>
        </w:tabs>
        <w:rPr>
          <w:rFonts w:ascii="Arial" w:hAnsi="Arial"/>
          <w:sz w:val="24"/>
          <w:szCs w:val="24"/>
        </w:rPr>
      </w:pPr>
      <w:r w:rsidRPr="001E5428">
        <w:rPr>
          <w:rFonts w:ascii="Arial" w:hAnsi="Arial"/>
          <w:sz w:val="24"/>
          <w:szCs w:val="24"/>
        </w:rPr>
        <w:t xml:space="preserve">The claimant uses this form to submit an initial (or “original”) claim for VA education benefits.  The information requested on this form helps VA determine the applicant’s eligibility to education benefits listed in </w:t>
      </w:r>
      <w:r w:rsidR="009277FD">
        <w:rPr>
          <w:rFonts w:ascii="Arial" w:hAnsi="Arial"/>
          <w:sz w:val="24"/>
          <w:szCs w:val="24"/>
        </w:rPr>
        <w:t>paragraph #</w:t>
      </w:r>
      <w:r w:rsidRPr="001E5428">
        <w:rPr>
          <w:rFonts w:ascii="Arial" w:hAnsi="Arial"/>
          <w:sz w:val="24"/>
          <w:szCs w:val="24"/>
        </w:rPr>
        <w:t>1</w:t>
      </w:r>
      <w:r w:rsidR="009277FD">
        <w:rPr>
          <w:rFonts w:ascii="Arial" w:hAnsi="Arial"/>
          <w:sz w:val="24"/>
          <w:szCs w:val="24"/>
        </w:rPr>
        <w:t xml:space="preserve"> above</w:t>
      </w:r>
      <w:r w:rsidRPr="001E5428">
        <w:rPr>
          <w:rFonts w:ascii="Arial" w:hAnsi="Arial"/>
          <w:sz w:val="24"/>
          <w:szCs w:val="24"/>
        </w:rPr>
        <w:t xml:space="preserve">.  </w:t>
      </w:r>
      <w:r w:rsidR="009A099C" w:rsidRPr="001E5428">
        <w:rPr>
          <w:rFonts w:ascii="Arial" w:hAnsi="Arial"/>
          <w:sz w:val="24"/>
          <w:szCs w:val="24"/>
        </w:rPr>
        <w:t>To</w:t>
      </w:r>
      <w:r w:rsidRPr="001E5428">
        <w:rPr>
          <w:rFonts w:ascii="Arial" w:hAnsi="Arial"/>
          <w:sz w:val="24"/>
          <w:szCs w:val="24"/>
        </w:rPr>
        <w:t xml:space="preserve"> streamline the application process for the claimant, we have divided one large application into three, removing the two least used programs (National Call to Service (NCS) Transfer of Entitlement (TOE) and develop</w:t>
      </w:r>
      <w:r w:rsidR="00626A7C">
        <w:rPr>
          <w:rFonts w:ascii="Arial" w:hAnsi="Arial"/>
          <w:sz w:val="24"/>
          <w:szCs w:val="24"/>
        </w:rPr>
        <w:t xml:space="preserve">ed </w:t>
      </w:r>
      <w:r w:rsidRPr="001E5428">
        <w:rPr>
          <w:rFonts w:ascii="Arial" w:hAnsi="Arial"/>
          <w:sz w:val="24"/>
          <w:szCs w:val="24"/>
        </w:rPr>
        <w:t>separate applications for those programs, the VA Form 22-1990E and VA Form 22-1990N.</w:t>
      </w:r>
    </w:p>
    <w:p w14:paraId="2960D7CB" w14:textId="77777777"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  </w:t>
      </w:r>
    </w:p>
    <w:p w14:paraId="03435BCB" w14:textId="77777777" w:rsidR="00F0477B" w:rsidRDefault="00F0477B" w:rsidP="00F0477B">
      <w:pPr>
        <w:rPr>
          <w:rFonts w:ascii="Arial" w:hAnsi="Arial" w:cs="Arial"/>
          <w:b/>
          <w:bCs/>
          <w:sz w:val="24"/>
          <w:szCs w:val="24"/>
        </w:rPr>
      </w:pPr>
      <w:r>
        <w:rPr>
          <w:rFonts w:ascii="Arial" w:hAnsi="Arial" w:cs="Arial"/>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Pr>
          <w:rFonts w:ascii="Arial" w:hAnsi="Arial" w:cs="Arial"/>
          <w:b/>
          <w:bCs/>
          <w:sz w:val="24"/>
          <w:szCs w:val="24"/>
        </w:rPr>
        <w:lastRenderedPageBreak/>
        <w:t>of collection.  Also describe any consideration of using information technology to reduce burden.</w:t>
      </w:r>
    </w:p>
    <w:p w14:paraId="4A253471" w14:textId="77777777" w:rsidR="00F0477B" w:rsidRDefault="00F0477B" w:rsidP="00F0477B">
      <w:pPr>
        <w:ind w:left="720"/>
        <w:contextualSpacing/>
        <w:rPr>
          <w:rFonts w:ascii="Arial" w:hAnsi="Arial" w:cs="Arial"/>
          <w:sz w:val="24"/>
          <w:szCs w:val="24"/>
        </w:rPr>
      </w:pPr>
    </w:p>
    <w:p w14:paraId="1059A7A7" w14:textId="6606734F" w:rsidR="00F0477B" w:rsidRDefault="00F0477B" w:rsidP="00F0477B">
      <w:pPr>
        <w:rPr>
          <w:rFonts w:ascii="Arial" w:hAnsi="Arial" w:cs="Arial"/>
          <w:color w:val="000000"/>
          <w:sz w:val="24"/>
          <w:szCs w:val="24"/>
        </w:rPr>
      </w:pPr>
      <w:r>
        <w:rPr>
          <w:rFonts w:ascii="Arial" w:hAnsi="Arial" w:cs="Arial"/>
          <w:sz w:val="24"/>
          <w:szCs w:val="24"/>
        </w:rPr>
        <w:t xml:space="preserve">Information technology is helping to reduce the burden.  The online electronic collection is made via the </w:t>
      </w:r>
      <w:r w:rsidR="000F3A5A">
        <w:rPr>
          <w:rFonts w:ascii="Arial" w:hAnsi="Arial" w:cs="Arial"/>
          <w:sz w:val="24"/>
          <w:szCs w:val="24"/>
        </w:rPr>
        <w:t>va.gov</w:t>
      </w:r>
      <w:r>
        <w:rPr>
          <w:rFonts w:ascii="Arial" w:hAnsi="Arial" w:cs="Arial"/>
          <w:sz w:val="24"/>
          <w:szCs w:val="24"/>
        </w:rPr>
        <w:t xml:space="preserve"> portal</w:t>
      </w:r>
      <w:r w:rsidR="009277FD">
        <w:rPr>
          <w:rFonts w:ascii="Arial" w:hAnsi="Arial" w:cs="Arial"/>
          <w:sz w:val="24"/>
          <w:szCs w:val="24"/>
        </w:rPr>
        <w:t>,</w:t>
      </w:r>
      <w:r>
        <w:rPr>
          <w:rFonts w:ascii="Arial" w:hAnsi="Arial" w:cs="Arial"/>
          <w:sz w:val="24"/>
          <w:szCs w:val="24"/>
        </w:rPr>
        <w:t xml:space="preserve"> which has been implemented using algorithms that now helps guide the applicant more thoroughly toward completing the application based on their responses to the questions being asked.  The implementation and use of </w:t>
      </w:r>
      <w:r w:rsidR="000F3A5A">
        <w:rPr>
          <w:rFonts w:ascii="Arial" w:hAnsi="Arial" w:cs="Arial"/>
          <w:sz w:val="24"/>
          <w:szCs w:val="24"/>
        </w:rPr>
        <w:t>va.gov</w:t>
      </w:r>
      <w:r>
        <w:rPr>
          <w:rFonts w:ascii="Arial" w:hAnsi="Arial" w:cs="Arial"/>
          <w:sz w:val="24"/>
          <w:szCs w:val="24"/>
        </w:rPr>
        <w:t xml:space="preserve"> helps to reduce the burden while continuing to enable the </w:t>
      </w:r>
      <w:r w:rsidR="00BA3864">
        <w:rPr>
          <w:rFonts w:ascii="Arial" w:hAnsi="Arial" w:cs="Arial"/>
          <w:sz w:val="24"/>
          <w:szCs w:val="24"/>
        </w:rPr>
        <w:t xml:space="preserve">claimant </w:t>
      </w:r>
      <w:r>
        <w:rPr>
          <w:rFonts w:ascii="Arial" w:hAnsi="Arial" w:cs="Arial"/>
          <w:sz w:val="24"/>
          <w:szCs w:val="24"/>
        </w:rPr>
        <w:t xml:space="preserve">to submit the application directly to the Regional Processing Office (RPO) with jurisdiction over the claim, thus reducing potential errors and speeding up the application process.   </w:t>
      </w:r>
    </w:p>
    <w:p w14:paraId="5A81588E" w14:textId="77777777"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 </w:t>
      </w:r>
    </w:p>
    <w:p w14:paraId="2F2F23D7" w14:textId="77777777" w:rsidR="0004534F" w:rsidRPr="00543C1B" w:rsidRDefault="0004534F" w:rsidP="0004534F">
      <w:pPr>
        <w:pStyle w:val="BodyText"/>
        <w:rPr>
          <w:b/>
          <w:szCs w:val="24"/>
        </w:rPr>
      </w:pPr>
      <w:r w:rsidRPr="00543C1B">
        <w:rPr>
          <w:b/>
          <w:szCs w:val="24"/>
        </w:rPr>
        <w:t>4.  Describe efforts to identify duplication.  Show specifically why any similar information already available cannot be used or modified for use for the purposes described in Item 2 above.</w:t>
      </w:r>
    </w:p>
    <w:p w14:paraId="3E7ECA4B" w14:textId="77777777" w:rsidR="0004534F" w:rsidRDefault="0004534F" w:rsidP="00017465">
      <w:pPr>
        <w:rPr>
          <w:rFonts w:ascii="Arial" w:hAnsi="Arial" w:cs="Arial"/>
          <w:sz w:val="24"/>
          <w:szCs w:val="24"/>
        </w:rPr>
      </w:pPr>
    </w:p>
    <w:p w14:paraId="21237B43" w14:textId="23FF305B" w:rsidR="00017465" w:rsidRPr="001E5428" w:rsidRDefault="0004534F" w:rsidP="00017465">
      <w:pPr>
        <w:rPr>
          <w:rFonts w:ascii="Arial" w:hAnsi="Arial" w:cs="Arial"/>
          <w:sz w:val="24"/>
          <w:szCs w:val="24"/>
        </w:rPr>
      </w:pPr>
      <w:r>
        <w:rPr>
          <w:rFonts w:ascii="Arial" w:hAnsi="Arial" w:cs="Arial"/>
          <w:sz w:val="24"/>
          <w:szCs w:val="24"/>
        </w:rPr>
        <w:t>P</w:t>
      </w:r>
      <w:r w:rsidR="00017465" w:rsidRPr="001E5428">
        <w:rPr>
          <w:rFonts w:ascii="Arial" w:hAnsi="Arial" w:cs="Arial"/>
          <w:sz w:val="24"/>
          <w:szCs w:val="24"/>
        </w:rPr>
        <w:t xml:space="preserve">rogram reviews were conducted to identify potential areas of duplication; however, none were found to exist.  There is no known Department or </w:t>
      </w:r>
      <w:r w:rsidR="009277FD">
        <w:rPr>
          <w:rFonts w:ascii="Arial" w:hAnsi="Arial" w:cs="Arial"/>
          <w:sz w:val="24"/>
          <w:szCs w:val="24"/>
        </w:rPr>
        <w:t>A</w:t>
      </w:r>
      <w:r w:rsidR="00017465" w:rsidRPr="001E5428">
        <w:rPr>
          <w:rFonts w:ascii="Arial" w:hAnsi="Arial" w:cs="Arial"/>
          <w:sz w:val="24"/>
          <w:szCs w:val="24"/>
        </w:rPr>
        <w:t>gency which maintains the necessary information, nor is it available from other sources within our Department.</w:t>
      </w:r>
    </w:p>
    <w:p w14:paraId="693C6EE9" w14:textId="77777777" w:rsidR="00795D22" w:rsidRPr="001E5428" w:rsidRDefault="00795D22" w:rsidP="00795D22">
      <w:pPr>
        <w:tabs>
          <w:tab w:val="left" w:pos="360"/>
          <w:tab w:val="left" w:pos="792"/>
        </w:tabs>
        <w:rPr>
          <w:rFonts w:ascii="Arial" w:hAnsi="Arial"/>
          <w:sz w:val="24"/>
          <w:szCs w:val="24"/>
        </w:rPr>
      </w:pPr>
    </w:p>
    <w:p w14:paraId="4E77DBFA" w14:textId="77777777" w:rsidR="0004534F" w:rsidRPr="00543C1B" w:rsidRDefault="0004534F" w:rsidP="0004534F">
      <w:pPr>
        <w:pStyle w:val="BodyText"/>
        <w:rPr>
          <w:b/>
          <w:szCs w:val="24"/>
        </w:rPr>
      </w:pPr>
      <w:r w:rsidRPr="00543C1B">
        <w:rPr>
          <w:b/>
          <w:szCs w:val="24"/>
        </w:rPr>
        <w:t>5.  If the collection of information impacts small businesses or other small entities, describe any methods used to minimize burden.</w:t>
      </w:r>
    </w:p>
    <w:p w14:paraId="673EDEE8" w14:textId="77777777" w:rsidR="0004534F" w:rsidRDefault="0004534F" w:rsidP="00795D22">
      <w:pPr>
        <w:tabs>
          <w:tab w:val="left" w:pos="360"/>
          <w:tab w:val="left" w:pos="792"/>
        </w:tabs>
        <w:rPr>
          <w:rFonts w:ascii="Arial" w:hAnsi="Arial"/>
          <w:sz w:val="24"/>
          <w:szCs w:val="24"/>
        </w:rPr>
      </w:pPr>
    </w:p>
    <w:p w14:paraId="71FA695B" w14:textId="0490FA01"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The information collection only involves individuals (veterans, servicepersons and reservists</w:t>
      </w:r>
      <w:r w:rsidR="00BA3864">
        <w:rPr>
          <w:rFonts w:ascii="Arial" w:hAnsi="Arial"/>
          <w:sz w:val="24"/>
          <w:szCs w:val="24"/>
        </w:rPr>
        <w:t>, and some dependents</w:t>
      </w:r>
      <w:r w:rsidRPr="001E5428">
        <w:rPr>
          <w:rFonts w:ascii="Arial" w:hAnsi="Arial"/>
          <w:sz w:val="24"/>
          <w:szCs w:val="24"/>
        </w:rPr>
        <w:t>).  There is no impact on small businesses</w:t>
      </w:r>
      <w:r w:rsidR="00BA3864">
        <w:rPr>
          <w:rFonts w:ascii="Arial" w:hAnsi="Arial"/>
          <w:sz w:val="24"/>
          <w:szCs w:val="24"/>
        </w:rPr>
        <w:t xml:space="preserve"> or other small entities</w:t>
      </w:r>
      <w:r w:rsidRPr="001E5428">
        <w:rPr>
          <w:rFonts w:ascii="Arial" w:hAnsi="Arial"/>
          <w:sz w:val="24"/>
          <w:szCs w:val="24"/>
        </w:rPr>
        <w:t>.</w:t>
      </w:r>
    </w:p>
    <w:p w14:paraId="2EA8CAA9" w14:textId="77777777" w:rsidR="00795D22" w:rsidRPr="001E5428" w:rsidRDefault="00795D22" w:rsidP="00795D22">
      <w:pPr>
        <w:tabs>
          <w:tab w:val="left" w:pos="360"/>
          <w:tab w:val="left" w:pos="792"/>
        </w:tabs>
        <w:rPr>
          <w:rFonts w:ascii="Arial" w:hAnsi="Arial"/>
          <w:sz w:val="24"/>
          <w:szCs w:val="24"/>
        </w:rPr>
      </w:pPr>
    </w:p>
    <w:p w14:paraId="1C737FF3" w14:textId="77777777" w:rsidR="0004534F" w:rsidRPr="00543C1B" w:rsidRDefault="0004534F" w:rsidP="0004534F">
      <w:pPr>
        <w:pStyle w:val="BodyText"/>
        <w:rPr>
          <w:b/>
          <w:szCs w:val="24"/>
        </w:rPr>
      </w:pPr>
      <w:r w:rsidRPr="00543C1B">
        <w:rPr>
          <w:b/>
          <w:szCs w:val="24"/>
        </w:rPr>
        <w:t>6.  Describe the consequences to Federal program or policy activities if the collection is not conducted or is conducted less frequently as well as any technical or legal obstacles to reducing burden.</w:t>
      </w:r>
    </w:p>
    <w:p w14:paraId="16005CDB" w14:textId="77777777" w:rsidR="0004534F" w:rsidRPr="00543C1B" w:rsidRDefault="0004534F" w:rsidP="0004534F">
      <w:pPr>
        <w:pStyle w:val="BodyText"/>
        <w:rPr>
          <w:b/>
          <w:szCs w:val="24"/>
        </w:rPr>
      </w:pPr>
    </w:p>
    <w:p w14:paraId="26F6ED4A" w14:textId="48D39AAE"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If this information is not collected or is collected less </w:t>
      </w:r>
      <w:r w:rsidR="00BA3864">
        <w:rPr>
          <w:rFonts w:ascii="Arial" w:hAnsi="Arial"/>
          <w:sz w:val="24"/>
          <w:szCs w:val="24"/>
        </w:rPr>
        <w:t>frequently</w:t>
      </w:r>
      <w:r w:rsidRPr="001E5428">
        <w:rPr>
          <w:rFonts w:ascii="Arial" w:hAnsi="Arial"/>
          <w:sz w:val="24"/>
          <w:szCs w:val="24"/>
        </w:rPr>
        <w:t>, VA could not pay education benefits.  There are no technical or legal obstacles to reducing the burden.</w:t>
      </w:r>
    </w:p>
    <w:p w14:paraId="69F9FE68" w14:textId="77777777" w:rsidR="00795D22" w:rsidRPr="001E5428" w:rsidRDefault="00795D22" w:rsidP="00795D22">
      <w:pPr>
        <w:tabs>
          <w:tab w:val="left" w:pos="360"/>
          <w:tab w:val="left" w:pos="792"/>
        </w:tabs>
        <w:rPr>
          <w:rFonts w:ascii="Arial" w:hAnsi="Arial"/>
          <w:sz w:val="24"/>
          <w:szCs w:val="24"/>
        </w:rPr>
      </w:pPr>
    </w:p>
    <w:p w14:paraId="36A1C368" w14:textId="77777777" w:rsidR="0004534F" w:rsidRPr="00543C1B" w:rsidRDefault="0004534F" w:rsidP="0004534F">
      <w:pPr>
        <w:pStyle w:val="BodyText"/>
        <w:rPr>
          <w:b/>
          <w:szCs w:val="24"/>
        </w:rPr>
      </w:pPr>
      <w:r w:rsidRPr="00543C1B">
        <w:rPr>
          <w:b/>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76D24EA2" w14:textId="77777777" w:rsidR="0004534F" w:rsidRDefault="0004534F" w:rsidP="00795D22">
      <w:pPr>
        <w:tabs>
          <w:tab w:val="left" w:pos="360"/>
          <w:tab w:val="left" w:pos="792"/>
        </w:tabs>
        <w:rPr>
          <w:rFonts w:ascii="Arial" w:hAnsi="Arial"/>
          <w:sz w:val="24"/>
          <w:szCs w:val="24"/>
        </w:rPr>
      </w:pPr>
    </w:p>
    <w:p w14:paraId="7D1FA598" w14:textId="77777777"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The collection of this information does not </w:t>
      </w:r>
      <w:r w:rsidR="009A099C" w:rsidRPr="001E5428">
        <w:rPr>
          <w:rFonts w:ascii="Arial" w:hAnsi="Arial"/>
          <w:sz w:val="24"/>
          <w:szCs w:val="24"/>
        </w:rPr>
        <w:t>require</w:t>
      </w:r>
      <w:r w:rsidRPr="001E5428">
        <w:rPr>
          <w:rFonts w:ascii="Arial" w:hAnsi="Arial"/>
          <w:sz w:val="24"/>
          <w:szCs w:val="24"/>
        </w:rPr>
        <w:t xml:space="preserve"> any special circumstances.</w:t>
      </w:r>
    </w:p>
    <w:p w14:paraId="4220A517" w14:textId="77777777" w:rsidR="00795D22" w:rsidRPr="001E5428" w:rsidRDefault="00795D22" w:rsidP="00795D22">
      <w:pPr>
        <w:tabs>
          <w:tab w:val="left" w:pos="360"/>
          <w:tab w:val="left" w:pos="792"/>
        </w:tabs>
        <w:rPr>
          <w:rFonts w:ascii="Arial" w:hAnsi="Arial"/>
          <w:sz w:val="24"/>
          <w:szCs w:val="24"/>
        </w:rPr>
      </w:pPr>
    </w:p>
    <w:p w14:paraId="796A3A58" w14:textId="77777777" w:rsidR="0004534F" w:rsidRPr="0004534F" w:rsidRDefault="0004534F" w:rsidP="005C6F40">
      <w:pPr>
        <w:tabs>
          <w:tab w:val="left" w:pos="360"/>
          <w:tab w:val="left" w:pos="792"/>
        </w:tabs>
        <w:rPr>
          <w:rFonts w:ascii="Arial" w:hAnsi="Arial" w:cs="Arial"/>
          <w:sz w:val="24"/>
          <w:szCs w:val="24"/>
        </w:rPr>
      </w:pPr>
      <w:r w:rsidRPr="0004534F">
        <w:rPr>
          <w:rFonts w:ascii="Arial" w:hAnsi="Arial" w:cs="Arial"/>
          <w:b/>
          <w:sz w:val="24"/>
          <w:szCs w:val="24"/>
        </w:rPr>
        <w:t xml:space="preserve">8.  If applicable, provide a copy and identify the date and page number of </w:t>
      </w:r>
      <w:r w:rsidR="009A099C" w:rsidRPr="0004534F">
        <w:rPr>
          <w:rFonts w:ascii="Arial" w:hAnsi="Arial" w:cs="Arial"/>
          <w:b/>
          <w:sz w:val="24"/>
          <w:szCs w:val="24"/>
        </w:rPr>
        <w:t>publications</w:t>
      </w:r>
      <w:r w:rsidRPr="0004534F">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w:t>
      </w:r>
      <w:r w:rsidRPr="0004534F">
        <w:rPr>
          <w:rFonts w:ascii="Arial" w:hAnsi="Arial" w:cs="Arial"/>
          <w:b/>
          <w:color w:val="000000" w:themeColor="text1"/>
          <w:sz w:val="24"/>
          <w:szCs w:val="24"/>
        </w:rPr>
        <w:t xml:space="preserve">to that notice and </w:t>
      </w:r>
      <w:r w:rsidRPr="0004534F">
        <w:rPr>
          <w:rFonts w:ascii="Arial" w:hAnsi="Arial" w:cs="Arial"/>
          <w:b/>
          <w:color w:val="000000" w:themeColor="text1"/>
          <w:sz w:val="24"/>
          <w:szCs w:val="24"/>
        </w:rPr>
        <w:lastRenderedPageBreak/>
        <w:t xml:space="preserve">describe actions taken by the sponsor in responses to these comments.  Specifically address comments received on cost and hour burden.   </w:t>
      </w:r>
    </w:p>
    <w:p w14:paraId="7B4D3DBF" w14:textId="77777777" w:rsidR="0004534F" w:rsidRDefault="0004534F" w:rsidP="005C6F40">
      <w:pPr>
        <w:tabs>
          <w:tab w:val="left" w:pos="360"/>
          <w:tab w:val="left" w:pos="792"/>
        </w:tabs>
        <w:rPr>
          <w:rFonts w:ascii="Arial" w:hAnsi="Arial"/>
          <w:sz w:val="24"/>
          <w:szCs w:val="24"/>
        </w:rPr>
      </w:pPr>
    </w:p>
    <w:p w14:paraId="5D46CB49" w14:textId="1952DCA4" w:rsidR="00795D22" w:rsidRPr="001E5428" w:rsidRDefault="00017465" w:rsidP="005C6F40">
      <w:pPr>
        <w:tabs>
          <w:tab w:val="left" w:pos="360"/>
          <w:tab w:val="left" w:pos="792"/>
        </w:tabs>
        <w:rPr>
          <w:rFonts w:ascii="Arial" w:hAnsi="Arial"/>
          <w:sz w:val="24"/>
          <w:szCs w:val="24"/>
        </w:rPr>
      </w:pPr>
      <w:r w:rsidRPr="001E5428">
        <w:rPr>
          <w:rFonts w:ascii="Arial" w:hAnsi="Arial"/>
          <w:sz w:val="24"/>
          <w:szCs w:val="24"/>
        </w:rPr>
        <w:t xml:space="preserve">The Department notice </w:t>
      </w:r>
      <w:r w:rsidR="000E280D" w:rsidRPr="001E5428">
        <w:rPr>
          <w:rFonts w:ascii="Arial" w:hAnsi="Arial"/>
          <w:sz w:val="24"/>
          <w:szCs w:val="24"/>
        </w:rPr>
        <w:t>w</w:t>
      </w:r>
      <w:r w:rsidR="0004534F">
        <w:rPr>
          <w:rFonts w:ascii="Arial" w:hAnsi="Arial"/>
          <w:sz w:val="24"/>
          <w:szCs w:val="24"/>
        </w:rPr>
        <w:t>as</w:t>
      </w:r>
      <w:r w:rsidRPr="001E5428">
        <w:rPr>
          <w:rFonts w:ascii="Arial" w:hAnsi="Arial"/>
          <w:sz w:val="24"/>
          <w:szCs w:val="24"/>
        </w:rPr>
        <w:t xml:space="preserve"> published in the Fed</w:t>
      </w:r>
      <w:r w:rsidR="004F531A" w:rsidRPr="001E5428">
        <w:rPr>
          <w:rFonts w:ascii="Arial" w:hAnsi="Arial"/>
          <w:sz w:val="24"/>
          <w:szCs w:val="24"/>
        </w:rPr>
        <w:t>eral Register on</w:t>
      </w:r>
      <w:r w:rsidR="006B1435" w:rsidRPr="001E5428">
        <w:rPr>
          <w:rFonts w:ascii="Arial" w:hAnsi="Arial"/>
          <w:sz w:val="24"/>
          <w:szCs w:val="24"/>
        </w:rPr>
        <w:t xml:space="preserve"> </w:t>
      </w:r>
      <w:r w:rsidR="00317F28">
        <w:rPr>
          <w:rFonts w:ascii="Arial" w:hAnsi="Arial"/>
          <w:sz w:val="24"/>
          <w:szCs w:val="24"/>
        </w:rPr>
        <w:t>August 12, 2019</w:t>
      </w:r>
      <w:r w:rsidR="006B1435" w:rsidRPr="001E5428">
        <w:rPr>
          <w:rFonts w:ascii="Arial" w:hAnsi="Arial"/>
          <w:sz w:val="24"/>
          <w:szCs w:val="24"/>
        </w:rPr>
        <w:t xml:space="preserve">, Volume </w:t>
      </w:r>
      <w:r w:rsidR="00317F28">
        <w:rPr>
          <w:rFonts w:ascii="Arial" w:hAnsi="Arial"/>
          <w:sz w:val="24"/>
          <w:szCs w:val="24"/>
        </w:rPr>
        <w:t>84</w:t>
      </w:r>
      <w:r w:rsidR="006B1435" w:rsidRPr="001E5428">
        <w:rPr>
          <w:rFonts w:ascii="Arial" w:hAnsi="Arial"/>
          <w:sz w:val="24"/>
          <w:szCs w:val="24"/>
        </w:rPr>
        <w:t xml:space="preserve">, Number </w:t>
      </w:r>
      <w:r w:rsidR="00317F28">
        <w:rPr>
          <w:rFonts w:ascii="Arial" w:hAnsi="Arial"/>
          <w:sz w:val="24"/>
          <w:szCs w:val="24"/>
        </w:rPr>
        <w:t>155</w:t>
      </w:r>
      <w:r w:rsidR="006B1435" w:rsidRPr="001E5428">
        <w:rPr>
          <w:rFonts w:ascii="Arial" w:hAnsi="Arial"/>
          <w:sz w:val="24"/>
          <w:szCs w:val="24"/>
        </w:rPr>
        <w:t>, page</w:t>
      </w:r>
      <w:r w:rsidR="00317F28">
        <w:rPr>
          <w:rFonts w:ascii="Arial" w:hAnsi="Arial"/>
          <w:sz w:val="24"/>
          <w:szCs w:val="24"/>
        </w:rPr>
        <w:t>s 39892 and 39893</w:t>
      </w:r>
      <w:r w:rsidRPr="001E5428">
        <w:rPr>
          <w:rFonts w:ascii="Arial" w:hAnsi="Arial"/>
          <w:sz w:val="24"/>
          <w:szCs w:val="24"/>
        </w:rPr>
        <w:t xml:space="preserve">.  </w:t>
      </w:r>
      <w:r w:rsidR="0004534F">
        <w:rPr>
          <w:rFonts w:ascii="Arial" w:hAnsi="Arial"/>
          <w:sz w:val="24"/>
          <w:szCs w:val="24"/>
        </w:rPr>
        <w:t>No comments were received.</w:t>
      </w:r>
    </w:p>
    <w:p w14:paraId="7FF195F1" w14:textId="77777777" w:rsidR="0004534F" w:rsidRDefault="0004534F" w:rsidP="0004534F">
      <w:pPr>
        <w:pStyle w:val="BodyText"/>
        <w:rPr>
          <w:szCs w:val="24"/>
        </w:rPr>
      </w:pPr>
    </w:p>
    <w:p w14:paraId="72124A5D" w14:textId="77777777" w:rsidR="0004534F" w:rsidRDefault="0004534F" w:rsidP="0004534F">
      <w:pPr>
        <w:pStyle w:val="BodyText"/>
        <w:rPr>
          <w:b/>
          <w:szCs w:val="24"/>
        </w:rPr>
      </w:pPr>
      <w:r w:rsidRPr="00543C1B">
        <w:rPr>
          <w:b/>
          <w:szCs w:val="24"/>
        </w:rPr>
        <w:t xml:space="preserve">9. </w:t>
      </w:r>
      <w:r>
        <w:rPr>
          <w:b/>
          <w:szCs w:val="24"/>
        </w:rPr>
        <w:t xml:space="preserve"> </w:t>
      </w:r>
      <w:r w:rsidRPr="00543C1B">
        <w:rPr>
          <w:b/>
          <w:szCs w:val="24"/>
        </w:rPr>
        <w:t>Explain any decision to provide any payment or gift to respondents, other</w:t>
      </w:r>
    </w:p>
    <w:p w14:paraId="42BBCFE4" w14:textId="77777777" w:rsidR="0004534F" w:rsidRPr="00543C1B" w:rsidRDefault="0004534F" w:rsidP="0004534F">
      <w:pPr>
        <w:pStyle w:val="BodyText"/>
        <w:rPr>
          <w:b/>
          <w:szCs w:val="24"/>
        </w:rPr>
      </w:pPr>
      <w:r w:rsidRPr="00543C1B">
        <w:rPr>
          <w:b/>
          <w:szCs w:val="24"/>
        </w:rPr>
        <w:t>than remuneration of contractors or grantees.</w:t>
      </w:r>
    </w:p>
    <w:p w14:paraId="3A232C47" w14:textId="77777777" w:rsidR="0004534F" w:rsidRDefault="0004534F" w:rsidP="00477D7A">
      <w:pPr>
        <w:tabs>
          <w:tab w:val="left" w:pos="360"/>
          <w:tab w:val="left" w:pos="792"/>
        </w:tabs>
        <w:rPr>
          <w:rFonts w:ascii="Arial" w:hAnsi="Arial"/>
          <w:sz w:val="24"/>
          <w:szCs w:val="24"/>
        </w:rPr>
      </w:pPr>
    </w:p>
    <w:p w14:paraId="72668073" w14:textId="77777777" w:rsidR="00795D22" w:rsidRPr="001E5428" w:rsidRDefault="00795D22" w:rsidP="00477D7A">
      <w:pPr>
        <w:tabs>
          <w:tab w:val="left" w:pos="360"/>
          <w:tab w:val="left" w:pos="792"/>
        </w:tabs>
        <w:rPr>
          <w:rFonts w:ascii="Arial" w:hAnsi="Arial"/>
          <w:sz w:val="24"/>
          <w:szCs w:val="24"/>
        </w:rPr>
      </w:pPr>
      <w:r w:rsidRPr="001E5428">
        <w:rPr>
          <w:rFonts w:ascii="Arial" w:hAnsi="Arial"/>
          <w:sz w:val="24"/>
          <w:szCs w:val="24"/>
        </w:rPr>
        <w:t>VA does not provide any payment or gift to respondents.</w:t>
      </w:r>
    </w:p>
    <w:p w14:paraId="615AA1C1" w14:textId="77777777" w:rsidR="00477D7A" w:rsidRPr="001E5428" w:rsidRDefault="00477D7A" w:rsidP="00795D22">
      <w:pPr>
        <w:tabs>
          <w:tab w:val="left" w:pos="360"/>
          <w:tab w:val="left" w:pos="792"/>
        </w:tabs>
        <w:rPr>
          <w:rFonts w:ascii="Arial" w:hAnsi="Arial"/>
          <w:sz w:val="24"/>
          <w:szCs w:val="24"/>
        </w:rPr>
      </w:pPr>
    </w:p>
    <w:p w14:paraId="6CFC4B31" w14:textId="77777777" w:rsidR="00405846" w:rsidRPr="00543C1B" w:rsidRDefault="00405846" w:rsidP="00405846">
      <w:pPr>
        <w:pStyle w:val="BodyText"/>
        <w:rPr>
          <w:b/>
          <w:color w:val="000000"/>
          <w:szCs w:val="24"/>
        </w:rPr>
      </w:pPr>
      <w:r w:rsidRPr="00543C1B">
        <w:rPr>
          <w:b/>
          <w:szCs w:val="24"/>
        </w:rPr>
        <w:t xml:space="preserve">10. </w:t>
      </w:r>
      <w:r w:rsidRPr="00543C1B">
        <w:rPr>
          <w:b/>
          <w:color w:val="000000"/>
          <w:szCs w:val="24"/>
        </w:rPr>
        <w:t>Describe any assurance of confidentiality provided to respondents and the basis for the assurance in statute, regulation, or agency policy.</w:t>
      </w:r>
    </w:p>
    <w:p w14:paraId="25DD8E17" w14:textId="77777777" w:rsidR="00405846" w:rsidRDefault="00405846" w:rsidP="00795D22">
      <w:pPr>
        <w:tabs>
          <w:tab w:val="left" w:pos="360"/>
          <w:tab w:val="left" w:pos="792"/>
        </w:tabs>
        <w:rPr>
          <w:rFonts w:ascii="Arial" w:hAnsi="Arial"/>
          <w:sz w:val="24"/>
          <w:szCs w:val="24"/>
        </w:rPr>
      </w:pPr>
    </w:p>
    <w:p w14:paraId="3FA0C26D" w14:textId="59020353"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VA Form 22-1990 is retained permanently in the student’s education file.  Our assurance of confidentiality is covered by our System of Records, </w:t>
      </w:r>
      <w:r w:rsidRPr="001E5428">
        <w:rPr>
          <w:rFonts w:ascii="Arial" w:hAnsi="Arial"/>
          <w:sz w:val="24"/>
          <w:szCs w:val="24"/>
          <w:u w:val="single"/>
        </w:rPr>
        <w:t xml:space="preserve">Compensation, Pension, Education, Vocational Rehabilitation and Employment Records </w:t>
      </w:r>
      <w:bookmarkStart w:id="1" w:name="_Hlk14346065"/>
      <w:r w:rsidRPr="001E5428">
        <w:rPr>
          <w:rFonts w:ascii="Arial" w:hAnsi="Arial"/>
          <w:sz w:val="24"/>
          <w:szCs w:val="24"/>
          <w:u w:val="single"/>
        </w:rPr>
        <w:t>— VA (58VA21/22/28)</w:t>
      </w:r>
      <w:r w:rsidR="009277FD">
        <w:rPr>
          <w:rFonts w:ascii="Arial" w:hAnsi="Arial"/>
          <w:sz w:val="24"/>
          <w:szCs w:val="24"/>
          <w:u w:val="single"/>
        </w:rPr>
        <w:t>,</w:t>
      </w:r>
      <w:r w:rsidRPr="001E5428">
        <w:rPr>
          <w:rFonts w:ascii="Arial" w:hAnsi="Arial"/>
          <w:sz w:val="24"/>
          <w:szCs w:val="24"/>
        </w:rPr>
        <w:t xml:space="preserve"> which are contained in the Privacy Act Issuances, 20</w:t>
      </w:r>
      <w:r w:rsidR="004F531A" w:rsidRPr="001E5428">
        <w:rPr>
          <w:rFonts w:ascii="Arial" w:hAnsi="Arial"/>
          <w:sz w:val="24"/>
          <w:szCs w:val="24"/>
        </w:rPr>
        <w:t>12</w:t>
      </w:r>
      <w:r w:rsidRPr="001E5428">
        <w:rPr>
          <w:rFonts w:ascii="Arial" w:hAnsi="Arial"/>
          <w:sz w:val="24"/>
          <w:szCs w:val="24"/>
        </w:rPr>
        <w:t xml:space="preserve"> Compilation</w:t>
      </w:r>
      <w:bookmarkEnd w:id="1"/>
      <w:r w:rsidRPr="001E5428">
        <w:rPr>
          <w:rFonts w:ascii="Arial" w:hAnsi="Arial"/>
          <w:sz w:val="24"/>
          <w:szCs w:val="24"/>
        </w:rPr>
        <w:t>.</w:t>
      </w:r>
    </w:p>
    <w:p w14:paraId="154FA0AC" w14:textId="77777777" w:rsidR="00795D22" w:rsidRPr="001E5428" w:rsidRDefault="00795D22" w:rsidP="00795D22">
      <w:pPr>
        <w:tabs>
          <w:tab w:val="left" w:pos="360"/>
          <w:tab w:val="left" w:pos="792"/>
        </w:tabs>
        <w:rPr>
          <w:rFonts w:ascii="Arial" w:hAnsi="Arial"/>
          <w:sz w:val="24"/>
          <w:szCs w:val="24"/>
        </w:rPr>
      </w:pPr>
    </w:p>
    <w:p w14:paraId="2AD3AE7E" w14:textId="77777777" w:rsidR="00405846" w:rsidRPr="00543C1B" w:rsidRDefault="00405846" w:rsidP="00405846">
      <w:pPr>
        <w:pStyle w:val="BodyText"/>
        <w:rPr>
          <w:b/>
          <w:szCs w:val="24"/>
        </w:rPr>
      </w:pPr>
      <w:r w:rsidRPr="00543C1B">
        <w:rPr>
          <w:b/>
          <w:szCs w:val="24"/>
        </w:rPr>
        <w:t>11. Provide additional justification for any questions of a sensitive nature</w:t>
      </w:r>
      <w:r w:rsidRPr="00543C1B">
        <w:rPr>
          <w:b/>
          <w:color w:val="0000FF"/>
          <w:szCs w:val="24"/>
        </w:rPr>
        <w:t xml:space="preserve"> </w:t>
      </w:r>
      <w:r w:rsidRPr="00543C1B">
        <w:rPr>
          <w:b/>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15D9E09B" w14:textId="77777777" w:rsidR="00405846" w:rsidRDefault="00405846" w:rsidP="00795D22">
      <w:pPr>
        <w:tabs>
          <w:tab w:val="left" w:pos="360"/>
          <w:tab w:val="left" w:pos="792"/>
        </w:tabs>
        <w:rPr>
          <w:rFonts w:ascii="Arial" w:hAnsi="Arial"/>
          <w:sz w:val="24"/>
          <w:szCs w:val="24"/>
        </w:rPr>
      </w:pPr>
    </w:p>
    <w:p w14:paraId="628A6310" w14:textId="77777777"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None of the questions on the application </w:t>
      </w:r>
      <w:r w:rsidR="009A099C" w:rsidRPr="001E5428">
        <w:rPr>
          <w:rFonts w:ascii="Arial" w:hAnsi="Arial"/>
          <w:sz w:val="24"/>
          <w:szCs w:val="24"/>
        </w:rPr>
        <w:t>are</w:t>
      </w:r>
      <w:r w:rsidRPr="001E5428">
        <w:rPr>
          <w:rFonts w:ascii="Arial" w:hAnsi="Arial"/>
          <w:sz w:val="24"/>
          <w:szCs w:val="24"/>
        </w:rPr>
        <w:t xml:space="preserve"> of a sensitive nature. </w:t>
      </w:r>
    </w:p>
    <w:p w14:paraId="720744F6" w14:textId="77777777" w:rsidR="00795D22" w:rsidRPr="001E5428" w:rsidRDefault="00795D22" w:rsidP="00795D22">
      <w:pPr>
        <w:tabs>
          <w:tab w:val="left" w:pos="360"/>
          <w:tab w:val="left" w:pos="792"/>
        </w:tabs>
        <w:rPr>
          <w:rFonts w:ascii="Arial" w:hAnsi="Arial"/>
          <w:sz w:val="24"/>
          <w:szCs w:val="24"/>
        </w:rPr>
      </w:pPr>
    </w:p>
    <w:p w14:paraId="1BED7DA4" w14:textId="77777777" w:rsidR="002C1D10" w:rsidRPr="00543C1B" w:rsidRDefault="002C1D10" w:rsidP="002C1D10">
      <w:pPr>
        <w:pStyle w:val="BodyText"/>
        <w:rPr>
          <w:b/>
          <w:szCs w:val="24"/>
        </w:rPr>
      </w:pPr>
      <w:r w:rsidRPr="00543C1B">
        <w:rPr>
          <w:b/>
          <w:szCs w:val="24"/>
        </w:rPr>
        <w:t>12. Estimate of the hour burden of the collection of information:</w:t>
      </w:r>
    </w:p>
    <w:p w14:paraId="00F9C231" w14:textId="77777777" w:rsidR="002C1D10" w:rsidRDefault="002C1D10" w:rsidP="002C1D10">
      <w:pPr>
        <w:pStyle w:val="BodyText"/>
        <w:rPr>
          <w:szCs w:val="24"/>
        </w:rPr>
      </w:pPr>
    </w:p>
    <w:p w14:paraId="089B7B77" w14:textId="78E1E664" w:rsidR="002C1D10" w:rsidRPr="00511CA9" w:rsidRDefault="002C1D10" w:rsidP="002C1D10">
      <w:pPr>
        <w:pStyle w:val="BodyText"/>
        <w:rPr>
          <w:szCs w:val="24"/>
        </w:rPr>
      </w:pPr>
      <w:r w:rsidRPr="00511CA9">
        <w:rPr>
          <w:szCs w:val="24"/>
        </w:rPr>
        <w:t xml:space="preserve">The estimated </w:t>
      </w:r>
      <w:r>
        <w:rPr>
          <w:szCs w:val="24"/>
        </w:rPr>
        <w:t xml:space="preserve">annual burden hours, as indicated below, for the collection of this information is </w:t>
      </w:r>
      <w:r w:rsidR="00350DD3">
        <w:rPr>
          <w:szCs w:val="24"/>
        </w:rPr>
        <w:t>248,916</w:t>
      </w:r>
      <w:r w:rsidRPr="00372791">
        <w:rPr>
          <w:b/>
          <w:szCs w:val="24"/>
        </w:rPr>
        <w:t xml:space="preserve"> burden hours</w:t>
      </w:r>
      <w:r>
        <w:rPr>
          <w:szCs w:val="24"/>
        </w:rPr>
        <w:t xml:space="preserve">, calculated based on </w:t>
      </w:r>
      <w:r w:rsidR="00EF4D0D">
        <w:rPr>
          <w:szCs w:val="24"/>
        </w:rPr>
        <w:t xml:space="preserve">the </w:t>
      </w:r>
      <w:r>
        <w:rPr>
          <w:szCs w:val="24"/>
        </w:rPr>
        <w:t>total responses received for 2016, 2017 and 2018.</w:t>
      </w:r>
    </w:p>
    <w:p w14:paraId="4FDC3768" w14:textId="77777777" w:rsidR="002C1D10" w:rsidRDefault="002C1D10" w:rsidP="002C1D10">
      <w:pPr>
        <w:pStyle w:val="BodyText"/>
        <w:rPr>
          <w:szCs w:val="24"/>
        </w:rPr>
      </w:pPr>
    </w:p>
    <w:p w14:paraId="4E467872" w14:textId="0D507AB9" w:rsidR="002C1D10" w:rsidRDefault="002C1D10" w:rsidP="002C1D10">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right="0"/>
        <w:textAlignment w:val="auto"/>
        <w:rPr>
          <w:szCs w:val="24"/>
        </w:rPr>
      </w:pPr>
      <w:r>
        <w:rPr>
          <w:szCs w:val="24"/>
        </w:rPr>
        <w:t xml:space="preserve">Number of Respondents:  </w:t>
      </w:r>
      <w:r w:rsidR="00360397">
        <w:rPr>
          <w:szCs w:val="24"/>
        </w:rPr>
        <w:t xml:space="preserve">             </w:t>
      </w:r>
      <w:r w:rsidR="003D051E">
        <w:rPr>
          <w:szCs w:val="24"/>
        </w:rPr>
        <w:t>8</w:t>
      </w:r>
      <w:r w:rsidR="0043482C">
        <w:rPr>
          <w:szCs w:val="24"/>
        </w:rPr>
        <w:t>07</w:t>
      </w:r>
      <w:r w:rsidR="00350DD3">
        <w:rPr>
          <w:szCs w:val="24"/>
        </w:rPr>
        <w:t>,</w:t>
      </w:r>
      <w:r w:rsidR="0043482C">
        <w:rPr>
          <w:szCs w:val="24"/>
        </w:rPr>
        <w:t>296</w:t>
      </w:r>
    </w:p>
    <w:p w14:paraId="00877F8A" w14:textId="4F78C54D" w:rsidR="002C1D10" w:rsidRDefault="002C1D10" w:rsidP="002C1D10">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right="0"/>
        <w:textAlignment w:val="auto"/>
        <w:rPr>
          <w:szCs w:val="24"/>
        </w:rPr>
      </w:pPr>
      <w:r>
        <w:rPr>
          <w:szCs w:val="24"/>
        </w:rPr>
        <w:t xml:space="preserve">Frequency of Response:  </w:t>
      </w:r>
      <w:r w:rsidR="00360397">
        <w:rPr>
          <w:szCs w:val="24"/>
        </w:rPr>
        <w:t xml:space="preserve">              </w:t>
      </w:r>
      <w:r w:rsidR="00EC185D">
        <w:rPr>
          <w:szCs w:val="24"/>
        </w:rPr>
        <w:t>On</w:t>
      </w:r>
      <w:r w:rsidR="009277FD">
        <w:rPr>
          <w:szCs w:val="24"/>
        </w:rPr>
        <w:t>e Time</w:t>
      </w:r>
    </w:p>
    <w:p w14:paraId="6934879A" w14:textId="1E7604C9" w:rsidR="002C1D10" w:rsidRDefault="002C1D10" w:rsidP="002C1D10">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right="0"/>
        <w:textAlignment w:val="auto"/>
        <w:rPr>
          <w:szCs w:val="24"/>
        </w:rPr>
      </w:pPr>
      <w:r w:rsidRPr="00D20BB1">
        <w:rPr>
          <w:color w:val="000000" w:themeColor="text1"/>
          <w:szCs w:val="24"/>
        </w:rPr>
        <w:t xml:space="preserve">Annual </w:t>
      </w:r>
      <w:r w:rsidRPr="00F2769B">
        <w:rPr>
          <w:szCs w:val="24"/>
        </w:rPr>
        <w:t>Burden Hour</w:t>
      </w:r>
      <w:r w:rsidR="00331AED">
        <w:rPr>
          <w:szCs w:val="24"/>
        </w:rPr>
        <w:t>s</w:t>
      </w:r>
      <w:r w:rsidR="009277FD">
        <w:rPr>
          <w:szCs w:val="24"/>
        </w:rPr>
        <w:t xml:space="preserve"> (V</w:t>
      </w:r>
      <w:r w:rsidR="00331AED">
        <w:rPr>
          <w:szCs w:val="24"/>
        </w:rPr>
        <w:t>a.gov</w:t>
      </w:r>
      <w:r w:rsidR="00360397">
        <w:rPr>
          <w:szCs w:val="24"/>
        </w:rPr>
        <w:t>)</w:t>
      </w:r>
      <w:r w:rsidRPr="00F2769B">
        <w:rPr>
          <w:szCs w:val="24"/>
        </w:rPr>
        <w:t xml:space="preserve">: </w:t>
      </w:r>
      <w:r w:rsidR="00350DD3">
        <w:rPr>
          <w:szCs w:val="24"/>
        </w:rPr>
        <w:t>188,3</w:t>
      </w:r>
      <w:r w:rsidR="009277FD">
        <w:rPr>
          <w:szCs w:val="24"/>
        </w:rPr>
        <w:t>69</w:t>
      </w:r>
      <w:r>
        <w:rPr>
          <w:szCs w:val="24"/>
        </w:rPr>
        <w:t xml:space="preserve"> (</w:t>
      </w:r>
      <w:r w:rsidR="00350DD3">
        <w:rPr>
          <w:szCs w:val="24"/>
        </w:rPr>
        <w:t>565,107</w:t>
      </w:r>
      <w:r>
        <w:rPr>
          <w:szCs w:val="24"/>
        </w:rPr>
        <w:t xml:space="preserve"> X </w:t>
      </w:r>
      <w:r w:rsidR="000816D9">
        <w:rPr>
          <w:szCs w:val="24"/>
        </w:rPr>
        <w:t>20</w:t>
      </w:r>
      <w:r>
        <w:rPr>
          <w:szCs w:val="24"/>
        </w:rPr>
        <w:t xml:space="preserve"> / 60 = </w:t>
      </w:r>
      <w:r w:rsidR="00350DD3">
        <w:rPr>
          <w:szCs w:val="24"/>
        </w:rPr>
        <w:t>188,369</w:t>
      </w:r>
      <w:r>
        <w:rPr>
          <w:szCs w:val="24"/>
        </w:rPr>
        <w:t>)</w:t>
      </w:r>
    </w:p>
    <w:p w14:paraId="1F43212D" w14:textId="71A9C25A" w:rsidR="000816D9" w:rsidRDefault="000816D9" w:rsidP="000816D9">
      <w:pPr>
        <w:pStyle w:val="BodyText"/>
        <w:widowControl w:val="0"/>
        <w:tabs>
          <w:tab w:val="clear" w:pos="480"/>
          <w:tab w:val="clear" w:pos="1080"/>
          <w:tab w:val="clear" w:pos="1680"/>
          <w:tab w:val="clear" w:pos="2280"/>
          <w:tab w:val="clear" w:pos="2880"/>
        </w:tabs>
        <w:overflowPunct/>
        <w:autoSpaceDE/>
        <w:autoSpaceDN/>
        <w:adjustRightInd/>
        <w:spacing w:line="240" w:lineRule="auto"/>
        <w:ind w:left="1216" w:right="0"/>
        <w:textAlignment w:val="auto"/>
        <w:rPr>
          <w:color w:val="000000" w:themeColor="text1"/>
          <w:szCs w:val="24"/>
        </w:rPr>
      </w:pPr>
      <w:r>
        <w:rPr>
          <w:color w:val="000000" w:themeColor="text1"/>
          <w:szCs w:val="24"/>
        </w:rPr>
        <w:t>Annual Burden Hours</w:t>
      </w:r>
      <w:r w:rsidR="00360397">
        <w:rPr>
          <w:color w:val="000000" w:themeColor="text1"/>
          <w:szCs w:val="24"/>
        </w:rPr>
        <w:t xml:space="preserve"> (Paper)</w:t>
      </w:r>
      <w:r>
        <w:rPr>
          <w:color w:val="000000" w:themeColor="text1"/>
          <w:szCs w:val="24"/>
        </w:rPr>
        <w:t>:</w:t>
      </w:r>
      <w:r w:rsidR="00360397">
        <w:rPr>
          <w:color w:val="000000" w:themeColor="text1"/>
          <w:szCs w:val="24"/>
        </w:rPr>
        <w:t xml:space="preserve">     </w:t>
      </w:r>
      <w:r>
        <w:rPr>
          <w:color w:val="000000" w:themeColor="text1"/>
          <w:szCs w:val="24"/>
        </w:rPr>
        <w:t xml:space="preserve">  </w:t>
      </w:r>
      <w:r w:rsidR="00350DD3">
        <w:rPr>
          <w:color w:val="000000" w:themeColor="text1"/>
          <w:szCs w:val="24"/>
        </w:rPr>
        <w:t>60,547</w:t>
      </w:r>
      <w:r>
        <w:rPr>
          <w:color w:val="000000" w:themeColor="text1"/>
          <w:szCs w:val="24"/>
        </w:rPr>
        <w:t xml:space="preserve"> (</w:t>
      </w:r>
      <w:r w:rsidR="00350DD3">
        <w:rPr>
          <w:color w:val="000000" w:themeColor="text1"/>
          <w:szCs w:val="24"/>
        </w:rPr>
        <w:t>242,189</w:t>
      </w:r>
      <w:r>
        <w:rPr>
          <w:color w:val="000000" w:themeColor="text1"/>
          <w:szCs w:val="24"/>
        </w:rPr>
        <w:t xml:space="preserve"> X 15 / 60 = </w:t>
      </w:r>
      <w:r w:rsidR="00350DD3">
        <w:rPr>
          <w:color w:val="000000" w:themeColor="text1"/>
          <w:szCs w:val="24"/>
        </w:rPr>
        <w:t>60,547</w:t>
      </w:r>
      <w:r>
        <w:rPr>
          <w:color w:val="000000" w:themeColor="text1"/>
          <w:szCs w:val="24"/>
        </w:rPr>
        <w:t>)</w:t>
      </w:r>
    </w:p>
    <w:p w14:paraId="0E0606F9" w14:textId="77777777" w:rsidR="002C1D10" w:rsidRDefault="002C1D10" w:rsidP="002C1D10">
      <w:pPr>
        <w:pStyle w:val="BodyText"/>
        <w:widowControl w:val="0"/>
        <w:numPr>
          <w:ilvl w:val="0"/>
          <w:numId w:val="2"/>
        </w:numPr>
        <w:tabs>
          <w:tab w:val="clear" w:pos="480"/>
          <w:tab w:val="clear" w:pos="1080"/>
          <w:tab w:val="clear" w:pos="1680"/>
          <w:tab w:val="clear" w:pos="2280"/>
          <w:tab w:val="clear" w:pos="2880"/>
        </w:tabs>
        <w:overflowPunct/>
        <w:autoSpaceDE/>
        <w:autoSpaceDN/>
        <w:adjustRightInd/>
        <w:spacing w:line="240" w:lineRule="auto"/>
        <w:ind w:right="0"/>
        <w:textAlignment w:val="auto"/>
        <w:rPr>
          <w:szCs w:val="24"/>
        </w:rPr>
      </w:pPr>
      <w:r>
        <w:rPr>
          <w:szCs w:val="24"/>
        </w:rPr>
        <w:t>Estimated Completion Time</w:t>
      </w:r>
      <w:r w:rsidR="000816D9">
        <w:rPr>
          <w:szCs w:val="24"/>
        </w:rPr>
        <w:t xml:space="preserve"> for Electronic/Paper</w:t>
      </w:r>
      <w:r>
        <w:rPr>
          <w:szCs w:val="24"/>
        </w:rPr>
        <w:t xml:space="preserve">:  </w:t>
      </w:r>
      <w:r w:rsidR="000816D9">
        <w:rPr>
          <w:szCs w:val="24"/>
        </w:rPr>
        <w:t xml:space="preserve">20 &amp; </w:t>
      </w:r>
      <w:r w:rsidR="00EC185D">
        <w:rPr>
          <w:szCs w:val="24"/>
        </w:rPr>
        <w:t>15</w:t>
      </w:r>
      <w:r>
        <w:rPr>
          <w:szCs w:val="24"/>
        </w:rPr>
        <w:t xml:space="preserve"> minutes</w:t>
      </w:r>
      <w:r w:rsidR="00360397">
        <w:rPr>
          <w:szCs w:val="24"/>
        </w:rPr>
        <w:t>, respectively.</w:t>
      </w:r>
      <w:r>
        <w:rPr>
          <w:szCs w:val="24"/>
        </w:rPr>
        <w:t xml:space="preserve">  </w:t>
      </w:r>
    </w:p>
    <w:p w14:paraId="1846462B" w14:textId="77777777" w:rsidR="00795D22" w:rsidRPr="001E5428" w:rsidRDefault="00795D22" w:rsidP="00795D22">
      <w:pPr>
        <w:tabs>
          <w:tab w:val="left" w:pos="360"/>
          <w:tab w:val="left" w:pos="792"/>
        </w:tabs>
        <w:rPr>
          <w:rFonts w:ascii="Arial" w:hAnsi="Arial"/>
          <w:sz w:val="24"/>
          <w:szCs w:val="24"/>
        </w:rPr>
      </w:pPr>
    </w:p>
    <w:p w14:paraId="5AFE8C94" w14:textId="5985DDFF" w:rsidR="00795D22" w:rsidRDefault="00795D22" w:rsidP="00795D22">
      <w:pPr>
        <w:tabs>
          <w:tab w:val="left" w:pos="360"/>
          <w:tab w:val="left" w:pos="792"/>
        </w:tabs>
        <w:rPr>
          <w:rFonts w:ascii="Arial" w:hAnsi="Arial"/>
          <w:sz w:val="24"/>
          <w:szCs w:val="24"/>
        </w:rPr>
      </w:pPr>
      <w:r w:rsidRPr="001E5428">
        <w:rPr>
          <w:rFonts w:ascii="Arial" w:hAnsi="Arial"/>
          <w:sz w:val="24"/>
          <w:szCs w:val="24"/>
        </w:rPr>
        <w:t xml:space="preserve">Each claimant has the option of filing this form electronically using </w:t>
      </w:r>
      <w:r w:rsidR="007E45F9">
        <w:rPr>
          <w:rFonts w:ascii="Arial" w:hAnsi="Arial"/>
          <w:sz w:val="24"/>
          <w:szCs w:val="24"/>
        </w:rPr>
        <w:t>va.gov</w:t>
      </w:r>
      <w:r w:rsidRPr="001E5428">
        <w:rPr>
          <w:rFonts w:ascii="Arial" w:hAnsi="Arial"/>
          <w:sz w:val="24"/>
          <w:szCs w:val="24"/>
        </w:rPr>
        <w:t xml:space="preserve"> program or on paper.  </w:t>
      </w:r>
      <w:r w:rsidR="007E45F9">
        <w:rPr>
          <w:rFonts w:ascii="Arial" w:hAnsi="Arial"/>
          <w:sz w:val="24"/>
          <w:szCs w:val="24"/>
        </w:rPr>
        <w:t>It is estimated to take</w:t>
      </w:r>
      <w:r w:rsidRPr="001E5428">
        <w:rPr>
          <w:rFonts w:ascii="Arial" w:hAnsi="Arial"/>
          <w:sz w:val="24"/>
          <w:szCs w:val="24"/>
        </w:rPr>
        <w:t xml:space="preserve"> 15 minutes for the average claimant to complete and return the paper version of VA Form 22-1990 and an estimate of 20 minutes for the average claimant to complete </w:t>
      </w:r>
      <w:r w:rsidR="007E45F9">
        <w:rPr>
          <w:rFonts w:ascii="Arial" w:hAnsi="Arial"/>
          <w:sz w:val="24"/>
          <w:szCs w:val="24"/>
        </w:rPr>
        <w:t>and submit the</w:t>
      </w:r>
      <w:r w:rsidR="007E45F9" w:rsidRPr="001E5428">
        <w:rPr>
          <w:rFonts w:ascii="Arial" w:hAnsi="Arial"/>
          <w:sz w:val="24"/>
          <w:szCs w:val="24"/>
        </w:rPr>
        <w:t xml:space="preserve"> </w:t>
      </w:r>
      <w:r w:rsidRPr="001E5428">
        <w:rPr>
          <w:rFonts w:ascii="Arial" w:hAnsi="Arial"/>
          <w:sz w:val="24"/>
          <w:szCs w:val="24"/>
        </w:rPr>
        <w:t xml:space="preserve">electronic VA Form 22-1990.  </w:t>
      </w:r>
      <w:r w:rsidR="007E45F9">
        <w:rPr>
          <w:rFonts w:ascii="Arial" w:hAnsi="Arial"/>
          <w:sz w:val="24"/>
          <w:szCs w:val="24"/>
        </w:rPr>
        <w:t xml:space="preserve">Data reflects </w:t>
      </w:r>
      <w:r w:rsidRPr="001E5428">
        <w:rPr>
          <w:rFonts w:ascii="Arial" w:hAnsi="Arial"/>
          <w:sz w:val="24"/>
          <w:szCs w:val="24"/>
        </w:rPr>
        <w:t xml:space="preserve">that approximately 70% of claimants apply using the </w:t>
      </w:r>
      <w:r w:rsidR="007E45F9">
        <w:rPr>
          <w:rFonts w:ascii="Arial" w:hAnsi="Arial"/>
          <w:sz w:val="24"/>
          <w:szCs w:val="24"/>
        </w:rPr>
        <w:t xml:space="preserve">va.gov </w:t>
      </w:r>
      <w:r w:rsidR="00396EBE">
        <w:rPr>
          <w:rFonts w:ascii="Arial" w:hAnsi="Arial"/>
          <w:sz w:val="24"/>
          <w:szCs w:val="24"/>
        </w:rPr>
        <w:t xml:space="preserve">computer </w:t>
      </w:r>
      <w:r w:rsidR="007E45F9">
        <w:rPr>
          <w:rFonts w:ascii="Arial" w:hAnsi="Arial"/>
          <w:sz w:val="24"/>
          <w:szCs w:val="24"/>
        </w:rPr>
        <w:t>application</w:t>
      </w:r>
      <w:r w:rsidR="00396EBE">
        <w:rPr>
          <w:rFonts w:ascii="Arial" w:hAnsi="Arial"/>
          <w:sz w:val="24"/>
          <w:szCs w:val="24"/>
        </w:rPr>
        <w:t xml:space="preserve"> system</w:t>
      </w:r>
      <w:r w:rsidRPr="001E5428">
        <w:rPr>
          <w:rFonts w:ascii="Arial" w:hAnsi="Arial"/>
          <w:sz w:val="24"/>
          <w:szCs w:val="24"/>
        </w:rPr>
        <w:t xml:space="preserve">.  </w:t>
      </w:r>
    </w:p>
    <w:p w14:paraId="7263E301" w14:textId="77777777" w:rsidR="00680F45" w:rsidRPr="001E5428" w:rsidRDefault="00680F45" w:rsidP="00795D22">
      <w:pPr>
        <w:tabs>
          <w:tab w:val="left" w:pos="360"/>
          <w:tab w:val="left" w:pos="792"/>
        </w:tabs>
        <w:rPr>
          <w:rFonts w:ascii="Arial" w:hAnsi="Arial"/>
          <w:sz w:val="24"/>
          <w:szCs w:val="24"/>
        </w:rPr>
      </w:pPr>
    </w:p>
    <w:p w14:paraId="7D088403" w14:textId="77777777" w:rsidR="00795D22" w:rsidRPr="001E5428" w:rsidRDefault="00795D22" w:rsidP="00795D22">
      <w:pPr>
        <w:tabs>
          <w:tab w:val="left" w:pos="480"/>
          <w:tab w:val="left" w:pos="1080"/>
          <w:tab w:val="left" w:pos="1680"/>
        </w:tabs>
        <w:ind w:right="1104"/>
        <w:jc w:val="both"/>
        <w:rPr>
          <w:rFonts w:ascii="Arial" w:hAnsi="Arial"/>
          <w:sz w:val="24"/>
          <w:szCs w:val="24"/>
        </w:rPr>
      </w:pPr>
    </w:p>
    <w:tbl>
      <w:tblPr>
        <w:tblpPr w:leftFromText="180" w:rightFromText="180" w:tblpXSpec="center" w:tblpY="1283"/>
        <w:tblW w:w="9735" w:type="dxa"/>
        <w:tblLayout w:type="fixed"/>
        <w:tblLook w:val="0000" w:firstRow="0" w:lastRow="0" w:firstColumn="0" w:lastColumn="0" w:noHBand="0" w:noVBand="0"/>
      </w:tblPr>
      <w:tblGrid>
        <w:gridCol w:w="2448"/>
        <w:gridCol w:w="1584"/>
        <w:gridCol w:w="1833"/>
        <w:gridCol w:w="1623"/>
        <w:gridCol w:w="2247"/>
      </w:tblGrid>
      <w:tr w:rsidR="00B46AF7" w:rsidRPr="00B46AF7" w14:paraId="6ECEA3EA" w14:textId="77777777" w:rsidTr="00FB6300">
        <w:trPr>
          <w:cantSplit/>
        </w:trPr>
        <w:tc>
          <w:tcPr>
            <w:tcW w:w="2448" w:type="dxa"/>
            <w:tcBorders>
              <w:top w:val="single" w:sz="12" w:space="0" w:color="auto"/>
              <w:left w:val="single" w:sz="12" w:space="0" w:color="auto"/>
              <w:bottom w:val="single" w:sz="6" w:space="0" w:color="auto"/>
              <w:right w:val="single" w:sz="6" w:space="0" w:color="auto"/>
            </w:tcBorders>
          </w:tcPr>
          <w:p w14:paraId="4ABD6199" w14:textId="77777777" w:rsidR="00795D22" w:rsidRPr="00FB6300" w:rsidRDefault="00795D22" w:rsidP="00B46AF7">
            <w:pPr>
              <w:tabs>
                <w:tab w:val="left" w:pos="384"/>
                <w:tab w:val="left" w:pos="6816"/>
                <w:tab w:val="right" w:pos="9900"/>
              </w:tabs>
              <w:spacing w:line="240" w:lineRule="exact"/>
              <w:ind w:right="36"/>
              <w:rPr>
                <w:rFonts w:ascii="Arial" w:hAnsi="Arial"/>
                <w:b/>
                <w:color w:val="002060"/>
                <w:sz w:val="24"/>
                <w:szCs w:val="24"/>
              </w:rPr>
            </w:pPr>
            <w:r w:rsidRPr="00FB6300">
              <w:rPr>
                <w:rFonts w:ascii="Arial" w:hAnsi="Arial"/>
                <w:b/>
                <w:color w:val="002060"/>
                <w:sz w:val="24"/>
                <w:szCs w:val="24"/>
              </w:rPr>
              <w:t>Type of Submission</w:t>
            </w:r>
          </w:p>
        </w:tc>
        <w:tc>
          <w:tcPr>
            <w:tcW w:w="1584" w:type="dxa"/>
            <w:tcBorders>
              <w:top w:val="single" w:sz="12" w:space="0" w:color="auto"/>
              <w:left w:val="nil"/>
              <w:bottom w:val="single" w:sz="6" w:space="0" w:color="auto"/>
              <w:right w:val="single" w:sz="6" w:space="0" w:color="auto"/>
            </w:tcBorders>
          </w:tcPr>
          <w:p w14:paraId="5E5603D2" w14:textId="77777777" w:rsidR="00795D22" w:rsidRPr="00FB6300" w:rsidRDefault="00795D22" w:rsidP="00B46AF7">
            <w:pPr>
              <w:tabs>
                <w:tab w:val="left" w:pos="384"/>
                <w:tab w:val="left" w:pos="6816"/>
                <w:tab w:val="right" w:pos="9900"/>
              </w:tabs>
              <w:spacing w:line="240" w:lineRule="exact"/>
              <w:ind w:right="36"/>
              <w:jc w:val="center"/>
              <w:rPr>
                <w:rFonts w:ascii="Arial" w:hAnsi="Arial"/>
                <w:b/>
                <w:color w:val="002060"/>
                <w:sz w:val="24"/>
                <w:szCs w:val="24"/>
              </w:rPr>
            </w:pPr>
            <w:r w:rsidRPr="00FB6300">
              <w:rPr>
                <w:rFonts w:ascii="Arial" w:hAnsi="Arial"/>
                <w:b/>
                <w:color w:val="002060"/>
                <w:sz w:val="24"/>
                <w:szCs w:val="24"/>
              </w:rPr>
              <w:t xml:space="preserve">% </w:t>
            </w:r>
          </w:p>
        </w:tc>
        <w:tc>
          <w:tcPr>
            <w:tcW w:w="1833" w:type="dxa"/>
            <w:tcBorders>
              <w:top w:val="single" w:sz="12" w:space="0" w:color="auto"/>
              <w:left w:val="nil"/>
              <w:bottom w:val="single" w:sz="6" w:space="0" w:color="auto"/>
              <w:right w:val="nil"/>
            </w:tcBorders>
          </w:tcPr>
          <w:p w14:paraId="24DD75F1" w14:textId="77777777" w:rsidR="00795D22" w:rsidRPr="00FB6300" w:rsidRDefault="00795D22" w:rsidP="00B46AF7">
            <w:pPr>
              <w:tabs>
                <w:tab w:val="left" w:pos="384"/>
                <w:tab w:val="left" w:pos="6816"/>
                <w:tab w:val="right" w:pos="9900"/>
              </w:tabs>
              <w:spacing w:line="240" w:lineRule="exact"/>
              <w:ind w:right="36"/>
              <w:jc w:val="center"/>
              <w:rPr>
                <w:rFonts w:ascii="Arial" w:hAnsi="Arial"/>
                <w:b/>
                <w:color w:val="002060"/>
                <w:sz w:val="24"/>
                <w:szCs w:val="24"/>
              </w:rPr>
            </w:pPr>
            <w:r w:rsidRPr="00FB6300">
              <w:rPr>
                <w:rFonts w:ascii="Arial" w:hAnsi="Arial"/>
                <w:b/>
                <w:color w:val="002060"/>
                <w:sz w:val="24"/>
                <w:szCs w:val="24"/>
              </w:rPr>
              <w:t>Number</w:t>
            </w:r>
            <w:r w:rsidR="007A6918" w:rsidRPr="00FB6300">
              <w:rPr>
                <w:rFonts w:ascii="Arial" w:hAnsi="Arial"/>
                <w:b/>
                <w:color w:val="002060"/>
                <w:sz w:val="24"/>
                <w:szCs w:val="24"/>
              </w:rPr>
              <w:t xml:space="preserve"> of Respondents</w:t>
            </w:r>
          </w:p>
        </w:tc>
        <w:tc>
          <w:tcPr>
            <w:tcW w:w="1623" w:type="dxa"/>
            <w:tcBorders>
              <w:top w:val="single" w:sz="12" w:space="0" w:color="auto"/>
              <w:left w:val="single" w:sz="6" w:space="0" w:color="auto"/>
              <w:bottom w:val="single" w:sz="6" w:space="0" w:color="auto"/>
              <w:right w:val="single" w:sz="6" w:space="0" w:color="auto"/>
            </w:tcBorders>
          </w:tcPr>
          <w:p w14:paraId="5F02728B" w14:textId="77777777" w:rsidR="00795D22" w:rsidRPr="00FB6300" w:rsidRDefault="00795D22" w:rsidP="00B46AF7">
            <w:pPr>
              <w:tabs>
                <w:tab w:val="left" w:pos="384"/>
                <w:tab w:val="left" w:pos="6816"/>
                <w:tab w:val="right" w:pos="9900"/>
              </w:tabs>
              <w:spacing w:line="240" w:lineRule="exact"/>
              <w:ind w:right="36"/>
              <w:jc w:val="center"/>
              <w:rPr>
                <w:rFonts w:ascii="Arial" w:hAnsi="Arial"/>
                <w:b/>
                <w:color w:val="002060"/>
                <w:sz w:val="24"/>
                <w:szCs w:val="24"/>
              </w:rPr>
            </w:pPr>
            <w:r w:rsidRPr="00FB6300">
              <w:rPr>
                <w:rFonts w:ascii="Arial" w:hAnsi="Arial"/>
                <w:b/>
                <w:color w:val="002060"/>
                <w:sz w:val="24"/>
                <w:szCs w:val="24"/>
              </w:rPr>
              <w:t>Minutes Each</w:t>
            </w:r>
          </w:p>
        </w:tc>
        <w:tc>
          <w:tcPr>
            <w:tcW w:w="2247" w:type="dxa"/>
            <w:tcBorders>
              <w:top w:val="single" w:sz="12" w:space="0" w:color="auto"/>
              <w:left w:val="nil"/>
              <w:bottom w:val="single" w:sz="6" w:space="0" w:color="auto"/>
              <w:right w:val="single" w:sz="12" w:space="0" w:color="auto"/>
            </w:tcBorders>
          </w:tcPr>
          <w:p w14:paraId="7BF13016" w14:textId="77777777" w:rsidR="00795D22" w:rsidRPr="00FB6300" w:rsidRDefault="00D047F9" w:rsidP="00B46AF7">
            <w:pPr>
              <w:tabs>
                <w:tab w:val="left" w:pos="384"/>
                <w:tab w:val="left" w:pos="6816"/>
                <w:tab w:val="right" w:pos="9900"/>
              </w:tabs>
              <w:spacing w:line="240" w:lineRule="exact"/>
              <w:ind w:right="36"/>
              <w:jc w:val="center"/>
              <w:rPr>
                <w:rFonts w:ascii="Arial" w:hAnsi="Arial"/>
                <w:b/>
                <w:color w:val="002060"/>
                <w:sz w:val="24"/>
                <w:szCs w:val="24"/>
              </w:rPr>
            </w:pPr>
            <w:r w:rsidRPr="00FB6300">
              <w:rPr>
                <w:rFonts w:ascii="Arial" w:hAnsi="Arial"/>
                <w:b/>
                <w:color w:val="002060"/>
                <w:sz w:val="24"/>
                <w:szCs w:val="24"/>
              </w:rPr>
              <w:t xml:space="preserve">Burden </w:t>
            </w:r>
            <w:r w:rsidR="00795D22" w:rsidRPr="00FB6300">
              <w:rPr>
                <w:rFonts w:ascii="Arial" w:hAnsi="Arial"/>
                <w:b/>
                <w:color w:val="002060"/>
                <w:sz w:val="24"/>
                <w:szCs w:val="24"/>
              </w:rPr>
              <w:t>Hours</w:t>
            </w:r>
          </w:p>
        </w:tc>
      </w:tr>
      <w:tr w:rsidR="00B46AF7" w:rsidRPr="00B46AF7" w14:paraId="1DA9F15D" w14:textId="77777777" w:rsidTr="00FB6300">
        <w:trPr>
          <w:cantSplit/>
        </w:trPr>
        <w:tc>
          <w:tcPr>
            <w:tcW w:w="2448" w:type="dxa"/>
            <w:tcBorders>
              <w:top w:val="single" w:sz="6" w:space="0" w:color="auto"/>
              <w:left w:val="single" w:sz="12" w:space="0" w:color="auto"/>
              <w:bottom w:val="nil"/>
              <w:right w:val="single" w:sz="6" w:space="0" w:color="auto"/>
            </w:tcBorders>
          </w:tcPr>
          <w:p w14:paraId="087345D1" w14:textId="623793F5" w:rsidR="00795D22" w:rsidRPr="00FB6300" w:rsidRDefault="007E45F9" w:rsidP="00B46AF7">
            <w:pPr>
              <w:tabs>
                <w:tab w:val="left" w:pos="384"/>
                <w:tab w:val="left" w:pos="6816"/>
                <w:tab w:val="right" w:pos="9900"/>
              </w:tabs>
              <w:spacing w:line="240" w:lineRule="exact"/>
              <w:ind w:right="36"/>
              <w:jc w:val="both"/>
              <w:rPr>
                <w:rFonts w:ascii="Arial" w:hAnsi="Arial"/>
                <w:color w:val="002060"/>
                <w:sz w:val="24"/>
                <w:szCs w:val="24"/>
              </w:rPr>
            </w:pPr>
            <w:r w:rsidRPr="00FB6300">
              <w:rPr>
                <w:rFonts w:ascii="Arial" w:hAnsi="Arial"/>
                <w:color w:val="002060"/>
                <w:sz w:val="24"/>
                <w:szCs w:val="24"/>
              </w:rPr>
              <w:t>VA.gov</w:t>
            </w:r>
          </w:p>
        </w:tc>
        <w:tc>
          <w:tcPr>
            <w:tcW w:w="1584" w:type="dxa"/>
            <w:tcBorders>
              <w:top w:val="single" w:sz="6" w:space="0" w:color="auto"/>
              <w:left w:val="nil"/>
              <w:bottom w:val="nil"/>
              <w:right w:val="single" w:sz="6" w:space="0" w:color="auto"/>
            </w:tcBorders>
          </w:tcPr>
          <w:p w14:paraId="494A1581" w14:textId="77777777" w:rsidR="00795D22" w:rsidRPr="00FB6300" w:rsidRDefault="00795D22" w:rsidP="00B46AF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70%</w:t>
            </w:r>
          </w:p>
        </w:tc>
        <w:tc>
          <w:tcPr>
            <w:tcW w:w="1833" w:type="dxa"/>
            <w:tcBorders>
              <w:top w:val="single" w:sz="6" w:space="0" w:color="auto"/>
              <w:left w:val="nil"/>
              <w:bottom w:val="nil"/>
              <w:right w:val="nil"/>
            </w:tcBorders>
          </w:tcPr>
          <w:p w14:paraId="3A27C0A4" w14:textId="093403E9" w:rsidR="00795D22" w:rsidRPr="00FB6300" w:rsidRDefault="00350DD3" w:rsidP="00B46AF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565,107</w:t>
            </w:r>
          </w:p>
        </w:tc>
        <w:tc>
          <w:tcPr>
            <w:tcW w:w="1623" w:type="dxa"/>
            <w:tcBorders>
              <w:top w:val="single" w:sz="6" w:space="0" w:color="auto"/>
              <w:left w:val="single" w:sz="6" w:space="0" w:color="auto"/>
              <w:bottom w:val="nil"/>
              <w:right w:val="single" w:sz="6" w:space="0" w:color="auto"/>
            </w:tcBorders>
          </w:tcPr>
          <w:p w14:paraId="2216380F" w14:textId="77777777" w:rsidR="00795D22" w:rsidRPr="00FB6300" w:rsidRDefault="00795D22" w:rsidP="00B46AF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20</w:t>
            </w:r>
          </w:p>
        </w:tc>
        <w:tc>
          <w:tcPr>
            <w:tcW w:w="2247" w:type="dxa"/>
            <w:tcBorders>
              <w:top w:val="single" w:sz="6" w:space="0" w:color="auto"/>
              <w:left w:val="nil"/>
              <w:bottom w:val="nil"/>
              <w:right w:val="single" w:sz="12" w:space="0" w:color="auto"/>
            </w:tcBorders>
          </w:tcPr>
          <w:p w14:paraId="4971612E" w14:textId="17D84378" w:rsidR="00795D22" w:rsidRPr="00FB6300" w:rsidRDefault="00350DD3" w:rsidP="00B46AF7">
            <w:pPr>
              <w:tabs>
                <w:tab w:val="left" w:pos="384"/>
                <w:tab w:val="left" w:pos="6816"/>
                <w:tab w:val="right" w:pos="9900"/>
              </w:tabs>
              <w:spacing w:line="240" w:lineRule="exact"/>
              <w:ind w:right="36"/>
              <w:jc w:val="center"/>
              <w:rPr>
                <w:rFonts w:ascii="Arial" w:hAnsi="Arial"/>
                <w:color w:val="002060"/>
                <w:sz w:val="24"/>
                <w:szCs w:val="24"/>
                <w:highlight w:val="yellow"/>
              </w:rPr>
            </w:pPr>
            <w:r w:rsidRPr="00FB6300">
              <w:rPr>
                <w:rFonts w:ascii="Arial" w:hAnsi="Arial"/>
                <w:color w:val="002060"/>
                <w:sz w:val="24"/>
                <w:szCs w:val="24"/>
              </w:rPr>
              <w:t>188,369</w:t>
            </w:r>
          </w:p>
        </w:tc>
      </w:tr>
      <w:tr w:rsidR="00B46AF7" w:rsidRPr="00B46AF7" w14:paraId="570A1402" w14:textId="77777777" w:rsidTr="00FB6300">
        <w:trPr>
          <w:cantSplit/>
        </w:trPr>
        <w:tc>
          <w:tcPr>
            <w:tcW w:w="2448" w:type="dxa"/>
            <w:tcBorders>
              <w:top w:val="single" w:sz="6" w:space="0" w:color="auto"/>
              <w:left w:val="single" w:sz="12" w:space="0" w:color="auto"/>
              <w:bottom w:val="nil"/>
              <w:right w:val="single" w:sz="6" w:space="0" w:color="auto"/>
            </w:tcBorders>
          </w:tcPr>
          <w:p w14:paraId="1B9D337C" w14:textId="77777777" w:rsidR="00795D22" w:rsidRPr="00FB6300" w:rsidRDefault="007A6918" w:rsidP="00B46AF7">
            <w:pPr>
              <w:tabs>
                <w:tab w:val="left" w:pos="384"/>
                <w:tab w:val="left" w:pos="6816"/>
                <w:tab w:val="right" w:pos="9900"/>
              </w:tabs>
              <w:spacing w:line="240" w:lineRule="exact"/>
              <w:ind w:right="36"/>
              <w:jc w:val="both"/>
              <w:rPr>
                <w:rFonts w:ascii="Arial" w:hAnsi="Arial"/>
                <w:color w:val="002060"/>
                <w:sz w:val="24"/>
                <w:szCs w:val="24"/>
              </w:rPr>
            </w:pPr>
            <w:r w:rsidRPr="00FB6300">
              <w:rPr>
                <w:rFonts w:ascii="Arial" w:hAnsi="Arial"/>
                <w:color w:val="002060"/>
                <w:sz w:val="24"/>
                <w:szCs w:val="24"/>
              </w:rPr>
              <w:t>P</w:t>
            </w:r>
            <w:r w:rsidR="00795D22" w:rsidRPr="00FB6300">
              <w:rPr>
                <w:rFonts w:ascii="Arial" w:hAnsi="Arial"/>
                <w:color w:val="002060"/>
                <w:sz w:val="24"/>
                <w:szCs w:val="24"/>
              </w:rPr>
              <w:t>aper</w:t>
            </w:r>
          </w:p>
        </w:tc>
        <w:tc>
          <w:tcPr>
            <w:tcW w:w="1584" w:type="dxa"/>
            <w:tcBorders>
              <w:top w:val="single" w:sz="6" w:space="0" w:color="auto"/>
              <w:left w:val="nil"/>
              <w:bottom w:val="nil"/>
              <w:right w:val="single" w:sz="6" w:space="0" w:color="auto"/>
            </w:tcBorders>
          </w:tcPr>
          <w:p w14:paraId="78CCE673" w14:textId="77777777" w:rsidR="00795D22" w:rsidRPr="00FB6300" w:rsidRDefault="00795D22" w:rsidP="00B46AF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30%</w:t>
            </w:r>
          </w:p>
        </w:tc>
        <w:tc>
          <w:tcPr>
            <w:tcW w:w="1833" w:type="dxa"/>
            <w:tcBorders>
              <w:top w:val="single" w:sz="6" w:space="0" w:color="auto"/>
              <w:left w:val="nil"/>
              <w:bottom w:val="nil"/>
              <w:right w:val="nil"/>
            </w:tcBorders>
          </w:tcPr>
          <w:p w14:paraId="67B1B1C7" w14:textId="619B1BE9" w:rsidR="00795D22" w:rsidRPr="00FB6300" w:rsidRDefault="00350DD3" w:rsidP="00B46AF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242,189</w:t>
            </w:r>
          </w:p>
        </w:tc>
        <w:tc>
          <w:tcPr>
            <w:tcW w:w="1623" w:type="dxa"/>
            <w:tcBorders>
              <w:top w:val="single" w:sz="6" w:space="0" w:color="auto"/>
              <w:left w:val="single" w:sz="6" w:space="0" w:color="auto"/>
              <w:bottom w:val="nil"/>
              <w:right w:val="single" w:sz="6" w:space="0" w:color="auto"/>
            </w:tcBorders>
          </w:tcPr>
          <w:p w14:paraId="26FDFDA1" w14:textId="77777777" w:rsidR="00795D22" w:rsidRPr="00FB6300" w:rsidRDefault="00795D22" w:rsidP="00B46AF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15</w:t>
            </w:r>
          </w:p>
        </w:tc>
        <w:tc>
          <w:tcPr>
            <w:tcW w:w="2247" w:type="dxa"/>
            <w:tcBorders>
              <w:top w:val="single" w:sz="6" w:space="0" w:color="auto"/>
              <w:left w:val="nil"/>
              <w:bottom w:val="nil"/>
              <w:right w:val="single" w:sz="12" w:space="0" w:color="auto"/>
            </w:tcBorders>
          </w:tcPr>
          <w:p w14:paraId="78F7D743" w14:textId="168A9536" w:rsidR="00795D22" w:rsidRPr="00FB6300" w:rsidRDefault="00350DD3" w:rsidP="00B46AF7">
            <w:pPr>
              <w:tabs>
                <w:tab w:val="left" w:pos="384"/>
                <w:tab w:val="left" w:pos="6816"/>
                <w:tab w:val="right" w:pos="9900"/>
              </w:tabs>
              <w:spacing w:line="240" w:lineRule="exact"/>
              <w:ind w:right="36"/>
              <w:jc w:val="center"/>
              <w:rPr>
                <w:rFonts w:ascii="Arial" w:hAnsi="Arial"/>
                <w:color w:val="002060"/>
                <w:sz w:val="24"/>
                <w:szCs w:val="24"/>
                <w:highlight w:val="yellow"/>
              </w:rPr>
            </w:pPr>
            <w:r w:rsidRPr="00FB6300">
              <w:rPr>
                <w:rFonts w:ascii="Arial" w:hAnsi="Arial"/>
                <w:color w:val="002060"/>
                <w:sz w:val="24"/>
                <w:szCs w:val="24"/>
              </w:rPr>
              <w:t>60,547</w:t>
            </w:r>
          </w:p>
        </w:tc>
      </w:tr>
      <w:tr w:rsidR="00B46AF7" w:rsidRPr="00B46AF7" w14:paraId="069BD6F6" w14:textId="77777777" w:rsidTr="00FB6300">
        <w:trPr>
          <w:cantSplit/>
        </w:trPr>
        <w:tc>
          <w:tcPr>
            <w:tcW w:w="2448" w:type="dxa"/>
            <w:tcBorders>
              <w:top w:val="single" w:sz="12" w:space="0" w:color="auto"/>
              <w:left w:val="single" w:sz="12" w:space="0" w:color="auto"/>
              <w:bottom w:val="single" w:sz="12" w:space="0" w:color="auto"/>
              <w:right w:val="single" w:sz="6" w:space="0" w:color="auto"/>
            </w:tcBorders>
          </w:tcPr>
          <w:p w14:paraId="38AE7582" w14:textId="77777777" w:rsidR="00D047F9" w:rsidRPr="00FB6300" w:rsidRDefault="00D047F9" w:rsidP="00B46AF7">
            <w:pPr>
              <w:tabs>
                <w:tab w:val="left" w:pos="384"/>
                <w:tab w:val="left" w:pos="6816"/>
                <w:tab w:val="right" w:pos="9900"/>
              </w:tabs>
              <w:spacing w:line="240" w:lineRule="exact"/>
              <w:ind w:right="36"/>
              <w:jc w:val="both"/>
              <w:rPr>
                <w:rFonts w:ascii="Arial" w:hAnsi="Arial"/>
                <w:b/>
                <w:color w:val="002060"/>
                <w:sz w:val="24"/>
                <w:szCs w:val="24"/>
              </w:rPr>
            </w:pPr>
            <w:r w:rsidRPr="00FB6300">
              <w:rPr>
                <w:rFonts w:ascii="Arial" w:hAnsi="Arial"/>
                <w:b/>
                <w:color w:val="002060"/>
                <w:sz w:val="24"/>
                <w:szCs w:val="24"/>
              </w:rPr>
              <w:t xml:space="preserve">Total </w:t>
            </w:r>
          </w:p>
          <w:p w14:paraId="17DEBB78" w14:textId="77777777" w:rsidR="00795D22" w:rsidRPr="00FB6300" w:rsidRDefault="00D047F9" w:rsidP="00B46AF7">
            <w:pPr>
              <w:tabs>
                <w:tab w:val="left" w:pos="384"/>
                <w:tab w:val="left" w:pos="6816"/>
                <w:tab w:val="right" w:pos="9900"/>
              </w:tabs>
              <w:spacing w:line="240" w:lineRule="exact"/>
              <w:ind w:right="36"/>
              <w:jc w:val="both"/>
              <w:rPr>
                <w:rFonts w:ascii="Arial" w:hAnsi="Arial"/>
                <w:b/>
                <w:color w:val="002060"/>
                <w:sz w:val="24"/>
                <w:szCs w:val="24"/>
              </w:rPr>
            </w:pPr>
            <w:r w:rsidRPr="00FB6300">
              <w:rPr>
                <w:rFonts w:ascii="Arial" w:hAnsi="Arial"/>
                <w:b/>
                <w:color w:val="002060"/>
                <w:sz w:val="24"/>
                <w:szCs w:val="24"/>
              </w:rPr>
              <w:t>Burden Hours</w:t>
            </w:r>
          </w:p>
        </w:tc>
        <w:tc>
          <w:tcPr>
            <w:tcW w:w="1584" w:type="dxa"/>
            <w:tcBorders>
              <w:top w:val="single" w:sz="12" w:space="0" w:color="auto"/>
              <w:left w:val="nil"/>
              <w:bottom w:val="single" w:sz="12" w:space="0" w:color="auto"/>
              <w:right w:val="single" w:sz="6" w:space="0" w:color="auto"/>
            </w:tcBorders>
          </w:tcPr>
          <w:p w14:paraId="56CAA9C2" w14:textId="77777777" w:rsidR="00795D22" w:rsidRPr="00FB6300" w:rsidRDefault="00795D22" w:rsidP="00B46AF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100%</w:t>
            </w:r>
          </w:p>
        </w:tc>
        <w:tc>
          <w:tcPr>
            <w:tcW w:w="1833" w:type="dxa"/>
            <w:tcBorders>
              <w:top w:val="single" w:sz="12" w:space="0" w:color="auto"/>
              <w:left w:val="nil"/>
              <w:bottom w:val="single" w:sz="12" w:space="0" w:color="auto"/>
              <w:right w:val="nil"/>
            </w:tcBorders>
          </w:tcPr>
          <w:p w14:paraId="37DF5609" w14:textId="5D8AEABE" w:rsidR="00795D22" w:rsidRPr="00FB6300" w:rsidRDefault="00350DD3" w:rsidP="00B46AF7">
            <w:pPr>
              <w:tabs>
                <w:tab w:val="left" w:pos="384"/>
                <w:tab w:val="left" w:pos="6816"/>
                <w:tab w:val="right" w:pos="9900"/>
              </w:tabs>
              <w:spacing w:line="240" w:lineRule="exact"/>
              <w:ind w:right="36"/>
              <w:jc w:val="center"/>
              <w:rPr>
                <w:rFonts w:ascii="Arial" w:hAnsi="Arial"/>
                <w:color w:val="002060"/>
                <w:sz w:val="24"/>
                <w:szCs w:val="24"/>
              </w:rPr>
            </w:pPr>
            <w:r w:rsidRPr="00FB6300">
              <w:rPr>
                <w:rFonts w:ascii="Arial" w:hAnsi="Arial"/>
                <w:color w:val="002060"/>
                <w:sz w:val="24"/>
                <w:szCs w:val="24"/>
              </w:rPr>
              <w:t>807,296</w:t>
            </w:r>
          </w:p>
        </w:tc>
        <w:tc>
          <w:tcPr>
            <w:tcW w:w="1623" w:type="dxa"/>
            <w:tcBorders>
              <w:top w:val="single" w:sz="12" w:space="0" w:color="auto"/>
              <w:left w:val="single" w:sz="6" w:space="0" w:color="auto"/>
              <w:bottom w:val="single" w:sz="12" w:space="0" w:color="auto"/>
              <w:right w:val="single" w:sz="6" w:space="0" w:color="auto"/>
            </w:tcBorders>
          </w:tcPr>
          <w:p w14:paraId="0DF479F4" w14:textId="77777777" w:rsidR="00795D22" w:rsidRPr="00FB6300" w:rsidRDefault="00360397" w:rsidP="00B46AF7">
            <w:pPr>
              <w:tabs>
                <w:tab w:val="left" w:pos="384"/>
                <w:tab w:val="left" w:pos="6816"/>
                <w:tab w:val="right" w:pos="9900"/>
              </w:tabs>
              <w:spacing w:line="240" w:lineRule="exact"/>
              <w:ind w:right="36"/>
              <w:jc w:val="center"/>
              <w:rPr>
                <w:rFonts w:ascii="Arial" w:hAnsi="Arial"/>
                <w:color w:val="002060"/>
                <w:sz w:val="24"/>
                <w:szCs w:val="24"/>
                <w:highlight w:val="yellow"/>
              </w:rPr>
            </w:pPr>
            <w:r w:rsidRPr="00FB6300">
              <w:rPr>
                <w:rFonts w:ascii="Arial" w:hAnsi="Arial"/>
                <w:color w:val="002060"/>
                <w:sz w:val="24"/>
                <w:szCs w:val="24"/>
              </w:rPr>
              <w:t>N/A</w:t>
            </w:r>
          </w:p>
        </w:tc>
        <w:tc>
          <w:tcPr>
            <w:tcW w:w="2247" w:type="dxa"/>
            <w:tcBorders>
              <w:top w:val="single" w:sz="12" w:space="0" w:color="auto"/>
              <w:left w:val="nil"/>
              <w:bottom w:val="single" w:sz="12" w:space="0" w:color="auto"/>
              <w:right w:val="single" w:sz="12" w:space="0" w:color="auto"/>
            </w:tcBorders>
          </w:tcPr>
          <w:p w14:paraId="76F74195" w14:textId="352A31B0" w:rsidR="00795D22" w:rsidRPr="00FB6300" w:rsidRDefault="00350DD3" w:rsidP="00B46AF7">
            <w:pPr>
              <w:tabs>
                <w:tab w:val="left" w:pos="384"/>
                <w:tab w:val="left" w:pos="6816"/>
                <w:tab w:val="right" w:pos="9900"/>
              </w:tabs>
              <w:spacing w:line="240" w:lineRule="exact"/>
              <w:ind w:right="36"/>
              <w:jc w:val="center"/>
              <w:rPr>
                <w:rFonts w:ascii="Arial" w:hAnsi="Arial"/>
                <w:b/>
                <w:color w:val="002060"/>
                <w:sz w:val="24"/>
                <w:szCs w:val="24"/>
                <w:highlight w:val="yellow"/>
              </w:rPr>
            </w:pPr>
            <w:r w:rsidRPr="00FB6300">
              <w:rPr>
                <w:rFonts w:ascii="Arial" w:hAnsi="Arial"/>
                <w:b/>
                <w:color w:val="002060"/>
                <w:sz w:val="24"/>
                <w:szCs w:val="24"/>
              </w:rPr>
              <w:t>248,916</w:t>
            </w:r>
          </w:p>
        </w:tc>
      </w:tr>
    </w:tbl>
    <w:p w14:paraId="23924927" w14:textId="77777777" w:rsidR="00795D22" w:rsidRPr="001E5428" w:rsidRDefault="00795D22" w:rsidP="00795D22">
      <w:pPr>
        <w:tabs>
          <w:tab w:val="left" w:pos="480"/>
          <w:tab w:val="left" w:pos="1080"/>
          <w:tab w:val="left" w:pos="1680"/>
          <w:tab w:val="left" w:pos="2280"/>
          <w:tab w:val="left" w:pos="2880"/>
        </w:tabs>
        <w:spacing w:line="240" w:lineRule="exact"/>
        <w:ind w:right="36"/>
        <w:jc w:val="both"/>
        <w:rPr>
          <w:rFonts w:ascii="Arial" w:hAnsi="Arial"/>
          <w:sz w:val="24"/>
          <w:szCs w:val="24"/>
        </w:rPr>
      </w:pPr>
    </w:p>
    <w:p w14:paraId="3E0D0FF8" w14:textId="77777777" w:rsidR="00255CCF" w:rsidRDefault="00255CCF" w:rsidP="00795D22">
      <w:pPr>
        <w:tabs>
          <w:tab w:val="left" w:pos="360"/>
          <w:tab w:val="left" w:pos="792"/>
        </w:tabs>
        <w:rPr>
          <w:rFonts w:ascii="Arial" w:hAnsi="Arial"/>
          <w:sz w:val="24"/>
          <w:szCs w:val="24"/>
        </w:rPr>
      </w:pPr>
    </w:p>
    <w:p w14:paraId="61D57141" w14:textId="77777777" w:rsidR="00B46AF7" w:rsidRDefault="00B46AF7" w:rsidP="00F0477B">
      <w:pPr>
        <w:ind w:right="684"/>
        <w:rPr>
          <w:rFonts w:ascii="Arial" w:hAnsi="Arial" w:cs="Arial"/>
          <w:sz w:val="24"/>
          <w:szCs w:val="24"/>
        </w:rPr>
      </w:pPr>
    </w:p>
    <w:p w14:paraId="580AC0C4" w14:textId="77777777" w:rsidR="00B46AF7" w:rsidRDefault="00B46AF7" w:rsidP="00F0477B">
      <w:pPr>
        <w:ind w:right="684"/>
        <w:rPr>
          <w:rFonts w:ascii="Arial" w:hAnsi="Arial" w:cs="Arial"/>
          <w:sz w:val="24"/>
          <w:szCs w:val="24"/>
        </w:rPr>
      </w:pPr>
    </w:p>
    <w:p w14:paraId="1A3544B9" w14:textId="77777777" w:rsidR="00B46AF7" w:rsidRDefault="00B46AF7" w:rsidP="00F0477B">
      <w:pPr>
        <w:ind w:right="684"/>
        <w:rPr>
          <w:rFonts w:ascii="Arial" w:hAnsi="Arial" w:cs="Arial"/>
          <w:sz w:val="24"/>
          <w:szCs w:val="24"/>
        </w:rPr>
      </w:pPr>
    </w:p>
    <w:p w14:paraId="71207CEA" w14:textId="77777777" w:rsidR="00B46AF7" w:rsidRDefault="00B46AF7" w:rsidP="00F0477B">
      <w:pPr>
        <w:ind w:right="684"/>
        <w:rPr>
          <w:rFonts w:ascii="Arial" w:hAnsi="Arial" w:cs="Arial"/>
          <w:sz w:val="24"/>
          <w:szCs w:val="24"/>
        </w:rPr>
      </w:pPr>
    </w:p>
    <w:p w14:paraId="7E19CE58" w14:textId="77777777" w:rsidR="00B46AF7" w:rsidRDefault="00B46AF7" w:rsidP="00F0477B">
      <w:pPr>
        <w:ind w:right="684"/>
        <w:rPr>
          <w:rFonts w:ascii="Arial" w:hAnsi="Arial" w:cs="Arial"/>
          <w:sz w:val="24"/>
          <w:szCs w:val="24"/>
        </w:rPr>
      </w:pPr>
    </w:p>
    <w:p w14:paraId="162A7CC8" w14:textId="4335B2D1" w:rsidR="00F0477B" w:rsidRPr="00F0477B" w:rsidRDefault="00F0477B" w:rsidP="00F0477B">
      <w:pPr>
        <w:ind w:right="684"/>
        <w:rPr>
          <w:rFonts w:ascii="Arial" w:hAnsi="Arial" w:cs="Arial"/>
          <w:sz w:val="24"/>
          <w:szCs w:val="24"/>
        </w:rPr>
      </w:pPr>
      <w:r w:rsidRPr="00F0477B">
        <w:rPr>
          <w:rFonts w:ascii="Arial" w:hAnsi="Arial" w:cs="Arial"/>
          <w:sz w:val="24"/>
          <w:szCs w:val="24"/>
        </w:rPr>
        <w:t>e</w:t>
      </w:r>
      <w:r w:rsidRPr="002F1A2A">
        <w:rPr>
          <w:rFonts w:ascii="Arial" w:hAnsi="Arial" w:cs="Arial"/>
          <w:sz w:val="24"/>
          <w:szCs w:val="24"/>
        </w:rPr>
        <w:t xml:space="preserve">. The respondent population for </w:t>
      </w:r>
      <w:r w:rsidRPr="002F1A2A">
        <w:rPr>
          <w:rFonts w:ascii="Arial" w:hAnsi="Arial" w:cs="Arial"/>
          <w:color w:val="000000"/>
          <w:sz w:val="24"/>
          <w:szCs w:val="24"/>
        </w:rPr>
        <w:t xml:space="preserve">VA Form </w:t>
      </w:r>
      <w:r w:rsidR="00CC2AA3" w:rsidRPr="002F1A2A">
        <w:rPr>
          <w:rFonts w:ascii="Arial" w:hAnsi="Arial" w:cs="Arial"/>
          <w:color w:val="000000"/>
          <w:sz w:val="24"/>
          <w:szCs w:val="24"/>
        </w:rPr>
        <w:t>22-1990</w:t>
      </w:r>
      <w:r w:rsidRPr="002F1A2A">
        <w:rPr>
          <w:rFonts w:ascii="Arial" w:hAnsi="Arial" w:cs="Arial"/>
          <w:sz w:val="24"/>
          <w:szCs w:val="24"/>
        </w:rPr>
        <w:t xml:space="preserve"> is composed of individuals who are</w:t>
      </w:r>
      <w:r w:rsidR="002F1A2A" w:rsidRPr="002F1A2A">
        <w:rPr>
          <w:rFonts w:ascii="Arial" w:hAnsi="Arial" w:cs="Arial"/>
          <w:sz w:val="24"/>
          <w:szCs w:val="24"/>
        </w:rPr>
        <w:t xml:space="preserve"> Veterans</w:t>
      </w:r>
      <w:r w:rsidR="007E45F9">
        <w:rPr>
          <w:rFonts w:ascii="Arial" w:hAnsi="Arial" w:cs="Arial"/>
          <w:sz w:val="24"/>
          <w:szCs w:val="24"/>
        </w:rPr>
        <w:t>, serviceperson, reservists</w:t>
      </w:r>
      <w:r w:rsidR="002F1A2A" w:rsidRPr="002F1A2A">
        <w:rPr>
          <w:rFonts w:ascii="Arial" w:hAnsi="Arial" w:cs="Arial"/>
          <w:sz w:val="24"/>
          <w:szCs w:val="24"/>
        </w:rPr>
        <w:t xml:space="preserve"> and dependent student</w:t>
      </w:r>
      <w:r w:rsidR="00286E01">
        <w:rPr>
          <w:rFonts w:ascii="Arial" w:hAnsi="Arial" w:cs="Arial"/>
          <w:sz w:val="24"/>
          <w:szCs w:val="24"/>
        </w:rPr>
        <w:t>s</w:t>
      </w:r>
      <w:r w:rsidR="002F1A2A" w:rsidRPr="002F1A2A">
        <w:rPr>
          <w:rFonts w:ascii="Arial" w:hAnsi="Arial" w:cs="Arial"/>
          <w:sz w:val="24"/>
          <w:szCs w:val="24"/>
        </w:rPr>
        <w:t>.</w:t>
      </w:r>
      <w:r w:rsidRPr="002F1A2A">
        <w:rPr>
          <w:rFonts w:ascii="Arial" w:hAnsi="Arial" w:cs="Arial"/>
          <w:sz w:val="24"/>
          <w:szCs w:val="24"/>
        </w:rPr>
        <w:t xml:space="preserve"> </w:t>
      </w:r>
      <w:r w:rsidR="004776B2">
        <w:rPr>
          <w:rFonts w:ascii="Arial" w:hAnsi="Arial" w:cs="Arial"/>
          <w:sz w:val="24"/>
          <w:szCs w:val="24"/>
        </w:rPr>
        <w:t xml:space="preserve">VBA </w:t>
      </w:r>
      <w:r w:rsidRPr="00F0477B">
        <w:rPr>
          <w:rFonts w:ascii="Arial" w:hAnsi="Arial" w:cs="Arial"/>
          <w:sz w:val="24"/>
          <w:szCs w:val="24"/>
        </w:rPr>
        <w:t>cannot make further assumptions about the population of respondents because of the variability of factors</w:t>
      </w:r>
      <w:r w:rsidR="00396EBE">
        <w:rPr>
          <w:rFonts w:ascii="Arial" w:hAnsi="Arial" w:cs="Arial"/>
          <w:sz w:val="24"/>
          <w:szCs w:val="24"/>
        </w:rPr>
        <w:t>,</w:t>
      </w:r>
      <w:r w:rsidRPr="00F0477B">
        <w:rPr>
          <w:rFonts w:ascii="Arial" w:hAnsi="Arial" w:cs="Arial"/>
          <w:sz w:val="24"/>
          <w:szCs w:val="24"/>
        </w:rPr>
        <w:t xml:space="preserve"> such as the educational background and wage potential of </w:t>
      </w:r>
      <w:r w:rsidR="002F1A2A">
        <w:rPr>
          <w:rFonts w:ascii="Arial" w:hAnsi="Arial" w:cs="Arial"/>
          <w:sz w:val="24"/>
          <w:szCs w:val="24"/>
        </w:rPr>
        <w:t>r</w:t>
      </w:r>
      <w:r w:rsidRPr="00F0477B">
        <w:rPr>
          <w:rFonts w:ascii="Arial" w:hAnsi="Arial" w:cs="Arial"/>
          <w:sz w:val="24"/>
          <w:szCs w:val="24"/>
        </w:rPr>
        <w:t xml:space="preserve">espondents.  Therefore, </w:t>
      </w:r>
      <w:r w:rsidR="004776B2">
        <w:rPr>
          <w:rFonts w:ascii="Arial" w:hAnsi="Arial" w:cs="Arial"/>
          <w:sz w:val="24"/>
          <w:szCs w:val="24"/>
        </w:rPr>
        <w:t>VBA</w:t>
      </w:r>
      <w:r w:rsidRPr="00F0477B">
        <w:rPr>
          <w:rFonts w:ascii="Arial" w:hAnsi="Arial" w:cs="Arial"/>
          <w:sz w:val="24"/>
          <w:szCs w:val="24"/>
        </w:rPr>
        <w:t xml:space="preserve"> used general wage data to estimate the respondents’ costs associated with completing the information collection. </w:t>
      </w:r>
    </w:p>
    <w:p w14:paraId="7701B668" w14:textId="77777777" w:rsidR="00F0477B" w:rsidRPr="00F0477B" w:rsidRDefault="00F0477B" w:rsidP="00F0477B">
      <w:pPr>
        <w:ind w:left="720"/>
        <w:rPr>
          <w:rFonts w:ascii="Arial" w:hAnsi="Arial" w:cs="Arial"/>
          <w:sz w:val="24"/>
          <w:szCs w:val="24"/>
        </w:rPr>
      </w:pPr>
    </w:p>
    <w:p w14:paraId="17BFA500" w14:textId="77777777" w:rsidR="00FE0622" w:rsidRDefault="002F1A2A" w:rsidP="002F1A2A">
      <w:pPr>
        <w:tabs>
          <w:tab w:val="left" w:pos="480"/>
          <w:tab w:val="left" w:pos="1080"/>
          <w:tab w:val="left" w:pos="1680"/>
        </w:tabs>
        <w:jc w:val="both"/>
        <w:rPr>
          <w:rFonts w:ascii="Arial" w:hAnsi="Arial" w:cs="Arial"/>
          <w:sz w:val="24"/>
          <w:szCs w:val="24"/>
        </w:rPr>
      </w:pPr>
      <w:r w:rsidRPr="002F1A2A">
        <w:rPr>
          <w:rFonts w:ascii="Arial" w:hAnsi="Arial" w:cs="Arial"/>
          <w:sz w:val="24"/>
          <w:szCs w:val="24"/>
        </w:rPr>
        <w:t xml:space="preserve">The Bureau of Labor Statistics gathers information on full-time wage and salary workers.  Accordingly, the </w:t>
      </w:r>
      <w:r w:rsidR="00FE0622">
        <w:rPr>
          <w:rFonts w:ascii="Arial" w:hAnsi="Arial" w:cs="Arial"/>
          <w:sz w:val="24"/>
          <w:szCs w:val="24"/>
        </w:rPr>
        <w:t xml:space="preserve">median weekly earnings of full-time wage and salary workers is $999.20.  Assuming a forty (40) hour work week, the median hourly wage is $24.98.  </w:t>
      </w:r>
    </w:p>
    <w:p w14:paraId="2E29B629" w14:textId="77777777" w:rsidR="00FE0622" w:rsidRDefault="00FE0622" w:rsidP="002F1A2A">
      <w:pPr>
        <w:tabs>
          <w:tab w:val="left" w:pos="480"/>
          <w:tab w:val="left" w:pos="1080"/>
          <w:tab w:val="left" w:pos="1680"/>
        </w:tabs>
        <w:jc w:val="both"/>
        <w:rPr>
          <w:rFonts w:ascii="Arial" w:hAnsi="Arial" w:cs="Arial"/>
          <w:sz w:val="24"/>
          <w:szCs w:val="24"/>
        </w:rPr>
      </w:pPr>
    </w:p>
    <w:p w14:paraId="113E0F79" w14:textId="77777777" w:rsidR="002F1A2A" w:rsidRPr="003E16B0" w:rsidRDefault="00FE0622" w:rsidP="002F1A2A">
      <w:pPr>
        <w:tabs>
          <w:tab w:val="left" w:pos="480"/>
          <w:tab w:val="left" w:pos="1080"/>
          <w:tab w:val="left" w:pos="1680"/>
        </w:tabs>
        <w:jc w:val="both"/>
        <w:rPr>
          <w:rFonts w:ascii="Arial" w:hAnsi="Arial" w:cs="Arial"/>
          <w:sz w:val="24"/>
          <w:szCs w:val="24"/>
        </w:rPr>
      </w:pPr>
      <w:r>
        <w:rPr>
          <w:rFonts w:ascii="Arial" w:hAnsi="Arial" w:cs="Arial"/>
          <w:sz w:val="24"/>
          <w:szCs w:val="24"/>
        </w:rPr>
        <w:t xml:space="preserve">The general wage code of </w:t>
      </w:r>
      <w:r w:rsidR="002F1A2A" w:rsidRPr="003E16B0">
        <w:rPr>
          <w:rFonts w:ascii="Arial" w:hAnsi="Arial" w:cs="Arial"/>
          <w:sz w:val="24"/>
          <w:szCs w:val="24"/>
        </w:rPr>
        <w:t>00-000-0000 for “All Occupations” may be found by clicking this lin</w:t>
      </w:r>
      <w:r w:rsidR="00C23EC7" w:rsidRPr="003E16B0">
        <w:rPr>
          <w:rFonts w:ascii="Arial" w:hAnsi="Arial" w:cs="Arial"/>
          <w:sz w:val="24"/>
          <w:szCs w:val="24"/>
        </w:rPr>
        <w:t>k:</w:t>
      </w:r>
      <w:r w:rsidR="00A528D9" w:rsidRPr="003E16B0">
        <w:rPr>
          <w:rFonts w:ascii="Arial" w:hAnsi="Arial" w:cs="Arial"/>
          <w:color w:val="0E23E8"/>
          <w:sz w:val="24"/>
          <w:szCs w:val="24"/>
        </w:rPr>
        <w:t xml:space="preserve"> </w:t>
      </w:r>
      <w:hyperlink r:id="rId11" w:anchor="00-0000" w:history="1">
        <w:r w:rsidR="00A528D9" w:rsidRPr="003E16B0">
          <w:rPr>
            <w:rStyle w:val="Hyperlink"/>
            <w:rFonts w:ascii="Arial" w:hAnsi="Arial" w:cs="Arial"/>
            <w:sz w:val="24"/>
            <w:szCs w:val="24"/>
          </w:rPr>
          <w:t>https://www.bls.gov/oes/current/oes_nat.htm#00-0000</w:t>
        </w:r>
      </w:hyperlink>
      <w:r w:rsidR="002F1A2A" w:rsidRPr="003E16B0">
        <w:rPr>
          <w:rFonts w:ascii="Arial" w:hAnsi="Arial" w:cs="Arial"/>
          <w:sz w:val="24"/>
          <w:szCs w:val="24"/>
        </w:rPr>
        <w:t> </w:t>
      </w:r>
    </w:p>
    <w:p w14:paraId="14E460DD" w14:textId="77777777" w:rsidR="002F1A2A" w:rsidRDefault="002F1A2A" w:rsidP="002F1A2A">
      <w:pPr>
        <w:pStyle w:val="ListParagraph"/>
        <w:tabs>
          <w:tab w:val="left" w:pos="480"/>
          <w:tab w:val="left" w:pos="1080"/>
          <w:tab w:val="left" w:pos="1680"/>
        </w:tabs>
        <w:jc w:val="both"/>
        <w:rPr>
          <w:rFonts w:ascii="Arial" w:hAnsi="Arial" w:cs="Arial"/>
          <w:sz w:val="24"/>
          <w:szCs w:val="24"/>
        </w:rPr>
      </w:pPr>
    </w:p>
    <w:p w14:paraId="1864B1D7" w14:textId="1108FDB4" w:rsidR="002F1A2A" w:rsidRPr="002F1A2A" w:rsidRDefault="002F1A2A" w:rsidP="002F1A2A">
      <w:pPr>
        <w:tabs>
          <w:tab w:val="left" w:pos="480"/>
          <w:tab w:val="left" w:pos="1080"/>
          <w:tab w:val="left" w:pos="1680"/>
        </w:tabs>
        <w:jc w:val="both"/>
        <w:rPr>
          <w:rFonts w:ascii="Arial" w:hAnsi="Arial" w:cs="Arial"/>
          <w:sz w:val="24"/>
          <w:szCs w:val="24"/>
        </w:rPr>
      </w:pPr>
      <w:r w:rsidRPr="002F1A2A">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D047F9">
        <w:rPr>
          <w:rFonts w:ascii="Arial" w:hAnsi="Arial" w:cs="Arial"/>
          <w:b/>
          <w:sz w:val="24"/>
          <w:szCs w:val="24"/>
        </w:rPr>
        <w:t>$</w:t>
      </w:r>
      <w:r w:rsidR="004776B2">
        <w:rPr>
          <w:rFonts w:ascii="Arial" w:hAnsi="Arial" w:cs="Arial"/>
          <w:b/>
          <w:sz w:val="24"/>
          <w:szCs w:val="24"/>
        </w:rPr>
        <w:t>6,217,921</w:t>
      </w:r>
      <w:r w:rsidR="00FE0622">
        <w:rPr>
          <w:rFonts w:ascii="Arial" w:hAnsi="Arial" w:cs="Arial"/>
          <w:sz w:val="24"/>
          <w:szCs w:val="24"/>
        </w:rPr>
        <w:t xml:space="preserve"> </w:t>
      </w:r>
      <w:r w:rsidRPr="002F1A2A">
        <w:rPr>
          <w:rFonts w:ascii="Arial" w:hAnsi="Arial" w:cs="Arial"/>
          <w:sz w:val="24"/>
          <w:szCs w:val="24"/>
        </w:rPr>
        <w:t>(</w:t>
      </w:r>
      <w:r w:rsidR="004776B2">
        <w:rPr>
          <w:rFonts w:ascii="Arial" w:hAnsi="Arial" w:cs="Arial"/>
          <w:sz w:val="24"/>
          <w:szCs w:val="24"/>
        </w:rPr>
        <w:t>248,916</w:t>
      </w:r>
      <w:r w:rsidR="003E16B0">
        <w:rPr>
          <w:rFonts w:ascii="Arial" w:hAnsi="Arial"/>
          <w:sz w:val="24"/>
          <w:szCs w:val="24"/>
        </w:rPr>
        <w:t xml:space="preserve"> </w:t>
      </w:r>
      <w:r w:rsidRPr="002F1A2A">
        <w:rPr>
          <w:rFonts w:ascii="Arial" w:hAnsi="Arial" w:cs="Arial"/>
          <w:sz w:val="24"/>
          <w:szCs w:val="24"/>
        </w:rPr>
        <w:t>burden hours X $</w:t>
      </w:r>
      <w:r w:rsidR="003E16B0">
        <w:rPr>
          <w:rFonts w:ascii="Arial" w:hAnsi="Arial" w:cs="Arial"/>
          <w:sz w:val="24"/>
          <w:szCs w:val="24"/>
        </w:rPr>
        <w:t>24.98</w:t>
      </w:r>
      <w:r w:rsidRPr="002F1A2A">
        <w:rPr>
          <w:rFonts w:ascii="Arial" w:hAnsi="Arial" w:cs="Arial"/>
          <w:sz w:val="24"/>
          <w:szCs w:val="24"/>
        </w:rPr>
        <w:t xml:space="preserve"> per hour).</w:t>
      </w:r>
    </w:p>
    <w:p w14:paraId="6A073761" w14:textId="77777777" w:rsidR="00F0477B" w:rsidRPr="001E5428" w:rsidRDefault="00F0477B" w:rsidP="00795D22">
      <w:pPr>
        <w:tabs>
          <w:tab w:val="left" w:pos="360"/>
          <w:tab w:val="left" w:pos="792"/>
        </w:tabs>
        <w:rPr>
          <w:rFonts w:ascii="Arial" w:hAnsi="Arial"/>
          <w:sz w:val="24"/>
          <w:szCs w:val="24"/>
        </w:rPr>
      </w:pPr>
    </w:p>
    <w:p w14:paraId="31E47FDF" w14:textId="77777777" w:rsidR="002C1D10" w:rsidRPr="00543C1B" w:rsidRDefault="002C1D10" w:rsidP="002C1D10">
      <w:pPr>
        <w:pStyle w:val="BodyText"/>
        <w:rPr>
          <w:b/>
          <w:szCs w:val="24"/>
        </w:rPr>
      </w:pPr>
      <w:r w:rsidRPr="00543C1B">
        <w:rPr>
          <w:b/>
          <w:szCs w:val="24"/>
        </w:rPr>
        <w:t>13. Provide estimates of the total annual cost burden to respondents or recordkeepers resulting from the collection of</w:t>
      </w:r>
      <w:r>
        <w:rPr>
          <w:b/>
          <w:szCs w:val="24"/>
        </w:rPr>
        <w:t xml:space="preserve"> </w:t>
      </w:r>
      <w:r w:rsidRPr="00543C1B">
        <w:rPr>
          <w:b/>
          <w:szCs w:val="24"/>
        </w:rPr>
        <w:t>information.  (Do not include the cost of any hour burden shown in Items 12 and 14)</w:t>
      </w:r>
      <w:r>
        <w:rPr>
          <w:b/>
          <w:szCs w:val="24"/>
        </w:rPr>
        <w:t>.</w:t>
      </w:r>
    </w:p>
    <w:p w14:paraId="260A5C9D" w14:textId="77777777" w:rsidR="002C1D10" w:rsidRDefault="002C1D10" w:rsidP="00795D22">
      <w:pPr>
        <w:tabs>
          <w:tab w:val="left" w:pos="360"/>
          <w:tab w:val="left" w:pos="792"/>
        </w:tabs>
        <w:rPr>
          <w:rFonts w:ascii="Arial" w:hAnsi="Arial"/>
          <w:sz w:val="24"/>
          <w:szCs w:val="24"/>
        </w:rPr>
      </w:pPr>
    </w:p>
    <w:p w14:paraId="768FBB43" w14:textId="77777777"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This submission does not involve any record keeping costs.</w:t>
      </w:r>
    </w:p>
    <w:p w14:paraId="030FFD71" w14:textId="77777777" w:rsidR="00795D22" w:rsidRPr="001E5428" w:rsidRDefault="00795D22" w:rsidP="00795D22">
      <w:pPr>
        <w:tabs>
          <w:tab w:val="left" w:pos="360"/>
          <w:tab w:val="left" w:pos="792"/>
        </w:tabs>
        <w:rPr>
          <w:rFonts w:ascii="Arial" w:hAnsi="Arial"/>
          <w:sz w:val="24"/>
          <w:szCs w:val="24"/>
          <w:highlight w:val="yellow"/>
        </w:rPr>
      </w:pPr>
    </w:p>
    <w:p w14:paraId="177A9485" w14:textId="77777777" w:rsidR="002C1D10" w:rsidRPr="00543C1B" w:rsidRDefault="002C1D10" w:rsidP="002C1D10">
      <w:pPr>
        <w:pStyle w:val="BodyText"/>
        <w:rPr>
          <w:b/>
          <w:szCs w:val="24"/>
        </w:rPr>
      </w:pPr>
      <w:r w:rsidRPr="00543C1B">
        <w:rPr>
          <w:b/>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4A07C32" w14:textId="77777777" w:rsidR="002C1D10" w:rsidRDefault="002C1D10" w:rsidP="00795D22">
      <w:pPr>
        <w:tabs>
          <w:tab w:val="left" w:pos="360"/>
          <w:tab w:val="left" w:pos="792"/>
        </w:tabs>
        <w:rPr>
          <w:rFonts w:ascii="Arial" w:hAnsi="Arial"/>
          <w:sz w:val="24"/>
          <w:szCs w:val="24"/>
        </w:rPr>
      </w:pPr>
    </w:p>
    <w:p w14:paraId="2BC97EC1" w14:textId="77777777" w:rsidR="002C1D10" w:rsidRDefault="002C1D10" w:rsidP="002C1D10">
      <w:pPr>
        <w:pStyle w:val="BodyText"/>
        <w:rPr>
          <w:rStyle w:val="Hyperlink"/>
          <w:rFonts w:eastAsiaTheme="majorEastAsia" w:cs="Arial"/>
          <w:szCs w:val="24"/>
        </w:rPr>
      </w:pPr>
      <w:r w:rsidRPr="002C5690">
        <w:rPr>
          <w:szCs w:val="24"/>
        </w:rPr>
        <w:t>Estimated</w:t>
      </w:r>
      <w:r w:rsidRPr="002C5690">
        <w:rPr>
          <w:spacing w:val="26"/>
          <w:szCs w:val="24"/>
        </w:rPr>
        <w:t xml:space="preserve"> </w:t>
      </w:r>
      <w:r w:rsidRPr="002C5690">
        <w:rPr>
          <w:szCs w:val="24"/>
        </w:rPr>
        <w:t>Costs</w:t>
      </w:r>
      <w:r w:rsidRPr="002C5690">
        <w:rPr>
          <w:spacing w:val="13"/>
          <w:szCs w:val="24"/>
        </w:rPr>
        <w:t xml:space="preserve"> </w:t>
      </w:r>
      <w:r w:rsidRPr="002C5690">
        <w:rPr>
          <w:szCs w:val="24"/>
        </w:rPr>
        <w:t>to</w:t>
      </w:r>
      <w:r w:rsidRPr="002C5690">
        <w:rPr>
          <w:spacing w:val="21"/>
          <w:szCs w:val="24"/>
        </w:rPr>
        <w:t xml:space="preserve"> </w:t>
      </w:r>
      <w:r w:rsidRPr="002C5690">
        <w:rPr>
          <w:szCs w:val="24"/>
        </w:rPr>
        <w:t>the</w:t>
      </w:r>
      <w:r w:rsidRPr="002C5690">
        <w:rPr>
          <w:spacing w:val="32"/>
          <w:szCs w:val="24"/>
        </w:rPr>
        <w:t xml:space="preserve"> </w:t>
      </w:r>
      <w:r w:rsidRPr="002C5690">
        <w:rPr>
          <w:szCs w:val="24"/>
        </w:rPr>
        <w:t>Federal</w:t>
      </w:r>
      <w:r w:rsidRPr="002C5690">
        <w:rPr>
          <w:spacing w:val="16"/>
          <w:szCs w:val="24"/>
        </w:rPr>
        <w:t xml:space="preserve"> </w:t>
      </w:r>
      <w:r w:rsidRPr="002C5690">
        <w:rPr>
          <w:szCs w:val="24"/>
        </w:rPr>
        <w:t>Government</w:t>
      </w:r>
      <w:r>
        <w:rPr>
          <w:szCs w:val="24"/>
        </w:rPr>
        <w:t xml:space="preserve"> are accessible through this link</w:t>
      </w:r>
      <w:r w:rsidRPr="002C5690">
        <w:rPr>
          <w:szCs w:val="24"/>
        </w:rPr>
        <w:t>:</w:t>
      </w:r>
      <w:r>
        <w:rPr>
          <w:szCs w:val="24"/>
        </w:rPr>
        <w:t xml:space="preserve">  </w:t>
      </w:r>
      <w:hyperlink r:id="rId12" w:history="1">
        <w:r w:rsidRPr="008564F4">
          <w:rPr>
            <w:rStyle w:val="Hyperlink"/>
            <w:rFonts w:eastAsiaTheme="majorEastAsia" w:cs="Arial"/>
            <w:szCs w:val="24"/>
          </w:rPr>
          <w:t>https://www.opm.gov/policy-data-oversight/pay-leave/salaries-wages/2018/general-schedule/</w:t>
        </w:r>
      </w:hyperlink>
    </w:p>
    <w:p w14:paraId="6C107DDD" w14:textId="77777777" w:rsidR="002C1D10" w:rsidRDefault="002C1D10" w:rsidP="002C1D10">
      <w:pPr>
        <w:pStyle w:val="BodyText"/>
        <w:rPr>
          <w:rStyle w:val="Hyperlink"/>
          <w:rFonts w:eastAsiaTheme="majorEastAsia" w:cs="Arial"/>
          <w:szCs w:val="24"/>
        </w:rPr>
      </w:pPr>
    </w:p>
    <w:p w14:paraId="4FB979A0" w14:textId="77777777" w:rsidR="002C1D10" w:rsidRDefault="002C1D10" w:rsidP="002C1D10">
      <w:pPr>
        <w:pStyle w:val="BodyText"/>
        <w:rPr>
          <w:rStyle w:val="Hyperlink"/>
          <w:rFonts w:eastAsiaTheme="majorEastAsia" w:cs="Arial"/>
          <w:szCs w:val="24"/>
        </w:rPr>
      </w:pPr>
    </w:p>
    <w:p w14:paraId="197BD029" w14:textId="77777777" w:rsidR="002C1D10" w:rsidRDefault="002C1D10" w:rsidP="002C1D10">
      <w:pPr>
        <w:pStyle w:val="BodyText"/>
        <w:rPr>
          <w:rStyle w:val="Hyperlink"/>
          <w:rFonts w:eastAsiaTheme="majorEastAsia" w:cs="Arial"/>
          <w:szCs w:val="24"/>
        </w:rPr>
      </w:pPr>
    </w:p>
    <w:p w14:paraId="3DED70FD" w14:textId="77777777" w:rsidR="002C1D10" w:rsidRDefault="002C1D10" w:rsidP="00FB6300">
      <w:pPr>
        <w:pStyle w:val="BodyText"/>
        <w:jc w:val="center"/>
        <w:rPr>
          <w:rStyle w:val="Hyperlink"/>
          <w:rFonts w:eastAsiaTheme="majorEastAsia" w:cs="Arial"/>
          <w:szCs w:val="24"/>
        </w:rPr>
      </w:pPr>
    </w:p>
    <w:tbl>
      <w:tblPr>
        <w:tblStyle w:val="TableGrid"/>
        <w:tblW w:w="9408" w:type="dxa"/>
        <w:jc w:val="center"/>
        <w:tblLook w:val="04A0" w:firstRow="1" w:lastRow="0" w:firstColumn="1" w:lastColumn="0" w:noHBand="0" w:noVBand="1"/>
      </w:tblPr>
      <w:tblGrid>
        <w:gridCol w:w="1213"/>
        <w:gridCol w:w="844"/>
        <w:gridCol w:w="1375"/>
        <w:gridCol w:w="1061"/>
        <w:gridCol w:w="1524"/>
        <w:gridCol w:w="1486"/>
        <w:gridCol w:w="1905"/>
      </w:tblGrid>
      <w:tr w:rsidR="00B46AF7" w:rsidRPr="00B46AF7" w14:paraId="7618F27D" w14:textId="77777777" w:rsidTr="00FB6300">
        <w:trPr>
          <w:trHeight w:val="1255"/>
          <w:jc w:val="center"/>
        </w:trPr>
        <w:tc>
          <w:tcPr>
            <w:tcW w:w="1213" w:type="dxa"/>
          </w:tcPr>
          <w:p w14:paraId="5914674F" w14:textId="77777777" w:rsidR="002C1D10" w:rsidRPr="00B46AF7" w:rsidRDefault="002C1D10" w:rsidP="008605A5">
            <w:pPr>
              <w:pStyle w:val="BodyText"/>
              <w:rPr>
                <w:rStyle w:val="Hyperlink"/>
                <w:rFonts w:eastAsiaTheme="majorEastAsia" w:cs="Arial"/>
                <w:color w:val="002060"/>
                <w:szCs w:val="24"/>
              </w:rPr>
            </w:pPr>
            <w:r w:rsidRPr="00B46AF7">
              <w:rPr>
                <w:rStyle w:val="Hyperlink"/>
                <w:rFonts w:eastAsiaTheme="majorEastAsia" w:cs="Arial"/>
                <w:color w:val="002060"/>
                <w:szCs w:val="24"/>
              </w:rPr>
              <w:t>Grade</w:t>
            </w:r>
          </w:p>
        </w:tc>
        <w:tc>
          <w:tcPr>
            <w:tcW w:w="844" w:type="dxa"/>
          </w:tcPr>
          <w:p w14:paraId="7ECC33E3" w14:textId="77777777" w:rsidR="002C1D10" w:rsidRPr="00B46AF7" w:rsidRDefault="002C1D10" w:rsidP="008605A5">
            <w:pPr>
              <w:pStyle w:val="BodyText"/>
              <w:rPr>
                <w:rStyle w:val="Hyperlink"/>
                <w:rFonts w:eastAsiaTheme="majorEastAsia" w:cs="Arial"/>
                <w:color w:val="002060"/>
                <w:szCs w:val="24"/>
              </w:rPr>
            </w:pPr>
            <w:r w:rsidRPr="00B46AF7">
              <w:rPr>
                <w:rStyle w:val="Hyperlink"/>
                <w:rFonts w:eastAsiaTheme="majorEastAsia" w:cs="Arial"/>
                <w:color w:val="002060"/>
                <w:szCs w:val="24"/>
              </w:rPr>
              <w:t>Step</w:t>
            </w:r>
          </w:p>
        </w:tc>
        <w:tc>
          <w:tcPr>
            <w:tcW w:w="1375" w:type="dxa"/>
          </w:tcPr>
          <w:p w14:paraId="7AEF84C5" w14:textId="77777777" w:rsidR="002C1D10" w:rsidRPr="00B46AF7" w:rsidRDefault="002C1D10" w:rsidP="008605A5">
            <w:pPr>
              <w:pStyle w:val="BodyText"/>
              <w:rPr>
                <w:rStyle w:val="Hyperlink"/>
                <w:rFonts w:eastAsiaTheme="majorEastAsia" w:cs="Arial"/>
                <w:color w:val="002060"/>
                <w:szCs w:val="24"/>
              </w:rPr>
            </w:pPr>
            <w:r w:rsidRPr="00B46AF7">
              <w:rPr>
                <w:rStyle w:val="Hyperlink"/>
                <w:rFonts w:eastAsiaTheme="majorEastAsia" w:cs="Arial"/>
                <w:color w:val="002060"/>
                <w:szCs w:val="24"/>
              </w:rPr>
              <w:t>Burden Time Employee</w:t>
            </w:r>
          </w:p>
        </w:tc>
        <w:tc>
          <w:tcPr>
            <w:tcW w:w="1061" w:type="dxa"/>
          </w:tcPr>
          <w:p w14:paraId="51C57CC4" w14:textId="77777777" w:rsidR="002C1D10" w:rsidRPr="00B46AF7" w:rsidRDefault="002C1D10" w:rsidP="008605A5">
            <w:pPr>
              <w:pStyle w:val="BodyText"/>
              <w:rPr>
                <w:rStyle w:val="Hyperlink"/>
                <w:rFonts w:eastAsiaTheme="majorEastAsia" w:cs="Arial"/>
                <w:color w:val="002060"/>
                <w:szCs w:val="24"/>
              </w:rPr>
            </w:pPr>
            <w:r w:rsidRPr="00B46AF7">
              <w:rPr>
                <w:rStyle w:val="Hyperlink"/>
                <w:rFonts w:eastAsiaTheme="majorEastAsia" w:cs="Arial"/>
                <w:color w:val="002060"/>
                <w:szCs w:val="24"/>
              </w:rPr>
              <w:t>Hourly Wage Rate</w:t>
            </w:r>
          </w:p>
        </w:tc>
        <w:tc>
          <w:tcPr>
            <w:tcW w:w="1524" w:type="dxa"/>
          </w:tcPr>
          <w:p w14:paraId="20504724" w14:textId="77777777" w:rsidR="002C1D10" w:rsidRPr="00B46AF7" w:rsidRDefault="002C1D10" w:rsidP="008605A5">
            <w:pPr>
              <w:pStyle w:val="BodyText"/>
              <w:rPr>
                <w:rStyle w:val="Hyperlink"/>
                <w:rFonts w:eastAsiaTheme="majorEastAsia" w:cs="Arial"/>
                <w:color w:val="002060"/>
                <w:szCs w:val="24"/>
              </w:rPr>
            </w:pPr>
            <w:r w:rsidRPr="00B46AF7">
              <w:rPr>
                <w:rStyle w:val="Hyperlink"/>
                <w:rFonts w:eastAsiaTheme="majorEastAsia" w:cs="Arial"/>
                <w:color w:val="002060"/>
                <w:szCs w:val="24"/>
              </w:rPr>
              <w:t xml:space="preserve">Cost </w:t>
            </w:r>
            <w:r w:rsidR="00927640" w:rsidRPr="00B46AF7">
              <w:rPr>
                <w:rStyle w:val="Hyperlink"/>
                <w:rFonts w:eastAsiaTheme="majorEastAsia" w:cs="Arial"/>
                <w:color w:val="002060"/>
                <w:szCs w:val="24"/>
              </w:rPr>
              <w:t>for</w:t>
            </w:r>
            <w:r w:rsidRPr="00B46AF7">
              <w:rPr>
                <w:rStyle w:val="Hyperlink"/>
                <w:rFonts w:eastAsiaTheme="majorEastAsia" w:cs="Arial"/>
                <w:color w:val="002060"/>
                <w:szCs w:val="24"/>
              </w:rPr>
              <w:t xml:space="preserve"> Response</w:t>
            </w:r>
            <w:r w:rsidR="00FC53B8" w:rsidRPr="00B46AF7">
              <w:rPr>
                <w:rStyle w:val="Hyperlink"/>
                <w:rFonts w:eastAsiaTheme="majorEastAsia" w:cs="Arial"/>
                <w:color w:val="002060"/>
                <w:szCs w:val="24"/>
              </w:rPr>
              <w:t xml:space="preserve"> </w:t>
            </w:r>
            <w:r w:rsidR="00927640" w:rsidRPr="00B46AF7">
              <w:rPr>
                <w:rStyle w:val="Hyperlink"/>
                <w:rFonts w:eastAsiaTheme="majorEastAsia" w:cs="Arial"/>
                <w:color w:val="002060"/>
                <w:szCs w:val="24"/>
              </w:rPr>
              <w:t>on</w:t>
            </w:r>
            <w:r w:rsidR="00FC53B8" w:rsidRPr="00B46AF7">
              <w:rPr>
                <w:rStyle w:val="Hyperlink"/>
                <w:rFonts w:eastAsiaTheme="majorEastAsia" w:cs="Arial"/>
                <w:color w:val="002060"/>
                <w:szCs w:val="24"/>
              </w:rPr>
              <w:t xml:space="preserve"> Paper Application</w:t>
            </w:r>
            <w:r w:rsidR="00927640" w:rsidRPr="00B46AF7">
              <w:rPr>
                <w:rStyle w:val="Hyperlink"/>
                <w:rFonts w:eastAsiaTheme="majorEastAsia" w:cs="Arial"/>
                <w:color w:val="002060"/>
                <w:szCs w:val="24"/>
              </w:rPr>
              <w:t>/ Scanning</w:t>
            </w:r>
          </w:p>
        </w:tc>
        <w:tc>
          <w:tcPr>
            <w:tcW w:w="1483" w:type="dxa"/>
          </w:tcPr>
          <w:p w14:paraId="42C6050C" w14:textId="77777777" w:rsidR="002C1D10" w:rsidRPr="00B46AF7" w:rsidRDefault="001E5A04" w:rsidP="008605A5">
            <w:pPr>
              <w:pStyle w:val="BodyText"/>
              <w:rPr>
                <w:rStyle w:val="Hyperlink"/>
                <w:rFonts w:eastAsiaTheme="majorEastAsia" w:cs="Arial"/>
                <w:color w:val="002060"/>
                <w:szCs w:val="24"/>
              </w:rPr>
            </w:pPr>
            <w:r w:rsidRPr="00B46AF7">
              <w:rPr>
                <w:rStyle w:val="Hyperlink"/>
                <w:rFonts w:eastAsiaTheme="majorEastAsia" w:cs="Arial"/>
                <w:color w:val="002060"/>
                <w:szCs w:val="24"/>
              </w:rPr>
              <w:t xml:space="preserve">Paper </w:t>
            </w:r>
            <w:r w:rsidR="002C1D10" w:rsidRPr="00B46AF7">
              <w:rPr>
                <w:rStyle w:val="Hyperlink"/>
                <w:rFonts w:eastAsiaTheme="majorEastAsia" w:cs="Arial"/>
                <w:color w:val="002060"/>
                <w:szCs w:val="24"/>
              </w:rPr>
              <w:t>Responses</w:t>
            </w:r>
          </w:p>
        </w:tc>
        <w:tc>
          <w:tcPr>
            <w:tcW w:w="1905" w:type="dxa"/>
          </w:tcPr>
          <w:p w14:paraId="41BC7673" w14:textId="77777777" w:rsidR="002C1D10" w:rsidRPr="00B46AF7" w:rsidRDefault="002C1D10" w:rsidP="008605A5">
            <w:pPr>
              <w:pStyle w:val="BodyText"/>
              <w:rPr>
                <w:rStyle w:val="Hyperlink"/>
                <w:rFonts w:eastAsiaTheme="majorEastAsia" w:cs="Arial"/>
                <w:b/>
                <w:color w:val="002060"/>
                <w:szCs w:val="24"/>
              </w:rPr>
            </w:pPr>
            <w:r w:rsidRPr="00B46AF7">
              <w:rPr>
                <w:rStyle w:val="Hyperlink"/>
                <w:rFonts w:eastAsiaTheme="majorEastAsia" w:cs="Arial"/>
                <w:b/>
                <w:color w:val="002060"/>
                <w:szCs w:val="24"/>
              </w:rPr>
              <w:t>Gov. Cost</w:t>
            </w:r>
          </w:p>
        </w:tc>
      </w:tr>
      <w:tr w:rsidR="00B46AF7" w:rsidRPr="00B46AF7" w14:paraId="22DD73DA" w14:textId="77777777" w:rsidTr="00FB6300">
        <w:trPr>
          <w:trHeight w:val="988"/>
          <w:jc w:val="center"/>
        </w:trPr>
        <w:tc>
          <w:tcPr>
            <w:tcW w:w="1213" w:type="dxa"/>
          </w:tcPr>
          <w:p w14:paraId="361BA803" w14:textId="4CE6128A" w:rsidR="004776B2" w:rsidRPr="00B46AF7" w:rsidRDefault="00927640" w:rsidP="005D79E8">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Clerk-</w:t>
            </w:r>
            <w:r w:rsidR="00FC53B8" w:rsidRPr="00B46AF7">
              <w:rPr>
                <w:rStyle w:val="Hyperlink"/>
                <w:rFonts w:eastAsiaTheme="majorEastAsia" w:cs="Arial"/>
                <w:color w:val="002060"/>
                <w:szCs w:val="24"/>
                <w:u w:val="none"/>
              </w:rPr>
              <w:t>G</w:t>
            </w:r>
            <w:r w:rsidR="004776B2" w:rsidRPr="00FB6300">
              <w:rPr>
                <w:rStyle w:val="Hyperlink"/>
                <w:rFonts w:eastAsiaTheme="majorEastAsia" w:cs="Arial"/>
                <w:color w:val="002060"/>
                <w:szCs w:val="24"/>
                <w:u w:val="none"/>
              </w:rPr>
              <w:t>S 06</w:t>
            </w:r>
          </w:p>
        </w:tc>
        <w:tc>
          <w:tcPr>
            <w:tcW w:w="844" w:type="dxa"/>
          </w:tcPr>
          <w:p w14:paraId="64572DD3" w14:textId="77777777" w:rsidR="005D79E8" w:rsidRPr="00B46AF7" w:rsidRDefault="005D79E8" w:rsidP="008605A5">
            <w:pPr>
              <w:pStyle w:val="BodyText"/>
              <w:jc w:val="center"/>
              <w:rPr>
                <w:rStyle w:val="Hyperlink"/>
                <w:rFonts w:eastAsiaTheme="majorEastAsia" w:cs="Arial"/>
                <w:color w:val="002060"/>
                <w:szCs w:val="24"/>
                <w:u w:val="none"/>
              </w:rPr>
            </w:pPr>
          </w:p>
          <w:p w14:paraId="5E0945A4" w14:textId="4EC7DC31" w:rsidR="002C1D10" w:rsidRPr="00B46AF7" w:rsidRDefault="002C1D10"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05</w:t>
            </w:r>
          </w:p>
        </w:tc>
        <w:tc>
          <w:tcPr>
            <w:tcW w:w="1375" w:type="dxa"/>
          </w:tcPr>
          <w:p w14:paraId="27D67499" w14:textId="77777777" w:rsidR="005D79E8" w:rsidRPr="00B46AF7" w:rsidRDefault="005D79E8" w:rsidP="008605A5">
            <w:pPr>
              <w:pStyle w:val="BodyText"/>
              <w:jc w:val="center"/>
              <w:rPr>
                <w:rStyle w:val="Hyperlink"/>
                <w:rFonts w:eastAsiaTheme="majorEastAsia" w:cs="Arial"/>
                <w:color w:val="002060"/>
                <w:szCs w:val="24"/>
                <w:u w:val="none"/>
              </w:rPr>
            </w:pPr>
          </w:p>
          <w:p w14:paraId="24C19A84" w14:textId="0AA2EFCE" w:rsidR="002C1D10" w:rsidRPr="00B46AF7" w:rsidRDefault="00155F5B"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5</w:t>
            </w:r>
            <w:r w:rsidR="002C1D10" w:rsidRPr="00B46AF7">
              <w:rPr>
                <w:rStyle w:val="Hyperlink"/>
                <w:rFonts w:eastAsiaTheme="majorEastAsia" w:cs="Arial"/>
                <w:color w:val="002060"/>
                <w:szCs w:val="24"/>
                <w:u w:val="none"/>
              </w:rPr>
              <w:t>min</w:t>
            </w:r>
          </w:p>
        </w:tc>
        <w:tc>
          <w:tcPr>
            <w:tcW w:w="1061" w:type="dxa"/>
          </w:tcPr>
          <w:p w14:paraId="6C9E1199" w14:textId="77777777" w:rsidR="005D79E8" w:rsidRPr="00B46AF7" w:rsidRDefault="005D79E8" w:rsidP="008605A5">
            <w:pPr>
              <w:pStyle w:val="BodyText"/>
              <w:jc w:val="center"/>
              <w:rPr>
                <w:rStyle w:val="Hyperlink"/>
                <w:rFonts w:eastAsiaTheme="majorEastAsia" w:cs="Arial"/>
                <w:color w:val="002060"/>
                <w:szCs w:val="24"/>
                <w:u w:val="none"/>
              </w:rPr>
            </w:pPr>
          </w:p>
          <w:p w14:paraId="3251900C" w14:textId="3AF1E2FF" w:rsidR="002C1D10" w:rsidRPr="00B46AF7" w:rsidRDefault="002C1D10"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w:t>
            </w:r>
            <w:r w:rsidR="004776B2" w:rsidRPr="00B46AF7">
              <w:rPr>
                <w:rStyle w:val="Hyperlink"/>
                <w:rFonts w:eastAsiaTheme="majorEastAsia" w:cs="Arial"/>
                <w:color w:val="002060"/>
                <w:szCs w:val="24"/>
                <w:u w:val="none"/>
              </w:rPr>
              <w:t>20.55</w:t>
            </w:r>
          </w:p>
        </w:tc>
        <w:tc>
          <w:tcPr>
            <w:tcW w:w="1524" w:type="dxa"/>
          </w:tcPr>
          <w:p w14:paraId="25CF0B71" w14:textId="77777777" w:rsidR="005D79E8" w:rsidRPr="00B46AF7" w:rsidRDefault="005D79E8" w:rsidP="008605A5">
            <w:pPr>
              <w:pStyle w:val="BodyText"/>
              <w:jc w:val="center"/>
              <w:rPr>
                <w:rStyle w:val="Hyperlink"/>
                <w:rFonts w:eastAsiaTheme="majorEastAsia" w:cs="Arial"/>
                <w:color w:val="002060"/>
                <w:szCs w:val="24"/>
                <w:u w:val="none"/>
              </w:rPr>
            </w:pPr>
          </w:p>
          <w:p w14:paraId="7E0FEAE1" w14:textId="2A01E586" w:rsidR="002C1D10" w:rsidRPr="00B46AF7" w:rsidRDefault="00E2010A"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N/A</w:t>
            </w:r>
          </w:p>
        </w:tc>
        <w:tc>
          <w:tcPr>
            <w:tcW w:w="1483" w:type="dxa"/>
          </w:tcPr>
          <w:p w14:paraId="3054A135" w14:textId="77777777" w:rsidR="005D79E8" w:rsidRPr="00B46AF7" w:rsidRDefault="005D79E8" w:rsidP="008605A5">
            <w:pPr>
              <w:pStyle w:val="BodyText"/>
              <w:jc w:val="center"/>
              <w:rPr>
                <w:color w:val="002060"/>
                <w:szCs w:val="24"/>
              </w:rPr>
            </w:pPr>
          </w:p>
          <w:p w14:paraId="43B2C7BA" w14:textId="06E23D41" w:rsidR="002C1D10" w:rsidRPr="00B46AF7" w:rsidRDefault="004776B2" w:rsidP="008605A5">
            <w:pPr>
              <w:pStyle w:val="BodyText"/>
              <w:jc w:val="center"/>
              <w:rPr>
                <w:rStyle w:val="Hyperlink"/>
                <w:rFonts w:eastAsiaTheme="majorEastAsia" w:cs="Arial"/>
                <w:color w:val="002060"/>
                <w:szCs w:val="24"/>
              </w:rPr>
            </w:pPr>
            <w:r w:rsidRPr="00B46AF7">
              <w:rPr>
                <w:color w:val="002060"/>
                <w:szCs w:val="24"/>
              </w:rPr>
              <w:t>2</w:t>
            </w:r>
            <w:r w:rsidRPr="00FB6300">
              <w:rPr>
                <w:color w:val="002060"/>
              </w:rPr>
              <w:t>42,189</w:t>
            </w:r>
          </w:p>
        </w:tc>
        <w:tc>
          <w:tcPr>
            <w:tcW w:w="1905" w:type="dxa"/>
          </w:tcPr>
          <w:p w14:paraId="3CA50C81" w14:textId="280C4CB2" w:rsidR="002C1D10" w:rsidRPr="00B46AF7" w:rsidRDefault="002C1D10" w:rsidP="008605A5">
            <w:pPr>
              <w:pStyle w:val="BodyText"/>
              <w:jc w:val="center"/>
              <w:rPr>
                <w:rStyle w:val="Hyperlink"/>
                <w:rFonts w:eastAsiaTheme="majorEastAsia" w:cs="Arial"/>
                <w:color w:val="002060"/>
                <w:szCs w:val="24"/>
                <w:u w:val="none"/>
              </w:rPr>
            </w:pPr>
            <w:r w:rsidRPr="00B46AF7">
              <w:rPr>
                <w:rStyle w:val="Hyperlink"/>
                <w:rFonts w:eastAsiaTheme="majorEastAsia" w:cs="Arial"/>
                <w:b/>
                <w:color w:val="002060"/>
                <w:szCs w:val="24"/>
                <w:u w:val="none"/>
              </w:rPr>
              <w:t>$</w:t>
            </w:r>
            <w:r w:rsidR="002C3094" w:rsidRPr="00B46AF7">
              <w:rPr>
                <w:rStyle w:val="Hyperlink"/>
                <w:rFonts w:eastAsiaTheme="majorEastAsia" w:cs="Arial"/>
                <w:b/>
                <w:color w:val="002060"/>
                <w:szCs w:val="24"/>
                <w:u w:val="none"/>
              </w:rPr>
              <w:t>414,748</w:t>
            </w:r>
            <w:r w:rsidR="00FC53B8" w:rsidRPr="00B46AF7">
              <w:rPr>
                <w:rStyle w:val="Hyperlink"/>
                <w:rFonts w:eastAsiaTheme="majorEastAsia" w:cs="Arial"/>
                <w:color w:val="002060"/>
                <w:szCs w:val="24"/>
                <w:u w:val="none"/>
              </w:rPr>
              <w:t xml:space="preserve"> (</w:t>
            </w:r>
            <w:r w:rsidR="004776B2" w:rsidRPr="00B46AF7">
              <w:rPr>
                <w:rStyle w:val="Hyperlink"/>
                <w:rFonts w:eastAsiaTheme="majorEastAsia" w:cs="Arial"/>
                <w:color w:val="002060"/>
                <w:szCs w:val="24"/>
                <w:u w:val="none"/>
              </w:rPr>
              <w:t>242,189</w:t>
            </w:r>
            <w:r w:rsidRPr="00B46AF7">
              <w:rPr>
                <w:rStyle w:val="Hyperlink"/>
                <w:rFonts w:eastAsiaTheme="majorEastAsia" w:cs="Arial"/>
                <w:color w:val="002060"/>
                <w:szCs w:val="24"/>
                <w:u w:val="none"/>
              </w:rPr>
              <w:t xml:space="preserve"> X $</w:t>
            </w:r>
            <w:r w:rsidR="004776B2" w:rsidRPr="00B46AF7">
              <w:rPr>
                <w:rStyle w:val="Hyperlink"/>
                <w:rFonts w:eastAsiaTheme="majorEastAsia" w:cs="Arial"/>
                <w:color w:val="002060"/>
                <w:szCs w:val="24"/>
                <w:u w:val="none"/>
              </w:rPr>
              <w:t>20.55</w:t>
            </w:r>
            <w:r w:rsidRPr="00B46AF7">
              <w:rPr>
                <w:rStyle w:val="Hyperlink"/>
                <w:rFonts w:eastAsiaTheme="majorEastAsia" w:cs="Arial"/>
                <w:color w:val="002060"/>
                <w:szCs w:val="24"/>
                <w:u w:val="none"/>
              </w:rPr>
              <w:t xml:space="preserve"> X </w:t>
            </w:r>
            <w:r w:rsidR="00E2010A" w:rsidRPr="00B46AF7">
              <w:rPr>
                <w:rStyle w:val="Hyperlink"/>
                <w:rFonts w:eastAsiaTheme="majorEastAsia" w:cs="Arial"/>
                <w:color w:val="002060"/>
                <w:szCs w:val="24"/>
                <w:u w:val="none"/>
              </w:rPr>
              <w:t xml:space="preserve">5 </w:t>
            </w:r>
            <w:r w:rsidRPr="00B46AF7">
              <w:rPr>
                <w:rStyle w:val="Hyperlink"/>
                <w:rFonts w:eastAsiaTheme="majorEastAsia" w:cs="Arial"/>
                <w:color w:val="002060"/>
                <w:szCs w:val="24"/>
                <w:u w:val="none"/>
              </w:rPr>
              <w:t>/ 60)</w:t>
            </w:r>
          </w:p>
        </w:tc>
      </w:tr>
      <w:tr w:rsidR="00B46AF7" w:rsidRPr="00B46AF7" w14:paraId="23C7E02D" w14:textId="77777777" w:rsidTr="00FB6300">
        <w:trPr>
          <w:trHeight w:val="753"/>
          <w:jc w:val="center"/>
        </w:trPr>
        <w:tc>
          <w:tcPr>
            <w:tcW w:w="1213" w:type="dxa"/>
          </w:tcPr>
          <w:p w14:paraId="24B23482" w14:textId="77777777" w:rsidR="008F741F" w:rsidRPr="00B46AF7" w:rsidRDefault="008F741F" w:rsidP="008605A5">
            <w:pPr>
              <w:pStyle w:val="BodyText"/>
              <w:jc w:val="center"/>
              <w:rPr>
                <w:rStyle w:val="Hyperlink"/>
                <w:rFonts w:eastAsiaTheme="majorEastAsia" w:cs="Arial"/>
                <w:color w:val="002060"/>
                <w:szCs w:val="24"/>
              </w:rPr>
            </w:pPr>
            <w:r w:rsidRPr="00B46AF7">
              <w:rPr>
                <w:rStyle w:val="Hyperlink"/>
                <w:rFonts w:eastAsiaTheme="majorEastAsia" w:cs="Arial"/>
                <w:color w:val="002060"/>
                <w:szCs w:val="24"/>
              </w:rPr>
              <w:t>Grade</w:t>
            </w:r>
          </w:p>
        </w:tc>
        <w:tc>
          <w:tcPr>
            <w:tcW w:w="844" w:type="dxa"/>
          </w:tcPr>
          <w:p w14:paraId="63952F8C" w14:textId="77777777" w:rsidR="008F741F" w:rsidRPr="00B46AF7" w:rsidRDefault="008F741F" w:rsidP="008605A5">
            <w:pPr>
              <w:pStyle w:val="BodyText"/>
              <w:jc w:val="center"/>
              <w:rPr>
                <w:rStyle w:val="Hyperlink"/>
                <w:rFonts w:eastAsiaTheme="majorEastAsia" w:cs="Arial"/>
                <w:color w:val="002060"/>
                <w:szCs w:val="24"/>
              </w:rPr>
            </w:pPr>
            <w:r w:rsidRPr="00B46AF7">
              <w:rPr>
                <w:rStyle w:val="Hyperlink"/>
                <w:rFonts w:eastAsiaTheme="majorEastAsia" w:cs="Arial"/>
                <w:color w:val="002060"/>
                <w:szCs w:val="24"/>
              </w:rPr>
              <w:t>Step</w:t>
            </w:r>
          </w:p>
        </w:tc>
        <w:tc>
          <w:tcPr>
            <w:tcW w:w="1375" w:type="dxa"/>
          </w:tcPr>
          <w:p w14:paraId="6D4E0345" w14:textId="77777777" w:rsidR="008F741F" w:rsidRPr="00B46AF7" w:rsidRDefault="008F741F" w:rsidP="008605A5">
            <w:pPr>
              <w:pStyle w:val="BodyText"/>
              <w:jc w:val="center"/>
              <w:rPr>
                <w:rStyle w:val="Hyperlink"/>
                <w:rFonts w:eastAsiaTheme="majorEastAsia" w:cs="Arial"/>
                <w:color w:val="002060"/>
                <w:szCs w:val="24"/>
              </w:rPr>
            </w:pPr>
            <w:r w:rsidRPr="00B46AF7">
              <w:rPr>
                <w:rStyle w:val="Hyperlink"/>
                <w:rFonts w:eastAsiaTheme="majorEastAsia" w:cs="Arial"/>
                <w:color w:val="002060"/>
                <w:szCs w:val="24"/>
              </w:rPr>
              <w:t>Burden Time Employee</w:t>
            </w:r>
          </w:p>
        </w:tc>
        <w:tc>
          <w:tcPr>
            <w:tcW w:w="1061" w:type="dxa"/>
          </w:tcPr>
          <w:p w14:paraId="64E0601B" w14:textId="77777777" w:rsidR="008F741F" w:rsidRPr="00B46AF7" w:rsidRDefault="008F741F" w:rsidP="008605A5">
            <w:pPr>
              <w:pStyle w:val="BodyText"/>
              <w:jc w:val="center"/>
              <w:rPr>
                <w:rStyle w:val="Hyperlink"/>
                <w:rFonts w:eastAsiaTheme="majorEastAsia" w:cs="Arial"/>
                <w:color w:val="002060"/>
                <w:szCs w:val="24"/>
              </w:rPr>
            </w:pPr>
            <w:r w:rsidRPr="00B46AF7">
              <w:rPr>
                <w:rStyle w:val="Hyperlink"/>
                <w:rFonts w:eastAsiaTheme="majorEastAsia" w:cs="Arial"/>
                <w:color w:val="002060"/>
                <w:szCs w:val="24"/>
              </w:rPr>
              <w:t>Hourly Wage</w:t>
            </w:r>
          </w:p>
          <w:p w14:paraId="0ED3D756" w14:textId="77777777" w:rsidR="008F741F" w:rsidRPr="00B46AF7" w:rsidRDefault="008F741F" w:rsidP="008605A5">
            <w:pPr>
              <w:pStyle w:val="BodyText"/>
              <w:jc w:val="center"/>
              <w:rPr>
                <w:rStyle w:val="Hyperlink"/>
                <w:rFonts w:eastAsiaTheme="majorEastAsia" w:cs="Arial"/>
                <w:color w:val="002060"/>
                <w:szCs w:val="24"/>
              </w:rPr>
            </w:pPr>
            <w:r w:rsidRPr="00B46AF7">
              <w:rPr>
                <w:rStyle w:val="Hyperlink"/>
                <w:rFonts w:eastAsiaTheme="majorEastAsia" w:cs="Arial"/>
                <w:color w:val="002060"/>
                <w:szCs w:val="24"/>
              </w:rPr>
              <w:t>Rate</w:t>
            </w:r>
          </w:p>
        </w:tc>
        <w:tc>
          <w:tcPr>
            <w:tcW w:w="1524" w:type="dxa"/>
          </w:tcPr>
          <w:p w14:paraId="6FF8A474" w14:textId="77777777" w:rsidR="008F741F" w:rsidRPr="00B46AF7" w:rsidRDefault="008F741F" w:rsidP="008605A5">
            <w:pPr>
              <w:pStyle w:val="BodyText"/>
              <w:jc w:val="center"/>
              <w:rPr>
                <w:rStyle w:val="Hyperlink"/>
                <w:rFonts w:eastAsiaTheme="majorEastAsia" w:cs="Arial"/>
                <w:color w:val="002060"/>
                <w:szCs w:val="24"/>
              </w:rPr>
            </w:pPr>
            <w:r w:rsidRPr="00B46AF7">
              <w:rPr>
                <w:rStyle w:val="Hyperlink"/>
                <w:rFonts w:eastAsiaTheme="majorEastAsia" w:cs="Arial"/>
                <w:color w:val="002060"/>
                <w:szCs w:val="24"/>
              </w:rPr>
              <w:t xml:space="preserve">Cost </w:t>
            </w:r>
            <w:r w:rsidR="00927640" w:rsidRPr="00B46AF7">
              <w:rPr>
                <w:rStyle w:val="Hyperlink"/>
                <w:rFonts w:eastAsiaTheme="majorEastAsia" w:cs="Arial"/>
                <w:color w:val="002060"/>
                <w:szCs w:val="24"/>
              </w:rPr>
              <w:t xml:space="preserve">for Total </w:t>
            </w:r>
            <w:r w:rsidRPr="00B46AF7">
              <w:rPr>
                <w:rStyle w:val="Hyperlink"/>
                <w:rFonts w:eastAsiaTheme="majorEastAsia" w:cs="Arial"/>
                <w:color w:val="002060"/>
                <w:szCs w:val="24"/>
              </w:rPr>
              <w:t xml:space="preserve"> Response</w:t>
            </w:r>
            <w:r w:rsidR="00927640" w:rsidRPr="00B46AF7">
              <w:rPr>
                <w:rStyle w:val="Hyperlink"/>
                <w:rFonts w:eastAsiaTheme="majorEastAsia" w:cs="Arial"/>
                <w:color w:val="002060"/>
                <w:szCs w:val="24"/>
              </w:rPr>
              <w:t>s</w:t>
            </w:r>
          </w:p>
        </w:tc>
        <w:tc>
          <w:tcPr>
            <w:tcW w:w="1483" w:type="dxa"/>
          </w:tcPr>
          <w:p w14:paraId="30C9E868" w14:textId="77777777" w:rsidR="008F741F" w:rsidRPr="00B46AF7" w:rsidRDefault="008F741F" w:rsidP="008605A5">
            <w:pPr>
              <w:pStyle w:val="BodyText"/>
              <w:jc w:val="center"/>
              <w:rPr>
                <w:color w:val="002060"/>
                <w:szCs w:val="24"/>
              </w:rPr>
            </w:pPr>
            <w:r w:rsidRPr="00B46AF7">
              <w:rPr>
                <w:color w:val="002060"/>
                <w:szCs w:val="24"/>
              </w:rPr>
              <w:t>T</w:t>
            </w:r>
            <w:r w:rsidRPr="00B46AF7">
              <w:rPr>
                <w:color w:val="002060"/>
              </w:rPr>
              <w:t>otal Responses</w:t>
            </w:r>
          </w:p>
        </w:tc>
        <w:tc>
          <w:tcPr>
            <w:tcW w:w="1905" w:type="dxa"/>
          </w:tcPr>
          <w:p w14:paraId="4CE5B7C5" w14:textId="77777777" w:rsidR="008F741F" w:rsidRPr="00B46AF7" w:rsidRDefault="008F741F" w:rsidP="008605A5">
            <w:pPr>
              <w:pStyle w:val="BodyText"/>
              <w:jc w:val="center"/>
              <w:rPr>
                <w:rStyle w:val="Hyperlink"/>
                <w:rFonts w:eastAsiaTheme="majorEastAsia" w:cs="Arial"/>
                <w:color w:val="002060"/>
                <w:szCs w:val="24"/>
              </w:rPr>
            </w:pPr>
          </w:p>
        </w:tc>
      </w:tr>
      <w:tr w:rsidR="00B46AF7" w:rsidRPr="00B46AF7" w14:paraId="14BF3456" w14:textId="77777777" w:rsidTr="00FB6300">
        <w:trPr>
          <w:trHeight w:val="1004"/>
          <w:jc w:val="center"/>
        </w:trPr>
        <w:tc>
          <w:tcPr>
            <w:tcW w:w="1213" w:type="dxa"/>
          </w:tcPr>
          <w:p w14:paraId="20C3AA1D" w14:textId="7AE72400" w:rsidR="008F741F" w:rsidRPr="00B46AF7" w:rsidRDefault="00BF0D53" w:rsidP="008605A5">
            <w:pPr>
              <w:pStyle w:val="BodyText"/>
              <w:jc w:val="center"/>
              <w:rPr>
                <w:rStyle w:val="Hyperlink"/>
                <w:rFonts w:eastAsiaTheme="majorEastAsia" w:cs="Arial"/>
                <w:color w:val="002060"/>
                <w:szCs w:val="24"/>
              </w:rPr>
            </w:pPr>
            <w:r w:rsidRPr="00B46AF7">
              <w:rPr>
                <w:rStyle w:val="Hyperlink"/>
                <w:rFonts w:eastAsiaTheme="majorEastAsia" w:cs="Arial"/>
                <w:color w:val="002060"/>
                <w:szCs w:val="24"/>
                <w:u w:val="none"/>
              </w:rPr>
              <w:t xml:space="preserve">  VCE</w:t>
            </w:r>
            <w:r w:rsidR="004776B2" w:rsidRPr="00B46AF7">
              <w:rPr>
                <w:rStyle w:val="Hyperlink"/>
                <w:rFonts w:eastAsiaTheme="majorEastAsia" w:cs="Arial"/>
                <w:color w:val="002060"/>
                <w:szCs w:val="24"/>
                <w:u w:val="none"/>
              </w:rPr>
              <w:t>-</w:t>
            </w:r>
            <w:r w:rsidR="008F741F" w:rsidRPr="00B46AF7">
              <w:rPr>
                <w:rStyle w:val="Hyperlink"/>
                <w:rFonts w:eastAsiaTheme="majorEastAsia" w:cs="Arial"/>
                <w:color w:val="002060"/>
                <w:szCs w:val="24"/>
                <w:u w:val="none"/>
              </w:rPr>
              <w:t>GS 0</w:t>
            </w:r>
            <w:r w:rsidR="001E5A04" w:rsidRPr="00B46AF7">
              <w:rPr>
                <w:rStyle w:val="Hyperlink"/>
                <w:rFonts w:eastAsiaTheme="majorEastAsia" w:cs="Arial"/>
                <w:color w:val="002060"/>
                <w:szCs w:val="24"/>
                <w:u w:val="none"/>
              </w:rPr>
              <w:t>9</w:t>
            </w:r>
          </w:p>
        </w:tc>
        <w:tc>
          <w:tcPr>
            <w:tcW w:w="844" w:type="dxa"/>
          </w:tcPr>
          <w:p w14:paraId="20B91B13" w14:textId="77777777" w:rsidR="005D79E8" w:rsidRPr="00B46AF7" w:rsidRDefault="005D79E8" w:rsidP="008605A5">
            <w:pPr>
              <w:pStyle w:val="BodyText"/>
              <w:jc w:val="center"/>
              <w:rPr>
                <w:rStyle w:val="Hyperlink"/>
                <w:rFonts w:eastAsiaTheme="majorEastAsia" w:cs="Arial"/>
                <w:color w:val="002060"/>
                <w:szCs w:val="24"/>
                <w:u w:val="none"/>
              </w:rPr>
            </w:pPr>
          </w:p>
          <w:p w14:paraId="0D61DF3F" w14:textId="1ABB5BAF" w:rsidR="008F741F" w:rsidRPr="00B46AF7" w:rsidRDefault="008F741F"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05</w:t>
            </w:r>
          </w:p>
        </w:tc>
        <w:tc>
          <w:tcPr>
            <w:tcW w:w="1375" w:type="dxa"/>
          </w:tcPr>
          <w:p w14:paraId="79AF8ED2" w14:textId="77777777" w:rsidR="005D79E8" w:rsidRPr="00B46AF7" w:rsidRDefault="005D79E8" w:rsidP="008605A5">
            <w:pPr>
              <w:pStyle w:val="BodyText"/>
              <w:jc w:val="center"/>
              <w:rPr>
                <w:rStyle w:val="Hyperlink"/>
                <w:rFonts w:eastAsiaTheme="majorEastAsia" w:cs="Arial"/>
                <w:color w:val="002060"/>
                <w:szCs w:val="24"/>
                <w:u w:val="none"/>
              </w:rPr>
            </w:pPr>
          </w:p>
          <w:p w14:paraId="7EBE3D03" w14:textId="4BFE6683" w:rsidR="008F741F" w:rsidRPr="00B46AF7" w:rsidRDefault="001E5A04"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40</w:t>
            </w:r>
            <w:r w:rsidR="008F741F" w:rsidRPr="00B46AF7">
              <w:rPr>
                <w:rStyle w:val="Hyperlink"/>
                <w:rFonts w:eastAsiaTheme="majorEastAsia" w:cs="Arial"/>
                <w:color w:val="002060"/>
                <w:szCs w:val="24"/>
                <w:u w:val="none"/>
              </w:rPr>
              <w:t>min</w:t>
            </w:r>
          </w:p>
        </w:tc>
        <w:tc>
          <w:tcPr>
            <w:tcW w:w="1061" w:type="dxa"/>
          </w:tcPr>
          <w:p w14:paraId="76989B76" w14:textId="77777777" w:rsidR="005D79E8" w:rsidRPr="00B46AF7" w:rsidRDefault="005D79E8" w:rsidP="008605A5">
            <w:pPr>
              <w:pStyle w:val="BodyText"/>
              <w:jc w:val="center"/>
              <w:rPr>
                <w:rStyle w:val="Hyperlink"/>
                <w:rFonts w:eastAsiaTheme="majorEastAsia" w:cs="Arial"/>
                <w:color w:val="002060"/>
                <w:szCs w:val="24"/>
                <w:u w:val="none"/>
              </w:rPr>
            </w:pPr>
          </w:p>
          <w:p w14:paraId="6337A714" w14:textId="7AED245A" w:rsidR="008F741F" w:rsidRPr="00B46AF7" w:rsidRDefault="008F741F"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w:t>
            </w:r>
            <w:r w:rsidR="00927640" w:rsidRPr="00B46AF7">
              <w:rPr>
                <w:rStyle w:val="Hyperlink"/>
                <w:rFonts w:eastAsiaTheme="majorEastAsia" w:cs="Arial"/>
                <w:color w:val="002060"/>
                <w:szCs w:val="24"/>
                <w:u w:val="none"/>
              </w:rPr>
              <w:t>27.93</w:t>
            </w:r>
          </w:p>
        </w:tc>
        <w:tc>
          <w:tcPr>
            <w:tcW w:w="1524" w:type="dxa"/>
          </w:tcPr>
          <w:p w14:paraId="795A0D88" w14:textId="77777777" w:rsidR="005D79E8" w:rsidRPr="00B46AF7" w:rsidRDefault="005D79E8" w:rsidP="008605A5">
            <w:pPr>
              <w:pStyle w:val="BodyText"/>
              <w:jc w:val="center"/>
              <w:rPr>
                <w:rStyle w:val="Hyperlink"/>
                <w:rFonts w:eastAsiaTheme="majorEastAsia" w:cs="Arial"/>
                <w:color w:val="002060"/>
                <w:szCs w:val="24"/>
                <w:u w:val="none"/>
              </w:rPr>
            </w:pPr>
          </w:p>
          <w:p w14:paraId="6911A85E" w14:textId="3C508DBB" w:rsidR="008F741F" w:rsidRPr="00B46AF7" w:rsidRDefault="00E2010A"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N/A</w:t>
            </w:r>
          </w:p>
        </w:tc>
        <w:tc>
          <w:tcPr>
            <w:tcW w:w="1483" w:type="dxa"/>
          </w:tcPr>
          <w:p w14:paraId="260A2E0C" w14:textId="77777777" w:rsidR="005D79E8" w:rsidRPr="00B46AF7" w:rsidRDefault="005D79E8" w:rsidP="008605A5">
            <w:pPr>
              <w:pStyle w:val="BodyText"/>
              <w:jc w:val="center"/>
              <w:rPr>
                <w:color w:val="002060"/>
                <w:szCs w:val="24"/>
              </w:rPr>
            </w:pPr>
          </w:p>
          <w:p w14:paraId="657512E2" w14:textId="1502C347" w:rsidR="008F741F" w:rsidRPr="00B46AF7" w:rsidRDefault="002C3094" w:rsidP="008605A5">
            <w:pPr>
              <w:pStyle w:val="BodyText"/>
              <w:jc w:val="center"/>
              <w:rPr>
                <w:color w:val="002060"/>
                <w:szCs w:val="24"/>
              </w:rPr>
            </w:pPr>
            <w:r w:rsidRPr="00B46AF7">
              <w:rPr>
                <w:color w:val="002060"/>
                <w:szCs w:val="24"/>
              </w:rPr>
              <w:t>8</w:t>
            </w:r>
            <w:r w:rsidRPr="00FB6300">
              <w:rPr>
                <w:color w:val="002060"/>
              </w:rPr>
              <w:t>07,296</w:t>
            </w:r>
          </w:p>
        </w:tc>
        <w:tc>
          <w:tcPr>
            <w:tcW w:w="1905" w:type="dxa"/>
          </w:tcPr>
          <w:p w14:paraId="57626827" w14:textId="7FA7082C" w:rsidR="008F741F" w:rsidRPr="00B46AF7" w:rsidRDefault="001E5A04" w:rsidP="008605A5">
            <w:pPr>
              <w:pStyle w:val="BodyText"/>
              <w:jc w:val="center"/>
              <w:rPr>
                <w:rStyle w:val="Hyperlink"/>
                <w:rFonts w:eastAsiaTheme="majorEastAsia" w:cs="Arial"/>
                <w:color w:val="002060"/>
                <w:szCs w:val="24"/>
                <w:u w:val="none"/>
              </w:rPr>
            </w:pPr>
            <w:r w:rsidRPr="00B46AF7">
              <w:rPr>
                <w:rStyle w:val="Hyperlink"/>
                <w:rFonts w:eastAsiaTheme="majorEastAsia" w:cs="Arial"/>
                <w:b/>
                <w:color w:val="002060"/>
                <w:szCs w:val="24"/>
                <w:u w:val="none"/>
              </w:rPr>
              <w:t>$</w:t>
            </w:r>
            <w:r w:rsidR="002C3094" w:rsidRPr="00B46AF7">
              <w:rPr>
                <w:rStyle w:val="Hyperlink"/>
                <w:rFonts w:eastAsiaTheme="majorEastAsia" w:cs="Arial"/>
                <w:b/>
                <w:color w:val="002060"/>
                <w:szCs w:val="24"/>
                <w:u w:val="none"/>
              </w:rPr>
              <w:t>15,031,851</w:t>
            </w:r>
            <w:r w:rsidR="00927640" w:rsidRPr="00B46AF7">
              <w:rPr>
                <w:rStyle w:val="Hyperlink"/>
                <w:rFonts w:eastAsiaTheme="majorEastAsia" w:cs="Arial"/>
                <w:color w:val="002060"/>
                <w:szCs w:val="24"/>
                <w:u w:val="none"/>
              </w:rPr>
              <w:t xml:space="preserve">     </w:t>
            </w:r>
            <w:r w:rsidR="00E2010A" w:rsidRPr="00B46AF7">
              <w:rPr>
                <w:rStyle w:val="Hyperlink"/>
                <w:rFonts w:eastAsiaTheme="majorEastAsia" w:cs="Arial"/>
                <w:color w:val="002060"/>
                <w:szCs w:val="24"/>
                <w:u w:val="none"/>
              </w:rPr>
              <w:t>(</w:t>
            </w:r>
            <w:r w:rsidR="000C3E96" w:rsidRPr="00B46AF7">
              <w:rPr>
                <w:rStyle w:val="Hyperlink"/>
                <w:rFonts w:eastAsiaTheme="majorEastAsia" w:cs="Arial"/>
                <w:color w:val="002060"/>
                <w:szCs w:val="24"/>
                <w:u w:val="none"/>
              </w:rPr>
              <w:t>807,296</w:t>
            </w:r>
          </w:p>
          <w:p w14:paraId="75428A43" w14:textId="77777777" w:rsidR="001E5A04" w:rsidRPr="00B46AF7" w:rsidRDefault="00E2010A" w:rsidP="008605A5">
            <w:pPr>
              <w:pStyle w:val="BodyText"/>
              <w:jc w:val="center"/>
              <w:rPr>
                <w:rStyle w:val="Hyperlink"/>
                <w:rFonts w:eastAsiaTheme="majorEastAsia" w:cs="Arial"/>
                <w:color w:val="002060"/>
                <w:szCs w:val="24"/>
              </w:rPr>
            </w:pPr>
            <w:r w:rsidRPr="00B46AF7">
              <w:rPr>
                <w:color w:val="002060"/>
              </w:rPr>
              <w:t>X</w:t>
            </w:r>
            <w:r w:rsidR="001E5A04" w:rsidRPr="00B46AF7">
              <w:rPr>
                <w:color w:val="002060"/>
              </w:rPr>
              <w:t xml:space="preserve"> $27.93 X</w:t>
            </w:r>
            <w:r w:rsidRPr="00B46AF7">
              <w:rPr>
                <w:color w:val="002060"/>
              </w:rPr>
              <w:t xml:space="preserve"> 40 / 60)</w:t>
            </w:r>
            <w:r w:rsidR="001E5A04" w:rsidRPr="00B46AF7">
              <w:rPr>
                <w:color w:val="002060"/>
              </w:rPr>
              <w:t xml:space="preserve"> </w:t>
            </w:r>
          </w:p>
        </w:tc>
      </w:tr>
      <w:tr w:rsidR="00B46AF7" w:rsidRPr="00B46AF7" w14:paraId="0ED767C3" w14:textId="77777777" w:rsidTr="00FB6300">
        <w:trPr>
          <w:trHeight w:val="737"/>
          <w:jc w:val="center"/>
        </w:trPr>
        <w:tc>
          <w:tcPr>
            <w:tcW w:w="1213" w:type="dxa"/>
          </w:tcPr>
          <w:p w14:paraId="064794CC" w14:textId="77777777" w:rsidR="002C1D10" w:rsidRPr="00B46AF7" w:rsidRDefault="002C1D10" w:rsidP="008605A5">
            <w:pPr>
              <w:pStyle w:val="BodyText"/>
              <w:rPr>
                <w:rStyle w:val="Hyperlink"/>
                <w:rFonts w:eastAsiaTheme="majorEastAsia" w:cs="Arial"/>
                <w:color w:val="002060"/>
                <w:szCs w:val="24"/>
              </w:rPr>
            </w:pPr>
          </w:p>
        </w:tc>
        <w:tc>
          <w:tcPr>
            <w:tcW w:w="6290" w:type="dxa"/>
            <w:gridSpan w:val="5"/>
          </w:tcPr>
          <w:p w14:paraId="03240984" w14:textId="77777777" w:rsidR="002C1D10" w:rsidRPr="00B46AF7" w:rsidRDefault="002C1D10" w:rsidP="008605A5">
            <w:pPr>
              <w:pStyle w:val="BodyText"/>
              <w:rPr>
                <w:rStyle w:val="Hyperlink"/>
                <w:rFonts w:eastAsiaTheme="majorEastAsia" w:cs="Arial"/>
                <w:color w:val="002060"/>
                <w:szCs w:val="24"/>
                <w:u w:val="none"/>
              </w:rPr>
            </w:pPr>
            <w:r w:rsidRPr="00B46AF7">
              <w:rPr>
                <w:rStyle w:val="Hyperlink"/>
                <w:rFonts w:eastAsiaTheme="majorEastAsia" w:cs="Arial"/>
                <w:color w:val="002060"/>
                <w:szCs w:val="24"/>
                <w:u w:val="none"/>
              </w:rPr>
              <w:t xml:space="preserve">Overhead at 100%.  Overhead costs are 100% of </w:t>
            </w:r>
            <w:r w:rsidR="009A099C" w:rsidRPr="00B46AF7">
              <w:rPr>
                <w:rStyle w:val="Hyperlink"/>
                <w:rFonts w:eastAsiaTheme="majorEastAsia" w:cs="Arial"/>
                <w:color w:val="002060"/>
                <w:szCs w:val="24"/>
                <w:u w:val="none"/>
              </w:rPr>
              <w:t>salary and</w:t>
            </w:r>
            <w:r w:rsidRPr="00B46AF7">
              <w:rPr>
                <w:rStyle w:val="Hyperlink"/>
                <w:rFonts w:eastAsiaTheme="majorEastAsia" w:cs="Arial"/>
                <w:color w:val="002060"/>
                <w:szCs w:val="24"/>
                <w:u w:val="none"/>
              </w:rPr>
              <w:t xml:space="preserve"> are the same as the wage listed above; and the amount is included in the total.</w:t>
            </w:r>
          </w:p>
        </w:tc>
        <w:tc>
          <w:tcPr>
            <w:tcW w:w="1905" w:type="dxa"/>
          </w:tcPr>
          <w:p w14:paraId="188DB14C" w14:textId="77777777" w:rsidR="002C1D10" w:rsidRPr="00B46AF7" w:rsidRDefault="00E2010A"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N/A</w:t>
            </w:r>
          </w:p>
        </w:tc>
      </w:tr>
      <w:tr w:rsidR="00B46AF7" w:rsidRPr="00B46AF7" w14:paraId="3E8225DC" w14:textId="77777777" w:rsidTr="00FB6300">
        <w:trPr>
          <w:trHeight w:val="251"/>
          <w:jc w:val="center"/>
        </w:trPr>
        <w:tc>
          <w:tcPr>
            <w:tcW w:w="1213" w:type="dxa"/>
          </w:tcPr>
          <w:p w14:paraId="78B46254" w14:textId="77777777" w:rsidR="002C1D10" w:rsidRPr="00B46AF7" w:rsidRDefault="002C1D10" w:rsidP="008605A5">
            <w:pPr>
              <w:pStyle w:val="BodyText"/>
              <w:rPr>
                <w:rStyle w:val="Hyperlink"/>
                <w:rFonts w:eastAsiaTheme="majorEastAsia" w:cs="Arial"/>
                <w:color w:val="002060"/>
                <w:szCs w:val="24"/>
              </w:rPr>
            </w:pPr>
            <w:r w:rsidRPr="00B46AF7">
              <w:rPr>
                <w:rStyle w:val="Hyperlink"/>
                <w:rFonts w:eastAsiaTheme="majorEastAsia" w:cs="Arial"/>
                <w:color w:val="002060"/>
                <w:szCs w:val="24"/>
              </w:rPr>
              <w:t xml:space="preserve"> </w:t>
            </w:r>
          </w:p>
        </w:tc>
        <w:tc>
          <w:tcPr>
            <w:tcW w:w="6290" w:type="dxa"/>
            <w:gridSpan w:val="5"/>
          </w:tcPr>
          <w:p w14:paraId="3B2D1D16" w14:textId="77777777" w:rsidR="002C1D10" w:rsidRPr="00B46AF7" w:rsidRDefault="002C1D10" w:rsidP="008605A5">
            <w:pPr>
              <w:pStyle w:val="BodyText"/>
              <w:rPr>
                <w:rStyle w:val="Hyperlink"/>
                <w:rFonts w:eastAsiaTheme="majorEastAsia" w:cs="Arial"/>
                <w:color w:val="002060"/>
                <w:szCs w:val="24"/>
                <w:u w:val="none"/>
              </w:rPr>
            </w:pPr>
            <w:r w:rsidRPr="00B46AF7">
              <w:rPr>
                <w:rStyle w:val="Hyperlink"/>
                <w:rFonts w:eastAsiaTheme="majorEastAsia" w:cs="Arial"/>
                <w:color w:val="002060"/>
                <w:szCs w:val="24"/>
                <w:u w:val="none"/>
              </w:rPr>
              <w:t xml:space="preserve">Processing / Analyzing Cost </w:t>
            </w:r>
          </w:p>
        </w:tc>
        <w:tc>
          <w:tcPr>
            <w:tcW w:w="1905" w:type="dxa"/>
          </w:tcPr>
          <w:p w14:paraId="4CC1B679" w14:textId="77777777" w:rsidR="002C1D10" w:rsidRPr="00B46AF7" w:rsidRDefault="00E2010A"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N/A</w:t>
            </w:r>
          </w:p>
        </w:tc>
      </w:tr>
      <w:tr w:rsidR="00B46AF7" w:rsidRPr="00B46AF7" w14:paraId="6B93E4A7" w14:textId="77777777" w:rsidTr="00FB6300">
        <w:trPr>
          <w:trHeight w:val="251"/>
          <w:jc w:val="center"/>
        </w:trPr>
        <w:tc>
          <w:tcPr>
            <w:tcW w:w="1213" w:type="dxa"/>
          </w:tcPr>
          <w:p w14:paraId="21F343F6" w14:textId="77777777" w:rsidR="002C1D10" w:rsidRPr="00B46AF7" w:rsidRDefault="002C1D10" w:rsidP="008605A5">
            <w:pPr>
              <w:pStyle w:val="BodyText"/>
              <w:rPr>
                <w:rStyle w:val="Hyperlink"/>
                <w:rFonts w:eastAsiaTheme="majorEastAsia" w:cs="Arial"/>
                <w:color w:val="002060"/>
                <w:szCs w:val="24"/>
              </w:rPr>
            </w:pPr>
          </w:p>
        </w:tc>
        <w:tc>
          <w:tcPr>
            <w:tcW w:w="6290" w:type="dxa"/>
            <w:gridSpan w:val="5"/>
          </w:tcPr>
          <w:p w14:paraId="0C830272" w14:textId="77777777" w:rsidR="002C1D10" w:rsidRPr="00B46AF7" w:rsidRDefault="002C1D10" w:rsidP="008605A5">
            <w:pPr>
              <w:pStyle w:val="BodyText"/>
              <w:rPr>
                <w:rStyle w:val="Hyperlink"/>
                <w:rFonts w:eastAsiaTheme="majorEastAsia" w:cs="Arial"/>
                <w:color w:val="002060"/>
                <w:szCs w:val="24"/>
                <w:u w:val="none"/>
              </w:rPr>
            </w:pPr>
            <w:r w:rsidRPr="00B46AF7">
              <w:rPr>
                <w:rStyle w:val="Hyperlink"/>
                <w:rFonts w:eastAsiaTheme="majorEastAsia" w:cs="Arial"/>
                <w:color w:val="002060"/>
                <w:szCs w:val="24"/>
                <w:u w:val="none"/>
              </w:rPr>
              <w:t xml:space="preserve">Printing and Production Cost </w:t>
            </w:r>
          </w:p>
        </w:tc>
        <w:tc>
          <w:tcPr>
            <w:tcW w:w="1905" w:type="dxa"/>
          </w:tcPr>
          <w:p w14:paraId="19018D3C" w14:textId="77777777" w:rsidR="002C1D10" w:rsidRPr="00B46AF7" w:rsidRDefault="00E2010A" w:rsidP="008605A5">
            <w:pPr>
              <w:pStyle w:val="BodyText"/>
              <w:jc w:val="center"/>
              <w:rPr>
                <w:rStyle w:val="Hyperlink"/>
                <w:rFonts w:eastAsiaTheme="majorEastAsia" w:cs="Arial"/>
                <w:color w:val="002060"/>
                <w:szCs w:val="24"/>
                <w:u w:val="none"/>
              </w:rPr>
            </w:pPr>
            <w:r w:rsidRPr="00B46AF7">
              <w:rPr>
                <w:rStyle w:val="Hyperlink"/>
                <w:rFonts w:eastAsiaTheme="majorEastAsia" w:cs="Arial"/>
                <w:color w:val="002060"/>
                <w:szCs w:val="24"/>
                <w:u w:val="none"/>
              </w:rPr>
              <w:t>N/A</w:t>
            </w:r>
          </w:p>
        </w:tc>
      </w:tr>
      <w:tr w:rsidR="00B46AF7" w:rsidRPr="00B46AF7" w14:paraId="518854DE" w14:textId="77777777" w:rsidTr="00FB6300">
        <w:trPr>
          <w:trHeight w:val="486"/>
          <w:jc w:val="center"/>
        </w:trPr>
        <w:tc>
          <w:tcPr>
            <w:tcW w:w="9408" w:type="dxa"/>
            <w:gridSpan w:val="7"/>
          </w:tcPr>
          <w:p w14:paraId="23B7BACE" w14:textId="2FD31AE1" w:rsidR="00E2010A" w:rsidRPr="00B46AF7" w:rsidRDefault="00E2010A" w:rsidP="008605A5">
            <w:pPr>
              <w:pStyle w:val="BodyText"/>
              <w:rPr>
                <w:rStyle w:val="Hyperlink"/>
                <w:rFonts w:eastAsiaTheme="majorEastAsia" w:cs="Arial"/>
                <w:color w:val="002060"/>
                <w:szCs w:val="24"/>
                <w:u w:val="none"/>
              </w:rPr>
            </w:pPr>
            <w:r w:rsidRPr="00B46AF7">
              <w:rPr>
                <w:rStyle w:val="Hyperlink"/>
                <w:rFonts w:eastAsiaTheme="majorEastAsia" w:cs="Arial"/>
                <w:color w:val="002060"/>
                <w:szCs w:val="24"/>
                <w:u w:val="none"/>
              </w:rPr>
              <w:t>Total Cost to Government for Processing All Applications (Paper-Electronic</w:t>
            </w:r>
            <w:r w:rsidR="000C3E96" w:rsidRPr="00B46AF7">
              <w:rPr>
                <w:rStyle w:val="Hyperlink"/>
                <w:rFonts w:eastAsiaTheme="majorEastAsia" w:cs="Arial"/>
                <w:color w:val="002060"/>
                <w:szCs w:val="24"/>
                <w:u w:val="none"/>
              </w:rPr>
              <w:t>)</w:t>
            </w:r>
          </w:p>
          <w:p w14:paraId="5A86261C" w14:textId="77777777" w:rsidR="00D047F9" w:rsidRPr="00B46AF7" w:rsidRDefault="00D047F9" w:rsidP="008605A5">
            <w:pPr>
              <w:pStyle w:val="BodyText"/>
              <w:rPr>
                <w:rStyle w:val="Hyperlink"/>
                <w:rFonts w:eastAsiaTheme="majorEastAsia" w:cs="Arial"/>
                <w:color w:val="002060"/>
                <w:szCs w:val="24"/>
                <w:u w:val="none"/>
              </w:rPr>
            </w:pPr>
          </w:p>
          <w:p w14:paraId="6770DFA1" w14:textId="45F17CF7" w:rsidR="00E2010A" w:rsidRPr="00B46AF7" w:rsidRDefault="00E2010A" w:rsidP="008605A5">
            <w:pPr>
              <w:pStyle w:val="BodyText"/>
              <w:jc w:val="center"/>
              <w:rPr>
                <w:rStyle w:val="Hyperlink"/>
                <w:rFonts w:eastAsiaTheme="majorEastAsia" w:cs="Arial"/>
                <w:b/>
                <w:color w:val="002060"/>
                <w:szCs w:val="24"/>
                <w:u w:val="double"/>
              </w:rPr>
            </w:pPr>
            <w:r w:rsidRPr="00B46AF7">
              <w:rPr>
                <w:rStyle w:val="Hyperlink"/>
                <w:rFonts w:eastAsiaTheme="majorEastAsia" w:cs="Arial"/>
                <w:b/>
                <w:color w:val="002060"/>
                <w:szCs w:val="24"/>
                <w:u w:val="double"/>
              </w:rPr>
              <w:t>$</w:t>
            </w:r>
            <w:r w:rsidR="002C3094" w:rsidRPr="00B46AF7">
              <w:rPr>
                <w:rStyle w:val="Hyperlink"/>
                <w:rFonts w:eastAsiaTheme="majorEastAsia" w:cs="Arial"/>
                <w:b/>
                <w:color w:val="002060"/>
                <w:szCs w:val="24"/>
                <w:u w:val="double"/>
              </w:rPr>
              <w:t>15,446,599</w:t>
            </w:r>
          </w:p>
          <w:p w14:paraId="70400D0F" w14:textId="77777777" w:rsidR="00D047F9" w:rsidRPr="00B46AF7" w:rsidRDefault="00D047F9" w:rsidP="008605A5">
            <w:pPr>
              <w:pStyle w:val="BodyText"/>
              <w:jc w:val="center"/>
              <w:rPr>
                <w:rStyle w:val="Hyperlink"/>
                <w:rFonts w:eastAsiaTheme="majorEastAsia" w:cs="Arial"/>
                <w:b/>
                <w:color w:val="002060"/>
                <w:szCs w:val="24"/>
                <w:u w:val="double"/>
              </w:rPr>
            </w:pPr>
          </w:p>
          <w:p w14:paraId="6441F607" w14:textId="77777777" w:rsidR="00D047F9" w:rsidRPr="00B46AF7" w:rsidRDefault="00D047F9" w:rsidP="008605A5">
            <w:pPr>
              <w:pStyle w:val="BodyText"/>
              <w:jc w:val="center"/>
              <w:rPr>
                <w:rStyle w:val="Hyperlink"/>
                <w:rFonts w:eastAsiaTheme="majorEastAsia" w:cs="Arial"/>
                <w:b/>
                <w:color w:val="002060"/>
                <w:szCs w:val="24"/>
                <w:u w:val="double"/>
              </w:rPr>
            </w:pPr>
          </w:p>
        </w:tc>
      </w:tr>
    </w:tbl>
    <w:p w14:paraId="762C98D2" w14:textId="77777777" w:rsidR="002C1D10" w:rsidRDefault="002C1D10" w:rsidP="002C1D10">
      <w:pPr>
        <w:pStyle w:val="BodyText"/>
        <w:rPr>
          <w:rStyle w:val="Hyperlink"/>
          <w:rFonts w:eastAsiaTheme="majorEastAsia" w:cs="Arial"/>
          <w:szCs w:val="24"/>
        </w:rPr>
      </w:pPr>
    </w:p>
    <w:p w14:paraId="27EF97C4" w14:textId="77777777" w:rsidR="002C1D10" w:rsidRDefault="002C1D10" w:rsidP="002C1D10">
      <w:pPr>
        <w:pStyle w:val="BodyText"/>
      </w:pPr>
    </w:p>
    <w:p w14:paraId="2D9E0E33" w14:textId="5B595119" w:rsidR="002C1D10" w:rsidRPr="002C5690" w:rsidRDefault="002C1D10" w:rsidP="002C1D10">
      <w:pPr>
        <w:pStyle w:val="BodyText"/>
        <w:rPr>
          <w:szCs w:val="24"/>
        </w:rPr>
      </w:pPr>
      <w:r w:rsidRPr="002C5690">
        <w:rPr>
          <w:szCs w:val="24"/>
        </w:rPr>
        <w:t>The</w:t>
      </w:r>
      <w:r w:rsidRPr="002C5690">
        <w:rPr>
          <w:spacing w:val="28"/>
          <w:szCs w:val="24"/>
        </w:rPr>
        <w:t xml:space="preserve"> </w:t>
      </w:r>
      <w:r w:rsidRPr="002C5690">
        <w:rPr>
          <w:szCs w:val="24"/>
        </w:rPr>
        <w:t>processing</w:t>
      </w:r>
      <w:r w:rsidRPr="002C5690">
        <w:rPr>
          <w:spacing w:val="18"/>
          <w:szCs w:val="24"/>
        </w:rPr>
        <w:t xml:space="preserve"> </w:t>
      </w:r>
      <w:r w:rsidRPr="002C5690">
        <w:rPr>
          <w:szCs w:val="24"/>
        </w:rPr>
        <w:t>time</w:t>
      </w:r>
      <w:r w:rsidR="00255C1B">
        <w:rPr>
          <w:szCs w:val="24"/>
        </w:rPr>
        <w:t>s</w:t>
      </w:r>
      <w:r w:rsidRPr="002C5690">
        <w:rPr>
          <w:spacing w:val="21"/>
          <w:szCs w:val="24"/>
        </w:rPr>
        <w:t xml:space="preserve"> </w:t>
      </w:r>
      <w:r w:rsidRPr="002C5690">
        <w:rPr>
          <w:szCs w:val="24"/>
        </w:rPr>
        <w:t>above</w:t>
      </w:r>
      <w:r w:rsidRPr="002C5690">
        <w:rPr>
          <w:spacing w:val="23"/>
          <w:szCs w:val="24"/>
        </w:rPr>
        <w:t xml:space="preserve"> </w:t>
      </w:r>
      <w:r w:rsidRPr="002C5690">
        <w:rPr>
          <w:szCs w:val="24"/>
        </w:rPr>
        <w:t>are</w:t>
      </w:r>
      <w:r w:rsidRPr="002C5690">
        <w:rPr>
          <w:spacing w:val="17"/>
          <w:szCs w:val="24"/>
        </w:rPr>
        <w:t xml:space="preserve"> </w:t>
      </w:r>
      <w:r w:rsidRPr="002C5690">
        <w:rPr>
          <w:szCs w:val="24"/>
        </w:rPr>
        <w:t>based</w:t>
      </w:r>
      <w:r w:rsidRPr="002C5690">
        <w:rPr>
          <w:spacing w:val="15"/>
          <w:szCs w:val="24"/>
        </w:rPr>
        <w:t xml:space="preserve"> </w:t>
      </w:r>
      <w:r w:rsidRPr="002C5690">
        <w:rPr>
          <w:szCs w:val="24"/>
        </w:rPr>
        <w:t>on</w:t>
      </w:r>
      <w:r w:rsidRPr="002C5690">
        <w:rPr>
          <w:spacing w:val="4"/>
          <w:szCs w:val="24"/>
        </w:rPr>
        <w:t xml:space="preserve"> </w:t>
      </w:r>
      <w:r w:rsidRPr="002C5690">
        <w:rPr>
          <w:szCs w:val="24"/>
        </w:rPr>
        <w:t>the</w:t>
      </w:r>
      <w:r w:rsidRPr="002C5690">
        <w:rPr>
          <w:spacing w:val="17"/>
          <w:szCs w:val="24"/>
        </w:rPr>
        <w:t xml:space="preserve"> </w:t>
      </w:r>
      <w:r w:rsidRPr="002C5690">
        <w:rPr>
          <w:szCs w:val="24"/>
        </w:rPr>
        <w:t>actual</w:t>
      </w:r>
      <w:r w:rsidRPr="002C5690">
        <w:rPr>
          <w:spacing w:val="13"/>
          <w:szCs w:val="24"/>
        </w:rPr>
        <w:t xml:space="preserve"> </w:t>
      </w:r>
      <w:r w:rsidRPr="002C5690">
        <w:rPr>
          <w:szCs w:val="24"/>
        </w:rPr>
        <w:t>amount</w:t>
      </w:r>
      <w:r w:rsidRPr="002C5690">
        <w:rPr>
          <w:spacing w:val="21"/>
          <w:szCs w:val="24"/>
        </w:rPr>
        <w:t xml:space="preserve"> </w:t>
      </w:r>
      <w:r w:rsidRPr="002C5690">
        <w:rPr>
          <w:szCs w:val="24"/>
        </w:rPr>
        <w:t>of</w:t>
      </w:r>
      <w:r w:rsidRPr="002C5690">
        <w:rPr>
          <w:spacing w:val="5"/>
          <w:szCs w:val="24"/>
        </w:rPr>
        <w:t xml:space="preserve"> </w:t>
      </w:r>
      <w:r w:rsidRPr="002C5690">
        <w:rPr>
          <w:szCs w:val="24"/>
        </w:rPr>
        <w:t>time</w:t>
      </w:r>
      <w:r w:rsidRPr="002C5690">
        <w:rPr>
          <w:w w:val="97"/>
          <w:szCs w:val="24"/>
        </w:rPr>
        <w:t xml:space="preserve"> </w:t>
      </w:r>
      <w:r w:rsidRPr="002C5690">
        <w:rPr>
          <w:spacing w:val="-1"/>
          <w:szCs w:val="24"/>
        </w:rPr>
        <w:t>employees</w:t>
      </w:r>
      <w:r w:rsidRPr="002C5690">
        <w:rPr>
          <w:spacing w:val="26"/>
          <w:szCs w:val="24"/>
        </w:rPr>
        <w:t xml:space="preserve"> </w:t>
      </w:r>
      <w:r w:rsidRPr="002C5690">
        <w:rPr>
          <w:szCs w:val="24"/>
        </w:rPr>
        <w:t>of</w:t>
      </w:r>
      <w:r w:rsidRPr="002C5690">
        <w:rPr>
          <w:spacing w:val="4"/>
          <w:szCs w:val="24"/>
        </w:rPr>
        <w:t xml:space="preserve"> </w:t>
      </w:r>
      <w:r w:rsidRPr="002C5690">
        <w:rPr>
          <w:szCs w:val="24"/>
        </w:rPr>
        <w:t>the</w:t>
      </w:r>
      <w:r w:rsidRPr="002C5690">
        <w:rPr>
          <w:spacing w:val="11"/>
          <w:szCs w:val="24"/>
        </w:rPr>
        <w:t xml:space="preserve"> </w:t>
      </w:r>
      <w:r w:rsidRPr="002C5690">
        <w:rPr>
          <w:szCs w:val="24"/>
        </w:rPr>
        <w:t>grade</w:t>
      </w:r>
      <w:r w:rsidRPr="002C5690">
        <w:rPr>
          <w:spacing w:val="28"/>
          <w:szCs w:val="24"/>
        </w:rPr>
        <w:t xml:space="preserve"> </w:t>
      </w:r>
      <w:r w:rsidRPr="002C5690">
        <w:rPr>
          <w:szCs w:val="24"/>
        </w:rPr>
        <w:t>level</w:t>
      </w:r>
      <w:r w:rsidRPr="002C5690">
        <w:rPr>
          <w:spacing w:val="11"/>
          <w:szCs w:val="24"/>
        </w:rPr>
        <w:t xml:space="preserve"> </w:t>
      </w:r>
      <w:r w:rsidRPr="002C5690">
        <w:rPr>
          <w:szCs w:val="24"/>
        </w:rPr>
        <w:t>spend</w:t>
      </w:r>
      <w:r w:rsidRPr="002C5690">
        <w:rPr>
          <w:spacing w:val="19"/>
          <w:szCs w:val="24"/>
        </w:rPr>
        <w:t xml:space="preserve"> </w:t>
      </w:r>
      <w:r w:rsidRPr="002C5690">
        <w:rPr>
          <w:szCs w:val="24"/>
        </w:rPr>
        <w:t>to</w:t>
      </w:r>
      <w:r w:rsidRPr="002C5690">
        <w:rPr>
          <w:spacing w:val="21"/>
          <w:szCs w:val="24"/>
        </w:rPr>
        <w:t xml:space="preserve"> </w:t>
      </w:r>
      <w:r w:rsidRPr="002C5690">
        <w:rPr>
          <w:szCs w:val="24"/>
        </w:rPr>
        <w:t>process</w:t>
      </w:r>
      <w:r w:rsidRPr="002C5690">
        <w:rPr>
          <w:spacing w:val="14"/>
          <w:szCs w:val="24"/>
        </w:rPr>
        <w:t xml:space="preserve"> </w:t>
      </w:r>
      <w:r w:rsidRPr="002C5690">
        <w:rPr>
          <w:szCs w:val="24"/>
        </w:rPr>
        <w:t>to</w:t>
      </w:r>
      <w:r w:rsidRPr="002C5690">
        <w:rPr>
          <w:spacing w:val="21"/>
          <w:szCs w:val="24"/>
        </w:rPr>
        <w:t xml:space="preserve"> </w:t>
      </w:r>
      <w:r w:rsidRPr="002C5690">
        <w:rPr>
          <w:szCs w:val="24"/>
        </w:rPr>
        <w:t>completion</w:t>
      </w:r>
      <w:r w:rsidR="00255C1B">
        <w:rPr>
          <w:szCs w:val="24"/>
        </w:rPr>
        <w:t>,</w:t>
      </w:r>
      <w:r w:rsidRPr="002C5690">
        <w:rPr>
          <w:spacing w:val="30"/>
          <w:szCs w:val="24"/>
        </w:rPr>
        <w:t xml:space="preserve"> </w:t>
      </w:r>
      <w:r w:rsidRPr="002C5690">
        <w:rPr>
          <w:szCs w:val="24"/>
        </w:rPr>
        <w:t>a</w:t>
      </w:r>
      <w:r w:rsidRPr="002C5690">
        <w:rPr>
          <w:spacing w:val="15"/>
          <w:szCs w:val="24"/>
        </w:rPr>
        <w:t xml:space="preserve"> </w:t>
      </w:r>
      <w:r w:rsidRPr="002C5690">
        <w:rPr>
          <w:szCs w:val="24"/>
        </w:rPr>
        <w:t>claim</w:t>
      </w:r>
      <w:r w:rsidRPr="002C5690">
        <w:rPr>
          <w:spacing w:val="28"/>
          <w:szCs w:val="24"/>
        </w:rPr>
        <w:t xml:space="preserve"> </w:t>
      </w:r>
      <w:r w:rsidRPr="002C5690">
        <w:rPr>
          <w:szCs w:val="24"/>
        </w:rPr>
        <w:t>received</w:t>
      </w:r>
      <w:r w:rsidRPr="002C5690">
        <w:rPr>
          <w:spacing w:val="32"/>
          <w:szCs w:val="24"/>
        </w:rPr>
        <w:t xml:space="preserve"> </w:t>
      </w:r>
      <w:r w:rsidRPr="002C5690">
        <w:rPr>
          <w:szCs w:val="24"/>
        </w:rPr>
        <w:t>on</w:t>
      </w:r>
      <w:r w:rsidRPr="002C5690">
        <w:rPr>
          <w:spacing w:val="26"/>
          <w:w w:val="99"/>
          <w:szCs w:val="24"/>
        </w:rPr>
        <w:t xml:space="preserve"> </w:t>
      </w:r>
      <w:r w:rsidR="006533DA" w:rsidRPr="002C5690">
        <w:rPr>
          <w:szCs w:val="24"/>
        </w:rPr>
        <w:t>th</w:t>
      </w:r>
      <w:r w:rsidR="006533DA">
        <w:rPr>
          <w:szCs w:val="24"/>
        </w:rPr>
        <w:t>e</w:t>
      </w:r>
      <w:r w:rsidR="006533DA">
        <w:t>se</w:t>
      </w:r>
      <w:r w:rsidR="006533DA" w:rsidRPr="002C5690">
        <w:rPr>
          <w:spacing w:val="25"/>
          <w:szCs w:val="24"/>
        </w:rPr>
        <w:t xml:space="preserve"> </w:t>
      </w:r>
      <w:r w:rsidR="006533DA" w:rsidRPr="002C5690">
        <w:rPr>
          <w:szCs w:val="24"/>
        </w:rPr>
        <w:t>for</w:t>
      </w:r>
      <w:r w:rsidR="006533DA" w:rsidRPr="002C5690">
        <w:rPr>
          <w:spacing w:val="27"/>
          <w:szCs w:val="24"/>
        </w:rPr>
        <w:t>ms</w:t>
      </w:r>
      <w:r w:rsidRPr="002C5690">
        <w:rPr>
          <w:color w:val="3F3F3F"/>
          <w:szCs w:val="24"/>
        </w:rPr>
        <w:t>.</w:t>
      </w:r>
    </w:p>
    <w:p w14:paraId="239385C2" w14:textId="77777777" w:rsidR="002C1D10" w:rsidRPr="001E5428" w:rsidRDefault="002C1D10" w:rsidP="002C1D10">
      <w:pPr>
        <w:tabs>
          <w:tab w:val="left" w:pos="0"/>
          <w:tab w:val="left" w:pos="1080"/>
          <w:tab w:val="left" w:pos="1680"/>
          <w:tab w:val="left" w:pos="2280"/>
          <w:tab w:val="left" w:pos="2880"/>
        </w:tabs>
        <w:spacing w:line="240" w:lineRule="exact"/>
        <w:ind w:right="36"/>
        <w:rPr>
          <w:rFonts w:ascii="Arial" w:hAnsi="Arial"/>
          <w:sz w:val="24"/>
          <w:szCs w:val="24"/>
          <w:highlight w:val="yellow"/>
        </w:rPr>
      </w:pPr>
    </w:p>
    <w:p w14:paraId="6D7F2509" w14:textId="77777777" w:rsidR="002C1D10" w:rsidRDefault="002C1D10" w:rsidP="002C1D10">
      <w:pPr>
        <w:pStyle w:val="BodyText"/>
        <w:rPr>
          <w:b/>
          <w:szCs w:val="24"/>
        </w:rPr>
      </w:pPr>
      <w:r w:rsidRPr="00543C1B">
        <w:rPr>
          <w:b/>
          <w:szCs w:val="24"/>
        </w:rPr>
        <w:t>15. Explain the reason for any burden hour changes since the last submission</w:t>
      </w:r>
      <w:r>
        <w:rPr>
          <w:b/>
          <w:szCs w:val="24"/>
        </w:rPr>
        <w:t>.</w:t>
      </w:r>
    </w:p>
    <w:p w14:paraId="41BCC800" w14:textId="77777777" w:rsidR="002C1D10" w:rsidRDefault="002C1D10" w:rsidP="002C1D10">
      <w:pPr>
        <w:pStyle w:val="BodyText"/>
        <w:rPr>
          <w:b/>
          <w:color w:val="242323"/>
          <w:szCs w:val="24"/>
        </w:rPr>
      </w:pPr>
    </w:p>
    <w:p w14:paraId="0AC3F43B" w14:textId="09A6612C" w:rsidR="00795D22" w:rsidRDefault="006533DA" w:rsidP="00F820C4">
      <w:pPr>
        <w:pStyle w:val="BodyText"/>
        <w:rPr>
          <w:szCs w:val="24"/>
        </w:rPr>
      </w:pPr>
      <w:r w:rsidRPr="006533DA">
        <w:rPr>
          <w:color w:val="242323"/>
        </w:rPr>
        <w:t>There is a</w:t>
      </w:r>
      <w:r w:rsidR="002C3094">
        <w:rPr>
          <w:color w:val="242323"/>
        </w:rPr>
        <w:t xml:space="preserve"> slight </w:t>
      </w:r>
      <w:r w:rsidRPr="006533DA">
        <w:rPr>
          <w:color w:val="242323"/>
        </w:rPr>
        <w:t xml:space="preserve">increase in burden hours due to a slight increase in the number of </w:t>
      </w:r>
      <w:r w:rsidR="00250DFC">
        <w:rPr>
          <w:color w:val="242323"/>
        </w:rPr>
        <w:t xml:space="preserve">1990 </w:t>
      </w:r>
      <w:r w:rsidRPr="006533DA">
        <w:rPr>
          <w:color w:val="242323"/>
        </w:rPr>
        <w:t>responses received</w:t>
      </w:r>
      <w:r w:rsidR="00250DFC">
        <w:rPr>
          <w:color w:val="242323"/>
        </w:rPr>
        <w:t xml:space="preserve">.  </w:t>
      </w:r>
    </w:p>
    <w:p w14:paraId="744C5C43" w14:textId="77777777" w:rsidR="00F820C4" w:rsidRPr="001E5428" w:rsidRDefault="00F820C4" w:rsidP="00827C05">
      <w:pPr>
        <w:pStyle w:val="BodyText"/>
        <w:rPr>
          <w:szCs w:val="24"/>
        </w:rPr>
      </w:pPr>
    </w:p>
    <w:p w14:paraId="1A7D350F" w14:textId="77777777" w:rsidR="002C1D10" w:rsidRPr="00543C1B" w:rsidRDefault="002C1D10" w:rsidP="002C1D10">
      <w:pPr>
        <w:pStyle w:val="BodyText"/>
        <w:rPr>
          <w:b/>
          <w:color w:val="494949"/>
          <w:szCs w:val="24"/>
        </w:rPr>
      </w:pPr>
      <w:r w:rsidRPr="00543C1B">
        <w:rPr>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0693EB4" w14:textId="77777777" w:rsidR="008605A5" w:rsidRPr="001E5428" w:rsidRDefault="008605A5" w:rsidP="00056F6C">
      <w:pPr>
        <w:tabs>
          <w:tab w:val="left" w:pos="360"/>
          <w:tab w:val="left" w:pos="792"/>
        </w:tabs>
        <w:rPr>
          <w:rFonts w:ascii="Arial" w:hAnsi="Arial"/>
          <w:sz w:val="24"/>
          <w:szCs w:val="24"/>
        </w:rPr>
      </w:pPr>
    </w:p>
    <w:p w14:paraId="70976E2B" w14:textId="77777777"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VA does not publish this information or make it available for publication.</w:t>
      </w:r>
    </w:p>
    <w:p w14:paraId="7C6A69FE" w14:textId="77777777" w:rsidR="002C1D10" w:rsidRDefault="002C1D10" w:rsidP="002C1D10">
      <w:pPr>
        <w:pStyle w:val="BodyText"/>
        <w:rPr>
          <w:b/>
          <w:szCs w:val="24"/>
        </w:rPr>
      </w:pPr>
    </w:p>
    <w:p w14:paraId="19713794" w14:textId="77777777" w:rsidR="002C1D10" w:rsidRPr="00543C1B" w:rsidRDefault="002C1D10" w:rsidP="002C1D10">
      <w:pPr>
        <w:pStyle w:val="BodyText"/>
        <w:rPr>
          <w:b/>
          <w:szCs w:val="24"/>
        </w:rPr>
      </w:pPr>
      <w:r w:rsidRPr="00543C1B">
        <w:rPr>
          <w:b/>
          <w:szCs w:val="24"/>
        </w:rPr>
        <w:t>17. If seeking approval to not display the expiration date</w:t>
      </w:r>
      <w:r w:rsidRPr="00543C1B">
        <w:rPr>
          <w:b/>
          <w:color w:val="0000FF"/>
          <w:szCs w:val="24"/>
        </w:rPr>
        <w:t xml:space="preserve"> </w:t>
      </w:r>
      <w:r w:rsidRPr="00543C1B">
        <w:rPr>
          <w:b/>
          <w:szCs w:val="24"/>
        </w:rPr>
        <w:t xml:space="preserve">for OMB approval of the information collection, explain the reasons that display would be inappropriate. </w:t>
      </w:r>
    </w:p>
    <w:p w14:paraId="276DD773" w14:textId="77777777" w:rsidR="002C1D10" w:rsidRDefault="002C1D10" w:rsidP="002C1D10">
      <w:pPr>
        <w:pStyle w:val="BodyText"/>
        <w:rPr>
          <w:szCs w:val="24"/>
        </w:rPr>
      </w:pPr>
    </w:p>
    <w:p w14:paraId="3BEF1079" w14:textId="77777777" w:rsidR="002C1D10" w:rsidRDefault="002C1D10" w:rsidP="002C1D10">
      <w:pPr>
        <w:pStyle w:val="BodyText"/>
        <w:rPr>
          <w:szCs w:val="24"/>
        </w:rPr>
      </w:pPr>
      <w:r>
        <w:rPr>
          <w:szCs w:val="24"/>
        </w:rPr>
        <w:t>We are not seeking approval to omit the expiration date for OMB approval.</w:t>
      </w:r>
    </w:p>
    <w:p w14:paraId="5D57C68D" w14:textId="77777777" w:rsidR="00795D22" w:rsidRPr="001E5428" w:rsidRDefault="00795D22" w:rsidP="00795D22">
      <w:pPr>
        <w:tabs>
          <w:tab w:val="left" w:pos="360"/>
          <w:tab w:val="left" w:pos="792"/>
        </w:tabs>
        <w:rPr>
          <w:rFonts w:ascii="Arial" w:hAnsi="Arial"/>
          <w:sz w:val="24"/>
          <w:szCs w:val="24"/>
        </w:rPr>
      </w:pPr>
    </w:p>
    <w:p w14:paraId="0B68EBD6" w14:textId="77777777" w:rsidR="002C1D10" w:rsidRPr="00DF7C64" w:rsidRDefault="002C1D10" w:rsidP="002C1D10">
      <w:pPr>
        <w:pStyle w:val="BodyText"/>
        <w:rPr>
          <w:b/>
          <w:szCs w:val="24"/>
        </w:rPr>
      </w:pPr>
      <w:r w:rsidRPr="00DF7C64">
        <w:rPr>
          <w:b/>
          <w:szCs w:val="24"/>
        </w:rPr>
        <w:t xml:space="preserve">18. Explain each exception to the certification statement identified in Item 19, “Certification for Paperwork Reduction Act </w:t>
      </w:r>
      <w:r>
        <w:rPr>
          <w:b/>
          <w:szCs w:val="24"/>
        </w:rPr>
        <w:t>S</w:t>
      </w:r>
      <w:r w:rsidRPr="00DF7C64">
        <w:rPr>
          <w:b/>
          <w:szCs w:val="24"/>
        </w:rPr>
        <w:t>ubmissions,” of OMB 83-I.</w:t>
      </w:r>
    </w:p>
    <w:p w14:paraId="532C37B3" w14:textId="77777777" w:rsidR="002C1D10" w:rsidRDefault="002C1D10" w:rsidP="00795D22">
      <w:pPr>
        <w:tabs>
          <w:tab w:val="left" w:pos="360"/>
          <w:tab w:val="left" w:pos="792"/>
        </w:tabs>
        <w:rPr>
          <w:rFonts w:ascii="Arial" w:hAnsi="Arial"/>
          <w:sz w:val="24"/>
          <w:szCs w:val="24"/>
        </w:rPr>
      </w:pPr>
    </w:p>
    <w:p w14:paraId="6261A864" w14:textId="77777777"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This information collection fully complies with all the requirements of 5 CFR 1320.8(b)(3).</w:t>
      </w:r>
    </w:p>
    <w:p w14:paraId="5785E06A" w14:textId="77777777" w:rsidR="00795D22" w:rsidRPr="001E5428" w:rsidRDefault="00795D22" w:rsidP="00795D22">
      <w:pPr>
        <w:tabs>
          <w:tab w:val="left" w:pos="360"/>
          <w:tab w:val="left" w:pos="792"/>
        </w:tabs>
        <w:rPr>
          <w:rFonts w:ascii="Arial" w:hAnsi="Arial"/>
          <w:sz w:val="24"/>
          <w:szCs w:val="24"/>
        </w:rPr>
      </w:pPr>
    </w:p>
    <w:p w14:paraId="45FF256A" w14:textId="77777777" w:rsidR="00795D22" w:rsidRPr="001E5428" w:rsidRDefault="00795D22" w:rsidP="00795D22">
      <w:pPr>
        <w:rPr>
          <w:rFonts w:ascii="Arial" w:hAnsi="Arial"/>
          <w:b/>
          <w:sz w:val="24"/>
          <w:szCs w:val="24"/>
          <w:u w:val="single"/>
        </w:rPr>
      </w:pPr>
      <w:r w:rsidRPr="001E5428">
        <w:rPr>
          <w:rFonts w:ascii="Arial" w:hAnsi="Arial"/>
          <w:b/>
          <w:sz w:val="24"/>
          <w:szCs w:val="24"/>
          <w:u w:val="single"/>
        </w:rPr>
        <w:t>B.  Collection of Information Employing Statistical Methods.</w:t>
      </w:r>
    </w:p>
    <w:p w14:paraId="684B245A" w14:textId="77777777" w:rsidR="00795D22" w:rsidRPr="001E5428" w:rsidRDefault="00795D22" w:rsidP="00795D22">
      <w:pPr>
        <w:rPr>
          <w:rFonts w:ascii="Arial" w:hAnsi="Arial"/>
          <w:sz w:val="24"/>
          <w:szCs w:val="24"/>
        </w:rPr>
      </w:pPr>
    </w:p>
    <w:p w14:paraId="25BE9086" w14:textId="77777777" w:rsidR="00795D22" w:rsidRPr="001E5428" w:rsidRDefault="00795D22" w:rsidP="00795D22">
      <w:pPr>
        <w:rPr>
          <w:rFonts w:ascii="Arial" w:hAnsi="Arial"/>
          <w:sz w:val="24"/>
          <w:szCs w:val="24"/>
        </w:rPr>
      </w:pPr>
      <w:r w:rsidRPr="001E5428">
        <w:rPr>
          <w:rFonts w:ascii="Arial" w:hAnsi="Arial"/>
          <w:sz w:val="24"/>
          <w:szCs w:val="24"/>
        </w:rPr>
        <w:t>This collection of information by the Veterans Benefits Administration does not employ statistical methods.</w:t>
      </w:r>
    </w:p>
    <w:sectPr w:rsidR="00795D22" w:rsidRPr="001E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E3146"/>
    <w:multiLevelType w:val="hybridMultilevel"/>
    <w:tmpl w:val="AE4C37C2"/>
    <w:lvl w:ilvl="0" w:tplc="6DEEDC30">
      <w:start w:val="1"/>
      <w:numFmt w:val="lowerLetter"/>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1">
    <w:nsid w:val="63450E4E"/>
    <w:multiLevelType w:val="hybridMultilevel"/>
    <w:tmpl w:val="1C100870"/>
    <w:lvl w:ilvl="0" w:tplc="F852254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ssinger, Nancy, VBAVACO">
    <w15:presenceInfo w15:providerId="AD" w15:userId="S-1-5-21-1409082233-764733703-682003330-35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22"/>
    <w:rsid w:val="00017465"/>
    <w:rsid w:val="00033F9A"/>
    <w:rsid w:val="0004534F"/>
    <w:rsid w:val="00056F6C"/>
    <w:rsid w:val="000816D9"/>
    <w:rsid w:val="0008293E"/>
    <w:rsid w:val="000A2DD9"/>
    <w:rsid w:val="000C3E96"/>
    <w:rsid w:val="000E280D"/>
    <w:rsid w:val="000F3A5A"/>
    <w:rsid w:val="00144299"/>
    <w:rsid w:val="00155F5B"/>
    <w:rsid w:val="001B3A5A"/>
    <w:rsid w:val="001E5428"/>
    <w:rsid w:val="001E5A04"/>
    <w:rsid w:val="00250DFC"/>
    <w:rsid w:val="00255C1B"/>
    <w:rsid w:val="00255CCF"/>
    <w:rsid w:val="002662FE"/>
    <w:rsid w:val="00286E01"/>
    <w:rsid w:val="002C1D10"/>
    <w:rsid w:val="002C3094"/>
    <w:rsid w:val="002F1A2A"/>
    <w:rsid w:val="00317F28"/>
    <w:rsid w:val="00331AED"/>
    <w:rsid w:val="00333418"/>
    <w:rsid w:val="00350DD3"/>
    <w:rsid w:val="00360397"/>
    <w:rsid w:val="003672AF"/>
    <w:rsid w:val="00372791"/>
    <w:rsid w:val="00396EBE"/>
    <w:rsid w:val="003C7C9A"/>
    <w:rsid w:val="003D051E"/>
    <w:rsid w:val="003E16B0"/>
    <w:rsid w:val="00405846"/>
    <w:rsid w:val="0043482C"/>
    <w:rsid w:val="004776B2"/>
    <w:rsid w:val="00477D7A"/>
    <w:rsid w:val="004A24C0"/>
    <w:rsid w:val="004A2A4B"/>
    <w:rsid w:val="004B0586"/>
    <w:rsid w:val="004B203E"/>
    <w:rsid w:val="004E6B52"/>
    <w:rsid w:val="004F531A"/>
    <w:rsid w:val="005852E5"/>
    <w:rsid w:val="005A0269"/>
    <w:rsid w:val="005C6F40"/>
    <w:rsid w:val="005D79E8"/>
    <w:rsid w:val="006032F3"/>
    <w:rsid w:val="00626A7C"/>
    <w:rsid w:val="006533DA"/>
    <w:rsid w:val="00680F45"/>
    <w:rsid w:val="006B1435"/>
    <w:rsid w:val="006E087E"/>
    <w:rsid w:val="00773C05"/>
    <w:rsid w:val="007778BF"/>
    <w:rsid w:val="0079391F"/>
    <w:rsid w:val="00795D22"/>
    <w:rsid w:val="007A6918"/>
    <w:rsid w:val="007D1DF5"/>
    <w:rsid w:val="007E45F9"/>
    <w:rsid w:val="00827C05"/>
    <w:rsid w:val="008420C8"/>
    <w:rsid w:val="0084475A"/>
    <w:rsid w:val="008605A5"/>
    <w:rsid w:val="00894E1F"/>
    <w:rsid w:val="008C17B0"/>
    <w:rsid w:val="008F741F"/>
    <w:rsid w:val="00927640"/>
    <w:rsid w:val="009277FD"/>
    <w:rsid w:val="00930D45"/>
    <w:rsid w:val="00941778"/>
    <w:rsid w:val="00946317"/>
    <w:rsid w:val="009A099C"/>
    <w:rsid w:val="00A43C8F"/>
    <w:rsid w:val="00A527A4"/>
    <w:rsid w:val="00A528D9"/>
    <w:rsid w:val="00A83357"/>
    <w:rsid w:val="00AA0C06"/>
    <w:rsid w:val="00B17F88"/>
    <w:rsid w:val="00B42BA1"/>
    <w:rsid w:val="00B46AF7"/>
    <w:rsid w:val="00B579FA"/>
    <w:rsid w:val="00B74441"/>
    <w:rsid w:val="00BA3864"/>
    <w:rsid w:val="00BF0D53"/>
    <w:rsid w:val="00C23EC7"/>
    <w:rsid w:val="00CC2AA3"/>
    <w:rsid w:val="00D047F9"/>
    <w:rsid w:val="00D30D6A"/>
    <w:rsid w:val="00D642F8"/>
    <w:rsid w:val="00D82B80"/>
    <w:rsid w:val="00D84F7F"/>
    <w:rsid w:val="00DC0EE4"/>
    <w:rsid w:val="00DE705B"/>
    <w:rsid w:val="00DF6F37"/>
    <w:rsid w:val="00E2010A"/>
    <w:rsid w:val="00E21327"/>
    <w:rsid w:val="00E65EE5"/>
    <w:rsid w:val="00E74CB4"/>
    <w:rsid w:val="00EC185D"/>
    <w:rsid w:val="00EE4CEC"/>
    <w:rsid w:val="00EF4D0D"/>
    <w:rsid w:val="00F0477B"/>
    <w:rsid w:val="00F35909"/>
    <w:rsid w:val="00F54CEF"/>
    <w:rsid w:val="00F820C4"/>
    <w:rsid w:val="00FB6300"/>
    <w:rsid w:val="00FC53B8"/>
    <w:rsid w:val="00FC563D"/>
    <w:rsid w:val="00FE0622"/>
    <w:rsid w:val="00FE2BF9"/>
    <w:rsid w:val="00FE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95D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95D22"/>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5D22"/>
    <w:rPr>
      <w:rFonts w:ascii="Arial" w:eastAsia="Times New Roman" w:hAnsi="Arial" w:cs="Times New Roman"/>
      <w:sz w:val="24"/>
      <w:szCs w:val="20"/>
    </w:rPr>
  </w:style>
  <w:style w:type="paragraph" w:styleId="BodyText">
    <w:name w:val="Body Text"/>
    <w:basedOn w:val="Normal"/>
    <w:link w:val="BodyTextChar"/>
    <w:rsid w:val="00795D22"/>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rsid w:val="00795D2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795D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56F6C"/>
    <w:pPr>
      <w:spacing w:after="0" w:line="240" w:lineRule="auto"/>
    </w:pPr>
  </w:style>
  <w:style w:type="paragraph" w:styleId="BalloonText">
    <w:name w:val="Balloon Text"/>
    <w:basedOn w:val="Normal"/>
    <w:link w:val="BalloonTextChar"/>
    <w:uiPriority w:val="99"/>
    <w:semiHidden/>
    <w:unhideWhenUsed/>
    <w:rsid w:val="00477D7A"/>
    <w:rPr>
      <w:rFonts w:ascii="Tahoma" w:hAnsi="Tahoma" w:cs="Tahoma"/>
      <w:sz w:val="16"/>
      <w:szCs w:val="16"/>
    </w:rPr>
  </w:style>
  <w:style w:type="character" w:customStyle="1" w:styleId="BalloonTextChar">
    <w:name w:val="Balloon Text Char"/>
    <w:basedOn w:val="DefaultParagraphFont"/>
    <w:link w:val="BalloonText"/>
    <w:uiPriority w:val="99"/>
    <w:semiHidden/>
    <w:rsid w:val="00477D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6317"/>
    <w:rPr>
      <w:sz w:val="16"/>
      <w:szCs w:val="16"/>
    </w:rPr>
  </w:style>
  <w:style w:type="paragraph" w:styleId="CommentText">
    <w:name w:val="annotation text"/>
    <w:basedOn w:val="Normal"/>
    <w:link w:val="CommentTextChar"/>
    <w:uiPriority w:val="99"/>
    <w:semiHidden/>
    <w:unhideWhenUsed/>
    <w:rsid w:val="00946317"/>
  </w:style>
  <w:style w:type="character" w:customStyle="1" w:styleId="CommentTextChar">
    <w:name w:val="Comment Text Char"/>
    <w:basedOn w:val="DefaultParagraphFont"/>
    <w:link w:val="CommentText"/>
    <w:uiPriority w:val="99"/>
    <w:semiHidden/>
    <w:rsid w:val="009463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317"/>
    <w:rPr>
      <w:b/>
      <w:bCs/>
    </w:rPr>
  </w:style>
  <w:style w:type="character" w:customStyle="1" w:styleId="CommentSubjectChar">
    <w:name w:val="Comment Subject Char"/>
    <w:basedOn w:val="CommentTextChar"/>
    <w:link w:val="CommentSubject"/>
    <w:uiPriority w:val="99"/>
    <w:semiHidden/>
    <w:rsid w:val="00946317"/>
    <w:rPr>
      <w:rFonts w:ascii="Times New Roman" w:eastAsia="Times New Roman" w:hAnsi="Times New Roman" w:cs="Times New Roman"/>
      <w:b/>
      <w:bCs/>
      <w:sz w:val="20"/>
      <w:szCs w:val="20"/>
    </w:rPr>
  </w:style>
  <w:style w:type="paragraph" w:styleId="ListParagraph">
    <w:name w:val="List Paragraph"/>
    <w:basedOn w:val="Normal"/>
    <w:uiPriority w:val="34"/>
    <w:qFormat/>
    <w:rsid w:val="0004534F"/>
    <w:pPr>
      <w:ind w:left="720"/>
      <w:contextualSpacing/>
    </w:pPr>
  </w:style>
  <w:style w:type="character" w:styleId="Hyperlink">
    <w:name w:val="Hyperlink"/>
    <w:basedOn w:val="DefaultParagraphFont"/>
    <w:uiPriority w:val="99"/>
    <w:unhideWhenUsed/>
    <w:rsid w:val="00405846"/>
    <w:rPr>
      <w:color w:val="0000FF" w:themeColor="hyperlink"/>
      <w:u w:val="single"/>
    </w:rPr>
  </w:style>
  <w:style w:type="table" w:styleId="TableGrid">
    <w:name w:val="Table Grid"/>
    <w:basedOn w:val="TableNormal"/>
    <w:uiPriority w:val="59"/>
    <w:rsid w:val="002C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1A2A"/>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23E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95D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95D22"/>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5D22"/>
    <w:rPr>
      <w:rFonts w:ascii="Arial" w:eastAsia="Times New Roman" w:hAnsi="Arial" w:cs="Times New Roman"/>
      <w:sz w:val="24"/>
      <w:szCs w:val="20"/>
    </w:rPr>
  </w:style>
  <w:style w:type="paragraph" w:styleId="BodyText">
    <w:name w:val="Body Text"/>
    <w:basedOn w:val="Normal"/>
    <w:link w:val="BodyTextChar"/>
    <w:rsid w:val="00795D22"/>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rsid w:val="00795D2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795D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56F6C"/>
    <w:pPr>
      <w:spacing w:after="0" w:line="240" w:lineRule="auto"/>
    </w:pPr>
  </w:style>
  <w:style w:type="paragraph" w:styleId="BalloonText">
    <w:name w:val="Balloon Text"/>
    <w:basedOn w:val="Normal"/>
    <w:link w:val="BalloonTextChar"/>
    <w:uiPriority w:val="99"/>
    <w:semiHidden/>
    <w:unhideWhenUsed/>
    <w:rsid w:val="00477D7A"/>
    <w:rPr>
      <w:rFonts w:ascii="Tahoma" w:hAnsi="Tahoma" w:cs="Tahoma"/>
      <w:sz w:val="16"/>
      <w:szCs w:val="16"/>
    </w:rPr>
  </w:style>
  <w:style w:type="character" w:customStyle="1" w:styleId="BalloonTextChar">
    <w:name w:val="Balloon Text Char"/>
    <w:basedOn w:val="DefaultParagraphFont"/>
    <w:link w:val="BalloonText"/>
    <w:uiPriority w:val="99"/>
    <w:semiHidden/>
    <w:rsid w:val="00477D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6317"/>
    <w:rPr>
      <w:sz w:val="16"/>
      <w:szCs w:val="16"/>
    </w:rPr>
  </w:style>
  <w:style w:type="paragraph" w:styleId="CommentText">
    <w:name w:val="annotation text"/>
    <w:basedOn w:val="Normal"/>
    <w:link w:val="CommentTextChar"/>
    <w:uiPriority w:val="99"/>
    <w:semiHidden/>
    <w:unhideWhenUsed/>
    <w:rsid w:val="00946317"/>
  </w:style>
  <w:style w:type="character" w:customStyle="1" w:styleId="CommentTextChar">
    <w:name w:val="Comment Text Char"/>
    <w:basedOn w:val="DefaultParagraphFont"/>
    <w:link w:val="CommentText"/>
    <w:uiPriority w:val="99"/>
    <w:semiHidden/>
    <w:rsid w:val="009463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317"/>
    <w:rPr>
      <w:b/>
      <w:bCs/>
    </w:rPr>
  </w:style>
  <w:style w:type="character" w:customStyle="1" w:styleId="CommentSubjectChar">
    <w:name w:val="Comment Subject Char"/>
    <w:basedOn w:val="CommentTextChar"/>
    <w:link w:val="CommentSubject"/>
    <w:uiPriority w:val="99"/>
    <w:semiHidden/>
    <w:rsid w:val="00946317"/>
    <w:rPr>
      <w:rFonts w:ascii="Times New Roman" w:eastAsia="Times New Roman" w:hAnsi="Times New Roman" w:cs="Times New Roman"/>
      <w:b/>
      <w:bCs/>
      <w:sz w:val="20"/>
      <w:szCs w:val="20"/>
    </w:rPr>
  </w:style>
  <w:style w:type="paragraph" w:styleId="ListParagraph">
    <w:name w:val="List Paragraph"/>
    <w:basedOn w:val="Normal"/>
    <w:uiPriority w:val="34"/>
    <w:qFormat/>
    <w:rsid w:val="0004534F"/>
    <w:pPr>
      <w:ind w:left="720"/>
      <w:contextualSpacing/>
    </w:pPr>
  </w:style>
  <w:style w:type="character" w:styleId="Hyperlink">
    <w:name w:val="Hyperlink"/>
    <w:basedOn w:val="DefaultParagraphFont"/>
    <w:uiPriority w:val="99"/>
    <w:unhideWhenUsed/>
    <w:rsid w:val="00405846"/>
    <w:rPr>
      <w:color w:val="0000FF" w:themeColor="hyperlink"/>
      <w:u w:val="single"/>
    </w:rPr>
  </w:style>
  <w:style w:type="table" w:styleId="TableGrid">
    <w:name w:val="Table Grid"/>
    <w:basedOn w:val="TableNormal"/>
    <w:uiPriority w:val="59"/>
    <w:rsid w:val="002C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1A2A"/>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23E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61121">
      <w:bodyDiv w:val="1"/>
      <w:marLeft w:val="0"/>
      <w:marRight w:val="0"/>
      <w:marTop w:val="0"/>
      <w:marBottom w:val="0"/>
      <w:divBdr>
        <w:top w:val="none" w:sz="0" w:space="0" w:color="auto"/>
        <w:left w:val="none" w:sz="0" w:space="0" w:color="auto"/>
        <w:bottom w:val="none" w:sz="0" w:space="0" w:color="auto"/>
        <w:right w:val="none" w:sz="0" w:space="0" w:color="auto"/>
      </w:divBdr>
    </w:div>
    <w:div w:id="423962052">
      <w:bodyDiv w:val="1"/>
      <w:marLeft w:val="0"/>
      <w:marRight w:val="0"/>
      <w:marTop w:val="0"/>
      <w:marBottom w:val="0"/>
      <w:divBdr>
        <w:top w:val="none" w:sz="0" w:space="0" w:color="auto"/>
        <w:left w:val="none" w:sz="0" w:space="0" w:color="auto"/>
        <w:bottom w:val="none" w:sz="0" w:space="0" w:color="auto"/>
        <w:right w:val="none" w:sz="0" w:space="0" w:color="auto"/>
      </w:divBdr>
    </w:div>
    <w:div w:id="500240126">
      <w:bodyDiv w:val="1"/>
      <w:marLeft w:val="0"/>
      <w:marRight w:val="0"/>
      <w:marTop w:val="0"/>
      <w:marBottom w:val="0"/>
      <w:divBdr>
        <w:top w:val="none" w:sz="0" w:space="0" w:color="auto"/>
        <w:left w:val="none" w:sz="0" w:space="0" w:color="auto"/>
        <w:bottom w:val="none" w:sz="0" w:space="0" w:color="auto"/>
        <w:right w:val="none" w:sz="0" w:space="0" w:color="auto"/>
      </w:divBdr>
    </w:div>
    <w:div w:id="1445344832">
      <w:bodyDiv w:val="1"/>
      <w:marLeft w:val="0"/>
      <w:marRight w:val="0"/>
      <w:marTop w:val="0"/>
      <w:marBottom w:val="0"/>
      <w:divBdr>
        <w:top w:val="none" w:sz="0" w:space="0" w:color="auto"/>
        <w:left w:val="none" w:sz="0" w:space="0" w:color="auto"/>
        <w:bottom w:val="none" w:sz="0" w:space="0" w:color="auto"/>
        <w:right w:val="none" w:sz="0" w:space="0" w:color="auto"/>
      </w:divBdr>
    </w:div>
    <w:div w:id="18121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2018/general-schedu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EDUSHARE-207-1170</_dlc_DocId>
    <_dlc_DocIdUrl xmlns="ced1f988-d16c-4eb7-9443-312b8723c36c">
      <Url>https://vaww.infoshare.va.gov/sites/educationservice/225/225C/_layouts/15/DocIdRedir.aspx?ID=EDUSHARE-207-1170</Url>
      <Description>EDUSHARE-207-1170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F5865-D57B-4D0B-8238-2B1A3321E765}">
  <ds:schemaRefs>
    <ds:schemaRef ds:uri="http://schemas.microsoft.com/sharepoint/v3/contenttype/forms"/>
  </ds:schemaRefs>
</ds:datastoreItem>
</file>

<file path=customXml/itemProps2.xml><?xml version="1.0" encoding="utf-8"?>
<ds:datastoreItem xmlns:ds="http://schemas.openxmlformats.org/officeDocument/2006/customXml" ds:itemID="{EC75F5A9-FCA9-4CF4-AF67-0F0D86A9C846}">
  <ds:schemaRefs>
    <ds:schemaRef ds:uri="http://schemas.microsoft.com/sharepoint/events"/>
  </ds:schemaRefs>
</ds:datastoreItem>
</file>

<file path=customXml/itemProps3.xml><?xml version="1.0" encoding="utf-8"?>
<ds:datastoreItem xmlns:ds="http://schemas.openxmlformats.org/officeDocument/2006/customXml" ds:itemID="{D62ABFFE-CB6F-443D-ADD4-DCA036BB4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BCD1B-FB7A-48FF-84AB-8B1E5FF5BCED}">
  <ds:schemaRefs>
    <ds:schemaRef ds:uri="http://schemas.microsoft.com/office/2006/metadata/properties"/>
    <ds:schemaRef ds:uri="http://schemas.microsoft.com/office/infopath/2007/PartnerControls"/>
    <ds:schemaRef ds:uri="ced1f988-d16c-4eb7-9443-312b8723c36c"/>
  </ds:schemaRefs>
</ds:datastoreItem>
</file>

<file path=customXml/itemProps5.xml><?xml version="1.0" encoding="utf-8"?>
<ds:datastoreItem xmlns:ds="http://schemas.openxmlformats.org/officeDocument/2006/customXml" ds:itemID="{8DC5EB0F-EB45-477E-85F6-B7E7C90F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Dept. of Veterans Affairs</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Jones, Ericka, VBAVACO</dc:creator>
  <cp:lastModifiedBy>SYSTEM</cp:lastModifiedBy>
  <cp:revision>2</cp:revision>
  <cp:lastPrinted>2019-07-19T16:01:00Z</cp:lastPrinted>
  <dcterms:created xsi:type="dcterms:W3CDTF">2019-08-13T14:03:00Z</dcterms:created>
  <dcterms:modified xsi:type="dcterms:W3CDTF">2019-08-13T14:03:00Z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1773ea5b-4dca-41b3-aa09-c375c757c5e5</vt:lpwstr>
  </property>
</Properties>
</file>