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F6" w:rsidRDefault="00EA361D" w14:paraId="50FD3A43" w14:textId="77777777">
      <w:pPr>
        <w:pStyle w:val="Heading1"/>
        <w:spacing w:before="78"/>
        <w:ind w:left="3387" w:right="3385"/>
        <w:jc w:val="center"/>
      </w:pPr>
      <w:r>
        <w:rPr>
          <w:color w:val="545454"/>
        </w:rPr>
        <w:t>Supporting Statement A</w:t>
      </w:r>
    </w:p>
    <w:p w:rsidR="00C813F6" w:rsidRDefault="00EA361D" w14:paraId="1DB0F548" w14:textId="77777777">
      <w:pPr>
        <w:ind w:left="1427"/>
        <w:rPr>
          <w:b/>
          <w:sz w:val="24"/>
        </w:rPr>
      </w:pPr>
      <w:r>
        <w:rPr>
          <w:b/>
          <w:color w:val="545454"/>
          <w:sz w:val="24"/>
        </w:rPr>
        <w:t>FAA Organization Designation Authorization (ODA) Survey</w:t>
      </w:r>
    </w:p>
    <w:p w:rsidR="00C813F6" w:rsidRDefault="00C813F6" w14:paraId="28BE95F0" w14:textId="77777777">
      <w:pPr>
        <w:pStyle w:val="BodyText"/>
        <w:rPr>
          <w:b/>
        </w:rPr>
      </w:pPr>
    </w:p>
    <w:p w:rsidR="00C813F6" w:rsidRDefault="00EA361D" w14:paraId="328AD64E" w14:textId="77777777">
      <w:pPr>
        <w:pStyle w:val="ListParagraph"/>
        <w:numPr>
          <w:ilvl w:val="0"/>
          <w:numId w:val="1"/>
        </w:numPr>
        <w:tabs>
          <w:tab w:val="left" w:pos="369"/>
        </w:tabs>
        <w:ind w:right="357" w:firstLine="0"/>
        <w:rPr>
          <w:b/>
          <w:sz w:val="24"/>
        </w:rPr>
      </w:pPr>
      <w:r>
        <w:rPr>
          <w:b/>
          <w:color w:val="545454"/>
          <w:sz w:val="24"/>
        </w:rPr>
        <w:t>Explain the circumstances that make the collection of information necessary. Identify any legal or administrative requirements that necessitate the</w:t>
      </w:r>
      <w:r>
        <w:rPr>
          <w:b/>
          <w:color w:val="545454"/>
          <w:spacing w:val="-37"/>
          <w:sz w:val="24"/>
        </w:rPr>
        <w:t xml:space="preserve"> </w:t>
      </w:r>
      <w:r>
        <w:rPr>
          <w:b/>
          <w:color w:val="545454"/>
          <w:sz w:val="24"/>
        </w:rPr>
        <w:t>collection.</w:t>
      </w:r>
    </w:p>
    <w:p w:rsidR="00C813F6" w:rsidRDefault="00C813F6" w14:paraId="134C3812" w14:textId="77777777">
      <w:pPr>
        <w:pStyle w:val="BodyText"/>
        <w:rPr>
          <w:b/>
          <w:sz w:val="26"/>
        </w:rPr>
      </w:pPr>
    </w:p>
    <w:p w:rsidR="00C813F6" w:rsidRDefault="00C813F6" w14:paraId="6E0FB3D2" w14:textId="77777777">
      <w:pPr>
        <w:pStyle w:val="BodyText"/>
        <w:rPr>
          <w:b/>
          <w:sz w:val="22"/>
        </w:rPr>
      </w:pPr>
    </w:p>
    <w:p w:rsidR="00833E0F" w:rsidRDefault="00EA361D" w14:paraId="6B7282B6" w14:textId="77777777">
      <w:pPr>
        <w:pStyle w:val="BodyText"/>
        <w:ind w:left="100" w:right="329"/>
        <w:rPr>
          <w:color w:val="545454"/>
        </w:rPr>
      </w:pPr>
      <w:r>
        <w:rPr>
          <w:color w:val="545454"/>
        </w:rPr>
        <w:t xml:space="preserve">We are requesting Office of Management and Budget (OMB) approval for a new information collection, a survey of Organization Designation Authorization (ODA) Holders and ODA Program Applicants to document and assess FAA certification and oversight activities. </w:t>
      </w:r>
    </w:p>
    <w:p w:rsidR="00833E0F" w:rsidRDefault="00833E0F" w14:paraId="230D7109" w14:textId="77777777">
      <w:pPr>
        <w:pStyle w:val="BodyText"/>
        <w:ind w:left="100" w:right="329"/>
        <w:rPr>
          <w:color w:val="545454"/>
        </w:rPr>
      </w:pPr>
    </w:p>
    <w:p w:rsidR="004D2945" w:rsidP="00833E0F" w:rsidRDefault="00833E0F" w14:paraId="55B635EB" w14:textId="31D7EBC2">
      <w:pPr>
        <w:pStyle w:val="BodyText"/>
        <w:ind w:left="100" w:right="329"/>
        <w:rPr>
          <w:b/>
          <w:color w:val="545454"/>
        </w:rPr>
      </w:pPr>
      <w:r w:rsidRPr="008858E6">
        <w:rPr>
          <w:b/>
          <w:color w:val="545454"/>
        </w:rPr>
        <w:t>What are ODA</w:t>
      </w:r>
      <w:r w:rsidR="00303133">
        <w:rPr>
          <w:b/>
          <w:color w:val="545454"/>
        </w:rPr>
        <w:t xml:space="preserve"> Holders</w:t>
      </w:r>
      <w:r w:rsidRPr="008858E6">
        <w:rPr>
          <w:b/>
          <w:color w:val="545454"/>
        </w:rPr>
        <w:t xml:space="preserve">? </w:t>
      </w:r>
    </w:p>
    <w:p w:rsidR="00833E0F" w:rsidP="00833E0F" w:rsidRDefault="00833E0F" w14:paraId="4B5BC092" w14:textId="679FBC45">
      <w:pPr>
        <w:pStyle w:val="BodyText"/>
        <w:ind w:left="100" w:right="329"/>
        <w:rPr>
          <w:color w:val="545454"/>
        </w:rPr>
      </w:pPr>
      <w:r w:rsidRPr="00833E0F">
        <w:rPr>
          <w:color w:val="545454"/>
        </w:rPr>
        <w:t>Under Title 49 of the United States Code (49 USC) 44702(d), the FAA may delegate to a qualified private person</w:t>
      </w:r>
      <w:r w:rsidR="008858E6">
        <w:rPr>
          <w:color w:val="545454"/>
        </w:rPr>
        <w:t xml:space="preserve"> </w:t>
      </w:r>
      <w:r w:rsidRPr="00833E0F">
        <w:rPr>
          <w:color w:val="545454"/>
        </w:rPr>
        <w:t>a matter related to issuing certificates, or related to the examination, testing, and inspection necessary to issue a certificate on behalf of the FAA Administrator.</w:t>
      </w:r>
      <w:r>
        <w:rPr>
          <w:color w:val="545454"/>
        </w:rPr>
        <w:t xml:space="preserve"> </w:t>
      </w:r>
      <w:r w:rsidRPr="00833E0F">
        <w:rPr>
          <w:color w:val="545454"/>
        </w:rPr>
        <w:t>The Organization Designation Authorization (ODA) program is the means by which the FAA grants designee authority to organizations or companies. The regulations addressing the ODA program are found in Title 14 of the Code of Federal Regulations (14 CFR) part 183, subpart D, sections 183.41 through 813.67.</w:t>
      </w:r>
    </w:p>
    <w:p w:rsidRPr="00833E0F" w:rsidR="00833E0F" w:rsidP="00833E0F" w:rsidRDefault="00833E0F" w14:paraId="19F77F60" w14:textId="77777777">
      <w:pPr>
        <w:pStyle w:val="BodyText"/>
        <w:ind w:left="100" w:right="329"/>
        <w:rPr>
          <w:color w:val="545454"/>
        </w:rPr>
      </w:pPr>
    </w:p>
    <w:p w:rsidR="00833E0F" w:rsidP="00833E0F" w:rsidRDefault="00303133" w14:paraId="46DE53A7" w14:textId="4CFB0CBE">
      <w:pPr>
        <w:pStyle w:val="BodyText"/>
        <w:ind w:left="100" w:right="329"/>
        <w:rPr>
          <w:color w:val="545454"/>
        </w:rPr>
      </w:pPr>
      <w:r>
        <w:rPr>
          <w:color w:val="545454"/>
        </w:rPr>
        <w:t>FAA typically authorizes</w:t>
      </w:r>
      <w:r w:rsidRPr="00833E0F">
        <w:rPr>
          <w:color w:val="545454"/>
        </w:rPr>
        <w:t xml:space="preserve"> </w:t>
      </w:r>
      <w:r w:rsidRPr="00833E0F" w:rsidR="00833E0F">
        <w:rPr>
          <w:color w:val="545454"/>
        </w:rPr>
        <w:t xml:space="preserve">ODA holders to conduct </w:t>
      </w:r>
      <w:r>
        <w:rPr>
          <w:color w:val="545454"/>
        </w:rPr>
        <w:t>certain</w:t>
      </w:r>
      <w:r w:rsidRPr="00833E0F" w:rsidR="00833E0F">
        <w:rPr>
          <w:color w:val="545454"/>
        </w:rPr>
        <w:t xml:space="preserve"> FAA </w:t>
      </w:r>
      <w:r w:rsidRPr="00833E0F">
        <w:rPr>
          <w:color w:val="545454"/>
        </w:rPr>
        <w:t>functions that</w:t>
      </w:r>
      <w:r w:rsidRPr="00833E0F" w:rsidR="00833E0F">
        <w:rPr>
          <w:color w:val="545454"/>
        </w:rPr>
        <w:t xml:space="preserve"> </w:t>
      </w:r>
      <w:r>
        <w:rPr>
          <w:color w:val="545454"/>
        </w:rPr>
        <w:t>the holders</w:t>
      </w:r>
      <w:r w:rsidRPr="00833E0F" w:rsidR="00833E0F">
        <w:rPr>
          <w:color w:val="545454"/>
        </w:rPr>
        <w:t xml:space="preserve"> would</w:t>
      </w:r>
      <w:r>
        <w:rPr>
          <w:color w:val="545454"/>
        </w:rPr>
        <w:t xml:space="preserve"> </w:t>
      </w:r>
      <w:r w:rsidRPr="00833E0F" w:rsidR="00833E0F">
        <w:rPr>
          <w:color w:val="545454"/>
        </w:rPr>
        <w:t>seek from the FAA</w:t>
      </w:r>
      <w:r>
        <w:rPr>
          <w:color w:val="545454"/>
        </w:rPr>
        <w:t xml:space="preserve"> without such </w:t>
      </w:r>
      <w:r w:rsidR="003D151E">
        <w:rPr>
          <w:color w:val="545454"/>
        </w:rPr>
        <w:t>designation</w:t>
      </w:r>
      <w:r w:rsidRPr="00833E0F" w:rsidR="00833E0F">
        <w:rPr>
          <w:color w:val="545454"/>
        </w:rPr>
        <w:t xml:space="preserve">. For example, aircraft manufacturers </w:t>
      </w:r>
      <w:r w:rsidR="003D151E">
        <w:rPr>
          <w:color w:val="545454"/>
        </w:rPr>
        <w:t xml:space="preserve">who hold ODA </w:t>
      </w:r>
      <w:r w:rsidRPr="00833E0F" w:rsidR="00833E0F">
        <w:rPr>
          <w:color w:val="545454"/>
        </w:rPr>
        <w:t xml:space="preserve">may approve design changes in their products and repair stations </w:t>
      </w:r>
      <w:proofErr w:type="gramStart"/>
      <w:r w:rsidRPr="00833E0F" w:rsidR="00833E0F">
        <w:rPr>
          <w:color w:val="545454"/>
        </w:rPr>
        <w:t>may be authorized</w:t>
      </w:r>
      <w:proofErr w:type="gramEnd"/>
      <w:r w:rsidRPr="00833E0F" w:rsidR="00833E0F">
        <w:rPr>
          <w:color w:val="545454"/>
        </w:rPr>
        <w:t xml:space="preserve"> to approve repair and alteration data.</w:t>
      </w:r>
      <w:r w:rsidR="004D2945">
        <w:rPr>
          <w:color w:val="545454"/>
        </w:rPr>
        <w:t xml:space="preserve"> FAA</w:t>
      </w:r>
      <w:r w:rsidR="00A021EF">
        <w:rPr>
          <w:color w:val="545454"/>
        </w:rPr>
        <w:t xml:space="preserve"> engineers and inspectors</w:t>
      </w:r>
      <w:r w:rsidR="004D2945">
        <w:rPr>
          <w:color w:val="545454"/>
        </w:rPr>
        <w:t xml:space="preserve"> then oversee the ODA to ensure they are meeting FAA safety standards. </w:t>
      </w:r>
    </w:p>
    <w:p w:rsidRPr="00833E0F" w:rsidR="00833E0F" w:rsidP="00833E0F" w:rsidRDefault="00833E0F" w14:paraId="5A3BF5F9" w14:textId="77777777">
      <w:pPr>
        <w:pStyle w:val="BodyText"/>
        <w:ind w:left="100" w:right="329"/>
        <w:rPr>
          <w:color w:val="545454"/>
        </w:rPr>
      </w:pPr>
    </w:p>
    <w:p w:rsidR="00C813F6" w:rsidRDefault="00833E0F" w14:paraId="439BA1B1" w14:textId="77777777">
      <w:pPr>
        <w:pStyle w:val="BodyText"/>
        <w:ind w:left="100" w:right="329"/>
      </w:pPr>
      <w:r w:rsidRPr="008858E6">
        <w:rPr>
          <w:b/>
          <w:color w:val="545454"/>
        </w:rPr>
        <w:t>Why must we survey ODAs?</w:t>
      </w:r>
      <w:r>
        <w:rPr>
          <w:color w:val="545454"/>
        </w:rPr>
        <w:t xml:space="preserve"> </w:t>
      </w:r>
      <w:r w:rsidR="00EA361D">
        <w:rPr>
          <w:color w:val="545454"/>
        </w:rPr>
        <w:t xml:space="preserve">Section 213 of Public Law 115-254 FAA Reauthorization Act of 2018 requires that the FAA establish an expert panel that “…shall conduct a survey of ODA Holders and ODA Program Applicants to document and assess FAA certification and oversight activities, including use of the ODA program and the timeliness and efficiency of the certification process.” To our knowledge, such a requirement that surveys </w:t>
      </w:r>
      <w:r w:rsidR="00EA361D">
        <w:rPr>
          <w:i/>
          <w:color w:val="545454"/>
        </w:rPr>
        <w:t xml:space="preserve">all </w:t>
      </w:r>
      <w:r w:rsidR="00EA361D">
        <w:rPr>
          <w:color w:val="545454"/>
        </w:rPr>
        <w:t>ODA Holders and applicants is a first of its kind; and we therefore we not able to consolidate these requirements with other current, or past, surveys as they do not exist.</w:t>
      </w:r>
    </w:p>
    <w:p w:rsidR="00C813F6" w:rsidRDefault="00C813F6" w14:paraId="4496E17C" w14:textId="77777777">
      <w:pPr>
        <w:pStyle w:val="BodyText"/>
        <w:rPr>
          <w:sz w:val="26"/>
        </w:rPr>
      </w:pPr>
    </w:p>
    <w:p w:rsidR="00C813F6" w:rsidRDefault="00C813F6" w14:paraId="6B55383F" w14:textId="77777777">
      <w:pPr>
        <w:pStyle w:val="BodyText"/>
        <w:rPr>
          <w:sz w:val="22"/>
        </w:rPr>
      </w:pPr>
    </w:p>
    <w:p w:rsidR="00C813F6" w:rsidRDefault="00EA361D" w14:paraId="3F5BBFCC" w14:textId="77777777">
      <w:pPr>
        <w:pStyle w:val="Heading1"/>
        <w:numPr>
          <w:ilvl w:val="0"/>
          <w:numId w:val="1"/>
        </w:numPr>
        <w:tabs>
          <w:tab w:val="left" w:pos="369"/>
        </w:tabs>
        <w:ind w:right="439" w:firstLine="0"/>
      </w:pPr>
      <w:r>
        <w:rPr>
          <w:color w:val="545454"/>
        </w:rPr>
        <w:t xml:space="preserve">Indicate how, by whom, and for what purpose the information is to </w:t>
      </w:r>
      <w:proofErr w:type="gramStart"/>
      <w:r>
        <w:rPr>
          <w:color w:val="545454"/>
        </w:rPr>
        <w:t>be used</w:t>
      </w:r>
      <w:proofErr w:type="gramEnd"/>
      <w:r>
        <w:rPr>
          <w:color w:val="545454"/>
        </w:rPr>
        <w:t>. Except for a new collection, indicate the actual use the agency has made of the information received from the current</w:t>
      </w:r>
      <w:r>
        <w:rPr>
          <w:color w:val="545454"/>
          <w:spacing w:val="-3"/>
        </w:rPr>
        <w:t xml:space="preserve"> </w:t>
      </w:r>
      <w:r>
        <w:rPr>
          <w:color w:val="545454"/>
        </w:rPr>
        <w:t>collection.</w:t>
      </w:r>
    </w:p>
    <w:p w:rsidR="00C813F6" w:rsidRDefault="00C813F6" w14:paraId="3DD9D924" w14:textId="77777777">
      <w:pPr>
        <w:pStyle w:val="BodyText"/>
        <w:rPr>
          <w:b/>
        </w:rPr>
      </w:pPr>
    </w:p>
    <w:p w:rsidR="00C813F6" w:rsidRDefault="00EA361D" w14:paraId="696C005C" w14:textId="77777777">
      <w:pPr>
        <w:pStyle w:val="BodyText"/>
        <w:ind w:left="100" w:right="421"/>
      </w:pPr>
      <w:r>
        <w:rPr>
          <w:color w:val="545454"/>
        </w:rPr>
        <w:t xml:space="preserve">Section 213 of Public Law 115-254 FAA Reauthorization Act of 2018 establishes an Expert Review Panel representing ODA Holders, aviation manufacturers, safety experts, and FAA labor organizations, including FAA aviation safety inspectors and aviation safety engineers. The law tasks the panel with designing, conducting, and analyzing results of the requested survey to, “submit to the [FAA] Administrator, the [Safety and Oversight] Advisory Committee [defined in Section 202 of the Reauthorization Act], and the appropriate committees of Congress a report on the findings and recommendations of the Panel.” The report provided to Congress will be </w:t>
      </w:r>
      <w:r>
        <w:rPr>
          <w:color w:val="545454"/>
        </w:rPr>
        <w:lastRenderedPageBreak/>
        <w:t xml:space="preserve">practically utilized as it will undoubtedly inform future ODA policy, and influence how </w:t>
      </w:r>
      <w:proofErr w:type="gramStart"/>
      <w:r>
        <w:rPr>
          <w:color w:val="545454"/>
        </w:rPr>
        <w:t>ODA oversight is administered by the FAA</w:t>
      </w:r>
      <w:proofErr w:type="gramEnd"/>
      <w:r>
        <w:rPr>
          <w:color w:val="545454"/>
        </w:rPr>
        <w:t>.</w:t>
      </w:r>
    </w:p>
    <w:p w:rsidR="00C813F6" w:rsidRDefault="00C813F6" w14:paraId="6F56B1CB" w14:textId="77777777">
      <w:pPr>
        <w:pStyle w:val="BodyText"/>
      </w:pPr>
    </w:p>
    <w:p w:rsidR="00C813F6" w:rsidRDefault="00EA361D" w14:paraId="6BEFB9EC" w14:textId="51CF4C91">
      <w:pPr>
        <w:pStyle w:val="BodyText"/>
        <w:spacing w:before="1"/>
        <w:ind w:left="100" w:right="329"/>
      </w:pPr>
      <w:r>
        <w:rPr>
          <w:color w:val="545454"/>
        </w:rPr>
        <w:t xml:space="preserve">The survey collection will be voluntary, advertised to the entire ODA Holder and applicant community (ODA being defined in section 44736 of title 49, United States Code), and will not require records to be retained by ODA entities. The collection </w:t>
      </w:r>
      <w:proofErr w:type="gramStart"/>
      <w:r>
        <w:rPr>
          <w:color w:val="545454"/>
        </w:rPr>
        <w:t>is anticipated</w:t>
      </w:r>
      <w:proofErr w:type="gramEnd"/>
      <w:r>
        <w:rPr>
          <w:color w:val="545454"/>
        </w:rPr>
        <w:t xml:space="preserve"> to be a one-time collection.</w:t>
      </w:r>
    </w:p>
    <w:p w:rsidR="00C813F6" w:rsidRDefault="00C813F6" w14:paraId="66BC7244" w14:textId="77777777">
      <w:pPr>
        <w:pStyle w:val="BodyText"/>
      </w:pPr>
    </w:p>
    <w:p w:rsidR="00C813F6" w:rsidRDefault="00EA361D" w14:paraId="66788B51" w14:textId="77777777">
      <w:pPr>
        <w:pStyle w:val="BodyText"/>
        <w:ind w:left="100" w:right="222"/>
      </w:pPr>
      <w:r>
        <w:rPr>
          <w:color w:val="545454"/>
        </w:rPr>
        <w:t xml:space="preserve">The survey results </w:t>
      </w:r>
      <w:proofErr w:type="gramStart"/>
      <w:r>
        <w:rPr>
          <w:color w:val="545454"/>
        </w:rPr>
        <w:t>will be summarized</w:t>
      </w:r>
      <w:proofErr w:type="gramEnd"/>
      <w:r>
        <w:rPr>
          <w:color w:val="545454"/>
        </w:rPr>
        <w:t xml:space="preserve"> in a report to the Advisory Committee providing recommendations regarding FAA ODA certification and oversight activities, including use of the ODA program and timeliness and efficiency of the certification process. The report </w:t>
      </w:r>
      <w:proofErr w:type="gramStart"/>
      <w:r>
        <w:rPr>
          <w:color w:val="545454"/>
        </w:rPr>
        <w:t>will be submitted as an Advisory Committee record and retained as a permanent record available to the public</w:t>
      </w:r>
      <w:proofErr w:type="gramEnd"/>
      <w:r>
        <w:rPr>
          <w:color w:val="545454"/>
        </w:rPr>
        <w:t xml:space="preserve">. Raw survey data </w:t>
      </w:r>
      <w:proofErr w:type="gramStart"/>
      <w:r>
        <w:rPr>
          <w:color w:val="545454"/>
        </w:rPr>
        <w:t>will not be disseminated</w:t>
      </w:r>
      <w:proofErr w:type="gramEnd"/>
      <w:r>
        <w:rPr>
          <w:color w:val="545454"/>
        </w:rPr>
        <w:t xml:space="preserve"> to the</w:t>
      </w:r>
      <w:r>
        <w:rPr>
          <w:color w:val="545454"/>
          <w:spacing w:val="-31"/>
        </w:rPr>
        <w:t xml:space="preserve"> </w:t>
      </w:r>
      <w:r>
        <w:rPr>
          <w:color w:val="545454"/>
        </w:rPr>
        <w:t>public,</w:t>
      </w:r>
    </w:p>
    <w:p w:rsidR="00C813F6" w:rsidRDefault="00EA361D" w14:paraId="56C56BC5" w14:textId="77777777">
      <w:pPr>
        <w:pStyle w:val="BodyText"/>
        <w:spacing w:before="78"/>
        <w:ind w:left="100" w:right="569"/>
        <w:jc w:val="both"/>
      </w:pPr>
      <w:proofErr w:type="gramStart"/>
      <w:r>
        <w:rPr>
          <w:color w:val="545454"/>
        </w:rPr>
        <w:t>but</w:t>
      </w:r>
      <w:proofErr w:type="gramEnd"/>
      <w:r>
        <w:rPr>
          <w:color w:val="545454"/>
        </w:rPr>
        <w:t xml:space="preserve"> will be retained along with historical records of the Expert Panel. Since the ODA entities represent organizations, and not individuals, we will not be asking questions about race or ethnicity.</w:t>
      </w:r>
    </w:p>
    <w:p w:rsidR="00C813F6" w:rsidRDefault="00C813F6" w14:paraId="6EC457F4" w14:textId="77777777">
      <w:pPr>
        <w:pStyle w:val="BodyText"/>
        <w:rPr>
          <w:sz w:val="26"/>
        </w:rPr>
      </w:pPr>
    </w:p>
    <w:p w:rsidR="00C813F6" w:rsidRDefault="00C813F6" w14:paraId="7D6F2159" w14:textId="77777777">
      <w:pPr>
        <w:pStyle w:val="BodyText"/>
        <w:rPr>
          <w:sz w:val="26"/>
        </w:rPr>
      </w:pPr>
    </w:p>
    <w:p w:rsidR="00C813F6" w:rsidRDefault="00EA361D" w14:paraId="2B5F6153" w14:textId="77777777">
      <w:pPr>
        <w:pStyle w:val="Heading1"/>
        <w:numPr>
          <w:ilvl w:val="0"/>
          <w:numId w:val="1"/>
        </w:numPr>
        <w:tabs>
          <w:tab w:val="left" w:pos="369"/>
        </w:tabs>
        <w:spacing w:before="230"/>
        <w:ind w:right="139" w:firstLine="0"/>
      </w:pPr>
      <w:r>
        <w:rPr>
          <w:color w:val="545454"/>
        </w:rPr>
        <w:t>Describe whether, and to what extent, the collection of information involves</w:t>
      </w:r>
      <w:r>
        <w:rPr>
          <w:color w:val="545454"/>
          <w:spacing w:val="-46"/>
        </w:rPr>
        <w:t xml:space="preserve"> </w:t>
      </w:r>
      <w:r>
        <w:rPr>
          <w:color w:val="545454"/>
        </w:rPr>
        <w:t>the use of automated, electronic, mechanical, or other technological collection techniques or other forms of information</w:t>
      </w:r>
      <w:r>
        <w:rPr>
          <w:color w:val="545454"/>
          <w:spacing w:val="-4"/>
        </w:rPr>
        <w:t xml:space="preserve"> </w:t>
      </w:r>
      <w:r>
        <w:rPr>
          <w:color w:val="545454"/>
        </w:rPr>
        <w:t>technology.</w:t>
      </w:r>
    </w:p>
    <w:p w:rsidR="00C813F6" w:rsidRDefault="00C813F6" w14:paraId="052568B9" w14:textId="77777777">
      <w:pPr>
        <w:pStyle w:val="BodyText"/>
        <w:rPr>
          <w:b/>
          <w:sz w:val="26"/>
        </w:rPr>
      </w:pPr>
    </w:p>
    <w:p w:rsidR="00C813F6" w:rsidRDefault="00C813F6" w14:paraId="072F4432" w14:textId="77777777">
      <w:pPr>
        <w:pStyle w:val="BodyText"/>
        <w:rPr>
          <w:b/>
          <w:sz w:val="22"/>
        </w:rPr>
      </w:pPr>
    </w:p>
    <w:p w:rsidR="00C813F6" w:rsidRDefault="00EA361D" w14:paraId="3B57F47A" w14:textId="77777777">
      <w:pPr>
        <w:pStyle w:val="BodyText"/>
        <w:ind w:left="100"/>
      </w:pPr>
      <w:r>
        <w:rPr>
          <w:color w:val="545454"/>
        </w:rPr>
        <w:t xml:space="preserve">We will solicit requests for electronic submission of the survey answers from ODA Holders using electronic means and enable responses to </w:t>
      </w:r>
      <w:proofErr w:type="gramStart"/>
      <w:r>
        <w:rPr>
          <w:color w:val="545454"/>
        </w:rPr>
        <w:t>be provided</w:t>
      </w:r>
      <w:proofErr w:type="gramEnd"/>
      <w:r>
        <w:rPr>
          <w:color w:val="545454"/>
        </w:rPr>
        <w:t xml:space="preserve"> electronically over a web-enabled survey.</w:t>
      </w:r>
    </w:p>
    <w:p w:rsidR="00C813F6" w:rsidRDefault="00C813F6" w14:paraId="384ABCA5" w14:textId="77777777">
      <w:pPr>
        <w:pStyle w:val="BodyText"/>
        <w:rPr>
          <w:sz w:val="26"/>
        </w:rPr>
      </w:pPr>
    </w:p>
    <w:p w:rsidR="00C813F6" w:rsidRDefault="00C813F6" w14:paraId="2633D4FE" w14:textId="77777777">
      <w:pPr>
        <w:pStyle w:val="BodyText"/>
        <w:rPr>
          <w:sz w:val="22"/>
        </w:rPr>
      </w:pPr>
    </w:p>
    <w:p w:rsidR="00C813F6" w:rsidRDefault="00EA361D" w14:paraId="2D7EDFF4" w14:textId="77777777">
      <w:pPr>
        <w:pStyle w:val="Heading1"/>
        <w:numPr>
          <w:ilvl w:val="0"/>
          <w:numId w:val="1"/>
        </w:numPr>
        <w:tabs>
          <w:tab w:val="left" w:pos="369"/>
        </w:tabs>
        <w:ind w:right="120" w:firstLine="0"/>
      </w:pPr>
      <w:r>
        <w:rPr>
          <w:color w:val="545454"/>
        </w:rPr>
        <w:t>Describe efforts to identify duplication. Show specifically why any similar information already available cannot be used or modified for use for the purposes described in Item 2</w:t>
      </w:r>
      <w:r>
        <w:rPr>
          <w:color w:val="545454"/>
          <w:spacing w:val="-4"/>
        </w:rPr>
        <w:t xml:space="preserve"> </w:t>
      </w:r>
      <w:r>
        <w:rPr>
          <w:color w:val="545454"/>
        </w:rPr>
        <w:t>above.</w:t>
      </w:r>
    </w:p>
    <w:p w:rsidR="00C813F6" w:rsidRDefault="00C813F6" w14:paraId="776258A6" w14:textId="77777777">
      <w:pPr>
        <w:pStyle w:val="BodyText"/>
        <w:rPr>
          <w:b/>
          <w:sz w:val="26"/>
        </w:rPr>
      </w:pPr>
    </w:p>
    <w:p w:rsidR="00C813F6" w:rsidRDefault="00C813F6" w14:paraId="12EFBD50" w14:textId="77777777">
      <w:pPr>
        <w:pStyle w:val="BodyText"/>
        <w:rPr>
          <w:b/>
          <w:sz w:val="22"/>
        </w:rPr>
      </w:pPr>
    </w:p>
    <w:p w:rsidR="00C813F6" w:rsidRDefault="00EA361D" w14:paraId="123E53D9" w14:textId="77777777">
      <w:pPr>
        <w:pStyle w:val="BodyText"/>
        <w:ind w:left="100" w:right="158"/>
        <w:jc w:val="both"/>
      </w:pPr>
      <w:r>
        <w:rPr>
          <w:color w:val="545454"/>
        </w:rPr>
        <w:t>Due to the specific tasking to conduct a new survey in the Reauthorization Act, we have not located prior collections that could be relevant. Prior survey results would be neither sufficient, nor current enough, to respond to the tasking of the Expert Panel.</w:t>
      </w:r>
    </w:p>
    <w:p w:rsidR="00C813F6" w:rsidRDefault="00C813F6" w14:paraId="7C235EA1" w14:textId="77777777">
      <w:pPr>
        <w:pStyle w:val="BodyText"/>
        <w:rPr>
          <w:sz w:val="26"/>
        </w:rPr>
      </w:pPr>
    </w:p>
    <w:p w:rsidR="00C813F6" w:rsidRDefault="00C813F6" w14:paraId="73F24C88" w14:textId="77777777">
      <w:pPr>
        <w:pStyle w:val="BodyText"/>
        <w:rPr>
          <w:sz w:val="22"/>
        </w:rPr>
      </w:pPr>
    </w:p>
    <w:p w:rsidR="00C813F6" w:rsidRDefault="00EA361D" w14:paraId="316EFBF6" w14:textId="77777777">
      <w:pPr>
        <w:pStyle w:val="Heading1"/>
        <w:numPr>
          <w:ilvl w:val="0"/>
          <w:numId w:val="1"/>
        </w:numPr>
        <w:tabs>
          <w:tab w:val="left" w:pos="369"/>
        </w:tabs>
        <w:ind w:right="1012" w:firstLine="0"/>
      </w:pPr>
      <w:r>
        <w:rPr>
          <w:color w:val="545454"/>
        </w:rPr>
        <w:t>If the collection of information involves small businesses or other small entities, describe the methods used to minimize</w:t>
      </w:r>
      <w:r>
        <w:rPr>
          <w:color w:val="545454"/>
          <w:spacing w:val="-2"/>
        </w:rPr>
        <w:t xml:space="preserve"> </w:t>
      </w:r>
      <w:r>
        <w:rPr>
          <w:color w:val="545454"/>
        </w:rPr>
        <w:t>burden.</w:t>
      </w:r>
    </w:p>
    <w:p w:rsidR="00C813F6" w:rsidRDefault="00C813F6" w14:paraId="09C4DE44" w14:textId="77777777">
      <w:pPr>
        <w:pStyle w:val="BodyText"/>
        <w:rPr>
          <w:b/>
          <w:sz w:val="26"/>
        </w:rPr>
      </w:pPr>
    </w:p>
    <w:p w:rsidR="00C813F6" w:rsidRDefault="00C813F6" w14:paraId="608F9EA2" w14:textId="77777777">
      <w:pPr>
        <w:pStyle w:val="BodyText"/>
        <w:rPr>
          <w:b/>
          <w:sz w:val="22"/>
        </w:rPr>
      </w:pPr>
    </w:p>
    <w:p w:rsidR="00C813F6" w:rsidRDefault="00EA361D" w14:paraId="00C59515" w14:textId="77777777">
      <w:pPr>
        <w:pStyle w:val="BodyText"/>
        <w:ind w:left="100" w:right="448"/>
      </w:pPr>
      <w:r>
        <w:rPr>
          <w:color w:val="545454"/>
        </w:rPr>
        <w:t>ODA companies include large and small entities. One way we are reducing impact to smaller entities is we are limiting responses to one focal point per ODA to limit the burden. Investment in time completing this survey will provide additional benefit to smaller entities in that an anonymous response from a smaller entity will have equal influence to the single anonymous response of a larger entity.</w:t>
      </w:r>
    </w:p>
    <w:p w:rsidR="00C813F6" w:rsidRDefault="00C813F6" w14:paraId="36F4ED25" w14:textId="77777777">
      <w:pPr>
        <w:pStyle w:val="BodyText"/>
        <w:rPr>
          <w:sz w:val="26"/>
        </w:rPr>
      </w:pPr>
    </w:p>
    <w:p w:rsidR="00FE41A0" w:rsidRDefault="00FE41A0" w14:paraId="3949BEC5" w14:textId="77777777">
      <w:pPr>
        <w:rPr>
          <w:b/>
          <w:bCs/>
          <w:color w:val="545454"/>
          <w:sz w:val="24"/>
          <w:szCs w:val="24"/>
        </w:rPr>
      </w:pPr>
      <w:r>
        <w:rPr>
          <w:color w:val="545454"/>
        </w:rPr>
        <w:br w:type="page"/>
      </w:r>
    </w:p>
    <w:p w:rsidR="00C813F6" w:rsidRDefault="00EA361D" w14:paraId="74625773" w14:textId="78F3BA94">
      <w:pPr>
        <w:pStyle w:val="Heading1"/>
        <w:numPr>
          <w:ilvl w:val="0"/>
          <w:numId w:val="1"/>
        </w:numPr>
        <w:tabs>
          <w:tab w:val="left" w:pos="369"/>
        </w:tabs>
        <w:spacing w:before="1"/>
        <w:ind w:right="998" w:firstLine="0"/>
      </w:pPr>
      <w:r>
        <w:rPr>
          <w:color w:val="545454"/>
        </w:rPr>
        <w:lastRenderedPageBreak/>
        <w:t xml:space="preserve">Describe the consequence to Federal program or policy activities if the collection </w:t>
      </w:r>
      <w:proofErr w:type="gramStart"/>
      <w:r>
        <w:rPr>
          <w:color w:val="545454"/>
        </w:rPr>
        <w:t>is not conducted</w:t>
      </w:r>
      <w:proofErr w:type="gramEnd"/>
      <w:r>
        <w:rPr>
          <w:color w:val="545454"/>
        </w:rPr>
        <w:t xml:space="preserve"> or is conducted less frequently, as well as any technical or legal obstacles to reducing</w:t>
      </w:r>
      <w:r>
        <w:rPr>
          <w:color w:val="545454"/>
          <w:spacing w:val="-5"/>
        </w:rPr>
        <w:t xml:space="preserve"> </w:t>
      </w:r>
      <w:r>
        <w:rPr>
          <w:color w:val="545454"/>
        </w:rPr>
        <w:t>burden.</w:t>
      </w:r>
    </w:p>
    <w:p w:rsidR="00C813F6" w:rsidRDefault="00C813F6" w14:paraId="7BC1CF55" w14:textId="77777777">
      <w:pPr>
        <w:pStyle w:val="BodyText"/>
        <w:rPr>
          <w:b/>
        </w:rPr>
      </w:pPr>
    </w:p>
    <w:p w:rsidR="00C813F6" w:rsidP="00FE41A0" w:rsidRDefault="00EA361D" w14:paraId="43ACDB95" w14:textId="7209B1B7">
      <w:pPr>
        <w:pStyle w:val="BodyText"/>
        <w:ind w:left="100" w:right="261"/>
      </w:pPr>
      <w:r>
        <w:rPr>
          <w:color w:val="545454"/>
        </w:rPr>
        <w:t xml:space="preserve">The consequence of not conducting the survey would be loss of input from ODA Holders required under the FAA’s Reauthorization Act; further, we would </w:t>
      </w:r>
      <w:proofErr w:type="gramStart"/>
      <w:r>
        <w:rPr>
          <w:color w:val="545454"/>
        </w:rPr>
        <w:t>miss out on</w:t>
      </w:r>
      <w:proofErr w:type="gramEnd"/>
      <w:r>
        <w:rPr>
          <w:color w:val="545454"/>
        </w:rPr>
        <w:t xml:space="preserve"> the opportunity to make policy improvements by getting direct feedback from the stakeholders most effected by ODA policy. We plan to reduce burden by only requiring</w:t>
      </w:r>
      <w:r w:rsidR="00FE41A0">
        <w:rPr>
          <w:color w:val="545454"/>
        </w:rPr>
        <w:t xml:space="preserve"> </w:t>
      </w:r>
      <w:r>
        <w:rPr>
          <w:color w:val="545454"/>
        </w:rPr>
        <w:t xml:space="preserve">a single survey collection advertised to all ODA Holders. </w:t>
      </w:r>
      <w:proofErr w:type="gramStart"/>
      <w:r>
        <w:rPr>
          <w:color w:val="545454"/>
        </w:rPr>
        <w:t>Additional surveying would only be requested by ODA Holder Expert Panel members or the Advisory Committee</w:t>
      </w:r>
      <w:proofErr w:type="gramEnd"/>
      <w:r>
        <w:rPr>
          <w:color w:val="545454"/>
        </w:rPr>
        <w:t>.</w:t>
      </w:r>
    </w:p>
    <w:p w:rsidR="00C813F6" w:rsidRDefault="00C813F6" w14:paraId="5970B912" w14:textId="77777777">
      <w:pPr>
        <w:pStyle w:val="BodyText"/>
      </w:pPr>
    </w:p>
    <w:p w:rsidR="00C813F6" w:rsidRDefault="00EA361D" w14:paraId="5478CE7D" w14:textId="77777777">
      <w:pPr>
        <w:pStyle w:val="Heading1"/>
        <w:numPr>
          <w:ilvl w:val="0"/>
          <w:numId w:val="1"/>
        </w:numPr>
        <w:tabs>
          <w:tab w:val="left" w:pos="369"/>
        </w:tabs>
        <w:ind w:right="292" w:firstLine="0"/>
      </w:pPr>
      <w:r>
        <w:rPr>
          <w:color w:val="545454"/>
        </w:rPr>
        <w:t xml:space="preserve">Explain any special circumstances that would cause an information collection to </w:t>
      </w:r>
      <w:proofErr w:type="gramStart"/>
      <w:r>
        <w:rPr>
          <w:color w:val="545454"/>
        </w:rPr>
        <w:t>be conducted</w:t>
      </w:r>
      <w:proofErr w:type="gramEnd"/>
      <w:r>
        <w:rPr>
          <w:color w:val="545454"/>
        </w:rPr>
        <w:t xml:space="preserve"> in a</w:t>
      </w:r>
      <w:r>
        <w:rPr>
          <w:color w:val="545454"/>
          <w:spacing w:val="-4"/>
        </w:rPr>
        <w:t xml:space="preserve"> </w:t>
      </w:r>
      <w:r>
        <w:rPr>
          <w:color w:val="545454"/>
        </w:rPr>
        <w:t>manner:</w:t>
      </w:r>
    </w:p>
    <w:p w:rsidR="00C813F6" w:rsidRDefault="00C813F6" w14:paraId="39968147" w14:textId="77777777">
      <w:pPr>
        <w:pStyle w:val="BodyText"/>
        <w:spacing w:before="5"/>
        <w:rPr>
          <w:b/>
        </w:rPr>
      </w:pPr>
    </w:p>
    <w:p w:rsidR="00C813F6" w:rsidRDefault="00EA361D" w14:paraId="5DEA61E6" w14:textId="77777777">
      <w:pPr>
        <w:pStyle w:val="Heading2"/>
        <w:numPr>
          <w:ilvl w:val="1"/>
          <w:numId w:val="1"/>
        </w:numPr>
        <w:tabs>
          <w:tab w:val="left" w:pos="819"/>
          <w:tab w:val="left" w:pos="820"/>
        </w:tabs>
        <w:spacing w:before="0"/>
        <w:ind w:right="256"/>
      </w:pPr>
      <w:proofErr w:type="gramStart"/>
      <w:r>
        <w:rPr>
          <w:color w:val="545454"/>
        </w:rPr>
        <w:t>requiring</w:t>
      </w:r>
      <w:proofErr w:type="gramEnd"/>
      <w:r>
        <w:rPr>
          <w:color w:val="545454"/>
        </w:rPr>
        <w:t xml:space="preserve"> respondents to report information to the agency more often than quarterly;</w:t>
      </w:r>
    </w:p>
    <w:p w:rsidR="00C813F6" w:rsidRDefault="00EA361D" w14:paraId="03BA9DFC" w14:textId="77777777">
      <w:pPr>
        <w:ind w:left="820" w:right="557"/>
        <w:rPr>
          <w:i/>
          <w:sz w:val="24"/>
        </w:rPr>
      </w:pPr>
      <w:r>
        <w:rPr>
          <w:i/>
          <w:color w:val="545454"/>
          <w:sz w:val="24"/>
        </w:rPr>
        <w:t xml:space="preserve">We </w:t>
      </w:r>
      <w:proofErr w:type="gramStart"/>
      <w:r>
        <w:rPr>
          <w:i/>
          <w:color w:val="545454"/>
          <w:sz w:val="24"/>
        </w:rPr>
        <w:t>don’t</w:t>
      </w:r>
      <w:proofErr w:type="gramEnd"/>
      <w:r>
        <w:rPr>
          <w:i/>
          <w:color w:val="545454"/>
          <w:sz w:val="24"/>
        </w:rPr>
        <w:t xml:space="preserve"> plan to require reporting at all. It will be voluntary and planned for a one-time response.</w:t>
      </w:r>
    </w:p>
    <w:p w:rsidR="00C813F6" w:rsidRDefault="00EA361D" w14:paraId="294B6F77" w14:textId="77777777">
      <w:pPr>
        <w:pStyle w:val="Heading2"/>
        <w:numPr>
          <w:ilvl w:val="1"/>
          <w:numId w:val="1"/>
        </w:numPr>
        <w:tabs>
          <w:tab w:val="left" w:pos="819"/>
          <w:tab w:val="left" w:pos="820"/>
        </w:tabs>
        <w:ind w:right="788"/>
      </w:pPr>
      <w:proofErr w:type="gramStart"/>
      <w:r>
        <w:rPr>
          <w:color w:val="545454"/>
        </w:rPr>
        <w:t>requiring</w:t>
      </w:r>
      <w:proofErr w:type="gramEnd"/>
      <w:r>
        <w:rPr>
          <w:color w:val="545454"/>
        </w:rPr>
        <w:t xml:space="preserve"> respondents to prepare a written response to a collection of information in fewer than 30 days after receipt of</w:t>
      </w:r>
      <w:r>
        <w:rPr>
          <w:color w:val="545454"/>
          <w:spacing w:val="-9"/>
        </w:rPr>
        <w:t xml:space="preserve"> </w:t>
      </w:r>
      <w:r>
        <w:rPr>
          <w:color w:val="545454"/>
        </w:rPr>
        <w:t>it;</w:t>
      </w:r>
    </w:p>
    <w:p w:rsidR="00C813F6" w:rsidRDefault="00EA361D" w14:paraId="4DFFF46F" w14:textId="77777777">
      <w:pPr>
        <w:spacing w:line="274" w:lineRule="exact"/>
        <w:ind w:left="820"/>
        <w:rPr>
          <w:i/>
          <w:sz w:val="24"/>
        </w:rPr>
      </w:pPr>
      <w:proofErr w:type="gramStart"/>
      <w:r>
        <w:rPr>
          <w:i/>
          <w:color w:val="545454"/>
          <w:sz w:val="24"/>
        </w:rPr>
        <w:t>We’re</w:t>
      </w:r>
      <w:proofErr w:type="gramEnd"/>
      <w:r>
        <w:rPr>
          <w:i/>
          <w:color w:val="545454"/>
          <w:sz w:val="24"/>
        </w:rPr>
        <w:t xml:space="preserve"> planning at least 30 days to respond.</w:t>
      </w:r>
    </w:p>
    <w:p w:rsidR="00C813F6" w:rsidRDefault="00EA361D" w14:paraId="6F5115BF" w14:textId="77777777">
      <w:pPr>
        <w:pStyle w:val="Heading2"/>
        <w:numPr>
          <w:ilvl w:val="1"/>
          <w:numId w:val="1"/>
        </w:numPr>
        <w:tabs>
          <w:tab w:val="left" w:pos="819"/>
          <w:tab w:val="left" w:pos="820"/>
        </w:tabs>
        <w:spacing w:before="228"/>
        <w:ind w:right="309"/>
      </w:pPr>
      <w:r>
        <w:rPr>
          <w:color w:val="545454"/>
        </w:rPr>
        <w:t>requiring respondents to submit more than an original and two copies of any document; requiring respondents to retain records, other than health, medical, government contract, grant-in-aid, or tax records, for more than three years;</w:t>
      </w:r>
    </w:p>
    <w:p w:rsidR="00C813F6" w:rsidRDefault="00EA361D" w14:paraId="14BC2EE9" w14:textId="77777777">
      <w:pPr>
        <w:spacing w:line="274" w:lineRule="exact"/>
        <w:ind w:left="820"/>
        <w:rPr>
          <w:i/>
          <w:sz w:val="24"/>
        </w:rPr>
      </w:pPr>
      <w:r>
        <w:rPr>
          <w:i/>
          <w:color w:val="545454"/>
          <w:sz w:val="24"/>
        </w:rPr>
        <w:t>Responses will be electronic with no need to retain responses.</w:t>
      </w:r>
    </w:p>
    <w:p w:rsidR="00C813F6" w:rsidRDefault="00EA361D" w14:paraId="12605120" w14:textId="77777777">
      <w:pPr>
        <w:pStyle w:val="ListParagraph"/>
        <w:numPr>
          <w:ilvl w:val="1"/>
          <w:numId w:val="1"/>
        </w:numPr>
        <w:tabs>
          <w:tab w:val="left" w:pos="819"/>
          <w:tab w:val="left" w:pos="820"/>
        </w:tabs>
        <w:spacing w:before="228"/>
        <w:ind w:right="146"/>
        <w:rPr>
          <w:i/>
          <w:sz w:val="24"/>
        </w:rPr>
      </w:pPr>
      <w:proofErr w:type="gramStart"/>
      <w:r>
        <w:rPr>
          <w:b/>
          <w:i/>
          <w:color w:val="545454"/>
          <w:sz w:val="24"/>
        </w:rPr>
        <w:t>in</w:t>
      </w:r>
      <w:proofErr w:type="gramEnd"/>
      <w:r>
        <w:rPr>
          <w:b/>
          <w:i/>
          <w:color w:val="545454"/>
          <w:sz w:val="24"/>
        </w:rPr>
        <w:t xml:space="preserve"> connection with a statistical survey, that is not designed to produce valid and reliable results that can be generalized to the universe of study; </w:t>
      </w:r>
      <w:r>
        <w:rPr>
          <w:i/>
          <w:color w:val="545454"/>
          <w:sz w:val="24"/>
        </w:rPr>
        <w:t>All results will be generalized to represent the ODA Holder community in</w:t>
      </w:r>
      <w:r>
        <w:rPr>
          <w:i/>
          <w:color w:val="545454"/>
          <w:spacing w:val="-40"/>
          <w:sz w:val="24"/>
        </w:rPr>
        <w:t xml:space="preserve"> </w:t>
      </w:r>
      <w:r>
        <w:rPr>
          <w:i/>
          <w:color w:val="545454"/>
          <w:sz w:val="24"/>
        </w:rPr>
        <w:t>entirety.</w:t>
      </w:r>
    </w:p>
    <w:p w:rsidR="00C813F6" w:rsidRDefault="00EA361D" w14:paraId="1415001C" w14:textId="77777777">
      <w:pPr>
        <w:pStyle w:val="Heading2"/>
        <w:numPr>
          <w:ilvl w:val="1"/>
          <w:numId w:val="1"/>
        </w:numPr>
        <w:tabs>
          <w:tab w:val="left" w:pos="819"/>
          <w:tab w:val="left" w:pos="820"/>
        </w:tabs>
        <w:ind w:right="917"/>
      </w:pPr>
      <w:proofErr w:type="gramStart"/>
      <w:r>
        <w:rPr>
          <w:color w:val="545454"/>
        </w:rPr>
        <w:t>requiring</w:t>
      </w:r>
      <w:proofErr w:type="gramEnd"/>
      <w:r>
        <w:rPr>
          <w:color w:val="545454"/>
        </w:rPr>
        <w:t xml:space="preserve"> the use of a statistical data classification that has not been reviewed and approved by</w:t>
      </w:r>
      <w:r>
        <w:rPr>
          <w:color w:val="545454"/>
          <w:spacing w:val="-3"/>
        </w:rPr>
        <w:t xml:space="preserve"> </w:t>
      </w:r>
      <w:r>
        <w:rPr>
          <w:color w:val="545454"/>
        </w:rPr>
        <w:t>OMB;</w:t>
      </w:r>
    </w:p>
    <w:p w:rsidR="00C813F6" w:rsidRDefault="00EA361D" w14:paraId="04B1F097" w14:textId="77777777">
      <w:pPr>
        <w:spacing w:line="274" w:lineRule="exact"/>
        <w:ind w:left="820"/>
        <w:rPr>
          <w:sz w:val="24"/>
        </w:rPr>
      </w:pPr>
      <w:r>
        <w:rPr>
          <w:i/>
          <w:color w:val="545454"/>
          <w:sz w:val="24"/>
        </w:rPr>
        <w:t>We will not be using classification outside of approved OMB classifications</w:t>
      </w:r>
      <w:r>
        <w:rPr>
          <w:color w:val="545454"/>
          <w:sz w:val="24"/>
        </w:rPr>
        <w:t>.</w:t>
      </w:r>
    </w:p>
    <w:p w:rsidR="00C813F6" w:rsidRDefault="00EA361D" w14:paraId="39679018" w14:textId="77777777">
      <w:pPr>
        <w:pStyle w:val="Heading2"/>
        <w:numPr>
          <w:ilvl w:val="1"/>
          <w:numId w:val="1"/>
        </w:numPr>
        <w:tabs>
          <w:tab w:val="left" w:pos="819"/>
          <w:tab w:val="left" w:pos="820"/>
        </w:tabs>
        <w:spacing w:before="228"/>
      </w:pPr>
      <w:r>
        <w:rPr>
          <w:color w:val="54545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color w:val="545454"/>
          <w:spacing w:val="-1"/>
        </w:rPr>
        <w:t xml:space="preserve"> </w:t>
      </w:r>
      <w:r>
        <w:rPr>
          <w:color w:val="545454"/>
        </w:rPr>
        <w:t>or</w:t>
      </w:r>
    </w:p>
    <w:p w:rsidR="00C813F6" w:rsidRDefault="00EA361D" w14:paraId="550FCE3F" w14:textId="77777777">
      <w:pPr>
        <w:pStyle w:val="BodyText"/>
        <w:ind w:left="820" w:right="249"/>
      </w:pPr>
      <w:r>
        <w:rPr>
          <w:color w:val="545454"/>
        </w:rPr>
        <w:t xml:space="preserve">The limited purpose of this collection is to share ODA Holder perspectives to improve certification and oversight activities in partnership with the FAA. We will make an effort to de-identify individual responses. No requests for identifying information </w:t>
      </w:r>
      <w:proofErr w:type="gramStart"/>
      <w:r>
        <w:rPr>
          <w:color w:val="545454"/>
        </w:rPr>
        <w:t>will be requested</w:t>
      </w:r>
      <w:proofErr w:type="gramEnd"/>
      <w:r>
        <w:rPr>
          <w:color w:val="545454"/>
        </w:rPr>
        <w:t xml:space="preserve"> in the survey. ..</w:t>
      </w:r>
    </w:p>
    <w:p w:rsidR="00C813F6" w:rsidRDefault="00EA361D" w14:paraId="5A682572" w14:textId="77777777">
      <w:pPr>
        <w:pStyle w:val="Heading2"/>
        <w:numPr>
          <w:ilvl w:val="1"/>
          <w:numId w:val="1"/>
        </w:numPr>
        <w:tabs>
          <w:tab w:val="left" w:pos="819"/>
          <w:tab w:val="left" w:pos="820"/>
        </w:tabs>
        <w:spacing w:before="226"/>
        <w:ind w:right="666"/>
      </w:pPr>
      <w:proofErr w:type="gramStart"/>
      <w:r>
        <w:rPr>
          <w:color w:val="545454"/>
        </w:rPr>
        <w:t>requiring</w:t>
      </w:r>
      <w:proofErr w:type="gramEnd"/>
      <w:r>
        <w:rPr>
          <w:color w:val="545454"/>
        </w:rPr>
        <w:t xml:space="preserve"> respondents to submit proprietary trade secrets, or other confidential information unless the agency can demonstrate that it has instituted procedures to protect the information's confidentiality to the extent permitted by</w:t>
      </w:r>
      <w:r>
        <w:rPr>
          <w:color w:val="545454"/>
          <w:spacing w:val="-1"/>
        </w:rPr>
        <w:t xml:space="preserve"> </w:t>
      </w:r>
      <w:r>
        <w:rPr>
          <w:color w:val="545454"/>
        </w:rPr>
        <w:t>law.</w:t>
      </w:r>
    </w:p>
    <w:p w:rsidR="00C813F6" w:rsidRDefault="00EA361D" w14:paraId="68716918" w14:textId="77777777">
      <w:pPr>
        <w:ind w:left="820" w:right="1156"/>
        <w:rPr>
          <w:i/>
          <w:sz w:val="24"/>
        </w:rPr>
      </w:pPr>
      <w:r>
        <w:rPr>
          <w:i/>
          <w:color w:val="545454"/>
          <w:sz w:val="24"/>
        </w:rPr>
        <w:t xml:space="preserve">The survey will be </w:t>
      </w:r>
      <w:proofErr w:type="gramStart"/>
      <w:r>
        <w:rPr>
          <w:i/>
          <w:color w:val="545454"/>
          <w:sz w:val="24"/>
        </w:rPr>
        <w:t>voluntary,</w:t>
      </w:r>
      <w:proofErr w:type="gramEnd"/>
      <w:r>
        <w:rPr>
          <w:i/>
          <w:color w:val="545454"/>
          <w:sz w:val="24"/>
        </w:rPr>
        <w:t xml:space="preserve"> and sharing of trade secrets or proprietary </w:t>
      </w:r>
      <w:r>
        <w:rPr>
          <w:i/>
          <w:color w:val="545454"/>
          <w:sz w:val="24"/>
        </w:rPr>
        <w:lastRenderedPageBreak/>
        <w:t>information will not be required.</w:t>
      </w:r>
    </w:p>
    <w:p w:rsidR="00C813F6" w:rsidRDefault="00EA361D" w14:paraId="61D9A006" w14:textId="77777777">
      <w:pPr>
        <w:pStyle w:val="Heading1"/>
        <w:spacing w:before="226"/>
      </w:pPr>
      <w:r>
        <w:rPr>
          <w:color w:val="545454"/>
        </w:rPr>
        <w:t>Explain the need for any inconsistencies in your collection.</w:t>
      </w:r>
    </w:p>
    <w:p w:rsidR="00C813F6" w:rsidRDefault="00EA361D" w14:paraId="5A56DCCB" w14:textId="77777777">
      <w:pPr>
        <w:pStyle w:val="BodyText"/>
        <w:spacing w:before="78"/>
        <w:ind w:left="820"/>
      </w:pPr>
      <w:r>
        <w:rPr>
          <w:color w:val="545454"/>
        </w:rPr>
        <w:t>No inconsistencies in the collection are required.</w:t>
      </w:r>
    </w:p>
    <w:p w:rsidR="00C813F6" w:rsidRDefault="00C813F6" w14:paraId="51615074" w14:textId="77777777">
      <w:pPr>
        <w:pStyle w:val="BodyText"/>
      </w:pPr>
    </w:p>
    <w:p w:rsidR="00C813F6" w:rsidRDefault="00EA361D" w14:paraId="1D5863E2" w14:textId="77777777">
      <w:pPr>
        <w:pStyle w:val="Heading1"/>
        <w:numPr>
          <w:ilvl w:val="0"/>
          <w:numId w:val="1"/>
        </w:numPr>
        <w:tabs>
          <w:tab w:val="left" w:pos="369"/>
        </w:tabs>
        <w:ind w:right="255" w:firstLine="0"/>
      </w:pPr>
      <w:r>
        <w:rPr>
          <w:color w:val="54545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13F6" w:rsidRDefault="00C813F6" w14:paraId="62FCA499" w14:textId="77777777">
      <w:pPr>
        <w:pStyle w:val="BodyText"/>
        <w:rPr>
          <w:b/>
          <w:sz w:val="26"/>
        </w:rPr>
      </w:pPr>
    </w:p>
    <w:p w:rsidR="00C813F6" w:rsidRDefault="00C813F6" w14:paraId="11437713" w14:textId="77777777">
      <w:pPr>
        <w:pStyle w:val="BodyText"/>
        <w:rPr>
          <w:b/>
          <w:sz w:val="22"/>
        </w:rPr>
      </w:pPr>
    </w:p>
    <w:p w:rsidR="00C813F6" w:rsidRDefault="00EA361D" w14:paraId="643BC02F" w14:textId="77777777">
      <w:pPr>
        <w:pStyle w:val="BodyText"/>
        <w:ind w:left="100" w:right="222"/>
      </w:pPr>
      <w:r>
        <w:rPr>
          <w:color w:val="545454"/>
        </w:rPr>
        <w:t xml:space="preserve">A Federal Register Notice published on February 4, 2020 (Federal Register / Vol. 85, No. 23, FR Doc. 2020–02026) solicited public comment. No comments </w:t>
      </w:r>
      <w:proofErr w:type="gramStart"/>
      <w:r>
        <w:rPr>
          <w:color w:val="545454"/>
        </w:rPr>
        <w:t>were received</w:t>
      </w:r>
      <w:proofErr w:type="gramEnd"/>
      <w:r>
        <w:rPr>
          <w:color w:val="545454"/>
        </w:rPr>
        <w:t>.</w:t>
      </w:r>
    </w:p>
    <w:p w:rsidR="00C813F6" w:rsidRDefault="00C813F6" w14:paraId="6348B253" w14:textId="77777777">
      <w:pPr>
        <w:pStyle w:val="BodyText"/>
      </w:pPr>
    </w:p>
    <w:p w:rsidR="00C813F6" w:rsidRDefault="00EA361D" w14:paraId="76EDFF87" w14:textId="77777777">
      <w:pPr>
        <w:pStyle w:val="BodyText"/>
        <w:ind w:left="100" w:right="207"/>
      </w:pPr>
      <w:r>
        <w:rPr>
          <w:color w:val="545454"/>
        </w:rPr>
        <w:t xml:space="preserve">The survey design comes from the industry expert panel representing all ODA Holders. A </w:t>
      </w:r>
      <w:proofErr w:type="gramStart"/>
      <w:r>
        <w:rPr>
          <w:color w:val="545454"/>
        </w:rPr>
        <w:t>survey development expert team</w:t>
      </w:r>
      <w:proofErr w:type="gramEnd"/>
      <w:r>
        <w:rPr>
          <w:color w:val="545454"/>
        </w:rPr>
        <w:t xml:space="preserve"> has worked closely with the expert panel to generate meaningful and neutral questions. The availability of data, frequency of collection, clarity of instructions and recordkeeping, disclosure, and reporting formats will all be vetted by the expert panel and deemed </w:t>
      </w:r>
      <w:proofErr w:type="gramStart"/>
      <w:r>
        <w:rPr>
          <w:color w:val="545454"/>
        </w:rPr>
        <w:t>to be reasonable</w:t>
      </w:r>
      <w:proofErr w:type="gramEnd"/>
      <w:r>
        <w:rPr>
          <w:color w:val="545454"/>
        </w:rPr>
        <w:t xml:space="preserve"> and necessary. The </w:t>
      </w:r>
      <w:proofErr w:type="gramStart"/>
      <w:r>
        <w:rPr>
          <w:color w:val="545454"/>
        </w:rPr>
        <w:t>final survey, and associated documents and decisions, will be approved by the expert panel</w:t>
      </w:r>
      <w:proofErr w:type="gramEnd"/>
      <w:r>
        <w:rPr>
          <w:color w:val="545454"/>
        </w:rPr>
        <w:t xml:space="preserve"> prior to releasing it to survey participants.</w:t>
      </w:r>
    </w:p>
    <w:p w:rsidR="00C813F6" w:rsidRDefault="00C813F6" w14:paraId="2370D508" w14:textId="77777777">
      <w:pPr>
        <w:pStyle w:val="BodyText"/>
        <w:rPr>
          <w:sz w:val="26"/>
        </w:rPr>
      </w:pPr>
    </w:p>
    <w:p w:rsidR="00C813F6" w:rsidRDefault="00C813F6" w14:paraId="3AA95877" w14:textId="77777777">
      <w:pPr>
        <w:pStyle w:val="BodyText"/>
        <w:rPr>
          <w:sz w:val="22"/>
        </w:rPr>
      </w:pPr>
    </w:p>
    <w:p w:rsidR="00C813F6" w:rsidRDefault="00EA361D" w14:paraId="0DB3AECA" w14:textId="77777777">
      <w:pPr>
        <w:pStyle w:val="Heading1"/>
        <w:numPr>
          <w:ilvl w:val="0"/>
          <w:numId w:val="1"/>
        </w:numPr>
        <w:tabs>
          <w:tab w:val="left" w:pos="369"/>
        </w:tabs>
        <w:ind w:right="280" w:firstLine="0"/>
      </w:pPr>
      <w:r>
        <w:rPr>
          <w:color w:val="545454"/>
        </w:rPr>
        <w:t>Explain any decisions to provide payments or gifts to respondents, other than remuneration of contractors or</w:t>
      </w:r>
      <w:r>
        <w:rPr>
          <w:color w:val="545454"/>
          <w:spacing w:val="-2"/>
        </w:rPr>
        <w:t xml:space="preserve"> </w:t>
      </w:r>
      <w:r>
        <w:rPr>
          <w:color w:val="545454"/>
        </w:rPr>
        <w:t>grantees.</w:t>
      </w:r>
    </w:p>
    <w:p w:rsidR="00C813F6" w:rsidRDefault="00C813F6" w14:paraId="414541E4" w14:textId="77777777">
      <w:pPr>
        <w:pStyle w:val="BodyText"/>
        <w:rPr>
          <w:b/>
          <w:sz w:val="26"/>
        </w:rPr>
      </w:pPr>
    </w:p>
    <w:p w:rsidR="00C813F6" w:rsidRDefault="00C813F6" w14:paraId="18FD9EBF" w14:textId="77777777">
      <w:pPr>
        <w:pStyle w:val="BodyText"/>
        <w:rPr>
          <w:b/>
          <w:sz w:val="22"/>
        </w:rPr>
      </w:pPr>
    </w:p>
    <w:p w:rsidR="00C813F6" w:rsidRDefault="00EA361D" w14:paraId="54BFD3D6" w14:textId="77777777">
      <w:pPr>
        <w:pStyle w:val="BodyText"/>
        <w:ind w:left="100"/>
      </w:pPr>
      <w:r>
        <w:rPr>
          <w:color w:val="545454"/>
        </w:rPr>
        <w:t>We will not be providing payments or gifts to survey respondents.</w:t>
      </w:r>
    </w:p>
    <w:p w:rsidR="00C813F6" w:rsidRDefault="00C813F6" w14:paraId="5E2E9966" w14:textId="77777777">
      <w:pPr>
        <w:pStyle w:val="BodyText"/>
        <w:rPr>
          <w:sz w:val="26"/>
        </w:rPr>
      </w:pPr>
    </w:p>
    <w:p w:rsidR="00C813F6" w:rsidRDefault="00C813F6" w14:paraId="3CBFC408" w14:textId="77777777">
      <w:pPr>
        <w:pStyle w:val="BodyText"/>
        <w:rPr>
          <w:sz w:val="22"/>
        </w:rPr>
      </w:pPr>
    </w:p>
    <w:p w:rsidR="00C813F6" w:rsidRDefault="00EA361D" w14:paraId="23D048EA" w14:textId="77777777">
      <w:pPr>
        <w:pStyle w:val="Heading1"/>
        <w:numPr>
          <w:ilvl w:val="0"/>
          <w:numId w:val="1"/>
        </w:numPr>
        <w:tabs>
          <w:tab w:val="left" w:pos="504"/>
        </w:tabs>
        <w:spacing w:before="1"/>
        <w:ind w:right="521" w:firstLine="0"/>
      </w:pPr>
      <w:r>
        <w:rPr>
          <w:color w:val="545454"/>
        </w:rPr>
        <w:t>Describe any assurance of confidentiality provided to respondents and</w:t>
      </w:r>
      <w:r>
        <w:rPr>
          <w:color w:val="545454"/>
          <w:spacing w:val="-39"/>
        </w:rPr>
        <w:t xml:space="preserve"> </w:t>
      </w:r>
      <w:r>
        <w:rPr>
          <w:color w:val="545454"/>
        </w:rPr>
        <w:t>the basis for assurance in statute, regulation, or agency</w:t>
      </w:r>
      <w:r>
        <w:rPr>
          <w:color w:val="545454"/>
          <w:spacing w:val="-14"/>
        </w:rPr>
        <w:t xml:space="preserve"> </w:t>
      </w:r>
      <w:r>
        <w:rPr>
          <w:color w:val="545454"/>
        </w:rPr>
        <w:t>policy.</w:t>
      </w:r>
    </w:p>
    <w:p w:rsidR="00C813F6" w:rsidRDefault="00C813F6" w14:paraId="088A02F7" w14:textId="77777777">
      <w:pPr>
        <w:pStyle w:val="BodyText"/>
        <w:spacing w:before="11"/>
        <w:rPr>
          <w:b/>
          <w:sz w:val="23"/>
        </w:rPr>
      </w:pPr>
    </w:p>
    <w:p w:rsidR="00C813F6" w:rsidRDefault="00833E0F" w14:paraId="5941B6DA" w14:textId="19B99DA0">
      <w:pPr>
        <w:pStyle w:val="BodyText"/>
        <w:ind w:left="100" w:right="248"/>
      </w:pPr>
      <w:r>
        <w:rPr>
          <w:color w:val="545454"/>
        </w:rPr>
        <w:t>We will not be providing any assurance of confidentiality to respondents</w:t>
      </w:r>
      <w:r w:rsidR="00EA361D">
        <w:t>.</w:t>
      </w:r>
    </w:p>
    <w:p w:rsidR="00C813F6" w:rsidRDefault="00C813F6" w14:paraId="4910A6A1" w14:textId="77777777">
      <w:pPr>
        <w:pStyle w:val="BodyText"/>
      </w:pPr>
    </w:p>
    <w:p w:rsidR="00C813F6" w:rsidRDefault="00EA361D" w14:paraId="1ED55BBC" w14:textId="77777777">
      <w:pPr>
        <w:pStyle w:val="Heading1"/>
        <w:numPr>
          <w:ilvl w:val="0"/>
          <w:numId w:val="1"/>
        </w:numPr>
        <w:tabs>
          <w:tab w:val="left" w:pos="504"/>
        </w:tabs>
        <w:ind w:right="414" w:firstLine="0"/>
      </w:pPr>
      <w:r>
        <w:rPr>
          <w:color w:val="545454"/>
        </w:rPr>
        <w:t>Provide additional justification for any questions of a sensitive nature,</w:t>
      </w:r>
      <w:r>
        <w:rPr>
          <w:color w:val="545454"/>
          <w:spacing w:val="-39"/>
        </w:rPr>
        <w:t xml:space="preserve"> </w:t>
      </w:r>
      <w:r>
        <w:rPr>
          <w:color w:val="545454"/>
        </w:rPr>
        <w:t xml:space="preserve">such as sexual behavior and attitudes, religious beliefs, and other matters that </w:t>
      </w:r>
      <w:proofErr w:type="gramStart"/>
      <w:r>
        <w:rPr>
          <w:color w:val="545454"/>
        </w:rPr>
        <w:t>are commonly considered</w:t>
      </w:r>
      <w:proofErr w:type="gramEnd"/>
      <w:r>
        <w:rPr>
          <w:color w:val="545454"/>
          <w:spacing w:val="-7"/>
        </w:rPr>
        <w:t xml:space="preserve"> </w:t>
      </w:r>
      <w:r>
        <w:rPr>
          <w:color w:val="545454"/>
        </w:rPr>
        <w:t>private.</w:t>
      </w:r>
    </w:p>
    <w:p w:rsidR="00C813F6" w:rsidRDefault="00C813F6" w14:paraId="2D997C83" w14:textId="77777777">
      <w:pPr>
        <w:pStyle w:val="BodyText"/>
        <w:spacing w:before="6"/>
        <w:rPr>
          <w:b/>
          <w:sz w:val="10"/>
        </w:rPr>
      </w:pPr>
    </w:p>
    <w:p w:rsidR="00C813F6" w:rsidRDefault="00EA361D" w14:paraId="744A69C1" w14:textId="77777777">
      <w:pPr>
        <w:pStyle w:val="BodyText"/>
        <w:spacing w:before="93"/>
        <w:ind w:left="100"/>
      </w:pPr>
      <w:r>
        <w:rPr>
          <w:color w:val="545454"/>
        </w:rPr>
        <w:t>No questions of a sensitive nature are part of this survey.</w:t>
      </w:r>
    </w:p>
    <w:p w:rsidR="00C813F6" w:rsidRDefault="00C813F6" w14:paraId="65C80BD8" w14:textId="77777777">
      <w:pPr>
        <w:pStyle w:val="BodyText"/>
      </w:pPr>
    </w:p>
    <w:p w:rsidR="00FE41A0" w:rsidRDefault="00FE41A0" w14:paraId="711AA036" w14:textId="77777777">
      <w:pPr>
        <w:rPr>
          <w:b/>
          <w:bCs/>
          <w:color w:val="545454"/>
          <w:sz w:val="24"/>
          <w:szCs w:val="24"/>
        </w:rPr>
      </w:pPr>
      <w:r>
        <w:rPr>
          <w:color w:val="545454"/>
        </w:rPr>
        <w:br w:type="page"/>
      </w:r>
    </w:p>
    <w:p w:rsidR="00C813F6" w:rsidRDefault="00EA361D" w14:paraId="467B4BB0" w14:textId="5D2860E9">
      <w:pPr>
        <w:pStyle w:val="Heading1"/>
        <w:numPr>
          <w:ilvl w:val="0"/>
          <w:numId w:val="1"/>
        </w:numPr>
        <w:tabs>
          <w:tab w:val="left" w:pos="504"/>
        </w:tabs>
        <w:ind w:right="655" w:firstLine="0"/>
      </w:pPr>
      <w:r>
        <w:rPr>
          <w:color w:val="545454"/>
        </w:rPr>
        <w:lastRenderedPageBreak/>
        <w:t>Provide estimates of the hour burden of the collection of information.</w:t>
      </w:r>
      <w:r>
        <w:rPr>
          <w:color w:val="545454"/>
          <w:spacing w:val="-37"/>
        </w:rPr>
        <w:t xml:space="preserve"> </w:t>
      </w:r>
      <w:r>
        <w:rPr>
          <w:color w:val="545454"/>
        </w:rPr>
        <w:t>The statement</w:t>
      </w:r>
      <w:r>
        <w:rPr>
          <w:color w:val="545454"/>
          <w:spacing w:val="-2"/>
        </w:rPr>
        <w:t xml:space="preserve"> </w:t>
      </w:r>
      <w:r>
        <w:rPr>
          <w:color w:val="545454"/>
        </w:rPr>
        <w:t>should:</w:t>
      </w:r>
    </w:p>
    <w:p w:rsidR="00C813F6" w:rsidP="00303133" w:rsidRDefault="00C813F6" w14:paraId="42722A90" w14:textId="77777777">
      <w:pPr>
        <w:pStyle w:val="BodyText"/>
        <w:ind w:left="100"/>
        <w:rPr>
          <w:b/>
          <w:sz w:val="26"/>
        </w:rPr>
      </w:pPr>
    </w:p>
    <w:p w:rsidR="00C813F6" w:rsidRDefault="00EA361D" w14:paraId="30D7BBFE" w14:textId="77777777">
      <w:pPr>
        <w:pStyle w:val="BodyText"/>
        <w:spacing w:before="203"/>
        <w:ind w:left="100" w:right="153"/>
      </w:pPr>
      <w:r>
        <w:rPr>
          <w:color w:val="545454"/>
        </w:rPr>
        <w:t xml:space="preserve">Respondents </w:t>
      </w:r>
      <w:proofErr w:type="gramStart"/>
      <w:r>
        <w:rPr>
          <w:color w:val="545454"/>
        </w:rPr>
        <w:t>should, in their ODA lead administrator roles in their companies, be</w:t>
      </w:r>
      <w:proofErr w:type="gramEnd"/>
      <w:r>
        <w:rPr>
          <w:color w:val="545454"/>
        </w:rPr>
        <w:t xml:space="preserve"> able to respond to the survey using knowledge on-hand or gained through direct experience, with very limited need to research or coordinate answers. This will simplify the number of steps necessary to develop answers to each survey question by requiring only the direct knowledge of the respondent.</w:t>
      </w:r>
    </w:p>
    <w:p w:rsidR="00C813F6" w:rsidRDefault="00EA361D" w14:paraId="5F53C568" w14:textId="70482ACD">
      <w:pPr>
        <w:pStyle w:val="BodyText"/>
        <w:ind w:left="100" w:right="501"/>
      </w:pPr>
      <w:r>
        <w:rPr>
          <w:color w:val="545454"/>
        </w:rPr>
        <w:t>We arrive</w:t>
      </w:r>
      <w:r w:rsidR="00326CC6">
        <w:rPr>
          <w:color w:val="545454"/>
        </w:rPr>
        <w:t>d</w:t>
      </w:r>
      <w:r>
        <w:rPr>
          <w:color w:val="545454"/>
        </w:rPr>
        <w:t xml:space="preserve"> at the estimates in the table below by </w:t>
      </w:r>
      <w:r w:rsidR="00E85DD8">
        <w:rPr>
          <w:color w:val="545454"/>
        </w:rPr>
        <w:t xml:space="preserve">conducting limited testing among the expert panel of industry and FAA participants (kept to less than </w:t>
      </w:r>
      <w:r w:rsidRPr="00A021EF" w:rsidR="00E85DD8">
        <w:rPr>
          <w:color w:val="545454"/>
        </w:rPr>
        <w:t>10</w:t>
      </w:r>
      <w:r w:rsidR="00E85DD8">
        <w:rPr>
          <w:color w:val="545454"/>
        </w:rPr>
        <w:t xml:space="preserve"> industry panelists). </w:t>
      </w:r>
      <w:r w:rsidR="00326CC6">
        <w:rPr>
          <w:color w:val="545454"/>
        </w:rPr>
        <w:t>The survey tool provides time spent completing the survey, which of 14 respondents averaged 51 minutes for the approximately 60 questions with 40 potential follow-up questions</w:t>
      </w:r>
      <w:r w:rsidR="00E56780">
        <w:rPr>
          <w:color w:val="545454"/>
        </w:rPr>
        <w:t xml:space="preserve"> for a potential total of up to 100 questions, depending on the type of response to follow-up questions</w:t>
      </w:r>
      <w:r w:rsidR="00326CC6">
        <w:rPr>
          <w:color w:val="545454"/>
        </w:rPr>
        <w:t>.  We would anticipate at least a tripling of time spent in actual ODA representational survey completion</w:t>
      </w:r>
      <w:r w:rsidR="005F5744">
        <w:rPr>
          <w:color w:val="545454"/>
        </w:rPr>
        <w:t xml:space="preserve"> (150 min, or 2.5 hours)</w:t>
      </w:r>
      <w:r w:rsidR="00326CC6">
        <w:rPr>
          <w:color w:val="545454"/>
        </w:rPr>
        <w:t>, and add</w:t>
      </w:r>
      <w:r w:rsidR="005F5744">
        <w:rPr>
          <w:color w:val="545454"/>
        </w:rPr>
        <w:t>ed 7</w:t>
      </w:r>
      <w:r w:rsidR="00326CC6">
        <w:rPr>
          <w:color w:val="545454"/>
        </w:rPr>
        <w:t xml:space="preserve">.5 hours of </w:t>
      </w:r>
      <w:r w:rsidR="005F5744">
        <w:rPr>
          <w:color w:val="545454"/>
        </w:rPr>
        <w:t xml:space="preserve">minimal </w:t>
      </w:r>
      <w:r w:rsidR="00326CC6">
        <w:rPr>
          <w:color w:val="545454"/>
        </w:rPr>
        <w:t>coordination</w:t>
      </w:r>
      <w:r w:rsidR="005F5744">
        <w:rPr>
          <w:color w:val="545454"/>
        </w:rPr>
        <w:t xml:space="preserve"> for each company to allow for whatever minor c</w:t>
      </w:r>
      <w:r w:rsidR="00326CC6">
        <w:rPr>
          <w:color w:val="545454"/>
        </w:rPr>
        <w:t>ompi</w:t>
      </w:r>
      <w:r w:rsidR="005F5744">
        <w:rPr>
          <w:color w:val="545454"/>
        </w:rPr>
        <w:t>lation time may be necessary for lead administrators to represent within-</w:t>
      </w:r>
      <w:r w:rsidR="00326CC6">
        <w:rPr>
          <w:color w:val="545454"/>
        </w:rPr>
        <w:t xml:space="preserve">ODA diversity of opinion for the single respondent-per-ODA. </w:t>
      </w:r>
      <w:r w:rsidR="005F5744">
        <w:rPr>
          <w:color w:val="545454"/>
        </w:rPr>
        <w:t xml:space="preserve">The total of </w:t>
      </w:r>
      <w:r w:rsidR="0023135B">
        <w:rPr>
          <w:color w:val="545454"/>
        </w:rPr>
        <w:t xml:space="preserve">an average </w:t>
      </w:r>
      <w:r w:rsidR="00FE41A0">
        <w:rPr>
          <w:color w:val="545454"/>
        </w:rPr>
        <w:t xml:space="preserve">10 hours (600 minutes) for the </w:t>
      </w:r>
      <w:proofErr w:type="gramStart"/>
      <w:r w:rsidR="005F5744">
        <w:rPr>
          <w:color w:val="545454"/>
        </w:rPr>
        <w:t>100 question</w:t>
      </w:r>
      <w:proofErr w:type="gramEnd"/>
      <w:r w:rsidR="005F5744">
        <w:rPr>
          <w:color w:val="545454"/>
        </w:rPr>
        <w:t xml:space="preserve"> survey produced our 6 minute per </w:t>
      </w:r>
      <w:r w:rsidR="00C95558">
        <w:rPr>
          <w:color w:val="545454"/>
        </w:rPr>
        <w:t>question</w:t>
      </w:r>
      <w:r w:rsidR="005F5744">
        <w:rPr>
          <w:color w:val="545454"/>
        </w:rPr>
        <w:t xml:space="preserve"> estimate. </w:t>
      </w:r>
    </w:p>
    <w:p w:rsidR="00C813F6" w:rsidRDefault="00C813F6" w14:paraId="2BC90139" w14:textId="77777777">
      <w:pPr>
        <w:pStyle w:val="BodyText"/>
        <w:spacing w:before="2"/>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1"/>
        <w:gridCol w:w="2506"/>
        <w:gridCol w:w="1577"/>
        <w:gridCol w:w="1157"/>
      </w:tblGrid>
      <w:tr w:rsidR="00C813F6" w14:paraId="4B287ECD" w14:textId="77777777">
        <w:trPr>
          <w:trHeight w:val="630"/>
        </w:trPr>
        <w:tc>
          <w:tcPr>
            <w:tcW w:w="1901" w:type="dxa"/>
          </w:tcPr>
          <w:p w:rsidR="00C813F6" w:rsidRDefault="00EA361D" w14:paraId="5940A466" w14:textId="77777777">
            <w:pPr>
              <w:pStyle w:val="TableParagraph"/>
              <w:spacing w:before="91" w:line="270" w:lineRule="atLeast"/>
              <w:ind w:left="107" w:right="117" w:firstLine="50"/>
            </w:pPr>
            <w:r>
              <w:t>Summary (Annual numbers)</w:t>
            </w:r>
          </w:p>
        </w:tc>
        <w:tc>
          <w:tcPr>
            <w:tcW w:w="2506" w:type="dxa"/>
          </w:tcPr>
          <w:p w:rsidR="00C813F6" w:rsidRDefault="00C813F6" w14:paraId="1FEFBBD7" w14:textId="77777777">
            <w:pPr>
              <w:pStyle w:val="TableParagraph"/>
              <w:spacing w:before="5"/>
              <w:rPr>
                <w:rFonts w:ascii="Arial"/>
                <w:sz w:val="31"/>
              </w:rPr>
            </w:pPr>
          </w:p>
          <w:p w:rsidR="00C813F6" w:rsidRDefault="00EA361D" w14:paraId="4B05F854" w14:textId="77777777">
            <w:pPr>
              <w:pStyle w:val="TableParagraph"/>
              <w:spacing w:line="249" w:lineRule="exact"/>
              <w:ind w:left="107"/>
              <w:rPr>
                <w:b/>
              </w:rPr>
            </w:pPr>
            <w:r>
              <w:rPr>
                <w:b/>
              </w:rPr>
              <w:t>Reporting</w:t>
            </w:r>
          </w:p>
        </w:tc>
        <w:tc>
          <w:tcPr>
            <w:tcW w:w="1577" w:type="dxa"/>
          </w:tcPr>
          <w:p w:rsidR="00C813F6" w:rsidRDefault="00C813F6" w14:paraId="3F148475" w14:textId="77777777">
            <w:pPr>
              <w:pStyle w:val="TableParagraph"/>
              <w:spacing w:before="5"/>
              <w:rPr>
                <w:rFonts w:ascii="Arial"/>
                <w:sz w:val="31"/>
              </w:rPr>
            </w:pPr>
          </w:p>
          <w:p w:rsidR="00C813F6" w:rsidRDefault="00EA361D" w14:paraId="112A6375" w14:textId="77777777">
            <w:pPr>
              <w:pStyle w:val="TableParagraph"/>
              <w:spacing w:line="249" w:lineRule="exact"/>
              <w:ind w:left="104"/>
              <w:rPr>
                <w:b/>
              </w:rPr>
            </w:pPr>
            <w:r>
              <w:rPr>
                <w:b/>
              </w:rPr>
              <w:t>Recordkeeping</w:t>
            </w:r>
          </w:p>
        </w:tc>
        <w:tc>
          <w:tcPr>
            <w:tcW w:w="1157" w:type="dxa"/>
          </w:tcPr>
          <w:p w:rsidR="00C813F6" w:rsidRDefault="00C813F6" w14:paraId="22364903" w14:textId="77777777">
            <w:pPr>
              <w:pStyle w:val="TableParagraph"/>
              <w:spacing w:before="5"/>
              <w:rPr>
                <w:rFonts w:ascii="Arial"/>
                <w:sz w:val="31"/>
              </w:rPr>
            </w:pPr>
          </w:p>
          <w:p w:rsidR="00C813F6" w:rsidRDefault="00EA361D" w14:paraId="179BB2D6" w14:textId="77777777">
            <w:pPr>
              <w:pStyle w:val="TableParagraph"/>
              <w:spacing w:line="249" w:lineRule="exact"/>
              <w:ind w:left="87" w:right="79"/>
              <w:jc w:val="center"/>
              <w:rPr>
                <w:b/>
              </w:rPr>
            </w:pPr>
            <w:r>
              <w:rPr>
                <w:b/>
              </w:rPr>
              <w:t>Disclosure</w:t>
            </w:r>
          </w:p>
        </w:tc>
      </w:tr>
      <w:tr w:rsidR="00C813F6" w14:paraId="47D30F01" w14:textId="77777777">
        <w:trPr>
          <w:trHeight w:val="537"/>
        </w:trPr>
        <w:tc>
          <w:tcPr>
            <w:tcW w:w="1901" w:type="dxa"/>
          </w:tcPr>
          <w:p w:rsidR="00C813F6" w:rsidRDefault="00C813F6" w14:paraId="6B956E1D" w14:textId="77777777">
            <w:pPr>
              <w:pStyle w:val="TableParagraph"/>
              <w:spacing w:before="3"/>
              <w:rPr>
                <w:rFonts w:ascii="Arial"/>
                <w:sz w:val="23"/>
              </w:rPr>
            </w:pPr>
          </w:p>
          <w:p w:rsidR="00C813F6" w:rsidRDefault="00EA361D" w14:paraId="5EAE4119" w14:textId="77777777">
            <w:pPr>
              <w:pStyle w:val="TableParagraph"/>
              <w:spacing w:line="249" w:lineRule="exact"/>
              <w:ind w:left="107"/>
              <w:rPr>
                <w:b/>
              </w:rPr>
            </w:pPr>
            <w:r>
              <w:rPr>
                <w:b/>
              </w:rPr>
              <w:t># of Respondents</w:t>
            </w:r>
          </w:p>
        </w:tc>
        <w:tc>
          <w:tcPr>
            <w:tcW w:w="2506" w:type="dxa"/>
          </w:tcPr>
          <w:p w:rsidR="0085116A" w:rsidRDefault="0085116A" w14:paraId="5E0451F1" w14:textId="77777777">
            <w:pPr>
              <w:pStyle w:val="TableParagraph"/>
              <w:spacing w:line="249" w:lineRule="exact"/>
              <w:ind w:left="107"/>
            </w:pPr>
          </w:p>
          <w:p w:rsidR="00C813F6" w:rsidRDefault="00E56780" w14:paraId="34E4D248" w14:textId="40167C52">
            <w:pPr>
              <w:pStyle w:val="TableParagraph"/>
              <w:spacing w:line="249" w:lineRule="exact"/>
              <w:ind w:left="107"/>
            </w:pPr>
            <w:r>
              <w:t>66</w:t>
            </w:r>
            <w:r w:rsidR="0085116A">
              <w:t xml:space="preserve"> (expected of 82)</w:t>
            </w:r>
          </w:p>
        </w:tc>
        <w:tc>
          <w:tcPr>
            <w:tcW w:w="1577" w:type="dxa"/>
          </w:tcPr>
          <w:p w:rsidR="00C813F6" w:rsidRDefault="00C813F6" w14:paraId="4963D50B" w14:textId="77777777">
            <w:pPr>
              <w:pStyle w:val="TableParagraph"/>
              <w:spacing w:before="3"/>
              <w:rPr>
                <w:rFonts w:ascii="Arial"/>
                <w:sz w:val="23"/>
              </w:rPr>
            </w:pPr>
          </w:p>
          <w:p w:rsidR="00C813F6" w:rsidRDefault="00EA361D" w14:paraId="15F0EC61" w14:textId="77777777">
            <w:pPr>
              <w:pStyle w:val="TableParagraph"/>
              <w:spacing w:line="249" w:lineRule="exact"/>
              <w:ind w:left="104"/>
            </w:pPr>
            <w:r>
              <w:t>N/A</w:t>
            </w:r>
          </w:p>
        </w:tc>
        <w:tc>
          <w:tcPr>
            <w:tcW w:w="1157" w:type="dxa"/>
          </w:tcPr>
          <w:p w:rsidR="00C813F6" w:rsidRDefault="00C813F6" w14:paraId="56A8EF7F" w14:textId="77777777">
            <w:pPr>
              <w:pStyle w:val="TableParagraph"/>
              <w:spacing w:before="3"/>
              <w:rPr>
                <w:rFonts w:ascii="Arial"/>
                <w:sz w:val="23"/>
              </w:rPr>
            </w:pPr>
          </w:p>
          <w:p w:rsidR="00C813F6" w:rsidRDefault="00EA361D" w14:paraId="29F8C610" w14:textId="77777777">
            <w:pPr>
              <w:pStyle w:val="TableParagraph"/>
              <w:spacing w:line="249" w:lineRule="exact"/>
              <w:ind w:left="87" w:right="79"/>
              <w:jc w:val="center"/>
            </w:pPr>
            <w:r>
              <w:t>N/A</w:t>
            </w:r>
          </w:p>
        </w:tc>
      </w:tr>
      <w:tr w:rsidR="00C813F6" w14:paraId="3B9CF8A6" w14:textId="77777777">
        <w:trPr>
          <w:trHeight w:val="534"/>
        </w:trPr>
        <w:tc>
          <w:tcPr>
            <w:tcW w:w="1901" w:type="dxa"/>
          </w:tcPr>
          <w:p w:rsidR="00C813F6" w:rsidRDefault="00EA361D" w14:paraId="06F3863D" w14:textId="77777777">
            <w:pPr>
              <w:pStyle w:val="TableParagraph"/>
              <w:spacing w:line="267" w:lineRule="exact"/>
              <w:ind w:left="107"/>
              <w:rPr>
                <w:b/>
              </w:rPr>
            </w:pPr>
            <w:r>
              <w:rPr>
                <w:b/>
              </w:rPr>
              <w:t># of Responses</w:t>
            </w:r>
          </w:p>
          <w:p w:rsidR="00C813F6" w:rsidRDefault="00EA361D" w14:paraId="477182B7" w14:textId="77777777">
            <w:pPr>
              <w:pStyle w:val="TableParagraph"/>
              <w:spacing w:line="248" w:lineRule="exact"/>
              <w:ind w:left="107"/>
              <w:rPr>
                <w:b/>
              </w:rPr>
            </w:pPr>
            <w:r>
              <w:rPr>
                <w:b/>
              </w:rPr>
              <w:t>per respondent</w:t>
            </w:r>
          </w:p>
        </w:tc>
        <w:tc>
          <w:tcPr>
            <w:tcW w:w="2506" w:type="dxa"/>
          </w:tcPr>
          <w:p w:rsidR="00C813F6" w:rsidRDefault="00C813F6" w14:paraId="68B074EE" w14:textId="77777777">
            <w:pPr>
              <w:pStyle w:val="TableParagraph"/>
              <w:spacing w:before="1"/>
              <w:rPr>
                <w:rFonts w:ascii="Arial"/>
                <w:sz w:val="23"/>
              </w:rPr>
            </w:pPr>
          </w:p>
          <w:p w:rsidR="00C813F6" w:rsidP="006718F3" w:rsidRDefault="00EA361D" w14:paraId="5482AF1E" w14:textId="084CFCDF">
            <w:pPr>
              <w:pStyle w:val="TableParagraph"/>
              <w:spacing w:line="249" w:lineRule="exact"/>
              <w:ind w:left="107"/>
            </w:pPr>
            <w:r>
              <w:t>1</w:t>
            </w:r>
          </w:p>
        </w:tc>
        <w:tc>
          <w:tcPr>
            <w:tcW w:w="1577" w:type="dxa"/>
          </w:tcPr>
          <w:p w:rsidR="00C813F6" w:rsidRDefault="00C813F6" w14:paraId="3484F7E0" w14:textId="77777777">
            <w:pPr>
              <w:pStyle w:val="TableParagraph"/>
              <w:spacing w:before="1"/>
              <w:rPr>
                <w:rFonts w:ascii="Arial"/>
                <w:sz w:val="23"/>
              </w:rPr>
            </w:pPr>
          </w:p>
          <w:p w:rsidR="00C813F6" w:rsidRDefault="00EA361D" w14:paraId="6C262E61" w14:textId="77777777">
            <w:pPr>
              <w:pStyle w:val="TableParagraph"/>
              <w:spacing w:line="249" w:lineRule="exact"/>
              <w:ind w:left="104"/>
            </w:pPr>
            <w:r>
              <w:t>N/A</w:t>
            </w:r>
          </w:p>
        </w:tc>
        <w:tc>
          <w:tcPr>
            <w:tcW w:w="1157" w:type="dxa"/>
          </w:tcPr>
          <w:p w:rsidR="00C813F6" w:rsidRDefault="00C813F6" w14:paraId="0FCE2F8F" w14:textId="77777777">
            <w:pPr>
              <w:pStyle w:val="TableParagraph"/>
              <w:spacing w:before="1"/>
              <w:rPr>
                <w:rFonts w:ascii="Arial"/>
                <w:sz w:val="23"/>
              </w:rPr>
            </w:pPr>
          </w:p>
          <w:p w:rsidR="00C813F6" w:rsidRDefault="00EA361D" w14:paraId="74033F36" w14:textId="77777777">
            <w:pPr>
              <w:pStyle w:val="TableParagraph"/>
              <w:spacing w:line="249" w:lineRule="exact"/>
              <w:ind w:left="87" w:right="79"/>
              <w:jc w:val="center"/>
            </w:pPr>
            <w:r>
              <w:t>N/A</w:t>
            </w:r>
          </w:p>
        </w:tc>
      </w:tr>
      <w:tr w:rsidR="00C813F6" w14:paraId="2297F2CF" w14:textId="77777777">
        <w:trPr>
          <w:trHeight w:val="537"/>
        </w:trPr>
        <w:tc>
          <w:tcPr>
            <w:tcW w:w="1901" w:type="dxa"/>
          </w:tcPr>
          <w:p w:rsidR="00C813F6" w:rsidRDefault="00EA361D" w14:paraId="0FFBBFDD" w14:textId="77777777">
            <w:pPr>
              <w:pStyle w:val="TableParagraph"/>
              <w:spacing w:before="1" w:line="267" w:lineRule="exact"/>
              <w:ind w:left="107"/>
              <w:rPr>
                <w:b/>
              </w:rPr>
            </w:pPr>
            <w:r>
              <w:rPr>
                <w:b/>
              </w:rPr>
              <w:t>Time per</w:t>
            </w:r>
          </w:p>
          <w:p w:rsidR="00C813F6" w:rsidRDefault="00EA361D" w14:paraId="47FC46AB" w14:textId="77777777">
            <w:pPr>
              <w:pStyle w:val="TableParagraph"/>
              <w:spacing w:line="248" w:lineRule="exact"/>
              <w:ind w:left="107"/>
              <w:rPr>
                <w:b/>
              </w:rPr>
            </w:pPr>
            <w:r>
              <w:rPr>
                <w:b/>
              </w:rPr>
              <w:t>Response</w:t>
            </w:r>
          </w:p>
        </w:tc>
        <w:tc>
          <w:tcPr>
            <w:tcW w:w="2506" w:type="dxa"/>
          </w:tcPr>
          <w:p w:rsidR="00C813F6" w:rsidRDefault="00C813F6" w14:paraId="342FEF9B" w14:textId="77777777">
            <w:pPr>
              <w:pStyle w:val="TableParagraph"/>
              <w:spacing w:before="3"/>
              <w:rPr>
                <w:rFonts w:ascii="Arial"/>
                <w:sz w:val="23"/>
              </w:rPr>
            </w:pPr>
          </w:p>
          <w:p w:rsidR="00C813F6" w:rsidRDefault="00EA361D" w14:paraId="2E07CCD9" w14:textId="33AF799D">
            <w:pPr>
              <w:pStyle w:val="TableParagraph"/>
              <w:spacing w:line="249" w:lineRule="exact"/>
              <w:ind w:left="107"/>
            </w:pPr>
            <w:r>
              <w:t>6</w:t>
            </w:r>
            <w:r w:rsidR="006718F3">
              <w:t>00</w:t>
            </w:r>
            <w:r>
              <w:t xml:space="preserve"> min</w:t>
            </w:r>
          </w:p>
        </w:tc>
        <w:tc>
          <w:tcPr>
            <w:tcW w:w="1577" w:type="dxa"/>
          </w:tcPr>
          <w:p w:rsidR="00C813F6" w:rsidRDefault="00C813F6" w14:paraId="7C4A7BDE" w14:textId="77777777">
            <w:pPr>
              <w:pStyle w:val="TableParagraph"/>
              <w:spacing w:before="3"/>
              <w:rPr>
                <w:rFonts w:ascii="Arial"/>
                <w:sz w:val="23"/>
              </w:rPr>
            </w:pPr>
          </w:p>
          <w:p w:rsidR="00C813F6" w:rsidRDefault="00EA361D" w14:paraId="507EE816" w14:textId="77777777">
            <w:pPr>
              <w:pStyle w:val="TableParagraph"/>
              <w:spacing w:line="249" w:lineRule="exact"/>
              <w:ind w:left="104"/>
            </w:pPr>
            <w:r>
              <w:t>N/A</w:t>
            </w:r>
          </w:p>
        </w:tc>
        <w:tc>
          <w:tcPr>
            <w:tcW w:w="1157" w:type="dxa"/>
          </w:tcPr>
          <w:p w:rsidR="00C813F6" w:rsidRDefault="00C813F6" w14:paraId="2F9A7853" w14:textId="77777777">
            <w:pPr>
              <w:pStyle w:val="TableParagraph"/>
              <w:spacing w:before="3"/>
              <w:rPr>
                <w:rFonts w:ascii="Arial"/>
                <w:sz w:val="23"/>
              </w:rPr>
            </w:pPr>
          </w:p>
          <w:p w:rsidR="00C813F6" w:rsidRDefault="00EA361D" w14:paraId="5406C3F2" w14:textId="77777777">
            <w:pPr>
              <w:pStyle w:val="TableParagraph"/>
              <w:spacing w:line="249" w:lineRule="exact"/>
              <w:ind w:left="87" w:right="79"/>
              <w:jc w:val="center"/>
            </w:pPr>
            <w:r>
              <w:t>N/A</w:t>
            </w:r>
          </w:p>
        </w:tc>
      </w:tr>
      <w:tr w:rsidR="00C813F6" w14:paraId="23A4F451" w14:textId="77777777">
        <w:trPr>
          <w:trHeight w:val="537"/>
        </w:trPr>
        <w:tc>
          <w:tcPr>
            <w:tcW w:w="1901" w:type="dxa"/>
          </w:tcPr>
          <w:p w:rsidR="00C813F6" w:rsidRDefault="00EA361D" w14:paraId="3A4AA526" w14:textId="77777777">
            <w:pPr>
              <w:pStyle w:val="TableParagraph"/>
              <w:spacing w:line="268" w:lineRule="exact"/>
              <w:ind w:left="107"/>
              <w:rPr>
                <w:b/>
              </w:rPr>
            </w:pPr>
            <w:r>
              <w:rPr>
                <w:b/>
              </w:rPr>
              <w:t>Total # of</w:t>
            </w:r>
          </w:p>
          <w:p w:rsidR="00C813F6" w:rsidRDefault="00EA361D" w14:paraId="5CAE7440" w14:textId="77777777">
            <w:pPr>
              <w:pStyle w:val="TableParagraph"/>
              <w:spacing w:line="249" w:lineRule="exact"/>
              <w:ind w:left="107"/>
              <w:rPr>
                <w:b/>
              </w:rPr>
            </w:pPr>
            <w:r>
              <w:rPr>
                <w:b/>
              </w:rPr>
              <w:t>responses</w:t>
            </w:r>
          </w:p>
        </w:tc>
        <w:tc>
          <w:tcPr>
            <w:tcW w:w="2506" w:type="dxa"/>
          </w:tcPr>
          <w:p w:rsidR="00C813F6" w:rsidP="006718F3" w:rsidRDefault="00E56780" w14:paraId="6626E7AB" w14:textId="72007126">
            <w:pPr>
              <w:pStyle w:val="TableParagraph"/>
              <w:spacing w:line="249" w:lineRule="exact"/>
              <w:ind w:left="107"/>
            </w:pPr>
            <w:r>
              <w:t>66</w:t>
            </w:r>
          </w:p>
        </w:tc>
        <w:tc>
          <w:tcPr>
            <w:tcW w:w="1577" w:type="dxa"/>
          </w:tcPr>
          <w:p w:rsidR="00C813F6" w:rsidRDefault="00C813F6" w14:paraId="7D927C1C" w14:textId="77777777">
            <w:pPr>
              <w:pStyle w:val="TableParagraph"/>
              <w:spacing w:before="3"/>
              <w:rPr>
                <w:rFonts w:ascii="Arial"/>
                <w:sz w:val="23"/>
              </w:rPr>
            </w:pPr>
          </w:p>
          <w:p w:rsidR="00C813F6" w:rsidRDefault="00EA361D" w14:paraId="77B03B13" w14:textId="77777777">
            <w:pPr>
              <w:pStyle w:val="TableParagraph"/>
              <w:spacing w:line="249" w:lineRule="exact"/>
              <w:ind w:left="104"/>
            </w:pPr>
            <w:r>
              <w:t>N/A</w:t>
            </w:r>
          </w:p>
        </w:tc>
        <w:tc>
          <w:tcPr>
            <w:tcW w:w="1157" w:type="dxa"/>
          </w:tcPr>
          <w:p w:rsidR="00C813F6" w:rsidRDefault="00C813F6" w14:paraId="3ED74050" w14:textId="77777777">
            <w:pPr>
              <w:pStyle w:val="TableParagraph"/>
              <w:spacing w:before="3"/>
              <w:rPr>
                <w:rFonts w:ascii="Arial"/>
                <w:sz w:val="23"/>
              </w:rPr>
            </w:pPr>
          </w:p>
          <w:p w:rsidR="00C813F6" w:rsidRDefault="00EA361D" w14:paraId="62CB1301" w14:textId="77777777">
            <w:pPr>
              <w:pStyle w:val="TableParagraph"/>
              <w:spacing w:line="249" w:lineRule="exact"/>
              <w:ind w:left="87" w:right="79"/>
              <w:jc w:val="center"/>
            </w:pPr>
            <w:r>
              <w:t>N/A</w:t>
            </w:r>
          </w:p>
        </w:tc>
      </w:tr>
      <w:tr w:rsidR="00C813F6" w14:paraId="3B65C3A7" w14:textId="77777777">
        <w:trPr>
          <w:trHeight w:val="537"/>
        </w:trPr>
        <w:tc>
          <w:tcPr>
            <w:tcW w:w="1901" w:type="dxa"/>
          </w:tcPr>
          <w:p w:rsidR="00C813F6" w:rsidRDefault="00EA361D" w14:paraId="0A3D90EF" w14:textId="77777777">
            <w:pPr>
              <w:pStyle w:val="TableParagraph"/>
              <w:spacing w:line="268" w:lineRule="exact"/>
              <w:ind w:left="107"/>
              <w:rPr>
                <w:b/>
              </w:rPr>
            </w:pPr>
            <w:r>
              <w:rPr>
                <w:b/>
              </w:rPr>
              <w:t>Total burden</w:t>
            </w:r>
          </w:p>
          <w:p w:rsidR="00C813F6" w:rsidRDefault="00EA361D" w14:paraId="76EDDB91" w14:textId="77777777">
            <w:pPr>
              <w:pStyle w:val="TableParagraph"/>
              <w:spacing w:line="249" w:lineRule="exact"/>
              <w:ind w:left="107"/>
              <w:rPr>
                <w:b/>
              </w:rPr>
            </w:pPr>
            <w:r>
              <w:rPr>
                <w:b/>
              </w:rPr>
              <w:t>(hours)</w:t>
            </w:r>
          </w:p>
        </w:tc>
        <w:tc>
          <w:tcPr>
            <w:tcW w:w="2506" w:type="dxa"/>
          </w:tcPr>
          <w:p w:rsidRPr="005F5744" w:rsidR="00C813F6" w:rsidP="006718F3" w:rsidRDefault="00E56780" w14:paraId="7B6E35CC" w14:textId="797CF9FE">
            <w:pPr>
              <w:pStyle w:val="TableParagraph"/>
              <w:spacing w:line="249" w:lineRule="exact"/>
              <w:ind w:left="107"/>
            </w:pPr>
            <w:r>
              <w:t>6</w:t>
            </w:r>
            <w:r w:rsidR="006718F3">
              <w:t>6</w:t>
            </w:r>
            <w:r w:rsidRPr="008858E6" w:rsidR="005F5744">
              <w:t xml:space="preserve"> responses</w:t>
            </w:r>
            <w:r w:rsidRPr="005F5744" w:rsidR="00E85DD8">
              <w:t xml:space="preserve"> x 6</w:t>
            </w:r>
            <w:r w:rsidR="006718F3">
              <w:t>00</w:t>
            </w:r>
            <w:r w:rsidRPr="005F5744" w:rsidR="00E85DD8">
              <w:t>m = 3</w:t>
            </w:r>
            <w:r>
              <w:t>9</w:t>
            </w:r>
            <w:r w:rsidRPr="005F5744" w:rsidR="00E85DD8">
              <w:t>,</w:t>
            </w:r>
            <w:r>
              <w:t>6</w:t>
            </w:r>
            <w:r w:rsidRPr="005F5744" w:rsidR="00E85DD8">
              <w:t xml:space="preserve">00m/60 </w:t>
            </w:r>
            <w:r w:rsidRPr="008858E6" w:rsidR="005F5744">
              <w:t xml:space="preserve">min per </w:t>
            </w:r>
            <w:proofErr w:type="spellStart"/>
            <w:r w:rsidRPr="005F5744" w:rsidR="00E85DD8">
              <w:t>hr</w:t>
            </w:r>
            <w:proofErr w:type="spellEnd"/>
            <w:r w:rsidRPr="005F5744" w:rsidR="00E85DD8">
              <w:t xml:space="preserve"> = </w:t>
            </w:r>
            <w:r>
              <w:t>660</w:t>
            </w:r>
            <w:r w:rsidRPr="005F5744" w:rsidR="00E85DD8">
              <w:t xml:space="preserve"> </w:t>
            </w:r>
            <w:proofErr w:type="spellStart"/>
            <w:r w:rsidRPr="005F5744" w:rsidR="00E85DD8">
              <w:t>hrs</w:t>
            </w:r>
            <w:proofErr w:type="spellEnd"/>
          </w:p>
        </w:tc>
        <w:tc>
          <w:tcPr>
            <w:tcW w:w="1577" w:type="dxa"/>
          </w:tcPr>
          <w:p w:rsidRPr="005F5744" w:rsidR="00C813F6" w:rsidRDefault="00C813F6" w14:paraId="4E12CCA4" w14:textId="77777777">
            <w:pPr>
              <w:pStyle w:val="TableParagraph"/>
              <w:spacing w:before="3"/>
              <w:rPr>
                <w:rFonts w:ascii="Arial"/>
                <w:sz w:val="23"/>
              </w:rPr>
            </w:pPr>
          </w:p>
          <w:p w:rsidR="00C813F6" w:rsidRDefault="00EA361D" w14:paraId="4241A165" w14:textId="77777777">
            <w:pPr>
              <w:pStyle w:val="TableParagraph"/>
              <w:spacing w:line="249" w:lineRule="exact"/>
              <w:ind w:left="104"/>
            </w:pPr>
            <w:r>
              <w:t>N/A</w:t>
            </w:r>
          </w:p>
        </w:tc>
        <w:tc>
          <w:tcPr>
            <w:tcW w:w="1157" w:type="dxa"/>
          </w:tcPr>
          <w:p w:rsidR="00C813F6" w:rsidRDefault="00C813F6" w14:paraId="6AD97628" w14:textId="77777777">
            <w:pPr>
              <w:pStyle w:val="TableParagraph"/>
              <w:spacing w:before="3"/>
              <w:rPr>
                <w:rFonts w:ascii="Arial"/>
                <w:sz w:val="23"/>
              </w:rPr>
            </w:pPr>
          </w:p>
          <w:p w:rsidR="00C813F6" w:rsidRDefault="00EA361D" w14:paraId="3396CDE6" w14:textId="77777777">
            <w:pPr>
              <w:pStyle w:val="TableParagraph"/>
              <w:spacing w:line="249" w:lineRule="exact"/>
              <w:ind w:left="87" w:right="79"/>
              <w:jc w:val="center"/>
            </w:pPr>
            <w:r>
              <w:t>N/A</w:t>
            </w:r>
          </w:p>
        </w:tc>
      </w:tr>
      <w:tr w:rsidR="00C813F6" w14:paraId="7ECF3D34" w14:textId="77777777">
        <w:trPr>
          <w:trHeight w:val="537"/>
        </w:trPr>
        <w:tc>
          <w:tcPr>
            <w:tcW w:w="1901" w:type="dxa"/>
          </w:tcPr>
          <w:p w:rsidR="00C813F6" w:rsidRDefault="00EA361D" w14:paraId="4A0FA201" w14:textId="77777777">
            <w:pPr>
              <w:pStyle w:val="TableParagraph"/>
              <w:spacing w:line="268" w:lineRule="exact"/>
              <w:ind w:left="107"/>
              <w:rPr>
                <w:b/>
              </w:rPr>
            </w:pPr>
            <w:r>
              <w:rPr>
                <w:b/>
              </w:rPr>
              <w:t>Annualized labor</w:t>
            </w:r>
          </w:p>
          <w:p w:rsidR="00C813F6" w:rsidRDefault="00EA361D" w14:paraId="54C6CD04" w14:textId="77777777">
            <w:pPr>
              <w:pStyle w:val="TableParagraph"/>
              <w:spacing w:line="249" w:lineRule="exact"/>
              <w:ind w:left="107"/>
              <w:rPr>
                <w:b/>
              </w:rPr>
            </w:pPr>
            <w:r>
              <w:rPr>
                <w:b/>
              </w:rPr>
              <w:t>cost</w:t>
            </w:r>
          </w:p>
        </w:tc>
        <w:tc>
          <w:tcPr>
            <w:tcW w:w="2506" w:type="dxa"/>
          </w:tcPr>
          <w:p w:rsidR="00C813F6" w:rsidRDefault="00EA361D" w14:paraId="69B3E552" w14:textId="3B993CEB">
            <w:pPr>
              <w:pStyle w:val="TableParagraph"/>
              <w:spacing w:line="268" w:lineRule="exact"/>
              <w:ind w:left="107"/>
            </w:pPr>
            <w:r>
              <w:t xml:space="preserve">$81.04 per hour x </w:t>
            </w:r>
            <w:r w:rsidR="00E56780">
              <w:t>660</w:t>
            </w:r>
          </w:p>
          <w:p w:rsidR="00C813F6" w:rsidRDefault="00EA361D" w14:paraId="357176F2" w14:textId="7AF67882">
            <w:pPr>
              <w:pStyle w:val="TableParagraph"/>
              <w:spacing w:line="249" w:lineRule="exact"/>
              <w:ind w:left="107"/>
            </w:pPr>
            <w:r>
              <w:t>hours = $</w:t>
            </w:r>
            <w:r w:rsidR="00E56780">
              <w:t>53</w:t>
            </w:r>
            <w:r w:rsidR="00E85DD8">
              <w:t>,</w:t>
            </w:r>
            <w:r w:rsidR="00E56780">
              <w:t>486</w:t>
            </w:r>
          </w:p>
        </w:tc>
        <w:tc>
          <w:tcPr>
            <w:tcW w:w="1577" w:type="dxa"/>
          </w:tcPr>
          <w:p w:rsidR="00C813F6" w:rsidRDefault="00C813F6" w14:paraId="5CECFAED" w14:textId="77777777">
            <w:pPr>
              <w:pStyle w:val="TableParagraph"/>
              <w:spacing w:before="3"/>
              <w:rPr>
                <w:rFonts w:ascii="Arial"/>
                <w:sz w:val="23"/>
              </w:rPr>
            </w:pPr>
          </w:p>
          <w:p w:rsidR="00C813F6" w:rsidRDefault="00EA361D" w14:paraId="0A634E36" w14:textId="77777777">
            <w:pPr>
              <w:pStyle w:val="TableParagraph"/>
              <w:spacing w:line="249" w:lineRule="exact"/>
              <w:ind w:left="104"/>
            </w:pPr>
            <w:r>
              <w:t>N/A</w:t>
            </w:r>
          </w:p>
        </w:tc>
        <w:tc>
          <w:tcPr>
            <w:tcW w:w="1157" w:type="dxa"/>
          </w:tcPr>
          <w:p w:rsidR="00C813F6" w:rsidRDefault="00C813F6" w14:paraId="1EBC279D" w14:textId="77777777">
            <w:pPr>
              <w:pStyle w:val="TableParagraph"/>
              <w:spacing w:before="3"/>
              <w:rPr>
                <w:rFonts w:ascii="Arial"/>
                <w:sz w:val="23"/>
              </w:rPr>
            </w:pPr>
          </w:p>
          <w:p w:rsidR="00C813F6" w:rsidRDefault="00EA361D" w14:paraId="33487C24" w14:textId="77777777">
            <w:pPr>
              <w:pStyle w:val="TableParagraph"/>
              <w:spacing w:line="249" w:lineRule="exact"/>
              <w:ind w:left="87" w:right="79"/>
              <w:jc w:val="center"/>
            </w:pPr>
            <w:r>
              <w:t>N/A</w:t>
            </w:r>
          </w:p>
        </w:tc>
      </w:tr>
    </w:tbl>
    <w:p w:rsidR="00C813F6" w:rsidRDefault="00C813F6" w14:paraId="6F64E846" w14:textId="77777777">
      <w:pPr>
        <w:pStyle w:val="BodyText"/>
        <w:spacing w:before="9"/>
        <w:rPr>
          <w:sz w:val="15"/>
        </w:rPr>
      </w:pPr>
    </w:p>
    <w:p w:rsidR="00C813F6" w:rsidRDefault="00EA361D" w14:paraId="0D2FB3A7" w14:textId="634CC2BA">
      <w:pPr>
        <w:pStyle w:val="BodyText"/>
        <w:spacing w:before="92"/>
        <w:ind w:left="100" w:right="167"/>
      </w:pPr>
      <w:r>
        <w:rPr>
          <w:color w:val="545454"/>
        </w:rPr>
        <w:t>*Annualized labor cost to respondents includes base wage, fringe, and overhead based on tables for highest compensation of 90th percentile hourly wage for Aerospace Engineers (172011)</w:t>
      </w:r>
      <w:r w:rsidR="006718F3">
        <w:rPr>
          <w:color w:val="545454"/>
        </w:rPr>
        <w:t xml:space="preserve">, </w:t>
      </w:r>
      <w:r w:rsidRPr="006718F3" w:rsidR="006718F3">
        <w:rPr>
          <w:color w:val="545454"/>
        </w:rPr>
        <w:t>Aerospace Product and Parts Manufacturing</w:t>
      </w:r>
      <w:r w:rsidR="006718F3">
        <w:rPr>
          <w:color w:val="545454"/>
        </w:rPr>
        <w:t xml:space="preserve"> </w:t>
      </w:r>
      <w:r w:rsidRPr="006718F3" w:rsidR="006718F3">
        <w:rPr>
          <w:color w:val="545454"/>
        </w:rPr>
        <w:t>(336400)</w:t>
      </w:r>
      <w:r>
        <w:rPr>
          <w:color w:val="545454"/>
        </w:rPr>
        <w:t xml:space="preserve"> obtained using the Bureau of Labor Statistics occupational employment statistics query system at: </w:t>
      </w:r>
      <w:hyperlink r:id="rId5">
        <w:r>
          <w:rPr>
            <w:rFonts w:ascii="Calibri"/>
            <w:color w:val="545454"/>
            <w:sz w:val="22"/>
          </w:rPr>
          <w:t>https://data.bls.gov/oes/#/home</w:t>
        </w:r>
      </w:hyperlink>
      <w:r>
        <w:rPr>
          <w:color w:val="545454"/>
        </w:rPr>
        <w:t>.</w:t>
      </w:r>
    </w:p>
    <w:p w:rsidR="00C813F6" w:rsidRDefault="00C813F6" w14:paraId="7A0BC8A2" w14:textId="77777777">
      <w:pPr>
        <w:pStyle w:val="BodyText"/>
        <w:spacing w:before="11"/>
        <w:rPr>
          <w:sz w:val="23"/>
        </w:rPr>
      </w:pPr>
    </w:p>
    <w:p w:rsidR="00C813F6" w:rsidRDefault="005F5744" w14:paraId="311CED2F" w14:textId="5C7A0784">
      <w:pPr>
        <w:pStyle w:val="BodyText"/>
        <w:ind w:left="100"/>
      </w:pPr>
      <w:r>
        <w:rPr>
          <w:color w:val="545454"/>
        </w:rPr>
        <w:t>We i</w:t>
      </w:r>
      <w:r w:rsidR="00EA361D">
        <w:rPr>
          <w:color w:val="545454"/>
        </w:rPr>
        <w:t>dentified the annualized labor cost by filtering on the following categories:</w:t>
      </w:r>
    </w:p>
    <w:p w:rsidR="00C813F6" w:rsidRDefault="00EA361D" w14:paraId="3DC3E124" w14:textId="77777777">
      <w:pPr>
        <w:pStyle w:val="BodyText"/>
        <w:spacing w:before="55"/>
        <w:ind w:left="100" w:right="728"/>
      </w:pPr>
      <w:r>
        <w:rPr>
          <w:color w:val="545454"/>
        </w:rPr>
        <w:t>Manufacturing sectors’ Aerospace Product and Parts Manufacturing industry labor costs.</w:t>
      </w:r>
    </w:p>
    <w:p w:rsidR="00C813F6" w:rsidRDefault="00C813F6" w14:paraId="1EA0FD58" w14:textId="77777777">
      <w:pPr>
        <w:sectPr w:rsidR="00C813F6">
          <w:pgSz w:w="12240" w:h="15840"/>
          <w:pgMar w:top="1440" w:right="1340" w:bottom="280" w:left="1340" w:header="720" w:footer="720" w:gutter="0"/>
          <w:cols w:space="720"/>
        </w:sectPr>
      </w:pPr>
    </w:p>
    <w:p w:rsidR="00C813F6" w:rsidRDefault="00EA361D" w14:paraId="2123D597" w14:textId="77777777">
      <w:pPr>
        <w:pStyle w:val="Heading1"/>
        <w:numPr>
          <w:ilvl w:val="0"/>
          <w:numId w:val="1"/>
        </w:numPr>
        <w:tabs>
          <w:tab w:val="left" w:pos="504"/>
        </w:tabs>
        <w:spacing w:before="78"/>
        <w:ind w:right="198" w:firstLine="0"/>
      </w:pPr>
      <w:r>
        <w:rPr>
          <w:color w:val="545454"/>
        </w:rPr>
        <w:lastRenderedPageBreak/>
        <w:t>Provide an estimate for the total annual cost burden to respondents or record keepers resulting from the collection of</w:t>
      </w:r>
      <w:r>
        <w:rPr>
          <w:color w:val="545454"/>
          <w:spacing w:val="-3"/>
        </w:rPr>
        <w:t xml:space="preserve"> </w:t>
      </w:r>
      <w:r>
        <w:rPr>
          <w:color w:val="545454"/>
        </w:rPr>
        <w:t>information.</w:t>
      </w:r>
    </w:p>
    <w:p w:rsidR="00C813F6" w:rsidRDefault="00C813F6" w14:paraId="76C5B34E" w14:textId="77777777">
      <w:pPr>
        <w:pStyle w:val="BodyText"/>
        <w:rPr>
          <w:b/>
          <w:sz w:val="26"/>
        </w:rPr>
      </w:pPr>
    </w:p>
    <w:p w:rsidR="00C813F6" w:rsidRDefault="00C813F6" w14:paraId="197CB30C" w14:textId="77777777">
      <w:pPr>
        <w:pStyle w:val="BodyText"/>
        <w:rPr>
          <w:b/>
          <w:sz w:val="22"/>
        </w:rPr>
      </w:pPr>
    </w:p>
    <w:p w:rsidR="00C813F6" w:rsidRDefault="00EA361D" w14:paraId="5FED82A3" w14:textId="77777777">
      <w:pPr>
        <w:pStyle w:val="BodyText"/>
        <w:ind w:left="100" w:right="115"/>
      </w:pPr>
      <w:r>
        <w:rPr>
          <w:color w:val="545454"/>
        </w:rPr>
        <w:t>Since this will be a simple electronic survey with no requirement for retention of records, we do not expect any additional cost burden to respondents or record keepers other than time spent completing the survey.</w:t>
      </w:r>
    </w:p>
    <w:p w:rsidR="00C813F6" w:rsidRDefault="00C813F6" w14:paraId="35B998A8" w14:textId="77777777">
      <w:pPr>
        <w:pStyle w:val="BodyText"/>
        <w:rPr>
          <w:sz w:val="26"/>
        </w:rPr>
      </w:pPr>
    </w:p>
    <w:p w:rsidR="00C813F6" w:rsidRDefault="00C813F6" w14:paraId="2C223F06" w14:textId="77777777">
      <w:pPr>
        <w:pStyle w:val="BodyText"/>
        <w:rPr>
          <w:sz w:val="22"/>
        </w:rPr>
      </w:pPr>
    </w:p>
    <w:p w:rsidR="00C813F6" w:rsidRDefault="00EA361D" w14:paraId="38D8826D" w14:textId="77777777">
      <w:pPr>
        <w:pStyle w:val="Heading1"/>
        <w:numPr>
          <w:ilvl w:val="0"/>
          <w:numId w:val="1"/>
        </w:numPr>
        <w:tabs>
          <w:tab w:val="left" w:pos="504"/>
        </w:tabs>
        <w:ind w:right="283" w:firstLine="0"/>
      </w:pPr>
      <w:r>
        <w:rPr>
          <w:color w:val="54545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color w:val="545454"/>
          <w:spacing w:val="-8"/>
        </w:rPr>
        <w:t xml:space="preserve"> </w:t>
      </w:r>
      <w:r>
        <w:rPr>
          <w:color w:val="545454"/>
        </w:rPr>
        <w:t>information.</w:t>
      </w:r>
    </w:p>
    <w:p w:rsidR="00C813F6" w:rsidRDefault="00C813F6" w14:paraId="651060BE" w14:textId="77777777">
      <w:pPr>
        <w:pStyle w:val="BodyText"/>
        <w:rPr>
          <w:b/>
          <w:sz w:val="20"/>
        </w:rPr>
      </w:pPr>
    </w:p>
    <w:p w:rsidR="00687731" w:rsidP="00285790" w:rsidRDefault="00687731" w14:paraId="12B367DB" w14:textId="0D8BDDC4">
      <w:pPr>
        <w:pStyle w:val="BodyText"/>
        <w:ind w:left="100" w:right="115"/>
        <w:rPr>
          <w:color w:val="545454"/>
        </w:rPr>
      </w:pPr>
      <w:r>
        <w:rPr>
          <w:color w:val="545454"/>
        </w:rPr>
        <w:t xml:space="preserve">For method to estimate cost, we tallied the number of sessions the FAA survey expert dedicated with the Expert Panel during development, piloting, and draft revisions, and added administrative costs of the specialist assisting with PRA expenses, and </w:t>
      </w:r>
      <w:proofErr w:type="gramStart"/>
      <w:r>
        <w:rPr>
          <w:color w:val="545454"/>
        </w:rPr>
        <w:t>estimated</w:t>
      </w:r>
      <w:proofErr w:type="gramEnd"/>
      <w:r>
        <w:rPr>
          <w:color w:val="545454"/>
        </w:rPr>
        <w:t xml:space="preserve"> approximately 450 hours dedicated to the final draft survey. To check our assumptions, we divided the estimate by the total number of questions, and judged our development time of 4.5 hours per question to be appropriate.  For salary </w:t>
      </w:r>
      <w:proofErr w:type="gramStart"/>
      <w:r>
        <w:rPr>
          <w:color w:val="545454"/>
        </w:rPr>
        <w:t>information</w:t>
      </w:r>
      <w:proofErr w:type="gramEnd"/>
      <w:r>
        <w:rPr>
          <w:color w:val="545454"/>
        </w:rPr>
        <w:t xml:space="preserve"> we referenced the OPM site mentioned below the table, and to include benefits we referenced OMB memo M-08-13. </w:t>
      </w:r>
    </w:p>
    <w:p w:rsidR="00687731" w:rsidP="00285790" w:rsidRDefault="00687731" w14:paraId="0BCB80E9" w14:textId="77777777">
      <w:pPr>
        <w:pStyle w:val="BodyText"/>
        <w:ind w:left="100" w:right="115"/>
        <w:rPr>
          <w:color w:val="545454"/>
        </w:rPr>
      </w:pPr>
    </w:p>
    <w:p w:rsidRPr="00285790" w:rsidR="00C813F6" w:rsidP="00285790" w:rsidRDefault="00285790" w14:paraId="405C4E5D" w14:textId="148A24D3">
      <w:pPr>
        <w:pStyle w:val="BodyText"/>
        <w:ind w:left="100" w:right="115"/>
        <w:rPr>
          <w:b/>
          <w:sz w:val="20"/>
        </w:rPr>
      </w:pPr>
      <w:r w:rsidRPr="00285790">
        <w:rPr>
          <w:color w:val="545454"/>
        </w:rPr>
        <w:t>No</w:t>
      </w:r>
      <w:r>
        <w:rPr>
          <w:color w:val="545454"/>
        </w:rPr>
        <w:t xml:space="preserve"> additional equipment, overhead, printing, or support staff were required for government expenditures associated with this collection.  The following table breaks down the survey costs.</w:t>
      </w:r>
      <w:r w:rsidRPr="00285790">
        <w:rPr>
          <w:b/>
          <w:sz w:val="20"/>
        </w:rPr>
        <w:t xml:space="preserve"> </w:t>
      </w:r>
    </w:p>
    <w:p w:rsidR="00C813F6" w:rsidRDefault="00C813F6" w14:paraId="30370A7F" w14:textId="20E13967">
      <w:pPr>
        <w:pStyle w:val="BodyText"/>
        <w:rPr>
          <w:b/>
          <w:sz w:val="20"/>
        </w:rPr>
      </w:pPr>
    </w:p>
    <w:bookmarkStart w:name="_MON_1666005048" w:id="0"/>
    <w:bookmarkEnd w:id="0"/>
    <w:p w:rsidR="00285790" w:rsidRDefault="000F73DA" w14:paraId="7B63E5FA" w14:textId="313A6861">
      <w:pPr>
        <w:pStyle w:val="BodyText"/>
        <w:rPr>
          <w:b/>
          <w:sz w:val="20"/>
        </w:rPr>
      </w:pPr>
      <w:r>
        <w:rPr>
          <w:b/>
          <w:sz w:val="20"/>
        </w:rPr>
        <w:object w:dxaOrig="9636" w:dyaOrig="1428" w14:anchorId="037C41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9" style="width:481.8pt;height:71.4pt" o:ole="" type="#_x0000_t75">
            <v:imagedata o:title="" r:id="rId6"/>
          </v:shape>
          <o:OLEObject Type="Embed" ProgID="Excel.Sheet.12" ShapeID="_x0000_i1049" DrawAspect="Content" ObjectID="_1666009094" r:id="rId7"/>
        </w:object>
      </w:r>
    </w:p>
    <w:p w:rsidR="00C813F6" w:rsidRDefault="00C813F6" w14:paraId="4A9A7344" w14:textId="77777777">
      <w:pPr>
        <w:pStyle w:val="BodyText"/>
        <w:spacing w:before="2"/>
        <w:rPr>
          <w:b/>
          <w:sz w:val="12"/>
        </w:rPr>
      </w:pPr>
    </w:p>
    <w:p w:rsidR="00C813F6" w:rsidRDefault="00C813F6" w14:paraId="76C1D2AD" w14:textId="77777777">
      <w:pPr>
        <w:pStyle w:val="BodyText"/>
        <w:rPr>
          <w:b/>
          <w:sz w:val="20"/>
        </w:rPr>
      </w:pPr>
    </w:p>
    <w:p w:rsidRPr="000F73DA" w:rsidR="00C813F6" w:rsidP="000F73DA" w:rsidRDefault="000F73DA" w14:paraId="4467B628" w14:textId="742CFBA7">
      <w:pPr>
        <w:tabs>
          <w:tab w:val="left" w:pos="0"/>
        </w:tabs>
        <w:spacing w:before="93"/>
        <w:ind w:right="171"/>
        <w:rPr>
          <w:sz w:val="24"/>
        </w:rPr>
      </w:pPr>
      <w:r w:rsidRPr="000F73DA">
        <w:rPr>
          <w:color w:val="545454"/>
          <w:sz w:val="24"/>
          <w:vertAlign w:val="superscript"/>
        </w:rPr>
        <w:t>1</w:t>
      </w:r>
      <w:r w:rsidRPr="000F73DA" w:rsidR="00EA361D">
        <w:rPr>
          <w:color w:val="545454"/>
          <w:sz w:val="24"/>
        </w:rPr>
        <w:t xml:space="preserve">Hourly Rate </w:t>
      </w:r>
      <w:proofErr w:type="gramStart"/>
      <w:r w:rsidRPr="000F73DA" w:rsidR="00EA361D">
        <w:rPr>
          <w:color w:val="545454"/>
          <w:sz w:val="24"/>
        </w:rPr>
        <w:t>is based</w:t>
      </w:r>
      <w:proofErr w:type="gramEnd"/>
      <w:r w:rsidRPr="000F73DA" w:rsidR="00EA361D">
        <w:rPr>
          <w:color w:val="545454"/>
          <w:sz w:val="24"/>
        </w:rPr>
        <w:t xml:space="preserve"> on average GS14 90th percentile plus locality hourly rate:</w:t>
      </w:r>
    </w:p>
    <w:p w:rsidR="000F73DA" w:rsidP="000F73DA" w:rsidRDefault="00687731" w14:paraId="21F001D7" w14:textId="29CED917">
      <w:pPr>
        <w:pStyle w:val="BodyText"/>
        <w:ind w:right="1426"/>
        <w:rPr>
          <w:color w:val="0563C1"/>
          <w:u w:val="single" w:color="0563C1"/>
        </w:rPr>
      </w:pPr>
      <w:hyperlink r:id="rId8">
        <w:r w:rsidR="00EA361D">
          <w:rPr>
            <w:color w:val="0563C1"/>
            <w:u w:val="single" w:color="0563C1"/>
          </w:rPr>
          <w:t>https://www.opm.gov/policy-data-oversight/pay-leave/salaries-</w:t>
        </w:r>
      </w:hyperlink>
      <w:r w:rsidR="00EA361D">
        <w:rPr>
          <w:color w:val="0563C1"/>
        </w:rPr>
        <w:t xml:space="preserve"> </w:t>
      </w:r>
      <w:hyperlink r:id="rId9">
        <w:r w:rsidR="00EA361D">
          <w:rPr>
            <w:color w:val="0563C1"/>
            <w:u w:val="single" w:color="0563C1"/>
          </w:rPr>
          <w:t>wages/2019/general-schedule-</w:t>
        </w:r>
        <w:proofErr w:type="spellStart"/>
        <w:r w:rsidR="00EA361D">
          <w:rPr>
            <w:color w:val="0563C1"/>
            <w:u w:val="single" w:color="0563C1"/>
          </w:rPr>
          <w:t>gs</w:t>
        </w:r>
        <w:proofErr w:type="spellEnd"/>
        <w:r w:rsidR="00EA361D">
          <w:rPr>
            <w:color w:val="0563C1"/>
            <w:u w:val="single" w:color="0563C1"/>
          </w:rPr>
          <w:t>-salary-calculator/</w:t>
        </w:r>
      </w:hyperlink>
    </w:p>
    <w:p w:rsidR="000F73DA" w:rsidP="000F73DA" w:rsidRDefault="000F73DA" w14:paraId="7F6B041E" w14:textId="68B3219E">
      <w:pPr>
        <w:tabs>
          <w:tab w:val="left" w:pos="0"/>
        </w:tabs>
        <w:spacing w:before="93"/>
        <w:ind w:right="171"/>
        <w:rPr>
          <w:color w:val="545454"/>
          <w:sz w:val="24"/>
        </w:rPr>
      </w:pPr>
      <w:r w:rsidRPr="000F73DA">
        <w:rPr>
          <w:color w:val="545454"/>
          <w:sz w:val="24"/>
        </w:rPr>
        <w:t>Benefits</w:t>
      </w:r>
      <w:r>
        <w:rPr>
          <w:color w:val="545454"/>
          <w:sz w:val="24"/>
        </w:rPr>
        <w:t xml:space="preserve"> calculated per OMB Memorandum M-08-13 available at:</w:t>
      </w:r>
    </w:p>
    <w:p w:rsidR="000F73DA" w:rsidP="000F73DA" w:rsidRDefault="000F73DA" w14:paraId="3B1D8BA8" w14:textId="342C7CF1">
      <w:pPr>
        <w:tabs>
          <w:tab w:val="left" w:pos="0"/>
        </w:tabs>
        <w:spacing w:before="93"/>
        <w:ind w:right="171"/>
        <w:rPr>
          <w:color w:val="545454"/>
          <w:sz w:val="24"/>
        </w:rPr>
      </w:pPr>
      <w:hyperlink w:history="1" r:id="rId10">
        <w:r w:rsidRPr="00CD55DD">
          <w:rPr>
            <w:rStyle w:val="Hyperlink"/>
            <w:sz w:val="24"/>
          </w:rPr>
          <w:t>https://www.whitehouse.gov/sites/whitehouse.gov/files/omb/memoranda/2008/m08-13.pdf</w:t>
        </w:r>
      </w:hyperlink>
    </w:p>
    <w:p w:rsidR="00687731" w:rsidRDefault="00687731" w14:paraId="38CC5E15" w14:textId="49C75BAE">
      <w:pPr>
        <w:rPr>
          <w:sz w:val="24"/>
          <w:szCs w:val="24"/>
        </w:rPr>
      </w:pPr>
      <w:r>
        <w:br w:type="page"/>
      </w:r>
    </w:p>
    <w:p w:rsidR="00C813F6" w:rsidRDefault="00C813F6" w14:paraId="0014F3E3" w14:textId="77777777">
      <w:pPr>
        <w:pStyle w:val="BodyText"/>
      </w:pPr>
    </w:p>
    <w:p w:rsidR="00C813F6" w:rsidRDefault="00EA361D" w14:paraId="134220AD" w14:textId="77777777">
      <w:pPr>
        <w:pStyle w:val="Heading1"/>
        <w:numPr>
          <w:ilvl w:val="0"/>
          <w:numId w:val="1"/>
        </w:numPr>
        <w:tabs>
          <w:tab w:val="left" w:pos="504"/>
        </w:tabs>
        <w:ind w:left="503" w:hanging="403"/>
      </w:pPr>
      <w:r>
        <w:rPr>
          <w:color w:val="545454"/>
        </w:rPr>
        <w:t>Explain the reasons for any program changes or</w:t>
      </w:r>
      <w:r>
        <w:rPr>
          <w:color w:val="545454"/>
          <w:spacing w:val="-11"/>
        </w:rPr>
        <w:t xml:space="preserve"> </w:t>
      </w:r>
      <w:r>
        <w:rPr>
          <w:color w:val="545454"/>
        </w:rPr>
        <w:t>adjustments.</w:t>
      </w:r>
    </w:p>
    <w:p w:rsidR="00C813F6" w:rsidRDefault="00C813F6" w14:paraId="6AEC468A" w14:textId="77777777">
      <w:pPr>
        <w:pStyle w:val="BodyText"/>
        <w:rPr>
          <w:b/>
        </w:rPr>
      </w:pPr>
    </w:p>
    <w:p w:rsidR="00C813F6" w:rsidRDefault="00EA361D" w14:paraId="055B1718" w14:textId="77777777">
      <w:pPr>
        <w:pStyle w:val="BodyText"/>
        <w:ind w:left="100"/>
      </w:pPr>
      <w:r>
        <w:rPr>
          <w:color w:val="545454"/>
        </w:rPr>
        <w:t>This is a new collection.</w:t>
      </w:r>
    </w:p>
    <w:p w:rsidR="00C813F6" w:rsidRDefault="00C813F6" w14:paraId="1291AA0B" w14:textId="29C1FFDF">
      <w:pPr>
        <w:pStyle w:val="BodyText"/>
        <w:rPr>
          <w:sz w:val="26"/>
        </w:rPr>
      </w:pPr>
    </w:p>
    <w:p w:rsidR="000F73DA" w:rsidRDefault="000F73DA" w14:paraId="1A06B307" w14:textId="77777777">
      <w:pPr>
        <w:pStyle w:val="BodyText"/>
        <w:rPr>
          <w:sz w:val="26"/>
        </w:rPr>
      </w:pPr>
      <w:bookmarkStart w:name="_GoBack" w:id="1"/>
      <w:bookmarkEnd w:id="1"/>
    </w:p>
    <w:p w:rsidR="00C813F6" w:rsidRDefault="00EA361D" w14:paraId="096274FB" w14:textId="77777777">
      <w:pPr>
        <w:pStyle w:val="Heading1"/>
        <w:numPr>
          <w:ilvl w:val="0"/>
          <w:numId w:val="1"/>
        </w:numPr>
        <w:tabs>
          <w:tab w:val="left" w:pos="504"/>
        </w:tabs>
        <w:ind w:right="172" w:firstLine="0"/>
      </w:pPr>
      <w:r>
        <w:rPr>
          <w:color w:val="545454"/>
        </w:rPr>
        <w:t xml:space="preserve">For collections of information whose results </w:t>
      </w:r>
      <w:proofErr w:type="gramStart"/>
      <w:r>
        <w:rPr>
          <w:color w:val="545454"/>
        </w:rPr>
        <w:t>will be published</w:t>
      </w:r>
      <w:proofErr w:type="gramEnd"/>
      <w:r>
        <w:rPr>
          <w:color w:val="545454"/>
        </w:rPr>
        <w:t xml:space="preserve">, outline plans for tabulation and publication. Address any complex analytical techniques that </w:t>
      </w:r>
      <w:proofErr w:type="gramStart"/>
      <w:r>
        <w:rPr>
          <w:color w:val="545454"/>
        </w:rPr>
        <w:t>will be used</w:t>
      </w:r>
      <w:proofErr w:type="gramEnd"/>
      <w:r>
        <w:rPr>
          <w:color w:val="545454"/>
        </w:rPr>
        <w:t>. Provide the time schedule for the entire project, including beginning and ending dates of the collection of information, completion of report, publication dates, and other actions.</w:t>
      </w:r>
    </w:p>
    <w:p w:rsidR="00C813F6" w:rsidRDefault="00C813F6" w14:paraId="086CCEA2" w14:textId="77777777">
      <w:pPr>
        <w:pStyle w:val="BodyText"/>
        <w:spacing w:before="7"/>
        <w:rPr>
          <w:b/>
          <w:sz w:val="22"/>
        </w:rPr>
      </w:pPr>
    </w:p>
    <w:p w:rsidR="00C813F6" w:rsidRDefault="00EA361D" w14:paraId="513FD233" w14:textId="77777777">
      <w:pPr>
        <w:pStyle w:val="BodyText"/>
        <w:ind w:left="100" w:right="141"/>
      </w:pPr>
      <w:r>
        <w:rPr>
          <w:color w:val="545454"/>
        </w:rPr>
        <w:t xml:space="preserve">We hope to release the survey in the </w:t>
      </w:r>
      <w:proofErr w:type="gramStart"/>
      <w:r>
        <w:rPr>
          <w:color w:val="545454"/>
        </w:rPr>
        <w:t>Fall</w:t>
      </w:r>
      <w:proofErr w:type="gramEnd"/>
      <w:r>
        <w:rPr>
          <w:color w:val="545454"/>
        </w:rPr>
        <w:t xml:space="preserve"> of 2020 and plan to keep the survey open for a minimum of 30 days. Results of the survey will be publicized in the form of summary assessment and recommendations included in the Expert Panel report to Congress, the Safety Oversight and Certification Advisory Committee (*SOCAC), other appropriate Committees, and appropriate FAA leaders.</w:t>
      </w:r>
    </w:p>
    <w:p w:rsidR="00C813F6" w:rsidRDefault="00C813F6" w14:paraId="186FD4F5" w14:textId="77777777">
      <w:pPr>
        <w:pStyle w:val="BodyText"/>
      </w:pPr>
    </w:p>
    <w:p w:rsidR="00C813F6" w:rsidRDefault="00EA361D" w14:paraId="15497A19" w14:textId="77777777">
      <w:pPr>
        <w:pStyle w:val="BodyText"/>
        <w:ind w:left="100" w:right="102"/>
      </w:pPr>
      <w:r>
        <w:rPr>
          <w:color w:val="545454"/>
        </w:rPr>
        <w:t xml:space="preserve">*Results of the survey will be summarized in a Panel report to the SOCAC and available on their website at: </w:t>
      </w:r>
      <w:hyperlink r:id="rId11">
        <w:r>
          <w:rPr>
            <w:color w:val="0563C1"/>
            <w:u w:val="single" w:color="0563C1"/>
          </w:rPr>
          <w:t>https://www.faa.gov/regulations_policies/rulemaking/committees/documents/index.cfm/c</w:t>
        </w:r>
      </w:hyperlink>
      <w:r>
        <w:rPr>
          <w:color w:val="0563C1"/>
        </w:rPr>
        <w:t xml:space="preserve"> </w:t>
      </w:r>
      <w:hyperlink r:id="rId12">
        <w:proofErr w:type="spellStart"/>
        <w:r>
          <w:rPr>
            <w:color w:val="0563C1"/>
            <w:u w:val="single" w:color="0563C1"/>
          </w:rPr>
          <w:t>ommittee</w:t>
        </w:r>
        <w:proofErr w:type="spellEnd"/>
        <w:r>
          <w:rPr>
            <w:color w:val="0563C1"/>
            <w:u w:val="single" w:color="0563C1"/>
          </w:rPr>
          <w:t>/browse/</w:t>
        </w:r>
        <w:proofErr w:type="spellStart"/>
        <w:r>
          <w:rPr>
            <w:color w:val="0563C1"/>
            <w:u w:val="single" w:color="0563C1"/>
          </w:rPr>
          <w:t>committeeID</w:t>
        </w:r>
        <w:proofErr w:type="spellEnd"/>
        <w:r>
          <w:rPr>
            <w:color w:val="0563C1"/>
            <w:u w:val="single" w:color="0563C1"/>
          </w:rPr>
          <w:t>/717</w:t>
        </w:r>
      </w:hyperlink>
    </w:p>
    <w:p w:rsidR="00C813F6" w:rsidRDefault="00C813F6" w14:paraId="3EDDC24F" w14:textId="77777777">
      <w:pPr>
        <w:pStyle w:val="BodyText"/>
        <w:rPr>
          <w:sz w:val="20"/>
        </w:rPr>
      </w:pPr>
    </w:p>
    <w:p w:rsidR="00C813F6" w:rsidRDefault="00C813F6" w14:paraId="5C743780" w14:textId="77777777">
      <w:pPr>
        <w:pStyle w:val="BodyText"/>
        <w:rPr>
          <w:sz w:val="20"/>
        </w:rPr>
      </w:pPr>
    </w:p>
    <w:p w:rsidR="00C813F6" w:rsidRDefault="00C813F6" w14:paraId="71820B6E" w14:textId="77777777">
      <w:pPr>
        <w:pStyle w:val="BodyText"/>
      </w:pPr>
    </w:p>
    <w:p w:rsidR="00C813F6" w:rsidRDefault="00EA361D" w14:paraId="24FD6450" w14:textId="77777777">
      <w:pPr>
        <w:pStyle w:val="Heading1"/>
        <w:numPr>
          <w:ilvl w:val="0"/>
          <w:numId w:val="1"/>
        </w:numPr>
        <w:tabs>
          <w:tab w:val="left" w:pos="504"/>
        </w:tabs>
        <w:spacing w:before="92"/>
        <w:ind w:right="259" w:firstLine="0"/>
      </w:pPr>
      <w:r>
        <w:rPr>
          <w:color w:val="545454"/>
        </w:rPr>
        <w:t xml:space="preserve">If seeking approval </w:t>
      </w:r>
      <w:proofErr w:type="gramStart"/>
      <w:r>
        <w:rPr>
          <w:color w:val="545454"/>
        </w:rPr>
        <w:t>to not display</w:t>
      </w:r>
      <w:proofErr w:type="gramEnd"/>
      <w:r>
        <w:rPr>
          <w:color w:val="545454"/>
        </w:rPr>
        <w:t xml:space="preserve"> the expiration date for OMB approval of</w:t>
      </w:r>
      <w:r>
        <w:rPr>
          <w:color w:val="545454"/>
          <w:spacing w:val="-44"/>
        </w:rPr>
        <w:t xml:space="preserve"> </w:t>
      </w:r>
      <w:r>
        <w:rPr>
          <w:color w:val="545454"/>
        </w:rPr>
        <w:t>the information collection, explain the reasons why display would be</w:t>
      </w:r>
      <w:r>
        <w:rPr>
          <w:color w:val="545454"/>
          <w:spacing w:val="-33"/>
        </w:rPr>
        <w:t xml:space="preserve"> </w:t>
      </w:r>
      <w:r>
        <w:rPr>
          <w:color w:val="545454"/>
        </w:rPr>
        <w:t>inappropriate.</w:t>
      </w:r>
    </w:p>
    <w:p w:rsidR="00C813F6" w:rsidRDefault="00C813F6" w14:paraId="27FE1387" w14:textId="77777777">
      <w:pPr>
        <w:pStyle w:val="BodyText"/>
        <w:rPr>
          <w:b/>
          <w:sz w:val="26"/>
        </w:rPr>
      </w:pPr>
    </w:p>
    <w:p w:rsidR="00C813F6" w:rsidRDefault="00C813F6" w14:paraId="593FD9F0" w14:textId="77777777">
      <w:pPr>
        <w:pStyle w:val="BodyText"/>
        <w:rPr>
          <w:b/>
          <w:sz w:val="22"/>
        </w:rPr>
      </w:pPr>
    </w:p>
    <w:p w:rsidR="00C813F6" w:rsidRDefault="00EA361D" w14:paraId="0198B95D" w14:textId="77777777">
      <w:pPr>
        <w:pStyle w:val="BodyText"/>
        <w:ind w:left="100"/>
      </w:pPr>
      <w:r>
        <w:rPr>
          <w:color w:val="545454"/>
        </w:rPr>
        <w:t>We will display the OMB expiration date.</w:t>
      </w:r>
    </w:p>
    <w:p w:rsidR="00C813F6" w:rsidRDefault="00C813F6" w14:paraId="5B0BCAD9" w14:textId="77777777">
      <w:pPr>
        <w:pStyle w:val="BodyText"/>
        <w:rPr>
          <w:sz w:val="26"/>
        </w:rPr>
      </w:pPr>
    </w:p>
    <w:p w:rsidR="00C813F6" w:rsidRDefault="00C813F6" w14:paraId="6E71CB29" w14:textId="77777777">
      <w:pPr>
        <w:pStyle w:val="BodyText"/>
        <w:rPr>
          <w:sz w:val="22"/>
        </w:rPr>
      </w:pPr>
    </w:p>
    <w:p w:rsidR="00C813F6" w:rsidRDefault="00EA361D" w14:paraId="1E8BD184" w14:textId="77777777">
      <w:pPr>
        <w:pStyle w:val="Heading1"/>
        <w:numPr>
          <w:ilvl w:val="0"/>
          <w:numId w:val="1"/>
        </w:numPr>
        <w:tabs>
          <w:tab w:val="left" w:pos="504"/>
        </w:tabs>
        <w:ind w:right="148" w:firstLine="0"/>
      </w:pPr>
      <w:r>
        <w:rPr>
          <w:color w:val="545454"/>
        </w:rPr>
        <w:t>Explain each exception to the topics of the certification statement identified</w:t>
      </w:r>
      <w:r>
        <w:rPr>
          <w:color w:val="545454"/>
          <w:spacing w:val="-41"/>
        </w:rPr>
        <w:t xml:space="preserve"> </w:t>
      </w:r>
      <w:r>
        <w:rPr>
          <w:color w:val="545454"/>
        </w:rPr>
        <w:t>in “Certification for Paperwork Reduction Act</w:t>
      </w:r>
      <w:r>
        <w:rPr>
          <w:color w:val="545454"/>
          <w:spacing w:val="-2"/>
        </w:rPr>
        <w:t xml:space="preserve"> </w:t>
      </w:r>
      <w:r>
        <w:rPr>
          <w:color w:val="545454"/>
        </w:rPr>
        <w:t>Submissions.”</w:t>
      </w:r>
    </w:p>
    <w:p w:rsidR="00C813F6" w:rsidRDefault="00C813F6" w14:paraId="74F184E6" w14:textId="77777777">
      <w:pPr>
        <w:pStyle w:val="BodyText"/>
        <w:rPr>
          <w:b/>
          <w:sz w:val="26"/>
        </w:rPr>
      </w:pPr>
    </w:p>
    <w:p w:rsidR="00C813F6" w:rsidRDefault="00C813F6" w14:paraId="7084647C" w14:textId="77777777">
      <w:pPr>
        <w:pStyle w:val="BodyText"/>
        <w:rPr>
          <w:b/>
          <w:sz w:val="22"/>
        </w:rPr>
      </w:pPr>
    </w:p>
    <w:p w:rsidR="00C813F6" w:rsidRDefault="00EA361D" w14:paraId="220FEFD8" w14:textId="77777777">
      <w:pPr>
        <w:pStyle w:val="BodyText"/>
        <w:ind w:left="100" w:right="1289"/>
      </w:pPr>
      <w:r>
        <w:rPr>
          <w:color w:val="545454"/>
        </w:rPr>
        <w:t>This collection adheres to all statements on the 83-I form’s certification (Q 19 compliance with 5 CFR 1320.9).</w:t>
      </w:r>
    </w:p>
    <w:sectPr w:rsidR="00C813F6">
      <w:pgSz w:w="12240" w:h="15840"/>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F1F"/>
    <w:multiLevelType w:val="hybridMultilevel"/>
    <w:tmpl w:val="7512BEC8"/>
    <w:lvl w:ilvl="0" w:tplc="763C7140">
      <w:start w:val="1"/>
      <w:numFmt w:val="decimal"/>
      <w:lvlText w:val="%1."/>
      <w:lvlJc w:val="left"/>
      <w:pPr>
        <w:ind w:left="100" w:hanging="269"/>
      </w:pPr>
      <w:rPr>
        <w:rFonts w:ascii="Arial" w:eastAsia="Arial" w:hAnsi="Arial" w:cs="Arial" w:hint="default"/>
        <w:b/>
        <w:bCs/>
        <w:color w:val="545454"/>
        <w:w w:val="100"/>
        <w:sz w:val="24"/>
        <w:szCs w:val="24"/>
        <w:lang w:val="en-US" w:eastAsia="en-US" w:bidi="en-US"/>
      </w:rPr>
    </w:lvl>
    <w:lvl w:ilvl="1" w:tplc="02B66A8A">
      <w:numFmt w:val="bullet"/>
      <w:lvlText w:val=""/>
      <w:lvlJc w:val="left"/>
      <w:pPr>
        <w:ind w:left="820" w:hanging="360"/>
      </w:pPr>
      <w:rPr>
        <w:rFonts w:ascii="Symbol" w:eastAsia="Symbol" w:hAnsi="Symbol" w:cs="Symbol" w:hint="default"/>
        <w:color w:val="545454"/>
        <w:w w:val="99"/>
        <w:sz w:val="20"/>
        <w:szCs w:val="20"/>
        <w:lang w:val="en-US" w:eastAsia="en-US" w:bidi="en-US"/>
      </w:rPr>
    </w:lvl>
    <w:lvl w:ilvl="2" w:tplc="CB6C653A">
      <w:numFmt w:val="bullet"/>
      <w:lvlText w:val="•"/>
      <w:lvlJc w:val="left"/>
      <w:pPr>
        <w:ind w:left="1540" w:hanging="360"/>
      </w:pPr>
      <w:rPr>
        <w:rFonts w:hint="default"/>
        <w:lang w:val="en-US" w:eastAsia="en-US" w:bidi="en-US"/>
      </w:rPr>
    </w:lvl>
    <w:lvl w:ilvl="3" w:tplc="F6A608B4">
      <w:numFmt w:val="bullet"/>
      <w:lvlText w:val="•"/>
      <w:lvlJc w:val="left"/>
      <w:pPr>
        <w:ind w:left="2542" w:hanging="360"/>
      </w:pPr>
      <w:rPr>
        <w:rFonts w:hint="default"/>
        <w:lang w:val="en-US" w:eastAsia="en-US" w:bidi="en-US"/>
      </w:rPr>
    </w:lvl>
    <w:lvl w:ilvl="4" w:tplc="261A31C4">
      <w:numFmt w:val="bullet"/>
      <w:lvlText w:val="•"/>
      <w:lvlJc w:val="left"/>
      <w:pPr>
        <w:ind w:left="3545" w:hanging="360"/>
      </w:pPr>
      <w:rPr>
        <w:rFonts w:hint="default"/>
        <w:lang w:val="en-US" w:eastAsia="en-US" w:bidi="en-US"/>
      </w:rPr>
    </w:lvl>
    <w:lvl w:ilvl="5" w:tplc="7F382F7E">
      <w:numFmt w:val="bullet"/>
      <w:lvlText w:val="•"/>
      <w:lvlJc w:val="left"/>
      <w:pPr>
        <w:ind w:left="4547" w:hanging="360"/>
      </w:pPr>
      <w:rPr>
        <w:rFonts w:hint="default"/>
        <w:lang w:val="en-US" w:eastAsia="en-US" w:bidi="en-US"/>
      </w:rPr>
    </w:lvl>
    <w:lvl w:ilvl="6" w:tplc="6F0A7232">
      <w:numFmt w:val="bullet"/>
      <w:lvlText w:val="•"/>
      <w:lvlJc w:val="left"/>
      <w:pPr>
        <w:ind w:left="5550" w:hanging="360"/>
      </w:pPr>
      <w:rPr>
        <w:rFonts w:hint="default"/>
        <w:lang w:val="en-US" w:eastAsia="en-US" w:bidi="en-US"/>
      </w:rPr>
    </w:lvl>
    <w:lvl w:ilvl="7" w:tplc="8C10C902">
      <w:numFmt w:val="bullet"/>
      <w:lvlText w:val="•"/>
      <w:lvlJc w:val="left"/>
      <w:pPr>
        <w:ind w:left="6552" w:hanging="360"/>
      </w:pPr>
      <w:rPr>
        <w:rFonts w:hint="default"/>
        <w:lang w:val="en-US" w:eastAsia="en-US" w:bidi="en-US"/>
      </w:rPr>
    </w:lvl>
    <w:lvl w:ilvl="8" w:tplc="CCE61E40">
      <w:numFmt w:val="bullet"/>
      <w:lvlText w:val="•"/>
      <w:lvlJc w:val="left"/>
      <w:pPr>
        <w:ind w:left="755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F6"/>
    <w:rsid w:val="000534A0"/>
    <w:rsid w:val="000F73DA"/>
    <w:rsid w:val="0023135B"/>
    <w:rsid w:val="00285790"/>
    <w:rsid w:val="00303133"/>
    <w:rsid w:val="00315449"/>
    <w:rsid w:val="00324B29"/>
    <w:rsid w:val="00326CC6"/>
    <w:rsid w:val="003C0D78"/>
    <w:rsid w:val="003D151E"/>
    <w:rsid w:val="004D2945"/>
    <w:rsid w:val="00544903"/>
    <w:rsid w:val="0055338F"/>
    <w:rsid w:val="005F5744"/>
    <w:rsid w:val="006718F3"/>
    <w:rsid w:val="00687731"/>
    <w:rsid w:val="00731863"/>
    <w:rsid w:val="00833E0F"/>
    <w:rsid w:val="0085116A"/>
    <w:rsid w:val="008858E6"/>
    <w:rsid w:val="00886493"/>
    <w:rsid w:val="008F6E9B"/>
    <w:rsid w:val="00A021EF"/>
    <w:rsid w:val="00A25BF0"/>
    <w:rsid w:val="00B8358C"/>
    <w:rsid w:val="00C813F6"/>
    <w:rsid w:val="00C95558"/>
    <w:rsid w:val="00E56780"/>
    <w:rsid w:val="00E85DD8"/>
    <w:rsid w:val="00EA361D"/>
    <w:rsid w:val="00EE4653"/>
    <w:rsid w:val="00FC48FA"/>
    <w:rsid w:val="00FE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3D79"/>
  <w15:docId w15:val="{28176536-0374-413B-9A28-A434DFBC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spacing w:before="223"/>
      <w:ind w:left="820" w:right="119" w:hanging="3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4D2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45"/>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4D2945"/>
    <w:rPr>
      <w:sz w:val="16"/>
      <w:szCs w:val="16"/>
    </w:rPr>
  </w:style>
  <w:style w:type="paragraph" w:styleId="CommentText">
    <w:name w:val="annotation text"/>
    <w:basedOn w:val="Normal"/>
    <w:link w:val="CommentTextChar"/>
    <w:uiPriority w:val="99"/>
    <w:semiHidden/>
    <w:unhideWhenUsed/>
    <w:rsid w:val="004D2945"/>
    <w:rPr>
      <w:sz w:val="20"/>
      <w:szCs w:val="20"/>
    </w:rPr>
  </w:style>
  <w:style w:type="character" w:customStyle="1" w:styleId="CommentTextChar">
    <w:name w:val="Comment Text Char"/>
    <w:basedOn w:val="DefaultParagraphFont"/>
    <w:link w:val="CommentText"/>
    <w:uiPriority w:val="99"/>
    <w:semiHidden/>
    <w:rsid w:val="004D294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D2945"/>
    <w:rPr>
      <w:b/>
      <w:bCs/>
    </w:rPr>
  </w:style>
  <w:style w:type="character" w:customStyle="1" w:styleId="CommentSubjectChar">
    <w:name w:val="Comment Subject Char"/>
    <w:basedOn w:val="CommentTextChar"/>
    <w:link w:val="CommentSubject"/>
    <w:uiPriority w:val="99"/>
    <w:semiHidden/>
    <w:rsid w:val="004D2945"/>
    <w:rPr>
      <w:rFonts w:ascii="Arial" w:eastAsia="Arial" w:hAnsi="Arial" w:cs="Arial"/>
      <w:b/>
      <w:bCs/>
      <w:sz w:val="20"/>
      <w:szCs w:val="20"/>
      <w:lang w:bidi="en-US"/>
    </w:rPr>
  </w:style>
  <w:style w:type="character" w:styleId="Hyperlink">
    <w:name w:val="Hyperlink"/>
    <w:basedOn w:val="DefaultParagraphFont"/>
    <w:uiPriority w:val="99"/>
    <w:unhideWhenUsed/>
    <w:rsid w:val="000F7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9/general-schedule-gs-salary-calcul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hyperlink" Target="https://www.faa.gov/regulations_policies/rulemaking/committees/documents/index.cfm/committee/browse/committeeID/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faa.gov/regulations_policies/rulemaking/committees/documents/index.cfm/committee/browse/committeeID/717" TargetMode="External"/><Relationship Id="rId5" Type="http://schemas.openxmlformats.org/officeDocument/2006/relationships/hyperlink" Target="https://data.bls.gov/oes/%23/home" TargetMode="External"/><Relationship Id="rId10" Type="http://schemas.openxmlformats.org/officeDocument/2006/relationships/hyperlink" Target="https://www.whitehouse.gov/sites/whitehouse.gov/files/omb/memoranda/2008/m08-13.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2019/general-schedule-gs-salary-calcul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Jeffrey, Andrew (FAA)</cp:lastModifiedBy>
  <cp:revision>4</cp:revision>
  <dcterms:created xsi:type="dcterms:W3CDTF">2020-11-04T19:07:00Z</dcterms:created>
  <dcterms:modified xsi:type="dcterms:W3CDTF">2020-11-04T20:31:00Z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Acrobat PDFMaker 15 for Word</vt:lpwstr>
  </property>
  <property fmtid="{D5CDD505-2E9C-101B-9397-08002B2CF9AE}" pid="4" name="LastSaved">
    <vt:filetime>2020-06-25T00:00:00Z</vt:filetime>
  </property>
</Properties>
</file>