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20334AAE" w14:textId="6CE137B2">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320591">
        <w:rPr>
          <w:rFonts w:ascii="Times New Roman" w:hAnsi="Times New Roman"/>
          <w:szCs w:val="24"/>
        </w:rPr>
        <w:t>1840</w:t>
      </w:r>
      <w:r w:rsidRPr="00C875E8">
        <w:rPr>
          <w:rFonts w:ascii="Times New Roman" w:hAnsi="Times New Roman"/>
          <w:szCs w:val="24"/>
        </w:rPr>
        <w:t>-</w:t>
      </w:r>
      <w:r w:rsidR="00320591">
        <w:rPr>
          <w:rFonts w:ascii="Times New Roman" w:hAnsi="Times New Roman"/>
          <w:szCs w:val="24"/>
        </w:rPr>
        <w:t>0807</w:t>
      </w:r>
    </w:p>
    <w:p w:rsidRPr="00AD381B" w:rsidR="00EA1767" w:rsidP="006B4172" w:rsidRDefault="00EA1767" w14:paraId="6AC4BB7E"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Pr="00AD381B" w:rsidR="00043C32" w:rsidP="00AD381B" w:rsidRDefault="00043C32" w14:paraId="1859B927" w14:textId="77777777">
      <w:pPr>
        <w:pStyle w:val="Heading1"/>
        <w:rPr>
          <w:sz w:val="24"/>
          <w:szCs w:val="24"/>
        </w:rPr>
      </w:pPr>
      <w:r w:rsidRPr="00AD381B">
        <w:rPr>
          <w:sz w:val="24"/>
          <w:szCs w:val="24"/>
        </w:rPr>
        <w:t>SUPPORTING STATEMENT</w:t>
      </w:r>
    </w:p>
    <w:p w:rsidRPr="00AD381B" w:rsidR="00043C32" w:rsidP="00AD381B" w:rsidRDefault="00043C32" w14:paraId="4520C1B1" w14:textId="77777777">
      <w:pPr>
        <w:pStyle w:val="Heading1"/>
        <w:rPr>
          <w:sz w:val="24"/>
          <w:szCs w:val="24"/>
        </w:rPr>
      </w:pPr>
      <w:r w:rsidRPr="00AD381B">
        <w:rPr>
          <w:sz w:val="24"/>
          <w:szCs w:val="24"/>
        </w:rPr>
        <w:t>FOR PAPERWORK REDUCTION ACT SUBMISSION</w:t>
      </w:r>
    </w:p>
    <w:p w:rsidRPr="00AD381B" w:rsidR="00043C32" w:rsidP="00AD381B" w:rsidRDefault="00043C32" w14:paraId="14B389CE" w14:textId="77777777">
      <w:pPr>
        <w:tabs>
          <w:tab w:val="left" w:pos="0"/>
        </w:tabs>
        <w:suppressAutoHyphens/>
        <w:rPr>
          <w:rFonts w:ascii="Times New Roman" w:hAnsi="Times New Roman"/>
          <w:szCs w:val="24"/>
        </w:rPr>
      </w:pPr>
    </w:p>
    <w:p w:rsidRPr="00AD381B" w:rsidR="00EA1767" w:rsidP="00AD381B" w:rsidRDefault="00043C32" w14:paraId="46BA69E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787D49A9" w14:textId="77777777">
      <w:pPr>
        <w:pStyle w:val="ListParagraph"/>
        <w:suppressAutoHyphens/>
        <w:spacing w:line="240" w:lineRule="exact"/>
        <w:rPr>
          <w:rFonts w:ascii="Times New Roman" w:hAnsi="Times New Roman"/>
          <w:szCs w:val="24"/>
        </w:rPr>
      </w:pPr>
    </w:p>
    <w:p w:rsidR="00320591" w:rsidP="00320591" w:rsidRDefault="00320591" w14:paraId="3F9AB1D0" w14:textId="77777777">
      <w:pPr>
        <w:pStyle w:val="ListParagraph"/>
        <w:contextualSpacing w:val="0"/>
        <w:rPr>
          <w:rFonts w:ascii="Times New Roman" w:hAnsi="Times New Roman"/>
          <w:szCs w:val="24"/>
        </w:rPr>
      </w:pPr>
      <w:r w:rsidRPr="00535626">
        <w:rPr>
          <w:rFonts w:ascii="Times New Roman" w:hAnsi="Times New Roman"/>
          <w:szCs w:val="24"/>
        </w:rPr>
        <w:t>Th</w:t>
      </w:r>
      <w:r>
        <w:rPr>
          <w:rFonts w:ascii="Times New Roman" w:hAnsi="Times New Roman"/>
          <w:szCs w:val="24"/>
        </w:rPr>
        <w:t xml:space="preserve">is information collection (OMB 1840-0807) includes application instructions and forms for the National Resource Centers (NRC) Program (CFDA Number 84.015A) and the Foreign Language and Area Studies (FLAS) Fellowships Program (CFDA Number 84.015B), </w:t>
      </w:r>
      <w:r w:rsidRPr="00535626">
        <w:rPr>
          <w:rFonts w:ascii="Times New Roman" w:hAnsi="Times New Roman"/>
          <w:szCs w:val="24"/>
        </w:rPr>
        <w:t>authorized under Title VI of the Higher Education Act of 1965, as amended (20 U.S.C. Section 11</w:t>
      </w:r>
      <w:r>
        <w:rPr>
          <w:rFonts w:ascii="Times New Roman" w:hAnsi="Times New Roman"/>
          <w:szCs w:val="24"/>
        </w:rPr>
        <w:t>22</w:t>
      </w:r>
      <w:r w:rsidRPr="00535626">
        <w:rPr>
          <w:rFonts w:ascii="Times New Roman" w:hAnsi="Times New Roman"/>
          <w:szCs w:val="24"/>
        </w:rPr>
        <w:t>).</w:t>
      </w:r>
      <w:r>
        <w:rPr>
          <w:rFonts w:ascii="Times New Roman" w:hAnsi="Times New Roman"/>
          <w:szCs w:val="24"/>
        </w:rPr>
        <w:t xml:space="preserve"> The type of collection is an extension of the </w:t>
      </w:r>
      <w:proofErr w:type="gramStart"/>
      <w:r>
        <w:rPr>
          <w:rFonts w:ascii="Times New Roman" w:hAnsi="Times New Roman"/>
          <w:szCs w:val="24"/>
        </w:rPr>
        <w:t>previously-approved</w:t>
      </w:r>
      <w:proofErr w:type="gramEnd"/>
      <w:r>
        <w:rPr>
          <w:rFonts w:ascii="Times New Roman" w:hAnsi="Times New Roman"/>
          <w:szCs w:val="24"/>
        </w:rPr>
        <w:t xml:space="preserve"> information collection (application). </w:t>
      </w:r>
    </w:p>
    <w:p w:rsidR="00320591" w:rsidP="00320591" w:rsidRDefault="00320591" w14:paraId="2CA45AA5" w14:textId="77777777">
      <w:pPr>
        <w:pStyle w:val="ListParagraph"/>
        <w:contextualSpacing w:val="0"/>
        <w:rPr>
          <w:rFonts w:ascii="Times New Roman" w:hAnsi="Times New Roman"/>
          <w:szCs w:val="24"/>
        </w:rPr>
      </w:pPr>
    </w:p>
    <w:p w:rsidR="00320591" w:rsidP="00320591" w:rsidRDefault="00320591" w14:paraId="38363CDD" w14:textId="77777777">
      <w:pPr>
        <w:pStyle w:val="ListParagraph"/>
        <w:contextualSpacing w:val="0"/>
        <w:rPr>
          <w:rFonts w:ascii="Times New Roman" w:hAnsi="Times New Roman"/>
          <w:szCs w:val="24"/>
        </w:rPr>
      </w:pPr>
      <w:r>
        <w:rPr>
          <w:rFonts w:ascii="Times New Roman" w:hAnsi="Times New Roman"/>
          <w:szCs w:val="24"/>
        </w:rPr>
        <w:t xml:space="preserve">The NRC Program provides grants to institutions of higher education (IHE) or consortia of IHEs to establish, strengthen, and operate comprehensive and undergraduate foreign language and area or international studies centers. These centers serve as centers of excellence for world language training and teaching, research, and instruction in fields needed to provide full understanding of areas, regions, or countries where the languages are commonly used. </w:t>
      </w:r>
    </w:p>
    <w:p w:rsidR="00320591" w:rsidP="00320591" w:rsidRDefault="00320591" w14:paraId="13C9CAB9" w14:textId="77777777">
      <w:pPr>
        <w:pStyle w:val="ListParagraph"/>
        <w:contextualSpacing w:val="0"/>
        <w:rPr>
          <w:rFonts w:ascii="Times New Roman" w:hAnsi="Times New Roman"/>
          <w:szCs w:val="24"/>
        </w:rPr>
      </w:pPr>
    </w:p>
    <w:p w:rsidR="00320591" w:rsidP="00320591" w:rsidRDefault="00320591" w14:paraId="3F72C5EB" w14:textId="77777777">
      <w:pPr>
        <w:pStyle w:val="ListParagraph"/>
        <w:contextualSpacing w:val="0"/>
        <w:rPr>
          <w:rFonts w:ascii="Times New Roman" w:hAnsi="Times New Roman" w:cs="Arial"/>
        </w:rPr>
      </w:pPr>
      <w:r>
        <w:rPr>
          <w:rFonts w:ascii="Times New Roman" w:hAnsi="Times New Roman" w:cs="Arial"/>
        </w:rPr>
        <w:t xml:space="preserve">The FLAS Fellowship Program awards allocations of fellowships, through institutions of higher education, to meritorious students enrolled in programs that offer performance-based instruction in world languages in combination with area studies, international studies, or the international aspects of professional studies.  </w:t>
      </w:r>
    </w:p>
    <w:p w:rsidR="00320591" w:rsidP="00320591" w:rsidRDefault="00320591" w14:paraId="311F9061" w14:textId="77777777">
      <w:pPr>
        <w:pStyle w:val="ListParagraph"/>
        <w:contextualSpacing w:val="0"/>
        <w:rPr>
          <w:rFonts w:ascii="Times New Roman" w:hAnsi="Times New Roman" w:cs="Arial"/>
        </w:rPr>
      </w:pPr>
    </w:p>
    <w:p w:rsidR="00320591" w:rsidP="00320591" w:rsidRDefault="00320591" w14:paraId="22F2A212" w14:textId="77777777">
      <w:pPr>
        <w:pStyle w:val="ListParagraph"/>
        <w:contextualSpacing w:val="0"/>
        <w:rPr>
          <w:rFonts w:ascii="Times New Roman" w:hAnsi="Times New Roman"/>
          <w:szCs w:val="24"/>
        </w:rPr>
      </w:pPr>
      <w:r>
        <w:rPr>
          <w:rFonts w:ascii="Times New Roman" w:hAnsi="Times New Roman"/>
          <w:szCs w:val="24"/>
        </w:rPr>
        <w:t xml:space="preserve">Together, these programs respond to the ongoing national need for individuals with expertise and competence in world languages and area or international studies; advance national security by developing a pipeline of highly proficient linguists and experts in critical world regions; and contribute to developing a globally competent workforce able to engage with a multilingual/multicultural clientele at home and abroad. </w:t>
      </w:r>
    </w:p>
    <w:p w:rsidR="00320591" w:rsidP="00320591" w:rsidRDefault="00320591" w14:paraId="5140554B" w14:textId="77777777">
      <w:pPr>
        <w:pStyle w:val="ListParagraph"/>
        <w:contextualSpacing w:val="0"/>
        <w:rPr>
          <w:rFonts w:ascii="Times New Roman" w:hAnsi="Times New Roman"/>
          <w:szCs w:val="24"/>
        </w:rPr>
      </w:pPr>
    </w:p>
    <w:p w:rsidR="00320591" w:rsidP="00320591" w:rsidRDefault="00320591" w14:paraId="2C150666" w14:textId="193D707E">
      <w:pPr>
        <w:pStyle w:val="ListParagraph"/>
        <w:contextualSpacing w:val="0"/>
        <w:rPr>
          <w:rFonts w:ascii="Times New Roman" w:hAnsi="Times New Roman"/>
          <w:szCs w:val="24"/>
        </w:rPr>
      </w:pPr>
      <w:r>
        <w:rPr>
          <w:rFonts w:ascii="Times New Roman" w:hAnsi="Times New Roman"/>
          <w:szCs w:val="24"/>
        </w:rPr>
        <w:t xml:space="preserve">Approval of this collection is necessary in order to conduct fiscal year (FY) 2022 program competitions.  </w:t>
      </w:r>
    </w:p>
    <w:p w:rsidR="00320591" w:rsidP="00320591" w:rsidRDefault="00320591" w14:paraId="3DA33CF7" w14:textId="77777777">
      <w:pPr>
        <w:pStyle w:val="ListParagraph"/>
        <w:contextualSpacing w:val="0"/>
        <w:rPr>
          <w:rFonts w:ascii="Times New Roman" w:hAnsi="Times New Roman"/>
          <w:szCs w:val="24"/>
        </w:rPr>
      </w:pPr>
    </w:p>
    <w:p w:rsidR="00320591" w:rsidP="00320591" w:rsidRDefault="00320591" w14:paraId="3A669544" w14:textId="2E3CA947">
      <w:pPr>
        <w:pStyle w:val="ListParagraph"/>
        <w:contextualSpacing w:val="0"/>
        <w:rPr>
          <w:rFonts w:ascii="Times New Roman" w:hAnsi="Times New Roman"/>
          <w:szCs w:val="24"/>
        </w:rPr>
      </w:pPr>
      <w:r>
        <w:rPr>
          <w:rFonts w:ascii="Times New Roman" w:hAnsi="Times New Roman"/>
          <w:szCs w:val="24"/>
        </w:rPr>
        <w:t>No rulemaking is involved.</w:t>
      </w:r>
    </w:p>
    <w:p w:rsidR="00320591" w:rsidP="00320591" w:rsidRDefault="00320591" w14:paraId="0C791AC3" w14:textId="77777777">
      <w:pPr>
        <w:pStyle w:val="ListParagraph"/>
        <w:contextualSpacing w:val="0"/>
        <w:rPr>
          <w:rFonts w:ascii="Times New Roman" w:hAnsi="Times New Roman"/>
          <w:szCs w:val="24"/>
        </w:rPr>
      </w:pPr>
    </w:p>
    <w:p w:rsidR="00320591" w:rsidP="00320591" w:rsidRDefault="00320591" w14:paraId="1D046224" w14:textId="77777777">
      <w:pPr>
        <w:pStyle w:val="ListParagraph"/>
        <w:spacing w:after="720" w:line="240" w:lineRule="exact"/>
        <w:rPr>
          <w:rFonts w:ascii="Times New Roman" w:hAnsi="Times New Roman"/>
          <w:szCs w:val="24"/>
        </w:rPr>
      </w:pPr>
      <w:r>
        <w:rPr>
          <w:rFonts w:ascii="Times New Roman" w:hAnsi="Times New Roman"/>
          <w:szCs w:val="24"/>
        </w:rPr>
        <w:t>The legislation and program regulations for the NRC and FLAS Programs may be viewed at:</w:t>
      </w:r>
    </w:p>
    <w:p w:rsidR="00320591" w:rsidP="00320591" w:rsidRDefault="00320591" w14:paraId="4C35B480" w14:textId="77777777">
      <w:pPr>
        <w:pStyle w:val="ListParagraph"/>
        <w:spacing w:after="720" w:line="240" w:lineRule="exact"/>
        <w:rPr>
          <w:rFonts w:ascii="Times New Roman" w:hAnsi="Times New Roman"/>
          <w:szCs w:val="24"/>
        </w:rPr>
      </w:pPr>
    </w:p>
    <w:p w:rsidR="00320591" w:rsidP="00320591" w:rsidRDefault="002A6454" w14:paraId="435A7FE5" w14:textId="77777777">
      <w:pPr>
        <w:pStyle w:val="ListParagraph"/>
        <w:spacing w:after="720" w:line="240" w:lineRule="exact"/>
        <w:ind w:firstLine="720"/>
        <w:rPr>
          <w:rFonts w:ascii="Times New Roman" w:hAnsi="Times New Roman"/>
          <w:szCs w:val="24"/>
        </w:rPr>
      </w:pPr>
      <w:hyperlink w:history="1" r:id="rId11">
        <w:r w:rsidRPr="001807DC" w:rsidR="00320591">
          <w:rPr>
            <w:rStyle w:val="Hyperlink"/>
            <w:rFonts w:ascii="Times New Roman" w:hAnsi="Times New Roman"/>
            <w:szCs w:val="24"/>
          </w:rPr>
          <w:t>https://www2.ed.gov/programs/iegpsnrc/legislation.html</w:t>
        </w:r>
      </w:hyperlink>
    </w:p>
    <w:p w:rsidR="00320591" w:rsidP="00320591" w:rsidRDefault="002A6454" w14:paraId="6F82CDA5" w14:textId="7F45EDFC">
      <w:pPr>
        <w:pStyle w:val="ListParagraph"/>
        <w:spacing w:after="720" w:line="240" w:lineRule="exact"/>
        <w:ind w:firstLine="720"/>
        <w:rPr>
          <w:rFonts w:ascii="Times New Roman" w:hAnsi="Times New Roman"/>
          <w:szCs w:val="24"/>
        </w:rPr>
      </w:pPr>
      <w:hyperlink w:history="1" r:id="rId12">
        <w:r w:rsidRPr="001E7413" w:rsidR="00320591">
          <w:rPr>
            <w:rStyle w:val="Hyperlink"/>
            <w:rFonts w:ascii="Times New Roman" w:hAnsi="Times New Roman"/>
            <w:szCs w:val="24"/>
          </w:rPr>
          <w:t>https://www2.ed.gov/programs/iegpsflasf/legislation.html</w:t>
        </w:r>
      </w:hyperlink>
      <w:r w:rsidR="00320591">
        <w:rPr>
          <w:rFonts w:ascii="Times New Roman" w:hAnsi="Times New Roman"/>
          <w:szCs w:val="24"/>
        </w:rPr>
        <w:t xml:space="preserve"> </w:t>
      </w:r>
    </w:p>
    <w:p w:rsidR="00320591" w:rsidP="00320591" w:rsidRDefault="00320591" w14:paraId="38C7D5B5" w14:textId="77777777">
      <w:pPr>
        <w:pStyle w:val="ListParagraph"/>
        <w:spacing w:after="720" w:line="240" w:lineRule="exact"/>
        <w:ind w:firstLine="720"/>
        <w:rPr>
          <w:rFonts w:ascii="Times New Roman" w:hAnsi="Times New Roman"/>
          <w:szCs w:val="24"/>
        </w:rPr>
      </w:pPr>
    </w:p>
    <w:p w:rsidR="00320591" w:rsidP="00320591" w:rsidRDefault="00320591" w14:paraId="0818163A" w14:textId="77777777">
      <w:pPr>
        <w:pStyle w:val="ListParagraph"/>
        <w:spacing w:after="720" w:line="240" w:lineRule="exact"/>
        <w:ind w:firstLine="720"/>
        <w:rPr>
          <w:rFonts w:ascii="Times New Roman" w:hAnsi="Times New Roman"/>
          <w:szCs w:val="24"/>
        </w:rPr>
      </w:pPr>
      <w:r>
        <w:rPr>
          <w:rFonts w:ascii="Times New Roman" w:hAnsi="Times New Roman"/>
          <w:szCs w:val="24"/>
        </w:rPr>
        <w:t>Additional regulations that are applicable to this collection include the Government Performance and Results Act, section 427 of the General Education Provisions Act, the Government Paperwork Elimination Act, and the Education Department General Administrative Regulations.</w:t>
      </w:r>
      <w:r>
        <w:rPr>
          <w:rFonts w:ascii="Times New Roman" w:hAnsi="Times New Roman"/>
          <w:szCs w:val="24"/>
        </w:rPr>
        <w:sym w:font="Symbol" w:char="F02D"/>
      </w:r>
    </w:p>
    <w:p w:rsidR="00320591" w:rsidP="00320591" w:rsidRDefault="00320591" w14:paraId="1F196D0A" w14:textId="77777777">
      <w:pPr>
        <w:pStyle w:val="ListParagraph"/>
        <w:spacing w:after="720" w:line="240" w:lineRule="exact"/>
        <w:ind w:firstLine="720"/>
        <w:rPr>
          <w:rFonts w:ascii="Times New Roman" w:hAnsi="Times New Roman"/>
          <w:szCs w:val="24"/>
        </w:rPr>
      </w:pPr>
    </w:p>
    <w:p w:rsidR="00320591" w:rsidP="00320591" w:rsidRDefault="00320591" w14:paraId="2D78D46D" w14:textId="77777777">
      <w:pPr>
        <w:pStyle w:val="ListParagraph"/>
        <w:numPr>
          <w:ilvl w:val="0"/>
          <w:numId w:val="6"/>
        </w:numPr>
        <w:spacing w:after="720" w:line="240" w:lineRule="exact"/>
        <w:rPr>
          <w:rFonts w:ascii="Times New Roman" w:hAnsi="Times New Roman"/>
          <w:szCs w:val="24"/>
        </w:rPr>
      </w:pPr>
      <w:r>
        <w:rPr>
          <w:rFonts w:ascii="Times New Roman" w:hAnsi="Times New Roman"/>
          <w:szCs w:val="24"/>
        </w:rPr>
        <w:t xml:space="preserve">Government Performance and Results Act </w:t>
      </w:r>
    </w:p>
    <w:p w:rsidR="00320591" w:rsidP="00320591" w:rsidRDefault="002A6454" w14:paraId="5DC964B8" w14:textId="073A1631">
      <w:pPr>
        <w:pStyle w:val="ListParagraph"/>
        <w:spacing w:after="720" w:line="240" w:lineRule="exact"/>
        <w:ind w:left="1500"/>
        <w:rPr>
          <w:rFonts w:ascii="Times New Roman" w:hAnsi="Times New Roman"/>
          <w:szCs w:val="24"/>
        </w:rPr>
      </w:pPr>
      <w:hyperlink w:history="1" r:id="rId13">
        <w:r w:rsidRPr="001E7413" w:rsidR="00354208">
          <w:rPr>
            <w:rStyle w:val="Hyperlink"/>
            <w:rFonts w:ascii="Times New Roman" w:hAnsi="Times New Roman"/>
            <w:szCs w:val="24"/>
          </w:rPr>
          <w:t>https://www.congress.gov/bill/103rd-congress/senate-bill/00020</w:t>
        </w:r>
      </w:hyperlink>
      <w:r w:rsidR="00354208">
        <w:rPr>
          <w:rFonts w:ascii="Times New Roman" w:hAnsi="Times New Roman"/>
          <w:szCs w:val="24"/>
        </w:rPr>
        <w:t xml:space="preserve"> </w:t>
      </w:r>
      <w:r w:rsidR="00354208">
        <w:rPr>
          <w:rFonts w:ascii="Times New Roman" w:hAnsi="Times New Roman"/>
          <w:szCs w:val="24"/>
        </w:rPr>
        <w:br/>
      </w:r>
      <w:hyperlink w:history="1" r:id="rId14">
        <w:r w:rsidRPr="001E7413" w:rsidR="00354208">
          <w:rPr>
            <w:rStyle w:val="Hyperlink"/>
            <w:rFonts w:ascii="Times New Roman" w:hAnsi="Times New Roman"/>
            <w:szCs w:val="24"/>
          </w:rPr>
          <w:t>https://www.congress.gov/111/plaws/publ352/PLAW-111publ352.pdf</w:t>
        </w:r>
      </w:hyperlink>
      <w:r w:rsidR="00354208">
        <w:rPr>
          <w:rFonts w:ascii="Times New Roman" w:hAnsi="Times New Roman"/>
          <w:szCs w:val="24"/>
        </w:rPr>
        <w:t xml:space="preserve"> </w:t>
      </w:r>
    </w:p>
    <w:p w:rsidR="00354208" w:rsidP="00320591" w:rsidRDefault="00354208" w14:paraId="2DD0B947" w14:textId="77777777">
      <w:pPr>
        <w:pStyle w:val="ListParagraph"/>
        <w:spacing w:after="720" w:line="240" w:lineRule="exact"/>
        <w:ind w:left="1500"/>
        <w:rPr>
          <w:rFonts w:ascii="Times New Roman" w:hAnsi="Times New Roman"/>
          <w:szCs w:val="24"/>
        </w:rPr>
      </w:pPr>
    </w:p>
    <w:p w:rsidR="00320591" w:rsidP="00320591" w:rsidRDefault="00320591" w14:paraId="1229DEA8" w14:textId="77777777">
      <w:pPr>
        <w:pStyle w:val="ListParagraph"/>
        <w:numPr>
          <w:ilvl w:val="0"/>
          <w:numId w:val="6"/>
        </w:numPr>
        <w:spacing w:after="720" w:line="240" w:lineRule="exact"/>
        <w:rPr>
          <w:rFonts w:ascii="Times New Roman" w:hAnsi="Times New Roman"/>
          <w:szCs w:val="24"/>
        </w:rPr>
      </w:pPr>
      <w:r>
        <w:rPr>
          <w:rFonts w:ascii="Times New Roman" w:hAnsi="Times New Roman"/>
          <w:szCs w:val="24"/>
        </w:rPr>
        <w:t>Section 427 of the General Provisions Act</w:t>
      </w:r>
    </w:p>
    <w:p w:rsidR="00320591" w:rsidP="00320591" w:rsidRDefault="002A6454" w14:paraId="67747D8A" w14:textId="1DEEF2B9">
      <w:pPr>
        <w:pStyle w:val="ListParagraph"/>
        <w:spacing w:after="720" w:line="240" w:lineRule="exact"/>
        <w:ind w:left="1500"/>
        <w:rPr>
          <w:rFonts w:ascii="Times New Roman" w:hAnsi="Times New Roman"/>
          <w:szCs w:val="24"/>
        </w:rPr>
      </w:pPr>
      <w:hyperlink w:history="1" r:id="rId15">
        <w:r w:rsidRPr="001E7413" w:rsidR="00354208">
          <w:rPr>
            <w:rStyle w:val="Hyperlink"/>
            <w:rFonts w:ascii="Times New Roman" w:hAnsi="Times New Roman"/>
            <w:szCs w:val="24"/>
          </w:rPr>
          <w:t>https://sites.ed.gov/idea/files/Grants-General-Education-Provisions-Act-Section-427.pdf</w:t>
        </w:r>
      </w:hyperlink>
      <w:r w:rsidR="00354208">
        <w:rPr>
          <w:rFonts w:ascii="Times New Roman" w:hAnsi="Times New Roman"/>
          <w:szCs w:val="24"/>
        </w:rPr>
        <w:t xml:space="preserve"> </w:t>
      </w:r>
    </w:p>
    <w:p w:rsidR="00354208" w:rsidP="00320591" w:rsidRDefault="00354208" w14:paraId="72E268AA" w14:textId="77777777">
      <w:pPr>
        <w:pStyle w:val="ListParagraph"/>
        <w:spacing w:after="720" w:line="240" w:lineRule="exact"/>
        <w:ind w:left="1500"/>
        <w:rPr>
          <w:rFonts w:ascii="Times New Roman" w:hAnsi="Times New Roman"/>
          <w:szCs w:val="24"/>
        </w:rPr>
      </w:pPr>
    </w:p>
    <w:p w:rsidR="00320591" w:rsidP="00320591" w:rsidRDefault="00320591" w14:paraId="7B010832" w14:textId="77777777">
      <w:pPr>
        <w:pStyle w:val="ListParagraph"/>
        <w:numPr>
          <w:ilvl w:val="0"/>
          <w:numId w:val="6"/>
        </w:numPr>
        <w:spacing w:after="720" w:line="240" w:lineRule="exact"/>
        <w:rPr>
          <w:rFonts w:ascii="Times New Roman" w:hAnsi="Times New Roman"/>
          <w:szCs w:val="24"/>
        </w:rPr>
      </w:pPr>
      <w:r>
        <w:rPr>
          <w:rFonts w:ascii="Times New Roman" w:hAnsi="Times New Roman"/>
          <w:szCs w:val="24"/>
        </w:rPr>
        <w:t>Government Paperwork Elimination Act</w:t>
      </w:r>
    </w:p>
    <w:p w:rsidR="00320591" w:rsidP="00320591" w:rsidRDefault="002A6454" w14:paraId="71A46A09" w14:textId="77777777">
      <w:pPr>
        <w:pStyle w:val="ListParagraph"/>
        <w:spacing w:after="720" w:line="240" w:lineRule="exact"/>
        <w:ind w:left="1500"/>
        <w:rPr>
          <w:rFonts w:ascii="Times New Roman" w:hAnsi="Times New Roman"/>
          <w:szCs w:val="24"/>
        </w:rPr>
      </w:pPr>
      <w:hyperlink w:history="1" r:id="rId16">
        <w:r w:rsidRPr="00955783" w:rsidR="00320591">
          <w:rPr>
            <w:rStyle w:val="Hyperlink"/>
            <w:rFonts w:ascii="Times New Roman" w:hAnsi="Times New Roman"/>
            <w:szCs w:val="24"/>
          </w:rPr>
          <w:t>http://www2.ed.gov/policy/gen/leg/gpea/index.html</w:t>
        </w:r>
      </w:hyperlink>
    </w:p>
    <w:p w:rsidR="00320591" w:rsidP="00320591" w:rsidRDefault="00320591" w14:paraId="4B84CF7C" w14:textId="77777777">
      <w:pPr>
        <w:pStyle w:val="ListParagraph"/>
        <w:spacing w:after="720" w:line="240" w:lineRule="exact"/>
        <w:ind w:left="1500"/>
        <w:rPr>
          <w:rFonts w:ascii="Times New Roman" w:hAnsi="Times New Roman"/>
          <w:szCs w:val="24"/>
        </w:rPr>
      </w:pPr>
    </w:p>
    <w:p w:rsidR="00320591" w:rsidP="00320591" w:rsidRDefault="00320591" w14:paraId="41189765" w14:textId="77777777">
      <w:pPr>
        <w:pStyle w:val="ListParagraph"/>
        <w:numPr>
          <w:ilvl w:val="0"/>
          <w:numId w:val="6"/>
        </w:numPr>
        <w:spacing w:after="720" w:line="240" w:lineRule="exact"/>
        <w:rPr>
          <w:rFonts w:ascii="Times New Roman" w:hAnsi="Times New Roman"/>
          <w:szCs w:val="24"/>
        </w:rPr>
      </w:pPr>
      <w:r>
        <w:rPr>
          <w:rFonts w:ascii="Times New Roman" w:hAnsi="Times New Roman"/>
          <w:szCs w:val="24"/>
        </w:rPr>
        <w:t>Education Department General Administrative Regulations</w:t>
      </w:r>
    </w:p>
    <w:p w:rsidR="00320591" w:rsidP="00320591" w:rsidRDefault="002A6454" w14:paraId="6774E53D" w14:textId="77777777">
      <w:pPr>
        <w:pStyle w:val="ListParagraph"/>
        <w:spacing w:after="720" w:line="240" w:lineRule="exact"/>
        <w:ind w:left="1500"/>
        <w:rPr>
          <w:rFonts w:ascii="Times New Roman" w:hAnsi="Times New Roman"/>
          <w:szCs w:val="24"/>
        </w:rPr>
      </w:pPr>
      <w:hyperlink w:history="1" r:id="rId17">
        <w:r w:rsidRPr="00573142" w:rsidR="00320591">
          <w:rPr>
            <w:rStyle w:val="Hyperlink"/>
            <w:rFonts w:ascii="Times New Roman" w:hAnsi="Times New Roman"/>
            <w:szCs w:val="24"/>
          </w:rPr>
          <w:t>http://www2.ed.gov/policy/fund/reg/edgarReg/edgar.html</w:t>
        </w:r>
      </w:hyperlink>
    </w:p>
    <w:p w:rsidRPr="00AD381B" w:rsidR="00AD381B" w:rsidP="00AD381B" w:rsidRDefault="00AD381B" w14:paraId="797FBF91" w14:textId="77777777">
      <w:pPr>
        <w:pStyle w:val="ListParagraph"/>
        <w:suppressAutoHyphens/>
        <w:spacing w:line="240" w:lineRule="exact"/>
        <w:contextualSpacing w:val="0"/>
        <w:rPr>
          <w:rFonts w:ascii="Times New Roman" w:hAnsi="Times New Roman"/>
          <w:szCs w:val="24"/>
        </w:rPr>
      </w:pPr>
    </w:p>
    <w:p w:rsidRPr="00354208" w:rsidR="00AD381B" w:rsidP="00AD381B" w:rsidRDefault="00043C32" w14:paraId="34E52286" w14:textId="3D69A791">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354208" w:rsidP="00354208" w:rsidRDefault="00354208" w14:paraId="194E3FD1" w14:textId="253992AB">
      <w:pPr>
        <w:suppressAutoHyphens/>
        <w:spacing w:line="240" w:lineRule="exact"/>
        <w:rPr>
          <w:rFonts w:ascii="Times New Roman" w:hAnsi="Times New Roman"/>
          <w:szCs w:val="24"/>
        </w:rPr>
      </w:pPr>
    </w:p>
    <w:p w:rsidR="00354208" w:rsidP="00354208" w:rsidRDefault="00354208" w14:paraId="56BD8A6F" w14:textId="6D6CB98C">
      <w:pPr>
        <w:pStyle w:val="ListParagraph"/>
        <w:tabs>
          <w:tab w:val="left" w:pos="-720"/>
        </w:tabs>
        <w:suppressAutoHyphens/>
        <w:contextualSpacing w:val="0"/>
        <w:rPr>
          <w:rFonts w:ascii="Times New Roman" w:hAnsi="Times New Roman"/>
          <w:szCs w:val="24"/>
        </w:rPr>
      </w:pPr>
      <w:r>
        <w:rPr>
          <w:rFonts w:ascii="Times New Roman" w:hAnsi="Times New Roman"/>
          <w:szCs w:val="24"/>
        </w:rPr>
        <w:t>Eligible institutions of higher education use the approved information collection to prepare and submit grant applications in response to the notice inviting applications. Peer review panels use the selection criteria in the information collection to evaluate applications. Department officials take the peer reviewers evaluations into consideration when making funding recommendations.</w:t>
      </w:r>
      <w:r w:rsidR="00C31B98">
        <w:rPr>
          <w:rFonts w:ascii="Times New Roman" w:hAnsi="Times New Roman"/>
          <w:szCs w:val="24"/>
        </w:rPr>
        <w:t xml:space="preserve"> </w:t>
      </w:r>
      <w:r>
        <w:rPr>
          <w:rFonts w:ascii="Times New Roman" w:hAnsi="Times New Roman"/>
          <w:szCs w:val="24"/>
        </w:rPr>
        <w:t>The information will also be used as a basis for project monitoring and performance reporting, among other grant administration activities.</w:t>
      </w:r>
    </w:p>
    <w:p w:rsidR="00354208" w:rsidP="00354208" w:rsidRDefault="00354208" w14:paraId="4074B6BD" w14:textId="77777777">
      <w:pPr>
        <w:pStyle w:val="ListParagraph"/>
        <w:tabs>
          <w:tab w:val="left" w:pos="-720"/>
        </w:tabs>
        <w:suppressAutoHyphens/>
        <w:contextualSpacing w:val="0"/>
        <w:rPr>
          <w:rFonts w:ascii="Times New Roman" w:hAnsi="Times New Roman"/>
          <w:szCs w:val="24"/>
        </w:rPr>
      </w:pPr>
    </w:p>
    <w:p w:rsidRPr="00354208" w:rsidR="00354208" w:rsidP="00354208" w:rsidRDefault="00354208" w14:paraId="2CBC816A" w14:textId="73804604">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OPE/IFLE has used the information received for the current collection to develop technical assistance materials for grantees, such as program administration manuals and technical assistance Webinars, to inform the performance reporting requirements for these programs, and to demonstrate the impact of these programs.  </w:t>
      </w:r>
    </w:p>
    <w:p w:rsidR="00AD381B" w:rsidP="00AD381B" w:rsidRDefault="00AD381B" w14:paraId="556A4A77" w14:textId="77777777">
      <w:pPr>
        <w:suppressAutoHyphens/>
        <w:spacing w:line="240" w:lineRule="exact"/>
        <w:rPr>
          <w:rFonts w:ascii="Times New Roman" w:hAnsi="Times New Roman"/>
          <w:szCs w:val="24"/>
        </w:rPr>
      </w:pPr>
    </w:p>
    <w:p w:rsidRPr="00AD381B" w:rsidR="00043C32" w:rsidP="00AD381B" w:rsidRDefault="00043C32" w14:paraId="69B7A4A0" w14:textId="77777777">
      <w:pPr>
        <w:suppressAutoHyphens/>
        <w:spacing w:line="240" w:lineRule="exact"/>
        <w:rPr>
          <w:rFonts w:ascii="Times New Roman" w:hAnsi="Times New Roman"/>
          <w:szCs w:val="24"/>
        </w:rPr>
      </w:pPr>
    </w:p>
    <w:p w:rsidR="00043C32" w:rsidP="00AD381B" w:rsidRDefault="00043C32" w14:paraId="45336F75" w14:textId="0302EE50">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w:t>
      </w:r>
      <w:proofErr w:type="gramStart"/>
      <w:r w:rsidR="00A23F26">
        <w:rPr>
          <w:rFonts w:ascii="Times New Roman" w:hAnsi="Times New Roman"/>
          <w:b/>
          <w:szCs w:val="24"/>
        </w:rPr>
        <w:t>system</w:t>
      </w:r>
      <w:proofErr w:type="gramEnd"/>
      <w:r w:rsidR="00A23F26">
        <w:rPr>
          <w:rFonts w:ascii="Times New Roman" w:hAnsi="Times New Roman"/>
          <w:b/>
          <w:szCs w:val="24"/>
        </w:rPr>
        <w:t xml:space="preserve"> or website from paper), please explain in number 12.</w:t>
      </w:r>
    </w:p>
    <w:p w:rsidR="00354208" w:rsidP="00354208" w:rsidRDefault="00354208" w14:paraId="227D1B87" w14:textId="7D05DB4C">
      <w:pPr>
        <w:tabs>
          <w:tab w:val="left" w:pos="-720"/>
        </w:tabs>
        <w:suppressAutoHyphens/>
        <w:rPr>
          <w:rFonts w:ascii="Times New Roman" w:hAnsi="Times New Roman"/>
          <w:b/>
          <w:szCs w:val="24"/>
        </w:rPr>
      </w:pPr>
    </w:p>
    <w:p w:rsidR="00354208" w:rsidP="00354208" w:rsidRDefault="00354208" w14:paraId="6FC8EC59" w14:textId="157F4905">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The electronic submission of NRC and FLAS applications is currently not a viable option for these programs, despite our ongoing efforts to transition from a hard copy (upload </w:t>
      </w:r>
      <w:r>
        <w:rPr>
          <w:rFonts w:ascii="Times New Roman" w:hAnsi="Times New Roman"/>
          <w:szCs w:val="24"/>
        </w:rPr>
        <w:lastRenderedPageBreak/>
        <w:t>through Grants.gov) application process to a fully integrated electronic submission application process. The Department’s G5 system is not designed to support the submission and the peer review of joint NRC and FLAS applications. For FY 2022, applicants will submit applications by uploading documents through Grants.gov.</w:t>
      </w:r>
    </w:p>
    <w:p w:rsidR="00354208" w:rsidP="00354208" w:rsidRDefault="00354208" w14:paraId="0A200B92" w14:textId="77777777">
      <w:pPr>
        <w:pStyle w:val="ListParagraph"/>
        <w:tabs>
          <w:tab w:val="left" w:pos="-720"/>
        </w:tabs>
        <w:suppressAutoHyphens/>
        <w:contextualSpacing w:val="0"/>
        <w:rPr>
          <w:rFonts w:ascii="Times New Roman" w:hAnsi="Times New Roman"/>
          <w:szCs w:val="24"/>
        </w:rPr>
      </w:pPr>
    </w:p>
    <w:p w:rsidR="00AD381B" w:rsidP="00AD381B" w:rsidRDefault="00354208" w14:paraId="6147B378" w14:textId="367394CE">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We have implemented the electronic peer review of the submitted applications, however, which has greatly reduced the burden hours for evaluating applications. For FY </w:t>
      </w:r>
      <w:r w:rsidR="00C31B98">
        <w:rPr>
          <w:rFonts w:ascii="Times New Roman" w:hAnsi="Times New Roman"/>
          <w:szCs w:val="24"/>
        </w:rPr>
        <w:t>20</w:t>
      </w:r>
      <w:r>
        <w:rPr>
          <w:rFonts w:ascii="Times New Roman" w:hAnsi="Times New Roman"/>
          <w:szCs w:val="24"/>
        </w:rPr>
        <w:t>22, peer reviewers will access electronic versions of  the NRC/FLAS technical review forms via IFLE’s International Resource Information System (IRIS) site to record their scores and comments.</w:t>
      </w:r>
    </w:p>
    <w:p w:rsidR="00AD381B" w:rsidP="00AD381B" w:rsidRDefault="00AD381B" w14:paraId="16BCE5E0" w14:textId="77777777">
      <w:pPr>
        <w:pStyle w:val="ListParagraph"/>
        <w:tabs>
          <w:tab w:val="left" w:pos="-720"/>
        </w:tabs>
        <w:suppressAutoHyphens/>
        <w:contextualSpacing w:val="0"/>
        <w:rPr>
          <w:rFonts w:ascii="Times New Roman" w:hAnsi="Times New Roman"/>
          <w:szCs w:val="24"/>
        </w:rPr>
      </w:pPr>
    </w:p>
    <w:p w:rsidR="00AD381B" w:rsidP="00AD381B" w:rsidRDefault="00043C32" w14:paraId="67CB8FB3"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354208" w:rsidP="00354208" w:rsidRDefault="00354208" w14:paraId="0A04B2C8" w14:textId="77777777">
      <w:pPr>
        <w:pStyle w:val="ListParagraph"/>
        <w:tabs>
          <w:tab w:val="left" w:pos="-720"/>
        </w:tabs>
        <w:suppressAutoHyphens/>
        <w:contextualSpacing w:val="0"/>
        <w:rPr>
          <w:rFonts w:ascii="Times New Roman" w:hAnsi="Times New Roman"/>
          <w:szCs w:val="24"/>
        </w:rPr>
      </w:pPr>
    </w:p>
    <w:p w:rsidRPr="00354208" w:rsidR="00246FE9" w:rsidP="00354208" w:rsidRDefault="00354208" w14:paraId="0754B141" w14:textId="06C8EE36">
      <w:pPr>
        <w:pStyle w:val="ListParagraph"/>
        <w:tabs>
          <w:tab w:val="left" w:pos="-720"/>
        </w:tabs>
        <w:suppressAutoHyphens/>
        <w:contextualSpacing w:val="0"/>
        <w:rPr>
          <w:rFonts w:ascii="Times New Roman" w:hAnsi="Times New Roman"/>
          <w:szCs w:val="24"/>
        </w:rPr>
      </w:pPr>
      <w:r>
        <w:rPr>
          <w:rFonts w:ascii="Times New Roman" w:hAnsi="Times New Roman"/>
          <w:szCs w:val="24"/>
        </w:rPr>
        <w:t>There is no duplication of information. The information collected in this application package is otherwise unavailable.</w:t>
      </w:r>
    </w:p>
    <w:p w:rsidRPr="00354208" w:rsidR="00354208" w:rsidP="00354208" w:rsidRDefault="00043C32" w14:paraId="19AB3BC5" w14:textId="17B56B55">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00354208">
        <w:rPr>
          <w:rFonts w:ascii="Times New Roman" w:hAnsi="Times New Roman"/>
          <w:b/>
          <w:szCs w:val="24"/>
        </w:rPr>
        <w:br/>
      </w:r>
    </w:p>
    <w:p w:rsidRPr="00354208" w:rsidR="00AD381B" w:rsidP="00354208" w:rsidRDefault="00354208" w14:paraId="1DBEEED1" w14:textId="7292C72A">
      <w:pPr>
        <w:pStyle w:val="ListParagraph"/>
        <w:rPr>
          <w:rFonts w:ascii="Times New Roman" w:hAnsi="Times New Roman"/>
          <w:szCs w:val="24"/>
        </w:rPr>
      </w:pPr>
      <w:r w:rsidRPr="00354208">
        <w:rPr>
          <w:rFonts w:ascii="Times New Roman" w:hAnsi="Times New Roman"/>
          <w:szCs w:val="24"/>
        </w:rPr>
        <w:t>This collection does not impact small businesses or entities.</w:t>
      </w:r>
    </w:p>
    <w:p w:rsidR="00AD381B" w:rsidP="00AD381B" w:rsidRDefault="00AD381B" w14:paraId="40DC79FA" w14:textId="77777777">
      <w:pPr>
        <w:pStyle w:val="ListParagraph"/>
        <w:contextualSpacing w:val="0"/>
        <w:rPr>
          <w:rFonts w:ascii="Times New Roman" w:hAnsi="Times New Roman"/>
          <w:szCs w:val="24"/>
        </w:rPr>
      </w:pPr>
    </w:p>
    <w:p w:rsidR="00043C32" w:rsidP="00AD381B" w:rsidRDefault="00043C32" w14:paraId="6540528C" w14:textId="6F3E2EC9">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354208" w:rsidP="00354208" w:rsidRDefault="00354208" w14:paraId="3F95C03E" w14:textId="6EFCE1AA">
      <w:pPr>
        <w:pStyle w:val="ListParagraph"/>
        <w:tabs>
          <w:tab w:val="left" w:pos="-720"/>
        </w:tabs>
        <w:suppressAutoHyphens/>
        <w:contextualSpacing w:val="0"/>
        <w:rPr>
          <w:rFonts w:ascii="Times New Roman" w:hAnsi="Times New Roman"/>
          <w:b/>
          <w:szCs w:val="24"/>
        </w:rPr>
      </w:pPr>
    </w:p>
    <w:p w:rsidR="00354208" w:rsidP="00354208" w:rsidRDefault="00354208" w14:paraId="5F789EFA" w14:textId="77777777">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If the collection is not approved, we will not be able to conduct the competition for these programs.  </w:t>
      </w:r>
    </w:p>
    <w:p w:rsidR="00354208" w:rsidP="00354208" w:rsidRDefault="00354208" w14:paraId="3177D1EF" w14:textId="77777777">
      <w:pPr>
        <w:pStyle w:val="ListParagraph"/>
        <w:tabs>
          <w:tab w:val="left" w:pos="-720"/>
        </w:tabs>
        <w:suppressAutoHyphens/>
        <w:contextualSpacing w:val="0"/>
        <w:rPr>
          <w:rFonts w:ascii="Times New Roman" w:hAnsi="Times New Roman"/>
          <w:szCs w:val="24"/>
        </w:rPr>
      </w:pPr>
    </w:p>
    <w:p w:rsidR="00354208" w:rsidP="00354208" w:rsidRDefault="00354208" w14:paraId="5483994C" w14:textId="6E391B19">
      <w:pPr>
        <w:pStyle w:val="ListParagraph"/>
        <w:tabs>
          <w:tab w:val="left" w:pos="-720"/>
        </w:tabs>
        <w:suppressAutoHyphens/>
        <w:contextualSpacing w:val="0"/>
        <w:rPr>
          <w:rFonts w:ascii="Times New Roman" w:hAnsi="Times New Roman"/>
          <w:szCs w:val="24"/>
        </w:rPr>
      </w:pPr>
      <w:r>
        <w:rPr>
          <w:rFonts w:ascii="Times New Roman" w:hAnsi="Times New Roman"/>
          <w:szCs w:val="24"/>
        </w:rPr>
        <w:t>The information that OPE/IFLE is requesting via this information collection is as minimal as possible in order to reduce burden on applicants while simultaneously collecting what is sufficient and necessary to ensure that all grant activities are conducted successfully, and that the recommended projects are of high quality, to the greatest extent possible. Grant activities include the publication of the competition notice, technical assistance to applicants, the peer review of applications, preparation of funding slates for transmittal to ED officials for review and approval, Congressional notifications, and making the grant awards in accordance with our approved schedules.</w:t>
      </w:r>
    </w:p>
    <w:p w:rsidRPr="00354208" w:rsidR="00354208" w:rsidP="00354208" w:rsidRDefault="00354208" w14:paraId="1FD17F27" w14:textId="77777777">
      <w:pPr>
        <w:tabs>
          <w:tab w:val="left" w:pos="-720"/>
        </w:tabs>
        <w:suppressAutoHyphens/>
        <w:rPr>
          <w:rFonts w:ascii="Times New Roman" w:hAnsi="Times New Roman"/>
          <w:szCs w:val="24"/>
        </w:rPr>
      </w:pPr>
    </w:p>
    <w:p w:rsidRPr="00AD381B" w:rsidR="00043C32" w:rsidP="00AD381B" w:rsidRDefault="00043C32" w14:paraId="6FAB9FD2"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lastRenderedPageBreak/>
        <w:t>Explain any special circumstances that would cause an information collection to be conducted in a manner:</w:t>
      </w:r>
    </w:p>
    <w:p w:rsidRPr="00AD381B" w:rsidR="00043C32" w:rsidP="00AD381B" w:rsidRDefault="00043C32" w14:paraId="261F28C3" w14:textId="77777777">
      <w:pPr>
        <w:tabs>
          <w:tab w:val="left" w:pos="-720"/>
        </w:tabs>
        <w:suppressAutoHyphens/>
        <w:rPr>
          <w:rFonts w:ascii="Times New Roman" w:hAnsi="Times New Roman"/>
          <w:b/>
          <w:szCs w:val="24"/>
        </w:rPr>
      </w:pPr>
    </w:p>
    <w:p w:rsidRPr="00AD381B" w:rsidR="00043C32" w:rsidP="00AD381B" w:rsidRDefault="00043C32" w14:paraId="146B82D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7B87C001"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21DDEC4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59BD9098"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60F14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1A153DBC"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BEE225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39A7998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DB8AB0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086EC9C"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330034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53F97B47"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24FB222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5159A6A1" w14:textId="77777777">
      <w:pPr>
        <w:numPr>
          <w:ilvl w:val="12"/>
          <w:numId w:val="0"/>
        </w:numPr>
        <w:tabs>
          <w:tab w:val="left" w:pos="-720"/>
        </w:tabs>
        <w:suppressAutoHyphens/>
        <w:rPr>
          <w:rFonts w:ascii="Times New Roman" w:hAnsi="Times New Roman"/>
          <w:b/>
          <w:szCs w:val="24"/>
        </w:rPr>
      </w:pPr>
    </w:p>
    <w:p w:rsidR="00043C32" w:rsidP="00AD381B" w:rsidRDefault="00043C32" w14:paraId="775A4960" w14:textId="50A4FA13">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54208" w:rsidP="00354208" w:rsidRDefault="00354208" w14:paraId="641A8963" w14:textId="77777777">
      <w:pPr>
        <w:tabs>
          <w:tab w:val="left" w:pos="-720"/>
        </w:tabs>
        <w:suppressAutoHyphens/>
        <w:rPr>
          <w:rFonts w:ascii="Times New Roman" w:hAnsi="Times New Roman"/>
          <w:b/>
          <w:szCs w:val="24"/>
        </w:rPr>
      </w:pPr>
    </w:p>
    <w:p w:rsidRPr="00354208" w:rsidR="00AD381B" w:rsidP="00354208" w:rsidRDefault="00354208" w14:paraId="5DBDCE60" w14:textId="7776B146">
      <w:pPr>
        <w:tabs>
          <w:tab w:val="left" w:pos="-720"/>
        </w:tabs>
        <w:suppressAutoHyphens/>
        <w:ind w:left="720"/>
        <w:rPr>
          <w:rFonts w:ascii="Times New Roman" w:hAnsi="Times New Roman"/>
          <w:szCs w:val="24"/>
        </w:rPr>
      </w:pPr>
      <w:r w:rsidRPr="00354208">
        <w:rPr>
          <w:rFonts w:ascii="Times New Roman" w:hAnsi="Times New Roman"/>
          <w:szCs w:val="24"/>
        </w:rPr>
        <w:t>There are no special circumstances that require the information to be collected in the ways described.</w:t>
      </w:r>
    </w:p>
    <w:p w:rsidRPr="00AD381B" w:rsidR="00AD381B" w:rsidP="00AD381B" w:rsidRDefault="00AD381B" w14:paraId="55A3254C" w14:textId="77777777">
      <w:pPr>
        <w:tabs>
          <w:tab w:val="left" w:pos="-720"/>
        </w:tabs>
        <w:suppressAutoHyphens/>
        <w:rPr>
          <w:rFonts w:ascii="Times New Roman" w:hAnsi="Times New Roman"/>
          <w:szCs w:val="24"/>
        </w:rPr>
      </w:pPr>
    </w:p>
    <w:p w:rsidR="00D75313" w:rsidP="00AD381B" w:rsidRDefault="00043C32" w14:paraId="6EDAA814"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556EEE71"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1BBE438A"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D31BA7B"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27CBE71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546E02B3"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1B6A6B97" w14:textId="77777777">
      <w:pPr>
        <w:tabs>
          <w:tab w:val="left" w:pos="-720"/>
        </w:tabs>
        <w:suppressAutoHyphens/>
        <w:rPr>
          <w:rStyle w:val="a"/>
          <w:rFonts w:ascii="Times New Roman" w:hAnsi="Times New Roman"/>
          <w:b/>
          <w:szCs w:val="24"/>
        </w:rPr>
      </w:pPr>
    </w:p>
    <w:p w:rsidR="00043C32" w:rsidP="00AD381B" w:rsidRDefault="00043C32" w14:paraId="5CAE3C2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54208" w:rsidP="00354208" w:rsidRDefault="00354208" w14:paraId="27CF783D" w14:textId="77777777">
      <w:pPr>
        <w:tabs>
          <w:tab w:val="left" w:pos="-720"/>
        </w:tabs>
        <w:suppressAutoHyphens/>
        <w:rPr>
          <w:rStyle w:val="a"/>
          <w:rFonts w:ascii="Times New Roman" w:hAnsi="Times New Roman"/>
          <w:szCs w:val="24"/>
        </w:rPr>
      </w:pPr>
    </w:p>
    <w:p w:rsidR="00354208" w:rsidP="00354208" w:rsidRDefault="00354208" w14:paraId="5D447E9F" w14:textId="10ECD455">
      <w:pPr>
        <w:tabs>
          <w:tab w:val="left" w:pos="-720"/>
        </w:tabs>
        <w:suppressAutoHyphens/>
        <w:ind w:left="720"/>
        <w:rPr>
          <w:rStyle w:val="a"/>
          <w:rFonts w:ascii="Times New Roman" w:hAnsi="Times New Roman"/>
          <w:szCs w:val="24"/>
        </w:rPr>
      </w:pPr>
      <w:r>
        <w:rPr>
          <w:rStyle w:val="a"/>
          <w:rFonts w:ascii="Times New Roman" w:hAnsi="Times New Roman"/>
          <w:szCs w:val="24"/>
        </w:rPr>
        <w:t>The Department will publish a minimum 30-day Federal Register notice as required.</w:t>
      </w:r>
    </w:p>
    <w:p w:rsidR="00354208" w:rsidP="00354208" w:rsidRDefault="00354208" w14:paraId="27BA7806" w14:textId="77777777">
      <w:pPr>
        <w:tabs>
          <w:tab w:val="left" w:pos="-720"/>
        </w:tabs>
        <w:suppressAutoHyphens/>
        <w:ind w:left="720"/>
        <w:rPr>
          <w:rStyle w:val="a"/>
          <w:rFonts w:ascii="Times New Roman" w:hAnsi="Times New Roman"/>
          <w:szCs w:val="24"/>
        </w:rPr>
      </w:pPr>
    </w:p>
    <w:p w:rsidR="00354208" w:rsidP="00354208" w:rsidRDefault="00354208" w14:paraId="379B44FD" w14:textId="77777777">
      <w:pPr>
        <w:tabs>
          <w:tab w:val="left" w:pos="-720"/>
        </w:tabs>
        <w:suppressAutoHyphens/>
        <w:ind w:left="720"/>
        <w:rPr>
          <w:rStyle w:val="a"/>
          <w:rFonts w:ascii="Times New Roman" w:hAnsi="Times New Roman"/>
          <w:szCs w:val="24"/>
        </w:rPr>
      </w:pPr>
      <w:r>
        <w:rPr>
          <w:rStyle w:val="a"/>
          <w:rFonts w:ascii="Times New Roman" w:hAnsi="Times New Roman"/>
          <w:szCs w:val="24"/>
        </w:rPr>
        <w:t>Nine grantees were consulted by IFLE staff in an effort to collect accurate estimates of hour burden. Estimates ranged between 100 and 123 hours.</w:t>
      </w:r>
    </w:p>
    <w:p w:rsidR="00E66550" w:rsidP="00AD381B" w:rsidRDefault="00E66550" w14:paraId="00606AB7" w14:textId="77777777">
      <w:pPr>
        <w:tabs>
          <w:tab w:val="left" w:pos="-720"/>
        </w:tabs>
        <w:suppressAutoHyphens/>
        <w:ind w:left="720"/>
        <w:rPr>
          <w:rFonts w:ascii="Times New Roman" w:hAnsi="Times New Roman"/>
          <w:szCs w:val="24"/>
        </w:rPr>
      </w:pPr>
    </w:p>
    <w:p w:rsidR="00043C32" w:rsidP="00AD381B" w:rsidRDefault="00043C32" w14:paraId="0DEA9C3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C76AFA2" w14:textId="77777777">
      <w:pPr>
        <w:pStyle w:val="ListParagraph"/>
        <w:tabs>
          <w:tab w:val="left" w:pos="-720"/>
        </w:tabs>
        <w:suppressAutoHyphens/>
        <w:contextualSpacing w:val="0"/>
        <w:rPr>
          <w:rFonts w:ascii="Times New Roman" w:hAnsi="Times New Roman"/>
          <w:b/>
          <w:szCs w:val="24"/>
        </w:rPr>
      </w:pPr>
    </w:p>
    <w:p w:rsidR="00354208" w:rsidP="00354208" w:rsidRDefault="00354208" w14:paraId="08F89287" w14:textId="77777777">
      <w:pPr>
        <w:pStyle w:val="ListParagraph"/>
        <w:tabs>
          <w:tab w:val="left" w:pos="-720"/>
        </w:tabs>
        <w:suppressAutoHyphens/>
        <w:contextualSpacing w:val="0"/>
        <w:rPr>
          <w:rStyle w:val="a"/>
          <w:rFonts w:ascii="Times New Roman" w:hAnsi="Times New Roman"/>
          <w:szCs w:val="24"/>
        </w:rPr>
      </w:pPr>
      <w:r>
        <w:rPr>
          <w:rStyle w:val="a"/>
          <w:rFonts w:ascii="Times New Roman" w:hAnsi="Times New Roman"/>
          <w:szCs w:val="24"/>
        </w:rPr>
        <w:t>No payments or gifts are made to respondents.</w:t>
      </w:r>
    </w:p>
    <w:p w:rsidRPr="00920F63" w:rsidR="00920F63" w:rsidP="00920F63" w:rsidRDefault="00920F63" w14:paraId="703CCC05"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676BDD11" w14:textId="15A43670">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D75313" w:rsidR="00354208" w:rsidP="00354208" w:rsidRDefault="00354208" w14:paraId="57C9367C" w14:textId="77777777">
      <w:pPr>
        <w:pStyle w:val="ListParagraph"/>
        <w:tabs>
          <w:tab w:val="left" w:pos="-720"/>
        </w:tabs>
        <w:suppressAutoHyphens/>
        <w:contextualSpacing w:val="0"/>
        <w:rPr>
          <w:rFonts w:ascii="Times New Roman" w:hAnsi="Times New Roman"/>
          <w:b/>
          <w:szCs w:val="24"/>
        </w:rPr>
      </w:pPr>
    </w:p>
    <w:p w:rsidRPr="00354208" w:rsidR="00920F63" w:rsidP="00354208" w:rsidRDefault="00354208" w14:paraId="300CBBC1" w14:textId="4DD47185">
      <w:pPr>
        <w:tabs>
          <w:tab w:val="left" w:pos="-720"/>
        </w:tabs>
        <w:suppressAutoHyphens/>
        <w:ind w:left="720"/>
        <w:rPr>
          <w:rFonts w:ascii="Times New Roman" w:hAnsi="Times New Roman"/>
          <w:szCs w:val="24"/>
        </w:rPr>
      </w:pPr>
      <w:r w:rsidRPr="00354208">
        <w:rPr>
          <w:rFonts w:ascii="Times New Roman" w:hAnsi="Times New Roman"/>
          <w:szCs w:val="24"/>
        </w:rPr>
        <w:lastRenderedPageBreak/>
        <w:t xml:space="preserve">A </w:t>
      </w:r>
      <w:r w:rsidR="00160C0D">
        <w:rPr>
          <w:rFonts w:ascii="Times New Roman" w:hAnsi="Times New Roman"/>
          <w:szCs w:val="24"/>
        </w:rPr>
        <w:t>Privacy Impact Assessment (</w:t>
      </w:r>
      <w:r w:rsidRPr="00354208">
        <w:rPr>
          <w:rFonts w:ascii="Times New Roman" w:hAnsi="Times New Roman"/>
          <w:szCs w:val="24"/>
        </w:rPr>
        <w:t>PIA</w:t>
      </w:r>
      <w:r w:rsidR="00160C0D">
        <w:rPr>
          <w:rFonts w:ascii="Times New Roman" w:hAnsi="Times New Roman"/>
          <w:szCs w:val="24"/>
        </w:rPr>
        <w:t>)</w:t>
      </w:r>
      <w:r w:rsidRPr="00354208">
        <w:rPr>
          <w:rFonts w:ascii="Times New Roman" w:hAnsi="Times New Roman"/>
          <w:szCs w:val="24"/>
        </w:rPr>
        <w:t xml:space="preserve"> was last conducted in 1999.  The </w:t>
      </w:r>
      <w:r w:rsidRPr="00160C0D" w:rsidR="00160C0D">
        <w:rPr>
          <w:rFonts w:ascii="Times New Roman" w:hAnsi="Times New Roman"/>
          <w:szCs w:val="24"/>
        </w:rPr>
        <w:t xml:space="preserve">System of Records Notice </w:t>
      </w:r>
      <w:r w:rsidR="00160C0D">
        <w:rPr>
          <w:rFonts w:ascii="Times New Roman" w:hAnsi="Times New Roman"/>
          <w:szCs w:val="24"/>
        </w:rPr>
        <w:t>(</w:t>
      </w:r>
      <w:r w:rsidRPr="00354208">
        <w:rPr>
          <w:rFonts w:ascii="Times New Roman" w:hAnsi="Times New Roman"/>
          <w:szCs w:val="24"/>
        </w:rPr>
        <w:t>SORN</w:t>
      </w:r>
      <w:r w:rsidR="00160C0D">
        <w:rPr>
          <w:rFonts w:ascii="Times New Roman" w:hAnsi="Times New Roman"/>
          <w:szCs w:val="24"/>
        </w:rPr>
        <w:t>)</w:t>
      </w:r>
      <w:r w:rsidRPr="00354208">
        <w:rPr>
          <w:rFonts w:ascii="Times New Roman" w:hAnsi="Times New Roman"/>
          <w:szCs w:val="24"/>
        </w:rPr>
        <w:t xml:space="preserve"> was published June 4, 1999 in Vol. 64 No. 107 of the </w:t>
      </w:r>
      <w:r w:rsidRPr="00354208">
        <w:rPr>
          <w:rFonts w:ascii="Times New Roman" w:hAnsi="Times New Roman"/>
          <w:szCs w:val="24"/>
          <w:u w:val="single"/>
        </w:rPr>
        <w:t>Federal Register</w:t>
      </w:r>
      <w:r w:rsidRPr="00354208">
        <w:rPr>
          <w:rFonts w:ascii="Times New Roman" w:hAnsi="Times New Roman"/>
          <w:szCs w:val="24"/>
        </w:rPr>
        <w:t>.  The Department makes no pledge about the confidentia</w:t>
      </w:r>
      <w:r w:rsidR="00096DF0">
        <w:rPr>
          <w:rFonts w:ascii="Times New Roman" w:hAnsi="Times New Roman"/>
          <w:szCs w:val="24"/>
        </w:rPr>
        <w:t>lity</w:t>
      </w:r>
      <w:r w:rsidRPr="00354208">
        <w:rPr>
          <w:rFonts w:ascii="Times New Roman" w:hAnsi="Times New Roman"/>
          <w:szCs w:val="24"/>
        </w:rPr>
        <w:t xml:space="preserve"> of the data.</w:t>
      </w:r>
    </w:p>
    <w:p w:rsidRPr="00920F63" w:rsidR="00920F63" w:rsidP="00E25EBC" w:rsidRDefault="00920F63" w14:paraId="738BA823" w14:textId="77777777">
      <w:pPr>
        <w:tabs>
          <w:tab w:val="left" w:pos="-720"/>
        </w:tabs>
        <w:suppressAutoHyphens/>
        <w:rPr>
          <w:rFonts w:ascii="Times New Roman" w:hAnsi="Times New Roman"/>
          <w:szCs w:val="24"/>
        </w:rPr>
      </w:pPr>
    </w:p>
    <w:p w:rsidR="00043C32" w:rsidP="00AD381B" w:rsidRDefault="00043C32" w14:paraId="4FBE3C6D"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54208" w:rsidP="00354208" w:rsidRDefault="00354208" w14:paraId="00543299" w14:textId="77777777">
      <w:pPr>
        <w:pStyle w:val="ListParagraph"/>
        <w:tabs>
          <w:tab w:val="left" w:pos="-720"/>
        </w:tabs>
        <w:suppressAutoHyphens/>
        <w:contextualSpacing w:val="0"/>
        <w:rPr>
          <w:rFonts w:ascii="Times New Roman" w:hAnsi="Times New Roman"/>
          <w:szCs w:val="24"/>
        </w:rPr>
      </w:pPr>
    </w:p>
    <w:p w:rsidR="00354208" w:rsidP="00354208" w:rsidRDefault="00354208" w14:paraId="4F04E4D0" w14:textId="77B89C61">
      <w:pPr>
        <w:pStyle w:val="ListParagraph"/>
        <w:tabs>
          <w:tab w:val="left" w:pos="-720"/>
        </w:tabs>
        <w:suppressAutoHyphens/>
        <w:contextualSpacing w:val="0"/>
        <w:rPr>
          <w:rFonts w:ascii="Times New Roman" w:hAnsi="Times New Roman"/>
          <w:szCs w:val="24"/>
        </w:rPr>
      </w:pPr>
      <w:r>
        <w:rPr>
          <w:rFonts w:ascii="Times New Roman" w:hAnsi="Times New Roman"/>
          <w:szCs w:val="24"/>
        </w:rPr>
        <w:t>No questions of a sensitive nature are asked.</w:t>
      </w:r>
    </w:p>
    <w:p w:rsidRPr="00920F63" w:rsidR="00920F63" w:rsidP="00920F63" w:rsidRDefault="00920F63" w14:paraId="1E6BB191" w14:textId="77777777">
      <w:pPr>
        <w:tabs>
          <w:tab w:val="left" w:pos="-720"/>
        </w:tabs>
        <w:suppressAutoHyphens/>
        <w:ind w:left="180"/>
        <w:rPr>
          <w:rFonts w:ascii="Times New Roman" w:hAnsi="Times New Roman"/>
          <w:szCs w:val="24"/>
        </w:rPr>
      </w:pPr>
    </w:p>
    <w:p w:rsidRPr="00920F63" w:rsidR="00043C32" w:rsidP="00AD381B" w:rsidRDefault="00043C32" w14:paraId="2487C3B2"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076B4A1A" w14:textId="77777777">
      <w:pPr>
        <w:tabs>
          <w:tab w:val="left" w:pos="-720"/>
        </w:tabs>
        <w:suppressAutoHyphens/>
        <w:rPr>
          <w:rStyle w:val="a"/>
          <w:rFonts w:ascii="Times New Roman" w:hAnsi="Times New Roman"/>
          <w:b/>
          <w:szCs w:val="24"/>
        </w:rPr>
      </w:pPr>
    </w:p>
    <w:p w:rsidR="00C224FD" w:rsidP="00C224FD" w:rsidRDefault="00C224FD" w14:paraId="3A067108"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242B127B"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2370B29B"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3580A772"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23A490AA"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8">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354208" w:rsidP="00354208" w:rsidRDefault="00354208" w14:paraId="25C82EB6" w14:textId="77777777">
      <w:pPr>
        <w:tabs>
          <w:tab w:val="left" w:pos="-720"/>
        </w:tabs>
        <w:suppressAutoHyphens/>
        <w:rPr>
          <w:rStyle w:val="a"/>
          <w:rFonts w:ascii="Times New Roman" w:hAnsi="Times New Roman"/>
          <w:szCs w:val="24"/>
        </w:rPr>
      </w:pPr>
    </w:p>
    <w:p w:rsidR="00354208" w:rsidP="00354208" w:rsidRDefault="00354208" w14:paraId="4D943B1E" w14:textId="0B96730B">
      <w:pPr>
        <w:tabs>
          <w:tab w:val="left" w:pos="-720"/>
        </w:tabs>
        <w:suppressAutoHyphens/>
        <w:ind w:left="810"/>
        <w:rPr>
          <w:rStyle w:val="a"/>
          <w:rFonts w:ascii="Times New Roman" w:hAnsi="Times New Roman"/>
          <w:szCs w:val="24"/>
        </w:rPr>
      </w:pPr>
      <w:r w:rsidRPr="00354208">
        <w:rPr>
          <w:rStyle w:val="a"/>
          <w:rFonts w:ascii="Times New Roman" w:hAnsi="Times New Roman"/>
          <w:szCs w:val="24"/>
        </w:rPr>
        <w:t>Nine former grantees were consulted by IFLE staff in an effort to collect accurate estimates of hour burden. Estimates ranged between 100 and 123 hours. The average estimated time per response is 105 hours.</w:t>
      </w:r>
    </w:p>
    <w:p w:rsidRPr="00354208" w:rsidR="00354208" w:rsidP="00354208" w:rsidRDefault="00354208" w14:paraId="3DC00BEE" w14:textId="77777777">
      <w:pPr>
        <w:tabs>
          <w:tab w:val="left" w:pos="-720"/>
        </w:tabs>
        <w:suppressAutoHyphens/>
        <w:rPr>
          <w:rStyle w:val="a"/>
          <w:rFonts w:ascii="Times New Roman" w:hAnsi="Times New Roman"/>
          <w:szCs w:val="24"/>
        </w:rPr>
      </w:pPr>
    </w:p>
    <w:tbl>
      <w:tblPr>
        <w:tblW w:w="5204" w:type="dxa"/>
        <w:tblInd w:w="764" w:type="dxa"/>
        <w:tblLook w:val="04A0" w:firstRow="1" w:lastRow="0" w:firstColumn="1" w:lastColumn="0" w:noHBand="0" w:noVBand="1"/>
      </w:tblPr>
      <w:tblGrid>
        <w:gridCol w:w="4204"/>
        <w:gridCol w:w="1000"/>
      </w:tblGrid>
      <w:tr w:rsidRPr="00EF0113" w:rsidR="00354208" w:rsidTr="002226A8" w14:paraId="65B4520A" w14:textId="77777777">
        <w:trPr>
          <w:trHeight w:val="300"/>
        </w:trPr>
        <w:tc>
          <w:tcPr>
            <w:tcW w:w="420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F0113" w:rsidR="00354208" w:rsidP="002226A8" w:rsidRDefault="00354208" w14:paraId="4AACB980" w14:textId="77777777">
            <w:pPr>
              <w:rPr>
                <w:rFonts w:ascii="Times New Roman" w:hAnsi="Times New Roman"/>
                <w:color w:val="000000"/>
                <w:szCs w:val="24"/>
              </w:rPr>
            </w:pPr>
            <w:r w:rsidRPr="00EF0113">
              <w:rPr>
                <w:rFonts w:ascii="Times New Roman" w:hAnsi="Times New Roman"/>
                <w:color w:val="000000"/>
                <w:szCs w:val="24"/>
              </w:rPr>
              <w:t>Recordkeeping:</w:t>
            </w:r>
          </w:p>
        </w:tc>
        <w:tc>
          <w:tcPr>
            <w:tcW w:w="1000" w:type="dxa"/>
            <w:tcBorders>
              <w:top w:val="single" w:color="auto" w:sz="4" w:space="0"/>
              <w:left w:val="nil"/>
              <w:bottom w:val="single" w:color="auto" w:sz="4" w:space="0"/>
              <w:right w:val="single" w:color="auto" w:sz="4" w:space="0"/>
            </w:tcBorders>
            <w:shd w:val="clear" w:color="auto" w:fill="auto"/>
            <w:noWrap/>
            <w:vAlign w:val="bottom"/>
            <w:hideMark/>
          </w:tcPr>
          <w:p w:rsidRPr="00EF0113" w:rsidR="00354208" w:rsidP="002226A8" w:rsidRDefault="00354208" w14:paraId="5F5547E7" w14:textId="77777777">
            <w:pPr>
              <w:jc w:val="right"/>
              <w:rPr>
                <w:rFonts w:ascii="Times New Roman" w:hAnsi="Times New Roman"/>
                <w:color w:val="000000"/>
                <w:szCs w:val="24"/>
              </w:rPr>
            </w:pPr>
            <w:r w:rsidRPr="00EF0113">
              <w:rPr>
                <w:rFonts w:ascii="Times New Roman" w:hAnsi="Times New Roman"/>
                <w:color w:val="000000"/>
                <w:szCs w:val="24"/>
              </w:rPr>
              <w:t>0</w:t>
            </w:r>
          </w:p>
        </w:tc>
      </w:tr>
      <w:tr w:rsidRPr="00EF0113" w:rsidR="00354208" w:rsidTr="002226A8" w14:paraId="659002C0" w14:textId="77777777">
        <w:trPr>
          <w:trHeight w:val="300"/>
        </w:trPr>
        <w:tc>
          <w:tcPr>
            <w:tcW w:w="4204" w:type="dxa"/>
            <w:tcBorders>
              <w:top w:val="nil"/>
              <w:left w:val="single" w:color="auto" w:sz="4" w:space="0"/>
              <w:bottom w:val="single" w:color="auto" w:sz="4" w:space="0"/>
              <w:right w:val="single" w:color="auto" w:sz="4" w:space="0"/>
            </w:tcBorders>
            <w:shd w:val="clear" w:color="auto" w:fill="auto"/>
            <w:noWrap/>
            <w:vAlign w:val="bottom"/>
            <w:hideMark/>
          </w:tcPr>
          <w:p w:rsidRPr="00EF0113" w:rsidR="00354208" w:rsidP="002226A8" w:rsidRDefault="00354208" w14:paraId="51BC43C4" w14:textId="77777777">
            <w:pPr>
              <w:rPr>
                <w:rFonts w:ascii="Times New Roman" w:hAnsi="Times New Roman"/>
                <w:color w:val="000000"/>
                <w:szCs w:val="24"/>
              </w:rPr>
            </w:pPr>
            <w:r w:rsidRPr="00EF0113">
              <w:rPr>
                <w:rFonts w:ascii="Times New Roman" w:hAnsi="Times New Roman"/>
                <w:color w:val="000000"/>
                <w:szCs w:val="24"/>
              </w:rPr>
              <w:lastRenderedPageBreak/>
              <w:t>Reporting:</w:t>
            </w:r>
          </w:p>
        </w:tc>
        <w:tc>
          <w:tcPr>
            <w:tcW w:w="1000" w:type="dxa"/>
            <w:tcBorders>
              <w:top w:val="nil"/>
              <w:left w:val="nil"/>
              <w:bottom w:val="single" w:color="auto" w:sz="4" w:space="0"/>
              <w:right w:val="single" w:color="auto" w:sz="4" w:space="0"/>
            </w:tcBorders>
            <w:shd w:val="clear" w:color="auto" w:fill="auto"/>
            <w:noWrap/>
            <w:vAlign w:val="bottom"/>
            <w:hideMark/>
          </w:tcPr>
          <w:p w:rsidRPr="00EF0113" w:rsidR="00354208" w:rsidP="002226A8" w:rsidRDefault="00354208" w14:paraId="3E8092E4" w14:textId="77777777">
            <w:pPr>
              <w:jc w:val="right"/>
              <w:rPr>
                <w:rFonts w:ascii="Times New Roman" w:hAnsi="Times New Roman"/>
                <w:color w:val="000000"/>
                <w:szCs w:val="24"/>
              </w:rPr>
            </w:pPr>
            <w:r>
              <w:rPr>
                <w:rFonts w:ascii="Times New Roman" w:hAnsi="Times New Roman"/>
                <w:color w:val="000000"/>
                <w:szCs w:val="24"/>
              </w:rPr>
              <w:t>105</w:t>
            </w:r>
          </w:p>
        </w:tc>
      </w:tr>
      <w:tr w:rsidRPr="00EF0113" w:rsidR="00354208" w:rsidTr="002226A8" w14:paraId="6BFE4CB3" w14:textId="77777777">
        <w:trPr>
          <w:trHeight w:val="300"/>
        </w:trPr>
        <w:tc>
          <w:tcPr>
            <w:tcW w:w="4204" w:type="dxa"/>
            <w:tcBorders>
              <w:top w:val="nil"/>
              <w:left w:val="single" w:color="auto" w:sz="4" w:space="0"/>
              <w:bottom w:val="single" w:color="auto" w:sz="4" w:space="0"/>
              <w:right w:val="single" w:color="auto" w:sz="4" w:space="0"/>
            </w:tcBorders>
            <w:shd w:val="clear" w:color="auto" w:fill="auto"/>
            <w:noWrap/>
            <w:vAlign w:val="bottom"/>
            <w:hideMark/>
          </w:tcPr>
          <w:p w:rsidRPr="00EF0113" w:rsidR="00354208" w:rsidP="002226A8" w:rsidRDefault="00354208" w14:paraId="60C67C5B" w14:textId="77777777">
            <w:pPr>
              <w:rPr>
                <w:rFonts w:ascii="Times New Roman" w:hAnsi="Times New Roman"/>
                <w:color w:val="000000"/>
                <w:szCs w:val="24"/>
              </w:rPr>
            </w:pPr>
            <w:r w:rsidRPr="00EF0113">
              <w:rPr>
                <w:rFonts w:ascii="Times New Roman" w:hAnsi="Times New Roman"/>
                <w:color w:val="000000"/>
                <w:szCs w:val="24"/>
              </w:rPr>
              <w:t>Third-Party Disclosure:</w:t>
            </w:r>
          </w:p>
        </w:tc>
        <w:tc>
          <w:tcPr>
            <w:tcW w:w="1000" w:type="dxa"/>
            <w:tcBorders>
              <w:top w:val="nil"/>
              <w:left w:val="nil"/>
              <w:bottom w:val="single" w:color="auto" w:sz="4" w:space="0"/>
              <w:right w:val="single" w:color="auto" w:sz="4" w:space="0"/>
            </w:tcBorders>
            <w:shd w:val="clear" w:color="auto" w:fill="auto"/>
            <w:noWrap/>
            <w:vAlign w:val="bottom"/>
            <w:hideMark/>
          </w:tcPr>
          <w:p w:rsidRPr="00EF0113" w:rsidR="00354208" w:rsidP="002226A8" w:rsidRDefault="00354208" w14:paraId="399D8B85" w14:textId="77777777">
            <w:pPr>
              <w:jc w:val="right"/>
              <w:rPr>
                <w:rFonts w:ascii="Times New Roman" w:hAnsi="Times New Roman"/>
                <w:color w:val="000000"/>
                <w:szCs w:val="24"/>
              </w:rPr>
            </w:pPr>
            <w:r w:rsidRPr="00EF0113">
              <w:rPr>
                <w:rFonts w:ascii="Times New Roman" w:hAnsi="Times New Roman"/>
                <w:color w:val="000000"/>
                <w:szCs w:val="24"/>
              </w:rPr>
              <w:t>0</w:t>
            </w:r>
          </w:p>
        </w:tc>
      </w:tr>
      <w:tr w:rsidRPr="003F47B9" w:rsidR="00354208" w:rsidTr="002226A8" w14:paraId="13C30E64" w14:textId="77777777">
        <w:trPr>
          <w:trHeight w:val="300"/>
        </w:trPr>
        <w:tc>
          <w:tcPr>
            <w:tcW w:w="4204" w:type="dxa"/>
            <w:tcBorders>
              <w:top w:val="nil"/>
              <w:left w:val="single" w:color="auto" w:sz="4" w:space="0"/>
              <w:bottom w:val="single" w:color="auto" w:sz="4" w:space="0"/>
              <w:right w:val="single" w:color="auto" w:sz="4" w:space="0"/>
            </w:tcBorders>
            <w:shd w:val="clear" w:color="auto" w:fill="auto"/>
            <w:noWrap/>
            <w:vAlign w:val="bottom"/>
            <w:hideMark/>
          </w:tcPr>
          <w:p w:rsidRPr="003F47B9" w:rsidR="00354208" w:rsidP="002226A8" w:rsidRDefault="00354208" w14:paraId="15D151A3" w14:textId="77777777">
            <w:pPr>
              <w:rPr>
                <w:rFonts w:ascii="Times New Roman" w:hAnsi="Times New Roman"/>
                <w:b/>
                <w:bCs/>
                <w:color w:val="000000"/>
                <w:szCs w:val="24"/>
              </w:rPr>
            </w:pPr>
            <w:r w:rsidRPr="003F47B9">
              <w:rPr>
                <w:rFonts w:ascii="Times New Roman" w:hAnsi="Times New Roman"/>
                <w:b/>
                <w:bCs/>
                <w:color w:val="000000"/>
                <w:szCs w:val="24"/>
              </w:rPr>
              <w:t>Estimated Hour Burden per Response:</w:t>
            </w:r>
          </w:p>
        </w:tc>
        <w:tc>
          <w:tcPr>
            <w:tcW w:w="1000" w:type="dxa"/>
            <w:tcBorders>
              <w:top w:val="nil"/>
              <w:left w:val="nil"/>
              <w:bottom w:val="single" w:color="auto" w:sz="4" w:space="0"/>
              <w:right w:val="single" w:color="auto" w:sz="4" w:space="0"/>
            </w:tcBorders>
            <w:shd w:val="clear" w:color="auto" w:fill="auto"/>
            <w:noWrap/>
            <w:vAlign w:val="bottom"/>
            <w:hideMark/>
          </w:tcPr>
          <w:p w:rsidRPr="003F47B9" w:rsidR="00354208" w:rsidP="002226A8" w:rsidRDefault="00354208" w14:paraId="1A358F31" w14:textId="77777777">
            <w:pPr>
              <w:jc w:val="right"/>
              <w:rPr>
                <w:rFonts w:ascii="Times New Roman" w:hAnsi="Times New Roman"/>
                <w:b/>
                <w:bCs/>
                <w:color w:val="000000"/>
                <w:szCs w:val="24"/>
              </w:rPr>
            </w:pPr>
            <w:r w:rsidRPr="003F47B9">
              <w:rPr>
                <w:rFonts w:ascii="Times New Roman" w:hAnsi="Times New Roman"/>
                <w:b/>
                <w:bCs/>
                <w:color w:val="000000"/>
                <w:szCs w:val="24"/>
              </w:rPr>
              <w:t>1</w:t>
            </w:r>
            <w:r>
              <w:rPr>
                <w:rFonts w:ascii="Times New Roman" w:hAnsi="Times New Roman"/>
                <w:b/>
                <w:bCs/>
                <w:color w:val="000000"/>
                <w:szCs w:val="24"/>
              </w:rPr>
              <w:t>0</w:t>
            </w:r>
            <w:r w:rsidRPr="003F47B9">
              <w:rPr>
                <w:rFonts w:ascii="Times New Roman" w:hAnsi="Times New Roman"/>
                <w:b/>
                <w:bCs/>
                <w:color w:val="000000"/>
                <w:szCs w:val="24"/>
              </w:rPr>
              <w:t>5</w:t>
            </w:r>
          </w:p>
        </w:tc>
      </w:tr>
    </w:tbl>
    <w:p w:rsidR="00354208" w:rsidP="00354208" w:rsidRDefault="00354208" w14:paraId="0FF57A5B" w14:textId="77777777">
      <w:pPr>
        <w:tabs>
          <w:tab w:val="left" w:pos="-720"/>
          <w:tab w:val="left" w:pos="1247"/>
        </w:tabs>
        <w:suppressAutoHyphens/>
        <w:ind w:left="270"/>
        <w:rPr>
          <w:rFonts w:ascii="Times New Roman" w:hAnsi="Times New Roman"/>
          <w:szCs w:val="24"/>
        </w:rPr>
      </w:pPr>
    </w:p>
    <w:p w:rsidRPr="00861646" w:rsidR="00354208" w:rsidP="00354208" w:rsidRDefault="00354208" w14:paraId="69964526" w14:textId="1C5BFC94">
      <w:pPr>
        <w:tabs>
          <w:tab w:val="left" w:pos="-720"/>
          <w:tab w:val="left" w:pos="1247"/>
        </w:tabs>
        <w:suppressAutoHyphens/>
        <w:ind w:left="270"/>
        <w:rPr>
          <w:rFonts w:ascii="Times New Roman" w:hAnsi="Times New Roman"/>
          <w:b/>
          <w:szCs w:val="24"/>
        </w:rPr>
      </w:pPr>
      <w:r>
        <w:rPr>
          <w:rFonts w:ascii="Times New Roman" w:hAnsi="Times New Roman"/>
          <w:szCs w:val="24"/>
        </w:rPr>
        <w:t xml:space="preserve">We expect approximately 165 respondents from institutions of higher education. </w:t>
      </w:r>
      <w:r w:rsidRPr="00861646">
        <w:rPr>
          <w:rFonts w:ascii="Times New Roman" w:hAnsi="Times New Roman"/>
          <w:b/>
          <w:szCs w:val="24"/>
        </w:rPr>
        <w:t xml:space="preserve">The estimated total hour burden for all respondents is </w:t>
      </w:r>
      <w:r>
        <w:rPr>
          <w:rFonts w:ascii="Times New Roman" w:hAnsi="Times New Roman"/>
          <w:b/>
          <w:szCs w:val="24"/>
        </w:rPr>
        <w:t>17,325.</w:t>
      </w:r>
    </w:p>
    <w:p w:rsidR="00354208" w:rsidP="00354208" w:rsidRDefault="00354208" w14:paraId="44E7C1CF" w14:textId="77777777">
      <w:pPr>
        <w:tabs>
          <w:tab w:val="left" w:pos="-720"/>
          <w:tab w:val="left" w:pos="1247"/>
        </w:tabs>
        <w:suppressAutoHyphens/>
        <w:ind w:left="720"/>
        <w:rPr>
          <w:rFonts w:ascii="Times New Roman" w:hAnsi="Times New Roman"/>
          <w:szCs w:val="24"/>
        </w:rPr>
      </w:pPr>
    </w:p>
    <w:tbl>
      <w:tblPr>
        <w:tblW w:w="5409" w:type="dxa"/>
        <w:tblInd w:w="639" w:type="dxa"/>
        <w:tblLook w:val="04A0" w:firstRow="1" w:lastRow="0" w:firstColumn="1" w:lastColumn="0" w:noHBand="0" w:noVBand="1"/>
      </w:tblPr>
      <w:tblGrid>
        <w:gridCol w:w="2979"/>
        <w:gridCol w:w="2430"/>
      </w:tblGrid>
      <w:tr w:rsidRPr="00EF0113" w:rsidR="00354208" w:rsidTr="002226A8" w14:paraId="5CEE9765" w14:textId="77777777">
        <w:trPr>
          <w:trHeight w:val="300"/>
        </w:trPr>
        <w:tc>
          <w:tcPr>
            <w:tcW w:w="2979" w:type="dxa"/>
            <w:tcBorders>
              <w:top w:val="nil"/>
              <w:left w:val="nil"/>
              <w:bottom w:val="nil"/>
              <w:right w:val="nil"/>
            </w:tcBorders>
            <w:shd w:val="clear" w:color="auto" w:fill="auto"/>
            <w:noWrap/>
            <w:vAlign w:val="bottom"/>
            <w:hideMark/>
          </w:tcPr>
          <w:p w:rsidRPr="00EF0113" w:rsidR="00354208" w:rsidP="002226A8" w:rsidRDefault="00354208" w14:paraId="0A02F779" w14:textId="77777777">
            <w:pPr>
              <w:rPr>
                <w:rFonts w:ascii="Times New Roman" w:hAnsi="Times New Roman"/>
                <w:color w:val="000000"/>
                <w:szCs w:val="24"/>
              </w:rPr>
            </w:pPr>
            <w:r w:rsidRPr="00EF0113">
              <w:rPr>
                <w:rFonts w:ascii="Times New Roman" w:hAnsi="Times New Roman"/>
                <w:color w:val="000000"/>
                <w:szCs w:val="24"/>
              </w:rPr>
              <w:t>Respondents</w:t>
            </w:r>
          </w:p>
        </w:tc>
        <w:tc>
          <w:tcPr>
            <w:tcW w:w="2430" w:type="dxa"/>
            <w:tcBorders>
              <w:top w:val="nil"/>
              <w:left w:val="nil"/>
              <w:bottom w:val="nil"/>
              <w:right w:val="nil"/>
            </w:tcBorders>
            <w:shd w:val="clear" w:color="auto" w:fill="auto"/>
            <w:noWrap/>
            <w:vAlign w:val="bottom"/>
            <w:hideMark/>
          </w:tcPr>
          <w:p w:rsidRPr="00EF0113" w:rsidR="00354208" w:rsidP="002226A8" w:rsidRDefault="00354208" w14:paraId="2EDC8532" w14:textId="77777777">
            <w:pPr>
              <w:jc w:val="right"/>
              <w:rPr>
                <w:rFonts w:ascii="Times New Roman" w:hAnsi="Times New Roman"/>
                <w:color w:val="000000"/>
                <w:szCs w:val="24"/>
              </w:rPr>
            </w:pPr>
            <w:r>
              <w:rPr>
                <w:rFonts w:ascii="Times New Roman" w:hAnsi="Times New Roman"/>
                <w:color w:val="000000"/>
                <w:szCs w:val="24"/>
              </w:rPr>
              <w:t>165</w:t>
            </w:r>
          </w:p>
        </w:tc>
      </w:tr>
      <w:tr w:rsidRPr="00EF0113" w:rsidR="00354208" w:rsidTr="002226A8" w14:paraId="6BA4B0F8" w14:textId="77777777">
        <w:trPr>
          <w:trHeight w:val="300"/>
        </w:trPr>
        <w:tc>
          <w:tcPr>
            <w:tcW w:w="2979" w:type="dxa"/>
            <w:tcBorders>
              <w:top w:val="nil"/>
              <w:left w:val="nil"/>
              <w:bottom w:val="nil"/>
              <w:right w:val="nil"/>
            </w:tcBorders>
            <w:shd w:val="clear" w:color="auto" w:fill="auto"/>
            <w:noWrap/>
            <w:vAlign w:val="bottom"/>
            <w:hideMark/>
          </w:tcPr>
          <w:p w:rsidRPr="00EF0113" w:rsidR="00354208" w:rsidP="002226A8" w:rsidRDefault="00354208" w14:paraId="4832DB6D" w14:textId="77777777">
            <w:pPr>
              <w:rPr>
                <w:rFonts w:ascii="Times New Roman" w:hAnsi="Times New Roman"/>
                <w:color w:val="000000"/>
                <w:szCs w:val="24"/>
              </w:rPr>
            </w:pPr>
            <w:r w:rsidRPr="00EF0113">
              <w:rPr>
                <w:rFonts w:ascii="Times New Roman" w:hAnsi="Times New Roman"/>
                <w:color w:val="000000"/>
                <w:szCs w:val="24"/>
              </w:rPr>
              <w:t>Frequency</w:t>
            </w:r>
          </w:p>
        </w:tc>
        <w:tc>
          <w:tcPr>
            <w:tcW w:w="2430" w:type="dxa"/>
            <w:tcBorders>
              <w:top w:val="nil"/>
              <w:left w:val="nil"/>
              <w:bottom w:val="nil"/>
              <w:right w:val="nil"/>
            </w:tcBorders>
            <w:shd w:val="clear" w:color="auto" w:fill="auto"/>
            <w:noWrap/>
            <w:vAlign w:val="bottom"/>
            <w:hideMark/>
          </w:tcPr>
          <w:p w:rsidRPr="00EF0113" w:rsidR="00354208" w:rsidP="002226A8" w:rsidRDefault="00354208" w14:paraId="6218C75A" w14:textId="77777777">
            <w:pPr>
              <w:jc w:val="right"/>
              <w:rPr>
                <w:rFonts w:ascii="Times New Roman" w:hAnsi="Times New Roman"/>
                <w:color w:val="000000"/>
                <w:szCs w:val="24"/>
              </w:rPr>
            </w:pPr>
            <w:r w:rsidRPr="00EF0113">
              <w:rPr>
                <w:rFonts w:ascii="Times New Roman" w:hAnsi="Times New Roman"/>
                <w:color w:val="000000"/>
                <w:szCs w:val="24"/>
              </w:rPr>
              <w:t xml:space="preserve">Once </w:t>
            </w:r>
            <w:r>
              <w:rPr>
                <w:rFonts w:ascii="Times New Roman" w:hAnsi="Times New Roman"/>
                <w:color w:val="000000"/>
                <w:szCs w:val="24"/>
              </w:rPr>
              <w:t xml:space="preserve">(every four years) </w:t>
            </w:r>
          </w:p>
        </w:tc>
      </w:tr>
      <w:tr w:rsidRPr="00EF0113" w:rsidR="00354208" w:rsidTr="002226A8" w14:paraId="45EAF50C" w14:textId="77777777">
        <w:trPr>
          <w:trHeight w:val="300"/>
        </w:trPr>
        <w:tc>
          <w:tcPr>
            <w:tcW w:w="2979" w:type="dxa"/>
            <w:tcBorders>
              <w:top w:val="nil"/>
              <w:left w:val="nil"/>
              <w:bottom w:val="nil"/>
              <w:right w:val="nil"/>
            </w:tcBorders>
            <w:shd w:val="clear" w:color="auto" w:fill="auto"/>
            <w:noWrap/>
            <w:vAlign w:val="bottom"/>
            <w:hideMark/>
          </w:tcPr>
          <w:p w:rsidRPr="00EF0113" w:rsidR="00354208" w:rsidP="002226A8" w:rsidRDefault="00354208" w14:paraId="2825FBCD" w14:textId="77777777">
            <w:pPr>
              <w:rPr>
                <w:rFonts w:ascii="Times New Roman" w:hAnsi="Times New Roman"/>
                <w:color w:val="000000"/>
                <w:szCs w:val="24"/>
              </w:rPr>
            </w:pPr>
            <w:r w:rsidRPr="00EF0113">
              <w:rPr>
                <w:rFonts w:ascii="Times New Roman" w:hAnsi="Times New Roman"/>
                <w:color w:val="000000"/>
                <w:szCs w:val="24"/>
              </w:rPr>
              <w:t>Estimated Hour Burden</w:t>
            </w:r>
          </w:p>
        </w:tc>
        <w:tc>
          <w:tcPr>
            <w:tcW w:w="2430" w:type="dxa"/>
            <w:tcBorders>
              <w:top w:val="nil"/>
              <w:left w:val="nil"/>
              <w:bottom w:val="single" w:color="auto" w:sz="4" w:space="0"/>
              <w:right w:val="nil"/>
            </w:tcBorders>
            <w:shd w:val="clear" w:color="auto" w:fill="auto"/>
            <w:noWrap/>
            <w:vAlign w:val="bottom"/>
            <w:hideMark/>
          </w:tcPr>
          <w:p w:rsidRPr="00EF0113" w:rsidR="00354208" w:rsidP="002226A8" w:rsidRDefault="00354208" w14:paraId="5439BBEA" w14:textId="77777777">
            <w:pPr>
              <w:jc w:val="right"/>
              <w:rPr>
                <w:rFonts w:ascii="Times New Roman" w:hAnsi="Times New Roman"/>
                <w:color w:val="000000"/>
                <w:szCs w:val="24"/>
              </w:rPr>
            </w:pPr>
            <w:r>
              <w:rPr>
                <w:rFonts w:ascii="Times New Roman" w:hAnsi="Times New Roman"/>
                <w:color w:val="000000"/>
                <w:szCs w:val="24"/>
              </w:rPr>
              <w:t>105</w:t>
            </w:r>
            <w:r w:rsidRPr="00EF0113">
              <w:rPr>
                <w:rFonts w:ascii="Times New Roman" w:hAnsi="Times New Roman"/>
                <w:color w:val="000000"/>
                <w:szCs w:val="24"/>
              </w:rPr>
              <w:t xml:space="preserve"> per response</w:t>
            </w:r>
          </w:p>
        </w:tc>
      </w:tr>
      <w:tr w:rsidRPr="00EF0113" w:rsidR="00354208" w:rsidTr="002226A8" w14:paraId="1505BE72" w14:textId="77777777">
        <w:trPr>
          <w:trHeight w:val="300"/>
        </w:trPr>
        <w:tc>
          <w:tcPr>
            <w:tcW w:w="2979" w:type="dxa"/>
            <w:tcBorders>
              <w:top w:val="nil"/>
              <w:left w:val="nil"/>
              <w:bottom w:val="nil"/>
              <w:right w:val="nil"/>
            </w:tcBorders>
            <w:shd w:val="clear" w:color="auto" w:fill="auto"/>
            <w:noWrap/>
            <w:vAlign w:val="bottom"/>
            <w:hideMark/>
          </w:tcPr>
          <w:p w:rsidRPr="00EF0113" w:rsidR="00354208" w:rsidP="002226A8" w:rsidRDefault="00354208" w14:paraId="61C79C8F" w14:textId="77777777">
            <w:pPr>
              <w:rPr>
                <w:rFonts w:ascii="Times New Roman" w:hAnsi="Times New Roman"/>
                <w:color w:val="000000"/>
                <w:szCs w:val="24"/>
              </w:rPr>
            </w:pPr>
            <w:r>
              <w:rPr>
                <w:rFonts w:ascii="Times New Roman" w:hAnsi="Times New Roman"/>
                <w:color w:val="000000"/>
                <w:szCs w:val="24"/>
              </w:rPr>
              <w:t>165</w:t>
            </w:r>
            <w:r w:rsidRPr="00EF0113">
              <w:rPr>
                <w:rFonts w:ascii="Times New Roman" w:hAnsi="Times New Roman"/>
                <w:color w:val="000000"/>
                <w:szCs w:val="24"/>
              </w:rPr>
              <w:t xml:space="preserve"> </w:t>
            </w:r>
            <w:r>
              <w:rPr>
                <w:rFonts w:ascii="Times New Roman" w:hAnsi="Times New Roman"/>
                <w:color w:val="000000"/>
                <w:szCs w:val="24"/>
              </w:rPr>
              <w:t>x</w:t>
            </w:r>
            <w:r w:rsidRPr="00EF0113">
              <w:rPr>
                <w:rFonts w:ascii="Times New Roman" w:hAnsi="Times New Roman"/>
                <w:color w:val="000000"/>
                <w:szCs w:val="24"/>
              </w:rPr>
              <w:t xml:space="preserve"> 1 </w:t>
            </w:r>
            <w:r>
              <w:rPr>
                <w:rFonts w:ascii="Times New Roman" w:hAnsi="Times New Roman"/>
                <w:color w:val="000000"/>
                <w:szCs w:val="24"/>
              </w:rPr>
              <w:t>x</w:t>
            </w:r>
            <w:r w:rsidRPr="00EF0113">
              <w:rPr>
                <w:rFonts w:ascii="Times New Roman" w:hAnsi="Times New Roman"/>
                <w:color w:val="000000"/>
                <w:szCs w:val="24"/>
              </w:rPr>
              <w:t xml:space="preserve"> </w:t>
            </w:r>
            <w:r>
              <w:rPr>
                <w:rFonts w:ascii="Times New Roman" w:hAnsi="Times New Roman"/>
                <w:color w:val="000000"/>
                <w:szCs w:val="24"/>
              </w:rPr>
              <w:t>105</w:t>
            </w:r>
            <w:r w:rsidRPr="00EF0113">
              <w:rPr>
                <w:rFonts w:ascii="Times New Roman" w:hAnsi="Times New Roman"/>
                <w:color w:val="000000"/>
                <w:szCs w:val="24"/>
              </w:rPr>
              <w:t xml:space="preserve"> =</w:t>
            </w:r>
          </w:p>
        </w:tc>
        <w:tc>
          <w:tcPr>
            <w:tcW w:w="2430" w:type="dxa"/>
            <w:tcBorders>
              <w:top w:val="nil"/>
              <w:left w:val="nil"/>
              <w:bottom w:val="nil"/>
              <w:right w:val="nil"/>
            </w:tcBorders>
            <w:shd w:val="clear" w:color="auto" w:fill="auto"/>
            <w:noWrap/>
            <w:vAlign w:val="bottom"/>
            <w:hideMark/>
          </w:tcPr>
          <w:p w:rsidRPr="00EF0113" w:rsidR="00354208" w:rsidP="002226A8" w:rsidRDefault="00354208" w14:paraId="41CDF390" w14:textId="77777777">
            <w:pPr>
              <w:jc w:val="right"/>
              <w:rPr>
                <w:rFonts w:ascii="Times New Roman" w:hAnsi="Times New Roman"/>
                <w:color w:val="000000"/>
                <w:szCs w:val="24"/>
              </w:rPr>
            </w:pPr>
            <w:r>
              <w:rPr>
                <w:rFonts w:ascii="Times New Roman" w:hAnsi="Times New Roman"/>
                <w:color w:val="000000"/>
                <w:szCs w:val="24"/>
              </w:rPr>
              <w:t>17,325</w:t>
            </w:r>
          </w:p>
        </w:tc>
      </w:tr>
    </w:tbl>
    <w:p w:rsidR="00756FD3" w:rsidP="00756FD3" w:rsidRDefault="00756FD3" w14:paraId="7B4E91D6"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103DB4E8"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2A51ECFE"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23FD9568"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795"/>
        <w:gridCol w:w="1170"/>
        <w:gridCol w:w="1260"/>
        <w:gridCol w:w="1260"/>
        <w:gridCol w:w="1170"/>
        <w:gridCol w:w="1350"/>
        <w:gridCol w:w="1350"/>
        <w:gridCol w:w="1080"/>
        <w:gridCol w:w="900"/>
      </w:tblGrid>
      <w:tr w:rsidRPr="00442E07" w:rsidR="00C86713" w:rsidTr="00294552" w14:paraId="5A947C64" w14:textId="77777777">
        <w:trPr>
          <w:tblHeader/>
        </w:trPr>
        <w:tc>
          <w:tcPr>
            <w:tcW w:w="1795" w:type="dxa"/>
          </w:tcPr>
          <w:p w:rsidRPr="007F6104" w:rsidR="00C86713" w:rsidP="00FE1BAE" w:rsidRDefault="00C86713" w14:paraId="1A5544F4"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0" w:type="dxa"/>
          </w:tcPr>
          <w:p w:rsidRPr="007F6104" w:rsidR="00C86713" w:rsidP="00FE1BAE" w:rsidRDefault="00C86713" w14:paraId="788D6EA1"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60" w:type="dxa"/>
          </w:tcPr>
          <w:p w:rsidRPr="007F6104" w:rsidR="00C86713" w:rsidP="00581C11" w:rsidRDefault="00C86713" w14:paraId="4D246AB1"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60" w:type="dxa"/>
          </w:tcPr>
          <w:p w:rsidRPr="007F6104" w:rsidR="00C86713" w:rsidP="00FE1BAE" w:rsidRDefault="00C86713" w14:paraId="091DD54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170" w:type="dxa"/>
          </w:tcPr>
          <w:p w:rsidRPr="007F6104" w:rsidR="00C86713" w:rsidP="00FE1BAE" w:rsidRDefault="00C86713" w14:paraId="38D4E36E" w14:textId="77777777">
            <w:pPr>
              <w:jc w:val="center"/>
              <w:rPr>
                <w:rFonts w:ascii="Times New Roman" w:hAnsi="Times New Roman"/>
                <w:sz w:val="20"/>
              </w:rPr>
            </w:pPr>
            <w:r w:rsidRPr="007F6104">
              <w:rPr>
                <w:rFonts w:ascii="Times New Roman" w:hAnsi="Times New Roman"/>
                <w:sz w:val="20"/>
              </w:rPr>
              <w:t>Number of Responses</w:t>
            </w:r>
          </w:p>
        </w:tc>
        <w:tc>
          <w:tcPr>
            <w:tcW w:w="1350" w:type="dxa"/>
          </w:tcPr>
          <w:p w:rsidRPr="007F6104" w:rsidR="00C86713" w:rsidP="00FE1BAE" w:rsidRDefault="00C86713" w14:paraId="73DBCC6C" w14:textId="77777777">
            <w:pPr>
              <w:jc w:val="center"/>
              <w:rPr>
                <w:rFonts w:ascii="Times New Roman" w:hAnsi="Times New Roman"/>
                <w:sz w:val="20"/>
              </w:rPr>
            </w:pPr>
            <w:r w:rsidRPr="007F6104">
              <w:rPr>
                <w:rFonts w:ascii="Times New Roman" w:hAnsi="Times New Roman"/>
                <w:sz w:val="20"/>
              </w:rPr>
              <w:t>Average Burden Hours per Response</w:t>
            </w:r>
          </w:p>
        </w:tc>
        <w:tc>
          <w:tcPr>
            <w:tcW w:w="1350" w:type="dxa"/>
          </w:tcPr>
          <w:p w:rsidRPr="007F6104" w:rsidR="00C86713" w:rsidP="00F31BEC" w:rsidRDefault="00C86713" w14:paraId="39A4A7A9"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080" w:type="dxa"/>
          </w:tcPr>
          <w:p w:rsidRPr="007F6104" w:rsidR="00C86713" w:rsidP="00FE1BAE" w:rsidRDefault="00C86713" w14:paraId="25B9BAD3"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900" w:type="dxa"/>
          </w:tcPr>
          <w:p w:rsidRPr="007F6104" w:rsidR="00C86713" w:rsidP="00FE1BAE" w:rsidRDefault="00C86713" w14:paraId="37F8B069"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294552" w14:paraId="16B2D249" w14:textId="77777777">
        <w:tc>
          <w:tcPr>
            <w:tcW w:w="1795" w:type="dxa"/>
          </w:tcPr>
          <w:p w:rsidRPr="00442E07" w:rsidR="00C86713" w:rsidP="00FE1BAE" w:rsidRDefault="00294552" w14:paraId="0D74F6C7" w14:textId="6061F05C">
            <w:pPr>
              <w:rPr>
                <w:rFonts w:ascii="Times New Roman" w:hAnsi="Times New Roman"/>
                <w:szCs w:val="24"/>
              </w:rPr>
            </w:pPr>
            <w:r>
              <w:rPr>
                <w:rFonts w:ascii="Times New Roman" w:hAnsi="Times New Roman"/>
                <w:szCs w:val="24"/>
              </w:rPr>
              <w:t>Recordkeeping</w:t>
            </w:r>
          </w:p>
        </w:tc>
        <w:tc>
          <w:tcPr>
            <w:tcW w:w="1170" w:type="dxa"/>
          </w:tcPr>
          <w:p w:rsidRPr="00442E07" w:rsidR="00C86713" w:rsidP="00FE1BAE" w:rsidRDefault="00C86713" w14:paraId="5B2BD9BA" w14:textId="77777777">
            <w:pPr>
              <w:rPr>
                <w:rFonts w:ascii="Times New Roman" w:hAnsi="Times New Roman"/>
                <w:szCs w:val="24"/>
              </w:rPr>
            </w:pPr>
          </w:p>
        </w:tc>
        <w:tc>
          <w:tcPr>
            <w:tcW w:w="1260" w:type="dxa"/>
          </w:tcPr>
          <w:p w:rsidRPr="00442E07" w:rsidR="00C86713" w:rsidP="00FE1BAE" w:rsidRDefault="00C86713" w14:paraId="3C4C9F92" w14:textId="77777777">
            <w:pPr>
              <w:rPr>
                <w:rFonts w:ascii="Times New Roman" w:hAnsi="Times New Roman"/>
                <w:szCs w:val="24"/>
              </w:rPr>
            </w:pPr>
          </w:p>
        </w:tc>
        <w:tc>
          <w:tcPr>
            <w:tcW w:w="1260" w:type="dxa"/>
          </w:tcPr>
          <w:p w:rsidRPr="00442E07" w:rsidR="00C86713" w:rsidP="00FE1BAE" w:rsidRDefault="00294552" w14:paraId="62926633" w14:textId="45F43C58">
            <w:pPr>
              <w:rPr>
                <w:rFonts w:ascii="Times New Roman" w:hAnsi="Times New Roman"/>
                <w:szCs w:val="24"/>
              </w:rPr>
            </w:pPr>
            <w:r>
              <w:rPr>
                <w:rFonts w:ascii="Times New Roman" w:hAnsi="Times New Roman"/>
                <w:szCs w:val="24"/>
              </w:rPr>
              <w:t>0</w:t>
            </w:r>
          </w:p>
        </w:tc>
        <w:tc>
          <w:tcPr>
            <w:tcW w:w="1170" w:type="dxa"/>
          </w:tcPr>
          <w:p w:rsidRPr="00442E07" w:rsidR="00C86713" w:rsidP="00FE1BAE" w:rsidRDefault="00294552" w14:paraId="25679B47" w14:textId="540B99C6">
            <w:pPr>
              <w:jc w:val="center"/>
              <w:rPr>
                <w:rFonts w:ascii="Times New Roman" w:hAnsi="Times New Roman"/>
                <w:szCs w:val="24"/>
              </w:rPr>
            </w:pPr>
            <w:r>
              <w:rPr>
                <w:rFonts w:ascii="Times New Roman" w:hAnsi="Times New Roman"/>
                <w:szCs w:val="24"/>
              </w:rPr>
              <w:t>0</w:t>
            </w:r>
          </w:p>
        </w:tc>
        <w:tc>
          <w:tcPr>
            <w:tcW w:w="1350" w:type="dxa"/>
          </w:tcPr>
          <w:p w:rsidRPr="00442E07" w:rsidR="00C86713" w:rsidP="00FE1BAE" w:rsidRDefault="00294552" w14:paraId="12BCCA16" w14:textId="5C1727F4">
            <w:pPr>
              <w:jc w:val="center"/>
              <w:rPr>
                <w:rFonts w:ascii="Times New Roman" w:hAnsi="Times New Roman"/>
                <w:szCs w:val="24"/>
              </w:rPr>
            </w:pPr>
            <w:r>
              <w:rPr>
                <w:rFonts w:ascii="Times New Roman" w:hAnsi="Times New Roman"/>
                <w:szCs w:val="24"/>
              </w:rPr>
              <w:t>0</w:t>
            </w:r>
          </w:p>
        </w:tc>
        <w:tc>
          <w:tcPr>
            <w:tcW w:w="1350" w:type="dxa"/>
          </w:tcPr>
          <w:p w:rsidRPr="00442E07" w:rsidR="00C86713" w:rsidP="00FE1BAE" w:rsidRDefault="00294552" w14:paraId="6FA178EB" w14:textId="7F64B279">
            <w:pPr>
              <w:rPr>
                <w:rFonts w:ascii="Times New Roman" w:hAnsi="Times New Roman"/>
                <w:szCs w:val="24"/>
              </w:rPr>
            </w:pPr>
            <w:r>
              <w:rPr>
                <w:rFonts w:ascii="Times New Roman" w:hAnsi="Times New Roman"/>
                <w:szCs w:val="24"/>
              </w:rPr>
              <w:t>0</w:t>
            </w:r>
          </w:p>
        </w:tc>
        <w:tc>
          <w:tcPr>
            <w:tcW w:w="1080" w:type="dxa"/>
          </w:tcPr>
          <w:p w:rsidRPr="00442E07" w:rsidR="00C86713" w:rsidP="00FE1BAE" w:rsidRDefault="00C86713" w14:paraId="20A8C1CA" w14:textId="77777777">
            <w:pPr>
              <w:rPr>
                <w:rFonts w:ascii="Times New Roman" w:hAnsi="Times New Roman"/>
                <w:szCs w:val="24"/>
              </w:rPr>
            </w:pPr>
          </w:p>
        </w:tc>
        <w:tc>
          <w:tcPr>
            <w:tcW w:w="900" w:type="dxa"/>
          </w:tcPr>
          <w:p w:rsidRPr="00442E07" w:rsidR="00C86713" w:rsidP="00FE1BAE" w:rsidRDefault="00C86713" w14:paraId="051F23F3" w14:textId="77777777">
            <w:pPr>
              <w:rPr>
                <w:rFonts w:ascii="Times New Roman" w:hAnsi="Times New Roman"/>
                <w:szCs w:val="24"/>
              </w:rPr>
            </w:pPr>
          </w:p>
        </w:tc>
      </w:tr>
      <w:tr w:rsidRPr="00442E07" w:rsidR="00C86713" w:rsidTr="00294552" w14:paraId="7202AB00" w14:textId="77777777">
        <w:tc>
          <w:tcPr>
            <w:tcW w:w="1795" w:type="dxa"/>
          </w:tcPr>
          <w:p w:rsidRPr="00442E07" w:rsidR="00C86713" w:rsidP="00FE1BAE" w:rsidRDefault="00294552" w14:paraId="6539E60D" w14:textId="5711412C">
            <w:pPr>
              <w:rPr>
                <w:rFonts w:ascii="Times New Roman" w:hAnsi="Times New Roman"/>
                <w:szCs w:val="24"/>
              </w:rPr>
            </w:pPr>
            <w:r>
              <w:rPr>
                <w:rFonts w:ascii="Times New Roman" w:hAnsi="Times New Roman"/>
                <w:szCs w:val="24"/>
              </w:rPr>
              <w:t>Reporting</w:t>
            </w:r>
          </w:p>
        </w:tc>
        <w:tc>
          <w:tcPr>
            <w:tcW w:w="1170" w:type="dxa"/>
          </w:tcPr>
          <w:p w:rsidRPr="00442E07" w:rsidR="00C86713" w:rsidP="00FE1BAE" w:rsidRDefault="00C86713" w14:paraId="793B6F04" w14:textId="77777777">
            <w:pPr>
              <w:rPr>
                <w:rFonts w:ascii="Times New Roman" w:hAnsi="Times New Roman"/>
                <w:szCs w:val="24"/>
              </w:rPr>
            </w:pPr>
          </w:p>
        </w:tc>
        <w:tc>
          <w:tcPr>
            <w:tcW w:w="1260" w:type="dxa"/>
          </w:tcPr>
          <w:p w:rsidRPr="00442E07" w:rsidR="00C86713" w:rsidP="00FE1BAE" w:rsidRDefault="00C86713" w14:paraId="781ED4AD" w14:textId="77777777">
            <w:pPr>
              <w:rPr>
                <w:rFonts w:ascii="Times New Roman" w:hAnsi="Times New Roman"/>
                <w:szCs w:val="24"/>
              </w:rPr>
            </w:pPr>
          </w:p>
        </w:tc>
        <w:tc>
          <w:tcPr>
            <w:tcW w:w="1260" w:type="dxa"/>
          </w:tcPr>
          <w:p w:rsidRPr="00442E07" w:rsidR="00C86713" w:rsidP="00FE1BAE" w:rsidRDefault="00294552" w14:paraId="51D1E429" w14:textId="75BE20DE">
            <w:pPr>
              <w:rPr>
                <w:rFonts w:ascii="Times New Roman" w:hAnsi="Times New Roman"/>
                <w:szCs w:val="24"/>
              </w:rPr>
            </w:pPr>
            <w:r>
              <w:rPr>
                <w:rFonts w:ascii="Times New Roman" w:hAnsi="Times New Roman"/>
                <w:szCs w:val="24"/>
              </w:rPr>
              <w:t>165</w:t>
            </w:r>
          </w:p>
        </w:tc>
        <w:tc>
          <w:tcPr>
            <w:tcW w:w="1170" w:type="dxa"/>
          </w:tcPr>
          <w:p w:rsidRPr="00442E07" w:rsidR="00C86713" w:rsidP="00FE1BAE" w:rsidRDefault="00294552" w14:paraId="7C2AE7B6" w14:textId="09FD0897">
            <w:pPr>
              <w:jc w:val="center"/>
              <w:rPr>
                <w:rFonts w:ascii="Times New Roman" w:hAnsi="Times New Roman"/>
                <w:szCs w:val="24"/>
              </w:rPr>
            </w:pPr>
            <w:r>
              <w:rPr>
                <w:rFonts w:ascii="Times New Roman" w:hAnsi="Times New Roman"/>
                <w:szCs w:val="24"/>
              </w:rPr>
              <w:t>165</w:t>
            </w:r>
          </w:p>
        </w:tc>
        <w:tc>
          <w:tcPr>
            <w:tcW w:w="1350" w:type="dxa"/>
          </w:tcPr>
          <w:p w:rsidRPr="00442E07" w:rsidR="00C86713" w:rsidP="00FE1BAE" w:rsidRDefault="00294552" w14:paraId="150823C3" w14:textId="5CAD5D58">
            <w:pPr>
              <w:jc w:val="center"/>
              <w:rPr>
                <w:rFonts w:ascii="Times New Roman" w:hAnsi="Times New Roman"/>
                <w:szCs w:val="24"/>
              </w:rPr>
            </w:pPr>
            <w:r>
              <w:rPr>
                <w:rFonts w:ascii="Times New Roman" w:hAnsi="Times New Roman"/>
                <w:szCs w:val="24"/>
              </w:rPr>
              <w:t>105</w:t>
            </w:r>
          </w:p>
        </w:tc>
        <w:tc>
          <w:tcPr>
            <w:tcW w:w="1350" w:type="dxa"/>
          </w:tcPr>
          <w:p w:rsidRPr="00442E07" w:rsidR="00C86713" w:rsidP="00FE1BAE" w:rsidRDefault="00294552" w14:paraId="7450A004" w14:textId="01FB9FAC">
            <w:pPr>
              <w:pStyle w:val="EndnoteText"/>
              <w:tabs>
                <w:tab w:val="clear" w:pos="-720"/>
              </w:tabs>
              <w:suppressAutoHyphens w:val="0"/>
              <w:rPr>
                <w:rFonts w:ascii="Times New Roman" w:hAnsi="Times New Roman"/>
                <w:szCs w:val="24"/>
              </w:rPr>
            </w:pPr>
            <w:r>
              <w:rPr>
                <w:rFonts w:ascii="Times New Roman" w:hAnsi="Times New Roman"/>
                <w:szCs w:val="24"/>
              </w:rPr>
              <w:t>17,325</w:t>
            </w:r>
          </w:p>
        </w:tc>
        <w:tc>
          <w:tcPr>
            <w:tcW w:w="1080" w:type="dxa"/>
          </w:tcPr>
          <w:p w:rsidRPr="00442E07" w:rsidR="00C86713" w:rsidP="00FE1BAE" w:rsidRDefault="00C86713" w14:paraId="5417B1C9" w14:textId="77777777">
            <w:pPr>
              <w:rPr>
                <w:rFonts w:ascii="Times New Roman" w:hAnsi="Times New Roman"/>
                <w:szCs w:val="24"/>
              </w:rPr>
            </w:pPr>
          </w:p>
        </w:tc>
        <w:tc>
          <w:tcPr>
            <w:tcW w:w="900" w:type="dxa"/>
          </w:tcPr>
          <w:p w:rsidRPr="00442E07" w:rsidR="00C86713" w:rsidP="00FE1BAE" w:rsidRDefault="00C86713" w14:paraId="2C0C616F" w14:textId="77777777">
            <w:pPr>
              <w:rPr>
                <w:rFonts w:ascii="Times New Roman" w:hAnsi="Times New Roman"/>
                <w:szCs w:val="24"/>
              </w:rPr>
            </w:pPr>
          </w:p>
        </w:tc>
      </w:tr>
      <w:tr w:rsidRPr="00442E07" w:rsidR="00C86713" w:rsidTr="00294552" w14:paraId="19414736" w14:textId="77777777">
        <w:tc>
          <w:tcPr>
            <w:tcW w:w="1795" w:type="dxa"/>
          </w:tcPr>
          <w:p w:rsidRPr="00442E07" w:rsidR="00C86713" w:rsidP="00FE1BAE" w:rsidRDefault="00294552" w14:paraId="6B670A5F" w14:textId="41286695">
            <w:pPr>
              <w:rPr>
                <w:rFonts w:ascii="Times New Roman" w:hAnsi="Times New Roman"/>
                <w:szCs w:val="24"/>
              </w:rPr>
            </w:pPr>
            <w:r>
              <w:rPr>
                <w:rFonts w:ascii="Times New Roman" w:hAnsi="Times New Roman"/>
                <w:szCs w:val="24"/>
              </w:rPr>
              <w:t>Third-Party Disclosure</w:t>
            </w:r>
          </w:p>
        </w:tc>
        <w:tc>
          <w:tcPr>
            <w:tcW w:w="1170" w:type="dxa"/>
          </w:tcPr>
          <w:p w:rsidRPr="00442E07" w:rsidR="00C86713" w:rsidP="00FE1BAE" w:rsidRDefault="00C86713" w14:paraId="6B05C396" w14:textId="77777777">
            <w:pPr>
              <w:rPr>
                <w:rFonts w:ascii="Times New Roman" w:hAnsi="Times New Roman"/>
                <w:szCs w:val="24"/>
              </w:rPr>
            </w:pPr>
          </w:p>
        </w:tc>
        <w:tc>
          <w:tcPr>
            <w:tcW w:w="1260" w:type="dxa"/>
          </w:tcPr>
          <w:p w:rsidRPr="00442E07" w:rsidR="00C86713" w:rsidP="00FE1BAE" w:rsidRDefault="00C86713" w14:paraId="572D530B" w14:textId="77777777">
            <w:pPr>
              <w:rPr>
                <w:rFonts w:ascii="Times New Roman" w:hAnsi="Times New Roman"/>
                <w:szCs w:val="24"/>
              </w:rPr>
            </w:pPr>
          </w:p>
        </w:tc>
        <w:tc>
          <w:tcPr>
            <w:tcW w:w="1260" w:type="dxa"/>
          </w:tcPr>
          <w:p w:rsidRPr="00442E07" w:rsidR="00C86713" w:rsidP="00FE1BAE" w:rsidRDefault="00294552" w14:paraId="00D7A916" w14:textId="5CFE4103">
            <w:pPr>
              <w:rPr>
                <w:rFonts w:ascii="Times New Roman" w:hAnsi="Times New Roman"/>
                <w:szCs w:val="24"/>
              </w:rPr>
            </w:pPr>
            <w:r>
              <w:rPr>
                <w:rFonts w:ascii="Times New Roman" w:hAnsi="Times New Roman"/>
                <w:szCs w:val="24"/>
              </w:rPr>
              <w:t>0</w:t>
            </w:r>
          </w:p>
        </w:tc>
        <w:tc>
          <w:tcPr>
            <w:tcW w:w="1170" w:type="dxa"/>
          </w:tcPr>
          <w:p w:rsidRPr="00442E07" w:rsidR="00C86713" w:rsidP="00FE1BAE" w:rsidRDefault="00294552" w14:paraId="6C7E6D88" w14:textId="2D293CE3">
            <w:pPr>
              <w:jc w:val="center"/>
              <w:rPr>
                <w:rFonts w:ascii="Times New Roman" w:hAnsi="Times New Roman"/>
                <w:szCs w:val="24"/>
              </w:rPr>
            </w:pPr>
            <w:r>
              <w:rPr>
                <w:rFonts w:ascii="Times New Roman" w:hAnsi="Times New Roman"/>
                <w:szCs w:val="24"/>
              </w:rPr>
              <w:t>0</w:t>
            </w:r>
          </w:p>
        </w:tc>
        <w:tc>
          <w:tcPr>
            <w:tcW w:w="1350" w:type="dxa"/>
          </w:tcPr>
          <w:p w:rsidRPr="00442E07" w:rsidR="00C86713" w:rsidP="00FE1BAE" w:rsidRDefault="00294552" w14:paraId="493CF19E" w14:textId="22119B2C">
            <w:pPr>
              <w:jc w:val="center"/>
              <w:rPr>
                <w:rFonts w:ascii="Times New Roman" w:hAnsi="Times New Roman"/>
                <w:szCs w:val="24"/>
              </w:rPr>
            </w:pPr>
            <w:r>
              <w:rPr>
                <w:rFonts w:ascii="Times New Roman" w:hAnsi="Times New Roman"/>
                <w:szCs w:val="24"/>
              </w:rPr>
              <w:t>0</w:t>
            </w:r>
          </w:p>
        </w:tc>
        <w:tc>
          <w:tcPr>
            <w:tcW w:w="1350" w:type="dxa"/>
          </w:tcPr>
          <w:p w:rsidRPr="00442E07" w:rsidR="00C86713" w:rsidP="00FE1BAE" w:rsidRDefault="00294552" w14:paraId="420E1F7A" w14:textId="187AB523">
            <w:pPr>
              <w:pStyle w:val="EndnoteText"/>
              <w:tabs>
                <w:tab w:val="clear" w:pos="-720"/>
              </w:tabs>
              <w:suppressAutoHyphens w:val="0"/>
              <w:rPr>
                <w:rFonts w:ascii="Times New Roman" w:hAnsi="Times New Roman"/>
                <w:szCs w:val="24"/>
              </w:rPr>
            </w:pPr>
            <w:r>
              <w:rPr>
                <w:rFonts w:ascii="Times New Roman" w:hAnsi="Times New Roman"/>
                <w:szCs w:val="24"/>
              </w:rPr>
              <w:t>0</w:t>
            </w:r>
          </w:p>
        </w:tc>
        <w:tc>
          <w:tcPr>
            <w:tcW w:w="1080" w:type="dxa"/>
          </w:tcPr>
          <w:p w:rsidRPr="00442E07" w:rsidR="00C86713" w:rsidP="00FE1BAE" w:rsidRDefault="00C86713" w14:paraId="32DA666F" w14:textId="77777777">
            <w:pPr>
              <w:rPr>
                <w:rFonts w:ascii="Times New Roman" w:hAnsi="Times New Roman"/>
                <w:szCs w:val="24"/>
              </w:rPr>
            </w:pPr>
          </w:p>
        </w:tc>
        <w:tc>
          <w:tcPr>
            <w:tcW w:w="900" w:type="dxa"/>
          </w:tcPr>
          <w:p w:rsidRPr="00442E07" w:rsidR="00C86713" w:rsidP="00FE1BAE" w:rsidRDefault="00C86713" w14:paraId="7F98855D" w14:textId="77777777">
            <w:pPr>
              <w:rPr>
                <w:rFonts w:ascii="Times New Roman" w:hAnsi="Times New Roman"/>
                <w:szCs w:val="24"/>
              </w:rPr>
            </w:pPr>
          </w:p>
        </w:tc>
      </w:tr>
      <w:tr w:rsidRPr="00442E07" w:rsidR="00C86713" w:rsidTr="00294552" w14:paraId="25A2261C" w14:textId="77777777">
        <w:tc>
          <w:tcPr>
            <w:tcW w:w="1795" w:type="dxa"/>
          </w:tcPr>
          <w:p w:rsidRPr="00442E07" w:rsidR="00C86713" w:rsidP="00FE1BAE" w:rsidRDefault="00C86713" w14:paraId="785590FF" w14:textId="77777777">
            <w:pPr>
              <w:rPr>
                <w:rFonts w:ascii="Times New Roman" w:hAnsi="Times New Roman"/>
                <w:szCs w:val="24"/>
              </w:rPr>
            </w:pPr>
          </w:p>
        </w:tc>
        <w:tc>
          <w:tcPr>
            <w:tcW w:w="1170" w:type="dxa"/>
          </w:tcPr>
          <w:p w:rsidRPr="00442E07" w:rsidR="00C86713" w:rsidP="00FE1BAE" w:rsidRDefault="00C86713" w14:paraId="05A87130" w14:textId="77777777">
            <w:pPr>
              <w:rPr>
                <w:rFonts w:ascii="Times New Roman" w:hAnsi="Times New Roman"/>
                <w:szCs w:val="24"/>
              </w:rPr>
            </w:pPr>
          </w:p>
        </w:tc>
        <w:tc>
          <w:tcPr>
            <w:tcW w:w="1260" w:type="dxa"/>
          </w:tcPr>
          <w:p w:rsidRPr="00442E07" w:rsidR="00C86713" w:rsidP="00FE1BAE" w:rsidRDefault="00C86713" w14:paraId="2A0AFD4E" w14:textId="77777777">
            <w:pPr>
              <w:rPr>
                <w:rFonts w:ascii="Times New Roman" w:hAnsi="Times New Roman"/>
                <w:szCs w:val="24"/>
              </w:rPr>
            </w:pPr>
          </w:p>
        </w:tc>
        <w:tc>
          <w:tcPr>
            <w:tcW w:w="1260" w:type="dxa"/>
          </w:tcPr>
          <w:p w:rsidRPr="00442E07" w:rsidR="00C86713" w:rsidP="00FE1BAE" w:rsidRDefault="00C86713" w14:paraId="02A45C07" w14:textId="77777777">
            <w:pPr>
              <w:rPr>
                <w:rFonts w:ascii="Times New Roman" w:hAnsi="Times New Roman"/>
                <w:szCs w:val="24"/>
              </w:rPr>
            </w:pPr>
          </w:p>
        </w:tc>
        <w:tc>
          <w:tcPr>
            <w:tcW w:w="1170" w:type="dxa"/>
          </w:tcPr>
          <w:p w:rsidRPr="00442E07" w:rsidR="00C86713" w:rsidP="00FE1BAE" w:rsidRDefault="00C86713" w14:paraId="766B1EFA" w14:textId="77777777">
            <w:pPr>
              <w:rPr>
                <w:rFonts w:ascii="Times New Roman" w:hAnsi="Times New Roman"/>
                <w:szCs w:val="24"/>
              </w:rPr>
            </w:pPr>
          </w:p>
        </w:tc>
        <w:tc>
          <w:tcPr>
            <w:tcW w:w="1350" w:type="dxa"/>
          </w:tcPr>
          <w:p w:rsidRPr="00442E07" w:rsidR="00C86713" w:rsidP="00FE1BAE" w:rsidRDefault="00C86713" w14:paraId="069063FF" w14:textId="77777777">
            <w:pPr>
              <w:rPr>
                <w:rFonts w:ascii="Times New Roman" w:hAnsi="Times New Roman"/>
                <w:szCs w:val="24"/>
              </w:rPr>
            </w:pPr>
          </w:p>
        </w:tc>
        <w:tc>
          <w:tcPr>
            <w:tcW w:w="1350" w:type="dxa"/>
          </w:tcPr>
          <w:p w:rsidRPr="00442E07" w:rsidR="00C86713" w:rsidP="00FE1BAE" w:rsidRDefault="00C86713" w14:paraId="6C58EBE6" w14:textId="77777777">
            <w:pPr>
              <w:rPr>
                <w:rFonts w:ascii="Times New Roman" w:hAnsi="Times New Roman"/>
                <w:szCs w:val="24"/>
              </w:rPr>
            </w:pPr>
          </w:p>
        </w:tc>
        <w:tc>
          <w:tcPr>
            <w:tcW w:w="1080" w:type="dxa"/>
          </w:tcPr>
          <w:p w:rsidRPr="00442E07" w:rsidR="00C86713" w:rsidP="00FE1BAE" w:rsidRDefault="00C86713" w14:paraId="2A5ED496" w14:textId="77777777">
            <w:pPr>
              <w:rPr>
                <w:rFonts w:ascii="Times New Roman" w:hAnsi="Times New Roman"/>
                <w:szCs w:val="24"/>
              </w:rPr>
            </w:pPr>
          </w:p>
        </w:tc>
        <w:tc>
          <w:tcPr>
            <w:tcW w:w="900" w:type="dxa"/>
          </w:tcPr>
          <w:p w:rsidRPr="00442E07" w:rsidR="00C86713" w:rsidP="00FE1BAE" w:rsidRDefault="00C86713" w14:paraId="130E460D" w14:textId="77777777">
            <w:pPr>
              <w:rPr>
                <w:rFonts w:ascii="Times New Roman" w:hAnsi="Times New Roman"/>
                <w:szCs w:val="24"/>
              </w:rPr>
            </w:pPr>
          </w:p>
        </w:tc>
      </w:tr>
      <w:tr w:rsidRPr="00442E07" w:rsidR="009767AF" w:rsidTr="00294552" w14:paraId="4AC09DB9" w14:textId="77777777">
        <w:tc>
          <w:tcPr>
            <w:tcW w:w="1795" w:type="dxa"/>
          </w:tcPr>
          <w:p w:rsidRPr="00442E07" w:rsidR="009767AF" w:rsidP="00FE1BAE" w:rsidRDefault="009767AF" w14:paraId="589CBB4A" w14:textId="77777777">
            <w:pPr>
              <w:rPr>
                <w:rFonts w:ascii="Times New Roman" w:hAnsi="Times New Roman"/>
                <w:szCs w:val="24"/>
              </w:rPr>
            </w:pPr>
            <w:r>
              <w:rPr>
                <w:rFonts w:ascii="Times New Roman" w:hAnsi="Times New Roman"/>
                <w:szCs w:val="24"/>
              </w:rPr>
              <w:t>Annualized Totals</w:t>
            </w:r>
          </w:p>
        </w:tc>
        <w:tc>
          <w:tcPr>
            <w:tcW w:w="1170" w:type="dxa"/>
          </w:tcPr>
          <w:p w:rsidRPr="00442E07" w:rsidR="009767AF" w:rsidP="00FE1BAE" w:rsidRDefault="009767AF" w14:paraId="0FC9EBCA" w14:textId="77777777">
            <w:pPr>
              <w:rPr>
                <w:rFonts w:ascii="Times New Roman" w:hAnsi="Times New Roman"/>
                <w:szCs w:val="24"/>
              </w:rPr>
            </w:pPr>
          </w:p>
        </w:tc>
        <w:tc>
          <w:tcPr>
            <w:tcW w:w="1260" w:type="dxa"/>
          </w:tcPr>
          <w:p w:rsidRPr="00442E07" w:rsidR="009767AF" w:rsidP="00FE1BAE" w:rsidRDefault="009767AF" w14:paraId="5067590F" w14:textId="77777777">
            <w:pPr>
              <w:rPr>
                <w:rFonts w:ascii="Times New Roman" w:hAnsi="Times New Roman"/>
                <w:szCs w:val="24"/>
              </w:rPr>
            </w:pPr>
          </w:p>
        </w:tc>
        <w:tc>
          <w:tcPr>
            <w:tcW w:w="1260" w:type="dxa"/>
          </w:tcPr>
          <w:p w:rsidRPr="00442E07" w:rsidR="009767AF" w:rsidP="00FE1BAE" w:rsidRDefault="00354208" w14:paraId="27D06287" w14:textId="0559A9E5">
            <w:pPr>
              <w:rPr>
                <w:rFonts w:ascii="Times New Roman" w:hAnsi="Times New Roman"/>
                <w:szCs w:val="24"/>
              </w:rPr>
            </w:pPr>
            <w:r>
              <w:rPr>
                <w:rFonts w:ascii="Times New Roman" w:hAnsi="Times New Roman"/>
                <w:szCs w:val="24"/>
              </w:rPr>
              <w:t>165</w:t>
            </w:r>
          </w:p>
        </w:tc>
        <w:tc>
          <w:tcPr>
            <w:tcW w:w="1170" w:type="dxa"/>
          </w:tcPr>
          <w:p w:rsidRPr="00442E07" w:rsidR="009767AF" w:rsidP="00FE1BAE" w:rsidRDefault="00354208" w14:paraId="006092DD" w14:textId="2F9FDF1D">
            <w:pPr>
              <w:rPr>
                <w:rFonts w:ascii="Times New Roman" w:hAnsi="Times New Roman"/>
                <w:szCs w:val="24"/>
              </w:rPr>
            </w:pPr>
            <w:r>
              <w:rPr>
                <w:rFonts w:ascii="Times New Roman" w:hAnsi="Times New Roman"/>
                <w:szCs w:val="24"/>
              </w:rPr>
              <w:t>165</w:t>
            </w:r>
          </w:p>
        </w:tc>
        <w:tc>
          <w:tcPr>
            <w:tcW w:w="1350" w:type="dxa"/>
          </w:tcPr>
          <w:p w:rsidRPr="00442E07" w:rsidR="009767AF" w:rsidP="00FE1BAE" w:rsidRDefault="00294552" w14:paraId="13EED625" w14:textId="728F3F90">
            <w:pPr>
              <w:rPr>
                <w:rFonts w:ascii="Times New Roman" w:hAnsi="Times New Roman"/>
                <w:szCs w:val="24"/>
              </w:rPr>
            </w:pPr>
            <w:r>
              <w:rPr>
                <w:rFonts w:ascii="Times New Roman" w:hAnsi="Times New Roman"/>
                <w:szCs w:val="24"/>
              </w:rPr>
              <w:t>105</w:t>
            </w:r>
          </w:p>
        </w:tc>
        <w:tc>
          <w:tcPr>
            <w:tcW w:w="1350" w:type="dxa"/>
          </w:tcPr>
          <w:p w:rsidRPr="00442E07" w:rsidR="009767AF" w:rsidP="00FE1BAE" w:rsidRDefault="00294552" w14:paraId="4C9A0336" w14:textId="092B69AE">
            <w:pPr>
              <w:rPr>
                <w:rFonts w:ascii="Times New Roman" w:hAnsi="Times New Roman"/>
                <w:szCs w:val="24"/>
              </w:rPr>
            </w:pPr>
            <w:r>
              <w:rPr>
                <w:rFonts w:ascii="Times New Roman" w:hAnsi="Times New Roman"/>
                <w:szCs w:val="24"/>
              </w:rPr>
              <w:t>17,325</w:t>
            </w:r>
          </w:p>
        </w:tc>
        <w:tc>
          <w:tcPr>
            <w:tcW w:w="1080" w:type="dxa"/>
          </w:tcPr>
          <w:p w:rsidRPr="00442E07" w:rsidR="009767AF" w:rsidP="00FE1BAE" w:rsidRDefault="009767AF" w14:paraId="4B7A188C" w14:textId="77777777">
            <w:pPr>
              <w:rPr>
                <w:rFonts w:ascii="Times New Roman" w:hAnsi="Times New Roman"/>
                <w:szCs w:val="24"/>
              </w:rPr>
            </w:pPr>
          </w:p>
        </w:tc>
        <w:tc>
          <w:tcPr>
            <w:tcW w:w="900" w:type="dxa"/>
          </w:tcPr>
          <w:p w:rsidRPr="00442E07" w:rsidR="009767AF" w:rsidP="00FE1BAE" w:rsidRDefault="009767AF" w14:paraId="260C8E6C" w14:textId="77777777">
            <w:pPr>
              <w:rPr>
                <w:rFonts w:ascii="Times New Roman" w:hAnsi="Times New Roman"/>
                <w:szCs w:val="24"/>
              </w:rPr>
            </w:pPr>
            <w:r>
              <w:rPr>
                <w:rFonts w:ascii="Times New Roman" w:hAnsi="Times New Roman"/>
                <w:szCs w:val="24"/>
              </w:rPr>
              <w:t>x</w:t>
            </w:r>
          </w:p>
        </w:tc>
      </w:tr>
    </w:tbl>
    <w:p w:rsidR="001A6AE0" w:rsidP="000446F5" w:rsidRDefault="001A6AE0" w14:paraId="5A6FAFE7"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09BC07C3"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0D828B5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7AD91"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13A7947" w14:textId="77777777">
      <w:pPr>
        <w:tabs>
          <w:tab w:val="left" w:pos="-720"/>
        </w:tabs>
        <w:suppressAutoHyphens/>
        <w:rPr>
          <w:rFonts w:ascii="Times New Roman" w:hAnsi="Times New Roman"/>
          <w:b/>
          <w:szCs w:val="24"/>
        </w:rPr>
      </w:pPr>
    </w:p>
    <w:p w:rsidRPr="00ED7195" w:rsidR="00043C32" w:rsidP="00AD381B" w:rsidRDefault="00043C32" w14:paraId="1B4B7E53"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w:t>
      </w:r>
      <w:r w:rsidRPr="00ED7195">
        <w:rPr>
          <w:rFonts w:ascii="Times New Roman" w:hAnsi="Times New Roman"/>
          <w:b/>
          <w:szCs w:val="24"/>
        </w:rPr>
        <w:lastRenderedPageBreak/>
        <w:t>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3A39EE59"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5B79AF03"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63BE865"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234F5085"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34D0D263" w14:textId="77777777">
      <w:pPr>
        <w:tabs>
          <w:tab w:val="left" w:pos="-720"/>
        </w:tabs>
        <w:suppressAutoHyphens/>
        <w:rPr>
          <w:rFonts w:ascii="Times New Roman" w:hAnsi="Times New Roman"/>
          <w:b/>
          <w:szCs w:val="24"/>
        </w:rPr>
      </w:pPr>
    </w:p>
    <w:p w:rsidRPr="00EF7FF5" w:rsidR="00294552" w:rsidP="00294552" w:rsidRDefault="00294552" w14:paraId="0D7B155B"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r>
        <w:rPr>
          <w:rFonts w:ascii="Times New Roman" w:hAnsi="Times New Roman"/>
          <w:szCs w:val="24"/>
        </w:rPr>
        <w:tab/>
        <w:t>$0.00</w:t>
      </w:r>
    </w:p>
    <w:p w:rsidRPr="00861646" w:rsidR="00294552" w:rsidP="00294552" w:rsidRDefault="00294552" w14:paraId="45EEFAE8" w14:textId="77777777">
      <w:pPr>
        <w:tabs>
          <w:tab w:val="left" w:pos="-720"/>
        </w:tabs>
        <w:suppressAutoHyphens/>
        <w:rPr>
          <w:rFonts w:ascii="Times New Roman" w:hAnsi="Times New Roman"/>
          <w:szCs w:val="24"/>
          <w:u w:val="single"/>
        </w:rPr>
      </w:pPr>
      <w:r w:rsidRPr="00E023B7">
        <w:rPr>
          <w:rFonts w:ascii="Times New Roman" w:hAnsi="Times New Roman"/>
          <w:szCs w:val="24"/>
        </w:rPr>
        <w:tab/>
      </w:r>
      <w:r w:rsidRPr="00861646">
        <w:rPr>
          <w:rFonts w:ascii="Times New Roman" w:hAnsi="Times New Roman"/>
          <w:szCs w:val="24"/>
          <w:u w:val="single"/>
        </w:rPr>
        <w:t>Total Annual Costs (O&amp;M)</w:t>
      </w:r>
      <w:r w:rsidRPr="00861646">
        <w:rPr>
          <w:rFonts w:ascii="Times New Roman" w:hAnsi="Times New Roman"/>
          <w:szCs w:val="24"/>
          <w:u w:val="single"/>
        </w:rPr>
        <w:tab/>
      </w:r>
      <w:r w:rsidRPr="00861646">
        <w:rPr>
          <w:rFonts w:ascii="Times New Roman" w:hAnsi="Times New Roman"/>
          <w:szCs w:val="24"/>
          <w:u w:val="single"/>
        </w:rPr>
        <w:tab/>
        <w:t>:</w:t>
      </w:r>
      <w:r w:rsidRPr="00861646">
        <w:rPr>
          <w:rFonts w:ascii="Times New Roman" w:hAnsi="Times New Roman"/>
          <w:szCs w:val="24"/>
          <w:u w:val="single"/>
        </w:rPr>
        <w:tab/>
      </w:r>
      <w:r w:rsidRPr="00861646">
        <w:rPr>
          <w:rFonts w:ascii="Times New Roman" w:hAnsi="Times New Roman"/>
          <w:szCs w:val="24"/>
          <w:u w:val="single"/>
        </w:rPr>
        <w:tab/>
      </w:r>
      <w:r>
        <w:rPr>
          <w:rFonts w:ascii="Times New Roman" w:hAnsi="Times New Roman"/>
          <w:szCs w:val="24"/>
          <w:u w:val="single"/>
        </w:rPr>
        <w:t>$</w:t>
      </w:r>
      <w:r w:rsidRPr="00861646">
        <w:rPr>
          <w:rFonts w:ascii="Times New Roman" w:hAnsi="Times New Roman"/>
          <w:szCs w:val="24"/>
          <w:u w:val="single"/>
        </w:rPr>
        <w:t>0.00</w:t>
      </w:r>
    </w:p>
    <w:p w:rsidRPr="00EF7FF5" w:rsidR="00294552" w:rsidP="00294552" w:rsidRDefault="00294552" w14:paraId="7C1C6E9E"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r>
        <w:rPr>
          <w:rFonts w:ascii="Times New Roman" w:hAnsi="Times New Roman"/>
          <w:szCs w:val="24"/>
        </w:rPr>
        <w:tab/>
      </w:r>
      <w:r>
        <w:rPr>
          <w:rFonts w:ascii="Times New Roman" w:hAnsi="Times New Roman"/>
          <w:szCs w:val="24"/>
        </w:rPr>
        <w:tab/>
        <w:t>$0.00</w:t>
      </w:r>
    </w:p>
    <w:p w:rsidR="00043C32" w:rsidP="00AD381B" w:rsidRDefault="00043C32" w14:paraId="206C17F2" w14:textId="77777777">
      <w:pPr>
        <w:tabs>
          <w:tab w:val="left" w:pos="-720"/>
        </w:tabs>
        <w:suppressAutoHyphens/>
        <w:rPr>
          <w:rFonts w:ascii="Times New Roman" w:hAnsi="Times New Roman"/>
          <w:szCs w:val="24"/>
        </w:rPr>
      </w:pPr>
    </w:p>
    <w:p w:rsidRPr="00534B4A" w:rsidR="00043C32" w:rsidP="00AD381B" w:rsidRDefault="00043C32" w14:paraId="6DDF523D"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2B62D843" w14:textId="77777777">
      <w:pPr>
        <w:tabs>
          <w:tab w:val="left" w:pos="-720"/>
        </w:tabs>
        <w:suppressAutoHyphens/>
        <w:rPr>
          <w:rFonts w:ascii="Times New Roman" w:hAnsi="Times New Roman"/>
          <w:szCs w:val="24"/>
        </w:rPr>
      </w:pPr>
    </w:p>
    <w:p w:rsidR="00294552" w:rsidP="00294552" w:rsidRDefault="00294552" w14:paraId="5FCE0528" w14:textId="77777777">
      <w:pPr>
        <w:pStyle w:val="ListParagraph"/>
        <w:tabs>
          <w:tab w:val="left" w:pos="-720"/>
        </w:tabs>
        <w:suppressAutoHyphens/>
        <w:ind w:left="900"/>
        <w:contextualSpacing w:val="0"/>
        <w:rPr>
          <w:rStyle w:val="a"/>
          <w:rFonts w:ascii="Times New Roman" w:hAnsi="Times New Roman"/>
          <w:szCs w:val="24"/>
        </w:rPr>
      </w:pPr>
    </w:p>
    <w:tbl>
      <w:tblPr>
        <w:tblW w:w="9480" w:type="dxa"/>
        <w:tblInd w:w="93" w:type="dxa"/>
        <w:tblLook w:val="04A0" w:firstRow="1" w:lastRow="0" w:firstColumn="1" w:lastColumn="0" w:noHBand="0" w:noVBand="1"/>
      </w:tblPr>
      <w:tblGrid>
        <w:gridCol w:w="4329"/>
        <w:gridCol w:w="1652"/>
        <w:gridCol w:w="1170"/>
        <w:gridCol w:w="927"/>
        <w:gridCol w:w="1402"/>
      </w:tblGrid>
      <w:tr w:rsidRPr="005530F5" w:rsidR="00294552" w:rsidTr="00294552" w14:paraId="0C666AF4" w14:textId="77777777">
        <w:trPr>
          <w:trHeight w:val="825"/>
          <w:tblHeader/>
        </w:trPr>
        <w:tc>
          <w:tcPr>
            <w:tcW w:w="4329" w:type="dxa"/>
            <w:vMerge w:val="restart"/>
            <w:tcBorders>
              <w:top w:val="single" w:color="auto" w:sz="8" w:space="0"/>
              <w:left w:val="single" w:color="auto" w:sz="8" w:space="0"/>
              <w:bottom w:val="single" w:color="000000" w:sz="8" w:space="0"/>
              <w:right w:val="single" w:color="auto" w:sz="8" w:space="0"/>
            </w:tcBorders>
            <w:shd w:val="clear" w:color="000000" w:fill="E0E0E0"/>
            <w:vAlign w:val="center"/>
            <w:hideMark/>
          </w:tcPr>
          <w:p w:rsidRPr="005530F5" w:rsidR="00294552" w:rsidP="002226A8" w:rsidRDefault="00294552" w14:paraId="7DA8CC22" w14:textId="77777777">
            <w:pPr>
              <w:jc w:val="both"/>
              <w:rPr>
                <w:rFonts w:ascii="Times New Roman" w:hAnsi="Times New Roman"/>
                <w:color w:val="000000"/>
                <w:sz w:val="22"/>
                <w:szCs w:val="22"/>
              </w:rPr>
            </w:pPr>
            <w:r w:rsidRPr="005530F5">
              <w:rPr>
                <w:rFonts w:ascii="Times New Roman" w:hAnsi="Times New Roman"/>
                <w:color w:val="000000"/>
                <w:sz w:val="22"/>
                <w:szCs w:val="28"/>
              </w:rPr>
              <w:t xml:space="preserve">Operational or Programmatic Task </w:t>
            </w:r>
          </w:p>
        </w:tc>
        <w:tc>
          <w:tcPr>
            <w:tcW w:w="1652" w:type="dxa"/>
            <w:vMerge w:val="restart"/>
            <w:tcBorders>
              <w:top w:val="single" w:color="auto" w:sz="8" w:space="0"/>
              <w:left w:val="single" w:color="auto" w:sz="8" w:space="0"/>
              <w:bottom w:val="single" w:color="000000" w:sz="8" w:space="0"/>
              <w:right w:val="single" w:color="auto" w:sz="8" w:space="0"/>
            </w:tcBorders>
            <w:shd w:val="clear" w:color="000000" w:fill="E0E0E0"/>
            <w:vAlign w:val="center"/>
            <w:hideMark/>
          </w:tcPr>
          <w:p w:rsidRPr="005530F5" w:rsidR="00294552" w:rsidP="002226A8" w:rsidRDefault="00294552" w14:paraId="4FAC372D" w14:textId="77777777">
            <w:pPr>
              <w:jc w:val="center"/>
              <w:rPr>
                <w:rFonts w:ascii="Times New Roman" w:hAnsi="Times New Roman"/>
                <w:b/>
                <w:bCs/>
                <w:color w:val="000000"/>
                <w:sz w:val="22"/>
                <w:szCs w:val="22"/>
              </w:rPr>
            </w:pPr>
            <w:r w:rsidRPr="005530F5">
              <w:rPr>
                <w:rFonts w:ascii="Times New Roman" w:hAnsi="Times New Roman"/>
                <w:b/>
                <w:bCs/>
                <w:color w:val="000000"/>
                <w:sz w:val="22"/>
              </w:rPr>
              <w:t>Wage per Hour</w:t>
            </w:r>
          </w:p>
        </w:tc>
        <w:tc>
          <w:tcPr>
            <w:tcW w:w="1170" w:type="dxa"/>
            <w:vMerge w:val="restart"/>
            <w:tcBorders>
              <w:top w:val="single" w:color="auto" w:sz="8" w:space="0"/>
              <w:left w:val="single" w:color="auto" w:sz="8" w:space="0"/>
              <w:bottom w:val="single" w:color="000000" w:sz="8" w:space="0"/>
              <w:right w:val="single" w:color="auto" w:sz="8" w:space="0"/>
            </w:tcBorders>
            <w:shd w:val="clear" w:color="000000" w:fill="E0E0E0"/>
            <w:vAlign w:val="center"/>
            <w:hideMark/>
          </w:tcPr>
          <w:p w:rsidRPr="005530F5" w:rsidR="00294552" w:rsidP="002226A8" w:rsidRDefault="00294552" w14:paraId="1CCD98E2" w14:textId="77777777">
            <w:pPr>
              <w:jc w:val="center"/>
              <w:rPr>
                <w:rFonts w:ascii="Times New Roman" w:hAnsi="Times New Roman"/>
                <w:b/>
                <w:bCs/>
                <w:color w:val="000000"/>
                <w:sz w:val="22"/>
                <w:szCs w:val="22"/>
              </w:rPr>
            </w:pPr>
            <w:r w:rsidRPr="005530F5">
              <w:rPr>
                <w:rFonts w:ascii="Times New Roman" w:hAnsi="Times New Roman"/>
                <w:b/>
                <w:bCs/>
                <w:color w:val="000000"/>
                <w:sz w:val="22"/>
              </w:rPr>
              <w:t>Staff Resources</w:t>
            </w:r>
          </w:p>
        </w:tc>
        <w:tc>
          <w:tcPr>
            <w:tcW w:w="927" w:type="dxa"/>
            <w:tcBorders>
              <w:top w:val="single" w:color="auto" w:sz="8" w:space="0"/>
              <w:left w:val="nil"/>
              <w:bottom w:val="nil"/>
              <w:right w:val="single" w:color="auto" w:sz="8" w:space="0"/>
            </w:tcBorders>
            <w:shd w:val="clear" w:color="000000" w:fill="E0E0E0"/>
            <w:vAlign w:val="center"/>
            <w:hideMark/>
          </w:tcPr>
          <w:p w:rsidRPr="005530F5" w:rsidR="00294552" w:rsidP="002226A8" w:rsidRDefault="00294552" w14:paraId="166EE049" w14:textId="77777777">
            <w:pPr>
              <w:jc w:val="center"/>
              <w:rPr>
                <w:rFonts w:ascii="Times New Roman" w:hAnsi="Times New Roman"/>
                <w:b/>
                <w:bCs/>
                <w:color w:val="000000"/>
                <w:sz w:val="22"/>
                <w:szCs w:val="22"/>
              </w:rPr>
            </w:pPr>
            <w:r w:rsidRPr="005530F5">
              <w:rPr>
                <w:rFonts w:ascii="Times New Roman" w:hAnsi="Times New Roman"/>
                <w:b/>
                <w:bCs/>
                <w:color w:val="000000"/>
                <w:sz w:val="22"/>
              </w:rPr>
              <w:t>Total</w:t>
            </w:r>
          </w:p>
        </w:tc>
        <w:tc>
          <w:tcPr>
            <w:tcW w:w="1402" w:type="dxa"/>
            <w:vMerge w:val="restart"/>
            <w:tcBorders>
              <w:top w:val="single" w:color="auto" w:sz="8" w:space="0"/>
              <w:left w:val="single" w:color="auto" w:sz="8" w:space="0"/>
              <w:bottom w:val="single" w:color="000000" w:sz="8" w:space="0"/>
              <w:right w:val="single" w:color="auto" w:sz="8" w:space="0"/>
            </w:tcBorders>
            <w:shd w:val="clear" w:color="000000" w:fill="E0E0E0"/>
            <w:vAlign w:val="center"/>
            <w:hideMark/>
          </w:tcPr>
          <w:p w:rsidRPr="005530F5" w:rsidR="00294552" w:rsidP="002226A8" w:rsidRDefault="00294552" w14:paraId="369EFD41" w14:textId="77777777">
            <w:pPr>
              <w:jc w:val="center"/>
              <w:rPr>
                <w:rFonts w:ascii="Times New Roman" w:hAnsi="Times New Roman"/>
                <w:b/>
                <w:bCs/>
                <w:color w:val="000000"/>
                <w:sz w:val="22"/>
                <w:szCs w:val="22"/>
              </w:rPr>
            </w:pPr>
            <w:r w:rsidRPr="005530F5">
              <w:rPr>
                <w:rFonts w:ascii="Times New Roman" w:hAnsi="Times New Roman"/>
                <w:b/>
                <w:bCs/>
                <w:color w:val="000000"/>
                <w:sz w:val="22"/>
              </w:rPr>
              <w:t>Cost to Federal Government</w:t>
            </w:r>
          </w:p>
        </w:tc>
      </w:tr>
      <w:tr w:rsidRPr="005530F5" w:rsidR="00294552" w:rsidTr="00294552" w14:paraId="5A34673E" w14:textId="77777777">
        <w:trPr>
          <w:trHeight w:val="315"/>
          <w:tblHeader/>
        </w:trPr>
        <w:tc>
          <w:tcPr>
            <w:tcW w:w="4329" w:type="dxa"/>
            <w:vMerge/>
            <w:tcBorders>
              <w:top w:val="single" w:color="auto" w:sz="8" w:space="0"/>
              <w:left w:val="single" w:color="auto" w:sz="8" w:space="0"/>
              <w:bottom w:val="single" w:color="000000" w:sz="8" w:space="0"/>
              <w:right w:val="single" w:color="auto" w:sz="8" w:space="0"/>
            </w:tcBorders>
            <w:vAlign w:val="center"/>
            <w:hideMark/>
          </w:tcPr>
          <w:p w:rsidRPr="005530F5" w:rsidR="00294552" w:rsidP="002226A8" w:rsidRDefault="00294552" w14:paraId="5021B8EE" w14:textId="77777777">
            <w:pPr>
              <w:rPr>
                <w:rFonts w:ascii="Times New Roman" w:hAnsi="Times New Roman"/>
                <w:color w:val="000000"/>
                <w:sz w:val="22"/>
                <w:szCs w:val="22"/>
              </w:rPr>
            </w:pPr>
          </w:p>
        </w:tc>
        <w:tc>
          <w:tcPr>
            <w:tcW w:w="1652" w:type="dxa"/>
            <w:vMerge/>
            <w:tcBorders>
              <w:top w:val="single" w:color="auto" w:sz="8" w:space="0"/>
              <w:left w:val="single" w:color="auto" w:sz="8" w:space="0"/>
              <w:bottom w:val="single" w:color="000000" w:sz="8" w:space="0"/>
              <w:right w:val="single" w:color="auto" w:sz="8" w:space="0"/>
            </w:tcBorders>
            <w:vAlign w:val="center"/>
            <w:hideMark/>
          </w:tcPr>
          <w:p w:rsidRPr="005530F5" w:rsidR="00294552" w:rsidP="002226A8" w:rsidRDefault="00294552" w14:paraId="38C05555" w14:textId="77777777">
            <w:pPr>
              <w:rPr>
                <w:rFonts w:ascii="Times New Roman" w:hAnsi="Times New Roman"/>
                <w:b/>
                <w:bCs/>
                <w:color w:val="000000"/>
                <w:sz w:val="22"/>
                <w:szCs w:val="22"/>
              </w:rPr>
            </w:pPr>
          </w:p>
        </w:tc>
        <w:tc>
          <w:tcPr>
            <w:tcW w:w="1170" w:type="dxa"/>
            <w:vMerge/>
            <w:tcBorders>
              <w:top w:val="single" w:color="auto" w:sz="8" w:space="0"/>
              <w:left w:val="single" w:color="auto" w:sz="8" w:space="0"/>
              <w:bottom w:val="single" w:color="000000" w:sz="8" w:space="0"/>
              <w:right w:val="single" w:color="auto" w:sz="8" w:space="0"/>
            </w:tcBorders>
            <w:vAlign w:val="center"/>
            <w:hideMark/>
          </w:tcPr>
          <w:p w:rsidRPr="005530F5" w:rsidR="00294552" w:rsidP="002226A8" w:rsidRDefault="00294552" w14:paraId="459673AC" w14:textId="77777777">
            <w:pPr>
              <w:rPr>
                <w:rFonts w:ascii="Times New Roman" w:hAnsi="Times New Roman"/>
                <w:b/>
                <w:bCs/>
                <w:color w:val="000000"/>
                <w:sz w:val="22"/>
                <w:szCs w:val="22"/>
              </w:rPr>
            </w:pPr>
          </w:p>
        </w:tc>
        <w:tc>
          <w:tcPr>
            <w:tcW w:w="927" w:type="dxa"/>
            <w:tcBorders>
              <w:top w:val="nil"/>
              <w:left w:val="nil"/>
              <w:bottom w:val="single" w:color="auto" w:sz="8" w:space="0"/>
              <w:right w:val="single" w:color="auto" w:sz="8" w:space="0"/>
            </w:tcBorders>
            <w:shd w:val="clear" w:color="000000" w:fill="E0E0E0"/>
            <w:vAlign w:val="center"/>
            <w:hideMark/>
          </w:tcPr>
          <w:p w:rsidRPr="005530F5" w:rsidR="00294552" w:rsidP="002226A8" w:rsidRDefault="00294552" w14:paraId="37E06680" w14:textId="77777777">
            <w:pPr>
              <w:jc w:val="center"/>
              <w:rPr>
                <w:rFonts w:ascii="Times New Roman" w:hAnsi="Times New Roman"/>
                <w:b/>
                <w:bCs/>
                <w:color w:val="000000"/>
                <w:sz w:val="22"/>
                <w:szCs w:val="22"/>
              </w:rPr>
            </w:pPr>
            <w:r w:rsidRPr="005530F5">
              <w:rPr>
                <w:rFonts w:ascii="Times New Roman" w:hAnsi="Times New Roman"/>
                <w:b/>
                <w:bCs/>
                <w:color w:val="000000"/>
                <w:sz w:val="22"/>
              </w:rPr>
              <w:t>Hours</w:t>
            </w:r>
          </w:p>
        </w:tc>
        <w:tc>
          <w:tcPr>
            <w:tcW w:w="1402" w:type="dxa"/>
            <w:vMerge/>
            <w:tcBorders>
              <w:top w:val="single" w:color="auto" w:sz="8" w:space="0"/>
              <w:left w:val="single" w:color="auto" w:sz="8" w:space="0"/>
              <w:bottom w:val="single" w:color="000000" w:sz="8" w:space="0"/>
              <w:right w:val="single" w:color="auto" w:sz="8" w:space="0"/>
            </w:tcBorders>
            <w:vAlign w:val="center"/>
            <w:hideMark/>
          </w:tcPr>
          <w:p w:rsidRPr="005530F5" w:rsidR="00294552" w:rsidP="002226A8" w:rsidRDefault="00294552" w14:paraId="36C90E3F" w14:textId="77777777">
            <w:pPr>
              <w:rPr>
                <w:rFonts w:ascii="Times New Roman" w:hAnsi="Times New Roman"/>
                <w:b/>
                <w:bCs/>
                <w:color w:val="000000"/>
                <w:sz w:val="22"/>
                <w:szCs w:val="22"/>
              </w:rPr>
            </w:pPr>
          </w:p>
        </w:tc>
      </w:tr>
      <w:tr w:rsidRPr="005530F5" w:rsidR="00294552" w:rsidTr="002226A8" w14:paraId="5636E7EC" w14:textId="77777777">
        <w:trPr>
          <w:trHeight w:val="615"/>
        </w:trPr>
        <w:tc>
          <w:tcPr>
            <w:tcW w:w="4329" w:type="dxa"/>
            <w:tcBorders>
              <w:top w:val="nil"/>
              <w:left w:val="single" w:color="auto" w:sz="8" w:space="0"/>
              <w:bottom w:val="single" w:color="auto" w:sz="8" w:space="0"/>
              <w:right w:val="single" w:color="auto" w:sz="8" w:space="0"/>
            </w:tcBorders>
            <w:shd w:val="clear" w:color="auto" w:fill="auto"/>
            <w:vAlign w:val="center"/>
            <w:hideMark/>
          </w:tcPr>
          <w:p w:rsidRPr="005530F5" w:rsidR="00294552" w:rsidP="002226A8" w:rsidRDefault="00294552" w14:paraId="2769A5FE" w14:textId="77777777">
            <w:pPr>
              <w:rPr>
                <w:rFonts w:ascii="Times New Roman" w:hAnsi="Times New Roman"/>
                <w:color w:val="000000"/>
                <w:sz w:val="22"/>
                <w:szCs w:val="22"/>
              </w:rPr>
            </w:pPr>
            <w:r w:rsidRPr="005530F5">
              <w:rPr>
                <w:rFonts w:ascii="Times New Roman" w:hAnsi="Times New Roman"/>
                <w:color w:val="000000"/>
                <w:sz w:val="22"/>
              </w:rPr>
              <w:t xml:space="preserve">Gather data and develop OMB justification statement </w:t>
            </w:r>
          </w:p>
        </w:tc>
        <w:tc>
          <w:tcPr>
            <w:tcW w:w="1652"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1B11CD67" w14:textId="77777777">
            <w:pPr>
              <w:jc w:val="center"/>
              <w:rPr>
                <w:rFonts w:ascii="Times New Roman" w:hAnsi="Times New Roman"/>
                <w:color w:val="000000"/>
                <w:sz w:val="22"/>
                <w:szCs w:val="22"/>
              </w:rPr>
            </w:pPr>
            <w:r w:rsidRPr="005530F5">
              <w:rPr>
                <w:rFonts w:ascii="Times New Roman" w:hAnsi="Times New Roman"/>
                <w:color w:val="000000"/>
                <w:sz w:val="22"/>
              </w:rPr>
              <w:t xml:space="preserve">$65 </w:t>
            </w:r>
          </w:p>
        </w:tc>
        <w:tc>
          <w:tcPr>
            <w:tcW w:w="1170"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1501B0E0" w14:textId="77777777">
            <w:pPr>
              <w:jc w:val="center"/>
              <w:rPr>
                <w:rFonts w:ascii="Times New Roman" w:hAnsi="Times New Roman"/>
                <w:color w:val="000000"/>
                <w:sz w:val="22"/>
                <w:szCs w:val="22"/>
              </w:rPr>
            </w:pPr>
            <w:r w:rsidRPr="005530F5">
              <w:rPr>
                <w:rFonts w:ascii="Times New Roman" w:hAnsi="Times New Roman"/>
                <w:color w:val="000000"/>
                <w:sz w:val="22"/>
              </w:rPr>
              <w:t>1</w:t>
            </w:r>
          </w:p>
        </w:tc>
        <w:tc>
          <w:tcPr>
            <w:tcW w:w="927"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7CEB4DA6" w14:textId="77777777">
            <w:pPr>
              <w:jc w:val="center"/>
              <w:rPr>
                <w:rFonts w:ascii="Times New Roman" w:hAnsi="Times New Roman"/>
                <w:color w:val="000000"/>
                <w:sz w:val="22"/>
                <w:szCs w:val="22"/>
              </w:rPr>
            </w:pPr>
            <w:r w:rsidRPr="005530F5">
              <w:rPr>
                <w:rFonts w:ascii="Times New Roman" w:hAnsi="Times New Roman"/>
                <w:color w:val="000000"/>
                <w:sz w:val="22"/>
              </w:rPr>
              <w:t>30</w:t>
            </w:r>
          </w:p>
        </w:tc>
        <w:tc>
          <w:tcPr>
            <w:tcW w:w="1402"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6A0ED60F" w14:textId="77777777">
            <w:pPr>
              <w:jc w:val="center"/>
              <w:rPr>
                <w:rFonts w:ascii="Times New Roman" w:hAnsi="Times New Roman"/>
                <w:color w:val="000000"/>
                <w:sz w:val="22"/>
                <w:szCs w:val="22"/>
              </w:rPr>
            </w:pPr>
            <w:r w:rsidRPr="005530F5">
              <w:rPr>
                <w:rFonts w:ascii="Times New Roman" w:hAnsi="Times New Roman"/>
                <w:color w:val="000000"/>
                <w:sz w:val="22"/>
              </w:rPr>
              <w:t xml:space="preserve">$1,950 </w:t>
            </w:r>
          </w:p>
        </w:tc>
      </w:tr>
      <w:tr w:rsidRPr="005530F5" w:rsidR="00294552" w:rsidTr="002226A8" w14:paraId="338AD0C3" w14:textId="77777777">
        <w:trPr>
          <w:trHeight w:val="615"/>
        </w:trPr>
        <w:tc>
          <w:tcPr>
            <w:tcW w:w="4329" w:type="dxa"/>
            <w:tcBorders>
              <w:top w:val="nil"/>
              <w:left w:val="single" w:color="auto" w:sz="8" w:space="0"/>
              <w:bottom w:val="single" w:color="auto" w:sz="8" w:space="0"/>
              <w:right w:val="single" w:color="auto" w:sz="8" w:space="0"/>
            </w:tcBorders>
            <w:shd w:val="clear" w:color="auto" w:fill="auto"/>
            <w:vAlign w:val="center"/>
            <w:hideMark/>
          </w:tcPr>
          <w:p w:rsidRPr="005530F5" w:rsidR="00294552" w:rsidP="002226A8" w:rsidRDefault="00294552" w14:paraId="136C26D9" w14:textId="77777777">
            <w:pPr>
              <w:rPr>
                <w:rFonts w:ascii="Times New Roman" w:hAnsi="Times New Roman"/>
                <w:color w:val="000000"/>
                <w:sz w:val="22"/>
                <w:szCs w:val="22"/>
              </w:rPr>
            </w:pPr>
            <w:r w:rsidRPr="005530F5">
              <w:rPr>
                <w:rFonts w:ascii="Times New Roman" w:hAnsi="Times New Roman"/>
                <w:color w:val="000000"/>
                <w:sz w:val="22"/>
              </w:rPr>
              <w:t xml:space="preserve">Develop application forms and instructions </w:t>
            </w:r>
          </w:p>
        </w:tc>
        <w:tc>
          <w:tcPr>
            <w:tcW w:w="1652"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371B0BB4" w14:textId="77777777">
            <w:pPr>
              <w:jc w:val="center"/>
              <w:rPr>
                <w:rFonts w:ascii="Times New Roman" w:hAnsi="Times New Roman"/>
                <w:color w:val="000000"/>
                <w:sz w:val="22"/>
                <w:szCs w:val="22"/>
              </w:rPr>
            </w:pPr>
            <w:r w:rsidRPr="005530F5">
              <w:rPr>
                <w:rFonts w:ascii="Times New Roman" w:hAnsi="Times New Roman"/>
                <w:color w:val="000000"/>
                <w:sz w:val="22"/>
              </w:rPr>
              <w:t xml:space="preserve">$65 </w:t>
            </w:r>
          </w:p>
        </w:tc>
        <w:tc>
          <w:tcPr>
            <w:tcW w:w="1170"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239CCD10" w14:textId="77777777">
            <w:pPr>
              <w:jc w:val="center"/>
              <w:rPr>
                <w:rFonts w:ascii="Times New Roman" w:hAnsi="Times New Roman"/>
                <w:color w:val="000000"/>
                <w:sz w:val="22"/>
                <w:szCs w:val="22"/>
              </w:rPr>
            </w:pPr>
            <w:r w:rsidRPr="005530F5">
              <w:rPr>
                <w:rFonts w:ascii="Times New Roman" w:hAnsi="Times New Roman"/>
                <w:color w:val="000000"/>
                <w:sz w:val="22"/>
              </w:rPr>
              <w:t>1</w:t>
            </w:r>
          </w:p>
        </w:tc>
        <w:tc>
          <w:tcPr>
            <w:tcW w:w="927"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51739C07" w14:textId="77777777">
            <w:pPr>
              <w:jc w:val="center"/>
              <w:rPr>
                <w:rFonts w:ascii="Times New Roman" w:hAnsi="Times New Roman"/>
                <w:color w:val="000000"/>
                <w:sz w:val="22"/>
                <w:szCs w:val="22"/>
              </w:rPr>
            </w:pPr>
            <w:r w:rsidRPr="005530F5">
              <w:rPr>
                <w:rFonts w:ascii="Times New Roman" w:hAnsi="Times New Roman"/>
                <w:color w:val="000000"/>
                <w:sz w:val="22"/>
              </w:rPr>
              <w:t>60</w:t>
            </w:r>
          </w:p>
        </w:tc>
        <w:tc>
          <w:tcPr>
            <w:tcW w:w="1402"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5B35A1BE" w14:textId="77777777">
            <w:pPr>
              <w:jc w:val="center"/>
              <w:rPr>
                <w:rFonts w:ascii="Times New Roman" w:hAnsi="Times New Roman"/>
                <w:color w:val="000000"/>
                <w:sz w:val="22"/>
                <w:szCs w:val="22"/>
              </w:rPr>
            </w:pPr>
            <w:r w:rsidRPr="005530F5">
              <w:rPr>
                <w:rFonts w:ascii="Times New Roman" w:hAnsi="Times New Roman"/>
                <w:color w:val="000000"/>
                <w:sz w:val="22"/>
              </w:rPr>
              <w:t xml:space="preserve">$3,900 </w:t>
            </w:r>
          </w:p>
        </w:tc>
      </w:tr>
      <w:tr w:rsidRPr="005530F5" w:rsidR="00294552" w:rsidTr="002226A8" w14:paraId="5F5B36F5" w14:textId="77777777">
        <w:trPr>
          <w:trHeight w:val="585"/>
        </w:trPr>
        <w:tc>
          <w:tcPr>
            <w:tcW w:w="4329" w:type="dxa"/>
            <w:vMerge w:val="restart"/>
            <w:tcBorders>
              <w:top w:val="nil"/>
              <w:left w:val="single" w:color="auto" w:sz="8" w:space="0"/>
              <w:bottom w:val="single" w:color="000000" w:sz="8" w:space="0"/>
              <w:right w:val="single" w:color="auto" w:sz="8" w:space="0"/>
            </w:tcBorders>
            <w:shd w:val="clear" w:color="auto" w:fill="auto"/>
            <w:vAlign w:val="center"/>
            <w:hideMark/>
          </w:tcPr>
          <w:p w:rsidRPr="005530F5" w:rsidR="00294552" w:rsidP="002226A8" w:rsidRDefault="00294552" w14:paraId="6F77A167" w14:textId="77777777">
            <w:pPr>
              <w:rPr>
                <w:rFonts w:ascii="Times New Roman" w:hAnsi="Times New Roman"/>
                <w:color w:val="000000"/>
                <w:sz w:val="22"/>
                <w:szCs w:val="22"/>
              </w:rPr>
            </w:pPr>
            <w:r w:rsidRPr="005530F5">
              <w:rPr>
                <w:rFonts w:ascii="Times New Roman" w:hAnsi="Times New Roman"/>
                <w:color w:val="000000"/>
                <w:sz w:val="22"/>
              </w:rPr>
              <w:lastRenderedPageBreak/>
              <w:t>Develop and seek approval to publish Notice Inviting Applications</w:t>
            </w:r>
            <w:r>
              <w:rPr>
                <w:rFonts w:ascii="Times New Roman" w:hAnsi="Times New Roman"/>
                <w:color w:val="000000"/>
                <w:sz w:val="22"/>
              </w:rPr>
              <w:t>; develop competition technical review plan</w:t>
            </w:r>
          </w:p>
        </w:tc>
        <w:tc>
          <w:tcPr>
            <w:tcW w:w="1652" w:type="dxa"/>
            <w:vMerge w:val="restart"/>
            <w:tcBorders>
              <w:top w:val="nil"/>
              <w:left w:val="single" w:color="auto" w:sz="8" w:space="0"/>
              <w:bottom w:val="single" w:color="000000" w:sz="8" w:space="0"/>
              <w:right w:val="single" w:color="auto" w:sz="8" w:space="0"/>
            </w:tcBorders>
            <w:shd w:val="clear" w:color="auto" w:fill="auto"/>
            <w:vAlign w:val="center"/>
            <w:hideMark/>
          </w:tcPr>
          <w:p w:rsidRPr="005530F5" w:rsidR="00294552" w:rsidP="002226A8" w:rsidRDefault="00294552" w14:paraId="5B77E114" w14:textId="77777777">
            <w:pPr>
              <w:jc w:val="center"/>
              <w:rPr>
                <w:rFonts w:ascii="Times New Roman" w:hAnsi="Times New Roman"/>
                <w:color w:val="000000"/>
                <w:sz w:val="22"/>
                <w:szCs w:val="22"/>
              </w:rPr>
            </w:pPr>
            <w:r w:rsidRPr="005530F5">
              <w:rPr>
                <w:rFonts w:ascii="Times New Roman" w:hAnsi="Times New Roman"/>
                <w:color w:val="000000"/>
                <w:sz w:val="22"/>
                <w:szCs w:val="22"/>
              </w:rPr>
              <w:t xml:space="preserve">$65 </w:t>
            </w:r>
          </w:p>
        </w:tc>
        <w:tc>
          <w:tcPr>
            <w:tcW w:w="1170" w:type="dxa"/>
            <w:vMerge w:val="restart"/>
            <w:tcBorders>
              <w:top w:val="nil"/>
              <w:left w:val="single" w:color="auto" w:sz="8" w:space="0"/>
              <w:bottom w:val="single" w:color="000000" w:sz="8" w:space="0"/>
              <w:right w:val="single" w:color="auto" w:sz="8" w:space="0"/>
            </w:tcBorders>
            <w:shd w:val="clear" w:color="auto" w:fill="auto"/>
            <w:vAlign w:val="center"/>
            <w:hideMark/>
          </w:tcPr>
          <w:p w:rsidRPr="005530F5" w:rsidR="00294552" w:rsidP="002226A8" w:rsidRDefault="00294552" w14:paraId="2102B56D" w14:textId="77777777">
            <w:pPr>
              <w:jc w:val="center"/>
              <w:rPr>
                <w:rFonts w:ascii="Times New Roman" w:hAnsi="Times New Roman"/>
                <w:color w:val="000000"/>
                <w:sz w:val="22"/>
                <w:szCs w:val="22"/>
              </w:rPr>
            </w:pPr>
            <w:r w:rsidRPr="005530F5">
              <w:rPr>
                <w:rFonts w:ascii="Times New Roman" w:hAnsi="Times New Roman"/>
                <w:color w:val="000000"/>
                <w:sz w:val="22"/>
              </w:rPr>
              <w:t>1</w:t>
            </w:r>
          </w:p>
        </w:tc>
        <w:tc>
          <w:tcPr>
            <w:tcW w:w="927" w:type="dxa"/>
            <w:vMerge w:val="restart"/>
            <w:tcBorders>
              <w:top w:val="nil"/>
              <w:left w:val="single" w:color="auto" w:sz="8" w:space="0"/>
              <w:bottom w:val="single" w:color="000000" w:sz="8" w:space="0"/>
              <w:right w:val="single" w:color="auto" w:sz="8" w:space="0"/>
            </w:tcBorders>
            <w:shd w:val="clear" w:color="auto" w:fill="auto"/>
            <w:vAlign w:val="center"/>
            <w:hideMark/>
          </w:tcPr>
          <w:p w:rsidRPr="005530F5" w:rsidR="00294552" w:rsidP="002226A8" w:rsidRDefault="00294552" w14:paraId="7FF6E56B" w14:textId="77777777">
            <w:pPr>
              <w:jc w:val="center"/>
              <w:rPr>
                <w:rFonts w:ascii="Times New Roman" w:hAnsi="Times New Roman"/>
                <w:color w:val="000000"/>
                <w:sz w:val="22"/>
                <w:szCs w:val="22"/>
              </w:rPr>
            </w:pPr>
            <w:r>
              <w:rPr>
                <w:rFonts w:ascii="Times New Roman" w:hAnsi="Times New Roman"/>
                <w:color w:val="000000"/>
                <w:sz w:val="22"/>
                <w:szCs w:val="22"/>
              </w:rPr>
              <w:t>60</w:t>
            </w:r>
          </w:p>
        </w:tc>
        <w:tc>
          <w:tcPr>
            <w:tcW w:w="1402" w:type="dxa"/>
            <w:vMerge w:val="restart"/>
            <w:tcBorders>
              <w:top w:val="nil"/>
              <w:left w:val="single" w:color="auto" w:sz="8" w:space="0"/>
              <w:bottom w:val="single" w:color="000000" w:sz="8" w:space="0"/>
              <w:right w:val="single" w:color="auto" w:sz="8" w:space="0"/>
            </w:tcBorders>
            <w:shd w:val="clear" w:color="auto" w:fill="auto"/>
            <w:vAlign w:val="center"/>
            <w:hideMark/>
          </w:tcPr>
          <w:p w:rsidRPr="005530F5" w:rsidR="00294552" w:rsidP="002226A8" w:rsidRDefault="00294552" w14:paraId="3DCC3D5F" w14:textId="77777777">
            <w:pPr>
              <w:jc w:val="center"/>
              <w:rPr>
                <w:rFonts w:ascii="Times New Roman" w:hAnsi="Times New Roman"/>
                <w:color w:val="000000"/>
                <w:sz w:val="22"/>
                <w:szCs w:val="22"/>
              </w:rPr>
            </w:pPr>
            <w:r w:rsidRPr="005530F5">
              <w:rPr>
                <w:rFonts w:ascii="Times New Roman" w:hAnsi="Times New Roman"/>
                <w:color w:val="000000"/>
                <w:sz w:val="22"/>
                <w:szCs w:val="22"/>
              </w:rPr>
              <w:t xml:space="preserve">$3,900 </w:t>
            </w:r>
          </w:p>
        </w:tc>
      </w:tr>
      <w:tr w:rsidRPr="005530F5" w:rsidR="00294552" w:rsidTr="002226A8" w14:paraId="67E6269B" w14:textId="77777777">
        <w:trPr>
          <w:trHeight w:val="315"/>
        </w:trPr>
        <w:tc>
          <w:tcPr>
            <w:tcW w:w="4329" w:type="dxa"/>
            <w:vMerge/>
            <w:tcBorders>
              <w:top w:val="nil"/>
              <w:left w:val="single" w:color="auto" w:sz="8" w:space="0"/>
              <w:bottom w:val="single" w:color="000000" w:sz="8" w:space="0"/>
              <w:right w:val="single" w:color="auto" w:sz="8" w:space="0"/>
            </w:tcBorders>
            <w:vAlign w:val="center"/>
            <w:hideMark/>
          </w:tcPr>
          <w:p w:rsidRPr="005530F5" w:rsidR="00294552" w:rsidP="002226A8" w:rsidRDefault="00294552" w14:paraId="49583FDA" w14:textId="77777777">
            <w:pPr>
              <w:rPr>
                <w:rFonts w:ascii="Times New Roman" w:hAnsi="Times New Roman"/>
                <w:color w:val="000000"/>
                <w:sz w:val="22"/>
                <w:szCs w:val="22"/>
              </w:rPr>
            </w:pPr>
          </w:p>
        </w:tc>
        <w:tc>
          <w:tcPr>
            <w:tcW w:w="1652" w:type="dxa"/>
            <w:vMerge/>
            <w:tcBorders>
              <w:top w:val="nil"/>
              <w:left w:val="single" w:color="auto" w:sz="8" w:space="0"/>
              <w:bottom w:val="single" w:color="000000" w:sz="8" w:space="0"/>
              <w:right w:val="single" w:color="auto" w:sz="8" w:space="0"/>
            </w:tcBorders>
            <w:vAlign w:val="center"/>
            <w:hideMark/>
          </w:tcPr>
          <w:p w:rsidRPr="005530F5" w:rsidR="00294552" w:rsidP="002226A8" w:rsidRDefault="00294552" w14:paraId="599668C8" w14:textId="77777777">
            <w:pPr>
              <w:rPr>
                <w:rFonts w:ascii="Times New Roman" w:hAnsi="Times New Roman"/>
                <w:color w:val="000000"/>
                <w:sz w:val="22"/>
                <w:szCs w:val="22"/>
              </w:rPr>
            </w:pPr>
          </w:p>
        </w:tc>
        <w:tc>
          <w:tcPr>
            <w:tcW w:w="1170" w:type="dxa"/>
            <w:vMerge/>
            <w:tcBorders>
              <w:top w:val="nil"/>
              <w:left w:val="single" w:color="auto" w:sz="8" w:space="0"/>
              <w:bottom w:val="single" w:color="000000" w:sz="8" w:space="0"/>
              <w:right w:val="single" w:color="auto" w:sz="8" w:space="0"/>
            </w:tcBorders>
            <w:vAlign w:val="center"/>
            <w:hideMark/>
          </w:tcPr>
          <w:p w:rsidRPr="005530F5" w:rsidR="00294552" w:rsidP="002226A8" w:rsidRDefault="00294552" w14:paraId="7A3EB1A5" w14:textId="77777777">
            <w:pPr>
              <w:rPr>
                <w:rFonts w:ascii="Times New Roman" w:hAnsi="Times New Roman"/>
                <w:color w:val="000000"/>
                <w:sz w:val="22"/>
                <w:szCs w:val="22"/>
              </w:rPr>
            </w:pPr>
          </w:p>
        </w:tc>
        <w:tc>
          <w:tcPr>
            <w:tcW w:w="927" w:type="dxa"/>
            <w:vMerge/>
            <w:tcBorders>
              <w:top w:val="nil"/>
              <w:left w:val="single" w:color="auto" w:sz="8" w:space="0"/>
              <w:bottom w:val="single" w:color="000000" w:sz="8" w:space="0"/>
              <w:right w:val="single" w:color="auto" w:sz="8" w:space="0"/>
            </w:tcBorders>
            <w:vAlign w:val="center"/>
            <w:hideMark/>
          </w:tcPr>
          <w:p w:rsidRPr="005530F5" w:rsidR="00294552" w:rsidP="002226A8" w:rsidRDefault="00294552" w14:paraId="523203D9" w14:textId="77777777">
            <w:pPr>
              <w:rPr>
                <w:rFonts w:ascii="Times New Roman" w:hAnsi="Times New Roman"/>
                <w:color w:val="000000"/>
                <w:sz w:val="22"/>
                <w:szCs w:val="22"/>
              </w:rPr>
            </w:pPr>
          </w:p>
        </w:tc>
        <w:tc>
          <w:tcPr>
            <w:tcW w:w="1402" w:type="dxa"/>
            <w:vMerge/>
            <w:tcBorders>
              <w:top w:val="nil"/>
              <w:left w:val="single" w:color="auto" w:sz="8" w:space="0"/>
              <w:bottom w:val="single" w:color="000000" w:sz="8" w:space="0"/>
              <w:right w:val="single" w:color="auto" w:sz="8" w:space="0"/>
            </w:tcBorders>
            <w:vAlign w:val="center"/>
            <w:hideMark/>
          </w:tcPr>
          <w:p w:rsidRPr="005530F5" w:rsidR="00294552" w:rsidP="002226A8" w:rsidRDefault="00294552" w14:paraId="63CA6DE0" w14:textId="77777777">
            <w:pPr>
              <w:rPr>
                <w:rFonts w:ascii="Times New Roman" w:hAnsi="Times New Roman"/>
                <w:color w:val="000000"/>
                <w:sz w:val="22"/>
                <w:szCs w:val="22"/>
              </w:rPr>
            </w:pPr>
          </w:p>
        </w:tc>
      </w:tr>
      <w:tr w:rsidRPr="005530F5" w:rsidR="00294552" w:rsidTr="002226A8" w14:paraId="677DA883" w14:textId="77777777">
        <w:trPr>
          <w:trHeight w:val="615"/>
        </w:trPr>
        <w:tc>
          <w:tcPr>
            <w:tcW w:w="4329" w:type="dxa"/>
            <w:tcBorders>
              <w:top w:val="nil"/>
              <w:left w:val="single" w:color="auto" w:sz="8" w:space="0"/>
              <w:bottom w:val="single" w:color="auto" w:sz="8" w:space="0"/>
              <w:right w:val="single" w:color="auto" w:sz="8" w:space="0"/>
            </w:tcBorders>
            <w:shd w:val="clear" w:color="auto" w:fill="auto"/>
            <w:vAlign w:val="center"/>
            <w:hideMark/>
          </w:tcPr>
          <w:p w:rsidRPr="005530F5" w:rsidR="00294552" w:rsidP="002226A8" w:rsidRDefault="00294552" w14:paraId="0363E84C" w14:textId="77777777">
            <w:pPr>
              <w:rPr>
                <w:rFonts w:ascii="Times New Roman" w:hAnsi="Times New Roman"/>
                <w:color w:val="000000"/>
                <w:sz w:val="22"/>
                <w:szCs w:val="22"/>
              </w:rPr>
            </w:pPr>
            <w:r>
              <w:rPr>
                <w:rFonts w:ascii="Times New Roman" w:hAnsi="Times New Roman"/>
                <w:color w:val="000000"/>
                <w:sz w:val="22"/>
              </w:rPr>
              <w:t xml:space="preserve">Make available (post) </w:t>
            </w:r>
            <w:r w:rsidRPr="005530F5">
              <w:rPr>
                <w:rFonts w:ascii="Times New Roman" w:hAnsi="Times New Roman"/>
                <w:color w:val="000000"/>
                <w:sz w:val="22"/>
              </w:rPr>
              <w:t xml:space="preserve">application </w:t>
            </w:r>
            <w:r>
              <w:rPr>
                <w:rFonts w:ascii="Times New Roman" w:hAnsi="Times New Roman"/>
                <w:color w:val="000000"/>
                <w:sz w:val="22"/>
              </w:rPr>
              <w:t>instructions  on ED’s</w:t>
            </w:r>
            <w:r w:rsidRPr="005530F5">
              <w:rPr>
                <w:rFonts w:ascii="Times New Roman" w:hAnsi="Times New Roman"/>
                <w:color w:val="000000"/>
                <w:sz w:val="22"/>
              </w:rPr>
              <w:t xml:space="preserve"> </w:t>
            </w:r>
            <w:r>
              <w:rPr>
                <w:rFonts w:ascii="Times New Roman" w:hAnsi="Times New Roman"/>
                <w:color w:val="000000"/>
                <w:sz w:val="22"/>
              </w:rPr>
              <w:t xml:space="preserve">Website </w:t>
            </w:r>
          </w:p>
        </w:tc>
        <w:tc>
          <w:tcPr>
            <w:tcW w:w="1652"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2AD352E0" w14:textId="77777777">
            <w:pPr>
              <w:jc w:val="center"/>
              <w:rPr>
                <w:rFonts w:ascii="Times New Roman" w:hAnsi="Times New Roman"/>
                <w:color w:val="000000"/>
                <w:sz w:val="22"/>
                <w:szCs w:val="22"/>
              </w:rPr>
            </w:pPr>
            <w:r w:rsidRPr="005530F5">
              <w:rPr>
                <w:rFonts w:ascii="Times New Roman" w:hAnsi="Times New Roman"/>
                <w:color w:val="000000"/>
                <w:sz w:val="22"/>
                <w:szCs w:val="22"/>
              </w:rPr>
              <w:t>$</w:t>
            </w:r>
            <w:r>
              <w:rPr>
                <w:rFonts w:ascii="Times New Roman" w:hAnsi="Times New Roman"/>
                <w:color w:val="000000"/>
                <w:sz w:val="22"/>
                <w:szCs w:val="22"/>
              </w:rPr>
              <w:t>50</w:t>
            </w:r>
          </w:p>
        </w:tc>
        <w:tc>
          <w:tcPr>
            <w:tcW w:w="1170"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081F15BF" w14:textId="77777777">
            <w:pPr>
              <w:jc w:val="center"/>
              <w:rPr>
                <w:rFonts w:ascii="Times New Roman" w:hAnsi="Times New Roman"/>
                <w:color w:val="000000"/>
                <w:sz w:val="22"/>
                <w:szCs w:val="22"/>
              </w:rPr>
            </w:pPr>
            <w:r w:rsidRPr="005530F5">
              <w:rPr>
                <w:rFonts w:ascii="Times New Roman" w:hAnsi="Times New Roman"/>
                <w:color w:val="000000"/>
                <w:sz w:val="22"/>
              </w:rPr>
              <w:t>1</w:t>
            </w:r>
          </w:p>
        </w:tc>
        <w:tc>
          <w:tcPr>
            <w:tcW w:w="927"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2B9206F9" w14:textId="77777777">
            <w:pPr>
              <w:jc w:val="center"/>
              <w:rPr>
                <w:rFonts w:ascii="Times New Roman" w:hAnsi="Times New Roman"/>
                <w:color w:val="000000"/>
                <w:sz w:val="22"/>
                <w:szCs w:val="22"/>
              </w:rPr>
            </w:pPr>
            <w:r>
              <w:rPr>
                <w:rFonts w:ascii="Times New Roman" w:hAnsi="Times New Roman"/>
                <w:color w:val="000000"/>
                <w:sz w:val="22"/>
                <w:szCs w:val="22"/>
              </w:rPr>
              <w:t>27</w:t>
            </w:r>
          </w:p>
        </w:tc>
        <w:tc>
          <w:tcPr>
            <w:tcW w:w="1402"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1C2235FB" w14:textId="77777777">
            <w:pPr>
              <w:jc w:val="center"/>
              <w:rPr>
                <w:rFonts w:ascii="Times New Roman" w:hAnsi="Times New Roman"/>
                <w:color w:val="000000"/>
                <w:sz w:val="22"/>
                <w:szCs w:val="22"/>
              </w:rPr>
            </w:pPr>
            <w:r w:rsidRPr="005530F5">
              <w:rPr>
                <w:rFonts w:ascii="Times New Roman" w:hAnsi="Times New Roman"/>
                <w:color w:val="000000"/>
                <w:sz w:val="22"/>
                <w:szCs w:val="22"/>
              </w:rPr>
              <w:t>$1,3</w:t>
            </w:r>
            <w:r>
              <w:rPr>
                <w:rFonts w:ascii="Times New Roman" w:hAnsi="Times New Roman"/>
                <w:color w:val="000000"/>
                <w:sz w:val="22"/>
                <w:szCs w:val="22"/>
              </w:rPr>
              <w:t>5</w:t>
            </w:r>
            <w:r w:rsidRPr="005530F5">
              <w:rPr>
                <w:rFonts w:ascii="Times New Roman" w:hAnsi="Times New Roman"/>
                <w:color w:val="000000"/>
                <w:sz w:val="22"/>
                <w:szCs w:val="22"/>
              </w:rPr>
              <w:t xml:space="preserve">0 </w:t>
            </w:r>
          </w:p>
        </w:tc>
      </w:tr>
      <w:tr w:rsidRPr="005530F5" w:rsidR="00294552" w:rsidTr="002226A8" w14:paraId="49F580DC" w14:textId="77777777">
        <w:trPr>
          <w:trHeight w:val="915"/>
        </w:trPr>
        <w:tc>
          <w:tcPr>
            <w:tcW w:w="4329" w:type="dxa"/>
            <w:tcBorders>
              <w:top w:val="nil"/>
              <w:left w:val="single" w:color="auto" w:sz="8" w:space="0"/>
              <w:bottom w:val="single" w:color="auto" w:sz="8" w:space="0"/>
              <w:right w:val="single" w:color="auto" w:sz="8" w:space="0"/>
            </w:tcBorders>
            <w:shd w:val="clear" w:color="auto" w:fill="auto"/>
            <w:vAlign w:val="center"/>
          </w:tcPr>
          <w:p w:rsidRPr="005530F5" w:rsidR="00294552" w:rsidP="002226A8" w:rsidRDefault="00294552" w14:paraId="5AB68A9F" w14:textId="77777777">
            <w:pPr>
              <w:rPr>
                <w:rFonts w:ascii="Times New Roman" w:hAnsi="Times New Roman"/>
                <w:color w:val="000000"/>
                <w:sz w:val="22"/>
              </w:rPr>
            </w:pPr>
            <w:r>
              <w:rPr>
                <w:rFonts w:ascii="Times New Roman" w:hAnsi="Times New Roman"/>
                <w:color w:val="000000"/>
                <w:sz w:val="22"/>
              </w:rPr>
              <w:t xml:space="preserve">Process 165 hard copy applications ED Application Control Center support staff (date stamp applications, mail receipt acknowledgements, assign PR award numbers, input data into G5, transfer hard copy applications to OPE/IFLE)  </w:t>
            </w:r>
          </w:p>
        </w:tc>
        <w:tc>
          <w:tcPr>
            <w:tcW w:w="1652" w:type="dxa"/>
            <w:tcBorders>
              <w:top w:val="nil"/>
              <w:left w:val="nil"/>
              <w:bottom w:val="single" w:color="auto" w:sz="8" w:space="0"/>
              <w:right w:val="single" w:color="auto" w:sz="8" w:space="0"/>
            </w:tcBorders>
            <w:shd w:val="clear" w:color="auto" w:fill="auto"/>
            <w:vAlign w:val="center"/>
          </w:tcPr>
          <w:p w:rsidRPr="005530F5" w:rsidR="00294552" w:rsidP="002226A8" w:rsidRDefault="00294552" w14:paraId="27F0D838" w14:textId="77777777">
            <w:pPr>
              <w:jc w:val="center"/>
              <w:rPr>
                <w:rFonts w:ascii="Times New Roman" w:hAnsi="Times New Roman"/>
                <w:color w:val="000000"/>
                <w:sz w:val="22"/>
                <w:szCs w:val="22"/>
              </w:rPr>
            </w:pPr>
            <w:r>
              <w:rPr>
                <w:rFonts w:ascii="Times New Roman" w:hAnsi="Times New Roman"/>
                <w:color w:val="000000"/>
                <w:sz w:val="22"/>
                <w:szCs w:val="22"/>
              </w:rPr>
              <w:t>$50</w:t>
            </w:r>
          </w:p>
        </w:tc>
        <w:tc>
          <w:tcPr>
            <w:tcW w:w="1170" w:type="dxa"/>
            <w:tcBorders>
              <w:top w:val="nil"/>
              <w:left w:val="nil"/>
              <w:bottom w:val="single" w:color="auto" w:sz="8" w:space="0"/>
              <w:right w:val="single" w:color="auto" w:sz="8" w:space="0"/>
            </w:tcBorders>
            <w:shd w:val="clear" w:color="auto" w:fill="auto"/>
            <w:vAlign w:val="center"/>
          </w:tcPr>
          <w:p w:rsidRPr="005530F5" w:rsidR="00294552" w:rsidP="002226A8" w:rsidRDefault="00294552" w14:paraId="5DA3A9BE" w14:textId="77777777">
            <w:pPr>
              <w:jc w:val="center"/>
              <w:rPr>
                <w:rFonts w:ascii="Times New Roman" w:hAnsi="Times New Roman"/>
                <w:color w:val="000000"/>
                <w:sz w:val="22"/>
              </w:rPr>
            </w:pPr>
            <w:r>
              <w:rPr>
                <w:rFonts w:ascii="Times New Roman" w:hAnsi="Times New Roman"/>
                <w:color w:val="000000"/>
                <w:sz w:val="22"/>
              </w:rPr>
              <w:t>1</w:t>
            </w:r>
          </w:p>
        </w:tc>
        <w:tc>
          <w:tcPr>
            <w:tcW w:w="927" w:type="dxa"/>
            <w:tcBorders>
              <w:top w:val="nil"/>
              <w:left w:val="nil"/>
              <w:bottom w:val="single" w:color="auto" w:sz="8" w:space="0"/>
              <w:right w:val="single" w:color="auto" w:sz="8" w:space="0"/>
            </w:tcBorders>
            <w:shd w:val="clear" w:color="auto" w:fill="auto"/>
            <w:vAlign w:val="center"/>
          </w:tcPr>
          <w:p w:rsidRPr="005530F5" w:rsidR="00294552" w:rsidP="002226A8" w:rsidRDefault="00294552" w14:paraId="6AB3D036" w14:textId="77777777">
            <w:pPr>
              <w:jc w:val="center"/>
              <w:rPr>
                <w:rFonts w:ascii="Times New Roman" w:hAnsi="Times New Roman"/>
                <w:color w:val="000000"/>
                <w:sz w:val="22"/>
              </w:rPr>
            </w:pPr>
            <w:r>
              <w:rPr>
                <w:rFonts w:ascii="Times New Roman" w:hAnsi="Times New Roman"/>
                <w:color w:val="000000"/>
                <w:sz w:val="22"/>
              </w:rPr>
              <w:t>120</w:t>
            </w:r>
          </w:p>
        </w:tc>
        <w:tc>
          <w:tcPr>
            <w:tcW w:w="1402" w:type="dxa"/>
            <w:tcBorders>
              <w:top w:val="nil"/>
              <w:left w:val="nil"/>
              <w:bottom w:val="single" w:color="auto" w:sz="8" w:space="0"/>
              <w:right w:val="single" w:color="auto" w:sz="8" w:space="0"/>
            </w:tcBorders>
            <w:shd w:val="clear" w:color="auto" w:fill="auto"/>
            <w:vAlign w:val="center"/>
          </w:tcPr>
          <w:p w:rsidRPr="005530F5" w:rsidR="00294552" w:rsidP="002226A8" w:rsidRDefault="00294552" w14:paraId="0F47A0EE" w14:textId="77777777">
            <w:pPr>
              <w:jc w:val="center"/>
              <w:rPr>
                <w:rFonts w:ascii="Times New Roman" w:hAnsi="Times New Roman"/>
                <w:color w:val="000000"/>
                <w:sz w:val="22"/>
                <w:szCs w:val="22"/>
              </w:rPr>
            </w:pPr>
            <w:r>
              <w:rPr>
                <w:rFonts w:ascii="Times New Roman" w:hAnsi="Times New Roman"/>
                <w:color w:val="000000"/>
                <w:sz w:val="22"/>
                <w:szCs w:val="22"/>
              </w:rPr>
              <w:t>$6,000</w:t>
            </w:r>
          </w:p>
        </w:tc>
      </w:tr>
      <w:tr w:rsidRPr="005530F5" w:rsidR="00294552" w:rsidTr="002226A8" w14:paraId="48F89AC8" w14:textId="77777777">
        <w:trPr>
          <w:trHeight w:val="915"/>
        </w:trPr>
        <w:tc>
          <w:tcPr>
            <w:tcW w:w="4329" w:type="dxa"/>
            <w:tcBorders>
              <w:top w:val="nil"/>
              <w:left w:val="single" w:color="auto" w:sz="8" w:space="0"/>
              <w:bottom w:val="single" w:color="auto" w:sz="8" w:space="0"/>
              <w:right w:val="single" w:color="auto" w:sz="8" w:space="0"/>
            </w:tcBorders>
            <w:shd w:val="clear" w:color="auto" w:fill="auto"/>
            <w:vAlign w:val="center"/>
            <w:hideMark/>
          </w:tcPr>
          <w:p w:rsidRPr="005530F5" w:rsidR="00294552" w:rsidP="002226A8" w:rsidRDefault="00294552" w14:paraId="6A5D4CD0" w14:textId="77777777">
            <w:pPr>
              <w:rPr>
                <w:rFonts w:ascii="Times New Roman" w:hAnsi="Times New Roman"/>
                <w:color w:val="000000"/>
                <w:sz w:val="22"/>
                <w:szCs w:val="22"/>
              </w:rPr>
            </w:pPr>
            <w:r w:rsidRPr="005530F5">
              <w:rPr>
                <w:rFonts w:ascii="Times New Roman" w:hAnsi="Times New Roman"/>
                <w:color w:val="000000"/>
                <w:sz w:val="22"/>
              </w:rPr>
              <w:t>Establish reader panels</w:t>
            </w:r>
            <w:r>
              <w:rPr>
                <w:rFonts w:ascii="Times New Roman" w:hAnsi="Times New Roman"/>
                <w:color w:val="000000"/>
                <w:sz w:val="22"/>
              </w:rPr>
              <w:t xml:space="preserve"> to evaluate applications on the IRIS site</w:t>
            </w:r>
          </w:p>
        </w:tc>
        <w:tc>
          <w:tcPr>
            <w:tcW w:w="1652"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1858C00D" w14:textId="77777777">
            <w:pPr>
              <w:jc w:val="center"/>
              <w:rPr>
                <w:rFonts w:ascii="Times New Roman" w:hAnsi="Times New Roman"/>
                <w:color w:val="000000"/>
                <w:sz w:val="22"/>
                <w:szCs w:val="22"/>
              </w:rPr>
            </w:pPr>
            <w:r>
              <w:rPr>
                <w:rFonts w:ascii="Times New Roman" w:hAnsi="Times New Roman"/>
                <w:color w:val="000000"/>
                <w:sz w:val="22"/>
                <w:szCs w:val="22"/>
              </w:rPr>
              <w:t>$50</w:t>
            </w:r>
            <w:r w:rsidRPr="005530F5">
              <w:rPr>
                <w:rFonts w:ascii="Times New Roman" w:hAnsi="Times New Roman"/>
                <w:color w:val="000000"/>
                <w:sz w:val="22"/>
                <w:szCs w:val="22"/>
              </w:rPr>
              <w:t xml:space="preserve"> </w:t>
            </w:r>
          </w:p>
        </w:tc>
        <w:tc>
          <w:tcPr>
            <w:tcW w:w="1170"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1FCC6933" w14:textId="77777777">
            <w:pPr>
              <w:jc w:val="center"/>
              <w:rPr>
                <w:rFonts w:ascii="Times New Roman" w:hAnsi="Times New Roman"/>
                <w:color w:val="000000"/>
                <w:sz w:val="22"/>
                <w:szCs w:val="22"/>
              </w:rPr>
            </w:pPr>
            <w:r>
              <w:rPr>
                <w:rFonts w:ascii="Times New Roman" w:hAnsi="Times New Roman"/>
                <w:color w:val="000000"/>
                <w:sz w:val="22"/>
                <w:szCs w:val="22"/>
              </w:rPr>
              <w:t>4</w:t>
            </w:r>
          </w:p>
        </w:tc>
        <w:tc>
          <w:tcPr>
            <w:tcW w:w="927"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7FEC7F06" w14:textId="77777777">
            <w:pPr>
              <w:jc w:val="center"/>
              <w:rPr>
                <w:rFonts w:ascii="Times New Roman" w:hAnsi="Times New Roman"/>
                <w:color w:val="000000"/>
                <w:sz w:val="22"/>
                <w:szCs w:val="22"/>
              </w:rPr>
            </w:pPr>
            <w:r>
              <w:rPr>
                <w:rFonts w:ascii="Times New Roman" w:hAnsi="Times New Roman"/>
                <w:color w:val="000000"/>
                <w:sz w:val="22"/>
                <w:szCs w:val="22"/>
              </w:rPr>
              <w:t>8</w:t>
            </w:r>
          </w:p>
        </w:tc>
        <w:tc>
          <w:tcPr>
            <w:tcW w:w="1402"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2ED1FD8B" w14:textId="77777777">
            <w:pPr>
              <w:jc w:val="center"/>
              <w:rPr>
                <w:rFonts w:ascii="Times New Roman" w:hAnsi="Times New Roman"/>
                <w:color w:val="000000"/>
                <w:sz w:val="22"/>
                <w:szCs w:val="22"/>
              </w:rPr>
            </w:pPr>
            <w:r>
              <w:rPr>
                <w:rFonts w:ascii="Times New Roman" w:hAnsi="Times New Roman"/>
                <w:color w:val="000000"/>
                <w:sz w:val="22"/>
                <w:szCs w:val="22"/>
              </w:rPr>
              <w:t>$1,600</w:t>
            </w:r>
          </w:p>
        </w:tc>
      </w:tr>
      <w:tr w:rsidRPr="005530F5" w:rsidR="00294552" w:rsidTr="002226A8" w14:paraId="7AD933EC" w14:textId="77777777">
        <w:trPr>
          <w:trHeight w:val="1515"/>
        </w:trPr>
        <w:tc>
          <w:tcPr>
            <w:tcW w:w="4329" w:type="dxa"/>
            <w:tcBorders>
              <w:top w:val="nil"/>
              <w:left w:val="single" w:color="auto" w:sz="8" w:space="0"/>
              <w:bottom w:val="single" w:color="auto" w:sz="8" w:space="0"/>
              <w:right w:val="single" w:color="auto" w:sz="8" w:space="0"/>
            </w:tcBorders>
            <w:shd w:val="clear" w:color="auto" w:fill="auto"/>
            <w:vAlign w:val="center"/>
          </w:tcPr>
          <w:p w:rsidR="00294552" w:rsidP="002226A8" w:rsidRDefault="00294552" w14:paraId="0456C9F8" w14:textId="77777777">
            <w:pPr>
              <w:rPr>
                <w:rFonts w:ascii="Times New Roman" w:hAnsi="Times New Roman"/>
                <w:color w:val="000000"/>
                <w:sz w:val="22"/>
              </w:rPr>
            </w:pPr>
            <w:r>
              <w:rPr>
                <w:rFonts w:ascii="Times New Roman" w:hAnsi="Times New Roman"/>
                <w:color w:val="000000"/>
                <w:sz w:val="22"/>
              </w:rPr>
              <w:t xml:space="preserve">Contractual support for electronic peer review (application screening, put the  </w:t>
            </w:r>
          </w:p>
          <w:p w:rsidRPr="005530F5" w:rsidR="00294552" w:rsidP="002226A8" w:rsidRDefault="00294552" w14:paraId="108EE45F" w14:textId="77777777">
            <w:pPr>
              <w:rPr>
                <w:rFonts w:ascii="Times New Roman" w:hAnsi="Times New Roman"/>
                <w:color w:val="000000"/>
                <w:sz w:val="22"/>
              </w:rPr>
            </w:pPr>
            <w:r>
              <w:rPr>
                <w:rFonts w:ascii="Times New Roman" w:hAnsi="Times New Roman"/>
                <w:color w:val="000000"/>
                <w:sz w:val="22"/>
              </w:rPr>
              <w:t xml:space="preserve">technical review form (TRF) on the IRIS site, provide technical support, pay peer reviewers, send TRFs to all applicants post-competition ) </w:t>
            </w:r>
          </w:p>
        </w:tc>
        <w:tc>
          <w:tcPr>
            <w:tcW w:w="1652" w:type="dxa"/>
            <w:tcBorders>
              <w:top w:val="nil"/>
              <w:left w:val="nil"/>
              <w:bottom w:val="single" w:color="auto" w:sz="8" w:space="0"/>
              <w:right w:val="single" w:color="auto" w:sz="8" w:space="0"/>
            </w:tcBorders>
            <w:shd w:val="clear" w:color="auto" w:fill="D9D9D9" w:themeFill="background1" w:themeFillShade="D9"/>
            <w:vAlign w:val="center"/>
          </w:tcPr>
          <w:p w:rsidRPr="005530F5" w:rsidR="00294552" w:rsidP="002226A8" w:rsidRDefault="00294552" w14:paraId="54DBC99B" w14:textId="77777777">
            <w:pPr>
              <w:jc w:val="center"/>
              <w:rPr>
                <w:rFonts w:ascii="Times New Roman" w:hAnsi="Times New Roman"/>
                <w:color w:val="000000"/>
                <w:sz w:val="22"/>
                <w:szCs w:val="22"/>
              </w:rPr>
            </w:pPr>
          </w:p>
        </w:tc>
        <w:tc>
          <w:tcPr>
            <w:tcW w:w="1170" w:type="dxa"/>
            <w:tcBorders>
              <w:top w:val="nil"/>
              <w:left w:val="nil"/>
              <w:bottom w:val="single" w:color="auto" w:sz="8" w:space="0"/>
              <w:right w:val="single" w:color="auto" w:sz="8" w:space="0"/>
            </w:tcBorders>
            <w:shd w:val="clear" w:color="auto" w:fill="D9D9D9" w:themeFill="background1" w:themeFillShade="D9"/>
            <w:vAlign w:val="center"/>
          </w:tcPr>
          <w:p w:rsidRPr="005530F5" w:rsidR="00294552" w:rsidP="002226A8" w:rsidRDefault="00294552" w14:paraId="0ED228E3" w14:textId="77777777">
            <w:pPr>
              <w:jc w:val="center"/>
              <w:rPr>
                <w:rFonts w:ascii="Times New Roman" w:hAnsi="Times New Roman"/>
                <w:color w:val="000000"/>
                <w:sz w:val="22"/>
              </w:rPr>
            </w:pPr>
          </w:p>
        </w:tc>
        <w:tc>
          <w:tcPr>
            <w:tcW w:w="927" w:type="dxa"/>
            <w:tcBorders>
              <w:top w:val="nil"/>
              <w:left w:val="nil"/>
              <w:bottom w:val="single" w:color="auto" w:sz="8" w:space="0"/>
              <w:right w:val="single" w:color="auto" w:sz="8" w:space="0"/>
            </w:tcBorders>
            <w:shd w:val="clear" w:color="auto" w:fill="D9D9D9" w:themeFill="background1" w:themeFillShade="D9"/>
            <w:vAlign w:val="center"/>
          </w:tcPr>
          <w:p w:rsidRPr="005530F5" w:rsidR="00294552" w:rsidP="002226A8" w:rsidRDefault="00294552" w14:paraId="2F773D52" w14:textId="77777777">
            <w:pPr>
              <w:jc w:val="center"/>
              <w:rPr>
                <w:rFonts w:ascii="Times New Roman" w:hAnsi="Times New Roman"/>
                <w:color w:val="000000"/>
                <w:sz w:val="22"/>
              </w:rPr>
            </w:pPr>
          </w:p>
        </w:tc>
        <w:tc>
          <w:tcPr>
            <w:tcW w:w="1402" w:type="dxa"/>
            <w:tcBorders>
              <w:top w:val="nil"/>
              <w:left w:val="nil"/>
              <w:bottom w:val="single" w:color="auto" w:sz="8" w:space="0"/>
              <w:right w:val="single" w:color="auto" w:sz="8" w:space="0"/>
            </w:tcBorders>
            <w:shd w:val="clear" w:color="auto" w:fill="auto"/>
            <w:vAlign w:val="center"/>
          </w:tcPr>
          <w:p w:rsidRPr="005530F5" w:rsidR="00294552" w:rsidP="002226A8" w:rsidRDefault="00294552" w14:paraId="0C7836C1" w14:textId="77777777">
            <w:pPr>
              <w:jc w:val="center"/>
              <w:rPr>
                <w:rFonts w:ascii="Times New Roman" w:hAnsi="Times New Roman"/>
                <w:color w:val="000000"/>
                <w:sz w:val="22"/>
                <w:szCs w:val="22"/>
              </w:rPr>
            </w:pPr>
            <w:r>
              <w:rPr>
                <w:rFonts w:ascii="Times New Roman" w:hAnsi="Times New Roman"/>
                <w:color w:val="000000"/>
                <w:sz w:val="22"/>
                <w:szCs w:val="22"/>
              </w:rPr>
              <w:t>$5,300</w:t>
            </w:r>
          </w:p>
        </w:tc>
      </w:tr>
      <w:tr w:rsidRPr="005530F5" w:rsidR="00294552" w:rsidTr="002226A8" w14:paraId="087287F0" w14:textId="77777777">
        <w:trPr>
          <w:trHeight w:val="1515"/>
        </w:trPr>
        <w:tc>
          <w:tcPr>
            <w:tcW w:w="4329" w:type="dxa"/>
            <w:tcBorders>
              <w:top w:val="nil"/>
              <w:left w:val="single" w:color="auto" w:sz="8" w:space="0"/>
              <w:bottom w:val="single" w:color="auto" w:sz="8" w:space="0"/>
              <w:right w:val="single" w:color="auto" w:sz="8" w:space="0"/>
            </w:tcBorders>
            <w:shd w:val="clear" w:color="auto" w:fill="auto"/>
            <w:vAlign w:val="center"/>
            <w:hideMark/>
          </w:tcPr>
          <w:p w:rsidRPr="005530F5" w:rsidR="00294552" w:rsidP="002226A8" w:rsidRDefault="00294552" w14:paraId="79A9CC35" w14:textId="77777777">
            <w:pPr>
              <w:rPr>
                <w:rFonts w:ascii="Times New Roman" w:hAnsi="Times New Roman"/>
                <w:color w:val="000000"/>
                <w:sz w:val="22"/>
                <w:szCs w:val="22"/>
              </w:rPr>
            </w:pPr>
            <w:r w:rsidRPr="005530F5">
              <w:rPr>
                <w:rFonts w:ascii="Times New Roman" w:hAnsi="Times New Roman"/>
                <w:color w:val="000000"/>
                <w:sz w:val="22"/>
              </w:rPr>
              <w:t xml:space="preserve">Conduct </w:t>
            </w:r>
            <w:r>
              <w:rPr>
                <w:rFonts w:ascii="Times New Roman" w:hAnsi="Times New Roman"/>
                <w:color w:val="000000"/>
                <w:sz w:val="22"/>
              </w:rPr>
              <w:t xml:space="preserve">peer review </w:t>
            </w:r>
            <w:r w:rsidRPr="005530F5">
              <w:rPr>
                <w:rFonts w:ascii="Times New Roman" w:hAnsi="Times New Roman"/>
                <w:color w:val="000000"/>
                <w:sz w:val="22"/>
              </w:rPr>
              <w:t>conference calls; monitor panels via e-mails;</w:t>
            </w:r>
            <w:r>
              <w:rPr>
                <w:rFonts w:ascii="Times New Roman" w:hAnsi="Times New Roman"/>
                <w:color w:val="000000"/>
                <w:sz w:val="22"/>
              </w:rPr>
              <w:t xml:space="preserve"> check</w:t>
            </w:r>
            <w:r w:rsidRPr="005530F5">
              <w:rPr>
                <w:rFonts w:ascii="Times New Roman" w:hAnsi="Times New Roman"/>
                <w:color w:val="000000"/>
                <w:sz w:val="22"/>
              </w:rPr>
              <w:t xml:space="preserve"> reviewers’ comments</w:t>
            </w:r>
            <w:r>
              <w:rPr>
                <w:rFonts w:ascii="Times New Roman" w:hAnsi="Times New Roman"/>
                <w:color w:val="000000"/>
                <w:sz w:val="22"/>
              </w:rPr>
              <w:t xml:space="preserve"> </w:t>
            </w:r>
            <w:proofErr w:type="spellStart"/>
            <w:r>
              <w:rPr>
                <w:rFonts w:ascii="Times New Roman" w:hAnsi="Times New Roman"/>
                <w:color w:val="000000"/>
                <w:sz w:val="22"/>
              </w:rPr>
              <w:t>scorfes</w:t>
            </w:r>
            <w:proofErr w:type="spellEnd"/>
            <w:r>
              <w:rPr>
                <w:rFonts w:ascii="Times New Roman" w:hAnsi="Times New Roman"/>
                <w:color w:val="000000"/>
                <w:sz w:val="22"/>
              </w:rPr>
              <w:t xml:space="preserve"> for accuracy and compliance during a two-week panel review</w:t>
            </w:r>
            <w:r w:rsidRPr="005530F5">
              <w:rPr>
                <w:rFonts w:ascii="Times New Roman" w:hAnsi="Times New Roman"/>
                <w:color w:val="000000"/>
                <w:sz w:val="22"/>
              </w:rPr>
              <w:t xml:space="preserve"> </w:t>
            </w:r>
          </w:p>
        </w:tc>
        <w:tc>
          <w:tcPr>
            <w:tcW w:w="1652"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020C079E" w14:textId="77777777">
            <w:pPr>
              <w:jc w:val="center"/>
              <w:rPr>
                <w:rFonts w:ascii="Times New Roman" w:hAnsi="Times New Roman"/>
                <w:color w:val="000000"/>
                <w:sz w:val="22"/>
                <w:szCs w:val="22"/>
              </w:rPr>
            </w:pPr>
            <w:r>
              <w:rPr>
                <w:rFonts w:ascii="Times New Roman" w:hAnsi="Times New Roman"/>
                <w:color w:val="000000"/>
                <w:sz w:val="22"/>
                <w:szCs w:val="22"/>
              </w:rPr>
              <w:t>$50</w:t>
            </w:r>
            <w:r w:rsidRPr="005530F5">
              <w:rPr>
                <w:rFonts w:ascii="Times New Roman" w:hAnsi="Times New Roman"/>
                <w:color w:val="000000"/>
                <w:sz w:val="22"/>
                <w:szCs w:val="22"/>
              </w:rPr>
              <w:t xml:space="preserve"> </w:t>
            </w:r>
          </w:p>
        </w:tc>
        <w:tc>
          <w:tcPr>
            <w:tcW w:w="1170"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228CDD57" w14:textId="77777777">
            <w:pPr>
              <w:jc w:val="center"/>
              <w:rPr>
                <w:rFonts w:ascii="Times New Roman" w:hAnsi="Times New Roman"/>
                <w:color w:val="000000"/>
                <w:sz w:val="22"/>
                <w:szCs w:val="22"/>
              </w:rPr>
            </w:pPr>
            <w:r>
              <w:rPr>
                <w:rFonts w:ascii="Times New Roman" w:hAnsi="Times New Roman"/>
                <w:color w:val="000000"/>
                <w:sz w:val="22"/>
                <w:szCs w:val="22"/>
              </w:rPr>
              <w:t>5</w:t>
            </w:r>
          </w:p>
        </w:tc>
        <w:tc>
          <w:tcPr>
            <w:tcW w:w="927"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11141B24" w14:textId="77777777">
            <w:pPr>
              <w:jc w:val="center"/>
              <w:rPr>
                <w:rFonts w:ascii="Times New Roman" w:hAnsi="Times New Roman"/>
                <w:color w:val="000000"/>
                <w:sz w:val="22"/>
                <w:szCs w:val="22"/>
              </w:rPr>
            </w:pPr>
            <w:r>
              <w:rPr>
                <w:rFonts w:ascii="Times New Roman" w:hAnsi="Times New Roman"/>
                <w:color w:val="000000"/>
                <w:sz w:val="22"/>
                <w:szCs w:val="22"/>
              </w:rPr>
              <w:t>80</w:t>
            </w:r>
          </w:p>
        </w:tc>
        <w:tc>
          <w:tcPr>
            <w:tcW w:w="1402"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4B61F7F6" w14:textId="15021B6C">
            <w:pPr>
              <w:jc w:val="center"/>
              <w:rPr>
                <w:rFonts w:ascii="Times New Roman" w:hAnsi="Times New Roman"/>
                <w:color w:val="000000"/>
                <w:sz w:val="22"/>
                <w:szCs w:val="22"/>
              </w:rPr>
            </w:pPr>
            <w:r>
              <w:rPr>
                <w:rFonts w:ascii="Times New Roman" w:hAnsi="Times New Roman"/>
                <w:color w:val="000000"/>
                <w:sz w:val="22"/>
                <w:szCs w:val="22"/>
              </w:rPr>
              <w:t>$</w:t>
            </w:r>
            <w:r w:rsidR="00143462">
              <w:rPr>
                <w:rFonts w:ascii="Times New Roman" w:hAnsi="Times New Roman"/>
                <w:color w:val="000000"/>
                <w:sz w:val="22"/>
                <w:szCs w:val="22"/>
              </w:rPr>
              <w:t>20,000</w:t>
            </w:r>
          </w:p>
        </w:tc>
      </w:tr>
      <w:tr w:rsidRPr="005530F5" w:rsidR="00294552" w:rsidTr="002226A8" w14:paraId="7AD5EC36" w14:textId="77777777">
        <w:trPr>
          <w:trHeight w:val="585"/>
        </w:trPr>
        <w:tc>
          <w:tcPr>
            <w:tcW w:w="4329" w:type="dxa"/>
            <w:vMerge w:val="restart"/>
            <w:tcBorders>
              <w:top w:val="nil"/>
              <w:left w:val="single" w:color="auto" w:sz="8" w:space="0"/>
              <w:bottom w:val="single" w:color="000000" w:sz="8" w:space="0"/>
              <w:right w:val="single" w:color="auto" w:sz="8" w:space="0"/>
            </w:tcBorders>
            <w:shd w:val="clear" w:color="auto" w:fill="auto"/>
            <w:vAlign w:val="center"/>
            <w:hideMark/>
          </w:tcPr>
          <w:p w:rsidRPr="005530F5" w:rsidR="00294552" w:rsidP="002226A8" w:rsidRDefault="00294552" w14:paraId="2CD5C76C" w14:textId="77777777">
            <w:pPr>
              <w:rPr>
                <w:rFonts w:ascii="Times New Roman" w:hAnsi="Times New Roman"/>
                <w:color w:val="000000"/>
                <w:sz w:val="22"/>
                <w:szCs w:val="22"/>
              </w:rPr>
            </w:pPr>
            <w:r w:rsidRPr="005530F5">
              <w:rPr>
                <w:rFonts w:ascii="Times New Roman" w:hAnsi="Times New Roman"/>
                <w:color w:val="000000"/>
                <w:sz w:val="22"/>
              </w:rPr>
              <w:t xml:space="preserve">Develop </w:t>
            </w:r>
            <w:r>
              <w:rPr>
                <w:rFonts w:ascii="Times New Roman" w:hAnsi="Times New Roman"/>
                <w:color w:val="000000"/>
                <w:sz w:val="22"/>
              </w:rPr>
              <w:t xml:space="preserve">NRC </w:t>
            </w:r>
            <w:r w:rsidRPr="005530F5">
              <w:rPr>
                <w:rFonts w:ascii="Times New Roman" w:hAnsi="Times New Roman"/>
                <w:color w:val="000000"/>
                <w:sz w:val="22"/>
              </w:rPr>
              <w:t xml:space="preserve">slate memo </w:t>
            </w:r>
            <w:r>
              <w:rPr>
                <w:rFonts w:ascii="Times New Roman" w:hAnsi="Times New Roman"/>
                <w:color w:val="000000"/>
                <w:sz w:val="22"/>
              </w:rPr>
              <w:t xml:space="preserve">and FLAS slate memo </w:t>
            </w:r>
            <w:r w:rsidRPr="005530F5">
              <w:rPr>
                <w:rFonts w:ascii="Times New Roman" w:hAnsi="Times New Roman"/>
                <w:color w:val="000000"/>
                <w:sz w:val="22"/>
              </w:rPr>
              <w:t>and attachments</w:t>
            </w:r>
          </w:p>
        </w:tc>
        <w:tc>
          <w:tcPr>
            <w:tcW w:w="1652" w:type="dxa"/>
            <w:vMerge w:val="restart"/>
            <w:tcBorders>
              <w:top w:val="nil"/>
              <w:left w:val="single" w:color="auto" w:sz="8" w:space="0"/>
              <w:bottom w:val="single" w:color="000000" w:sz="8" w:space="0"/>
              <w:right w:val="single" w:color="auto" w:sz="8" w:space="0"/>
            </w:tcBorders>
            <w:shd w:val="clear" w:color="auto" w:fill="auto"/>
            <w:vAlign w:val="center"/>
            <w:hideMark/>
          </w:tcPr>
          <w:p w:rsidRPr="005530F5" w:rsidR="00294552" w:rsidP="002226A8" w:rsidRDefault="00294552" w14:paraId="20504DC8" w14:textId="77777777">
            <w:pPr>
              <w:jc w:val="center"/>
              <w:rPr>
                <w:rFonts w:ascii="Times New Roman" w:hAnsi="Times New Roman"/>
                <w:color w:val="000000"/>
                <w:sz w:val="22"/>
                <w:szCs w:val="22"/>
              </w:rPr>
            </w:pPr>
            <w:r w:rsidRPr="005530F5">
              <w:rPr>
                <w:rFonts w:ascii="Times New Roman" w:hAnsi="Times New Roman"/>
                <w:color w:val="000000"/>
                <w:sz w:val="22"/>
                <w:szCs w:val="22"/>
              </w:rPr>
              <w:t>$</w:t>
            </w:r>
            <w:r>
              <w:rPr>
                <w:rFonts w:ascii="Times New Roman" w:hAnsi="Times New Roman"/>
                <w:color w:val="000000"/>
                <w:sz w:val="22"/>
                <w:szCs w:val="22"/>
              </w:rPr>
              <w:t>50</w:t>
            </w:r>
            <w:r w:rsidRPr="005530F5">
              <w:rPr>
                <w:rFonts w:ascii="Times New Roman" w:hAnsi="Times New Roman"/>
                <w:color w:val="000000"/>
                <w:sz w:val="22"/>
                <w:szCs w:val="22"/>
              </w:rPr>
              <w:t xml:space="preserve"> </w:t>
            </w:r>
          </w:p>
        </w:tc>
        <w:tc>
          <w:tcPr>
            <w:tcW w:w="1170" w:type="dxa"/>
            <w:vMerge w:val="restart"/>
            <w:tcBorders>
              <w:top w:val="nil"/>
              <w:left w:val="single" w:color="auto" w:sz="8" w:space="0"/>
              <w:bottom w:val="single" w:color="000000" w:sz="8" w:space="0"/>
              <w:right w:val="single" w:color="auto" w:sz="8" w:space="0"/>
            </w:tcBorders>
            <w:shd w:val="clear" w:color="auto" w:fill="auto"/>
            <w:vAlign w:val="center"/>
            <w:hideMark/>
          </w:tcPr>
          <w:p w:rsidRPr="005530F5" w:rsidR="00294552" w:rsidP="002226A8" w:rsidRDefault="00294552" w14:paraId="43C4B970" w14:textId="77777777">
            <w:pPr>
              <w:jc w:val="center"/>
              <w:rPr>
                <w:rFonts w:ascii="Times New Roman" w:hAnsi="Times New Roman"/>
                <w:color w:val="000000"/>
                <w:sz w:val="22"/>
                <w:szCs w:val="22"/>
              </w:rPr>
            </w:pPr>
            <w:r>
              <w:rPr>
                <w:rFonts w:ascii="Times New Roman" w:hAnsi="Times New Roman"/>
                <w:color w:val="000000"/>
                <w:sz w:val="22"/>
                <w:szCs w:val="22"/>
              </w:rPr>
              <w:t>2</w:t>
            </w:r>
          </w:p>
        </w:tc>
        <w:tc>
          <w:tcPr>
            <w:tcW w:w="927" w:type="dxa"/>
            <w:vMerge w:val="restart"/>
            <w:tcBorders>
              <w:top w:val="nil"/>
              <w:left w:val="single" w:color="auto" w:sz="8" w:space="0"/>
              <w:bottom w:val="single" w:color="000000" w:sz="8" w:space="0"/>
              <w:right w:val="single" w:color="auto" w:sz="8" w:space="0"/>
            </w:tcBorders>
            <w:shd w:val="clear" w:color="auto" w:fill="auto"/>
            <w:vAlign w:val="center"/>
            <w:hideMark/>
          </w:tcPr>
          <w:p w:rsidRPr="005530F5" w:rsidR="00294552" w:rsidP="002226A8" w:rsidRDefault="00294552" w14:paraId="6D0AD7F9" w14:textId="77777777">
            <w:pPr>
              <w:jc w:val="center"/>
              <w:rPr>
                <w:rFonts w:ascii="Times New Roman" w:hAnsi="Times New Roman"/>
                <w:color w:val="000000"/>
                <w:sz w:val="22"/>
                <w:szCs w:val="22"/>
              </w:rPr>
            </w:pPr>
            <w:r>
              <w:rPr>
                <w:rFonts w:ascii="Times New Roman" w:hAnsi="Times New Roman"/>
                <w:color w:val="000000"/>
                <w:sz w:val="22"/>
                <w:szCs w:val="22"/>
              </w:rPr>
              <w:t>18</w:t>
            </w:r>
          </w:p>
        </w:tc>
        <w:tc>
          <w:tcPr>
            <w:tcW w:w="1402" w:type="dxa"/>
            <w:vMerge w:val="restart"/>
            <w:tcBorders>
              <w:top w:val="nil"/>
              <w:left w:val="single" w:color="auto" w:sz="8" w:space="0"/>
              <w:bottom w:val="single" w:color="000000" w:sz="8" w:space="0"/>
              <w:right w:val="single" w:color="auto" w:sz="8" w:space="0"/>
            </w:tcBorders>
            <w:shd w:val="clear" w:color="auto" w:fill="auto"/>
            <w:vAlign w:val="center"/>
            <w:hideMark/>
          </w:tcPr>
          <w:p w:rsidRPr="005530F5" w:rsidR="00294552" w:rsidP="002226A8" w:rsidRDefault="00294552" w14:paraId="540C66F0" w14:textId="77777777">
            <w:pPr>
              <w:jc w:val="center"/>
              <w:rPr>
                <w:rFonts w:ascii="Times New Roman" w:hAnsi="Times New Roman"/>
                <w:color w:val="000000"/>
                <w:sz w:val="22"/>
                <w:szCs w:val="22"/>
              </w:rPr>
            </w:pPr>
            <w:r w:rsidRPr="005530F5">
              <w:rPr>
                <w:rFonts w:ascii="Times New Roman" w:hAnsi="Times New Roman"/>
                <w:color w:val="000000"/>
                <w:sz w:val="22"/>
                <w:szCs w:val="22"/>
              </w:rPr>
              <w:t>$</w:t>
            </w:r>
            <w:r>
              <w:rPr>
                <w:rFonts w:ascii="Times New Roman" w:hAnsi="Times New Roman"/>
                <w:color w:val="000000"/>
                <w:sz w:val="22"/>
                <w:szCs w:val="22"/>
              </w:rPr>
              <w:t>1,800</w:t>
            </w:r>
            <w:r w:rsidRPr="005530F5">
              <w:rPr>
                <w:rFonts w:ascii="Times New Roman" w:hAnsi="Times New Roman"/>
                <w:color w:val="000000"/>
                <w:sz w:val="22"/>
                <w:szCs w:val="22"/>
              </w:rPr>
              <w:t xml:space="preserve"> </w:t>
            </w:r>
          </w:p>
        </w:tc>
      </w:tr>
      <w:tr w:rsidRPr="005530F5" w:rsidR="00294552" w:rsidTr="002226A8" w14:paraId="11609A22" w14:textId="77777777">
        <w:trPr>
          <w:trHeight w:val="315"/>
        </w:trPr>
        <w:tc>
          <w:tcPr>
            <w:tcW w:w="4329" w:type="dxa"/>
            <w:vMerge/>
            <w:tcBorders>
              <w:top w:val="nil"/>
              <w:left w:val="single" w:color="auto" w:sz="8" w:space="0"/>
              <w:bottom w:val="single" w:color="000000" w:sz="8" w:space="0"/>
              <w:right w:val="single" w:color="auto" w:sz="8" w:space="0"/>
            </w:tcBorders>
            <w:vAlign w:val="center"/>
            <w:hideMark/>
          </w:tcPr>
          <w:p w:rsidRPr="005530F5" w:rsidR="00294552" w:rsidP="002226A8" w:rsidRDefault="00294552" w14:paraId="7BD3CA73" w14:textId="77777777">
            <w:pPr>
              <w:rPr>
                <w:rFonts w:ascii="Times New Roman" w:hAnsi="Times New Roman"/>
                <w:color w:val="000000"/>
                <w:sz w:val="22"/>
                <w:szCs w:val="22"/>
              </w:rPr>
            </w:pPr>
          </w:p>
        </w:tc>
        <w:tc>
          <w:tcPr>
            <w:tcW w:w="1652" w:type="dxa"/>
            <w:vMerge/>
            <w:tcBorders>
              <w:top w:val="nil"/>
              <w:left w:val="single" w:color="auto" w:sz="8" w:space="0"/>
              <w:bottom w:val="single" w:color="000000" w:sz="8" w:space="0"/>
              <w:right w:val="single" w:color="auto" w:sz="8" w:space="0"/>
            </w:tcBorders>
            <w:vAlign w:val="center"/>
            <w:hideMark/>
          </w:tcPr>
          <w:p w:rsidRPr="005530F5" w:rsidR="00294552" w:rsidP="002226A8" w:rsidRDefault="00294552" w14:paraId="070AA148" w14:textId="77777777">
            <w:pPr>
              <w:rPr>
                <w:rFonts w:ascii="Times New Roman" w:hAnsi="Times New Roman"/>
                <w:color w:val="000000"/>
                <w:sz w:val="22"/>
                <w:szCs w:val="22"/>
              </w:rPr>
            </w:pPr>
          </w:p>
        </w:tc>
        <w:tc>
          <w:tcPr>
            <w:tcW w:w="1170" w:type="dxa"/>
            <w:vMerge/>
            <w:tcBorders>
              <w:top w:val="nil"/>
              <w:left w:val="single" w:color="auto" w:sz="8" w:space="0"/>
              <w:bottom w:val="single" w:color="000000" w:sz="8" w:space="0"/>
              <w:right w:val="single" w:color="auto" w:sz="8" w:space="0"/>
            </w:tcBorders>
            <w:vAlign w:val="center"/>
            <w:hideMark/>
          </w:tcPr>
          <w:p w:rsidRPr="005530F5" w:rsidR="00294552" w:rsidP="002226A8" w:rsidRDefault="00294552" w14:paraId="3DD9F23E" w14:textId="77777777">
            <w:pPr>
              <w:rPr>
                <w:rFonts w:ascii="Times New Roman" w:hAnsi="Times New Roman"/>
                <w:color w:val="000000"/>
                <w:sz w:val="22"/>
                <w:szCs w:val="22"/>
              </w:rPr>
            </w:pPr>
          </w:p>
        </w:tc>
        <w:tc>
          <w:tcPr>
            <w:tcW w:w="927" w:type="dxa"/>
            <w:vMerge/>
            <w:tcBorders>
              <w:top w:val="nil"/>
              <w:left w:val="single" w:color="auto" w:sz="8" w:space="0"/>
              <w:bottom w:val="single" w:color="000000" w:sz="8" w:space="0"/>
              <w:right w:val="single" w:color="auto" w:sz="8" w:space="0"/>
            </w:tcBorders>
            <w:vAlign w:val="center"/>
            <w:hideMark/>
          </w:tcPr>
          <w:p w:rsidRPr="005530F5" w:rsidR="00294552" w:rsidP="002226A8" w:rsidRDefault="00294552" w14:paraId="6D2EF901" w14:textId="77777777">
            <w:pPr>
              <w:rPr>
                <w:rFonts w:ascii="Times New Roman" w:hAnsi="Times New Roman"/>
                <w:color w:val="000000"/>
                <w:sz w:val="22"/>
                <w:szCs w:val="22"/>
              </w:rPr>
            </w:pPr>
          </w:p>
        </w:tc>
        <w:tc>
          <w:tcPr>
            <w:tcW w:w="1402" w:type="dxa"/>
            <w:vMerge/>
            <w:tcBorders>
              <w:top w:val="nil"/>
              <w:left w:val="single" w:color="auto" w:sz="8" w:space="0"/>
              <w:bottom w:val="single" w:color="000000" w:sz="8" w:space="0"/>
              <w:right w:val="single" w:color="auto" w:sz="8" w:space="0"/>
            </w:tcBorders>
            <w:vAlign w:val="center"/>
            <w:hideMark/>
          </w:tcPr>
          <w:p w:rsidRPr="005530F5" w:rsidR="00294552" w:rsidP="002226A8" w:rsidRDefault="00294552" w14:paraId="3E139C51" w14:textId="77777777">
            <w:pPr>
              <w:rPr>
                <w:rFonts w:ascii="Times New Roman" w:hAnsi="Times New Roman"/>
                <w:color w:val="000000"/>
                <w:sz w:val="22"/>
                <w:szCs w:val="22"/>
              </w:rPr>
            </w:pPr>
          </w:p>
        </w:tc>
      </w:tr>
      <w:tr w:rsidRPr="005530F5" w:rsidR="00294552" w:rsidTr="002226A8" w14:paraId="464C0478" w14:textId="77777777">
        <w:trPr>
          <w:trHeight w:val="615"/>
        </w:trPr>
        <w:tc>
          <w:tcPr>
            <w:tcW w:w="4329" w:type="dxa"/>
            <w:tcBorders>
              <w:top w:val="nil"/>
              <w:left w:val="single" w:color="auto" w:sz="8" w:space="0"/>
              <w:bottom w:val="single" w:color="auto" w:sz="8" w:space="0"/>
              <w:right w:val="single" w:color="auto" w:sz="8" w:space="0"/>
            </w:tcBorders>
            <w:shd w:val="clear" w:color="auto" w:fill="auto"/>
            <w:vAlign w:val="center"/>
          </w:tcPr>
          <w:p w:rsidRPr="005530F5" w:rsidR="00294552" w:rsidP="002226A8" w:rsidRDefault="00294552" w14:paraId="4205C180" w14:textId="77777777">
            <w:pPr>
              <w:rPr>
                <w:rFonts w:ascii="Times New Roman" w:hAnsi="Times New Roman"/>
                <w:color w:val="000000"/>
                <w:sz w:val="22"/>
              </w:rPr>
            </w:pPr>
            <w:r>
              <w:rPr>
                <w:rFonts w:ascii="Times New Roman" w:hAnsi="Times New Roman"/>
                <w:color w:val="000000"/>
                <w:sz w:val="22"/>
              </w:rPr>
              <w:t>Review recommended applications and revised budgets</w:t>
            </w:r>
          </w:p>
        </w:tc>
        <w:tc>
          <w:tcPr>
            <w:tcW w:w="1652" w:type="dxa"/>
            <w:tcBorders>
              <w:top w:val="nil"/>
              <w:left w:val="nil"/>
              <w:bottom w:val="single" w:color="auto" w:sz="8" w:space="0"/>
              <w:right w:val="single" w:color="auto" w:sz="8" w:space="0"/>
            </w:tcBorders>
            <w:shd w:val="clear" w:color="auto" w:fill="auto"/>
            <w:vAlign w:val="center"/>
          </w:tcPr>
          <w:p w:rsidRPr="005530F5" w:rsidR="00294552" w:rsidP="002226A8" w:rsidRDefault="00294552" w14:paraId="71DD1959" w14:textId="77777777">
            <w:pPr>
              <w:jc w:val="center"/>
              <w:rPr>
                <w:rFonts w:ascii="Times New Roman" w:hAnsi="Times New Roman"/>
                <w:color w:val="000000"/>
                <w:sz w:val="22"/>
                <w:szCs w:val="22"/>
              </w:rPr>
            </w:pPr>
            <w:r>
              <w:rPr>
                <w:rFonts w:ascii="Times New Roman" w:hAnsi="Times New Roman"/>
                <w:color w:val="000000"/>
                <w:sz w:val="22"/>
                <w:szCs w:val="22"/>
              </w:rPr>
              <w:t>$50</w:t>
            </w:r>
          </w:p>
        </w:tc>
        <w:tc>
          <w:tcPr>
            <w:tcW w:w="1170" w:type="dxa"/>
            <w:tcBorders>
              <w:top w:val="nil"/>
              <w:left w:val="nil"/>
              <w:bottom w:val="single" w:color="auto" w:sz="8" w:space="0"/>
              <w:right w:val="single" w:color="auto" w:sz="8" w:space="0"/>
            </w:tcBorders>
            <w:shd w:val="clear" w:color="auto" w:fill="auto"/>
            <w:vAlign w:val="center"/>
          </w:tcPr>
          <w:p w:rsidR="00294552" w:rsidP="002226A8" w:rsidRDefault="00294552" w14:paraId="4A2260F8" w14:textId="77777777">
            <w:pPr>
              <w:jc w:val="center"/>
              <w:rPr>
                <w:rFonts w:ascii="Times New Roman" w:hAnsi="Times New Roman"/>
                <w:color w:val="000000"/>
                <w:sz w:val="22"/>
                <w:szCs w:val="22"/>
              </w:rPr>
            </w:pPr>
            <w:r>
              <w:rPr>
                <w:rFonts w:ascii="Times New Roman" w:hAnsi="Times New Roman"/>
                <w:color w:val="000000"/>
                <w:sz w:val="22"/>
                <w:szCs w:val="22"/>
              </w:rPr>
              <w:t>4</w:t>
            </w:r>
          </w:p>
        </w:tc>
        <w:tc>
          <w:tcPr>
            <w:tcW w:w="927" w:type="dxa"/>
            <w:tcBorders>
              <w:top w:val="nil"/>
              <w:left w:val="nil"/>
              <w:bottom w:val="single" w:color="auto" w:sz="8" w:space="0"/>
              <w:right w:val="single" w:color="auto" w:sz="8" w:space="0"/>
            </w:tcBorders>
            <w:shd w:val="clear" w:color="auto" w:fill="auto"/>
            <w:vAlign w:val="center"/>
          </w:tcPr>
          <w:p w:rsidR="00294552" w:rsidP="002226A8" w:rsidRDefault="00294552" w14:paraId="23EEEAD4" w14:textId="77777777">
            <w:pPr>
              <w:jc w:val="center"/>
              <w:rPr>
                <w:rFonts w:ascii="Times New Roman" w:hAnsi="Times New Roman"/>
                <w:color w:val="000000"/>
                <w:sz w:val="22"/>
                <w:szCs w:val="22"/>
              </w:rPr>
            </w:pPr>
            <w:r>
              <w:rPr>
                <w:rFonts w:ascii="Times New Roman" w:hAnsi="Times New Roman"/>
                <w:color w:val="000000"/>
                <w:sz w:val="22"/>
                <w:szCs w:val="22"/>
              </w:rPr>
              <w:t>80</w:t>
            </w:r>
          </w:p>
        </w:tc>
        <w:tc>
          <w:tcPr>
            <w:tcW w:w="1402" w:type="dxa"/>
            <w:tcBorders>
              <w:top w:val="nil"/>
              <w:left w:val="nil"/>
              <w:bottom w:val="single" w:color="auto" w:sz="8" w:space="0"/>
              <w:right w:val="single" w:color="auto" w:sz="8" w:space="0"/>
            </w:tcBorders>
            <w:shd w:val="clear" w:color="auto" w:fill="auto"/>
            <w:vAlign w:val="center"/>
          </w:tcPr>
          <w:p w:rsidRPr="005530F5" w:rsidR="00294552" w:rsidP="002226A8" w:rsidRDefault="00294552" w14:paraId="1FB38D9A" w14:textId="77777777">
            <w:pPr>
              <w:jc w:val="center"/>
              <w:rPr>
                <w:rFonts w:ascii="Times New Roman" w:hAnsi="Times New Roman"/>
                <w:color w:val="000000"/>
                <w:sz w:val="22"/>
                <w:szCs w:val="22"/>
              </w:rPr>
            </w:pPr>
            <w:r>
              <w:rPr>
                <w:rFonts w:ascii="Times New Roman" w:hAnsi="Times New Roman"/>
                <w:color w:val="000000"/>
                <w:sz w:val="22"/>
                <w:szCs w:val="22"/>
              </w:rPr>
              <w:t>$16,000</w:t>
            </w:r>
          </w:p>
        </w:tc>
      </w:tr>
      <w:tr w:rsidRPr="005530F5" w:rsidR="00294552" w:rsidTr="002226A8" w14:paraId="0B5FAB57" w14:textId="77777777">
        <w:trPr>
          <w:trHeight w:val="615"/>
        </w:trPr>
        <w:tc>
          <w:tcPr>
            <w:tcW w:w="4329" w:type="dxa"/>
            <w:tcBorders>
              <w:top w:val="nil"/>
              <w:left w:val="single" w:color="auto" w:sz="8" w:space="0"/>
              <w:bottom w:val="single" w:color="auto" w:sz="8" w:space="0"/>
              <w:right w:val="single" w:color="auto" w:sz="8" w:space="0"/>
            </w:tcBorders>
            <w:shd w:val="clear" w:color="auto" w:fill="auto"/>
            <w:vAlign w:val="center"/>
            <w:hideMark/>
          </w:tcPr>
          <w:p w:rsidRPr="005530F5" w:rsidR="00294552" w:rsidP="002226A8" w:rsidRDefault="00294552" w14:paraId="6D5439EC" w14:textId="77777777">
            <w:pPr>
              <w:rPr>
                <w:rFonts w:ascii="Times New Roman" w:hAnsi="Times New Roman"/>
                <w:color w:val="000000"/>
                <w:sz w:val="22"/>
                <w:szCs w:val="22"/>
              </w:rPr>
            </w:pPr>
            <w:r w:rsidRPr="005530F5">
              <w:rPr>
                <w:rFonts w:ascii="Times New Roman" w:hAnsi="Times New Roman"/>
                <w:color w:val="000000"/>
                <w:sz w:val="22"/>
              </w:rPr>
              <w:t xml:space="preserve">Enter </w:t>
            </w:r>
            <w:r>
              <w:rPr>
                <w:rFonts w:ascii="Times New Roman" w:hAnsi="Times New Roman"/>
                <w:color w:val="000000"/>
                <w:sz w:val="22"/>
              </w:rPr>
              <w:t xml:space="preserve">NRC slate and FLAS slate information into G5 </w:t>
            </w:r>
            <w:r w:rsidRPr="005530F5">
              <w:rPr>
                <w:rFonts w:ascii="Times New Roman" w:hAnsi="Times New Roman"/>
                <w:color w:val="000000"/>
                <w:sz w:val="22"/>
              </w:rPr>
              <w:t xml:space="preserve">and obligate awards </w:t>
            </w:r>
          </w:p>
        </w:tc>
        <w:tc>
          <w:tcPr>
            <w:tcW w:w="1652"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533EF3C4" w14:textId="77777777">
            <w:pPr>
              <w:jc w:val="center"/>
              <w:rPr>
                <w:rFonts w:ascii="Times New Roman" w:hAnsi="Times New Roman"/>
                <w:color w:val="000000"/>
                <w:sz w:val="22"/>
                <w:szCs w:val="22"/>
              </w:rPr>
            </w:pPr>
            <w:r w:rsidRPr="005530F5">
              <w:rPr>
                <w:rFonts w:ascii="Times New Roman" w:hAnsi="Times New Roman"/>
                <w:color w:val="000000"/>
                <w:sz w:val="22"/>
                <w:szCs w:val="22"/>
              </w:rPr>
              <w:t>$</w:t>
            </w:r>
            <w:r>
              <w:rPr>
                <w:rFonts w:ascii="Times New Roman" w:hAnsi="Times New Roman"/>
                <w:color w:val="000000"/>
                <w:sz w:val="22"/>
                <w:szCs w:val="22"/>
              </w:rPr>
              <w:t>50</w:t>
            </w:r>
            <w:r w:rsidRPr="005530F5">
              <w:rPr>
                <w:rFonts w:ascii="Times New Roman" w:hAnsi="Times New Roman"/>
                <w:color w:val="000000"/>
                <w:sz w:val="22"/>
                <w:szCs w:val="22"/>
              </w:rPr>
              <w:t xml:space="preserve"> </w:t>
            </w:r>
          </w:p>
        </w:tc>
        <w:tc>
          <w:tcPr>
            <w:tcW w:w="1170"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311A88BC" w14:textId="77777777">
            <w:pPr>
              <w:jc w:val="center"/>
              <w:rPr>
                <w:rFonts w:ascii="Times New Roman" w:hAnsi="Times New Roman"/>
                <w:color w:val="000000"/>
                <w:sz w:val="22"/>
                <w:szCs w:val="22"/>
              </w:rPr>
            </w:pPr>
            <w:r>
              <w:rPr>
                <w:rFonts w:ascii="Times New Roman" w:hAnsi="Times New Roman"/>
                <w:color w:val="000000"/>
                <w:sz w:val="22"/>
                <w:szCs w:val="22"/>
              </w:rPr>
              <w:t>2</w:t>
            </w:r>
          </w:p>
        </w:tc>
        <w:tc>
          <w:tcPr>
            <w:tcW w:w="927"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61FC68AA" w14:textId="77777777">
            <w:pPr>
              <w:jc w:val="center"/>
              <w:rPr>
                <w:rFonts w:ascii="Times New Roman" w:hAnsi="Times New Roman"/>
                <w:color w:val="000000"/>
                <w:sz w:val="22"/>
                <w:szCs w:val="22"/>
              </w:rPr>
            </w:pPr>
            <w:r>
              <w:rPr>
                <w:rFonts w:ascii="Times New Roman" w:hAnsi="Times New Roman"/>
                <w:color w:val="000000"/>
                <w:sz w:val="22"/>
                <w:szCs w:val="22"/>
              </w:rPr>
              <w:t>20</w:t>
            </w:r>
          </w:p>
        </w:tc>
        <w:tc>
          <w:tcPr>
            <w:tcW w:w="1402"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2B482FD4" w14:textId="77777777">
            <w:pPr>
              <w:jc w:val="center"/>
              <w:rPr>
                <w:rFonts w:ascii="Times New Roman" w:hAnsi="Times New Roman"/>
                <w:color w:val="000000"/>
                <w:sz w:val="22"/>
                <w:szCs w:val="22"/>
              </w:rPr>
            </w:pPr>
            <w:r w:rsidRPr="005530F5">
              <w:rPr>
                <w:rFonts w:ascii="Times New Roman" w:hAnsi="Times New Roman"/>
                <w:color w:val="000000"/>
                <w:sz w:val="22"/>
                <w:szCs w:val="22"/>
              </w:rPr>
              <w:t>$</w:t>
            </w:r>
            <w:r>
              <w:rPr>
                <w:rFonts w:ascii="Times New Roman" w:hAnsi="Times New Roman"/>
                <w:color w:val="000000"/>
                <w:sz w:val="22"/>
                <w:szCs w:val="22"/>
              </w:rPr>
              <w:t>2,000</w:t>
            </w:r>
          </w:p>
        </w:tc>
      </w:tr>
      <w:tr w:rsidRPr="005530F5" w:rsidR="00294552" w:rsidTr="002226A8" w14:paraId="5C1A43CC" w14:textId="77777777">
        <w:trPr>
          <w:trHeight w:val="1215"/>
        </w:trPr>
        <w:tc>
          <w:tcPr>
            <w:tcW w:w="4329" w:type="dxa"/>
            <w:tcBorders>
              <w:top w:val="nil"/>
              <w:left w:val="single" w:color="auto" w:sz="8" w:space="0"/>
              <w:bottom w:val="single" w:color="auto" w:sz="8" w:space="0"/>
              <w:right w:val="single" w:color="auto" w:sz="8" w:space="0"/>
            </w:tcBorders>
            <w:shd w:val="clear" w:color="auto" w:fill="auto"/>
            <w:vAlign w:val="center"/>
            <w:hideMark/>
          </w:tcPr>
          <w:p w:rsidRPr="005530F5" w:rsidR="00294552" w:rsidP="002226A8" w:rsidRDefault="00294552" w14:paraId="703CDB7B" w14:textId="77777777">
            <w:pPr>
              <w:rPr>
                <w:rFonts w:ascii="Times New Roman" w:hAnsi="Times New Roman"/>
                <w:color w:val="000000"/>
                <w:sz w:val="22"/>
                <w:szCs w:val="22"/>
              </w:rPr>
            </w:pPr>
            <w:r>
              <w:rPr>
                <w:rFonts w:ascii="Times New Roman" w:hAnsi="Times New Roman"/>
                <w:color w:val="000000"/>
                <w:sz w:val="22"/>
              </w:rPr>
              <w:t>Four program officers d</w:t>
            </w:r>
            <w:r w:rsidRPr="005530F5">
              <w:rPr>
                <w:rFonts w:ascii="Times New Roman" w:hAnsi="Times New Roman"/>
                <w:color w:val="000000"/>
                <w:sz w:val="22"/>
              </w:rPr>
              <w:t>ocument monitoring activities weekly for 10 projects</w:t>
            </w:r>
            <w:r>
              <w:rPr>
                <w:rFonts w:ascii="Times New Roman" w:hAnsi="Times New Roman"/>
                <w:color w:val="000000"/>
                <w:sz w:val="22"/>
              </w:rPr>
              <w:t xml:space="preserve"> in their respective world area portfolios in </w:t>
            </w:r>
            <w:r w:rsidRPr="005530F5">
              <w:rPr>
                <w:rFonts w:ascii="Times New Roman" w:hAnsi="Times New Roman"/>
                <w:color w:val="000000"/>
                <w:sz w:val="22"/>
              </w:rPr>
              <w:t>compliance with OPE standards</w:t>
            </w:r>
          </w:p>
        </w:tc>
        <w:tc>
          <w:tcPr>
            <w:tcW w:w="1652"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69BCE455" w14:textId="77777777">
            <w:pPr>
              <w:jc w:val="center"/>
              <w:rPr>
                <w:rFonts w:ascii="Times New Roman" w:hAnsi="Times New Roman"/>
                <w:color w:val="000000"/>
                <w:sz w:val="22"/>
                <w:szCs w:val="22"/>
              </w:rPr>
            </w:pPr>
            <w:r w:rsidRPr="005530F5">
              <w:rPr>
                <w:rFonts w:ascii="Times New Roman" w:hAnsi="Times New Roman"/>
                <w:color w:val="000000"/>
                <w:sz w:val="22"/>
                <w:szCs w:val="22"/>
              </w:rPr>
              <w:t>$</w:t>
            </w:r>
            <w:r>
              <w:rPr>
                <w:rFonts w:ascii="Times New Roman" w:hAnsi="Times New Roman"/>
                <w:color w:val="000000"/>
                <w:sz w:val="22"/>
                <w:szCs w:val="22"/>
              </w:rPr>
              <w:t>50</w:t>
            </w:r>
          </w:p>
        </w:tc>
        <w:tc>
          <w:tcPr>
            <w:tcW w:w="1170"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0E908B64" w14:textId="77777777">
            <w:pPr>
              <w:jc w:val="center"/>
              <w:rPr>
                <w:rFonts w:ascii="Times New Roman" w:hAnsi="Times New Roman"/>
                <w:color w:val="000000"/>
                <w:sz w:val="22"/>
                <w:szCs w:val="22"/>
              </w:rPr>
            </w:pPr>
            <w:r>
              <w:rPr>
                <w:rFonts w:ascii="Times New Roman" w:hAnsi="Times New Roman"/>
                <w:color w:val="000000"/>
                <w:sz w:val="22"/>
                <w:szCs w:val="22"/>
              </w:rPr>
              <w:t>4</w:t>
            </w:r>
          </w:p>
        </w:tc>
        <w:tc>
          <w:tcPr>
            <w:tcW w:w="927" w:type="dxa"/>
            <w:tcBorders>
              <w:top w:val="nil"/>
              <w:left w:val="nil"/>
              <w:bottom w:val="single" w:color="auto" w:sz="8" w:space="0"/>
              <w:right w:val="single" w:color="auto" w:sz="8" w:space="0"/>
            </w:tcBorders>
            <w:shd w:val="clear" w:color="auto" w:fill="auto"/>
            <w:vAlign w:val="center"/>
            <w:hideMark/>
          </w:tcPr>
          <w:p w:rsidR="00294552" w:rsidP="002226A8" w:rsidRDefault="00294552" w14:paraId="5A402E21" w14:textId="77777777">
            <w:pPr>
              <w:jc w:val="center"/>
              <w:rPr>
                <w:rFonts w:ascii="Times New Roman" w:hAnsi="Times New Roman"/>
                <w:color w:val="000000"/>
                <w:sz w:val="22"/>
                <w:szCs w:val="22"/>
              </w:rPr>
            </w:pPr>
            <w:r>
              <w:rPr>
                <w:rFonts w:ascii="Times New Roman" w:hAnsi="Times New Roman"/>
                <w:color w:val="000000"/>
                <w:sz w:val="22"/>
                <w:szCs w:val="22"/>
              </w:rPr>
              <w:t xml:space="preserve">104 </w:t>
            </w:r>
          </w:p>
          <w:p w:rsidRPr="0080360F" w:rsidR="00294552" w:rsidP="002226A8" w:rsidRDefault="00294552" w14:paraId="6B3687AB" w14:textId="77777777">
            <w:pPr>
              <w:jc w:val="center"/>
              <w:rPr>
                <w:rFonts w:ascii="Times New Roman" w:hAnsi="Times New Roman"/>
                <w:color w:val="000000"/>
                <w:sz w:val="18"/>
                <w:szCs w:val="18"/>
              </w:rPr>
            </w:pPr>
            <w:r w:rsidRPr="0080360F">
              <w:rPr>
                <w:rFonts w:ascii="Times New Roman" w:hAnsi="Times New Roman"/>
                <w:color w:val="000000"/>
                <w:sz w:val="18"/>
                <w:szCs w:val="18"/>
              </w:rPr>
              <w:t xml:space="preserve">(2 hrs./wk. @ 52 weeks) </w:t>
            </w:r>
          </w:p>
        </w:tc>
        <w:tc>
          <w:tcPr>
            <w:tcW w:w="1402" w:type="dxa"/>
            <w:tcBorders>
              <w:top w:val="nil"/>
              <w:left w:val="nil"/>
              <w:bottom w:val="single" w:color="auto" w:sz="8" w:space="0"/>
              <w:right w:val="single" w:color="auto" w:sz="8" w:space="0"/>
            </w:tcBorders>
            <w:shd w:val="clear" w:color="auto" w:fill="auto"/>
            <w:vAlign w:val="center"/>
            <w:hideMark/>
          </w:tcPr>
          <w:p w:rsidRPr="005530F5" w:rsidR="00294552" w:rsidP="002226A8" w:rsidRDefault="00294552" w14:paraId="25FFA99A" w14:textId="77777777">
            <w:pPr>
              <w:jc w:val="center"/>
              <w:rPr>
                <w:rFonts w:ascii="Times New Roman" w:hAnsi="Times New Roman"/>
                <w:color w:val="000000"/>
                <w:sz w:val="22"/>
                <w:szCs w:val="22"/>
              </w:rPr>
            </w:pPr>
            <w:r w:rsidRPr="005530F5">
              <w:rPr>
                <w:rFonts w:ascii="Times New Roman" w:hAnsi="Times New Roman"/>
                <w:color w:val="000000"/>
                <w:sz w:val="22"/>
                <w:szCs w:val="22"/>
              </w:rPr>
              <w:t>$2</w:t>
            </w:r>
            <w:r>
              <w:rPr>
                <w:rFonts w:ascii="Times New Roman" w:hAnsi="Times New Roman"/>
                <w:color w:val="000000"/>
                <w:sz w:val="22"/>
                <w:szCs w:val="22"/>
              </w:rPr>
              <w:t>0</w:t>
            </w:r>
            <w:r w:rsidRPr="005530F5">
              <w:rPr>
                <w:rFonts w:ascii="Times New Roman" w:hAnsi="Times New Roman"/>
                <w:color w:val="000000"/>
                <w:sz w:val="22"/>
                <w:szCs w:val="22"/>
              </w:rPr>
              <w:t>,</w:t>
            </w:r>
            <w:r>
              <w:rPr>
                <w:rFonts w:ascii="Times New Roman" w:hAnsi="Times New Roman"/>
                <w:color w:val="000000"/>
                <w:sz w:val="22"/>
                <w:szCs w:val="22"/>
              </w:rPr>
              <w:t>800</w:t>
            </w:r>
            <w:r w:rsidRPr="005530F5">
              <w:rPr>
                <w:rFonts w:ascii="Times New Roman" w:hAnsi="Times New Roman"/>
                <w:color w:val="000000"/>
                <w:sz w:val="22"/>
                <w:szCs w:val="22"/>
              </w:rPr>
              <w:t xml:space="preserve"> </w:t>
            </w:r>
          </w:p>
        </w:tc>
      </w:tr>
      <w:tr w:rsidRPr="005530F5" w:rsidR="00294552" w:rsidTr="002226A8" w14:paraId="172B9F30" w14:textId="77777777">
        <w:trPr>
          <w:trHeight w:val="315"/>
        </w:trPr>
        <w:tc>
          <w:tcPr>
            <w:tcW w:w="4329" w:type="dxa"/>
            <w:tcBorders>
              <w:top w:val="nil"/>
              <w:left w:val="single" w:color="auto" w:sz="8" w:space="0"/>
              <w:bottom w:val="single" w:color="auto" w:sz="8" w:space="0"/>
              <w:right w:val="single" w:color="auto" w:sz="8" w:space="0"/>
            </w:tcBorders>
            <w:shd w:val="clear" w:color="auto" w:fill="auto"/>
            <w:vAlign w:val="center"/>
            <w:hideMark/>
          </w:tcPr>
          <w:p w:rsidRPr="005530F5" w:rsidR="00294552" w:rsidP="002226A8" w:rsidRDefault="00294552" w14:paraId="76A7D48E" w14:textId="77777777">
            <w:pPr>
              <w:jc w:val="center"/>
              <w:rPr>
                <w:rFonts w:ascii="Times New Roman" w:hAnsi="Times New Roman"/>
                <w:color w:val="000000"/>
                <w:sz w:val="22"/>
                <w:szCs w:val="22"/>
              </w:rPr>
            </w:pPr>
            <w:r w:rsidRPr="005530F5">
              <w:rPr>
                <w:rFonts w:ascii="Times New Roman" w:hAnsi="Times New Roman"/>
                <w:color w:val="000000"/>
                <w:sz w:val="22"/>
                <w:szCs w:val="28"/>
              </w:rPr>
              <w:t>TOTAL</w:t>
            </w:r>
          </w:p>
        </w:tc>
        <w:tc>
          <w:tcPr>
            <w:tcW w:w="1652" w:type="dxa"/>
            <w:tcBorders>
              <w:top w:val="nil"/>
              <w:left w:val="nil"/>
              <w:bottom w:val="single" w:color="auto" w:sz="8" w:space="0"/>
              <w:right w:val="single" w:color="auto" w:sz="8" w:space="0"/>
            </w:tcBorders>
            <w:shd w:val="clear" w:color="000000" w:fill="E0E0E0"/>
            <w:vAlign w:val="center"/>
            <w:hideMark/>
          </w:tcPr>
          <w:p w:rsidRPr="005530F5" w:rsidR="00294552" w:rsidP="002226A8" w:rsidRDefault="00294552" w14:paraId="1F92378F" w14:textId="77777777">
            <w:pPr>
              <w:rPr>
                <w:rFonts w:ascii="Times New Roman" w:hAnsi="Times New Roman"/>
                <w:b/>
                <w:bCs/>
                <w:color w:val="000000"/>
                <w:sz w:val="22"/>
                <w:szCs w:val="22"/>
              </w:rPr>
            </w:pPr>
            <w:r w:rsidRPr="005530F5">
              <w:rPr>
                <w:rFonts w:ascii="Times New Roman" w:hAnsi="Times New Roman"/>
                <w:b/>
                <w:bCs/>
                <w:color w:val="000000"/>
                <w:sz w:val="22"/>
              </w:rPr>
              <w:t> </w:t>
            </w:r>
          </w:p>
        </w:tc>
        <w:tc>
          <w:tcPr>
            <w:tcW w:w="1170" w:type="dxa"/>
            <w:tcBorders>
              <w:top w:val="nil"/>
              <w:left w:val="nil"/>
              <w:bottom w:val="single" w:color="auto" w:sz="8" w:space="0"/>
              <w:right w:val="single" w:color="auto" w:sz="8" w:space="0"/>
            </w:tcBorders>
            <w:shd w:val="clear" w:color="000000" w:fill="E0E0E0"/>
            <w:vAlign w:val="center"/>
            <w:hideMark/>
          </w:tcPr>
          <w:p w:rsidRPr="005530F5" w:rsidR="00294552" w:rsidP="002226A8" w:rsidRDefault="00294552" w14:paraId="476A390C" w14:textId="77777777">
            <w:pPr>
              <w:jc w:val="center"/>
              <w:rPr>
                <w:rFonts w:ascii="Times New Roman" w:hAnsi="Times New Roman"/>
                <w:b/>
                <w:bCs/>
                <w:color w:val="000000"/>
                <w:sz w:val="22"/>
                <w:szCs w:val="22"/>
              </w:rPr>
            </w:pPr>
            <w:r w:rsidRPr="005530F5">
              <w:rPr>
                <w:rFonts w:ascii="Times New Roman" w:hAnsi="Times New Roman"/>
                <w:b/>
                <w:bCs/>
                <w:color w:val="000000"/>
                <w:sz w:val="22"/>
              </w:rPr>
              <w:t> </w:t>
            </w:r>
          </w:p>
        </w:tc>
        <w:tc>
          <w:tcPr>
            <w:tcW w:w="927" w:type="dxa"/>
            <w:tcBorders>
              <w:top w:val="nil"/>
              <w:left w:val="nil"/>
              <w:bottom w:val="single" w:color="auto" w:sz="8" w:space="0"/>
              <w:right w:val="single" w:color="auto" w:sz="8" w:space="0"/>
            </w:tcBorders>
            <w:shd w:val="clear" w:color="auto" w:fill="auto"/>
            <w:vAlign w:val="center"/>
          </w:tcPr>
          <w:p w:rsidRPr="005530F5" w:rsidR="00294552" w:rsidP="002226A8" w:rsidRDefault="00294552" w14:paraId="511B61DE" w14:textId="77777777">
            <w:pPr>
              <w:jc w:val="center"/>
              <w:rPr>
                <w:rFonts w:ascii="Times New Roman" w:hAnsi="Times New Roman"/>
                <w:b/>
                <w:bCs/>
                <w:color w:val="000000"/>
                <w:sz w:val="22"/>
                <w:szCs w:val="22"/>
              </w:rPr>
            </w:pPr>
            <w:r>
              <w:rPr>
                <w:rFonts w:ascii="Times New Roman" w:hAnsi="Times New Roman"/>
                <w:b/>
                <w:bCs/>
                <w:color w:val="000000"/>
                <w:sz w:val="22"/>
                <w:szCs w:val="22"/>
              </w:rPr>
              <w:t>607</w:t>
            </w:r>
          </w:p>
        </w:tc>
        <w:tc>
          <w:tcPr>
            <w:tcW w:w="1402" w:type="dxa"/>
            <w:tcBorders>
              <w:top w:val="nil"/>
              <w:left w:val="nil"/>
              <w:bottom w:val="single" w:color="auto" w:sz="8" w:space="0"/>
              <w:right w:val="single" w:color="auto" w:sz="8" w:space="0"/>
            </w:tcBorders>
            <w:shd w:val="clear" w:color="auto" w:fill="auto"/>
            <w:vAlign w:val="center"/>
          </w:tcPr>
          <w:p w:rsidRPr="005530F5" w:rsidR="00294552" w:rsidP="002226A8" w:rsidRDefault="00294552" w14:paraId="228659B1" w14:textId="0CE2C3EC">
            <w:pPr>
              <w:jc w:val="center"/>
              <w:rPr>
                <w:rFonts w:ascii="Times New Roman" w:hAnsi="Times New Roman"/>
                <w:b/>
                <w:bCs/>
                <w:color w:val="000000"/>
                <w:sz w:val="22"/>
                <w:szCs w:val="22"/>
              </w:rPr>
            </w:pPr>
            <w:r>
              <w:rPr>
                <w:rFonts w:ascii="Times New Roman" w:hAnsi="Times New Roman"/>
                <w:b/>
                <w:bCs/>
                <w:color w:val="000000"/>
                <w:sz w:val="22"/>
                <w:szCs w:val="22"/>
              </w:rPr>
              <w:t>8</w:t>
            </w:r>
            <w:r w:rsidR="00143462">
              <w:rPr>
                <w:rFonts w:ascii="Times New Roman" w:hAnsi="Times New Roman"/>
                <w:b/>
                <w:bCs/>
                <w:color w:val="000000"/>
                <w:sz w:val="22"/>
                <w:szCs w:val="22"/>
              </w:rPr>
              <w:t>4</w:t>
            </w:r>
            <w:r>
              <w:rPr>
                <w:rFonts w:ascii="Times New Roman" w:hAnsi="Times New Roman"/>
                <w:b/>
                <w:bCs/>
                <w:color w:val="000000"/>
                <w:sz w:val="22"/>
                <w:szCs w:val="22"/>
              </w:rPr>
              <w:t>,600</w:t>
            </w:r>
          </w:p>
        </w:tc>
      </w:tr>
    </w:tbl>
    <w:p w:rsidR="00534B4A" w:rsidP="00534B4A" w:rsidRDefault="00534B4A" w14:paraId="0A0F3D9D"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05BB5727"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lastRenderedPageBreak/>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7F0B1F99" w14:textId="5DE24501">
      <w:pPr>
        <w:pStyle w:val="ListParagraph"/>
        <w:tabs>
          <w:tab w:val="left" w:pos="-720"/>
        </w:tabs>
        <w:suppressAutoHyphens/>
        <w:contextualSpacing w:val="0"/>
        <w:rPr>
          <w:rFonts w:ascii="Times New Roman" w:hAnsi="Times New Roman"/>
          <w:b/>
          <w:szCs w:val="24"/>
        </w:rPr>
      </w:pPr>
    </w:p>
    <w:p w:rsidRPr="00294552" w:rsidR="00294552" w:rsidP="00294552" w:rsidRDefault="00294552" w14:paraId="4C7E0D75" w14:textId="1931AB4C">
      <w:pPr>
        <w:tabs>
          <w:tab w:val="left" w:pos="-720"/>
        </w:tabs>
        <w:suppressAutoHyphens/>
        <w:ind w:left="720"/>
        <w:rPr>
          <w:rFonts w:ascii="Times New Roman" w:hAnsi="Times New Roman"/>
          <w:szCs w:val="24"/>
        </w:rPr>
      </w:pPr>
      <w:r>
        <w:rPr>
          <w:rFonts w:ascii="Times New Roman" w:hAnsi="Times New Roman"/>
          <w:szCs w:val="24"/>
        </w:rPr>
        <w:t xml:space="preserve">The type of collection is an extension. There is no adjustment in the estimated respondent burden of 105 hours per response. </w:t>
      </w:r>
    </w:p>
    <w:p w:rsidR="00294552" w:rsidP="00800D30" w:rsidRDefault="00294552" w14:paraId="1C575846"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8C8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15DD3B3"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685C52B" w14:textId="77777777">
        <w:tc>
          <w:tcPr>
            <w:tcW w:w="2048" w:type="dxa"/>
            <w:shd w:val="clear" w:color="auto" w:fill="D9D9D9" w:themeFill="background1" w:themeFillShade="D9"/>
          </w:tcPr>
          <w:p w:rsidR="0052073E" w:rsidP="00534B4A" w:rsidRDefault="0052073E" w14:paraId="678F71C3" w14:textId="77777777">
            <w:pPr>
              <w:tabs>
                <w:tab w:val="left" w:pos="-720"/>
              </w:tabs>
              <w:suppressAutoHyphens/>
              <w:rPr>
                <w:rFonts w:ascii="Times New Roman" w:hAnsi="Times New Roman"/>
                <w:b/>
                <w:szCs w:val="24"/>
              </w:rPr>
            </w:pPr>
          </w:p>
        </w:tc>
        <w:tc>
          <w:tcPr>
            <w:tcW w:w="2048" w:type="dxa"/>
          </w:tcPr>
          <w:p w:rsidR="0052073E" w:rsidP="00534B4A" w:rsidRDefault="0052073E" w14:paraId="050C29B9"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3EA9568E"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016A4FD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241FB8CA" w14:textId="77777777">
        <w:tc>
          <w:tcPr>
            <w:tcW w:w="2048" w:type="dxa"/>
          </w:tcPr>
          <w:p w:rsidR="0052073E" w:rsidP="00534B4A" w:rsidRDefault="0052073E" w14:paraId="34E9E933"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294552" w14:paraId="0CA42205" w14:textId="7B72200F">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rsidRDefault="00294552" w14:paraId="0FB9E127" w14:textId="6444E4BF">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rsidRDefault="00294552" w14:paraId="68FF45A5" w14:textId="5259BE2E">
            <w:pPr>
              <w:tabs>
                <w:tab w:val="left" w:pos="-720"/>
              </w:tabs>
              <w:suppressAutoHyphens/>
              <w:rPr>
                <w:rFonts w:ascii="Times New Roman" w:hAnsi="Times New Roman"/>
                <w:b/>
                <w:szCs w:val="24"/>
              </w:rPr>
            </w:pPr>
            <w:r>
              <w:rPr>
                <w:rFonts w:ascii="Times New Roman" w:hAnsi="Times New Roman"/>
                <w:b/>
                <w:szCs w:val="24"/>
              </w:rPr>
              <w:t>0</w:t>
            </w:r>
          </w:p>
        </w:tc>
      </w:tr>
      <w:tr w:rsidR="0052073E" w:rsidTr="0052073E" w14:paraId="56450A0D" w14:textId="77777777">
        <w:tc>
          <w:tcPr>
            <w:tcW w:w="2048" w:type="dxa"/>
          </w:tcPr>
          <w:p w:rsidR="0052073E" w:rsidP="00534B4A" w:rsidRDefault="0052073E" w14:paraId="7000DBCC"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294552" w14:paraId="6BFD06B6" w14:textId="377BBCCE">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rsidRDefault="00294552" w14:paraId="64F759A5" w14:textId="21070F64">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rsidRDefault="00294552" w14:paraId="0036ED94" w14:textId="26E64007">
            <w:pPr>
              <w:tabs>
                <w:tab w:val="left" w:pos="-720"/>
              </w:tabs>
              <w:suppressAutoHyphens/>
              <w:rPr>
                <w:rFonts w:ascii="Times New Roman" w:hAnsi="Times New Roman"/>
                <w:b/>
                <w:szCs w:val="24"/>
              </w:rPr>
            </w:pPr>
            <w:r>
              <w:rPr>
                <w:rFonts w:ascii="Times New Roman" w:hAnsi="Times New Roman"/>
                <w:b/>
                <w:szCs w:val="24"/>
              </w:rPr>
              <w:t>0</w:t>
            </w:r>
          </w:p>
        </w:tc>
      </w:tr>
      <w:tr w:rsidR="0052073E" w:rsidTr="0052073E" w14:paraId="5CA67497" w14:textId="77777777">
        <w:tc>
          <w:tcPr>
            <w:tcW w:w="2048" w:type="dxa"/>
          </w:tcPr>
          <w:p w:rsidR="0052073E" w:rsidP="00534B4A" w:rsidRDefault="0052073E" w14:paraId="319F72E9"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294552" w14:paraId="4D0822DF" w14:textId="1D6E9CA2">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rsidRDefault="00294552" w14:paraId="4C2E90C4" w14:textId="0C43BB21">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rsidRDefault="00294552" w14:paraId="31747B2E" w14:textId="57E1CB5E">
            <w:pPr>
              <w:tabs>
                <w:tab w:val="left" w:pos="-720"/>
              </w:tabs>
              <w:suppressAutoHyphens/>
              <w:rPr>
                <w:rFonts w:ascii="Times New Roman" w:hAnsi="Times New Roman"/>
                <w:b/>
                <w:szCs w:val="24"/>
              </w:rPr>
            </w:pPr>
            <w:r>
              <w:rPr>
                <w:rFonts w:ascii="Times New Roman" w:hAnsi="Times New Roman"/>
                <w:b/>
                <w:szCs w:val="24"/>
              </w:rPr>
              <w:t>0</w:t>
            </w:r>
          </w:p>
        </w:tc>
      </w:tr>
    </w:tbl>
    <w:p w:rsidR="00F27AAF" w:rsidP="00534B4A" w:rsidRDefault="00F27AAF" w14:paraId="78D3BFBC" w14:textId="77777777">
      <w:pPr>
        <w:tabs>
          <w:tab w:val="left" w:pos="-720"/>
        </w:tabs>
        <w:suppressAutoHyphens/>
        <w:rPr>
          <w:rFonts w:ascii="Times New Roman" w:hAnsi="Times New Roman"/>
          <w:b/>
          <w:szCs w:val="24"/>
        </w:rPr>
      </w:pPr>
    </w:p>
    <w:p w:rsidRPr="00534B4A" w:rsidR="00534B4A" w:rsidP="00534B4A" w:rsidRDefault="00534B4A" w14:paraId="6E6F8B4D" w14:textId="77777777">
      <w:pPr>
        <w:tabs>
          <w:tab w:val="left" w:pos="-720"/>
        </w:tabs>
        <w:suppressAutoHyphens/>
        <w:rPr>
          <w:rFonts w:ascii="Times New Roman" w:hAnsi="Times New Roman"/>
          <w:szCs w:val="24"/>
        </w:rPr>
      </w:pPr>
    </w:p>
    <w:p w:rsidR="00294552" w:rsidP="00294552" w:rsidRDefault="00043C32" w14:paraId="48492DD4" w14:textId="3A70063E">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4552" w:rsidP="00294552" w:rsidRDefault="00294552" w14:paraId="76AC4566" w14:textId="77777777">
      <w:pPr>
        <w:pStyle w:val="ListParagraph"/>
        <w:tabs>
          <w:tab w:val="left" w:pos="-720"/>
        </w:tabs>
        <w:suppressAutoHyphens/>
        <w:ind w:left="806"/>
        <w:contextualSpacing w:val="0"/>
        <w:rPr>
          <w:rStyle w:val="a"/>
          <w:rFonts w:ascii="Times New Roman" w:hAnsi="Times New Roman"/>
          <w:b/>
          <w:szCs w:val="24"/>
        </w:rPr>
      </w:pPr>
    </w:p>
    <w:p w:rsidRPr="00294552" w:rsidR="00534B4A" w:rsidP="00294552" w:rsidRDefault="00294552" w14:paraId="59796E71" w14:textId="49EF41D5">
      <w:pPr>
        <w:pStyle w:val="ListParagraph"/>
        <w:tabs>
          <w:tab w:val="left" w:pos="-720"/>
        </w:tabs>
        <w:suppressAutoHyphens/>
        <w:ind w:left="806"/>
        <w:contextualSpacing w:val="0"/>
        <w:rPr>
          <w:rFonts w:ascii="Times New Roman" w:hAnsi="Times New Roman"/>
          <w:b/>
          <w:szCs w:val="24"/>
        </w:rPr>
      </w:pPr>
      <w:r w:rsidRPr="00294552">
        <w:rPr>
          <w:rStyle w:val="a"/>
          <w:rFonts w:ascii="Times New Roman" w:hAnsi="Times New Roman"/>
          <w:szCs w:val="24"/>
        </w:rPr>
        <w:t>The results of the collection will not be published.</w:t>
      </w:r>
    </w:p>
    <w:p w:rsidRPr="00534B4A" w:rsidR="00534B4A" w:rsidP="00534B4A" w:rsidRDefault="00534B4A" w14:paraId="228EC782" w14:textId="77777777">
      <w:pPr>
        <w:tabs>
          <w:tab w:val="left" w:pos="-720"/>
        </w:tabs>
        <w:suppressAutoHyphens/>
        <w:rPr>
          <w:rFonts w:ascii="Times New Roman" w:hAnsi="Times New Roman"/>
          <w:szCs w:val="24"/>
        </w:rPr>
      </w:pPr>
    </w:p>
    <w:p w:rsidRPr="00534B4A" w:rsidR="00043C32" w:rsidP="00AD381B" w:rsidRDefault="00043C32" w14:paraId="5A8893A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44945351" w14:textId="77777777">
      <w:pPr>
        <w:tabs>
          <w:tab w:val="left" w:pos="-720"/>
        </w:tabs>
        <w:suppressAutoHyphens/>
        <w:ind w:left="360"/>
        <w:rPr>
          <w:rFonts w:ascii="Times New Roman" w:hAnsi="Times New Roman"/>
          <w:b/>
          <w:szCs w:val="24"/>
        </w:rPr>
      </w:pPr>
    </w:p>
    <w:p w:rsidR="00294552" w:rsidP="00294552" w:rsidRDefault="00294552" w14:paraId="4BFB2C35" w14:textId="77777777">
      <w:pPr>
        <w:pStyle w:val="ListParagraph"/>
        <w:tabs>
          <w:tab w:val="left" w:pos="-720"/>
        </w:tabs>
        <w:suppressAutoHyphens/>
        <w:ind w:left="907"/>
        <w:contextualSpacing w:val="0"/>
        <w:rPr>
          <w:rStyle w:val="a"/>
          <w:rFonts w:ascii="Times New Roman" w:hAnsi="Times New Roman"/>
          <w:szCs w:val="24"/>
        </w:rPr>
      </w:pPr>
      <w:r>
        <w:rPr>
          <w:rStyle w:val="a"/>
          <w:rFonts w:ascii="Times New Roman" w:hAnsi="Times New Roman"/>
          <w:szCs w:val="24"/>
        </w:rPr>
        <w:t>We will display the expiration date as required.</w:t>
      </w:r>
    </w:p>
    <w:p w:rsidRPr="00534B4A" w:rsidR="00534B4A" w:rsidP="00534B4A" w:rsidRDefault="00534B4A" w14:paraId="094D1D60" w14:textId="77777777">
      <w:pPr>
        <w:tabs>
          <w:tab w:val="left" w:pos="-720"/>
        </w:tabs>
        <w:suppressAutoHyphens/>
        <w:ind w:left="360"/>
        <w:rPr>
          <w:rFonts w:ascii="Times New Roman" w:hAnsi="Times New Roman"/>
          <w:szCs w:val="24"/>
        </w:rPr>
      </w:pPr>
    </w:p>
    <w:p w:rsidR="00294552" w:rsidP="00294552" w:rsidRDefault="00043C32" w14:paraId="22DF7468" w14:textId="71817E5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294552" w:rsidP="00294552" w:rsidRDefault="00294552" w14:paraId="0FD8B12A" w14:textId="77777777">
      <w:pPr>
        <w:pStyle w:val="ListParagraph"/>
        <w:tabs>
          <w:tab w:val="left" w:pos="-720"/>
        </w:tabs>
        <w:suppressAutoHyphens/>
        <w:ind w:left="900"/>
        <w:rPr>
          <w:rStyle w:val="a"/>
          <w:rFonts w:ascii="Times New Roman" w:hAnsi="Times New Roman"/>
          <w:b/>
          <w:szCs w:val="24"/>
        </w:rPr>
      </w:pPr>
    </w:p>
    <w:p w:rsidRPr="00294552" w:rsidR="00294552" w:rsidP="00294552" w:rsidRDefault="00294552" w14:paraId="41A836C9" w14:textId="1EC26668">
      <w:pPr>
        <w:pStyle w:val="ListParagraph"/>
        <w:tabs>
          <w:tab w:val="left" w:pos="-720"/>
        </w:tabs>
        <w:suppressAutoHyphens/>
        <w:ind w:left="900"/>
        <w:rPr>
          <w:rFonts w:ascii="Times New Roman" w:hAnsi="Times New Roman"/>
          <w:b/>
          <w:szCs w:val="24"/>
        </w:rPr>
      </w:pPr>
      <w:r w:rsidRPr="00294552">
        <w:rPr>
          <w:rStyle w:val="a"/>
          <w:rFonts w:ascii="Times New Roman" w:hAnsi="Times New Roman"/>
          <w:szCs w:val="24"/>
        </w:rPr>
        <w:t>There are no exceptions to the certification statement.</w:t>
      </w:r>
    </w:p>
    <w:p w:rsidRPr="009767AF" w:rsidR="00294552" w:rsidP="00294552" w:rsidRDefault="00294552" w14:paraId="262DAF3B" w14:textId="77777777">
      <w:pPr>
        <w:pStyle w:val="ListParagraph"/>
        <w:tabs>
          <w:tab w:val="left" w:pos="-720"/>
        </w:tabs>
        <w:suppressAutoHyphens/>
        <w:ind w:left="900"/>
        <w:rPr>
          <w:rFonts w:ascii="Times New Roman" w:hAnsi="Times New Roman"/>
          <w:b/>
          <w:szCs w:val="24"/>
        </w:rPr>
      </w:pPr>
    </w:p>
    <w:sectPr w:rsidRPr="009767AF" w:rsidR="00294552" w:rsidSect="00043C32">
      <w:footerReference w:type="default" r:id="rId19"/>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97F42" w14:textId="77777777" w:rsidR="00423807" w:rsidRDefault="00423807" w:rsidP="00043C32">
      <w:r>
        <w:separator/>
      </w:r>
    </w:p>
  </w:endnote>
  <w:endnote w:type="continuationSeparator" w:id="0">
    <w:p w14:paraId="1F94BFAA" w14:textId="77777777" w:rsidR="00423807" w:rsidRDefault="00423807"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DC73B" w14:textId="77777777" w:rsidR="00386054" w:rsidRDefault="002A6454">
    <w:pPr>
      <w:spacing w:before="140" w:line="100" w:lineRule="exact"/>
      <w:rPr>
        <w:sz w:val="10"/>
      </w:rPr>
    </w:pPr>
  </w:p>
  <w:p w14:paraId="30E10C4F" w14:textId="77777777" w:rsidR="00386054" w:rsidRDefault="002A6454">
    <w:pPr>
      <w:tabs>
        <w:tab w:val="left" w:pos="0"/>
      </w:tabs>
      <w:suppressAutoHyphens/>
    </w:pPr>
  </w:p>
  <w:p w14:paraId="44A1FF6D" w14:textId="77777777" w:rsidR="00386054" w:rsidRDefault="00043C32">
    <w:pPr>
      <w:tabs>
        <w:tab w:val="left" w:pos="0"/>
      </w:tabs>
      <w:suppressAutoHyphens/>
    </w:pPr>
    <w:r>
      <w:rPr>
        <w:noProof/>
      </w:rPr>
      <mc:AlternateContent>
        <mc:Choice Requires="wps">
          <w:drawing>
            <wp:inline distT="0" distB="0" distL="0" distR="0" wp14:anchorId="53B676CF" wp14:editId="19F8D7C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C629556"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3B676CF"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0C629556"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8554C" w14:textId="77777777" w:rsidR="00423807" w:rsidRDefault="00423807" w:rsidP="00043C32">
      <w:r>
        <w:separator/>
      </w:r>
    </w:p>
  </w:footnote>
  <w:footnote w:type="continuationSeparator" w:id="0">
    <w:p w14:paraId="49A0A5AF" w14:textId="77777777" w:rsidR="00423807" w:rsidRDefault="00423807" w:rsidP="00043C32">
      <w:r>
        <w:continuationSeparator/>
      </w:r>
    </w:p>
  </w:footnote>
  <w:footnote w:id="1">
    <w:p w14:paraId="7A7B2C2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87488D"/>
    <w:multiLevelType w:val="hybridMultilevel"/>
    <w:tmpl w:val="8560371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096DF0"/>
    <w:rsid w:val="00143462"/>
    <w:rsid w:val="00160C0D"/>
    <w:rsid w:val="001824F3"/>
    <w:rsid w:val="001A6AE0"/>
    <w:rsid w:val="001C73C0"/>
    <w:rsid w:val="001E79BD"/>
    <w:rsid w:val="002225CC"/>
    <w:rsid w:val="00224A3B"/>
    <w:rsid w:val="00240A39"/>
    <w:rsid w:val="00246FE9"/>
    <w:rsid w:val="00250100"/>
    <w:rsid w:val="00262A69"/>
    <w:rsid w:val="00270AF7"/>
    <w:rsid w:val="00294552"/>
    <w:rsid w:val="002A3221"/>
    <w:rsid w:val="002A6454"/>
    <w:rsid w:val="002C3520"/>
    <w:rsid w:val="002E14E0"/>
    <w:rsid w:val="002F55E5"/>
    <w:rsid w:val="00320591"/>
    <w:rsid w:val="0032078A"/>
    <w:rsid w:val="0032539E"/>
    <w:rsid w:val="00354208"/>
    <w:rsid w:val="003860E4"/>
    <w:rsid w:val="003B1545"/>
    <w:rsid w:val="00412915"/>
    <w:rsid w:val="00423807"/>
    <w:rsid w:val="00442E07"/>
    <w:rsid w:val="0052073E"/>
    <w:rsid w:val="00534B4A"/>
    <w:rsid w:val="00575DDA"/>
    <w:rsid w:val="00581C11"/>
    <w:rsid w:val="0068567A"/>
    <w:rsid w:val="006A292A"/>
    <w:rsid w:val="006A38F7"/>
    <w:rsid w:val="006A4EBB"/>
    <w:rsid w:val="006B4172"/>
    <w:rsid w:val="00713B69"/>
    <w:rsid w:val="00755D99"/>
    <w:rsid w:val="00756FD3"/>
    <w:rsid w:val="00765392"/>
    <w:rsid w:val="00790E3E"/>
    <w:rsid w:val="007C0A4C"/>
    <w:rsid w:val="007F6104"/>
    <w:rsid w:val="00800D30"/>
    <w:rsid w:val="00807D1A"/>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3590"/>
    <w:rsid w:val="00A7636D"/>
    <w:rsid w:val="00A9138E"/>
    <w:rsid w:val="00AC1C89"/>
    <w:rsid w:val="00AD381B"/>
    <w:rsid w:val="00AF5B5B"/>
    <w:rsid w:val="00AF5D1A"/>
    <w:rsid w:val="00B017F9"/>
    <w:rsid w:val="00B07213"/>
    <w:rsid w:val="00B10A05"/>
    <w:rsid w:val="00B54167"/>
    <w:rsid w:val="00B62E06"/>
    <w:rsid w:val="00B64B1D"/>
    <w:rsid w:val="00B9671B"/>
    <w:rsid w:val="00BA1D31"/>
    <w:rsid w:val="00C164D3"/>
    <w:rsid w:val="00C20670"/>
    <w:rsid w:val="00C224FD"/>
    <w:rsid w:val="00C31B98"/>
    <w:rsid w:val="00C86713"/>
    <w:rsid w:val="00C875E8"/>
    <w:rsid w:val="00C92035"/>
    <w:rsid w:val="00CC2A72"/>
    <w:rsid w:val="00CC3FB5"/>
    <w:rsid w:val="00CD2067"/>
    <w:rsid w:val="00CD47BC"/>
    <w:rsid w:val="00D34984"/>
    <w:rsid w:val="00D36C35"/>
    <w:rsid w:val="00D75313"/>
    <w:rsid w:val="00E16ACD"/>
    <w:rsid w:val="00E17134"/>
    <w:rsid w:val="00E25EBC"/>
    <w:rsid w:val="00E66550"/>
    <w:rsid w:val="00E877BF"/>
    <w:rsid w:val="00EA1767"/>
    <w:rsid w:val="00EB0929"/>
    <w:rsid w:val="00EB0FA5"/>
    <w:rsid w:val="00EC01DD"/>
    <w:rsid w:val="00EC35E3"/>
    <w:rsid w:val="00ED7195"/>
    <w:rsid w:val="00F0414F"/>
    <w:rsid w:val="00F070F3"/>
    <w:rsid w:val="00F27AAF"/>
    <w:rsid w:val="00F31BEC"/>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CB9984"/>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C31B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ress.gov/bill/103rd-congress/senate-bill/00020" TargetMode="External"/><Relationship Id="rId18" Type="http://schemas.openxmlformats.org/officeDocument/2006/relationships/hyperlink" Target="https://www.bls.gov/oes/current/oes_nat.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2.ed.gov/programs/iegpsflasf/legislation.html" TargetMode="External"/><Relationship Id="rId17" Type="http://schemas.openxmlformats.org/officeDocument/2006/relationships/hyperlink" Target="http://www2.ed.gov/policy/fund/reg/edgarReg/edgar.html" TargetMode="External"/><Relationship Id="rId2" Type="http://schemas.openxmlformats.org/officeDocument/2006/relationships/customXml" Target="../customXml/item2.xml"/><Relationship Id="rId16" Type="http://schemas.openxmlformats.org/officeDocument/2006/relationships/hyperlink" Target="http://www2.ed.gov/policy/gen/leg/gpea/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programs/iegpsnrc/legislation.html" TargetMode="External"/><Relationship Id="rId5" Type="http://schemas.openxmlformats.org/officeDocument/2006/relationships/numbering" Target="numbering.xml"/><Relationship Id="rId15" Type="http://schemas.openxmlformats.org/officeDocument/2006/relationships/hyperlink" Target="https://sites.ed.gov/idea/files/Grants-General-Education-Provisions-Act-Section-427.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ress.gov/111/plaws/publ352/PLAW-111publ3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f87c7b8b-c0e7-4b77-a067-2c707fd1239f"/>
    <ds:schemaRef ds:uri="http://purl.org/dc/terms/"/>
    <ds:schemaRef ds:uri="http://schemas.microsoft.com/office/2006/metadata/properties"/>
    <ds:schemaRef ds:uri="02e41e38-1731-4866-b09a-6257d8bc047f"/>
    <ds:schemaRef ds:uri="http://www.w3.org/XML/1998/namespace"/>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2184DB84-C4B3-4DA0-AF22-3CEC3F422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3506</Words>
  <Characters>19989</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2020-07-28T12:37:00Z</dcterms:created>
  <dcterms:modified xsi:type="dcterms:W3CDTF">2020-07-28T12:37:00Z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