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6C1502F6">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Pr="00462B4E" w:rsidR="000E195E" w:rsidP="00462B4E" w:rsidRDefault="00462B4E" w14:paraId="7D1F83EF" w14:textId="3B868959">
      <w:pPr>
        <w:jc w:val="center"/>
        <w:rPr>
          <w:rFonts w:ascii="Times New Roman" w:hAnsi="Times New Roman"/>
          <w:b/>
          <w:bCs/>
        </w:rPr>
      </w:pPr>
      <w:r w:rsidRPr="00462B4E">
        <w:rPr>
          <w:rFonts w:ascii="Times New Roman" w:hAnsi="Times New Roman"/>
          <w:b/>
          <w:bCs/>
        </w:rPr>
        <w:t>Education Stabilization Fund-</w:t>
      </w:r>
      <w:r w:rsidR="00EE3FA3">
        <w:rPr>
          <w:rFonts w:ascii="Times New Roman" w:hAnsi="Times New Roman"/>
          <w:b/>
          <w:bCs/>
        </w:rPr>
        <w:t>Governor’s</w:t>
      </w:r>
      <w:r w:rsidR="00E23E46">
        <w:rPr>
          <w:rFonts w:ascii="Times New Roman" w:hAnsi="Times New Roman"/>
          <w:b/>
          <w:bCs/>
        </w:rPr>
        <w:t xml:space="preserve"> </w:t>
      </w:r>
      <w:r w:rsidRPr="00462B4E">
        <w:rPr>
          <w:rFonts w:ascii="Times New Roman" w:hAnsi="Times New Roman"/>
          <w:b/>
          <w:bCs/>
        </w:rPr>
        <w:t>Emergency</w:t>
      </w:r>
      <w:r w:rsidR="006B212D">
        <w:rPr>
          <w:rFonts w:ascii="Times New Roman" w:hAnsi="Times New Roman"/>
          <w:b/>
          <w:bCs/>
        </w:rPr>
        <w:t xml:space="preserve"> Education</w:t>
      </w:r>
      <w:r w:rsidRPr="00462B4E">
        <w:rPr>
          <w:rFonts w:ascii="Times New Roman" w:hAnsi="Times New Roman"/>
          <w:b/>
          <w:bCs/>
        </w:rPr>
        <w:t xml:space="preserve"> Relief </w:t>
      </w:r>
      <w:r w:rsidRPr="00462B4E" w:rsidR="00C23DC9">
        <w:rPr>
          <w:rFonts w:ascii="Times New Roman" w:hAnsi="Times New Roman"/>
          <w:b/>
          <w:bCs/>
        </w:rPr>
        <w:t>Fund (</w:t>
      </w:r>
      <w:r w:rsidR="004E579B">
        <w:rPr>
          <w:rFonts w:ascii="Times New Roman" w:hAnsi="Times New Roman"/>
          <w:b/>
          <w:bCs/>
        </w:rPr>
        <w:t>GEER</w:t>
      </w:r>
      <w:r w:rsidRPr="00462B4E">
        <w:rPr>
          <w:rFonts w:ascii="Times New Roman" w:hAnsi="Times New Roman"/>
          <w:b/>
          <w:bCs/>
        </w:rPr>
        <w:t>) Recipient Data Collection Form</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0014781D" w:rsidP="00BF1380" w:rsidRDefault="0014781D" w14:paraId="0949F606" w14:textId="0951C4F4">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000620B2" w:rsidP="00BF1380" w:rsidRDefault="000620B2" w14:paraId="20FD85FB" w14:textId="5D74FFE0">
      <w:pPr>
        <w:rPr>
          <w:rFonts w:ascii="Times New Roman" w:hAnsi="Times New Roman"/>
          <w:szCs w:val="24"/>
        </w:rPr>
      </w:pPr>
    </w:p>
    <w:p w:rsidRPr="001A2965" w:rsidR="003911BF" w:rsidP="003911BF" w:rsidRDefault="003911BF" w14:paraId="58948B30" w14:textId="157F3768">
      <w:pPr>
        <w:rPr>
          <w:rFonts w:ascii="Times New Roman" w:hAnsi="Times New Roman"/>
          <w:szCs w:val="24"/>
        </w:rPr>
      </w:pPr>
      <w:r w:rsidRPr="001A2965">
        <w:rPr>
          <w:rFonts w:ascii="Times New Roman" w:hAnsi="Times New Roman"/>
          <w:szCs w:val="24"/>
        </w:rPr>
        <w:t>The Department awards GEER grants to Governors (</w:t>
      </w:r>
      <w:r w:rsidR="008776DC">
        <w:rPr>
          <w:rFonts w:ascii="Times New Roman" w:hAnsi="Times New Roman"/>
          <w:szCs w:val="24"/>
        </w:rPr>
        <w:t>S</w:t>
      </w:r>
      <w:r w:rsidRPr="001A2965">
        <w:rPr>
          <w:rFonts w:ascii="Times New Roman" w:hAnsi="Times New Roman"/>
          <w:szCs w:val="24"/>
        </w:rPr>
        <w:t xml:space="preserve">tates) </w:t>
      </w:r>
      <w:r w:rsidR="00903CFB">
        <w:rPr>
          <w:rFonts w:ascii="Times New Roman" w:hAnsi="Times New Roman"/>
          <w:szCs w:val="24"/>
        </w:rPr>
        <w:t xml:space="preserve">and </w:t>
      </w:r>
      <w:r w:rsidR="00A62722">
        <w:rPr>
          <w:rFonts w:ascii="Times New Roman" w:hAnsi="Times New Roman"/>
          <w:szCs w:val="24"/>
        </w:rPr>
        <w:t>a</w:t>
      </w:r>
      <w:r w:rsidR="00903CFB">
        <w:rPr>
          <w:rFonts w:ascii="Times New Roman" w:hAnsi="Times New Roman"/>
          <w:szCs w:val="24"/>
        </w:rPr>
        <w:t xml:space="preserve">nalogous </w:t>
      </w:r>
      <w:r w:rsidR="00490159">
        <w:rPr>
          <w:rFonts w:ascii="Times New Roman" w:hAnsi="Times New Roman"/>
          <w:szCs w:val="24"/>
        </w:rPr>
        <w:t xml:space="preserve">grants to </w:t>
      </w:r>
      <w:r w:rsidR="00A62722">
        <w:rPr>
          <w:rFonts w:ascii="Times New Roman" w:hAnsi="Times New Roman"/>
          <w:szCs w:val="24"/>
        </w:rPr>
        <w:t>O</w:t>
      </w:r>
      <w:r w:rsidR="00490159">
        <w:rPr>
          <w:rFonts w:ascii="Times New Roman" w:hAnsi="Times New Roman"/>
          <w:szCs w:val="24"/>
        </w:rPr>
        <w:t xml:space="preserve">utlying </w:t>
      </w:r>
      <w:r w:rsidR="00A62722">
        <w:rPr>
          <w:rFonts w:ascii="Times New Roman" w:hAnsi="Times New Roman"/>
          <w:szCs w:val="24"/>
        </w:rPr>
        <w:t>A</w:t>
      </w:r>
      <w:r w:rsidR="00490159">
        <w:rPr>
          <w:rFonts w:ascii="Times New Roman" w:hAnsi="Times New Roman"/>
          <w:szCs w:val="24"/>
        </w:rPr>
        <w:t xml:space="preserve">reas </w:t>
      </w:r>
      <w:r w:rsidRPr="001A2965">
        <w:rPr>
          <w:rFonts w:ascii="Times New Roman" w:hAnsi="Times New Roman"/>
          <w:szCs w:val="24"/>
        </w:rPr>
        <w:t>for the purpose of providing local educational agencies (LEAs), institutions of higher education (IHEs), and other education related entities with emergency assistance as a result of the coronavirus pandemic. The Department has awarded these grants to States (Governor’s offices) based on a formula stipulated in the legislation.</w:t>
      </w:r>
      <w:r w:rsidR="00B03B1F">
        <w:rPr>
          <w:rFonts w:ascii="Times New Roman" w:hAnsi="Times New Roman"/>
          <w:szCs w:val="24"/>
        </w:rPr>
        <w:t xml:space="preserve"> The grants are also awarded to Outlying Areas based on the same formula:</w:t>
      </w:r>
      <w:r w:rsidRPr="001A2965">
        <w:rPr>
          <w:rFonts w:ascii="Times New Roman" w:hAnsi="Times New Roman"/>
          <w:szCs w:val="24"/>
        </w:rPr>
        <w:t xml:space="preserve"> (1) 60% on the basis of the State’s </w:t>
      </w:r>
      <w:r w:rsidRPr="001A2965">
        <w:rPr>
          <w:rStyle w:val="CommentReference"/>
          <w:rFonts w:ascii="Times New Roman" w:hAnsi="Times New Roman"/>
          <w:sz w:val="24"/>
          <w:szCs w:val="24"/>
        </w:rPr>
        <w:t xml:space="preserve">or Outlying Area’s </w:t>
      </w:r>
      <w:r w:rsidRPr="001A2965">
        <w:rPr>
          <w:rFonts w:ascii="Times New Roman" w:hAnsi="Times New Roman"/>
          <w:szCs w:val="24"/>
        </w:rPr>
        <w:t xml:space="preserve">relative population of individuals aged 5 through 24. (2) 40% on the basis of the State’s relative number of children counted under section 1124(c) of the Elementary and Secondary Education Act of 1965 (ESEA). </w:t>
      </w:r>
      <w:r w:rsidRPr="00BE7250" w:rsidR="00BE7250">
        <w:rPr>
          <w:rFonts w:ascii="Times New Roman" w:hAnsi="Times New Roman"/>
          <w:szCs w:val="24"/>
        </w:rPr>
        <w:t xml:space="preserve">The grants are awarded to Outlying Areas based on the same formula. </w:t>
      </w:r>
      <w:r w:rsidRPr="001A2965">
        <w:rPr>
          <w:rFonts w:ascii="Times New Roman" w:hAnsi="Times New Roman"/>
          <w:szCs w:val="24"/>
        </w:rPr>
        <w:t>Data collected through this information collection will inform Department monitoring and oversight, and public reporting.</w:t>
      </w:r>
    </w:p>
    <w:p w:rsidR="003911BF" w:rsidP="00BF1380" w:rsidRDefault="003911BF" w14:paraId="0A397044" w14:textId="77777777">
      <w:pPr>
        <w:rPr>
          <w:rFonts w:ascii="Times New Roman" w:hAnsi="Times New Roman"/>
          <w:szCs w:val="24"/>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77777777">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00E57846" w:rsidRDefault="00E57846" w14:paraId="65C0734F" w14:textId="3200D333">
      <w:pPr>
        <w:shd w:val="clear" w:color="auto" w:fill="FFFFFF"/>
        <w:rPr>
          <w:rFonts w:ascii="Times New Roman" w:hAnsi="Times New Roman"/>
          <w:color w:val="333333"/>
          <w:szCs w:val="24"/>
        </w:rPr>
      </w:pPr>
      <w:r w:rsidRPr="00445EA5">
        <w:rPr>
          <w:rFonts w:ascii="Times New Roman" w:hAnsi="Times New Roman"/>
          <w:color w:val="333333"/>
          <w:szCs w:val="24"/>
        </w:rPr>
        <w:t>§ 76.720 </w:t>
      </w:r>
      <w:hyperlink w:history="1" r:id="rId17">
        <w:r w:rsidRPr="00445EA5">
          <w:rPr>
            <w:rStyle w:val="Hyperlink"/>
            <w:rFonts w:ascii="Times New Roman" w:hAnsi="Times New Roman"/>
            <w:color w:val="0068AC"/>
            <w:szCs w:val="24"/>
          </w:rPr>
          <w:t>State</w:t>
        </w:r>
      </w:hyperlink>
      <w:r w:rsidRPr="00445EA5">
        <w:rPr>
          <w:rFonts w:ascii="Times New Roman" w:hAnsi="Times New Roman"/>
          <w:color w:val="333333"/>
          <w:szCs w:val="24"/>
        </w:rPr>
        <w:t> </w:t>
      </w:r>
      <w:r w:rsidR="00AD4F99">
        <w:rPr>
          <w:rFonts w:ascii="Times New Roman" w:hAnsi="Times New Roman"/>
          <w:color w:val="333333"/>
          <w:szCs w:val="24"/>
        </w:rPr>
        <w:t xml:space="preserve">and Outlying Areas </w:t>
      </w:r>
      <w:r w:rsidRPr="00445EA5">
        <w:rPr>
          <w:rFonts w:ascii="Times New Roman" w:hAnsi="Times New Roman"/>
          <w:color w:val="333333"/>
          <w:szCs w:val="24"/>
        </w:rPr>
        <w:t>reporting requirements.</w:t>
      </w:r>
    </w:p>
    <w:p w:rsidRPr="00445EA5" w:rsidR="00E57846" w:rsidP="00E57846" w:rsidRDefault="00E57846" w14:paraId="23149D01" w14:textId="15821CA9">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F1380" w:rsidRDefault="00AD381B" w14:paraId="56DDEF0B" w14:textId="33A75A3F">
      <w:pPr>
        <w:suppressAutoHyphens/>
        <w:rPr>
          <w:rFonts w:ascii="Times New Roman" w:hAnsi="Times New Roman"/>
          <w:szCs w:val="24"/>
        </w:rPr>
      </w:pPr>
    </w:p>
    <w:p w:rsidRPr="00FB3316" w:rsidR="00FB3316" w:rsidP="00FB3316" w:rsidRDefault="00FB3316" w14:paraId="03FE12C5" w14:textId="69C5BEBA">
      <w:pPr>
        <w:tabs>
          <w:tab w:val="center" w:pos="8505"/>
        </w:tabs>
        <w:rPr>
          <w:rFonts w:ascii="Times New Roman" w:hAnsi="Times New Roman"/>
        </w:rPr>
      </w:pPr>
      <w:r w:rsidRPr="00FB3316">
        <w:rPr>
          <w:rFonts w:ascii="Times New Roman" w:hAnsi="Times New Roman"/>
        </w:rPr>
        <w:lastRenderedPageBreak/>
        <w:t xml:space="preserve">The information will be reviewed by U.S. Department of Education </w:t>
      </w:r>
      <w:r w:rsidR="00350B01">
        <w:rPr>
          <w:rFonts w:ascii="Times New Roman" w:hAnsi="Times New Roman"/>
        </w:rPr>
        <w:t xml:space="preserve">(Department) </w:t>
      </w:r>
      <w:r w:rsidRPr="00FB3316">
        <w:rPr>
          <w:rFonts w:ascii="Times New Roman" w:hAnsi="Times New Roman"/>
        </w:rPr>
        <w:t xml:space="preserve">employees to </w:t>
      </w:r>
      <w:r w:rsidR="003829FF">
        <w:rPr>
          <w:rFonts w:ascii="Times New Roman" w:hAnsi="Times New Roman"/>
        </w:rPr>
        <w:t xml:space="preserve">ensure that </w:t>
      </w:r>
      <w:r w:rsidR="00B15897">
        <w:rPr>
          <w:rFonts w:ascii="Times New Roman" w:hAnsi="Times New Roman"/>
        </w:rPr>
        <w:t xml:space="preserve">GEER </w:t>
      </w:r>
      <w:r w:rsidR="003829FF">
        <w:rPr>
          <w:rFonts w:ascii="Times New Roman" w:hAnsi="Times New Roman"/>
        </w:rPr>
        <w:t>f</w:t>
      </w:r>
      <w:r w:rsidRPr="00FB3316">
        <w:rPr>
          <w:rFonts w:ascii="Times New Roman" w:hAnsi="Times New Roman"/>
        </w:rPr>
        <w:t>unds are used in accordance with section 18003(d) of the CARES Act</w:t>
      </w:r>
      <w:r w:rsidR="00D05653">
        <w:rPr>
          <w:rFonts w:ascii="Times New Roman" w:hAnsi="Times New Roman"/>
        </w:rPr>
        <w:t xml:space="preserve">, and will be shared with the public to </w:t>
      </w:r>
      <w:r w:rsidR="004E2A54">
        <w:rPr>
          <w:rFonts w:ascii="Times New Roman" w:hAnsi="Times New Roman"/>
        </w:rPr>
        <w:t xml:space="preserve">promote </w:t>
      </w:r>
      <w:r w:rsidR="00D05653">
        <w:rPr>
          <w:rFonts w:ascii="Times New Roman" w:hAnsi="Times New Roman"/>
        </w:rPr>
        <w:t>transparency</w:t>
      </w:r>
      <w:r w:rsidR="004E2A54">
        <w:rPr>
          <w:rFonts w:ascii="Times New Roman" w:hAnsi="Times New Roman"/>
        </w:rPr>
        <w:t xml:space="preserve"> regarding the allocation and uses of funds</w:t>
      </w:r>
      <w:r w:rsidR="00D05653">
        <w:rPr>
          <w:rFonts w:ascii="Times New Roman" w:hAnsi="Times New Roman"/>
        </w:rPr>
        <w:t>.</w:t>
      </w:r>
      <w:r w:rsidRPr="00FB3316">
        <w:rPr>
          <w:rFonts w:ascii="Times New Roman" w:hAnsi="Times New Roman"/>
        </w:rPr>
        <w:t xml:space="preserve"> </w:t>
      </w:r>
    </w:p>
    <w:p w:rsidRPr="00196A81" w:rsidR="00FB3316" w:rsidP="00BF1380" w:rsidRDefault="00FB3316" w14:paraId="363E02CC" w14:textId="77777777">
      <w:pPr>
        <w:suppressAutoHyphens/>
        <w:rPr>
          <w:rFonts w:ascii="Times New Roman" w:hAnsi="Times New Roman"/>
          <w:szCs w:val="24"/>
        </w:rPr>
      </w:pP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506127" w:rsidP="00506127" w:rsidRDefault="00DD2C0A" w14:paraId="05283DE2" w14:textId="3F3F8E08">
      <w:pPr>
        <w:pStyle w:val="ListParagraph"/>
        <w:tabs>
          <w:tab w:val="left" w:pos="-720"/>
        </w:tabs>
        <w:suppressAutoHyphens/>
        <w:ind w:left="0"/>
        <w:contextualSpacing w:val="0"/>
        <w:rPr>
          <w:rFonts w:ascii="Times New Roman" w:hAnsi="Times New Roman"/>
          <w:szCs w:val="24"/>
        </w:rPr>
      </w:pPr>
      <w:r>
        <w:rPr>
          <w:rFonts w:ascii="Times New Roman" w:hAnsi="Times New Roman"/>
          <w:szCs w:val="24"/>
        </w:rPr>
        <w:t xml:space="preserve">Data collection will be conducted </w:t>
      </w:r>
      <w:r w:rsidR="00506127">
        <w:rPr>
          <w:rFonts w:ascii="Times New Roman" w:hAnsi="Times New Roman"/>
          <w:szCs w:val="24"/>
        </w:rPr>
        <w:t xml:space="preserve">through a Department-provided web portal. </w:t>
      </w:r>
      <w:r w:rsidR="00C23DC9">
        <w:rPr>
          <w:rFonts w:ascii="Times New Roman" w:hAnsi="Times New Roman"/>
          <w:szCs w:val="24"/>
        </w:rPr>
        <w:t>Electronic</w:t>
      </w:r>
      <w:r w:rsidR="00506127">
        <w:rPr>
          <w:rFonts w:ascii="Times New Roman" w:hAnsi="Times New Roman"/>
          <w:szCs w:val="24"/>
        </w:rPr>
        <w:t xml:space="preserve"> data collection through a web portal was chosen because of its efficiency, cost, and ability to pre-populate certain fields and conduct verification checks on others.</w:t>
      </w:r>
    </w:p>
    <w:p w:rsidRPr="00196A81" w:rsidR="00047953" w:rsidP="00BF1380" w:rsidRDefault="00047953" w14:paraId="5048B08F" w14:textId="73DAB1BC">
      <w:pPr>
        <w:tabs>
          <w:tab w:val="left" w:pos="-720"/>
        </w:tabs>
        <w:suppressAutoHyphens/>
        <w:rPr>
          <w:rFonts w:ascii="Times New Roman" w:hAnsi="Times New Roman"/>
          <w:szCs w:val="24"/>
        </w:rPr>
      </w:pP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5462EF" w14:paraId="2E330D7F" w14:textId="38E5C29B">
      <w:pPr>
        <w:pStyle w:val="ListParagraph"/>
        <w:ind w:left="0"/>
        <w:rPr>
          <w:rFonts w:ascii="Times New Roman" w:hAnsi="Times New Roman"/>
          <w:iCs/>
          <w:szCs w:val="24"/>
        </w:rPr>
      </w:pPr>
      <w:r w:rsidRPr="005462EF">
        <w:rPr>
          <w:rFonts w:ascii="Times New Roman" w:hAnsi="Times New Roman"/>
          <w:iCs/>
          <w:szCs w:val="24"/>
        </w:rPr>
        <w:t>This is a unique collection that responds to reporting requirements in the CARES Act; there are no other data collections that seek this information.</w:t>
      </w: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29C5D8DC">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003F5570">
        <w:rPr>
          <w:rFonts w:ascii="Times New Roman" w:hAnsi="Times New Roman"/>
          <w:szCs w:val="24"/>
        </w:rPr>
        <w:t xml:space="preserve">regarding </w:t>
      </w:r>
      <w:r w:rsidR="00EC1350">
        <w:rPr>
          <w:rFonts w:ascii="Times New Roman" w:hAnsi="Times New Roman"/>
          <w:szCs w:val="24"/>
        </w:rPr>
        <w:t xml:space="preserve">the uses of funds under </w:t>
      </w:r>
      <w:r w:rsidR="005010AC">
        <w:rPr>
          <w:rFonts w:ascii="Times New Roman" w:hAnsi="Times New Roman"/>
          <w:szCs w:val="24"/>
        </w:rPr>
        <w:t>GEER</w:t>
      </w:r>
      <w:r w:rsidR="00EC1350">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E8437A" w14:paraId="74539619" w14:textId="6831671C">
      <w:pPr>
        <w:tabs>
          <w:tab w:val="left" w:pos="-720"/>
          <w:tab w:val="left" w:pos="0"/>
        </w:tabs>
        <w:suppressAutoHyphens/>
        <w:rPr>
          <w:rFonts w:ascii="Times New Roman" w:hAnsi="Times New Roman"/>
          <w:iCs/>
          <w:szCs w:val="24"/>
        </w:rPr>
      </w:pPr>
      <w:r>
        <w:rPr>
          <w:rFonts w:ascii="Times New Roman" w:hAnsi="Times New Roman"/>
          <w:iCs/>
          <w:szCs w:val="24"/>
        </w:rPr>
        <w:t xml:space="preserve">No such </w:t>
      </w:r>
      <w:r w:rsidRPr="00196A81" w:rsidR="00B326A3">
        <w:rPr>
          <w:rFonts w:ascii="Times New Roman" w:hAnsi="Times New Roman"/>
          <w:iCs/>
          <w:szCs w:val="24"/>
        </w:rPr>
        <w:t>circumstances</w:t>
      </w:r>
      <w:r>
        <w:rPr>
          <w:rFonts w:ascii="Times New Roman" w:hAnsi="Times New Roman"/>
          <w:iCs/>
          <w:szCs w:val="24"/>
        </w:rPr>
        <w:t xml:space="preserve"> exist</w:t>
      </w:r>
      <w:r w:rsidRPr="00196A81" w:rsidR="00B326A3">
        <w:rPr>
          <w:rFonts w:ascii="Times New Roman" w:hAnsi="Times New Roman"/>
          <w:iCs/>
          <w:szCs w:val="24"/>
        </w:rPr>
        <w:t>.</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C02844" w:rsidR="008A5AB3" w:rsidP="008A5AB3" w:rsidRDefault="008A5AB3" w14:paraId="79C2815E" w14:textId="3AB82799">
      <w:pPr>
        <w:pStyle w:val="CommentText"/>
        <w:rPr>
          <w:rFonts w:ascii="Times New Roman" w:hAnsi="Times New Roman"/>
          <w:sz w:val="24"/>
          <w:szCs w:val="24"/>
        </w:rPr>
      </w:pPr>
      <w:r w:rsidRPr="00760765">
        <w:rPr>
          <w:rFonts w:ascii="Times New Roman" w:hAnsi="Times New Roman"/>
          <w:sz w:val="24"/>
          <w:szCs w:val="24"/>
        </w:rPr>
        <w:t xml:space="preserve">To comply with the Paperwork Reduction Act, the Department published a 60-day Federal Register notice for public comment. The Department received </w:t>
      </w:r>
      <w:r w:rsidR="001723FB">
        <w:rPr>
          <w:rFonts w:ascii="Times New Roman" w:hAnsi="Times New Roman"/>
          <w:sz w:val="24"/>
          <w:szCs w:val="24"/>
        </w:rPr>
        <w:t>six</w:t>
      </w:r>
      <w:r>
        <w:rPr>
          <w:rFonts w:ascii="Times New Roman" w:hAnsi="Times New Roman"/>
          <w:sz w:val="24"/>
          <w:szCs w:val="24"/>
        </w:rPr>
        <w:t xml:space="preserve"> </w:t>
      </w:r>
      <w:r w:rsidRPr="00760765">
        <w:rPr>
          <w:rFonts w:ascii="Times New Roman" w:hAnsi="Times New Roman"/>
          <w:sz w:val="24"/>
          <w:szCs w:val="24"/>
        </w:rPr>
        <w:t xml:space="preserve">comments; </w:t>
      </w:r>
      <w:r>
        <w:rPr>
          <w:rFonts w:ascii="Times New Roman" w:hAnsi="Times New Roman"/>
          <w:sz w:val="24"/>
          <w:szCs w:val="24"/>
        </w:rPr>
        <w:t xml:space="preserve">one of the </w:t>
      </w:r>
      <w:r w:rsidR="008076BE">
        <w:rPr>
          <w:rFonts w:ascii="Times New Roman" w:hAnsi="Times New Roman"/>
          <w:sz w:val="24"/>
          <w:szCs w:val="24"/>
        </w:rPr>
        <w:t>six</w:t>
      </w:r>
      <w:r>
        <w:rPr>
          <w:rFonts w:ascii="Times New Roman" w:hAnsi="Times New Roman"/>
          <w:sz w:val="24"/>
          <w:szCs w:val="24"/>
        </w:rPr>
        <w:t xml:space="preserve"> comments pertained to the</w:t>
      </w:r>
      <w:r w:rsidR="005F4A95">
        <w:rPr>
          <w:rFonts w:ascii="Times New Roman" w:hAnsi="Times New Roman"/>
          <w:sz w:val="24"/>
          <w:szCs w:val="24"/>
        </w:rPr>
        <w:t xml:space="preserve"> Higher Education Emergency Relief fund, and </w:t>
      </w:r>
      <w:r w:rsidR="00EB7B04">
        <w:rPr>
          <w:rFonts w:ascii="Times New Roman" w:hAnsi="Times New Roman"/>
          <w:sz w:val="24"/>
          <w:szCs w:val="24"/>
        </w:rPr>
        <w:t>one was not relevant to the data collection</w:t>
      </w:r>
      <w:r>
        <w:rPr>
          <w:rFonts w:ascii="Times New Roman" w:hAnsi="Times New Roman"/>
          <w:sz w:val="24"/>
          <w:szCs w:val="24"/>
        </w:rPr>
        <w:t>. The remaining 1</w:t>
      </w:r>
      <w:r w:rsidR="00EB7B04">
        <w:rPr>
          <w:rFonts w:ascii="Times New Roman" w:hAnsi="Times New Roman"/>
          <w:sz w:val="24"/>
          <w:szCs w:val="24"/>
        </w:rPr>
        <w:t>4</w:t>
      </w:r>
      <w:r>
        <w:rPr>
          <w:rFonts w:ascii="Times New Roman" w:hAnsi="Times New Roman"/>
          <w:sz w:val="24"/>
          <w:szCs w:val="24"/>
        </w:rPr>
        <w:t xml:space="preserve"> </w:t>
      </w:r>
      <w:r w:rsidRPr="00760765">
        <w:rPr>
          <w:rFonts w:ascii="Times New Roman" w:hAnsi="Times New Roman"/>
          <w:sz w:val="24"/>
          <w:szCs w:val="24"/>
        </w:rPr>
        <w:t xml:space="preserve">comments were substantive and addressed in the attached Response Summary. The Department will issue a 30-day comment period notice and will respond to comments received as a result of that notice. </w:t>
      </w:r>
    </w:p>
    <w:p w:rsidRPr="00AD5C74" w:rsidR="008A5AB3" w:rsidP="00BF1380" w:rsidRDefault="008A5AB3" w14:paraId="169553F4" w14:textId="77777777">
      <w:pPr>
        <w:tabs>
          <w:tab w:val="left" w:pos="-720"/>
          <w:tab w:val="left" w:pos="0"/>
        </w:tabs>
        <w:suppressAutoHyphens/>
        <w:rPr>
          <w:rFonts w:ascii="Times New Roman" w:hAnsi="Times New Roman"/>
          <w:color w:val="FF0000"/>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w:t>
      </w:r>
      <w:r w:rsidRPr="00196A81">
        <w:rPr>
          <w:rFonts w:ascii="Times New Roman" w:hAnsi="Times New Roman"/>
          <w:b/>
          <w:szCs w:val="24"/>
        </w:rPr>
        <w:lastRenderedPageBreak/>
        <w:t>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FC8436C">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5B6B74">
        <w:rPr>
          <w:rStyle w:val="a"/>
          <w:rFonts w:ascii="Times New Roman" w:hAnsi="Times New Roman"/>
          <w:b/>
          <w:szCs w:val="24"/>
        </w:rPr>
        <w:t>third-party</w:t>
      </w:r>
      <w:r w:rsidRPr="00EF073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form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5">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000B5BBA" w:rsidRDefault="00946126" w14:paraId="56DDEF44" w14:textId="1EFFD612">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0B5BBA" w:rsidRDefault="00103788" w14:paraId="57C44522" w14:textId="1F9D05F7">
      <w:pPr>
        <w:pStyle w:val="ListParagraph"/>
        <w:tabs>
          <w:tab w:val="left" w:pos="-720"/>
          <w:tab w:val="left" w:pos="0"/>
        </w:tabs>
        <w:suppressAutoHyphens/>
        <w:ind w:left="0"/>
        <w:contextualSpacing w:val="0"/>
        <w:rPr>
          <w:rFonts w:ascii="Times New Roman" w:hAnsi="Times New Roman"/>
          <w:b/>
          <w:sz w:val="26"/>
          <w:szCs w:val="26"/>
        </w:rPr>
      </w:pPr>
    </w:p>
    <w:p w:rsidR="00103788" w:rsidP="00103788" w:rsidRDefault="00103788" w14:paraId="5A33894D" w14:textId="32764FCA">
      <w:pPr>
        <w:rPr>
          <w:rFonts w:ascii="Times New Roman" w:hAnsi="Times New Roman"/>
          <w:iCs/>
          <w:szCs w:val="24"/>
        </w:rPr>
      </w:pPr>
      <w:r>
        <w:rPr>
          <w:rFonts w:ascii="Times New Roman" w:hAnsi="Times New Roman"/>
          <w:iCs/>
          <w:szCs w:val="24"/>
        </w:rPr>
        <w:t xml:space="preserve">The </w:t>
      </w:r>
      <w:r w:rsidR="005010AC">
        <w:rPr>
          <w:rFonts w:ascii="Times New Roman" w:hAnsi="Times New Roman"/>
          <w:iCs/>
          <w:szCs w:val="24"/>
        </w:rPr>
        <w:t xml:space="preserve">GEER </w:t>
      </w:r>
      <w:r>
        <w:rPr>
          <w:rFonts w:ascii="Times New Roman" w:hAnsi="Times New Roman"/>
          <w:iCs/>
          <w:szCs w:val="24"/>
        </w:rPr>
        <w:t xml:space="preserve">instrument is targeted to a total of </w:t>
      </w:r>
      <w:r w:rsidR="00B028EC">
        <w:rPr>
          <w:rFonts w:ascii="Times New Roman" w:hAnsi="Times New Roman"/>
          <w:iCs/>
          <w:szCs w:val="24"/>
        </w:rPr>
        <w:t>52</w:t>
      </w:r>
      <w:r>
        <w:rPr>
          <w:rFonts w:ascii="Times New Roman" w:hAnsi="Times New Roman"/>
          <w:iCs/>
          <w:szCs w:val="24"/>
        </w:rPr>
        <w:t xml:space="preserve"> </w:t>
      </w:r>
      <w:r w:rsidR="002E5A41">
        <w:rPr>
          <w:rFonts w:ascii="Times New Roman" w:hAnsi="Times New Roman"/>
          <w:iCs/>
          <w:szCs w:val="24"/>
        </w:rPr>
        <w:t>State agencie</w:t>
      </w:r>
      <w:r>
        <w:rPr>
          <w:rFonts w:ascii="Times New Roman" w:hAnsi="Times New Roman"/>
          <w:iCs/>
          <w:szCs w:val="24"/>
        </w:rPr>
        <w:t>s</w:t>
      </w:r>
      <w:r w:rsidR="00A96974">
        <w:rPr>
          <w:rFonts w:ascii="Times New Roman" w:hAnsi="Times New Roman"/>
          <w:iCs/>
          <w:szCs w:val="24"/>
        </w:rPr>
        <w:t xml:space="preserve"> and </w:t>
      </w:r>
      <w:r w:rsidR="00276296">
        <w:rPr>
          <w:rFonts w:ascii="Times New Roman" w:hAnsi="Times New Roman"/>
          <w:iCs/>
          <w:szCs w:val="24"/>
        </w:rPr>
        <w:t>3,270</w:t>
      </w:r>
      <w:r w:rsidR="00C65903">
        <w:rPr>
          <w:rFonts w:ascii="Times New Roman" w:hAnsi="Times New Roman"/>
          <w:iCs/>
          <w:szCs w:val="24"/>
        </w:rPr>
        <w:t xml:space="preserve"> local public and private</w:t>
      </w:r>
      <w:r w:rsidR="00276296">
        <w:rPr>
          <w:rFonts w:ascii="Times New Roman" w:hAnsi="Times New Roman"/>
          <w:iCs/>
          <w:szCs w:val="24"/>
        </w:rPr>
        <w:t xml:space="preserve"> subgrantees</w:t>
      </w:r>
      <w:r>
        <w:rPr>
          <w:rFonts w:ascii="Times New Roman" w:hAnsi="Times New Roman"/>
          <w:iCs/>
          <w:szCs w:val="24"/>
        </w:rPr>
        <w:t xml:space="preserve">. The response burden is shown in Table 1. The burden estimates are based on discussions with experts in the Office of Elementary and Secondary </w:t>
      </w:r>
      <w:r w:rsidR="00C23DC9">
        <w:rPr>
          <w:rFonts w:ascii="Times New Roman" w:hAnsi="Times New Roman"/>
          <w:iCs/>
          <w:szCs w:val="24"/>
        </w:rPr>
        <w:t>Education</w:t>
      </w:r>
      <w:r>
        <w:rPr>
          <w:rFonts w:ascii="Times New Roman" w:hAnsi="Times New Roman"/>
          <w:iCs/>
          <w:szCs w:val="24"/>
        </w:rPr>
        <w:t xml:space="preserve"> in the Department. </w:t>
      </w:r>
    </w:p>
    <w:p w:rsidRPr="00196A81" w:rsidR="00103788" w:rsidP="000B5BBA" w:rsidRDefault="00103788" w14:paraId="65FA9BB0" w14:textId="77777777">
      <w:pPr>
        <w:pStyle w:val="ListParagraph"/>
        <w:tabs>
          <w:tab w:val="left" w:pos="-720"/>
          <w:tab w:val="left" w:pos="0"/>
        </w:tabs>
        <w:suppressAutoHyphens/>
        <w:ind w:left="0"/>
        <w:contextualSpacing w:val="0"/>
        <w:rPr>
          <w:rFonts w:ascii="Times New Roman" w:hAnsi="Times New Roman"/>
          <w:b/>
          <w:sz w:val="26"/>
          <w:szCs w:val="26"/>
        </w:rPr>
      </w:pP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002A616B" w:rsidRDefault="002A616B" w14:paraId="569CD685"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Pr="00C076C3" w:rsidR="00ED7195" w:rsidP="00BF1380" w:rsidRDefault="00A734B1" w14:paraId="56DDEF46" w14:textId="15B83383">
      <w:pPr>
        <w:pStyle w:val="Caption"/>
        <w:tabs>
          <w:tab w:val="left" w:pos="0"/>
        </w:tabs>
        <w:jc w:val="center"/>
        <w:rPr>
          <w:rFonts w:ascii="Times New Roman" w:hAnsi="Times New Roman"/>
          <w:color w:val="FF0000"/>
          <w:sz w:val="24"/>
          <w:szCs w:val="24"/>
        </w:rPr>
      </w:pPr>
      <w:r>
        <w:rPr>
          <w:rFonts w:ascii="Times New Roman" w:hAnsi="Times New Roman"/>
          <w:color w:val="000000" w:themeColor="text1"/>
          <w:sz w:val="24"/>
          <w:szCs w:val="24"/>
        </w:rPr>
        <w:lastRenderedPageBreak/>
        <w:t xml:space="preserve">Table 1: </w:t>
      </w:r>
      <w:r w:rsidRPr="00196A81" w:rsidR="00ED7195">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r w:rsidR="00C076C3">
        <w:rPr>
          <w:rFonts w:ascii="Times New Roman" w:hAnsi="Times New Roman"/>
          <w:color w:val="000000" w:themeColor="text1"/>
          <w:sz w:val="24"/>
          <w:szCs w:val="24"/>
        </w:rPr>
        <w:t xml:space="preserve"> </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435"/>
        <w:gridCol w:w="1158"/>
        <w:gridCol w:w="1249"/>
        <w:gridCol w:w="1249"/>
        <w:gridCol w:w="1249"/>
        <w:gridCol w:w="1248"/>
        <w:gridCol w:w="1249"/>
        <w:gridCol w:w="1249"/>
        <w:gridCol w:w="1249"/>
      </w:tblGrid>
      <w:tr w:rsidRPr="00196A81" w:rsidR="00C86713" w:rsidTr="0086480D" w14:paraId="56DDEF5E" w14:textId="77777777">
        <w:trPr>
          <w:tblHeader/>
        </w:trPr>
        <w:tc>
          <w:tcPr>
            <w:tcW w:w="143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15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16492B" w:rsidTr="0086480D" w14:paraId="56DDEF68" w14:textId="77777777">
        <w:tc>
          <w:tcPr>
            <w:tcW w:w="1435" w:type="dxa"/>
          </w:tcPr>
          <w:p w:rsidRPr="00AE3F9D" w:rsidR="0016492B" w:rsidP="0016492B" w:rsidRDefault="00130DB3" w14:paraId="56DDEF5F" w14:textId="31DDFD77">
            <w:pPr>
              <w:tabs>
                <w:tab w:val="left" w:pos="0"/>
              </w:tabs>
              <w:rPr>
                <w:rFonts w:ascii="Times New Roman" w:hAnsi="Times New Roman"/>
                <w:sz w:val="20"/>
              </w:rPr>
            </w:pPr>
            <w:r w:rsidRPr="00AE3F9D">
              <w:rPr>
                <w:rFonts w:ascii="Times New Roman" w:hAnsi="Times New Roman"/>
                <w:iCs/>
                <w:sz w:val="20"/>
              </w:rPr>
              <w:t xml:space="preserve">Public State/Local </w:t>
            </w:r>
            <w:r w:rsidRPr="00AE3F9D" w:rsidR="00AE3F9D">
              <w:rPr>
                <w:rFonts w:ascii="Times New Roman" w:hAnsi="Times New Roman"/>
                <w:iCs/>
                <w:sz w:val="20"/>
              </w:rPr>
              <w:t xml:space="preserve">Grantees and </w:t>
            </w:r>
            <w:r w:rsidRPr="00AE3F9D">
              <w:rPr>
                <w:rFonts w:ascii="Times New Roman" w:hAnsi="Times New Roman"/>
                <w:iCs/>
                <w:sz w:val="20"/>
              </w:rPr>
              <w:t>Subgrantees</w:t>
            </w:r>
          </w:p>
        </w:tc>
        <w:tc>
          <w:tcPr>
            <w:tcW w:w="1158" w:type="dxa"/>
          </w:tcPr>
          <w:p w:rsidRPr="00196A81" w:rsidR="0016492B" w:rsidP="0016492B" w:rsidRDefault="0016492B" w14:paraId="56DDEF60" w14:textId="55A8F064">
            <w:pPr>
              <w:tabs>
                <w:tab w:val="left" w:pos="0"/>
              </w:tabs>
              <w:rPr>
                <w:rFonts w:ascii="Times New Roman" w:hAnsi="Times New Roman"/>
                <w:szCs w:val="24"/>
              </w:rPr>
            </w:pPr>
          </w:p>
        </w:tc>
        <w:tc>
          <w:tcPr>
            <w:tcW w:w="1249" w:type="dxa"/>
          </w:tcPr>
          <w:p w:rsidRPr="00196A81" w:rsidR="0016492B" w:rsidP="0016492B" w:rsidRDefault="0016492B" w14:paraId="56DDEF61" w14:textId="3A72F8A8">
            <w:pPr>
              <w:tabs>
                <w:tab w:val="left" w:pos="0"/>
              </w:tabs>
              <w:rPr>
                <w:rFonts w:ascii="Times New Roman" w:hAnsi="Times New Roman"/>
                <w:szCs w:val="24"/>
              </w:rPr>
            </w:pPr>
          </w:p>
        </w:tc>
        <w:tc>
          <w:tcPr>
            <w:tcW w:w="1249" w:type="dxa"/>
          </w:tcPr>
          <w:p w:rsidRPr="00196A81" w:rsidR="0016492B" w:rsidP="00BF1F6F" w:rsidRDefault="00AE3F9D" w14:paraId="56DDEF62" w14:textId="53679ADB">
            <w:pPr>
              <w:tabs>
                <w:tab w:val="left" w:pos="0"/>
              </w:tabs>
              <w:jc w:val="center"/>
              <w:rPr>
                <w:rFonts w:ascii="Times New Roman" w:hAnsi="Times New Roman"/>
                <w:szCs w:val="24"/>
              </w:rPr>
            </w:pPr>
            <w:r>
              <w:rPr>
                <w:rFonts w:ascii="Times New Roman" w:hAnsi="Times New Roman"/>
                <w:szCs w:val="24"/>
              </w:rPr>
              <w:t>2</w:t>
            </w:r>
            <w:r w:rsidR="000A7845">
              <w:rPr>
                <w:rFonts w:ascii="Times New Roman" w:hAnsi="Times New Roman"/>
                <w:szCs w:val="24"/>
              </w:rPr>
              <w:t>,</w:t>
            </w:r>
            <w:r>
              <w:rPr>
                <w:rFonts w:ascii="Times New Roman" w:hAnsi="Times New Roman"/>
                <w:szCs w:val="24"/>
              </w:rPr>
              <w:t>50</w:t>
            </w:r>
            <w:r w:rsidR="00024842">
              <w:rPr>
                <w:rFonts w:ascii="Times New Roman" w:hAnsi="Times New Roman"/>
                <w:szCs w:val="24"/>
              </w:rPr>
              <w:t>8</w:t>
            </w:r>
          </w:p>
        </w:tc>
        <w:tc>
          <w:tcPr>
            <w:tcW w:w="1249" w:type="dxa"/>
          </w:tcPr>
          <w:p w:rsidRPr="00196A81" w:rsidR="0016492B" w:rsidP="00BF1F6F" w:rsidRDefault="00AE3F9D" w14:paraId="56DDEF63" w14:textId="23C86514">
            <w:pPr>
              <w:tabs>
                <w:tab w:val="left" w:pos="0"/>
              </w:tabs>
              <w:jc w:val="center"/>
              <w:rPr>
                <w:rFonts w:ascii="Times New Roman" w:hAnsi="Times New Roman"/>
                <w:szCs w:val="24"/>
              </w:rPr>
            </w:pPr>
            <w:r>
              <w:rPr>
                <w:rFonts w:ascii="Times New Roman" w:hAnsi="Times New Roman"/>
                <w:szCs w:val="24"/>
              </w:rPr>
              <w:t>2</w:t>
            </w:r>
            <w:r w:rsidR="000A7845">
              <w:rPr>
                <w:rFonts w:ascii="Times New Roman" w:hAnsi="Times New Roman"/>
                <w:szCs w:val="24"/>
              </w:rPr>
              <w:t>,</w:t>
            </w:r>
            <w:r>
              <w:rPr>
                <w:rFonts w:ascii="Times New Roman" w:hAnsi="Times New Roman"/>
                <w:szCs w:val="24"/>
              </w:rPr>
              <w:t>50</w:t>
            </w:r>
            <w:r w:rsidR="00024842">
              <w:rPr>
                <w:rFonts w:ascii="Times New Roman" w:hAnsi="Times New Roman"/>
                <w:szCs w:val="24"/>
              </w:rPr>
              <w:t>8</w:t>
            </w:r>
          </w:p>
        </w:tc>
        <w:tc>
          <w:tcPr>
            <w:tcW w:w="1248" w:type="dxa"/>
          </w:tcPr>
          <w:p w:rsidRPr="00AE3F9D" w:rsidR="0016492B" w:rsidP="00BF1F6F" w:rsidRDefault="00AE3F9D" w14:paraId="56DDEF64" w14:textId="3E748D48">
            <w:pPr>
              <w:tabs>
                <w:tab w:val="left" w:pos="0"/>
              </w:tabs>
              <w:jc w:val="center"/>
              <w:rPr>
                <w:rFonts w:ascii="Times New Roman" w:hAnsi="Times New Roman"/>
                <w:sz w:val="20"/>
              </w:rPr>
            </w:pPr>
            <w:r w:rsidRPr="00AE3F9D">
              <w:rPr>
                <w:rFonts w:ascii="Times New Roman" w:hAnsi="Times New Roman"/>
                <w:sz w:val="20"/>
              </w:rPr>
              <w:t>Grantees=</w:t>
            </w:r>
            <w:r w:rsidR="00564A88">
              <w:rPr>
                <w:rFonts w:ascii="Times New Roman" w:hAnsi="Times New Roman"/>
                <w:sz w:val="20"/>
              </w:rPr>
              <w:t>9</w:t>
            </w:r>
            <w:r w:rsidRPr="00AE3F9D">
              <w:rPr>
                <w:rFonts w:ascii="Times New Roman" w:hAnsi="Times New Roman"/>
                <w:sz w:val="20"/>
              </w:rPr>
              <w:t>; Subgrantees=</w:t>
            </w:r>
            <w:r w:rsidR="00564A88">
              <w:rPr>
                <w:rFonts w:ascii="Times New Roman" w:hAnsi="Times New Roman"/>
                <w:sz w:val="20"/>
              </w:rPr>
              <w:t>4</w:t>
            </w:r>
            <w:r w:rsidRPr="00AE3F9D">
              <w:rPr>
                <w:rFonts w:ascii="Times New Roman" w:hAnsi="Times New Roman"/>
                <w:sz w:val="20"/>
              </w:rPr>
              <w:t xml:space="preserve"> </w:t>
            </w:r>
          </w:p>
        </w:tc>
        <w:tc>
          <w:tcPr>
            <w:tcW w:w="1249" w:type="dxa"/>
          </w:tcPr>
          <w:p w:rsidR="0016492B" w:rsidP="00BF1F6F" w:rsidRDefault="00F41A48" w14:paraId="0EECFFB9" w14:textId="77777777">
            <w:pPr>
              <w:tabs>
                <w:tab w:val="left" w:pos="0"/>
              </w:tabs>
              <w:jc w:val="center"/>
              <w:rPr>
                <w:rFonts w:ascii="Times New Roman" w:hAnsi="Times New Roman"/>
                <w:szCs w:val="24"/>
              </w:rPr>
            </w:pPr>
            <w:r>
              <w:rPr>
                <w:rFonts w:ascii="Times New Roman" w:hAnsi="Times New Roman"/>
                <w:szCs w:val="24"/>
              </w:rPr>
              <w:t>10,296</w:t>
            </w:r>
          </w:p>
          <w:p w:rsidRPr="00BF1F6F" w:rsidR="00F41A48" w:rsidP="00BF1F6F" w:rsidRDefault="00F41A48" w14:paraId="56DDEF65" w14:textId="2ABF7B61">
            <w:pPr>
              <w:tabs>
                <w:tab w:val="left" w:pos="0"/>
              </w:tabs>
              <w:jc w:val="center"/>
              <w:rPr>
                <w:rFonts w:ascii="Times New Roman" w:hAnsi="Times New Roman"/>
                <w:szCs w:val="24"/>
              </w:rPr>
            </w:pPr>
          </w:p>
        </w:tc>
        <w:tc>
          <w:tcPr>
            <w:tcW w:w="1249" w:type="dxa"/>
          </w:tcPr>
          <w:p w:rsidRPr="00196A81" w:rsidR="0016492B" w:rsidP="00BF1F6F" w:rsidRDefault="0016492B" w14:paraId="56DDEF66" w14:textId="1E91A23F">
            <w:pPr>
              <w:tabs>
                <w:tab w:val="left" w:pos="0"/>
              </w:tabs>
              <w:jc w:val="center"/>
              <w:rPr>
                <w:rFonts w:ascii="Times New Roman" w:hAnsi="Times New Roman"/>
                <w:szCs w:val="24"/>
              </w:rPr>
            </w:pPr>
            <w:r>
              <w:rPr>
                <w:rFonts w:ascii="Times New Roman" w:hAnsi="Times New Roman"/>
                <w:szCs w:val="24"/>
              </w:rPr>
              <w:t>$46.62</w:t>
            </w:r>
          </w:p>
        </w:tc>
        <w:tc>
          <w:tcPr>
            <w:tcW w:w="1249" w:type="dxa"/>
          </w:tcPr>
          <w:p w:rsidRPr="00196A81" w:rsidR="0016492B" w:rsidP="00BF1F6F" w:rsidRDefault="0016492B" w14:paraId="56DDEF67" w14:textId="6EDBD181">
            <w:pPr>
              <w:tabs>
                <w:tab w:val="left" w:pos="0"/>
              </w:tabs>
              <w:jc w:val="center"/>
              <w:rPr>
                <w:rFonts w:ascii="Times New Roman" w:hAnsi="Times New Roman"/>
                <w:szCs w:val="24"/>
              </w:rPr>
            </w:pPr>
            <w:r>
              <w:rPr>
                <w:rFonts w:ascii="Times New Roman" w:hAnsi="Times New Roman"/>
                <w:szCs w:val="24"/>
              </w:rPr>
              <w:t>$</w:t>
            </w:r>
            <w:r w:rsidR="00467994">
              <w:rPr>
                <w:rFonts w:ascii="Times New Roman" w:hAnsi="Times New Roman"/>
                <w:szCs w:val="24"/>
              </w:rPr>
              <w:t>4</w:t>
            </w:r>
            <w:r w:rsidR="00DC1FDB">
              <w:rPr>
                <w:rFonts w:ascii="Times New Roman" w:hAnsi="Times New Roman"/>
                <w:szCs w:val="24"/>
              </w:rPr>
              <w:t>80,000</w:t>
            </w:r>
          </w:p>
        </w:tc>
      </w:tr>
      <w:tr w:rsidRPr="00196A81" w:rsidR="00130DB3" w:rsidTr="0086480D" w14:paraId="5CE04E82" w14:textId="77777777">
        <w:tc>
          <w:tcPr>
            <w:tcW w:w="1435" w:type="dxa"/>
          </w:tcPr>
          <w:p w:rsidRPr="00C65903" w:rsidR="00130DB3" w:rsidP="0016492B" w:rsidRDefault="00130DB3" w14:paraId="49FCBBC5" w14:textId="57BE2B62">
            <w:pPr>
              <w:tabs>
                <w:tab w:val="left" w:pos="0"/>
              </w:tabs>
              <w:rPr>
                <w:rFonts w:ascii="Times New Roman" w:hAnsi="Times New Roman"/>
                <w:sz w:val="20"/>
              </w:rPr>
            </w:pPr>
            <w:r w:rsidRPr="00C65903">
              <w:rPr>
                <w:rFonts w:ascii="Times New Roman" w:hAnsi="Times New Roman"/>
                <w:sz w:val="20"/>
              </w:rPr>
              <w:t>Private Subgrantees</w:t>
            </w:r>
          </w:p>
        </w:tc>
        <w:tc>
          <w:tcPr>
            <w:tcW w:w="1158" w:type="dxa"/>
          </w:tcPr>
          <w:p w:rsidRPr="00196A81" w:rsidR="00130DB3" w:rsidP="0016492B" w:rsidRDefault="00130DB3" w14:paraId="7FBC628F" w14:textId="77777777">
            <w:pPr>
              <w:tabs>
                <w:tab w:val="left" w:pos="0"/>
              </w:tabs>
              <w:rPr>
                <w:rFonts w:ascii="Times New Roman" w:hAnsi="Times New Roman"/>
                <w:szCs w:val="24"/>
              </w:rPr>
            </w:pPr>
          </w:p>
        </w:tc>
        <w:tc>
          <w:tcPr>
            <w:tcW w:w="1249" w:type="dxa"/>
          </w:tcPr>
          <w:p w:rsidRPr="00196A81" w:rsidR="00130DB3" w:rsidP="0016492B" w:rsidRDefault="00130DB3" w14:paraId="791DFAA9" w14:textId="77777777">
            <w:pPr>
              <w:tabs>
                <w:tab w:val="left" w:pos="0"/>
              </w:tabs>
              <w:rPr>
                <w:rFonts w:ascii="Times New Roman" w:hAnsi="Times New Roman"/>
                <w:szCs w:val="24"/>
              </w:rPr>
            </w:pPr>
          </w:p>
        </w:tc>
        <w:tc>
          <w:tcPr>
            <w:tcW w:w="1249" w:type="dxa"/>
          </w:tcPr>
          <w:p w:rsidR="00130DB3" w:rsidP="00BF1F6F" w:rsidRDefault="00AE3F9D" w14:paraId="0E262932" w14:textId="2DCDCEE3">
            <w:pPr>
              <w:tabs>
                <w:tab w:val="left" w:pos="0"/>
              </w:tabs>
              <w:jc w:val="center"/>
              <w:rPr>
                <w:rFonts w:ascii="Times New Roman" w:hAnsi="Times New Roman"/>
                <w:szCs w:val="24"/>
              </w:rPr>
            </w:pPr>
            <w:r>
              <w:rPr>
                <w:rFonts w:ascii="Times New Roman" w:hAnsi="Times New Roman"/>
                <w:szCs w:val="24"/>
              </w:rPr>
              <w:t>818</w:t>
            </w:r>
          </w:p>
        </w:tc>
        <w:tc>
          <w:tcPr>
            <w:tcW w:w="1249" w:type="dxa"/>
          </w:tcPr>
          <w:p w:rsidR="00130DB3" w:rsidP="00BF1F6F" w:rsidRDefault="00AE3F9D" w14:paraId="69072A1E" w14:textId="25D4995A">
            <w:pPr>
              <w:tabs>
                <w:tab w:val="left" w:pos="0"/>
              </w:tabs>
              <w:jc w:val="center"/>
              <w:rPr>
                <w:rFonts w:ascii="Times New Roman" w:hAnsi="Times New Roman"/>
                <w:szCs w:val="24"/>
              </w:rPr>
            </w:pPr>
            <w:r>
              <w:rPr>
                <w:rFonts w:ascii="Times New Roman" w:hAnsi="Times New Roman"/>
                <w:szCs w:val="24"/>
              </w:rPr>
              <w:t>818</w:t>
            </w:r>
          </w:p>
        </w:tc>
        <w:tc>
          <w:tcPr>
            <w:tcW w:w="1248" w:type="dxa"/>
          </w:tcPr>
          <w:p w:rsidRPr="008A1394" w:rsidR="00130DB3" w:rsidP="00BF1F6F" w:rsidRDefault="00467994" w14:paraId="52E7C1A0" w14:textId="68859270">
            <w:pPr>
              <w:tabs>
                <w:tab w:val="left" w:pos="0"/>
              </w:tabs>
              <w:jc w:val="center"/>
              <w:rPr>
                <w:rFonts w:ascii="Times New Roman" w:hAnsi="Times New Roman"/>
                <w:szCs w:val="24"/>
              </w:rPr>
            </w:pPr>
            <w:r>
              <w:rPr>
                <w:rFonts w:ascii="Times New Roman" w:hAnsi="Times New Roman"/>
                <w:szCs w:val="24"/>
              </w:rPr>
              <w:t>4</w:t>
            </w:r>
            <w:r w:rsidR="00AE3F9D">
              <w:rPr>
                <w:rFonts w:ascii="Times New Roman" w:hAnsi="Times New Roman"/>
                <w:szCs w:val="24"/>
              </w:rPr>
              <w:t xml:space="preserve"> hours</w:t>
            </w:r>
          </w:p>
        </w:tc>
        <w:tc>
          <w:tcPr>
            <w:tcW w:w="1249" w:type="dxa"/>
          </w:tcPr>
          <w:p w:rsidR="0058006A" w:rsidP="0058006A" w:rsidRDefault="0058006A" w14:paraId="1FFBF337" w14:textId="7585C305">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3,272</w:t>
            </w:r>
          </w:p>
        </w:tc>
        <w:tc>
          <w:tcPr>
            <w:tcW w:w="1249" w:type="dxa"/>
          </w:tcPr>
          <w:p w:rsidRPr="00EF534B" w:rsidR="00130DB3" w:rsidP="00BF1F6F" w:rsidRDefault="0098210B" w14:paraId="1FAE4186" w14:textId="1E87AC15">
            <w:pPr>
              <w:tabs>
                <w:tab w:val="left" w:pos="0"/>
              </w:tabs>
              <w:jc w:val="center"/>
              <w:rPr>
                <w:rFonts w:ascii="Times New Roman" w:hAnsi="Times New Roman"/>
                <w:szCs w:val="24"/>
              </w:rPr>
            </w:pPr>
            <w:r>
              <w:rPr>
                <w:rFonts w:ascii="Times New Roman" w:hAnsi="Times New Roman"/>
                <w:szCs w:val="24"/>
              </w:rPr>
              <w:t>$</w:t>
            </w:r>
            <w:r w:rsidR="00AE3F9D">
              <w:rPr>
                <w:rFonts w:ascii="Times New Roman" w:hAnsi="Times New Roman"/>
                <w:szCs w:val="24"/>
              </w:rPr>
              <w:t>46.62</w:t>
            </w:r>
          </w:p>
        </w:tc>
        <w:tc>
          <w:tcPr>
            <w:tcW w:w="1249" w:type="dxa"/>
          </w:tcPr>
          <w:p w:rsidR="00AE3F9D" w:rsidP="008A7A1C" w:rsidRDefault="00AE3F9D" w14:paraId="7B148286" w14:textId="0A9D4EE8">
            <w:pPr>
              <w:tabs>
                <w:tab w:val="left" w:pos="0"/>
              </w:tabs>
              <w:jc w:val="center"/>
              <w:rPr>
                <w:rFonts w:ascii="Times New Roman" w:hAnsi="Times New Roman"/>
                <w:szCs w:val="24"/>
              </w:rPr>
            </w:pPr>
            <w:r>
              <w:rPr>
                <w:rFonts w:ascii="Times New Roman" w:hAnsi="Times New Roman"/>
                <w:szCs w:val="24"/>
              </w:rPr>
              <w:t>$</w:t>
            </w:r>
            <w:r w:rsidR="00AA42E4">
              <w:rPr>
                <w:rFonts w:ascii="Times New Roman" w:hAnsi="Times New Roman"/>
                <w:szCs w:val="24"/>
              </w:rPr>
              <w:t>152,541</w:t>
            </w:r>
          </w:p>
        </w:tc>
      </w:tr>
      <w:tr w:rsidRPr="00196A81" w:rsidR="0016492B" w:rsidTr="0086480D" w14:paraId="2718491B" w14:textId="77777777">
        <w:tc>
          <w:tcPr>
            <w:tcW w:w="1435" w:type="dxa"/>
          </w:tcPr>
          <w:p w:rsidRPr="00C65903" w:rsidR="0016492B" w:rsidP="0016492B" w:rsidRDefault="0016492B" w14:paraId="360E6A78" w14:textId="686779EC">
            <w:pPr>
              <w:tabs>
                <w:tab w:val="left" w:pos="0"/>
              </w:tabs>
              <w:rPr>
                <w:rFonts w:ascii="Times New Roman" w:hAnsi="Times New Roman"/>
                <w:sz w:val="20"/>
              </w:rPr>
            </w:pPr>
            <w:r w:rsidRPr="00C65903">
              <w:rPr>
                <w:rFonts w:ascii="Times New Roman" w:hAnsi="Times New Roman"/>
                <w:sz w:val="20"/>
              </w:rPr>
              <w:t>Annualized Totals</w:t>
            </w:r>
          </w:p>
        </w:tc>
        <w:tc>
          <w:tcPr>
            <w:tcW w:w="1158" w:type="dxa"/>
          </w:tcPr>
          <w:p w:rsidRPr="00196A81" w:rsidR="0016492B" w:rsidP="0016492B" w:rsidRDefault="0016492B" w14:paraId="6217576E" w14:textId="2329D5E1">
            <w:pPr>
              <w:tabs>
                <w:tab w:val="left" w:pos="0"/>
              </w:tabs>
              <w:rPr>
                <w:rFonts w:ascii="Times New Roman" w:hAnsi="Times New Roman"/>
                <w:szCs w:val="24"/>
              </w:rPr>
            </w:pPr>
          </w:p>
        </w:tc>
        <w:tc>
          <w:tcPr>
            <w:tcW w:w="1249" w:type="dxa"/>
          </w:tcPr>
          <w:p w:rsidRPr="00196A81" w:rsidR="0016492B" w:rsidP="0016492B" w:rsidRDefault="0016492B" w14:paraId="34820EFF" w14:textId="231E2C9E">
            <w:pPr>
              <w:tabs>
                <w:tab w:val="left" w:pos="0"/>
              </w:tabs>
              <w:rPr>
                <w:rFonts w:ascii="Times New Roman" w:hAnsi="Times New Roman"/>
                <w:szCs w:val="24"/>
              </w:rPr>
            </w:pPr>
          </w:p>
        </w:tc>
        <w:tc>
          <w:tcPr>
            <w:tcW w:w="1249" w:type="dxa"/>
          </w:tcPr>
          <w:p w:rsidRPr="008A1394" w:rsidR="0016492B" w:rsidP="00BF1F6F" w:rsidRDefault="0016492B" w14:paraId="7C862606" w14:textId="5AB59685">
            <w:pPr>
              <w:tabs>
                <w:tab w:val="left" w:pos="0"/>
              </w:tabs>
              <w:jc w:val="center"/>
              <w:rPr>
                <w:rFonts w:ascii="Times New Roman" w:hAnsi="Times New Roman"/>
                <w:szCs w:val="24"/>
              </w:rPr>
            </w:pPr>
            <w:r>
              <w:rPr>
                <w:rFonts w:ascii="Times New Roman" w:hAnsi="Times New Roman"/>
                <w:szCs w:val="24"/>
              </w:rPr>
              <w:t>3,32</w:t>
            </w:r>
            <w:r w:rsidR="00D06056">
              <w:rPr>
                <w:rFonts w:ascii="Times New Roman" w:hAnsi="Times New Roman"/>
                <w:szCs w:val="24"/>
              </w:rPr>
              <w:t>6</w:t>
            </w:r>
          </w:p>
        </w:tc>
        <w:tc>
          <w:tcPr>
            <w:tcW w:w="1249" w:type="dxa"/>
          </w:tcPr>
          <w:p w:rsidRPr="008A1394" w:rsidR="0016492B" w:rsidP="00BF1F6F" w:rsidRDefault="0016492B" w14:paraId="416DA8C5" w14:textId="09C4F2A0">
            <w:pPr>
              <w:tabs>
                <w:tab w:val="left" w:pos="0"/>
              </w:tabs>
              <w:jc w:val="center"/>
              <w:rPr>
                <w:rFonts w:ascii="Times New Roman" w:hAnsi="Times New Roman"/>
                <w:szCs w:val="24"/>
              </w:rPr>
            </w:pPr>
            <w:r>
              <w:rPr>
                <w:rFonts w:ascii="Times New Roman" w:hAnsi="Times New Roman"/>
                <w:szCs w:val="24"/>
              </w:rPr>
              <w:t>3,32</w:t>
            </w:r>
            <w:r w:rsidR="00D06056">
              <w:rPr>
                <w:rFonts w:ascii="Times New Roman" w:hAnsi="Times New Roman"/>
                <w:szCs w:val="24"/>
              </w:rPr>
              <w:t>6</w:t>
            </w:r>
          </w:p>
        </w:tc>
        <w:tc>
          <w:tcPr>
            <w:tcW w:w="1248" w:type="dxa"/>
          </w:tcPr>
          <w:p w:rsidRPr="008A1394" w:rsidR="0016492B" w:rsidP="00BF1F6F" w:rsidRDefault="0016492B" w14:paraId="26F05952" w14:textId="52FD91B6">
            <w:pPr>
              <w:tabs>
                <w:tab w:val="left" w:pos="0"/>
              </w:tabs>
              <w:jc w:val="center"/>
              <w:rPr>
                <w:rFonts w:ascii="Times New Roman" w:hAnsi="Times New Roman"/>
                <w:szCs w:val="24"/>
              </w:rPr>
            </w:pPr>
          </w:p>
        </w:tc>
        <w:tc>
          <w:tcPr>
            <w:tcW w:w="1249" w:type="dxa"/>
          </w:tcPr>
          <w:p w:rsidR="0016492B" w:rsidP="00BF1F6F" w:rsidRDefault="00F40F56" w14:paraId="700B3AD1" w14:textId="3FFB15FF">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1</w:t>
            </w:r>
            <w:r w:rsidR="005F4BA8">
              <w:rPr>
                <w:rFonts w:ascii="Times New Roman" w:hAnsi="Times New Roman"/>
                <w:szCs w:val="24"/>
              </w:rPr>
              <w:t>3,56</w:t>
            </w:r>
            <w:r w:rsidR="0098210B">
              <w:rPr>
                <w:rFonts w:ascii="Times New Roman" w:hAnsi="Times New Roman"/>
                <w:szCs w:val="24"/>
              </w:rPr>
              <w:t>8</w:t>
            </w:r>
          </w:p>
          <w:p w:rsidRPr="008A1394" w:rsidR="009A6B8B" w:rsidP="00BF1F6F" w:rsidRDefault="009A6B8B" w14:paraId="6D9F6AC4" w14:textId="5D826FE3">
            <w:pPr>
              <w:pStyle w:val="EndnoteText"/>
              <w:tabs>
                <w:tab w:val="clear" w:pos="-720"/>
                <w:tab w:val="left" w:pos="0"/>
              </w:tabs>
              <w:suppressAutoHyphens w:val="0"/>
              <w:jc w:val="center"/>
              <w:rPr>
                <w:rFonts w:ascii="Times New Roman" w:hAnsi="Times New Roman"/>
                <w:szCs w:val="24"/>
              </w:rPr>
            </w:pPr>
          </w:p>
        </w:tc>
        <w:tc>
          <w:tcPr>
            <w:tcW w:w="1249" w:type="dxa"/>
          </w:tcPr>
          <w:p w:rsidRPr="00196A81" w:rsidR="0016492B" w:rsidP="00BF1F6F" w:rsidRDefault="0016492B" w14:paraId="17CFC217" w14:textId="0C78511B">
            <w:pPr>
              <w:tabs>
                <w:tab w:val="left" w:pos="0"/>
              </w:tabs>
              <w:jc w:val="center"/>
              <w:rPr>
                <w:rFonts w:ascii="Times New Roman" w:hAnsi="Times New Roman"/>
                <w:szCs w:val="24"/>
              </w:rPr>
            </w:pPr>
            <w:r w:rsidRPr="00EF534B">
              <w:rPr>
                <w:rFonts w:ascii="Times New Roman" w:hAnsi="Times New Roman"/>
                <w:szCs w:val="24"/>
              </w:rPr>
              <w:t>$46.62</w:t>
            </w:r>
          </w:p>
        </w:tc>
        <w:tc>
          <w:tcPr>
            <w:tcW w:w="1249" w:type="dxa"/>
          </w:tcPr>
          <w:p w:rsidRPr="008A1394" w:rsidR="0016492B" w:rsidP="00BF1F6F" w:rsidRDefault="0016492B" w14:paraId="18559A97" w14:textId="31C73E7A">
            <w:pPr>
              <w:tabs>
                <w:tab w:val="left" w:pos="0"/>
              </w:tabs>
              <w:jc w:val="center"/>
              <w:rPr>
                <w:rFonts w:ascii="Times New Roman" w:hAnsi="Times New Roman"/>
                <w:szCs w:val="24"/>
              </w:rPr>
            </w:pPr>
            <w:r>
              <w:rPr>
                <w:rFonts w:ascii="Times New Roman" w:hAnsi="Times New Roman"/>
                <w:szCs w:val="24"/>
              </w:rPr>
              <w:t>$</w:t>
            </w:r>
            <w:r w:rsidR="00964CFB">
              <w:rPr>
                <w:rFonts w:ascii="Times New Roman" w:hAnsi="Times New Roman"/>
                <w:szCs w:val="24"/>
              </w:rPr>
              <w:t>632,</w:t>
            </w:r>
            <w:r w:rsidR="00FA4C6F">
              <w:rPr>
                <w:rFonts w:ascii="Times New Roman" w:hAnsi="Times New Roman"/>
                <w:szCs w:val="24"/>
              </w:rPr>
              <w:t>541</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F31BEC" w:rsidP="00BF1380" w:rsidRDefault="00F31BEC" w14:paraId="56DDEF92" w14:textId="1508F7B5">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 xml:space="preserve">Generally, estimates should not include purchases of equipment or services, or portions thereof, made: (1) prior to October 1, 1995, (2) to achieve regulatory </w:t>
      </w:r>
      <w:r w:rsidRPr="00891BD3">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7E6F9859">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Pr="00196A81" w:rsidR="00B623A1" w:rsidP="009D48E2" w:rsidRDefault="00B623A1" w14:paraId="50677C0A" w14:textId="77777777">
      <w:pPr>
        <w:tabs>
          <w:tab w:val="left" w:pos="-720"/>
        </w:tabs>
        <w:suppressAutoHyphens/>
        <w:rPr>
          <w:rFonts w:ascii="Times New Roman" w:hAnsi="Times New Roman"/>
          <w:szCs w:val="24"/>
        </w:rPr>
      </w:pPr>
    </w:p>
    <w:p w:rsidR="00043C32" w:rsidP="009D48E2" w:rsidRDefault="00043C32" w14:paraId="56DDEFA0" w14:textId="200D45F2">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DF4C04" w:rsidP="00DF4C04" w:rsidRDefault="00DF4C04" w14:paraId="22FD2EC7" w14:textId="77777777">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would be to review the data that each institution submits.</w:t>
      </w:r>
    </w:p>
    <w:p w:rsidR="00BF1F6F" w:rsidP="00BF1F6F" w:rsidRDefault="00BF1F6F" w14:paraId="0E911B45" w14:textId="77777777">
      <w:pPr>
        <w:pStyle w:val="ListParagraph"/>
        <w:tabs>
          <w:tab w:val="left" w:pos="-720"/>
        </w:tabs>
        <w:suppressAutoHyphens/>
        <w:ind w:left="0"/>
        <w:rPr>
          <w:rFonts w:ascii="Times New Roman" w:hAnsi="Times New Roman"/>
          <w:iCs/>
          <w:szCs w:val="24"/>
        </w:rPr>
      </w:pPr>
    </w:p>
    <w:p w:rsidR="00BF1F6F" w:rsidP="00BF1F6F" w:rsidRDefault="00BF1F6F" w14:paraId="6FCFD7D1" w14:textId="03247391">
      <w:pPr>
        <w:pStyle w:val="ListParagraph"/>
        <w:tabs>
          <w:tab w:val="left" w:pos="-720"/>
        </w:tabs>
        <w:suppressAutoHyphens/>
        <w:ind w:left="0"/>
        <w:rPr>
          <w:rFonts w:ascii="Times New Roman" w:hAnsi="Times New Roman"/>
          <w:iCs/>
          <w:szCs w:val="24"/>
        </w:rPr>
      </w:pPr>
      <w:r w:rsidRPr="00E9567D">
        <w:rPr>
          <w:rFonts w:ascii="Times New Roman" w:hAnsi="Times New Roman"/>
          <w:iCs/>
          <w:szCs w:val="24"/>
        </w:rPr>
        <w:t xml:space="preserve">The Department estimates the following: GS-13, </w:t>
      </w:r>
      <w:r>
        <w:rPr>
          <w:rFonts w:ascii="Times New Roman" w:hAnsi="Times New Roman"/>
          <w:iCs/>
          <w:szCs w:val="24"/>
        </w:rPr>
        <w:t>8</w:t>
      </w:r>
      <w:r w:rsidRPr="00E9567D">
        <w:rPr>
          <w:rFonts w:ascii="Times New Roman" w:hAnsi="Times New Roman"/>
          <w:iCs/>
          <w:szCs w:val="24"/>
        </w:rPr>
        <w:t xml:space="preserve"> hours, </w:t>
      </w:r>
      <w:r>
        <w:rPr>
          <w:rFonts w:ascii="Times New Roman" w:hAnsi="Times New Roman"/>
          <w:iCs/>
          <w:szCs w:val="24"/>
        </w:rPr>
        <w:t>5</w:t>
      </w:r>
      <w:r w:rsidR="001D5072">
        <w:rPr>
          <w:rFonts w:ascii="Times New Roman" w:hAnsi="Times New Roman"/>
          <w:iCs/>
          <w:szCs w:val="24"/>
        </w:rPr>
        <w:t>6</w:t>
      </w:r>
      <w:r>
        <w:rPr>
          <w:rFonts w:ascii="Times New Roman" w:hAnsi="Times New Roman"/>
          <w:iCs/>
          <w:szCs w:val="24"/>
        </w:rPr>
        <w:t xml:space="preserve"> S</w:t>
      </w:r>
      <w:r w:rsidR="00192A93">
        <w:rPr>
          <w:rFonts w:ascii="Times New Roman" w:hAnsi="Times New Roman"/>
          <w:iCs/>
          <w:szCs w:val="24"/>
        </w:rPr>
        <w:t>tate</w:t>
      </w:r>
      <w:r w:rsidR="00BA3763">
        <w:rPr>
          <w:rFonts w:ascii="Times New Roman" w:hAnsi="Times New Roman"/>
          <w:iCs/>
          <w:szCs w:val="24"/>
        </w:rPr>
        <w:t>s</w:t>
      </w:r>
      <w:r w:rsidR="00192A93">
        <w:rPr>
          <w:rFonts w:ascii="Times New Roman" w:hAnsi="Times New Roman"/>
          <w:iCs/>
          <w:szCs w:val="24"/>
        </w:rPr>
        <w:t xml:space="preserve"> </w:t>
      </w:r>
      <w:r w:rsidR="003F5E0D">
        <w:rPr>
          <w:rFonts w:ascii="Times New Roman" w:hAnsi="Times New Roman"/>
          <w:iCs/>
          <w:szCs w:val="24"/>
        </w:rPr>
        <w:t xml:space="preserve">and Outlying Areas </w:t>
      </w:r>
      <w:r w:rsidRPr="00E9567D">
        <w:rPr>
          <w:rFonts w:ascii="Times New Roman" w:hAnsi="Times New Roman"/>
          <w:iCs/>
          <w:szCs w:val="24"/>
        </w:rPr>
        <w:t xml:space="preserve">= </w:t>
      </w:r>
      <w:r>
        <w:rPr>
          <w:rFonts w:ascii="Times New Roman" w:hAnsi="Times New Roman"/>
          <w:iCs/>
          <w:szCs w:val="24"/>
        </w:rPr>
        <w:t>4</w:t>
      </w:r>
      <w:r w:rsidR="00B404EE">
        <w:rPr>
          <w:rFonts w:ascii="Times New Roman" w:hAnsi="Times New Roman"/>
          <w:iCs/>
          <w:szCs w:val="24"/>
        </w:rPr>
        <w:t>48</w:t>
      </w:r>
      <w:r w:rsidRPr="00E9567D">
        <w:rPr>
          <w:rFonts w:ascii="Times New Roman" w:hAnsi="Times New Roman"/>
          <w:iCs/>
          <w:szCs w:val="24"/>
        </w:rPr>
        <w:t xml:space="preserve"> hours X 45.42 per hour=$</w:t>
      </w:r>
      <w:r w:rsidR="001253CC">
        <w:rPr>
          <w:rFonts w:ascii="Times New Roman" w:hAnsi="Times New Roman"/>
          <w:iCs/>
          <w:szCs w:val="24"/>
        </w:rPr>
        <w:t>20,348.16.</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00536C5A" w:rsidRDefault="00536C5A" w14:paraId="158FA45A" w14:textId="77777777">
      <w:pPr>
        <w:rPr>
          <w:rFonts w:ascii="Times New Roman" w:hAnsi="Times New Roman"/>
          <w:b/>
          <w:szCs w:val="24"/>
        </w:rPr>
      </w:pPr>
      <w:r>
        <w:rPr>
          <w:rFonts w:ascii="Times New Roman" w:hAnsi="Times New Roman"/>
          <w:b/>
          <w:szCs w:val="24"/>
        </w:rPr>
        <w:br w:type="page"/>
      </w:r>
    </w:p>
    <w:p w:rsidRPr="00C80DDA" w:rsidR="00800D30" w:rsidP="009D48E2" w:rsidRDefault="00800D30" w14:paraId="56DDEFA5" w14:textId="145ED7F6">
      <w:pPr>
        <w:pStyle w:val="ListParagraph"/>
        <w:tabs>
          <w:tab w:val="left" w:pos="-720"/>
        </w:tabs>
        <w:suppressAutoHyphens/>
        <w:ind w:left="0"/>
        <w:contextualSpacing w:val="0"/>
        <w:rPr>
          <w:rFonts w:ascii="Times New Roman" w:hAnsi="Times New Roman"/>
          <w:b/>
          <w:szCs w:val="24"/>
        </w:rPr>
      </w:pPr>
      <w:r w:rsidRPr="00C80DDA">
        <w:rPr>
          <w:rFonts w:ascii="Times New Roman" w:hAnsi="Times New Roman"/>
          <w:b/>
          <w:szCs w:val="24"/>
        </w:rPr>
        <w:lastRenderedPageBreak/>
        <w:t>Provide a descriptive narrative for the reasons of any change in addition to completing the table with the burden hour change(s)</w:t>
      </w:r>
      <w:r w:rsidRPr="00C80DDA" w:rsidR="002A3221">
        <w:rPr>
          <w:rFonts w:ascii="Times New Roman" w:hAnsi="Times New Roman"/>
          <w:b/>
          <w:szCs w:val="24"/>
        </w:rPr>
        <w:t xml:space="preserve"> here</w:t>
      </w:r>
      <w:r w:rsidRPr="00C80DDA"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F5387A" w:rsidR="0052073E" w:rsidP="00F5387A" w:rsidRDefault="00E66E3C" w14:paraId="56DDEFAD" w14:textId="5638B390">
            <w:pPr>
              <w:tabs>
                <w:tab w:val="left" w:pos="-720"/>
                <w:tab w:val="left" w:pos="0"/>
              </w:tabs>
              <w:suppressAutoHyphens/>
              <w:jc w:val="center"/>
              <w:rPr>
                <w:rFonts w:ascii="Times New Roman" w:hAnsi="Times New Roman"/>
                <w:bCs/>
                <w:szCs w:val="24"/>
              </w:rPr>
            </w:pPr>
            <w:r>
              <w:rPr>
                <w:rFonts w:ascii="Times New Roman" w:hAnsi="Times New Roman"/>
                <w:bCs/>
                <w:szCs w:val="24"/>
              </w:rPr>
              <w:t>13,56</w:t>
            </w:r>
            <w:r w:rsidR="00B25025">
              <w:rPr>
                <w:rFonts w:ascii="Times New Roman" w:hAnsi="Times New Roman"/>
                <w:bCs/>
                <w:szCs w:val="24"/>
              </w:rPr>
              <w:t>8</w:t>
            </w:r>
            <w:r>
              <w:rPr>
                <w:rFonts w:ascii="Times New Roman" w:hAnsi="Times New Roman"/>
                <w:bCs/>
                <w:szCs w:val="24"/>
              </w:rPr>
              <w:t xml:space="preserve"> </w:t>
            </w:r>
            <w:r w:rsidRPr="00F5387A" w:rsidR="00F5387A">
              <w:rPr>
                <w:rFonts w:ascii="Times New Roman" w:hAnsi="Times New Roman"/>
                <w:bCs/>
                <w:szCs w:val="24"/>
              </w:rPr>
              <w:t>hours</w:t>
            </w: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F5387A" w:rsidR="0052073E" w:rsidP="00F5387A" w:rsidRDefault="00F92BD9" w14:paraId="56DDEFB2" w14:textId="6E0C8316">
            <w:pPr>
              <w:tabs>
                <w:tab w:val="left" w:pos="-720"/>
                <w:tab w:val="left" w:pos="0"/>
              </w:tabs>
              <w:suppressAutoHyphens/>
              <w:jc w:val="center"/>
              <w:rPr>
                <w:rFonts w:ascii="Times New Roman" w:hAnsi="Times New Roman"/>
                <w:bCs/>
                <w:szCs w:val="24"/>
              </w:rPr>
            </w:pPr>
            <w:r>
              <w:rPr>
                <w:rFonts w:ascii="Times New Roman" w:hAnsi="Times New Roman"/>
                <w:bCs/>
                <w:szCs w:val="24"/>
              </w:rPr>
              <w:t>3,32</w:t>
            </w:r>
            <w:r w:rsidR="009B5572">
              <w:rPr>
                <w:rFonts w:ascii="Times New Roman" w:hAnsi="Times New Roman"/>
                <w:bCs/>
                <w:szCs w:val="24"/>
              </w:rPr>
              <w:t>6</w:t>
            </w: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F5387A" w:rsidR="0052073E" w:rsidP="00F5387A" w:rsidRDefault="00F40F56" w14:paraId="56DDEFB7" w14:textId="44E1BC08">
            <w:pPr>
              <w:tabs>
                <w:tab w:val="left" w:pos="-720"/>
                <w:tab w:val="left" w:pos="0"/>
              </w:tabs>
              <w:suppressAutoHyphens/>
              <w:jc w:val="center"/>
              <w:rPr>
                <w:rFonts w:ascii="Times New Roman" w:hAnsi="Times New Roman"/>
                <w:bCs/>
                <w:szCs w:val="24"/>
              </w:rPr>
            </w:pPr>
            <w:r w:rsidRPr="00F5387A">
              <w:rPr>
                <w:rFonts w:ascii="Times New Roman" w:hAnsi="Times New Roman"/>
                <w:bCs/>
                <w:szCs w:val="24"/>
              </w:rPr>
              <w:t>$</w:t>
            </w:r>
            <w:r w:rsidR="007079F6">
              <w:rPr>
                <w:rFonts w:ascii="Times New Roman" w:hAnsi="Times New Roman"/>
                <w:bCs/>
                <w:szCs w:val="24"/>
              </w:rPr>
              <w:t>632,</w:t>
            </w:r>
            <w:r w:rsidR="00B25025">
              <w:rPr>
                <w:rFonts w:ascii="Times New Roman" w:hAnsi="Times New Roman"/>
                <w:bCs/>
                <w:szCs w:val="24"/>
              </w:rPr>
              <w:t>541</w:t>
            </w: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614DB7" w:rsidP="00614DB7" w:rsidRDefault="00614DB7" w14:paraId="75BB0058" w14:textId="0B074221">
      <w:pPr>
        <w:tabs>
          <w:tab w:val="left" w:pos="-720"/>
          <w:tab w:val="left" w:pos="0"/>
        </w:tabs>
        <w:suppressAutoHyphens/>
        <w:rPr>
          <w:rFonts w:ascii="Times New Roman" w:hAnsi="Times New Roman"/>
        </w:rPr>
      </w:pPr>
      <w:r w:rsidRPr="00EB5975">
        <w:rPr>
          <w:rFonts w:ascii="Times New Roman" w:hAnsi="Times New Roman"/>
        </w:rPr>
        <w:t xml:space="preserve">The </w:t>
      </w:r>
      <w:r>
        <w:rPr>
          <w:rFonts w:ascii="Times New Roman" w:hAnsi="Times New Roman"/>
        </w:rPr>
        <w:t xml:space="preserve">initial </w:t>
      </w:r>
      <w:r w:rsidRPr="00EB5975">
        <w:rPr>
          <w:rFonts w:ascii="Times New Roman" w:hAnsi="Times New Roman"/>
        </w:rPr>
        <w:t xml:space="preserve">increase </w:t>
      </w:r>
      <w:r>
        <w:rPr>
          <w:rFonts w:ascii="Times New Roman" w:hAnsi="Times New Roman"/>
        </w:rPr>
        <w:t xml:space="preserve">resulted from </w:t>
      </w:r>
      <w:r w:rsidRPr="00EB5975">
        <w:rPr>
          <w:rFonts w:ascii="Times New Roman" w:hAnsi="Times New Roman"/>
        </w:rPr>
        <w:t xml:space="preserve">a program change due to the enactment of a new statute, the CARES Act. The total new burden is estimated to be </w:t>
      </w:r>
      <w:r w:rsidR="0065108B">
        <w:rPr>
          <w:rFonts w:ascii="Times New Roman" w:hAnsi="Times New Roman"/>
        </w:rPr>
        <w:t>13,564</w:t>
      </w:r>
      <w:r w:rsidR="004F7D0D">
        <w:rPr>
          <w:rFonts w:ascii="Times New Roman" w:hAnsi="Times New Roman"/>
        </w:rPr>
        <w:t xml:space="preserve"> </w:t>
      </w:r>
      <w:r w:rsidRPr="00EB5975">
        <w:rPr>
          <w:rFonts w:ascii="Times New Roman" w:hAnsi="Times New Roman"/>
        </w:rPr>
        <w:t>burden hours and a cost of $</w:t>
      </w:r>
      <w:r w:rsidR="0065108B">
        <w:rPr>
          <w:rFonts w:ascii="Times New Roman" w:hAnsi="Times New Roman"/>
        </w:rPr>
        <w:t>632,354.</w:t>
      </w:r>
    </w:p>
    <w:p w:rsidR="00614DB7" w:rsidP="009D48E2" w:rsidRDefault="00614DB7" w14:paraId="1CA15EB5" w14:textId="77777777">
      <w:pPr>
        <w:tabs>
          <w:tab w:val="left" w:pos="-720"/>
          <w:tab w:val="left" w:pos="0"/>
        </w:tabs>
        <w:suppressAutoHyphens/>
        <w:rPr>
          <w:rFonts w:ascii="Times New Roman" w:hAnsi="Times New Roman"/>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00AC29B9" w:rsidRDefault="00AC29B9" w14:paraId="025A8BF0" w14:textId="45BC8643">
      <w:pPr>
        <w:rPr>
          <w:b/>
        </w:rPr>
      </w:pPr>
      <w:r>
        <w:rPr>
          <w:rFonts w:ascii="Times New Roman" w:hAnsi="Times New Roman"/>
        </w:rPr>
        <w:t>S</w:t>
      </w:r>
      <w:r w:rsidR="00133DEA">
        <w:rPr>
          <w:rFonts w:ascii="Times New Roman" w:hAnsi="Times New Roman"/>
        </w:rPr>
        <w:t>ta</w:t>
      </w:r>
      <w:r w:rsidR="007D09BD">
        <w:rPr>
          <w:rFonts w:ascii="Times New Roman" w:hAnsi="Times New Roman"/>
        </w:rPr>
        <w:t>t</w:t>
      </w:r>
      <w:r w:rsidR="00133DEA">
        <w:rPr>
          <w:rFonts w:ascii="Times New Roman" w:hAnsi="Times New Roman"/>
        </w:rPr>
        <w:t>e agenc</w:t>
      </w:r>
      <w:r w:rsidR="007D09BD">
        <w:rPr>
          <w:rFonts w:ascii="Times New Roman" w:hAnsi="Times New Roman"/>
        </w:rPr>
        <w:t>ies</w:t>
      </w:r>
      <w:r w:rsidR="00133DEA">
        <w:rPr>
          <w:rFonts w:ascii="Times New Roman" w:hAnsi="Times New Roman"/>
        </w:rPr>
        <w:t xml:space="preserve"> </w:t>
      </w:r>
      <w:r w:rsidRPr="006D2573">
        <w:rPr>
          <w:rFonts w:ascii="Times New Roman" w:hAnsi="Times New Roman"/>
        </w:rPr>
        <w:t xml:space="preserve">will be asked to respond to the information collection in FY2021 Quarter 2. Data quality will be controlled and reviewed during data collection, while </w:t>
      </w:r>
      <w:r w:rsidR="00372CB9">
        <w:rPr>
          <w:rFonts w:ascii="Times New Roman" w:hAnsi="Times New Roman"/>
        </w:rPr>
        <w:t>S</w:t>
      </w:r>
      <w:r w:rsidR="006374E5">
        <w:rPr>
          <w:rFonts w:ascii="Times New Roman" w:hAnsi="Times New Roman"/>
        </w:rPr>
        <w:t xml:space="preserve">tate agencies </w:t>
      </w:r>
      <w:r w:rsidRPr="006D2573">
        <w:rPr>
          <w:rFonts w:ascii="Times New Roman" w:hAnsi="Times New Roman"/>
        </w:rPr>
        <w:t>will have the opportunity to correct and resubmit final data. Once the review is completed, the descriptive statistics based on this information collection will be published on the Education Stabilization Fund (ESF) Public Transparency Portal no later than 2021 Quarter 3,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26"/>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E303F" w14:textId="77777777" w:rsidR="00645C2E" w:rsidRDefault="00645C2E" w:rsidP="00043C32">
      <w:r>
        <w:separator/>
      </w:r>
    </w:p>
  </w:endnote>
  <w:endnote w:type="continuationSeparator" w:id="0">
    <w:p w14:paraId="685E339C" w14:textId="77777777" w:rsidR="00645C2E" w:rsidRDefault="00645C2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327FA5">
    <w:pPr>
      <w:spacing w:before="140" w:line="100" w:lineRule="exact"/>
      <w:rPr>
        <w:sz w:val="10"/>
      </w:rPr>
    </w:pPr>
  </w:p>
  <w:p w14:paraId="56DDEFC9" w14:textId="77777777" w:rsidR="00386054" w:rsidRDefault="00327FA5">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5BE54" w14:textId="77777777" w:rsidR="00645C2E" w:rsidRDefault="00645C2E" w:rsidP="00043C32">
      <w:r>
        <w:separator/>
      </w:r>
    </w:p>
  </w:footnote>
  <w:footnote w:type="continuationSeparator" w:id="0">
    <w:p w14:paraId="0615C7C2" w14:textId="77777777" w:rsidR="00645C2E" w:rsidRDefault="00645C2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179BB"/>
    <w:rsid w:val="00024842"/>
    <w:rsid w:val="00026ECA"/>
    <w:rsid w:val="00035ED5"/>
    <w:rsid w:val="00043C32"/>
    <w:rsid w:val="00043E19"/>
    <w:rsid w:val="000446F5"/>
    <w:rsid w:val="0004501A"/>
    <w:rsid w:val="00047953"/>
    <w:rsid w:val="000620B2"/>
    <w:rsid w:val="00063A39"/>
    <w:rsid w:val="000644D0"/>
    <w:rsid w:val="00084E20"/>
    <w:rsid w:val="00087A77"/>
    <w:rsid w:val="00093017"/>
    <w:rsid w:val="00093AD6"/>
    <w:rsid w:val="000A7845"/>
    <w:rsid w:val="000B5BBA"/>
    <w:rsid w:val="000C2793"/>
    <w:rsid w:val="000D4564"/>
    <w:rsid w:val="000E195E"/>
    <w:rsid w:val="00103788"/>
    <w:rsid w:val="001212A5"/>
    <w:rsid w:val="001253CC"/>
    <w:rsid w:val="00125941"/>
    <w:rsid w:val="001268CB"/>
    <w:rsid w:val="00130DB3"/>
    <w:rsid w:val="00133DEA"/>
    <w:rsid w:val="00142965"/>
    <w:rsid w:val="0014781D"/>
    <w:rsid w:val="0015687E"/>
    <w:rsid w:val="001616E7"/>
    <w:rsid w:val="00163379"/>
    <w:rsid w:val="001634C5"/>
    <w:rsid w:val="0016492B"/>
    <w:rsid w:val="001723FB"/>
    <w:rsid w:val="001824F3"/>
    <w:rsid w:val="00192A93"/>
    <w:rsid w:val="00196A81"/>
    <w:rsid w:val="001A27BE"/>
    <w:rsid w:val="001A2965"/>
    <w:rsid w:val="001A55BB"/>
    <w:rsid w:val="001A6AE0"/>
    <w:rsid w:val="001B4FCB"/>
    <w:rsid w:val="001B5E30"/>
    <w:rsid w:val="001C73C0"/>
    <w:rsid w:val="001D5072"/>
    <w:rsid w:val="001E79BD"/>
    <w:rsid w:val="00212B3F"/>
    <w:rsid w:val="002149F3"/>
    <w:rsid w:val="002163E6"/>
    <w:rsid w:val="00217E2B"/>
    <w:rsid w:val="00221318"/>
    <w:rsid w:val="002225CC"/>
    <w:rsid w:val="00224A3B"/>
    <w:rsid w:val="00225556"/>
    <w:rsid w:val="002313E2"/>
    <w:rsid w:val="0023784F"/>
    <w:rsid w:val="00240A39"/>
    <w:rsid w:val="00242055"/>
    <w:rsid w:val="00246FE9"/>
    <w:rsid w:val="00250100"/>
    <w:rsid w:val="0025791C"/>
    <w:rsid w:val="00262A69"/>
    <w:rsid w:val="00270AF7"/>
    <w:rsid w:val="00276296"/>
    <w:rsid w:val="00277B6A"/>
    <w:rsid w:val="0028403B"/>
    <w:rsid w:val="002A0084"/>
    <w:rsid w:val="002A3221"/>
    <w:rsid w:val="002A616B"/>
    <w:rsid w:val="002A7979"/>
    <w:rsid w:val="002B0F55"/>
    <w:rsid w:val="002C1767"/>
    <w:rsid w:val="002C3520"/>
    <w:rsid w:val="002C4A86"/>
    <w:rsid w:val="002C55F0"/>
    <w:rsid w:val="002E14E0"/>
    <w:rsid w:val="002E5A41"/>
    <w:rsid w:val="002F0981"/>
    <w:rsid w:val="002F55E5"/>
    <w:rsid w:val="00307E8E"/>
    <w:rsid w:val="003114E9"/>
    <w:rsid w:val="003130F4"/>
    <w:rsid w:val="0032078A"/>
    <w:rsid w:val="0032539E"/>
    <w:rsid w:val="003254B8"/>
    <w:rsid w:val="00327FA5"/>
    <w:rsid w:val="00335670"/>
    <w:rsid w:val="00337880"/>
    <w:rsid w:val="00350B01"/>
    <w:rsid w:val="0035262A"/>
    <w:rsid w:val="00353520"/>
    <w:rsid w:val="003658B8"/>
    <w:rsid w:val="00372CB9"/>
    <w:rsid w:val="003829FF"/>
    <w:rsid w:val="00382E93"/>
    <w:rsid w:val="003860E4"/>
    <w:rsid w:val="003911BF"/>
    <w:rsid w:val="00391330"/>
    <w:rsid w:val="0039342D"/>
    <w:rsid w:val="003B1545"/>
    <w:rsid w:val="003B2029"/>
    <w:rsid w:val="003C474D"/>
    <w:rsid w:val="003C5DAC"/>
    <w:rsid w:val="003F3EA6"/>
    <w:rsid w:val="003F5570"/>
    <w:rsid w:val="003F5E0D"/>
    <w:rsid w:val="00400F78"/>
    <w:rsid w:val="00403F4B"/>
    <w:rsid w:val="00412915"/>
    <w:rsid w:val="004237B8"/>
    <w:rsid w:val="00442E07"/>
    <w:rsid w:val="00445EA5"/>
    <w:rsid w:val="00462B4E"/>
    <w:rsid w:val="00467994"/>
    <w:rsid w:val="00473D7C"/>
    <w:rsid w:val="00480F75"/>
    <w:rsid w:val="00490159"/>
    <w:rsid w:val="004A7BEC"/>
    <w:rsid w:val="004B0034"/>
    <w:rsid w:val="004B1AEE"/>
    <w:rsid w:val="004C227C"/>
    <w:rsid w:val="004C6244"/>
    <w:rsid w:val="004D0F57"/>
    <w:rsid w:val="004E2A54"/>
    <w:rsid w:val="004E579B"/>
    <w:rsid w:val="004F7D0D"/>
    <w:rsid w:val="005010AC"/>
    <w:rsid w:val="00504106"/>
    <w:rsid w:val="00506127"/>
    <w:rsid w:val="0051277E"/>
    <w:rsid w:val="0052073E"/>
    <w:rsid w:val="00534B4A"/>
    <w:rsid w:val="00536C5A"/>
    <w:rsid w:val="005462EF"/>
    <w:rsid w:val="0054778F"/>
    <w:rsid w:val="00551358"/>
    <w:rsid w:val="005528D6"/>
    <w:rsid w:val="0055336C"/>
    <w:rsid w:val="00560788"/>
    <w:rsid w:val="00564A88"/>
    <w:rsid w:val="0057072E"/>
    <w:rsid w:val="00575DDA"/>
    <w:rsid w:val="0058006A"/>
    <w:rsid w:val="0058188E"/>
    <w:rsid w:val="00581C11"/>
    <w:rsid w:val="005A3FB0"/>
    <w:rsid w:val="005B2732"/>
    <w:rsid w:val="005B6B74"/>
    <w:rsid w:val="005C1165"/>
    <w:rsid w:val="005C4CB2"/>
    <w:rsid w:val="005F4A95"/>
    <w:rsid w:val="005F4BA8"/>
    <w:rsid w:val="00606790"/>
    <w:rsid w:val="006113D9"/>
    <w:rsid w:val="00614DB7"/>
    <w:rsid w:val="00616F79"/>
    <w:rsid w:val="00624633"/>
    <w:rsid w:val="006374E5"/>
    <w:rsid w:val="00645C2E"/>
    <w:rsid w:val="0065108B"/>
    <w:rsid w:val="006627C0"/>
    <w:rsid w:val="00665232"/>
    <w:rsid w:val="00677E0D"/>
    <w:rsid w:val="0068567A"/>
    <w:rsid w:val="006A292A"/>
    <w:rsid w:val="006A38F7"/>
    <w:rsid w:val="006A4EBB"/>
    <w:rsid w:val="006A5AC0"/>
    <w:rsid w:val="006B212D"/>
    <w:rsid w:val="006B4172"/>
    <w:rsid w:val="006B4DEC"/>
    <w:rsid w:val="006D32B9"/>
    <w:rsid w:val="006E07A2"/>
    <w:rsid w:val="006F08EE"/>
    <w:rsid w:val="006F1395"/>
    <w:rsid w:val="007079F6"/>
    <w:rsid w:val="007118A4"/>
    <w:rsid w:val="00713B69"/>
    <w:rsid w:val="00717FC8"/>
    <w:rsid w:val="00742A77"/>
    <w:rsid w:val="00755D99"/>
    <w:rsid w:val="00756FD3"/>
    <w:rsid w:val="00765392"/>
    <w:rsid w:val="00790E3E"/>
    <w:rsid w:val="00794567"/>
    <w:rsid w:val="007A0BB1"/>
    <w:rsid w:val="007A218A"/>
    <w:rsid w:val="007A36CF"/>
    <w:rsid w:val="007A7678"/>
    <w:rsid w:val="007B0B50"/>
    <w:rsid w:val="007C0A4C"/>
    <w:rsid w:val="007C3424"/>
    <w:rsid w:val="007D09BD"/>
    <w:rsid w:val="007F6104"/>
    <w:rsid w:val="00800D30"/>
    <w:rsid w:val="008076BE"/>
    <w:rsid w:val="00807D1A"/>
    <w:rsid w:val="00832A76"/>
    <w:rsid w:val="00834F39"/>
    <w:rsid w:val="00842018"/>
    <w:rsid w:val="0085571E"/>
    <w:rsid w:val="00860E11"/>
    <w:rsid w:val="0086480D"/>
    <w:rsid w:val="00874EFE"/>
    <w:rsid w:val="008776DC"/>
    <w:rsid w:val="00882126"/>
    <w:rsid w:val="00891BD3"/>
    <w:rsid w:val="008933F1"/>
    <w:rsid w:val="008A1394"/>
    <w:rsid w:val="008A5124"/>
    <w:rsid w:val="008A5AB3"/>
    <w:rsid w:val="008A7A1C"/>
    <w:rsid w:val="008D0601"/>
    <w:rsid w:val="008D1F11"/>
    <w:rsid w:val="008D41E3"/>
    <w:rsid w:val="008E5919"/>
    <w:rsid w:val="008E60F5"/>
    <w:rsid w:val="008E74C4"/>
    <w:rsid w:val="008F48D3"/>
    <w:rsid w:val="00902E99"/>
    <w:rsid w:val="00903CFB"/>
    <w:rsid w:val="00905951"/>
    <w:rsid w:val="009073CC"/>
    <w:rsid w:val="00910C73"/>
    <w:rsid w:val="00911FA3"/>
    <w:rsid w:val="00912D2C"/>
    <w:rsid w:val="00913739"/>
    <w:rsid w:val="00916EE4"/>
    <w:rsid w:val="00920F63"/>
    <w:rsid w:val="009243F3"/>
    <w:rsid w:val="0093330A"/>
    <w:rsid w:val="0093366B"/>
    <w:rsid w:val="00934185"/>
    <w:rsid w:val="00946126"/>
    <w:rsid w:val="00952DF9"/>
    <w:rsid w:val="0095421D"/>
    <w:rsid w:val="00960493"/>
    <w:rsid w:val="00960C86"/>
    <w:rsid w:val="00964CFB"/>
    <w:rsid w:val="009767AF"/>
    <w:rsid w:val="00981F58"/>
    <w:rsid w:val="0098210B"/>
    <w:rsid w:val="00986D0A"/>
    <w:rsid w:val="009A5FC7"/>
    <w:rsid w:val="009A6B8B"/>
    <w:rsid w:val="009B0FB2"/>
    <w:rsid w:val="009B26BD"/>
    <w:rsid w:val="009B5572"/>
    <w:rsid w:val="009C4831"/>
    <w:rsid w:val="009D48E2"/>
    <w:rsid w:val="009E3909"/>
    <w:rsid w:val="009E3E86"/>
    <w:rsid w:val="00A118A2"/>
    <w:rsid w:val="00A23932"/>
    <w:rsid w:val="00A23F26"/>
    <w:rsid w:val="00A26773"/>
    <w:rsid w:val="00A37460"/>
    <w:rsid w:val="00A4001C"/>
    <w:rsid w:val="00A40AAB"/>
    <w:rsid w:val="00A46D01"/>
    <w:rsid w:val="00A56572"/>
    <w:rsid w:val="00A62722"/>
    <w:rsid w:val="00A6459A"/>
    <w:rsid w:val="00A70816"/>
    <w:rsid w:val="00A734B1"/>
    <w:rsid w:val="00A73590"/>
    <w:rsid w:val="00A7636D"/>
    <w:rsid w:val="00A76C3D"/>
    <w:rsid w:val="00A85A69"/>
    <w:rsid w:val="00A9138E"/>
    <w:rsid w:val="00A96974"/>
    <w:rsid w:val="00AA42E4"/>
    <w:rsid w:val="00AB07CB"/>
    <w:rsid w:val="00AB3B24"/>
    <w:rsid w:val="00AC1C89"/>
    <w:rsid w:val="00AC29B9"/>
    <w:rsid w:val="00AC3695"/>
    <w:rsid w:val="00AD381B"/>
    <w:rsid w:val="00AD4F99"/>
    <w:rsid w:val="00AD5C74"/>
    <w:rsid w:val="00AE3F9D"/>
    <w:rsid w:val="00AE5430"/>
    <w:rsid w:val="00AF5B5B"/>
    <w:rsid w:val="00AF5D1A"/>
    <w:rsid w:val="00AF6291"/>
    <w:rsid w:val="00B017F9"/>
    <w:rsid w:val="00B028EC"/>
    <w:rsid w:val="00B03B1F"/>
    <w:rsid w:val="00B07213"/>
    <w:rsid w:val="00B10A05"/>
    <w:rsid w:val="00B15897"/>
    <w:rsid w:val="00B25025"/>
    <w:rsid w:val="00B265D8"/>
    <w:rsid w:val="00B326A3"/>
    <w:rsid w:val="00B360E5"/>
    <w:rsid w:val="00B404EE"/>
    <w:rsid w:val="00B52C78"/>
    <w:rsid w:val="00B5339C"/>
    <w:rsid w:val="00B53A25"/>
    <w:rsid w:val="00B54167"/>
    <w:rsid w:val="00B60D84"/>
    <w:rsid w:val="00B612F6"/>
    <w:rsid w:val="00B619C9"/>
    <w:rsid w:val="00B623A1"/>
    <w:rsid w:val="00B62E06"/>
    <w:rsid w:val="00B64B1D"/>
    <w:rsid w:val="00B77A21"/>
    <w:rsid w:val="00B842E5"/>
    <w:rsid w:val="00B9671B"/>
    <w:rsid w:val="00BA1D31"/>
    <w:rsid w:val="00BA3763"/>
    <w:rsid w:val="00BA4301"/>
    <w:rsid w:val="00BB3D28"/>
    <w:rsid w:val="00BE104D"/>
    <w:rsid w:val="00BE7250"/>
    <w:rsid w:val="00BF1107"/>
    <w:rsid w:val="00BF1380"/>
    <w:rsid w:val="00BF1F6F"/>
    <w:rsid w:val="00BF26FC"/>
    <w:rsid w:val="00C03B74"/>
    <w:rsid w:val="00C076C3"/>
    <w:rsid w:val="00C164D3"/>
    <w:rsid w:val="00C20670"/>
    <w:rsid w:val="00C224FD"/>
    <w:rsid w:val="00C23DC9"/>
    <w:rsid w:val="00C23DE0"/>
    <w:rsid w:val="00C32C39"/>
    <w:rsid w:val="00C41664"/>
    <w:rsid w:val="00C55714"/>
    <w:rsid w:val="00C57408"/>
    <w:rsid w:val="00C65903"/>
    <w:rsid w:val="00C80DDA"/>
    <w:rsid w:val="00C86713"/>
    <w:rsid w:val="00C875E8"/>
    <w:rsid w:val="00C92035"/>
    <w:rsid w:val="00C95660"/>
    <w:rsid w:val="00C95DBB"/>
    <w:rsid w:val="00C969C1"/>
    <w:rsid w:val="00CB1731"/>
    <w:rsid w:val="00CB44DA"/>
    <w:rsid w:val="00CC2A72"/>
    <w:rsid w:val="00CC3FB5"/>
    <w:rsid w:val="00CC77F2"/>
    <w:rsid w:val="00CD1199"/>
    <w:rsid w:val="00CD2067"/>
    <w:rsid w:val="00CD47BC"/>
    <w:rsid w:val="00D05653"/>
    <w:rsid w:val="00D06056"/>
    <w:rsid w:val="00D34984"/>
    <w:rsid w:val="00D36C35"/>
    <w:rsid w:val="00D408CE"/>
    <w:rsid w:val="00D42ABA"/>
    <w:rsid w:val="00D66A30"/>
    <w:rsid w:val="00D67E1A"/>
    <w:rsid w:val="00D71A86"/>
    <w:rsid w:val="00D71AA5"/>
    <w:rsid w:val="00D75313"/>
    <w:rsid w:val="00D80B60"/>
    <w:rsid w:val="00D90557"/>
    <w:rsid w:val="00DA3E56"/>
    <w:rsid w:val="00DA5350"/>
    <w:rsid w:val="00DB2325"/>
    <w:rsid w:val="00DB55CF"/>
    <w:rsid w:val="00DC1FDB"/>
    <w:rsid w:val="00DC6B7E"/>
    <w:rsid w:val="00DD1696"/>
    <w:rsid w:val="00DD2C0A"/>
    <w:rsid w:val="00DD2F8C"/>
    <w:rsid w:val="00DD6341"/>
    <w:rsid w:val="00DF11C8"/>
    <w:rsid w:val="00DF4C04"/>
    <w:rsid w:val="00DF4CCF"/>
    <w:rsid w:val="00DF4F2C"/>
    <w:rsid w:val="00DF6E3F"/>
    <w:rsid w:val="00DF6F00"/>
    <w:rsid w:val="00E138A6"/>
    <w:rsid w:val="00E16ACD"/>
    <w:rsid w:val="00E17134"/>
    <w:rsid w:val="00E22868"/>
    <w:rsid w:val="00E23E46"/>
    <w:rsid w:val="00E25EBC"/>
    <w:rsid w:val="00E31AAF"/>
    <w:rsid w:val="00E3375E"/>
    <w:rsid w:val="00E4303F"/>
    <w:rsid w:val="00E439B7"/>
    <w:rsid w:val="00E542AE"/>
    <w:rsid w:val="00E565A2"/>
    <w:rsid w:val="00E57846"/>
    <w:rsid w:val="00E66550"/>
    <w:rsid w:val="00E6668E"/>
    <w:rsid w:val="00E66E3C"/>
    <w:rsid w:val="00E70A78"/>
    <w:rsid w:val="00E70F9A"/>
    <w:rsid w:val="00E741D0"/>
    <w:rsid w:val="00E813CA"/>
    <w:rsid w:val="00E838D9"/>
    <w:rsid w:val="00E83DFB"/>
    <w:rsid w:val="00E8437A"/>
    <w:rsid w:val="00E877BF"/>
    <w:rsid w:val="00EA1767"/>
    <w:rsid w:val="00EA2D07"/>
    <w:rsid w:val="00EB0929"/>
    <w:rsid w:val="00EB0C51"/>
    <w:rsid w:val="00EB0FA5"/>
    <w:rsid w:val="00EB20B1"/>
    <w:rsid w:val="00EB2AB4"/>
    <w:rsid w:val="00EB7B04"/>
    <w:rsid w:val="00EC01DD"/>
    <w:rsid w:val="00EC1350"/>
    <w:rsid w:val="00EC35E3"/>
    <w:rsid w:val="00ED0EDA"/>
    <w:rsid w:val="00ED7195"/>
    <w:rsid w:val="00EE3FA3"/>
    <w:rsid w:val="00EF01E8"/>
    <w:rsid w:val="00EF0732"/>
    <w:rsid w:val="00EF38B7"/>
    <w:rsid w:val="00F0005B"/>
    <w:rsid w:val="00F007FD"/>
    <w:rsid w:val="00F0293C"/>
    <w:rsid w:val="00F0414F"/>
    <w:rsid w:val="00F070F3"/>
    <w:rsid w:val="00F11D3C"/>
    <w:rsid w:val="00F22AA0"/>
    <w:rsid w:val="00F27525"/>
    <w:rsid w:val="00F27AAF"/>
    <w:rsid w:val="00F31941"/>
    <w:rsid w:val="00F31BEC"/>
    <w:rsid w:val="00F40F56"/>
    <w:rsid w:val="00F41A48"/>
    <w:rsid w:val="00F5387A"/>
    <w:rsid w:val="00F5782B"/>
    <w:rsid w:val="00F72A59"/>
    <w:rsid w:val="00F73131"/>
    <w:rsid w:val="00F75979"/>
    <w:rsid w:val="00F81E5F"/>
    <w:rsid w:val="00F82006"/>
    <w:rsid w:val="00F92BD9"/>
    <w:rsid w:val="00FA4C6F"/>
    <w:rsid w:val="00FB3316"/>
    <w:rsid w:val="00FC51D3"/>
    <w:rsid w:val="00FC5B4C"/>
    <w:rsid w:val="00FC669D"/>
    <w:rsid w:val="00FD4F0B"/>
    <w:rsid w:val="00FD585C"/>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CC2BB4B66BA49980A53ED8D307431" ma:contentTypeVersion="10" ma:contentTypeDescription="Create a new document." ma:contentTypeScope="" ma:versionID="5a4da2158c105f63561f261ed323edbc">
  <xsd:schema xmlns:xsd="http://www.w3.org/2001/XMLSchema" xmlns:xs="http://www.w3.org/2001/XMLSchema" xmlns:p="http://schemas.microsoft.com/office/2006/metadata/properties" xmlns:ns2="39f14e24-2167-49bb-9c18-ff1d58172457" xmlns:ns3="d8965bfb-7fad-4823-9bf3-1549f96a4d29" targetNamespace="http://schemas.microsoft.com/office/2006/metadata/properties" ma:root="true" ma:fieldsID="4c44368d78d8c90517ab42aaf9a1b9f1" ns2:_="" ns3:_="">
    <xsd:import namespace="39f14e24-2167-49bb-9c18-ff1d58172457"/>
    <xsd:import namespace="d8965bfb-7fad-4823-9bf3-1549f96a4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Date" minOccurs="0"/>
                <xsd:element ref="ns2:Projec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4e24-2167-49bb-9c18-ff1d5817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element name="Project" ma:index="15" nillable="true" ma:displayName="Project" ma:description="Which project is this associated with?"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5bfb-7fad-4823-9bf3-1549f96a4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39f14e24-2167-49bb-9c18-ff1d58172457" xsi:nil="true"/>
    <Project xmlns="39f14e24-2167-49bb-9c18-ff1d58172457" xsi:nil="true"/>
  </documentManagement>
</p:properties>
</file>

<file path=customXml/itemProps1.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A64F6A7D-58FF-47BD-B24D-FD08D2EC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4e24-2167-49bb-9c18-ff1d58172457"/>
    <ds:schemaRef ds:uri="d8965bfb-7fad-4823-9bf3-1549f96a4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C2FCF-9896-4EFE-84BD-4E19829C7FD9}">
  <ds:schemaRefs>
    <ds:schemaRef ds:uri="http://schemas.microsoft.com/office/2006/metadata/properties"/>
    <ds:schemaRef ds:uri="http://schemas.microsoft.com/office/infopath/2007/PartnerControls"/>
    <ds:schemaRef ds:uri="39f14e24-2167-49bb-9c18-ff1d581724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3103</Words>
  <Characters>17693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2</cp:revision>
  <dcterms:created xsi:type="dcterms:W3CDTF">2020-11-02T14:49:00Z</dcterms:created>
  <dcterms:modified xsi:type="dcterms:W3CDTF">2020-11-02T14:49:00Z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0x010100EF6CC2BB4B66BA49980A53ED8D307431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