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3235" w:rsidR="003E5EE2" w:rsidP="0096041E" w:rsidRDefault="003E5EE2">
      <w:pPr>
        <w:pStyle w:val="Heading1"/>
        <w:jc w:val="center"/>
        <w:rPr>
          <w:b w:val="0"/>
          <w:bCs w:val="0"/>
          <w:szCs w:val="24"/>
          <w:u w:val="single"/>
        </w:rPr>
      </w:pPr>
      <w:r w:rsidRPr="00223235">
        <w:rPr>
          <w:b w:val="0"/>
          <w:bCs w:val="0"/>
          <w:szCs w:val="24"/>
          <w:u w:val="single"/>
        </w:rPr>
        <w:t>Supporting Statement</w:t>
      </w:r>
    </w:p>
    <w:p w:rsidRPr="00223235" w:rsidR="00D5206C" w:rsidP="00D5206C" w:rsidRDefault="00D5206C">
      <w:pPr>
        <w:jc w:val="center"/>
        <w:rPr>
          <w:u w:val="single"/>
        </w:rPr>
      </w:pPr>
      <w:r w:rsidRPr="00223235">
        <w:rPr>
          <w:u w:val="single"/>
        </w:rPr>
        <w:t>O</w:t>
      </w:r>
      <w:r w:rsidRPr="00223235" w:rsidR="006E5EE7">
        <w:rPr>
          <w:u w:val="single"/>
        </w:rPr>
        <w:t>ffice of Management and Budget (O</w:t>
      </w:r>
      <w:r w:rsidRPr="00223235">
        <w:rPr>
          <w:u w:val="single"/>
        </w:rPr>
        <w:t>MB</w:t>
      </w:r>
      <w:r w:rsidRPr="00223235" w:rsidR="006E5EE7">
        <w:rPr>
          <w:u w:val="single"/>
        </w:rPr>
        <w:t>)</w:t>
      </w:r>
      <w:r w:rsidRPr="00223235">
        <w:rPr>
          <w:u w:val="single"/>
        </w:rPr>
        <w:t xml:space="preserve"> Control Numbers 1506-0004, </w:t>
      </w:r>
      <w:r w:rsidRPr="00223235" w:rsidR="006E5EE7">
        <w:rPr>
          <w:u w:val="single"/>
        </w:rPr>
        <w:br/>
      </w:r>
      <w:r w:rsidRPr="00223235">
        <w:rPr>
          <w:u w:val="single"/>
        </w:rPr>
        <w:t>1506-0005, and 1506-0064</w:t>
      </w:r>
    </w:p>
    <w:p w:rsidRPr="00223235" w:rsidR="00D5206C" w:rsidP="00D5206C" w:rsidRDefault="00D5206C"/>
    <w:p w:rsidRPr="00223235" w:rsidR="00982064" w:rsidP="00D5206C" w:rsidRDefault="00906B03">
      <w:pPr>
        <w:ind w:firstLine="720"/>
        <w:jc w:val="center"/>
        <w:rPr>
          <w:rFonts w:eastAsia="MS Mincho"/>
          <w:bCs/>
          <w:u w:val="single"/>
        </w:rPr>
      </w:pPr>
      <w:r w:rsidRPr="00223235">
        <w:rPr>
          <w:rFonts w:eastAsia="MS Mincho"/>
          <w:bCs/>
          <w:u w:val="single"/>
        </w:rPr>
        <w:t>Bank Secrecy Act Reports of Transactions in Currency Regulations and</w:t>
      </w:r>
    </w:p>
    <w:p w:rsidRPr="00223235" w:rsidR="00305B87" w:rsidP="00D5206C" w:rsidRDefault="00846D2D">
      <w:pPr>
        <w:jc w:val="center"/>
        <w:rPr>
          <w:u w:val="single"/>
        </w:rPr>
      </w:pPr>
      <w:r w:rsidRPr="00223235">
        <w:rPr>
          <w:rFonts w:eastAsia="MS Mincho"/>
          <w:bCs/>
          <w:u w:val="single"/>
        </w:rPr>
        <w:t xml:space="preserve">FinCEN Report 112 - </w:t>
      </w:r>
      <w:r w:rsidRPr="00223235" w:rsidR="00305B87">
        <w:rPr>
          <w:u w:val="single"/>
        </w:rPr>
        <w:t>Currency Transaction Report</w:t>
      </w:r>
      <w:r w:rsidRPr="00223235" w:rsidR="006E5EE7">
        <w:rPr>
          <w:u w:val="single"/>
        </w:rPr>
        <w:t xml:space="preserve"> (CTR)</w:t>
      </w:r>
    </w:p>
    <w:p w:rsidRPr="00223235" w:rsidR="006800B9" w:rsidP="0096041E" w:rsidRDefault="006800B9"/>
    <w:p w:rsidRPr="00223235" w:rsidR="006800B9" w:rsidP="0096041E" w:rsidRDefault="006800B9"/>
    <w:p w:rsidRPr="00223235" w:rsidR="003E5EE2" w:rsidP="0096041E" w:rsidRDefault="003E5EE2">
      <w:r w:rsidRPr="00223235">
        <w:t xml:space="preserve">1. </w:t>
      </w:r>
      <w:r w:rsidRPr="00223235">
        <w:rPr>
          <w:u w:val="single"/>
        </w:rPr>
        <w:t>Circumstances Necessitating Collection of Information.</w:t>
      </w:r>
      <w:r w:rsidRPr="00223235">
        <w:t xml:space="preserve"> </w:t>
      </w:r>
    </w:p>
    <w:p w:rsidRPr="00223235" w:rsidR="00906B03" w:rsidP="0096041E" w:rsidRDefault="00906B03">
      <w:pPr>
        <w:pStyle w:val="BodyTextIndent"/>
        <w:spacing w:after="0"/>
        <w:ind w:left="0"/>
      </w:pPr>
    </w:p>
    <w:p w:rsidRPr="00223235" w:rsidR="00157874" w:rsidP="00D5206C" w:rsidRDefault="00D5206C">
      <w:pPr>
        <w:pStyle w:val="BodyTextIndent"/>
        <w:spacing w:after="0"/>
        <w:ind w:left="0" w:firstLine="720"/>
      </w:pPr>
      <w:r w:rsidRPr="00223235">
        <w:t xml:space="preserve">The Financial Crimes Enforcement Network (“FinCEN”) exercises regulatory functions primarily under the Currency and Financial Transactions Reporting Act of 1970, as amended by the USA PATRIOT Act </w:t>
      </w:r>
      <w:r w:rsidRPr="00223235" w:rsidR="00DB0D14">
        <w:t>of 2001 and other legislation. </w:t>
      </w:r>
      <w:r w:rsidRPr="00223235">
        <w:t>This legislative framework is commonly referred to as the “Bank Secrecy Act” (“BSA”).</w:t>
      </w:r>
      <w:r w:rsidRPr="00223235">
        <w:rPr>
          <w:rStyle w:val="FootnoteReference"/>
        </w:rPr>
        <w:footnoteReference w:id="1"/>
      </w:r>
      <w:r w:rsidRPr="00223235">
        <w:t>  The Secretary of the Treasury has delegated to the Director of FinCEN the authority to implement, administer, and enforce compliance with the BSA and associated regulations.</w:t>
      </w:r>
      <w:r w:rsidRPr="00223235">
        <w:rPr>
          <w:rStyle w:val="FootnoteReference"/>
        </w:rPr>
        <w:footnoteReference w:id="2"/>
      </w:r>
      <w:r w:rsidRPr="00223235">
        <w:t>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Pr="00223235">
        <w:rPr>
          <w:rStyle w:val="FootnoteReference"/>
        </w:rPr>
        <w:footnoteReference w:id="3"/>
      </w:r>
      <w:r w:rsidRPr="00223235">
        <w:rPr>
          <w:lang w:val="en-US"/>
        </w:rPr>
        <w:t xml:space="preserve"> </w:t>
      </w:r>
      <w:r w:rsidRPr="00223235" w:rsidR="00906B03">
        <w:t xml:space="preserve">Under 31 U.S.C. 5313, the Secretary of the Treasury is authorized to require financial institutions to report currency transactions exceeding $10,000. Regulations implementing 31 U.S.C. 5313 are found at 31 CFR 1010.310 through 1010.314, 31 CFR 1021.311, and 31 CFR 1021.313. </w:t>
      </w:r>
    </w:p>
    <w:p w:rsidRPr="00223235" w:rsidR="00157874" w:rsidP="00D5206C" w:rsidRDefault="00157874">
      <w:pPr>
        <w:pStyle w:val="BodyTextIndent"/>
        <w:spacing w:after="0"/>
        <w:ind w:left="0" w:firstLine="720"/>
      </w:pPr>
    </w:p>
    <w:p w:rsidRPr="00223235" w:rsidR="00157874" w:rsidP="00157874" w:rsidRDefault="0071732F">
      <w:pPr>
        <w:pStyle w:val="BodyTextIndent"/>
        <w:spacing w:after="0"/>
        <w:ind w:left="0" w:firstLine="720"/>
      </w:pPr>
      <w:r w:rsidRPr="00223235">
        <w:t xml:space="preserve">The regulations and </w:t>
      </w:r>
      <w:r w:rsidRPr="00223235" w:rsidR="004F0402">
        <w:rPr>
          <w:lang w:val="en-US"/>
        </w:rPr>
        <w:t>related reports</w:t>
      </w:r>
      <w:r w:rsidRPr="00223235" w:rsidR="006E5EE7">
        <w:rPr>
          <w:lang w:val="en-US"/>
        </w:rPr>
        <w:t xml:space="preserve"> </w:t>
      </w:r>
      <w:r w:rsidRPr="00223235">
        <w:t>correspond to the following OMB control numbers: 1506-0004, 1506-0005, and 1506-0064.</w:t>
      </w:r>
      <w:r w:rsidRPr="00223235">
        <w:rPr>
          <w:rStyle w:val="FootnoteReference"/>
          <w:rFonts w:eastAsia="Courier New"/>
        </w:rPr>
        <w:footnoteReference w:id="4"/>
      </w:r>
      <w:r w:rsidRPr="00223235" w:rsidR="00157874">
        <w:rPr>
          <w:lang w:val="en-US"/>
        </w:rPr>
        <w:t xml:space="preserve"> This supporting statement </w:t>
      </w:r>
      <w:proofErr w:type="gramStart"/>
      <w:r w:rsidR="00FE5B5B">
        <w:rPr>
          <w:lang w:val="en-US"/>
        </w:rPr>
        <w:t xml:space="preserve">is </w:t>
      </w:r>
      <w:r w:rsidRPr="00223235" w:rsidR="006E5EE7">
        <w:t>being issued</w:t>
      </w:r>
      <w:proofErr w:type="gramEnd"/>
      <w:r w:rsidRPr="00223235" w:rsidR="006E5EE7">
        <w:t xml:space="preserve"> in connection with the </w:t>
      </w:r>
      <w:r w:rsidRPr="00223235" w:rsidR="00157874">
        <w:rPr>
          <w:lang w:val="en-US"/>
        </w:rPr>
        <w:t>renew</w:t>
      </w:r>
      <w:r w:rsidRPr="00223235" w:rsidR="006E5EE7">
        <w:rPr>
          <w:lang w:val="en-US"/>
        </w:rPr>
        <w:t xml:space="preserve">al of </w:t>
      </w:r>
      <w:r w:rsidRPr="00223235" w:rsidR="00157874">
        <w:rPr>
          <w:lang w:val="en-US"/>
        </w:rPr>
        <w:t xml:space="preserve">OMB control numbers 1506-0004, 1506-0005, and 1506-0064. </w:t>
      </w:r>
      <w:r w:rsidRPr="00223235" w:rsidR="00157874">
        <w:t>An administrative burden of one hour is assigned to each of the CTR regulation OMB control numbers in order to maintain the requirements in force.</w:t>
      </w:r>
      <w:r w:rsidRPr="00223235" w:rsidR="00157874">
        <w:rPr>
          <w:rStyle w:val="FootnoteReference"/>
          <w:rFonts w:eastAsia="Courier New"/>
        </w:rPr>
        <w:footnoteReference w:id="5"/>
      </w:r>
      <w:r w:rsidRPr="00223235" w:rsidR="00157874">
        <w:t xml:space="preserve"> The reporting and recordkeeping burden is reflected in FinCEN Report 112 </w:t>
      </w:r>
      <w:r w:rsidRPr="00223235" w:rsidR="004F0402">
        <w:t>–</w:t>
      </w:r>
      <w:r w:rsidRPr="00223235" w:rsidR="00157874">
        <w:t xml:space="preserve"> </w:t>
      </w:r>
      <w:r w:rsidRPr="00223235" w:rsidR="004F0402">
        <w:rPr>
          <w:lang w:val="en-US"/>
        </w:rPr>
        <w:t>Currency Transaction Report (“</w:t>
      </w:r>
      <w:r w:rsidRPr="00223235" w:rsidR="00157874">
        <w:t>CTR</w:t>
      </w:r>
      <w:r w:rsidRPr="00223235" w:rsidR="004F0402">
        <w:rPr>
          <w:lang w:val="en-US"/>
        </w:rPr>
        <w:t>”)</w:t>
      </w:r>
      <w:r w:rsidRPr="00223235" w:rsidR="00157874">
        <w:t xml:space="preserve"> under OMB control number 1506-0064. The rationale for assigning one burden hour to each of the CTR regulation OMB control numbers is that the annual burden hours would be double counted if FinCEN estimated burden in each CTR regulation OMB control number and in the CTR OMB control number.  </w:t>
      </w:r>
    </w:p>
    <w:p w:rsidRPr="00223235" w:rsidR="003E5EE2" w:rsidP="005256D8" w:rsidRDefault="003E5EE2">
      <w:pPr>
        <w:pStyle w:val="BodyTextIndent"/>
        <w:spacing w:after="0"/>
        <w:ind w:left="0"/>
      </w:pPr>
      <w:r w:rsidRPr="00223235">
        <w:lastRenderedPageBreak/>
        <w:t xml:space="preserve">2. </w:t>
      </w:r>
      <w:r w:rsidRPr="00223235">
        <w:rPr>
          <w:u w:val="single"/>
        </w:rPr>
        <w:t xml:space="preserve">Method of </w:t>
      </w:r>
      <w:r w:rsidRPr="00223235" w:rsidR="00982064">
        <w:rPr>
          <w:u w:val="single"/>
          <w:lang w:val="en-US"/>
        </w:rPr>
        <w:t>C</w:t>
      </w:r>
      <w:proofErr w:type="spellStart"/>
      <w:r w:rsidRPr="00223235">
        <w:rPr>
          <w:u w:val="single"/>
        </w:rPr>
        <w:t>ollection</w:t>
      </w:r>
      <w:proofErr w:type="spellEnd"/>
      <w:r w:rsidRPr="00223235">
        <w:rPr>
          <w:u w:val="single"/>
        </w:rPr>
        <w:t xml:space="preserve"> and </w:t>
      </w:r>
      <w:r w:rsidRPr="00223235" w:rsidR="00982064">
        <w:rPr>
          <w:u w:val="single"/>
          <w:lang w:val="en-US"/>
        </w:rPr>
        <w:t>U</w:t>
      </w:r>
      <w:r w:rsidRPr="00223235">
        <w:rPr>
          <w:u w:val="single"/>
        </w:rPr>
        <w:t xml:space="preserve">se of </w:t>
      </w:r>
      <w:r w:rsidRPr="00223235" w:rsidR="00982064">
        <w:rPr>
          <w:u w:val="single"/>
          <w:lang w:val="en-US"/>
        </w:rPr>
        <w:t>D</w:t>
      </w:r>
      <w:proofErr w:type="spellStart"/>
      <w:r w:rsidRPr="00223235">
        <w:rPr>
          <w:u w:val="single"/>
        </w:rPr>
        <w:t>ata</w:t>
      </w:r>
      <w:proofErr w:type="spellEnd"/>
      <w:r w:rsidRPr="00223235">
        <w:rPr>
          <w:u w:val="single"/>
        </w:rPr>
        <w:t>.</w:t>
      </w:r>
      <w:r w:rsidRPr="00223235">
        <w:t xml:space="preserve"> </w:t>
      </w:r>
    </w:p>
    <w:p w:rsidRPr="00223235" w:rsidR="004C7FA7" w:rsidP="005256D8" w:rsidRDefault="004C7FA7">
      <w:pPr>
        <w:pStyle w:val="BodyTextIndent"/>
        <w:spacing w:after="0"/>
        <w:ind w:left="0"/>
      </w:pPr>
    </w:p>
    <w:p w:rsidRPr="00223235" w:rsidR="00E40A4A" w:rsidP="005256D8" w:rsidRDefault="00E40A4A">
      <w:pPr>
        <w:pStyle w:val="BodyTextIndent"/>
        <w:spacing w:after="0"/>
        <w:ind w:left="0" w:firstLine="720"/>
      </w:pPr>
      <w:r w:rsidRPr="00223235">
        <w:t>Fi</w:t>
      </w:r>
      <w:r w:rsidRPr="00223235" w:rsidR="00E20AD0">
        <w:t>nancial institutions</w:t>
      </w:r>
      <w:r w:rsidRPr="00223235">
        <w:rPr>
          <w:lang w:val="en-US"/>
        </w:rPr>
        <w:t xml:space="preserve"> are required</w:t>
      </w:r>
      <w:r w:rsidRPr="00223235" w:rsidR="00E20AD0">
        <w:t xml:space="preserve"> to report currency (cash or coin) transactions over $10,000 conducted by, or on behalf of, one person, as well as multiple currency transactions that aggregate to over $10,000 in a single day. T</w:t>
      </w:r>
      <w:r w:rsidRPr="00223235">
        <w:t xml:space="preserve">hese transactions are reported </w:t>
      </w:r>
      <w:r w:rsidRPr="00223235">
        <w:rPr>
          <w:lang w:val="en-US"/>
        </w:rPr>
        <w:t xml:space="preserve">on </w:t>
      </w:r>
      <w:r w:rsidRPr="00223235" w:rsidR="00B61368">
        <w:rPr>
          <w:lang w:val="en-US"/>
        </w:rPr>
        <w:t>CTRs</w:t>
      </w:r>
      <w:r w:rsidRPr="00223235">
        <w:t xml:space="preserve">. </w:t>
      </w:r>
      <w:r w:rsidRPr="00223235">
        <w:rPr>
          <w:lang w:val="en-US"/>
        </w:rPr>
        <w:t>Financial institu</w:t>
      </w:r>
      <w:r w:rsidRPr="00223235" w:rsidR="00F26FAA">
        <w:rPr>
          <w:lang w:val="en-US"/>
        </w:rPr>
        <w:t>tions submit CTRs to FinCEN electronically via the BSA E-filing system.</w:t>
      </w:r>
    </w:p>
    <w:p w:rsidRPr="00223235" w:rsidR="00D5206C" w:rsidP="005256D8" w:rsidRDefault="00D5206C">
      <w:pPr>
        <w:autoSpaceDE w:val="0"/>
        <w:autoSpaceDN w:val="0"/>
        <w:adjustRightInd w:val="0"/>
      </w:pPr>
    </w:p>
    <w:p w:rsidRPr="00223235" w:rsidR="00A66BC5" w:rsidP="005256D8" w:rsidRDefault="00B61368">
      <w:pPr>
        <w:autoSpaceDE w:val="0"/>
        <w:autoSpaceDN w:val="0"/>
        <w:adjustRightInd w:val="0"/>
        <w:ind w:firstLine="720"/>
      </w:pPr>
      <w:r w:rsidRPr="00223235">
        <w:t>FinCEN’s system of record</w:t>
      </w:r>
      <w:r w:rsidRPr="00223235" w:rsidR="000D1224">
        <w:t xml:space="preserve"> for CTRs</w:t>
      </w:r>
      <w:r w:rsidRPr="00223235">
        <w:t xml:space="preserve"> is the Bank Secrecy Act Reports System (the “BSA System”) - Treasury/FinCEN.003.</w:t>
      </w:r>
      <w:r w:rsidRPr="00223235">
        <w:rPr>
          <w:rStyle w:val="FootnoteReference"/>
        </w:rPr>
        <w:footnoteReference w:id="6"/>
      </w:r>
      <w:r w:rsidRPr="00223235">
        <w:t xml:space="preserve"> </w:t>
      </w:r>
      <w:r w:rsidRPr="00223235" w:rsidR="00A66BC5">
        <w:t>The BS</w:t>
      </w:r>
      <w:r w:rsidRPr="00223235" w:rsidR="00E35CD2">
        <w:t>A System is</w:t>
      </w:r>
      <w:r w:rsidRPr="00223235" w:rsidR="00E05D91">
        <w:t xml:space="preserve"> maintained </w:t>
      </w:r>
      <w:proofErr w:type="gramStart"/>
      <w:r w:rsidRPr="00223235" w:rsidR="00E05D91">
        <w:t xml:space="preserve">for the </w:t>
      </w:r>
      <w:r w:rsidRPr="00223235" w:rsidR="00A66BC5">
        <w:t>purpose</w:t>
      </w:r>
      <w:r w:rsidRPr="00223235" w:rsidR="00E05D91">
        <w:t xml:space="preserve"> of</w:t>
      </w:r>
      <w:proofErr w:type="gramEnd"/>
      <w:r w:rsidRPr="00223235" w:rsidR="00E05D91">
        <w:t xml:space="preserve"> </w:t>
      </w:r>
      <w:r w:rsidRPr="00223235" w:rsidR="00A66BC5">
        <w:t>maintain</w:t>
      </w:r>
      <w:r w:rsidRPr="00223235" w:rsidR="00E05D91">
        <w:t>ing</w:t>
      </w:r>
      <w:r w:rsidRPr="00223235" w:rsidR="00A66BC5">
        <w:t xml:space="preserve"> the information contained in </w:t>
      </w:r>
      <w:r w:rsidRPr="00223235" w:rsidR="004E3BAE">
        <w:t>the reports required under the BSA</w:t>
      </w:r>
      <w:r w:rsidRPr="00223235" w:rsidR="00A66BC5">
        <w:t xml:space="preserve"> regulations</w:t>
      </w:r>
      <w:r w:rsidRPr="00223235" w:rsidR="004E3BAE">
        <w:t>, including the CTR.</w:t>
      </w:r>
      <w:r w:rsidRPr="00223235" w:rsidR="004D7946">
        <w:t xml:space="preserve"> </w:t>
      </w:r>
      <w:r w:rsidRPr="00223235" w:rsidR="003868E6">
        <w:t xml:space="preserve">The system of records contains information collected pursuant to the BSA, or any other authority exercised by FinCEN to compel the reporting of records. </w:t>
      </w:r>
      <w:r w:rsidRPr="00223235" w:rsidR="00E05D91">
        <w:t>The</w:t>
      </w:r>
      <w:r w:rsidRPr="00223235" w:rsidR="00A66BC5">
        <w:t xml:space="preserve"> information </w:t>
      </w:r>
      <w:proofErr w:type="gramStart"/>
      <w:r w:rsidRPr="00223235" w:rsidR="00A66BC5">
        <w:t>is distributed</w:t>
      </w:r>
      <w:proofErr w:type="gramEnd"/>
      <w:r w:rsidRPr="00223235" w:rsidR="00A66BC5">
        <w:t xml:space="preserve"> to federal, state and local agencies that engage in criminal, regulatory and tax investigations and proceedings, agencies that engage in intelligence and counterintelligence activities, certain self-regulatory organizations, appropriate foreign agencies, and foreign financial intelligence units. A BSA System </w:t>
      </w:r>
      <w:r w:rsidR="00FE5B5B">
        <w:t xml:space="preserve">user </w:t>
      </w:r>
      <w:r w:rsidRPr="00223235" w:rsidR="00A66BC5">
        <w:t xml:space="preserve">is an agency or organization that </w:t>
      </w:r>
      <w:proofErr w:type="gramStart"/>
      <w:r w:rsidRPr="00223235" w:rsidR="00A66BC5">
        <w:t>has been granted</w:t>
      </w:r>
      <w:proofErr w:type="gramEnd"/>
      <w:r w:rsidRPr="00223235" w:rsidR="00A66BC5">
        <w:t xml:space="preserve"> access to the information in this system.</w:t>
      </w:r>
      <w:r w:rsidRPr="00223235" w:rsidDel="00B61368">
        <w:rPr>
          <w:rStyle w:val="FootnoteReference"/>
        </w:rPr>
        <w:t xml:space="preserve"> </w:t>
      </w:r>
    </w:p>
    <w:p w:rsidRPr="00223235" w:rsidR="0031502A" w:rsidP="00EE6E92" w:rsidRDefault="0031502A">
      <w:pPr>
        <w:pStyle w:val="BodyText"/>
        <w:autoSpaceDE/>
        <w:autoSpaceDN/>
        <w:adjustRightInd/>
        <w:spacing w:before="0"/>
        <w:rPr>
          <w:bCs/>
          <w:sz w:val="24"/>
          <w:szCs w:val="24"/>
        </w:rPr>
      </w:pPr>
    </w:p>
    <w:p w:rsidRPr="00EF1E39" w:rsidR="003E5EE2" w:rsidP="0096041E" w:rsidRDefault="003E5EE2">
      <w:r w:rsidRPr="00EF1E39">
        <w:t xml:space="preserve">3. </w:t>
      </w:r>
      <w:r w:rsidRPr="00EF1E39">
        <w:rPr>
          <w:u w:val="single"/>
        </w:rPr>
        <w:t>Use of Improved Information Technology to Reduce Burden.</w:t>
      </w:r>
      <w:r w:rsidRPr="00EF1E39">
        <w:t xml:space="preserve"> </w:t>
      </w:r>
    </w:p>
    <w:p w:rsidRPr="003B6371" w:rsidR="0096041E" w:rsidP="0096041E" w:rsidRDefault="0096041E"/>
    <w:p w:rsidRPr="00223235" w:rsidR="002A13F5" w:rsidP="005256D8" w:rsidRDefault="00E40A4A">
      <w:pPr>
        <w:ind w:firstLine="720"/>
      </w:pPr>
      <w:r w:rsidRPr="003B6371">
        <w:rPr>
          <w:color w:val="1B1B1B"/>
          <w:shd w:val="clear" w:color="auto" w:fill="FFFFFF"/>
        </w:rPr>
        <w:t>The BSA E-filing system supports electronic filing of BSA reports, including CTRs (either individually or in batches)</w:t>
      </w:r>
      <w:r w:rsidRPr="00223235">
        <w:rPr>
          <w:rStyle w:val="FootnoteReference"/>
          <w:color w:val="1B1B1B"/>
          <w:shd w:val="clear" w:color="auto" w:fill="FFFFFF"/>
        </w:rPr>
        <w:footnoteReference w:id="7"/>
      </w:r>
      <w:r w:rsidRPr="00223235">
        <w:rPr>
          <w:color w:val="1B1B1B"/>
          <w:shd w:val="clear" w:color="auto" w:fill="FFFFFF"/>
        </w:rPr>
        <w:t xml:space="preserve"> through a FinCEN secure network. BSA E-filing provides a faster</w:t>
      </w:r>
      <w:r w:rsidRPr="00EF1E39" w:rsidR="000E08D1">
        <w:rPr>
          <w:color w:val="1B1B1B"/>
          <w:shd w:val="clear" w:color="auto" w:fill="FFFFFF"/>
        </w:rPr>
        <w:t xml:space="preserve"> and</w:t>
      </w:r>
      <w:r w:rsidRPr="00EF1E39">
        <w:rPr>
          <w:color w:val="1B1B1B"/>
          <w:shd w:val="clear" w:color="auto" w:fill="FFFFFF"/>
        </w:rPr>
        <w:t xml:space="preserve"> more convenient, secure</w:t>
      </w:r>
      <w:r w:rsidRPr="00EF1E39" w:rsidR="000E08D1">
        <w:rPr>
          <w:color w:val="1B1B1B"/>
          <w:shd w:val="clear" w:color="auto" w:fill="FFFFFF"/>
        </w:rPr>
        <w:t xml:space="preserve"> </w:t>
      </w:r>
      <w:r w:rsidRPr="00EF1E39">
        <w:rPr>
          <w:color w:val="1B1B1B"/>
          <w:shd w:val="clear" w:color="auto" w:fill="FFFFFF"/>
        </w:rPr>
        <w:t xml:space="preserve">and cost-effective method for submitting BSA reports. </w:t>
      </w:r>
      <w:r w:rsidRPr="003B6371">
        <w:t xml:space="preserve">Discrete and batch versions are available on the FinCEN BSA E-File website at </w:t>
      </w:r>
      <w:hyperlink w:history="1" r:id="rId8">
        <w:r w:rsidRPr="00223235">
          <w:rPr>
            <w:rStyle w:val="Hyperlink"/>
          </w:rPr>
          <w:t>http://bsaefiling.fincen.treas.gov/main.html</w:t>
        </w:r>
      </w:hyperlink>
      <w:r w:rsidRPr="00223235">
        <w:t>. FinCEN also upgraded to the industry standard of XML file format for both discrete and batch filers of CTRs.</w:t>
      </w:r>
    </w:p>
    <w:p w:rsidRPr="00EF1E39" w:rsidR="0096041E" w:rsidP="0096041E" w:rsidRDefault="0096041E"/>
    <w:p w:rsidRPr="003B6371" w:rsidR="0096041E" w:rsidP="0096041E" w:rsidRDefault="003E5EE2">
      <w:pPr>
        <w:rPr>
          <w:u w:val="single"/>
        </w:rPr>
      </w:pPr>
      <w:r w:rsidRPr="003B6371">
        <w:t xml:space="preserve">4. </w:t>
      </w:r>
      <w:r w:rsidRPr="003B6371">
        <w:rPr>
          <w:u w:val="single"/>
        </w:rPr>
        <w:t>Efforts to Identify Duplication</w:t>
      </w:r>
      <w:r w:rsidRPr="003B6371" w:rsidR="00FB000D">
        <w:rPr>
          <w:u w:val="single"/>
        </w:rPr>
        <w:t>.</w:t>
      </w:r>
    </w:p>
    <w:p w:rsidRPr="003B6371" w:rsidR="003E5EE2" w:rsidP="0096041E" w:rsidRDefault="003E5EE2">
      <w:pPr>
        <w:rPr>
          <w:u w:val="single"/>
        </w:rPr>
      </w:pPr>
      <w:r w:rsidRPr="003B6371">
        <w:rPr>
          <w:u w:val="single"/>
        </w:rPr>
        <w:t xml:space="preserve"> </w:t>
      </w:r>
    </w:p>
    <w:p w:rsidRPr="00A37B2C" w:rsidR="003E5EE2" w:rsidP="005256D8" w:rsidRDefault="003E5EE2">
      <w:pPr>
        <w:ind w:firstLine="720"/>
      </w:pPr>
      <w:r w:rsidRPr="003B6371">
        <w:t>There is no similar information avail</w:t>
      </w:r>
      <w:r w:rsidRPr="00A37B2C">
        <w:t>able; thus</w:t>
      </w:r>
      <w:r w:rsidRPr="00A37B2C" w:rsidR="005A16F4">
        <w:t>,</w:t>
      </w:r>
      <w:r w:rsidRPr="00A37B2C">
        <w:t xml:space="preserve"> there is no duplication. </w:t>
      </w:r>
    </w:p>
    <w:p w:rsidRPr="00A37B2C" w:rsidR="004C7FA7" w:rsidP="0096041E" w:rsidRDefault="004C7FA7"/>
    <w:p w:rsidRPr="00105151" w:rsidR="005F60B4" w:rsidP="0096041E" w:rsidRDefault="003E5EE2">
      <w:pPr>
        <w:rPr>
          <w:u w:val="single"/>
        </w:rPr>
      </w:pPr>
      <w:r w:rsidRPr="00105151">
        <w:t xml:space="preserve">5. </w:t>
      </w:r>
      <w:r w:rsidRPr="00105151">
        <w:rPr>
          <w:u w:val="single"/>
        </w:rPr>
        <w:t>Methods to Minimize Burden on Small Businesses or other Small Entities</w:t>
      </w:r>
      <w:r w:rsidRPr="00105151" w:rsidR="00FB000D">
        <w:rPr>
          <w:u w:val="single"/>
        </w:rPr>
        <w:t>.</w:t>
      </w:r>
    </w:p>
    <w:p w:rsidRPr="00105151" w:rsidR="0096041E" w:rsidP="0096041E" w:rsidRDefault="0096041E"/>
    <w:p w:rsidRPr="003B6371" w:rsidR="00EC26BD" w:rsidP="005256D8" w:rsidRDefault="00EC26BD">
      <w:pPr>
        <w:ind w:firstLine="720"/>
      </w:pPr>
      <w:r w:rsidRPr="00105151">
        <w:t>FinCEN has actively encouraged filing institutions to avail themselves of existing filing e</w:t>
      </w:r>
      <w:r w:rsidRPr="00105151" w:rsidR="00C73171">
        <w:t>xemptions whenever applicable.</w:t>
      </w:r>
      <w:r w:rsidRPr="00223235" w:rsidR="008B4189">
        <w:rPr>
          <w:rStyle w:val="FootnoteReference"/>
        </w:rPr>
        <w:footnoteReference w:id="8"/>
      </w:r>
      <w:r w:rsidRPr="00223235" w:rsidR="00C73171">
        <w:t xml:space="preserve"> H</w:t>
      </w:r>
      <w:r w:rsidRPr="00223235" w:rsidR="004C7FA7">
        <w:t>owever, CTRs</w:t>
      </w:r>
      <w:r w:rsidRPr="00223235" w:rsidR="005A2611">
        <w:t xml:space="preserve"> </w:t>
      </w:r>
      <w:r w:rsidRPr="00223235" w:rsidR="004C7FA7">
        <w:t>prov</w:t>
      </w:r>
      <w:r w:rsidRPr="00EF1E39" w:rsidR="004C7FA7">
        <w:t>ide</w:t>
      </w:r>
      <w:r w:rsidRPr="00EF1E39">
        <w:t xml:space="preserve"> valuabl</w:t>
      </w:r>
      <w:r w:rsidRPr="00EF1E39" w:rsidR="00F26FAA">
        <w:t>e information to Federal, state and local agencies that engage in criminal, regulatory and tax investigations and proceedings, agencies that engage in intelligence and counterintelligence activities, certain self-regulatory organizations, approp</w:t>
      </w:r>
      <w:r w:rsidRPr="003B6371" w:rsidR="00F26FAA">
        <w:t xml:space="preserve">riate foreign agencies, and foreign financial </w:t>
      </w:r>
      <w:r w:rsidRPr="003B6371" w:rsidR="00F26FAA">
        <w:lastRenderedPageBreak/>
        <w:t>intelligence units</w:t>
      </w:r>
      <w:r w:rsidRPr="003B6371">
        <w:t xml:space="preserve"> in their efforts to combat money launderi</w:t>
      </w:r>
      <w:r w:rsidRPr="003B6371" w:rsidR="00F26FAA">
        <w:t xml:space="preserve">ng and other financial crimes. </w:t>
      </w:r>
      <w:r w:rsidRPr="003B6371">
        <w:t xml:space="preserve">Without these collections from entities of all </w:t>
      </w:r>
      <w:r w:rsidRPr="003B6371" w:rsidR="00CE020F">
        <w:t>sizes,</w:t>
      </w:r>
      <w:r w:rsidRPr="003B6371">
        <w:t xml:space="preserve"> the government’s efforts to counter financial crimes </w:t>
      </w:r>
      <w:proofErr w:type="gramStart"/>
      <w:r w:rsidRPr="003B6371">
        <w:t>would be negatively impacted</w:t>
      </w:r>
      <w:proofErr w:type="gramEnd"/>
      <w:r w:rsidRPr="003B6371">
        <w:t>.</w:t>
      </w:r>
      <w:r w:rsidRPr="003B6371" w:rsidR="00F26FAA">
        <w:t xml:space="preserve"> </w:t>
      </w:r>
    </w:p>
    <w:p w:rsidRPr="003B6371" w:rsidR="0096041E" w:rsidP="0096041E" w:rsidRDefault="0096041E"/>
    <w:p w:rsidRPr="00105151" w:rsidR="00300146" w:rsidP="0096041E" w:rsidRDefault="003E5EE2">
      <w:r w:rsidRPr="00A37B2C">
        <w:t xml:space="preserve">6. </w:t>
      </w:r>
      <w:r w:rsidRPr="00E7709B">
        <w:rPr>
          <w:u w:val="single"/>
        </w:rPr>
        <w:t>Consequence</w:t>
      </w:r>
      <w:r w:rsidRPr="00E7709B" w:rsidR="00F26FAA">
        <w:rPr>
          <w:u w:val="single"/>
        </w:rPr>
        <w:t xml:space="preserve">s to the Federal Government of Not </w:t>
      </w:r>
      <w:r w:rsidRPr="00105151" w:rsidR="006E24A6">
        <w:rPr>
          <w:u w:val="single"/>
        </w:rPr>
        <w:t>C</w:t>
      </w:r>
      <w:r w:rsidRPr="00105151">
        <w:rPr>
          <w:u w:val="single"/>
        </w:rPr>
        <w:t>ollecting the Information.</w:t>
      </w:r>
      <w:r w:rsidRPr="00105151">
        <w:t xml:space="preserve"> </w:t>
      </w:r>
    </w:p>
    <w:p w:rsidRPr="00105151" w:rsidR="0096041E" w:rsidP="0096041E" w:rsidRDefault="0096041E"/>
    <w:p w:rsidRPr="00105151" w:rsidR="00F26FAA" w:rsidP="005256D8" w:rsidRDefault="00F26FAA">
      <w:pPr>
        <w:ind w:firstLine="720"/>
      </w:pPr>
      <w:r w:rsidRPr="00105151">
        <w:t>CTR</w:t>
      </w:r>
      <w:r w:rsidRPr="00105151" w:rsidR="004C7FA7">
        <w:t>s provide</w:t>
      </w:r>
      <w:r w:rsidRPr="00105151">
        <w:t xml:space="preserve"> valuable information to Federal, state and local agencies that engage in criminal, regulatory and tax investigations and proceedings, agencies that engage in intelligence and counterintelligence activities, certain self-regulatory organizations, appropriate foreign agencies, and foreign financial intelligence units in their efforts to combat money laundering and other financial crimes. Without these collections, the government’s efforts to counter financial crimes </w:t>
      </w:r>
      <w:r w:rsidRPr="00105151" w:rsidR="00CF5FB6">
        <w:t xml:space="preserve">such as money laundering and the financing of terrorism </w:t>
      </w:r>
      <w:proofErr w:type="gramStart"/>
      <w:r w:rsidRPr="00105151">
        <w:t>would be negatively impacted</w:t>
      </w:r>
      <w:proofErr w:type="gramEnd"/>
      <w:r w:rsidRPr="00105151">
        <w:t xml:space="preserve">. </w:t>
      </w:r>
    </w:p>
    <w:p w:rsidRPr="00105151" w:rsidR="00F26FAA" w:rsidP="0096041E" w:rsidRDefault="00F26FAA"/>
    <w:p w:rsidRPr="00223235" w:rsidR="003E5EE2" w:rsidP="0096041E" w:rsidRDefault="003E5EE2">
      <w:pPr>
        <w:rPr>
          <w:u w:val="single"/>
        </w:rPr>
      </w:pPr>
      <w:r w:rsidRPr="00105151">
        <w:t xml:space="preserve">7. </w:t>
      </w:r>
      <w:r w:rsidRPr="00105151">
        <w:rPr>
          <w:u w:val="single"/>
        </w:rPr>
        <w:t>Special Circumstances Requiring Data Collection Inconsistent with Guidelines</w:t>
      </w:r>
      <w:r w:rsidRPr="00105151" w:rsidR="00E404B3">
        <w:rPr>
          <w:u w:val="single"/>
        </w:rPr>
        <w:t xml:space="preserve"> in 5 CFR 1320.5(d</w:t>
      </w:r>
      <w:proofErr w:type="gramStart"/>
      <w:r w:rsidRPr="00105151" w:rsidR="00E404B3">
        <w:rPr>
          <w:u w:val="single"/>
        </w:rPr>
        <w:t>)(</w:t>
      </w:r>
      <w:proofErr w:type="gramEnd"/>
      <w:r w:rsidRPr="00105151" w:rsidR="00E404B3">
        <w:rPr>
          <w:u w:val="single"/>
        </w:rPr>
        <w:t>2).</w:t>
      </w:r>
    </w:p>
    <w:p w:rsidRPr="00EF1E39" w:rsidR="00332CFD" w:rsidP="002B66C8" w:rsidRDefault="006F2C88">
      <w:pPr>
        <w:pStyle w:val="BodyText"/>
        <w:spacing w:before="288"/>
        <w:ind w:firstLine="720"/>
        <w:rPr>
          <w:sz w:val="24"/>
          <w:szCs w:val="24"/>
        </w:rPr>
      </w:pPr>
      <w:r w:rsidRPr="00105151">
        <w:rPr>
          <w:sz w:val="24"/>
          <w:szCs w:val="24"/>
        </w:rPr>
        <w:t xml:space="preserve">The CTR reporting rules </w:t>
      </w:r>
      <w:r w:rsidRPr="00223235" w:rsidR="00813713">
        <w:rPr>
          <w:sz w:val="24"/>
          <w:szCs w:val="24"/>
        </w:rPr>
        <w:t xml:space="preserve">require financial institutions to file reports of currency transactions of more than $10,000 within </w:t>
      </w:r>
      <w:r w:rsidRPr="00105151">
        <w:rPr>
          <w:sz w:val="24"/>
          <w:szCs w:val="24"/>
        </w:rPr>
        <w:t>15</w:t>
      </w:r>
      <w:r w:rsidRPr="00223235" w:rsidR="00813713">
        <w:rPr>
          <w:sz w:val="24"/>
          <w:szCs w:val="24"/>
        </w:rPr>
        <w:t xml:space="preserve"> days </w:t>
      </w:r>
      <w:r w:rsidRPr="00105151">
        <w:rPr>
          <w:sz w:val="24"/>
          <w:szCs w:val="24"/>
        </w:rPr>
        <w:t>following th</w:t>
      </w:r>
      <w:r w:rsidRPr="00223235" w:rsidR="00813713">
        <w:rPr>
          <w:sz w:val="24"/>
          <w:szCs w:val="24"/>
        </w:rPr>
        <w:t xml:space="preserve">e transaction.  Reporting within this required </w:t>
      </w:r>
      <w:proofErr w:type="gramStart"/>
      <w:r w:rsidRPr="00223235" w:rsidR="00813713">
        <w:rPr>
          <w:sz w:val="24"/>
          <w:szCs w:val="24"/>
        </w:rPr>
        <w:t>time frame</w:t>
      </w:r>
      <w:proofErr w:type="gramEnd"/>
      <w:r w:rsidRPr="00223235" w:rsidR="00813713">
        <w:rPr>
          <w:sz w:val="24"/>
          <w:szCs w:val="24"/>
        </w:rPr>
        <w:t xml:space="preserve"> is necessary to ensure that information about the</w:t>
      </w:r>
      <w:r w:rsidRPr="00EF1E39" w:rsidR="00813713">
        <w:rPr>
          <w:sz w:val="24"/>
          <w:szCs w:val="24"/>
        </w:rPr>
        <w:t>se transactions can be made promptly made available to law enforcement</w:t>
      </w:r>
      <w:r w:rsidRPr="00105151">
        <w:rPr>
          <w:sz w:val="24"/>
          <w:szCs w:val="24"/>
        </w:rPr>
        <w:t xml:space="preserve"> and regulators</w:t>
      </w:r>
      <w:r w:rsidRPr="00105151" w:rsidR="00E11900">
        <w:rPr>
          <w:sz w:val="24"/>
          <w:szCs w:val="24"/>
        </w:rPr>
        <w:t xml:space="preserve"> for their use in investigations</w:t>
      </w:r>
      <w:r w:rsidRPr="00223235" w:rsidR="00813713">
        <w:rPr>
          <w:sz w:val="24"/>
          <w:szCs w:val="24"/>
        </w:rPr>
        <w:t>.</w:t>
      </w:r>
    </w:p>
    <w:p w:rsidRPr="00223235" w:rsidR="00813713" w:rsidP="002B66C8" w:rsidRDefault="00332CFD">
      <w:pPr>
        <w:pStyle w:val="BodyText"/>
        <w:spacing w:before="288"/>
        <w:ind w:firstLine="720"/>
        <w:rPr>
          <w:sz w:val="24"/>
          <w:szCs w:val="24"/>
        </w:rPr>
      </w:pPr>
      <w:r w:rsidRPr="00105151">
        <w:rPr>
          <w:sz w:val="24"/>
          <w:szCs w:val="24"/>
        </w:rPr>
        <w:t xml:space="preserve">Under 31 CFR 1010.430, records </w:t>
      </w:r>
      <w:proofErr w:type="gramStart"/>
      <w:r w:rsidRPr="00105151">
        <w:rPr>
          <w:sz w:val="24"/>
          <w:szCs w:val="24"/>
        </w:rPr>
        <w:t>must be kept</w:t>
      </w:r>
      <w:proofErr w:type="gramEnd"/>
      <w:r w:rsidRPr="00105151">
        <w:rPr>
          <w:sz w:val="24"/>
          <w:szCs w:val="24"/>
        </w:rPr>
        <w:t xml:space="preserve"> for 5 years.  This retention period is necessary to substantiate violations that have occurred within the statute of limitations</w:t>
      </w:r>
      <w:r w:rsidRPr="00105151" w:rsidR="00425D84">
        <w:rPr>
          <w:sz w:val="24"/>
          <w:szCs w:val="24"/>
        </w:rPr>
        <w:t>, which is greater than 3 years</w:t>
      </w:r>
      <w:r w:rsidRPr="00105151">
        <w:rPr>
          <w:sz w:val="24"/>
          <w:szCs w:val="24"/>
        </w:rPr>
        <w:t>.  See 31 U.S.C. 5321(b</w:t>
      </w:r>
      <w:proofErr w:type="gramStart"/>
      <w:r w:rsidRPr="00105151">
        <w:rPr>
          <w:sz w:val="24"/>
          <w:szCs w:val="24"/>
        </w:rPr>
        <w:t>)(</w:t>
      </w:r>
      <w:proofErr w:type="gramEnd"/>
      <w:r w:rsidRPr="00105151">
        <w:rPr>
          <w:sz w:val="24"/>
          <w:szCs w:val="24"/>
        </w:rPr>
        <w:t>1).</w:t>
      </w:r>
    </w:p>
    <w:p w:rsidRPr="00223235" w:rsidR="004B63BA" w:rsidP="0096041E" w:rsidRDefault="004B63BA">
      <w:pPr>
        <w:ind w:right="720"/>
      </w:pPr>
    </w:p>
    <w:p w:rsidRPr="00EF1E39" w:rsidR="00937DE5" w:rsidP="0096041E" w:rsidRDefault="003E5EE2">
      <w:pPr>
        <w:ind w:right="720"/>
        <w:rPr>
          <w:u w:val="single"/>
        </w:rPr>
      </w:pPr>
      <w:r w:rsidRPr="00EF1E39">
        <w:t xml:space="preserve">8. </w:t>
      </w:r>
      <w:r w:rsidRPr="00EF1E39">
        <w:rPr>
          <w:u w:val="single"/>
        </w:rPr>
        <w:t xml:space="preserve">Consultation with Individuals Outside of the Agency on Availability of Data. </w:t>
      </w:r>
      <w:r w:rsidRPr="00EF1E39" w:rsidR="005A16F4">
        <w:rPr>
          <w:u w:val="single"/>
        </w:rPr>
        <w:t xml:space="preserve"> </w:t>
      </w:r>
    </w:p>
    <w:p w:rsidRPr="003B6371" w:rsidR="003E5EE2" w:rsidP="0096041E" w:rsidRDefault="003E5EE2">
      <w:pPr>
        <w:ind w:right="720"/>
      </w:pPr>
      <w:r w:rsidRPr="003B6371">
        <w:rPr>
          <w:u w:val="single"/>
        </w:rPr>
        <w:t>Frequency of Collection, Clarity of Instructions and Forms, and Data Elements.</w:t>
      </w:r>
      <w:r w:rsidRPr="003B6371">
        <w:t xml:space="preserve"> </w:t>
      </w:r>
    </w:p>
    <w:p w:rsidRPr="003B6371" w:rsidR="003E5EE2" w:rsidP="0096041E" w:rsidRDefault="003E5EE2"/>
    <w:p w:rsidRPr="003B6371" w:rsidR="00EA4AB2" w:rsidP="005256D8" w:rsidRDefault="003E5EE2">
      <w:pPr>
        <w:ind w:firstLine="720"/>
      </w:pPr>
      <w:r w:rsidRPr="003B6371">
        <w:t>The 60</w:t>
      </w:r>
      <w:r w:rsidRPr="00A37B2C" w:rsidR="003E5130">
        <w:t xml:space="preserve">-day notice </w:t>
      </w:r>
      <w:proofErr w:type="gramStart"/>
      <w:r w:rsidRPr="00A37B2C" w:rsidR="003E5130">
        <w:t>was published</w:t>
      </w:r>
      <w:proofErr w:type="gramEnd"/>
      <w:r w:rsidRPr="00A37B2C" w:rsidR="003E5130">
        <w:t xml:space="preserve"> on </w:t>
      </w:r>
      <w:r w:rsidRPr="00A37B2C" w:rsidR="002C1A65">
        <w:t>May 14, 2020</w:t>
      </w:r>
      <w:r w:rsidRPr="00A37B2C" w:rsidR="007D3CBD">
        <w:t>.</w:t>
      </w:r>
      <w:r w:rsidRPr="00223235" w:rsidR="00B76F81">
        <w:rPr>
          <w:rStyle w:val="FootnoteReference"/>
        </w:rPr>
        <w:footnoteReference w:id="9"/>
      </w:r>
      <w:r w:rsidRPr="00223235" w:rsidR="007D3CBD">
        <w:t xml:space="preserve"> </w:t>
      </w:r>
      <w:r w:rsidRPr="00223235" w:rsidR="00916114">
        <w:t>The notice requested public comments on the proposed renewal, without change, of currently approved information collections relating to the CTR regulations and report</w:t>
      </w:r>
      <w:r w:rsidRPr="00EF1E39" w:rsidR="00916114">
        <w:t xml:space="preserve">. Although no changes </w:t>
      </w:r>
      <w:proofErr w:type="gramStart"/>
      <w:r w:rsidRPr="00EF1E39" w:rsidR="00916114">
        <w:t>were proposed</w:t>
      </w:r>
      <w:proofErr w:type="gramEnd"/>
      <w:r w:rsidRPr="00EF1E39" w:rsidR="00916114">
        <w:t xml:space="preserve"> to the information collections themselves, the notice requested public comments on a proposed updated burden estimate</w:t>
      </w:r>
      <w:r w:rsidRPr="00EF1E39" w:rsidR="00EA4AB2">
        <w:t xml:space="preserve"> f</w:t>
      </w:r>
      <w:r w:rsidRPr="00EF1E39" w:rsidR="004D7946">
        <w:t xml:space="preserve">or the information collection. </w:t>
      </w:r>
      <w:r w:rsidRPr="003B6371" w:rsidR="00EA4AB2">
        <w:t xml:space="preserve">Specifically, the notice proposed for </w:t>
      </w:r>
      <w:r w:rsidRPr="003B6371" w:rsidR="00EA4AB2">
        <w:rPr>
          <w:rFonts w:eastAsia="Calibri"/>
        </w:rPr>
        <w:t>review and comment</w:t>
      </w:r>
      <w:r w:rsidR="0092401F">
        <w:rPr>
          <w:rFonts w:eastAsia="Calibri"/>
        </w:rPr>
        <w:t>:</w:t>
      </w:r>
      <w:r w:rsidRPr="003B6371" w:rsidR="00EA4AB2">
        <w:t xml:space="preserve"> (a) a re-calculation of the portion of the PRA burden that FinCEN traditionally included in its PRA renewal notices (the “traditional PRA burden calculation”); and (b) an estimate of the portion of the total burden that FinCEN previously did not include in its PRA calculations (the “supplemental PRA burden calculation”).</w:t>
      </w:r>
    </w:p>
    <w:p w:rsidRPr="003B6371" w:rsidR="00EA4AB2" w:rsidP="00EF20F4" w:rsidRDefault="00EA4AB2">
      <w:pPr>
        <w:contextualSpacing/>
        <w:rPr>
          <w:rFonts w:eastAsia="Calibri"/>
        </w:rPr>
      </w:pPr>
    </w:p>
    <w:p w:rsidRPr="00105151" w:rsidR="00E20AD0" w:rsidP="00955104" w:rsidRDefault="00EF20F4">
      <w:pPr>
        <w:ind w:firstLine="720"/>
      </w:pPr>
      <w:r w:rsidRPr="00A37B2C">
        <w:t xml:space="preserve">As explained in the notice, FinCEN intends to conduct more granular studies of the filing population in the future, to arrive </w:t>
      </w:r>
      <w:proofErr w:type="gramStart"/>
      <w:r w:rsidRPr="00A37B2C">
        <w:t xml:space="preserve">at more accurate estimates that take into </w:t>
      </w:r>
      <w:r w:rsidRPr="00A37B2C">
        <w:lastRenderedPageBreak/>
        <w:t xml:space="preserve">consideration a more </w:t>
      </w:r>
      <w:r w:rsidR="00266084">
        <w:t xml:space="preserve">specific </w:t>
      </w:r>
      <w:r w:rsidRPr="00A37B2C">
        <w:t>breakdown of the degree of automation among CTR filers</w:t>
      </w:r>
      <w:proofErr w:type="gramEnd"/>
      <w:r w:rsidRPr="00A37B2C">
        <w:t xml:space="preserve">. The data obtained in these studies may result in significant variations of the estimated annual PRA burden hours. </w:t>
      </w:r>
      <w:r w:rsidRPr="00105151" w:rsidR="00FC6522">
        <w:t xml:space="preserve">FinCEN </w:t>
      </w:r>
      <w:r w:rsidRPr="00105151">
        <w:t xml:space="preserve">also </w:t>
      </w:r>
      <w:r w:rsidRPr="00105151" w:rsidR="00FC6522">
        <w:t xml:space="preserve">intends to conduct studies of the filing population </w:t>
      </w:r>
      <w:proofErr w:type="gramStart"/>
      <w:r w:rsidRPr="00105151" w:rsidR="00FC6522">
        <w:t>to more accurately estimate</w:t>
      </w:r>
      <w:proofErr w:type="gramEnd"/>
      <w:r w:rsidRPr="00105151" w:rsidR="00FC6522">
        <w:t xml:space="preserve"> the contribution of technology-related costs t</w:t>
      </w:r>
      <w:r w:rsidRPr="00105151">
        <w:t xml:space="preserve">o the total annual PRA burden. </w:t>
      </w:r>
      <w:r w:rsidRPr="00105151" w:rsidR="00FC6522">
        <w:t>Among other things, FinCEN will need to segregate the technology costs associated exclusively with BSA reporting, recordkeeping, and monitoring requirements, from the technology costs involved in (</w:t>
      </w:r>
      <w:proofErr w:type="spellStart"/>
      <w:r w:rsidRPr="00105151" w:rsidR="00FC6522">
        <w:t>i</w:t>
      </w:r>
      <w:proofErr w:type="spellEnd"/>
      <w:r w:rsidRPr="00105151" w:rsidR="00FC6522">
        <w:t xml:space="preserve">) complying with other regulatory frameworks, and/or (ii) processing data used for the </w:t>
      </w:r>
      <w:proofErr w:type="gramStart"/>
      <w:r w:rsidRPr="00105151" w:rsidR="00FC6522">
        <w:t>filer’s</w:t>
      </w:r>
      <w:proofErr w:type="gramEnd"/>
      <w:r w:rsidRPr="00105151" w:rsidR="00FC6522">
        <w:t xml:space="preserve"> other business purposes.</w:t>
      </w:r>
      <w:r w:rsidRPr="00105151" w:rsidR="00E20AD0">
        <w:t xml:space="preserve"> </w:t>
      </w:r>
    </w:p>
    <w:p w:rsidRPr="00105151" w:rsidR="00E20AD0" w:rsidP="0096041E" w:rsidRDefault="00E20AD0"/>
    <w:p w:rsidRPr="00105151" w:rsidR="003E728C" w:rsidP="00955104" w:rsidRDefault="00E20AD0">
      <w:pPr>
        <w:autoSpaceDE w:val="0"/>
        <w:autoSpaceDN w:val="0"/>
        <w:adjustRightInd w:val="0"/>
        <w:ind w:firstLine="720"/>
      </w:pPr>
      <w:r w:rsidRPr="00105151">
        <w:t xml:space="preserve">FinCEN received 18 public comments in response to this notice. </w:t>
      </w:r>
      <w:r w:rsidRPr="00105151" w:rsidR="003E728C">
        <w:t>Commen</w:t>
      </w:r>
      <w:r w:rsidRPr="00105151" w:rsidR="006F1E5B">
        <w:t xml:space="preserve">ters were generally </w:t>
      </w:r>
      <w:r w:rsidRPr="00105151" w:rsidR="00E07F6F">
        <w:t>supportive</w:t>
      </w:r>
      <w:r w:rsidRPr="00105151" w:rsidR="003E728C">
        <w:t xml:space="preserve"> of FinCEN’s effort </w:t>
      </w:r>
      <w:proofErr w:type="gramStart"/>
      <w:r w:rsidRPr="00105151" w:rsidR="003E728C">
        <w:t>to more accurately estimate</w:t>
      </w:r>
      <w:proofErr w:type="gramEnd"/>
      <w:r w:rsidRPr="00105151" w:rsidR="003E728C">
        <w:t xml:space="preserve"> the costs and bur</w:t>
      </w:r>
      <w:r w:rsidRPr="00105151" w:rsidR="006F1E5B">
        <w:t>dens associated with the CTR filing process</w:t>
      </w:r>
      <w:r w:rsidRPr="00105151" w:rsidR="003E728C">
        <w:t xml:space="preserve">. One commenter noted that </w:t>
      </w:r>
      <w:r w:rsidRPr="00105151" w:rsidR="003E728C">
        <w:rPr>
          <w:color w:val="000000"/>
        </w:rPr>
        <w:t xml:space="preserve">having the most accurate PRA burden calculation for CTRs is an important step in determining whether the information gathered from CTRs is worth the cost to financial institutions to produce the reports. Many of the commenters recommended </w:t>
      </w:r>
      <w:r w:rsidRPr="00105151" w:rsidR="006F1E5B">
        <w:rPr>
          <w:color w:val="000000"/>
        </w:rPr>
        <w:t>that</w:t>
      </w:r>
      <w:r w:rsidRPr="00105151" w:rsidR="003E728C">
        <w:rPr>
          <w:color w:val="000000"/>
        </w:rPr>
        <w:t xml:space="preserve"> FinCEN consider i</w:t>
      </w:r>
      <w:r w:rsidRPr="00105151" w:rsidR="003E728C">
        <w:t>ncreasing the $10,000 threshold that trigger</w:t>
      </w:r>
      <w:r w:rsidRPr="00105151" w:rsidR="006F1E5B">
        <w:t>s</w:t>
      </w:r>
      <w:r w:rsidRPr="00105151" w:rsidR="003E728C">
        <w:t xml:space="preserve"> the CTR requirements</w:t>
      </w:r>
      <w:r w:rsidRPr="00105151" w:rsidR="00F746D7">
        <w:t>,</w:t>
      </w:r>
      <w:r w:rsidRPr="00105151" w:rsidR="003E728C">
        <w:t xml:space="preserve"> as part of a broader BSA modernization</w:t>
      </w:r>
      <w:r w:rsidRPr="00105151" w:rsidR="006F1E5B">
        <w:t xml:space="preserve"> to reduce burden on industry</w:t>
      </w:r>
      <w:r w:rsidRPr="00105151" w:rsidR="003E728C">
        <w:t>.</w:t>
      </w:r>
    </w:p>
    <w:p w:rsidRPr="00105151" w:rsidR="003E728C" w:rsidP="003E728C" w:rsidRDefault="003E728C">
      <w:pPr>
        <w:autoSpaceDE w:val="0"/>
        <w:autoSpaceDN w:val="0"/>
        <w:adjustRightInd w:val="0"/>
      </w:pPr>
    </w:p>
    <w:p w:rsidRPr="00105151" w:rsidR="003E728C" w:rsidP="00955104" w:rsidRDefault="003E728C">
      <w:pPr>
        <w:autoSpaceDE w:val="0"/>
        <w:autoSpaceDN w:val="0"/>
        <w:adjustRightInd w:val="0"/>
        <w:ind w:firstLine="720"/>
      </w:pPr>
      <w:r w:rsidRPr="00105151">
        <w:t xml:space="preserve">Some commenters had specific recommendations regarding the traditional and supplemental </w:t>
      </w:r>
      <w:r w:rsidRPr="00105151" w:rsidR="006F1E5B">
        <w:t xml:space="preserve">annual </w:t>
      </w:r>
      <w:r w:rsidRPr="00105151">
        <w:t xml:space="preserve">PRA burden estimates </w:t>
      </w:r>
      <w:r w:rsidRPr="00105151" w:rsidR="00F746D7">
        <w:t xml:space="preserve">described </w:t>
      </w:r>
      <w:r w:rsidRPr="00105151">
        <w:t>in the notice. FinCEN appreciates the specific recommendations and intend</w:t>
      </w:r>
      <w:r w:rsidRPr="00105151" w:rsidR="00CF5FB6">
        <w:t>s</w:t>
      </w:r>
      <w:r w:rsidRPr="00105151">
        <w:t xml:space="preserve"> to use that information to calculate future PRA burden </w:t>
      </w:r>
      <w:r w:rsidRPr="00105151" w:rsidR="006F1E5B">
        <w:t xml:space="preserve">and cost </w:t>
      </w:r>
      <w:r w:rsidRPr="00105151">
        <w:t xml:space="preserve">estimates as part of a larger project FinCEN is undertaking to better understand the PRA </w:t>
      </w:r>
      <w:r w:rsidRPr="00105151" w:rsidR="006F1E5B">
        <w:t xml:space="preserve">hourly </w:t>
      </w:r>
      <w:r w:rsidRPr="00105151">
        <w:t xml:space="preserve">burden </w:t>
      </w:r>
      <w:r w:rsidRPr="00105151" w:rsidR="006F1E5B">
        <w:t xml:space="preserve">and cost </w:t>
      </w:r>
      <w:r w:rsidRPr="00105151">
        <w:t>of the BSA as a whole.</w:t>
      </w:r>
      <w:r w:rsidRPr="00105151" w:rsidR="00E07F6F">
        <w:t xml:space="preserve"> </w:t>
      </w:r>
      <w:r w:rsidRPr="00105151">
        <w:t xml:space="preserve">Some of the specific recommendations </w:t>
      </w:r>
      <w:r w:rsidRPr="00105151" w:rsidR="00F746D7">
        <w:t xml:space="preserve">from commenters </w:t>
      </w:r>
      <w:r w:rsidRPr="00105151">
        <w:t>are as follows:</w:t>
      </w:r>
    </w:p>
    <w:p w:rsidRPr="00105151" w:rsidR="005F5189" w:rsidP="005F5189" w:rsidRDefault="006F1E5B">
      <w:pPr>
        <w:numPr>
          <w:ilvl w:val="0"/>
          <w:numId w:val="7"/>
        </w:numPr>
        <w:rPr>
          <w:bCs/>
        </w:rPr>
      </w:pPr>
      <w:r w:rsidRPr="00105151">
        <w:rPr>
          <w:bCs/>
        </w:rPr>
        <w:t>Include the full scope of resources invested in pre-filing review, identification, technology, training, testing, and quality a</w:t>
      </w:r>
      <w:r w:rsidRPr="00105151" w:rsidR="005F5189">
        <w:rPr>
          <w:bCs/>
        </w:rPr>
        <w:t>ssurance</w:t>
      </w:r>
      <w:r w:rsidRPr="00105151" w:rsidR="00F746D7">
        <w:rPr>
          <w:bCs/>
        </w:rPr>
        <w:t xml:space="preserve"> </w:t>
      </w:r>
      <w:r w:rsidRPr="00105151">
        <w:rPr>
          <w:bCs/>
        </w:rPr>
        <w:t>within the CTR filing process</w:t>
      </w:r>
      <w:r w:rsidRPr="00105151" w:rsidR="005F5189">
        <w:rPr>
          <w:bCs/>
        </w:rPr>
        <w:t>.</w:t>
      </w:r>
    </w:p>
    <w:p w:rsidRPr="00105151" w:rsidR="003E728C" w:rsidP="003E728C" w:rsidRDefault="006F1E5B">
      <w:pPr>
        <w:numPr>
          <w:ilvl w:val="0"/>
          <w:numId w:val="7"/>
        </w:numPr>
        <w:autoSpaceDE w:val="0"/>
        <w:autoSpaceDN w:val="0"/>
        <w:adjustRightInd w:val="0"/>
        <w:rPr>
          <w:color w:val="000000"/>
        </w:rPr>
      </w:pPr>
      <w:r w:rsidRPr="00105151">
        <w:rPr>
          <w:color w:val="000000"/>
        </w:rPr>
        <w:t>I</w:t>
      </w:r>
      <w:r w:rsidRPr="00105151" w:rsidR="005F5189">
        <w:rPr>
          <w:color w:val="000000"/>
        </w:rPr>
        <w:t>nclude within the burden estimate the time and cost to aggregate transactions to determine the need for a CTR and t</w:t>
      </w:r>
      <w:r w:rsidRPr="00105151" w:rsidR="00E07F6F">
        <w:rPr>
          <w:color w:val="000000"/>
        </w:rPr>
        <w:t>he burden to collect</w:t>
      </w:r>
      <w:r w:rsidRPr="00105151" w:rsidR="005F5189">
        <w:rPr>
          <w:color w:val="000000"/>
        </w:rPr>
        <w:t xml:space="preserve"> the info</w:t>
      </w:r>
      <w:r w:rsidRPr="00105151" w:rsidR="00E07F6F">
        <w:rPr>
          <w:color w:val="000000"/>
        </w:rPr>
        <w:t>rmation required to file these types of CTRs</w:t>
      </w:r>
      <w:r w:rsidRPr="00105151" w:rsidR="005F5189">
        <w:rPr>
          <w:color w:val="000000"/>
        </w:rPr>
        <w:t>.</w:t>
      </w:r>
    </w:p>
    <w:p w:rsidRPr="00105151" w:rsidR="005F5189" w:rsidP="005F5189" w:rsidRDefault="00E07F6F">
      <w:pPr>
        <w:numPr>
          <w:ilvl w:val="0"/>
          <w:numId w:val="7"/>
        </w:numPr>
        <w:autoSpaceDE w:val="0"/>
        <w:autoSpaceDN w:val="0"/>
        <w:adjustRightInd w:val="0"/>
        <w:rPr>
          <w:color w:val="000000"/>
        </w:rPr>
      </w:pPr>
      <w:r w:rsidRPr="00105151">
        <w:rPr>
          <w:color w:val="000000"/>
        </w:rPr>
        <w:t>Include expenses and burden hours</w:t>
      </w:r>
      <w:r w:rsidRPr="00105151" w:rsidR="005F5189">
        <w:rPr>
          <w:color w:val="000000"/>
        </w:rPr>
        <w:t xml:space="preserve"> associated with </w:t>
      </w:r>
      <w:r w:rsidRPr="00105151" w:rsidR="005F5189">
        <w:rPr>
          <w:color w:val="131313"/>
        </w:rPr>
        <w:t>audit, quality control, and error resolution, which are required t</w:t>
      </w:r>
      <w:r w:rsidRPr="00105151">
        <w:rPr>
          <w:color w:val="131313"/>
        </w:rPr>
        <w:t xml:space="preserve">o ensure accuracy </w:t>
      </w:r>
      <w:r w:rsidRPr="00105151" w:rsidR="005F5189">
        <w:rPr>
          <w:color w:val="000000"/>
        </w:rPr>
        <w:t xml:space="preserve">of CTR processing. </w:t>
      </w:r>
    </w:p>
    <w:p w:rsidRPr="00105151" w:rsidR="00E07F6F" w:rsidP="00E07F6F" w:rsidRDefault="00E07F6F">
      <w:pPr>
        <w:numPr>
          <w:ilvl w:val="0"/>
          <w:numId w:val="7"/>
        </w:numPr>
        <w:rPr>
          <w:bCs/>
          <w:color w:val="131313"/>
        </w:rPr>
      </w:pPr>
      <w:r w:rsidRPr="00105151">
        <w:rPr>
          <w:color w:val="000000"/>
        </w:rPr>
        <w:t xml:space="preserve">FinCEN </w:t>
      </w:r>
      <w:r w:rsidRPr="00105151">
        <w:rPr>
          <w:bCs/>
          <w:color w:val="131313"/>
        </w:rPr>
        <w:t>overestimates the degree of automation in CTR processing. Ev</w:t>
      </w:r>
      <w:r w:rsidRPr="00105151" w:rsidR="005F5189">
        <w:rPr>
          <w:color w:val="000000"/>
        </w:rPr>
        <w:t>en large institutions that use t</w:t>
      </w:r>
      <w:r w:rsidRPr="00105151">
        <w:rPr>
          <w:color w:val="000000"/>
        </w:rPr>
        <w:t>echnology to process CTR</w:t>
      </w:r>
      <w:r w:rsidRPr="00105151" w:rsidR="00955104">
        <w:rPr>
          <w:color w:val="000000"/>
        </w:rPr>
        <w:t>s</w:t>
      </w:r>
      <w:r w:rsidRPr="00105151">
        <w:rPr>
          <w:color w:val="000000"/>
        </w:rPr>
        <w:t xml:space="preserve"> r</w:t>
      </w:r>
      <w:r w:rsidRPr="00105151" w:rsidR="005F5189">
        <w:rPr>
          <w:color w:val="000000"/>
        </w:rPr>
        <w:t>ely on manual processes,</w:t>
      </w:r>
      <w:r w:rsidRPr="00105151">
        <w:rPr>
          <w:color w:val="000000"/>
        </w:rPr>
        <w:t xml:space="preserve"> far more than FinCEN estimated</w:t>
      </w:r>
      <w:r w:rsidRPr="00105151" w:rsidR="005F5189">
        <w:rPr>
          <w:color w:val="000000"/>
        </w:rPr>
        <w:t>.</w:t>
      </w:r>
      <w:r w:rsidRPr="00105151" w:rsidR="005F5189">
        <w:rPr>
          <w:bCs/>
          <w:color w:val="131313"/>
        </w:rPr>
        <w:t xml:space="preserve"> </w:t>
      </w:r>
    </w:p>
    <w:p w:rsidRPr="00105151" w:rsidR="005F5189" w:rsidP="00E07F6F" w:rsidRDefault="00E07F6F">
      <w:pPr>
        <w:numPr>
          <w:ilvl w:val="0"/>
          <w:numId w:val="7"/>
        </w:numPr>
        <w:rPr>
          <w:bCs/>
          <w:color w:val="131313"/>
        </w:rPr>
      </w:pPr>
      <w:r w:rsidRPr="00105151">
        <w:rPr>
          <w:bCs/>
          <w:color w:val="131313"/>
        </w:rPr>
        <w:t>Some</w:t>
      </w:r>
      <w:r w:rsidRPr="00105151">
        <w:t xml:space="preserve"> depository institution do not </w:t>
      </w:r>
      <w:r w:rsidRPr="00105151" w:rsidR="005F5189">
        <w:t xml:space="preserve">restrict their reportable transactions </w:t>
      </w:r>
      <w:r w:rsidRPr="00105151">
        <w:t>to only established customers, contrary to FinCEN’s stipulation in the notice.</w:t>
      </w:r>
      <w:r w:rsidRPr="00105151" w:rsidR="00F746D7">
        <w:t xml:space="preserve"> This needs to </w:t>
      </w:r>
      <w:proofErr w:type="gramStart"/>
      <w:r w:rsidRPr="00105151" w:rsidR="00F746D7">
        <w:t>be incorporated</w:t>
      </w:r>
      <w:proofErr w:type="gramEnd"/>
      <w:r w:rsidRPr="00105151" w:rsidR="00F746D7">
        <w:t xml:space="preserve"> into the burden analysis.</w:t>
      </w:r>
    </w:p>
    <w:p w:rsidRPr="00105151" w:rsidR="00CE388A" w:rsidP="00E07F6F" w:rsidRDefault="00CE388A"/>
    <w:p w:rsidRPr="00105151" w:rsidR="003E5EE2" w:rsidP="0096041E" w:rsidRDefault="00A666D3">
      <w:r w:rsidRPr="00105151">
        <w:t>9</w:t>
      </w:r>
      <w:r w:rsidRPr="00105151" w:rsidR="003E5EE2">
        <w:t xml:space="preserve">. </w:t>
      </w:r>
      <w:r w:rsidRPr="00105151" w:rsidR="003E5EE2">
        <w:rPr>
          <w:u w:val="single"/>
        </w:rPr>
        <w:t>Payments and Gifts</w:t>
      </w:r>
      <w:r w:rsidRPr="00105151" w:rsidR="00FB000D">
        <w:rPr>
          <w:u w:val="single"/>
        </w:rPr>
        <w:t>.</w:t>
      </w:r>
      <w:r w:rsidRPr="00105151" w:rsidR="003E5EE2">
        <w:t xml:space="preserve"> </w:t>
      </w:r>
    </w:p>
    <w:p w:rsidRPr="00105151" w:rsidR="00CE388A" w:rsidP="0096041E" w:rsidRDefault="00CE388A"/>
    <w:p w:rsidRPr="00105151" w:rsidR="003E5EE2" w:rsidP="00955104" w:rsidRDefault="003E5EE2">
      <w:pPr>
        <w:ind w:firstLine="720"/>
      </w:pPr>
      <w:r w:rsidRPr="00105151">
        <w:t xml:space="preserve">No payments or gifts </w:t>
      </w:r>
      <w:proofErr w:type="gramStart"/>
      <w:r w:rsidRPr="00105151">
        <w:t>were made</w:t>
      </w:r>
      <w:proofErr w:type="gramEnd"/>
      <w:r w:rsidRPr="00105151">
        <w:t xml:space="preserve"> to respondents. </w:t>
      </w:r>
    </w:p>
    <w:p w:rsidRPr="00105151" w:rsidR="00CE388A" w:rsidP="0096041E" w:rsidRDefault="00CE388A"/>
    <w:p w:rsidRPr="00105151" w:rsidR="003E5EE2" w:rsidP="0096041E" w:rsidRDefault="003E5EE2">
      <w:pPr>
        <w:pStyle w:val="BodyText"/>
        <w:spacing w:before="0"/>
        <w:rPr>
          <w:sz w:val="24"/>
          <w:szCs w:val="24"/>
        </w:rPr>
      </w:pPr>
      <w:r w:rsidRPr="00105151">
        <w:rPr>
          <w:sz w:val="24"/>
          <w:szCs w:val="24"/>
        </w:rPr>
        <w:t xml:space="preserve">10. </w:t>
      </w:r>
      <w:r w:rsidRPr="00105151">
        <w:rPr>
          <w:sz w:val="24"/>
          <w:szCs w:val="24"/>
          <w:u w:val="single"/>
        </w:rPr>
        <w:t>Assurance of Confidentiality of Responses.</w:t>
      </w:r>
      <w:r w:rsidRPr="00105151">
        <w:rPr>
          <w:sz w:val="24"/>
          <w:szCs w:val="24"/>
        </w:rPr>
        <w:t xml:space="preserve"> </w:t>
      </w:r>
    </w:p>
    <w:p w:rsidRPr="00105151" w:rsidR="00CE388A" w:rsidP="0096041E" w:rsidRDefault="00CE388A"/>
    <w:p w:rsidR="009E7D08" w:rsidP="009E7D08" w:rsidRDefault="004744C7">
      <w:pPr>
        <w:rPr>
          <w:i/>
          <w:iCs/>
        </w:rPr>
      </w:pPr>
      <w:r w:rsidRPr="00105151">
        <w:lastRenderedPageBreak/>
        <w:t xml:space="preserve">The information collected under this requirement </w:t>
      </w:r>
      <w:proofErr w:type="gramStart"/>
      <w:r w:rsidRPr="00105151">
        <w:t>is made</w:t>
      </w:r>
      <w:proofErr w:type="gramEnd"/>
      <w:r w:rsidRPr="00105151">
        <w:t xml:space="preserve"> available to appropriate agencies and organizations as disclosed in FinCEN's Privacy Act System of </w:t>
      </w:r>
      <w:r w:rsidRPr="00105151" w:rsidR="00F746D7">
        <w:t>Records Notice relating to BSA r</w:t>
      </w:r>
      <w:r w:rsidRPr="00105151">
        <w:t>eports</w:t>
      </w:r>
      <w:r w:rsidRPr="00105151" w:rsidR="00F81D3C">
        <w:t>.</w:t>
      </w:r>
      <w:r w:rsidRPr="00223235">
        <w:rPr>
          <w:rStyle w:val="FootnoteReference"/>
        </w:rPr>
        <w:footnoteReference w:id="10"/>
      </w:r>
      <w:r w:rsidR="009E7D08">
        <w:t xml:space="preserve"> </w:t>
      </w:r>
      <w:r w:rsidRPr="009E7D08" w:rsidR="009E7D08">
        <w:rPr>
          <w:iCs/>
        </w:rPr>
        <w:t>Information</w:t>
      </w:r>
      <w:r w:rsidR="009E7D08">
        <w:rPr>
          <w:iCs/>
        </w:rPr>
        <w:t>,</w:t>
      </w:r>
      <w:bookmarkStart w:name="_GoBack" w:id="0"/>
      <w:bookmarkEnd w:id="0"/>
      <w:r w:rsidRPr="009E7D08" w:rsidR="009E7D08">
        <w:rPr>
          <w:iCs/>
        </w:rPr>
        <w:t xml:space="preserve"> once provided to the government on a CTR </w:t>
      </w:r>
      <w:proofErr w:type="gramStart"/>
      <w:r w:rsidRPr="009E7D08" w:rsidR="009E7D08">
        <w:rPr>
          <w:iCs/>
        </w:rPr>
        <w:t>is expressly prohibited</w:t>
      </w:r>
      <w:proofErr w:type="gramEnd"/>
      <w:r w:rsidRPr="009E7D08" w:rsidR="009E7D08">
        <w:rPr>
          <w:iCs/>
        </w:rPr>
        <w:t xml:space="preserve"> from disclosure under 31 U.S.C. 5319.</w:t>
      </w:r>
    </w:p>
    <w:p w:rsidRPr="00223235" w:rsidR="004744C7" w:rsidP="00381DD0" w:rsidRDefault="004744C7">
      <w:pPr>
        <w:ind w:firstLine="720"/>
      </w:pPr>
    </w:p>
    <w:p w:rsidRPr="00EF1E39" w:rsidR="00CE388A" w:rsidP="0096041E" w:rsidRDefault="00CE388A"/>
    <w:p w:rsidRPr="003B6371" w:rsidR="003E5EE2" w:rsidP="0096041E" w:rsidRDefault="003E5EE2">
      <w:r w:rsidRPr="003B6371">
        <w:t xml:space="preserve">11. </w:t>
      </w:r>
      <w:r w:rsidRPr="003B6371">
        <w:rPr>
          <w:u w:val="single"/>
        </w:rPr>
        <w:t>Justification of Sensitive Questions.</w:t>
      </w:r>
      <w:r w:rsidRPr="003B6371">
        <w:t xml:space="preserve"> </w:t>
      </w:r>
    </w:p>
    <w:p w:rsidRPr="003B6371" w:rsidR="00E404B3" w:rsidP="0096041E" w:rsidRDefault="00E404B3">
      <w:pPr>
        <w:jc w:val="center"/>
      </w:pPr>
    </w:p>
    <w:p w:rsidRPr="00223235" w:rsidR="003E5EE2" w:rsidP="00381DD0" w:rsidRDefault="00E404B3">
      <w:pPr>
        <w:ind w:firstLine="720"/>
      </w:pPr>
      <w:r w:rsidRPr="003B6371">
        <w:t xml:space="preserve">There are no questions of a sensitive nature in the collection of information. Any personally identifiable information collected under the BSA </w:t>
      </w:r>
      <w:proofErr w:type="gramStart"/>
      <w:r w:rsidRPr="003B6371">
        <w:t>is strictly controlled</w:t>
      </w:r>
      <w:proofErr w:type="gramEnd"/>
      <w:r w:rsidRPr="003B6371">
        <w:t xml:space="preserve"> as outlined in FinCEN’s </w:t>
      </w:r>
      <w:r w:rsidRPr="003B6371" w:rsidR="00F746D7">
        <w:t xml:space="preserve">Privacy Act </w:t>
      </w:r>
      <w:r w:rsidRPr="003B6371">
        <w:t>Systems of Reco</w:t>
      </w:r>
      <w:r w:rsidRPr="00A37B2C" w:rsidR="00F746D7">
        <w:t>rds Notice relating to BSA r</w:t>
      </w:r>
      <w:r w:rsidRPr="00A37B2C" w:rsidR="004744C7">
        <w:t>eports.</w:t>
      </w:r>
      <w:r w:rsidRPr="00223235" w:rsidR="00F746D7">
        <w:rPr>
          <w:rStyle w:val="FootnoteReference"/>
        </w:rPr>
        <w:footnoteReference w:id="11"/>
      </w:r>
    </w:p>
    <w:p w:rsidRPr="00EF1E39" w:rsidR="00CE388A" w:rsidP="0096041E" w:rsidRDefault="00CE388A"/>
    <w:p w:rsidRPr="003B6371" w:rsidR="003E5EE2" w:rsidP="0096041E" w:rsidRDefault="003E5EE2">
      <w:r w:rsidRPr="003B6371">
        <w:t xml:space="preserve">12. </w:t>
      </w:r>
      <w:r w:rsidRPr="003B6371">
        <w:rPr>
          <w:u w:val="single"/>
        </w:rPr>
        <w:t>Estimated Annual Hourly Burden.</w:t>
      </w:r>
      <w:r w:rsidRPr="003B6371">
        <w:t xml:space="preserve"> </w:t>
      </w:r>
    </w:p>
    <w:p w:rsidRPr="003B6371" w:rsidR="006E24A6" w:rsidP="0096041E" w:rsidRDefault="006E24A6">
      <w:pPr>
        <w:rPr>
          <w:u w:val="single"/>
        </w:rPr>
      </w:pPr>
    </w:p>
    <w:p w:rsidRPr="00A37B2C" w:rsidR="00730BBB" w:rsidP="0096041E" w:rsidRDefault="006E24A6">
      <w:r w:rsidRPr="003B6371">
        <w:rPr>
          <w:u w:val="single"/>
        </w:rPr>
        <w:t>Frequency:</w:t>
      </w:r>
      <w:r w:rsidRPr="00A37B2C">
        <w:t xml:space="preserve"> As required. </w:t>
      </w:r>
    </w:p>
    <w:p w:rsidRPr="00105151" w:rsidR="00381DD0" w:rsidP="0096041E" w:rsidRDefault="00381DD0"/>
    <w:p w:rsidRPr="00105151" w:rsidR="00381DD0" w:rsidP="00381DD0" w:rsidRDefault="00381DD0">
      <w:pPr>
        <w:pStyle w:val="FootnoteText"/>
        <w:rPr>
          <w:sz w:val="24"/>
          <w:szCs w:val="24"/>
          <w:u w:val="single"/>
        </w:rPr>
      </w:pPr>
      <w:r w:rsidRPr="00105151">
        <w:rPr>
          <w:sz w:val="24"/>
          <w:szCs w:val="24"/>
          <w:u w:val="single"/>
        </w:rPr>
        <w:t xml:space="preserve">Estimated Burden of OMB Control Numbers </w:t>
      </w:r>
      <w:r w:rsidRPr="00105151">
        <w:rPr>
          <w:rFonts w:eastAsia="Calibri"/>
          <w:sz w:val="24"/>
          <w:szCs w:val="24"/>
          <w:u w:val="single"/>
        </w:rPr>
        <w:t>1506-0004 and 1506-0005</w:t>
      </w:r>
      <w:r w:rsidRPr="00105151">
        <w:rPr>
          <w:sz w:val="24"/>
          <w:szCs w:val="24"/>
          <w:u w:val="single"/>
        </w:rPr>
        <w:t xml:space="preserve">: </w:t>
      </w:r>
    </w:p>
    <w:p w:rsidRPr="00105151" w:rsidR="00381DD0" w:rsidP="0096041E" w:rsidRDefault="00381DD0"/>
    <w:p w:rsidRPr="00EF1E39" w:rsidR="0012361A" w:rsidP="0096041E" w:rsidRDefault="00381DD0">
      <w:pPr>
        <w:tabs>
          <w:tab w:val="left" w:pos="0"/>
        </w:tabs>
        <w:suppressAutoHyphens/>
      </w:pPr>
      <w:r w:rsidRPr="00105151">
        <w:tab/>
      </w:r>
      <w:r w:rsidRPr="00105151" w:rsidR="0095295A">
        <w:t xml:space="preserve">An administrative burden of one hour </w:t>
      </w:r>
      <w:proofErr w:type="gramStart"/>
      <w:r w:rsidRPr="00105151" w:rsidR="0095295A">
        <w:t>is assigned</w:t>
      </w:r>
      <w:proofErr w:type="gramEnd"/>
      <w:r w:rsidRPr="00105151" w:rsidR="0095295A">
        <w:t xml:space="preserve"> to each of the CTR regulation OMB control numbers in order to maintain the requirements in force.</w:t>
      </w:r>
      <w:r w:rsidRPr="00223235" w:rsidR="0095295A">
        <w:rPr>
          <w:rStyle w:val="FootnoteReference"/>
          <w:rFonts w:eastAsia="Courier New"/>
        </w:rPr>
        <w:footnoteReference w:id="12"/>
      </w:r>
      <w:r w:rsidRPr="00223235" w:rsidR="0095295A">
        <w:t xml:space="preserve"> The reporting and recordkeeping burden </w:t>
      </w:r>
      <w:proofErr w:type="gramStart"/>
      <w:r w:rsidRPr="00223235" w:rsidR="0095295A">
        <w:t>is reflected</w:t>
      </w:r>
      <w:proofErr w:type="gramEnd"/>
      <w:r w:rsidRPr="00223235" w:rsidR="0095295A">
        <w:t xml:space="preserve"> in FinCEN Report 112 - CTR, under OMB control number 1506-0064. The rationale for assigning one burden hour to each of the CTR regulation OMB control numbers is that the annual burden hours </w:t>
      </w:r>
      <w:proofErr w:type="gramStart"/>
      <w:r w:rsidRPr="00223235" w:rsidR="0095295A">
        <w:t>would be double counted</w:t>
      </w:r>
      <w:proofErr w:type="gramEnd"/>
      <w:r w:rsidRPr="00223235" w:rsidR="0095295A">
        <w:t xml:space="preserve"> if FinCEN </w:t>
      </w:r>
      <w:r w:rsidRPr="00EF1E39" w:rsidR="0095295A">
        <w:t xml:space="preserve">estimated burden in each CTR regulation OMB control number and in the FinCEN Report 112 - CTR OMB control number.  </w:t>
      </w:r>
    </w:p>
    <w:p w:rsidRPr="003B6371" w:rsidR="006E24A6" w:rsidP="0096041E" w:rsidRDefault="006E24A6">
      <w:pPr>
        <w:tabs>
          <w:tab w:val="left" w:pos="0"/>
        </w:tabs>
        <w:suppressAutoHyphens/>
      </w:pPr>
    </w:p>
    <w:p w:rsidRPr="00223235" w:rsidR="00B76F81" w:rsidP="00B76F81" w:rsidRDefault="0012361A">
      <w:pPr>
        <w:rPr>
          <w:rFonts w:eastAsia="Calibri"/>
        </w:rPr>
      </w:pPr>
      <w:r w:rsidRPr="003B6371">
        <w:rPr>
          <w:rFonts w:eastAsia="Calibri"/>
          <w:u w:val="single"/>
        </w:rPr>
        <w:t>Estimated Number of Respondents</w:t>
      </w:r>
      <w:r w:rsidRPr="003B6371">
        <w:rPr>
          <w:rFonts w:eastAsia="Calibri"/>
        </w:rPr>
        <w:t>: 14,276 financial institutions.</w:t>
      </w:r>
      <w:r w:rsidRPr="003B6371" w:rsidR="00B94BA4">
        <w:rPr>
          <w:rFonts w:eastAsia="Calibri"/>
        </w:rPr>
        <w:t xml:space="preserve"> (See T</w:t>
      </w:r>
      <w:r w:rsidRPr="003B6371">
        <w:rPr>
          <w:rFonts w:eastAsia="Calibri"/>
        </w:rPr>
        <w:t>able 1 below)</w:t>
      </w:r>
      <w:r w:rsidRPr="003B6371" w:rsidR="00B76F81">
        <w:rPr>
          <w:rFonts w:eastAsia="Calibri"/>
        </w:rPr>
        <w:t xml:space="preserve"> The tables used in this supporting statement are the tables summarizing the total burden and cost estimates from the 60-day notice to renew these OMB control numbers. For that reason, the table numbers correspond to the table numbers in the notice. Refer to the notice for additional tables that support the summary calculations in these tables.</w:t>
      </w:r>
      <w:r w:rsidRPr="00223235" w:rsidR="00DE394D">
        <w:rPr>
          <w:rStyle w:val="FootnoteReference"/>
          <w:rFonts w:eastAsia="Calibri"/>
        </w:rPr>
        <w:footnoteReference w:id="13"/>
      </w:r>
    </w:p>
    <w:p w:rsidRPr="00EF1E39" w:rsidR="0012361A" w:rsidP="00B76F81" w:rsidRDefault="0012361A">
      <w:pPr>
        <w:rPr>
          <w:rFonts w:eastAsia="Calibri"/>
        </w:rPr>
      </w:pPr>
    </w:p>
    <w:p w:rsidRPr="00223235" w:rsidR="0012361A" w:rsidP="007D2475" w:rsidRDefault="0012361A">
      <w:pPr>
        <w:rPr>
          <w:rFonts w:eastAsia="Calibri"/>
        </w:rPr>
      </w:pPr>
      <w:r w:rsidRPr="003B6371">
        <w:rPr>
          <w:rFonts w:eastAsia="Calibri"/>
          <w:u w:val="single"/>
        </w:rPr>
        <w:t>Estimated Total Annual Responses</w:t>
      </w:r>
      <w:r w:rsidRPr="003B6371">
        <w:rPr>
          <w:rFonts w:eastAsia="Calibri"/>
        </w:rPr>
        <w:t>: 16,087,182.</w:t>
      </w:r>
      <w:r w:rsidRPr="00223235">
        <w:rPr>
          <w:rFonts w:eastAsia="Calibri"/>
          <w:vertAlign w:val="superscript"/>
        </w:rPr>
        <w:footnoteReference w:id="14"/>
      </w:r>
      <w:r w:rsidRPr="00223235" w:rsidR="00B94BA4">
        <w:rPr>
          <w:rFonts w:eastAsia="Calibri"/>
        </w:rPr>
        <w:t xml:space="preserve"> (See T</w:t>
      </w:r>
      <w:r w:rsidRPr="00223235">
        <w:rPr>
          <w:rFonts w:eastAsia="Calibri"/>
        </w:rPr>
        <w:t>able 1 below).</w:t>
      </w:r>
    </w:p>
    <w:p w:rsidRPr="00EF1E39" w:rsidR="00381DD0" w:rsidP="0012361A" w:rsidRDefault="00381DD0">
      <w:pPr>
        <w:spacing w:line="480" w:lineRule="auto"/>
        <w:rPr>
          <w:lang w:val="en-GB"/>
        </w:rPr>
      </w:pPr>
    </w:p>
    <w:p w:rsidRPr="00223235" w:rsidR="0012361A" w:rsidP="0012361A" w:rsidRDefault="002022E7">
      <w:pPr>
        <w:spacing w:line="480" w:lineRule="auto"/>
      </w:pPr>
      <w:r w:rsidRPr="00223235">
        <w:rPr>
          <w:noProof/>
        </w:rPr>
        <w:lastRenderedPageBreak/>
        <w:drawing>
          <wp:inline distT="0" distB="0" distL="0" distR="0">
            <wp:extent cx="5943600" cy="2247900"/>
            <wp:effectExtent l="0" t="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247900"/>
                    </a:xfrm>
                    <a:prstGeom prst="rect">
                      <a:avLst/>
                    </a:prstGeom>
                    <a:noFill/>
                    <a:ln>
                      <a:noFill/>
                    </a:ln>
                  </pic:spPr>
                </pic:pic>
              </a:graphicData>
            </a:graphic>
          </wp:inline>
        </w:drawing>
      </w:r>
    </w:p>
    <w:p w:rsidRPr="00223235" w:rsidR="00A30DD4" w:rsidP="007D2475" w:rsidRDefault="00A30DD4">
      <w:r w:rsidRPr="00223235">
        <w:rPr>
          <w:u w:val="single"/>
        </w:rPr>
        <w:t xml:space="preserve">Estimated Reporting and Recordkeeping Burden </w:t>
      </w:r>
      <w:proofErr w:type="gramStart"/>
      <w:r w:rsidRPr="00223235">
        <w:rPr>
          <w:u w:val="single"/>
        </w:rPr>
        <w:t>Per</w:t>
      </w:r>
      <w:proofErr w:type="gramEnd"/>
      <w:r w:rsidRPr="00223235">
        <w:rPr>
          <w:u w:val="single"/>
        </w:rPr>
        <w:t xml:space="preserve"> Response</w:t>
      </w:r>
      <w:r w:rsidRPr="00223235">
        <w:t>: The average estimated PRA burden, measured in minutes per report, is 8 minutes, as descri</w:t>
      </w:r>
      <w:r w:rsidRPr="00EF1E39">
        <w:t>bed in Table 11 below</w:t>
      </w:r>
      <w:r w:rsidRPr="00EF1E39" w:rsidR="00DF77BD">
        <w:t>.</w:t>
      </w:r>
      <w:r w:rsidRPr="00223235" w:rsidR="00FA1A98">
        <w:rPr>
          <w:rStyle w:val="FootnoteReference"/>
        </w:rPr>
        <w:footnoteReference w:id="15"/>
      </w:r>
    </w:p>
    <w:p w:rsidRPr="00EF1E39" w:rsidR="007D2475" w:rsidP="007D2475" w:rsidRDefault="007D2475"/>
    <w:p w:rsidRPr="00223235" w:rsidR="00A30DD4" w:rsidP="0012361A" w:rsidRDefault="002022E7">
      <w:pPr>
        <w:spacing w:line="480" w:lineRule="auto"/>
        <w:rPr>
          <w:u w:val="single"/>
        </w:rPr>
      </w:pPr>
      <w:r w:rsidRPr="00223235">
        <w:rPr>
          <w:noProof/>
        </w:rPr>
        <w:drawing>
          <wp:inline distT="0" distB="0" distL="0" distR="0">
            <wp:extent cx="5943600" cy="133350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33500"/>
                    </a:xfrm>
                    <a:prstGeom prst="rect">
                      <a:avLst/>
                    </a:prstGeom>
                    <a:noFill/>
                    <a:ln>
                      <a:noFill/>
                    </a:ln>
                  </pic:spPr>
                </pic:pic>
              </a:graphicData>
            </a:graphic>
          </wp:inline>
        </w:drawing>
      </w:r>
    </w:p>
    <w:p w:rsidRPr="00223235" w:rsidR="0012361A" w:rsidP="007D2475" w:rsidRDefault="0012361A">
      <w:pPr>
        <w:rPr>
          <w:color w:val="000000"/>
        </w:rPr>
      </w:pPr>
      <w:r w:rsidRPr="00EF1E39">
        <w:rPr>
          <w:rFonts w:eastAsia="Calibri"/>
          <w:u w:val="single"/>
        </w:rPr>
        <w:t>Estimated Total Annual Reporting and Recordkeeping Burden</w:t>
      </w:r>
      <w:r w:rsidRPr="00EF1E39">
        <w:rPr>
          <w:rFonts w:eastAsia="Calibri"/>
        </w:rPr>
        <w:t xml:space="preserve">: The estimated total annual PRA burden is </w:t>
      </w:r>
      <w:r w:rsidRPr="003B6371">
        <w:rPr>
          <w:color w:val="000000"/>
        </w:rPr>
        <w:t>2,124,992 hours, as described in Table 12 below.</w:t>
      </w:r>
      <w:r w:rsidRPr="00223235" w:rsidR="00FA1A98">
        <w:rPr>
          <w:rStyle w:val="FootnoteReference"/>
          <w:color w:val="000000"/>
        </w:rPr>
        <w:footnoteReference w:id="16"/>
      </w:r>
    </w:p>
    <w:p w:rsidRPr="00EF1E39" w:rsidR="002E29FC" w:rsidP="007D2475" w:rsidRDefault="002E29FC">
      <w:pPr>
        <w:rPr>
          <w:color w:val="000000"/>
        </w:rPr>
      </w:pPr>
    </w:p>
    <w:p w:rsidRPr="00223235" w:rsidR="0012361A" w:rsidP="00A30DD4" w:rsidRDefault="002022E7">
      <w:pPr>
        <w:spacing w:line="480" w:lineRule="auto"/>
        <w:rPr>
          <w:rFonts w:eastAsia="Calibri"/>
          <w:u w:val="single"/>
        </w:rPr>
      </w:pPr>
      <w:r w:rsidRPr="00105151">
        <w:rPr>
          <w:rFonts w:eastAsia="Calibri"/>
          <w:noProof/>
        </w:rPr>
        <w:drawing>
          <wp:inline distT="0" distB="0" distL="0" distR="0">
            <wp:extent cx="5934075" cy="150495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1504950"/>
                    </a:xfrm>
                    <a:prstGeom prst="rect">
                      <a:avLst/>
                    </a:prstGeom>
                    <a:noFill/>
                    <a:ln>
                      <a:noFill/>
                    </a:ln>
                  </pic:spPr>
                </pic:pic>
              </a:graphicData>
            </a:graphic>
          </wp:inline>
        </w:drawing>
      </w:r>
    </w:p>
    <w:p w:rsidRPr="00EF1E39" w:rsidR="001154CC" w:rsidP="00A537F3" w:rsidRDefault="003E5EE2">
      <w:pPr>
        <w:spacing w:line="480" w:lineRule="auto"/>
        <w:rPr>
          <w:u w:val="single"/>
        </w:rPr>
      </w:pPr>
      <w:r w:rsidRPr="00EF1E39">
        <w:lastRenderedPageBreak/>
        <w:t xml:space="preserve">13. </w:t>
      </w:r>
      <w:r w:rsidRPr="00EF1E39">
        <w:rPr>
          <w:u w:val="single"/>
        </w:rPr>
        <w:t>Estimated Annual Cost to Respondents for Hour Burdens.</w:t>
      </w:r>
    </w:p>
    <w:p w:rsidRPr="00EF1E39" w:rsidR="005C462D" w:rsidP="007D2475" w:rsidRDefault="005C462D">
      <w:pPr>
        <w:rPr>
          <w:u w:val="single"/>
        </w:rPr>
      </w:pPr>
      <w:r w:rsidRPr="003B6371">
        <w:rPr>
          <w:u w:val="single"/>
        </w:rPr>
        <w:t xml:space="preserve">Estimated Total Annual Reporting and Recordkeeping Cost: </w:t>
      </w:r>
      <w:r w:rsidRPr="003B6371">
        <w:t xml:space="preserve">At the weighted average hourly cost of $25.73 described in </w:t>
      </w:r>
      <w:r w:rsidRPr="003B6371" w:rsidR="00A30DD4">
        <w:t>Table 6 below</w:t>
      </w:r>
      <w:r w:rsidRPr="003B6371" w:rsidR="002E29FC">
        <w:t>,</w:t>
      </w:r>
      <w:r w:rsidRPr="00223235" w:rsidR="00FA1A98">
        <w:rPr>
          <w:rStyle w:val="FootnoteReference"/>
        </w:rPr>
        <w:footnoteReference w:id="17"/>
      </w:r>
      <w:r w:rsidRPr="00223235">
        <w:t xml:space="preserve"> the cost of the estimated total annual PRA reflected in Table 12</w:t>
      </w:r>
      <w:r w:rsidRPr="00223235" w:rsidR="00A30DD4">
        <w:t xml:space="preserve"> below</w:t>
      </w:r>
      <w:r w:rsidRPr="00223235">
        <w:t xml:space="preserve"> (2,124,992 hours) is $54,676,044.</w:t>
      </w:r>
      <w:r w:rsidRPr="00EF1E39" w:rsidR="00396C8F">
        <w:t xml:space="preserve"> ($25.73 X 2,124,992).</w:t>
      </w:r>
    </w:p>
    <w:p w:rsidRPr="003B6371" w:rsidR="0012361A" w:rsidP="007D2475" w:rsidRDefault="0012361A"/>
    <w:p w:rsidRPr="00223235" w:rsidR="0012361A" w:rsidP="007D3CBD" w:rsidRDefault="002022E7">
      <w:pPr>
        <w:spacing w:line="480" w:lineRule="auto"/>
      </w:pPr>
      <w:r w:rsidRPr="00223235">
        <w:rPr>
          <w:noProof/>
        </w:rPr>
        <w:drawing>
          <wp:inline distT="0" distB="0" distL="0" distR="0">
            <wp:extent cx="5943600" cy="828675"/>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828675"/>
                    </a:xfrm>
                    <a:prstGeom prst="rect">
                      <a:avLst/>
                    </a:prstGeom>
                    <a:noFill/>
                    <a:ln>
                      <a:noFill/>
                    </a:ln>
                  </pic:spPr>
                </pic:pic>
              </a:graphicData>
            </a:graphic>
          </wp:inline>
        </w:drawing>
      </w:r>
    </w:p>
    <w:p w:rsidRPr="00223235" w:rsidR="007D2475" w:rsidP="007D2475" w:rsidRDefault="002022E7">
      <w:pPr>
        <w:spacing w:line="480" w:lineRule="auto"/>
        <w:rPr>
          <w:u w:val="single"/>
        </w:rPr>
      </w:pPr>
      <w:r w:rsidRPr="00223235">
        <w:rPr>
          <w:noProof/>
        </w:rPr>
        <w:drawing>
          <wp:inline distT="0" distB="0" distL="0" distR="0">
            <wp:extent cx="5934075" cy="150495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1504950"/>
                    </a:xfrm>
                    <a:prstGeom prst="rect">
                      <a:avLst/>
                    </a:prstGeom>
                    <a:noFill/>
                    <a:ln>
                      <a:noFill/>
                    </a:ln>
                  </pic:spPr>
                </pic:pic>
              </a:graphicData>
            </a:graphic>
          </wp:inline>
        </w:drawing>
      </w:r>
    </w:p>
    <w:p w:rsidRPr="003B6371" w:rsidR="001154CC" w:rsidP="007D2475" w:rsidRDefault="003E5EE2">
      <w:pPr>
        <w:rPr>
          <w:u w:val="single"/>
        </w:rPr>
      </w:pPr>
      <w:r w:rsidRPr="00EF1E39">
        <w:t xml:space="preserve">14. </w:t>
      </w:r>
      <w:r w:rsidRPr="00EF1E39">
        <w:rPr>
          <w:u w:val="single"/>
        </w:rPr>
        <w:t>Estimated Annual Cost to the Federal Government.</w:t>
      </w:r>
    </w:p>
    <w:p w:rsidRPr="003B6371" w:rsidR="007D2475" w:rsidP="007D2475" w:rsidRDefault="007D2475">
      <w:pPr>
        <w:rPr>
          <w:u w:val="single"/>
        </w:rPr>
      </w:pPr>
    </w:p>
    <w:p w:rsidRPr="00EF1E39" w:rsidR="003E5EE2" w:rsidP="00157874" w:rsidRDefault="005C462D">
      <w:pPr>
        <w:ind w:firstLine="720"/>
      </w:pPr>
      <w:proofErr w:type="gramStart"/>
      <w:r w:rsidRPr="003B6371">
        <w:rPr>
          <w:rFonts w:eastAsia="Calibri"/>
        </w:rPr>
        <w:t>16,087,182</w:t>
      </w:r>
      <w:proofErr w:type="gramEnd"/>
      <w:r w:rsidRPr="00223235" w:rsidR="00A30DD4">
        <w:rPr>
          <w:rStyle w:val="FootnoteReference"/>
          <w:rFonts w:eastAsia="Calibri"/>
        </w:rPr>
        <w:footnoteReference w:id="18"/>
      </w:r>
      <w:r w:rsidRPr="00223235" w:rsidR="00A30DD4">
        <w:t xml:space="preserve"> x</w:t>
      </w:r>
      <w:r w:rsidRPr="00223235" w:rsidR="00DE6C34">
        <w:t xml:space="preserve"> $0.10</w:t>
      </w:r>
      <w:r w:rsidRPr="00223235" w:rsidR="00DE6C34">
        <w:rPr>
          <w:rStyle w:val="FootnoteReference"/>
        </w:rPr>
        <w:footnoteReference w:id="19"/>
      </w:r>
      <w:r w:rsidRPr="00223235" w:rsidR="00DE6C34">
        <w:t xml:space="preserve"> per filing = </w:t>
      </w:r>
      <w:r w:rsidRPr="00223235">
        <w:t>$1,608,718</w:t>
      </w:r>
      <w:r w:rsidRPr="00223235" w:rsidR="007B4138">
        <w:t>.</w:t>
      </w:r>
      <w:r w:rsidRPr="00EF1E39" w:rsidR="003E5EE2">
        <w:t xml:space="preserve"> </w:t>
      </w:r>
    </w:p>
    <w:p w:rsidRPr="003B6371" w:rsidR="007D2475" w:rsidP="007D2475" w:rsidRDefault="007D2475"/>
    <w:p w:rsidRPr="003B6371" w:rsidR="003E5EE2" w:rsidP="007D2475" w:rsidRDefault="003E5EE2">
      <w:r w:rsidRPr="003B6371">
        <w:t xml:space="preserve">15. </w:t>
      </w:r>
      <w:r w:rsidRPr="003B6371">
        <w:rPr>
          <w:u w:val="single"/>
        </w:rPr>
        <w:t>Reason for Change in Burden.</w:t>
      </w:r>
      <w:r w:rsidRPr="003B6371">
        <w:t xml:space="preserve"> </w:t>
      </w:r>
    </w:p>
    <w:p w:rsidRPr="003B6371" w:rsidR="00003D2A" w:rsidP="007D2475" w:rsidRDefault="00003D2A"/>
    <w:p w:rsidRPr="00105151" w:rsidR="00C46580" w:rsidP="00157874" w:rsidRDefault="00C46580">
      <w:pPr>
        <w:ind w:firstLine="720"/>
      </w:pPr>
      <w:r w:rsidRPr="00E7709B">
        <w:t>The total estimate of the annual reporting and recordkeeping burden included: (a) a re-calculation of the</w:t>
      </w:r>
      <w:r w:rsidRPr="00E7709B" w:rsidR="00FA603F">
        <w:t xml:space="preserve"> </w:t>
      </w:r>
      <w:r w:rsidRPr="00105151">
        <w:t>traditional PRA burden calculation</w:t>
      </w:r>
      <w:r w:rsidRPr="00105151" w:rsidR="00444A91">
        <w:t>,</w:t>
      </w:r>
      <w:r w:rsidRPr="00105151">
        <w:t xml:space="preserve"> and (b)</w:t>
      </w:r>
      <w:r w:rsidRPr="00105151" w:rsidR="00FA603F">
        <w:t xml:space="preserve"> the addition of </w:t>
      </w:r>
      <w:r w:rsidRPr="00105151" w:rsidR="00444A91">
        <w:t>a</w:t>
      </w:r>
      <w:r w:rsidRPr="00105151">
        <w:t xml:space="preserve"> supplemental PRA burden calculation.</w:t>
      </w:r>
    </w:p>
    <w:p w:rsidRPr="00105151" w:rsidR="00C46580" w:rsidP="007D2475" w:rsidRDefault="00C46580"/>
    <w:p w:rsidRPr="00223235" w:rsidR="00DE394D" w:rsidP="00157874" w:rsidRDefault="00C46580">
      <w:pPr>
        <w:ind w:firstLine="720"/>
      </w:pPr>
      <w:r w:rsidRPr="00105151">
        <w:t>FinCEN’s traditional annual PRA burden calculation associated with the CTR previously included only the filer’s annual operational burden and cost associated with (a) producing and filing the report, and (b) storing a copy of the filed report. Starting with the current PRA renewal notice, FinCEN added a supplemental PRA burden calculation, reflecting the annual costs involved in (a) obtaining data required by the report that the filer does not need for its own bookkeeping, and (b) maintaining, updating, and upgrading the technological infrastructure required to file and store the report.</w:t>
      </w:r>
      <w:r w:rsidRPr="00223235" w:rsidR="00DE394D">
        <w:rPr>
          <w:rStyle w:val="FootnoteReference"/>
        </w:rPr>
        <w:footnoteReference w:id="20"/>
      </w:r>
    </w:p>
    <w:p w:rsidRPr="00EF1E39" w:rsidR="007D2475" w:rsidP="007D2475" w:rsidRDefault="007D2475"/>
    <w:p w:rsidRPr="003B6371" w:rsidR="003E5EE2" w:rsidP="007D2475" w:rsidRDefault="003E5EE2">
      <w:r w:rsidRPr="003B6371">
        <w:t xml:space="preserve">16. </w:t>
      </w:r>
      <w:r w:rsidRPr="003B6371">
        <w:rPr>
          <w:u w:val="single"/>
        </w:rPr>
        <w:t>Plans for Tabulation, Statistical Analysis, and Publication.</w:t>
      </w:r>
      <w:r w:rsidRPr="003B6371">
        <w:t xml:space="preserve"> </w:t>
      </w:r>
    </w:p>
    <w:p w:rsidRPr="003B6371" w:rsidR="00F81D3C" w:rsidP="007D2475" w:rsidRDefault="00F81D3C"/>
    <w:p w:rsidRPr="00A37B2C" w:rsidR="003E5EE2" w:rsidP="00157874" w:rsidRDefault="006F0809">
      <w:pPr>
        <w:ind w:firstLine="720"/>
      </w:pPr>
      <w:r w:rsidRPr="003B6371">
        <w:t xml:space="preserve">The information </w:t>
      </w:r>
      <w:proofErr w:type="gramStart"/>
      <w:r w:rsidRPr="003B6371">
        <w:t>will not b</w:t>
      </w:r>
      <w:r w:rsidRPr="00A37B2C">
        <w:t>e tabulated or compiled for publication</w:t>
      </w:r>
      <w:proofErr w:type="gramEnd"/>
      <w:r w:rsidRPr="00A37B2C">
        <w:t>.</w:t>
      </w:r>
    </w:p>
    <w:p w:rsidRPr="00E7709B" w:rsidR="007D2475" w:rsidP="007D2475" w:rsidRDefault="007D2475"/>
    <w:p w:rsidRPr="00105151" w:rsidR="003E5EE2" w:rsidP="007D2475" w:rsidRDefault="003E5EE2">
      <w:r w:rsidRPr="00105151">
        <w:t xml:space="preserve">17. </w:t>
      </w:r>
      <w:r w:rsidRPr="00105151">
        <w:rPr>
          <w:u w:val="single"/>
        </w:rPr>
        <w:t>Request not to Display Expiration Date of OMB Control Number.</w:t>
      </w:r>
      <w:r w:rsidRPr="00105151">
        <w:t xml:space="preserve"> </w:t>
      </w:r>
    </w:p>
    <w:p w:rsidRPr="00105151" w:rsidR="00F81D3C" w:rsidP="007D2475" w:rsidRDefault="00F81D3C"/>
    <w:p w:rsidRPr="00105151" w:rsidR="002A13F5" w:rsidP="00157874" w:rsidRDefault="002A13F5">
      <w:pPr>
        <w:ind w:firstLine="720"/>
      </w:pPr>
      <w:r w:rsidRPr="00105151">
        <w:t>FinCEN requests that the expiration date of the control number of the FinCEN Report 112-CTR not be displayed on the report so that there is no confusion as to whether the regis</w:t>
      </w:r>
      <w:r w:rsidRPr="00105151" w:rsidR="004D7946">
        <w:t xml:space="preserve">tration report is still valid. </w:t>
      </w:r>
      <w:r w:rsidRPr="00105151">
        <w:t>This request will not affect the norma</w:t>
      </w:r>
      <w:r w:rsidRPr="00105151" w:rsidR="00157874">
        <w:t>l 3-year PRA</w:t>
      </w:r>
      <w:r w:rsidRPr="00105151">
        <w:t xml:space="preserve"> renewal process.</w:t>
      </w:r>
    </w:p>
    <w:p w:rsidRPr="00105151" w:rsidR="002A13F5" w:rsidP="007D2475" w:rsidRDefault="002A13F5"/>
    <w:p w:rsidRPr="00105151" w:rsidR="00713308" w:rsidP="00157874" w:rsidRDefault="003E5EE2">
      <w:r w:rsidRPr="00105151">
        <w:t xml:space="preserve">18. </w:t>
      </w:r>
      <w:r w:rsidRPr="00105151">
        <w:rPr>
          <w:u w:val="single"/>
        </w:rPr>
        <w:t>Exceptions</w:t>
      </w:r>
      <w:r w:rsidRPr="00105151" w:rsidR="002E29FC">
        <w:rPr>
          <w:u w:val="single"/>
        </w:rPr>
        <w:t xml:space="preserve"> to the Certification S</w:t>
      </w:r>
      <w:r w:rsidRPr="00105151" w:rsidR="0081396D">
        <w:rPr>
          <w:u w:val="single"/>
        </w:rPr>
        <w:t>tatement.</w:t>
      </w:r>
      <w:r w:rsidRPr="00105151">
        <w:t xml:space="preserve"> </w:t>
      </w:r>
    </w:p>
    <w:p w:rsidRPr="00105151" w:rsidR="004D0952" w:rsidP="007D2475" w:rsidRDefault="004D0952"/>
    <w:p w:rsidRPr="00105151" w:rsidR="00E279C1" w:rsidP="00157874" w:rsidRDefault="00E279C1">
      <w:pPr>
        <w:ind w:firstLine="720"/>
      </w:pPr>
      <w:r w:rsidRPr="00105151">
        <w:t>There are no exceptions to the certification statement.</w:t>
      </w:r>
    </w:p>
    <w:p w:rsidRPr="00105151" w:rsidR="003E5EE2" w:rsidP="007D2475" w:rsidRDefault="003E5EE2"/>
    <w:sectPr w:rsidRPr="00105151" w:rsidR="003E5EE2" w:rsidSect="00937DE5">
      <w:footerReference w:type="default" r:id="rId1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139" w:rsidRDefault="00B87139" w:rsidP="006B1C67">
      <w:r>
        <w:separator/>
      </w:r>
    </w:p>
  </w:endnote>
  <w:endnote w:type="continuationSeparator" w:id="0">
    <w:p w:rsidR="00B87139" w:rsidRDefault="00B87139" w:rsidP="006B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B1A" w:rsidRDefault="00472B1A">
    <w:pPr>
      <w:pStyle w:val="Footer"/>
      <w:jc w:val="center"/>
    </w:pPr>
    <w:r>
      <w:fldChar w:fldCharType="begin"/>
    </w:r>
    <w:r>
      <w:instrText xml:space="preserve"> PAGE   \* MERGEFORMAT </w:instrText>
    </w:r>
    <w:r>
      <w:fldChar w:fldCharType="separate"/>
    </w:r>
    <w:r w:rsidR="009E7D08">
      <w:rPr>
        <w:noProof/>
      </w:rPr>
      <w:t>8</w:t>
    </w:r>
    <w:r>
      <w:rPr>
        <w:noProof/>
      </w:rPr>
      <w:fldChar w:fldCharType="end"/>
    </w:r>
  </w:p>
  <w:p w:rsidR="00472B1A" w:rsidRDefault="0047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139" w:rsidRDefault="00B87139" w:rsidP="006B1C67">
      <w:r>
        <w:separator/>
      </w:r>
    </w:p>
  </w:footnote>
  <w:footnote w:type="continuationSeparator" w:id="0">
    <w:p w:rsidR="00B87139" w:rsidRDefault="00B87139" w:rsidP="006B1C67">
      <w:r>
        <w:continuationSeparator/>
      </w:r>
    </w:p>
  </w:footnote>
  <w:footnote w:id="1">
    <w:p w:rsidR="00D5206C" w:rsidRPr="00DB0D14" w:rsidRDefault="00D5206C" w:rsidP="00D5206C">
      <w:pPr>
        <w:rPr>
          <w:sz w:val="20"/>
          <w:szCs w:val="20"/>
        </w:rPr>
      </w:pPr>
      <w:r w:rsidRPr="00DB0D14">
        <w:rPr>
          <w:rStyle w:val="FootnoteReference"/>
          <w:sz w:val="20"/>
          <w:szCs w:val="20"/>
        </w:rPr>
        <w:footnoteRef/>
      </w:r>
      <w:r w:rsidRPr="00DB0D14">
        <w:rPr>
          <w:sz w:val="20"/>
          <w:szCs w:val="20"/>
        </w:rPr>
        <w:t xml:space="preserve"> The BSA is codified at 12 U.S.C. 1829b, 12 U.S.C. 1951–1959, 31 U.S.C. 5311–5314 and 5316–5332 and notes thereto, with implementing re</w:t>
      </w:r>
      <w:r w:rsidR="00DB0D14">
        <w:rPr>
          <w:sz w:val="20"/>
          <w:szCs w:val="20"/>
        </w:rPr>
        <w:t>gulations at 31 CFR Chapter X. </w:t>
      </w:r>
      <w:r w:rsidRPr="00DB0D14">
        <w:rPr>
          <w:iCs/>
          <w:sz w:val="20"/>
          <w:szCs w:val="20"/>
        </w:rPr>
        <w:t>See</w:t>
      </w:r>
      <w:r w:rsidRPr="00DB0D14">
        <w:rPr>
          <w:sz w:val="20"/>
          <w:szCs w:val="20"/>
        </w:rPr>
        <w:t xml:space="preserve"> 31 CFR 1010.100(e).</w:t>
      </w:r>
    </w:p>
  </w:footnote>
  <w:footnote w:id="2">
    <w:p w:rsidR="00D5206C" w:rsidRPr="00CD6347" w:rsidRDefault="00D5206C" w:rsidP="00D5206C">
      <w:pPr>
        <w:pStyle w:val="FootnoteText"/>
      </w:pPr>
      <w:r w:rsidRPr="00CD6347">
        <w:rPr>
          <w:rStyle w:val="FootnoteReference"/>
        </w:rPr>
        <w:footnoteRef/>
      </w:r>
      <w:r w:rsidRPr="00CD6347">
        <w:t xml:space="preserve"> Treasury Order 180-01 (January 14, 2020).</w:t>
      </w:r>
    </w:p>
  </w:footnote>
  <w:footnote w:id="3">
    <w:p w:rsidR="00D5206C" w:rsidRPr="00CD6347" w:rsidRDefault="00D5206C" w:rsidP="00D5206C">
      <w:pPr>
        <w:pStyle w:val="FootnoteText"/>
      </w:pPr>
      <w:r w:rsidRPr="00CD6347">
        <w:rPr>
          <w:rStyle w:val="FootnoteReference"/>
        </w:rPr>
        <w:footnoteRef/>
      </w:r>
      <w:r w:rsidRPr="00CD6347">
        <w:t xml:space="preserve"> </w:t>
      </w:r>
      <w:proofErr w:type="gramStart"/>
      <w:r w:rsidRPr="00CD6347">
        <w:t>31</w:t>
      </w:r>
      <w:proofErr w:type="gramEnd"/>
      <w:r w:rsidRPr="00CD6347">
        <w:t xml:space="preserve"> U.S.C. 5311.</w:t>
      </w:r>
    </w:p>
  </w:footnote>
  <w:footnote w:id="4">
    <w:p w:rsidR="0071732F" w:rsidRPr="001B1D04" w:rsidRDefault="0071732F" w:rsidP="0071732F">
      <w:pPr>
        <w:pStyle w:val="FootnoteText"/>
      </w:pPr>
      <w:r w:rsidRPr="001B1D04">
        <w:rPr>
          <w:rStyle w:val="FootnoteReference"/>
          <w:rFonts w:eastAsia="Courier New"/>
        </w:rPr>
        <w:footnoteRef/>
      </w:r>
      <w:r w:rsidRPr="001B1D04">
        <w:t xml:space="preserve"> </w:t>
      </w:r>
      <w:proofErr w:type="gramStart"/>
      <w:r w:rsidRPr="000275CE">
        <w:t xml:space="preserve">The </w:t>
      </w:r>
      <w:r w:rsidRPr="001B1D04">
        <w:t>reports of transactions in</w:t>
      </w:r>
      <w:r w:rsidRPr="000275CE">
        <w:t xml:space="preserve"> currency </w:t>
      </w:r>
      <w:r w:rsidRPr="001B1D04">
        <w:t>regulatory</w:t>
      </w:r>
      <w:r w:rsidRPr="000275CE">
        <w:t xml:space="preserve"> requirements are currently covered under the following OMB control numbers: 1506-0004 (</w:t>
      </w:r>
      <w:r>
        <w:t xml:space="preserve">General provisions - </w:t>
      </w:r>
      <w:r w:rsidRPr="001B1D04">
        <w:t>31 CFR 1010.310</w:t>
      </w:r>
      <w:r>
        <w:t xml:space="preserve"> - </w:t>
      </w:r>
      <w:r w:rsidRPr="001B1D04">
        <w:t>Reports of transactions in currency, 31 CFR 1010.311</w:t>
      </w:r>
      <w:r>
        <w:t xml:space="preserve"> - </w:t>
      </w:r>
      <w:r w:rsidRPr="001B1D04">
        <w:t>Filing obligations</w:t>
      </w:r>
      <w:r w:rsidRPr="000275CE">
        <w:t xml:space="preserve"> for </w:t>
      </w:r>
      <w:r w:rsidRPr="001B1D04">
        <w:t>reports of transactions in currency, 31 CFR 1010.312</w:t>
      </w:r>
      <w:r>
        <w:t xml:space="preserve"> - </w:t>
      </w:r>
      <w:r w:rsidRPr="001B1D04">
        <w:t>Identification required, 31 CFR 1010.313</w:t>
      </w:r>
      <w:r>
        <w:t xml:space="preserve"> - </w:t>
      </w:r>
      <w:r w:rsidRPr="001B1D04">
        <w:t>Aggregation, and 31 CFR 1010.314</w:t>
      </w:r>
      <w:r>
        <w:t xml:space="preserve"> - </w:t>
      </w:r>
      <w:r w:rsidRPr="001B1D04">
        <w:t>Structured transactions</w:t>
      </w:r>
      <w:r w:rsidRPr="000275CE">
        <w:t>), and 1506-0005 (</w:t>
      </w:r>
      <w:r w:rsidRPr="001B1D04">
        <w:t>R</w:t>
      </w:r>
      <w:r>
        <w:t>ules for</w:t>
      </w:r>
      <w:r w:rsidRPr="001B1D04">
        <w:t xml:space="preserve"> casinos and card clubs - 31 CFR 1021.311</w:t>
      </w:r>
      <w:r>
        <w:t xml:space="preserve"> - </w:t>
      </w:r>
      <w:r w:rsidRPr="001B1D04">
        <w:t>Reports of transaction in currency</w:t>
      </w:r>
      <w:r>
        <w:t>,</w:t>
      </w:r>
      <w:r w:rsidRPr="001B1D04">
        <w:t xml:space="preserve"> and 31 CFR 1021.313</w:t>
      </w:r>
      <w:r>
        <w:t xml:space="preserve"> - </w:t>
      </w:r>
      <w:r w:rsidRPr="001B1D04">
        <w:t>Aggregation).</w:t>
      </w:r>
      <w:proofErr w:type="gramEnd"/>
      <w:r w:rsidRPr="001B1D04">
        <w:t xml:space="preserve"> OMB control number 1506-0064 applies to FinCEN Report 112</w:t>
      </w:r>
      <w:r>
        <w:t xml:space="preserve"> </w:t>
      </w:r>
      <w:r w:rsidRPr="001B1D04">
        <w:t>-</w:t>
      </w:r>
      <w:r>
        <w:t xml:space="preserve"> </w:t>
      </w:r>
      <w:r w:rsidRPr="001B1D04">
        <w:t>CTR.</w:t>
      </w:r>
    </w:p>
  </w:footnote>
  <w:footnote w:id="5">
    <w:p w:rsidR="00157874" w:rsidRPr="00A537F3" w:rsidRDefault="00157874" w:rsidP="00157874">
      <w:pPr>
        <w:pStyle w:val="FootnoteText"/>
      </w:pPr>
      <w:r w:rsidRPr="00A537F3">
        <w:rPr>
          <w:rStyle w:val="FootnoteReference"/>
          <w:rFonts w:eastAsia="Courier New"/>
        </w:rPr>
        <w:footnoteRef/>
      </w:r>
      <w:r w:rsidRPr="00A537F3">
        <w:t xml:space="preserve"> One hour of burden </w:t>
      </w:r>
      <w:proofErr w:type="gramStart"/>
      <w:r w:rsidRPr="00A537F3">
        <w:t>is estimated</w:t>
      </w:r>
      <w:proofErr w:type="gramEnd"/>
      <w:r w:rsidRPr="00A537F3">
        <w:t xml:space="preserve"> under each of the following OMB control numbers: </w:t>
      </w:r>
      <w:r w:rsidRPr="00A537F3">
        <w:rPr>
          <w:rFonts w:eastAsia="Calibri"/>
        </w:rPr>
        <w:t xml:space="preserve">1506-0004 and 1506-0005. </w:t>
      </w:r>
    </w:p>
  </w:footnote>
  <w:footnote w:id="6">
    <w:p w:rsidR="00B61368" w:rsidRPr="000D1224" w:rsidRDefault="00B61368" w:rsidP="00B61368">
      <w:pPr>
        <w:pStyle w:val="HTMLPreformatted"/>
        <w:shd w:val="clear" w:color="auto" w:fill="FFFFFF"/>
        <w:rPr>
          <w:rFonts w:ascii="Times New Roman" w:hAnsi="Times New Roman"/>
          <w:color w:val="000000"/>
          <w:lang w:val="en-US"/>
        </w:rPr>
      </w:pPr>
      <w:r w:rsidRPr="004C7FA7">
        <w:rPr>
          <w:rStyle w:val="FootnoteReference"/>
          <w:rFonts w:ascii="Times New Roman" w:hAnsi="Times New Roman"/>
        </w:rPr>
        <w:footnoteRef/>
      </w:r>
      <w:r>
        <w:rPr>
          <w:rFonts w:ascii="Times New Roman" w:hAnsi="Times New Roman"/>
        </w:rPr>
        <w:t xml:space="preserve"> </w:t>
      </w:r>
      <w:r w:rsidR="000D1224">
        <w:rPr>
          <w:rFonts w:ascii="Times New Roman" w:hAnsi="Times New Roman"/>
        </w:rPr>
        <w:t>See</w:t>
      </w:r>
      <w:r w:rsidR="000D1224">
        <w:rPr>
          <w:rFonts w:ascii="Times New Roman" w:hAnsi="Times New Roman"/>
          <w:lang w:val="en-US"/>
        </w:rPr>
        <w:t xml:space="preserve"> </w:t>
      </w:r>
      <w:r w:rsidR="000D1224" w:rsidRPr="004C7FA7">
        <w:rPr>
          <w:rFonts w:ascii="Times New Roman" w:hAnsi="Times New Roman"/>
          <w:color w:val="000000"/>
        </w:rPr>
        <w:t>FinCEN's System of Records Notice for</w:t>
      </w:r>
      <w:r w:rsidR="000D1224">
        <w:rPr>
          <w:rFonts w:ascii="Times New Roman" w:hAnsi="Times New Roman"/>
          <w:color w:val="000000"/>
          <w:lang w:val="en-US"/>
        </w:rPr>
        <w:t xml:space="preserve"> the</w:t>
      </w:r>
      <w:r w:rsidR="000D1224">
        <w:rPr>
          <w:rFonts w:ascii="Times New Roman" w:hAnsi="Times New Roman"/>
          <w:color w:val="000000"/>
        </w:rPr>
        <w:t xml:space="preserve"> BSA</w:t>
      </w:r>
      <w:r w:rsidR="000D1224" w:rsidRPr="004C7FA7">
        <w:rPr>
          <w:rFonts w:ascii="Times New Roman" w:hAnsi="Times New Roman"/>
          <w:color w:val="000000"/>
        </w:rPr>
        <w:t xml:space="preserve"> Sy</w:t>
      </w:r>
      <w:r w:rsidR="000D1224">
        <w:rPr>
          <w:rFonts w:ascii="Times New Roman" w:hAnsi="Times New Roman"/>
          <w:color w:val="000000"/>
        </w:rPr>
        <w:t>stem</w:t>
      </w:r>
      <w:r w:rsidR="000D1224" w:rsidRPr="004C7FA7">
        <w:rPr>
          <w:rFonts w:ascii="Times New Roman" w:hAnsi="Times New Roman"/>
          <w:color w:val="000000"/>
        </w:rPr>
        <w:t xml:space="preserve"> at </w:t>
      </w:r>
      <w:r w:rsidR="000D1224">
        <w:rPr>
          <w:rFonts w:ascii="Times New Roman" w:hAnsi="Times New Roman"/>
          <w:lang w:val="en-US"/>
        </w:rPr>
        <w:t>79 FR 20974</w:t>
      </w:r>
      <w:r w:rsidR="000D1224" w:rsidRPr="004C7FA7">
        <w:rPr>
          <w:rFonts w:ascii="Times New Roman" w:hAnsi="Times New Roman"/>
          <w:lang w:val="en-US"/>
        </w:rPr>
        <w:t>, April 14, 2014</w:t>
      </w:r>
      <w:r w:rsidR="000D1224">
        <w:rPr>
          <w:rFonts w:ascii="Times New Roman" w:hAnsi="Times New Roman"/>
          <w:lang w:val="en-US"/>
        </w:rPr>
        <w:t>.</w:t>
      </w:r>
      <w:hyperlink r:id="rId1" w:history="1">
        <w:r w:rsidR="000D1224" w:rsidRPr="004C7FA7">
          <w:rPr>
            <w:rStyle w:val="Hyperlink"/>
            <w:rFonts w:ascii="Times New Roman" w:hAnsi="Times New Roman"/>
          </w:rPr>
          <w:t>https://www.federalregister.gov/documents/2014/04/14/2014-08254/privacy-act-of-1974-as-amended-system-of-records-notice</w:t>
        </w:r>
      </w:hyperlink>
      <w:r w:rsidR="000D1224" w:rsidRPr="004C7FA7">
        <w:rPr>
          <w:rFonts w:ascii="Times New Roman" w:hAnsi="Times New Roman"/>
          <w:color w:val="000000"/>
          <w:lang w:val="en-US"/>
        </w:rPr>
        <w:t xml:space="preserve">. </w:t>
      </w:r>
    </w:p>
  </w:footnote>
  <w:footnote w:id="7">
    <w:p w:rsidR="00E40A4A" w:rsidRDefault="00E40A4A">
      <w:pPr>
        <w:pStyle w:val="FootnoteText"/>
      </w:pPr>
      <w:r>
        <w:rPr>
          <w:rStyle w:val="FootnoteReference"/>
        </w:rPr>
        <w:footnoteRef/>
      </w:r>
      <w:r>
        <w:t xml:space="preserve"> </w:t>
      </w:r>
      <w:r w:rsidRPr="00D64CB2">
        <w:t xml:space="preserve">In </w:t>
      </w:r>
      <w:proofErr w:type="gramStart"/>
      <w:r w:rsidRPr="00D64CB2">
        <w:t>batch-filing</w:t>
      </w:r>
      <w:proofErr w:type="gramEnd"/>
      <w:r w:rsidRPr="00D64CB2">
        <w:t>, a filer submits a single electronic file containing several reports. In discrete-filing, the filer fills in an electronic form individually, using a data entry screen that FinCEN provides.</w:t>
      </w:r>
    </w:p>
  </w:footnote>
  <w:footnote w:id="8">
    <w:p w:rsidR="008B4189" w:rsidRDefault="008B4189">
      <w:pPr>
        <w:pStyle w:val="FootnoteText"/>
      </w:pPr>
      <w:r>
        <w:rPr>
          <w:rStyle w:val="FootnoteReference"/>
        </w:rPr>
        <w:footnoteRef/>
      </w:r>
      <w:r>
        <w:t xml:space="preserve"> See 31 CFR 1020</w:t>
      </w:r>
      <w:r w:rsidR="005A2611">
        <w:t>.315 - Transactions of exempt</w:t>
      </w:r>
      <w:r>
        <w:t xml:space="preserve"> persons and 31 CFR 1010.315 – Exemptions for non-bank financial institutions.</w:t>
      </w:r>
    </w:p>
  </w:footnote>
  <w:footnote w:id="9">
    <w:p w:rsidR="00B76F81" w:rsidRDefault="00B76F81" w:rsidP="00B76F81">
      <w:pPr>
        <w:pStyle w:val="FootnoteText"/>
      </w:pPr>
      <w:r>
        <w:rPr>
          <w:rStyle w:val="FootnoteReference"/>
        </w:rPr>
        <w:footnoteRef/>
      </w:r>
      <w:r>
        <w:t xml:space="preserve"> See 85 FR 29022 at </w:t>
      </w:r>
      <w:hyperlink r:id="rId2" w:history="1">
        <w:r>
          <w:rPr>
            <w:rStyle w:val="Hyperlink"/>
          </w:rPr>
          <w:t>https://www.federalregister.gov/documents/2020/05/14/2020-10310/agency-information-collection-activities-proposed-renewal-comment-request-renewal-without-change-of</w:t>
        </w:r>
      </w:hyperlink>
      <w:r>
        <w:t>.</w:t>
      </w:r>
    </w:p>
    <w:p w:rsidR="00B76F81" w:rsidRDefault="00B76F81">
      <w:pPr>
        <w:pStyle w:val="FootnoteText"/>
      </w:pPr>
    </w:p>
  </w:footnote>
  <w:footnote w:id="10">
    <w:p w:rsidR="004744C7" w:rsidRPr="00A537F3" w:rsidRDefault="004744C7" w:rsidP="004744C7">
      <w:pPr>
        <w:pStyle w:val="HTMLPreformatted"/>
        <w:shd w:val="clear" w:color="auto" w:fill="FFFFFF"/>
        <w:rPr>
          <w:rFonts w:ascii="Times New Roman" w:hAnsi="Times New Roman"/>
          <w:color w:val="000000"/>
          <w:lang w:val="en-US"/>
        </w:rPr>
      </w:pPr>
      <w:r w:rsidRPr="00A537F3">
        <w:rPr>
          <w:rStyle w:val="FootnoteReference"/>
          <w:rFonts w:ascii="Times New Roman" w:hAnsi="Times New Roman"/>
        </w:rPr>
        <w:footnoteRef/>
      </w:r>
      <w:r w:rsidR="00A537F3" w:rsidRPr="00A537F3">
        <w:rPr>
          <w:rFonts w:ascii="Times New Roman" w:hAnsi="Times New Roman"/>
        </w:rPr>
        <w:t xml:space="preserve"> </w:t>
      </w:r>
      <w:r w:rsidR="00955104">
        <w:rPr>
          <w:rFonts w:ascii="Times New Roman" w:hAnsi="Times New Roman"/>
          <w:color w:val="000000"/>
        </w:rPr>
        <w:t>See supra note 6.</w:t>
      </w:r>
    </w:p>
  </w:footnote>
  <w:footnote w:id="11">
    <w:p w:rsidR="00F746D7" w:rsidRDefault="00F746D7">
      <w:pPr>
        <w:pStyle w:val="FootnoteText"/>
      </w:pPr>
      <w:r>
        <w:rPr>
          <w:rStyle w:val="FootnoteReference"/>
        </w:rPr>
        <w:footnoteRef/>
      </w:r>
      <w:r w:rsidR="00955104">
        <w:t xml:space="preserve"> </w:t>
      </w:r>
      <w:r w:rsidR="00DF77BD">
        <w:t>Id</w:t>
      </w:r>
      <w:r>
        <w:t>.</w:t>
      </w:r>
    </w:p>
  </w:footnote>
  <w:footnote w:id="12">
    <w:p w:rsidR="0095295A" w:rsidRPr="00A537F3" w:rsidRDefault="0095295A" w:rsidP="0095295A">
      <w:pPr>
        <w:pStyle w:val="FootnoteText"/>
      </w:pPr>
      <w:r w:rsidRPr="00A537F3">
        <w:rPr>
          <w:rStyle w:val="FootnoteReference"/>
          <w:rFonts w:eastAsia="Courier New"/>
        </w:rPr>
        <w:footnoteRef/>
      </w:r>
      <w:r w:rsidRPr="00A537F3">
        <w:t xml:space="preserve"> One hour of burden </w:t>
      </w:r>
      <w:proofErr w:type="gramStart"/>
      <w:r w:rsidRPr="00A537F3">
        <w:t>is estimated</w:t>
      </w:r>
      <w:proofErr w:type="gramEnd"/>
      <w:r w:rsidRPr="00A537F3">
        <w:t xml:space="preserve"> under each of the following OMB control numbers: </w:t>
      </w:r>
      <w:r w:rsidRPr="00A537F3">
        <w:rPr>
          <w:rFonts w:eastAsia="Calibri"/>
        </w:rPr>
        <w:t xml:space="preserve">1506-0004 and 1506-0005. </w:t>
      </w:r>
    </w:p>
  </w:footnote>
  <w:footnote w:id="13">
    <w:p w:rsidR="00DE394D" w:rsidRDefault="00DE394D">
      <w:pPr>
        <w:pStyle w:val="FootnoteText"/>
      </w:pPr>
      <w:r>
        <w:rPr>
          <w:rStyle w:val="FootnoteReference"/>
        </w:rPr>
        <w:footnoteRef/>
      </w:r>
      <w:r>
        <w:t xml:space="preserve"> See Table</w:t>
      </w:r>
      <w:r w:rsidR="002E29FC">
        <w:t xml:space="preserve"> 1 at 85 FR 29023, May 14, 2020. </w:t>
      </w:r>
      <w:hyperlink r:id="rId3" w:history="1">
        <w:r w:rsidR="002E29FC">
          <w:rPr>
            <w:rStyle w:val="Hyperlink"/>
          </w:rPr>
          <w:t>https://www.federalregister.gov/documents/2020/05/14/2020-10310/agency-information-collection-activities-proposed-renewal-comment-request-renewal-without-change-of</w:t>
        </w:r>
      </w:hyperlink>
      <w:r w:rsidR="002E29FC">
        <w:t>.</w:t>
      </w:r>
    </w:p>
  </w:footnote>
  <w:footnote w:id="14">
    <w:p w:rsidR="0012361A" w:rsidRPr="004B2A63" w:rsidRDefault="0012361A" w:rsidP="0012361A">
      <w:pPr>
        <w:pStyle w:val="FootnoteText"/>
      </w:pPr>
      <w:r w:rsidRPr="00296FDA">
        <w:rPr>
          <w:rStyle w:val="FootnoteReference"/>
          <w:rFonts w:eastAsia="Courier New"/>
        </w:rPr>
        <w:footnoteRef/>
      </w:r>
      <w:r w:rsidRPr="00296FDA">
        <w:t xml:space="preserve"> Numbers </w:t>
      </w:r>
      <w:proofErr w:type="gramStart"/>
      <w:r w:rsidRPr="00296FDA">
        <w:t>are based</w:t>
      </w:r>
      <w:proofErr w:type="gramEnd"/>
      <w:r w:rsidRPr="00296FDA">
        <w:t xml:space="preserve"> on actual 2019 filings as reported by the BSA E-Filing System as of 12/31</w:t>
      </w:r>
      <w:r w:rsidR="00955104">
        <w:t>/2019.</w:t>
      </w:r>
    </w:p>
  </w:footnote>
  <w:footnote w:id="15">
    <w:p w:rsidR="00FA1A98" w:rsidRDefault="00FA1A98" w:rsidP="00FA1A98">
      <w:pPr>
        <w:pStyle w:val="FootnoteText"/>
      </w:pPr>
      <w:r>
        <w:rPr>
          <w:rStyle w:val="FootnoteReference"/>
        </w:rPr>
        <w:footnoteRef/>
      </w:r>
      <w:r>
        <w:t xml:space="preserve"> See Table </w:t>
      </w:r>
      <w:r w:rsidR="002E29FC">
        <w:t xml:space="preserve">11 at 85 FR 29029, May 14, 2020. </w:t>
      </w:r>
      <w:hyperlink r:id="rId4" w:history="1">
        <w:r w:rsidR="002E29FC">
          <w:rPr>
            <w:rStyle w:val="Hyperlink"/>
          </w:rPr>
          <w:t>https://www.federalregister.gov/documents/2020/05/14/2020-10310/agency-information-collection-activities-proposed-renewal-comment-request-renewal-without-change-of</w:t>
        </w:r>
      </w:hyperlink>
      <w:r w:rsidR="002E29FC">
        <w:t>.</w:t>
      </w:r>
    </w:p>
  </w:footnote>
  <w:footnote w:id="16">
    <w:p w:rsidR="00FA1A98" w:rsidRDefault="00FA1A98">
      <w:pPr>
        <w:pStyle w:val="FootnoteText"/>
      </w:pPr>
      <w:r>
        <w:rPr>
          <w:rStyle w:val="FootnoteReference"/>
        </w:rPr>
        <w:footnoteRef/>
      </w:r>
      <w:r>
        <w:t xml:space="preserve"> See Table </w:t>
      </w:r>
      <w:r w:rsidR="002E29FC">
        <w:t xml:space="preserve">12 at 85 FR 29029, May 14, 2020. </w:t>
      </w:r>
      <w:hyperlink r:id="rId5" w:history="1">
        <w:r w:rsidR="002E29FC">
          <w:rPr>
            <w:rStyle w:val="Hyperlink"/>
          </w:rPr>
          <w:t>https://www.federalregister.gov/documents/2020/05/14/2020-10310/agency-information-collection-activities-proposed-renewal-comment-request-renewal-without-change-of</w:t>
        </w:r>
      </w:hyperlink>
      <w:r w:rsidR="002E29FC">
        <w:t>.</w:t>
      </w:r>
    </w:p>
  </w:footnote>
  <w:footnote w:id="17">
    <w:p w:rsidR="00FA1A98" w:rsidRDefault="00FA1A98">
      <w:pPr>
        <w:pStyle w:val="FootnoteText"/>
      </w:pPr>
      <w:r>
        <w:rPr>
          <w:rStyle w:val="FootnoteReference"/>
        </w:rPr>
        <w:footnoteRef/>
      </w:r>
      <w:r>
        <w:t xml:space="preserve"> See Table</w:t>
      </w:r>
      <w:r w:rsidR="002E29FC">
        <w:t xml:space="preserve"> 6 at 85 FR 29026, May 14, 2020. </w:t>
      </w:r>
      <w:hyperlink r:id="rId6" w:history="1">
        <w:r w:rsidR="002E29FC">
          <w:rPr>
            <w:rStyle w:val="Hyperlink"/>
          </w:rPr>
          <w:t>https://www.federalregister.gov/documents/2020/05/14/2020-10310/agency-information-collection-activities-proposed-renewal-comment-request-renewal-without-change-of</w:t>
        </w:r>
      </w:hyperlink>
      <w:r w:rsidR="002E29FC">
        <w:t>.</w:t>
      </w:r>
    </w:p>
  </w:footnote>
  <w:footnote w:id="18">
    <w:p w:rsidR="00A30DD4" w:rsidRDefault="00A30DD4">
      <w:pPr>
        <w:pStyle w:val="FootnoteText"/>
      </w:pPr>
      <w:r>
        <w:rPr>
          <w:rStyle w:val="FootnoteReference"/>
        </w:rPr>
        <w:footnoteRef/>
      </w:r>
      <w:r>
        <w:t xml:space="preserve"> </w:t>
      </w:r>
      <w:r w:rsidR="002E29FC">
        <w:t xml:space="preserve">See supra note </w:t>
      </w:r>
      <w:r w:rsidR="00955104">
        <w:t>13</w:t>
      </w:r>
      <w:r>
        <w:t>.</w:t>
      </w:r>
    </w:p>
  </w:footnote>
  <w:footnote w:id="19">
    <w:p w:rsidR="00DE6C34" w:rsidRDefault="00DE6C34">
      <w:pPr>
        <w:pStyle w:val="FootnoteText"/>
      </w:pPr>
      <w:r>
        <w:rPr>
          <w:rStyle w:val="FootnoteReference"/>
        </w:rPr>
        <w:footnoteRef/>
      </w:r>
      <w:r>
        <w:t xml:space="preserve"> </w:t>
      </w:r>
      <w:r w:rsidR="005C462D" w:rsidRPr="000B6960">
        <w:t>Cost per response r</w:t>
      </w:r>
      <w:r w:rsidR="002E29FC">
        <w:t>eceived as listed in the BSA E-f</w:t>
      </w:r>
      <w:r w:rsidR="005C462D" w:rsidRPr="000B6960">
        <w:t>iling Federal contract for 2020.</w:t>
      </w:r>
    </w:p>
  </w:footnote>
  <w:footnote w:id="20">
    <w:p w:rsidR="00DE394D" w:rsidRPr="006E7D50" w:rsidRDefault="00DE394D" w:rsidP="00DE394D">
      <w:pPr>
        <w:rPr>
          <w:sz w:val="20"/>
          <w:szCs w:val="20"/>
        </w:rPr>
      </w:pPr>
      <w:r>
        <w:rPr>
          <w:rStyle w:val="FootnoteReference"/>
        </w:rPr>
        <w:footnoteRef/>
      </w:r>
      <w:r>
        <w:t xml:space="preserve"> </w:t>
      </w:r>
      <w:r w:rsidRPr="00DE394D">
        <w:rPr>
          <w:sz w:val="20"/>
          <w:szCs w:val="20"/>
        </w:rPr>
        <w:t>Refer to 85 FR 29024-29026, May 14, 2020, Part 2 (</w:t>
      </w:r>
      <w:r w:rsidRPr="00444A91">
        <w:rPr>
          <w:i/>
          <w:sz w:val="20"/>
          <w:szCs w:val="20"/>
        </w:rPr>
        <w:t>Re-calculation of the traditional annual PRA burden and cost</w:t>
      </w:r>
      <w:r w:rsidRPr="00355914">
        <w:rPr>
          <w:sz w:val="20"/>
          <w:szCs w:val="20"/>
        </w:rPr>
        <w:t>)</w:t>
      </w:r>
      <w:r w:rsidRPr="00DE394D">
        <w:rPr>
          <w:sz w:val="20"/>
          <w:szCs w:val="20"/>
        </w:rPr>
        <w:t xml:space="preserve"> for specific details outlining the revised burden and cost estimates associated with the traditional annual PRA burden and cost. Refer to 85 FR 29026- 29029, Part 3 (</w:t>
      </w:r>
      <w:r w:rsidRPr="00444A91">
        <w:rPr>
          <w:i/>
          <w:sz w:val="20"/>
          <w:szCs w:val="20"/>
        </w:rPr>
        <w:t>Estimate of the</w:t>
      </w:r>
      <w:r w:rsidRPr="00DE394D">
        <w:rPr>
          <w:b/>
          <w:i/>
          <w:sz w:val="20"/>
          <w:szCs w:val="20"/>
        </w:rPr>
        <w:t xml:space="preserve"> </w:t>
      </w:r>
      <w:r w:rsidRPr="00444A91">
        <w:rPr>
          <w:i/>
          <w:sz w:val="20"/>
          <w:szCs w:val="20"/>
        </w:rPr>
        <w:t>supplemental annual PRA burden</w:t>
      </w:r>
      <w:r w:rsidRPr="00DE394D">
        <w:rPr>
          <w:b/>
          <w:sz w:val="20"/>
          <w:szCs w:val="20"/>
        </w:rPr>
        <w:t xml:space="preserve">) </w:t>
      </w:r>
      <w:r w:rsidRPr="00DE394D">
        <w:rPr>
          <w:sz w:val="20"/>
          <w:szCs w:val="20"/>
        </w:rPr>
        <w:t>for specific details outlining the revised burden and cost estimates associated with the supplemental annual PRA burden</w:t>
      </w:r>
      <w:r w:rsidR="006E7D50">
        <w:rPr>
          <w:sz w:val="20"/>
          <w:szCs w:val="20"/>
        </w:rPr>
        <w:t xml:space="preserve">. </w:t>
      </w:r>
      <w:hyperlink r:id="rId7" w:history="1">
        <w:r w:rsidR="006E7D50" w:rsidRPr="006E7D50">
          <w:rPr>
            <w:rStyle w:val="Hyperlink"/>
            <w:sz w:val="20"/>
            <w:szCs w:val="20"/>
          </w:rPr>
          <w:t>https://www.federalregister.gov/documents/2020/05/14/2020-10310/agency-information-collection-activities-proposed-renewal-comment-request-renewal-without-change-of</w:t>
        </w:r>
      </w:hyperlink>
    </w:p>
    <w:p w:rsidR="00DE394D" w:rsidRPr="006E7D50" w:rsidRDefault="00DE394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C263C"/>
    <w:multiLevelType w:val="hybridMultilevel"/>
    <w:tmpl w:val="2806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D3799"/>
    <w:multiLevelType w:val="hybridMultilevel"/>
    <w:tmpl w:val="40B61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F04C93"/>
    <w:multiLevelType w:val="hybridMultilevel"/>
    <w:tmpl w:val="0C149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92A65"/>
    <w:multiLevelType w:val="hybridMultilevel"/>
    <w:tmpl w:val="5EB6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B7AD8"/>
    <w:multiLevelType w:val="hybridMultilevel"/>
    <w:tmpl w:val="1506F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166307"/>
    <w:multiLevelType w:val="hybridMultilevel"/>
    <w:tmpl w:val="8638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2C3183"/>
    <w:multiLevelType w:val="hybridMultilevel"/>
    <w:tmpl w:val="4390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655420"/>
    <w:rsid w:val="00003D2A"/>
    <w:rsid w:val="0000712B"/>
    <w:rsid w:val="00007FDA"/>
    <w:rsid w:val="00022A59"/>
    <w:rsid w:val="00034697"/>
    <w:rsid w:val="00041027"/>
    <w:rsid w:val="000805DC"/>
    <w:rsid w:val="000A3005"/>
    <w:rsid w:val="000A67DC"/>
    <w:rsid w:val="000B52E9"/>
    <w:rsid w:val="000C2897"/>
    <w:rsid w:val="000D1224"/>
    <w:rsid w:val="000E08D1"/>
    <w:rsid w:val="000E2308"/>
    <w:rsid w:val="000E758E"/>
    <w:rsid w:val="000F42C4"/>
    <w:rsid w:val="000F4613"/>
    <w:rsid w:val="001010C8"/>
    <w:rsid w:val="00105151"/>
    <w:rsid w:val="001154CC"/>
    <w:rsid w:val="0012361A"/>
    <w:rsid w:val="00123C1D"/>
    <w:rsid w:val="00135FA2"/>
    <w:rsid w:val="00140080"/>
    <w:rsid w:val="0014482A"/>
    <w:rsid w:val="001539A7"/>
    <w:rsid w:val="00155B8D"/>
    <w:rsid w:val="00157874"/>
    <w:rsid w:val="001809D0"/>
    <w:rsid w:val="00182AAB"/>
    <w:rsid w:val="001839A2"/>
    <w:rsid w:val="00191BF5"/>
    <w:rsid w:val="00192CF8"/>
    <w:rsid w:val="001A1455"/>
    <w:rsid w:val="001B15BE"/>
    <w:rsid w:val="001C5460"/>
    <w:rsid w:val="001C6DC0"/>
    <w:rsid w:val="001D59A9"/>
    <w:rsid w:val="001F5BBA"/>
    <w:rsid w:val="002022E7"/>
    <w:rsid w:val="002024B1"/>
    <w:rsid w:val="00223235"/>
    <w:rsid w:val="0022724E"/>
    <w:rsid w:val="00227BD2"/>
    <w:rsid w:val="002544D1"/>
    <w:rsid w:val="00260784"/>
    <w:rsid w:val="00266084"/>
    <w:rsid w:val="002857A9"/>
    <w:rsid w:val="00290829"/>
    <w:rsid w:val="002A13F5"/>
    <w:rsid w:val="002A7EAE"/>
    <w:rsid w:val="002B38AE"/>
    <w:rsid w:val="002B456F"/>
    <w:rsid w:val="002B66C8"/>
    <w:rsid w:val="002C1A65"/>
    <w:rsid w:val="002D4BD5"/>
    <w:rsid w:val="002E29FC"/>
    <w:rsid w:val="00300146"/>
    <w:rsid w:val="00300771"/>
    <w:rsid w:val="00305B87"/>
    <w:rsid w:val="0031502A"/>
    <w:rsid w:val="00332CFD"/>
    <w:rsid w:val="00346473"/>
    <w:rsid w:val="00355914"/>
    <w:rsid w:val="00360FBB"/>
    <w:rsid w:val="00381DD0"/>
    <w:rsid w:val="003868E6"/>
    <w:rsid w:val="003903CB"/>
    <w:rsid w:val="00392E2C"/>
    <w:rsid w:val="00396489"/>
    <w:rsid w:val="00396C8F"/>
    <w:rsid w:val="003B108C"/>
    <w:rsid w:val="003B5253"/>
    <w:rsid w:val="003B6371"/>
    <w:rsid w:val="003C41D6"/>
    <w:rsid w:val="003E2860"/>
    <w:rsid w:val="003E5130"/>
    <w:rsid w:val="003E5EE2"/>
    <w:rsid w:val="003E728C"/>
    <w:rsid w:val="00422938"/>
    <w:rsid w:val="00425D84"/>
    <w:rsid w:val="00444A91"/>
    <w:rsid w:val="00445C71"/>
    <w:rsid w:val="00454426"/>
    <w:rsid w:val="00455F63"/>
    <w:rsid w:val="00470FE2"/>
    <w:rsid w:val="00472B1A"/>
    <w:rsid w:val="004744C7"/>
    <w:rsid w:val="00492248"/>
    <w:rsid w:val="004A151C"/>
    <w:rsid w:val="004A7C6C"/>
    <w:rsid w:val="004B5533"/>
    <w:rsid w:val="004B63BA"/>
    <w:rsid w:val="004C7FA7"/>
    <w:rsid w:val="004D0952"/>
    <w:rsid w:val="004D7946"/>
    <w:rsid w:val="004E3BAE"/>
    <w:rsid w:val="004F0402"/>
    <w:rsid w:val="005256D8"/>
    <w:rsid w:val="00532256"/>
    <w:rsid w:val="00541FB2"/>
    <w:rsid w:val="0054370F"/>
    <w:rsid w:val="00554A99"/>
    <w:rsid w:val="00562A86"/>
    <w:rsid w:val="00563C90"/>
    <w:rsid w:val="005755BB"/>
    <w:rsid w:val="00584895"/>
    <w:rsid w:val="00595893"/>
    <w:rsid w:val="005A16F4"/>
    <w:rsid w:val="005A2611"/>
    <w:rsid w:val="005A478C"/>
    <w:rsid w:val="005A7358"/>
    <w:rsid w:val="005C462D"/>
    <w:rsid w:val="005D2BBF"/>
    <w:rsid w:val="005F05CA"/>
    <w:rsid w:val="005F5189"/>
    <w:rsid w:val="005F60B4"/>
    <w:rsid w:val="005F7C57"/>
    <w:rsid w:val="006223C8"/>
    <w:rsid w:val="00637053"/>
    <w:rsid w:val="00640351"/>
    <w:rsid w:val="00655420"/>
    <w:rsid w:val="006561E5"/>
    <w:rsid w:val="006677E9"/>
    <w:rsid w:val="00677B2F"/>
    <w:rsid w:val="006800B9"/>
    <w:rsid w:val="006820CB"/>
    <w:rsid w:val="006825FB"/>
    <w:rsid w:val="00690561"/>
    <w:rsid w:val="00690687"/>
    <w:rsid w:val="006B1C67"/>
    <w:rsid w:val="006E24A6"/>
    <w:rsid w:val="006E5EE7"/>
    <w:rsid w:val="006E7D50"/>
    <w:rsid w:val="006F0809"/>
    <w:rsid w:val="006F1E5B"/>
    <w:rsid w:val="006F2C88"/>
    <w:rsid w:val="006F760C"/>
    <w:rsid w:val="00713308"/>
    <w:rsid w:val="00716044"/>
    <w:rsid w:val="0071732F"/>
    <w:rsid w:val="00730BBB"/>
    <w:rsid w:val="00733618"/>
    <w:rsid w:val="00760772"/>
    <w:rsid w:val="007750D8"/>
    <w:rsid w:val="00775305"/>
    <w:rsid w:val="00780A65"/>
    <w:rsid w:val="00780F41"/>
    <w:rsid w:val="0078724C"/>
    <w:rsid w:val="00794078"/>
    <w:rsid w:val="007B30AF"/>
    <w:rsid w:val="007B4138"/>
    <w:rsid w:val="007D2475"/>
    <w:rsid w:val="007D3CBD"/>
    <w:rsid w:val="007E7C59"/>
    <w:rsid w:val="00813713"/>
    <w:rsid w:val="0081396D"/>
    <w:rsid w:val="00827C66"/>
    <w:rsid w:val="008457B5"/>
    <w:rsid w:val="00846D2D"/>
    <w:rsid w:val="00865DC0"/>
    <w:rsid w:val="00884136"/>
    <w:rsid w:val="008877A7"/>
    <w:rsid w:val="008A547C"/>
    <w:rsid w:val="008B4189"/>
    <w:rsid w:val="008B7EB0"/>
    <w:rsid w:val="008D06C8"/>
    <w:rsid w:val="008E3C3F"/>
    <w:rsid w:val="008F6284"/>
    <w:rsid w:val="009008E3"/>
    <w:rsid w:val="00905215"/>
    <w:rsid w:val="009058CD"/>
    <w:rsid w:val="00906B03"/>
    <w:rsid w:val="00916114"/>
    <w:rsid w:val="0092401F"/>
    <w:rsid w:val="009375C2"/>
    <w:rsid w:val="00937DE5"/>
    <w:rsid w:val="0095295A"/>
    <w:rsid w:val="00955104"/>
    <w:rsid w:val="0095666C"/>
    <w:rsid w:val="0096041E"/>
    <w:rsid w:val="00966C31"/>
    <w:rsid w:val="00982064"/>
    <w:rsid w:val="009A3FF5"/>
    <w:rsid w:val="009A482D"/>
    <w:rsid w:val="009B3352"/>
    <w:rsid w:val="009C21A9"/>
    <w:rsid w:val="009C45EC"/>
    <w:rsid w:val="009D24A2"/>
    <w:rsid w:val="009E7D08"/>
    <w:rsid w:val="009F1F4B"/>
    <w:rsid w:val="00A30DD4"/>
    <w:rsid w:val="00A31513"/>
    <w:rsid w:val="00A322AB"/>
    <w:rsid w:val="00A35CB2"/>
    <w:rsid w:val="00A3600D"/>
    <w:rsid w:val="00A36B1B"/>
    <w:rsid w:val="00A37B2C"/>
    <w:rsid w:val="00A51CB4"/>
    <w:rsid w:val="00A537F3"/>
    <w:rsid w:val="00A62820"/>
    <w:rsid w:val="00A65380"/>
    <w:rsid w:val="00A666D3"/>
    <w:rsid w:val="00A66BC5"/>
    <w:rsid w:val="00A7229D"/>
    <w:rsid w:val="00A736BE"/>
    <w:rsid w:val="00AA57C1"/>
    <w:rsid w:val="00AD5488"/>
    <w:rsid w:val="00AD7928"/>
    <w:rsid w:val="00B14AAF"/>
    <w:rsid w:val="00B26CDA"/>
    <w:rsid w:val="00B36B1E"/>
    <w:rsid w:val="00B41BE5"/>
    <w:rsid w:val="00B4242C"/>
    <w:rsid w:val="00B51C87"/>
    <w:rsid w:val="00B61368"/>
    <w:rsid w:val="00B76F81"/>
    <w:rsid w:val="00B87139"/>
    <w:rsid w:val="00B94BA4"/>
    <w:rsid w:val="00BB25DE"/>
    <w:rsid w:val="00BC0BF2"/>
    <w:rsid w:val="00BD3805"/>
    <w:rsid w:val="00BD5D7F"/>
    <w:rsid w:val="00BE7FEC"/>
    <w:rsid w:val="00BF2305"/>
    <w:rsid w:val="00C063B6"/>
    <w:rsid w:val="00C07C62"/>
    <w:rsid w:val="00C11A77"/>
    <w:rsid w:val="00C203F2"/>
    <w:rsid w:val="00C35C17"/>
    <w:rsid w:val="00C40781"/>
    <w:rsid w:val="00C46580"/>
    <w:rsid w:val="00C66A9C"/>
    <w:rsid w:val="00C671AB"/>
    <w:rsid w:val="00C71072"/>
    <w:rsid w:val="00C73171"/>
    <w:rsid w:val="00C97DAE"/>
    <w:rsid w:val="00CC4655"/>
    <w:rsid w:val="00CD3867"/>
    <w:rsid w:val="00CE020F"/>
    <w:rsid w:val="00CE117A"/>
    <w:rsid w:val="00CE1815"/>
    <w:rsid w:val="00CE388A"/>
    <w:rsid w:val="00CF1C75"/>
    <w:rsid w:val="00CF222E"/>
    <w:rsid w:val="00CF5FB6"/>
    <w:rsid w:val="00D0568C"/>
    <w:rsid w:val="00D477DD"/>
    <w:rsid w:val="00D5206C"/>
    <w:rsid w:val="00D7506F"/>
    <w:rsid w:val="00D774EC"/>
    <w:rsid w:val="00D87CAF"/>
    <w:rsid w:val="00DB0D14"/>
    <w:rsid w:val="00DE0CF9"/>
    <w:rsid w:val="00DE394D"/>
    <w:rsid w:val="00DE6C34"/>
    <w:rsid w:val="00DF77BD"/>
    <w:rsid w:val="00E0349F"/>
    <w:rsid w:val="00E05D91"/>
    <w:rsid w:val="00E0655E"/>
    <w:rsid w:val="00E07624"/>
    <w:rsid w:val="00E07F6F"/>
    <w:rsid w:val="00E11900"/>
    <w:rsid w:val="00E20AD0"/>
    <w:rsid w:val="00E23E7F"/>
    <w:rsid w:val="00E279C1"/>
    <w:rsid w:val="00E3520C"/>
    <w:rsid w:val="00E3587C"/>
    <w:rsid w:val="00E35CD2"/>
    <w:rsid w:val="00E404B3"/>
    <w:rsid w:val="00E40A4A"/>
    <w:rsid w:val="00E42E3A"/>
    <w:rsid w:val="00E57276"/>
    <w:rsid w:val="00E7709B"/>
    <w:rsid w:val="00E97D7F"/>
    <w:rsid w:val="00EA02AB"/>
    <w:rsid w:val="00EA4AB2"/>
    <w:rsid w:val="00EB6764"/>
    <w:rsid w:val="00EB676B"/>
    <w:rsid w:val="00EC26BD"/>
    <w:rsid w:val="00EE2652"/>
    <w:rsid w:val="00EE6E92"/>
    <w:rsid w:val="00EF1E39"/>
    <w:rsid w:val="00EF20F4"/>
    <w:rsid w:val="00F06555"/>
    <w:rsid w:val="00F17996"/>
    <w:rsid w:val="00F24746"/>
    <w:rsid w:val="00F26FAA"/>
    <w:rsid w:val="00F4414E"/>
    <w:rsid w:val="00F736C6"/>
    <w:rsid w:val="00F746D7"/>
    <w:rsid w:val="00F81D3C"/>
    <w:rsid w:val="00F84E02"/>
    <w:rsid w:val="00FA1A98"/>
    <w:rsid w:val="00FA603F"/>
    <w:rsid w:val="00FA7281"/>
    <w:rsid w:val="00FB000D"/>
    <w:rsid w:val="00FC6522"/>
    <w:rsid w:val="00FD3B3B"/>
    <w:rsid w:val="00FE5B5B"/>
    <w:rsid w:val="00FE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E6231"/>
  <w15:chartTrackingRefBased/>
  <w15:docId w15:val="{C95145AF-9AF6-4D3E-9E28-73121881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189"/>
    <w:rPr>
      <w:sz w:val="24"/>
      <w:szCs w:val="24"/>
    </w:rPr>
  </w:style>
  <w:style w:type="paragraph" w:styleId="Heading1">
    <w:name w:val="heading 1"/>
    <w:basedOn w:val="Normal"/>
    <w:next w:val="Normal"/>
    <w:qFormat/>
    <w:pPr>
      <w:keepNext/>
      <w:autoSpaceDE w:val="0"/>
      <w:autoSpaceDN w:val="0"/>
      <w:adjustRightInd w:val="0"/>
      <w:outlineLvl w:val="0"/>
    </w:pPr>
    <w:rPr>
      <w:b/>
      <w:bCs/>
      <w:szCs w:val="26"/>
    </w:rPr>
  </w:style>
  <w:style w:type="paragraph" w:styleId="Heading2">
    <w:name w:val="heading 2"/>
    <w:basedOn w:val="Normal"/>
    <w:next w:val="Normal"/>
    <w:link w:val="Heading2Char"/>
    <w:uiPriority w:val="9"/>
    <w:semiHidden/>
    <w:unhideWhenUsed/>
    <w:qFormat/>
    <w:rsid w:val="008B418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F84E0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autoSpaceDE w:val="0"/>
      <w:autoSpaceDN w:val="0"/>
      <w:adjustRightInd w:val="0"/>
      <w:spacing w:before="283"/>
    </w:pPr>
    <w:rPr>
      <w:sz w:val="22"/>
      <w:szCs w:val="22"/>
    </w:rPr>
  </w:style>
  <w:style w:type="paragraph" w:styleId="BalloonText">
    <w:name w:val="Balloon Text"/>
    <w:basedOn w:val="Normal"/>
    <w:semiHidden/>
    <w:rsid w:val="00541FB2"/>
    <w:rPr>
      <w:rFonts w:ascii="Tahoma" w:hAnsi="Tahoma" w:cs="Tahoma"/>
      <w:sz w:val="16"/>
      <w:szCs w:val="16"/>
    </w:rPr>
  </w:style>
  <w:style w:type="paragraph" w:customStyle="1" w:styleId="Default">
    <w:name w:val="Default"/>
    <w:rsid w:val="004B5533"/>
    <w:pPr>
      <w:autoSpaceDE w:val="0"/>
      <w:autoSpaceDN w:val="0"/>
      <w:adjustRightInd w:val="0"/>
    </w:pPr>
    <w:rPr>
      <w:rFonts w:ascii="Verdana" w:eastAsia="Calibri" w:hAnsi="Verdana" w:cs="Verdana"/>
      <w:color w:val="000000"/>
      <w:sz w:val="24"/>
      <w:szCs w:val="24"/>
    </w:rPr>
  </w:style>
  <w:style w:type="paragraph" w:styleId="FootnoteText">
    <w:name w:val="footnote text"/>
    <w:basedOn w:val="Normal"/>
    <w:link w:val="FootnoteTextChar"/>
    <w:uiPriority w:val="99"/>
    <w:unhideWhenUsed/>
    <w:rsid w:val="006B1C67"/>
    <w:rPr>
      <w:sz w:val="20"/>
      <w:szCs w:val="20"/>
    </w:rPr>
  </w:style>
  <w:style w:type="character" w:customStyle="1" w:styleId="FootnoteTextChar">
    <w:name w:val="Footnote Text Char"/>
    <w:basedOn w:val="DefaultParagraphFont"/>
    <w:link w:val="FootnoteText"/>
    <w:uiPriority w:val="99"/>
    <w:rsid w:val="006B1C67"/>
  </w:style>
  <w:style w:type="character" w:styleId="FootnoteReference">
    <w:name w:val="footnote reference"/>
    <w:unhideWhenUsed/>
    <w:rsid w:val="006B1C67"/>
    <w:rPr>
      <w:vertAlign w:val="superscript"/>
    </w:rPr>
  </w:style>
  <w:style w:type="paragraph" w:styleId="HTMLPreformatted">
    <w:name w:val="HTML Preformatted"/>
    <w:basedOn w:val="Normal"/>
    <w:link w:val="HTMLPreformattedChar"/>
    <w:uiPriority w:val="99"/>
    <w:rsid w:val="006B1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link w:val="HTMLPreformatted"/>
    <w:uiPriority w:val="99"/>
    <w:rsid w:val="006B1C67"/>
    <w:rPr>
      <w:rFonts w:ascii="Courier New" w:eastAsia="Courier New" w:hAnsi="Courier New" w:cs="Courier New"/>
    </w:rPr>
  </w:style>
  <w:style w:type="character" w:styleId="Hyperlink">
    <w:name w:val="Hyperlink"/>
    <w:uiPriority w:val="99"/>
    <w:unhideWhenUsed/>
    <w:rsid w:val="00034697"/>
    <w:rPr>
      <w:color w:val="0000FF"/>
      <w:u w:val="single"/>
    </w:rPr>
  </w:style>
  <w:style w:type="character" w:styleId="CommentReference">
    <w:name w:val="annotation reference"/>
    <w:uiPriority w:val="99"/>
    <w:unhideWhenUsed/>
    <w:rsid w:val="007B4138"/>
    <w:rPr>
      <w:sz w:val="16"/>
      <w:szCs w:val="16"/>
    </w:rPr>
  </w:style>
  <w:style w:type="paragraph" w:styleId="CommentText">
    <w:name w:val="annotation text"/>
    <w:basedOn w:val="Normal"/>
    <w:link w:val="CommentTextChar"/>
    <w:uiPriority w:val="99"/>
    <w:unhideWhenUsed/>
    <w:rsid w:val="007B4138"/>
    <w:rPr>
      <w:sz w:val="20"/>
      <w:szCs w:val="20"/>
    </w:rPr>
  </w:style>
  <w:style w:type="character" w:customStyle="1" w:styleId="CommentTextChar">
    <w:name w:val="Comment Text Char"/>
    <w:basedOn w:val="DefaultParagraphFont"/>
    <w:link w:val="CommentText"/>
    <w:uiPriority w:val="99"/>
    <w:rsid w:val="007B4138"/>
  </w:style>
  <w:style w:type="paragraph" w:styleId="CommentSubject">
    <w:name w:val="annotation subject"/>
    <w:basedOn w:val="CommentText"/>
    <w:next w:val="CommentText"/>
    <w:link w:val="CommentSubjectChar"/>
    <w:uiPriority w:val="99"/>
    <w:semiHidden/>
    <w:unhideWhenUsed/>
    <w:rsid w:val="007B4138"/>
    <w:rPr>
      <w:b/>
      <w:bCs/>
      <w:lang w:val="x-none" w:eastAsia="x-none"/>
    </w:rPr>
  </w:style>
  <w:style w:type="character" w:customStyle="1" w:styleId="CommentSubjectChar">
    <w:name w:val="Comment Subject Char"/>
    <w:link w:val="CommentSubject"/>
    <w:uiPriority w:val="99"/>
    <w:semiHidden/>
    <w:rsid w:val="007B4138"/>
    <w:rPr>
      <w:b/>
      <w:bCs/>
    </w:rPr>
  </w:style>
  <w:style w:type="paragraph" w:styleId="BodyTextIndent">
    <w:name w:val="Body Text Indent"/>
    <w:basedOn w:val="Normal"/>
    <w:link w:val="BodyTextIndentChar"/>
    <w:uiPriority w:val="99"/>
    <w:unhideWhenUsed/>
    <w:rsid w:val="007B4138"/>
    <w:pPr>
      <w:spacing w:after="120"/>
      <w:ind w:left="360"/>
    </w:pPr>
    <w:rPr>
      <w:lang w:val="x-none" w:eastAsia="x-none"/>
    </w:rPr>
  </w:style>
  <w:style w:type="character" w:customStyle="1" w:styleId="BodyTextIndentChar">
    <w:name w:val="Body Text Indent Char"/>
    <w:link w:val="BodyTextIndent"/>
    <w:uiPriority w:val="99"/>
    <w:rsid w:val="007B4138"/>
    <w:rPr>
      <w:sz w:val="24"/>
      <w:szCs w:val="24"/>
    </w:rPr>
  </w:style>
  <w:style w:type="paragraph" w:styleId="Header">
    <w:name w:val="header"/>
    <w:basedOn w:val="Normal"/>
    <w:link w:val="HeaderChar"/>
    <w:uiPriority w:val="99"/>
    <w:unhideWhenUsed/>
    <w:rsid w:val="00472B1A"/>
    <w:pPr>
      <w:tabs>
        <w:tab w:val="center" w:pos="4680"/>
        <w:tab w:val="right" w:pos="9360"/>
      </w:tabs>
    </w:pPr>
  </w:style>
  <w:style w:type="character" w:customStyle="1" w:styleId="HeaderChar">
    <w:name w:val="Header Char"/>
    <w:link w:val="Header"/>
    <w:uiPriority w:val="99"/>
    <w:rsid w:val="00472B1A"/>
    <w:rPr>
      <w:sz w:val="24"/>
      <w:szCs w:val="24"/>
    </w:rPr>
  </w:style>
  <w:style w:type="paragraph" w:styleId="Footer">
    <w:name w:val="footer"/>
    <w:basedOn w:val="Normal"/>
    <w:link w:val="FooterChar"/>
    <w:uiPriority w:val="99"/>
    <w:unhideWhenUsed/>
    <w:rsid w:val="00472B1A"/>
    <w:pPr>
      <w:tabs>
        <w:tab w:val="center" w:pos="4680"/>
        <w:tab w:val="right" w:pos="9360"/>
      </w:tabs>
    </w:pPr>
  </w:style>
  <w:style w:type="character" w:customStyle="1" w:styleId="FooterChar">
    <w:name w:val="Footer Char"/>
    <w:link w:val="Footer"/>
    <w:uiPriority w:val="99"/>
    <w:rsid w:val="00472B1A"/>
    <w:rPr>
      <w:sz w:val="24"/>
      <w:szCs w:val="24"/>
    </w:rPr>
  </w:style>
  <w:style w:type="character" w:customStyle="1" w:styleId="Heading3Char">
    <w:name w:val="Heading 3 Char"/>
    <w:link w:val="Heading3"/>
    <w:uiPriority w:val="9"/>
    <w:semiHidden/>
    <w:rsid w:val="00F84E02"/>
    <w:rPr>
      <w:rFonts w:ascii="Calibri Light" w:eastAsia="Times New Roman" w:hAnsi="Calibri Light" w:cs="Times New Roman"/>
      <w:b/>
      <w:bCs/>
      <w:sz w:val="26"/>
      <w:szCs w:val="26"/>
    </w:rPr>
  </w:style>
  <w:style w:type="paragraph" w:styleId="ListParagraph">
    <w:name w:val="List Paragraph"/>
    <w:basedOn w:val="Normal"/>
    <w:uiPriority w:val="34"/>
    <w:qFormat/>
    <w:rsid w:val="003E2860"/>
    <w:pPr>
      <w:spacing w:after="160" w:line="259"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4744C7"/>
    <w:rPr>
      <w:color w:val="954F72"/>
      <w:u w:val="single"/>
    </w:rPr>
  </w:style>
  <w:style w:type="character" w:customStyle="1" w:styleId="Heading2Char">
    <w:name w:val="Heading 2 Char"/>
    <w:link w:val="Heading2"/>
    <w:uiPriority w:val="9"/>
    <w:semiHidden/>
    <w:rsid w:val="008B4189"/>
    <w:rPr>
      <w:rFonts w:ascii="Calibri Light" w:eastAsia="Times New Roman" w:hAnsi="Calibri Light" w:cs="Times New Roman"/>
      <w:b/>
      <w:bCs/>
      <w:i/>
      <w:iCs/>
      <w:sz w:val="28"/>
      <w:szCs w:val="28"/>
    </w:rPr>
  </w:style>
  <w:style w:type="paragraph" w:styleId="NormalWeb">
    <w:name w:val="Normal (Web)"/>
    <w:basedOn w:val="Normal"/>
    <w:uiPriority w:val="99"/>
    <w:unhideWhenUsed/>
    <w:rsid w:val="008B4189"/>
    <w:pPr>
      <w:spacing w:before="100" w:beforeAutospacing="1" w:after="100" w:afterAutospacing="1"/>
      <w:ind w:firstLine="480"/>
    </w:pPr>
  </w:style>
  <w:style w:type="paragraph" w:customStyle="1" w:styleId="psection-2">
    <w:name w:val="psection-2"/>
    <w:basedOn w:val="Normal"/>
    <w:rsid w:val="004B63BA"/>
    <w:pPr>
      <w:spacing w:after="150"/>
      <w:ind w:left="240"/>
    </w:pPr>
  </w:style>
  <w:style w:type="paragraph" w:customStyle="1" w:styleId="psection-3">
    <w:name w:val="psection-3"/>
    <w:basedOn w:val="Normal"/>
    <w:rsid w:val="004B63BA"/>
    <w:pPr>
      <w:spacing w:after="150"/>
      <w:ind w:left="480"/>
    </w:pPr>
  </w:style>
  <w:style w:type="character" w:customStyle="1" w:styleId="enumxml1">
    <w:name w:val="enumxml1"/>
    <w:rsid w:val="004B63BA"/>
    <w:rPr>
      <w:b/>
      <w:bCs/>
    </w:rPr>
  </w:style>
  <w:style w:type="character" w:customStyle="1" w:styleId="enumxml2">
    <w:name w:val="enumxml2"/>
    <w:rsid w:val="004B63BA"/>
    <w:rPr>
      <w:b/>
      <w:bCs/>
    </w:rPr>
  </w:style>
  <w:style w:type="character" w:customStyle="1" w:styleId="BodyTextChar">
    <w:name w:val="Body Text Char"/>
    <w:link w:val="BodyText"/>
    <w:rsid w:val="002B66C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7546">
      <w:bodyDiv w:val="1"/>
      <w:marLeft w:val="0"/>
      <w:marRight w:val="0"/>
      <w:marTop w:val="30"/>
      <w:marBottom w:val="750"/>
      <w:divBdr>
        <w:top w:val="none" w:sz="0" w:space="0" w:color="auto"/>
        <w:left w:val="none" w:sz="0" w:space="0" w:color="auto"/>
        <w:bottom w:val="none" w:sz="0" w:space="0" w:color="auto"/>
        <w:right w:val="none" w:sz="0" w:space="0" w:color="auto"/>
      </w:divBdr>
      <w:divsChild>
        <w:div w:id="1694578425">
          <w:marLeft w:val="0"/>
          <w:marRight w:val="0"/>
          <w:marTop w:val="0"/>
          <w:marBottom w:val="0"/>
          <w:divBdr>
            <w:top w:val="single" w:sz="36" w:space="0" w:color="FFFFFF"/>
            <w:left w:val="none" w:sz="0" w:space="0" w:color="auto"/>
            <w:bottom w:val="none" w:sz="0" w:space="0" w:color="auto"/>
            <w:right w:val="none" w:sz="0" w:space="0" w:color="auto"/>
          </w:divBdr>
          <w:divsChild>
            <w:div w:id="61035760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954825409">
      <w:bodyDiv w:val="1"/>
      <w:marLeft w:val="0"/>
      <w:marRight w:val="0"/>
      <w:marTop w:val="0"/>
      <w:marBottom w:val="0"/>
      <w:divBdr>
        <w:top w:val="none" w:sz="0" w:space="0" w:color="auto"/>
        <w:left w:val="none" w:sz="0" w:space="0" w:color="auto"/>
        <w:bottom w:val="none" w:sz="0" w:space="0" w:color="auto"/>
        <w:right w:val="none" w:sz="0" w:space="0" w:color="auto"/>
      </w:divBdr>
    </w:div>
    <w:div w:id="1014066412">
      <w:bodyDiv w:val="1"/>
      <w:marLeft w:val="0"/>
      <w:marRight w:val="0"/>
      <w:marTop w:val="0"/>
      <w:marBottom w:val="0"/>
      <w:divBdr>
        <w:top w:val="none" w:sz="0" w:space="0" w:color="auto"/>
        <w:left w:val="none" w:sz="0" w:space="0" w:color="auto"/>
        <w:bottom w:val="none" w:sz="0" w:space="0" w:color="auto"/>
        <w:right w:val="none" w:sz="0" w:space="0" w:color="auto"/>
      </w:divBdr>
    </w:div>
    <w:div w:id="183306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aefiling.fincen.treas.gov/mai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20/05/14/2020-10310/agency-information-collection-activities-proposed-renewal-comment-request-renewal-without-change-of" TargetMode="External"/><Relationship Id="rId7" Type="http://schemas.openxmlformats.org/officeDocument/2006/relationships/hyperlink" Target="https://www.federalregister.gov/documents/2020/05/14/2020-10310/agency-information-collection-activities-proposed-renewal-comment-request-renewal-without-change-of" TargetMode="External"/><Relationship Id="rId2" Type="http://schemas.openxmlformats.org/officeDocument/2006/relationships/hyperlink" Target="https://www.federalregister.gov/documents/2020/05/14/2020-10310/agency-information-collection-activities-proposed-renewal-comment-request-renewal-without-change-of" TargetMode="External"/><Relationship Id="rId1" Type="http://schemas.openxmlformats.org/officeDocument/2006/relationships/hyperlink" Target="https://www.federalregister.gov/documents/2014/04/14/2014-08254/privacy-act-of-1974-as-amended-system-of-records-notice" TargetMode="External"/><Relationship Id="rId6" Type="http://schemas.openxmlformats.org/officeDocument/2006/relationships/hyperlink" Target="https://www.federalregister.gov/documents/2020/05/14/2020-10310/agency-information-collection-activities-proposed-renewal-comment-request-renewal-without-change-of" TargetMode="External"/><Relationship Id="rId5" Type="http://schemas.openxmlformats.org/officeDocument/2006/relationships/hyperlink" Target="https://www.federalregister.gov/documents/2020/05/14/2020-10310/agency-information-collection-activities-proposed-renewal-comment-request-renewal-without-change-of" TargetMode="External"/><Relationship Id="rId4" Type="http://schemas.openxmlformats.org/officeDocument/2006/relationships/hyperlink" Target="https://www.federalregister.gov/documents/2020/05/14/2020-10310/agency-information-collection-activities-proposed-renewal-comment-request-renewal-without-change-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3D275-8B19-4F32-AB8A-113DE669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2074</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14217</CharactersWithSpaces>
  <SharedDoc>false</SharedDoc>
  <HLinks>
    <vt:vector size="48" baseType="variant">
      <vt:variant>
        <vt:i4>4653132</vt:i4>
      </vt:variant>
      <vt:variant>
        <vt:i4>0</vt:i4>
      </vt:variant>
      <vt:variant>
        <vt:i4>0</vt:i4>
      </vt:variant>
      <vt:variant>
        <vt:i4>5</vt:i4>
      </vt:variant>
      <vt:variant>
        <vt:lpwstr>http://bsaefiling.fincen.treas.gov/main.html</vt:lpwstr>
      </vt:variant>
      <vt:variant>
        <vt:lpwstr/>
      </vt:variant>
      <vt:variant>
        <vt:i4>6553702</vt:i4>
      </vt:variant>
      <vt:variant>
        <vt:i4>18</vt:i4>
      </vt:variant>
      <vt:variant>
        <vt:i4>0</vt:i4>
      </vt:variant>
      <vt:variant>
        <vt:i4>5</vt:i4>
      </vt:variant>
      <vt:variant>
        <vt:lpwstr>https://www.federalregister.gov/documents/2020/05/14/2020-10310/agency-information-collection-activities-proposed-renewal-comment-request-renewal-without-change-of</vt:lpwstr>
      </vt:variant>
      <vt:variant>
        <vt:lpwstr/>
      </vt:variant>
      <vt:variant>
        <vt:i4>6553702</vt:i4>
      </vt:variant>
      <vt:variant>
        <vt:i4>15</vt:i4>
      </vt:variant>
      <vt:variant>
        <vt:i4>0</vt:i4>
      </vt:variant>
      <vt:variant>
        <vt:i4>5</vt:i4>
      </vt:variant>
      <vt:variant>
        <vt:lpwstr>https://www.federalregister.gov/documents/2020/05/14/2020-10310/agency-information-collection-activities-proposed-renewal-comment-request-renewal-without-change-of</vt:lpwstr>
      </vt:variant>
      <vt:variant>
        <vt:lpwstr/>
      </vt:variant>
      <vt:variant>
        <vt:i4>6553702</vt:i4>
      </vt:variant>
      <vt:variant>
        <vt:i4>12</vt:i4>
      </vt:variant>
      <vt:variant>
        <vt:i4>0</vt:i4>
      </vt:variant>
      <vt:variant>
        <vt:i4>5</vt:i4>
      </vt:variant>
      <vt:variant>
        <vt:lpwstr>https://www.federalregister.gov/documents/2020/05/14/2020-10310/agency-information-collection-activities-proposed-renewal-comment-request-renewal-without-change-of</vt:lpwstr>
      </vt:variant>
      <vt:variant>
        <vt:lpwstr/>
      </vt:variant>
      <vt:variant>
        <vt:i4>6553702</vt:i4>
      </vt:variant>
      <vt:variant>
        <vt:i4>9</vt:i4>
      </vt:variant>
      <vt:variant>
        <vt:i4>0</vt:i4>
      </vt:variant>
      <vt:variant>
        <vt:i4>5</vt:i4>
      </vt:variant>
      <vt:variant>
        <vt:lpwstr>https://www.federalregister.gov/documents/2020/05/14/2020-10310/agency-information-collection-activities-proposed-renewal-comment-request-renewal-without-change-of</vt:lpwstr>
      </vt:variant>
      <vt:variant>
        <vt:lpwstr/>
      </vt:variant>
      <vt:variant>
        <vt:i4>6553702</vt:i4>
      </vt:variant>
      <vt:variant>
        <vt:i4>6</vt:i4>
      </vt:variant>
      <vt:variant>
        <vt:i4>0</vt:i4>
      </vt:variant>
      <vt:variant>
        <vt:i4>5</vt:i4>
      </vt:variant>
      <vt:variant>
        <vt:lpwstr>https://www.federalregister.gov/documents/2020/05/14/2020-10310/agency-information-collection-activities-proposed-renewal-comment-request-renewal-without-change-of</vt:lpwstr>
      </vt:variant>
      <vt:variant>
        <vt:lpwstr/>
      </vt:variant>
      <vt:variant>
        <vt:i4>6553702</vt:i4>
      </vt:variant>
      <vt:variant>
        <vt:i4>3</vt:i4>
      </vt:variant>
      <vt:variant>
        <vt:i4>0</vt:i4>
      </vt:variant>
      <vt:variant>
        <vt:i4>5</vt:i4>
      </vt:variant>
      <vt:variant>
        <vt:lpwstr>https://www.federalregister.gov/documents/2020/05/14/2020-10310/agency-information-collection-activities-proposed-renewal-comment-request-renewal-without-change-of</vt:lpwstr>
      </vt:variant>
      <vt:variant>
        <vt:lpwstr/>
      </vt:variant>
      <vt:variant>
        <vt:i4>3801151</vt:i4>
      </vt:variant>
      <vt:variant>
        <vt:i4>0</vt:i4>
      </vt:variant>
      <vt:variant>
        <vt:i4>0</vt:i4>
      </vt:variant>
      <vt:variant>
        <vt:i4>5</vt:i4>
      </vt:variant>
      <vt:variant>
        <vt:lpwstr>https://www.federalregister.gov/documents/2014/04/14/2014-08254/privacy-act-of-1974-as-amended-system-of-records-notice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StephR</dc:creator>
  <cp:keywords/>
  <cp:lastModifiedBy>StephR</cp:lastModifiedBy>
  <cp:revision>3</cp:revision>
  <cp:lastPrinted>2013-01-10T14:07:00Z</cp:lastPrinted>
  <dcterms:created xsi:type="dcterms:W3CDTF">2020-07-29T16:48:00Z</dcterms:created>
  <dcterms:modified xsi:type="dcterms:W3CDTF">2020-07-29T16:50:00Z</dcterms:modified>
</cp:coreProperties>
</file>