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031B" w:rsidR="005A67CC" w:rsidP="00941D58" w:rsidRDefault="00087887">
      <w:pPr>
        <w:spacing w:after="0" w:line="240" w:lineRule="auto"/>
        <w:jc w:val="center"/>
        <w:rPr>
          <w:rFonts w:ascii="Times New Roman" w:hAnsi="Times New Roman" w:cs="Times New Roman"/>
          <w:b/>
          <w:sz w:val="24"/>
          <w:szCs w:val="24"/>
        </w:rPr>
      </w:pPr>
      <w:r w:rsidRPr="0092031B">
        <w:rPr>
          <w:rFonts w:ascii="Times New Roman" w:hAnsi="Times New Roman" w:cs="Times New Roman"/>
          <w:b/>
          <w:sz w:val="24"/>
          <w:szCs w:val="24"/>
        </w:rPr>
        <w:t>SUPPORTING STATEMENT</w:t>
      </w:r>
    </w:p>
    <w:p w:rsidRPr="0092031B" w:rsidR="00087887" w:rsidP="00941D58" w:rsidRDefault="00087887">
      <w:pPr>
        <w:spacing w:after="0" w:line="240" w:lineRule="auto"/>
        <w:jc w:val="center"/>
        <w:rPr>
          <w:rFonts w:ascii="Times New Roman" w:hAnsi="Times New Roman" w:cs="Times New Roman"/>
          <w:b/>
          <w:sz w:val="24"/>
          <w:szCs w:val="24"/>
        </w:rPr>
      </w:pPr>
      <w:r w:rsidRPr="0092031B">
        <w:rPr>
          <w:rFonts w:ascii="Times New Roman" w:hAnsi="Times New Roman" w:cs="Times New Roman"/>
          <w:b/>
          <w:sz w:val="24"/>
          <w:szCs w:val="24"/>
        </w:rPr>
        <w:t>1110-0002</w:t>
      </w:r>
    </w:p>
    <w:p w:rsidRPr="0092031B" w:rsidR="00087887" w:rsidP="00941D58" w:rsidRDefault="00087887">
      <w:pPr>
        <w:spacing w:after="0" w:line="240" w:lineRule="auto"/>
        <w:jc w:val="center"/>
        <w:rPr>
          <w:rFonts w:ascii="Times New Roman" w:hAnsi="Times New Roman" w:cs="Times New Roman"/>
          <w:b/>
          <w:sz w:val="24"/>
          <w:szCs w:val="24"/>
        </w:rPr>
      </w:pPr>
      <w:r w:rsidRPr="0092031B">
        <w:rPr>
          <w:rFonts w:ascii="Times New Roman" w:hAnsi="Times New Roman" w:cs="Times New Roman"/>
          <w:b/>
          <w:sz w:val="24"/>
          <w:szCs w:val="24"/>
        </w:rPr>
        <w:t>Supplementary Homicide Report</w:t>
      </w:r>
    </w:p>
    <w:p w:rsidRPr="0092031B" w:rsidR="00087887" w:rsidP="00941D58" w:rsidRDefault="00087887">
      <w:pPr>
        <w:spacing w:after="0" w:line="240" w:lineRule="auto"/>
        <w:rPr>
          <w:rFonts w:ascii="Times New Roman" w:hAnsi="Times New Roman" w:cs="Times New Roman"/>
          <w:b/>
          <w:sz w:val="24"/>
          <w:szCs w:val="24"/>
        </w:rPr>
      </w:pPr>
    </w:p>
    <w:p w:rsidRPr="00D36E0A" w:rsidR="00087887" w:rsidP="00941D58" w:rsidRDefault="00087887">
      <w:pPr>
        <w:spacing w:after="0" w:line="240" w:lineRule="auto"/>
        <w:rPr>
          <w:rFonts w:ascii="Times New Roman" w:hAnsi="Times New Roman" w:cs="Times New Roman"/>
          <w:sz w:val="24"/>
          <w:szCs w:val="24"/>
        </w:rPr>
      </w:pPr>
      <w:r w:rsidRPr="00D36E0A">
        <w:rPr>
          <w:rFonts w:ascii="Times New Roman" w:hAnsi="Times New Roman" w:cs="Times New Roman"/>
          <w:sz w:val="24"/>
          <w:szCs w:val="24"/>
        </w:rPr>
        <w:t>The F</w:t>
      </w:r>
      <w:r w:rsidRPr="00D36E0A" w:rsidR="001A4403">
        <w:rPr>
          <w:rFonts w:ascii="Times New Roman" w:hAnsi="Times New Roman" w:cs="Times New Roman"/>
          <w:sz w:val="24"/>
          <w:szCs w:val="24"/>
        </w:rPr>
        <w:t>ederal Bureau of Investigation</w:t>
      </w:r>
      <w:r w:rsidRPr="00D36E0A">
        <w:rPr>
          <w:rFonts w:ascii="Times New Roman" w:hAnsi="Times New Roman" w:cs="Times New Roman"/>
          <w:sz w:val="24"/>
          <w:szCs w:val="24"/>
        </w:rPr>
        <w:t xml:space="preserve"> (FBI) Uniform Crime Repo</w:t>
      </w:r>
      <w:r w:rsidR="00630095">
        <w:rPr>
          <w:rFonts w:ascii="Times New Roman" w:hAnsi="Times New Roman" w:cs="Times New Roman"/>
          <w:sz w:val="24"/>
          <w:szCs w:val="24"/>
        </w:rPr>
        <w:t>rting (UCR) Program requests a three</w:t>
      </w:r>
      <w:r w:rsidRPr="00D36E0A">
        <w:rPr>
          <w:rFonts w:ascii="Times New Roman" w:hAnsi="Times New Roman" w:cs="Times New Roman"/>
          <w:sz w:val="24"/>
          <w:szCs w:val="24"/>
        </w:rPr>
        <w:t>-y</w:t>
      </w:r>
      <w:r w:rsidRPr="00D36E0A" w:rsidR="002315C9">
        <w:rPr>
          <w:rFonts w:ascii="Times New Roman" w:hAnsi="Times New Roman" w:cs="Times New Roman"/>
          <w:sz w:val="24"/>
          <w:szCs w:val="24"/>
        </w:rPr>
        <w:t>ear extension of this currently-</w:t>
      </w:r>
      <w:r w:rsidRPr="00D36E0A">
        <w:rPr>
          <w:rFonts w:ascii="Times New Roman" w:hAnsi="Times New Roman" w:cs="Times New Roman"/>
          <w:sz w:val="24"/>
          <w:szCs w:val="24"/>
        </w:rPr>
        <w:t>approved collection.</w:t>
      </w:r>
    </w:p>
    <w:p w:rsidRPr="00D36E0A" w:rsidR="00087887" w:rsidP="00941D58" w:rsidRDefault="00087887">
      <w:pPr>
        <w:spacing w:after="0" w:line="240" w:lineRule="auto"/>
        <w:rPr>
          <w:rFonts w:ascii="Times New Roman" w:hAnsi="Times New Roman" w:cs="Times New Roman"/>
          <w:sz w:val="24"/>
          <w:szCs w:val="24"/>
        </w:rPr>
      </w:pPr>
    </w:p>
    <w:p w:rsidRPr="005739E3" w:rsidR="00087887" w:rsidP="00941D58" w:rsidRDefault="00087887">
      <w:pPr>
        <w:pStyle w:val="ListParagraph"/>
        <w:numPr>
          <w:ilvl w:val="0"/>
          <w:numId w:val="1"/>
        </w:numPr>
        <w:spacing w:after="0" w:line="240" w:lineRule="auto"/>
        <w:ind w:left="360"/>
        <w:rPr>
          <w:rFonts w:ascii="Times New Roman" w:hAnsi="Times New Roman" w:cs="Times New Roman"/>
          <w:b/>
          <w:sz w:val="24"/>
          <w:szCs w:val="24"/>
        </w:rPr>
      </w:pPr>
      <w:r w:rsidRPr="005739E3">
        <w:rPr>
          <w:rFonts w:ascii="Times New Roman" w:hAnsi="Times New Roman" w:cs="Times New Roman"/>
          <w:b/>
          <w:sz w:val="24"/>
          <w:szCs w:val="24"/>
        </w:rPr>
        <w:t>Justification</w:t>
      </w:r>
    </w:p>
    <w:p w:rsidRPr="00D36E0A" w:rsidR="00087887" w:rsidP="00941D58" w:rsidRDefault="00087887">
      <w:pPr>
        <w:spacing w:after="0" w:line="240" w:lineRule="auto"/>
        <w:rPr>
          <w:rFonts w:ascii="Times New Roman" w:hAnsi="Times New Roman" w:cs="Times New Roman"/>
          <w:sz w:val="24"/>
          <w:szCs w:val="24"/>
        </w:rPr>
      </w:pPr>
      <w:bookmarkStart w:name="_GoBack" w:id="0"/>
      <w:bookmarkEnd w:id="0"/>
    </w:p>
    <w:p w:rsidRPr="00D36E0A" w:rsidR="00087887" w:rsidP="00E148C2" w:rsidRDefault="00087887">
      <w:pPr>
        <w:pStyle w:val="ListParagraph"/>
        <w:numPr>
          <w:ilvl w:val="0"/>
          <w:numId w:val="2"/>
        </w:numPr>
        <w:spacing w:after="0" w:line="240" w:lineRule="auto"/>
        <w:rPr>
          <w:rFonts w:ascii="Times New Roman" w:hAnsi="Times New Roman" w:cs="Times New Roman"/>
          <w:sz w:val="24"/>
          <w:szCs w:val="24"/>
        </w:rPr>
      </w:pPr>
      <w:r w:rsidRPr="00D36E0A">
        <w:rPr>
          <w:rFonts w:ascii="Times New Roman" w:hAnsi="Times New Roman" w:cs="Times New Roman"/>
          <w:sz w:val="24"/>
          <w:szCs w:val="24"/>
          <w:u w:val="single"/>
        </w:rPr>
        <w:t>Necessity of Information Collection</w:t>
      </w:r>
    </w:p>
    <w:p w:rsidRPr="00D36E0A" w:rsidR="00087887" w:rsidP="00941D58" w:rsidRDefault="00087887">
      <w:pPr>
        <w:spacing w:after="0" w:line="240" w:lineRule="auto"/>
        <w:rPr>
          <w:rFonts w:ascii="Times New Roman" w:hAnsi="Times New Roman" w:cs="Times New Roman"/>
          <w:sz w:val="24"/>
          <w:szCs w:val="24"/>
        </w:rPr>
      </w:pPr>
    </w:p>
    <w:p w:rsidRPr="00D36E0A" w:rsidR="00087887" w:rsidP="00E148C2" w:rsidRDefault="00087887">
      <w:pPr>
        <w:spacing w:after="0" w:line="240" w:lineRule="auto"/>
        <w:ind w:left="720"/>
        <w:rPr>
          <w:rFonts w:ascii="Times New Roman" w:hAnsi="Times New Roman" w:cs="Times New Roman"/>
          <w:sz w:val="24"/>
          <w:szCs w:val="24"/>
        </w:rPr>
      </w:pPr>
      <w:r w:rsidRPr="00D36E0A">
        <w:rPr>
          <w:rFonts w:ascii="Times New Roman" w:hAnsi="Times New Roman" w:cs="Times New Roman"/>
          <w:sz w:val="24"/>
          <w:szCs w:val="24"/>
        </w:rPr>
        <w:t xml:space="preserve">Under the authority of Title 28, </w:t>
      </w:r>
      <w:r w:rsidRPr="00D36E0A" w:rsidR="00EA0F78">
        <w:rPr>
          <w:rFonts w:ascii="Times New Roman" w:hAnsi="Times New Roman" w:cs="Times New Roman"/>
          <w:sz w:val="24"/>
          <w:szCs w:val="24"/>
        </w:rPr>
        <w:t xml:space="preserve">United States </w:t>
      </w:r>
      <w:r w:rsidRPr="00D36E0A" w:rsidR="00D36E0A">
        <w:rPr>
          <w:rFonts w:ascii="Times New Roman" w:hAnsi="Times New Roman" w:cs="Times New Roman"/>
          <w:sz w:val="24"/>
          <w:szCs w:val="24"/>
        </w:rPr>
        <w:t xml:space="preserve">Code </w:t>
      </w:r>
      <w:r w:rsidRPr="00D36E0A" w:rsidR="00EA0F78">
        <w:rPr>
          <w:rFonts w:ascii="Times New Roman" w:hAnsi="Times New Roman" w:cs="Times New Roman"/>
          <w:sz w:val="24"/>
          <w:szCs w:val="24"/>
        </w:rPr>
        <w:t>(</w:t>
      </w:r>
      <w:r w:rsidRPr="00D36E0A">
        <w:rPr>
          <w:rFonts w:ascii="Times New Roman" w:hAnsi="Times New Roman" w:cs="Times New Roman"/>
          <w:sz w:val="24"/>
          <w:szCs w:val="24"/>
        </w:rPr>
        <w:t>U.S.</w:t>
      </w:r>
      <w:r w:rsidRPr="00D36E0A" w:rsidR="00D36E0A">
        <w:rPr>
          <w:rFonts w:ascii="Times New Roman" w:hAnsi="Times New Roman" w:cs="Times New Roman"/>
          <w:sz w:val="24"/>
          <w:szCs w:val="24"/>
        </w:rPr>
        <w:t>C.</w:t>
      </w:r>
      <w:r w:rsidRPr="00D36E0A" w:rsidR="00EA0F78">
        <w:rPr>
          <w:rFonts w:ascii="Times New Roman" w:hAnsi="Times New Roman" w:cs="Times New Roman"/>
          <w:sz w:val="24"/>
          <w:szCs w:val="24"/>
        </w:rPr>
        <w:t>)</w:t>
      </w:r>
      <w:r w:rsidRPr="00D36E0A">
        <w:rPr>
          <w:rFonts w:ascii="Times New Roman" w:hAnsi="Times New Roman" w:cs="Times New Roman"/>
          <w:sz w:val="24"/>
          <w:szCs w:val="24"/>
        </w:rPr>
        <w:t>, Section</w:t>
      </w:r>
      <w:r w:rsidRPr="00D36E0A" w:rsidR="00B61648">
        <w:rPr>
          <w:rFonts w:ascii="Times New Roman" w:hAnsi="Times New Roman" w:cs="Times New Roman"/>
          <w:sz w:val="24"/>
          <w:szCs w:val="24"/>
        </w:rPr>
        <w:t xml:space="preserve"> (</w:t>
      </w:r>
      <w:r w:rsidRPr="00D36E0A" w:rsidR="00B61648">
        <w:rPr>
          <w:rStyle w:val="Heading3Char"/>
          <w:rFonts w:ascii="Times New Roman" w:hAnsi="Times New Roman" w:cs="Times New Roman"/>
          <w:color w:val="000000" w:themeColor="text1"/>
        </w:rPr>
        <w:t>§</w:t>
      </w:r>
      <w:r w:rsidRPr="00D36E0A" w:rsidR="00B61648">
        <w:rPr>
          <w:rFonts w:ascii="Times New Roman" w:hAnsi="Times New Roman" w:cs="Times New Roman"/>
          <w:sz w:val="24"/>
          <w:szCs w:val="24"/>
        </w:rPr>
        <w:t>)</w:t>
      </w:r>
      <w:r w:rsidRPr="00D36E0A">
        <w:rPr>
          <w:rFonts w:ascii="Times New Roman" w:hAnsi="Times New Roman" w:cs="Times New Roman"/>
          <w:sz w:val="24"/>
          <w:szCs w:val="24"/>
        </w:rPr>
        <w:t xml:space="preserve"> 534, </w:t>
      </w:r>
      <w:r w:rsidRPr="00D36E0A">
        <w:rPr>
          <w:rFonts w:ascii="Times New Roman" w:hAnsi="Times New Roman" w:cs="Times New Roman"/>
          <w:i/>
          <w:sz w:val="24"/>
          <w:szCs w:val="24"/>
        </w:rPr>
        <w:t>Acquisition, Preservation</w:t>
      </w:r>
      <w:r w:rsidRPr="00D36E0A" w:rsidR="00FB787F">
        <w:rPr>
          <w:rFonts w:ascii="Times New Roman" w:hAnsi="Times New Roman" w:cs="Times New Roman"/>
          <w:i/>
          <w:sz w:val="24"/>
          <w:szCs w:val="24"/>
        </w:rPr>
        <w:t>,</w:t>
      </w:r>
      <w:r w:rsidRPr="00D36E0A">
        <w:rPr>
          <w:rFonts w:ascii="Times New Roman" w:hAnsi="Times New Roman" w:cs="Times New Roman"/>
          <w:i/>
          <w:sz w:val="24"/>
          <w:szCs w:val="24"/>
        </w:rPr>
        <w:t xml:space="preserve"> and Exchange of Identification Records</w:t>
      </w:r>
      <w:r w:rsidRPr="00D36E0A" w:rsidR="00FB787F">
        <w:rPr>
          <w:rFonts w:ascii="Times New Roman" w:hAnsi="Times New Roman" w:cs="Times New Roman"/>
          <w:i/>
          <w:sz w:val="24"/>
          <w:szCs w:val="24"/>
        </w:rPr>
        <w:t xml:space="preserve"> and Information</w:t>
      </w:r>
      <w:r w:rsidRPr="00D36E0A">
        <w:rPr>
          <w:rFonts w:ascii="Times New Roman" w:hAnsi="Times New Roman" w:cs="Times New Roman"/>
          <w:i/>
          <w:sz w:val="24"/>
          <w:szCs w:val="24"/>
        </w:rPr>
        <w:t>; Appointment of Officials</w:t>
      </w:r>
      <w:r w:rsidR="00903835">
        <w:rPr>
          <w:rFonts w:ascii="Times New Roman" w:hAnsi="Times New Roman" w:cs="Times New Roman"/>
          <w:sz w:val="24"/>
          <w:szCs w:val="24"/>
        </w:rPr>
        <w:t xml:space="preserve"> and </w:t>
      </w:r>
      <w:r w:rsidRPr="00D36E0A" w:rsidR="00D36E0A">
        <w:rPr>
          <w:rFonts w:ascii="Times New Roman" w:hAnsi="Times New Roman" w:eastAsia="Arial" w:cs="Times New Roman"/>
          <w:sz w:val="24"/>
          <w:szCs w:val="24"/>
        </w:rPr>
        <w:t xml:space="preserve">the Uniform Federal Crime Reporting Act </w:t>
      </w:r>
      <w:r w:rsidR="006C1CD0">
        <w:rPr>
          <w:rFonts w:ascii="Times New Roman" w:hAnsi="Times New Roman" w:eastAsia="Arial" w:cs="Times New Roman"/>
          <w:sz w:val="24"/>
          <w:szCs w:val="24"/>
        </w:rPr>
        <w:t xml:space="preserve">(UFCRA) </w:t>
      </w:r>
      <w:r w:rsidRPr="00D36E0A" w:rsidR="00D36E0A">
        <w:rPr>
          <w:rFonts w:ascii="Times New Roman" w:hAnsi="Times New Roman" w:eastAsia="Arial" w:cs="Times New Roman"/>
          <w:sz w:val="24"/>
          <w:szCs w:val="24"/>
        </w:rPr>
        <w:t xml:space="preserve">of 1988, 34 U.S.C. § 41303, </w:t>
      </w:r>
      <w:r w:rsidRPr="00D36E0A">
        <w:rPr>
          <w:rFonts w:ascii="Times New Roman" w:hAnsi="Times New Roman" w:cs="Times New Roman"/>
          <w:sz w:val="24"/>
          <w:szCs w:val="24"/>
        </w:rPr>
        <w:t xml:space="preserve">the FBI was designated by the Attorney General to acquire, collect, classify, and preserve national homicide data from </w:t>
      </w:r>
      <w:r w:rsidRPr="00D36E0A" w:rsidR="002315C9">
        <w:rPr>
          <w:rFonts w:ascii="Times New Roman" w:hAnsi="Times New Roman" w:cs="Times New Roman"/>
          <w:sz w:val="24"/>
          <w:szCs w:val="24"/>
        </w:rPr>
        <w:t xml:space="preserve">federal, state, </w:t>
      </w:r>
      <w:r w:rsidRPr="00D36E0A">
        <w:rPr>
          <w:rFonts w:ascii="Times New Roman" w:hAnsi="Times New Roman" w:cs="Times New Roman"/>
          <w:sz w:val="24"/>
          <w:szCs w:val="24"/>
        </w:rPr>
        <w:t xml:space="preserve">local, </w:t>
      </w:r>
      <w:r w:rsidRPr="00D36E0A" w:rsidR="002315C9">
        <w:rPr>
          <w:rFonts w:ascii="Times New Roman" w:hAnsi="Times New Roman" w:cs="Times New Roman"/>
          <w:sz w:val="24"/>
          <w:szCs w:val="24"/>
        </w:rPr>
        <w:t xml:space="preserve">and </w:t>
      </w:r>
      <w:r w:rsidRPr="00D36E0A">
        <w:rPr>
          <w:rFonts w:ascii="Times New Roman" w:hAnsi="Times New Roman" w:cs="Times New Roman"/>
          <w:sz w:val="24"/>
          <w:szCs w:val="24"/>
        </w:rPr>
        <w:t>tribal</w:t>
      </w:r>
      <w:r w:rsidRPr="00D36E0A" w:rsidR="002315C9">
        <w:rPr>
          <w:rFonts w:ascii="Times New Roman" w:hAnsi="Times New Roman" w:cs="Times New Roman"/>
          <w:sz w:val="24"/>
          <w:szCs w:val="24"/>
        </w:rPr>
        <w:t xml:space="preserve"> </w:t>
      </w:r>
      <w:r w:rsidRPr="00D36E0A">
        <w:rPr>
          <w:rFonts w:ascii="Times New Roman" w:hAnsi="Times New Roman" w:cs="Times New Roman"/>
          <w:sz w:val="24"/>
          <w:szCs w:val="24"/>
        </w:rPr>
        <w:t xml:space="preserve">law enforcement agencies </w:t>
      </w:r>
      <w:r w:rsidRPr="00D36E0A" w:rsidR="002315C9">
        <w:rPr>
          <w:rFonts w:ascii="Times New Roman" w:hAnsi="Times New Roman" w:cs="Times New Roman"/>
          <w:sz w:val="24"/>
          <w:szCs w:val="24"/>
        </w:rPr>
        <w:t xml:space="preserve">(LEAs) </w:t>
      </w:r>
      <w:r w:rsidRPr="00D36E0A">
        <w:rPr>
          <w:rFonts w:ascii="Times New Roman" w:hAnsi="Times New Roman" w:cs="Times New Roman"/>
          <w:sz w:val="24"/>
          <w:szCs w:val="24"/>
        </w:rPr>
        <w:t xml:space="preserve">throughout the country as part of the </w:t>
      </w:r>
      <w:r w:rsidRPr="00D36E0A" w:rsidR="002315C9">
        <w:rPr>
          <w:rFonts w:ascii="Times New Roman" w:hAnsi="Times New Roman" w:cs="Times New Roman"/>
          <w:sz w:val="24"/>
          <w:szCs w:val="24"/>
        </w:rPr>
        <w:t xml:space="preserve">FBI </w:t>
      </w:r>
      <w:r w:rsidRPr="00D36E0A">
        <w:rPr>
          <w:rFonts w:ascii="Times New Roman" w:hAnsi="Times New Roman" w:cs="Times New Roman"/>
          <w:sz w:val="24"/>
          <w:szCs w:val="24"/>
        </w:rPr>
        <w:t>UCR Program in order to generate reliable information.</w:t>
      </w:r>
    </w:p>
    <w:p w:rsidRPr="00D36E0A" w:rsidR="00087887" w:rsidP="00E148C2" w:rsidRDefault="00087887">
      <w:pPr>
        <w:spacing w:after="0" w:line="240" w:lineRule="auto"/>
        <w:ind w:left="720"/>
        <w:rPr>
          <w:rFonts w:ascii="Times New Roman" w:hAnsi="Times New Roman" w:cs="Times New Roman"/>
          <w:sz w:val="24"/>
          <w:szCs w:val="24"/>
        </w:rPr>
      </w:pPr>
    </w:p>
    <w:p w:rsidRPr="00B61648" w:rsidR="00B61648" w:rsidP="00E148C2" w:rsidRDefault="00B61648">
      <w:pPr>
        <w:spacing w:after="0" w:line="240" w:lineRule="auto"/>
        <w:ind w:left="720"/>
        <w:rPr>
          <w:rFonts w:ascii="Times New Roman" w:hAnsi="Times New Roman" w:cs="Times New Roman"/>
          <w:sz w:val="24"/>
          <w:szCs w:val="24"/>
        </w:rPr>
      </w:pPr>
      <w:r w:rsidRPr="00B61648">
        <w:rPr>
          <w:rFonts w:ascii="Times New Roman" w:hAnsi="Times New Roman" w:cs="Times New Roman"/>
          <w:sz w:val="24"/>
          <w:szCs w:val="24"/>
        </w:rPr>
        <w:t xml:space="preserve">The two-sided </w:t>
      </w:r>
      <w:r w:rsidRPr="00B61648" w:rsidR="00874DD0">
        <w:rPr>
          <w:rFonts w:ascii="Times New Roman" w:hAnsi="Times New Roman" w:cs="Times New Roman"/>
          <w:sz w:val="24"/>
          <w:szCs w:val="24"/>
        </w:rPr>
        <w:t>Form</w:t>
      </w:r>
      <w:r w:rsidRPr="00B61648" w:rsidR="00087887">
        <w:rPr>
          <w:rFonts w:ascii="Times New Roman" w:hAnsi="Times New Roman" w:cs="Times New Roman"/>
          <w:sz w:val="24"/>
          <w:szCs w:val="24"/>
        </w:rPr>
        <w:t xml:space="preserve"> 1-704, </w:t>
      </w:r>
      <w:r w:rsidRPr="00B61648" w:rsidR="00087887">
        <w:rPr>
          <w:rFonts w:ascii="Times New Roman" w:hAnsi="Times New Roman" w:cs="Times New Roman"/>
          <w:i/>
          <w:sz w:val="24"/>
          <w:szCs w:val="24"/>
        </w:rPr>
        <w:t>Supplementary Homicide Report</w:t>
      </w:r>
      <w:r w:rsidRPr="00B61648" w:rsidR="00874DD0">
        <w:rPr>
          <w:rFonts w:ascii="Times New Roman" w:hAnsi="Times New Roman" w:cs="Times New Roman"/>
          <w:sz w:val="24"/>
          <w:szCs w:val="24"/>
        </w:rPr>
        <w:t xml:space="preserve"> (SHR)</w:t>
      </w:r>
      <w:r w:rsidRPr="00B61648" w:rsidR="00FB787F">
        <w:rPr>
          <w:rFonts w:ascii="Times New Roman" w:hAnsi="Times New Roman" w:cs="Times New Roman"/>
          <w:sz w:val="24"/>
          <w:szCs w:val="24"/>
        </w:rPr>
        <w:t>,</w:t>
      </w:r>
      <w:r w:rsidRPr="00B61648" w:rsidR="00874DD0">
        <w:rPr>
          <w:rFonts w:ascii="Times New Roman" w:hAnsi="Times New Roman" w:cs="Times New Roman"/>
          <w:sz w:val="24"/>
          <w:szCs w:val="24"/>
        </w:rPr>
        <w:t xml:space="preserve"> provides</w:t>
      </w:r>
      <w:r w:rsidRPr="00B61648" w:rsidR="00087887">
        <w:rPr>
          <w:rFonts w:ascii="Times New Roman" w:hAnsi="Times New Roman" w:cs="Times New Roman"/>
          <w:sz w:val="24"/>
          <w:szCs w:val="24"/>
        </w:rPr>
        <w:t xml:space="preserve"> the </w:t>
      </w:r>
      <w:r w:rsidRPr="00B61648" w:rsidR="002315C9">
        <w:rPr>
          <w:rFonts w:ascii="Times New Roman" w:hAnsi="Times New Roman" w:cs="Times New Roman"/>
          <w:sz w:val="24"/>
          <w:szCs w:val="24"/>
        </w:rPr>
        <w:t>FBI</w:t>
      </w:r>
      <w:r w:rsidRPr="00B61648" w:rsidR="00087887">
        <w:rPr>
          <w:rFonts w:ascii="Times New Roman" w:hAnsi="Times New Roman" w:cs="Times New Roman"/>
          <w:sz w:val="24"/>
          <w:szCs w:val="24"/>
        </w:rPr>
        <w:t xml:space="preserve"> UCR Program </w:t>
      </w:r>
      <w:r w:rsidRPr="00B61648" w:rsidR="00874DD0">
        <w:rPr>
          <w:rFonts w:ascii="Times New Roman" w:hAnsi="Times New Roman" w:cs="Times New Roman"/>
          <w:sz w:val="24"/>
          <w:szCs w:val="24"/>
        </w:rPr>
        <w:t xml:space="preserve">with </w:t>
      </w:r>
      <w:r w:rsidRPr="00B61648">
        <w:rPr>
          <w:rFonts w:ascii="Times New Roman" w:hAnsi="Times New Roman" w:cs="Times New Roman"/>
          <w:sz w:val="24"/>
          <w:szCs w:val="24"/>
        </w:rPr>
        <w:t xml:space="preserve">details about all </w:t>
      </w:r>
      <w:r w:rsidR="006C1CD0">
        <w:rPr>
          <w:rFonts w:ascii="Times New Roman" w:hAnsi="Times New Roman" w:cs="Times New Roman"/>
          <w:sz w:val="24"/>
          <w:szCs w:val="24"/>
        </w:rPr>
        <w:t xml:space="preserve">offenses of </w:t>
      </w:r>
      <w:r w:rsidR="00191805">
        <w:rPr>
          <w:rFonts w:ascii="Times New Roman" w:hAnsi="Times New Roman" w:cs="Times New Roman"/>
          <w:sz w:val="24"/>
          <w:szCs w:val="24"/>
        </w:rPr>
        <w:t>murder</w:t>
      </w:r>
      <w:r w:rsidRPr="00B61648">
        <w:rPr>
          <w:rFonts w:ascii="Times New Roman" w:hAnsi="Times New Roman" w:cs="Times New Roman"/>
          <w:sz w:val="24"/>
          <w:szCs w:val="24"/>
        </w:rPr>
        <w:t xml:space="preserve"> and nonnegligent manslaughter</w:t>
      </w:r>
      <w:r w:rsidR="006C1CD0">
        <w:rPr>
          <w:rFonts w:ascii="Times New Roman" w:hAnsi="Times New Roman" w:cs="Times New Roman"/>
          <w:sz w:val="24"/>
          <w:szCs w:val="24"/>
        </w:rPr>
        <w:t xml:space="preserve">, negligent manslaughter, and </w:t>
      </w:r>
      <w:r w:rsidRPr="00B61648">
        <w:rPr>
          <w:rFonts w:ascii="Times New Roman" w:hAnsi="Times New Roman" w:cs="Times New Roman"/>
          <w:sz w:val="24"/>
          <w:szCs w:val="24"/>
        </w:rPr>
        <w:t>justifiable homicide.  The details include the reporting agency; month and year; situation; age, sex, race, and eth</w:t>
      </w:r>
      <w:r w:rsidR="00A445AF">
        <w:rPr>
          <w:rFonts w:ascii="Times New Roman" w:hAnsi="Times New Roman" w:cs="Times New Roman"/>
          <w:sz w:val="24"/>
          <w:szCs w:val="24"/>
        </w:rPr>
        <w:t xml:space="preserve">nicity of the victim(s) and </w:t>
      </w:r>
      <w:r w:rsidRPr="00B61648">
        <w:rPr>
          <w:rFonts w:ascii="Times New Roman" w:hAnsi="Times New Roman" w:cs="Times New Roman"/>
          <w:sz w:val="24"/>
          <w:szCs w:val="24"/>
        </w:rPr>
        <w:t xml:space="preserve">offender(s); weapon type used; relationship of the victim(s) to the offender(s); and circumstance(s) surrounding the incident (e.g., argument, robbery, gang-related), if known. </w:t>
      </w:r>
    </w:p>
    <w:p w:rsidR="00B61648" w:rsidP="00E148C2" w:rsidRDefault="00B61648">
      <w:pPr>
        <w:spacing w:after="0" w:line="240" w:lineRule="auto"/>
        <w:ind w:left="720"/>
        <w:rPr>
          <w:rFonts w:ascii="Times New Roman" w:hAnsi="Times New Roman" w:cs="Times New Roman"/>
          <w:sz w:val="24"/>
          <w:szCs w:val="24"/>
        </w:rPr>
      </w:pPr>
    </w:p>
    <w:p w:rsidRPr="00B61648" w:rsidR="00087887" w:rsidP="00E148C2" w:rsidRDefault="00087887">
      <w:pPr>
        <w:spacing w:after="0" w:line="240" w:lineRule="auto"/>
        <w:ind w:left="720"/>
        <w:rPr>
          <w:rFonts w:ascii="Times New Roman" w:hAnsi="Times New Roman" w:cs="Times New Roman"/>
          <w:i/>
          <w:sz w:val="24"/>
          <w:szCs w:val="24"/>
        </w:rPr>
      </w:pPr>
      <w:r w:rsidRPr="00B61648">
        <w:rPr>
          <w:rFonts w:ascii="Times New Roman" w:hAnsi="Times New Roman" w:cs="Times New Roman"/>
          <w:sz w:val="24"/>
          <w:szCs w:val="24"/>
        </w:rPr>
        <w:t xml:space="preserve">This information collection is </w:t>
      </w:r>
      <w:r w:rsidRPr="00B61648" w:rsidR="00FB787F">
        <w:rPr>
          <w:rFonts w:ascii="Times New Roman" w:hAnsi="Times New Roman" w:cs="Times New Roman"/>
          <w:sz w:val="24"/>
          <w:szCs w:val="24"/>
        </w:rPr>
        <w:t>required</w:t>
      </w:r>
      <w:r w:rsidRPr="00B61648">
        <w:rPr>
          <w:rFonts w:ascii="Times New Roman" w:hAnsi="Times New Roman" w:cs="Times New Roman"/>
          <w:sz w:val="24"/>
          <w:szCs w:val="24"/>
        </w:rPr>
        <w:t xml:space="preserve"> for the FBI to maintain a database and serve as the national clearinghouse for the collection and dissemination of homicide data and to ensure publication</w:t>
      </w:r>
      <w:r w:rsidRPr="00B61648" w:rsidR="00FB787F">
        <w:rPr>
          <w:rFonts w:ascii="Times New Roman" w:hAnsi="Times New Roman" w:cs="Times New Roman"/>
          <w:sz w:val="24"/>
          <w:szCs w:val="24"/>
        </w:rPr>
        <w:t xml:space="preserve"> of the information</w:t>
      </w:r>
      <w:r w:rsidRPr="00B61648">
        <w:rPr>
          <w:rFonts w:ascii="Times New Roman" w:hAnsi="Times New Roman" w:cs="Times New Roman"/>
          <w:sz w:val="24"/>
          <w:szCs w:val="24"/>
        </w:rPr>
        <w:t xml:space="preserve"> in </w:t>
      </w:r>
      <w:r w:rsidRPr="00B61648">
        <w:rPr>
          <w:rFonts w:ascii="Times New Roman" w:hAnsi="Times New Roman" w:cs="Times New Roman"/>
          <w:i/>
          <w:sz w:val="24"/>
          <w:szCs w:val="24"/>
        </w:rPr>
        <w:t>Crime in the United States (CIUS).</w:t>
      </w:r>
    </w:p>
    <w:p w:rsidRPr="00B61648" w:rsidR="00087887" w:rsidP="00941D58" w:rsidRDefault="00087887">
      <w:pPr>
        <w:spacing w:after="0" w:line="240" w:lineRule="auto"/>
        <w:rPr>
          <w:rFonts w:ascii="Times New Roman" w:hAnsi="Times New Roman" w:cs="Times New Roman"/>
          <w:i/>
          <w:sz w:val="24"/>
          <w:szCs w:val="24"/>
        </w:rPr>
      </w:pPr>
    </w:p>
    <w:p w:rsidRPr="00B61648" w:rsidR="00087887" w:rsidP="00941D58" w:rsidRDefault="00087887">
      <w:pPr>
        <w:spacing w:after="0" w:line="240" w:lineRule="auto"/>
        <w:rPr>
          <w:rFonts w:ascii="Times New Roman" w:hAnsi="Times New Roman" w:cs="Times New Roman"/>
          <w:i/>
          <w:sz w:val="24"/>
          <w:szCs w:val="24"/>
        </w:rPr>
      </w:pPr>
    </w:p>
    <w:p w:rsidRPr="00B61648" w:rsidR="00087887" w:rsidP="00E148C2" w:rsidRDefault="00087887">
      <w:pPr>
        <w:pStyle w:val="ListParagraph"/>
        <w:numPr>
          <w:ilvl w:val="0"/>
          <w:numId w:val="2"/>
        </w:numPr>
        <w:spacing w:after="0" w:line="240" w:lineRule="auto"/>
        <w:rPr>
          <w:rFonts w:ascii="Times New Roman" w:hAnsi="Times New Roman" w:cs="Times New Roman"/>
          <w:sz w:val="24"/>
          <w:szCs w:val="24"/>
        </w:rPr>
      </w:pPr>
      <w:r w:rsidRPr="00B61648">
        <w:rPr>
          <w:rFonts w:ascii="Times New Roman" w:hAnsi="Times New Roman" w:cs="Times New Roman"/>
          <w:sz w:val="24"/>
          <w:szCs w:val="24"/>
          <w:u w:val="single"/>
        </w:rPr>
        <w:t>Needs and Uses</w:t>
      </w:r>
    </w:p>
    <w:p w:rsidRPr="00B61648" w:rsidR="00087887" w:rsidP="00941D58" w:rsidRDefault="00087887">
      <w:pPr>
        <w:spacing w:after="0" w:line="240" w:lineRule="auto"/>
        <w:rPr>
          <w:rFonts w:ascii="Times New Roman" w:hAnsi="Times New Roman" w:cs="Times New Roman"/>
          <w:sz w:val="24"/>
          <w:szCs w:val="24"/>
        </w:rPr>
      </w:pPr>
    </w:p>
    <w:p w:rsidR="001B261D" w:rsidP="00A52CC1" w:rsidRDefault="00641B0A">
      <w:pPr>
        <w:spacing w:after="0" w:line="240" w:lineRule="auto"/>
        <w:ind w:left="720" w:right="-360"/>
        <w:contextualSpacing/>
        <w:rPr>
          <w:rFonts w:ascii="Times New Roman" w:hAnsi="Times New Roman" w:cs="Times New Roman"/>
          <w:b/>
          <w:color w:val="000000" w:themeColor="text1"/>
          <w:sz w:val="24"/>
          <w:szCs w:val="24"/>
        </w:rPr>
      </w:pPr>
      <w:r w:rsidRPr="00B61648">
        <w:rPr>
          <w:rFonts w:ascii="Times New Roman" w:hAnsi="Times New Roman" w:cs="Times New Roman"/>
          <w:sz w:val="24"/>
          <w:szCs w:val="24"/>
        </w:rPr>
        <w:t xml:space="preserve">The Microsoft Excel Summary Workbook and SHR Flat File Data Specification are needed to provide </w:t>
      </w:r>
      <w:r w:rsidRPr="00B61648" w:rsidR="002315C9">
        <w:rPr>
          <w:rFonts w:ascii="Times New Roman" w:hAnsi="Times New Roman" w:cs="Times New Roman"/>
          <w:sz w:val="24"/>
          <w:szCs w:val="24"/>
        </w:rPr>
        <w:t>LEAs</w:t>
      </w:r>
      <w:r w:rsidRPr="00B61648">
        <w:rPr>
          <w:rFonts w:ascii="Times New Roman" w:hAnsi="Times New Roman" w:cs="Times New Roman"/>
          <w:sz w:val="24"/>
          <w:szCs w:val="24"/>
        </w:rPr>
        <w:t xml:space="preserve"> </w:t>
      </w:r>
      <w:r w:rsidRPr="00B61648" w:rsidR="002315C9">
        <w:rPr>
          <w:rFonts w:ascii="Times New Roman" w:hAnsi="Times New Roman" w:cs="Times New Roman"/>
          <w:sz w:val="24"/>
          <w:szCs w:val="24"/>
        </w:rPr>
        <w:t xml:space="preserve">with </w:t>
      </w:r>
      <w:r w:rsidRPr="00B61648">
        <w:rPr>
          <w:rFonts w:ascii="Times New Roman" w:hAnsi="Times New Roman" w:cs="Times New Roman"/>
          <w:sz w:val="24"/>
          <w:szCs w:val="24"/>
        </w:rPr>
        <w:t xml:space="preserve">a mechanism to report additional information regarding criminal homicide, </w:t>
      </w:r>
      <w:r w:rsidRPr="00B61648" w:rsidR="008E11A7">
        <w:rPr>
          <w:rFonts w:ascii="Times New Roman" w:hAnsi="Times New Roman" w:cs="Times New Roman"/>
          <w:sz w:val="24"/>
          <w:szCs w:val="24"/>
        </w:rPr>
        <w:t>manslaughter by negligence</w:t>
      </w:r>
      <w:r w:rsidR="008E11A7">
        <w:rPr>
          <w:rFonts w:ascii="Times New Roman" w:hAnsi="Times New Roman" w:cs="Times New Roman"/>
          <w:sz w:val="24"/>
          <w:szCs w:val="24"/>
        </w:rPr>
        <w:t>, and</w:t>
      </w:r>
      <w:r w:rsidRPr="00B61648" w:rsidR="008E11A7">
        <w:rPr>
          <w:rFonts w:ascii="Times New Roman" w:hAnsi="Times New Roman" w:cs="Times New Roman"/>
          <w:sz w:val="24"/>
          <w:szCs w:val="24"/>
        </w:rPr>
        <w:t xml:space="preserve"> </w:t>
      </w:r>
      <w:r w:rsidRPr="00B61648">
        <w:rPr>
          <w:rFonts w:ascii="Times New Roman" w:hAnsi="Times New Roman" w:cs="Times New Roman"/>
          <w:sz w:val="24"/>
          <w:szCs w:val="24"/>
        </w:rPr>
        <w:t>justifiable homicide</w:t>
      </w:r>
      <w:r w:rsidR="008E11A7">
        <w:rPr>
          <w:rFonts w:ascii="Times New Roman" w:hAnsi="Times New Roman" w:cs="Times New Roman"/>
          <w:sz w:val="24"/>
          <w:szCs w:val="24"/>
        </w:rPr>
        <w:t xml:space="preserve"> </w:t>
      </w:r>
      <w:r w:rsidRPr="00B61648">
        <w:rPr>
          <w:rFonts w:ascii="Times New Roman" w:hAnsi="Times New Roman" w:cs="Times New Roman"/>
          <w:sz w:val="24"/>
          <w:szCs w:val="24"/>
        </w:rPr>
        <w:t>offenses.</w:t>
      </w:r>
      <w:r w:rsidRPr="00B61648" w:rsidR="002315C9">
        <w:rPr>
          <w:rFonts w:ascii="Times New Roman" w:hAnsi="Times New Roman" w:cs="Times New Roman"/>
          <w:sz w:val="24"/>
          <w:szCs w:val="24"/>
        </w:rPr>
        <w:t xml:space="preserve">  </w:t>
      </w:r>
      <w:r w:rsidRPr="00B61648" w:rsidR="00FB787F">
        <w:rPr>
          <w:rFonts w:ascii="Times New Roman" w:hAnsi="Times New Roman" w:cs="Times New Roman"/>
          <w:sz w:val="24"/>
          <w:szCs w:val="24"/>
        </w:rPr>
        <w:t xml:space="preserve">Dissemination of the </w:t>
      </w:r>
      <w:r w:rsidR="008E11A7">
        <w:rPr>
          <w:rFonts w:ascii="Times New Roman" w:hAnsi="Times New Roman" w:cs="Times New Roman"/>
          <w:sz w:val="24"/>
          <w:szCs w:val="24"/>
        </w:rPr>
        <w:t>information</w:t>
      </w:r>
      <w:r w:rsidRPr="00B61648" w:rsidR="00FB787F">
        <w:rPr>
          <w:rFonts w:ascii="Times New Roman" w:hAnsi="Times New Roman" w:cs="Times New Roman"/>
          <w:sz w:val="24"/>
          <w:szCs w:val="24"/>
        </w:rPr>
        <w:t xml:space="preserve"> occurs via the annual publication of </w:t>
      </w:r>
      <w:r w:rsidRPr="00B61648" w:rsidR="00FB787F">
        <w:rPr>
          <w:rFonts w:ascii="Times New Roman" w:hAnsi="Times New Roman" w:cs="Times New Roman"/>
          <w:i/>
          <w:sz w:val="24"/>
          <w:szCs w:val="24"/>
        </w:rPr>
        <w:t>CIUS</w:t>
      </w:r>
      <w:r w:rsidRPr="00B61648" w:rsidR="00FB787F">
        <w:rPr>
          <w:rFonts w:ascii="Times New Roman" w:hAnsi="Times New Roman" w:cs="Times New Roman"/>
          <w:sz w:val="24"/>
          <w:szCs w:val="24"/>
        </w:rPr>
        <w:t xml:space="preserve"> and when requested.  </w:t>
      </w:r>
      <w:r w:rsidRPr="00B61648" w:rsidR="004716B1">
        <w:rPr>
          <w:rFonts w:ascii="Times New Roman" w:hAnsi="Times New Roman" w:cs="Times New Roman"/>
          <w:sz w:val="24"/>
          <w:szCs w:val="24"/>
        </w:rPr>
        <w:t xml:space="preserve">Homicide data serve as a valuable resource to </w:t>
      </w:r>
      <w:r w:rsidRPr="00B61648" w:rsidR="002315C9">
        <w:rPr>
          <w:rFonts w:ascii="Times New Roman" w:hAnsi="Times New Roman" w:cs="Times New Roman"/>
          <w:sz w:val="24"/>
          <w:szCs w:val="24"/>
        </w:rPr>
        <w:t xml:space="preserve">federal, state, local, and </w:t>
      </w:r>
      <w:r w:rsidRPr="00B61648" w:rsidR="00257D15">
        <w:rPr>
          <w:rFonts w:ascii="Times New Roman" w:hAnsi="Times New Roman" w:cs="Times New Roman"/>
          <w:sz w:val="24"/>
          <w:szCs w:val="24"/>
        </w:rPr>
        <w:t>tribal</w:t>
      </w:r>
      <w:r w:rsidRPr="00B61648" w:rsidR="002315C9">
        <w:rPr>
          <w:rFonts w:ascii="Times New Roman" w:hAnsi="Times New Roman" w:cs="Times New Roman"/>
          <w:sz w:val="24"/>
          <w:szCs w:val="24"/>
        </w:rPr>
        <w:t xml:space="preserve"> </w:t>
      </w:r>
      <w:r w:rsidRPr="00B61648" w:rsidR="00257D15">
        <w:rPr>
          <w:rFonts w:ascii="Times New Roman" w:hAnsi="Times New Roman" w:cs="Times New Roman"/>
          <w:sz w:val="24"/>
          <w:szCs w:val="24"/>
        </w:rPr>
        <w:t xml:space="preserve">LEAs.  </w:t>
      </w:r>
      <w:r w:rsidRPr="0065486C" w:rsidR="00A52CC1">
        <w:rPr>
          <w:rFonts w:ascii="Times New Roman" w:hAnsi="Times New Roman" w:cs="Times New Roman"/>
          <w:color w:val="000000" w:themeColor="text1"/>
          <w:sz w:val="24"/>
          <w:szCs w:val="24"/>
        </w:rPr>
        <w:t>The statistics can be used for tracking crime; administration, operation, and management purposes (e.g.</w:t>
      </w:r>
      <w:r w:rsidR="00957D1A">
        <w:rPr>
          <w:rFonts w:ascii="Times New Roman" w:hAnsi="Times New Roman" w:cs="Times New Roman"/>
          <w:color w:val="000000" w:themeColor="text1"/>
          <w:sz w:val="24"/>
          <w:szCs w:val="24"/>
        </w:rPr>
        <w:t>,</w:t>
      </w:r>
      <w:r w:rsidRPr="0065486C" w:rsidR="00A52CC1">
        <w:rPr>
          <w:rFonts w:ascii="Times New Roman" w:hAnsi="Times New Roman" w:cs="Times New Roman"/>
          <w:color w:val="000000" w:themeColor="text1"/>
          <w:sz w:val="24"/>
          <w:szCs w:val="24"/>
        </w:rPr>
        <w:t xml:space="preserve"> budget formulation and resource allocation); assessment of police operations; effectively positioning task forces and officers; and determining the effectiveness of various law enforcement programs to address the crime problem at various levels.  Agencies can justify staffing levels and officer counts </w:t>
      </w:r>
      <w:r w:rsidRPr="008C69A7" w:rsidR="00A52CC1">
        <w:rPr>
          <w:rFonts w:ascii="Times New Roman" w:hAnsi="Times New Roman" w:cs="Times New Roman"/>
          <w:color w:val="000000" w:themeColor="text1"/>
          <w:sz w:val="24"/>
          <w:szCs w:val="24"/>
        </w:rPr>
        <w:t>based on the data.  Although cautioned, some agencies may compare their crime statistics with those of other LEAs to justify an increase in funding for additional staff or equipment.</w:t>
      </w:r>
      <w:r w:rsidRPr="008C69A7" w:rsidR="00A52CC1">
        <w:rPr>
          <w:rFonts w:ascii="Times New Roman" w:hAnsi="Times New Roman" w:cs="Times New Roman"/>
          <w:b/>
          <w:color w:val="000000" w:themeColor="text1"/>
          <w:sz w:val="24"/>
          <w:szCs w:val="24"/>
        </w:rPr>
        <w:t xml:space="preserve"> </w:t>
      </w:r>
    </w:p>
    <w:p w:rsidRPr="0065486C" w:rsidR="00A52CC1" w:rsidP="00A52CC1" w:rsidRDefault="00A52CC1">
      <w:pPr>
        <w:spacing w:after="0" w:line="240" w:lineRule="auto"/>
        <w:ind w:left="720"/>
        <w:contextualSpacing/>
        <w:rPr>
          <w:rFonts w:ascii="Times New Roman" w:hAnsi="Times New Roman" w:cs="Times New Roman"/>
          <w:color w:val="000000" w:themeColor="text1"/>
          <w:sz w:val="24"/>
          <w:szCs w:val="24"/>
        </w:rPr>
      </w:pPr>
      <w:r w:rsidRPr="008C69A7">
        <w:rPr>
          <w:rFonts w:ascii="Times New Roman" w:hAnsi="Times New Roman" w:cs="Times New Roman"/>
          <w:color w:val="000000" w:themeColor="text1"/>
          <w:sz w:val="24"/>
          <w:szCs w:val="24"/>
        </w:rPr>
        <w:lastRenderedPageBreak/>
        <w:t>Chambers of commerce an</w:t>
      </w:r>
      <w:r>
        <w:rPr>
          <w:rFonts w:ascii="Times New Roman" w:hAnsi="Times New Roman" w:cs="Times New Roman"/>
          <w:color w:val="000000" w:themeColor="text1"/>
          <w:sz w:val="24"/>
          <w:szCs w:val="24"/>
        </w:rPr>
        <w:t>d tourism agencies examine the</w:t>
      </w:r>
      <w:r w:rsidRPr="008C69A7">
        <w:rPr>
          <w:rFonts w:ascii="Times New Roman" w:hAnsi="Times New Roman" w:cs="Times New Roman"/>
          <w:color w:val="000000" w:themeColor="text1"/>
          <w:sz w:val="24"/>
          <w:szCs w:val="24"/>
        </w:rPr>
        <w:t xml:space="preserve"> data to determine the impact of the crimes </w:t>
      </w:r>
      <w:r w:rsidR="00E96954">
        <w:rPr>
          <w:rFonts w:ascii="Times New Roman" w:hAnsi="Times New Roman" w:cs="Times New Roman"/>
          <w:color w:val="000000" w:themeColor="text1"/>
          <w:sz w:val="24"/>
          <w:szCs w:val="24"/>
        </w:rPr>
        <w:t xml:space="preserve">occurring </w:t>
      </w:r>
      <w:r w:rsidRPr="008C69A7">
        <w:rPr>
          <w:rFonts w:ascii="Times New Roman" w:hAnsi="Times New Roman" w:cs="Times New Roman"/>
          <w:color w:val="000000" w:themeColor="text1"/>
          <w:sz w:val="24"/>
          <w:szCs w:val="24"/>
        </w:rPr>
        <w:t xml:space="preserve">within a particular geographic jurisdiction.  Criminal justice researchers and statistical analysts study the nature, cause, and movement of crime over time.  Legislators draft anti-crime measures using research findings along </w:t>
      </w:r>
      <w:r>
        <w:rPr>
          <w:rFonts w:ascii="Times New Roman" w:hAnsi="Times New Roman" w:cs="Times New Roman"/>
          <w:color w:val="000000" w:themeColor="text1"/>
          <w:sz w:val="24"/>
          <w:szCs w:val="24"/>
        </w:rPr>
        <w:t xml:space="preserve">with </w:t>
      </w:r>
      <w:r w:rsidRPr="008C69A7">
        <w:rPr>
          <w:rFonts w:ascii="Times New Roman" w:hAnsi="Times New Roman" w:cs="Times New Roman"/>
          <w:color w:val="000000" w:themeColor="text1"/>
          <w:sz w:val="24"/>
          <w:szCs w:val="24"/>
        </w:rPr>
        <w:t xml:space="preserve">recommendations from law enforcement administrators, planners, and others concerned with </w:t>
      </w:r>
      <w:r w:rsidRPr="0065486C">
        <w:rPr>
          <w:rFonts w:ascii="Times New Roman" w:hAnsi="Times New Roman" w:cs="Times New Roman"/>
          <w:color w:val="000000" w:themeColor="text1"/>
          <w:sz w:val="24"/>
          <w:szCs w:val="24"/>
        </w:rPr>
        <w:t>the problem of crime.  The news media use crime statistics provided by the FBI UCR Program to inform the public about the state of crime.</w:t>
      </w:r>
    </w:p>
    <w:p w:rsidR="00531777" w:rsidP="00E148C2" w:rsidRDefault="00531777">
      <w:pPr>
        <w:spacing w:after="0" w:line="240" w:lineRule="auto"/>
        <w:ind w:left="720"/>
        <w:rPr>
          <w:rFonts w:ascii="Times New Roman" w:hAnsi="Times New Roman" w:cs="Times New Roman"/>
          <w:sz w:val="24"/>
          <w:szCs w:val="24"/>
        </w:rPr>
      </w:pPr>
    </w:p>
    <w:p w:rsidRPr="0092031B" w:rsidR="00641B0A" w:rsidP="00531777" w:rsidRDefault="00A52CC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Specific e</w:t>
      </w:r>
      <w:r w:rsidRPr="0092031B" w:rsidR="004716B1">
        <w:rPr>
          <w:rFonts w:ascii="Times New Roman" w:hAnsi="Times New Roman" w:cs="Times New Roman"/>
          <w:sz w:val="24"/>
          <w:szCs w:val="24"/>
        </w:rPr>
        <w:t xml:space="preserve">xamples of </w:t>
      </w:r>
      <w:r w:rsidRPr="0092031B" w:rsidR="00FB787F">
        <w:rPr>
          <w:rFonts w:ascii="Times New Roman" w:hAnsi="Times New Roman" w:cs="Times New Roman"/>
          <w:sz w:val="24"/>
          <w:szCs w:val="24"/>
        </w:rPr>
        <w:t>how various entities use FBI UCR Program data are shown below.</w:t>
      </w:r>
    </w:p>
    <w:p w:rsidRPr="0092031B" w:rsidR="004716B1" w:rsidP="00941D58" w:rsidRDefault="004716B1">
      <w:pPr>
        <w:spacing w:after="0" w:line="240" w:lineRule="auto"/>
        <w:rPr>
          <w:rFonts w:ascii="Times New Roman" w:hAnsi="Times New Roman" w:cs="Times New Roman"/>
          <w:sz w:val="24"/>
          <w:szCs w:val="24"/>
        </w:rPr>
      </w:pPr>
    </w:p>
    <w:p w:rsidRPr="0092031B" w:rsidR="004716B1" w:rsidP="00E148C2" w:rsidRDefault="004716B1">
      <w:pPr>
        <w:pStyle w:val="ListParagraph"/>
        <w:numPr>
          <w:ilvl w:val="0"/>
          <w:numId w:val="3"/>
        </w:numPr>
        <w:spacing w:after="0" w:line="240" w:lineRule="auto"/>
        <w:ind w:left="1440"/>
        <w:rPr>
          <w:rFonts w:ascii="Times New Roman" w:hAnsi="Times New Roman" w:cs="Times New Roman"/>
          <w:sz w:val="24"/>
          <w:szCs w:val="24"/>
        </w:rPr>
      </w:pPr>
      <w:r w:rsidRPr="0092031B">
        <w:rPr>
          <w:rFonts w:ascii="Times New Roman" w:hAnsi="Times New Roman" w:cs="Times New Roman"/>
          <w:sz w:val="24"/>
          <w:szCs w:val="24"/>
        </w:rPr>
        <w:t xml:space="preserve">The FBI serves as the national clearinghouse for </w:t>
      </w:r>
      <w:r w:rsidRPr="0092031B" w:rsidR="00FB787F">
        <w:rPr>
          <w:rFonts w:ascii="Times New Roman" w:hAnsi="Times New Roman" w:cs="Times New Roman"/>
          <w:sz w:val="24"/>
          <w:szCs w:val="24"/>
        </w:rPr>
        <w:t xml:space="preserve">the </w:t>
      </w:r>
      <w:r w:rsidRPr="0092031B">
        <w:rPr>
          <w:rFonts w:ascii="Times New Roman" w:hAnsi="Times New Roman" w:cs="Times New Roman"/>
          <w:sz w:val="24"/>
          <w:szCs w:val="24"/>
        </w:rPr>
        <w:t>storage of all homicide statistics</w:t>
      </w:r>
      <w:r w:rsidRPr="0092031B" w:rsidR="00FB787F">
        <w:rPr>
          <w:rFonts w:ascii="Times New Roman" w:hAnsi="Times New Roman" w:cs="Times New Roman"/>
          <w:sz w:val="24"/>
          <w:szCs w:val="24"/>
        </w:rPr>
        <w:t xml:space="preserve"> and the </w:t>
      </w:r>
      <w:r w:rsidRPr="0092031B" w:rsidR="002315C9">
        <w:rPr>
          <w:rFonts w:ascii="Times New Roman" w:hAnsi="Times New Roman" w:cs="Times New Roman"/>
          <w:sz w:val="24"/>
          <w:szCs w:val="24"/>
        </w:rPr>
        <w:t>data are</w:t>
      </w:r>
      <w:r w:rsidRPr="0092031B">
        <w:rPr>
          <w:rFonts w:ascii="Times New Roman" w:hAnsi="Times New Roman" w:cs="Times New Roman"/>
          <w:sz w:val="24"/>
          <w:szCs w:val="24"/>
        </w:rPr>
        <w:t xml:space="preserve"> available to any requester.</w:t>
      </w:r>
      <w:r w:rsidRPr="0092031B" w:rsidR="00AF7AE0">
        <w:rPr>
          <w:rFonts w:ascii="Times New Roman" w:hAnsi="Times New Roman" w:cs="Times New Roman"/>
          <w:sz w:val="24"/>
          <w:szCs w:val="24"/>
        </w:rPr>
        <w:t xml:space="preserve">  </w:t>
      </w:r>
      <w:r w:rsidRPr="0092031B" w:rsidR="00B76D06">
        <w:rPr>
          <w:rFonts w:ascii="Times New Roman" w:hAnsi="Times New Roman" w:cs="Times New Roman"/>
          <w:sz w:val="24"/>
          <w:szCs w:val="24"/>
        </w:rPr>
        <w:t>In 2019</w:t>
      </w:r>
      <w:r w:rsidRPr="0092031B" w:rsidR="00CF7714">
        <w:rPr>
          <w:rFonts w:ascii="Times New Roman" w:hAnsi="Times New Roman" w:cs="Times New Roman"/>
          <w:sz w:val="24"/>
          <w:szCs w:val="24"/>
        </w:rPr>
        <w:t>, t</w:t>
      </w:r>
      <w:r w:rsidRPr="0092031B" w:rsidR="00AF7AE0">
        <w:rPr>
          <w:rFonts w:ascii="Times New Roman" w:hAnsi="Times New Roman" w:cs="Times New Roman"/>
          <w:sz w:val="24"/>
          <w:szCs w:val="24"/>
        </w:rPr>
        <w:t xml:space="preserve">he FBI UCR Program received </w:t>
      </w:r>
      <w:r w:rsidRPr="0092031B" w:rsidR="00B76D06">
        <w:rPr>
          <w:rFonts w:ascii="Times New Roman" w:hAnsi="Times New Roman" w:cs="Times New Roman"/>
          <w:sz w:val="24"/>
          <w:szCs w:val="24"/>
        </w:rPr>
        <w:t>79</w:t>
      </w:r>
      <w:r w:rsidRPr="0092031B" w:rsidR="00104645">
        <w:rPr>
          <w:rFonts w:ascii="Times New Roman" w:hAnsi="Times New Roman" w:cs="Times New Roman"/>
          <w:sz w:val="24"/>
          <w:szCs w:val="24"/>
        </w:rPr>
        <w:t xml:space="preserve"> requests for SHR data</w:t>
      </w:r>
      <w:r w:rsidRPr="0092031B" w:rsidR="001559AE">
        <w:rPr>
          <w:rFonts w:ascii="Times New Roman" w:hAnsi="Times New Roman" w:cs="Times New Roman"/>
          <w:sz w:val="24"/>
          <w:szCs w:val="24"/>
        </w:rPr>
        <w:t>, all of which</w:t>
      </w:r>
      <w:r w:rsidRPr="0092031B" w:rsidR="00AF7AE0">
        <w:rPr>
          <w:rFonts w:ascii="Times New Roman" w:hAnsi="Times New Roman" w:cs="Times New Roman"/>
          <w:sz w:val="24"/>
          <w:szCs w:val="24"/>
        </w:rPr>
        <w:t xml:space="preserve"> </w:t>
      </w:r>
      <w:r w:rsidRPr="0092031B" w:rsidR="00B76D06">
        <w:rPr>
          <w:rFonts w:ascii="Times New Roman" w:hAnsi="Times New Roman" w:cs="Times New Roman"/>
          <w:sz w:val="24"/>
          <w:szCs w:val="24"/>
        </w:rPr>
        <w:t>were fulfilled</w:t>
      </w:r>
      <w:r w:rsidRPr="0092031B" w:rsidR="00104645">
        <w:rPr>
          <w:rFonts w:ascii="Times New Roman" w:hAnsi="Times New Roman" w:cs="Times New Roman"/>
          <w:sz w:val="24"/>
          <w:szCs w:val="24"/>
        </w:rPr>
        <w:t>.</w:t>
      </w:r>
    </w:p>
    <w:p w:rsidRPr="0092031B" w:rsidR="00CF7714" w:rsidP="00E148C2" w:rsidRDefault="00CF7714">
      <w:pPr>
        <w:pStyle w:val="ListParagraph"/>
        <w:spacing w:after="0" w:line="240" w:lineRule="auto"/>
        <w:ind w:left="1440"/>
        <w:rPr>
          <w:rFonts w:ascii="Times New Roman" w:hAnsi="Times New Roman" w:cs="Times New Roman"/>
          <w:sz w:val="24"/>
          <w:szCs w:val="24"/>
        </w:rPr>
      </w:pPr>
    </w:p>
    <w:p w:rsidRPr="0092031B" w:rsidR="004716B1" w:rsidP="00E148C2" w:rsidRDefault="001559AE">
      <w:pPr>
        <w:pStyle w:val="ListParagraph"/>
        <w:numPr>
          <w:ilvl w:val="0"/>
          <w:numId w:val="3"/>
        </w:numPr>
        <w:spacing w:after="0" w:line="240" w:lineRule="auto"/>
        <w:ind w:left="1440"/>
        <w:rPr>
          <w:rFonts w:ascii="Times New Roman" w:hAnsi="Times New Roman" w:cs="Times New Roman"/>
          <w:sz w:val="24"/>
          <w:szCs w:val="24"/>
        </w:rPr>
      </w:pPr>
      <w:r w:rsidRPr="0092031B">
        <w:rPr>
          <w:rFonts w:ascii="Times New Roman" w:hAnsi="Times New Roman" w:cs="Times New Roman"/>
          <w:sz w:val="24"/>
          <w:szCs w:val="24"/>
        </w:rPr>
        <w:t xml:space="preserve">The </w:t>
      </w:r>
      <w:r w:rsidRPr="0092031B" w:rsidR="004716B1">
        <w:rPr>
          <w:rFonts w:ascii="Times New Roman" w:hAnsi="Times New Roman" w:cs="Times New Roman"/>
          <w:sz w:val="24"/>
          <w:szCs w:val="24"/>
        </w:rPr>
        <w:t>Department of Justice</w:t>
      </w:r>
      <w:r w:rsidRPr="0092031B" w:rsidR="00B76D06">
        <w:rPr>
          <w:rFonts w:ascii="Times New Roman" w:hAnsi="Times New Roman" w:cs="Times New Roman"/>
          <w:sz w:val="24"/>
          <w:szCs w:val="24"/>
        </w:rPr>
        <w:t xml:space="preserve"> (DOJ)</w:t>
      </w:r>
      <w:r w:rsidRPr="0092031B" w:rsidR="00397EBD">
        <w:rPr>
          <w:rFonts w:ascii="Times New Roman" w:hAnsi="Times New Roman" w:cs="Times New Roman"/>
          <w:sz w:val="24"/>
          <w:szCs w:val="24"/>
        </w:rPr>
        <w:t>, Bureau of Justice Assistance</w:t>
      </w:r>
      <w:r w:rsidRPr="0092031B" w:rsidR="004716B1">
        <w:rPr>
          <w:rFonts w:ascii="Times New Roman" w:hAnsi="Times New Roman" w:cs="Times New Roman"/>
          <w:sz w:val="24"/>
          <w:szCs w:val="24"/>
        </w:rPr>
        <w:t>, utilizes the</w:t>
      </w:r>
      <w:r w:rsidRPr="0092031B" w:rsidR="00397EBD">
        <w:rPr>
          <w:rFonts w:ascii="Times New Roman" w:hAnsi="Times New Roman" w:cs="Times New Roman"/>
          <w:sz w:val="24"/>
          <w:szCs w:val="24"/>
        </w:rPr>
        <w:t xml:space="preserve"> FBI</w:t>
      </w:r>
      <w:r w:rsidRPr="0092031B" w:rsidR="004716B1">
        <w:rPr>
          <w:rFonts w:ascii="Times New Roman" w:hAnsi="Times New Roman" w:cs="Times New Roman"/>
          <w:sz w:val="24"/>
          <w:szCs w:val="24"/>
        </w:rPr>
        <w:t xml:space="preserve"> UCR Program’s violent crime data</w:t>
      </w:r>
      <w:r w:rsidRPr="0092031B" w:rsidR="00257D15">
        <w:rPr>
          <w:rFonts w:ascii="Times New Roman" w:hAnsi="Times New Roman" w:cs="Times New Roman"/>
          <w:sz w:val="24"/>
          <w:szCs w:val="24"/>
        </w:rPr>
        <w:t>, which includes homicide</w:t>
      </w:r>
      <w:r w:rsidRPr="0092031B" w:rsidR="00397EBD">
        <w:rPr>
          <w:rFonts w:ascii="Times New Roman" w:hAnsi="Times New Roman" w:cs="Times New Roman"/>
          <w:sz w:val="24"/>
          <w:szCs w:val="24"/>
        </w:rPr>
        <w:t>,</w:t>
      </w:r>
      <w:r w:rsidRPr="0092031B" w:rsidR="004716B1">
        <w:rPr>
          <w:rFonts w:ascii="Times New Roman" w:hAnsi="Times New Roman" w:cs="Times New Roman"/>
          <w:sz w:val="24"/>
          <w:szCs w:val="24"/>
        </w:rPr>
        <w:t xml:space="preserve"> in awarding local law enforcement formula grants.</w:t>
      </w:r>
    </w:p>
    <w:p w:rsidRPr="0092031B" w:rsidR="00494C1F" w:rsidP="00E148C2" w:rsidRDefault="00494C1F">
      <w:pPr>
        <w:pStyle w:val="ListParagraph"/>
        <w:spacing w:after="0" w:line="240" w:lineRule="auto"/>
        <w:ind w:left="1440"/>
        <w:rPr>
          <w:rFonts w:ascii="Times New Roman" w:hAnsi="Times New Roman" w:cs="Times New Roman"/>
          <w:sz w:val="24"/>
          <w:szCs w:val="24"/>
        </w:rPr>
      </w:pPr>
    </w:p>
    <w:p w:rsidRPr="0092031B" w:rsidR="004716B1" w:rsidP="00E148C2" w:rsidRDefault="001559AE">
      <w:pPr>
        <w:pStyle w:val="ListParagraph"/>
        <w:numPr>
          <w:ilvl w:val="0"/>
          <w:numId w:val="3"/>
        </w:numPr>
        <w:spacing w:after="0" w:line="240" w:lineRule="auto"/>
        <w:ind w:left="1440"/>
        <w:rPr>
          <w:rFonts w:ascii="Times New Roman" w:hAnsi="Times New Roman" w:cs="Times New Roman"/>
          <w:sz w:val="24"/>
          <w:szCs w:val="24"/>
        </w:rPr>
      </w:pPr>
      <w:r w:rsidRPr="0092031B">
        <w:rPr>
          <w:rFonts w:ascii="Times New Roman" w:hAnsi="Times New Roman" w:cs="Times New Roman"/>
          <w:sz w:val="24"/>
          <w:szCs w:val="24"/>
        </w:rPr>
        <w:t xml:space="preserve">The </w:t>
      </w:r>
      <w:r w:rsidRPr="0092031B" w:rsidR="00B76D06">
        <w:rPr>
          <w:rFonts w:ascii="Times New Roman" w:hAnsi="Times New Roman" w:cs="Times New Roman"/>
          <w:sz w:val="24"/>
          <w:szCs w:val="24"/>
        </w:rPr>
        <w:t>DOJ</w:t>
      </w:r>
      <w:r w:rsidRPr="0092031B" w:rsidR="00494C1F">
        <w:rPr>
          <w:rFonts w:ascii="Times New Roman" w:hAnsi="Times New Roman" w:cs="Times New Roman"/>
          <w:sz w:val="24"/>
          <w:szCs w:val="24"/>
        </w:rPr>
        <w:t xml:space="preserve">, Bureau of Justice Statistics, uses </w:t>
      </w:r>
      <w:r w:rsidRPr="0092031B" w:rsidR="00E973BF">
        <w:rPr>
          <w:rFonts w:ascii="Times New Roman" w:hAnsi="Times New Roman" w:cs="Times New Roman"/>
          <w:sz w:val="24"/>
          <w:szCs w:val="24"/>
        </w:rPr>
        <w:t xml:space="preserve">the </w:t>
      </w:r>
      <w:r w:rsidRPr="0092031B" w:rsidR="00494C1F">
        <w:rPr>
          <w:rFonts w:ascii="Times New Roman" w:hAnsi="Times New Roman" w:cs="Times New Roman"/>
          <w:sz w:val="24"/>
          <w:szCs w:val="24"/>
        </w:rPr>
        <w:t>FBI UCR Program’s homicide</w:t>
      </w:r>
      <w:r w:rsidRPr="0092031B" w:rsidR="00B76D06">
        <w:rPr>
          <w:rFonts w:ascii="Times New Roman" w:hAnsi="Times New Roman" w:cs="Times New Roman"/>
          <w:sz w:val="24"/>
          <w:szCs w:val="24"/>
        </w:rPr>
        <w:t xml:space="preserve"> data to compile and publish 10</w:t>
      </w:r>
      <w:r w:rsidR="00A52CC1">
        <w:rPr>
          <w:rFonts w:ascii="Times New Roman" w:hAnsi="Times New Roman" w:cs="Times New Roman"/>
          <w:sz w:val="24"/>
          <w:szCs w:val="24"/>
        </w:rPr>
        <w:t xml:space="preserve"> years of homicide trends for</w:t>
      </w:r>
      <w:r w:rsidRPr="0092031B" w:rsidR="00494C1F">
        <w:rPr>
          <w:rFonts w:ascii="Times New Roman" w:hAnsi="Times New Roman" w:cs="Times New Roman"/>
          <w:sz w:val="24"/>
          <w:szCs w:val="24"/>
        </w:rPr>
        <w:t xml:space="preserve"> the</w:t>
      </w:r>
      <w:r w:rsidRPr="0092031B" w:rsidR="00B76D06">
        <w:rPr>
          <w:rFonts w:ascii="Times New Roman" w:hAnsi="Times New Roman" w:cs="Times New Roman"/>
          <w:sz w:val="24"/>
          <w:szCs w:val="24"/>
        </w:rPr>
        <w:t xml:space="preserve"> </w:t>
      </w:r>
      <w:r w:rsidR="00EA0F78">
        <w:rPr>
          <w:rFonts w:ascii="Times New Roman" w:hAnsi="Times New Roman" w:cs="Times New Roman"/>
          <w:sz w:val="24"/>
          <w:szCs w:val="24"/>
        </w:rPr>
        <w:t>nation</w:t>
      </w:r>
      <w:r w:rsidRPr="0092031B" w:rsidR="00494C1F">
        <w:rPr>
          <w:rFonts w:ascii="Times New Roman" w:hAnsi="Times New Roman" w:cs="Times New Roman"/>
          <w:sz w:val="24"/>
          <w:szCs w:val="24"/>
        </w:rPr>
        <w:t>.</w:t>
      </w:r>
    </w:p>
    <w:p w:rsidRPr="0092031B" w:rsidR="00494C1F" w:rsidP="00E148C2" w:rsidRDefault="00494C1F">
      <w:pPr>
        <w:spacing w:after="0" w:line="240" w:lineRule="auto"/>
        <w:ind w:left="1440"/>
        <w:rPr>
          <w:rFonts w:ascii="Times New Roman" w:hAnsi="Times New Roman" w:cs="Times New Roman"/>
          <w:sz w:val="24"/>
          <w:szCs w:val="24"/>
        </w:rPr>
      </w:pPr>
    </w:p>
    <w:p w:rsidRPr="0092031B" w:rsidR="0092031B" w:rsidP="00E148C2" w:rsidRDefault="004716B1">
      <w:pPr>
        <w:pStyle w:val="ListParagraph"/>
        <w:numPr>
          <w:ilvl w:val="0"/>
          <w:numId w:val="3"/>
        </w:numPr>
        <w:spacing w:after="0" w:line="240" w:lineRule="auto"/>
        <w:ind w:left="1440"/>
        <w:rPr>
          <w:rFonts w:ascii="Times New Roman" w:hAnsi="Times New Roman" w:cs="Times New Roman"/>
          <w:sz w:val="24"/>
          <w:szCs w:val="24"/>
        </w:rPr>
      </w:pPr>
      <w:r w:rsidRPr="0092031B">
        <w:rPr>
          <w:rFonts w:ascii="Times New Roman" w:hAnsi="Times New Roman" w:cs="Times New Roman"/>
          <w:sz w:val="24"/>
          <w:szCs w:val="24"/>
        </w:rPr>
        <w:t xml:space="preserve">Annual </w:t>
      </w:r>
      <w:r w:rsidRPr="0092031B" w:rsidR="00397EBD">
        <w:rPr>
          <w:rFonts w:ascii="Times New Roman" w:hAnsi="Times New Roman" w:cs="Times New Roman"/>
          <w:sz w:val="24"/>
          <w:szCs w:val="24"/>
        </w:rPr>
        <w:t xml:space="preserve">FBI </w:t>
      </w:r>
      <w:r w:rsidRPr="0092031B">
        <w:rPr>
          <w:rFonts w:ascii="Times New Roman" w:hAnsi="Times New Roman" w:cs="Times New Roman"/>
          <w:sz w:val="24"/>
          <w:szCs w:val="24"/>
        </w:rPr>
        <w:t xml:space="preserve">UCR </w:t>
      </w:r>
      <w:r w:rsidRPr="0092031B" w:rsidR="00397EBD">
        <w:rPr>
          <w:rFonts w:ascii="Times New Roman" w:hAnsi="Times New Roman" w:cs="Times New Roman"/>
          <w:sz w:val="24"/>
          <w:szCs w:val="24"/>
        </w:rPr>
        <w:t>Program data are provided to the Inter-</w:t>
      </w:r>
      <w:r w:rsidRPr="0092031B">
        <w:rPr>
          <w:rFonts w:ascii="Times New Roman" w:hAnsi="Times New Roman" w:cs="Times New Roman"/>
          <w:sz w:val="24"/>
          <w:szCs w:val="24"/>
        </w:rPr>
        <w:t>University Consortium for Political and Social Research</w:t>
      </w:r>
      <w:r w:rsidRPr="0092031B" w:rsidR="00397EBD">
        <w:rPr>
          <w:rFonts w:ascii="Times New Roman" w:hAnsi="Times New Roman" w:cs="Times New Roman"/>
          <w:sz w:val="24"/>
          <w:szCs w:val="24"/>
        </w:rPr>
        <w:t xml:space="preserve"> (ICPSR)</w:t>
      </w:r>
      <w:r w:rsidRPr="0092031B">
        <w:rPr>
          <w:rFonts w:ascii="Times New Roman" w:hAnsi="Times New Roman" w:cs="Times New Roman"/>
          <w:sz w:val="24"/>
          <w:szCs w:val="24"/>
        </w:rPr>
        <w:t>.  This central repository serves as a sing</w:t>
      </w:r>
      <w:r w:rsidR="008E11A7">
        <w:rPr>
          <w:rFonts w:ascii="Times New Roman" w:hAnsi="Times New Roman" w:cs="Times New Roman"/>
          <w:sz w:val="24"/>
          <w:szCs w:val="24"/>
        </w:rPr>
        <w:t>le facility from which colleges and</w:t>
      </w:r>
      <w:r w:rsidR="00957B6B">
        <w:rPr>
          <w:rFonts w:ascii="Times New Roman" w:hAnsi="Times New Roman" w:cs="Times New Roman"/>
          <w:sz w:val="24"/>
          <w:szCs w:val="24"/>
        </w:rPr>
        <w:t xml:space="preserve"> </w:t>
      </w:r>
      <w:r w:rsidRPr="0092031B">
        <w:rPr>
          <w:rFonts w:ascii="Times New Roman" w:hAnsi="Times New Roman" w:cs="Times New Roman"/>
          <w:sz w:val="24"/>
          <w:szCs w:val="24"/>
        </w:rPr>
        <w:t>universities can obtain social science data.</w:t>
      </w:r>
      <w:r w:rsidRPr="0092031B" w:rsidR="002002EE">
        <w:rPr>
          <w:rFonts w:ascii="Times New Roman" w:hAnsi="Times New Roman" w:cs="Times New Roman"/>
          <w:sz w:val="24"/>
          <w:szCs w:val="24"/>
        </w:rPr>
        <w:t xml:space="preserve">  </w:t>
      </w:r>
      <w:r w:rsidRPr="0092031B" w:rsidR="00E973BF">
        <w:rPr>
          <w:rFonts w:ascii="Times New Roman" w:hAnsi="Times New Roman" w:cs="Times New Roman"/>
          <w:sz w:val="24"/>
          <w:szCs w:val="24"/>
        </w:rPr>
        <w:t xml:space="preserve">The </w:t>
      </w:r>
      <w:r w:rsidRPr="0092031B" w:rsidR="00397EBD">
        <w:rPr>
          <w:rFonts w:ascii="Times New Roman" w:hAnsi="Times New Roman" w:cs="Times New Roman"/>
          <w:sz w:val="24"/>
          <w:szCs w:val="24"/>
        </w:rPr>
        <w:t xml:space="preserve">ICPSR website currently stores </w:t>
      </w:r>
      <w:r w:rsidRPr="0092031B" w:rsidR="0092031B">
        <w:rPr>
          <w:rFonts w:ascii="Times New Roman" w:hAnsi="Times New Roman" w:cs="Times New Roman"/>
          <w:sz w:val="24"/>
          <w:szCs w:val="24"/>
        </w:rPr>
        <w:t>43</w:t>
      </w:r>
      <w:r w:rsidRPr="0092031B" w:rsidR="00397EBD">
        <w:rPr>
          <w:rFonts w:ascii="Times New Roman" w:hAnsi="Times New Roman" w:cs="Times New Roman"/>
          <w:sz w:val="24"/>
          <w:szCs w:val="24"/>
        </w:rPr>
        <w:t xml:space="preserve"> years </w:t>
      </w:r>
      <w:r w:rsidRPr="0092031B" w:rsidR="0092031B">
        <w:rPr>
          <w:rFonts w:ascii="Times New Roman" w:hAnsi="Times New Roman" w:cs="Times New Roman"/>
          <w:sz w:val="24"/>
          <w:szCs w:val="24"/>
        </w:rPr>
        <w:t xml:space="preserve">(1976-2018) </w:t>
      </w:r>
      <w:r w:rsidRPr="0092031B" w:rsidR="00397EBD">
        <w:rPr>
          <w:rFonts w:ascii="Times New Roman" w:hAnsi="Times New Roman" w:cs="Times New Roman"/>
          <w:sz w:val="24"/>
          <w:szCs w:val="24"/>
        </w:rPr>
        <w:t>of SHR data.</w:t>
      </w:r>
    </w:p>
    <w:p w:rsidRPr="0092031B" w:rsidR="004716B1" w:rsidP="00E148C2" w:rsidRDefault="0092031B">
      <w:pPr>
        <w:spacing w:after="0" w:line="240" w:lineRule="auto"/>
        <w:ind w:left="1440"/>
        <w:rPr>
          <w:rFonts w:ascii="Times New Roman" w:hAnsi="Times New Roman" w:cs="Times New Roman"/>
          <w:sz w:val="24"/>
          <w:szCs w:val="24"/>
        </w:rPr>
      </w:pPr>
      <w:r w:rsidRPr="0092031B">
        <w:rPr>
          <w:rFonts w:ascii="Times New Roman" w:hAnsi="Times New Roman" w:cs="Times New Roman"/>
          <w:sz w:val="24"/>
          <w:szCs w:val="24"/>
        </w:rPr>
        <w:t xml:space="preserve"> </w:t>
      </w:r>
    </w:p>
    <w:p w:rsidRPr="0092031B" w:rsidR="00E61AB4" w:rsidP="00E148C2" w:rsidRDefault="001559AE">
      <w:pPr>
        <w:pStyle w:val="ListParagraph"/>
        <w:numPr>
          <w:ilvl w:val="0"/>
          <w:numId w:val="3"/>
        </w:numPr>
        <w:spacing w:after="0" w:line="240" w:lineRule="auto"/>
        <w:ind w:left="1440"/>
        <w:rPr>
          <w:rFonts w:ascii="Times New Roman" w:hAnsi="Times New Roman" w:cs="Times New Roman"/>
          <w:sz w:val="24"/>
          <w:szCs w:val="24"/>
        </w:rPr>
      </w:pPr>
      <w:r w:rsidRPr="0092031B">
        <w:rPr>
          <w:rFonts w:ascii="Times New Roman" w:hAnsi="Times New Roman" w:cs="Times New Roman"/>
          <w:sz w:val="24"/>
          <w:szCs w:val="24"/>
        </w:rPr>
        <w:t xml:space="preserve">The </w:t>
      </w:r>
      <w:r w:rsidRPr="0092031B" w:rsidR="004716B1">
        <w:rPr>
          <w:rFonts w:ascii="Times New Roman" w:hAnsi="Times New Roman" w:cs="Times New Roman"/>
          <w:sz w:val="24"/>
          <w:szCs w:val="24"/>
        </w:rPr>
        <w:t>N</w:t>
      </w:r>
      <w:r w:rsidRPr="0092031B" w:rsidR="00B921C8">
        <w:rPr>
          <w:rFonts w:ascii="Times New Roman" w:hAnsi="Times New Roman" w:cs="Times New Roman"/>
          <w:sz w:val="24"/>
          <w:szCs w:val="24"/>
        </w:rPr>
        <w:t>ational Center for Juvenile J</w:t>
      </w:r>
      <w:r w:rsidRPr="0092031B" w:rsidR="004716B1">
        <w:rPr>
          <w:rFonts w:ascii="Times New Roman" w:hAnsi="Times New Roman" w:cs="Times New Roman"/>
          <w:sz w:val="24"/>
          <w:szCs w:val="24"/>
        </w:rPr>
        <w:t xml:space="preserve">ustice obtains yearly </w:t>
      </w:r>
      <w:r w:rsidRPr="0092031B" w:rsidR="00874DD0">
        <w:rPr>
          <w:rFonts w:ascii="Times New Roman" w:hAnsi="Times New Roman" w:cs="Times New Roman"/>
          <w:sz w:val="24"/>
          <w:szCs w:val="24"/>
        </w:rPr>
        <w:t xml:space="preserve">FBI </w:t>
      </w:r>
      <w:r w:rsidRPr="0092031B" w:rsidR="004716B1">
        <w:rPr>
          <w:rFonts w:ascii="Times New Roman" w:hAnsi="Times New Roman" w:cs="Times New Roman"/>
          <w:sz w:val="24"/>
          <w:szCs w:val="24"/>
        </w:rPr>
        <w:t>UCR</w:t>
      </w:r>
      <w:r w:rsidRPr="0092031B" w:rsidR="00874DD0">
        <w:rPr>
          <w:rFonts w:ascii="Times New Roman" w:hAnsi="Times New Roman" w:cs="Times New Roman"/>
          <w:sz w:val="24"/>
          <w:szCs w:val="24"/>
        </w:rPr>
        <w:t xml:space="preserve"> Program</w:t>
      </w:r>
      <w:r w:rsidRPr="0092031B" w:rsidR="004716B1">
        <w:rPr>
          <w:rFonts w:ascii="Times New Roman" w:hAnsi="Times New Roman" w:cs="Times New Roman"/>
          <w:sz w:val="24"/>
          <w:szCs w:val="24"/>
        </w:rPr>
        <w:t xml:space="preserve"> SHR data files to incorporate in the agency’s database.</w:t>
      </w:r>
      <w:r w:rsidRPr="0092031B" w:rsidR="006A64DE">
        <w:rPr>
          <w:rFonts w:ascii="Times New Roman" w:hAnsi="Times New Roman" w:cs="Times New Roman"/>
          <w:sz w:val="24"/>
          <w:szCs w:val="24"/>
        </w:rPr>
        <w:t xml:space="preserve">  </w:t>
      </w:r>
    </w:p>
    <w:p w:rsidRPr="0092031B" w:rsidR="00E61AB4" w:rsidP="00E148C2" w:rsidRDefault="00E61AB4">
      <w:pPr>
        <w:pStyle w:val="ListParagraph"/>
        <w:spacing w:after="0" w:line="240" w:lineRule="auto"/>
        <w:ind w:left="1440"/>
        <w:rPr>
          <w:rFonts w:ascii="Times New Roman" w:hAnsi="Times New Roman" w:cs="Times New Roman"/>
          <w:sz w:val="24"/>
          <w:szCs w:val="24"/>
        </w:rPr>
      </w:pPr>
    </w:p>
    <w:p w:rsidRPr="0092031B" w:rsidR="00E61AB4" w:rsidP="00E148C2" w:rsidRDefault="00E973BF">
      <w:pPr>
        <w:pStyle w:val="ListParagraph"/>
        <w:numPr>
          <w:ilvl w:val="0"/>
          <w:numId w:val="3"/>
        </w:numPr>
        <w:spacing w:after="0" w:line="240" w:lineRule="auto"/>
        <w:ind w:left="1440"/>
        <w:rPr>
          <w:rFonts w:ascii="Times New Roman" w:hAnsi="Times New Roman" w:cs="Times New Roman"/>
          <w:sz w:val="24"/>
          <w:szCs w:val="24"/>
        </w:rPr>
      </w:pPr>
      <w:r w:rsidRPr="0092031B">
        <w:rPr>
          <w:rFonts w:ascii="Times New Roman" w:hAnsi="Times New Roman" w:cs="Times New Roman"/>
          <w:sz w:val="24"/>
          <w:szCs w:val="24"/>
        </w:rPr>
        <w:t>The</w:t>
      </w:r>
      <w:r w:rsidRPr="0092031B" w:rsidR="00E61AB4">
        <w:rPr>
          <w:rFonts w:ascii="Times New Roman" w:hAnsi="Times New Roman" w:cs="Times New Roman"/>
          <w:sz w:val="24"/>
          <w:szCs w:val="24"/>
        </w:rPr>
        <w:t xml:space="preserve"> FBI UCR Program’s Crime Dat</w:t>
      </w:r>
      <w:r w:rsidRPr="0092031B">
        <w:rPr>
          <w:rFonts w:ascii="Times New Roman" w:hAnsi="Times New Roman" w:cs="Times New Roman"/>
          <w:sz w:val="24"/>
          <w:szCs w:val="24"/>
        </w:rPr>
        <w:t xml:space="preserve">a Explorer web application </w:t>
      </w:r>
      <w:r w:rsidRPr="0092031B" w:rsidR="00E61AB4">
        <w:rPr>
          <w:rFonts w:ascii="Times New Roman" w:hAnsi="Times New Roman" w:cs="Times New Roman"/>
          <w:sz w:val="24"/>
          <w:szCs w:val="24"/>
        </w:rPr>
        <w:t>provide</w:t>
      </w:r>
      <w:r w:rsidRPr="0092031B">
        <w:rPr>
          <w:rFonts w:ascii="Times New Roman" w:hAnsi="Times New Roman" w:cs="Times New Roman"/>
          <w:sz w:val="24"/>
          <w:szCs w:val="24"/>
        </w:rPr>
        <w:t>s</w:t>
      </w:r>
      <w:r w:rsidRPr="0092031B" w:rsidR="00E61AB4">
        <w:rPr>
          <w:rFonts w:ascii="Times New Roman" w:hAnsi="Times New Roman" w:cs="Times New Roman"/>
          <w:sz w:val="24"/>
          <w:szCs w:val="24"/>
        </w:rPr>
        <w:t xml:space="preserve"> SHR data </w:t>
      </w:r>
      <w:r w:rsidRPr="0092031B" w:rsidR="00FE4EFA">
        <w:rPr>
          <w:rFonts w:ascii="Times New Roman" w:hAnsi="Times New Roman" w:cs="Times New Roman"/>
          <w:sz w:val="24"/>
          <w:szCs w:val="24"/>
        </w:rPr>
        <w:t xml:space="preserve">to users </w:t>
      </w:r>
      <w:r w:rsidRPr="0092031B">
        <w:rPr>
          <w:rFonts w:ascii="Times New Roman" w:hAnsi="Times New Roman" w:cs="Times New Roman"/>
          <w:sz w:val="24"/>
          <w:szCs w:val="24"/>
        </w:rPr>
        <w:t>nationwide</w:t>
      </w:r>
      <w:r w:rsidRPr="0092031B" w:rsidR="00FE4EFA">
        <w:rPr>
          <w:rFonts w:ascii="Times New Roman" w:hAnsi="Times New Roman" w:cs="Times New Roman"/>
          <w:sz w:val="24"/>
          <w:szCs w:val="24"/>
        </w:rPr>
        <w:t>.</w:t>
      </w:r>
    </w:p>
    <w:p w:rsidRPr="0092031B" w:rsidR="00E61AB4" w:rsidP="00941D58" w:rsidRDefault="00E61AB4">
      <w:pPr>
        <w:spacing w:after="0" w:line="240" w:lineRule="auto"/>
        <w:rPr>
          <w:rFonts w:ascii="Times New Roman" w:hAnsi="Times New Roman" w:cs="Times New Roman"/>
          <w:sz w:val="24"/>
          <w:szCs w:val="24"/>
        </w:rPr>
      </w:pPr>
    </w:p>
    <w:p w:rsidRPr="0092031B" w:rsidR="004716B1" w:rsidP="00941D58" w:rsidRDefault="004716B1">
      <w:pPr>
        <w:spacing w:after="0" w:line="240" w:lineRule="auto"/>
        <w:rPr>
          <w:rFonts w:ascii="Times New Roman" w:hAnsi="Times New Roman" w:cs="Times New Roman"/>
          <w:sz w:val="24"/>
          <w:szCs w:val="24"/>
        </w:rPr>
      </w:pPr>
    </w:p>
    <w:p w:rsidRPr="0092031B" w:rsidR="00CF7A85" w:rsidP="00E148C2" w:rsidRDefault="00CF7A85">
      <w:pPr>
        <w:pStyle w:val="ListParagraph"/>
        <w:numPr>
          <w:ilvl w:val="0"/>
          <w:numId w:val="2"/>
        </w:numPr>
        <w:spacing w:after="0" w:line="240" w:lineRule="auto"/>
        <w:rPr>
          <w:rFonts w:ascii="Times New Roman" w:hAnsi="Times New Roman" w:cs="Times New Roman"/>
          <w:sz w:val="24"/>
          <w:szCs w:val="24"/>
        </w:rPr>
      </w:pPr>
      <w:r w:rsidRPr="0092031B">
        <w:rPr>
          <w:rFonts w:ascii="Times New Roman" w:hAnsi="Times New Roman" w:cs="Times New Roman"/>
          <w:sz w:val="24"/>
          <w:szCs w:val="24"/>
          <w:u w:val="single"/>
        </w:rPr>
        <w:t>Use of Information Technology</w:t>
      </w:r>
    </w:p>
    <w:p w:rsidRPr="0092031B" w:rsidR="00CF7A85" w:rsidP="00941D58" w:rsidRDefault="00CF7A85">
      <w:pPr>
        <w:spacing w:after="0" w:line="240" w:lineRule="auto"/>
        <w:rPr>
          <w:rFonts w:ascii="Times New Roman" w:hAnsi="Times New Roman" w:cs="Times New Roman"/>
          <w:sz w:val="24"/>
          <w:szCs w:val="24"/>
        </w:rPr>
      </w:pPr>
    </w:p>
    <w:p w:rsidRPr="0092031B" w:rsidR="0092031B" w:rsidP="00E148C2" w:rsidRDefault="00874600">
      <w:pPr>
        <w:spacing w:after="0" w:line="240" w:lineRule="auto"/>
        <w:ind w:left="720"/>
        <w:rPr>
          <w:rFonts w:ascii="Times New Roman" w:hAnsi="Times New Roman" w:cs="Times New Roman"/>
          <w:sz w:val="24"/>
          <w:szCs w:val="24"/>
        </w:rPr>
      </w:pPr>
      <w:r w:rsidRPr="0092031B">
        <w:rPr>
          <w:rFonts w:ascii="Times New Roman" w:hAnsi="Times New Roman" w:cs="Times New Roman"/>
          <w:sz w:val="24"/>
          <w:szCs w:val="24"/>
        </w:rPr>
        <w:t xml:space="preserve">Participation in the FBI UCR Program is voluntary.  </w:t>
      </w:r>
      <w:r>
        <w:rPr>
          <w:rFonts w:ascii="Times New Roman" w:hAnsi="Times New Roman" w:cs="Times New Roman"/>
          <w:sz w:val="24"/>
          <w:szCs w:val="24"/>
        </w:rPr>
        <w:t>C</w:t>
      </w:r>
      <w:r w:rsidRPr="0092031B" w:rsidR="0092031B">
        <w:rPr>
          <w:rFonts w:ascii="Times New Roman" w:hAnsi="Times New Roman" w:cs="Times New Roman"/>
          <w:sz w:val="24"/>
          <w:szCs w:val="24"/>
        </w:rPr>
        <w:t>rime data collection begins at the local agency level when law enforcement officers submit administrative and operational data to their record management personnel from hard</w:t>
      </w:r>
      <w:r w:rsidR="008E11A7">
        <w:rPr>
          <w:rFonts w:ascii="Times New Roman" w:hAnsi="Times New Roman" w:cs="Times New Roman"/>
          <w:sz w:val="24"/>
          <w:szCs w:val="24"/>
        </w:rPr>
        <w:t xml:space="preserve"> </w:t>
      </w:r>
      <w:r w:rsidRPr="0092031B" w:rsidR="0092031B">
        <w:rPr>
          <w:rFonts w:ascii="Times New Roman" w:hAnsi="Times New Roman" w:cs="Times New Roman"/>
          <w:sz w:val="24"/>
          <w:szCs w:val="24"/>
        </w:rPr>
        <w:t>copy or electronic incident reports.  The local agency record managers then compile the crime data and submit the information to their state UCR programs</w:t>
      </w:r>
      <w:r w:rsidR="0092031B">
        <w:rPr>
          <w:rFonts w:ascii="Times New Roman" w:hAnsi="Times New Roman" w:cs="Times New Roman"/>
          <w:sz w:val="24"/>
          <w:szCs w:val="24"/>
        </w:rPr>
        <w:t xml:space="preserve"> (if applicable)</w:t>
      </w:r>
      <w:r w:rsidRPr="0092031B" w:rsidR="0092031B">
        <w:rPr>
          <w:rFonts w:ascii="Times New Roman" w:hAnsi="Times New Roman" w:cs="Times New Roman"/>
          <w:sz w:val="24"/>
          <w:szCs w:val="24"/>
        </w:rPr>
        <w:t>.  Many state UCR programs have a centralized repository and have established electronic communications with LEAs throughout their state, as well as the FBI UCR Program.  This allows for information technology interaction within the required electronic data submission formats.</w:t>
      </w:r>
    </w:p>
    <w:p w:rsidR="0092031B" w:rsidP="00E148C2" w:rsidRDefault="0092031B">
      <w:pPr>
        <w:spacing w:after="0" w:line="240" w:lineRule="auto"/>
        <w:ind w:left="720"/>
        <w:rPr>
          <w:rFonts w:ascii="Times New Roman" w:hAnsi="Times New Roman" w:cs="Times New Roman"/>
          <w:sz w:val="24"/>
          <w:szCs w:val="24"/>
        </w:rPr>
      </w:pPr>
    </w:p>
    <w:p w:rsidR="00CF7A85" w:rsidP="00E148C2" w:rsidRDefault="00CF7A85">
      <w:pPr>
        <w:spacing w:after="0" w:line="240" w:lineRule="auto"/>
        <w:ind w:left="720"/>
        <w:rPr>
          <w:rFonts w:ascii="Times New Roman" w:hAnsi="Times New Roman" w:cs="Times New Roman"/>
          <w:color w:val="000000" w:themeColor="text1"/>
          <w:sz w:val="24"/>
          <w:szCs w:val="24"/>
        </w:rPr>
      </w:pPr>
      <w:r w:rsidRPr="0092031B">
        <w:rPr>
          <w:rFonts w:ascii="Times New Roman" w:hAnsi="Times New Roman" w:cs="Times New Roman"/>
          <w:sz w:val="24"/>
          <w:szCs w:val="24"/>
        </w:rPr>
        <w:t xml:space="preserve">All FBI UCR Program participants submit their crime data electronically.  </w:t>
      </w:r>
      <w:r w:rsidRPr="0092031B" w:rsidR="00E973BF">
        <w:rPr>
          <w:rFonts w:ascii="Times New Roman" w:hAnsi="Times New Roman" w:cs="Times New Roman"/>
          <w:sz w:val="24"/>
          <w:szCs w:val="24"/>
        </w:rPr>
        <w:t xml:space="preserve">The </w:t>
      </w:r>
      <w:r w:rsidRPr="0092031B">
        <w:rPr>
          <w:rFonts w:ascii="Times New Roman" w:hAnsi="Times New Roman" w:cs="Times New Roman"/>
          <w:sz w:val="24"/>
          <w:szCs w:val="24"/>
        </w:rPr>
        <w:t xml:space="preserve">FBI provides three different electronic options for </w:t>
      </w:r>
      <w:r w:rsidRPr="0092031B" w:rsidR="00874DD0">
        <w:rPr>
          <w:rFonts w:ascii="Times New Roman" w:hAnsi="Times New Roman" w:cs="Times New Roman"/>
          <w:sz w:val="24"/>
          <w:szCs w:val="24"/>
        </w:rPr>
        <w:t xml:space="preserve">state </w:t>
      </w:r>
      <w:r w:rsidRPr="0092031B">
        <w:rPr>
          <w:rFonts w:ascii="Times New Roman" w:hAnsi="Times New Roman" w:cs="Times New Roman"/>
          <w:sz w:val="24"/>
          <w:szCs w:val="24"/>
        </w:rPr>
        <w:t xml:space="preserve">UCR </w:t>
      </w:r>
      <w:r w:rsidRPr="0092031B" w:rsidR="00874DD0">
        <w:rPr>
          <w:rFonts w:ascii="Times New Roman" w:hAnsi="Times New Roman" w:cs="Times New Roman"/>
          <w:sz w:val="24"/>
          <w:szCs w:val="24"/>
        </w:rPr>
        <w:t>p</w:t>
      </w:r>
      <w:r w:rsidRPr="0092031B">
        <w:rPr>
          <w:rFonts w:ascii="Times New Roman" w:hAnsi="Times New Roman" w:cs="Times New Roman"/>
          <w:sz w:val="24"/>
          <w:szCs w:val="24"/>
        </w:rPr>
        <w:t xml:space="preserve">rogram </w:t>
      </w:r>
      <w:r w:rsidRPr="0092031B" w:rsidR="00874DD0">
        <w:rPr>
          <w:rFonts w:ascii="Times New Roman" w:hAnsi="Times New Roman" w:cs="Times New Roman"/>
          <w:sz w:val="24"/>
          <w:szCs w:val="24"/>
        </w:rPr>
        <w:t xml:space="preserve">and individual LEA </w:t>
      </w:r>
      <w:r w:rsidRPr="0092031B" w:rsidR="00874DD0">
        <w:rPr>
          <w:rFonts w:ascii="Times New Roman" w:hAnsi="Times New Roman" w:cs="Times New Roman"/>
          <w:sz w:val="24"/>
          <w:szCs w:val="24"/>
        </w:rPr>
        <w:lastRenderedPageBreak/>
        <w:t>participants to submit SHR</w:t>
      </w:r>
      <w:r w:rsidRPr="0092031B">
        <w:rPr>
          <w:rFonts w:ascii="Times New Roman" w:hAnsi="Times New Roman" w:cs="Times New Roman"/>
          <w:sz w:val="24"/>
          <w:szCs w:val="24"/>
        </w:rPr>
        <w:t xml:space="preserve"> data</w:t>
      </w:r>
      <w:r w:rsidR="008E11A7">
        <w:rPr>
          <w:rFonts w:ascii="Times New Roman" w:hAnsi="Times New Roman" w:cs="Times New Roman"/>
          <w:sz w:val="24"/>
          <w:szCs w:val="24"/>
        </w:rPr>
        <w:t>—</w:t>
      </w:r>
      <w:r w:rsidRPr="0092031B">
        <w:rPr>
          <w:rFonts w:ascii="Times New Roman" w:hAnsi="Times New Roman" w:cs="Times New Roman"/>
          <w:sz w:val="24"/>
          <w:szCs w:val="24"/>
        </w:rPr>
        <w:t xml:space="preserve">Extensible Markup </w:t>
      </w:r>
      <w:r w:rsidRPr="0092031B" w:rsidR="00E973BF">
        <w:rPr>
          <w:rFonts w:ascii="Times New Roman" w:hAnsi="Times New Roman" w:cs="Times New Roman"/>
          <w:sz w:val="24"/>
          <w:szCs w:val="24"/>
        </w:rPr>
        <w:t>Language (XML), Flat File Data S</w:t>
      </w:r>
      <w:r w:rsidRPr="0092031B">
        <w:rPr>
          <w:rFonts w:ascii="Times New Roman" w:hAnsi="Times New Roman" w:cs="Times New Roman"/>
          <w:sz w:val="24"/>
          <w:szCs w:val="24"/>
        </w:rPr>
        <w:t>pecif</w:t>
      </w:r>
      <w:r w:rsidRPr="0092031B" w:rsidR="00C625CA">
        <w:rPr>
          <w:rFonts w:ascii="Times New Roman" w:hAnsi="Times New Roman" w:cs="Times New Roman"/>
          <w:sz w:val="24"/>
          <w:szCs w:val="24"/>
        </w:rPr>
        <w:t>ication</w:t>
      </w:r>
      <w:r w:rsidRPr="0092031B" w:rsidR="00E973BF">
        <w:rPr>
          <w:rFonts w:ascii="Times New Roman" w:hAnsi="Times New Roman" w:cs="Times New Roman"/>
          <w:sz w:val="24"/>
          <w:szCs w:val="24"/>
        </w:rPr>
        <w:t>,</w:t>
      </w:r>
      <w:r w:rsidR="00B61648">
        <w:rPr>
          <w:rFonts w:ascii="Times New Roman" w:hAnsi="Times New Roman" w:cs="Times New Roman"/>
          <w:sz w:val="24"/>
          <w:szCs w:val="24"/>
        </w:rPr>
        <w:t xml:space="preserve"> and the FBI-</w:t>
      </w:r>
      <w:r w:rsidRPr="0092031B" w:rsidR="00C625CA">
        <w:rPr>
          <w:rFonts w:ascii="Times New Roman" w:hAnsi="Times New Roman" w:cs="Times New Roman"/>
          <w:sz w:val="24"/>
          <w:szCs w:val="24"/>
        </w:rPr>
        <w:t>p</w:t>
      </w:r>
      <w:r w:rsidRPr="0092031B">
        <w:rPr>
          <w:rFonts w:ascii="Times New Roman" w:hAnsi="Times New Roman" w:cs="Times New Roman"/>
          <w:sz w:val="24"/>
          <w:szCs w:val="24"/>
        </w:rPr>
        <w:t>rovided Microsoft Excel Summary Workbook.</w:t>
      </w:r>
      <w:r w:rsidR="001B261D">
        <w:rPr>
          <w:rFonts w:ascii="Times New Roman" w:hAnsi="Times New Roman" w:cs="Times New Roman"/>
          <w:sz w:val="24"/>
          <w:szCs w:val="24"/>
        </w:rPr>
        <w:t xml:space="preserve">  </w:t>
      </w:r>
      <w:r w:rsidRPr="0092031B" w:rsidR="00E973BF">
        <w:rPr>
          <w:rFonts w:ascii="Times New Roman" w:hAnsi="Times New Roman" w:cs="Times New Roman"/>
          <w:sz w:val="24"/>
          <w:szCs w:val="24"/>
        </w:rPr>
        <w:t xml:space="preserve">The </w:t>
      </w:r>
      <w:r w:rsidRPr="0092031B">
        <w:rPr>
          <w:rFonts w:ascii="Times New Roman" w:hAnsi="Times New Roman" w:cs="Times New Roman"/>
          <w:sz w:val="24"/>
          <w:szCs w:val="24"/>
        </w:rPr>
        <w:t>XML interface specification complies with the National Information Exchange Model and Logical Entity Exchange Specifications which are both data standards for information exchange</w:t>
      </w:r>
      <w:r w:rsidRPr="0092031B" w:rsidR="00E97984">
        <w:rPr>
          <w:rFonts w:ascii="Times New Roman" w:hAnsi="Times New Roman" w:cs="Times New Roman"/>
          <w:sz w:val="24"/>
          <w:szCs w:val="24"/>
        </w:rPr>
        <w:t xml:space="preserve"> used by law enforcement</w:t>
      </w:r>
      <w:r w:rsidRPr="0092031B">
        <w:rPr>
          <w:rFonts w:ascii="Times New Roman" w:hAnsi="Times New Roman" w:cs="Times New Roman"/>
          <w:sz w:val="24"/>
          <w:szCs w:val="24"/>
        </w:rPr>
        <w:t>.  The Flat File Data Specification is</w:t>
      </w:r>
      <w:r w:rsidRPr="0092031B" w:rsidR="00150621">
        <w:rPr>
          <w:rFonts w:ascii="Times New Roman" w:hAnsi="Times New Roman" w:cs="Times New Roman"/>
          <w:sz w:val="24"/>
          <w:szCs w:val="24"/>
        </w:rPr>
        <w:t xml:space="preserve"> </w:t>
      </w:r>
      <w:r w:rsidRPr="0092031B">
        <w:rPr>
          <w:rFonts w:ascii="Times New Roman" w:hAnsi="Times New Roman" w:cs="Times New Roman"/>
          <w:sz w:val="24"/>
          <w:szCs w:val="24"/>
        </w:rPr>
        <w:t>submitted as a</w:t>
      </w:r>
      <w:r w:rsidR="00EA0F78">
        <w:rPr>
          <w:rFonts w:ascii="Times New Roman" w:hAnsi="Times New Roman" w:cs="Times New Roman"/>
          <w:sz w:val="24"/>
          <w:szCs w:val="24"/>
        </w:rPr>
        <w:t>n</w:t>
      </w:r>
      <w:r w:rsidRPr="0092031B">
        <w:rPr>
          <w:rFonts w:ascii="Times New Roman" w:hAnsi="Times New Roman" w:cs="Times New Roman"/>
          <w:sz w:val="24"/>
          <w:szCs w:val="24"/>
        </w:rPr>
        <w:t xml:space="preserve"> </w:t>
      </w:r>
      <w:r w:rsidRPr="0092031B" w:rsidR="00150621">
        <w:rPr>
          <w:rFonts w:ascii="Times New Roman" w:hAnsi="Times New Roman" w:cs="Times New Roman"/>
          <w:sz w:val="24"/>
          <w:szCs w:val="24"/>
        </w:rPr>
        <w:t xml:space="preserve">American Standard Code for Information Interchange </w:t>
      </w:r>
      <w:r w:rsidRPr="0092031B" w:rsidR="00104645">
        <w:rPr>
          <w:rFonts w:ascii="Times New Roman" w:hAnsi="Times New Roman" w:cs="Times New Roman"/>
          <w:sz w:val="24"/>
          <w:szCs w:val="24"/>
        </w:rPr>
        <w:t>text file</w:t>
      </w:r>
      <w:r w:rsidR="008E11A7">
        <w:rPr>
          <w:rFonts w:ascii="Times New Roman" w:hAnsi="Times New Roman" w:cs="Times New Roman"/>
          <w:sz w:val="24"/>
          <w:szCs w:val="24"/>
        </w:rPr>
        <w:t>s</w:t>
      </w:r>
      <w:r w:rsidRPr="0092031B" w:rsidR="00104645">
        <w:rPr>
          <w:rFonts w:ascii="Times New Roman" w:hAnsi="Times New Roman" w:cs="Times New Roman"/>
          <w:sz w:val="24"/>
          <w:szCs w:val="24"/>
        </w:rPr>
        <w:t xml:space="preserve">.  </w:t>
      </w:r>
      <w:r w:rsidR="008E11A7">
        <w:rPr>
          <w:rFonts w:ascii="Times New Roman" w:hAnsi="Times New Roman" w:cs="Times New Roman"/>
          <w:sz w:val="24"/>
          <w:szCs w:val="24"/>
        </w:rPr>
        <w:t>T</w:t>
      </w:r>
      <w:r w:rsidRPr="0092031B" w:rsidR="00C625CA">
        <w:rPr>
          <w:rFonts w:ascii="Times New Roman" w:hAnsi="Times New Roman" w:cs="Times New Roman"/>
          <w:sz w:val="24"/>
          <w:szCs w:val="24"/>
        </w:rPr>
        <w:t xml:space="preserve">he </w:t>
      </w:r>
      <w:r w:rsidR="00B61648">
        <w:rPr>
          <w:rFonts w:ascii="Times New Roman" w:hAnsi="Times New Roman" w:cs="Times New Roman"/>
          <w:sz w:val="24"/>
          <w:szCs w:val="24"/>
        </w:rPr>
        <w:t>FBI-</w:t>
      </w:r>
      <w:r w:rsidRPr="0092031B" w:rsidR="00104645">
        <w:rPr>
          <w:rFonts w:ascii="Times New Roman" w:hAnsi="Times New Roman" w:cs="Times New Roman"/>
          <w:sz w:val="24"/>
          <w:szCs w:val="24"/>
        </w:rPr>
        <w:t>p</w:t>
      </w:r>
      <w:r w:rsidRPr="0092031B">
        <w:rPr>
          <w:rFonts w:ascii="Times New Roman" w:hAnsi="Times New Roman" w:cs="Times New Roman"/>
          <w:sz w:val="24"/>
          <w:szCs w:val="24"/>
        </w:rPr>
        <w:t xml:space="preserve">rovided Microsoft Excel Summary </w:t>
      </w:r>
      <w:r w:rsidRPr="0092031B">
        <w:rPr>
          <w:rFonts w:ascii="Times New Roman" w:hAnsi="Times New Roman" w:cs="Times New Roman"/>
          <w:color w:val="000000" w:themeColor="text1"/>
          <w:sz w:val="24"/>
          <w:szCs w:val="24"/>
        </w:rPr>
        <w:t>Workbook allows agencies to submit</w:t>
      </w:r>
      <w:r w:rsidR="008E11A7">
        <w:rPr>
          <w:rFonts w:ascii="Times New Roman" w:hAnsi="Times New Roman" w:cs="Times New Roman"/>
          <w:color w:val="000000" w:themeColor="text1"/>
          <w:sz w:val="24"/>
          <w:szCs w:val="24"/>
        </w:rPr>
        <w:t xml:space="preserve"> data via an Excel Workbook which</w:t>
      </w:r>
      <w:r w:rsidRPr="0092031B">
        <w:rPr>
          <w:rFonts w:ascii="Times New Roman" w:hAnsi="Times New Roman" w:cs="Times New Roman"/>
          <w:color w:val="000000" w:themeColor="text1"/>
          <w:sz w:val="24"/>
          <w:szCs w:val="24"/>
        </w:rPr>
        <w:t xml:space="preserve"> is translated into a standar</w:t>
      </w:r>
      <w:r w:rsidRPr="0092031B" w:rsidR="00C625CA">
        <w:rPr>
          <w:rFonts w:ascii="Times New Roman" w:hAnsi="Times New Roman" w:cs="Times New Roman"/>
          <w:color w:val="000000" w:themeColor="text1"/>
          <w:sz w:val="24"/>
          <w:szCs w:val="24"/>
        </w:rPr>
        <w:t>d format for processing of</w:t>
      </w:r>
      <w:r w:rsidRPr="0092031B">
        <w:rPr>
          <w:rFonts w:ascii="Times New Roman" w:hAnsi="Times New Roman" w:cs="Times New Roman"/>
          <w:color w:val="000000" w:themeColor="text1"/>
          <w:sz w:val="24"/>
          <w:szCs w:val="24"/>
        </w:rPr>
        <w:t xml:space="preserve"> data into the UCR </w:t>
      </w:r>
      <w:r w:rsidRPr="0092031B" w:rsidR="00874DD0">
        <w:rPr>
          <w:rFonts w:ascii="Times New Roman" w:hAnsi="Times New Roman" w:cs="Times New Roman"/>
          <w:color w:val="000000" w:themeColor="text1"/>
          <w:sz w:val="24"/>
          <w:szCs w:val="24"/>
        </w:rPr>
        <w:t>Technical Refresh System</w:t>
      </w:r>
      <w:r w:rsidRPr="0092031B">
        <w:rPr>
          <w:rFonts w:ascii="Times New Roman" w:hAnsi="Times New Roman" w:cs="Times New Roman"/>
          <w:color w:val="000000" w:themeColor="text1"/>
          <w:sz w:val="24"/>
          <w:szCs w:val="24"/>
        </w:rPr>
        <w:t>.  These electronic submissions are currently received from state UCR programs and</w:t>
      </w:r>
      <w:r w:rsidR="00EA0F78">
        <w:rPr>
          <w:rFonts w:ascii="Times New Roman" w:hAnsi="Times New Roman" w:cs="Times New Roman"/>
          <w:color w:val="000000" w:themeColor="text1"/>
          <w:sz w:val="24"/>
          <w:szCs w:val="24"/>
        </w:rPr>
        <w:t xml:space="preserve"> individual LEAs via e-mail at </w:t>
      </w:r>
      <w:r w:rsidRPr="008377F6" w:rsidR="008377F6">
        <w:rPr>
          <w:rFonts w:ascii="Times New Roman" w:hAnsi="Times New Roman" w:cs="Times New Roman"/>
          <w:color w:val="000000" w:themeColor="text1"/>
          <w:sz w:val="24"/>
          <w:szCs w:val="24"/>
        </w:rPr>
        <w:t>ucrstat@leo.gov</w:t>
      </w:r>
      <w:r w:rsidRPr="0092031B">
        <w:rPr>
          <w:rFonts w:ascii="Times New Roman" w:hAnsi="Times New Roman" w:cs="Times New Roman"/>
          <w:color w:val="000000" w:themeColor="text1"/>
          <w:sz w:val="24"/>
          <w:szCs w:val="24"/>
        </w:rPr>
        <w:t>.</w:t>
      </w:r>
    </w:p>
    <w:p w:rsidRPr="0092031B" w:rsidR="008377F6" w:rsidP="00941D58" w:rsidRDefault="008377F6">
      <w:pPr>
        <w:spacing w:after="0" w:line="240" w:lineRule="auto"/>
        <w:ind w:left="360"/>
        <w:rPr>
          <w:rFonts w:ascii="Times New Roman" w:hAnsi="Times New Roman" w:cs="Times New Roman"/>
          <w:sz w:val="24"/>
          <w:szCs w:val="24"/>
        </w:rPr>
      </w:pPr>
    </w:p>
    <w:p w:rsidRPr="0092031B" w:rsidR="00A954B1" w:rsidP="00941D58" w:rsidRDefault="00A954B1">
      <w:pPr>
        <w:spacing w:after="0" w:line="240" w:lineRule="auto"/>
        <w:rPr>
          <w:rFonts w:ascii="Times New Roman" w:hAnsi="Times New Roman" w:cs="Times New Roman"/>
          <w:sz w:val="24"/>
          <w:szCs w:val="24"/>
        </w:rPr>
      </w:pPr>
    </w:p>
    <w:p w:rsidRPr="0092031B" w:rsidR="00815F16" w:rsidP="00E148C2" w:rsidRDefault="00815F16">
      <w:pPr>
        <w:pStyle w:val="ListParagraph"/>
        <w:numPr>
          <w:ilvl w:val="0"/>
          <w:numId w:val="2"/>
        </w:numPr>
        <w:spacing w:after="0" w:line="240" w:lineRule="auto"/>
        <w:rPr>
          <w:rFonts w:ascii="Times New Roman" w:hAnsi="Times New Roman" w:cs="Times New Roman"/>
          <w:sz w:val="24"/>
          <w:szCs w:val="24"/>
        </w:rPr>
      </w:pPr>
      <w:r w:rsidRPr="0092031B">
        <w:rPr>
          <w:rFonts w:ascii="Times New Roman" w:hAnsi="Times New Roman" w:cs="Times New Roman"/>
          <w:sz w:val="24"/>
          <w:szCs w:val="24"/>
          <w:u w:val="single"/>
        </w:rPr>
        <w:t>Efforts to Identify Duplication</w:t>
      </w:r>
    </w:p>
    <w:p w:rsidRPr="0092031B" w:rsidR="00815F16" w:rsidP="00941D58" w:rsidRDefault="00815F16">
      <w:pPr>
        <w:pStyle w:val="ListParagraph"/>
        <w:spacing w:after="0" w:line="240" w:lineRule="auto"/>
        <w:ind w:left="360"/>
        <w:rPr>
          <w:rFonts w:ascii="Times New Roman" w:hAnsi="Times New Roman" w:cs="Times New Roman"/>
          <w:sz w:val="24"/>
          <w:szCs w:val="24"/>
          <w:u w:val="single"/>
        </w:rPr>
      </w:pPr>
    </w:p>
    <w:p w:rsidRPr="0092031B" w:rsidR="00C238E4" w:rsidP="00E148C2" w:rsidRDefault="00815F16">
      <w:pPr>
        <w:pStyle w:val="ListParagraph"/>
        <w:spacing w:after="0" w:line="240" w:lineRule="auto"/>
        <w:rPr>
          <w:rFonts w:ascii="Times New Roman" w:hAnsi="Times New Roman" w:cs="Times New Roman"/>
          <w:sz w:val="24"/>
          <w:szCs w:val="24"/>
        </w:rPr>
      </w:pPr>
      <w:r w:rsidRPr="0092031B">
        <w:rPr>
          <w:rFonts w:ascii="Times New Roman" w:hAnsi="Times New Roman" w:cs="Times New Roman"/>
          <w:sz w:val="24"/>
          <w:szCs w:val="24"/>
        </w:rPr>
        <w:t xml:space="preserve">This information collection was authorized in direct response to </w:t>
      </w:r>
      <w:r w:rsidR="00630095">
        <w:rPr>
          <w:rFonts w:ascii="Times New Roman" w:hAnsi="Times New Roman" w:cs="Times New Roman"/>
          <w:sz w:val="24"/>
          <w:szCs w:val="24"/>
        </w:rPr>
        <w:t>the enactment of 28</w:t>
      </w:r>
      <w:r w:rsidR="00957D1A">
        <w:rPr>
          <w:rFonts w:ascii="Times New Roman" w:hAnsi="Times New Roman" w:cs="Times New Roman"/>
          <w:sz w:val="24"/>
          <w:szCs w:val="24"/>
        </w:rPr>
        <w:t> </w:t>
      </w:r>
      <w:r w:rsidR="00630095">
        <w:rPr>
          <w:rFonts w:ascii="Times New Roman" w:hAnsi="Times New Roman" w:cs="Times New Roman"/>
          <w:sz w:val="24"/>
          <w:szCs w:val="24"/>
        </w:rPr>
        <w:t>U.S.</w:t>
      </w:r>
      <w:r w:rsidRPr="0092031B">
        <w:rPr>
          <w:rFonts w:ascii="Times New Roman" w:hAnsi="Times New Roman" w:cs="Times New Roman"/>
          <w:sz w:val="24"/>
          <w:szCs w:val="24"/>
        </w:rPr>
        <w:t>C</w:t>
      </w:r>
      <w:r w:rsidR="00235D79">
        <w:rPr>
          <w:rFonts w:ascii="Times New Roman" w:hAnsi="Times New Roman" w:cs="Times New Roman"/>
          <w:sz w:val="24"/>
          <w:szCs w:val="24"/>
        </w:rPr>
        <w:t>.</w:t>
      </w:r>
      <w:r w:rsidRPr="0092031B">
        <w:rPr>
          <w:rFonts w:ascii="Times New Roman" w:hAnsi="Times New Roman" w:cs="Times New Roman"/>
          <w:sz w:val="24"/>
          <w:szCs w:val="24"/>
        </w:rPr>
        <w:t xml:space="preserve"> </w:t>
      </w:r>
      <w:r w:rsidRPr="46476AFE" w:rsidR="00B61648">
        <w:rPr>
          <w:rStyle w:val="Heading3Char"/>
          <w:rFonts w:ascii="Times New Roman" w:hAnsi="Times New Roman" w:cs="Times New Roman"/>
          <w:color w:val="000000" w:themeColor="text1"/>
        </w:rPr>
        <w:t>§</w:t>
      </w:r>
      <w:r w:rsidRPr="0092031B">
        <w:rPr>
          <w:rFonts w:ascii="Times New Roman" w:hAnsi="Times New Roman" w:cs="Times New Roman"/>
          <w:sz w:val="24"/>
          <w:szCs w:val="24"/>
        </w:rPr>
        <w:t xml:space="preserve"> 534, </w:t>
      </w:r>
      <w:r w:rsidRPr="0092031B" w:rsidR="0092031B">
        <w:rPr>
          <w:rFonts w:ascii="Times New Roman" w:hAnsi="Times New Roman" w:cs="Times New Roman"/>
          <w:i/>
          <w:sz w:val="24"/>
          <w:szCs w:val="24"/>
        </w:rPr>
        <w:t>Acquisition, Preservation, and Exchange of Identification Records and Information; Appointment of Officials</w:t>
      </w:r>
      <w:r w:rsidR="00235D79">
        <w:rPr>
          <w:rFonts w:ascii="Times New Roman" w:hAnsi="Times New Roman" w:cs="Times New Roman"/>
          <w:i/>
          <w:sz w:val="24"/>
          <w:szCs w:val="24"/>
        </w:rPr>
        <w:t xml:space="preserve"> </w:t>
      </w:r>
      <w:r w:rsidR="00630095">
        <w:rPr>
          <w:rFonts w:ascii="Times New Roman" w:hAnsi="Times New Roman" w:cs="Times New Roman"/>
          <w:sz w:val="24"/>
          <w:szCs w:val="24"/>
        </w:rPr>
        <w:t xml:space="preserve">and </w:t>
      </w:r>
      <w:r w:rsidRPr="00D36E0A" w:rsidR="00235D79">
        <w:rPr>
          <w:rFonts w:ascii="Times New Roman" w:hAnsi="Times New Roman" w:eastAsia="Arial" w:cs="Times New Roman"/>
          <w:sz w:val="24"/>
          <w:szCs w:val="24"/>
        </w:rPr>
        <w:t>the UF</w:t>
      </w:r>
      <w:r w:rsidR="00630095">
        <w:rPr>
          <w:rFonts w:ascii="Times New Roman" w:hAnsi="Times New Roman" w:eastAsia="Arial" w:cs="Times New Roman"/>
          <w:sz w:val="24"/>
          <w:szCs w:val="24"/>
        </w:rPr>
        <w:t>C</w:t>
      </w:r>
      <w:r w:rsidR="006C1CD0">
        <w:rPr>
          <w:rFonts w:ascii="Times New Roman" w:hAnsi="Times New Roman" w:eastAsia="Arial" w:cs="Times New Roman"/>
          <w:sz w:val="24"/>
          <w:szCs w:val="24"/>
        </w:rPr>
        <w:t>R</w:t>
      </w:r>
      <w:r w:rsidR="00630095">
        <w:rPr>
          <w:rFonts w:ascii="Times New Roman" w:hAnsi="Times New Roman" w:eastAsia="Arial" w:cs="Times New Roman"/>
          <w:sz w:val="24"/>
          <w:szCs w:val="24"/>
        </w:rPr>
        <w:t>A of 1988, 34 </w:t>
      </w:r>
      <w:r w:rsidRPr="00D36E0A" w:rsidR="00235D79">
        <w:rPr>
          <w:rFonts w:ascii="Times New Roman" w:hAnsi="Times New Roman" w:eastAsia="Arial" w:cs="Times New Roman"/>
          <w:sz w:val="24"/>
          <w:szCs w:val="24"/>
        </w:rPr>
        <w:t>U.S.C. § 41303</w:t>
      </w:r>
      <w:r w:rsidRPr="0092031B" w:rsidR="002002EE">
        <w:rPr>
          <w:rFonts w:ascii="Times New Roman" w:hAnsi="Times New Roman" w:cs="Times New Roman"/>
          <w:sz w:val="24"/>
          <w:szCs w:val="24"/>
        </w:rPr>
        <w:t xml:space="preserve">.  </w:t>
      </w:r>
      <w:r w:rsidR="00EA0F78">
        <w:rPr>
          <w:rFonts w:ascii="Times New Roman" w:hAnsi="Times New Roman" w:cs="Times New Roman"/>
          <w:sz w:val="24"/>
          <w:szCs w:val="24"/>
        </w:rPr>
        <w:t>O</w:t>
      </w:r>
      <w:r w:rsidRPr="0092031B" w:rsidR="002002EE">
        <w:rPr>
          <w:rFonts w:ascii="Times New Roman" w:hAnsi="Times New Roman" w:cs="Times New Roman"/>
          <w:sz w:val="24"/>
          <w:szCs w:val="24"/>
        </w:rPr>
        <w:t>nly the FBI</w:t>
      </w:r>
      <w:r w:rsidRPr="0092031B">
        <w:rPr>
          <w:rFonts w:ascii="Times New Roman" w:hAnsi="Times New Roman" w:cs="Times New Roman"/>
          <w:sz w:val="24"/>
          <w:szCs w:val="24"/>
        </w:rPr>
        <w:t xml:space="preserve"> collect</w:t>
      </w:r>
      <w:r w:rsidRPr="0092031B" w:rsidR="002002EE">
        <w:rPr>
          <w:rFonts w:ascii="Times New Roman" w:hAnsi="Times New Roman" w:cs="Times New Roman"/>
          <w:sz w:val="24"/>
          <w:szCs w:val="24"/>
        </w:rPr>
        <w:t>s</w:t>
      </w:r>
      <w:r w:rsidRPr="0092031B">
        <w:rPr>
          <w:rFonts w:ascii="Times New Roman" w:hAnsi="Times New Roman" w:cs="Times New Roman"/>
          <w:sz w:val="24"/>
          <w:szCs w:val="24"/>
        </w:rPr>
        <w:t xml:space="preserve"> exten</w:t>
      </w:r>
      <w:r w:rsidRPr="0092031B" w:rsidR="002002EE">
        <w:rPr>
          <w:rFonts w:ascii="Times New Roman" w:hAnsi="Times New Roman" w:cs="Times New Roman"/>
          <w:sz w:val="24"/>
          <w:szCs w:val="24"/>
        </w:rPr>
        <w:t xml:space="preserve">sive </w:t>
      </w:r>
      <w:r w:rsidRPr="0092031B" w:rsidR="00494C1F">
        <w:rPr>
          <w:rFonts w:ascii="Times New Roman" w:hAnsi="Times New Roman" w:cs="Times New Roman"/>
          <w:sz w:val="24"/>
          <w:szCs w:val="24"/>
        </w:rPr>
        <w:t>homicide</w:t>
      </w:r>
      <w:r w:rsidRPr="0092031B" w:rsidR="002002EE">
        <w:rPr>
          <w:rFonts w:ascii="Times New Roman" w:hAnsi="Times New Roman" w:cs="Times New Roman"/>
          <w:sz w:val="24"/>
          <w:szCs w:val="24"/>
        </w:rPr>
        <w:t xml:space="preserve"> data</w:t>
      </w:r>
      <w:r w:rsidR="00EA0F78">
        <w:rPr>
          <w:rFonts w:ascii="Times New Roman" w:hAnsi="Times New Roman" w:cs="Times New Roman"/>
          <w:sz w:val="24"/>
          <w:szCs w:val="24"/>
        </w:rPr>
        <w:t xml:space="preserve"> for the nation</w:t>
      </w:r>
      <w:r w:rsidRPr="0092031B" w:rsidR="00494C1F">
        <w:rPr>
          <w:rFonts w:ascii="Times New Roman" w:hAnsi="Times New Roman" w:cs="Times New Roman"/>
          <w:sz w:val="24"/>
          <w:szCs w:val="24"/>
        </w:rPr>
        <w:t xml:space="preserve">. </w:t>
      </w:r>
    </w:p>
    <w:p w:rsidR="00235D79" w:rsidP="00941D58" w:rsidRDefault="00235D79">
      <w:pPr>
        <w:spacing w:after="0" w:line="240" w:lineRule="auto"/>
        <w:rPr>
          <w:rFonts w:ascii="Times New Roman" w:hAnsi="Times New Roman" w:cs="Times New Roman"/>
          <w:sz w:val="24"/>
          <w:szCs w:val="24"/>
        </w:rPr>
      </w:pPr>
    </w:p>
    <w:p w:rsidR="00235D79" w:rsidP="00941D58" w:rsidRDefault="00235D79">
      <w:pPr>
        <w:spacing w:after="0" w:line="240" w:lineRule="auto"/>
        <w:rPr>
          <w:rFonts w:ascii="Times New Roman" w:hAnsi="Times New Roman" w:cs="Times New Roman"/>
          <w:sz w:val="24"/>
          <w:szCs w:val="24"/>
        </w:rPr>
      </w:pPr>
    </w:p>
    <w:p w:rsidRPr="0092031B" w:rsidR="00C238E4" w:rsidP="00E148C2" w:rsidRDefault="00C238E4">
      <w:pPr>
        <w:pStyle w:val="ListParagraph"/>
        <w:numPr>
          <w:ilvl w:val="0"/>
          <w:numId w:val="2"/>
        </w:numPr>
        <w:spacing w:after="0" w:line="240" w:lineRule="auto"/>
        <w:rPr>
          <w:rFonts w:ascii="Times New Roman" w:hAnsi="Times New Roman" w:cs="Times New Roman"/>
          <w:sz w:val="24"/>
          <w:szCs w:val="24"/>
        </w:rPr>
      </w:pPr>
      <w:r w:rsidRPr="0092031B">
        <w:rPr>
          <w:rFonts w:ascii="Times New Roman" w:hAnsi="Times New Roman" w:cs="Times New Roman"/>
          <w:sz w:val="24"/>
          <w:szCs w:val="24"/>
          <w:u w:val="single"/>
        </w:rPr>
        <w:t xml:space="preserve">Minimizing Burden on Small </w:t>
      </w:r>
      <w:r w:rsidR="00EA0F78">
        <w:rPr>
          <w:rFonts w:ascii="Times New Roman" w:hAnsi="Times New Roman" w:cs="Times New Roman"/>
          <w:sz w:val="24"/>
          <w:szCs w:val="24"/>
          <w:u w:val="single"/>
        </w:rPr>
        <w:t>LEA</w:t>
      </w:r>
      <w:r w:rsidRPr="0092031B">
        <w:rPr>
          <w:rFonts w:ascii="Times New Roman" w:hAnsi="Times New Roman" w:cs="Times New Roman"/>
          <w:sz w:val="24"/>
          <w:szCs w:val="24"/>
          <w:u w:val="single"/>
        </w:rPr>
        <w:t>s</w:t>
      </w:r>
    </w:p>
    <w:p w:rsidRPr="0092031B" w:rsidR="00C238E4" w:rsidP="002C7CDE" w:rsidRDefault="00C238E4">
      <w:pPr>
        <w:pStyle w:val="ListParagraph"/>
        <w:spacing w:after="0" w:line="240" w:lineRule="auto"/>
        <w:ind w:left="360"/>
        <w:rPr>
          <w:rFonts w:ascii="Times New Roman" w:hAnsi="Times New Roman" w:cs="Times New Roman"/>
          <w:sz w:val="24"/>
          <w:szCs w:val="24"/>
        </w:rPr>
      </w:pPr>
    </w:p>
    <w:p w:rsidRPr="0092031B" w:rsidR="00C238E4" w:rsidP="00E148C2" w:rsidRDefault="00C238E4">
      <w:pPr>
        <w:pStyle w:val="ListParagraph"/>
        <w:spacing w:after="0" w:line="240" w:lineRule="auto"/>
        <w:rPr>
          <w:rFonts w:ascii="Times New Roman" w:hAnsi="Times New Roman" w:cs="Times New Roman"/>
          <w:sz w:val="24"/>
          <w:szCs w:val="24"/>
        </w:rPr>
      </w:pPr>
      <w:r w:rsidRPr="0092031B">
        <w:rPr>
          <w:rFonts w:ascii="Times New Roman" w:hAnsi="Times New Roman" w:cs="Times New Roman"/>
          <w:sz w:val="24"/>
          <w:szCs w:val="24"/>
        </w:rPr>
        <w:t xml:space="preserve">This information will have no significant impact on small </w:t>
      </w:r>
      <w:r w:rsidRPr="0092031B" w:rsidR="00E973BF">
        <w:rPr>
          <w:rFonts w:ascii="Times New Roman" w:hAnsi="Times New Roman" w:cs="Times New Roman"/>
          <w:sz w:val="24"/>
          <w:szCs w:val="24"/>
        </w:rPr>
        <w:t>LEA</w:t>
      </w:r>
      <w:r w:rsidRPr="0092031B">
        <w:rPr>
          <w:rFonts w:ascii="Times New Roman" w:hAnsi="Times New Roman" w:cs="Times New Roman"/>
          <w:sz w:val="24"/>
          <w:szCs w:val="24"/>
        </w:rPr>
        <w:t>s.  The law enfo</w:t>
      </w:r>
      <w:r w:rsidR="00EA0F78">
        <w:rPr>
          <w:rFonts w:ascii="Times New Roman" w:hAnsi="Times New Roman" w:cs="Times New Roman"/>
          <w:sz w:val="24"/>
          <w:szCs w:val="24"/>
        </w:rPr>
        <w:t>rcement community requests a monthly collection of</w:t>
      </w:r>
      <w:r w:rsidRPr="0092031B">
        <w:rPr>
          <w:rFonts w:ascii="Times New Roman" w:hAnsi="Times New Roman" w:cs="Times New Roman"/>
          <w:sz w:val="24"/>
          <w:szCs w:val="24"/>
        </w:rPr>
        <w:t xml:space="preserve"> forms since police records are run </w:t>
      </w:r>
      <w:r w:rsidRPr="0092031B" w:rsidR="00B76D06">
        <w:rPr>
          <w:rFonts w:ascii="Times New Roman" w:hAnsi="Times New Roman" w:cs="Times New Roman"/>
          <w:sz w:val="24"/>
          <w:szCs w:val="24"/>
        </w:rPr>
        <w:t>by</w:t>
      </w:r>
      <w:r w:rsidRPr="0092031B">
        <w:rPr>
          <w:rFonts w:ascii="Times New Roman" w:hAnsi="Times New Roman" w:cs="Times New Roman"/>
          <w:sz w:val="24"/>
          <w:szCs w:val="24"/>
        </w:rPr>
        <w:t xml:space="preserve"> calendar month</w:t>
      </w:r>
      <w:r w:rsidRPr="0092031B" w:rsidR="00E973BF">
        <w:rPr>
          <w:rFonts w:ascii="Times New Roman" w:hAnsi="Times New Roman" w:cs="Times New Roman"/>
          <w:sz w:val="24"/>
          <w:szCs w:val="24"/>
        </w:rPr>
        <w:t>.  H</w:t>
      </w:r>
      <w:r w:rsidRPr="0092031B">
        <w:rPr>
          <w:rFonts w:ascii="Times New Roman" w:hAnsi="Times New Roman" w:cs="Times New Roman"/>
          <w:sz w:val="24"/>
          <w:szCs w:val="24"/>
        </w:rPr>
        <w:t>owever, the FBI minimizes</w:t>
      </w:r>
      <w:r w:rsidRPr="0092031B" w:rsidR="00E973BF">
        <w:rPr>
          <w:rFonts w:ascii="Times New Roman" w:hAnsi="Times New Roman" w:cs="Times New Roman"/>
          <w:sz w:val="24"/>
          <w:szCs w:val="24"/>
        </w:rPr>
        <w:t xml:space="preserve"> the </w:t>
      </w:r>
      <w:r w:rsidRPr="0092031B">
        <w:rPr>
          <w:rFonts w:ascii="Times New Roman" w:hAnsi="Times New Roman" w:cs="Times New Roman"/>
          <w:sz w:val="24"/>
          <w:szCs w:val="24"/>
        </w:rPr>
        <w:t xml:space="preserve">burden on small LEAs by allowing them to submit </w:t>
      </w:r>
      <w:r w:rsidR="00630095">
        <w:rPr>
          <w:rFonts w:ascii="Times New Roman" w:hAnsi="Times New Roman" w:cs="Times New Roman"/>
          <w:sz w:val="24"/>
          <w:szCs w:val="24"/>
        </w:rPr>
        <w:t xml:space="preserve">data </w:t>
      </w:r>
      <w:r w:rsidRPr="0092031B">
        <w:rPr>
          <w:rFonts w:ascii="Times New Roman" w:hAnsi="Times New Roman" w:cs="Times New Roman"/>
          <w:sz w:val="24"/>
          <w:szCs w:val="24"/>
        </w:rPr>
        <w:t xml:space="preserve">quarterly, </w:t>
      </w:r>
      <w:r w:rsidR="0092031B">
        <w:rPr>
          <w:rFonts w:ascii="Times New Roman" w:hAnsi="Times New Roman" w:cs="Times New Roman"/>
          <w:sz w:val="24"/>
          <w:szCs w:val="24"/>
        </w:rPr>
        <w:t>semi</w:t>
      </w:r>
      <w:r w:rsidRPr="0092031B" w:rsidR="00E973BF">
        <w:rPr>
          <w:rFonts w:ascii="Times New Roman" w:hAnsi="Times New Roman" w:cs="Times New Roman"/>
          <w:sz w:val="24"/>
          <w:szCs w:val="24"/>
        </w:rPr>
        <w:t>annually</w:t>
      </w:r>
      <w:r w:rsidRPr="0092031B">
        <w:rPr>
          <w:rFonts w:ascii="Times New Roman" w:hAnsi="Times New Roman" w:cs="Times New Roman"/>
          <w:sz w:val="24"/>
          <w:szCs w:val="24"/>
        </w:rPr>
        <w:t xml:space="preserve">, or </w:t>
      </w:r>
      <w:r w:rsidRPr="0092031B" w:rsidR="00E973BF">
        <w:rPr>
          <w:rFonts w:ascii="Times New Roman" w:hAnsi="Times New Roman" w:cs="Times New Roman"/>
          <w:sz w:val="24"/>
          <w:szCs w:val="24"/>
        </w:rPr>
        <w:t>annually</w:t>
      </w:r>
      <w:r w:rsidRPr="0092031B">
        <w:rPr>
          <w:rFonts w:ascii="Times New Roman" w:hAnsi="Times New Roman" w:cs="Times New Roman"/>
          <w:sz w:val="24"/>
          <w:szCs w:val="24"/>
        </w:rPr>
        <w:t xml:space="preserve">.  Although </w:t>
      </w:r>
      <w:r w:rsidRPr="0092031B" w:rsidR="00B76D06">
        <w:rPr>
          <w:rFonts w:ascii="Times New Roman" w:hAnsi="Times New Roman" w:cs="Times New Roman"/>
          <w:sz w:val="24"/>
          <w:szCs w:val="24"/>
        </w:rPr>
        <w:t>monthly data submissions are</w:t>
      </w:r>
      <w:r w:rsidRPr="0092031B">
        <w:rPr>
          <w:rFonts w:ascii="Times New Roman" w:hAnsi="Times New Roman" w:cs="Times New Roman"/>
          <w:sz w:val="24"/>
          <w:szCs w:val="24"/>
        </w:rPr>
        <w:t xml:space="preserve"> recommended, agencies can submit </w:t>
      </w:r>
      <w:r w:rsidRPr="0092031B" w:rsidR="002002EE">
        <w:rPr>
          <w:rFonts w:ascii="Times New Roman" w:hAnsi="Times New Roman" w:cs="Times New Roman"/>
          <w:sz w:val="24"/>
          <w:szCs w:val="24"/>
        </w:rPr>
        <w:t>data at intervals that minimize</w:t>
      </w:r>
      <w:r w:rsidRPr="0092031B">
        <w:rPr>
          <w:rFonts w:ascii="Times New Roman" w:hAnsi="Times New Roman" w:cs="Times New Roman"/>
          <w:sz w:val="24"/>
          <w:szCs w:val="24"/>
        </w:rPr>
        <w:t xml:space="preserve"> the</w:t>
      </w:r>
      <w:r w:rsidRPr="0092031B" w:rsidR="002002EE">
        <w:rPr>
          <w:rFonts w:ascii="Times New Roman" w:hAnsi="Times New Roman" w:cs="Times New Roman"/>
          <w:sz w:val="24"/>
          <w:szCs w:val="24"/>
        </w:rPr>
        <w:t>ir</w:t>
      </w:r>
      <w:r w:rsidRPr="0092031B">
        <w:rPr>
          <w:rFonts w:ascii="Times New Roman" w:hAnsi="Times New Roman" w:cs="Times New Roman"/>
          <w:sz w:val="24"/>
          <w:szCs w:val="24"/>
        </w:rPr>
        <w:t xml:space="preserve"> burden</w:t>
      </w:r>
      <w:r w:rsidRPr="0092031B" w:rsidR="00B76D06">
        <w:rPr>
          <w:rFonts w:ascii="Times New Roman" w:hAnsi="Times New Roman" w:cs="Times New Roman"/>
          <w:sz w:val="24"/>
          <w:szCs w:val="24"/>
        </w:rPr>
        <w:t xml:space="preserve"> upon approval by </w:t>
      </w:r>
      <w:r w:rsidR="0092031B">
        <w:rPr>
          <w:rFonts w:ascii="Times New Roman" w:hAnsi="Times New Roman" w:cs="Times New Roman"/>
          <w:sz w:val="24"/>
          <w:szCs w:val="24"/>
        </w:rPr>
        <w:t xml:space="preserve">the </w:t>
      </w:r>
      <w:r w:rsidRPr="0092031B" w:rsidR="00B76D06">
        <w:rPr>
          <w:rFonts w:ascii="Times New Roman" w:hAnsi="Times New Roman" w:cs="Times New Roman"/>
          <w:sz w:val="24"/>
          <w:szCs w:val="24"/>
        </w:rPr>
        <w:t>FBI UCR</w:t>
      </w:r>
      <w:r w:rsidRPr="0092031B" w:rsidR="00FB5A45">
        <w:rPr>
          <w:rFonts w:ascii="Times New Roman" w:hAnsi="Times New Roman" w:cs="Times New Roman"/>
          <w:sz w:val="24"/>
          <w:szCs w:val="24"/>
        </w:rPr>
        <w:t xml:space="preserve"> Program</w:t>
      </w:r>
      <w:r w:rsidRPr="0092031B" w:rsidR="002002EE">
        <w:rPr>
          <w:rFonts w:ascii="Times New Roman" w:hAnsi="Times New Roman" w:cs="Times New Roman"/>
          <w:sz w:val="24"/>
          <w:szCs w:val="24"/>
        </w:rPr>
        <w:t>.</w:t>
      </w:r>
    </w:p>
    <w:p w:rsidRPr="0092031B" w:rsidR="00C238E4" w:rsidP="002C7CDE" w:rsidRDefault="00C238E4">
      <w:pPr>
        <w:spacing w:after="0" w:line="240" w:lineRule="auto"/>
        <w:rPr>
          <w:rFonts w:ascii="Times New Roman" w:hAnsi="Times New Roman" w:cs="Times New Roman"/>
          <w:sz w:val="24"/>
          <w:szCs w:val="24"/>
        </w:rPr>
      </w:pPr>
    </w:p>
    <w:p w:rsidRPr="0092031B" w:rsidR="00C238E4" w:rsidP="002C7CDE" w:rsidRDefault="00C238E4">
      <w:pPr>
        <w:spacing w:after="0" w:line="240" w:lineRule="auto"/>
        <w:rPr>
          <w:rFonts w:ascii="Times New Roman" w:hAnsi="Times New Roman" w:cs="Times New Roman"/>
          <w:sz w:val="24"/>
          <w:szCs w:val="24"/>
        </w:rPr>
      </w:pPr>
    </w:p>
    <w:p w:rsidRPr="0092031B" w:rsidR="00C238E4" w:rsidP="00E148C2" w:rsidRDefault="00C238E4">
      <w:pPr>
        <w:pStyle w:val="ListParagraph"/>
        <w:numPr>
          <w:ilvl w:val="0"/>
          <w:numId w:val="2"/>
        </w:numPr>
        <w:spacing w:after="0" w:line="240" w:lineRule="auto"/>
        <w:rPr>
          <w:rFonts w:ascii="Times New Roman" w:hAnsi="Times New Roman" w:cs="Times New Roman"/>
          <w:sz w:val="24"/>
          <w:szCs w:val="24"/>
        </w:rPr>
      </w:pPr>
      <w:r w:rsidRPr="0092031B">
        <w:rPr>
          <w:rFonts w:ascii="Times New Roman" w:hAnsi="Times New Roman" w:cs="Times New Roman"/>
          <w:sz w:val="24"/>
          <w:szCs w:val="24"/>
          <w:u w:val="single"/>
        </w:rPr>
        <w:t>Consequences of Not Conducting</w:t>
      </w:r>
      <w:r w:rsidRPr="0092031B" w:rsidR="00B76D06">
        <w:rPr>
          <w:rFonts w:ascii="Times New Roman" w:hAnsi="Times New Roman" w:cs="Times New Roman"/>
          <w:sz w:val="24"/>
          <w:szCs w:val="24"/>
          <w:u w:val="single"/>
        </w:rPr>
        <w:t>,</w:t>
      </w:r>
      <w:r w:rsidRPr="0092031B">
        <w:rPr>
          <w:rFonts w:ascii="Times New Roman" w:hAnsi="Times New Roman" w:cs="Times New Roman"/>
          <w:sz w:val="24"/>
          <w:szCs w:val="24"/>
          <w:u w:val="single"/>
        </w:rPr>
        <w:t xml:space="preserve"> or Less Frequent</w:t>
      </w:r>
      <w:r w:rsidRPr="0092031B" w:rsidR="00B76D06">
        <w:rPr>
          <w:rFonts w:ascii="Times New Roman" w:hAnsi="Times New Roman" w:cs="Times New Roman"/>
          <w:sz w:val="24"/>
          <w:szCs w:val="24"/>
          <w:u w:val="single"/>
        </w:rPr>
        <w:t>,</w:t>
      </w:r>
      <w:r w:rsidRPr="0092031B">
        <w:rPr>
          <w:rFonts w:ascii="Times New Roman" w:hAnsi="Times New Roman" w:cs="Times New Roman"/>
          <w:sz w:val="24"/>
          <w:szCs w:val="24"/>
          <w:u w:val="single"/>
        </w:rPr>
        <w:t xml:space="preserve"> Collection</w:t>
      </w:r>
    </w:p>
    <w:p w:rsidRPr="0092031B" w:rsidR="00C238E4" w:rsidP="002C7CDE" w:rsidRDefault="00C238E4">
      <w:pPr>
        <w:pStyle w:val="ListParagraph"/>
        <w:spacing w:after="0" w:line="240" w:lineRule="auto"/>
        <w:ind w:left="360"/>
        <w:rPr>
          <w:rFonts w:ascii="Times New Roman" w:hAnsi="Times New Roman" w:cs="Times New Roman"/>
          <w:sz w:val="24"/>
          <w:szCs w:val="24"/>
          <w:u w:val="single"/>
        </w:rPr>
      </w:pPr>
    </w:p>
    <w:p w:rsidRPr="0092031B" w:rsidR="00C238E4" w:rsidP="00E148C2" w:rsidRDefault="00C238E4">
      <w:pPr>
        <w:pStyle w:val="ListParagraph"/>
        <w:spacing w:after="0" w:line="240" w:lineRule="auto"/>
        <w:rPr>
          <w:rFonts w:ascii="Times New Roman" w:hAnsi="Times New Roman" w:cs="Times New Roman"/>
          <w:sz w:val="24"/>
          <w:szCs w:val="24"/>
        </w:rPr>
      </w:pPr>
      <w:r w:rsidRPr="0092031B">
        <w:rPr>
          <w:rFonts w:ascii="Times New Roman" w:hAnsi="Times New Roman" w:cs="Times New Roman"/>
          <w:sz w:val="24"/>
          <w:szCs w:val="24"/>
        </w:rPr>
        <w:t>In order to serve as the national reposi</w:t>
      </w:r>
      <w:r w:rsidR="00E96954">
        <w:rPr>
          <w:rFonts w:ascii="Times New Roman" w:hAnsi="Times New Roman" w:cs="Times New Roman"/>
          <w:sz w:val="24"/>
          <w:szCs w:val="24"/>
        </w:rPr>
        <w:t xml:space="preserve">tory for crime reporting and </w:t>
      </w:r>
      <w:r w:rsidRPr="0092031B">
        <w:rPr>
          <w:rFonts w:ascii="Times New Roman" w:hAnsi="Times New Roman" w:cs="Times New Roman"/>
          <w:sz w:val="24"/>
          <w:szCs w:val="24"/>
        </w:rPr>
        <w:t xml:space="preserve">produce a reliable dataset, the FBI collects monthly statistics reported by participating FBI UCR Program contributors.  Although monthly reports are preferred, </w:t>
      </w:r>
      <w:r w:rsidRPr="0092031B" w:rsidR="001A4403">
        <w:rPr>
          <w:rFonts w:ascii="Times New Roman" w:hAnsi="Times New Roman" w:cs="Times New Roman"/>
          <w:sz w:val="24"/>
          <w:szCs w:val="24"/>
        </w:rPr>
        <w:t xml:space="preserve">the </w:t>
      </w:r>
      <w:r w:rsidRPr="0092031B">
        <w:rPr>
          <w:rFonts w:ascii="Times New Roman" w:hAnsi="Times New Roman" w:cs="Times New Roman"/>
          <w:sz w:val="24"/>
          <w:szCs w:val="24"/>
        </w:rPr>
        <w:t xml:space="preserve">FBI UCR Program has agencies submitting data </w:t>
      </w:r>
      <w:r w:rsidR="0092031B">
        <w:rPr>
          <w:rFonts w:ascii="Times New Roman" w:hAnsi="Times New Roman" w:cs="Times New Roman"/>
          <w:sz w:val="24"/>
          <w:szCs w:val="24"/>
        </w:rPr>
        <w:t>quarterly, semi</w:t>
      </w:r>
      <w:r w:rsidRPr="0092031B" w:rsidR="00FB5A45">
        <w:rPr>
          <w:rFonts w:ascii="Times New Roman" w:hAnsi="Times New Roman" w:cs="Times New Roman"/>
          <w:sz w:val="24"/>
          <w:szCs w:val="24"/>
        </w:rPr>
        <w:t>annually, or annually</w:t>
      </w:r>
      <w:r w:rsidRPr="0092031B">
        <w:rPr>
          <w:rFonts w:ascii="Times New Roman" w:hAnsi="Times New Roman" w:cs="Times New Roman"/>
          <w:sz w:val="24"/>
          <w:szCs w:val="24"/>
        </w:rPr>
        <w:t>.  Upon approval by the FBI UCR Program, agencies can submit data at intervals that minimize the</w:t>
      </w:r>
      <w:r w:rsidRPr="0092031B" w:rsidR="002002EE">
        <w:rPr>
          <w:rFonts w:ascii="Times New Roman" w:hAnsi="Times New Roman" w:cs="Times New Roman"/>
          <w:sz w:val="24"/>
          <w:szCs w:val="24"/>
        </w:rPr>
        <w:t>ir</w:t>
      </w:r>
      <w:r w:rsidRPr="0092031B">
        <w:rPr>
          <w:rFonts w:ascii="Times New Roman" w:hAnsi="Times New Roman" w:cs="Times New Roman"/>
          <w:sz w:val="24"/>
          <w:szCs w:val="24"/>
        </w:rPr>
        <w:t xml:space="preserve"> burden</w:t>
      </w:r>
      <w:r w:rsidRPr="0092031B" w:rsidR="002002EE">
        <w:rPr>
          <w:rFonts w:ascii="Times New Roman" w:hAnsi="Times New Roman" w:cs="Times New Roman"/>
          <w:sz w:val="24"/>
          <w:szCs w:val="24"/>
        </w:rPr>
        <w:t>.</w:t>
      </w:r>
    </w:p>
    <w:p w:rsidRPr="0092031B" w:rsidR="00D200D9" w:rsidP="00E148C2" w:rsidRDefault="00D200D9">
      <w:pPr>
        <w:pStyle w:val="ListParagraph"/>
        <w:spacing w:after="0" w:line="240" w:lineRule="auto"/>
        <w:rPr>
          <w:rFonts w:ascii="Times New Roman" w:hAnsi="Times New Roman" w:cs="Times New Roman"/>
          <w:sz w:val="24"/>
          <w:szCs w:val="24"/>
        </w:rPr>
      </w:pPr>
    </w:p>
    <w:p w:rsidRPr="00A77949" w:rsidR="00DA3B6A" w:rsidP="008B5712" w:rsidRDefault="008377F6">
      <w:pPr>
        <w:spacing w:after="0" w:line="240" w:lineRule="auto"/>
        <w:ind w:left="720" w:right="-270"/>
        <w:rPr>
          <w:rFonts w:ascii="Times New Roman" w:hAnsi="Times New Roman" w:cs="Times New Roman"/>
          <w:color w:val="000000" w:themeColor="text1"/>
          <w:sz w:val="24"/>
          <w:szCs w:val="24"/>
        </w:rPr>
      </w:pPr>
      <w:r>
        <w:rPr>
          <w:rFonts w:ascii="Times New Roman" w:hAnsi="Times New Roman" w:cs="Times New Roman"/>
          <w:sz w:val="24"/>
          <w:szCs w:val="24"/>
        </w:rPr>
        <w:t>SHR</w:t>
      </w:r>
      <w:r w:rsidRPr="00B61648">
        <w:rPr>
          <w:rFonts w:ascii="Times New Roman" w:hAnsi="Times New Roman" w:cs="Times New Roman"/>
          <w:sz w:val="24"/>
          <w:szCs w:val="24"/>
        </w:rPr>
        <w:t xml:space="preserve"> provides the FBI UCR Program with details about all </w:t>
      </w:r>
      <w:r w:rsidR="00191805">
        <w:rPr>
          <w:rFonts w:ascii="Times New Roman" w:hAnsi="Times New Roman" w:cs="Times New Roman"/>
          <w:sz w:val="24"/>
          <w:szCs w:val="24"/>
        </w:rPr>
        <w:t xml:space="preserve">offenses of </w:t>
      </w:r>
      <w:r w:rsidRPr="00B61648">
        <w:rPr>
          <w:rFonts w:ascii="Times New Roman" w:hAnsi="Times New Roman" w:cs="Times New Roman"/>
          <w:sz w:val="24"/>
          <w:szCs w:val="24"/>
        </w:rPr>
        <w:t>murder</w:t>
      </w:r>
      <w:r w:rsidR="00191805">
        <w:rPr>
          <w:rFonts w:ascii="Times New Roman" w:hAnsi="Times New Roman" w:cs="Times New Roman"/>
          <w:sz w:val="24"/>
          <w:szCs w:val="24"/>
        </w:rPr>
        <w:t xml:space="preserve"> and nonnegligent manslaughter,</w:t>
      </w:r>
      <w:r w:rsidRPr="00A445AF" w:rsidR="00A445AF">
        <w:rPr>
          <w:rFonts w:ascii="Times New Roman" w:hAnsi="Times New Roman" w:cs="Times New Roman"/>
          <w:sz w:val="24"/>
          <w:szCs w:val="24"/>
        </w:rPr>
        <w:t xml:space="preserve"> </w:t>
      </w:r>
      <w:r w:rsidRPr="00B61648" w:rsidR="00A445AF">
        <w:rPr>
          <w:rFonts w:ascii="Times New Roman" w:hAnsi="Times New Roman" w:cs="Times New Roman"/>
          <w:sz w:val="24"/>
          <w:szCs w:val="24"/>
        </w:rPr>
        <w:t>negligent manslaughter</w:t>
      </w:r>
      <w:r w:rsidR="00A445AF">
        <w:rPr>
          <w:rFonts w:ascii="Times New Roman" w:hAnsi="Times New Roman" w:cs="Times New Roman"/>
          <w:sz w:val="24"/>
          <w:szCs w:val="24"/>
        </w:rPr>
        <w:t xml:space="preserve">, and </w:t>
      </w:r>
      <w:r w:rsidRPr="00B61648">
        <w:rPr>
          <w:rFonts w:ascii="Times New Roman" w:hAnsi="Times New Roman" w:cs="Times New Roman"/>
          <w:sz w:val="24"/>
          <w:szCs w:val="24"/>
        </w:rPr>
        <w:t>justifiable homicide.  The details include the reporting agency; month and year; situation; age, sex, race, and ethnicity o</w:t>
      </w:r>
      <w:r w:rsidR="00A445AF">
        <w:rPr>
          <w:rFonts w:ascii="Times New Roman" w:hAnsi="Times New Roman" w:cs="Times New Roman"/>
          <w:sz w:val="24"/>
          <w:szCs w:val="24"/>
        </w:rPr>
        <w:t xml:space="preserve">f the victim(s) and </w:t>
      </w:r>
      <w:r w:rsidRPr="00B61648">
        <w:rPr>
          <w:rFonts w:ascii="Times New Roman" w:hAnsi="Times New Roman" w:cs="Times New Roman"/>
          <w:sz w:val="24"/>
          <w:szCs w:val="24"/>
        </w:rPr>
        <w:t>offender(s); weapon type used; relationship of the victim(s) to the offender(s); and circumstance(s) surrounding the incident (e.g., argument, ro</w:t>
      </w:r>
      <w:r>
        <w:rPr>
          <w:rFonts w:ascii="Times New Roman" w:hAnsi="Times New Roman" w:cs="Times New Roman"/>
          <w:sz w:val="24"/>
          <w:szCs w:val="24"/>
        </w:rPr>
        <w:t xml:space="preserve">bbery, gang-related), if </w:t>
      </w:r>
      <w:r w:rsidRPr="00A77949">
        <w:rPr>
          <w:rFonts w:ascii="Times New Roman" w:hAnsi="Times New Roman" w:cs="Times New Roman"/>
          <w:color w:val="000000" w:themeColor="text1"/>
          <w:sz w:val="24"/>
          <w:szCs w:val="24"/>
        </w:rPr>
        <w:t xml:space="preserve">known.  </w:t>
      </w:r>
      <w:r w:rsidRPr="00A77949" w:rsidR="000541A0">
        <w:rPr>
          <w:rFonts w:ascii="Times New Roman" w:hAnsi="Times New Roman" w:cs="Times New Roman"/>
          <w:color w:val="000000" w:themeColor="text1"/>
          <w:sz w:val="24"/>
          <w:szCs w:val="24"/>
        </w:rPr>
        <w:t>T</w:t>
      </w:r>
      <w:r w:rsidRPr="00A77949" w:rsidR="00110819">
        <w:rPr>
          <w:rFonts w:ascii="Times New Roman" w:hAnsi="Times New Roman" w:cs="Times New Roman"/>
          <w:color w:val="000000" w:themeColor="text1"/>
          <w:sz w:val="24"/>
          <w:szCs w:val="24"/>
        </w:rPr>
        <w:t>he FBI is the only agency coll</w:t>
      </w:r>
      <w:r w:rsidRPr="00A77949" w:rsidR="001A4403">
        <w:rPr>
          <w:rFonts w:ascii="Times New Roman" w:hAnsi="Times New Roman" w:cs="Times New Roman"/>
          <w:color w:val="000000" w:themeColor="text1"/>
          <w:sz w:val="24"/>
          <w:szCs w:val="24"/>
        </w:rPr>
        <w:t>ecting these</w:t>
      </w:r>
      <w:r w:rsidRPr="00A77949" w:rsidR="00FE4EFA">
        <w:rPr>
          <w:rFonts w:ascii="Times New Roman" w:hAnsi="Times New Roman" w:cs="Times New Roman"/>
          <w:color w:val="000000" w:themeColor="text1"/>
          <w:sz w:val="24"/>
          <w:szCs w:val="24"/>
        </w:rPr>
        <w:t xml:space="preserve"> data</w:t>
      </w:r>
      <w:r w:rsidRPr="00A77949" w:rsidR="000541A0">
        <w:rPr>
          <w:rFonts w:ascii="Times New Roman" w:hAnsi="Times New Roman" w:cs="Times New Roman"/>
          <w:color w:val="000000" w:themeColor="text1"/>
          <w:sz w:val="24"/>
          <w:szCs w:val="24"/>
        </w:rPr>
        <w:t>; therefore</w:t>
      </w:r>
      <w:r w:rsidRPr="00A77949" w:rsidR="00FE4EFA">
        <w:rPr>
          <w:rFonts w:ascii="Times New Roman" w:hAnsi="Times New Roman" w:cs="Times New Roman"/>
          <w:color w:val="000000" w:themeColor="text1"/>
          <w:sz w:val="24"/>
          <w:szCs w:val="24"/>
        </w:rPr>
        <w:t xml:space="preserve">, </w:t>
      </w:r>
      <w:r w:rsidRPr="00A77949" w:rsidR="00110819">
        <w:rPr>
          <w:rFonts w:ascii="Times New Roman" w:hAnsi="Times New Roman" w:cs="Times New Roman"/>
          <w:color w:val="000000" w:themeColor="text1"/>
          <w:sz w:val="24"/>
          <w:szCs w:val="24"/>
        </w:rPr>
        <w:t xml:space="preserve">users would lose the ability to analyze </w:t>
      </w:r>
      <w:r w:rsidRPr="00A77949" w:rsidR="00FB5A45">
        <w:rPr>
          <w:rFonts w:ascii="Times New Roman" w:hAnsi="Times New Roman" w:cs="Times New Roman"/>
          <w:color w:val="000000" w:themeColor="text1"/>
          <w:sz w:val="24"/>
          <w:szCs w:val="24"/>
        </w:rPr>
        <w:t>this supplemental data if the</w:t>
      </w:r>
      <w:r w:rsidRPr="00A77949" w:rsidR="00FE4EFA">
        <w:rPr>
          <w:rFonts w:ascii="Times New Roman" w:hAnsi="Times New Roman" w:cs="Times New Roman"/>
          <w:color w:val="000000" w:themeColor="text1"/>
          <w:sz w:val="24"/>
          <w:szCs w:val="24"/>
        </w:rPr>
        <w:t xml:space="preserve"> information was not collected.</w:t>
      </w:r>
      <w:r w:rsidRPr="00A77949" w:rsidR="008B5712">
        <w:rPr>
          <w:rFonts w:ascii="Times New Roman" w:hAnsi="Times New Roman" w:cs="Times New Roman"/>
          <w:color w:val="000000" w:themeColor="text1"/>
          <w:sz w:val="24"/>
          <w:szCs w:val="24"/>
        </w:rPr>
        <w:t xml:space="preserve">  </w:t>
      </w:r>
      <w:r w:rsidRPr="00A77949" w:rsidR="00C238E4">
        <w:rPr>
          <w:rFonts w:ascii="Times New Roman" w:hAnsi="Times New Roman" w:cs="Times New Roman"/>
          <w:color w:val="000000" w:themeColor="text1"/>
          <w:sz w:val="24"/>
          <w:szCs w:val="24"/>
        </w:rPr>
        <w:t xml:space="preserve">The </w:t>
      </w:r>
      <w:r w:rsidRPr="00A77949" w:rsidR="00C22E58">
        <w:rPr>
          <w:rFonts w:ascii="Times New Roman" w:hAnsi="Times New Roman" w:cs="Times New Roman"/>
          <w:color w:val="000000" w:themeColor="text1"/>
          <w:sz w:val="24"/>
          <w:szCs w:val="24"/>
        </w:rPr>
        <w:t xml:space="preserve">FBI </w:t>
      </w:r>
      <w:r w:rsidRPr="00A77949" w:rsidR="00C238E4">
        <w:rPr>
          <w:rFonts w:ascii="Times New Roman" w:hAnsi="Times New Roman" w:cs="Times New Roman"/>
          <w:color w:val="000000" w:themeColor="text1"/>
          <w:sz w:val="24"/>
          <w:szCs w:val="24"/>
        </w:rPr>
        <w:t xml:space="preserve">UCR Program’s data </w:t>
      </w:r>
      <w:r w:rsidRPr="00A77949" w:rsidR="00DA3B6A">
        <w:rPr>
          <w:rFonts w:ascii="Times New Roman" w:hAnsi="Times New Roman" w:cs="Times New Roman"/>
          <w:color w:val="000000" w:themeColor="text1"/>
          <w:sz w:val="24"/>
          <w:szCs w:val="24"/>
        </w:rPr>
        <w:t xml:space="preserve">can be used for tracking crime; administration, operation, and management </w:t>
      </w:r>
      <w:r w:rsidRPr="00A77949" w:rsidR="00DA3B6A">
        <w:rPr>
          <w:rFonts w:ascii="Times New Roman" w:hAnsi="Times New Roman" w:cs="Times New Roman"/>
          <w:color w:val="000000" w:themeColor="text1"/>
          <w:sz w:val="24"/>
          <w:szCs w:val="24"/>
        </w:rPr>
        <w:lastRenderedPageBreak/>
        <w:t>purposes (e.g.</w:t>
      </w:r>
      <w:r w:rsidR="00D452B1">
        <w:rPr>
          <w:rFonts w:ascii="Times New Roman" w:hAnsi="Times New Roman" w:cs="Times New Roman"/>
          <w:color w:val="000000" w:themeColor="text1"/>
          <w:sz w:val="24"/>
          <w:szCs w:val="24"/>
        </w:rPr>
        <w:t>,</w:t>
      </w:r>
      <w:r w:rsidRPr="00A77949" w:rsidR="00DA3B6A">
        <w:rPr>
          <w:rFonts w:ascii="Times New Roman" w:hAnsi="Times New Roman" w:cs="Times New Roman"/>
          <w:color w:val="000000" w:themeColor="text1"/>
          <w:sz w:val="24"/>
          <w:szCs w:val="24"/>
        </w:rPr>
        <w:t> budget formulation and resource allocation); assessment of police operations; effectively positioning task forces and officers; and determining the effectiveness of various law enforcement programs to address the crime problem at various levels.  Agencies can justify staffing levels and officer counts based on the data.  Although cautioned, some agencies may compare their crime statistics with those of other LEAs to justify an increase in funding for additional staff or equipment.</w:t>
      </w:r>
      <w:r w:rsidRPr="00A77949" w:rsidR="00DA3B6A">
        <w:rPr>
          <w:rFonts w:ascii="Times New Roman" w:hAnsi="Times New Roman" w:cs="Times New Roman"/>
          <w:b/>
          <w:color w:val="000000" w:themeColor="text1"/>
          <w:sz w:val="24"/>
          <w:szCs w:val="24"/>
        </w:rPr>
        <w:t xml:space="preserve"> </w:t>
      </w:r>
    </w:p>
    <w:p w:rsidRPr="00A77949" w:rsidR="003E4660" w:rsidP="002C7CDE" w:rsidRDefault="003E4660">
      <w:pPr>
        <w:spacing w:after="0" w:line="240" w:lineRule="auto"/>
        <w:rPr>
          <w:rFonts w:ascii="Times New Roman" w:hAnsi="Times New Roman" w:cs="Times New Roman"/>
          <w:color w:val="000000" w:themeColor="text1"/>
          <w:sz w:val="24"/>
          <w:szCs w:val="24"/>
        </w:rPr>
      </w:pPr>
    </w:p>
    <w:p w:rsidRPr="00A77949" w:rsidR="00531777" w:rsidP="002C7CDE" w:rsidRDefault="00531777">
      <w:pPr>
        <w:spacing w:after="0" w:line="240" w:lineRule="auto"/>
        <w:rPr>
          <w:rFonts w:ascii="Times New Roman" w:hAnsi="Times New Roman" w:cs="Times New Roman"/>
          <w:color w:val="000000" w:themeColor="text1"/>
          <w:sz w:val="24"/>
          <w:szCs w:val="24"/>
        </w:rPr>
      </w:pPr>
    </w:p>
    <w:p w:rsidRPr="0092031B" w:rsidR="003E4660" w:rsidP="00E148C2" w:rsidRDefault="003E4660">
      <w:pPr>
        <w:pStyle w:val="ListParagraph"/>
        <w:numPr>
          <w:ilvl w:val="0"/>
          <w:numId w:val="2"/>
        </w:numPr>
        <w:spacing w:after="0" w:line="240" w:lineRule="auto"/>
        <w:rPr>
          <w:rFonts w:ascii="Times New Roman" w:hAnsi="Times New Roman" w:cs="Times New Roman"/>
          <w:sz w:val="24"/>
          <w:szCs w:val="24"/>
        </w:rPr>
      </w:pPr>
      <w:r w:rsidRPr="0092031B">
        <w:rPr>
          <w:rFonts w:ascii="Times New Roman" w:hAnsi="Times New Roman" w:cs="Times New Roman"/>
          <w:sz w:val="24"/>
          <w:szCs w:val="24"/>
          <w:u w:val="single"/>
        </w:rPr>
        <w:t>Special Circumstances</w:t>
      </w:r>
    </w:p>
    <w:p w:rsidRPr="0092031B" w:rsidR="003E4660" w:rsidP="002C7CDE" w:rsidRDefault="003E4660">
      <w:pPr>
        <w:pStyle w:val="ListParagraph"/>
        <w:spacing w:after="0" w:line="240" w:lineRule="auto"/>
        <w:ind w:left="360"/>
        <w:rPr>
          <w:rFonts w:ascii="Times New Roman" w:hAnsi="Times New Roman" w:cs="Times New Roman"/>
          <w:sz w:val="24"/>
          <w:szCs w:val="24"/>
        </w:rPr>
      </w:pPr>
    </w:p>
    <w:p w:rsidRPr="0092031B" w:rsidR="003E4660" w:rsidP="00E148C2" w:rsidRDefault="00E9695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Although</w:t>
      </w:r>
      <w:r w:rsidRPr="0092031B" w:rsidR="00257D15">
        <w:rPr>
          <w:rFonts w:ascii="Times New Roman" w:hAnsi="Times New Roman" w:cs="Times New Roman"/>
          <w:sz w:val="24"/>
          <w:szCs w:val="24"/>
        </w:rPr>
        <w:t xml:space="preserve"> some agencies have permission t</w:t>
      </w:r>
      <w:r w:rsidR="0092031B">
        <w:rPr>
          <w:rFonts w:ascii="Times New Roman" w:hAnsi="Times New Roman" w:cs="Times New Roman"/>
          <w:sz w:val="24"/>
          <w:szCs w:val="24"/>
        </w:rPr>
        <w:t>o submit data quarterly, semi</w:t>
      </w:r>
      <w:r w:rsidRPr="0092031B" w:rsidR="00257D15">
        <w:rPr>
          <w:rFonts w:ascii="Times New Roman" w:hAnsi="Times New Roman" w:cs="Times New Roman"/>
          <w:sz w:val="24"/>
          <w:szCs w:val="24"/>
        </w:rPr>
        <w:t>annual</w:t>
      </w:r>
      <w:r w:rsidR="008377F6">
        <w:rPr>
          <w:rFonts w:ascii="Times New Roman" w:hAnsi="Times New Roman" w:cs="Times New Roman"/>
          <w:sz w:val="24"/>
          <w:szCs w:val="24"/>
        </w:rPr>
        <w:t>ly</w:t>
      </w:r>
      <w:r w:rsidRPr="0092031B" w:rsidR="00257D15">
        <w:rPr>
          <w:rFonts w:ascii="Times New Roman" w:hAnsi="Times New Roman" w:cs="Times New Roman"/>
          <w:sz w:val="24"/>
          <w:szCs w:val="24"/>
        </w:rPr>
        <w:t>, or annual</w:t>
      </w:r>
      <w:r w:rsidR="008377F6">
        <w:rPr>
          <w:rFonts w:ascii="Times New Roman" w:hAnsi="Times New Roman" w:cs="Times New Roman"/>
          <w:sz w:val="24"/>
          <w:szCs w:val="24"/>
        </w:rPr>
        <w:t>ly</w:t>
      </w:r>
      <w:r w:rsidRPr="0092031B" w:rsidR="00257D15">
        <w:rPr>
          <w:rFonts w:ascii="Times New Roman" w:hAnsi="Times New Roman" w:cs="Times New Roman"/>
          <w:sz w:val="24"/>
          <w:szCs w:val="24"/>
        </w:rPr>
        <w:t>, most</w:t>
      </w:r>
      <w:r w:rsidRPr="0092031B" w:rsidR="003E4660">
        <w:rPr>
          <w:rFonts w:ascii="Times New Roman" w:hAnsi="Times New Roman" w:cs="Times New Roman"/>
          <w:sz w:val="24"/>
          <w:szCs w:val="24"/>
        </w:rPr>
        <w:t xml:space="preserve"> </w:t>
      </w:r>
      <w:r>
        <w:rPr>
          <w:rFonts w:ascii="Times New Roman" w:hAnsi="Times New Roman" w:cs="Times New Roman"/>
          <w:sz w:val="24"/>
          <w:szCs w:val="24"/>
        </w:rPr>
        <w:t>submissions</w:t>
      </w:r>
      <w:r w:rsidRPr="0092031B" w:rsidR="003E4660">
        <w:rPr>
          <w:rFonts w:ascii="Times New Roman" w:hAnsi="Times New Roman" w:cs="Times New Roman"/>
          <w:sz w:val="24"/>
          <w:szCs w:val="24"/>
        </w:rPr>
        <w:t xml:space="preserve"> are received from FBI UCR Program participants on a </w:t>
      </w:r>
      <w:r w:rsidR="00A77949">
        <w:rPr>
          <w:rFonts w:ascii="Times New Roman" w:hAnsi="Times New Roman" w:cs="Times New Roman"/>
          <w:sz w:val="24"/>
          <w:szCs w:val="24"/>
        </w:rPr>
        <w:t xml:space="preserve">monthly basis.  Monthly </w:t>
      </w:r>
      <w:r w:rsidRPr="0092031B" w:rsidR="003E4660">
        <w:rPr>
          <w:rFonts w:ascii="Times New Roman" w:hAnsi="Times New Roman" w:cs="Times New Roman"/>
          <w:sz w:val="24"/>
          <w:szCs w:val="24"/>
        </w:rPr>
        <w:t xml:space="preserve">submissions should be received </w:t>
      </w:r>
      <w:r w:rsidRPr="0092031B" w:rsidR="000541A0">
        <w:rPr>
          <w:rFonts w:ascii="Times New Roman" w:hAnsi="Times New Roman" w:cs="Times New Roman"/>
          <w:sz w:val="24"/>
          <w:szCs w:val="24"/>
        </w:rPr>
        <w:t>by</w:t>
      </w:r>
      <w:r w:rsidRPr="0092031B" w:rsidR="003E4660">
        <w:rPr>
          <w:rFonts w:ascii="Times New Roman" w:hAnsi="Times New Roman" w:cs="Times New Roman"/>
          <w:sz w:val="24"/>
          <w:szCs w:val="24"/>
        </w:rPr>
        <w:t xml:space="preserve"> the FBI </w:t>
      </w:r>
      <w:r w:rsidRPr="0092031B" w:rsidR="000541A0">
        <w:rPr>
          <w:rFonts w:ascii="Times New Roman" w:hAnsi="Times New Roman" w:cs="Times New Roman"/>
          <w:sz w:val="24"/>
          <w:szCs w:val="24"/>
        </w:rPr>
        <w:t>no later than</w:t>
      </w:r>
      <w:r w:rsidRPr="0092031B" w:rsidR="003E4660">
        <w:rPr>
          <w:rFonts w:ascii="Times New Roman" w:hAnsi="Times New Roman" w:cs="Times New Roman"/>
          <w:sz w:val="24"/>
          <w:szCs w:val="24"/>
        </w:rPr>
        <w:t xml:space="preserve"> the seventh day of each month.  Annual deadlines are</w:t>
      </w:r>
      <w:r w:rsidR="00A77949">
        <w:rPr>
          <w:rFonts w:ascii="Times New Roman" w:hAnsi="Times New Roman" w:cs="Times New Roman"/>
          <w:sz w:val="24"/>
          <w:szCs w:val="24"/>
        </w:rPr>
        <w:t xml:space="preserve"> designated in order to </w:t>
      </w:r>
      <w:r w:rsidRPr="0092031B" w:rsidR="003E4660">
        <w:rPr>
          <w:rFonts w:ascii="Times New Roman" w:hAnsi="Times New Roman" w:cs="Times New Roman"/>
          <w:sz w:val="24"/>
          <w:szCs w:val="24"/>
        </w:rPr>
        <w:t xml:space="preserve">assess receipt of monthly submissions.  </w:t>
      </w:r>
      <w:r w:rsidR="008377F6">
        <w:rPr>
          <w:rFonts w:ascii="Times New Roman" w:hAnsi="Times New Roman" w:cs="Times New Roman"/>
          <w:sz w:val="24"/>
          <w:szCs w:val="24"/>
        </w:rPr>
        <w:t>S</w:t>
      </w:r>
      <w:r w:rsidRPr="0092031B" w:rsidR="003E4660">
        <w:rPr>
          <w:rFonts w:ascii="Times New Roman" w:hAnsi="Times New Roman" w:cs="Times New Roman"/>
          <w:sz w:val="24"/>
          <w:szCs w:val="24"/>
        </w:rPr>
        <w:t>pecial circumstances may cause an agency to request an extension</w:t>
      </w:r>
      <w:r w:rsidR="008377F6">
        <w:rPr>
          <w:rFonts w:ascii="Times New Roman" w:hAnsi="Times New Roman" w:cs="Times New Roman"/>
          <w:sz w:val="24"/>
          <w:szCs w:val="24"/>
        </w:rPr>
        <w:t xml:space="preserve"> which t</w:t>
      </w:r>
      <w:r w:rsidRPr="0092031B" w:rsidR="001A4403">
        <w:rPr>
          <w:rFonts w:ascii="Times New Roman" w:hAnsi="Times New Roman" w:cs="Times New Roman"/>
          <w:sz w:val="24"/>
          <w:szCs w:val="24"/>
        </w:rPr>
        <w:t>he FBI</w:t>
      </w:r>
      <w:r w:rsidRPr="0092031B" w:rsidR="003E4660">
        <w:rPr>
          <w:rFonts w:ascii="Times New Roman" w:hAnsi="Times New Roman" w:cs="Times New Roman"/>
          <w:sz w:val="24"/>
          <w:szCs w:val="24"/>
        </w:rPr>
        <w:t xml:space="preserve"> UCR Program has the authority to grant.  </w:t>
      </w:r>
    </w:p>
    <w:p w:rsidRPr="0092031B" w:rsidR="003E4660" w:rsidP="002C7CDE" w:rsidRDefault="003E4660">
      <w:pPr>
        <w:spacing w:after="0" w:line="240" w:lineRule="auto"/>
        <w:rPr>
          <w:rFonts w:ascii="Times New Roman" w:hAnsi="Times New Roman" w:cs="Times New Roman"/>
          <w:sz w:val="24"/>
          <w:szCs w:val="24"/>
        </w:rPr>
      </w:pPr>
    </w:p>
    <w:p w:rsidRPr="0092031B" w:rsidR="003E4660" w:rsidP="002C7CDE" w:rsidRDefault="003E4660">
      <w:pPr>
        <w:spacing w:after="0" w:line="240" w:lineRule="auto"/>
        <w:rPr>
          <w:rFonts w:ascii="Times New Roman" w:hAnsi="Times New Roman" w:cs="Times New Roman"/>
          <w:sz w:val="24"/>
          <w:szCs w:val="24"/>
        </w:rPr>
      </w:pPr>
    </w:p>
    <w:p w:rsidRPr="0092031B" w:rsidR="003E4660" w:rsidP="00E148C2" w:rsidRDefault="003E4660">
      <w:pPr>
        <w:pStyle w:val="ListParagraph"/>
        <w:numPr>
          <w:ilvl w:val="0"/>
          <w:numId w:val="2"/>
        </w:numPr>
        <w:spacing w:after="0" w:line="240" w:lineRule="auto"/>
        <w:rPr>
          <w:rFonts w:ascii="Times New Roman" w:hAnsi="Times New Roman" w:cs="Times New Roman"/>
          <w:sz w:val="24"/>
          <w:szCs w:val="24"/>
        </w:rPr>
      </w:pPr>
      <w:r w:rsidRPr="0092031B">
        <w:rPr>
          <w:rFonts w:ascii="Times New Roman" w:hAnsi="Times New Roman" w:cs="Times New Roman"/>
          <w:sz w:val="24"/>
          <w:szCs w:val="24"/>
          <w:u w:val="single"/>
        </w:rPr>
        <w:t>Public Comments and Consultations</w:t>
      </w:r>
    </w:p>
    <w:p w:rsidRPr="0092031B" w:rsidR="003E4660" w:rsidP="002C7CDE" w:rsidRDefault="003E4660">
      <w:pPr>
        <w:pStyle w:val="ListParagraph"/>
        <w:spacing w:after="0" w:line="240" w:lineRule="auto"/>
        <w:ind w:left="360"/>
        <w:rPr>
          <w:rFonts w:ascii="Times New Roman" w:hAnsi="Times New Roman" w:cs="Times New Roman"/>
          <w:sz w:val="24"/>
          <w:szCs w:val="24"/>
          <w:u w:val="single"/>
        </w:rPr>
      </w:pPr>
    </w:p>
    <w:p w:rsidRPr="0092031B" w:rsidR="003E4660" w:rsidP="00E148C2" w:rsidRDefault="001A4403">
      <w:pPr>
        <w:pStyle w:val="ListParagraph"/>
        <w:spacing w:after="0" w:line="240" w:lineRule="auto"/>
        <w:rPr>
          <w:rFonts w:ascii="Times New Roman" w:hAnsi="Times New Roman" w:cs="Times New Roman"/>
          <w:color w:val="000000" w:themeColor="text1"/>
          <w:sz w:val="24"/>
          <w:szCs w:val="24"/>
        </w:rPr>
      </w:pPr>
      <w:r w:rsidRPr="0092031B">
        <w:rPr>
          <w:rFonts w:ascii="Times New Roman" w:hAnsi="Times New Roman" w:cs="Times New Roman"/>
          <w:sz w:val="24"/>
          <w:szCs w:val="24"/>
        </w:rPr>
        <w:t xml:space="preserve">No public comments were received after the 60- and 30-Day Notices were </w:t>
      </w:r>
      <w:r w:rsidRPr="0092031B" w:rsidR="003E4660">
        <w:rPr>
          <w:rFonts w:ascii="Times New Roman" w:hAnsi="Times New Roman" w:cs="Times New Roman"/>
          <w:sz w:val="24"/>
          <w:szCs w:val="24"/>
        </w:rPr>
        <w:t xml:space="preserve">submitted </w:t>
      </w:r>
      <w:r w:rsidRPr="0092031B">
        <w:rPr>
          <w:rFonts w:ascii="Times New Roman" w:hAnsi="Times New Roman" w:cs="Times New Roman"/>
          <w:sz w:val="24"/>
          <w:szCs w:val="24"/>
        </w:rPr>
        <w:t>to</w:t>
      </w:r>
      <w:r w:rsidRPr="0092031B" w:rsidR="000541A0">
        <w:rPr>
          <w:rFonts w:ascii="Times New Roman" w:hAnsi="Times New Roman" w:cs="Times New Roman"/>
          <w:sz w:val="24"/>
          <w:szCs w:val="24"/>
        </w:rPr>
        <w:t>,</w:t>
      </w:r>
      <w:r w:rsidRPr="0092031B">
        <w:rPr>
          <w:rFonts w:ascii="Times New Roman" w:hAnsi="Times New Roman" w:cs="Times New Roman"/>
          <w:sz w:val="24"/>
          <w:szCs w:val="24"/>
        </w:rPr>
        <w:t xml:space="preserve"> and </w:t>
      </w:r>
      <w:r w:rsidRPr="0092031B" w:rsidR="003E4660">
        <w:rPr>
          <w:rFonts w:ascii="Times New Roman" w:hAnsi="Times New Roman" w:cs="Times New Roman"/>
          <w:sz w:val="24"/>
          <w:szCs w:val="24"/>
        </w:rPr>
        <w:t>publ</w:t>
      </w:r>
      <w:r w:rsidRPr="0092031B" w:rsidR="003E4660">
        <w:rPr>
          <w:rFonts w:ascii="Times New Roman" w:hAnsi="Times New Roman" w:cs="Times New Roman"/>
          <w:color w:val="000000" w:themeColor="text1"/>
          <w:sz w:val="24"/>
          <w:szCs w:val="24"/>
        </w:rPr>
        <w:t xml:space="preserve">ished </w:t>
      </w:r>
      <w:r w:rsidRPr="0092031B">
        <w:rPr>
          <w:rFonts w:ascii="Times New Roman" w:hAnsi="Times New Roman" w:cs="Times New Roman"/>
          <w:color w:val="000000" w:themeColor="text1"/>
          <w:sz w:val="24"/>
          <w:szCs w:val="24"/>
        </w:rPr>
        <w:t>in</w:t>
      </w:r>
      <w:r w:rsidRPr="0092031B" w:rsidR="000541A0">
        <w:rPr>
          <w:rFonts w:ascii="Times New Roman" w:hAnsi="Times New Roman" w:cs="Times New Roman"/>
          <w:color w:val="000000" w:themeColor="text1"/>
          <w:sz w:val="24"/>
          <w:szCs w:val="24"/>
        </w:rPr>
        <w:t>,</w:t>
      </w:r>
      <w:r w:rsidRPr="0092031B">
        <w:rPr>
          <w:rFonts w:ascii="Times New Roman" w:hAnsi="Times New Roman" w:cs="Times New Roman"/>
          <w:color w:val="000000" w:themeColor="text1"/>
          <w:sz w:val="24"/>
          <w:szCs w:val="24"/>
        </w:rPr>
        <w:t xml:space="preserve"> the </w:t>
      </w:r>
      <w:r w:rsidRPr="000A1B93">
        <w:rPr>
          <w:rFonts w:ascii="Times New Roman" w:hAnsi="Times New Roman" w:cs="Times New Roman"/>
          <w:i/>
          <w:color w:val="000000" w:themeColor="text1"/>
          <w:sz w:val="24"/>
          <w:szCs w:val="24"/>
        </w:rPr>
        <w:t>Federal Register</w:t>
      </w:r>
      <w:r w:rsidRPr="0092031B" w:rsidR="003E4660">
        <w:rPr>
          <w:rFonts w:ascii="Times New Roman" w:hAnsi="Times New Roman" w:cs="Times New Roman"/>
          <w:color w:val="000000" w:themeColor="text1"/>
          <w:sz w:val="24"/>
          <w:szCs w:val="24"/>
        </w:rPr>
        <w:t>.</w:t>
      </w:r>
    </w:p>
    <w:p w:rsidRPr="0092031B" w:rsidR="003E4660" w:rsidP="002C7CDE" w:rsidRDefault="003E4660">
      <w:pPr>
        <w:spacing w:after="0" w:line="240" w:lineRule="auto"/>
        <w:rPr>
          <w:rFonts w:ascii="Times New Roman" w:hAnsi="Times New Roman" w:cs="Times New Roman"/>
          <w:color w:val="000000" w:themeColor="text1"/>
          <w:sz w:val="24"/>
          <w:szCs w:val="24"/>
        </w:rPr>
      </w:pPr>
    </w:p>
    <w:p w:rsidRPr="0092031B" w:rsidR="003E4660" w:rsidP="002C7CDE" w:rsidRDefault="003E4660">
      <w:pPr>
        <w:spacing w:after="0" w:line="240" w:lineRule="auto"/>
        <w:rPr>
          <w:rFonts w:ascii="Times New Roman" w:hAnsi="Times New Roman" w:cs="Times New Roman"/>
          <w:color w:val="000000" w:themeColor="text1"/>
          <w:sz w:val="24"/>
          <w:szCs w:val="24"/>
        </w:rPr>
      </w:pPr>
    </w:p>
    <w:p w:rsidRPr="0092031B" w:rsidR="003E4660" w:rsidP="00E148C2" w:rsidRDefault="003E4660">
      <w:pPr>
        <w:pStyle w:val="ListParagraph"/>
        <w:numPr>
          <w:ilvl w:val="0"/>
          <w:numId w:val="2"/>
        </w:numPr>
        <w:spacing w:after="0" w:line="240" w:lineRule="auto"/>
        <w:rPr>
          <w:rFonts w:ascii="Times New Roman" w:hAnsi="Times New Roman" w:cs="Times New Roman"/>
          <w:color w:val="000000" w:themeColor="text1"/>
          <w:sz w:val="24"/>
          <w:szCs w:val="24"/>
        </w:rPr>
      </w:pPr>
      <w:r w:rsidRPr="0092031B">
        <w:rPr>
          <w:rFonts w:ascii="Times New Roman" w:hAnsi="Times New Roman" w:cs="Times New Roman"/>
          <w:color w:val="000000" w:themeColor="text1"/>
          <w:sz w:val="24"/>
          <w:szCs w:val="24"/>
          <w:u w:val="single"/>
        </w:rPr>
        <w:t>Provision of Payments or Gifts to Respondents</w:t>
      </w:r>
    </w:p>
    <w:p w:rsidRPr="0092031B" w:rsidR="003E4660" w:rsidP="002C7CDE" w:rsidRDefault="003E4660">
      <w:pPr>
        <w:pStyle w:val="ListParagraph"/>
        <w:spacing w:after="0" w:line="240" w:lineRule="auto"/>
        <w:ind w:left="360"/>
        <w:rPr>
          <w:rFonts w:ascii="Times New Roman" w:hAnsi="Times New Roman" w:cs="Times New Roman"/>
          <w:color w:val="000000" w:themeColor="text1"/>
          <w:sz w:val="24"/>
          <w:szCs w:val="24"/>
          <w:u w:val="single"/>
        </w:rPr>
      </w:pPr>
    </w:p>
    <w:p w:rsidRPr="0092031B" w:rsidR="003E4660" w:rsidP="00E148C2" w:rsidRDefault="00630095">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FBI</w:t>
      </w:r>
      <w:r w:rsidRPr="0092031B" w:rsidR="003E4660">
        <w:rPr>
          <w:rFonts w:ascii="Times New Roman" w:hAnsi="Times New Roman" w:cs="Times New Roman"/>
          <w:color w:val="000000" w:themeColor="text1"/>
          <w:sz w:val="24"/>
          <w:szCs w:val="24"/>
        </w:rPr>
        <w:t xml:space="preserve"> UCR Program does not provide any paym</w:t>
      </w:r>
      <w:r w:rsidRPr="0092031B" w:rsidR="000541A0">
        <w:rPr>
          <w:rFonts w:ascii="Times New Roman" w:hAnsi="Times New Roman" w:cs="Times New Roman"/>
          <w:color w:val="000000" w:themeColor="text1"/>
          <w:sz w:val="24"/>
          <w:szCs w:val="24"/>
        </w:rPr>
        <w:t>ent or</w:t>
      </w:r>
      <w:r w:rsidRPr="0092031B" w:rsidR="003E4660">
        <w:rPr>
          <w:rFonts w:ascii="Times New Roman" w:hAnsi="Times New Roman" w:cs="Times New Roman"/>
          <w:color w:val="000000" w:themeColor="text1"/>
          <w:sz w:val="24"/>
          <w:szCs w:val="24"/>
        </w:rPr>
        <w:t xml:space="preserve"> gift</w:t>
      </w:r>
      <w:r w:rsidRPr="0092031B" w:rsidR="000541A0">
        <w:rPr>
          <w:rFonts w:ascii="Times New Roman" w:hAnsi="Times New Roman" w:cs="Times New Roman"/>
          <w:color w:val="000000" w:themeColor="text1"/>
          <w:sz w:val="24"/>
          <w:szCs w:val="24"/>
        </w:rPr>
        <w:t>s</w:t>
      </w:r>
      <w:r w:rsidRPr="0092031B" w:rsidR="003E4660">
        <w:rPr>
          <w:rFonts w:ascii="Times New Roman" w:hAnsi="Times New Roman" w:cs="Times New Roman"/>
          <w:color w:val="000000" w:themeColor="text1"/>
          <w:sz w:val="24"/>
          <w:szCs w:val="24"/>
        </w:rPr>
        <w:t xml:space="preserve"> to respondents.</w:t>
      </w:r>
    </w:p>
    <w:p w:rsidRPr="0092031B" w:rsidR="003E4660" w:rsidP="002C7CDE" w:rsidRDefault="003E4660">
      <w:pPr>
        <w:spacing w:after="0" w:line="240" w:lineRule="auto"/>
        <w:rPr>
          <w:rFonts w:ascii="Times New Roman" w:hAnsi="Times New Roman" w:cs="Times New Roman"/>
          <w:color w:val="000000" w:themeColor="text1"/>
          <w:sz w:val="24"/>
          <w:szCs w:val="24"/>
        </w:rPr>
      </w:pPr>
    </w:p>
    <w:p w:rsidRPr="0092031B" w:rsidR="003E4660" w:rsidP="002C7CDE" w:rsidRDefault="003E4660">
      <w:pPr>
        <w:spacing w:after="0" w:line="240" w:lineRule="auto"/>
        <w:rPr>
          <w:rFonts w:ascii="Times New Roman" w:hAnsi="Times New Roman" w:cs="Times New Roman"/>
          <w:color w:val="000000" w:themeColor="text1"/>
          <w:sz w:val="24"/>
          <w:szCs w:val="24"/>
        </w:rPr>
      </w:pPr>
    </w:p>
    <w:p w:rsidRPr="0092031B" w:rsidR="003E4660" w:rsidP="00531777" w:rsidRDefault="003E4660">
      <w:pPr>
        <w:pStyle w:val="ListParagraph"/>
        <w:numPr>
          <w:ilvl w:val="0"/>
          <w:numId w:val="2"/>
        </w:numPr>
        <w:spacing w:after="0" w:line="240" w:lineRule="auto"/>
        <w:rPr>
          <w:rFonts w:ascii="Times New Roman" w:hAnsi="Times New Roman" w:cs="Times New Roman"/>
          <w:color w:val="000000" w:themeColor="text1"/>
          <w:sz w:val="24"/>
          <w:szCs w:val="24"/>
        </w:rPr>
      </w:pPr>
      <w:r w:rsidRPr="0092031B">
        <w:rPr>
          <w:rFonts w:ascii="Times New Roman" w:hAnsi="Times New Roman" w:cs="Times New Roman"/>
          <w:color w:val="000000" w:themeColor="text1"/>
          <w:sz w:val="24"/>
          <w:szCs w:val="24"/>
          <w:u w:val="single"/>
        </w:rPr>
        <w:t>Assurance of Confidentiality</w:t>
      </w:r>
    </w:p>
    <w:p w:rsidRPr="0092031B" w:rsidR="003E4660" w:rsidP="002C7CDE" w:rsidRDefault="003E4660">
      <w:pPr>
        <w:pStyle w:val="ListParagraph"/>
        <w:spacing w:after="0" w:line="240" w:lineRule="auto"/>
        <w:ind w:left="360"/>
        <w:rPr>
          <w:rFonts w:ascii="Times New Roman" w:hAnsi="Times New Roman" w:cs="Times New Roman"/>
          <w:color w:val="000000" w:themeColor="text1"/>
          <w:sz w:val="24"/>
          <w:szCs w:val="24"/>
          <w:u w:val="single"/>
        </w:rPr>
      </w:pPr>
    </w:p>
    <w:p w:rsidRPr="0092031B" w:rsidR="00874600" w:rsidP="00531777" w:rsidRDefault="000A1B93">
      <w:pPr>
        <w:pStyle w:val="ListParagraph"/>
        <w:spacing w:after="0" w:line="240" w:lineRule="auto"/>
        <w:ind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FBI UCR Program does not as</w:t>
      </w:r>
      <w:r w:rsidR="00874600">
        <w:rPr>
          <w:rFonts w:ascii="Times New Roman" w:hAnsi="Times New Roman" w:cs="Times New Roman"/>
          <w:color w:val="000000" w:themeColor="text1"/>
          <w:sz w:val="24"/>
          <w:szCs w:val="24"/>
        </w:rPr>
        <w:t>sure</w:t>
      </w:r>
      <w:r w:rsidR="00630095">
        <w:rPr>
          <w:rFonts w:ascii="Times New Roman" w:hAnsi="Times New Roman" w:cs="Times New Roman"/>
          <w:color w:val="000000" w:themeColor="text1"/>
          <w:sz w:val="24"/>
          <w:szCs w:val="24"/>
        </w:rPr>
        <w:t xml:space="preserve"> confidentiality.  However, </w:t>
      </w:r>
      <w:r w:rsidR="00874600">
        <w:rPr>
          <w:rFonts w:ascii="Times New Roman" w:hAnsi="Times New Roman" w:cs="Times New Roman"/>
          <w:color w:val="000000" w:themeColor="text1"/>
          <w:sz w:val="24"/>
          <w:szCs w:val="24"/>
        </w:rPr>
        <w:t>SHR</w:t>
      </w:r>
      <w:r w:rsidRPr="0092031B" w:rsidR="00874600">
        <w:rPr>
          <w:rFonts w:ascii="Times New Roman" w:hAnsi="Times New Roman" w:cs="Times New Roman"/>
          <w:color w:val="000000" w:themeColor="text1"/>
          <w:sz w:val="24"/>
          <w:szCs w:val="24"/>
        </w:rPr>
        <w:t xml:space="preserve"> </w:t>
      </w:r>
      <w:r w:rsidR="00630095">
        <w:rPr>
          <w:rFonts w:ascii="Times New Roman" w:hAnsi="Times New Roman" w:cs="Times New Roman"/>
          <w:color w:val="000000" w:themeColor="text1"/>
          <w:sz w:val="24"/>
          <w:szCs w:val="24"/>
        </w:rPr>
        <w:t>data</w:t>
      </w:r>
      <w:r w:rsidRPr="0092031B" w:rsidR="00874600">
        <w:rPr>
          <w:rFonts w:ascii="Times New Roman" w:hAnsi="Times New Roman" w:cs="Times New Roman"/>
          <w:color w:val="000000" w:themeColor="text1"/>
          <w:sz w:val="24"/>
          <w:szCs w:val="24"/>
        </w:rPr>
        <w:t xml:space="preserve"> does not contain personally identifiable information which may reveal the identity of an individual.</w:t>
      </w:r>
      <w:r w:rsidR="00630095">
        <w:rPr>
          <w:rFonts w:ascii="Times New Roman" w:hAnsi="Times New Roman" w:cs="Times New Roman"/>
          <w:color w:val="000000" w:themeColor="text1"/>
          <w:sz w:val="24"/>
          <w:szCs w:val="24"/>
        </w:rPr>
        <w:t xml:space="preserve">  In addition, </w:t>
      </w:r>
      <w:r w:rsidR="00874600">
        <w:rPr>
          <w:rFonts w:ascii="Times New Roman" w:hAnsi="Times New Roman" w:cs="Times New Roman"/>
          <w:color w:val="000000" w:themeColor="text1"/>
          <w:sz w:val="24"/>
          <w:szCs w:val="24"/>
        </w:rPr>
        <w:t xml:space="preserve">SHR </w:t>
      </w:r>
      <w:r w:rsidRPr="0092031B" w:rsidR="00874600">
        <w:rPr>
          <w:rFonts w:ascii="Times New Roman" w:hAnsi="Times New Roman" w:cs="Times New Roman"/>
          <w:color w:val="000000" w:themeColor="text1"/>
          <w:sz w:val="24"/>
          <w:szCs w:val="24"/>
        </w:rPr>
        <w:t>data are obtained from public agencies and are, therefore, in the public domain.</w:t>
      </w:r>
    </w:p>
    <w:p w:rsidRPr="0092031B" w:rsidR="00BB42FD" w:rsidP="002C7CDE" w:rsidRDefault="00BB42FD">
      <w:pPr>
        <w:spacing w:after="0" w:line="240" w:lineRule="auto"/>
        <w:rPr>
          <w:rFonts w:ascii="Times New Roman" w:hAnsi="Times New Roman" w:cs="Times New Roman"/>
          <w:color w:val="000000" w:themeColor="text1"/>
          <w:sz w:val="24"/>
          <w:szCs w:val="24"/>
        </w:rPr>
      </w:pPr>
    </w:p>
    <w:p w:rsidRPr="0092031B" w:rsidR="00BB42FD" w:rsidP="002C7CDE" w:rsidRDefault="00BB42FD">
      <w:pPr>
        <w:spacing w:after="0" w:line="240" w:lineRule="auto"/>
        <w:rPr>
          <w:rFonts w:ascii="Times New Roman" w:hAnsi="Times New Roman" w:cs="Times New Roman"/>
          <w:color w:val="000000" w:themeColor="text1"/>
          <w:sz w:val="24"/>
          <w:szCs w:val="24"/>
        </w:rPr>
      </w:pPr>
    </w:p>
    <w:p w:rsidRPr="0092031B" w:rsidR="00BB42FD" w:rsidP="00531777" w:rsidRDefault="00BB42FD">
      <w:pPr>
        <w:pStyle w:val="ListParagraph"/>
        <w:numPr>
          <w:ilvl w:val="0"/>
          <w:numId w:val="2"/>
        </w:numPr>
        <w:spacing w:after="0" w:line="240" w:lineRule="auto"/>
        <w:rPr>
          <w:rFonts w:ascii="Times New Roman" w:hAnsi="Times New Roman" w:cs="Times New Roman"/>
          <w:color w:val="000000" w:themeColor="text1"/>
          <w:sz w:val="24"/>
          <w:szCs w:val="24"/>
        </w:rPr>
      </w:pPr>
      <w:r w:rsidRPr="0092031B">
        <w:rPr>
          <w:rFonts w:ascii="Times New Roman" w:hAnsi="Times New Roman" w:cs="Times New Roman"/>
          <w:color w:val="000000" w:themeColor="text1"/>
          <w:sz w:val="24"/>
          <w:szCs w:val="24"/>
          <w:u w:val="single"/>
        </w:rPr>
        <w:t>Justification for Sensitive Questions</w:t>
      </w:r>
    </w:p>
    <w:p w:rsidRPr="0092031B" w:rsidR="00BB42FD" w:rsidP="002C7CDE" w:rsidRDefault="00BB42FD">
      <w:pPr>
        <w:pStyle w:val="ListParagraph"/>
        <w:spacing w:after="0" w:line="240" w:lineRule="auto"/>
        <w:ind w:left="360"/>
        <w:rPr>
          <w:rFonts w:ascii="Times New Roman" w:hAnsi="Times New Roman" w:cs="Times New Roman"/>
          <w:color w:val="000000" w:themeColor="text1"/>
          <w:sz w:val="24"/>
          <w:szCs w:val="24"/>
          <w:u w:val="single"/>
        </w:rPr>
      </w:pPr>
    </w:p>
    <w:p w:rsidRPr="0092031B" w:rsidR="00BB42FD" w:rsidP="00531777" w:rsidRDefault="00874600">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Information collected via SHR is not sensitive in nature</w:t>
      </w:r>
      <w:r w:rsidRPr="0092031B" w:rsidR="00BB42FD">
        <w:rPr>
          <w:rFonts w:ascii="Times New Roman" w:hAnsi="Times New Roman" w:cs="Times New Roman"/>
          <w:color w:val="000000" w:themeColor="text1"/>
          <w:sz w:val="24"/>
          <w:szCs w:val="24"/>
        </w:rPr>
        <w:t>.</w:t>
      </w:r>
    </w:p>
    <w:p w:rsidRPr="0092031B" w:rsidR="00BB42FD" w:rsidP="002C7CDE" w:rsidRDefault="00BB42FD">
      <w:pPr>
        <w:spacing w:after="0" w:line="240" w:lineRule="auto"/>
        <w:rPr>
          <w:rFonts w:ascii="Times New Roman" w:hAnsi="Times New Roman" w:cs="Times New Roman"/>
          <w:color w:val="000000" w:themeColor="text1"/>
          <w:sz w:val="24"/>
          <w:szCs w:val="24"/>
        </w:rPr>
      </w:pPr>
    </w:p>
    <w:p w:rsidRPr="0092031B" w:rsidR="00BB42FD" w:rsidP="002C7CDE" w:rsidRDefault="00BB42FD">
      <w:pPr>
        <w:spacing w:after="0" w:line="240" w:lineRule="auto"/>
        <w:rPr>
          <w:rFonts w:ascii="Times New Roman" w:hAnsi="Times New Roman" w:cs="Times New Roman"/>
          <w:sz w:val="24"/>
          <w:szCs w:val="24"/>
        </w:rPr>
      </w:pPr>
    </w:p>
    <w:p w:rsidRPr="0092031B" w:rsidR="001559AE" w:rsidP="002C7CDE" w:rsidRDefault="001559AE">
      <w:pPr>
        <w:spacing w:after="0" w:line="240" w:lineRule="auto"/>
        <w:rPr>
          <w:rFonts w:ascii="Times New Roman" w:hAnsi="Times New Roman" w:cs="Times New Roman"/>
          <w:color w:val="FF0000"/>
          <w:sz w:val="24"/>
          <w:szCs w:val="24"/>
          <w:u w:val="single"/>
        </w:rPr>
      </w:pPr>
      <w:r w:rsidRPr="0092031B">
        <w:rPr>
          <w:rFonts w:ascii="Times New Roman" w:hAnsi="Times New Roman" w:cs="Times New Roman"/>
          <w:color w:val="FF0000"/>
          <w:sz w:val="24"/>
          <w:szCs w:val="24"/>
          <w:u w:val="single"/>
        </w:rPr>
        <w:br w:type="page"/>
      </w:r>
    </w:p>
    <w:p w:rsidRPr="00CC0E3A" w:rsidR="00BB42FD" w:rsidP="00531777" w:rsidRDefault="00874600">
      <w:pPr>
        <w:pStyle w:val="ListParagraph"/>
        <w:numPr>
          <w:ilvl w:val="0"/>
          <w:numId w:val="2"/>
        </w:numPr>
        <w:spacing w:after="0" w:line="240" w:lineRule="auto"/>
        <w:rPr>
          <w:rFonts w:ascii="Times New Roman" w:hAnsi="Times New Roman" w:cs="Times New Roman"/>
          <w:color w:val="000000" w:themeColor="text1"/>
          <w:sz w:val="24"/>
          <w:szCs w:val="24"/>
        </w:rPr>
      </w:pPr>
      <w:r w:rsidRPr="00CC0E3A">
        <w:rPr>
          <w:rFonts w:ascii="Times New Roman" w:hAnsi="Times New Roman" w:cs="Times New Roman"/>
          <w:color w:val="000000" w:themeColor="text1"/>
          <w:sz w:val="24"/>
          <w:szCs w:val="24"/>
          <w:u w:val="single"/>
        </w:rPr>
        <w:lastRenderedPageBreak/>
        <w:t>Estimate of Respondent</w:t>
      </w:r>
      <w:r w:rsidRPr="00CC0E3A" w:rsidR="00BB42FD">
        <w:rPr>
          <w:rFonts w:ascii="Times New Roman" w:hAnsi="Times New Roman" w:cs="Times New Roman"/>
          <w:color w:val="000000" w:themeColor="text1"/>
          <w:sz w:val="24"/>
          <w:szCs w:val="24"/>
          <w:u w:val="single"/>
        </w:rPr>
        <w:t>s</w:t>
      </w:r>
      <w:r w:rsidRPr="00CC0E3A">
        <w:rPr>
          <w:rFonts w:ascii="Times New Roman" w:hAnsi="Times New Roman" w:cs="Times New Roman"/>
          <w:color w:val="000000" w:themeColor="text1"/>
          <w:sz w:val="24"/>
          <w:szCs w:val="24"/>
          <w:u w:val="single"/>
        </w:rPr>
        <w:t>’</w:t>
      </w:r>
      <w:r w:rsidRPr="00CC0E3A" w:rsidR="00BB42FD">
        <w:rPr>
          <w:rFonts w:ascii="Times New Roman" w:hAnsi="Times New Roman" w:cs="Times New Roman"/>
          <w:color w:val="000000" w:themeColor="text1"/>
          <w:sz w:val="24"/>
          <w:szCs w:val="24"/>
          <w:u w:val="single"/>
        </w:rPr>
        <w:t xml:space="preserve"> Burden</w:t>
      </w:r>
    </w:p>
    <w:p w:rsidRPr="0092031B" w:rsidR="004066A4" w:rsidP="002C7CDE" w:rsidRDefault="004066A4">
      <w:pPr>
        <w:pStyle w:val="ListParagraph"/>
        <w:spacing w:after="0" w:line="240" w:lineRule="auto"/>
        <w:ind w:left="360"/>
        <w:rPr>
          <w:rFonts w:ascii="Times New Roman" w:hAnsi="Times New Roman" w:cs="Times New Roman"/>
          <w:color w:val="FF0000"/>
          <w:sz w:val="24"/>
          <w:szCs w:val="24"/>
        </w:rPr>
      </w:pPr>
    </w:p>
    <w:tbl>
      <w:tblPr>
        <w:tblpPr w:leftFromText="180" w:rightFromText="180" w:vertAnchor="text" w:horzAnchor="margin" w:tblpXSpec="center" w:tblpY="78"/>
        <w:tblW w:w="8297" w:type="dxa"/>
        <w:tblLayout w:type="fixed"/>
        <w:tblLook w:val="04A0" w:firstRow="1" w:lastRow="0" w:firstColumn="1" w:lastColumn="0" w:noHBand="0" w:noVBand="1"/>
      </w:tblPr>
      <w:tblGrid>
        <w:gridCol w:w="1168"/>
        <w:gridCol w:w="1782"/>
        <w:gridCol w:w="1782"/>
        <w:gridCol w:w="1782"/>
        <w:gridCol w:w="1783"/>
      </w:tblGrid>
      <w:tr w:rsidRPr="0092031B" w:rsidR="000008AF" w:rsidTr="00BE5E48">
        <w:trPr>
          <w:trHeight w:val="288" w:hRule="exact"/>
        </w:trPr>
        <w:tc>
          <w:tcPr>
            <w:tcW w:w="8297" w:type="dxa"/>
            <w:gridSpan w:val="5"/>
            <w:tcBorders>
              <w:top w:val="single" w:color="auto" w:sz="8" w:space="0"/>
              <w:bottom w:val="single" w:color="auto" w:sz="8" w:space="0"/>
            </w:tcBorders>
            <w:shd w:val="clear" w:color="auto" w:fill="auto"/>
            <w:vAlign w:val="center"/>
          </w:tcPr>
          <w:p w:rsidRPr="0092031B" w:rsidR="000008AF" w:rsidP="002C7CDE" w:rsidRDefault="000008AF">
            <w:pPr>
              <w:spacing w:after="0" w:line="240" w:lineRule="auto"/>
              <w:jc w:val="center"/>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Summary Reporting System</w:t>
            </w:r>
            <w:r w:rsidR="00957D1A">
              <w:rPr>
                <w:rFonts w:ascii="Times New Roman" w:hAnsi="Times New Roman" w:eastAsia="Times New Roman" w:cs="Times New Roman"/>
                <w:b/>
                <w:bCs/>
                <w:color w:val="000000"/>
                <w:sz w:val="20"/>
                <w:szCs w:val="20"/>
              </w:rPr>
              <w:t xml:space="preserve"> (SRS)</w:t>
            </w:r>
          </w:p>
        </w:tc>
      </w:tr>
      <w:tr w:rsidRPr="0092031B" w:rsidR="000008AF" w:rsidTr="000008AF">
        <w:trPr>
          <w:trHeight w:val="509"/>
        </w:trPr>
        <w:tc>
          <w:tcPr>
            <w:tcW w:w="1168" w:type="dxa"/>
            <w:tcBorders>
              <w:top w:val="single" w:color="auto" w:sz="8" w:space="0"/>
            </w:tcBorders>
            <w:shd w:val="clear" w:color="auto" w:fill="auto"/>
            <w:vAlign w:val="center"/>
            <w:hideMark/>
          </w:tcPr>
          <w:p w:rsidRPr="0092031B" w:rsidR="000008AF" w:rsidP="002C7CDE" w:rsidRDefault="000008AF">
            <w:pPr>
              <w:spacing w:after="0" w:line="240" w:lineRule="auto"/>
              <w:jc w:val="right"/>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 xml:space="preserve">Data </w:t>
            </w:r>
          </w:p>
          <w:p w:rsidRPr="0092031B" w:rsidR="000008AF" w:rsidP="002C7CDE" w:rsidRDefault="000008AF">
            <w:pPr>
              <w:spacing w:after="0" w:line="240" w:lineRule="auto"/>
              <w:jc w:val="right"/>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Submitted</w:t>
            </w:r>
          </w:p>
        </w:tc>
        <w:tc>
          <w:tcPr>
            <w:tcW w:w="1782" w:type="dxa"/>
            <w:tcBorders>
              <w:top w:val="single" w:color="auto" w:sz="8" w:space="0"/>
            </w:tcBorders>
            <w:shd w:val="clear" w:color="auto" w:fill="auto"/>
            <w:vAlign w:val="center"/>
            <w:hideMark/>
          </w:tcPr>
          <w:p w:rsidRPr="0092031B" w:rsidR="000008AF" w:rsidP="002C7CDE" w:rsidRDefault="000008AF">
            <w:pPr>
              <w:spacing w:after="0" w:line="240" w:lineRule="auto"/>
              <w:jc w:val="right"/>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 xml:space="preserve">Number </w:t>
            </w:r>
          </w:p>
          <w:p w:rsidRPr="0092031B" w:rsidR="000008AF" w:rsidP="002C7CDE" w:rsidRDefault="000008AF">
            <w:pPr>
              <w:spacing w:after="0" w:line="240" w:lineRule="auto"/>
              <w:jc w:val="right"/>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of Agencies</w:t>
            </w:r>
          </w:p>
        </w:tc>
        <w:tc>
          <w:tcPr>
            <w:tcW w:w="1782" w:type="dxa"/>
            <w:tcBorders>
              <w:top w:val="single" w:color="auto" w:sz="8" w:space="0"/>
            </w:tcBorders>
            <w:shd w:val="clear" w:color="auto" w:fill="auto"/>
            <w:vAlign w:val="center"/>
            <w:hideMark/>
          </w:tcPr>
          <w:p w:rsidRPr="0092031B" w:rsidR="000008AF" w:rsidP="002C7CDE" w:rsidRDefault="000008AF">
            <w:pPr>
              <w:spacing w:after="0" w:line="240" w:lineRule="auto"/>
              <w:jc w:val="right"/>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 xml:space="preserve">Number </w:t>
            </w:r>
          </w:p>
          <w:p w:rsidRPr="0092031B" w:rsidR="000008AF" w:rsidP="002C7CDE" w:rsidRDefault="000008AF">
            <w:pPr>
              <w:spacing w:after="0" w:line="240" w:lineRule="auto"/>
              <w:jc w:val="right"/>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of Responses</w:t>
            </w:r>
          </w:p>
        </w:tc>
        <w:tc>
          <w:tcPr>
            <w:tcW w:w="1782" w:type="dxa"/>
            <w:tcBorders>
              <w:top w:val="single" w:color="auto" w:sz="8" w:space="0"/>
            </w:tcBorders>
            <w:shd w:val="clear" w:color="auto" w:fill="auto"/>
            <w:vAlign w:val="center"/>
            <w:hideMark/>
          </w:tcPr>
          <w:p w:rsidRPr="0092031B" w:rsidR="000008AF" w:rsidP="002C7CDE" w:rsidRDefault="000008AF">
            <w:pPr>
              <w:spacing w:after="0" w:line="240" w:lineRule="auto"/>
              <w:contextualSpacing/>
              <w:jc w:val="right"/>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 xml:space="preserve">Burden </w:t>
            </w:r>
          </w:p>
          <w:p w:rsidRPr="0092031B" w:rsidR="000008AF" w:rsidP="002C7CDE" w:rsidRDefault="000008AF">
            <w:pPr>
              <w:spacing w:after="0" w:line="240" w:lineRule="auto"/>
              <w:contextualSpacing/>
              <w:jc w:val="right"/>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(Minutes)</w:t>
            </w:r>
          </w:p>
        </w:tc>
        <w:tc>
          <w:tcPr>
            <w:tcW w:w="1783" w:type="dxa"/>
            <w:tcBorders>
              <w:top w:val="single" w:color="auto" w:sz="8" w:space="0"/>
            </w:tcBorders>
            <w:shd w:val="clear" w:color="auto" w:fill="auto"/>
            <w:vAlign w:val="center"/>
            <w:hideMark/>
          </w:tcPr>
          <w:p w:rsidRPr="0092031B" w:rsidR="000008AF" w:rsidP="002C7CDE" w:rsidRDefault="000008AF">
            <w:pPr>
              <w:spacing w:after="0" w:line="240" w:lineRule="auto"/>
              <w:jc w:val="right"/>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 xml:space="preserve">Burden </w:t>
            </w:r>
          </w:p>
          <w:p w:rsidRPr="0092031B" w:rsidR="000008AF" w:rsidP="002C7CDE" w:rsidRDefault="000008AF">
            <w:pPr>
              <w:spacing w:after="0" w:line="240" w:lineRule="auto"/>
              <w:jc w:val="right"/>
              <w:rPr>
                <w:rFonts w:ascii="Times New Roman" w:hAnsi="Times New Roman" w:eastAsia="Times New Roman" w:cs="Times New Roman"/>
                <w:b/>
                <w:bCs/>
                <w:color w:val="000000"/>
                <w:sz w:val="20"/>
                <w:szCs w:val="20"/>
              </w:rPr>
            </w:pPr>
            <w:r w:rsidRPr="0092031B">
              <w:rPr>
                <w:rFonts w:ascii="Times New Roman" w:hAnsi="Times New Roman" w:eastAsia="Times New Roman" w:cs="Times New Roman"/>
                <w:b/>
                <w:bCs/>
                <w:color w:val="000000"/>
                <w:sz w:val="20"/>
                <w:szCs w:val="20"/>
              </w:rPr>
              <w:t>(Hours)</w:t>
            </w:r>
          </w:p>
        </w:tc>
      </w:tr>
      <w:tr w:rsidRPr="0092031B" w:rsidR="000008AF" w:rsidTr="00BE5E48">
        <w:trPr>
          <w:trHeight w:val="288"/>
        </w:trPr>
        <w:tc>
          <w:tcPr>
            <w:tcW w:w="1168" w:type="dxa"/>
            <w:tcBorders>
              <w:bottom w:val="single" w:color="auto" w:sz="8" w:space="0"/>
            </w:tcBorders>
            <w:shd w:val="clear" w:color="auto" w:fill="auto"/>
            <w:vAlign w:val="center"/>
          </w:tcPr>
          <w:p w:rsidRPr="0092031B" w:rsidR="000008AF" w:rsidP="002C7CDE" w:rsidRDefault="000008AF">
            <w:pPr>
              <w:spacing w:after="0" w:line="240" w:lineRule="auto"/>
              <w:jc w:val="right"/>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(A)</w:t>
            </w:r>
          </w:p>
        </w:tc>
        <w:tc>
          <w:tcPr>
            <w:tcW w:w="1782" w:type="dxa"/>
            <w:tcBorders>
              <w:bottom w:val="single" w:color="auto" w:sz="8" w:space="0"/>
            </w:tcBorders>
            <w:shd w:val="clear" w:color="auto" w:fill="auto"/>
            <w:vAlign w:val="center"/>
          </w:tcPr>
          <w:p w:rsidRPr="0092031B" w:rsidR="000008AF" w:rsidP="002C7CDE" w:rsidRDefault="000008AF">
            <w:pPr>
              <w:spacing w:after="0" w:line="240" w:lineRule="auto"/>
              <w:jc w:val="right"/>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(B)</w:t>
            </w:r>
          </w:p>
        </w:tc>
        <w:tc>
          <w:tcPr>
            <w:tcW w:w="1782" w:type="dxa"/>
            <w:tcBorders>
              <w:bottom w:val="single" w:color="auto" w:sz="8" w:space="0"/>
            </w:tcBorders>
            <w:shd w:val="clear" w:color="auto" w:fill="auto"/>
            <w:vAlign w:val="center"/>
          </w:tcPr>
          <w:p w:rsidRPr="0092031B" w:rsidR="000008AF" w:rsidP="002C7CDE" w:rsidRDefault="000008AF">
            <w:pPr>
              <w:spacing w:after="0" w:line="240" w:lineRule="auto"/>
              <w:jc w:val="right"/>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(C)</w:t>
            </w:r>
          </w:p>
        </w:tc>
        <w:tc>
          <w:tcPr>
            <w:tcW w:w="1782" w:type="dxa"/>
            <w:tcBorders>
              <w:bottom w:val="single" w:color="auto" w:sz="8" w:space="0"/>
            </w:tcBorders>
            <w:shd w:val="clear" w:color="auto" w:fill="auto"/>
            <w:vAlign w:val="center"/>
          </w:tcPr>
          <w:p w:rsidRPr="0092031B" w:rsidR="000008AF" w:rsidP="002C7CDE" w:rsidRDefault="000008AF">
            <w:pPr>
              <w:spacing w:after="0" w:line="240" w:lineRule="auto"/>
              <w:jc w:val="right"/>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(D)</w:t>
            </w:r>
          </w:p>
        </w:tc>
        <w:tc>
          <w:tcPr>
            <w:tcW w:w="1783" w:type="dxa"/>
            <w:tcBorders>
              <w:bottom w:val="single" w:color="auto" w:sz="8" w:space="0"/>
            </w:tcBorders>
            <w:shd w:val="clear" w:color="auto" w:fill="auto"/>
            <w:vAlign w:val="center"/>
          </w:tcPr>
          <w:p w:rsidRPr="0092031B" w:rsidR="000008AF" w:rsidP="002C7CDE" w:rsidRDefault="000008AF">
            <w:pPr>
              <w:spacing w:after="0" w:line="240" w:lineRule="auto"/>
              <w:jc w:val="right"/>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(E)</w:t>
            </w:r>
          </w:p>
        </w:tc>
      </w:tr>
      <w:tr w:rsidRPr="0092031B" w:rsidR="000008AF" w:rsidTr="00CC0E3A">
        <w:trPr>
          <w:trHeight w:val="288"/>
        </w:trPr>
        <w:tc>
          <w:tcPr>
            <w:tcW w:w="1168" w:type="dxa"/>
            <w:tcBorders>
              <w:top w:val="single" w:color="auto" w:sz="8" w:space="0"/>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1 month</w:t>
            </w:r>
          </w:p>
        </w:tc>
        <w:tc>
          <w:tcPr>
            <w:tcW w:w="1782" w:type="dxa"/>
            <w:tcBorders>
              <w:top w:val="single" w:color="auto" w:sz="8"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68</w:t>
            </w:r>
          </w:p>
        </w:tc>
        <w:tc>
          <w:tcPr>
            <w:tcW w:w="1782" w:type="dxa"/>
            <w:tcBorders>
              <w:top w:val="single" w:color="auto" w:sz="8"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68</w:t>
            </w:r>
          </w:p>
        </w:tc>
        <w:tc>
          <w:tcPr>
            <w:tcW w:w="1782" w:type="dxa"/>
            <w:tcBorders>
              <w:top w:val="single" w:color="auto" w:sz="8"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612</w:t>
            </w:r>
          </w:p>
        </w:tc>
        <w:tc>
          <w:tcPr>
            <w:tcW w:w="1783" w:type="dxa"/>
            <w:tcBorders>
              <w:top w:val="single" w:color="auto" w:sz="8"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10.2</w:t>
            </w:r>
          </w:p>
        </w:tc>
      </w:tr>
      <w:tr w:rsidRPr="0092031B" w:rsidR="000008AF" w:rsidTr="00CC0E3A">
        <w:trPr>
          <w:trHeight w:val="288"/>
        </w:trPr>
        <w:tc>
          <w:tcPr>
            <w:tcW w:w="1168" w:type="dxa"/>
            <w:tcBorders>
              <w:top w:val="nil"/>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2 months</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54</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108</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972</w:t>
            </w:r>
          </w:p>
        </w:tc>
        <w:tc>
          <w:tcPr>
            <w:tcW w:w="1783"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16.2</w:t>
            </w:r>
          </w:p>
        </w:tc>
      </w:tr>
      <w:tr w:rsidRPr="0092031B" w:rsidR="000008AF" w:rsidTr="00CC0E3A">
        <w:trPr>
          <w:trHeight w:val="288"/>
        </w:trPr>
        <w:tc>
          <w:tcPr>
            <w:tcW w:w="1168" w:type="dxa"/>
            <w:tcBorders>
              <w:top w:val="nil"/>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3 months</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54</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162</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1,458</w:t>
            </w:r>
          </w:p>
        </w:tc>
        <w:tc>
          <w:tcPr>
            <w:tcW w:w="1783"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24.3</w:t>
            </w:r>
          </w:p>
        </w:tc>
      </w:tr>
      <w:tr w:rsidRPr="0092031B" w:rsidR="000008AF" w:rsidTr="00CC0E3A">
        <w:trPr>
          <w:trHeight w:val="288"/>
        </w:trPr>
        <w:tc>
          <w:tcPr>
            <w:tcW w:w="1168" w:type="dxa"/>
            <w:tcBorders>
              <w:top w:val="nil"/>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4 months</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78</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312</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2,808</w:t>
            </w:r>
          </w:p>
        </w:tc>
        <w:tc>
          <w:tcPr>
            <w:tcW w:w="1783"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46.8</w:t>
            </w:r>
          </w:p>
        </w:tc>
      </w:tr>
      <w:tr w:rsidRPr="0092031B" w:rsidR="000008AF" w:rsidTr="00CC0E3A">
        <w:trPr>
          <w:trHeight w:val="288"/>
        </w:trPr>
        <w:tc>
          <w:tcPr>
            <w:tcW w:w="1168" w:type="dxa"/>
            <w:tcBorders>
              <w:top w:val="nil"/>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5 months</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102</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510</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4,590</w:t>
            </w:r>
          </w:p>
        </w:tc>
        <w:tc>
          <w:tcPr>
            <w:tcW w:w="1783"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76.5</w:t>
            </w:r>
          </w:p>
        </w:tc>
      </w:tr>
      <w:tr w:rsidRPr="0092031B" w:rsidR="000008AF" w:rsidTr="00CC0E3A">
        <w:trPr>
          <w:trHeight w:val="288"/>
        </w:trPr>
        <w:tc>
          <w:tcPr>
            <w:tcW w:w="1168" w:type="dxa"/>
            <w:tcBorders>
              <w:top w:val="nil"/>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6 months</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140</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840</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7,560</w:t>
            </w:r>
          </w:p>
        </w:tc>
        <w:tc>
          <w:tcPr>
            <w:tcW w:w="1783"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126.0</w:t>
            </w:r>
          </w:p>
        </w:tc>
      </w:tr>
      <w:tr w:rsidRPr="0092031B" w:rsidR="000008AF" w:rsidTr="00CC0E3A">
        <w:trPr>
          <w:trHeight w:val="288"/>
        </w:trPr>
        <w:tc>
          <w:tcPr>
            <w:tcW w:w="1168" w:type="dxa"/>
            <w:tcBorders>
              <w:top w:val="nil"/>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7 months</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1,225</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11,025</w:t>
            </w:r>
          </w:p>
        </w:tc>
        <w:tc>
          <w:tcPr>
            <w:tcW w:w="1783"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183.8</w:t>
            </w:r>
          </w:p>
        </w:tc>
      </w:tr>
      <w:tr w:rsidRPr="0092031B" w:rsidR="000008AF" w:rsidTr="00CC0E3A">
        <w:trPr>
          <w:trHeight w:val="288"/>
        </w:trPr>
        <w:tc>
          <w:tcPr>
            <w:tcW w:w="1168" w:type="dxa"/>
            <w:tcBorders>
              <w:top w:val="nil"/>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8 months</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336</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2,688</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24,192</w:t>
            </w:r>
          </w:p>
        </w:tc>
        <w:tc>
          <w:tcPr>
            <w:tcW w:w="1783"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403.2</w:t>
            </w:r>
          </w:p>
        </w:tc>
      </w:tr>
      <w:tr w:rsidRPr="0092031B" w:rsidR="000008AF" w:rsidTr="00CC0E3A">
        <w:trPr>
          <w:trHeight w:val="288"/>
        </w:trPr>
        <w:tc>
          <w:tcPr>
            <w:tcW w:w="1168" w:type="dxa"/>
            <w:tcBorders>
              <w:top w:val="nil"/>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9 months</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172</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1,548</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13,932</w:t>
            </w:r>
          </w:p>
        </w:tc>
        <w:tc>
          <w:tcPr>
            <w:tcW w:w="1783"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232.2</w:t>
            </w:r>
          </w:p>
        </w:tc>
      </w:tr>
      <w:tr w:rsidRPr="0092031B" w:rsidR="000008AF" w:rsidTr="00CC0E3A">
        <w:trPr>
          <w:trHeight w:val="288"/>
        </w:trPr>
        <w:tc>
          <w:tcPr>
            <w:tcW w:w="1168" w:type="dxa"/>
            <w:tcBorders>
              <w:top w:val="nil"/>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10 months</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240</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2,400</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21,600</w:t>
            </w:r>
          </w:p>
        </w:tc>
        <w:tc>
          <w:tcPr>
            <w:tcW w:w="1783"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360.0</w:t>
            </w:r>
          </w:p>
        </w:tc>
      </w:tr>
      <w:tr w:rsidRPr="0092031B" w:rsidR="000008AF" w:rsidTr="00CC0E3A">
        <w:trPr>
          <w:trHeight w:val="288"/>
        </w:trPr>
        <w:tc>
          <w:tcPr>
            <w:tcW w:w="1168" w:type="dxa"/>
            <w:tcBorders>
              <w:top w:val="nil"/>
            </w:tcBorders>
            <w:shd w:val="clear" w:color="auto" w:fill="auto"/>
            <w:vAlign w:val="center"/>
            <w:hideMark/>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11 months</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844</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9,284</w:t>
            </w:r>
          </w:p>
        </w:tc>
        <w:tc>
          <w:tcPr>
            <w:tcW w:w="1782"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83,556</w:t>
            </w:r>
          </w:p>
        </w:tc>
        <w:tc>
          <w:tcPr>
            <w:tcW w:w="1783" w:type="dxa"/>
            <w:tcBorders>
              <w:top w:val="nil"/>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1,392.6</w:t>
            </w:r>
          </w:p>
        </w:tc>
      </w:tr>
      <w:tr w:rsidRPr="0092031B" w:rsidR="000008AF" w:rsidTr="00CC0E3A">
        <w:trPr>
          <w:trHeight w:val="288"/>
        </w:trPr>
        <w:tc>
          <w:tcPr>
            <w:tcW w:w="1168" w:type="dxa"/>
            <w:tcBorders>
              <w:bottom w:val="single" w:color="auto" w:sz="12" w:space="0"/>
            </w:tcBorders>
            <w:shd w:val="clear" w:color="auto" w:fill="auto"/>
            <w:vAlign w:val="center"/>
          </w:tcPr>
          <w:p w:rsidRPr="0092031B" w:rsidR="000008AF" w:rsidP="00CD1E33" w:rsidRDefault="000008AF">
            <w:pPr>
              <w:spacing w:after="0" w:line="240" w:lineRule="auto"/>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12 months</w:t>
            </w:r>
          </w:p>
        </w:tc>
        <w:tc>
          <w:tcPr>
            <w:tcW w:w="1782" w:type="dxa"/>
            <w:tcBorders>
              <w:bottom w:val="single" w:color="auto" w:sz="12"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5,791</w:t>
            </w:r>
          </w:p>
        </w:tc>
        <w:tc>
          <w:tcPr>
            <w:tcW w:w="1782" w:type="dxa"/>
            <w:tcBorders>
              <w:bottom w:val="single" w:color="auto" w:sz="12"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69,492</w:t>
            </w:r>
          </w:p>
        </w:tc>
        <w:tc>
          <w:tcPr>
            <w:tcW w:w="1782" w:type="dxa"/>
            <w:tcBorders>
              <w:bottom w:val="single" w:color="auto" w:sz="12"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625,428</w:t>
            </w:r>
          </w:p>
        </w:tc>
        <w:tc>
          <w:tcPr>
            <w:tcW w:w="1783" w:type="dxa"/>
            <w:tcBorders>
              <w:bottom w:val="single" w:color="auto" w:sz="12"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10,423.8</w:t>
            </w:r>
          </w:p>
        </w:tc>
      </w:tr>
      <w:tr w:rsidRPr="0092031B" w:rsidR="000008AF" w:rsidTr="00BE5E48">
        <w:trPr>
          <w:trHeight w:val="288"/>
        </w:trPr>
        <w:tc>
          <w:tcPr>
            <w:tcW w:w="1168" w:type="dxa"/>
            <w:tcBorders>
              <w:top w:val="single" w:color="auto" w:sz="12" w:space="0"/>
              <w:bottom w:val="single" w:color="auto" w:sz="8" w:space="0"/>
            </w:tcBorders>
            <w:shd w:val="clear" w:color="auto" w:fill="auto"/>
            <w:vAlign w:val="center"/>
          </w:tcPr>
          <w:p w:rsidRPr="0092031B" w:rsidR="000008AF" w:rsidP="002C7CDE" w:rsidRDefault="000008AF">
            <w:pPr>
              <w:spacing w:after="0" w:line="240" w:lineRule="auto"/>
              <w:jc w:val="center"/>
              <w:rPr>
                <w:rFonts w:ascii="Times New Roman" w:hAnsi="Times New Roman" w:eastAsia="Times New Roman" w:cs="Times New Roman"/>
                <w:color w:val="000000"/>
                <w:sz w:val="20"/>
                <w:szCs w:val="20"/>
              </w:rPr>
            </w:pPr>
            <w:r w:rsidRPr="0092031B">
              <w:rPr>
                <w:rFonts w:ascii="Times New Roman" w:hAnsi="Times New Roman" w:eastAsia="Times New Roman" w:cs="Times New Roman"/>
                <w:color w:val="000000"/>
                <w:sz w:val="20"/>
                <w:szCs w:val="20"/>
              </w:rPr>
              <w:t>Total</w:t>
            </w:r>
          </w:p>
        </w:tc>
        <w:tc>
          <w:tcPr>
            <w:tcW w:w="1782" w:type="dxa"/>
            <w:tcBorders>
              <w:top w:val="single" w:color="auto" w:sz="12" w:space="0"/>
              <w:bottom w:val="single" w:color="auto" w:sz="8"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8,054</w:t>
            </w:r>
          </w:p>
        </w:tc>
        <w:tc>
          <w:tcPr>
            <w:tcW w:w="1782" w:type="dxa"/>
            <w:tcBorders>
              <w:top w:val="single" w:color="auto" w:sz="12" w:space="0"/>
              <w:bottom w:val="single" w:color="auto" w:sz="8"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88,637</w:t>
            </w:r>
          </w:p>
        </w:tc>
        <w:tc>
          <w:tcPr>
            <w:tcW w:w="1782" w:type="dxa"/>
            <w:tcBorders>
              <w:top w:val="single" w:color="auto" w:sz="12" w:space="0"/>
              <w:bottom w:val="single" w:color="auto" w:sz="8"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797,733</w:t>
            </w:r>
          </w:p>
        </w:tc>
        <w:tc>
          <w:tcPr>
            <w:tcW w:w="1783" w:type="dxa"/>
            <w:tcBorders>
              <w:top w:val="single" w:color="auto" w:sz="12" w:space="0"/>
              <w:bottom w:val="single" w:color="auto" w:sz="8" w:space="0"/>
            </w:tcBorders>
            <w:shd w:val="clear" w:color="auto" w:fill="auto"/>
            <w:vAlign w:val="center"/>
          </w:tcPr>
          <w:p w:rsidRPr="0092031B" w:rsidR="000008AF" w:rsidP="002C7CDE" w:rsidRDefault="00CC0E3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13,295.6</w:t>
            </w:r>
          </w:p>
        </w:tc>
      </w:tr>
      <w:tr w:rsidRPr="0092031B" w:rsidR="000008AF" w:rsidTr="00CC0E3A">
        <w:trPr>
          <w:trHeight w:val="288"/>
        </w:trPr>
        <w:tc>
          <w:tcPr>
            <w:tcW w:w="8297" w:type="dxa"/>
            <w:gridSpan w:val="5"/>
            <w:tcBorders>
              <w:top w:val="single" w:color="auto" w:sz="8" w:space="0"/>
              <w:bottom w:val="single" w:color="auto" w:sz="8" w:space="0"/>
            </w:tcBorders>
            <w:shd w:val="clear" w:color="auto" w:fill="auto"/>
          </w:tcPr>
          <w:p w:rsidRPr="007F25E1" w:rsidR="000008AF" w:rsidP="002C7CDE" w:rsidRDefault="000008AF">
            <w:pPr>
              <w:spacing w:after="0" w:line="240" w:lineRule="auto"/>
              <w:rPr>
                <w:rFonts w:ascii="Times New Roman" w:hAnsi="Times New Roman" w:eastAsia="Times New Roman" w:cs="Times New Roman"/>
                <w:color w:val="000000"/>
                <w:sz w:val="16"/>
                <w:szCs w:val="16"/>
              </w:rPr>
            </w:pPr>
            <w:r w:rsidRPr="007F25E1">
              <w:rPr>
                <w:rFonts w:ascii="Times New Roman" w:hAnsi="Times New Roman" w:eastAsia="Times New Roman" w:cs="Times New Roman"/>
                <w:b/>
                <w:color w:val="000000"/>
                <w:sz w:val="16"/>
                <w:szCs w:val="16"/>
              </w:rPr>
              <w:t>Total Number of Non-Responding Agencies:</w:t>
            </w:r>
            <w:r w:rsidRPr="007F25E1">
              <w:rPr>
                <w:rFonts w:ascii="Times New Roman" w:hAnsi="Times New Roman" w:eastAsia="Times New Roman" w:cs="Times New Roman"/>
                <w:color w:val="000000"/>
                <w:sz w:val="16"/>
                <w:szCs w:val="16"/>
              </w:rPr>
              <w:t xml:space="preserve">  1,</w:t>
            </w:r>
            <w:r w:rsidRPr="007F25E1" w:rsidR="00250191">
              <w:rPr>
                <w:rFonts w:ascii="Times New Roman" w:hAnsi="Times New Roman" w:eastAsia="Times New Roman" w:cs="Times New Roman"/>
                <w:color w:val="000000"/>
                <w:sz w:val="16"/>
                <w:szCs w:val="16"/>
              </w:rPr>
              <w:t>400</w:t>
            </w:r>
            <w:r w:rsidRPr="007F25E1">
              <w:rPr>
                <w:rFonts w:ascii="Times New Roman" w:hAnsi="Times New Roman" w:eastAsia="Times New Roman" w:cs="Times New Roman"/>
                <w:color w:val="000000"/>
                <w:sz w:val="16"/>
                <w:szCs w:val="16"/>
              </w:rPr>
              <w:t xml:space="preserve"> agencies</w:t>
            </w:r>
          </w:p>
          <w:p w:rsidRPr="007F25E1" w:rsidR="000008AF" w:rsidP="002C7CDE" w:rsidRDefault="000008AF">
            <w:pPr>
              <w:spacing w:after="0" w:line="240" w:lineRule="auto"/>
              <w:rPr>
                <w:rFonts w:ascii="Times New Roman" w:hAnsi="Times New Roman" w:eastAsia="Times New Roman" w:cs="Times New Roman"/>
                <w:color w:val="000000"/>
                <w:sz w:val="16"/>
                <w:szCs w:val="16"/>
              </w:rPr>
            </w:pPr>
            <w:r w:rsidRPr="007F25E1">
              <w:rPr>
                <w:rFonts w:ascii="Times New Roman" w:hAnsi="Times New Roman" w:eastAsia="Times New Roman" w:cs="Times New Roman"/>
                <w:b/>
                <w:color w:val="000000"/>
                <w:sz w:val="16"/>
                <w:szCs w:val="16"/>
              </w:rPr>
              <w:t>Total Number of Responding Agencies:</w:t>
            </w:r>
            <w:r w:rsidRPr="007F25E1">
              <w:rPr>
                <w:rFonts w:ascii="Times New Roman" w:hAnsi="Times New Roman" w:eastAsia="Times New Roman" w:cs="Times New Roman"/>
                <w:color w:val="000000"/>
                <w:sz w:val="16"/>
                <w:szCs w:val="16"/>
              </w:rPr>
              <w:t xml:space="preserve">  </w:t>
            </w:r>
            <w:r w:rsidRPr="007F25E1" w:rsidR="00250191">
              <w:rPr>
                <w:rFonts w:ascii="Times New Roman" w:hAnsi="Times New Roman" w:eastAsia="Times New Roman" w:cs="Times New Roman"/>
                <w:color w:val="000000"/>
                <w:sz w:val="16"/>
                <w:szCs w:val="16"/>
              </w:rPr>
              <w:t>8,054</w:t>
            </w:r>
            <w:r w:rsidRPr="007F25E1">
              <w:rPr>
                <w:rFonts w:ascii="Times New Roman" w:hAnsi="Times New Roman" w:eastAsia="Times New Roman" w:cs="Times New Roman"/>
                <w:color w:val="000000"/>
                <w:sz w:val="16"/>
                <w:szCs w:val="16"/>
              </w:rPr>
              <w:t xml:space="preserve"> agencies  </w:t>
            </w:r>
          </w:p>
          <w:p w:rsidRPr="007F25E1" w:rsidR="000008AF" w:rsidP="002C7CDE" w:rsidRDefault="000008AF">
            <w:pPr>
              <w:spacing w:after="0" w:line="240" w:lineRule="auto"/>
              <w:rPr>
                <w:rFonts w:ascii="Times New Roman" w:hAnsi="Times New Roman" w:eastAsia="Times New Roman" w:cs="Times New Roman"/>
                <w:color w:val="000000"/>
                <w:sz w:val="16"/>
                <w:szCs w:val="16"/>
              </w:rPr>
            </w:pPr>
            <w:r w:rsidRPr="007F25E1">
              <w:rPr>
                <w:rFonts w:ascii="Times New Roman" w:hAnsi="Times New Roman" w:eastAsia="Times New Roman" w:cs="Times New Roman"/>
                <w:b/>
                <w:color w:val="000000"/>
                <w:sz w:val="16"/>
                <w:szCs w:val="16"/>
              </w:rPr>
              <w:t>Total Number of SRS Agencies:</w:t>
            </w:r>
            <w:r w:rsidRPr="007F25E1">
              <w:rPr>
                <w:rFonts w:ascii="Times New Roman" w:hAnsi="Times New Roman" w:eastAsia="Times New Roman" w:cs="Times New Roman"/>
                <w:color w:val="000000"/>
                <w:sz w:val="16"/>
                <w:szCs w:val="16"/>
              </w:rPr>
              <w:t xml:space="preserve">  9,</w:t>
            </w:r>
            <w:r w:rsidRPr="007F25E1" w:rsidR="00250191">
              <w:rPr>
                <w:rFonts w:ascii="Times New Roman" w:hAnsi="Times New Roman" w:eastAsia="Times New Roman" w:cs="Times New Roman"/>
                <w:color w:val="000000"/>
                <w:sz w:val="16"/>
                <w:szCs w:val="16"/>
              </w:rPr>
              <w:t>454</w:t>
            </w:r>
            <w:r w:rsidRPr="007F25E1">
              <w:rPr>
                <w:rFonts w:ascii="Times New Roman" w:hAnsi="Times New Roman" w:eastAsia="Times New Roman" w:cs="Times New Roman"/>
                <w:color w:val="000000"/>
                <w:sz w:val="16"/>
                <w:szCs w:val="16"/>
              </w:rPr>
              <w:t xml:space="preserve"> agencies (Non-Responding Agencies + Responding Agencies)</w:t>
            </w:r>
          </w:p>
          <w:p w:rsidRPr="007F25E1" w:rsidR="000008AF" w:rsidP="002C7CDE" w:rsidRDefault="000008AF">
            <w:pPr>
              <w:spacing w:after="0" w:line="240" w:lineRule="auto"/>
              <w:rPr>
                <w:rFonts w:ascii="Times New Roman" w:hAnsi="Times New Roman" w:eastAsia="Times New Roman" w:cs="Times New Roman"/>
                <w:color w:val="000000"/>
                <w:sz w:val="16"/>
                <w:szCs w:val="16"/>
              </w:rPr>
            </w:pPr>
            <w:r w:rsidRPr="007F25E1">
              <w:rPr>
                <w:rFonts w:ascii="Times New Roman" w:hAnsi="Times New Roman" w:eastAsia="Times New Roman" w:cs="Times New Roman"/>
                <w:b/>
                <w:color w:val="000000"/>
                <w:sz w:val="16"/>
                <w:szCs w:val="16"/>
              </w:rPr>
              <w:t>Total Number of Annual Responses:</w:t>
            </w:r>
            <w:r w:rsidRPr="007F25E1">
              <w:rPr>
                <w:rFonts w:ascii="Times New Roman" w:hAnsi="Times New Roman" w:eastAsia="Times New Roman" w:cs="Times New Roman"/>
                <w:color w:val="000000"/>
                <w:sz w:val="16"/>
                <w:szCs w:val="16"/>
              </w:rPr>
              <w:t xml:space="preserve">  </w:t>
            </w:r>
            <w:r w:rsidRPr="007F25E1" w:rsidR="00250191">
              <w:rPr>
                <w:rFonts w:ascii="Times New Roman" w:hAnsi="Times New Roman" w:eastAsia="Times New Roman" w:cs="Times New Roman"/>
                <w:color w:val="000000"/>
                <w:sz w:val="16"/>
                <w:szCs w:val="16"/>
              </w:rPr>
              <w:t>88,63</w:t>
            </w:r>
            <w:r w:rsidRPr="007F25E1" w:rsidR="004066A4">
              <w:rPr>
                <w:rFonts w:ascii="Times New Roman" w:hAnsi="Times New Roman" w:eastAsia="Times New Roman" w:cs="Times New Roman"/>
                <w:color w:val="000000"/>
                <w:sz w:val="16"/>
                <w:szCs w:val="16"/>
              </w:rPr>
              <w:t>7</w:t>
            </w:r>
            <w:r w:rsidRPr="007F25E1">
              <w:rPr>
                <w:rFonts w:ascii="Times New Roman" w:hAnsi="Times New Roman" w:eastAsia="Times New Roman" w:cs="Times New Roman"/>
                <w:color w:val="000000"/>
                <w:sz w:val="16"/>
                <w:szCs w:val="16"/>
              </w:rPr>
              <w:t xml:space="preserve"> responses (Column C = Column A x Column B)</w:t>
            </w:r>
          </w:p>
          <w:p w:rsidRPr="007F25E1" w:rsidR="000008AF" w:rsidP="002C7CDE" w:rsidRDefault="000008AF">
            <w:pPr>
              <w:spacing w:after="0" w:line="240" w:lineRule="auto"/>
              <w:rPr>
                <w:rFonts w:ascii="Times New Roman" w:hAnsi="Times New Roman" w:eastAsia="Times New Roman" w:cs="Times New Roman"/>
                <w:color w:val="000000"/>
                <w:sz w:val="16"/>
                <w:szCs w:val="16"/>
              </w:rPr>
            </w:pPr>
            <w:r w:rsidRPr="007F25E1">
              <w:rPr>
                <w:rFonts w:ascii="Times New Roman" w:hAnsi="Times New Roman" w:eastAsia="Times New Roman" w:cs="Times New Roman"/>
                <w:b/>
                <w:color w:val="000000"/>
                <w:sz w:val="16"/>
                <w:szCs w:val="16"/>
              </w:rPr>
              <w:t>Total Form Completion Burden (Minutes):</w:t>
            </w:r>
            <w:r w:rsidRPr="007F25E1">
              <w:rPr>
                <w:rFonts w:ascii="Times New Roman" w:hAnsi="Times New Roman" w:eastAsia="Times New Roman" w:cs="Times New Roman"/>
                <w:color w:val="000000"/>
                <w:sz w:val="16"/>
                <w:szCs w:val="16"/>
              </w:rPr>
              <w:t xml:space="preserve">  </w:t>
            </w:r>
            <w:r w:rsidRPr="007F25E1" w:rsidR="00250191">
              <w:rPr>
                <w:rFonts w:ascii="Times New Roman" w:hAnsi="Times New Roman" w:eastAsia="Times New Roman" w:cs="Times New Roman"/>
                <w:color w:val="000000"/>
                <w:sz w:val="16"/>
                <w:szCs w:val="16"/>
              </w:rPr>
              <w:t>797</w:t>
            </w:r>
            <w:r w:rsidRPr="007F25E1">
              <w:rPr>
                <w:rFonts w:ascii="Times New Roman" w:hAnsi="Times New Roman" w:eastAsia="Times New Roman" w:cs="Times New Roman"/>
                <w:color w:val="000000"/>
                <w:sz w:val="16"/>
                <w:szCs w:val="16"/>
              </w:rPr>
              <w:t>,</w:t>
            </w:r>
            <w:r w:rsidRPr="007F25E1" w:rsidR="00250191">
              <w:rPr>
                <w:rFonts w:ascii="Times New Roman" w:hAnsi="Times New Roman" w:eastAsia="Times New Roman" w:cs="Times New Roman"/>
                <w:color w:val="000000"/>
                <w:sz w:val="16"/>
                <w:szCs w:val="16"/>
              </w:rPr>
              <w:t>733</w:t>
            </w:r>
            <w:r w:rsidRPr="007F25E1">
              <w:rPr>
                <w:rFonts w:ascii="Times New Roman" w:hAnsi="Times New Roman" w:eastAsia="Times New Roman" w:cs="Times New Roman"/>
                <w:color w:val="000000"/>
                <w:sz w:val="16"/>
                <w:szCs w:val="16"/>
              </w:rPr>
              <w:t xml:space="preserve"> minutes (</w:t>
            </w:r>
            <w:r w:rsidRPr="007F25E1" w:rsidR="007F25E1">
              <w:rPr>
                <w:rFonts w:ascii="Times New Roman" w:hAnsi="Times New Roman" w:eastAsia="Times New Roman" w:cs="Times New Roman"/>
                <w:color w:val="000000"/>
                <w:sz w:val="16"/>
                <w:szCs w:val="16"/>
              </w:rPr>
              <w:t xml:space="preserve">Column D = Column C x 9 minutes per </w:t>
            </w:r>
            <w:r w:rsidRPr="007F25E1">
              <w:rPr>
                <w:rFonts w:ascii="Times New Roman" w:hAnsi="Times New Roman" w:eastAsia="Times New Roman" w:cs="Times New Roman"/>
                <w:color w:val="000000"/>
                <w:sz w:val="16"/>
                <w:szCs w:val="16"/>
              </w:rPr>
              <w:t>response)</w:t>
            </w:r>
          </w:p>
          <w:p w:rsidRPr="0092031B" w:rsidR="004066A4" w:rsidP="002C7CDE" w:rsidRDefault="000008AF">
            <w:pPr>
              <w:spacing w:after="0" w:line="240" w:lineRule="auto"/>
              <w:rPr>
                <w:rFonts w:ascii="Times New Roman" w:hAnsi="Times New Roman" w:eastAsia="Times New Roman" w:cs="Times New Roman"/>
                <w:color w:val="000000"/>
                <w:sz w:val="24"/>
                <w:szCs w:val="24"/>
              </w:rPr>
            </w:pPr>
            <w:r w:rsidRPr="007F25E1">
              <w:rPr>
                <w:rFonts w:ascii="Times New Roman" w:hAnsi="Times New Roman" w:eastAsia="Times New Roman" w:cs="Times New Roman"/>
                <w:b/>
                <w:color w:val="000000"/>
                <w:sz w:val="16"/>
                <w:szCs w:val="16"/>
              </w:rPr>
              <w:t>Total Form Completion Burden (Hours):</w:t>
            </w:r>
            <w:r w:rsidRPr="007F25E1">
              <w:rPr>
                <w:rFonts w:ascii="Times New Roman" w:hAnsi="Times New Roman" w:eastAsia="Times New Roman" w:cs="Times New Roman"/>
                <w:color w:val="000000"/>
                <w:sz w:val="16"/>
                <w:szCs w:val="16"/>
              </w:rPr>
              <w:t xml:space="preserve">  13,</w:t>
            </w:r>
            <w:r w:rsidRPr="007F25E1" w:rsidR="00250191">
              <w:rPr>
                <w:rFonts w:ascii="Times New Roman" w:hAnsi="Times New Roman" w:eastAsia="Times New Roman" w:cs="Times New Roman"/>
                <w:color w:val="000000"/>
                <w:sz w:val="16"/>
                <w:szCs w:val="16"/>
              </w:rPr>
              <w:t>296</w:t>
            </w:r>
            <w:r w:rsidRPr="007F25E1">
              <w:rPr>
                <w:rFonts w:ascii="Times New Roman" w:hAnsi="Times New Roman" w:eastAsia="Times New Roman" w:cs="Times New Roman"/>
                <w:color w:val="000000"/>
                <w:sz w:val="16"/>
                <w:szCs w:val="16"/>
              </w:rPr>
              <w:t xml:space="preserve"> hours (Column E = Column D/60 minutes per hour)</w:t>
            </w:r>
          </w:p>
        </w:tc>
      </w:tr>
    </w:tbl>
    <w:p w:rsidR="003A1425" w:rsidP="002C7CDE" w:rsidRDefault="003A1425">
      <w:pPr>
        <w:spacing w:after="0" w:line="240" w:lineRule="auto"/>
        <w:ind w:firstLine="360"/>
        <w:rPr>
          <w:rFonts w:ascii="Times New Roman" w:hAnsi="Times New Roman" w:cs="Times New Roman"/>
          <w:color w:val="000000" w:themeColor="text1"/>
          <w:sz w:val="24"/>
          <w:szCs w:val="24"/>
        </w:rPr>
      </w:pPr>
    </w:p>
    <w:p w:rsidR="00941D58" w:rsidP="002C7CDE" w:rsidRDefault="00941D58">
      <w:pPr>
        <w:spacing w:after="0" w:line="240" w:lineRule="auto"/>
        <w:ind w:firstLine="360"/>
        <w:rPr>
          <w:rFonts w:ascii="Times New Roman" w:hAnsi="Times New Roman" w:cs="Times New Roman"/>
          <w:color w:val="000000" w:themeColor="text1"/>
          <w:sz w:val="24"/>
          <w:szCs w:val="24"/>
        </w:rPr>
      </w:pPr>
    </w:p>
    <w:p w:rsidRPr="00874600" w:rsidR="00874600" w:rsidP="00531777" w:rsidRDefault="00874600">
      <w:pPr>
        <w:spacing w:after="0" w:line="240" w:lineRule="auto"/>
        <w:ind w:left="720"/>
        <w:rPr>
          <w:rFonts w:ascii="Times New Roman" w:hAnsi="Times New Roman" w:cs="Times New Roman"/>
          <w:color w:val="000000" w:themeColor="text1"/>
          <w:sz w:val="24"/>
          <w:szCs w:val="24"/>
        </w:rPr>
      </w:pPr>
      <w:r w:rsidRPr="00874600">
        <w:rPr>
          <w:rFonts w:ascii="Times New Roman" w:hAnsi="Times New Roman" w:cs="Times New Roman"/>
          <w:color w:val="000000" w:themeColor="text1"/>
          <w:sz w:val="24"/>
          <w:szCs w:val="24"/>
        </w:rPr>
        <w:t>The estimated burden on the respondent</w:t>
      </w:r>
      <w:r>
        <w:rPr>
          <w:rFonts w:ascii="Times New Roman" w:hAnsi="Times New Roman" w:cs="Times New Roman"/>
          <w:color w:val="000000" w:themeColor="text1"/>
          <w:sz w:val="24"/>
          <w:szCs w:val="24"/>
        </w:rPr>
        <w:t>s</w:t>
      </w:r>
      <w:r w:rsidRPr="00874600">
        <w:rPr>
          <w:rFonts w:ascii="Times New Roman" w:hAnsi="Times New Roman" w:cs="Times New Roman"/>
          <w:color w:val="000000" w:themeColor="text1"/>
          <w:sz w:val="24"/>
          <w:szCs w:val="24"/>
        </w:rPr>
        <w:t xml:space="preserve"> for this data collection </w:t>
      </w:r>
      <w:r>
        <w:rPr>
          <w:rFonts w:ascii="Times New Roman" w:hAnsi="Times New Roman" w:cs="Times New Roman"/>
          <w:color w:val="000000" w:themeColor="text1"/>
          <w:sz w:val="24"/>
          <w:szCs w:val="24"/>
        </w:rPr>
        <w:t>are shown below</w:t>
      </w:r>
      <w:r w:rsidR="000A1B93">
        <w:rPr>
          <w:rFonts w:ascii="Times New Roman" w:hAnsi="Times New Roman" w:cs="Times New Roman"/>
          <w:color w:val="000000" w:themeColor="text1"/>
          <w:sz w:val="24"/>
          <w:szCs w:val="24"/>
        </w:rPr>
        <w:t>.</w:t>
      </w:r>
    </w:p>
    <w:p w:rsidRPr="00941D58" w:rsidR="00874600" w:rsidP="002C7CDE" w:rsidRDefault="00874600">
      <w:pPr>
        <w:pStyle w:val="ListParagraph"/>
        <w:spacing w:after="0" w:line="240" w:lineRule="auto"/>
        <w:ind w:left="360"/>
        <w:rPr>
          <w:rFonts w:ascii="Times New Roman" w:hAnsi="Times New Roman" w:cs="Times New Roman"/>
          <w:color w:val="000000" w:themeColor="text1"/>
          <w:sz w:val="24"/>
          <w:szCs w:val="24"/>
        </w:rPr>
      </w:pPr>
    </w:p>
    <w:p w:rsidRPr="00941D58" w:rsidR="00874600" w:rsidP="00531777" w:rsidRDefault="00874600">
      <w:pPr>
        <w:pStyle w:val="ListParagraph"/>
        <w:spacing w:after="0" w:line="240" w:lineRule="auto"/>
        <w:ind w:left="1080"/>
        <w:rPr>
          <w:rFonts w:ascii="Times New Roman" w:hAnsi="Times New Roman" w:cs="Times New Roman"/>
          <w:color w:val="000000" w:themeColor="text1"/>
          <w:sz w:val="24"/>
          <w:szCs w:val="24"/>
        </w:rPr>
      </w:pPr>
      <w:r w:rsidRPr="00941D58">
        <w:rPr>
          <w:rFonts w:ascii="Times New Roman" w:hAnsi="Times New Roman" w:cs="Times New Roman"/>
          <w:color w:val="000000" w:themeColor="text1"/>
          <w:sz w:val="24"/>
          <w:szCs w:val="24"/>
        </w:rPr>
        <w:t>Number of respondents:</w:t>
      </w:r>
      <w:r w:rsidRPr="00941D58">
        <w:rPr>
          <w:rFonts w:ascii="Times New Roman" w:hAnsi="Times New Roman" w:cs="Times New Roman"/>
          <w:color w:val="000000" w:themeColor="text1"/>
          <w:sz w:val="24"/>
          <w:szCs w:val="24"/>
        </w:rPr>
        <w:tab/>
        <w:t xml:space="preserve">  </w:t>
      </w:r>
      <w:r w:rsidR="00531777">
        <w:rPr>
          <w:rFonts w:ascii="Times New Roman" w:hAnsi="Times New Roman" w:cs="Times New Roman"/>
          <w:color w:val="000000" w:themeColor="text1"/>
          <w:sz w:val="24"/>
          <w:szCs w:val="24"/>
        </w:rPr>
        <w:tab/>
      </w:r>
      <w:r w:rsidRPr="00941D58" w:rsidR="00D97603">
        <w:rPr>
          <w:rFonts w:ascii="Times New Roman" w:hAnsi="Times New Roman" w:cs="Times New Roman"/>
          <w:color w:val="000000" w:themeColor="text1"/>
          <w:sz w:val="24"/>
          <w:szCs w:val="24"/>
        </w:rPr>
        <w:t>8</w:t>
      </w:r>
      <w:r w:rsidRPr="00941D58">
        <w:rPr>
          <w:rFonts w:ascii="Times New Roman" w:hAnsi="Times New Roman" w:cs="Times New Roman"/>
          <w:color w:val="000000" w:themeColor="text1"/>
          <w:sz w:val="24"/>
          <w:szCs w:val="24"/>
        </w:rPr>
        <w:t>,</w:t>
      </w:r>
      <w:r w:rsidRPr="00941D58" w:rsidR="00D97603">
        <w:rPr>
          <w:rFonts w:ascii="Times New Roman" w:hAnsi="Times New Roman" w:cs="Times New Roman"/>
          <w:color w:val="000000" w:themeColor="text1"/>
          <w:sz w:val="24"/>
          <w:szCs w:val="24"/>
        </w:rPr>
        <w:t>054 agencies</w:t>
      </w:r>
      <w:r w:rsidRPr="00941D58" w:rsidR="00D355CA">
        <w:rPr>
          <w:rFonts w:ascii="Times New Roman" w:hAnsi="Times New Roman" w:cs="Times New Roman"/>
          <w:color w:val="000000" w:themeColor="text1"/>
          <w:sz w:val="24"/>
          <w:szCs w:val="24"/>
        </w:rPr>
        <w:t xml:space="preserve"> </w:t>
      </w:r>
      <w:r w:rsidRPr="00941D58">
        <w:rPr>
          <w:rFonts w:ascii="Times New Roman" w:hAnsi="Times New Roman" w:cs="Times New Roman"/>
          <w:color w:val="000000" w:themeColor="text1"/>
          <w:sz w:val="24"/>
          <w:szCs w:val="24"/>
        </w:rPr>
        <w:t xml:space="preserve"> </w:t>
      </w:r>
    </w:p>
    <w:p w:rsidRPr="00941D58" w:rsidR="00874600" w:rsidP="00531777" w:rsidRDefault="00531777">
      <w:pPr>
        <w:pStyle w:val="ListParagraph"/>
        <w:spacing w:after="0" w:line="240"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non-respondents:</w:t>
      </w:r>
      <w:r>
        <w:rPr>
          <w:rFonts w:ascii="Times New Roman" w:hAnsi="Times New Roman" w:cs="Times New Roman"/>
          <w:color w:val="000000" w:themeColor="text1"/>
          <w:sz w:val="24"/>
          <w:szCs w:val="24"/>
        </w:rPr>
        <w:tab/>
      </w:r>
      <w:r w:rsidRPr="00941D58" w:rsidR="00874600">
        <w:rPr>
          <w:rFonts w:ascii="Times New Roman" w:hAnsi="Times New Roman" w:cs="Times New Roman"/>
          <w:color w:val="000000" w:themeColor="text1"/>
          <w:sz w:val="24"/>
          <w:szCs w:val="24"/>
        </w:rPr>
        <w:t>1,</w:t>
      </w:r>
      <w:r w:rsidRPr="00941D58" w:rsidR="00D97603">
        <w:rPr>
          <w:rFonts w:ascii="Times New Roman" w:hAnsi="Times New Roman" w:cs="Times New Roman"/>
          <w:color w:val="000000" w:themeColor="text1"/>
          <w:sz w:val="24"/>
          <w:szCs w:val="24"/>
        </w:rPr>
        <w:t>400</w:t>
      </w:r>
      <w:r w:rsidRPr="00941D58" w:rsidR="00D355CA">
        <w:rPr>
          <w:rFonts w:ascii="Times New Roman" w:hAnsi="Times New Roman" w:cs="Times New Roman"/>
          <w:color w:val="000000" w:themeColor="text1"/>
          <w:sz w:val="24"/>
          <w:szCs w:val="24"/>
        </w:rPr>
        <w:t xml:space="preserve"> </w:t>
      </w:r>
      <w:r w:rsidRPr="00941D58" w:rsidR="00D97603">
        <w:rPr>
          <w:rFonts w:ascii="Times New Roman" w:hAnsi="Times New Roman" w:cs="Times New Roman"/>
          <w:color w:val="000000" w:themeColor="text1"/>
          <w:sz w:val="24"/>
          <w:szCs w:val="24"/>
        </w:rPr>
        <w:t>agencies</w:t>
      </w:r>
    </w:p>
    <w:p w:rsidRPr="00941D58" w:rsidR="00874600" w:rsidP="00531777" w:rsidRDefault="00874600">
      <w:pPr>
        <w:pStyle w:val="ListParagraph"/>
        <w:spacing w:after="0" w:line="240" w:lineRule="auto"/>
        <w:ind w:left="1080"/>
        <w:rPr>
          <w:rFonts w:ascii="Times New Roman" w:hAnsi="Times New Roman" w:cs="Times New Roman"/>
          <w:color w:val="000000" w:themeColor="text1"/>
          <w:sz w:val="24"/>
          <w:szCs w:val="24"/>
        </w:rPr>
      </w:pPr>
      <w:r w:rsidRPr="00941D58">
        <w:rPr>
          <w:rFonts w:ascii="Times New Roman" w:hAnsi="Times New Roman" w:cs="Times New Roman"/>
          <w:color w:val="000000" w:themeColor="text1"/>
          <w:sz w:val="24"/>
          <w:szCs w:val="24"/>
        </w:rPr>
        <w:t>Total annual responses:</w:t>
      </w:r>
      <w:r w:rsidRPr="00941D58">
        <w:rPr>
          <w:rFonts w:ascii="Times New Roman" w:hAnsi="Times New Roman" w:cs="Times New Roman"/>
          <w:color w:val="000000" w:themeColor="text1"/>
          <w:sz w:val="24"/>
          <w:szCs w:val="24"/>
        </w:rPr>
        <w:tab/>
      </w:r>
      <w:r w:rsidR="00531777">
        <w:rPr>
          <w:rFonts w:ascii="Times New Roman" w:hAnsi="Times New Roman" w:cs="Times New Roman"/>
          <w:color w:val="000000" w:themeColor="text1"/>
          <w:sz w:val="24"/>
          <w:szCs w:val="24"/>
        </w:rPr>
        <w:tab/>
      </w:r>
      <w:r w:rsidRPr="00941D58">
        <w:rPr>
          <w:rFonts w:ascii="Times New Roman" w:hAnsi="Times New Roman" w:cs="Times New Roman"/>
          <w:color w:val="000000" w:themeColor="text1"/>
          <w:sz w:val="24"/>
          <w:szCs w:val="24"/>
        </w:rPr>
        <w:t>8</w:t>
      </w:r>
      <w:r w:rsidRPr="00941D58" w:rsidR="00D97603">
        <w:rPr>
          <w:rFonts w:ascii="Times New Roman" w:hAnsi="Times New Roman" w:cs="Times New Roman"/>
          <w:color w:val="000000" w:themeColor="text1"/>
          <w:sz w:val="24"/>
          <w:szCs w:val="24"/>
        </w:rPr>
        <w:t>8</w:t>
      </w:r>
      <w:r w:rsidRPr="00941D58">
        <w:rPr>
          <w:rFonts w:ascii="Times New Roman" w:hAnsi="Times New Roman" w:cs="Times New Roman"/>
          <w:color w:val="000000" w:themeColor="text1"/>
          <w:sz w:val="24"/>
          <w:szCs w:val="24"/>
        </w:rPr>
        <w:t>,</w:t>
      </w:r>
      <w:r w:rsidRPr="00941D58" w:rsidR="00D97603">
        <w:rPr>
          <w:rFonts w:ascii="Times New Roman" w:hAnsi="Times New Roman" w:cs="Times New Roman"/>
          <w:color w:val="000000" w:themeColor="text1"/>
          <w:sz w:val="24"/>
          <w:szCs w:val="24"/>
        </w:rPr>
        <w:t>637 responses</w:t>
      </w:r>
    </w:p>
    <w:p w:rsidRPr="00941D58" w:rsidR="00874600" w:rsidP="00531777" w:rsidRDefault="00125B2F">
      <w:pPr>
        <w:pStyle w:val="ListParagraph"/>
        <w:spacing w:after="0" w:line="240" w:lineRule="auto"/>
        <w:ind w:left="1080"/>
        <w:rPr>
          <w:rFonts w:ascii="Times New Roman" w:hAnsi="Times New Roman" w:cs="Times New Roman"/>
          <w:color w:val="000000" w:themeColor="text1"/>
          <w:sz w:val="24"/>
          <w:szCs w:val="24"/>
        </w:rPr>
      </w:pPr>
      <w:r w:rsidRPr="00941D58">
        <w:rPr>
          <w:rFonts w:ascii="Times New Roman" w:hAnsi="Times New Roman" w:cs="Times New Roman"/>
          <w:color w:val="000000" w:themeColor="text1"/>
          <w:sz w:val="24"/>
          <w:szCs w:val="24"/>
        </w:rPr>
        <w:t>Time per response</w:t>
      </w:r>
      <w:r w:rsidR="00531777">
        <w:rPr>
          <w:rFonts w:ascii="Times New Roman" w:hAnsi="Times New Roman" w:cs="Times New Roman"/>
          <w:color w:val="000000" w:themeColor="text1"/>
          <w:sz w:val="24"/>
          <w:szCs w:val="24"/>
        </w:rPr>
        <w:t>:</w:t>
      </w:r>
      <w:r w:rsidR="00531777">
        <w:rPr>
          <w:rFonts w:ascii="Times New Roman" w:hAnsi="Times New Roman" w:cs="Times New Roman"/>
          <w:color w:val="000000" w:themeColor="text1"/>
          <w:sz w:val="24"/>
          <w:szCs w:val="24"/>
        </w:rPr>
        <w:tab/>
      </w:r>
      <w:r w:rsidR="00531777">
        <w:rPr>
          <w:rFonts w:ascii="Times New Roman" w:hAnsi="Times New Roman" w:cs="Times New Roman"/>
          <w:color w:val="000000" w:themeColor="text1"/>
          <w:sz w:val="24"/>
          <w:szCs w:val="24"/>
        </w:rPr>
        <w:tab/>
      </w:r>
      <w:r w:rsidRPr="00941D58" w:rsidR="00874600">
        <w:rPr>
          <w:rFonts w:ascii="Times New Roman" w:hAnsi="Times New Roman" w:cs="Times New Roman"/>
          <w:color w:val="000000" w:themeColor="text1"/>
          <w:sz w:val="24"/>
          <w:szCs w:val="24"/>
        </w:rPr>
        <w:t xml:space="preserve">9 </w:t>
      </w:r>
      <w:r w:rsidRPr="00941D58" w:rsidR="00D97603">
        <w:rPr>
          <w:rFonts w:ascii="Times New Roman" w:hAnsi="Times New Roman" w:cs="Times New Roman"/>
          <w:color w:val="000000" w:themeColor="text1"/>
          <w:sz w:val="24"/>
          <w:szCs w:val="24"/>
        </w:rPr>
        <w:t>minutes</w:t>
      </w:r>
    </w:p>
    <w:p w:rsidRPr="00941D58" w:rsidR="00874600" w:rsidP="00531777" w:rsidRDefault="00874600">
      <w:pPr>
        <w:pStyle w:val="ListParagraph"/>
        <w:spacing w:after="0" w:line="240" w:lineRule="auto"/>
        <w:ind w:left="1080"/>
        <w:rPr>
          <w:rFonts w:ascii="Times New Roman" w:hAnsi="Times New Roman" w:cs="Times New Roman"/>
          <w:color w:val="000000" w:themeColor="text1"/>
          <w:sz w:val="24"/>
          <w:szCs w:val="24"/>
        </w:rPr>
      </w:pPr>
      <w:r w:rsidRPr="00941D58">
        <w:rPr>
          <w:rFonts w:ascii="Times New Roman" w:hAnsi="Times New Roman" w:cs="Times New Roman"/>
          <w:color w:val="000000" w:themeColor="text1"/>
          <w:sz w:val="24"/>
          <w:szCs w:val="24"/>
        </w:rPr>
        <w:t xml:space="preserve">Annual burden: </w:t>
      </w:r>
      <w:r w:rsidR="00531777">
        <w:rPr>
          <w:rFonts w:ascii="Times New Roman" w:hAnsi="Times New Roman" w:cs="Times New Roman"/>
          <w:color w:val="000000" w:themeColor="text1"/>
          <w:sz w:val="24"/>
          <w:szCs w:val="24"/>
        </w:rPr>
        <w:t xml:space="preserve">        </w:t>
      </w:r>
      <w:r w:rsidR="00531777">
        <w:rPr>
          <w:rFonts w:ascii="Times New Roman" w:hAnsi="Times New Roman" w:cs="Times New Roman"/>
          <w:color w:val="000000" w:themeColor="text1"/>
          <w:sz w:val="24"/>
          <w:szCs w:val="24"/>
        </w:rPr>
        <w:tab/>
      </w:r>
      <w:r w:rsidR="00531777">
        <w:rPr>
          <w:rFonts w:ascii="Times New Roman" w:hAnsi="Times New Roman" w:cs="Times New Roman"/>
          <w:color w:val="000000" w:themeColor="text1"/>
          <w:sz w:val="24"/>
          <w:szCs w:val="24"/>
        </w:rPr>
        <w:tab/>
      </w:r>
      <w:r w:rsidRPr="00941D58">
        <w:rPr>
          <w:rFonts w:ascii="Times New Roman" w:hAnsi="Times New Roman" w:cs="Times New Roman"/>
          <w:color w:val="000000" w:themeColor="text1"/>
          <w:sz w:val="24"/>
          <w:szCs w:val="24"/>
        </w:rPr>
        <w:t>13,</w:t>
      </w:r>
      <w:r w:rsidRPr="00941D58" w:rsidR="00D97603">
        <w:rPr>
          <w:rFonts w:ascii="Times New Roman" w:hAnsi="Times New Roman" w:cs="Times New Roman"/>
          <w:color w:val="000000" w:themeColor="text1"/>
          <w:sz w:val="24"/>
          <w:szCs w:val="24"/>
        </w:rPr>
        <w:t>296 hours</w:t>
      </w:r>
    </w:p>
    <w:p w:rsidRPr="00941D58" w:rsidR="00874600" w:rsidP="002C7CDE" w:rsidRDefault="00874600">
      <w:pPr>
        <w:pStyle w:val="ListParagraph"/>
        <w:spacing w:after="0" w:line="240" w:lineRule="auto"/>
        <w:ind w:left="360"/>
        <w:rPr>
          <w:rFonts w:ascii="Times New Roman" w:hAnsi="Times New Roman" w:cs="Times New Roman"/>
          <w:color w:val="000000" w:themeColor="text1"/>
          <w:sz w:val="24"/>
          <w:szCs w:val="24"/>
        </w:rPr>
      </w:pPr>
    </w:p>
    <w:p w:rsidRPr="00941D58" w:rsidR="004066A4" w:rsidP="00941D58" w:rsidRDefault="004066A4">
      <w:pPr>
        <w:spacing w:after="0" w:line="240" w:lineRule="auto"/>
        <w:rPr>
          <w:rFonts w:ascii="Times New Roman" w:hAnsi="Times New Roman" w:cs="Times New Roman"/>
          <w:color w:val="000000" w:themeColor="text1"/>
          <w:sz w:val="24"/>
          <w:szCs w:val="24"/>
        </w:rPr>
      </w:pPr>
    </w:p>
    <w:p w:rsidRPr="00941D58" w:rsidR="00BB42FD" w:rsidP="00531777" w:rsidRDefault="00BB42FD">
      <w:pPr>
        <w:pStyle w:val="ListParagraph"/>
        <w:numPr>
          <w:ilvl w:val="0"/>
          <w:numId w:val="2"/>
        </w:numPr>
        <w:spacing w:after="0" w:line="240" w:lineRule="auto"/>
        <w:rPr>
          <w:rFonts w:ascii="Times New Roman" w:hAnsi="Times New Roman" w:cs="Times New Roman"/>
          <w:color w:val="000000" w:themeColor="text1"/>
          <w:sz w:val="24"/>
          <w:szCs w:val="24"/>
        </w:rPr>
      </w:pPr>
      <w:r w:rsidRPr="00941D58">
        <w:rPr>
          <w:rFonts w:ascii="Times New Roman" w:hAnsi="Times New Roman" w:cs="Times New Roman"/>
          <w:color w:val="000000" w:themeColor="text1"/>
          <w:sz w:val="24"/>
          <w:szCs w:val="24"/>
          <w:u w:val="single"/>
        </w:rPr>
        <w:t>Estimate of Cost Burden</w:t>
      </w:r>
    </w:p>
    <w:p w:rsidRPr="00941D58" w:rsidR="00815F16" w:rsidP="002C7CDE" w:rsidRDefault="00815F16">
      <w:pPr>
        <w:spacing w:after="0" w:line="240" w:lineRule="auto"/>
        <w:ind w:left="360"/>
        <w:rPr>
          <w:rFonts w:ascii="Times New Roman" w:hAnsi="Times New Roman" w:cs="Times New Roman"/>
          <w:color w:val="000000" w:themeColor="text1"/>
          <w:sz w:val="24"/>
          <w:szCs w:val="24"/>
        </w:rPr>
      </w:pPr>
    </w:p>
    <w:p w:rsidR="00941D58" w:rsidP="00531777" w:rsidRDefault="00D355CA">
      <w:pPr>
        <w:pStyle w:val="ListParagraph"/>
        <w:spacing w:after="0" w:line="240" w:lineRule="auto"/>
        <w:rPr>
          <w:rFonts w:ascii="Times New Roman" w:hAnsi="Times New Roman" w:cs="Times New Roman"/>
          <w:color w:val="000000" w:themeColor="text1"/>
          <w:sz w:val="24"/>
          <w:szCs w:val="24"/>
        </w:rPr>
      </w:pPr>
      <w:r w:rsidRPr="00941D58">
        <w:rPr>
          <w:rFonts w:ascii="Times New Roman" w:hAnsi="Times New Roman" w:cs="Times New Roman"/>
          <w:color w:val="000000" w:themeColor="text1"/>
          <w:sz w:val="24"/>
          <w:szCs w:val="24"/>
        </w:rPr>
        <w:t xml:space="preserve">Currently, LEAs incur no direct </w:t>
      </w:r>
      <w:r w:rsidRPr="00941D58" w:rsidR="00BB42FD">
        <w:rPr>
          <w:rFonts w:ascii="Times New Roman" w:hAnsi="Times New Roman" w:cs="Times New Roman"/>
          <w:color w:val="000000" w:themeColor="text1"/>
          <w:sz w:val="24"/>
          <w:szCs w:val="24"/>
        </w:rPr>
        <w:t xml:space="preserve">costs </w:t>
      </w:r>
      <w:r w:rsidRPr="00941D58">
        <w:rPr>
          <w:rFonts w:ascii="Times New Roman" w:hAnsi="Times New Roman" w:cs="Times New Roman"/>
          <w:color w:val="000000" w:themeColor="text1"/>
          <w:sz w:val="24"/>
          <w:szCs w:val="24"/>
        </w:rPr>
        <w:t xml:space="preserve">by participating </w:t>
      </w:r>
      <w:r w:rsidRPr="00941D58" w:rsidR="00BB42FD">
        <w:rPr>
          <w:rFonts w:ascii="Times New Roman" w:hAnsi="Times New Roman" w:cs="Times New Roman"/>
          <w:color w:val="000000" w:themeColor="text1"/>
          <w:sz w:val="24"/>
          <w:szCs w:val="24"/>
        </w:rPr>
        <w:t xml:space="preserve">in </w:t>
      </w:r>
      <w:r w:rsidRPr="00941D58">
        <w:rPr>
          <w:rFonts w:ascii="Times New Roman" w:hAnsi="Times New Roman" w:cs="Times New Roman"/>
          <w:color w:val="000000" w:themeColor="text1"/>
          <w:sz w:val="24"/>
          <w:szCs w:val="24"/>
        </w:rPr>
        <w:t xml:space="preserve">the </w:t>
      </w:r>
      <w:r w:rsidRPr="00941D58" w:rsidR="00BB42FD">
        <w:rPr>
          <w:rFonts w:ascii="Times New Roman" w:hAnsi="Times New Roman" w:cs="Times New Roman"/>
          <w:color w:val="000000" w:themeColor="text1"/>
          <w:sz w:val="24"/>
          <w:szCs w:val="24"/>
        </w:rPr>
        <w:t xml:space="preserve">FBI UCR Program.  With the renewal of this </w:t>
      </w:r>
      <w:r w:rsidRPr="00D355CA" w:rsidR="00BB42FD">
        <w:rPr>
          <w:rFonts w:ascii="Times New Roman" w:hAnsi="Times New Roman" w:cs="Times New Roman"/>
          <w:color w:val="000000" w:themeColor="text1"/>
          <w:sz w:val="24"/>
          <w:szCs w:val="24"/>
        </w:rPr>
        <w:t>collection, respondents are not expected to incur any capital, start-up, or system maintenance costs</w:t>
      </w:r>
      <w:r w:rsidRPr="00D355CA">
        <w:rPr>
          <w:rFonts w:ascii="Times New Roman" w:hAnsi="Times New Roman" w:cs="Times New Roman"/>
          <w:color w:val="000000" w:themeColor="text1"/>
          <w:sz w:val="24"/>
          <w:szCs w:val="24"/>
        </w:rPr>
        <w:t>.  Costs to agency records management s</w:t>
      </w:r>
      <w:r w:rsidRPr="00D355CA" w:rsidR="00BB42FD">
        <w:rPr>
          <w:rFonts w:ascii="Times New Roman" w:hAnsi="Times New Roman" w:cs="Times New Roman"/>
          <w:color w:val="000000" w:themeColor="text1"/>
          <w:sz w:val="24"/>
          <w:szCs w:val="24"/>
        </w:rPr>
        <w:t xml:space="preserve">ystems are very difficult to obtain.  Vendors do not divulge costs </w:t>
      </w:r>
      <w:r w:rsidRPr="00D355CA" w:rsidR="00FC615E">
        <w:rPr>
          <w:rFonts w:ascii="Times New Roman" w:hAnsi="Times New Roman" w:cs="Times New Roman"/>
          <w:color w:val="000000" w:themeColor="text1"/>
          <w:sz w:val="24"/>
          <w:szCs w:val="24"/>
        </w:rPr>
        <w:t xml:space="preserve">because </w:t>
      </w:r>
      <w:r w:rsidRPr="00D355CA">
        <w:rPr>
          <w:rFonts w:ascii="Times New Roman" w:hAnsi="Times New Roman" w:cs="Times New Roman"/>
          <w:color w:val="000000" w:themeColor="text1"/>
          <w:sz w:val="24"/>
          <w:szCs w:val="24"/>
        </w:rPr>
        <w:t xml:space="preserve">charges differ </w:t>
      </w:r>
      <w:r w:rsidRPr="00D355CA" w:rsidR="00BB42FD">
        <w:rPr>
          <w:rFonts w:ascii="Times New Roman" w:hAnsi="Times New Roman" w:cs="Times New Roman"/>
          <w:color w:val="000000" w:themeColor="text1"/>
          <w:sz w:val="24"/>
          <w:szCs w:val="24"/>
        </w:rPr>
        <w:t>from agen</w:t>
      </w:r>
      <w:r w:rsidRPr="00D355CA" w:rsidR="00FC615E">
        <w:rPr>
          <w:rFonts w:ascii="Times New Roman" w:hAnsi="Times New Roman" w:cs="Times New Roman"/>
          <w:color w:val="000000" w:themeColor="text1"/>
          <w:sz w:val="24"/>
          <w:szCs w:val="24"/>
        </w:rPr>
        <w:t>cy to agency and</w:t>
      </w:r>
      <w:r w:rsidRPr="00D355CA" w:rsidR="00BB42FD">
        <w:rPr>
          <w:rFonts w:ascii="Times New Roman" w:hAnsi="Times New Roman" w:cs="Times New Roman"/>
          <w:color w:val="000000" w:themeColor="text1"/>
          <w:sz w:val="24"/>
          <w:szCs w:val="24"/>
        </w:rPr>
        <w:t xml:space="preserve"> many costs are built into vendors</w:t>
      </w:r>
      <w:r w:rsidRPr="00D355CA" w:rsidR="004066A4">
        <w:rPr>
          <w:rFonts w:ascii="Times New Roman" w:hAnsi="Times New Roman" w:cs="Times New Roman"/>
          <w:color w:val="000000" w:themeColor="text1"/>
          <w:sz w:val="24"/>
          <w:szCs w:val="24"/>
        </w:rPr>
        <w:t>’</w:t>
      </w:r>
      <w:r w:rsidRPr="00D355CA" w:rsidR="00BB42FD">
        <w:rPr>
          <w:rFonts w:ascii="Times New Roman" w:hAnsi="Times New Roman" w:cs="Times New Roman"/>
          <w:color w:val="000000" w:themeColor="text1"/>
          <w:sz w:val="24"/>
          <w:szCs w:val="24"/>
        </w:rPr>
        <w:t xml:space="preserve"> contracts.  Depending on the</w:t>
      </w:r>
      <w:r w:rsidRPr="00D355CA" w:rsidR="00FC615E">
        <w:rPr>
          <w:rFonts w:ascii="Times New Roman" w:hAnsi="Times New Roman" w:cs="Times New Roman"/>
          <w:color w:val="000000" w:themeColor="text1"/>
          <w:sz w:val="24"/>
          <w:szCs w:val="24"/>
        </w:rPr>
        <w:t xml:space="preserve"> </w:t>
      </w:r>
      <w:r w:rsidRPr="00D355CA">
        <w:rPr>
          <w:rFonts w:ascii="Times New Roman" w:hAnsi="Times New Roman" w:cs="Times New Roman"/>
          <w:color w:val="000000" w:themeColor="text1"/>
          <w:sz w:val="24"/>
          <w:szCs w:val="24"/>
        </w:rPr>
        <w:t>contract, char</w:t>
      </w:r>
      <w:r w:rsidRPr="00D355CA" w:rsidR="00BB42FD">
        <w:rPr>
          <w:rFonts w:ascii="Times New Roman" w:hAnsi="Times New Roman" w:cs="Times New Roman"/>
          <w:color w:val="000000" w:themeColor="text1"/>
          <w:sz w:val="24"/>
          <w:szCs w:val="24"/>
        </w:rPr>
        <w:t>ges mandated by law may be included with no other additional costs.  However, an estimate has been projected that agencies pay a $107,000 maintenance fee every year for system maintenance costs.</w:t>
      </w:r>
    </w:p>
    <w:p w:rsidR="00941D58" w:rsidRDefault="00941D5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Pr="0092031B" w:rsidR="00BB42FD" w:rsidP="00531777" w:rsidRDefault="00BB42FD">
      <w:pPr>
        <w:pStyle w:val="ListParagraph"/>
        <w:numPr>
          <w:ilvl w:val="0"/>
          <w:numId w:val="2"/>
        </w:numPr>
        <w:spacing w:after="0" w:line="240" w:lineRule="auto"/>
        <w:rPr>
          <w:rFonts w:ascii="Times New Roman" w:hAnsi="Times New Roman" w:cs="Times New Roman"/>
          <w:sz w:val="24"/>
          <w:szCs w:val="24"/>
        </w:rPr>
      </w:pPr>
      <w:r w:rsidRPr="0092031B">
        <w:rPr>
          <w:rFonts w:ascii="Times New Roman" w:hAnsi="Times New Roman" w:cs="Times New Roman"/>
          <w:sz w:val="24"/>
          <w:szCs w:val="24"/>
          <w:u w:val="single"/>
        </w:rPr>
        <w:lastRenderedPageBreak/>
        <w:t>Cost to Federal Government</w:t>
      </w:r>
    </w:p>
    <w:p w:rsidRPr="0092031B" w:rsidR="00BB42FD" w:rsidP="002C7CDE" w:rsidRDefault="00BB42FD">
      <w:pPr>
        <w:pStyle w:val="ListParagraph"/>
        <w:spacing w:after="0" w:line="240" w:lineRule="auto"/>
        <w:rPr>
          <w:rFonts w:ascii="Times New Roman" w:hAnsi="Times New Roman" w:cs="Times New Roman"/>
          <w:sz w:val="24"/>
          <w:szCs w:val="24"/>
        </w:rPr>
      </w:pPr>
    </w:p>
    <w:p w:rsidR="00157633" w:rsidP="00966E53" w:rsidRDefault="003738D2">
      <w:pPr>
        <w:pStyle w:val="ListParagraph"/>
        <w:spacing w:after="0" w:line="240" w:lineRule="auto"/>
        <w:ind w:right="-90"/>
        <w:rPr>
          <w:rFonts w:ascii="Times New Roman" w:hAnsi="Times New Roman" w:cs="Times New Roman"/>
          <w:sz w:val="24"/>
          <w:szCs w:val="24"/>
        </w:rPr>
      </w:pPr>
      <w:r w:rsidRPr="0092031B">
        <w:rPr>
          <w:rFonts w:ascii="Times New Roman" w:hAnsi="Times New Roman" w:cs="Times New Roman"/>
          <w:sz w:val="24"/>
          <w:szCs w:val="24"/>
        </w:rPr>
        <w:t xml:space="preserve">The </w:t>
      </w:r>
      <w:r w:rsidR="00E96954">
        <w:rPr>
          <w:rFonts w:ascii="Times New Roman" w:hAnsi="Times New Roman" w:cs="Times New Roman"/>
          <w:sz w:val="24"/>
          <w:szCs w:val="24"/>
        </w:rPr>
        <w:t xml:space="preserve">information presented in the </w:t>
      </w:r>
      <w:r w:rsidRPr="0092031B">
        <w:rPr>
          <w:rFonts w:ascii="Times New Roman" w:hAnsi="Times New Roman" w:cs="Times New Roman"/>
          <w:sz w:val="24"/>
          <w:szCs w:val="24"/>
        </w:rPr>
        <w:t xml:space="preserve">following </w:t>
      </w:r>
      <w:r w:rsidR="00E96954">
        <w:rPr>
          <w:rFonts w:ascii="Times New Roman" w:hAnsi="Times New Roman" w:cs="Times New Roman"/>
          <w:sz w:val="24"/>
          <w:szCs w:val="24"/>
        </w:rPr>
        <w:t xml:space="preserve">table </w:t>
      </w:r>
      <w:r w:rsidRPr="0092031B">
        <w:rPr>
          <w:rFonts w:ascii="Times New Roman" w:hAnsi="Times New Roman" w:cs="Times New Roman"/>
          <w:sz w:val="24"/>
          <w:szCs w:val="24"/>
        </w:rPr>
        <w:t xml:space="preserve">is a </w:t>
      </w:r>
      <w:r w:rsidR="00285CCF">
        <w:rPr>
          <w:rFonts w:ascii="Times New Roman" w:hAnsi="Times New Roman" w:cs="Times New Roman"/>
          <w:sz w:val="24"/>
          <w:szCs w:val="24"/>
        </w:rPr>
        <w:t>fiscal y</w:t>
      </w:r>
      <w:r w:rsidR="00157633">
        <w:rPr>
          <w:rFonts w:ascii="Times New Roman" w:hAnsi="Times New Roman" w:cs="Times New Roman"/>
          <w:sz w:val="24"/>
          <w:szCs w:val="24"/>
        </w:rPr>
        <w:t xml:space="preserve">ear (FY) 2019 </w:t>
      </w:r>
      <w:r w:rsidRPr="0092031B">
        <w:rPr>
          <w:rFonts w:ascii="Times New Roman" w:hAnsi="Times New Roman" w:cs="Times New Roman"/>
          <w:sz w:val="24"/>
          <w:szCs w:val="24"/>
        </w:rPr>
        <w:t>cost model</w:t>
      </w:r>
      <w:r w:rsidRPr="0092031B" w:rsidR="00BB42FD">
        <w:rPr>
          <w:rFonts w:ascii="Times New Roman" w:hAnsi="Times New Roman" w:cs="Times New Roman"/>
          <w:sz w:val="24"/>
          <w:szCs w:val="24"/>
        </w:rPr>
        <w:t xml:space="preserve"> provided by the FBI Criminal Justice Information Services (CJIS) Division, Resource Management Section, Fee Programs Unit, for the entire FBI UCR Program.  </w:t>
      </w:r>
      <w:r w:rsidR="00157633">
        <w:rPr>
          <w:rFonts w:ascii="Times New Roman" w:hAnsi="Times New Roman" w:cs="Times New Roman"/>
          <w:sz w:val="24"/>
          <w:szCs w:val="24"/>
        </w:rPr>
        <w:t>The FY201</w:t>
      </w:r>
      <w:r w:rsidR="00966E53">
        <w:rPr>
          <w:rFonts w:ascii="Times New Roman" w:hAnsi="Times New Roman" w:cs="Times New Roman"/>
          <w:sz w:val="24"/>
          <w:szCs w:val="24"/>
        </w:rPr>
        <w:t>9 annualized cost and full-time </w:t>
      </w:r>
      <w:r w:rsidR="00157633">
        <w:rPr>
          <w:rFonts w:ascii="Times New Roman" w:hAnsi="Times New Roman" w:cs="Times New Roman"/>
          <w:sz w:val="24"/>
          <w:szCs w:val="24"/>
        </w:rPr>
        <w:t xml:space="preserve">equivalent (FTE) are included.  </w:t>
      </w:r>
      <w:r w:rsidR="00630095">
        <w:rPr>
          <w:rFonts w:ascii="Times New Roman" w:hAnsi="Times New Roman" w:cs="Times New Roman"/>
          <w:sz w:val="24"/>
          <w:szCs w:val="24"/>
        </w:rPr>
        <w:t xml:space="preserve">These are projections based </w:t>
      </w:r>
      <w:r w:rsidRPr="0092031B" w:rsidR="00BB42FD">
        <w:rPr>
          <w:rFonts w:ascii="Times New Roman" w:hAnsi="Times New Roman" w:cs="Times New Roman"/>
          <w:sz w:val="24"/>
          <w:szCs w:val="24"/>
        </w:rPr>
        <w:t xml:space="preserve">on prior collection activity, as well as activities anticipated over </w:t>
      </w:r>
      <w:r w:rsidRPr="0092031B" w:rsidR="00FC615E">
        <w:rPr>
          <w:rFonts w:ascii="Times New Roman" w:hAnsi="Times New Roman" w:cs="Times New Roman"/>
          <w:sz w:val="24"/>
          <w:szCs w:val="24"/>
        </w:rPr>
        <w:t>the next three years for</w:t>
      </w:r>
      <w:r w:rsidRPr="0092031B" w:rsidR="00BB42FD">
        <w:rPr>
          <w:rFonts w:ascii="Times New Roman" w:hAnsi="Times New Roman" w:cs="Times New Roman"/>
          <w:sz w:val="24"/>
          <w:szCs w:val="24"/>
        </w:rPr>
        <w:t xml:space="preserve"> the National Incident-Based Reporting System </w:t>
      </w:r>
      <w:r w:rsidRPr="0092031B" w:rsidR="00FC615E">
        <w:rPr>
          <w:rFonts w:ascii="Times New Roman" w:hAnsi="Times New Roman" w:cs="Times New Roman"/>
          <w:sz w:val="24"/>
          <w:szCs w:val="24"/>
        </w:rPr>
        <w:t>(NIBRS) and SRS.  This</w:t>
      </w:r>
      <w:r w:rsidRPr="0092031B">
        <w:rPr>
          <w:rFonts w:ascii="Times New Roman" w:hAnsi="Times New Roman" w:cs="Times New Roman"/>
          <w:sz w:val="24"/>
          <w:szCs w:val="24"/>
        </w:rPr>
        <w:t xml:space="preserve"> cost mod</w:t>
      </w:r>
      <w:r w:rsidRPr="0092031B" w:rsidR="00BB42FD">
        <w:rPr>
          <w:rFonts w:ascii="Times New Roman" w:hAnsi="Times New Roman" w:cs="Times New Roman"/>
          <w:sz w:val="24"/>
          <w:szCs w:val="24"/>
        </w:rPr>
        <w:t>e</w:t>
      </w:r>
      <w:r w:rsidRPr="0092031B">
        <w:rPr>
          <w:rFonts w:ascii="Times New Roman" w:hAnsi="Times New Roman" w:cs="Times New Roman"/>
          <w:sz w:val="24"/>
          <w:szCs w:val="24"/>
        </w:rPr>
        <w:t>l</w:t>
      </w:r>
      <w:r w:rsidRPr="0092031B" w:rsidR="00BB42FD">
        <w:rPr>
          <w:rFonts w:ascii="Times New Roman" w:hAnsi="Times New Roman" w:cs="Times New Roman"/>
          <w:sz w:val="24"/>
          <w:szCs w:val="24"/>
        </w:rPr>
        <w:t xml:space="preserve"> does not separate the costs between the two </w:t>
      </w:r>
      <w:r w:rsidR="004E42D2">
        <w:rPr>
          <w:rFonts w:ascii="Times New Roman" w:hAnsi="Times New Roman" w:cs="Times New Roman"/>
          <w:sz w:val="24"/>
          <w:szCs w:val="24"/>
        </w:rPr>
        <w:t>system</w:t>
      </w:r>
      <w:r w:rsidRPr="0092031B" w:rsidR="00BB42FD">
        <w:rPr>
          <w:rFonts w:ascii="Times New Roman" w:hAnsi="Times New Roman" w:cs="Times New Roman"/>
          <w:sz w:val="24"/>
          <w:szCs w:val="24"/>
        </w:rPr>
        <w:t xml:space="preserve">s </w:t>
      </w:r>
      <w:r w:rsidR="00966E53">
        <w:rPr>
          <w:rFonts w:ascii="Times New Roman" w:hAnsi="Times New Roman" w:cs="Times New Roman"/>
          <w:sz w:val="24"/>
          <w:szCs w:val="24"/>
        </w:rPr>
        <w:t>used to collect</w:t>
      </w:r>
      <w:r w:rsidRPr="0092031B" w:rsidR="00BB42FD">
        <w:rPr>
          <w:rFonts w:ascii="Times New Roman" w:hAnsi="Times New Roman" w:cs="Times New Roman"/>
          <w:sz w:val="24"/>
          <w:szCs w:val="24"/>
        </w:rPr>
        <w:t xml:space="preserve"> </w:t>
      </w:r>
      <w:r w:rsidR="00157633">
        <w:rPr>
          <w:rFonts w:ascii="Times New Roman" w:hAnsi="Times New Roman" w:cs="Times New Roman"/>
          <w:sz w:val="24"/>
          <w:szCs w:val="24"/>
        </w:rPr>
        <w:t xml:space="preserve">FBI </w:t>
      </w:r>
      <w:r w:rsidRPr="0092031B" w:rsidR="00BB42FD">
        <w:rPr>
          <w:rFonts w:ascii="Times New Roman" w:hAnsi="Times New Roman" w:cs="Times New Roman"/>
          <w:sz w:val="24"/>
          <w:szCs w:val="24"/>
        </w:rPr>
        <w:t xml:space="preserve">UCR </w:t>
      </w:r>
      <w:r w:rsidR="00157633">
        <w:rPr>
          <w:rFonts w:ascii="Times New Roman" w:hAnsi="Times New Roman" w:cs="Times New Roman"/>
          <w:sz w:val="24"/>
          <w:szCs w:val="24"/>
        </w:rPr>
        <w:t xml:space="preserve">Program </w:t>
      </w:r>
      <w:r w:rsidRPr="0092031B" w:rsidR="00BB42FD">
        <w:rPr>
          <w:rFonts w:ascii="Times New Roman" w:hAnsi="Times New Roman" w:cs="Times New Roman"/>
          <w:sz w:val="24"/>
          <w:szCs w:val="24"/>
        </w:rPr>
        <w:t>data.</w:t>
      </w:r>
    </w:p>
    <w:p w:rsidRPr="0092031B" w:rsidR="00BB42FD" w:rsidP="002C7CDE" w:rsidRDefault="00BB42FD">
      <w:pPr>
        <w:pStyle w:val="ListParagraph"/>
        <w:spacing w:after="0" w:line="240" w:lineRule="auto"/>
        <w:rPr>
          <w:rFonts w:ascii="Times New Roman" w:hAnsi="Times New Roman" w:cs="Times New Roman"/>
          <w:sz w:val="24"/>
          <w:szCs w:val="24"/>
        </w:rPr>
      </w:pPr>
    </w:p>
    <w:tbl>
      <w:tblPr>
        <w:tblW w:w="10080" w:type="dxa"/>
        <w:jc w:val="center"/>
        <w:tblLayout w:type="fixed"/>
        <w:tblLook w:val="04A0" w:firstRow="1" w:lastRow="0" w:firstColumn="1" w:lastColumn="0" w:noHBand="0" w:noVBand="1"/>
      </w:tblPr>
      <w:tblGrid>
        <w:gridCol w:w="6750"/>
        <w:gridCol w:w="1665"/>
        <w:gridCol w:w="1665"/>
      </w:tblGrid>
      <w:tr w:rsidRPr="00157633" w:rsidR="00D82CD5" w:rsidTr="00BE5E48">
        <w:trPr>
          <w:trHeight w:val="446"/>
          <w:jc w:val="center"/>
        </w:trPr>
        <w:tc>
          <w:tcPr>
            <w:tcW w:w="6750" w:type="dxa"/>
            <w:tcBorders>
              <w:left w:val="nil"/>
              <w:bottom w:val="single" w:color="auto" w:sz="8" w:space="0"/>
              <w:right w:val="nil"/>
            </w:tcBorders>
            <w:shd w:val="clear" w:color="auto" w:fill="auto"/>
            <w:vAlign w:val="center"/>
          </w:tcPr>
          <w:p w:rsidRPr="00BE5E48" w:rsidR="00D82CD5" w:rsidP="002C7CDE" w:rsidRDefault="00D82CD5">
            <w:pPr>
              <w:spacing w:after="0" w:line="240" w:lineRule="auto"/>
              <w:rPr>
                <w:rFonts w:ascii="Times New Roman" w:hAnsi="Times New Roman" w:cs="Times New Roman"/>
                <w:b/>
                <w:sz w:val="20"/>
                <w:szCs w:val="20"/>
              </w:rPr>
            </w:pPr>
            <w:r w:rsidRPr="00BE5E48">
              <w:rPr>
                <w:rFonts w:ascii="Times New Roman" w:hAnsi="Times New Roman" w:cs="Times New Roman"/>
                <w:b/>
                <w:sz w:val="20"/>
                <w:szCs w:val="20"/>
              </w:rPr>
              <w:t>Data Collection and Processing Costs</w:t>
            </w:r>
          </w:p>
        </w:tc>
        <w:tc>
          <w:tcPr>
            <w:tcW w:w="1665" w:type="dxa"/>
            <w:tcBorders>
              <w:left w:val="nil"/>
              <w:bottom w:val="single" w:color="auto" w:sz="8" w:space="0"/>
              <w:right w:val="nil"/>
            </w:tcBorders>
            <w:shd w:val="clear" w:color="auto" w:fill="auto"/>
            <w:vAlign w:val="center"/>
          </w:tcPr>
          <w:p w:rsidRPr="00157633" w:rsidR="00D82CD5" w:rsidP="002C7CDE" w:rsidRDefault="00D82CD5">
            <w:pPr>
              <w:spacing w:after="0" w:line="240" w:lineRule="auto"/>
              <w:jc w:val="right"/>
              <w:rPr>
                <w:rFonts w:ascii="Times New Roman" w:hAnsi="Times New Roman" w:eastAsia="Times New Roman" w:cs="Times New Roman"/>
                <w:b/>
                <w:color w:val="000000" w:themeColor="text1"/>
                <w:sz w:val="20"/>
                <w:szCs w:val="20"/>
              </w:rPr>
            </w:pPr>
          </w:p>
        </w:tc>
        <w:tc>
          <w:tcPr>
            <w:tcW w:w="1665" w:type="dxa"/>
            <w:tcBorders>
              <w:left w:val="nil"/>
              <w:bottom w:val="single" w:color="auto" w:sz="8" w:space="0"/>
              <w:right w:val="nil"/>
            </w:tcBorders>
            <w:shd w:val="clear" w:color="auto" w:fill="auto"/>
            <w:vAlign w:val="center"/>
          </w:tcPr>
          <w:p w:rsidRPr="00157633" w:rsidR="00D82CD5" w:rsidP="002C7CDE" w:rsidRDefault="00D82CD5">
            <w:pPr>
              <w:spacing w:after="0" w:line="240" w:lineRule="auto"/>
              <w:jc w:val="right"/>
              <w:rPr>
                <w:rFonts w:ascii="Times New Roman" w:hAnsi="Times New Roman" w:eastAsia="Times New Roman" w:cs="Times New Roman"/>
                <w:b/>
                <w:color w:val="000000" w:themeColor="text1"/>
                <w:sz w:val="20"/>
                <w:szCs w:val="20"/>
              </w:rPr>
            </w:pPr>
          </w:p>
        </w:tc>
      </w:tr>
      <w:tr w:rsidRPr="00157633" w:rsidR="00157633" w:rsidTr="00630095">
        <w:trPr>
          <w:trHeight w:val="306"/>
          <w:jc w:val="center"/>
        </w:trPr>
        <w:tc>
          <w:tcPr>
            <w:tcW w:w="6750" w:type="dxa"/>
            <w:tcBorders>
              <w:top w:val="single" w:color="auto" w:sz="8" w:space="0"/>
              <w:left w:val="nil"/>
              <w:bottom w:val="single" w:color="auto" w:sz="8" w:space="0"/>
              <w:right w:val="nil"/>
            </w:tcBorders>
            <w:shd w:val="clear" w:color="auto" w:fill="auto"/>
            <w:vAlign w:val="center"/>
            <w:hideMark/>
          </w:tcPr>
          <w:p w:rsidRPr="00157633" w:rsidR="00157633" w:rsidP="002C7CDE" w:rsidRDefault="00157633">
            <w:pPr>
              <w:spacing w:after="0" w:line="240" w:lineRule="auto"/>
              <w:rPr>
                <w:rFonts w:ascii="Times New Roman" w:hAnsi="Times New Roman" w:eastAsia="Times New Roman" w:cs="Times New Roman"/>
                <w:b/>
                <w:color w:val="000000" w:themeColor="text1"/>
                <w:sz w:val="20"/>
                <w:szCs w:val="20"/>
              </w:rPr>
            </w:pPr>
            <w:r w:rsidRPr="00157633">
              <w:rPr>
                <w:rFonts w:ascii="Times New Roman" w:hAnsi="Times New Roman" w:eastAsia="Times New Roman" w:cs="Times New Roman"/>
                <w:b/>
                <w:color w:val="000000" w:themeColor="text1"/>
                <w:sz w:val="20"/>
                <w:szCs w:val="20"/>
              </w:rPr>
              <w:t>Activity</w:t>
            </w:r>
          </w:p>
        </w:tc>
        <w:tc>
          <w:tcPr>
            <w:tcW w:w="1665" w:type="dxa"/>
            <w:tcBorders>
              <w:top w:val="single" w:color="auto" w:sz="8" w:space="0"/>
              <w:left w:val="nil"/>
              <w:bottom w:val="single" w:color="auto" w:sz="8" w:space="0"/>
              <w:right w:val="nil"/>
            </w:tcBorders>
            <w:shd w:val="clear" w:color="auto" w:fill="auto"/>
            <w:vAlign w:val="center"/>
            <w:hideMark/>
          </w:tcPr>
          <w:p w:rsidRPr="00157633" w:rsidR="00157633" w:rsidP="002C7CDE" w:rsidRDefault="00157633">
            <w:pPr>
              <w:spacing w:after="0" w:line="240" w:lineRule="auto"/>
              <w:jc w:val="right"/>
              <w:rPr>
                <w:rFonts w:ascii="Times New Roman" w:hAnsi="Times New Roman" w:eastAsia="Times New Roman" w:cs="Times New Roman"/>
                <w:b/>
                <w:color w:val="000000" w:themeColor="text1"/>
                <w:sz w:val="20"/>
                <w:szCs w:val="20"/>
              </w:rPr>
            </w:pPr>
            <w:r w:rsidRPr="00157633">
              <w:rPr>
                <w:rFonts w:ascii="Times New Roman" w:hAnsi="Times New Roman" w:eastAsia="Times New Roman" w:cs="Times New Roman"/>
                <w:b/>
                <w:color w:val="000000" w:themeColor="text1"/>
                <w:sz w:val="20"/>
                <w:szCs w:val="20"/>
              </w:rPr>
              <w:t xml:space="preserve">FY2019 </w:t>
            </w:r>
          </w:p>
          <w:p w:rsidRPr="00157633" w:rsidR="00157633" w:rsidP="002C7CDE" w:rsidRDefault="00157633">
            <w:pPr>
              <w:spacing w:after="0" w:line="240" w:lineRule="auto"/>
              <w:jc w:val="right"/>
              <w:rPr>
                <w:rFonts w:ascii="Times New Roman" w:hAnsi="Times New Roman" w:eastAsia="Times New Roman" w:cs="Times New Roman"/>
                <w:b/>
                <w:color w:val="000000" w:themeColor="text1"/>
                <w:sz w:val="20"/>
                <w:szCs w:val="20"/>
              </w:rPr>
            </w:pPr>
            <w:r w:rsidRPr="00157633">
              <w:rPr>
                <w:rFonts w:ascii="Times New Roman" w:hAnsi="Times New Roman" w:eastAsia="Times New Roman" w:cs="Times New Roman"/>
                <w:b/>
                <w:color w:val="000000" w:themeColor="text1"/>
                <w:sz w:val="20"/>
                <w:szCs w:val="20"/>
              </w:rPr>
              <w:t>Annualized Cost</w:t>
            </w:r>
          </w:p>
        </w:tc>
        <w:tc>
          <w:tcPr>
            <w:tcW w:w="1665" w:type="dxa"/>
            <w:tcBorders>
              <w:top w:val="single" w:color="auto" w:sz="8" w:space="0"/>
              <w:left w:val="nil"/>
              <w:bottom w:val="single" w:color="auto" w:sz="8" w:space="0"/>
              <w:right w:val="nil"/>
            </w:tcBorders>
            <w:shd w:val="clear" w:color="auto" w:fill="auto"/>
            <w:vAlign w:val="center"/>
            <w:hideMark/>
          </w:tcPr>
          <w:p w:rsidRPr="00157633" w:rsidR="00157633" w:rsidP="002C7CDE" w:rsidRDefault="00157633">
            <w:pPr>
              <w:spacing w:after="0" w:line="240" w:lineRule="auto"/>
              <w:jc w:val="right"/>
              <w:rPr>
                <w:rFonts w:ascii="Times New Roman" w:hAnsi="Times New Roman" w:eastAsia="Times New Roman" w:cs="Times New Roman"/>
                <w:b/>
                <w:color w:val="000000" w:themeColor="text1"/>
                <w:sz w:val="20"/>
                <w:szCs w:val="20"/>
              </w:rPr>
            </w:pPr>
            <w:r w:rsidRPr="00157633">
              <w:rPr>
                <w:rFonts w:ascii="Times New Roman" w:hAnsi="Times New Roman" w:eastAsia="Times New Roman" w:cs="Times New Roman"/>
                <w:b/>
                <w:color w:val="000000" w:themeColor="text1"/>
                <w:sz w:val="20"/>
                <w:szCs w:val="20"/>
              </w:rPr>
              <w:t>FY2019 Annualized FTE</w:t>
            </w:r>
          </w:p>
        </w:tc>
      </w:tr>
      <w:tr w:rsidRPr="00157633" w:rsidR="00157633" w:rsidTr="00630095">
        <w:trPr>
          <w:trHeight w:val="315"/>
          <w:jc w:val="center"/>
        </w:trPr>
        <w:tc>
          <w:tcPr>
            <w:tcW w:w="6750" w:type="dxa"/>
            <w:tcBorders>
              <w:top w:val="single" w:color="auto" w:sz="8" w:space="0"/>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Administrative</w:t>
            </w:r>
          </w:p>
        </w:tc>
        <w:tc>
          <w:tcPr>
            <w:tcW w:w="1665" w:type="dxa"/>
            <w:tcBorders>
              <w:top w:val="single" w:color="auto" w:sz="8" w:space="0"/>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$39,044.92</w:t>
            </w:r>
          </w:p>
        </w:tc>
        <w:tc>
          <w:tcPr>
            <w:tcW w:w="1665" w:type="dxa"/>
            <w:tcBorders>
              <w:top w:val="single" w:color="auto" w:sz="8" w:space="0"/>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0.20</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Administrative and Human Resource</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$416,793.71</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3.46</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Assessments/Analysis – External Customers</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$63,363.71</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0.40</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Budget Activities, Strategic Planning, and Program Control</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$557,140.57</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3.76</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Conduct Audits</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$106,545.90</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2.00</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3A1425"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Conduct U</w:t>
            </w:r>
            <w:r w:rsidR="003A1425">
              <w:rPr>
                <w:rFonts w:ascii="Times New Roman" w:hAnsi="Times New Roman" w:eastAsia="Times New Roman" w:cs="Times New Roman"/>
                <w:color w:val="000000" w:themeColor="text1"/>
                <w:sz w:val="20"/>
                <w:szCs w:val="20"/>
              </w:rPr>
              <w:t xml:space="preserve">niform </w:t>
            </w:r>
            <w:r w:rsidRPr="00157633">
              <w:rPr>
                <w:rFonts w:ascii="Times New Roman" w:hAnsi="Times New Roman" w:eastAsia="Times New Roman" w:cs="Times New Roman"/>
                <w:color w:val="000000" w:themeColor="text1"/>
                <w:sz w:val="20"/>
                <w:szCs w:val="20"/>
              </w:rPr>
              <w:t>C</w:t>
            </w:r>
            <w:r w:rsidR="003A1425">
              <w:rPr>
                <w:rFonts w:ascii="Times New Roman" w:hAnsi="Times New Roman" w:eastAsia="Times New Roman" w:cs="Times New Roman"/>
                <w:color w:val="000000" w:themeColor="text1"/>
                <w:sz w:val="20"/>
                <w:szCs w:val="20"/>
              </w:rPr>
              <w:t xml:space="preserve">rime </w:t>
            </w:r>
            <w:r w:rsidRPr="00157633">
              <w:rPr>
                <w:rFonts w:ascii="Times New Roman" w:hAnsi="Times New Roman" w:eastAsia="Times New Roman" w:cs="Times New Roman"/>
                <w:color w:val="000000" w:themeColor="text1"/>
                <w:sz w:val="20"/>
                <w:szCs w:val="20"/>
              </w:rPr>
              <w:t>R</w:t>
            </w:r>
            <w:r w:rsidR="003A1425">
              <w:rPr>
                <w:rFonts w:ascii="Times New Roman" w:hAnsi="Times New Roman" w:eastAsia="Times New Roman" w:cs="Times New Roman"/>
                <w:color w:val="000000" w:themeColor="text1"/>
                <w:sz w:val="20"/>
                <w:szCs w:val="20"/>
              </w:rPr>
              <w:t>eporting (UCR)</w:t>
            </w:r>
            <w:r w:rsidRPr="00157633">
              <w:rPr>
                <w:rFonts w:ascii="Times New Roman" w:hAnsi="Times New Roman" w:eastAsia="Times New Roman" w:cs="Times New Roman"/>
                <w:color w:val="000000" w:themeColor="text1"/>
                <w:sz w:val="20"/>
                <w:szCs w:val="20"/>
              </w:rPr>
              <w:t xml:space="preserve"> Audits</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$80,268.18</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1.04</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Curriculum Design – External Customers</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$166,386.43</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1.11</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Direct and Interpret Statistical Methodologies</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$46,984.00</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0.60</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Editing</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$120,701.94</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1.70</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Graphics</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$37,986.43</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0.50</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Liaison, Education, and Promotion</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$982,682.24</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7.21</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3A1425"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 xml:space="preserve">New UCR and Crime Data Explorer </w:t>
            </w:r>
            <w:r w:rsidR="003A1425">
              <w:rPr>
                <w:rFonts w:ascii="Times New Roman" w:hAnsi="Times New Roman" w:eastAsia="Times New Roman" w:cs="Times New Roman"/>
                <w:color w:val="000000" w:themeColor="text1"/>
                <w:sz w:val="20"/>
                <w:szCs w:val="20"/>
              </w:rPr>
              <w:t xml:space="preserve">(CDE) </w:t>
            </w:r>
            <w:r w:rsidRPr="00157633">
              <w:rPr>
                <w:rFonts w:ascii="Times New Roman" w:hAnsi="Times New Roman" w:eastAsia="Times New Roman" w:cs="Times New Roman"/>
                <w:color w:val="000000" w:themeColor="text1"/>
                <w:sz w:val="20"/>
                <w:szCs w:val="20"/>
              </w:rPr>
              <w:t>O</w:t>
            </w:r>
            <w:r w:rsidR="003A1425">
              <w:rPr>
                <w:rFonts w:ascii="Times New Roman" w:hAnsi="Times New Roman" w:eastAsia="Times New Roman" w:cs="Times New Roman"/>
                <w:color w:val="000000" w:themeColor="text1"/>
                <w:sz w:val="20"/>
                <w:szCs w:val="20"/>
              </w:rPr>
              <w:t>perations and Maintenance</w:t>
            </w:r>
            <w:r w:rsidR="00630095">
              <w:rPr>
                <w:rFonts w:ascii="Times New Roman" w:hAnsi="Times New Roman" w:eastAsia="Times New Roman" w:cs="Times New Roman"/>
                <w:color w:val="000000" w:themeColor="text1"/>
                <w:sz w:val="20"/>
                <w:szCs w:val="20"/>
              </w:rPr>
              <w:t xml:space="preserve"> (O&amp;M)</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$62,865.06</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0.31</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F04815"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New UCR and CDE O</w:t>
            </w:r>
            <w:r w:rsidR="00F04815">
              <w:rPr>
                <w:rFonts w:ascii="Times New Roman" w:hAnsi="Times New Roman" w:eastAsia="Times New Roman" w:cs="Times New Roman"/>
                <w:color w:val="000000" w:themeColor="text1"/>
                <w:sz w:val="20"/>
                <w:szCs w:val="20"/>
              </w:rPr>
              <w:t>&amp;</w:t>
            </w:r>
            <w:r w:rsidRPr="00157633">
              <w:rPr>
                <w:rFonts w:ascii="Times New Roman" w:hAnsi="Times New Roman" w:eastAsia="Times New Roman" w:cs="Times New Roman"/>
                <w:color w:val="000000" w:themeColor="text1"/>
                <w:sz w:val="20"/>
                <w:szCs w:val="20"/>
              </w:rPr>
              <w:t>M</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$320,556.22</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1.97</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New UCR Metrics and Reporting</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$20,955.02</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0.10</w:t>
            </w:r>
          </w:p>
        </w:tc>
      </w:tr>
      <w:tr w:rsidRPr="00157633" w:rsidR="00157633" w:rsidTr="00630095">
        <w:trPr>
          <w:trHeight w:val="315"/>
          <w:jc w:val="center"/>
        </w:trPr>
        <w:tc>
          <w:tcPr>
            <w:tcW w:w="6750" w:type="dxa"/>
            <w:tcBorders>
              <w:top w:val="nil"/>
              <w:left w:val="nil"/>
              <w:bottom w:val="nil"/>
              <w:right w:val="nil"/>
            </w:tcBorders>
            <w:shd w:val="clear" w:color="auto" w:fill="auto"/>
            <w:noWrap/>
            <w:vAlign w:val="center"/>
            <w:hideMark/>
          </w:tcPr>
          <w:p w:rsidRPr="00157633" w:rsidR="00157633" w:rsidP="00F04815"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New UCR</w:t>
            </w:r>
            <w:r w:rsidR="00D82CD5">
              <w:rPr>
                <w:rFonts w:ascii="Times New Roman" w:hAnsi="Times New Roman" w:eastAsia="Times New Roman" w:cs="Times New Roman"/>
                <w:color w:val="000000" w:themeColor="text1"/>
                <w:sz w:val="20"/>
                <w:szCs w:val="20"/>
              </w:rPr>
              <w:t xml:space="preserve"> O</w:t>
            </w:r>
            <w:r w:rsidR="00F04815">
              <w:rPr>
                <w:rFonts w:ascii="Times New Roman" w:hAnsi="Times New Roman" w:eastAsia="Times New Roman" w:cs="Times New Roman"/>
                <w:color w:val="000000" w:themeColor="text1"/>
                <w:sz w:val="20"/>
                <w:szCs w:val="20"/>
              </w:rPr>
              <w:t>&amp;M</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$1,039,673.00</w:t>
            </w:r>
          </w:p>
        </w:tc>
        <w:tc>
          <w:tcPr>
            <w:tcW w:w="1665" w:type="dxa"/>
            <w:tcBorders>
              <w:top w:val="nil"/>
              <w:left w:val="nil"/>
              <w:bottom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6.22</w:t>
            </w:r>
          </w:p>
        </w:tc>
      </w:tr>
      <w:tr w:rsidRPr="00157633" w:rsidR="00157633" w:rsidTr="00630095">
        <w:trPr>
          <w:trHeight w:val="315"/>
          <w:jc w:val="center"/>
        </w:trPr>
        <w:tc>
          <w:tcPr>
            <w:tcW w:w="6750" w:type="dxa"/>
            <w:tcBorders>
              <w:top w:val="nil"/>
              <w:left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NIBRS Transition Support to State</w:t>
            </w:r>
            <w:r w:rsidR="00F04815">
              <w:rPr>
                <w:rFonts w:ascii="Times New Roman" w:hAnsi="Times New Roman" w:eastAsia="Times New Roman" w:cs="Times New Roman"/>
                <w:color w:val="000000" w:themeColor="text1"/>
                <w:sz w:val="20"/>
                <w:szCs w:val="20"/>
              </w:rPr>
              <w:t>s</w:t>
            </w:r>
            <w:r w:rsidRPr="00157633">
              <w:rPr>
                <w:rFonts w:ascii="Times New Roman" w:hAnsi="Times New Roman" w:eastAsia="Times New Roman" w:cs="Times New Roman"/>
                <w:color w:val="000000" w:themeColor="text1"/>
                <w:sz w:val="20"/>
                <w:szCs w:val="20"/>
              </w:rPr>
              <w:t>/Secured File Transfer Protocol (SFTP) and Web Services</w:t>
            </w:r>
          </w:p>
        </w:tc>
        <w:tc>
          <w:tcPr>
            <w:tcW w:w="1665" w:type="dxa"/>
            <w:tcBorders>
              <w:top w:val="nil"/>
              <w:left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$15,914.12</w:t>
            </w:r>
          </w:p>
        </w:tc>
        <w:tc>
          <w:tcPr>
            <w:tcW w:w="1665" w:type="dxa"/>
            <w:tcBorders>
              <w:top w:val="nil"/>
              <w:left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0.10</w:t>
            </w:r>
          </w:p>
        </w:tc>
      </w:tr>
      <w:tr w:rsidRPr="00157633" w:rsidR="00157633" w:rsidTr="00630095">
        <w:trPr>
          <w:trHeight w:val="315"/>
          <w:jc w:val="center"/>
        </w:trPr>
        <w:tc>
          <w:tcPr>
            <w:tcW w:w="6750" w:type="dxa"/>
            <w:tcBorders>
              <w:top w:val="nil"/>
              <w:left w:val="nil"/>
              <w:right w:val="nil"/>
            </w:tcBorders>
            <w:shd w:val="clear" w:color="auto" w:fill="auto"/>
            <w:noWrap/>
            <w:vAlign w:val="center"/>
            <w:hideMark/>
          </w:tcPr>
          <w:p w:rsidRPr="00157633" w:rsidR="00157633" w:rsidP="002C7CDE" w:rsidRDefault="00157633">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Police Use of Force</w:t>
            </w:r>
            <w:r w:rsidR="00D82CD5">
              <w:rPr>
                <w:rFonts w:ascii="Times New Roman" w:hAnsi="Times New Roman" w:eastAsia="Times New Roman" w:cs="Times New Roman"/>
                <w:color w:val="000000" w:themeColor="text1"/>
                <w:sz w:val="20"/>
                <w:szCs w:val="20"/>
              </w:rPr>
              <w:t xml:space="preserve"> (UoF)</w:t>
            </w:r>
          </w:p>
        </w:tc>
        <w:tc>
          <w:tcPr>
            <w:tcW w:w="1665" w:type="dxa"/>
            <w:tcBorders>
              <w:top w:val="nil"/>
              <w:left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$9,267.53</w:t>
            </w:r>
          </w:p>
        </w:tc>
        <w:tc>
          <w:tcPr>
            <w:tcW w:w="1665" w:type="dxa"/>
            <w:tcBorders>
              <w:top w:val="nil"/>
              <w:left w:val="nil"/>
              <w:right w:val="nil"/>
            </w:tcBorders>
            <w:shd w:val="clear" w:color="auto" w:fill="auto"/>
            <w:noWrap/>
            <w:vAlign w:val="center"/>
            <w:hideMark/>
          </w:tcPr>
          <w:p w:rsidRPr="00157633" w:rsidR="00157633" w:rsidP="002C7CDE" w:rsidRDefault="00157633">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0.06</w:t>
            </w:r>
          </w:p>
        </w:tc>
      </w:tr>
      <w:tr w:rsidRPr="00157633" w:rsidR="00F260B6" w:rsidTr="00630095">
        <w:trPr>
          <w:trHeight w:val="315"/>
          <w:jc w:val="center"/>
        </w:trPr>
        <w:tc>
          <w:tcPr>
            <w:tcW w:w="6750" w:type="dxa"/>
            <w:tcBorders>
              <w:left w:val="nil"/>
              <w:right w:val="nil"/>
            </w:tcBorders>
            <w:shd w:val="clear" w:color="auto" w:fill="auto"/>
            <w:noWrap/>
            <w:vAlign w:val="center"/>
          </w:tcPr>
          <w:p w:rsidRPr="00157633" w:rsidR="00F260B6" w:rsidP="00F260B6" w:rsidRDefault="00F260B6">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Policy, Development, and Management</w:t>
            </w:r>
          </w:p>
        </w:tc>
        <w:tc>
          <w:tcPr>
            <w:tcW w:w="1665" w:type="dxa"/>
            <w:tcBorders>
              <w:left w:val="nil"/>
              <w:right w:val="nil"/>
            </w:tcBorders>
            <w:shd w:val="clear" w:color="auto" w:fill="auto"/>
            <w:noWrap/>
            <w:vAlign w:val="center"/>
          </w:tcPr>
          <w:p w:rsidRPr="00157633" w:rsidR="00F260B6" w:rsidP="00F260B6" w:rsidRDefault="00F260B6">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$407,638.57</w:t>
            </w:r>
          </w:p>
        </w:tc>
        <w:tc>
          <w:tcPr>
            <w:tcW w:w="1665" w:type="dxa"/>
            <w:tcBorders>
              <w:left w:val="nil"/>
              <w:right w:val="nil"/>
            </w:tcBorders>
            <w:shd w:val="clear" w:color="auto" w:fill="auto"/>
            <w:noWrap/>
            <w:vAlign w:val="center"/>
          </w:tcPr>
          <w:p w:rsidRPr="00157633" w:rsidR="00F260B6" w:rsidP="00F260B6" w:rsidRDefault="00F260B6">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2.77</w:t>
            </w:r>
          </w:p>
        </w:tc>
      </w:tr>
      <w:tr w:rsidRPr="00157633" w:rsidR="00941D58" w:rsidTr="00630095">
        <w:trPr>
          <w:trHeight w:val="315"/>
          <w:jc w:val="center"/>
        </w:trPr>
        <w:tc>
          <w:tcPr>
            <w:tcW w:w="6750" w:type="dxa"/>
            <w:tcBorders>
              <w:left w:val="nil"/>
              <w:bottom w:val="nil"/>
              <w:right w:val="nil"/>
            </w:tcBorders>
            <w:shd w:val="clear" w:color="auto" w:fill="auto"/>
            <w:noWrap/>
            <w:vAlign w:val="center"/>
          </w:tcPr>
          <w:p w:rsidRPr="00157633" w:rsidR="00941D58" w:rsidP="00941D58" w:rsidRDefault="00941D58">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Program Management</w:t>
            </w:r>
          </w:p>
        </w:tc>
        <w:tc>
          <w:tcPr>
            <w:tcW w:w="1665" w:type="dxa"/>
            <w:tcBorders>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$17,381.31</w:t>
            </w:r>
          </w:p>
        </w:tc>
        <w:tc>
          <w:tcPr>
            <w:tcW w:w="1665" w:type="dxa"/>
            <w:tcBorders>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0.15</w:t>
            </w:r>
          </w:p>
        </w:tc>
      </w:tr>
      <w:tr w:rsidRPr="00157633" w:rsidR="00941D58" w:rsidTr="00630095">
        <w:trPr>
          <w:trHeight w:val="315"/>
          <w:jc w:val="center"/>
        </w:trPr>
        <w:tc>
          <w:tcPr>
            <w:tcW w:w="6750" w:type="dxa"/>
            <w:tcBorders>
              <w:top w:val="nil"/>
              <w:left w:val="nil"/>
              <w:bottom w:val="nil"/>
              <w:right w:val="nil"/>
            </w:tcBorders>
            <w:shd w:val="clear" w:color="auto" w:fill="auto"/>
            <w:noWrap/>
            <w:vAlign w:val="center"/>
          </w:tcPr>
          <w:p w:rsidRPr="00157633" w:rsidR="00941D58" w:rsidP="00941D58" w:rsidRDefault="00941D58">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Project and Program Management</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$84,213.69</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1.05</w:t>
            </w:r>
          </w:p>
        </w:tc>
      </w:tr>
      <w:tr w:rsidRPr="00157633" w:rsidR="00941D58" w:rsidTr="00630095">
        <w:trPr>
          <w:trHeight w:val="315"/>
          <w:jc w:val="center"/>
        </w:trPr>
        <w:tc>
          <w:tcPr>
            <w:tcW w:w="6750" w:type="dxa"/>
            <w:tcBorders>
              <w:top w:val="nil"/>
              <w:left w:val="nil"/>
              <w:bottom w:val="nil"/>
              <w:right w:val="nil"/>
            </w:tcBorders>
            <w:shd w:val="clear" w:color="auto" w:fill="auto"/>
            <w:noWrap/>
            <w:vAlign w:val="center"/>
          </w:tcPr>
          <w:p w:rsidRPr="00157633" w:rsidR="00941D58" w:rsidP="00941D58" w:rsidRDefault="00941D58">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Provide Training Instruction – External Customers</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$229,750.16</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1.52</w:t>
            </w:r>
          </w:p>
        </w:tc>
      </w:tr>
      <w:tr w:rsidRPr="00157633" w:rsidR="00941D58" w:rsidTr="00630095">
        <w:trPr>
          <w:trHeight w:val="315"/>
          <w:jc w:val="center"/>
        </w:trPr>
        <w:tc>
          <w:tcPr>
            <w:tcW w:w="6750" w:type="dxa"/>
            <w:tcBorders>
              <w:top w:val="nil"/>
              <w:left w:val="nil"/>
              <w:bottom w:val="nil"/>
              <w:right w:val="nil"/>
            </w:tcBorders>
            <w:shd w:val="clear" w:color="auto" w:fill="auto"/>
            <w:noWrap/>
            <w:vAlign w:val="center"/>
          </w:tcPr>
          <w:p w:rsidRPr="00157633" w:rsidR="00941D58" w:rsidP="00941D58" w:rsidRDefault="00941D58">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Publication</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$24,056.71</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0.30</w:t>
            </w:r>
          </w:p>
        </w:tc>
      </w:tr>
      <w:tr w:rsidRPr="00157633" w:rsidR="00941D58" w:rsidTr="00630095">
        <w:trPr>
          <w:trHeight w:val="315"/>
          <w:jc w:val="center"/>
        </w:trPr>
        <w:tc>
          <w:tcPr>
            <w:tcW w:w="6750" w:type="dxa"/>
            <w:tcBorders>
              <w:top w:val="nil"/>
              <w:left w:val="nil"/>
              <w:bottom w:val="nil"/>
              <w:right w:val="nil"/>
            </w:tcBorders>
            <w:shd w:val="clear" w:color="auto" w:fill="auto"/>
            <w:noWrap/>
            <w:vAlign w:val="center"/>
          </w:tcPr>
          <w:p w:rsidRPr="00157633" w:rsidR="00941D58" w:rsidP="00941D58" w:rsidRDefault="00941D58">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Research and Analysis</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$68,743.57</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0.95</w:t>
            </w:r>
          </w:p>
        </w:tc>
      </w:tr>
      <w:tr w:rsidRPr="00157633" w:rsidR="00941D58" w:rsidTr="00630095">
        <w:trPr>
          <w:trHeight w:val="315"/>
          <w:jc w:val="center"/>
        </w:trPr>
        <w:tc>
          <w:tcPr>
            <w:tcW w:w="6750" w:type="dxa"/>
            <w:tcBorders>
              <w:top w:val="nil"/>
              <w:left w:val="nil"/>
              <w:bottom w:val="nil"/>
              <w:right w:val="nil"/>
            </w:tcBorders>
            <w:shd w:val="clear" w:color="auto" w:fill="auto"/>
            <w:noWrap/>
            <w:vAlign w:val="center"/>
          </w:tcPr>
          <w:p w:rsidRPr="00157633" w:rsidR="00941D58" w:rsidP="00941D58" w:rsidRDefault="00941D58">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Research and Analysis</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$138,102.45</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0.75</w:t>
            </w:r>
          </w:p>
        </w:tc>
      </w:tr>
      <w:tr w:rsidRPr="00157633" w:rsidR="00941D58" w:rsidTr="00630095">
        <w:trPr>
          <w:trHeight w:val="315"/>
          <w:jc w:val="center"/>
        </w:trPr>
        <w:tc>
          <w:tcPr>
            <w:tcW w:w="6750" w:type="dxa"/>
            <w:tcBorders>
              <w:top w:val="nil"/>
              <w:left w:val="nil"/>
              <w:bottom w:val="nil"/>
              <w:right w:val="nil"/>
            </w:tcBorders>
            <w:shd w:val="clear" w:color="auto" w:fill="auto"/>
            <w:noWrap/>
            <w:vAlign w:val="center"/>
          </w:tcPr>
          <w:p w:rsidRPr="00157633" w:rsidR="00941D58" w:rsidP="00941D58" w:rsidRDefault="00941D58">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Temporary Duty Crime Data Program</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$92,004.08</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1.00</w:t>
            </w:r>
          </w:p>
        </w:tc>
      </w:tr>
      <w:tr w:rsidRPr="00157633" w:rsidR="00941D58" w:rsidTr="00630095">
        <w:trPr>
          <w:trHeight w:val="315"/>
          <w:jc w:val="center"/>
        </w:trPr>
        <w:tc>
          <w:tcPr>
            <w:tcW w:w="6750" w:type="dxa"/>
            <w:tcBorders>
              <w:top w:val="nil"/>
              <w:left w:val="nil"/>
              <w:bottom w:val="nil"/>
              <w:right w:val="nil"/>
            </w:tcBorders>
            <w:shd w:val="clear" w:color="auto" w:fill="auto"/>
            <w:noWrap/>
            <w:vAlign w:val="center"/>
          </w:tcPr>
          <w:p w:rsidRPr="00157633" w:rsidR="00941D58" w:rsidP="00941D58" w:rsidRDefault="00941D58">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UCR Business Management Support</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$298,661.67</w:t>
            </w:r>
          </w:p>
        </w:tc>
        <w:tc>
          <w:tcPr>
            <w:tcW w:w="1665" w:type="dxa"/>
            <w:tcBorders>
              <w:top w:val="nil"/>
              <w:left w:val="nil"/>
              <w:bottom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1.80</w:t>
            </w:r>
          </w:p>
        </w:tc>
      </w:tr>
      <w:tr w:rsidRPr="00157633" w:rsidR="00941D58" w:rsidTr="00BE5E48">
        <w:trPr>
          <w:trHeight w:val="315"/>
          <w:jc w:val="center"/>
        </w:trPr>
        <w:tc>
          <w:tcPr>
            <w:tcW w:w="6750" w:type="dxa"/>
            <w:tcBorders>
              <w:top w:val="nil"/>
              <w:left w:val="nil"/>
              <w:right w:val="nil"/>
            </w:tcBorders>
            <w:shd w:val="clear" w:color="auto" w:fill="auto"/>
            <w:noWrap/>
            <w:vAlign w:val="center"/>
          </w:tcPr>
          <w:p w:rsidRPr="00157633" w:rsidR="00941D58" w:rsidP="00941D58" w:rsidRDefault="00941D58">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UCR Data Collection and Public Distribution</w:t>
            </w:r>
          </w:p>
        </w:tc>
        <w:tc>
          <w:tcPr>
            <w:tcW w:w="1665" w:type="dxa"/>
            <w:tcBorders>
              <w:top w:val="nil"/>
              <w:left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$1,038,030.43</w:t>
            </w:r>
          </w:p>
        </w:tc>
        <w:tc>
          <w:tcPr>
            <w:tcW w:w="1665" w:type="dxa"/>
            <w:tcBorders>
              <w:top w:val="nil"/>
              <w:left w:val="nil"/>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9.55</w:t>
            </w:r>
          </w:p>
        </w:tc>
      </w:tr>
      <w:tr w:rsidRPr="00157633" w:rsidR="00941D58" w:rsidTr="00BE5E48">
        <w:trPr>
          <w:trHeight w:val="315"/>
          <w:jc w:val="center"/>
        </w:trPr>
        <w:tc>
          <w:tcPr>
            <w:tcW w:w="6750" w:type="dxa"/>
            <w:tcBorders>
              <w:top w:val="nil"/>
              <w:left w:val="nil"/>
              <w:bottom w:val="single" w:color="auto" w:sz="8" w:space="0"/>
              <w:right w:val="nil"/>
            </w:tcBorders>
            <w:shd w:val="clear" w:color="auto" w:fill="auto"/>
            <w:noWrap/>
            <w:vAlign w:val="center"/>
          </w:tcPr>
          <w:p w:rsidRPr="00157633" w:rsidR="00941D58" w:rsidP="00941D58" w:rsidRDefault="00941D58">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UCR Data Requests and Analysis</w:t>
            </w:r>
          </w:p>
        </w:tc>
        <w:tc>
          <w:tcPr>
            <w:tcW w:w="1665" w:type="dxa"/>
            <w:tcBorders>
              <w:top w:val="nil"/>
              <w:left w:val="nil"/>
              <w:bottom w:val="single" w:color="auto" w:sz="4" w:space="0"/>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$691,632.75</w:t>
            </w:r>
          </w:p>
        </w:tc>
        <w:tc>
          <w:tcPr>
            <w:tcW w:w="1665" w:type="dxa"/>
            <w:tcBorders>
              <w:top w:val="nil"/>
              <w:left w:val="nil"/>
              <w:bottom w:val="single" w:color="auto" w:sz="4" w:space="0"/>
              <w:right w:val="nil"/>
            </w:tcBorders>
            <w:shd w:val="clear" w:color="auto" w:fill="auto"/>
            <w:noWrap/>
            <w:vAlign w:val="center"/>
          </w:tcPr>
          <w:p w:rsidRPr="00157633" w:rsidR="00941D58" w:rsidP="00941D58" w:rsidRDefault="00941D58">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6.16</w:t>
            </w:r>
          </w:p>
        </w:tc>
      </w:tr>
    </w:tbl>
    <w:tbl>
      <w:tblPr>
        <w:tblpPr w:leftFromText="180" w:rightFromText="180" w:vertAnchor="page" w:horzAnchor="margin" w:tblpXSpec="center" w:tblpY="1441"/>
        <w:tblW w:w="10094" w:type="dxa"/>
        <w:jc w:val="center"/>
        <w:tblLook w:val="04A0" w:firstRow="1" w:lastRow="0" w:firstColumn="1" w:lastColumn="0" w:noHBand="0" w:noVBand="1"/>
      </w:tblPr>
      <w:tblGrid>
        <w:gridCol w:w="6754"/>
        <w:gridCol w:w="1670"/>
        <w:gridCol w:w="1670"/>
      </w:tblGrid>
      <w:tr w:rsidRPr="00157633" w:rsidR="00D82CD5" w:rsidTr="00BE5E48">
        <w:trPr>
          <w:trHeight w:val="453"/>
          <w:jc w:val="center"/>
        </w:trPr>
        <w:tc>
          <w:tcPr>
            <w:tcW w:w="6754" w:type="dxa"/>
            <w:tcBorders>
              <w:left w:val="nil"/>
              <w:bottom w:val="single" w:color="auto" w:sz="8" w:space="0"/>
              <w:right w:val="nil"/>
            </w:tcBorders>
            <w:shd w:val="clear" w:color="auto" w:fill="auto"/>
            <w:noWrap/>
            <w:vAlign w:val="center"/>
          </w:tcPr>
          <w:p w:rsidRPr="00BE5E48" w:rsidR="00D82CD5" w:rsidP="00F04815" w:rsidRDefault="00D82CD5">
            <w:pPr>
              <w:spacing w:after="0" w:line="240" w:lineRule="auto"/>
              <w:rPr>
                <w:rFonts w:ascii="Times New Roman" w:hAnsi="Times New Roman" w:eastAsia="Times New Roman" w:cs="Times New Roman"/>
                <w:b/>
                <w:color w:val="000000" w:themeColor="text1"/>
                <w:sz w:val="20"/>
                <w:szCs w:val="20"/>
              </w:rPr>
            </w:pPr>
            <w:r w:rsidRPr="00BE5E48">
              <w:rPr>
                <w:rFonts w:ascii="Times New Roman" w:hAnsi="Times New Roman" w:cs="Times New Roman"/>
                <w:b/>
                <w:sz w:val="20"/>
                <w:szCs w:val="20"/>
              </w:rPr>
              <w:lastRenderedPageBreak/>
              <w:t>Data Collection and Processing Costs—continued</w:t>
            </w:r>
          </w:p>
        </w:tc>
        <w:tc>
          <w:tcPr>
            <w:tcW w:w="1670" w:type="dxa"/>
            <w:tcBorders>
              <w:left w:val="nil"/>
              <w:bottom w:val="single" w:color="auto" w:sz="8" w:space="0"/>
              <w:right w:val="nil"/>
            </w:tcBorders>
            <w:shd w:val="clear" w:color="auto" w:fill="auto"/>
            <w:noWrap/>
            <w:vAlign w:val="center"/>
          </w:tcPr>
          <w:p w:rsidRPr="00157633" w:rsidR="00D82CD5" w:rsidP="00F04815" w:rsidRDefault="00D82CD5">
            <w:pPr>
              <w:spacing w:after="0" w:line="240" w:lineRule="auto"/>
              <w:jc w:val="right"/>
              <w:rPr>
                <w:rFonts w:ascii="Times New Roman" w:hAnsi="Times New Roman" w:eastAsia="Times New Roman" w:cs="Times New Roman"/>
                <w:b/>
                <w:color w:val="000000" w:themeColor="text1"/>
                <w:sz w:val="20"/>
                <w:szCs w:val="20"/>
              </w:rPr>
            </w:pPr>
          </w:p>
        </w:tc>
        <w:tc>
          <w:tcPr>
            <w:tcW w:w="1670" w:type="dxa"/>
            <w:tcBorders>
              <w:left w:val="nil"/>
              <w:bottom w:val="single" w:color="auto" w:sz="8" w:space="0"/>
              <w:right w:val="nil"/>
            </w:tcBorders>
            <w:shd w:val="clear" w:color="auto" w:fill="auto"/>
            <w:noWrap/>
            <w:vAlign w:val="center"/>
          </w:tcPr>
          <w:p w:rsidRPr="00157633" w:rsidR="00D82CD5" w:rsidP="00F04815" w:rsidRDefault="00D82CD5">
            <w:pPr>
              <w:spacing w:after="0" w:line="240" w:lineRule="auto"/>
              <w:jc w:val="right"/>
              <w:rPr>
                <w:rFonts w:ascii="Times New Roman" w:hAnsi="Times New Roman" w:eastAsia="Times New Roman" w:cs="Times New Roman"/>
                <w:b/>
                <w:color w:val="000000" w:themeColor="text1"/>
                <w:sz w:val="20"/>
                <w:szCs w:val="20"/>
              </w:rPr>
            </w:pPr>
          </w:p>
        </w:tc>
      </w:tr>
      <w:tr w:rsidRPr="00157633" w:rsidR="00D82CD5" w:rsidTr="00F04815">
        <w:trPr>
          <w:trHeight w:val="315"/>
          <w:jc w:val="center"/>
        </w:trPr>
        <w:tc>
          <w:tcPr>
            <w:tcW w:w="6754" w:type="dxa"/>
            <w:tcBorders>
              <w:top w:val="single" w:color="auto" w:sz="8" w:space="0"/>
              <w:left w:val="nil"/>
              <w:bottom w:val="single" w:color="auto" w:sz="4" w:space="0"/>
              <w:right w:val="nil"/>
            </w:tcBorders>
            <w:shd w:val="clear" w:color="auto" w:fill="auto"/>
            <w:noWrap/>
            <w:vAlign w:val="center"/>
          </w:tcPr>
          <w:p w:rsidRPr="00157633" w:rsidR="00D82CD5" w:rsidP="00F04815" w:rsidRDefault="00D82CD5">
            <w:pPr>
              <w:spacing w:after="0" w:line="240" w:lineRule="auto"/>
              <w:rPr>
                <w:rFonts w:ascii="Times New Roman" w:hAnsi="Times New Roman" w:eastAsia="Times New Roman" w:cs="Times New Roman"/>
                <w:b/>
                <w:color w:val="000000" w:themeColor="text1"/>
                <w:sz w:val="20"/>
                <w:szCs w:val="20"/>
              </w:rPr>
            </w:pPr>
            <w:r w:rsidRPr="00157633">
              <w:rPr>
                <w:rFonts w:ascii="Times New Roman" w:hAnsi="Times New Roman" w:eastAsia="Times New Roman" w:cs="Times New Roman"/>
                <w:b/>
                <w:color w:val="000000" w:themeColor="text1"/>
                <w:sz w:val="20"/>
                <w:szCs w:val="20"/>
              </w:rPr>
              <w:t>Activity</w:t>
            </w:r>
          </w:p>
        </w:tc>
        <w:tc>
          <w:tcPr>
            <w:tcW w:w="1670" w:type="dxa"/>
            <w:tcBorders>
              <w:top w:val="single" w:color="auto" w:sz="8" w:space="0"/>
              <w:left w:val="nil"/>
              <w:bottom w:val="single" w:color="auto" w:sz="4" w:space="0"/>
              <w:right w:val="nil"/>
            </w:tcBorders>
            <w:shd w:val="clear" w:color="auto" w:fill="auto"/>
            <w:noWrap/>
            <w:vAlign w:val="center"/>
          </w:tcPr>
          <w:p w:rsidRPr="00157633" w:rsidR="00D82CD5" w:rsidP="00F04815" w:rsidRDefault="00D82CD5">
            <w:pPr>
              <w:spacing w:after="0" w:line="240" w:lineRule="auto"/>
              <w:jc w:val="right"/>
              <w:rPr>
                <w:rFonts w:ascii="Times New Roman" w:hAnsi="Times New Roman" w:eastAsia="Times New Roman" w:cs="Times New Roman"/>
                <w:b/>
                <w:color w:val="000000" w:themeColor="text1"/>
                <w:sz w:val="20"/>
                <w:szCs w:val="20"/>
              </w:rPr>
            </w:pPr>
            <w:r w:rsidRPr="00157633">
              <w:rPr>
                <w:rFonts w:ascii="Times New Roman" w:hAnsi="Times New Roman" w:eastAsia="Times New Roman" w:cs="Times New Roman"/>
                <w:b/>
                <w:color w:val="000000" w:themeColor="text1"/>
                <w:sz w:val="20"/>
                <w:szCs w:val="20"/>
              </w:rPr>
              <w:t xml:space="preserve">FY2019 </w:t>
            </w:r>
          </w:p>
          <w:p w:rsidRPr="00157633" w:rsidR="00D82CD5" w:rsidP="00F04815" w:rsidRDefault="00D82CD5">
            <w:pPr>
              <w:spacing w:after="0" w:line="240" w:lineRule="auto"/>
              <w:jc w:val="right"/>
              <w:rPr>
                <w:rFonts w:ascii="Times New Roman" w:hAnsi="Times New Roman" w:eastAsia="Times New Roman" w:cs="Times New Roman"/>
                <w:b/>
                <w:color w:val="000000" w:themeColor="text1"/>
                <w:sz w:val="20"/>
                <w:szCs w:val="20"/>
              </w:rPr>
            </w:pPr>
            <w:r w:rsidRPr="00157633">
              <w:rPr>
                <w:rFonts w:ascii="Times New Roman" w:hAnsi="Times New Roman" w:eastAsia="Times New Roman" w:cs="Times New Roman"/>
                <w:b/>
                <w:color w:val="000000" w:themeColor="text1"/>
                <w:sz w:val="20"/>
                <w:szCs w:val="20"/>
              </w:rPr>
              <w:t>Annualized Cost</w:t>
            </w:r>
          </w:p>
        </w:tc>
        <w:tc>
          <w:tcPr>
            <w:tcW w:w="1670" w:type="dxa"/>
            <w:tcBorders>
              <w:top w:val="single" w:color="auto" w:sz="8" w:space="0"/>
              <w:left w:val="nil"/>
              <w:bottom w:val="single" w:color="auto" w:sz="4" w:space="0"/>
              <w:right w:val="nil"/>
            </w:tcBorders>
            <w:shd w:val="clear" w:color="auto" w:fill="auto"/>
            <w:noWrap/>
            <w:vAlign w:val="center"/>
          </w:tcPr>
          <w:p w:rsidRPr="00157633" w:rsidR="00D82CD5" w:rsidP="00F04815" w:rsidRDefault="00D82CD5">
            <w:pPr>
              <w:spacing w:after="0" w:line="240" w:lineRule="auto"/>
              <w:jc w:val="right"/>
              <w:rPr>
                <w:rFonts w:ascii="Times New Roman" w:hAnsi="Times New Roman" w:eastAsia="Times New Roman" w:cs="Times New Roman"/>
                <w:b/>
                <w:color w:val="000000" w:themeColor="text1"/>
                <w:sz w:val="20"/>
                <w:szCs w:val="20"/>
              </w:rPr>
            </w:pPr>
            <w:r w:rsidRPr="00157633">
              <w:rPr>
                <w:rFonts w:ascii="Times New Roman" w:hAnsi="Times New Roman" w:eastAsia="Times New Roman" w:cs="Times New Roman"/>
                <w:b/>
                <w:color w:val="000000" w:themeColor="text1"/>
                <w:sz w:val="20"/>
                <w:szCs w:val="20"/>
              </w:rPr>
              <w:t>FY2019 Annualized FTE</w:t>
            </w:r>
          </w:p>
        </w:tc>
      </w:tr>
      <w:tr w:rsidRPr="00157633" w:rsidR="00D82CD5" w:rsidTr="00F04815">
        <w:trPr>
          <w:trHeight w:val="315"/>
          <w:jc w:val="center"/>
        </w:trPr>
        <w:tc>
          <w:tcPr>
            <w:tcW w:w="6754" w:type="dxa"/>
            <w:tcBorders>
              <w:top w:val="single" w:color="auto" w:sz="4" w:space="0"/>
              <w:left w:val="nil"/>
              <w:bottom w:val="nil"/>
              <w:right w:val="nil"/>
            </w:tcBorders>
            <w:shd w:val="clear" w:color="auto" w:fill="auto"/>
            <w:noWrap/>
            <w:vAlign w:val="center"/>
            <w:hideMark/>
          </w:tcPr>
          <w:p w:rsidRPr="00157633" w:rsidR="00D82CD5" w:rsidP="00F04815" w:rsidRDefault="00D82CD5">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UCR D</w:t>
            </w:r>
            <w:r>
              <w:rPr>
                <w:rFonts w:ascii="Times New Roman" w:hAnsi="Times New Roman" w:eastAsia="Times New Roman" w:cs="Times New Roman"/>
                <w:color w:val="000000" w:themeColor="text1"/>
                <w:sz w:val="20"/>
                <w:szCs w:val="20"/>
              </w:rPr>
              <w:t>evelopment/Operations (UCR-Tech</w:t>
            </w:r>
            <w:r w:rsidRPr="00157633">
              <w:rPr>
                <w:rFonts w:ascii="Times New Roman" w:hAnsi="Times New Roman" w:eastAsia="Times New Roman" w:cs="Times New Roman"/>
                <w:color w:val="000000" w:themeColor="text1"/>
                <w:sz w:val="20"/>
                <w:szCs w:val="20"/>
              </w:rPr>
              <w:t>nical Refresh, CDE, UoF)</w:t>
            </w:r>
          </w:p>
        </w:tc>
        <w:tc>
          <w:tcPr>
            <w:tcW w:w="1670" w:type="dxa"/>
            <w:tcBorders>
              <w:top w:val="single" w:color="auto" w:sz="4" w:space="0"/>
              <w:left w:val="nil"/>
              <w:bottom w:val="nil"/>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$801,010.71</w:t>
            </w:r>
          </w:p>
        </w:tc>
        <w:tc>
          <w:tcPr>
            <w:tcW w:w="1670" w:type="dxa"/>
            <w:tcBorders>
              <w:top w:val="single" w:color="auto" w:sz="4" w:space="0"/>
              <w:left w:val="nil"/>
              <w:bottom w:val="nil"/>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6.05</w:t>
            </w:r>
          </w:p>
        </w:tc>
      </w:tr>
      <w:tr w:rsidRPr="00157633" w:rsidR="00D82CD5" w:rsidTr="00F04815">
        <w:trPr>
          <w:trHeight w:val="315"/>
          <w:jc w:val="center"/>
        </w:trPr>
        <w:tc>
          <w:tcPr>
            <w:tcW w:w="6754" w:type="dxa"/>
            <w:tcBorders>
              <w:top w:val="nil"/>
              <w:left w:val="nil"/>
              <w:bottom w:val="nil"/>
              <w:right w:val="nil"/>
            </w:tcBorders>
            <w:shd w:val="clear" w:color="auto" w:fill="auto"/>
            <w:noWrap/>
            <w:vAlign w:val="center"/>
            <w:hideMark/>
          </w:tcPr>
          <w:p w:rsidRPr="00157633" w:rsidR="00D82CD5" w:rsidP="00F04815" w:rsidRDefault="00D82CD5">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UCR Life Cycle Support</w:t>
            </w:r>
          </w:p>
        </w:tc>
        <w:tc>
          <w:tcPr>
            <w:tcW w:w="1670" w:type="dxa"/>
            <w:tcBorders>
              <w:top w:val="nil"/>
              <w:left w:val="nil"/>
              <w:bottom w:val="nil"/>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$70,139.67</w:t>
            </w:r>
          </w:p>
        </w:tc>
        <w:tc>
          <w:tcPr>
            <w:tcW w:w="1670" w:type="dxa"/>
            <w:tcBorders>
              <w:top w:val="nil"/>
              <w:left w:val="nil"/>
              <w:bottom w:val="nil"/>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0.40</w:t>
            </w:r>
          </w:p>
        </w:tc>
      </w:tr>
      <w:tr w:rsidRPr="00157633" w:rsidR="00D82CD5" w:rsidTr="00F04815">
        <w:trPr>
          <w:trHeight w:val="315"/>
          <w:jc w:val="center"/>
        </w:trPr>
        <w:tc>
          <w:tcPr>
            <w:tcW w:w="6754" w:type="dxa"/>
            <w:tcBorders>
              <w:top w:val="nil"/>
              <w:left w:val="nil"/>
              <w:bottom w:val="nil"/>
              <w:right w:val="nil"/>
            </w:tcBorders>
            <w:shd w:val="clear" w:color="auto" w:fill="auto"/>
            <w:noWrap/>
            <w:vAlign w:val="center"/>
            <w:hideMark/>
          </w:tcPr>
          <w:p w:rsidRPr="00157633" w:rsidR="00D82CD5" w:rsidP="00F04815" w:rsidRDefault="00D82CD5">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UCR Security</w:t>
            </w:r>
          </w:p>
        </w:tc>
        <w:tc>
          <w:tcPr>
            <w:tcW w:w="1670" w:type="dxa"/>
            <w:tcBorders>
              <w:top w:val="nil"/>
              <w:left w:val="nil"/>
              <w:bottom w:val="nil"/>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$9,869.80</w:t>
            </w:r>
          </w:p>
        </w:tc>
        <w:tc>
          <w:tcPr>
            <w:tcW w:w="1670" w:type="dxa"/>
            <w:tcBorders>
              <w:top w:val="nil"/>
              <w:left w:val="nil"/>
              <w:bottom w:val="nil"/>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0.05</w:t>
            </w:r>
          </w:p>
        </w:tc>
      </w:tr>
      <w:tr w:rsidRPr="00157633" w:rsidR="00D82CD5" w:rsidTr="00F04815">
        <w:trPr>
          <w:trHeight w:val="315"/>
          <w:jc w:val="center"/>
        </w:trPr>
        <w:tc>
          <w:tcPr>
            <w:tcW w:w="6754" w:type="dxa"/>
            <w:tcBorders>
              <w:top w:val="nil"/>
              <w:left w:val="nil"/>
              <w:bottom w:val="nil"/>
              <w:right w:val="nil"/>
            </w:tcBorders>
            <w:shd w:val="clear" w:color="auto" w:fill="auto"/>
            <w:noWrap/>
            <w:vAlign w:val="center"/>
            <w:hideMark/>
          </w:tcPr>
          <w:p w:rsidRPr="00157633" w:rsidR="00D82CD5" w:rsidP="00F04815" w:rsidRDefault="00D82CD5">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UoF</w:t>
            </w:r>
          </w:p>
        </w:tc>
        <w:tc>
          <w:tcPr>
            <w:tcW w:w="1670" w:type="dxa"/>
            <w:tcBorders>
              <w:top w:val="nil"/>
              <w:left w:val="nil"/>
              <w:bottom w:val="nil"/>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$193,430.33</w:t>
            </w:r>
          </w:p>
        </w:tc>
        <w:tc>
          <w:tcPr>
            <w:tcW w:w="1670" w:type="dxa"/>
            <w:tcBorders>
              <w:top w:val="nil"/>
              <w:left w:val="nil"/>
              <w:bottom w:val="nil"/>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1.04</w:t>
            </w:r>
          </w:p>
        </w:tc>
      </w:tr>
      <w:tr w:rsidRPr="00157633" w:rsidR="00D82CD5" w:rsidTr="00F04815">
        <w:trPr>
          <w:trHeight w:val="315"/>
          <w:jc w:val="center"/>
        </w:trPr>
        <w:tc>
          <w:tcPr>
            <w:tcW w:w="6754" w:type="dxa"/>
            <w:tcBorders>
              <w:top w:val="nil"/>
              <w:left w:val="nil"/>
              <w:right w:val="nil"/>
            </w:tcBorders>
            <w:shd w:val="clear" w:color="auto" w:fill="auto"/>
            <w:noWrap/>
            <w:vAlign w:val="center"/>
            <w:hideMark/>
          </w:tcPr>
          <w:p w:rsidRPr="00157633" w:rsidR="00D82CD5" w:rsidP="00F04815" w:rsidRDefault="00D82CD5">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Video Production</w:t>
            </w:r>
          </w:p>
        </w:tc>
        <w:tc>
          <w:tcPr>
            <w:tcW w:w="1670" w:type="dxa"/>
            <w:tcBorders>
              <w:top w:val="nil"/>
              <w:left w:val="nil"/>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$9,050.94</w:t>
            </w:r>
          </w:p>
        </w:tc>
        <w:tc>
          <w:tcPr>
            <w:tcW w:w="1670" w:type="dxa"/>
            <w:tcBorders>
              <w:top w:val="nil"/>
              <w:left w:val="nil"/>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0.12</w:t>
            </w:r>
          </w:p>
        </w:tc>
      </w:tr>
      <w:tr w:rsidRPr="00157633" w:rsidR="00D82CD5" w:rsidTr="00BE5E48">
        <w:trPr>
          <w:trHeight w:val="315"/>
          <w:jc w:val="center"/>
        </w:trPr>
        <w:tc>
          <w:tcPr>
            <w:tcW w:w="6754" w:type="dxa"/>
            <w:tcBorders>
              <w:top w:val="nil"/>
              <w:left w:val="nil"/>
              <w:bottom w:val="single" w:color="auto" w:sz="8" w:space="0"/>
              <w:right w:val="nil"/>
            </w:tcBorders>
            <w:shd w:val="clear" w:color="auto" w:fill="auto"/>
            <w:noWrap/>
            <w:vAlign w:val="center"/>
            <w:hideMark/>
          </w:tcPr>
          <w:p w:rsidRPr="00157633" w:rsidR="00D82CD5" w:rsidP="00F04815" w:rsidRDefault="00D82CD5">
            <w:pPr>
              <w:spacing w:after="0" w:line="240" w:lineRule="auto"/>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Writing Services/Support</w:t>
            </w:r>
          </w:p>
        </w:tc>
        <w:tc>
          <w:tcPr>
            <w:tcW w:w="1670" w:type="dxa"/>
            <w:tcBorders>
              <w:top w:val="nil"/>
              <w:left w:val="nil"/>
              <w:bottom w:val="single" w:color="auto" w:sz="8" w:space="0"/>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$85,237.45</w:t>
            </w:r>
          </w:p>
        </w:tc>
        <w:tc>
          <w:tcPr>
            <w:tcW w:w="1670" w:type="dxa"/>
            <w:tcBorders>
              <w:top w:val="nil"/>
              <w:left w:val="nil"/>
              <w:bottom w:val="single" w:color="auto" w:sz="8" w:space="0"/>
              <w:right w:val="nil"/>
            </w:tcBorders>
            <w:shd w:val="clear" w:color="auto" w:fill="auto"/>
            <w:noWrap/>
            <w:vAlign w:val="center"/>
            <w:hideMark/>
          </w:tcPr>
          <w:p w:rsidRPr="00157633" w:rsidR="00D82CD5" w:rsidP="00F04815" w:rsidRDefault="00D82CD5">
            <w:pPr>
              <w:spacing w:after="0" w:line="240" w:lineRule="auto"/>
              <w:jc w:val="right"/>
              <w:rPr>
                <w:rFonts w:ascii="Times New Roman" w:hAnsi="Times New Roman" w:eastAsia="Times New Roman" w:cs="Times New Roman"/>
                <w:color w:val="000000" w:themeColor="text1"/>
                <w:sz w:val="20"/>
                <w:szCs w:val="20"/>
              </w:rPr>
            </w:pPr>
            <w:r w:rsidRPr="00157633">
              <w:rPr>
                <w:rFonts w:ascii="Times New Roman" w:hAnsi="Times New Roman" w:eastAsia="Times New Roman" w:cs="Times New Roman"/>
                <w:color w:val="000000" w:themeColor="text1"/>
                <w:sz w:val="20"/>
                <w:szCs w:val="20"/>
              </w:rPr>
              <w:t>1.20</w:t>
            </w:r>
          </w:p>
        </w:tc>
      </w:tr>
      <w:tr w:rsidRPr="00157633" w:rsidR="00D82CD5" w:rsidTr="00966E53">
        <w:trPr>
          <w:trHeight w:val="300"/>
          <w:jc w:val="center"/>
        </w:trPr>
        <w:tc>
          <w:tcPr>
            <w:tcW w:w="6754" w:type="dxa"/>
            <w:tcBorders>
              <w:top w:val="single" w:color="auto" w:sz="8" w:space="0"/>
              <w:left w:val="nil"/>
              <w:bottom w:val="single" w:color="auto" w:sz="8" w:space="0"/>
              <w:right w:val="nil"/>
            </w:tcBorders>
            <w:shd w:val="clear" w:color="auto" w:fill="auto"/>
            <w:noWrap/>
            <w:vAlign w:val="center"/>
            <w:hideMark/>
          </w:tcPr>
          <w:p w:rsidRPr="00D82CD5" w:rsidR="00D82CD5" w:rsidP="00F04815" w:rsidRDefault="00D82CD5">
            <w:pPr>
              <w:spacing w:after="0" w:line="240" w:lineRule="auto"/>
              <w:rPr>
                <w:rFonts w:ascii="Times New Roman" w:hAnsi="Times New Roman" w:eastAsia="Times New Roman" w:cs="Times New Roman"/>
                <w:b/>
                <w:color w:val="000000" w:themeColor="text1"/>
                <w:sz w:val="20"/>
                <w:szCs w:val="20"/>
              </w:rPr>
            </w:pPr>
            <w:r w:rsidRPr="00D82CD5">
              <w:rPr>
                <w:rFonts w:ascii="Times New Roman" w:hAnsi="Times New Roman" w:eastAsia="Times New Roman" w:cs="Times New Roman"/>
                <w:b/>
                <w:color w:val="000000" w:themeColor="text1"/>
                <w:sz w:val="20"/>
                <w:szCs w:val="20"/>
              </w:rPr>
              <w:t>Total</w:t>
            </w:r>
          </w:p>
        </w:tc>
        <w:tc>
          <w:tcPr>
            <w:tcW w:w="1670" w:type="dxa"/>
            <w:tcBorders>
              <w:top w:val="single" w:color="auto" w:sz="8" w:space="0"/>
              <w:left w:val="nil"/>
              <w:bottom w:val="single" w:color="auto" w:sz="8" w:space="0"/>
              <w:right w:val="nil"/>
            </w:tcBorders>
            <w:shd w:val="clear" w:color="auto" w:fill="auto"/>
            <w:noWrap/>
            <w:vAlign w:val="center"/>
            <w:hideMark/>
          </w:tcPr>
          <w:p w:rsidRPr="00D82CD5" w:rsidR="00D82CD5" w:rsidP="00F04815" w:rsidRDefault="00D82CD5">
            <w:pPr>
              <w:spacing w:after="0" w:line="240" w:lineRule="auto"/>
              <w:jc w:val="right"/>
              <w:rPr>
                <w:rFonts w:ascii="Times New Roman" w:hAnsi="Times New Roman" w:eastAsia="Times New Roman" w:cs="Times New Roman"/>
                <w:b/>
                <w:color w:val="000000" w:themeColor="text1"/>
                <w:sz w:val="20"/>
                <w:szCs w:val="20"/>
              </w:rPr>
            </w:pPr>
            <w:r w:rsidRPr="00D82CD5">
              <w:rPr>
                <w:rFonts w:ascii="Times New Roman" w:hAnsi="Times New Roman" w:eastAsia="Times New Roman" w:cs="Times New Roman"/>
                <w:b/>
                <w:color w:val="000000" w:themeColor="text1"/>
                <w:sz w:val="20"/>
                <w:szCs w:val="20"/>
              </w:rPr>
              <w:t>$8,346,083.27</w:t>
            </w:r>
          </w:p>
        </w:tc>
        <w:tc>
          <w:tcPr>
            <w:tcW w:w="1670" w:type="dxa"/>
            <w:tcBorders>
              <w:top w:val="single" w:color="auto" w:sz="8" w:space="0"/>
              <w:left w:val="nil"/>
              <w:bottom w:val="single" w:color="auto" w:sz="8" w:space="0"/>
              <w:right w:val="nil"/>
            </w:tcBorders>
            <w:shd w:val="clear" w:color="auto" w:fill="auto"/>
            <w:noWrap/>
            <w:vAlign w:val="center"/>
            <w:hideMark/>
          </w:tcPr>
          <w:p w:rsidRPr="00D82CD5" w:rsidR="00D82CD5" w:rsidP="00F04815" w:rsidRDefault="00D82CD5">
            <w:pPr>
              <w:spacing w:after="0" w:line="240" w:lineRule="auto"/>
              <w:jc w:val="right"/>
              <w:rPr>
                <w:rFonts w:ascii="Times New Roman" w:hAnsi="Times New Roman" w:eastAsia="Times New Roman" w:cs="Times New Roman"/>
                <w:b/>
                <w:color w:val="000000" w:themeColor="text1"/>
                <w:sz w:val="20"/>
                <w:szCs w:val="20"/>
              </w:rPr>
            </w:pPr>
            <w:r w:rsidRPr="00D82CD5">
              <w:rPr>
                <w:rFonts w:ascii="Times New Roman" w:hAnsi="Times New Roman" w:eastAsia="Times New Roman" w:cs="Times New Roman"/>
                <w:b/>
                <w:color w:val="000000" w:themeColor="text1"/>
                <w:sz w:val="20"/>
                <w:szCs w:val="20"/>
              </w:rPr>
              <w:t>65.60</w:t>
            </w:r>
          </w:p>
        </w:tc>
      </w:tr>
    </w:tbl>
    <w:p w:rsidRPr="00941D58" w:rsidR="00157633" w:rsidP="002C7CDE" w:rsidRDefault="00157633">
      <w:pPr>
        <w:spacing w:after="0" w:line="240" w:lineRule="auto"/>
        <w:rPr>
          <w:color w:val="000000" w:themeColor="text1"/>
        </w:rPr>
      </w:pPr>
    </w:p>
    <w:p w:rsidRPr="00941D58" w:rsidR="00F260B6" w:rsidP="002C7CDE" w:rsidRDefault="00F260B6">
      <w:pPr>
        <w:spacing w:after="0" w:line="240" w:lineRule="auto"/>
        <w:rPr>
          <w:color w:val="000000" w:themeColor="text1"/>
        </w:rPr>
      </w:pPr>
    </w:p>
    <w:p w:rsidRPr="00941D58" w:rsidR="00A954B1" w:rsidP="00531777" w:rsidRDefault="00A954B1">
      <w:pPr>
        <w:pStyle w:val="ListParagraph"/>
        <w:numPr>
          <w:ilvl w:val="0"/>
          <w:numId w:val="2"/>
        </w:numPr>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941D58">
        <w:rPr>
          <w:rFonts w:ascii="Times New Roman" w:hAnsi="Times New Roman" w:cs="Times New Roman"/>
          <w:color w:val="000000" w:themeColor="text1"/>
          <w:sz w:val="24"/>
          <w:szCs w:val="24"/>
          <w:u w:val="single"/>
        </w:rPr>
        <w:t>Reason for Change in Burden</w:t>
      </w:r>
    </w:p>
    <w:p w:rsidRPr="00941D58" w:rsidR="00A954B1" w:rsidP="004E42D2" w:rsidRDefault="00A954B1">
      <w:pPr>
        <w:tabs>
          <w:tab w:val="left" w:pos="1800"/>
          <w:tab w:val="left" w:pos="6840"/>
          <w:tab w:val="right" w:pos="8280"/>
        </w:tabs>
        <w:spacing w:after="0" w:line="240" w:lineRule="auto"/>
        <w:rPr>
          <w:rFonts w:ascii="Times New Roman" w:hAnsi="Times New Roman" w:cs="Times New Roman"/>
          <w:color w:val="000000" w:themeColor="text1"/>
          <w:sz w:val="24"/>
          <w:szCs w:val="24"/>
        </w:rPr>
      </w:pPr>
    </w:p>
    <w:p w:rsidRPr="00941D58" w:rsidR="00125B2F" w:rsidP="00966E53" w:rsidRDefault="00125B2F">
      <w:pPr>
        <w:tabs>
          <w:tab w:val="left" w:pos="1800"/>
          <w:tab w:val="left" w:pos="6840"/>
          <w:tab w:val="right" w:pos="8280"/>
        </w:tabs>
        <w:spacing w:after="0" w:line="240" w:lineRule="auto"/>
        <w:ind w:left="720" w:right="-90"/>
        <w:rPr>
          <w:rFonts w:ascii="Times New Roman" w:hAnsi="Times New Roman" w:cs="Times New Roman"/>
          <w:color w:val="000000" w:themeColor="text1"/>
          <w:sz w:val="24"/>
          <w:szCs w:val="24"/>
        </w:rPr>
      </w:pPr>
      <w:r w:rsidRPr="00941D58">
        <w:rPr>
          <w:rFonts w:ascii="Times New Roman" w:hAnsi="Times New Roman" w:cs="Times New Roman"/>
          <w:color w:val="000000" w:themeColor="text1"/>
          <w:sz w:val="24"/>
          <w:szCs w:val="24"/>
        </w:rPr>
        <w:t xml:space="preserve">For this extension, the respondents’ annual burden was calculated using the actual number of months (1-12) for which the respondents submitted data.  (See </w:t>
      </w:r>
      <w:r w:rsidR="00966E53">
        <w:rPr>
          <w:rFonts w:ascii="Times New Roman" w:hAnsi="Times New Roman" w:cs="Times New Roman"/>
          <w:color w:val="000000" w:themeColor="text1"/>
          <w:sz w:val="24"/>
          <w:szCs w:val="24"/>
        </w:rPr>
        <w:t>the table</w:t>
      </w:r>
      <w:r w:rsidRPr="00941D58">
        <w:rPr>
          <w:rFonts w:ascii="Times New Roman" w:hAnsi="Times New Roman" w:cs="Times New Roman"/>
          <w:color w:val="000000" w:themeColor="text1"/>
          <w:sz w:val="24"/>
          <w:szCs w:val="24"/>
        </w:rPr>
        <w:t xml:space="preserve"> under 12.</w:t>
      </w:r>
      <w:r w:rsidR="00966E53">
        <w:rPr>
          <w:rFonts w:ascii="Times New Roman" w:hAnsi="Times New Roman" w:cs="Times New Roman"/>
          <w:color w:val="000000" w:themeColor="text1"/>
          <w:sz w:val="24"/>
          <w:szCs w:val="24"/>
        </w:rPr>
        <w:t> </w:t>
      </w:r>
      <w:r w:rsidRPr="00941D58">
        <w:rPr>
          <w:rFonts w:ascii="Times New Roman" w:hAnsi="Times New Roman" w:cs="Times New Roman"/>
          <w:color w:val="000000" w:themeColor="text1"/>
          <w:sz w:val="24"/>
          <w:szCs w:val="24"/>
          <w:u w:val="single"/>
        </w:rPr>
        <w:t>Estimate of Respondents’ Burden</w:t>
      </w:r>
      <w:r w:rsidRPr="00941D58">
        <w:rPr>
          <w:rFonts w:ascii="Times New Roman" w:hAnsi="Times New Roman" w:cs="Times New Roman"/>
          <w:color w:val="000000" w:themeColor="text1"/>
          <w:sz w:val="24"/>
          <w:szCs w:val="24"/>
        </w:rPr>
        <w:t xml:space="preserve"> for </w:t>
      </w:r>
      <w:r w:rsidRPr="00941D58" w:rsidR="002B4422">
        <w:rPr>
          <w:rFonts w:ascii="Times New Roman" w:hAnsi="Times New Roman" w:cs="Times New Roman"/>
          <w:color w:val="000000" w:themeColor="text1"/>
          <w:sz w:val="24"/>
          <w:szCs w:val="24"/>
        </w:rPr>
        <w:t>specific</w:t>
      </w:r>
      <w:r w:rsidRPr="00941D58">
        <w:rPr>
          <w:rFonts w:ascii="Times New Roman" w:hAnsi="Times New Roman" w:cs="Times New Roman"/>
          <w:color w:val="000000" w:themeColor="text1"/>
          <w:sz w:val="24"/>
          <w:szCs w:val="24"/>
        </w:rPr>
        <w:t xml:space="preserve"> calculations.)</w:t>
      </w:r>
    </w:p>
    <w:p w:rsidRPr="00941D58" w:rsidR="00125B2F" w:rsidP="00531777" w:rsidRDefault="00125B2F">
      <w:pPr>
        <w:tabs>
          <w:tab w:val="left" w:pos="1800"/>
          <w:tab w:val="left" w:pos="6840"/>
          <w:tab w:val="right" w:pos="8280"/>
        </w:tabs>
        <w:spacing w:after="0" w:line="240" w:lineRule="auto"/>
        <w:ind w:left="720" w:hanging="360"/>
        <w:rPr>
          <w:rFonts w:ascii="Times New Roman" w:hAnsi="Times New Roman" w:cs="Times New Roman"/>
          <w:color w:val="000000" w:themeColor="text1"/>
          <w:sz w:val="24"/>
          <w:szCs w:val="24"/>
        </w:rPr>
      </w:pPr>
    </w:p>
    <w:tbl>
      <w:tblPr>
        <w:tblStyle w:val="TableGrid"/>
        <w:tblpPr w:leftFromText="180" w:rightFromText="180" w:vertAnchor="text" w:horzAnchor="margin" w:tblpXSpec="center" w:tblpY="96"/>
        <w:tblW w:w="729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5130"/>
      </w:tblGrid>
      <w:tr w:rsidRPr="00966E53" w:rsidR="00966E53" w:rsidTr="00BE5E48">
        <w:tc>
          <w:tcPr>
            <w:tcW w:w="2160" w:type="dxa"/>
            <w:tcBorders>
              <w:top w:val="single" w:color="auto" w:sz="8" w:space="0"/>
              <w:bottom w:val="nil"/>
            </w:tcBorders>
          </w:tcPr>
          <w:p w:rsidRPr="00966E53" w:rsidR="00966E53" w:rsidP="00966E53" w:rsidRDefault="00966E53">
            <w:pPr>
              <w:rPr>
                <w:rFonts w:ascii="Times New Roman" w:hAnsi="Times New Roman" w:cs="Times New Roman"/>
                <w:color w:val="000000" w:themeColor="text1"/>
                <w:sz w:val="20"/>
                <w:szCs w:val="20"/>
                <w:u w:val="single"/>
              </w:rPr>
            </w:pPr>
            <w:r w:rsidRPr="00966E53">
              <w:rPr>
                <w:rFonts w:ascii="Times New Roman" w:hAnsi="Times New Roman" w:cs="Times New Roman"/>
                <w:color w:val="000000" w:themeColor="text1"/>
                <w:sz w:val="20"/>
                <w:szCs w:val="20"/>
              </w:rPr>
              <w:t>Total annual responses:</w:t>
            </w:r>
          </w:p>
        </w:tc>
        <w:tc>
          <w:tcPr>
            <w:tcW w:w="5130" w:type="dxa"/>
            <w:tcBorders>
              <w:top w:val="single" w:color="auto" w:sz="8" w:space="0"/>
              <w:bottom w:val="nil"/>
            </w:tcBorders>
          </w:tcPr>
          <w:p w:rsidRPr="00966E53" w:rsidR="00966E53" w:rsidP="00966E53" w:rsidRDefault="00966E53">
            <w:pPr>
              <w:rPr>
                <w:rFonts w:ascii="Times New Roman" w:hAnsi="Times New Roman" w:cs="Times New Roman"/>
                <w:color w:val="000000" w:themeColor="text1"/>
                <w:sz w:val="20"/>
                <w:szCs w:val="20"/>
                <w:u w:val="single"/>
              </w:rPr>
            </w:pPr>
            <w:r w:rsidRPr="00966E53">
              <w:rPr>
                <w:rFonts w:ascii="Times New Roman" w:hAnsi="Times New Roman" w:cs="Times New Roman"/>
                <w:color w:val="000000" w:themeColor="text1"/>
                <w:sz w:val="20"/>
                <w:szCs w:val="20"/>
              </w:rPr>
              <w:t>8,054 respondents x 1-12 months of data submitted = 88,637</w:t>
            </w:r>
          </w:p>
        </w:tc>
      </w:tr>
      <w:tr w:rsidRPr="00966E53" w:rsidR="00966E53" w:rsidTr="00BE5E48">
        <w:tc>
          <w:tcPr>
            <w:tcW w:w="2160" w:type="dxa"/>
            <w:tcBorders>
              <w:top w:val="nil"/>
              <w:bottom w:val="nil"/>
            </w:tcBorders>
          </w:tcPr>
          <w:p w:rsidRPr="00966E53" w:rsidR="00966E53" w:rsidP="00966E53" w:rsidRDefault="00966E53">
            <w:pPr>
              <w:rPr>
                <w:rFonts w:ascii="Times New Roman" w:hAnsi="Times New Roman" w:cs="Times New Roman"/>
                <w:color w:val="000000" w:themeColor="text1"/>
                <w:sz w:val="20"/>
                <w:szCs w:val="20"/>
                <w:u w:val="single"/>
              </w:rPr>
            </w:pPr>
            <w:r w:rsidRPr="00966E53">
              <w:rPr>
                <w:rFonts w:ascii="Times New Roman" w:hAnsi="Times New Roman" w:cs="Times New Roman"/>
                <w:color w:val="000000" w:themeColor="text1"/>
                <w:sz w:val="20"/>
                <w:szCs w:val="20"/>
              </w:rPr>
              <w:t>Time per response:</w:t>
            </w:r>
          </w:p>
        </w:tc>
        <w:tc>
          <w:tcPr>
            <w:tcW w:w="5130" w:type="dxa"/>
            <w:tcBorders>
              <w:top w:val="nil"/>
              <w:bottom w:val="nil"/>
            </w:tcBorders>
          </w:tcPr>
          <w:p w:rsidRPr="00966E53" w:rsidR="00966E53" w:rsidP="00966E53" w:rsidRDefault="00966E53">
            <w:pPr>
              <w:tabs>
                <w:tab w:val="left" w:pos="1800"/>
                <w:tab w:val="left" w:pos="3420"/>
                <w:tab w:val="left" w:pos="3780"/>
                <w:tab w:val="left" w:pos="6840"/>
                <w:tab w:val="right" w:pos="8280"/>
              </w:tabs>
              <w:jc w:val="both"/>
              <w:rPr>
                <w:rFonts w:ascii="Times New Roman" w:hAnsi="Times New Roman" w:cs="Times New Roman"/>
                <w:color w:val="000000" w:themeColor="text1"/>
                <w:sz w:val="20"/>
                <w:szCs w:val="20"/>
                <w:u w:val="single"/>
              </w:rPr>
            </w:pPr>
            <w:r w:rsidRPr="00966E53">
              <w:rPr>
                <w:rFonts w:ascii="Times New Roman" w:hAnsi="Times New Roman" w:cs="Times New Roman"/>
                <w:color w:val="000000" w:themeColor="text1"/>
                <w:sz w:val="20"/>
                <w:szCs w:val="20"/>
              </w:rPr>
              <w:t>9 minutes</w:t>
            </w:r>
          </w:p>
        </w:tc>
      </w:tr>
      <w:tr w:rsidRPr="00966E53" w:rsidR="00966E53" w:rsidTr="00BE5E48">
        <w:tc>
          <w:tcPr>
            <w:tcW w:w="2160" w:type="dxa"/>
            <w:tcBorders>
              <w:top w:val="nil"/>
              <w:bottom w:val="single" w:color="auto" w:sz="8" w:space="0"/>
            </w:tcBorders>
          </w:tcPr>
          <w:p w:rsidRPr="00966E53" w:rsidR="00966E53" w:rsidP="00966E53" w:rsidRDefault="00966E53">
            <w:pPr>
              <w:rPr>
                <w:rFonts w:ascii="Times New Roman" w:hAnsi="Times New Roman" w:cs="Times New Roman"/>
                <w:color w:val="000000" w:themeColor="text1"/>
                <w:sz w:val="20"/>
                <w:szCs w:val="20"/>
              </w:rPr>
            </w:pPr>
            <w:r w:rsidRPr="00966E53">
              <w:rPr>
                <w:rFonts w:ascii="Times New Roman" w:hAnsi="Times New Roman" w:cs="Times New Roman"/>
                <w:color w:val="000000" w:themeColor="text1"/>
                <w:sz w:val="20"/>
                <w:szCs w:val="20"/>
              </w:rPr>
              <w:t>Annual Burden:</w:t>
            </w:r>
          </w:p>
        </w:tc>
        <w:tc>
          <w:tcPr>
            <w:tcW w:w="5130" w:type="dxa"/>
            <w:tcBorders>
              <w:top w:val="nil"/>
              <w:bottom w:val="single" w:color="auto" w:sz="8" w:space="0"/>
            </w:tcBorders>
          </w:tcPr>
          <w:p w:rsidRPr="00966E53" w:rsidR="00966E53" w:rsidP="00966E53" w:rsidRDefault="00966E53">
            <w:pPr>
              <w:tabs>
                <w:tab w:val="left" w:pos="1800"/>
                <w:tab w:val="left" w:pos="3420"/>
                <w:tab w:val="left" w:pos="3780"/>
                <w:tab w:val="left" w:pos="6840"/>
                <w:tab w:val="right" w:pos="8280"/>
              </w:tabs>
              <w:rPr>
                <w:rFonts w:ascii="Times New Roman" w:hAnsi="Times New Roman" w:cs="Times New Roman"/>
                <w:color w:val="000000" w:themeColor="text1"/>
                <w:sz w:val="20"/>
                <w:szCs w:val="20"/>
              </w:rPr>
            </w:pPr>
            <w:r w:rsidRPr="00966E53">
              <w:rPr>
                <w:rFonts w:ascii="Times New Roman" w:hAnsi="Times New Roman" w:cs="Times New Roman"/>
                <w:color w:val="000000" w:themeColor="text1"/>
                <w:sz w:val="20"/>
                <w:szCs w:val="20"/>
              </w:rPr>
              <w:t>13,296 hours</w:t>
            </w:r>
          </w:p>
        </w:tc>
      </w:tr>
    </w:tbl>
    <w:p w:rsidR="00941D58" w:rsidP="00531777" w:rsidRDefault="00941D58">
      <w:pPr>
        <w:tabs>
          <w:tab w:val="left" w:pos="2250"/>
          <w:tab w:val="left" w:pos="3060"/>
          <w:tab w:val="left" w:pos="6840"/>
          <w:tab w:val="right" w:pos="8280"/>
        </w:tabs>
        <w:spacing w:after="0" w:line="240" w:lineRule="auto"/>
        <w:ind w:left="720" w:firstLine="720"/>
        <w:rPr>
          <w:rFonts w:ascii="Times New Roman" w:hAnsi="Times New Roman" w:cs="Times New Roman"/>
          <w:color w:val="000000" w:themeColor="text1"/>
          <w:sz w:val="24"/>
          <w:szCs w:val="24"/>
        </w:rPr>
      </w:pPr>
    </w:p>
    <w:p w:rsidR="00966E53" w:rsidP="00531777" w:rsidRDefault="00966E53">
      <w:pPr>
        <w:tabs>
          <w:tab w:val="left" w:pos="360"/>
          <w:tab w:val="left" w:pos="2250"/>
          <w:tab w:val="left" w:pos="3060"/>
          <w:tab w:val="left" w:pos="6840"/>
          <w:tab w:val="right" w:pos="8280"/>
        </w:tabs>
        <w:spacing w:after="0" w:line="240" w:lineRule="auto"/>
        <w:ind w:left="720"/>
        <w:rPr>
          <w:rFonts w:ascii="Times New Roman" w:hAnsi="Times New Roman" w:cs="Times New Roman"/>
          <w:color w:val="000000" w:themeColor="text1"/>
          <w:sz w:val="24"/>
          <w:szCs w:val="24"/>
        </w:rPr>
      </w:pPr>
    </w:p>
    <w:p w:rsidR="00966E53" w:rsidP="00531777" w:rsidRDefault="00966E53">
      <w:pPr>
        <w:tabs>
          <w:tab w:val="left" w:pos="360"/>
          <w:tab w:val="left" w:pos="2250"/>
          <w:tab w:val="left" w:pos="3060"/>
          <w:tab w:val="left" w:pos="6840"/>
          <w:tab w:val="right" w:pos="8280"/>
        </w:tabs>
        <w:spacing w:after="0" w:line="240" w:lineRule="auto"/>
        <w:ind w:left="720"/>
        <w:rPr>
          <w:rFonts w:ascii="Times New Roman" w:hAnsi="Times New Roman" w:cs="Times New Roman"/>
          <w:color w:val="000000" w:themeColor="text1"/>
          <w:sz w:val="24"/>
          <w:szCs w:val="24"/>
        </w:rPr>
      </w:pPr>
    </w:p>
    <w:p w:rsidR="00966E53" w:rsidP="00531777" w:rsidRDefault="00966E53">
      <w:pPr>
        <w:tabs>
          <w:tab w:val="left" w:pos="360"/>
          <w:tab w:val="left" w:pos="2250"/>
          <w:tab w:val="left" w:pos="3060"/>
          <w:tab w:val="left" w:pos="6840"/>
          <w:tab w:val="right" w:pos="8280"/>
        </w:tabs>
        <w:spacing w:after="0" w:line="240" w:lineRule="auto"/>
        <w:ind w:left="720"/>
        <w:rPr>
          <w:rFonts w:ascii="Times New Roman" w:hAnsi="Times New Roman" w:cs="Times New Roman"/>
          <w:color w:val="000000" w:themeColor="text1"/>
          <w:sz w:val="24"/>
          <w:szCs w:val="24"/>
        </w:rPr>
      </w:pPr>
    </w:p>
    <w:p w:rsidR="00966E53" w:rsidP="00531777" w:rsidRDefault="00966E53">
      <w:pPr>
        <w:tabs>
          <w:tab w:val="left" w:pos="360"/>
          <w:tab w:val="left" w:pos="2250"/>
          <w:tab w:val="left" w:pos="3060"/>
          <w:tab w:val="left" w:pos="6840"/>
          <w:tab w:val="right" w:pos="8280"/>
        </w:tabs>
        <w:spacing w:after="0" w:line="240" w:lineRule="auto"/>
        <w:ind w:left="720"/>
        <w:rPr>
          <w:rFonts w:ascii="Times New Roman" w:hAnsi="Times New Roman" w:cs="Times New Roman"/>
          <w:color w:val="000000" w:themeColor="text1"/>
          <w:sz w:val="24"/>
          <w:szCs w:val="24"/>
        </w:rPr>
      </w:pPr>
    </w:p>
    <w:p w:rsidR="00941D58" w:rsidP="00531777" w:rsidRDefault="00941D58">
      <w:pPr>
        <w:tabs>
          <w:tab w:val="left" w:pos="360"/>
          <w:tab w:val="left" w:pos="2250"/>
          <w:tab w:val="left" w:pos="3060"/>
          <w:tab w:val="left" w:pos="6840"/>
          <w:tab w:val="right" w:pos="8280"/>
        </w:tabs>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annual burden hours show an increase over those presented in the previous extension</w:t>
      </w:r>
      <w:r w:rsidR="00EF3B12">
        <w:rPr>
          <w:rFonts w:ascii="Times New Roman" w:hAnsi="Times New Roman" w:cs="Times New Roman"/>
          <w:color w:val="000000" w:themeColor="text1"/>
          <w:sz w:val="24"/>
          <w:szCs w:val="24"/>
        </w:rPr>
        <w:t xml:space="preserve"> based on the calculation procedure</w:t>
      </w:r>
      <w:r>
        <w:rPr>
          <w:rFonts w:ascii="Times New Roman" w:hAnsi="Times New Roman" w:cs="Times New Roman"/>
          <w:color w:val="000000" w:themeColor="text1"/>
          <w:sz w:val="24"/>
          <w:szCs w:val="24"/>
        </w:rPr>
        <w:t>.</w:t>
      </w:r>
      <w:r w:rsidR="00EF3B12">
        <w:rPr>
          <w:rFonts w:ascii="Times New Roman" w:hAnsi="Times New Roman" w:cs="Times New Roman"/>
          <w:color w:val="000000" w:themeColor="text1"/>
          <w:sz w:val="24"/>
          <w:szCs w:val="24"/>
        </w:rPr>
        <w:t xml:space="preserve">  However, since the information on the SHR form is included in NIBRS, the burden hours are expected to decrease over t</w:t>
      </w:r>
      <w:r w:rsidR="00E96954">
        <w:rPr>
          <w:rFonts w:ascii="Times New Roman" w:hAnsi="Times New Roman" w:cs="Times New Roman"/>
          <w:color w:val="000000" w:themeColor="text1"/>
          <w:sz w:val="24"/>
          <w:szCs w:val="24"/>
        </w:rPr>
        <w:t xml:space="preserve">his three-year extension as </w:t>
      </w:r>
      <w:r w:rsidR="00EF3B12">
        <w:rPr>
          <w:rFonts w:ascii="Times New Roman" w:hAnsi="Times New Roman" w:cs="Times New Roman"/>
          <w:color w:val="000000" w:themeColor="text1"/>
          <w:sz w:val="24"/>
          <w:szCs w:val="24"/>
        </w:rPr>
        <w:t xml:space="preserve">agencies currently reporting under SRS transition to NIBRS. </w:t>
      </w:r>
      <w:r>
        <w:rPr>
          <w:rFonts w:ascii="Times New Roman" w:hAnsi="Times New Roman" w:cs="Times New Roman"/>
          <w:color w:val="000000" w:themeColor="text1"/>
          <w:sz w:val="24"/>
          <w:szCs w:val="24"/>
        </w:rPr>
        <w:t xml:space="preserve"> </w:t>
      </w:r>
    </w:p>
    <w:p w:rsidR="00941D58" w:rsidP="00FB7E25" w:rsidRDefault="00941D58">
      <w:pPr>
        <w:tabs>
          <w:tab w:val="left" w:pos="2250"/>
          <w:tab w:val="left" w:pos="3060"/>
          <w:tab w:val="left" w:pos="6840"/>
          <w:tab w:val="right" w:pos="8280"/>
        </w:tabs>
        <w:spacing w:after="0" w:line="240" w:lineRule="auto"/>
        <w:rPr>
          <w:rFonts w:ascii="Times New Roman" w:hAnsi="Times New Roman" w:cs="Times New Roman"/>
          <w:color w:val="000000" w:themeColor="text1"/>
          <w:sz w:val="24"/>
          <w:szCs w:val="24"/>
        </w:rPr>
      </w:pPr>
    </w:p>
    <w:p w:rsidR="00941D58" w:rsidP="00FB7E25" w:rsidRDefault="00941D58">
      <w:pPr>
        <w:tabs>
          <w:tab w:val="left" w:pos="2250"/>
          <w:tab w:val="left" w:pos="3060"/>
          <w:tab w:val="left" w:pos="6840"/>
          <w:tab w:val="right" w:pos="8280"/>
        </w:tabs>
        <w:spacing w:after="0" w:line="240" w:lineRule="auto"/>
        <w:rPr>
          <w:rFonts w:ascii="Times New Roman" w:hAnsi="Times New Roman" w:cs="Times New Roman"/>
          <w:color w:val="000000" w:themeColor="text1"/>
          <w:sz w:val="24"/>
          <w:szCs w:val="24"/>
        </w:rPr>
      </w:pPr>
    </w:p>
    <w:p w:rsidRPr="00EF3B12" w:rsidR="00A954B1" w:rsidP="00531777" w:rsidRDefault="00A954B1">
      <w:pPr>
        <w:pStyle w:val="ListParagraph"/>
        <w:numPr>
          <w:ilvl w:val="0"/>
          <w:numId w:val="2"/>
        </w:numPr>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0A1B93">
        <w:rPr>
          <w:rFonts w:ascii="Times New Roman" w:hAnsi="Times New Roman" w:cs="Times New Roman"/>
          <w:color w:val="000000" w:themeColor="text1"/>
          <w:sz w:val="24"/>
          <w:szCs w:val="24"/>
          <w:u w:val="single"/>
        </w:rPr>
        <w:t xml:space="preserve">Anticipated </w:t>
      </w:r>
      <w:r w:rsidRPr="00EF3B12">
        <w:rPr>
          <w:rFonts w:ascii="Times New Roman" w:hAnsi="Times New Roman" w:cs="Times New Roman"/>
          <w:color w:val="000000" w:themeColor="text1"/>
          <w:sz w:val="24"/>
          <w:szCs w:val="24"/>
          <w:u w:val="single"/>
        </w:rPr>
        <w:t>Publication Plan and Schedule</w:t>
      </w:r>
    </w:p>
    <w:p w:rsidRPr="00EF3B12" w:rsidR="00A954B1" w:rsidP="00FB7E25" w:rsidRDefault="00A954B1">
      <w:pPr>
        <w:pStyle w:val="ListParagraph"/>
        <w:tabs>
          <w:tab w:val="left" w:pos="1800"/>
          <w:tab w:val="left" w:pos="6840"/>
          <w:tab w:val="right" w:pos="8280"/>
        </w:tabs>
        <w:spacing w:after="0" w:line="240" w:lineRule="auto"/>
        <w:ind w:left="360"/>
        <w:rPr>
          <w:rFonts w:ascii="Times New Roman" w:hAnsi="Times New Roman" w:cs="Times New Roman"/>
          <w:color w:val="000000" w:themeColor="text1"/>
          <w:sz w:val="24"/>
          <w:szCs w:val="24"/>
          <w:u w:val="single"/>
        </w:rPr>
      </w:pPr>
    </w:p>
    <w:p w:rsidRPr="00EF3B12" w:rsidR="00A954B1" w:rsidP="00531777" w:rsidRDefault="00A954B1">
      <w:pPr>
        <w:pStyle w:val="ListParagraph"/>
        <w:tabs>
          <w:tab w:val="left" w:pos="1800"/>
          <w:tab w:val="left" w:pos="6840"/>
          <w:tab w:val="right" w:pos="8280"/>
        </w:tabs>
        <w:spacing w:after="0" w:line="240" w:lineRule="auto"/>
        <w:rPr>
          <w:rFonts w:ascii="Times New Roman" w:hAnsi="Times New Roman" w:cs="Times New Roman"/>
          <w:color w:val="000000" w:themeColor="text1"/>
          <w:sz w:val="24"/>
          <w:szCs w:val="24"/>
        </w:rPr>
      </w:pPr>
      <w:r w:rsidRPr="00EF3B12">
        <w:rPr>
          <w:rFonts w:ascii="Times New Roman" w:hAnsi="Times New Roman" w:cs="Times New Roman"/>
          <w:color w:val="000000" w:themeColor="text1"/>
          <w:sz w:val="24"/>
          <w:szCs w:val="24"/>
        </w:rPr>
        <w:t xml:space="preserve">Published data are derived from </w:t>
      </w:r>
      <w:r w:rsidR="00E96954">
        <w:rPr>
          <w:rFonts w:ascii="Times New Roman" w:hAnsi="Times New Roman" w:cs="Times New Roman"/>
          <w:color w:val="000000" w:themeColor="text1"/>
          <w:sz w:val="24"/>
          <w:szCs w:val="24"/>
        </w:rPr>
        <w:t>those</w:t>
      </w:r>
      <w:r w:rsidRPr="00EF3B12">
        <w:rPr>
          <w:rFonts w:ascii="Times New Roman" w:hAnsi="Times New Roman" w:cs="Times New Roman"/>
          <w:color w:val="000000" w:themeColor="text1"/>
          <w:sz w:val="24"/>
          <w:szCs w:val="24"/>
        </w:rPr>
        <w:t xml:space="preserve"> </w:t>
      </w:r>
      <w:r w:rsidR="001B261D">
        <w:rPr>
          <w:rFonts w:ascii="Times New Roman" w:hAnsi="Times New Roman" w:cs="Times New Roman"/>
          <w:color w:val="000000" w:themeColor="text1"/>
          <w:sz w:val="24"/>
          <w:szCs w:val="24"/>
        </w:rPr>
        <w:t>submitt</w:t>
      </w:r>
      <w:r w:rsidRPr="00EF3B12">
        <w:rPr>
          <w:rFonts w:ascii="Times New Roman" w:hAnsi="Times New Roman" w:cs="Times New Roman"/>
          <w:color w:val="000000" w:themeColor="text1"/>
          <w:sz w:val="24"/>
          <w:szCs w:val="24"/>
        </w:rPr>
        <w:t xml:space="preserve">ed to </w:t>
      </w:r>
      <w:r w:rsidRPr="00EF3B12" w:rsidR="00F260B6">
        <w:rPr>
          <w:rFonts w:ascii="Times New Roman" w:hAnsi="Times New Roman" w:cs="Times New Roman"/>
          <w:color w:val="000000" w:themeColor="text1"/>
          <w:sz w:val="24"/>
          <w:szCs w:val="24"/>
        </w:rPr>
        <w:t xml:space="preserve">the </w:t>
      </w:r>
      <w:r w:rsidRPr="00EF3B12">
        <w:rPr>
          <w:rFonts w:ascii="Times New Roman" w:hAnsi="Times New Roman" w:cs="Times New Roman"/>
          <w:color w:val="000000" w:themeColor="text1"/>
          <w:sz w:val="24"/>
          <w:szCs w:val="24"/>
        </w:rPr>
        <w:t xml:space="preserve">FBI UCR Program </w:t>
      </w:r>
      <w:r w:rsidR="001B261D">
        <w:rPr>
          <w:rFonts w:ascii="Times New Roman" w:hAnsi="Times New Roman" w:cs="Times New Roman"/>
          <w:color w:val="000000" w:themeColor="text1"/>
          <w:sz w:val="24"/>
          <w:szCs w:val="24"/>
        </w:rPr>
        <w:t>by</w:t>
      </w:r>
      <w:r w:rsidRPr="00EF3B12" w:rsidR="001F5C11">
        <w:rPr>
          <w:rFonts w:ascii="Times New Roman" w:hAnsi="Times New Roman" w:cs="Times New Roman"/>
          <w:color w:val="000000" w:themeColor="text1"/>
          <w:sz w:val="24"/>
          <w:szCs w:val="24"/>
        </w:rPr>
        <w:t xml:space="preserve"> </w:t>
      </w:r>
      <w:r w:rsidRPr="00EF3B12" w:rsidR="00F260B6">
        <w:rPr>
          <w:rFonts w:ascii="Times New Roman" w:hAnsi="Times New Roman" w:cs="Times New Roman"/>
          <w:color w:val="000000" w:themeColor="text1"/>
          <w:sz w:val="24"/>
          <w:szCs w:val="24"/>
        </w:rPr>
        <w:t xml:space="preserve">federal, state, </w:t>
      </w:r>
      <w:r w:rsidRPr="00EF3B12">
        <w:rPr>
          <w:rFonts w:ascii="Times New Roman" w:hAnsi="Times New Roman" w:cs="Times New Roman"/>
          <w:color w:val="000000" w:themeColor="text1"/>
          <w:sz w:val="24"/>
          <w:szCs w:val="24"/>
        </w:rPr>
        <w:t xml:space="preserve">local, </w:t>
      </w:r>
      <w:r w:rsidRPr="00EF3B12" w:rsidR="00F260B6">
        <w:rPr>
          <w:rFonts w:ascii="Times New Roman" w:hAnsi="Times New Roman" w:cs="Times New Roman"/>
          <w:color w:val="000000" w:themeColor="text1"/>
          <w:sz w:val="24"/>
          <w:szCs w:val="24"/>
        </w:rPr>
        <w:t xml:space="preserve">and </w:t>
      </w:r>
      <w:r w:rsidRPr="00EF3B12">
        <w:rPr>
          <w:rFonts w:ascii="Times New Roman" w:hAnsi="Times New Roman" w:cs="Times New Roman"/>
          <w:color w:val="000000" w:themeColor="text1"/>
          <w:sz w:val="24"/>
          <w:szCs w:val="24"/>
        </w:rPr>
        <w:t>tribal</w:t>
      </w:r>
      <w:r w:rsidRPr="00EF3B12" w:rsidR="00F260B6">
        <w:rPr>
          <w:rFonts w:ascii="Times New Roman" w:hAnsi="Times New Roman" w:cs="Times New Roman"/>
          <w:color w:val="000000" w:themeColor="text1"/>
          <w:sz w:val="24"/>
          <w:szCs w:val="24"/>
        </w:rPr>
        <w:t xml:space="preserve"> </w:t>
      </w:r>
      <w:r w:rsidRPr="00EF3B12">
        <w:rPr>
          <w:rFonts w:ascii="Times New Roman" w:hAnsi="Times New Roman" w:cs="Times New Roman"/>
          <w:color w:val="000000" w:themeColor="text1"/>
          <w:sz w:val="24"/>
          <w:szCs w:val="24"/>
        </w:rPr>
        <w:t xml:space="preserve">LEAs throughout the country.  </w:t>
      </w:r>
      <w:r w:rsidRPr="00EF3B12" w:rsidR="001F5C11">
        <w:rPr>
          <w:rFonts w:ascii="Times New Roman" w:hAnsi="Times New Roman" w:cs="Times New Roman"/>
          <w:color w:val="000000" w:themeColor="text1"/>
          <w:sz w:val="24"/>
          <w:szCs w:val="24"/>
        </w:rPr>
        <w:t xml:space="preserve">Historically, data have been published annually.  </w:t>
      </w:r>
      <w:r w:rsidRPr="00EF3B12" w:rsidR="00FC615E">
        <w:rPr>
          <w:rFonts w:ascii="Times New Roman" w:hAnsi="Times New Roman" w:cs="Times New Roman"/>
          <w:color w:val="000000" w:themeColor="text1"/>
          <w:sz w:val="24"/>
          <w:szCs w:val="24"/>
        </w:rPr>
        <w:t xml:space="preserve">However, </w:t>
      </w:r>
      <w:r w:rsidRPr="00EF3B12" w:rsidR="00F260B6">
        <w:rPr>
          <w:rFonts w:ascii="Times New Roman" w:hAnsi="Times New Roman" w:cs="Times New Roman"/>
          <w:color w:val="000000" w:themeColor="text1"/>
          <w:sz w:val="24"/>
          <w:szCs w:val="24"/>
        </w:rPr>
        <w:t>the transition to NIBRS and quarterly publication of statistics</w:t>
      </w:r>
      <w:r w:rsidRPr="00EF3B12" w:rsidR="001F5C11">
        <w:rPr>
          <w:rFonts w:ascii="Times New Roman" w:hAnsi="Times New Roman" w:cs="Times New Roman"/>
          <w:color w:val="000000" w:themeColor="text1"/>
          <w:sz w:val="24"/>
          <w:szCs w:val="24"/>
        </w:rPr>
        <w:t xml:space="preserve"> have begun and </w:t>
      </w:r>
      <w:r w:rsidRPr="00EF3B12" w:rsidR="003738D2">
        <w:rPr>
          <w:rFonts w:ascii="Times New Roman" w:hAnsi="Times New Roman" w:cs="Times New Roman"/>
          <w:color w:val="000000" w:themeColor="text1"/>
          <w:sz w:val="24"/>
          <w:szCs w:val="24"/>
        </w:rPr>
        <w:t xml:space="preserve">may </w:t>
      </w:r>
      <w:r w:rsidRPr="00EF3B12" w:rsidR="00F260B6">
        <w:rPr>
          <w:rFonts w:ascii="Times New Roman" w:hAnsi="Times New Roman" w:cs="Times New Roman"/>
          <w:color w:val="000000" w:themeColor="text1"/>
          <w:sz w:val="24"/>
          <w:szCs w:val="24"/>
        </w:rPr>
        <w:t xml:space="preserve">require modifications </w:t>
      </w:r>
      <w:r w:rsidRPr="00EF3B12" w:rsidR="001F5C11">
        <w:rPr>
          <w:rFonts w:ascii="Times New Roman" w:hAnsi="Times New Roman" w:cs="Times New Roman"/>
          <w:color w:val="000000" w:themeColor="text1"/>
          <w:sz w:val="24"/>
          <w:szCs w:val="24"/>
        </w:rPr>
        <w:t xml:space="preserve">to the </w:t>
      </w:r>
      <w:r w:rsidRPr="00EF3B12" w:rsidR="003738D2">
        <w:rPr>
          <w:rFonts w:ascii="Times New Roman" w:hAnsi="Times New Roman" w:cs="Times New Roman"/>
          <w:color w:val="000000" w:themeColor="text1"/>
          <w:sz w:val="24"/>
          <w:szCs w:val="24"/>
        </w:rPr>
        <w:t>schedule</w:t>
      </w:r>
      <w:r w:rsidRPr="00EF3B12" w:rsidR="001F5C11">
        <w:rPr>
          <w:rFonts w:ascii="Times New Roman" w:hAnsi="Times New Roman" w:cs="Times New Roman"/>
          <w:color w:val="000000" w:themeColor="text1"/>
          <w:sz w:val="24"/>
          <w:szCs w:val="24"/>
        </w:rPr>
        <w:t xml:space="preserve"> shown below</w:t>
      </w:r>
      <w:r w:rsidRPr="00EF3B12" w:rsidR="003738D2">
        <w:rPr>
          <w:rFonts w:ascii="Times New Roman" w:hAnsi="Times New Roman" w:cs="Times New Roman"/>
          <w:color w:val="000000" w:themeColor="text1"/>
          <w:sz w:val="24"/>
          <w:szCs w:val="24"/>
        </w:rPr>
        <w:t>.</w:t>
      </w:r>
    </w:p>
    <w:p w:rsidRPr="00EF3B12" w:rsidR="00A954B1" w:rsidP="00FB7E25" w:rsidRDefault="00A954B1">
      <w:pPr>
        <w:tabs>
          <w:tab w:val="left" w:pos="1440"/>
          <w:tab w:val="left" w:pos="5400"/>
        </w:tabs>
        <w:spacing w:after="0" w:line="240" w:lineRule="auto"/>
        <w:rPr>
          <w:rFonts w:ascii="Times New Roman" w:hAnsi="Times New Roman" w:cs="Times New Roman"/>
          <w:color w:val="000000" w:themeColor="text1"/>
          <w:sz w:val="24"/>
          <w:szCs w:val="24"/>
        </w:rPr>
      </w:pPr>
    </w:p>
    <w:tbl>
      <w:tblPr>
        <w:tblStyle w:val="TableGrid"/>
        <w:tblpPr w:leftFromText="180" w:rightFromText="180" w:vertAnchor="text" w:horzAnchor="margin" w:tblpXSpec="center" w:tblpY="-32"/>
        <w:tblW w:w="0" w:type="auto"/>
        <w:jc w:val="center"/>
        <w:tblLook w:val="04A0" w:firstRow="1" w:lastRow="0" w:firstColumn="1" w:lastColumn="0" w:noHBand="0" w:noVBand="1"/>
      </w:tblPr>
      <w:tblGrid>
        <w:gridCol w:w="3600"/>
        <w:gridCol w:w="3600"/>
      </w:tblGrid>
      <w:tr w:rsidR="00FB7E25" w:rsidTr="00BE5E48">
        <w:trPr>
          <w:jc w:val="center"/>
        </w:trPr>
        <w:tc>
          <w:tcPr>
            <w:tcW w:w="7200" w:type="dxa"/>
            <w:gridSpan w:val="2"/>
            <w:tcBorders>
              <w:top w:val="nil"/>
              <w:left w:val="nil"/>
              <w:bottom w:val="single" w:color="auto" w:sz="8" w:space="0"/>
              <w:right w:val="nil"/>
            </w:tcBorders>
          </w:tcPr>
          <w:p w:rsidRPr="00BE5E48" w:rsidR="00FB7E25" w:rsidP="00FB7E25" w:rsidRDefault="00FB7E25">
            <w:pPr>
              <w:tabs>
                <w:tab w:val="left" w:pos="810"/>
                <w:tab w:val="left" w:pos="4410"/>
                <w:tab w:val="left" w:pos="5400"/>
              </w:tabs>
              <w:rPr>
                <w:rFonts w:ascii="Times New Roman" w:hAnsi="Times New Roman" w:cs="Times New Roman"/>
                <w:b/>
                <w:color w:val="000000" w:themeColor="text1"/>
                <w:sz w:val="20"/>
                <w:szCs w:val="20"/>
              </w:rPr>
            </w:pPr>
            <w:r w:rsidRPr="00BE5E48">
              <w:rPr>
                <w:rFonts w:ascii="Times New Roman" w:hAnsi="Times New Roman" w:cs="Times New Roman"/>
                <w:b/>
                <w:color w:val="000000" w:themeColor="text1"/>
                <w:sz w:val="20"/>
                <w:szCs w:val="20"/>
              </w:rPr>
              <w:t>Publication Plan and Schedule</w:t>
            </w:r>
          </w:p>
        </w:tc>
      </w:tr>
      <w:tr w:rsidR="00FB7E25" w:rsidTr="00BE5E48">
        <w:trPr>
          <w:jc w:val="center"/>
        </w:trPr>
        <w:tc>
          <w:tcPr>
            <w:tcW w:w="3600" w:type="dxa"/>
            <w:tcBorders>
              <w:top w:val="single" w:color="auto" w:sz="8" w:space="0"/>
              <w:left w:val="nil"/>
              <w:bottom w:val="single" w:color="auto" w:sz="8" w:space="0"/>
              <w:right w:val="nil"/>
            </w:tcBorders>
          </w:tcPr>
          <w:p w:rsidRPr="00FB7E25" w:rsidR="00FB7E25" w:rsidP="00FB7E25" w:rsidRDefault="00FB7E25">
            <w:pPr>
              <w:tabs>
                <w:tab w:val="left" w:pos="810"/>
                <w:tab w:val="left" w:pos="4410"/>
                <w:tab w:val="left" w:pos="5400"/>
              </w:tabs>
              <w:rPr>
                <w:rFonts w:ascii="Times New Roman" w:hAnsi="Times New Roman" w:cs="Times New Roman"/>
                <w:b/>
                <w:color w:val="000000" w:themeColor="text1"/>
                <w:sz w:val="20"/>
                <w:szCs w:val="20"/>
              </w:rPr>
            </w:pPr>
            <w:r w:rsidRPr="00FB7E25">
              <w:rPr>
                <w:rFonts w:ascii="Times New Roman" w:hAnsi="Times New Roman" w:cs="Times New Roman"/>
                <w:b/>
                <w:color w:val="000000" w:themeColor="text1"/>
                <w:sz w:val="20"/>
                <w:szCs w:val="20"/>
              </w:rPr>
              <w:t>Activity</w:t>
            </w:r>
          </w:p>
        </w:tc>
        <w:tc>
          <w:tcPr>
            <w:tcW w:w="3600" w:type="dxa"/>
            <w:tcBorders>
              <w:top w:val="single" w:color="auto" w:sz="8" w:space="0"/>
              <w:left w:val="nil"/>
              <w:bottom w:val="single" w:color="auto" w:sz="8" w:space="0"/>
              <w:right w:val="nil"/>
            </w:tcBorders>
          </w:tcPr>
          <w:p w:rsidRPr="00FB7E25" w:rsidR="00FB7E25" w:rsidP="00FB7E25" w:rsidRDefault="00FB7E25">
            <w:pPr>
              <w:tabs>
                <w:tab w:val="left" w:pos="810"/>
                <w:tab w:val="left" w:pos="4410"/>
                <w:tab w:val="left" w:pos="5400"/>
              </w:tabs>
              <w:rPr>
                <w:rFonts w:ascii="Times New Roman" w:hAnsi="Times New Roman" w:cs="Times New Roman"/>
                <w:b/>
                <w:color w:val="000000" w:themeColor="text1"/>
                <w:sz w:val="20"/>
                <w:szCs w:val="20"/>
              </w:rPr>
            </w:pPr>
            <w:r w:rsidRPr="00FB7E25">
              <w:rPr>
                <w:rFonts w:ascii="Times New Roman" w:hAnsi="Times New Roman" w:cs="Times New Roman"/>
                <w:b/>
                <w:color w:val="000000" w:themeColor="text1"/>
                <w:sz w:val="20"/>
                <w:szCs w:val="20"/>
              </w:rPr>
              <w:t>Time Period</w:t>
            </w:r>
          </w:p>
        </w:tc>
      </w:tr>
      <w:tr w:rsidR="00FB7E25" w:rsidTr="00BE5E48">
        <w:trPr>
          <w:jc w:val="center"/>
        </w:trPr>
        <w:tc>
          <w:tcPr>
            <w:tcW w:w="3600" w:type="dxa"/>
            <w:tcBorders>
              <w:top w:val="single" w:color="auto" w:sz="8" w:space="0"/>
              <w:left w:val="nil"/>
              <w:bottom w:val="nil"/>
              <w:right w:val="nil"/>
            </w:tcBorders>
          </w:tcPr>
          <w:p w:rsidRPr="00AE2643" w:rsidR="00FB7E25" w:rsidP="00FB7E25" w:rsidRDefault="00FB7E25">
            <w:pPr>
              <w:tabs>
                <w:tab w:val="left" w:pos="810"/>
                <w:tab w:val="left" w:pos="4410"/>
                <w:tab w:val="left" w:pos="5400"/>
              </w:tabs>
              <w:rPr>
                <w:rFonts w:ascii="Times New Roman" w:hAnsi="Times New Roman" w:cs="Times New Roman"/>
                <w:color w:val="000000" w:themeColor="text1"/>
                <w:sz w:val="20"/>
                <w:szCs w:val="20"/>
              </w:rPr>
            </w:pPr>
            <w:r w:rsidRPr="00AE2643">
              <w:rPr>
                <w:rFonts w:ascii="Times New Roman" w:hAnsi="Times New Roman" w:cs="Times New Roman"/>
                <w:color w:val="000000" w:themeColor="text1"/>
                <w:sz w:val="20"/>
                <w:szCs w:val="20"/>
              </w:rPr>
              <w:t>Request missing data from agencies</w:t>
            </w:r>
          </w:p>
        </w:tc>
        <w:tc>
          <w:tcPr>
            <w:tcW w:w="3600" w:type="dxa"/>
            <w:tcBorders>
              <w:top w:val="single" w:color="auto" w:sz="8" w:space="0"/>
              <w:left w:val="nil"/>
              <w:bottom w:val="nil"/>
              <w:right w:val="nil"/>
            </w:tcBorders>
          </w:tcPr>
          <w:p w:rsidRPr="00AE2643" w:rsidR="00FB7E25" w:rsidP="00FB7E25" w:rsidRDefault="00FB7E25">
            <w:pPr>
              <w:tabs>
                <w:tab w:val="left" w:pos="810"/>
                <w:tab w:val="left" w:pos="4410"/>
                <w:tab w:val="left" w:pos="5400"/>
              </w:tabs>
              <w:rPr>
                <w:rFonts w:ascii="Times New Roman" w:hAnsi="Times New Roman" w:cs="Times New Roman"/>
                <w:color w:val="000000" w:themeColor="text1"/>
                <w:sz w:val="20"/>
                <w:szCs w:val="20"/>
              </w:rPr>
            </w:pPr>
            <w:r w:rsidRPr="00AE2643">
              <w:rPr>
                <w:rFonts w:ascii="Times New Roman" w:hAnsi="Times New Roman" w:cs="Times New Roman"/>
                <w:color w:val="000000" w:themeColor="text1"/>
                <w:sz w:val="20"/>
                <w:szCs w:val="20"/>
              </w:rPr>
              <w:t>February-March, following year</w:t>
            </w:r>
          </w:p>
        </w:tc>
      </w:tr>
      <w:tr w:rsidR="00FB7E25" w:rsidTr="00FB7E25">
        <w:trPr>
          <w:jc w:val="center"/>
        </w:trPr>
        <w:tc>
          <w:tcPr>
            <w:tcW w:w="3600" w:type="dxa"/>
            <w:tcBorders>
              <w:top w:val="nil"/>
              <w:left w:val="nil"/>
              <w:bottom w:val="nil"/>
              <w:right w:val="nil"/>
            </w:tcBorders>
          </w:tcPr>
          <w:p w:rsidRPr="00AE2643" w:rsidR="00FB7E25" w:rsidP="00FB7E25" w:rsidRDefault="00FB7E25">
            <w:pPr>
              <w:tabs>
                <w:tab w:val="left" w:pos="810"/>
                <w:tab w:val="left" w:pos="4410"/>
                <w:tab w:val="left" w:pos="5400"/>
              </w:tabs>
              <w:rPr>
                <w:rFonts w:ascii="Times New Roman" w:hAnsi="Times New Roman" w:cs="Times New Roman"/>
                <w:color w:val="000000" w:themeColor="text1"/>
                <w:sz w:val="20"/>
                <w:szCs w:val="20"/>
              </w:rPr>
            </w:pPr>
            <w:r w:rsidRPr="00AE2643">
              <w:rPr>
                <w:rFonts w:ascii="Times New Roman" w:hAnsi="Times New Roman" w:cs="Times New Roman"/>
                <w:color w:val="000000" w:themeColor="text1"/>
                <w:sz w:val="20"/>
                <w:szCs w:val="20"/>
              </w:rPr>
              <w:t>Deadline to submit data</w:t>
            </w:r>
          </w:p>
        </w:tc>
        <w:tc>
          <w:tcPr>
            <w:tcW w:w="3600" w:type="dxa"/>
            <w:tcBorders>
              <w:top w:val="nil"/>
              <w:left w:val="nil"/>
              <w:bottom w:val="nil"/>
              <w:right w:val="nil"/>
            </w:tcBorders>
          </w:tcPr>
          <w:p w:rsidRPr="00AE2643" w:rsidR="00FB7E25" w:rsidP="00FB7E25" w:rsidRDefault="00FB7E25">
            <w:pPr>
              <w:tabs>
                <w:tab w:val="left" w:pos="810"/>
                <w:tab w:val="left" w:pos="4410"/>
                <w:tab w:val="left" w:pos="5400"/>
              </w:tabs>
              <w:rPr>
                <w:rFonts w:ascii="Times New Roman" w:hAnsi="Times New Roman" w:cs="Times New Roman"/>
                <w:color w:val="000000" w:themeColor="text1"/>
                <w:sz w:val="20"/>
                <w:szCs w:val="20"/>
              </w:rPr>
            </w:pPr>
            <w:r w:rsidRPr="00AE2643">
              <w:rPr>
                <w:rFonts w:ascii="Times New Roman" w:hAnsi="Times New Roman" w:cs="Times New Roman"/>
                <w:color w:val="000000" w:themeColor="text1"/>
                <w:sz w:val="20"/>
                <w:szCs w:val="20"/>
              </w:rPr>
              <w:t>End of March</w:t>
            </w:r>
          </w:p>
        </w:tc>
      </w:tr>
      <w:tr w:rsidR="00FB7E25" w:rsidTr="00BE5E48">
        <w:trPr>
          <w:jc w:val="center"/>
        </w:trPr>
        <w:tc>
          <w:tcPr>
            <w:tcW w:w="3600" w:type="dxa"/>
            <w:tcBorders>
              <w:top w:val="nil"/>
              <w:left w:val="nil"/>
              <w:bottom w:val="nil"/>
              <w:right w:val="nil"/>
            </w:tcBorders>
          </w:tcPr>
          <w:p w:rsidRPr="00AE2643" w:rsidR="00FB7E25" w:rsidP="00FB7E25" w:rsidRDefault="00FB7E25">
            <w:pPr>
              <w:tabs>
                <w:tab w:val="left" w:pos="810"/>
                <w:tab w:val="left" w:pos="4410"/>
                <w:tab w:val="left" w:pos="5400"/>
              </w:tabs>
              <w:rPr>
                <w:rFonts w:ascii="Times New Roman" w:hAnsi="Times New Roman" w:cs="Times New Roman"/>
                <w:color w:val="000000" w:themeColor="text1"/>
                <w:sz w:val="20"/>
                <w:szCs w:val="20"/>
              </w:rPr>
            </w:pPr>
            <w:r w:rsidRPr="00AE2643">
              <w:rPr>
                <w:rFonts w:ascii="Times New Roman" w:hAnsi="Times New Roman" w:cs="Times New Roman"/>
                <w:color w:val="000000" w:themeColor="text1"/>
                <w:sz w:val="20"/>
                <w:szCs w:val="20"/>
              </w:rPr>
              <w:t>Data Processing/Analysis</w:t>
            </w:r>
          </w:p>
        </w:tc>
        <w:tc>
          <w:tcPr>
            <w:tcW w:w="3600" w:type="dxa"/>
            <w:tcBorders>
              <w:top w:val="nil"/>
              <w:left w:val="nil"/>
              <w:bottom w:val="nil"/>
              <w:right w:val="nil"/>
            </w:tcBorders>
          </w:tcPr>
          <w:p w:rsidRPr="00AE2643" w:rsidR="00FB7E25" w:rsidP="00FB7E25" w:rsidRDefault="00FB7E25">
            <w:pPr>
              <w:tabs>
                <w:tab w:val="left" w:pos="810"/>
                <w:tab w:val="left" w:pos="4410"/>
                <w:tab w:val="left" w:pos="5400"/>
              </w:tabs>
              <w:rPr>
                <w:rFonts w:ascii="Times New Roman" w:hAnsi="Times New Roman" w:cs="Times New Roman"/>
                <w:color w:val="000000" w:themeColor="text1"/>
                <w:sz w:val="20"/>
                <w:szCs w:val="20"/>
              </w:rPr>
            </w:pPr>
            <w:r w:rsidRPr="00AE2643">
              <w:rPr>
                <w:rFonts w:ascii="Times New Roman" w:hAnsi="Times New Roman" w:cs="Times New Roman"/>
                <w:color w:val="000000" w:themeColor="text1"/>
                <w:sz w:val="20"/>
                <w:szCs w:val="20"/>
              </w:rPr>
              <w:t>July (current year)-April (following year)</w:t>
            </w:r>
          </w:p>
        </w:tc>
      </w:tr>
      <w:tr w:rsidR="00FB7E25" w:rsidTr="00BE5E48">
        <w:trPr>
          <w:jc w:val="center"/>
        </w:trPr>
        <w:tc>
          <w:tcPr>
            <w:tcW w:w="3600" w:type="dxa"/>
            <w:tcBorders>
              <w:top w:val="nil"/>
              <w:left w:val="nil"/>
              <w:bottom w:val="single" w:color="auto" w:sz="8" w:space="0"/>
              <w:right w:val="nil"/>
            </w:tcBorders>
          </w:tcPr>
          <w:p w:rsidRPr="00AE2643" w:rsidR="00FB7E25" w:rsidP="00FB7E25" w:rsidRDefault="00FB7E25">
            <w:pPr>
              <w:tabs>
                <w:tab w:val="left" w:pos="810"/>
                <w:tab w:val="left" w:pos="4410"/>
                <w:tab w:val="left" w:pos="5400"/>
              </w:tabs>
              <w:rPr>
                <w:rFonts w:ascii="Times New Roman" w:hAnsi="Times New Roman" w:cs="Times New Roman"/>
                <w:color w:val="000000" w:themeColor="text1"/>
                <w:sz w:val="20"/>
                <w:szCs w:val="20"/>
              </w:rPr>
            </w:pPr>
            <w:r w:rsidRPr="00AE2643">
              <w:rPr>
                <w:rFonts w:ascii="Times New Roman" w:hAnsi="Times New Roman" w:cs="Times New Roman"/>
                <w:color w:val="000000" w:themeColor="text1"/>
                <w:sz w:val="20"/>
                <w:szCs w:val="20"/>
              </w:rPr>
              <w:t>Publication data</w:t>
            </w:r>
          </w:p>
        </w:tc>
        <w:tc>
          <w:tcPr>
            <w:tcW w:w="3600" w:type="dxa"/>
            <w:tcBorders>
              <w:top w:val="nil"/>
              <w:left w:val="nil"/>
              <w:bottom w:val="single" w:color="auto" w:sz="8" w:space="0"/>
              <w:right w:val="nil"/>
            </w:tcBorders>
          </w:tcPr>
          <w:p w:rsidRPr="00AE2643" w:rsidR="00FB7E25" w:rsidP="00FB7E25" w:rsidRDefault="00FB7E25">
            <w:pPr>
              <w:tabs>
                <w:tab w:val="left" w:pos="810"/>
                <w:tab w:val="left" w:pos="4410"/>
                <w:tab w:val="left" w:pos="5400"/>
              </w:tabs>
              <w:rPr>
                <w:rFonts w:ascii="Times New Roman" w:hAnsi="Times New Roman" w:cs="Times New Roman"/>
                <w:color w:val="000000" w:themeColor="text1"/>
                <w:sz w:val="20"/>
                <w:szCs w:val="20"/>
              </w:rPr>
            </w:pPr>
            <w:r w:rsidRPr="00AE2643">
              <w:rPr>
                <w:rFonts w:ascii="Times New Roman" w:hAnsi="Times New Roman" w:cs="Times New Roman"/>
                <w:color w:val="000000" w:themeColor="text1"/>
                <w:sz w:val="20"/>
                <w:szCs w:val="20"/>
              </w:rPr>
              <w:t>September, following year</w:t>
            </w:r>
          </w:p>
        </w:tc>
      </w:tr>
    </w:tbl>
    <w:p w:rsidR="00AE2643" w:rsidP="00FB7E25" w:rsidRDefault="00EF3B12">
      <w:pPr>
        <w:tabs>
          <w:tab w:val="left" w:pos="810"/>
          <w:tab w:val="left" w:pos="4410"/>
          <w:tab w:val="left" w:pos="5400"/>
        </w:tabs>
        <w:spacing w:after="0" w:line="240" w:lineRule="auto"/>
        <w:rPr>
          <w:rFonts w:ascii="Times New Roman" w:hAnsi="Times New Roman" w:cs="Times New Roman"/>
          <w:color w:val="000000" w:themeColor="text1"/>
          <w:sz w:val="24"/>
          <w:szCs w:val="24"/>
        </w:rPr>
      </w:pPr>
      <w:r w:rsidRPr="00EF3B12">
        <w:rPr>
          <w:rFonts w:ascii="Times New Roman" w:hAnsi="Times New Roman" w:cs="Times New Roman"/>
          <w:color w:val="000000" w:themeColor="text1"/>
          <w:sz w:val="24"/>
          <w:szCs w:val="24"/>
        </w:rPr>
        <w:tab/>
      </w:r>
    </w:p>
    <w:p w:rsidR="00AE2643" w:rsidRDefault="00AE264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Pr="00EF3B12" w:rsidR="00A954B1" w:rsidP="00531777" w:rsidRDefault="00A954B1">
      <w:pPr>
        <w:pStyle w:val="ListParagraph"/>
        <w:numPr>
          <w:ilvl w:val="0"/>
          <w:numId w:val="2"/>
        </w:numPr>
        <w:tabs>
          <w:tab w:val="left" w:pos="1440"/>
          <w:tab w:val="left" w:pos="5400"/>
        </w:tabs>
        <w:spacing w:after="0" w:line="240" w:lineRule="auto"/>
        <w:rPr>
          <w:rFonts w:ascii="Times New Roman" w:hAnsi="Times New Roman" w:cs="Times New Roman"/>
          <w:color w:val="000000" w:themeColor="text1"/>
          <w:sz w:val="24"/>
          <w:szCs w:val="24"/>
        </w:rPr>
      </w:pPr>
      <w:r w:rsidRPr="00EF3B12">
        <w:rPr>
          <w:rFonts w:ascii="Times New Roman" w:hAnsi="Times New Roman" w:cs="Times New Roman"/>
          <w:color w:val="000000" w:themeColor="text1"/>
          <w:sz w:val="24"/>
          <w:szCs w:val="24"/>
          <w:u w:val="single"/>
        </w:rPr>
        <w:lastRenderedPageBreak/>
        <w:t>Display of Expiration Date</w:t>
      </w:r>
    </w:p>
    <w:p w:rsidRPr="00EF3B12" w:rsidR="00A954B1" w:rsidP="004E42D2" w:rsidRDefault="00A954B1">
      <w:pPr>
        <w:pStyle w:val="ListParagraph"/>
        <w:tabs>
          <w:tab w:val="left" w:pos="1440"/>
          <w:tab w:val="left" w:pos="5400"/>
        </w:tabs>
        <w:spacing w:after="0" w:line="240" w:lineRule="auto"/>
        <w:rPr>
          <w:rFonts w:ascii="Times New Roman" w:hAnsi="Times New Roman" w:cs="Times New Roman"/>
          <w:color w:val="000000" w:themeColor="text1"/>
          <w:sz w:val="24"/>
          <w:szCs w:val="24"/>
          <w:u w:val="single"/>
        </w:rPr>
      </w:pPr>
    </w:p>
    <w:p w:rsidRPr="00EF3B12" w:rsidR="00A954B1" w:rsidP="00531777" w:rsidRDefault="004E42D2">
      <w:pPr>
        <w:pStyle w:val="ListParagraph"/>
        <w:tabs>
          <w:tab w:val="left" w:pos="1440"/>
          <w:tab w:val="left" w:pos="5400"/>
        </w:tabs>
        <w:spacing w:after="0" w:line="240" w:lineRule="auto"/>
        <w:rPr>
          <w:rFonts w:ascii="Times New Roman" w:hAnsi="Times New Roman" w:cs="Times New Roman"/>
          <w:color w:val="000000" w:themeColor="text1"/>
          <w:sz w:val="24"/>
          <w:szCs w:val="24"/>
        </w:rPr>
      </w:pPr>
      <w:r w:rsidRPr="00EF3B12">
        <w:rPr>
          <w:rFonts w:ascii="Times New Roman" w:hAnsi="Times New Roman" w:cs="Times New Roman"/>
          <w:color w:val="000000" w:themeColor="text1"/>
          <w:sz w:val="24"/>
          <w:szCs w:val="24"/>
        </w:rPr>
        <w:t xml:space="preserve">The </w:t>
      </w:r>
      <w:r w:rsidRPr="00EF3B12" w:rsidR="00FC615E">
        <w:rPr>
          <w:rFonts w:ascii="Times New Roman" w:hAnsi="Times New Roman" w:cs="Times New Roman"/>
          <w:color w:val="000000" w:themeColor="text1"/>
          <w:sz w:val="24"/>
          <w:szCs w:val="24"/>
        </w:rPr>
        <w:t>FB</w:t>
      </w:r>
      <w:r w:rsidRPr="00EF3B12">
        <w:rPr>
          <w:rFonts w:ascii="Times New Roman" w:hAnsi="Times New Roman" w:cs="Times New Roman"/>
          <w:color w:val="000000" w:themeColor="text1"/>
          <w:sz w:val="24"/>
          <w:szCs w:val="24"/>
        </w:rPr>
        <w:t>I UCR Program will display the expiration d</w:t>
      </w:r>
      <w:r w:rsidRPr="00EF3B12" w:rsidR="00FC615E">
        <w:rPr>
          <w:rFonts w:ascii="Times New Roman" w:hAnsi="Times New Roman" w:cs="Times New Roman"/>
          <w:color w:val="000000" w:themeColor="text1"/>
          <w:sz w:val="24"/>
          <w:szCs w:val="24"/>
        </w:rPr>
        <w:t xml:space="preserve">ate and </w:t>
      </w:r>
      <w:r w:rsidRPr="00EF3B12" w:rsidR="00A954B1">
        <w:rPr>
          <w:rFonts w:ascii="Times New Roman" w:hAnsi="Times New Roman" w:cs="Times New Roman"/>
          <w:color w:val="000000" w:themeColor="text1"/>
          <w:sz w:val="24"/>
          <w:szCs w:val="24"/>
        </w:rPr>
        <w:t>O</w:t>
      </w:r>
      <w:r w:rsidRPr="00EF3B12">
        <w:rPr>
          <w:rFonts w:ascii="Times New Roman" w:hAnsi="Times New Roman" w:cs="Times New Roman"/>
          <w:color w:val="000000" w:themeColor="text1"/>
          <w:sz w:val="24"/>
          <w:szCs w:val="24"/>
        </w:rPr>
        <w:t xml:space="preserve">ffice of </w:t>
      </w:r>
      <w:r w:rsidRPr="00EF3B12" w:rsidR="00A954B1">
        <w:rPr>
          <w:rFonts w:ascii="Times New Roman" w:hAnsi="Times New Roman" w:cs="Times New Roman"/>
          <w:color w:val="000000" w:themeColor="text1"/>
          <w:sz w:val="24"/>
          <w:szCs w:val="24"/>
        </w:rPr>
        <w:t>M</w:t>
      </w:r>
      <w:r w:rsidRPr="00EF3B12">
        <w:rPr>
          <w:rFonts w:ascii="Times New Roman" w:hAnsi="Times New Roman" w:cs="Times New Roman"/>
          <w:color w:val="000000" w:themeColor="text1"/>
          <w:sz w:val="24"/>
          <w:szCs w:val="24"/>
        </w:rPr>
        <w:t xml:space="preserve">anagement and </w:t>
      </w:r>
      <w:r w:rsidRPr="00EF3B12" w:rsidR="00A954B1">
        <w:rPr>
          <w:rFonts w:ascii="Times New Roman" w:hAnsi="Times New Roman" w:cs="Times New Roman"/>
          <w:color w:val="000000" w:themeColor="text1"/>
          <w:sz w:val="24"/>
          <w:szCs w:val="24"/>
        </w:rPr>
        <w:t>B</w:t>
      </w:r>
      <w:r w:rsidRPr="00EF3B12">
        <w:rPr>
          <w:rFonts w:ascii="Times New Roman" w:hAnsi="Times New Roman" w:cs="Times New Roman"/>
          <w:color w:val="000000" w:themeColor="text1"/>
          <w:sz w:val="24"/>
          <w:szCs w:val="24"/>
        </w:rPr>
        <w:t>udget</w:t>
      </w:r>
      <w:r w:rsidRPr="00EF3B12" w:rsidR="00A954B1">
        <w:rPr>
          <w:rFonts w:ascii="Times New Roman" w:hAnsi="Times New Roman" w:cs="Times New Roman"/>
          <w:color w:val="000000" w:themeColor="text1"/>
          <w:sz w:val="24"/>
          <w:szCs w:val="24"/>
        </w:rPr>
        <w:t xml:space="preserve"> Clearance Number on the Microsoft Excel Summary Workbook.</w:t>
      </w:r>
    </w:p>
    <w:p w:rsidRPr="0092031B" w:rsidR="00A954B1" w:rsidP="004E42D2" w:rsidRDefault="00A954B1">
      <w:pPr>
        <w:pStyle w:val="ListParagraph"/>
        <w:tabs>
          <w:tab w:val="left" w:pos="1440"/>
          <w:tab w:val="left" w:pos="5400"/>
        </w:tabs>
        <w:spacing w:after="0" w:line="240" w:lineRule="auto"/>
        <w:rPr>
          <w:rFonts w:ascii="Times New Roman" w:hAnsi="Times New Roman" w:cs="Times New Roman"/>
          <w:sz w:val="24"/>
          <w:szCs w:val="24"/>
        </w:rPr>
      </w:pPr>
    </w:p>
    <w:p w:rsidRPr="0092031B" w:rsidR="00A954B1" w:rsidP="004E42D2" w:rsidRDefault="00A954B1">
      <w:pPr>
        <w:tabs>
          <w:tab w:val="left" w:pos="1440"/>
          <w:tab w:val="left" w:pos="5400"/>
        </w:tabs>
        <w:spacing w:after="0" w:line="240" w:lineRule="auto"/>
        <w:rPr>
          <w:rFonts w:ascii="Times New Roman" w:hAnsi="Times New Roman" w:cs="Times New Roman"/>
          <w:sz w:val="24"/>
          <w:szCs w:val="24"/>
        </w:rPr>
      </w:pPr>
    </w:p>
    <w:p w:rsidRPr="0092031B" w:rsidR="00A954B1" w:rsidP="00531777" w:rsidRDefault="00A954B1">
      <w:pPr>
        <w:pStyle w:val="ListParagraph"/>
        <w:numPr>
          <w:ilvl w:val="0"/>
          <w:numId w:val="2"/>
        </w:numPr>
        <w:tabs>
          <w:tab w:val="left" w:pos="1440"/>
          <w:tab w:val="left" w:pos="5400"/>
        </w:tabs>
        <w:spacing w:after="0" w:line="240" w:lineRule="auto"/>
        <w:rPr>
          <w:rFonts w:ascii="Times New Roman" w:hAnsi="Times New Roman" w:cs="Times New Roman"/>
          <w:sz w:val="24"/>
          <w:szCs w:val="24"/>
        </w:rPr>
      </w:pPr>
      <w:r w:rsidRPr="0092031B">
        <w:rPr>
          <w:rFonts w:ascii="Times New Roman" w:hAnsi="Times New Roman" w:cs="Times New Roman"/>
          <w:sz w:val="24"/>
          <w:szCs w:val="24"/>
          <w:u w:val="single"/>
        </w:rPr>
        <w:t>Exception to the Certification Statement</w:t>
      </w:r>
    </w:p>
    <w:p w:rsidRPr="0092031B" w:rsidR="00A954B1" w:rsidP="004E42D2" w:rsidRDefault="00A954B1">
      <w:pPr>
        <w:pStyle w:val="ListParagraph"/>
        <w:tabs>
          <w:tab w:val="left" w:pos="1440"/>
          <w:tab w:val="left" w:pos="5400"/>
        </w:tabs>
        <w:spacing w:after="0" w:line="240" w:lineRule="auto"/>
        <w:rPr>
          <w:rFonts w:ascii="Times New Roman" w:hAnsi="Times New Roman" w:cs="Times New Roman"/>
          <w:sz w:val="24"/>
          <w:szCs w:val="24"/>
          <w:u w:val="single"/>
        </w:rPr>
      </w:pPr>
    </w:p>
    <w:p w:rsidRPr="0092031B" w:rsidR="00A954B1" w:rsidP="00531777" w:rsidRDefault="00303977">
      <w:pPr>
        <w:pStyle w:val="ListParagraph"/>
        <w:tabs>
          <w:tab w:val="left" w:pos="1440"/>
          <w:tab w:val="left" w:pos="5400"/>
        </w:tabs>
        <w:spacing w:after="0" w:line="240" w:lineRule="auto"/>
        <w:rPr>
          <w:rFonts w:ascii="Times New Roman" w:hAnsi="Times New Roman" w:cs="Times New Roman"/>
          <w:sz w:val="24"/>
          <w:szCs w:val="24"/>
        </w:rPr>
      </w:pPr>
      <w:r w:rsidRPr="0092031B">
        <w:rPr>
          <w:rFonts w:ascii="Times New Roman" w:hAnsi="Times New Roman" w:cs="Times New Roman"/>
          <w:sz w:val="24"/>
          <w:szCs w:val="24"/>
        </w:rPr>
        <w:t xml:space="preserve">The </w:t>
      </w:r>
      <w:r w:rsidR="00E96954">
        <w:rPr>
          <w:rFonts w:ascii="Times New Roman" w:hAnsi="Times New Roman" w:cs="Times New Roman"/>
          <w:sz w:val="24"/>
          <w:szCs w:val="24"/>
        </w:rPr>
        <w:t>FBI CJIS Division i</w:t>
      </w:r>
      <w:r w:rsidRPr="0092031B" w:rsidR="00A954B1">
        <w:rPr>
          <w:rFonts w:ascii="Times New Roman" w:hAnsi="Times New Roman" w:cs="Times New Roman"/>
          <w:sz w:val="24"/>
          <w:szCs w:val="24"/>
        </w:rPr>
        <w:t>s not request</w:t>
      </w:r>
      <w:r w:rsidR="00E96954">
        <w:rPr>
          <w:rFonts w:ascii="Times New Roman" w:hAnsi="Times New Roman" w:cs="Times New Roman"/>
          <w:sz w:val="24"/>
          <w:szCs w:val="24"/>
        </w:rPr>
        <w:t>ing</w:t>
      </w:r>
      <w:r w:rsidRPr="0092031B" w:rsidR="00A954B1">
        <w:rPr>
          <w:rFonts w:ascii="Times New Roman" w:hAnsi="Times New Roman" w:cs="Times New Roman"/>
          <w:sz w:val="24"/>
          <w:szCs w:val="24"/>
        </w:rPr>
        <w:t xml:space="preserve"> an exception to the certification of this information collection. </w:t>
      </w:r>
    </w:p>
    <w:p w:rsidRPr="0092031B" w:rsidR="00A954B1" w:rsidP="002C7CDE" w:rsidRDefault="00A954B1">
      <w:pPr>
        <w:spacing w:after="0" w:line="240" w:lineRule="auto"/>
        <w:jc w:val="center"/>
        <w:rPr>
          <w:rFonts w:ascii="Times New Roman" w:hAnsi="Times New Roman" w:cs="Times New Roman"/>
          <w:b/>
          <w:sz w:val="24"/>
          <w:szCs w:val="24"/>
        </w:rPr>
      </w:pPr>
    </w:p>
    <w:p w:rsidRPr="0092031B" w:rsidR="00A954B1" w:rsidP="002C7CDE" w:rsidRDefault="00A954B1">
      <w:pPr>
        <w:pStyle w:val="ListParagraph"/>
        <w:tabs>
          <w:tab w:val="left" w:pos="1800"/>
          <w:tab w:val="left" w:pos="6840"/>
          <w:tab w:val="right" w:pos="8280"/>
        </w:tabs>
        <w:spacing w:after="0" w:line="240" w:lineRule="auto"/>
        <w:ind w:left="360"/>
        <w:jc w:val="both"/>
        <w:rPr>
          <w:rFonts w:ascii="Times New Roman" w:hAnsi="Times New Roman" w:cs="Times New Roman"/>
          <w:sz w:val="24"/>
          <w:szCs w:val="24"/>
        </w:rPr>
      </w:pPr>
      <w:r w:rsidRPr="0092031B">
        <w:rPr>
          <w:rFonts w:ascii="Times New Roman" w:hAnsi="Times New Roman" w:cs="Times New Roman"/>
          <w:sz w:val="24"/>
          <w:szCs w:val="24"/>
        </w:rPr>
        <w:t xml:space="preserve"> </w:t>
      </w:r>
    </w:p>
    <w:p w:rsidRPr="0092031B" w:rsidR="00BB42FD" w:rsidP="002C7CDE" w:rsidRDefault="00BB42FD">
      <w:pPr>
        <w:spacing w:after="0" w:line="240" w:lineRule="auto"/>
        <w:ind w:left="720"/>
        <w:rPr>
          <w:rFonts w:ascii="Times New Roman" w:hAnsi="Times New Roman" w:cs="Times New Roman"/>
          <w:sz w:val="24"/>
          <w:szCs w:val="24"/>
        </w:rPr>
      </w:pPr>
    </w:p>
    <w:p w:rsidRPr="0092031B" w:rsidR="00CF7A85" w:rsidP="002C7CDE" w:rsidRDefault="00CF7A85">
      <w:pPr>
        <w:spacing w:after="0" w:line="240" w:lineRule="auto"/>
        <w:rPr>
          <w:rFonts w:ascii="Times New Roman" w:hAnsi="Times New Roman" w:cs="Times New Roman"/>
          <w:sz w:val="24"/>
          <w:szCs w:val="24"/>
        </w:rPr>
      </w:pPr>
      <w:r w:rsidRPr="0092031B">
        <w:rPr>
          <w:rFonts w:ascii="Times New Roman" w:hAnsi="Times New Roman" w:cs="Times New Roman"/>
          <w:sz w:val="24"/>
          <w:szCs w:val="24"/>
        </w:rPr>
        <w:t xml:space="preserve"> </w:t>
      </w:r>
    </w:p>
    <w:sectPr w:rsidRPr="0092031B" w:rsidR="00CF7A85" w:rsidSect="001559A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CD" w:rsidRDefault="007E27CD" w:rsidP="00A954B1">
      <w:pPr>
        <w:spacing w:after="0" w:line="240" w:lineRule="auto"/>
      </w:pPr>
      <w:r>
        <w:separator/>
      </w:r>
    </w:p>
  </w:endnote>
  <w:endnote w:type="continuationSeparator" w:id="0">
    <w:p w:rsidR="007E27CD" w:rsidRDefault="007E27CD" w:rsidP="00A9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994422"/>
      <w:docPartObj>
        <w:docPartGallery w:val="Page Numbers (Bottom of Page)"/>
        <w:docPartUnique/>
      </w:docPartObj>
    </w:sdtPr>
    <w:sdtEndPr>
      <w:rPr>
        <w:rFonts w:ascii="Times New Roman" w:hAnsi="Times New Roman" w:cs="Times New Roman"/>
        <w:noProof/>
        <w:sz w:val="24"/>
        <w:szCs w:val="24"/>
      </w:rPr>
    </w:sdtEndPr>
    <w:sdtContent>
      <w:p w:rsidR="00157633" w:rsidRPr="00B61648" w:rsidRDefault="00157633">
        <w:pPr>
          <w:pStyle w:val="Footer"/>
          <w:jc w:val="center"/>
          <w:rPr>
            <w:rFonts w:ascii="Times New Roman" w:hAnsi="Times New Roman" w:cs="Times New Roman"/>
            <w:sz w:val="24"/>
            <w:szCs w:val="24"/>
          </w:rPr>
        </w:pPr>
        <w:r w:rsidRPr="00B61648">
          <w:rPr>
            <w:rFonts w:ascii="Times New Roman" w:hAnsi="Times New Roman" w:cs="Times New Roman"/>
            <w:sz w:val="24"/>
            <w:szCs w:val="24"/>
          </w:rPr>
          <w:fldChar w:fldCharType="begin"/>
        </w:r>
        <w:r w:rsidRPr="00B61648">
          <w:rPr>
            <w:rFonts w:ascii="Times New Roman" w:hAnsi="Times New Roman" w:cs="Times New Roman"/>
            <w:sz w:val="24"/>
            <w:szCs w:val="24"/>
          </w:rPr>
          <w:instrText xml:space="preserve"> PAGE   \* MERGEFORMAT </w:instrText>
        </w:r>
        <w:r w:rsidRPr="00B61648">
          <w:rPr>
            <w:rFonts w:ascii="Times New Roman" w:hAnsi="Times New Roman" w:cs="Times New Roman"/>
            <w:sz w:val="24"/>
            <w:szCs w:val="24"/>
          </w:rPr>
          <w:fldChar w:fldCharType="separate"/>
        </w:r>
        <w:r w:rsidR="005739E3">
          <w:rPr>
            <w:rFonts w:ascii="Times New Roman" w:hAnsi="Times New Roman" w:cs="Times New Roman"/>
            <w:noProof/>
            <w:sz w:val="24"/>
            <w:szCs w:val="24"/>
          </w:rPr>
          <w:t>2</w:t>
        </w:r>
        <w:r w:rsidRPr="00B61648">
          <w:rPr>
            <w:rFonts w:ascii="Times New Roman" w:hAnsi="Times New Roman" w:cs="Times New Roman"/>
            <w:noProof/>
            <w:sz w:val="24"/>
            <w:szCs w:val="24"/>
          </w:rPr>
          <w:fldChar w:fldCharType="end"/>
        </w:r>
      </w:p>
    </w:sdtContent>
  </w:sdt>
  <w:p w:rsidR="00157633" w:rsidRDefault="00157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CD" w:rsidRDefault="007E27CD" w:rsidP="00A954B1">
      <w:pPr>
        <w:spacing w:after="0" w:line="240" w:lineRule="auto"/>
      </w:pPr>
      <w:r>
        <w:separator/>
      </w:r>
    </w:p>
  </w:footnote>
  <w:footnote w:type="continuationSeparator" w:id="0">
    <w:p w:rsidR="007E27CD" w:rsidRDefault="007E27CD" w:rsidP="00A95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4A3D"/>
    <w:multiLevelType w:val="hybridMultilevel"/>
    <w:tmpl w:val="5E1EF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A47A9"/>
    <w:multiLevelType w:val="hybridMultilevel"/>
    <w:tmpl w:val="44E6B7FA"/>
    <w:lvl w:ilvl="0" w:tplc="382AF94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D7B25"/>
    <w:multiLevelType w:val="hybridMultilevel"/>
    <w:tmpl w:val="77A80A5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45654"/>
    <w:multiLevelType w:val="hybridMultilevel"/>
    <w:tmpl w:val="9328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8242C1"/>
    <w:multiLevelType w:val="hybridMultilevel"/>
    <w:tmpl w:val="6B6A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1579F8"/>
    <w:multiLevelType w:val="hybridMultilevel"/>
    <w:tmpl w:val="1CD69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F4ECA"/>
    <w:multiLevelType w:val="hybridMultilevel"/>
    <w:tmpl w:val="148ECB5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87"/>
    <w:rsid w:val="000008AF"/>
    <w:rsid w:val="00006099"/>
    <w:rsid w:val="000541A0"/>
    <w:rsid w:val="00087887"/>
    <w:rsid w:val="000A1B93"/>
    <w:rsid w:val="000C5D53"/>
    <w:rsid w:val="00104645"/>
    <w:rsid w:val="00104BB3"/>
    <w:rsid w:val="00110819"/>
    <w:rsid w:val="00125B2F"/>
    <w:rsid w:val="00150621"/>
    <w:rsid w:val="001559AE"/>
    <w:rsid w:val="00156E1A"/>
    <w:rsid w:val="00157633"/>
    <w:rsid w:val="00165B57"/>
    <w:rsid w:val="00191805"/>
    <w:rsid w:val="001A4403"/>
    <w:rsid w:val="001B261D"/>
    <w:rsid w:val="001C4FAA"/>
    <w:rsid w:val="001E0C02"/>
    <w:rsid w:val="001F5C11"/>
    <w:rsid w:val="002002EE"/>
    <w:rsid w:val="0021280A"/>
    <w:rsid w:val="002165A3"/>
    <w:rsid w:val="002315C9"/>
    <w:rsid w:val="00235D79"/>
    <w:rsid w:val="00250191"/>
    <w:rsid w:val="00250623"/>
    <w:rsid w:val="00257D15"/>
    <w:rsid w:val="00285CCF"/>
    <w:rsid w:val="00287FD3"/>
    <w:rsid w:val="002A2622"/>
    <w:rsid w:val="002B4422"/>
    <w:rsid w:val="002C7CDE"/>
    <w:rsid w:val="00301FCC"/>
    <w:rsid w:val="00303977"/>
    <w:rsid w:val="003473BE"/>
    <w:rsid w:val="003738D2"/>
    <w:rsid w:val="00397EBD"/>
    <w:rsid w:val="003A1425"/>
    <w:rsid w:val="003B1AE4"/>
    <w:rsid w:val="003E4660"/>
    <w:rsid w:val="004066A4"/>
    <w:rsid w:val="00423C77"/>
    <w:rsid w:val="00426046"/>
    <w:rsid w:val="004716B1"/>
    <w:rsid w:val="00494C1F"/>
    <w:rsid w:val="004E42D2"/>
    <w:rsid w:val="004F1649"/>
    <w:rsid w:val="004F24AD"/>
    <w:rsid w:val="00531777"/>
    <w:rsid w:val="00547A10"/>
    <w:rsid w:val="005739E3"/>
    <w:rsid w:val="005A67CC"/>
    <w:rsid w:val="005E04C0"/>
    <w:rsid w:val="0061525D"/>
    <w:rsid w:val="00630095"/>
    <w:rsid w:val="00641B0A"/>
    <w:rsid w:val="00670E78"/>
    <w:rsid w:val="00682527"/>
    <w:rsid w:val="00695126"/>
    <w:rsid w:val="006A64DE"/>
    <w:rsid w:val="006C1CD0"/>
    <w:rsid w:val="006F08DF"/>
    <w:rsid w:val="00730B3C"/>
    <w:rsid w:val="007362FF"/>
    <w:rsid w:val="0075364C"/>
    <w:rsid w:val="00770017"/>
    <w:rsid w:val="007A29DC"/>
    <w:rsid w:val="007E27CD"/>
    <w:rsid w:val="007F25E1"/>
    <w:rsid w:val="00815F16"/>
    <w:rsid w:val="008377F6"/>
    <w:rsid w:val="00842AA6"/>
    <w:rsid w:val="00857CD8"/>
    <w:rsid w:val="00874600"/>
    <w:rsid w:val="00874DD0"/>
    <w:rsid w:val="008B5712"/>
    <w:rsid w:val="008C2D3C"/>
    <w:rsid w:val="008E11A7"/>
    <w:rsid w:val="008F472B"/>
    <w:rsid w:val="00903821"/>
    <w:rsid w:val="00903835"/>
    <w:rsid w:val="009152B8"/>
    <w:rsid w:val="0092031B"/>
    <w:rsid w:val="00937A6C"/>
    <w:rsid w:val="00941D58"/>
    <w:rsid w:val="0094491C"/>
    <w:rsid w:val="00957B6B"/>
    <w:rsid w:val="00957D1A"/>
    <w:rsid w:val="00966E53"/>
    <w:rsid w:val="00997496"/>
    <w:rsid w:val="009C2D3B"/>
    <w:rsid w:val="00A445AF"/>
    <w:rsid w:val="00A52CC1"/>
    <w:rsid w:val="00A77949"/>
    <w:rsid w:val="00A91D71"/>
    <w:rsid w:val="00A954B1"/>
    <w:rsid w:val="00A968FE"/>
    <w:rsid w:val="00AA3C6F"/>
    <w:rsid w:val="00AC2C36"/>
    <w:rsid w:val="00AE2643"/>
    <w:rsid w:val="00AF7AE0"/>
    <w:rsid w:val="00B42B3A"/>
    <w:rsid w:val="00B469C8"/>
    <w:rsid w:val="00B61648"/>
    <w:rsid w:val="00B73ED5"/>
    <w:rsid w:val="00B7598C"/>
    <w:rsid w:val="00B76D06"/>
    <w:rsid w:val="00B8679C"/>
    <w:rsid w:val="00B921C8"/>
    <w:rsid w:val="00B926E3"/>
    <w:rsid w:val="00B92BA9"/>
    <w:rsid w:val="00B959CE"/>
    <w:rsid w:val="00BB42FD"/>
    <w:rsid w:val="00BB7745"/>
    <w:rsid w:val="00BD3988"/>
    <w:rsid w:val="00BE5E48"/>
    <w:rsid w:val="00BF20FB"/>
    <w:rsid w:val="00BF71E3"/>
    <w:rsid w:val="00C22E58"/>
    <w:rsid w:val="00C238E4"/>
    <w:rsid w:val="00C625CA"/>
    <w:rsid w:val="00CA6D9A"/>
    <w:rsid w:val="00CC0E3A"/>
    <w:rsid w:val="00CD1E33"/>
    <w:rsid w:val="00CF7714"/>
    <w:rsid w:val="00CF7A85"/>
    <w:rsid w:val="00D200D9"/>
    <w:rsid w:val="00D23D16"/>
    <w:rsid w:val="00D355CA"/>
    <w:rsid w:val="00D36E0A"/>
    <w:rsid w:val="00D452B1"/>
    <w:rsid w:val="00D61165"/>
    <w:rsid w:val="00D82CD5"/>
    <w:rsid w:val="00D97603"/>
    <w:rsid w:val="00DA3B6A"/>
    <w:rsid w:val="00DD34FE"/>
    <w:rsid w:val="00DD7292"/>
    <w:rsid w:val="00E148C2"/>
    <w:rsid w:val="00E61AB4"/>
    <w:rsid w:val="00E64F6A"/>
    <w:rsid w:val="00E90DB2"/>
    <w:rsid w:val="00E96954"/>
    <w:rsid w:val="00E973BF"/>
    <w:rsid w:val="00E97984"/>
    <w:rsid w:val="00EA0F78"/>
    <w:rsid w:val="00EB50B0"/>
    <w:rsid w:val="00EF3B12"/>
    <w:rsid w:val="00EF6103"/>
    <w:rsid w:val="00F04815"/>
    <w:rsid w:val="00F260B6"/>
    <w:rsid w:val="00F41A8B"/>
    <w:rsid w:val="00F61828"/>
    <w:rsid w:val="00F95ECD"/>
    <w:rsid w:val="00FB3779"/>
    <w:rsid w:val="00FB5A45"/>
    <w:rsid w:val="00FB787F"/>
    <w:rsid w:val="00FB7E25"/>
    <w:rsid w:val="00FC615E"/>
    <w:rsid w:val="00FE4EFA"/>
    <w:rsid w:val="00FF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3CF4D-577C-4466-899C-F1235C14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61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887"/>
    <w:pPr>
      <w:ind w:left="720"/>
      <w:contextualSpacing/>
    </w:pPr>
  </w:style>
  <w:style w:type="character" w:styleId="Hyperlink">
    <w:name w:val="Hyperlink"/>
    <w:basedOn w:val="DefaultParagraphFont"/>
    <w:uiPriority w:val="99"/>
    <w:unhideWhenUsed/>
    <w:rsid w:val="00CF7A85"/>
    <w:rPr>
      <w:color w:val="0563C1" w:themeColor="hyperlink"/>
      <w:u w:val="single"/>
    </w:rPr>
  </w:style>
  <w:style w:type="paragraph" w:styleId="Header">
    <w:name w:val="header"/>
    <w:basedOn w:val="Normal"/>
    <w:link w:val="HeaderChar"/>
    <w:uiPriority w:val="99"/>
    <w:unhideWhenUsed/>
    <w:rsid w:val="00A9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4B1"/>
  </w:style>
  <w:style w:type="paragraph" w:styleId="Footer">
    <w:name w:val="footer"/>
    <w:basedOn w:val="Normal"/>
    <w:link w:val="FooterChar"/>
    <w:uiPriority w:val="99"/>
    <w:unhideWhenUsed/>
    <w:rsid w:val="00A9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B1"/>
  </w:style>
  <w:style w:type="paragraph" w:styleId="BalloonText">
    <w:name w:val="Balloon Text"/>
    <w:basedOn w:val="Normal"/>
    <w:link w:val="BalloonTextChar"/>
    <w:uiPriority w:val="99"/>
    <w:semiHidden/>
    <w:unhideWhenUsed/>
    <w:rsid w:val="00547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A10"/>
    <w:rPr>
      <w:rFonts w:ascii="Segoe UI" w:hAnsi="Segoe UI" w:cs="Segoe UI"/>
      <w:sz w:val="18"/>
      <w:szCs w:val="18"/>
    </w:rPr>
  </w:style>
  <w:style w:type="character" w:customStyle="1" w:styleId="Heading3Char">
    <w:name w:val="Heading 3 Char"/>
    <w:basedOn w:val="DefaultParagraphFont"/>
    <w:link w:val="Heading3"/>
    <w:uiPriority w:val="9"/>
    <w:rsid w:val="00B61648"/>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E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7230">
      <w:bodyDiv w:val="1"/>
      <w:marLeft w:val="0"/>
      <w:marRight w:val="0"/>
      <w:marTop w:val="0"/>
      <w:marBottom w:val="0"/>
      <w:divBdr>
        <w:top w:val="none" w:sz="0" w:space="0" w:color="auto"/>
        <w:left w:val="none" w:sz="0" w:space="0" w:color="auto"/>
        <w:bottom w:val="none" w:sz="0" w:space="0" w:color="auto"/>
        <w:right w:val="none" w:sz="0" w:space="0" w:color="auto"/>
      </w:divBdr>
    </w:div>
    <w:div w:id="1425878083">
      <w:bodyDiv w:val="1"/>
      <w:marLeft w:val="0"/>
      <w:marRight w:val="0"/>
      <w:marTop w:val="0"/>
      <w:marBottom w:val="0"/>
      <w:divBdr>
        <w:top w:val="none" w:sz="0" w:space="0" w:color="auto"/>
        <w:left w:val="none" w:sz="0" w:space="0" w:color="auto"/>
        <w:bottom w:val="none" w:sz="0" w:space="0" w:color="auto"/>
        <w:right w:val="none" w:sz="0" w:space="0" w:color="auto"/>
      </w:divBdr>
    </w:div>
    <w:div w:id="1672637405">
      <w:bodyDiv w:val="1"/>
      <w:marLeft w:val="0"/>
      <w:marRight w:val="0"/>
      <w:marTop w:val="0"/>
      <w:marBottom w:val="0"/>
      <w:divBdr>
        <w:top w:val="none" w:sz="0" w:space="0" w:color="auto"/>
        <w:left w:val="none" w:sz="0" w:space="0" w:color="auto"/>
        <w:bottom w:val="none" w:sz="0" w:space="0" w:color="auto"/>
        <w:right w:val="none" w:sz="0" w:space="0" w:color="auto"/>
      </w:divBdr>
    </w:div>
    <w:div w:id="17525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4EE9-00C2-4651-AA37-E7286B01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Vavra, Malissa C. (CJIS) (FBI)</cp:lastModifiedBy>
  <cp:revision>2</cp:revision>
  <cp:lastPrinted>2020-10-29T15:58:00Z</cp:lastPrinted>
  <dcterms:created xsi:type="dcterms:W3CDTF">2020-10-29T19:06:00Z</dcterms:created>
  <dcterms:modified xsi:type="dcterms:W3CDTF">2020-10-29T19:06:00Z</dcterms:modified>
</cp:coreProperties>
</file>