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77777777">
      <w:pPr>
        <w:tabs>
          <w:tab w:val="left" w:pos="1080"/>
        </w:tabs>
        <w:ind w:left="1080" w:hanging="1080"/>
      </w:pPr>
      <w:r w:rsidRPr="004E0796">
        <w:rPr>
          <w:b/>
          <w:bCs/>
        </w:rPr>
        <w:t>To:</w:t>
      </w:r>
      <w:r w:rsidRPr="004E0796">
        <w:tab/>
      </w:r>
      <w:r>
        <w:t>Josh Brammer</w:t>
      </w:r>
      <w:r w:rsidRPr="004E0796">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CC44FA4">
      <w:pPr>
        <w:tabs>
          <w:tab w:val="left" w:pos="1080"/>
        </w:tabs>
        <w:ind w:left="1080" w:hanging="1080"/>
      </w:pPr>
      <w:r w:rsidRPr="004E0796">
        <w:rPr>
          <w:b/>
          <w:bCs/>
        </w:rPr>
        <w:t>From:</w:t>
      </w:r>
      <w:r w:rsidRPr="004E0796">
        <w:tab/>
      </w:r>
      <w:r w:rsidR="00F66F9A">
        <w:t>Caryn Blitz</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8E553A9">
      <w:pPr>
        <w:tabs>
          <w:tab w:val="left" w:pos="1080"/>
        </w:tabs>
      </w:pPr>
      <w:r w:rsidRPr="004E0796">
        <w:rPr>
          <w:b/>
          <w:bCs/>
        </w:rPr>
        <w:t>Date:</w:t>
      </w:r>
      <w:r w:rsidRPr="004E0796">
        <w:tab/>
      </w:r>
      <w:r w:rsidR="007E6CD9">
        <w:t xml:space="preserve">July </w:t>
      </w:r>
      <w:r w:rsidR="00317F46">
        <w:t>24</w:t>
      </w:r>
      <w:r w:rsidR="00BB10D3">
        <w:t>, 2020</w:t>
      </w:r>
    </w:p>
    <w:p w:rsidRPr="004E0796" w:rsidR="0005680D" w:rsidP="0005680D" w:rsidRDefault="0005680D" w14:paraId="7B991363" w14:textId="77777777">
      <w:pPr>
        <w:tabs>
          <w:tab w:val="left" w:pos="1080"/>
        </w:tabs>
      </w:pPr>
    </w:p>
    <w:p w:rsidR="0005680D" w:rsidP="0005680D" w:rsidRDefault="0005680D" w14:paraId="3A89B6CD" w14:textId="25A76015">
      <w:pPr>
        <w:pBdr>
          <w:bottom w:val="single" w:color="auto" w:sz="12" w:space="1"/>
        </w:pBdr>
        <w:tabs>
          <w:tab w:val="left" w:pos="1080"/>
        </w:tabs>
        <w:ind w:left="1080" w:hanging="1080"/>
      </w:pPr>
      <w:r w:rsidRPr="004E0796">
        <w:rPr>
          <w:b/>
          <w:bCs/>
        </w:rPr>
        <w:t>Subject:</w:t>
      </w:r>
      <w:r w:rsidRPr="004E0796">
        <w:tab/>
      </w:r>
      <w:r>
        <w:t>Non</w:t>
      </w:r>
      <w:r w:rsidR="00C41CF0">
        <w:t>-</w:t>
      </w:r>
      <w:r>
        <w:t xml:space="preserve">Substantive Change Request – </w:t>
      </w:r>
      <w:r w:rsidR="00F66F9A">
        <w:t>Evaluation Studies of the Runaway and Homeless Youth Transitional Living Program (OMB #0970-0383</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123EA2" w:rsidR="00E525D4" w:rsidP="00413579" w:rsidRDefault="0005680D" w14:paraId="494EB7FC" w14:textId="1965BA83">
      <w:pPr>
        <w:contextualSpacing/>
      </w:pPr>
      <w:r w:rsidRPr="00705846">
        <w:t>This memo requests approval of non</w:t>
      </w:r>
      <w:r w:rsidR="00D57CF5">
        <w:t>-</w:t>
      </w:r>
      <w:r w:rsidRPr="00705846">
        <w:t xml:space="preserve">substantive changes to the approved information collection, </w:t>
      </w:r>
      <w:r w:rsidRPr="00123EA2" w:rsidR="00F66F9A">
        <w:t>Evaluation Studies of the Runaway and Homeless Youth Transitional Living Program</w:t>
      </w:r>
      <w:r w:rsidR="007B3EE2">
        <w:t xml:space="preserve"> (TLP)</w:t>
      </w:r>
      <w:r w:rsidRPr="00123EA2" w:rsidR="00F66F9A">
        <w:t xml:space="preserve"> (OMB #0970-0383)</w:t>
      </w:r>
    </w:p>
    <w:p w:rsidR="0005680D" w:rsidP="00413579" w:rsidRDefault="0005680D" w14:paraId="6BF529D8" w14:textId="77777777">
      <w:pPr>
        <w:contextualSpacing/>
      </w:pPr>
    </w:p>
    <w:p w:rsidR="007B3EE2" w:rsidP="007B3EE2" w:rsidRDefault="007B3EE2" w14:paraId="159697D2" w14:textId="537BD79A">
      <w:pPr>
        <w:contextualSpacing/>
      </w:pPr>
      <w:r>
        <w:t>The</w:t>
      </w:r>
      <w:r w:rsidR="00317F46">
        <w:t xml:space="preserve"> requested changes include</w:t>
      </w:r>
      <w:r>
        <w:t xml:space="preserve"> (1) </w:t>
      </w:r>
      <w:r w:rsidR="0057372C">
        <w:t>revising</w:t>
      </w:r>
      <w:r w:rsidRPr="00921B10" w:rsidR="0057372C">
        <w:t xml:space="preserve"> </w:t>
      </w:r>
      <w:r w:rsidRPr="00921B10">
        <w:t xml:space="preserve">the study design from a pre-post outcomes study </w:t>
      </w:r>
      <w:r>
        <w:t xml:space="preserve">to a descriptive outcomes study </w:t>
      </w:r>
      <w:r w:rsidRPr="00921B10">
        <w:t xml:space="preserve">with fewer </w:t>
      </w:r>
      <w:r w:rsidR="009507B2">
        <w:t xml:space="preserve">in-person </w:t>
      </w:r>
      <w:r w:rsidRPr="00921B10">
        <w:t>data collection time points</w:t>
      </w:r>
      <w:r w:rsidR="00D870C0">
        <w:t xml:space="preserve"> (this will result in an overall reduction in burden)</w:t>
      </w:r>
      <w:r>
        <w:t>, and (2) collect</w:t>
      </w:r>
      <w:r w:rsidR="0057372C">
        <w:t>ing</w:t>
      </w:r>
      <w:r>
        <w:t xml:space="preserve"> information to help us understand the ways the </w:t>
      </w:r>
      <w:r w:rsidRPr="00733ACA">
        <w:t>novel Coronavirus</w:t>
      </w:r>
      <w:r>
        <w:t>/COVID-19 pandemic has affected TLP services and outcomes among r</w:t>
      </w:r>
      <w:r w:rsidRPr="00540C31">
        <w:t>unaway and homeless youth (</w:t>
      </w:r>
      <w:r>
        <w:t xml:space="preserve">RHY). </w:t>
      </w:r>
    </w:p>
    <w:p w:rsidRPr="00123EA2" w:rsidR="007B3EE2" w:rsidP="00413579" w:rsidRDefault="007B3EE2" w14:paraId="4D4B0424" w14:textId="77777777">
      <w:pPr>
        <w:contextualSpacing/>
      </w:pPr>
    </w:p>
    <w:p w:rsidRPr="00836560" w:rsidR="0005680D" w:rsidP="00836560" w:rsidRDefault="0005680D" w14:paraId="37532181" w14:textId="77777777">
      <w:pPr>
        <w:spacing w:after="120"/>
        <w:rPr>
          <w:b/>
          <w:i/>
        </w:rPr>
      </w:pPr>
      <w:r w:rsidRPr="00836560">
        <w:rPr>
          <w:b/>
          <w:i/>
        </w:rPr>
        <w:t>Background</w:t>
      </w:r>
    </w:p>
    <w:p w:rsidR="007B3EE2" w:rsidP="007B3EE2" w:rsidRDefault="00836560" w14:paraId="115DCB65" w14:textId="61CF0860">
      <w:pPr>
        <w:contextualSpacing/>
      </w:pPr>
      <w:r>
        <w:t>T</w:t>
      </w:r>
      <w:r w:rsidR="007B3EE2">
        <w:t>he COVID-19 pandemic</w:t>
      </w:r>
      <w:r w:rsidR="00D870C0">
        <w:t xml:space="preserve"> began just prior to the start of planned data collection</w:t>
      </w:r>
      <w:r w:rsidR="005858DC">
        <w:t xml:space="preserve"> </w:t>
      </w:r>
      <w:r w:rsidR="001C3B7D">
        <w:t>with</w:t>
      </w:r>
      <w:r w:rsidR="005858DC">
        <w:t xml:space="preserve"> youth </w:t>
      </w:r>
      <w:r w:rsidR="001C3B7D">
        <w:t>served in</w:t>
      </w:r>
      <w:r w:rsidR="005858DC">
        <w:t xml:space="preserve"> </w:t>
      </w:r>
      <w:r w:rsidR="001C3B7D">
        <w:t xml:space="preserve">a sample of </w:t>
      </w:r>
      <w:r w:rsidR="005858DC">
        <w:t xml:space="preserve">TLP programs </w:t>
      </w:r>
      <w:r w:rsidR="009507B2">
        <w:t xml:space="preserve">that had been recruited from </w:t>
      </w:r>
      <w:r w:rsidR="005858DC">
        <w:t>across the county</w:t>
      </w:r>
      <w:r>
        <w:t>. In light of the pandemic</w:t>
      </w:r>
      <w:r w:rsidR="007B3EE2">
        <w:t>, ACF</w:t>
      </w:r>
      <w:r w:rsidR="005858DC">
        <w:t xml:space="preserve"> consulted with its TLP </w:t>
      </w:r>
      <w:r w:rsidR="00D870C0">
        <w:t>grant project officers</w:t>
      </w:r>
      <w:r w:rsidR="005858DC">
        <w:t xml:space="preserve"> to understand challenges </w:t>
      </w:r>
      <w:r w:rsidR="00F83FCE">
        <w:t xml:space="preserve">grantees were experiencing in the field related to the pandemic, and what concerns </w:t>
      </w:r>
      <w:r w:rsidR="009507B2">
        <w:t xml:space="preserve">study </w:t>
      </w:r>
      <w:r w:rsidR="00F83FCE">
        <w:t xml:space="preserve">grantees </w:t>
      </w:r>
      <w:r w:rsidR="001C3B7D">
        <w:t xml:space="preserve">were raising </w:t>
      </w:r>
      <w:r w:rsidR="00F83FCE">
        <w:t xml:space="preserve">related to the potential added burden of study participation at this time.  ACF </w:t>
      </w:r>
      <w:r w:rsidR="0057372C">
        <w:t>is now proposing</w:t>
      </w:r>
      <w:r w:rsidR="00F83FCE">
        <w:t xml:space="preserve"> </w:t>
      </w:r>
      <w:r w:rsidR="00D870C0">
        <w:t>revis</w:t>
      </w:r>
      <w:r w:rsidR="00F83FCE">
        <w:t>ions to</w:t>
      </w:r>
      <w:r w:rsidR="00D870C0">
        <w:t xml:space="preserve"> the </w:t>
      </w:r>
      <w:r w:rsidR="001C3B7D">
        <w:t xml:space="preserve">approved </w:t>
      </w:r>
      <w:r w:rsidR="00B9214E">
        <w:t>information</w:t>
      </w:r>
      <w:r w:rsidR="001C3B7D">
        <w:t xml:space="preserve"> collection </w:t>
      </w:r>
      <w:r w:rsidR="00D870C0">
        <w:t>in order to r</w:t>
      </w:r>
      <w:r w:rsidR="00317F46">
        <w:t xml:space="preserve">educe overall </w:t>
      </w:r>
      <w:r w:rsidR="00F83FCE">
        <w:t>burden on participants</w:t>
      </w:r>
      <w:r w:rsidR="00D870C0">
        <w:t xml:space="preserve"> and </w:t>
      </w:r>
      <w:r w:rsidR="001C3B7D">
        <w:t xml:space="preserve">reduce </w:t>
      </w:r>
      <w:r w:rsidR="00D870C0">
        <w:t xml:space="preserve">reliance on in-person data collection. Specifically, we </w:t>
      </w:r>
      <w:r w:rsidR="00F83FCE">
        <w:t>have determined</w:t>
      </w:r>
      <w:r w:rsidR="007B3EE2">
        <w:t xml:space="preserve"> that </w:t>
      </w:r>
      <w:r w:rsidRPr="00123EA2" w:rsidR="007B3EE2">
        <w:t xml:space="preserve">reliance on </w:t>
      </w:r>
      <w:r w:rsidR="007B3EE2">
        <w:t xml:space="preserve">lengthy </w:t>
      </w:r>
      <w:r w:rsidRPr="00123EA2" w:rsidR="007B3EE2">
        <w:t xml:space="preserve">surveys </w:t>
      </w:r>
      <w:r w:rsidR="007B3EE2">
        <w:t xml:space="preserve">to follow the outcomes of runaway and homeless </w:t>
      </w:r>
      <w:r w:rsidRPr="00123EA2" w:rsidR="007B3EE2">
        <w:t xml:space="preserve">youth </w:t>
      </w:r>
      <w:r w:rsidR="007B3EE2">
        <w:t>over time is not the right option given health concerns about in-person survey administration, the local and state variation in stay-at-home orders, and other constraints on time and resources available for the evaluation. Because the emergence of COVID-19 has implications for the program services and outcomes central to the study—housing, education, and employment among an extremely vulnerable population—it is also important that the study account for TLP youths</w:t>
      </w:r>
      <w:r w:rsidR="000560E6">
        <w:t>’</w:t>
      </w:r>
      <w:r w:rsidR="007B3EE2">
        <w:t xml:space="preserve"> COVID-19-related experiences.</w:t>
      </w:r>
    </w:p>
    <w:p w:rsidR="007B3EE2" w:rsidP="007B3EE2" w:rsidRDefault="007B3EE2" w14:paraId="56509910" w14:textId="77777777">
      <w:pPr>
        <w:contextualSpacing/>
      </w:pPr>
    </w:p>
    <w:p w:rsidRPr="00123EA2" w:rsidR="00852CEC" w:rsidP="00B578EF" w:rsidRDefault="007B3EE2" w14:paraId="7AAE38C6" w14:textId="7808D14D">
      <w:r>
        <w:t xml:space="preserve">A descriptive study that relies primarily on </w:t>
      </w:r>
      <w:r w:rsidRPr="00E940D5">
        <w:t>existing administrative data</w:t>
      </w:r>
      <w:r>
        <w:t>, program data,</w:t>
      </w:r>
      <w:r w:rsidRPr="00E940D5">
        <w:t xml:space="preserve"> </w:t>
      </w:r>
      <w:r>
        <w:t>and a</w:t>
      </w:r>
      <w:r w:rsidRPr="00E940D5">
        <w:t xml:space="preserve"> brief survey of youth at baseline </w:t>
      </w:r>
      <w:r>
        <w:t xml:space="preserve">is better suited to answer the research questions, given the current public health context, available time, and resources. </w:t>
      </w:r>
    </w:p>
    <w:p w:rsidRPr="00123EA2" w:rsidR="00852CEC" w:rsidP="00C41CF0" w:rsidRDefault="00852CEC" w14:paraId="08310A34" w14:textId="77777777">
      <w:pPr>
        <w:pStyle w:val="CommentText"/>
        <w:rPr>
          <w:sz w:val="24"/>
          <w:szCs w:val="24"/>
        </w:rPr>
      </w:pPr>
    </w:p>
    <w:p w:rsidRPr="00705846" w:rsidR="0005680D" w:rsidP="00413579" w:rsidRDefault="0005680D" w14:paraId="2B14ECA7" w14:textId="77777777">
      <w:pPr>
        <w:contextualSpacing/>
      </w:pPr>
    </w:p>
    <w:p w:rsidR="00895FFC" w:rsidRDefault="00895FFC" w14:paraId="47751C71" w14:textId="77777777">
      <w:pPr>
        <w:widowControl/>
        <w:suppressAutoHyphens w:val="0"/>
        <w:spacing w:after="160" w:line="259" w:lineRule="auto"/>
        <w:rPr>
          <w:b/>
          <w:i/>
        </w:rPr>
      </w:pPr>
      <w:r>
        <w:rPr>
          <w:b/>
          <w:i/>
        </w:rPr>
        <w:br w:type="page"/>
      </w:r>
    </w:p>
    <w:p w:rsidRPr="003D084C" w:rsidR="00317F46" w:rsidP="00317F46" w:rsidRDefault="00317F46" w14:paraId="51DF26DF" w14:textId="77777777">
      <w:pPr>
        <w:widowControl/>
        <w:suppressAutoHyphens w:val="0"/>
        <w:spacing w:after="120" w:line="259" w:lineRule="auto"/>
        <w:rPr>
          <w:b/>
          <w:i/>
        </w:rPr>
      </w:pPr>
      <w:r w:rsidRPr="003D084C">
        <w:rPr>
          <w:b/>
          <w:i/>
        </w:rPr>
        <w:lastRenderedPageBreak/>
        <w:t xml:space="preserve">Time Sensitivities </w:t>
      </w:r>
    </w:p>
    <w:p w:rsidRPr="00107992" w:rsidR="00317F46" w:rsidP="00317F46" w:rsidRDefault="00317F46" w14:paraId="78E30A9B" w14:textId="77777777">
      <w:r w:rsidRPr="003D084C">
        <w:t>Due to time constraints on the funds available for the evaluation, the outcomes study (</w:t>
      </w:r>
      <w:r>
        <w:t xml:space="preserve">data </w:t>
      </w:r>
      <w:r w:rsidRPr="003D084C">
        <w:t xml:space="preserve">collection </w:t>
      </w:r>
      <w:r w:rsidRPr="00C67B49">
        <w:rPr>
          <w:i/>
        </w:rPr>
        <w:t xml:space="preserve">and </w:t>
      </w:r>
      <w:r w:rsidRPr="003D084C">
        <w:t xml:space="preserve">reporting) must be completed by September 30, 2021. </w:t>
      </w:r>
      <w:r>
        <w:t>T</w:t>
      </w:r>
      <w:r w:rsidRPr="003D084C">
        <w:t xml:space="preserve">o complete the study within the allotted timeframe, </w:t>
      </w:r>
      <w:r>
        <w:t xml:space="preserve">participant </w:t>
      </w:r>
      <w:r w:rsidRPr="003D084C">
        <w:t>enrollment into the outc</w:t>
      </w:r>
      <w:r>
        <w:t>omes study will need to begin by early August</w:t>
      </w:r>
      <w:r w:rsidRPr="003D084C">
        <w:t xml:space="preserve"> 2020. A delay in launching study enrollment will result in a reduction of the number of quarters of post-enrollment administrative data that can be collected from NDNH within the study timeline and will have a severe negative impact on data analysis for the study because fewer quarters of post-enrollment employment data will be available for analysis</w:t>
      </w:r>
      <w:r w:rsidRPr="00107992">
        <w:t xml:space="preserve">. </w:t>
      </w:r>
    </w:p>
    <w:p w:rsidR="00317F46" w:rsidP="00164656" w:rsidRDefault="00317F46" w14:paraId="03CF5B62" w14:textId="77777777">
      <w:pPr>
        <w:spacing w:after="120"/>
        <w:rPr>
          <w:b/>
          <w:i/>
        </w:rPr>
      </w:pPr>
    </w:p>
    <w:p w:rsidRPr="00164656" w:rsidR="0005680D" w:rsidP="00164656" w:rsidRDefault="0005680D" w14:paraId="5CC77B63" w14:textId="066FA310">
      <w:pPr>
        <w:spacing w:after="120"/>
        <w:rPr>
          <w:b/>
          <w:i/>
        </w:rPr>
      </w:pPr>
      <w:r w:rsidRPr="00164656">
        <w:rPr>
          <w:b/>
          <w:i/>
        </w:rPr>
        <w:t>Overview of Requested Changes</w:t>
      </w:r>
    </w:p>
    <w:p w:rsidRPr="00836560" w:rsidR="00836560" w:rsidP="00836560" w:rsidRDefault="00836560" w14:paraId="6FD12850" w14:textId="7FD63156">
      <w:pPr>
        <w:pStyle w:val="CommentText"/>
        <w:rPr>
          <w:sz w:val="24"/>
          <w:szCs w:val="24"/>
        </w:rPr>
      </w:pPr>
      <w:r w:rsidRPr="00836560">
        <w:rPr>
          <w:sz w:val="24"/>
          <w:szCs w:val="24"/>
        </w:rPr>
        <w:t xml:space="preserve">This change request proposes to modify the study design from the current pretest-posttest outcomes study design to a descriptive study design that will report on the means and frequencies of youth characteristics and outcomes before, during, and after TLP participation. The study will examine longitudinal trends in outcomes for a sample of up to 400 TLP youth, which reduces the number of respondents. </w:t>
      </w:r>
    </w:p>
    <w:p w:rsidRPr="00836560" w:rsidR="00836560" w:rsidP="00836560" w:rsidRDefault="00836560" w14:paraId="46047DEC" w14:textId="77777777">
      <w:pPr>
        <w:pStyle w:val="CommentText"/>
        <w:rPr>
          <w:sz w:val="24"/>
          <w:szCs w:val="24"/>
        </w:rPr>
      </w:pPr>
    </w:p>
    <w:p w:rsidRPr="00836560" w:rsidR="00836560" w:rsidP="00836560" w:rsidRDefault="00836560" w14:paraId="3E588543" w14:textId="782C2BF6">
      <w:pPr>
        <w:pStyle w:val="CommentText"/>
        <w:rPr>
          <w:sz w:val="24"/>
          <w:szCs w:val="24"/>
        </w:rPr>
      </w:pPr>
      <w:r w:rsidRPr="00836560">
        <w:rPr>
          <w:sz w:val="24"/>
          <w:szCs w:val="24"/>
        </w:rPr>
        <w:t xml:space="preserve">Under the revised study design, data to inform the study’s key outcomes will be obtained primarily from existing administrative data sources, with one brief survey of youth at baseline to collect background information. The administrative data sources will be the National Student Clearinghouse (NSC), National Directory of New Hires (NDNH), and TLP program data. This revision will reduce the burden on youth study participants from 1,104 hours to </w:t>
      </w:r>
      <w:r w:rsidRPr="00836560">
        <w:rPr>
          <w:rFonts w:eastAsia="Calibri"/>
          <w:kern w:val="0"/>
          <w:sz w:val="24"/>
          <w:szCs w:val="24"/>
        </w:rPr>
        <w:t>659</w:t>
      </w:r>
      <w:r w:rsidRPr="00836560">
        <w:rPr>
          <w:sz w:val="24"/>
          <w:szCs w:val="24"/>
        </w:rPr>
        <w:t xml:space="preserve"> hours. </w:t>
      </w:r>
    </w:p>
    <w:p w:rsidR="00836560" w:rsidP="00413579" w:rsidRDefault="00836560" w14:paraId="01D73CD1" w14:textId="77777777">
      <w:pPr>
        <w:contextualSpacing/>
        <w:rPr>
          <w:i/>
        </w:rPr>
      </w:pPr>
    </w:p>
    <w:p w:rsidRPr="004475DA" w:rsidR="007B7EA1" w:rsidP="009464E4" w:rsidRDefault="003A455B" w14:paraId="33D00915" w14:textId="4EE35240">
      <w:pPr>
        <w:spacing w:after="60"/>
        <w:contextualSpacing/>
        <w:rPr>
          <w:i/>
        </w:rPr>
      </w:pPr>
      <w:r w:rsidRPr="004475DA">
        <w:rPr>
          <w:i/>
        </w:rPr>
        <w:t>Changes to the Study Design</w:t>
      </w:r>
      <w:r w:rsidRPr="004475DA" w:rsidR="007B7EA1">
        <w:rPr>
          <w:i/>
        </w:rPr>
        <w:t>:</w:t>
      </w:r>
    </w:p>
    <w:p w:rsidRPr="00123EA2" w:rsidR="00413579" w:rsidP="00413579" w:rsidRDefault="00413579" w14:paraId="5D7A9A2A" w14:textId="29C110CF">
      <w:pPr>
        <w:numPr>
          <w:ilvl w:val="0"/>
          <w:numId w:val="4"/>
        </w:numPr>
        <w:contextualSpacing/>
      </w:pPr>
      <w:r w:rsidRPr="00705846">
        <w:rPr>
          <w:b/>
        </w:rPr>
        <w:t>Change</w:t>
      </w:r>
      <w:r w:rsidRPr="00705846">
        <w:t xml:space="preserve"> the study </w:t>
      </w:r>
      <w:r w:rsidRPr="004475DA">
        <w:t>design from</w:t>
      </w:r>
      <w:r w:rsidRPr="00705846">
        <w:t xml:space="preserve"> a pre</w:t>
      </w:r>
      <w:r w:rsidR="000B6AA0">
        <w:t>test</w:t>
      </w:r>
      <w:r w:rsidRPr="00705846">
        <w:t>-post</w:t>
      </w:r>
      <w:r w:rsidR="000B6AA0">
        <w:t>test</w:t>
      </w:r>
      <w:r w:rsidRPr="00705846">
        <w:t xml:space="preserve"> outcomes study (examining change from baseline to 6 months later and 12 months later) </w:t>
      </w:r>
      <w:r w:rsidRPr="004475DA">
        <w:t>to</w:t>
      </w:r>
      <w:r w:rsidRPr="00123EA2">
        <w:t xml:space="preserve"> a descriptive study that will report on outcome means and frequencies and use latent </w:t>
      </w:r>
      <w:r w:rsidR="00852780">
        <w:t xml:space="preserve">growth </w:t>
      </w:r>
      <w:r w:rsidRPr="00123EA2">
        <w:t xml:space="preserve">curve analysis </w:t>
      </w:r>
      <w:r w:rsidR="00852780">
        <w:t xml:space="preserve">and survival analysis </w:t>
      </w:r>
      <w:r w:rsidRPr="00123EA2">
        <w:t xml:space="preserve">to examine average longitudinal trends in outcomes for the sample (before, during, and after program participation). </w:t>
      </w:r>
    </w:p>
    <w:p w:rsidRPr="00123EA2" w:rsidR="00413579" w:rsidP="00413579" w:rsidRDefault="00413579" w14:paraId="437928DB" w14:textId="54D21DF8">
      <w:pPr>
        <w:numPr>
          <w:ilvl w:val="0"/>
          <w:numId w:val="4"/>
        </w:numPr>
        <w:contextualSpacing/>
      </w:pPr>
      <w:r w:rsidRPr="00123EA2">
        <w:rPr>
          <w:b/>
        </w:rPr>
        <w:t>Decrease</w:t>
      </w:r>
      <w:r w:rsidRPr="00123EA2">
        <w:t xml:space="preserve"> the sample size to roughly 66</w:t>
      </w:r>
      <w:r w:rsidR="00852780">
        <w:t xml:space="preserve"> percent</w:t>
      </w:r>
      <w:r w:rsidRPr="00123EA2">
        <w:t xml:space="preserve"> of the number of participants currently approved (i.e., from 600 youth to approximately 400 youth).</w:t>
      </w:r>
      <w:r w:rsidR="009464E4">
        <w:t xml:space="preserve"> This reflects the number of youth that can be reasonably recruited during the study’s timeframe</w:t>
      </w:r>
      <w:r w:rsidR="00F26226">
        <w:t xml:space="preserve"> and provide an adequate sample size for proposed analyses</w:t>
      </w:r>
      <w:r w:rsidR="009464E4">
        <w:t xml:space="preserve">. </w:t>
      </w:r>
    </w:p>
    <w:p w:rsidRPr="00123EA2" w:rsidR="00202995" w:rsidP="00202995" w:rsidRDefault="00413579" w14:paraId="6D5A1A93" w14:textId="77777777">
      <w:pPr>
        <w:numPr>
          <w:ilvl w:val="0"/>
          <w:numId w:val="4"/>
        </w:numPr>
        <w:contextualSpacing/>
        <w:rPr>
          <w:b/>
        </w:rPr>
      </w:pPr>
      <w:r w:rsidRPr="00202995">
        <w:rPr>
          <w:b/>
        </w:rPr>
        <w:t>Eliminate</w:t>
      </w:r>
      <w:r w:rsidRPr="00123EA2">
        <w:t xml:space="preserve"> two waves of </w:t>
      </w:r>
      <w:r w:rsidR="00202995">
        <w:t xml:space="preserve">in-person </w:t>
      </w:r>
      <w:r w:rsidRPr="00123EA2">
        <w:t>data collection from youth</w:t>
      </w:r>
      <w:r w:rsidR="00F6687C">
        <w:t xml:space="preserve"> (6- and 12-month follow up surveys)</w:t>
      </w:r>
      <w:r w:rsidRPr="00123EA2">
        <w:t>. Direct data collection from youth will only occur once</w:t>
      </w:r>
      <w:r w:rsidR="00852780">
        <w:t>,</w:t>
      </w:r>
      <w:r w:rsidRPr="00123EA2">
        <w:t xml:space="preserve"> upon study enrollment</w:t>
      </w:r>
      <w:r w:rsidR="00852780">
        <w:t>,</w:t>
      </w:r>
      <w:r w:rsidRPr="00123EA2">
        <w:t xml:space="preserve"> rather than at three points in time. </w:t>
      </w:r>
      <w:r w:rsidRPr="00123EA2" w:rsidR="00202995">
        <w:t xml:space="preserve">In lieu of youth </w:t>
      </w:r>
      <w:r w:rsidR="00202995">
        <w:t xml:space="preserve">follow-up </w:t>
      </w:r>
      <w:r w:rsidRPr="00123EA2" w:rsidR="00202995">
        <w:t>surveys:</w:t>
      </w:r>
    </w:p>
    <w:p w:rsidRPr="00202995" w:rsidR="00202995" w:rsidP="00202995" w:rsidRDefault="00202995" w14:paraId="5505F598" w14:textId="6AB42E95">
      <w:pPr>
        <w:numPr>
          <w:ilvl w:val="1"/>
          <w:numId w:val="4"/>
        </w:numPr>
        <w:contextualSpacing/>
        <w:rPr>
          <w:b/>
        </w:rPr>
      </w:pPr>
      <w:r w:rsidRPr="00123EA2">
        <w:rPr>
          <w:b/>
        </w:rPr>
        <w:t>Add</w:t>
      </w:r>
      <w:r w:rsidRPr="00123EA2">
        <w:t xml:space="preserve"> </w:t>
      </w:r>
      <w:r>
        <w:t>program</w:t>
      </w:r>
      <w:r w:rsidRPr="00123EA2">
        <w:t xml:space="preserve"> data collection from </w:t>
      </w:r>
      <w:r>
        <w:t>TLP</w:t>
      </w:r>
      <w:r w:rsidRPr="00123EA2">
        <w:t xml:space="preserve"> staff on youth outcomes</w:t>
      </w:r>
      <w:r>
        <w:t xml:space="preserve"> (Youth Information Form)</w:t>
      </w:r>
      <w:r w:rsidRPr="00123EA2">
        <w:t xml:space="preserve">. The data requested in </w:t>
      </w:r>
      <w:r>
        <w:t>this</w:t>
      </w:r>
      <w:r w:rsidRPr="00123EA2">
        <w:t xml:space="preserve"> collection are data programs already collect about youth (see topic areas listed in the “Changes to Data Collection Instruments” section)</w:t>
      </w:r>
      <w:r>
        <w:t>.</w:t>
      </w:r>
    </w:p>
    <w:p w:rsidRPr="00123EA2" w:rsidR="00413579" w:rsidP="00202995" w:rsidRDefault="00413579" w14:paraId="04D77726" w14:textId="51F49E08">
      <w:pPr>
        <w:numPr>
          <w:ilvl w:val="1"/>
          <w:numId w:val="4"/>
        </w:numPr>
        <w:contextualSpacing/>
        <w:rPr>
          <w:b/>
        </w:rPr>
      </w:pPr>
      <w:r w:rsidRPr="00123EA2">
        <w:rPr>
          <w:b/>
        </w:rPr>
        <w:t>Decrease</w:t>
      </w:r>
      <w:r w:rsidRPr="00123EA2">
        <w:t xml:space="preserve"> the </w:t>
      </w:r>
      <w:r w:rsidR="009E7B29">
        <w:t>average time for youth to complete</w:t>
      </w:r>
      <w:r w:rsidR="009464E4">
        <w:t xml:space="preserve"> </w:t>
      </w:r>
      <w:r w:rsidRPr="00123EA2">
        <w:t xml:space="preserve">the baseline collection from 0.62 hours to </w:t>
      </w:r>
      <w:r w:rsidR="00EA20A7">
        <w:t>0.28</w:t>
      </w:r>
      <w:r w:rsidRPr="00123EA2">
        <w:t xml:space="preserve"> hours by reducing the number of </w:t>
      </w:r>
      <w:r w:rsidR="00B9214E">
        <w:t xml:space="preserve">survey </w:t>
      </w:r>
      <w:r w:rsidRPr="00123EA2">
        <w:t xml:space="preserve">questions. </w:t>
      </w:r>
    </w:p>
    <w:p w:rsidRPr="00123EA2" w:rsidR="00413579" w:rsidP="00413579" w:rsidRDefault="00413579" w14:paraId="59029B8F" w14:textId="04E91E89">
      <w:pPr>
        <w:numPr>
          <w:ilvl w:val="0"/>
          <w:numId w:val="4"/>
        </w:numPr>
        <w:contextualSpacing/>
        <w:rPr>
          <w:b/>
        </w:rPr>
      </w:pPr>
      <w:r w:rsidRPr="00123EA2">
        <w:rPr>
          <w:b/>
        </w:rPr>
        <w:t>Decrease</w:t>
      </w:r>
      <w:r w:rsidRPr="00123EA2">
        <w:t xml:space="preserve"> the number of outcome domains examined from five to three. The currently approved </w:t>
      </w:r>
      <w:r w:rsidR="000B6AA0">
        <w:t>o</w:t>
      </w:r>
      <w:r w:rsidRPr="00123EA2" w:rsidR="000B6AA0">
        <w:t xml:space="preserve">utcomes </w:t>
      </w:r>
      <w:r w:rsidR="000B6AA0">
        <w:t>s</w:t>
      </w:r>
      <w:r w:rsidRPr="00123EA2" w:rsidR="000B6AA0">
        <w:t xml:space="preserve">tudy </w:t>
      </w:r>
      <w:r w:rsidRPr="00123EA2">
        <w:t xml:space="preserve">focuses on how youth who participate in the TLP fare in the areas of (1) stable housing, (2) positive social connections, (3) social and emotional well-being, and (4) education or (5) employment. We now seek to examine outcomes in the </w:t>
      </w:r>
      <w:r w:rsidRPr="00123EA2">
        <w:lastRenderedPageBreak/>
        <w:t>areas of (1) education, (2) employment, and (3) housing</w:t>
      </w:r>
      <w:r w:rsidR="00202995">
        <w:t xml:space="preserve"> due to availability of administrative data sources to examine these outcomes</w:t>
      </w:r>
      <w:r w:rsidRPr="00123EA2">
        <w:t>.</w:t>
      </w:r>
    </w:p>
    <w:p w:rsidRPr="00123EA2" w:rsidR="00413579" w:rsidP="00413579" w:rsidRDefault="00413579" w14:paraId="5416A3FA" w14:textId="7C0944A3">
      <w:pPr>
        <w:numPr>
          <w:ilvl w:val="0"/>
          <w:numId w:val="4"/>
        </w:numPr>
        <w:contextualSpacing/>
      </w:pPr>
      <w:r w:rsidRPr="00123EA2">
        <w:rPr>
          <w:b/>
        </w:rPr>
        <w:t>Eliminate</w:t>
      </w:r>
      <w:r w:rsidRPr="00123EA2">
        <w:t xml:space="preserve"> data collection from participants on the following sensitive topics: substance use, sexual behavior, delinquent activity, involvement with law enforcement, health and mental health symptoms (e.g., depressive symptoms, PTSD symptoms), and participation in certain categories of social services (e.g., addiction/substance use treatment, mental health services). The study will collect participants’ SSNs and history of TANF receipt, which can be considered sensitive information. </w:t>
      </w:r>
      <w:r w:rsidR="008061B5">
        <w:t xml:space="preserve">This information is necessary to match to NDNH and NSC administrative data. </w:t>
      </w:r>
    </w:p>
    <w:p w:rsidRPr="00123EA2" w:rsidR="00413579" w:rsidP="001A44A1" w:rsidRDefault="001A44A1" w14:paraId="4C02E03B" w14:textId="4C0F8C51">
      <w:pPr>
        <w:numPr>
          <w:ilvl w:val="0"/>
          <w:numId w:val="4"/>
        </w:numPr>
        <w:contextualSpacing/>
      </w:pPr>
      <w:r w:rsidRPr="00CF5C4D">
        <w:rPr>
          <w:b/>
        </w:rPr>
        <w:t>Reduce</w:t>
      </w:r>
      <w:r w:rsidRPr="001A44A1">
        <w:t xml:space="preserve"> the amount of the incentive for respondents who </w:t>
      </w:r>
      <w:r w:rsidRPr="00123EA2" w:rsidR="00413579">
        <w:t xml:space="preserve">complete the baseline survey (now called the Background Information Form) from $30 to $10. </w:t>
      </w:r>
    </w:p>
    <w:p w:rsidRPr="00123EA2" w:rsidR="00413579" w:rsidP="00413579" w:rsidRDefault="00413579" w14:paraId="2561213C" w14:textId="3CF9E1D9">
      <w:pPr>
        <w:numPr>
          <w:ilvl w:val="0"/>
          <w:numId w:val="4"/>
        </w:numPr>
        <w:contextualSpacing/>
      </w:pPr>
      <w:r w:rsidRPr="00123EA2">
        <w:rPr>
          <w:b/>
        </w:rPr>
        <w:t xml:space="preserve">Eliminate </w:t>
      </w:r>
      <w:r w:rsidR="00C4768F">
        <w:t>tokens of appreciation</w:t>
      </w:r>
      <w:r w:rsidRPr="00123EA2" w:rsidR="00C4768F">
        <w:t xml:space="preserve"> </w:t>
      </w:r>
      <w:r w:rsidRPr="00123EA2">
        <w:t>for the 6-month and 12-month surveys</w:t>
      </w:r>
      <w:r w:rsidR="00F6687C">
        <w:t>, as they will no longer be administered</w:t>
      </w:r>
      <w:r w:rsidRPr="00123EA2">
        <w:t xml:space="preserve">. </w:t>
      </w:r>
    </w:p>
    <w:p w:rsidRPr="003E7682" w:rsidR="003E7682" w:rsidP="003E7682" w:rsidRDefault="003E7682" w14:paraId="1E863871" w14:textId="77777777">
      <w:pPr>
        <w:widowControl/>
        <w:suppressAutoHyphens w:val="0"/>
        <w:contextualSpacing/>
        <w:rPr>
          <w:rFonts w:eastAsia="Calibri"/>
          <w:b/>
          <w:kern w:val="0"/>
        </w:rPr>
      </w:pPr>
    </w:p>
    <w:p w:rsidRPr="003E7682" w:rsidR="003E7682" w:rsidP="003E7682" w:rsidRDefault="003E7682" w14:paraId="1E3006AB" w14:textId="096A0AAB">
      <w:pPr>
        <w:widowControl/>
        <w:suppressAutoHyphens w:val="0"/>
        <w:contextualSpacing/>
        <w:rPr>
          <w:rFonts w:eastAsia="Calibri"/>
          <w:i/>
          <w:kern w:val="0"/>
        </w:rPr>
      </w:pPr>
      <w:r w:rsidRPr="003E7682">
        <w:rPr>
          <w:rFonts w:eastAsia="Calibri"/>
          <w:i/>
          <w:kern w:val="0"/>
        </w:rPr>
        <w:t>Changes to Analytic Methods:</w:t>
      </w:r>
    </w:p>
    <w:p w:rsidRPr="003E7682" w:rsidR="003E7682" w:rsidP="003E7682" w:rsidRDefault="003E7682" w14:paraId="337C89C4" w14:textId="364EBB1B">
      <w:pPr>
        <w:widowControl/>
        <w:numPr>
          <w:ilvl w:val="0"/>
          <w:numId w:val="7"/>
        </w:numPr>
        <w:suppressAutoHyphens w:val="0"/>
        <w:contextualSpacing/>
        <w:rPr>
          <w:rFonts w:eastAsia="Calibri"/>
          <w:b/>
          <w:kern w:val="0"/>
        </w:rPr>
      </w:pPr>
      <w:r w:rsidRPr="003E7682">
        <w:rPr>
          <w:rFonts w:eastAsia="Calibri"/>
          <w:kern w:val="0"/>
        </w:rPr>
        <w:t>Under the previous pretest-posttest design,</w:t>
      </w:r>
      <w:r w:rsidRPr="003E7682">
        <w:rPr>
          <w:rFonts w:eastAsia="Calibri"/>
          <w:b/>
          <w:kern w:val="0"/>
        </w:rPr>
        <w:t xml:space="preserve"> </w:t>
      </w:r>
      <w:r w:rsidRPr="003E7682">
        <w:rPr>
          <w:rFonts w:eastAsia="Calibri"/>
          <w:kern w:val="0"/>
        </w:rPr>
        <w:t xml:space="preserve">the analysis was an examination of average individual change in outcomes from baseline to six months later and from baseline to 12 months later. Under the new descriptive study design, the analysis will calculate means and frequencies of outcomes for the sample before, during, and after program participation and use latent </w:t>
      </w:r>
      <w:r w:rsidR="00852780">
        <w:rPr>
          <w:rFonts w:eastAsia="Calibri"/>
          <w:kern w:val="0"/>
        </w:rPr>
        <w:t xml:space="preserve">growth </w:t>
      </w:r>
      <w:r w:rsidRPr="003E7682">
        <w:rPr>
          <w:rFonts w:eastAsia="Calibri"/>
          <w:kern w:val="0"/>
        </w:rPr>
        <w:t xml:space="preserve">curve analysis </w:t>
      </w:r>
      <w:r w:rsidR="00852780">
        <w:rPr>
          <w:rFonts w:eastAsia="Calibri"/>
          <w:kern w:val="0"/>
        </w:rPr>
        <w:t xml:space="preserve">and survival analysis </w:t>
      </w:r>
      <w:r w:rsidRPr="003E7682">
        <w:rPr>
          <w:rFonts w:eastAsia="Calibri"/>
          <w:kern w:val="0"/>
        </w:rPr>
        <w:t>to examine average longitudinal trends in outcomes for the sample before, during, and after program participation.</w:t>
      </w:r>
    </w:p>
    <w:p w:rsidR="003E7682" w:rsidP="00413579" w:rsidRDefault="003E7682" w14:paraId="3B02EEBE" w14:textId="77777777">
      <w:pPr>
        <w:contextualSpacing/>
        <w:rPr>
          <w:i/>
        </w:rPr>
      </w:pPr>
    </w:p>
    <w:p w:rsidRPr="004475DA" w:rsidR="00413579" w:rsidP="00413579" w:rsidRDefault="00413579" w14:paraId="5A9BE58B" w14:textId="4144C5DD">
      <w:pPr>
        <w:contextualSpacing/>
        <w:rPr>
          <w:i/>
        </w:rPr>
      </w:pPr>
      <w:r w:rsidRPr="004475DA">
        <w:rPr>
          <w:i/>
        </w:rPr>
        <w:t xml:space="preserve">Changes to </w:t>
      </w:r>
      <w:r w:rsidR="003168CD">
        <w:rPr>
          <w:i/>
        </w:rPr>
        <w:t>Study Materials</w:t>
      </w:r>
      <w:r w:rsidRPr="004475DA">
        <w:rPr>
          <w:i/>
        </w:rPr>
        <w:t xml:space="preserve">: </w:t>
      </w:r>
    </w:p>
    <w:p w:rsidRPr="00705846" w:rsidR="00413579" w:rsidP="00413579" w:rsidRDefault="00413579" w14:paraId="29C1FD29" w14:textId="27CC0AFD">
      <w:pPr>
        <w:numPr>
          <w:ilvl w:val="0"/>
          <w:numId w:val="3"/>
        </w:numPr>
        <w:contextualSpacing/>
      </w:pPr>
      <w:r w:rsidRPr="00705846">
        <w:rPr>
          <w:b/>
        </w:rPr>
        <w:t>Update</w:t>
      </w:r>
      <w:r w:rsidRPr="00705846">
        <w:t xml:space="preserve"> the </w:t>
      </w:r>
      <w:r w:rsidR="00B9214E">
        <w:t xml:space="preserve">youth </w:t>
      </w:r>
      <w:r w:rsidR="009464E4">
        <w:t xml:space="preserve">and parent </w:t>
      </w:r>
      <w:r w:rsidRPr="00705846">
        <w:t>consent form</w:t>
      </w:r>
      <w:r w:rsidR="009464E4">
        <w:t>s</w:t>
      </w:r>
      <w:r w:rsidRPr="00705846">
        <w:t xml:space="preserve"> to add permission to collect administrative</w:t>
      </w:r>
      <w:r w:rsidR="00852780">
        <w:t>/program</w:t>
      </w:r>
      <w:r w:rsidRPr="00705846">
        <w:t xml:space="preserve"> data.</w:t>
      </w:r>
    </w:p>
    <w:p w:rsidRPr="00123EA2" w:rsidR="00413579" w:rsidP="00413579" w:rsidRDefault="00413579" w14:paraId="1219C472" w14:textId="222D79A7">
      <w:pPr>
        <w:numPr>
          <w:ilvl w:val="0"/>
          <w:numId w:val="3"/>
        </w:numPr>
        <w:contextualSpacing/>
      </w:pPr>
      <w:r w:rsidRPr="00123EA2">
        <w:rPr>
          <w:b/>
        </w:rPr>
        <w:t>Eliminate</w:t>
      </w:r>
      <w:r w:rsidRPr="00123EA2">
        <w:t xml:space="preserve"> </w:t>
      </w:r>
      <w:r w:rsidR="00B87B98">
        <w:t>the majority of</w:t>
      </w:r>
      <w:r w:rsidRPr="00123EA2">
        <w:t xml:space="preserve"> questions contained in the </w:t>
      </w:r>
      <w:r w:rsidR="002C06DB">
        <w:t>Young Adult</w:t>
      </w:r>
      <w:r w:rsidR="00B9214E">
        <w:t xml:space="preserve"> </w:t>
      </w:r>
      <w:r w:rsidR="002C06DB">
        <w:t>B</w:t>
      </w:r>
      <w:r w:rsidRPr="00123EA2">
        <w:t xml:space="preserve">aseline </w:t>
      </w:r>
      <w:r w:rsidR="002C06DB">
        <w:t>S</w:t>
      </w:r>
      <w:r w:rsidRPr="00123EA2" w:rsidR="002C06DB">
        <w:t>urvey</w:t>
      </w:r>
      <w:r w:rsidR="002C06DB">
        <w:t xml:space="preserve"> (renamed the Background Information Form)</w:t>
      </w:r>
      <w:r w:rsidRPr="00123EA2">
        <w:t xml:space="preserve">. The following questions will be retained: </w:t>
      </w:r>
    </w:p>
    <w:p w:rsidRPr="00123EA2" w:rsidR="00413579" w:rsidP="00413579" w:rsidRDefault="00413579" w14:paraId="019205E3" w14:textId="77777777">
      <w:pPr>
        <w:numPr>
          <w:ilvl w:val="1"/>
          <w:numId w:val="3"/>
        </w:numPr>
        <w:contextualSpacing/>
      </w:pPr>
      <w:r w:rsidRPr="00123EA2">
        <w:t xml:space="preserve">CI_2. </w:t>
      </w:r>
      <w:r w:rsidRPr="00123EA2">
        <w:tab/>
        <w:t>What is your birthdate?</w:t>
      </w:r>
    </w:p>
    <w:p w:rsidRPr="00123EA2" w:rsidR="00413579" w:rsidP="00413579" w:rsidRDefault="00413579" w14:paraId="59F878FB" w14:textId="77777777">
      <w:pPr>
        <w:numPr>
          <w:ilvl w:val="1"/>
          <w:numId w:val="3"/>
        </w:numPr>
        <w:contextualSpacing/>
      </w:pPr>
      <w:r w:rsidRPr="00123EA2">
        <w:t>H11a.</w:t>
      </w:r>
      <w:r w:rsidRPr="00123EA2">
        <w:tab/>
        <w:t>Would you describe your gender as male, female, or something else?</w:t>
      </w:r>
    </w:p>
    <w:p w:rsidRPr="00123EA2" w:rsidR="00413579" w:rsidP="00413579" w:rsidRDefault="00413579" w14:paraId="2C4612C6" w14:textId="77777777">
      <w:pPr>
        <w:numPr>
          <w:ilvl w:val="1"/>
          <w:numId w:val="3"/>
        </w:numPr>
        <w:contextualSpacing/>
      </w:pPr>
      <w:r w:rsidRPr="00123EA2">
        <w:t xml:space="preserve">I1. </w:t>
      </w:r>
      <w:r w:rsidRPr="00123EA2">
        <w:tab/>
        <w:t>Are you of Hispanic, Latino, or Spanish Origin?</w:t>
      </w:r>
    </w:p>
    <w:p w:rsidRPr="00123EA2" w:rsidR="00413579" w:rsidP="00413579" w:rsidRDefault="00413579" w14:paraId="174AEFDA" w14:textId="77777777">
      <w:pPr>
        <w:numPr>
          <w:ilvl w:val="1"/>
          <w:numId w:val="3"/>
        </w:numPr>
        <w:contextualSpacing/>
      </w:pPr>
      <w:r w:rsidRPr="00123EA2">
        <w:t xml:space="preserve">I2.  </w:t>
      </w:r>
      <w:r w:rsidRPr="00123EA2">
        <w:tab/>
        <w:t>What is your race?</w:t>
      </w:r>
    </w:p>
    <w:p w:rsidRPr="00123EA2" w:rsidR="00413579" w:rsidP="00413579" w:rsidRDefault="00413579" w14:paraId="30E04155" w14:textId="3D1A61BC">
      <w:pPr>
        <w:numPr>
          <w:ilvl w:val="0"/>
          <w:numId w:val="3"/>
        </w:numPr>
        <w:contextualSpacing/>
      </w:pPr>
      <w:r w:rsidRPr="00123EA2">
        <w:rPr>
          <w:b/>
        </w:rPr>
        <w:t>Add</w:t>
      </w:r>
      <w:r w:rsidRPr="00123EA2">
        <w:t xml:space="preserve"> the following questions to the baseline survey: </w:t>
      </w:r>
    </w:p>
    <w:p w:rsidR="00852780" w:rsidP="00151714" w:rsidRDefault="00413579" w14:paraId="7A511DA8" w14:textId="77777777">
      <w:pPr>
        <w:numPr>
          <w:ilvl w:val="1"/>
          <w:numId w:val="3"/>
        </w:numPr>
        <w:contextualSpacing/>
      </w:pPr>
      <w:r w:rsidRPr="00123EA2">
        <w:t>What is your Social Security Number (SSN)?</w:t>
      </w:r>
      <w:r w:rsidR="00151714">
        <w:t xml:space="preserve"> </w:t>
      </w:r>
    </w:p>
    <w:p w:rsidRPr="00123EA2" w:rsidR="00413579" w:rsidP="000560E6" w:rsidRDefault="00151714" w14:paraId="26372A21" w14:textId="0666CA61">
      <w:pPr>
        <w:numPr>
          <w:ilvl w:val="2"/>
          <w:numId w:val="3"/>
        </w:numPr>
        <w:contextualSpacing/>
      </w:pPr>
      <w:r>
        <w:t xml:space="preserve">[This question is being added because it is required to request matching data from the </w:t>
      </w:r>
      <w:r w:rsidR="00607828">
        <w:t>NDNH and NSC</w:t>
      </w:r>
      <w:r>
        <w:t xml:space="preserve">.] </w:t>
      </w:r>
    </w:p>
    <w:p w:rsidR="00852780" w:rsidP="00413579" w:rsidRDefault="00413579" w14:paraId="45EF7BF7" w14:textId="616E6B29">
      <w:pPr>
        <w:numPr>
          <w:ilvl w:val="1"/>
          <w:numId w:val="3"/>
        </w:numPr>
        <w:contextualSpacing/>
      </w:pPr>
      <w:r w:rsidRPr="00123EA2">
        <w:t>At the time you enrolled in the TLP, had you or your family ever received welfare or cash assistance (also known as Temporary Assistance for Needy Families or TANF)?</w:t>
      </w:r>
      <w:r w:rsidR="00151714">
        <w:t xml:space="preserve"> </w:t>
      </w:r>
    </w:p>
    <w:p w:rsidR="00413579" w:rsidP="000560E6" w:rsidRDefault="00151714" w14:paraId="2D57FC12" w14:textId="43B2D275">
      <w:pPr>
        <w:numPr>
          <w:ilvl w:val="2"/>
          <w:numId w:val="3"/>
        </w:numPr>
        <w:contextualSpacing/>
      </w:pPr>
      <w:r>
        <w:t>[This question is being added because it provides essential baseline/background information about individuals (their families') self-sufficiency, an outcome the TLP seeks to improve.]</w:t>
      </w:r>
    </w:p>
    <w:p w:rsidR="00484854" w:rsidP="00484854" w:rsidRDefault="00484854" w14:paraId="3D13042D" w14:textId="7AC388D9">
      <w:pPr>
        <w:numPr>
          <w:ilvl w:val="1"/>
          <w:numId w:val="3"/>
        </w:numPr>
        <w:contextualSpacing/>
      </w:pPr>
      <w:r>
        <w:t>How did COVID-19 impact your housing? How did COVID-19 impact your education? How did COVID-19 impact your employment?</w:t>
      </w:r>
    </w:p>
    <w:p w:rsidRPr="00123EA2" w:rsidR="00484854" w:rsidP="000560E6" w:rsidRDefault="00484854" w14:paraId="3A65F31B" w14:textId="72E0D89C">
      <w:pPr>
        <w:numPr>
          <w:ilvl w:val="2"/>
          <w:numId w:val="3"/>
        </w:numPr>
        <w:contextualSpacing/>
      </w:pPr>
      <w:r>
        <w:t xml:space="preserve">[These three questions are being added because they provide information to help contextualize findings in light of TLP youth's COVID-19-related </w:t>
      </w:r>
      <w:r>
        <w:lastRenderedPageBreak/>
        <w:t>experiences.]</w:t>
      </w:r>
    </w:p>
    <w:p w:rsidRPr="00123EA2" w:rsidR="00413579" w:rsidP="00413579" w:rsidRDefault="002C06DB" w14:paraId="236E0E57" w14:textId="52579786">
      <w:pPr>
        <w:numPr>
          <w:ilvl w:val="0"/>
          <w:numId w:val="3"/>
        </w:numPr>
        <w:contextualSpacing/>
      </w:pPr>
      <w:r>
        <w:rPr>
          <w:b/>
        </w:rPr>
        <w:t>Eliminate</w:t>
      </w:r>
      <w:r w:rsidRPr="00123EA2">
        <w:t xml:space="preserve"> </w:t>
      </w:r>
      <w:r w:rsidRPr="00123EA2" w:rsidR="00413579">
        <w:t xml:space="preserve">the 6-month and 12-month </w:t>
      </w:r>
      <w:r>
        <w:t>Young Adult Follow-up Surveys</w:t>
      </w:r>
      <w:r w:rsidRPr="00123EA2" w:rsidR="00413579">
        <w:t>.</w:t>
      </w:r>
    </w:p>
    <w:p w:rsidRPr="00123EA2" w:rsidR="00413579" w:rsidP="00413579" w:rsidRDefault="00413579" w14:paraId="5028E43D" w14:textId="3F0D11EB">
      <w:pPr>
        <w:numPr>
          <w:ilvl w:val="0"/>
          <w:numId w:val="3"/>
        </w:numPr>
        <w:contextualSpacing/>
      </w:pPr>
      <w:r w:rsidRPr="00123EA2">
        <w:rPr>
          <w:b/>
        </w:rPr>
        <w:t>Add</w:t>
      </w:r>
      <w:r w:rsidRPr="00123EA2">
        <w:t xml:space="preserve"> the Youth Information Form (YIF) to collect existing administrative data from program staff (i.e., data the TLP is already collecting from youth). This collection comprises </w:t>
      </w:r>
      <w:r w:rsidRPr="00123EA2" w:rsidR="000B6AA0">
        <w:t>1</w:t>
      </w:r>
      <w:r w:rsidR="000B6AA0">
        <w:t>7</w:t>
      </w:r>
      <w:r w:rsidRPr="00123EA2" w:rsidR="000B6AA0">
        <w:t xml:space="preserve"> </w:t>
      </w:r>
      <w:r w:rsidRPr="00123EA2">
        <w:t xml:space="preserve">questions on the following topics: </w:t>
      </w:r>
    </w:p>
    <w:p w:rsidRPr="00123EA2" w:rsidR="00413579" w:rsidP="00413579" w:rsidRDefault="00413579" w14:paraId="4BC8E0AF" w14:textId="50BBDCE0">
      <w:pPr>
        <w:numPr>
          <w:ilvl w:val="1"/>
          <w:numId w:val="3"/>
        </w:numPr>
        <w:contextualSpacing/>
      </w:pPr>
      <w:r w:rsidRPr="00123EA2">
        <w:t>At study enrollment: youth program entry date, TLP entry from B</w:t>
      </w:r>
      <w:r w:rsidR="00F26226">
        <w:t xml:space="preserve">asic </w:t>
      </w:r>
      <w:r w:rsidRPr="00123EA2">
        <w:t>C</w:t>
      </w:r>
      <w:r w:rsidR="00F26226">
        <w:t xml:space="preserve">enter </w:t>
      </w:r>
      <w:r w:rsidRPr="00123EA2">
        <w:t>P</w:t>
      </w:r>
      <w:r w:rsidR="00F26226">
        <w:t>rogram</w:t>
      </w:r>
      <w:r w:rsidR="00BE0DFF">
        <w:t>s</w:t>
      </w:r>
      <w:r w:rsidR="00F26226">
        <w:t xml:space="preserve"> (21-day shelter programs)</w:t>
      </w:r>
      <w:r w:rsidRPr="00F26226" w:rsidR="00F26226">
        <w:rPr>
          <w:rStyle w:val="CommentReference"/>
          <w:sz w:val="24"/>
          <w:szCs w:val="24"/>
        </w:rPr>
        <w:t>,</w:t>
      </w:r>
      <w:r w:rsidRPr="00123EA2">
        <w:t xml:space="preserve"> housing status prior to entry, educational attainment and enrollment status, employment status, and SSN (verify the SSN provided on the </w:t>
      </w:r>
      <w:r w:rsidR="00CC51F6">
        <w:t>youth Background Information Form</w:t>
      </w:r>
      <w:r w:rsidRPr="00123EA2" w:rsidDel="0068298D">
        <w:t xml:space="preserve"> </w:t>
      </w:r>
      <w:r w:rsidRPr="00123EA2">
        <w:t xml:space="preserve">or provide SSN if missing on </w:t>
      </w:r>
      <w:r w:rsidR="00CC51F6">
        <w:t>that form</w:t>
      </w:r>
      <w:r w:rsidRPr="00123EA2">
        <w:t xml:space="preserve">). </w:t>
      </w:r>
    </w:p>
    <w:p w:rsidR="00413579" w:rsidP="00413579" w:rsidRDefault="00413579" w14:paraId="74608252" w14:textId="77777777">
      <w:pPr>
        <w:numPr>
          <w:ilvl w:val="1"/>
          <w:numId w:val="3"/>
        </w:numPr>
        <w:contextualSpacing/>
      </w:pPr>
      <w:r w:rsidRPr="00123EA2">
        <w:t xml:space="preserve">At program exit: youth program exit date, exit destination, safe exit, educational attainment and enrollment status at exit, and employment status at exit. </w:t>
      </w:r>
    </w:p>
    <w:p w:rsidR="0004196E" w:rsidP="00413579" w:rsidRDefault="0004196E" w14:paraId="0AFD8DF9" w14:textId="72FA66A8">
      <w:pPr>
        <w:numPr>
          <w:ilvl w:val="1"/>
          <w:numId w:val="3"/>
        </w:numPr>
        <w:contextualSpacing/>
      </w:pPr>
      <w:r>
        <w:t>At program exit: three questions about how COVID-19 affected programs' expectations for youth's education, employment, housing and exit planning.</w:t>
      </w:r>
    </w:p>
    <w:p w:rsidRPr="00123EA2" w:rsidR="0004196E" w:rsidP="000560E6" w:rsidRDefault="0004196E" w14:paraId="0C33FB9B" w14:textId="0B41250F">
      <w:pPr>
        <w:numPr>
          <w:ilvl w:val="2"/>
          <w:numId w:val="3"/>
        </w:numPr>
        <w:contextualSpacing/>
      </w:pPr>
      <w:r>
        <w:t>[These three questions are being added because they provide information to help contextualize study findings in light of TLP youth's COVID-19-related experiences.]</w:t>
      </w:r>
    </w:p>
    <w:p w:rsidRPr="00123EA2" w:rsidR="00413579" w:rsidP="00705846" w:rsidRDefault="00413579" w14:paraId="35748172" w14:textId="33604831">
      <w:pPr>
        <w:numPr>
          <w:ilvl w:val="1"/>
          <w:numId w:val="3"/>
        </w:numPr>
        <w:contextualSpacing/>
      </w:pPr>
      <w:r w:rsidRPr="00123EA2">
        <w:t>At each aftercare contact: date of youth aftercare contact and current housing status (based on H</w:t>
      </w:r>
      <w:r w:rsidR="00F26226">
        <w:t xml:space="preserve">omeless </w:t>
      </w:r>
      <w:r w:rsidRPr="00123EA2">
        <w:t>M</w:t>
      </w:r>
      <w:r w:rsidR="00F26226">
        <w:t xml:space="preserve">anagement </w:t>
      </w:r>
      <w:r w:rsidRPr="00123EA2">
        <w:t>I</w:t>
      </w:r>
      <w:r w:rsidR="00F26226">
        <w:t xml:space="preserve">nformation </w:t>
      </w:r>
      <w:r w:rsidRPr="00123EA2">
        <w:t>S</w:t>
      </w:r>
      <w:r w:rsidR="00F26226">
        <w:t>ystem</w:t>
      </w:r>
      <w:r w:rsidRPr="00123EA2">
        <w:t xml:space="preserve"> living situation codes). </w:t>
      </w:r>
    </w:p>
    <w:p w:rsidRPr="00123EA2" w:rsidR="003A455B" w:rsidP="00705846" w:rsidRDefault="003A455B" w14:paraId="221B25EA" w14:textId="77777777">
      <w:pPr>
        <w:rPr>
          <w:b/>
        </w:rPr>
      </w:pPr>
    </w:p>
    <w:p w:rsidRPr="004475DA" w:rsidR="00413579" w:rsidP="00705846" w:rsidRDefault="00413579" w14:paraId="1EED84E5" w14:textId="77777777">
      <w:pPr>
        <w:rPr>
          <w:i/>
        </w:rPr>
      </w:pPr>
      <w:r w:rsidRPr="004475DA">
        <w:rPr>
          <w:i/>
        </w:rPr>
        <w:t xml:space="preserve">Changes to Estimated Burden: </w:t>
      </w:r>
    </w:p>
    <w:p w:rsidRPr="00705846" w:rsidR="00607828" w:rsidP="001F700F" w:rsidRDefault="00413579" w14:paraId="27F7D564" w14:textId="6411F569">
      <w:pPr>
        <w:spacing w:after="100" w:afterAutospacing="1"/>
      </w:pPr>
      <w:r w:rsidRPr="00705846">
        <w:t>The requested change</w:t>
      </w:r>
      <w:r w:rsidR="00607828">
        <w:t>s</w:t>
      </w:r>
      <w:r w:rsidRPr="00705846">
        <w:t xml:space="preserve"> result in a </w:t>
      </w:r>
      <w:r w:rsidRPr="00705846">
        <w:rPr>
          <w:b/>
        </w:rPr>
        <w:t>net reduction</w:t>
      </w:r>
      <w:r w:rsidRPr="00705846">
        <w:t xml:space="preserve"> in burden </w:t>
      </w:r>
      <w:r w:rsidRPr="00EA20A7" w:rsidR="00EA20A7">
        <w:t>from 1,104</w:t>
      </w:r>
      <w:r w:rsidRPr="00107992" w:rsidR="00EA20A7">
        <w:t xml:space="preserve"> to </w:t>
      </w:r>
      <w:r w:rsidRPr="00EA20A7" w:rsidR="00EA20A7">
        <w:rPr>
          <w:rFonts w:eastAsia="Calibri"/>
          <w:kern w:val="0"/>
        </w:rPr>
        <w:t>659 hours</w:t>
      </w:r>
      <w:r w:rsidR="008A4A56">
        <w:t>. The table below shows the changes between the current approval and the changes proposed in this request.</w:t>
      </w:r>
      <w:r w:rsidRPr="00705846">
        <w:t xml:space="preserve"> </w:t>
      </w:r>
    </w:p>
    <w:tbl>
      <w:tblPr>
        <w:tblW w:w="9299" w:type="dxa"/>
        <w:tblInd w:w="-23" w:type="dxa"/>
        <w:tblLayout w:type="fixed"/>
        <w:tblCellMar>
          <w:left w:w="0" w:type="dxa"/>
          <w:right w:w="0" w:type="dxa"/>
        </w:tblCellMar>
        <w:tblLook w:val="04A0" w:firstRow="1" w:lastRow="0" w:firstColumn="1" w:lastColumn="0" w:noHBand="0" w:noVBand="1"/>
      </w:tblPr>
      <w:tblGrid>
        <w:gridCol w:w="4099"/>
        <w:gridCol w:w="1325"/>
        <w:gridCol w:w="1254"/>
        <w:gridCol w:w="1398"/>
        <w:gridCol w:w="1223"/>
      </w:tblGrid>
      <w:tr w:rsidRPr="00123EA2" w:rsidR="00F26226" w:rsidTr="00ED726F" w14:paraId="492180E5" w14:textId="77777777">
        <w:trPr>
          <w:cantSplit/>
          <w:trHeight w:val="20"/>
        </w:trPr>
        <w:tc>
          <w:tcPr>
            <w:tcW w:w="4099"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vAlign w:val="center"/>
            <w:hideMark/>
          </w:tcPr>
          <w:p w:rsidRPr="00705846" w:rsidR="00F26226" w:rsidP="00705846" w:rsidRDefault="00F26226" w14:paraId="2880B6B1" w14:textId="77777777">
            <w:pPr>
              <w:widowControl/>
              <w:suppressAutoHyphens w:val="0"/>
              <w:spacing w:line="259" w:lineRule="auto"/>
              <w:rPr>
                <w:rFonts w:eastAsia="Calibri" w:asciiTheme="minorHAnsi" w:hAnsiTheme="minorHAnsi" w:cstheme="minorHAnsi"/>
                <w:b/>
                <w:color w:val="000000"/>
                <w:kern w:val="0"/>
                <w:sz w:val="20"/>
                <w:szCs w:val="20"/>
              </w:rPr>
            </w:pPr>
            <w:r w:rsidRPr="00705846">
              <w:rPr>
                <w:rFonts w:eastAsia="Calibri" w:asciiTheme="minorHAnsi" w:hAnsiTheme="minorHAnsi" w:cstheme="minorHAnsi"/>
                <w:b/>
                <w:color w:val="000000"/>
                <w:kern w:val="0"/>
                <w:sz w:val="20"/>
                <w:szCs w:val="20"/>
              </w:rPr>
              <w:t>Instrument</w:t>
            </w:r>
          </w:p>
        </w:tc>
        <w:tc>
          <w:tcPr>
            <w:tcW w:w="1325"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705846" w:rsidR="00F26226" w:rsidP="004947F0" w:rsidRDefault="00F26226" w14:paraId="4CF61EA0" w14:textId="7E335484">
            <w:pPr>
              <w:widowControl/>
              <w:suppressAutoHyphens w:val="0"/>
              <w:spacing w:before="120" w:line="259" w:lineRule="auto"/>
              <w:jc w:val="center"/>
              <w:rPr>
                <w:rFonts w:eastAsia="Calibri" w:asciiTheme="minorHAnsi" w:hAnsiTheme="minorHAnsi" w:cstheme="minorHAnsi"/>
                <w:b/>
                <w:color w:val="000000"/>
                <w:kern w:val="0"/>
                <w:sz w:val="20"/>
                <w:szCs w:val="20"/>
              </w:rPr>
            </w:pPr>
            <w:r>
              <w:rPr>
                <w:rFonts w:eastAsia="Calibri" w:asciiTheme="minorHAnsi" w:hAnsiTheme="minorHAnsi" w:cstheme="minorHAnsi"/>
                <w:b/>
                <w:color w:val="000000"/>
                <w:kern w:val="0"/>
                <w:sz w:val="20"/>
                <w:szCs w:val="20"/>
              </w:rPr>
              <w:t>Annual Number of Respondents</w:t>
            </w:r>
          </w:p>
        </w:tc>
        <w:tc>
          <w:tcPr>
            <w:tcW w:w="1254"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vAlign w:val="center"/>
            <w:hideMark/>
          </w:tcPr>
          <w:p w:rsidRPr="00705846" w:rsidR="00F26226" w:rsidP="00705846" w:rsidRDefault="00F26226" w14:paraId="6A022B4E" w14:textId="5F0B3B7D">
            <w:pPr>
              <w:widowControl/>
              <w:suppressAutoHyphens w:val="0"/>
              <w:spacing w:line="259" w:lineRule="auto"/>
              <w:jc w:val="center"/>
              <w:rPr>
                <w:rFonts w:eastAsia="Calibri" w:asciiTheme="minorHAnsi" w:hAnsiTheme="minorHAnsi" w:cstheme="minorHAnsi"/>
                <w:b/>
                <w:color w:val="000000"/>
                <w:kern w:val="0"/>
                <w:sz w:val="20"/>
                <w:szCs w:val="20"/>
              </w:rPr>
            </w:pPr>
            <w:r w:rsidRPr="00705846">
              <w:rPr>
                <w:rFonts w:eastAsia="Calibri" w:asciiTheme="minorHAnsi" w:hAnsiTheme="minorHAnsi" w:cstheme="minorHAnsi"/>
                <w:b/>
                <w:color w:val="000000"/>
                <w:kern w:val="0"/>
                <w:sz w:val="20"/>
                <w:szCs w:val="20"/>
              </w:rPr>
              <w:t>Number of Responses per Respondent</w:t>
            </w:r>
          </w:p>
        </w:tc>
        <w:tc>
          <w:tcPr>
            <w:tcW w:w="1398"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vAlign w:val="center"/>
            <w:hideMark/>
          </w:tcPr>
          <w:p w:rsidRPr="00705846" w:rsidR="00F26226" w:rsidP="00705846" w:rsidRDefault="00F26226" w14:paraId="704442A6" w14:textId="3B43B744">
            <w:pPr>
              <w:widowControl/>
              <w:suppressAutoHyphens w:val="0"/>
              <w:spacing w:line="259" w:lineRule="auto"/>
              <w:jc w:val="center"/>
              <w:rPr>
                <w:rFonts w:eastAsia="Calibri" w:asciiTheme="minorHAnsi" w:hAnsiTheme="minorHAnsi" w:cstheme="minorHAnsi"/>
                <w:b/>
                <w:color w:val="000000"/>
                <w:kern w:val="0"/>
                <w:sz w:val="20"/>
                <w:szCs w:val="20"/>
              </w:rPr>
            </w:pPr>
            <w:r w:rsidRPr="00705846">
              <w:rPr>
                <w:rFonts w:eastAsia="Calibri" w:asciiTheme="minorHAnsi" w:hAnsiTheme="minorHAnsi" w:cstheme="minorHAnsi"/>
                <w:b/>
                <w:color w:val="000000"/>
                <w:kern w:val="0"/>
                <w:sz w:val="20"/>
                <w:szCs w:val="20"/>
              </w:rPr>
              <w:t>Average Burden Hours per Response</w:t>
            </w:r>
          </w:p>
        </w:tc>
        <w:tc>
          <w:tcPr>
            <w:tcW w:w="122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705846" w:rsidR="00F26226" w:rsidP="00705846" w:rsidRDefault="00F26226" w14:paraId="05BDC90D" w14:textId="123E37B4">
            <w:pPr>
              <w:widowControl/>
              <w:suppressAutoHyphens w:val="0"/>
              <w:spacing w:line="259" w:lineRule="auto"/>
              <w:jc w:val="center"/>
              <w:rPr>
                <w:rFonts w:eastAsia="Calibri" w:asciiTheme="minorHAnsi" w:hAnsiTheme="minorHAnsi" w:cstheme="minorHAnsi"/>
                <w:b/>
                <w:kern w:val="0"/>
                <w:sz w:val="20"/>
                <w:szCs w:val="20"/>
              </w:rPr>
            </w:pPr>
            <w:r>
              <w:rPr>
                <w:rFonts w:eastAsia="Calibri" w:asciiTheme="minorHAnsi" w:hAnsiTheme="minorHAnsi" w:cstheme="minorHAnsi"/>
                <w:b/>
                <w:kern w:val="0"/>
                <w:sz w:val="20"/>
                <w:szCs w:val="20"/>
              </w:rPr>
              <w:t xml:space="preserve">Annual </w:t>
            </w:r>
            <w:r w:rsidRPr="00705846">
              <w:rPr>
                <w:rFonts w:eastAsia="Calibri" w:asciiTheme="minorHAnsi" w:hAnsiTheme="minorHAnsi" w:cstheme="minorHAnsi"/>
                <w:b/>
                <w:kern w:val="0"/>
                <w:sz w:val="20"/>
                <w:szCs w:val="20"/>
              </w:rPr>
              <w:t>Burden Hours</w:t>
            </w:r>
          </w:p>
        </w:tc>
      </w:tr>
      <w:tr w:rsidRPr="00123EA2" w:rsidR="00F26226" w:rsidTr="00ED726F" w14:paraId="2224CE4C" w14:textId="77777777">
        <w:trPr>
          <w:cantSplit/>
          <w:trHeight w:val="20"/>
        </w:trPr>
        <w:tc>
          <w:tcPr>
            <w:tcW w:w="4099"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F6687C" w:rsidR="00F26226" w:rsidP="00705846" w:rsidRDefault="00F26226" w14:paraId="255AA0D8" w14:textId="295A3A92">
            <w:pPr>
              <w:widowControl/>
              <w:suppressAutoHyphens w:val="0"/>
              <w:spacing w:line="259" w:lineRule="auto"/>
              <w:rPr>
                <w:rFonts w:eastAsia="Calibri" w:asciiTheme="minorHAnsi" w:hAnsiTheme="minorHAnsi" w:cstheme="minorHAnsi"/>
                <w:color w:val="000000"/>
                <w:kern w:val="0"/>
                <w:sz w:val="20"/>
                <w:szCs w:val="20"/>
              </w:rPr>
            </w:pPr>
            <w:r w:rsidRPr="000632AE">
              <w:rPr>
                <w:rFonts w:asciiTheme="minorHAnsi" w:hAnsiTheme="minorHAnsi" w:cstheme="minorHAnsi"/>
                <w:sz w:val="20"/>
                <w:szCs w:val="20"/>
              </w:rPr>
              <w:t>Background Information Form</w:t>
            </w:r>
            <w:r w:rsidRPr="00F6687C">
              <w:rPr>
                <w:rFonts w:eastAsia="Calibri" w:asciiTheme="minorHAnsi" w:hAnsiTheme="minorHAnsi" w:cstheme="minorHAnsi"/>
                <w:color w:val="000000"/>
                <w:kern w:val="0"/>
                <w:sz w:val="20"/>
                <w:szCs w:val="20"/>
              </w:rPr>
              <w:t xml:space="preserve"> (Previously titled Young Adult Baseline Survey)</w:t>
            </w:r>
          </w:p>
        </w:tc>
        <w:tc>
          <w:tcPr>
            <w:tcW w:w="1325" w:type="dxa"/>
            <w:tcBorders>
              <w:top w:val="single" w:color="auto" w:sz="4" w:space="0"/>
              <w:left w:val="single" w:color="auto" w:sz="4" w:space="0"/>
              <w:bottom w:val="single" w:color="auto" w:sz="4" w:space="0"/>
              <w:right w:val="single" w:color="auto" w:sz="4" w:space="0"/>
            </w:tcBorders>
          </w:tcPr>
          <w:p w:rsidRPr="00705846" w:rsidR="00F26226" w:rsidP="00ED726F" w:rsidRDefault="00ED726F" w14:paraId="70B2BCA2" w14:textId="750C3012">
            <w:pPr>
              <w:widowControl/>
              <w:suppressAutoHyphens w:val="0"/>
              <w:spacing w:before="120" w:line="259" w:lineRule="auto"/>
              <w:rPr>
                <w:rFonts w:eastAsia="Calibri" w:asciiTheme="minorHAnsi" w:hAnsiTheme="minorHAnsi" w:cstheme="minorHAnsi"/>
                <w:color w:val="000000"/>
                <w:kern w:val="0"/>
                <w:sz w:val="20"/>
                <w:szCs w:val="20"/>
              </w:rPr>
            </w:pPr>
            <w:r w:rsidRPr="00ED726F">
              <w:rPr>
                <w:rFonts w:eastAsia="Calibri" w:asciiTheme="minorHAnsi" w:hAnsiTheme="minorHAnsi" w:cstheme="minorHAnsi"/>
                <w:i/>
                <w:color w:val="000000"/>
                <w:kern w:val="0"/>
                <w:sz w:val="20"/>
                <w:szCs w:val="20"/>
              </w:rPr>
              <w:t xml:space="preserve">   </w:t>
            </w:r>
            <w:r w:rsidRPr="00ED726F">
              <w:rPr>
                <w:rFonts w:eastAsia="Calibri" w:asciiTheme="minorHAnsi" w:hAnsiTheme="minorHAnsi" w:cstheme="minorHAnsi"/>
                <w:i/>
                <w:strike/>
                <w:color w:val="000000"/>
                <w:kern w:val="0"/>
                <w:sz w:val="20"/>
                <w:szCs w:val="20"/>
              </w:rPr>
              <w:t>200</w:t>
            </w:r>
            <w:r>
              <w:rPr>
                <w:rFonts w:eastAsia="Calibri" w:asciiTheme="minorHAnsi" w:hAnsiTheme="minorHAnsi" w:cstheme="minorHAnsi"/>
                <w:color w:val="000000"/>
                <w:kern w:val="0"/>
                <w:sz w:val="20"/>
                <w:szCs w:val="20"/>
              </w:rPr>
              <w:t xml:space="preserve">  </w:t>
            </w:r>
            <w:r w:rsidRPr="00ED726F" w:rsidR="00F26226">
              <w:rPr>
                <w:rFonts w:eastAsia="Calibri" w:asciiTheme="minorHAnsi" w:hAnsiTheme="minorHAnsi" w:cstheme="minorHAnsi"/>
                <w:color w:val="000000"/>
                <w:kern w:val="0"/>
                <w:sz w:val="20"/>
                <w:szCs w:val="20"/>
              </w:rPr>
              <w:t>400</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ED726F" w:rsidR="00F26226" w:rsidRDefault="00F26226" w14:paraId="47D97D06" w14:textId="1901AF67">
            <w:pPr>
              <w:widowControl/>
              <w:suppressAutoHyphens w:val="0"/>
              <w:spacing w:line="259" w:lineRule="auto"/>
              <w:jc w:val="center"/>
              <w:rPr>
                <w:rFonts w:eastAsia="Calibri" w:asciiTheme="minorHAnsi" w:hAnsiTheme="minorHAnsi" w:cstheme="minorHAnsi"/>
                <w:color w:val="000000"/>
                <w:kern w:val="0"/>
                <w:sz w:val="20"/>
                <w:szCs w:val="20"/>
              </w:rPr>
            </w:pPr>
            <w:r w:rsidRPr="00ED726F">
              <w:rPr>
                <w:rFonts w:eastAsia="Calibri" w:asciiTheme="minorHAnsi" w:hAnsiTheme="minorHAnsi" w:cstheme="minorHAnsi"/>
                <w:color w:val="000000"/>
                <w:kern w:val="0"/>
                <w:sz w:val="20"/>
                <w:szCs w:val="20"/>
              </w:rPr>
              <w:t>1</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705846" w:rsidR="00F26226" w:rsidP="00ED726F" w:rsidRDefault="00ED726F" w14:paraId="7D9E372D" w14:textId="5E7920DD">
            <w:pPr>
              <w:widowControl/>
              <w:suppressAutoHyphens w:val="0"/>
              <w:spacing w:line="259" w:lineRule="auto"/>
              <w:rPr>
                <w:rFonts w:eastAsia="Calibri" w:asciiTheme="minorHAnsi" w:hAnsiTheme="minorHAnsi" w:cstheme="minorHAnsi"/>
                <w:color w:val="000000"/>
                <w:kern w:val="0"/>
                <w:sz w:val="20"/>
                <w:szCs w:val="20"/>
              </w:rPr>
            </w:pPr>
            <w:r w:rsidRPr="00ED726F">
              <w:rPr>
                <w:rFonts w:eastAsia="Calibri" w:asciiTheme="minorHAnsi" w:hAnsiTheme="minorHAnsi" w:cstheme="minorHAnsi"/>
                <w:i/>
                <w:strike/>
                <w:color w:val="000000"/>
                <w:kern w:val="0"/>
                <w:sz w:val="20"/>
                <w:szCs w:val="20"/>
              </w:rPr>
              <w:t>0.62</w:t>
            </w:r>
            <w:r w:rsidRPr="00ED726F">
              <w:rPr>
                <w:rFonts w:eastAsia="Calibri" w:asciiTheme="minorHAnsi" w:hAnsiTheme="minorHAnsi" w:cstheme="minorHAnsi"/>
                <w:i/>
                <w:color w:val="000000"/>
                <w:kern w:val="0"/>
                <w:sz w:val="20"/>
                <w:szCs w:val="20"/>
              </w:rPr>
              <w:t xml:space="preserve"> </w:t>
            </w:r>
            <w:r>
              <w:rPr>
                <w:rFonts w:eastAsia="Calibri" w:asciiTheme="minorHAnsi" w:hAnsiTheme="minorHAnsi" w:cstheme="minorHAnsi"/>
                <w:color w:val="000000"/>
                <w:kern w:val="0"/>
                <w:sz w:val="20"/>
                <w:szCs w:val="20"/>
              </w:rPr>
              <w:t xml:space="preserve"> </w:t>
            </w:r>
            <w:r w:rsidRPr="00ED726F" w:rsidR="00F26226">
              <w:rPr>
                <w:rFonts w:eastAsia="Calibri" w:asciiTheme="minorHAnsi" w:hAnsiTheme="minorHAnsi" w:cstheme="minorHAnsi"/>
                <w:color w:val="000000"/>
                <w:kern w:val="0"/>
                <w:sz w:val="20"/>
                <w:szCs w:val="20"/>
              </w:rPr>
              <w:t>0.28</w:t>
            </w:r>
          </w:p>
        </w:tc>
        <w:tc>
          <w:tcPr>
            <w:tcW w:w="1223" w:type="dxa"/>
            <w:tcBorders>
              <w:top w:val="single" w:color="auto" w:sz="4" w:space="0"/>
              <w:left w:val="single" w:color="auto" w:sz="4" w:space="0"/>
              <w:bottom w:val="single" w:color="auto" w:sz="4" w:space="0"/>
              <w:right w:val="single" w:color="auto" w:sz="8" w:space="0"/>
            </w:tcBorders>
            <w:shd w:val="clear" w:color="auto" w:fill="auto"/>
            <w:vAlign w:val="center"/>
          </w:tcPr>
          <w:p w:rsidRPr="00705846" w:rsidR="00F26226" w:rsidP="00ED726F" w:rsidRDefault="00ED726F" w14:paraId="39B7BE0C" w14:textId="6976B927">
            <w:pPr>
              <w:widowControl/>
              <w:suppressAutoHyphens w:val="0"/>
              <w:spacing w:line="259" w:lineRule="auto"/>
              <w:rPr>
                <w:rFonts w:eastAsia="Calibri" w:asciiTheme="minorHAnsi" w:hAnsiTheme="minorHAnsi" w:cstheme="minorHAnsi"/>
                <w:kern w:val="0"/>
                <w:sz w:val="20"/>
                <w:szCs w:val="20"/>
              </w:rPr>
            </w:pPr>
            <w:r w:rsidRPr="00ED726F">
              <w:rPr>
                <w:rFonts w:eastAsia="Calibri" w:asciiTheme="minorHAnsi" w:hAnsiTheme="minorHAnsi" w:cstheme="minorHAnsi"/>
                <w:i/>
                <w:strike/>
                <w:kern w:val="0"/>
                <w:sz w:val="20"/>
                <w:szCs w:val="20"/>
              </w:rPr>
              <w:t>124</w:t>
            </w:r>
            <w:r>
              <w:rPr>
                <w:rFonts w:eastAsia="Calibri" w:asciiTheme="minorHAnsi" w:hAnsiTheme="minorHAnsi" w:cstheme="minorHAnsi"/>
                <w:kern w:val="0"/>
                <w:sz w:val="20"/>
                <w:szCs w:val="20"/>
              </w:rPr>
              <w:t xml:space="preserve">   </w:t>
            </w:r>
            <w:r w:rsidRPr="00ED726F" w:rsidR="00F26226">
              <w:rPr>
                <w:rFonts w:eastAsia="Calibri" w:asciiTheme="minorHAnsi" w:hAnsiTheme="minorHAnsi" w:cstheme="minorHAnsi"/>
                <w:kern w:val="0"/>
                <w:sz w:val="20"/>
                <w:szCs w:val="20"/>
              </w:rPr>
              <w:t>112</w:t>
            </w:r>
          </w:p>
        </w:tc>
      </w:tr>
      <w:tr w:rsidRPr="00123EA2" w:rsidR="00A0741D" w:rsidTr="00ED726F" w14:paraId="76B5E936" w14:textId="77777777">
        <w:trPr>
          <w:cantSplit/>
          <w:trHeight w:val="20"/>
        </w:trPr>
        <w:tc>
          <w:tcPr>
            <w:tcW w:w="4099" w:type="dxa"/>
            <w:tcBorders>
              <w:top w:val="single" w:color="auto" w:sz="4" w:space="0"/>
              <w:left w:val="single" w:color="auto" w:sz="8"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D726F" w:rsidR="00A0741D" w:rsidP="00607828" w:rsidRDefault="00A0741D" w14:paraId="48597058" w14:textId="73741A93">
            <w:pPr>
              <w:widowControl/>
              <w:suppressAutoHyphens w:val="0"/>
              <w:spacing w:line="259" w:lineRule="auto"/>
              <w:rPr>
                <w:rFonts w:ascii="Calibri" w:hAnsi="Calibri" w:eastAsia="Calibri"/>
                <w:strike/>
                <w:color w:val="000000"/>
                <w:kern w:val="0"/>
                <w:sz w:val="20"/>
                <w:szCs w:val="20"/>
              </w:rPr>
            </w:pPr>
            <w:r w:rsidRPr="00ED726F">
              <w:rPr>
                <w:rFonts w:ascii="Calibri" w:hAnsi="Calibri" w:eastAsia="Calibri"/>
                <w:strike/>
                <w:color w:val="000000"/>
                <w:kern w:val="0"/>
                <w:sz w:val="20"/>
                <w:szCs w:val="20"/>
              </w:rPr>
              <w:t>Young Adult 6-Month Follow Up Survey</w:t>
            </w:r>
          </w:p>
        </w:tc>
        <w:tc>
          <w:tcPr>
            <w:tcW w:w="13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D726F" w:rsidR="00A0741D" w:rsidP="00607828" w:rsidRDefault="00A0741D" w14:paraId="2A37CDD1" w14:textId="22EC2BD1">
            <w:pPr>
              <w:widowControl/>
              <w:suppressAutoHyphens w:val="0"/>
              <w:spacing w:line="259" w:lineRule="auto"/>
              <w:jc w:val="center"/>
              <w:rPr>
                <w:rFonts w:ascii="Calibri" w:hAnsi="Calibri" w:eastAsia="Calibri"/>
                <w:strike/>
                <w:color w:val="000000"/>
                <w:kern w:val="0"/>
                <w:sz w:val="20"/>
                <w:szCs w:val="20"/>
              </w:rPr>
            </w:pPr>
            <w:r w:rsidRPr="00ED726F">
              <w:rPr>
                <w:rFonts w:ascii="Calibri" w:hAnsi="Calibri" w:eastAsia="Calibri"/>
                <w:strike/>
                <w:color w:val="000000"/>
                <w:kern w:val="0"/>
                <w:sz w:val="20"/>
                <w:szCs w:val="20"/>
              </w:rPr>
              <w:t>200</w:t>
            </w:r>
          </w:p>
        </w:tc>
        <w:tc>
          <w:tcPr>
            <w:tcW w:w="12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D726F" w:rsidR="00A0741D" w:rsidP="00607828" w:rsidRDefault="00ED726F" w14:paraId="39DF8957" w14:textId="0511487F">
            <w:pPr>
              <w:widowControl/>
              <w:suppressAutoHyphens w:val="0"/>
              <w:spacing w:line="259" w:lineRule="auto"/>
              <w:jc w:val="center"/>
              <w:rPr>
                <w:rFonts w:ascii="Calibri" w:hAnsi="Calibri" w:eastAsia="Calibri"/>
                <w:strike/>
                <w:color w:val="000000"/>
                <w:kern w:val="0"/>
                <w:sz w:val="20"/>
                <w:szCs w:val="20"/>
              </w:rPr>
            </w:pPr>
            <w:r w:rsidRPr="00ED726F">
              <w:rPr>
                <w:rFonts w:ascii="Calibri" w:hAnsi="Calibri" w:eastAsia="Calibri"/>
                <w:strike/>
                <w:color w:val="000000"/>
                <w:kern w:val="0"/>
                <w:sz w:val="20"/>
                <w:szCs w:val="20"/>
              </w:rPr>
              <w:t>1</w:t>
            </w:r>
          </w:p>
        </w:tc>
        <w:tc>
          <w:tcPr>
            <w:tcW w:w="139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D726F" w:rsidR="00A0741D" w:rsidP="00607828" w:rsidRDefault="00ED726F" w14:paraId="4FA4B435" w14:textId="5B628F0F">
            <w:pPr>
              <w:widowControl/>
              <w:suppressAutoHyphens w:val="0"/>
              <w:spacing w:line="259" w:lineRule="auto"/>
              <w:jc w:val="center"/>
              <w:rPr>
                <w:rFonts w:ascii="Calibri" w:hAnsi="Calibri" w:eastAsia="Calibri"/>
                <w:strike/>
                <w:color w:val="000000"/>
                <w:kern w:val="0"/>
                <w:sz w:val="20"/>
                <w:szCs w:val="20"/>
              </w:rPr>
            </w:pPr>
            <w:r w:rsidRPr="00ED726F">
              <w:rPr>
                <w:rFonts w:ascii="Calibri" w:hAnsi="Calibri" w:eastAsia="Calibri"/>
                <w:strike/>
                <w:color w:val="000000"/>
                <w:kern w:val="0"/>
                <w:sz w:val="20"/>
                <w:szCs w:val="20"/>
              </w:rPr>
              <w:t>0.61</w:t>
            </w:r>
          </w:p>
        </w:tc>
        <w:tc>
          <w:tcPr>
            <w:tcW w:w="1223" w:type="dxa"/>
            <w:tcBorders>
              <w:top w:val="single" w:color="auto" w:sz="4" w:space="0"/>
              <w:left w:val="single" w:color="auto" w:sz="4" w:space="0"/>
              <w:bottom w:val="single" w:color="auto" w:sz="4" w:space="0"/>
              <w:right w:val="single" w:color="auto" w:sz="8" w:space="0"/>
            </w:tcBorders>
            <w:shd w:val="clear" w:color="auto" w:fill="D9D9D9" w:themeFill="background1" w:themeFillShade="D9"/>
            <w:vAlign w:val="center"/>
          </w:tcPr>
          <w:p w:rsidRPr="00ED726F" w:rsidR="00A0741D" w:rsidP="00607828" w:rsidRDefault="00ED726F" w14:paraId="7CA23AC7" w14:textId="6C8FD977">
            <w:pPr>
              <w:widowControl/>
              <w:suppressAutoHyphens w:val="0"/>
              <w:spacing w:line="259" w:lineRule="auto"/>
              <w:jc w:val="center"/>
              <w:rPr>
                <w:rFonts w:asciiTheme="minorHAnsi" w:hAnsiTheme="minorHAnsi" w:cstheme="minorHAnsi"/>
                <w:strike/>
                <w:sz w:val="20"/>
                <w:szCs w:val="20"/>
              </w:rPr>
            </w:pPr>
            <w:r w:rsidRPr="00ED726F">
              <w:rPr>
                <w:rFonts w:asciiTheme="minorHAnsi" w:hAnsiTheme="minorHAnsi" w:cstheme="minorHAnsi"/>
                <w:strike/>
                <w:sz w:val="20"/>
                <w:szCs w:val="20"/>
              </w:rPr>
              <w:t>122</w:t>
            </w:r>
          </w:p>
        </w:tc>
      </w:tr>
      <w:tr w:rsidRPr="00123EA2" w:rsidR="00A0741D" w:rsidTr="00ED726F" w14:paraId="6B8784A7" w14:textId="77777777">
        <w:trPr>
          <w:cantSplit/>
          <w:trHeight w:val="20"/>
        </w:trPr>
        <w:tc>
          <w:tcPr>
            <w:tcW w:w="4099" w:type="dxa"/>
            <w:tcBorders>
              <w:top w:val="single" w:color="auto" w:sz="4" w:space="0"/>
              <w:left w:val="single" w:color="auto" w:sz="8"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D726F" w:rsidR="00A0741D" w:rsidP="00607828" w:rsidRDefault="00A0741D" w14:paraId="40C73EF1" w14:textId="36566209">
            <w:pPr>
              <w:widowControl/>
              <w:suppressAutoHyphens w:val="0"/>
              <w:spacing w:line="259" w:lineRule="auto"/>
              <w:rPr>
                <w:rFonts w:ascii="Calibri" w:hAnsi="Calibri" w:eastAsia="Calibri"/>
                <w:strike/>
                <w:color w:val="000000"/>
                <w:kern w:val="0"/>
                <w:sz w:val="20"/>
                <w:szCs w:val="20"/>
              </w:rPr>
            </w:pPr>
            <w:r w:rsidRPr="00ED726F">
              <w:rPr>
                <w:rFonts w:ascii="Calibri" w:hAnsi="Calibri" w:eastAsia="Calibri"/>
                <w:strike/>
                <w:color w:val="000000"/>
                <w:kern w:val="0"/>
                <w:sz w:val="20"/>
                <w:szCs w:val="20"/>
              </w:rPr>
              <w:t xml:space="preserve">Young Adult </w:t>
            </w:r>
            <w:r w:rsidRPr="00ED726F">
              <w:rPr>
                <w:rFonts w:ascii="Calibri" w:hAnsi="Calibri" w:eastAsia="Calibri"/>
                <w:strike/>
                <w:color w:val="000000"/>
                <w:kern w:val="0"/>
                <w:sz w:val="20"/>
                <w:szCs w:val="20"/>
              </w:rPr>
              <w:t>12</w:t>
            </w:r>
            <w:r w:rsidRPr="00ED726F">
              <w:rPr>
                <w:rFonts w:ascii="Calibri" w:hAnsi="Calibri" w:eastAsia="Calibri"/>
                <w:strike/>
                <w:color w:val="000000"/>
                <w:kern w:val="0"/>
                <w:sz w:val="20"/>
                <w:szCs w:val="20"/>
              </w:rPr>
              <w:t>-Month Follow Up Survey</w:t>
            </w:r>
          </w:p>
        </w:tc>
        <w:tc>
          <w:tcPr>
            <w:tcW w:w="13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D726F" w:rsidR="00A0741D" w:rsidP="00607828" w:rsidRDefault="00A0741D" w14:paraId="36C6876E" w14:textId="44C57B17">
            <w:pPr>
              <w:widowControl/>
              <w:suppressAutoHyphens w:val="0"/>
              <w:spacing w:line="259" w:lineRule="auto"/>
              <w:jc w:val="center"/>
              <w:rPr>
                <w:rFonts w:ascii="Calibri" w:hAnsi="Calibri" w:eastAsia="Calibri"/>
                <w:strike/>
                <w:color w:val="000000"/>
                <w:kern w:val="0"/>
                <w:sz w:val="20"/>
                <w:szCs w:val="20"/>
              </w:rPr>
            </w:pPr>
            <w:r w:rsidRPr="00ED726F">
              <w:rPr>
                <w:rFonts w:ascii="Calibri" w:hAnsi="Calibri" w:eastAsia="Calibri"/>
                <w:strike/>
                <w:color w:val="000000"/>
                <w:kern w:val="0"/>
                <w:sz w:val="20"/>
                <w:szCs w:val="20"/>
              </w:rPr>
              <w:t>200</w:t>
            </w:r>
          </w:p>
        </w:tc>
        <w:tc>
          <w:tcPr>
            <w:tcW w:w="12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D726F" w:rsidR="00A0741D" w:rsidP="00607828" w:rsidRDefault="00ED726F" w14:paraId="794665AB" w14:textId="027ED807">
            <w:pPr>
              <w:widowControl/>
              <w:suppressAutoHyphens w:val="0"/>
              <w:spacing w:line="259" w:lineRule="auto"/>
              <w:jc w:val="center"/>
              <w:rPr>
                <w:rFonts w:ascii="Calibri" w:hAnsi="Calibri" w:eastAsia="Calibri"/>
                <w:strike/>
                <w:color w:val="000000"/>
                <w:kern w:val="0"/>
                <w:sz w:val="20"/>
                <w:szCs w:val="20"/>
              </w:rPr>
            </w:pPr>
            <w:r w:rsidRPr="00ED726F">
              <w:rPr>
                <w:rFonts w:ascii="Calibri" w:hAnsi="Calibri" w:eastAsia="Calibri"/>
                <w:strike/>
                <w:color w:val="000000"/>
                <w:kern w:val="0"/>
                <w:sz w:val="20"/>
                <w:szCs w:val="20"/>
              </w:rPr>
              <w:t>1</w:t>
            </w:r>
          </w:p>
        </w:tc>
        <w:tc>
          <w:tcPr>
            <w:tcW w:w="139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D726F" w:rsidR="00A0741D" w:rsidP="00607828" w:rsidRDefault="00ED726F" w14:paraId="1CB741BE" w14:textId="7C942445">
            <w:pPr>
              <w:widowControl/>
              <w:suppressAutoHyphens w:val="0"/>
              <w:spacing w:line="259" w:lineRule="auto"/>
              <w:jc w:val="center"/>
              <w:rPr>
                <w:rFonts w:ascii="Calibri" w:hAnsi="Calibri" w:eastAsia="Calibri"/>
                <w:strike/>
                <w:color w:val="000000"/>
                <w:kern w:val="0"/>
                <w:sz w:val="20"/>
                <w:szCs w:val="20"/>
              </w:rPr>
            </w:pPr>
            <w:r w:rsidRPr="00ED726F">
              <w:rPr>
                <w:rFonts w:ascii="Calibri" w:hAnsi="Calibri" w:eastAsia="Calibri"/>
                <w:strike/>
                <w:color w:val="000000"/>
                <w:kern w:val="0"/>
                <w:sz w:val="20"/>
                <w:szCs w:val="20"/>
              </w:rPr>
              <w:t>0.61</w:t>
            </w:r>
          </w:p>
        </w:tc>
        <w:tc>
          <w:tcPr>
            <w:tcW w:w="1223" w:type="dxa"/>
            <w:tcBorders>
              <w:top w:val="single" w:color="auto" w:sz="4" w:space="0"/>
              <w:left w:val="single" w:color="auto" w:sz="4" w:space="0"/>
              <w:bottom w:val="single" w:color="auto" w:sz="4" w:space="0"/>
              <w:right w:val="single" w:color="auto" w:sz="8" w:space="0"/>
            </w:tcBorders>
            <w:shd w:val="clear" w:color="auto" w:fill="D9D9D9" w:themeFill="background1" w:themeFillShade="D9"/>
            <w:vAlign w:val="center"/>
          </w:tcPr>
          <w:p w:rsidRPr="00ED726F" w:rsidR="00A0741D" w:rsidP="00607828" w:rsidRDefault="00ED726F" w14:paraId="3D61C9CD" w14:textId="6BD3D34F">
            <w:pPr>
              <w:widowControl/>
              <w:suppressAutoHyphens w:val="0"/>
              <w:spacing w:line="259" w:lineRule="auto"/>
              <w:jc w:val="center"/>
              <w:rPr>
                <w:rFonts w:asciiTheme="minorHAnsi" w:hAnsiTheme="minorHAnsi" w:cstheme="minorHAnsi"/>
                <w:strike/>
                <w:sz w:val="20"/>
                <w:szCs w:val="20"/>
              </w:rPr>
            </w:pPr>
            <w:r w:rsidRPr="00ED726F">
              <w:rPr>
                <w:rFonts w:asciiTheme="minorHAnsi" w:hAnsiTheme="minorHAnsi" w:cstheme="minorHAnsi"/>
                <w:strike/>
                <w:sz w:val="20"/>
                <w:szCs w:val="20"/>
              </w:rPr>
              <w:t>122</w:t>
            </w:r>
          </w:p>
        </w:tc>
      </w:tr>
      <w:tr w:rsidRPr="00123EA2" w:rsidR="00895FFC" w:rsidTr="00ED726F" w14:paraId="3E92A63A" w14:textId="77777777">
        <w:trPr>
          <w:cantSplit/>
          <w:trHeight w:val="20"/>
        </w:trPr>
        <w:tc>
          <w:tcPr>
            <w:tcW w:w="4099"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rsidRPr="00C67B49" w:rsidR="00895FFC" w:rsidP="00607828" w:rsidRDefault="00895FFC" w14:paraId="790B0343" w14:textId="64B27C74">
            <w:pPr>
              <w:widowControl/>
              <w:suppressAutoHyphens w:val="0"/>
              <w:spacing w:line="259" w:lineRule="auto"/>
              <w:rPr>
                <w:rFonts w:eastAsia="Calibri" w:asciiTheme="minorHAnsi" w:hAnsiTheme="minorHAnsi" w:cstheme="minorHAnsi"/>
                <w:strike/>
                <w:color w:val="000000"/>
                <w:kern w:val="0"/>
                <w:sz w:val="20"/>
                <w:szCs w:val="20"/>
              </w:rPr>
            </w:pPr>
            <w:r w:rsidRPr="00705846">
              <w:rPr>
                <w:rFonts w:ascii="Calibri" w:hAnsi="Calibri" w:eastAsia="Calibri"/>
                <w:color w:val="000000"/>
                <w:kern w:val="0"/>
                <w:sz w:val="20"/>
                <w:szCs w:val="20"/>
              </w:rPr>
              <w:t>Youth Information Form (YIF)</w:t>
            </w:r>
          </w:p>
        </w:tc>
        <w:tc>
          <w:tcPr>
            <w:tcW w:w="1325" w:type="dxa"/>
            <w:tcBorders>
              <w:top w:val="single" w:color="auto" w:sz="4" w:space="0"/>
              <w:left w:val="single" w:color="auto" w:sz="4" w:space="0"/>
              <w:bottom w:val="single" w:color="auto" w:sz="4" w:space="0"/>
              <w:right w:val="single" w:color="auto" w:sz="4" w:space="0"/>
            </w:tcBorders>
          </w:tcPr>
          <w:p w:rsidRPr="00C67B49" w:rsidR="00895FFC" w:rsidDel="001F700F" w:rsidP="00607828" w:rsidRDefault="00895FFC" w14:paraId="360BA8D6" w14:textId="4CA4CE16">
            <w:pPr>
              <w:widowControl/>
              <w:suppressAutoHyphens w:val="0"/>
              <w:spacing w:line="259" w:lineRule="auto"/>
              <w:jc w:val="center"/>
              <w:rPr>
                <w:rFonts w:eastAsia="Calibri" w:asciiTheme="minorHAnsi" w:hAnsiTheme="minorHAnsi" w:cstheme="minorHAnsi"/>
                <w:strike/>
                <w:color w:val="000000"/>
                <w:kern w:val="0"/>
                <w:sz w:val="20"/>
                <w:szCs w:val="20"/>
              </w:rPr>
            </w:pPr>
            <w:r>
              <w:rPr>
                <w:rFonts w:ascii="Calibri" w:hAnsi="Calibri" w:eastAsia="Calibri"/>
                <w:color w:val="000000"/>
                <w:kern w:val="0"/>
                <w:sz w:val="20"/>
                <w:szCs w:val="20"/>
              </w:rPr>
              <w:t>30</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67B49" w:rsidR="00895FFC" w:rsidP="00607828" w:rsidRDefault="00895FFC" w14:paraId="434660EF" w14:textId="623D3DF4">
            <w:pPr>
              <w:widowControl/>
              <w:suppressAutoHyphens w:val="0"/>
              <w:spacing w:line="259" w:lineRule="auto"/>
              <w:jc w:val="center"/>
              <w:rPr>
                <w:rFonts w:eastAsia="Calibri" w:asciiTheme="minorHAnsi" w:hAnsiTheme="minorHAnsi" w:cstheme="minorHAnsi"/>
                <w:strike/>
                <w:color w:val="000000"/>
                <w:kern w:val="0"/>
                <w:sz w:val="20"/>
                <w:szCs w:val="20"/>
              </w:rPr>
            </w:pPr>
            <w:r>
              <w:rPr>
                <w:rFonts w:ascii="Calibri" w:hAnsi="Calibri" w:eastAsia="Calibri"/>
                <w:color w:val="000000"/>
                <w:kern w:val="0"/>
                <w:sz w:val="20"/>
                <w:szCs w:val="20"/>
              </w:rPr>
              <w:t>48</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67B49" w:rsidR="00895FFC" w:rsidP="00607828" w:rsidRDefault="00895FFC" w14:paraId="7E0188C9" w14:textId="2E87B4DD">
            <w:pPr>
              <w:widowControl/>
              <w:suppressAutoHyphens w:val="0"/>
              <w:spacing w:line="259" w:lineRule="auto"/>
              <w:jc w:val="center"/>
              <w:rPr>
                <w:rFonts w:eastAsia="Calibri" w:asciiTheme="minorHAnsi" w:hAnsiTheme="minorHAnsi" w:cstheme="minorHAnsi"/>
                <w:strike/>
                <w:color w:val="000000"/>
                <w:kern w:val="0"/>
                <w:sz w:val="20"/>
                <w:szCs w:val="20"/>
              </w:rPr>
            </w:pPr>
            <w:r>
              <w:rPr>
                <w:rFonts w:ascii="Calibri" w:hAnsi="Calibri" w:eastAsia="Calibri"/>
                <w:color w:val="000000"/>
                <w:kern w:val="0"/>
                <w:sz w:val="20"/>
                <w:szCs w:val="20"/>
              </w:rPr>
              <w:t>0.38</w:t>
            </w:r>
          </w:p>
        </w:tc>
        <w:tc>
          <w:tcPr>
            <w:tcW w:w="1223" w:type="dxa"/>
            <w:tcBorders>
              <w:top w:val="single" w:color="auto" w:sz="4" w:space="0"/>
              <w:left w:val="single" w:color="auto" w:sz="4" w:space="0"/>
              <w:bottom w:val="single" w:color="auto" w:sz="4" w:space="0"/>
              <w:right w:val="single" w:color="auto" w:sz="8" w:space="0"/>
            </w:tcBorders>
            <w:shd w:val="clear" w:color="auto" w:fill="auto"/>
            <w:vAlign w:val="center"/>
          </w:tcPr>
          <w:p w:rsidRPr="00C67B49" w:rsidR="00895FFC" w:rsidP="00607828" w:rsidRDefault="00895FFC" w14:paraId="1BE990AA" w14:textId="4FE001FF">
            <w:pPr>
              <w:widowControl/>
              <w:suppressAutoHyphens w:val="0"/>
              <w:spacing w:line="259" w:lineRule="auto"/>
              <w:jc w:val="center"/>
              <w:rPr>
                <w:rFonts w:eastAsia="Calibri" w:asciiTheme="minorHAnsi" w:hAnsiTheme="minorHAnsi" w:cstheme="minorHAnsi"/>
                <w:strike/>
                <w:kern w:val="0"/>
                <w:sz w:val="20"/>
                <w:szCs w:val="20"/>
              </w:rPr>
            </w:pPr>
            <w:r w:rsidRPr="00EA20A7">
              <w:rPr>
                <w:rFonts w:asciiTheme="minorHAnsi" w:hAnsiTheme="minorHAnsi" w:cstheme="minorHAnsi"/>
                <w:sz w:val="20"/>
                <w:szCs w:val="20"/>
              </w:rPr>
              <w:t>547</w:t>
            </w:r>
          </w:p>
        </w:tc>
      </w:tr>
      <w:tr w:rsidRPr="00123EA2" w:rsidR="00895FFC" w:rsidTr="00ED726F" w14:paraId="1B025D46" w14:textId="77777777">
        <w:trPr>
          <w:cantSplit/>
          <w:trHeight w:val="20"/>
        </w:trPr>
        <w:tc>
          <w:tcPr>
            <w:tcW w:w="4099" w:type="dxa"/>
            <w:tcBorders>
              <w:top w:val="single" w:color="auto" w:sz="4" w:space="0"/>
              <w:left w:val="single" w:color="auto" w:sz="8" w:space="0"/>
              <w:bottom w:val="single" w:color="auto" w:sz="4" w:space="0"/>
              <w:right w:val="single" w:color="auto" w:sz="4" w:space="0"/>
            </w:tcBorders>
            <w:shd w:val="clear" w:color="auto" w:fill="DEEAF6"/>
            <w:tcMar>
              <w:top w:w="0" w:type="dxa"/>
              <w:left w:w="108" w:type="dxa"/>
              <w:bottom w:w="0" w:type="dxa"/>
              <w:right w:w="108" w:type="dxa"/>
            </w:tcMar>
          </w:tcPr>
          <w:p w:rsidRPr="00C67B49" w:rsidR="00895FFC" w:rsidP="00607828" w:rsidRDefault="00895FFC" w14:paraId="1AFFD893" w14:textId="5FB980E1">
            <w:pPr>
              <w:widowControl/>
              <w:suppressAutoHyphens w:val="0"/>
              <w:spacing w:line="259" w:lineRule="auto"/>
              <w:rPr>
                <w:rFonts w:eastAsia="Calibri" w:asciiTheme="minorHAnsi" w:hAnsiTheme="minorHAnsi" w:cstheme="minorHAnsi"/>
                <w:strike/>
                <w:color w:val="000000"/>
                <w:kern w:val="0"/>
                <w:sz w:val="20"/>
                <w:szCs w:val="20"/>
              </w:rPr>
            </w:pPr>
          </w:p>
        </w:tc>
        <w:tc>
          <w:tcPr>
            <w:tcW w:w="3977" w:type="dxa"/>
            <w:gridSpan w:val="3"/>
            <w:tcBorders>
              <w:top w:val="single" w:color="auto" w:sz="4" w:space="0"/>
              <w:left w:val="single" w:color="auto" w:sz="8" w:space="0"/>
              <w:bottom w:val="single" w:color="auto" w:sz="4" w:space="0"/>
            </w:tcBorders>
            <w:shd w:val="clear" w:color="auto" w:fill="DEEAF6"/>
            <w:vAlign w:val="center"/>
          </w:tcPr>
          <w:p w:rsidRPr="00C67B49" w:rsidR="00895FFC" w:rsidP="00895FFC" w:rsidRDefault="00895FFC" w14:paraId="1C884FC1" w14:textId="155360CD">
            <w:pPr>
              <w:widowControl/>
              <w:suppressAutoHyphens w:val="0"/>
              <w:spacing w:line="259" w:lineRule="auto"/>
              <w:ind w:right="90"/>
              <w:jc w:val="right"/>
              <w:rPr>
                <w:rFonts w:eastAsia="Calibri" w:asciiTheme="minorHAnsi" w:hAnsiTheme="minorHAnsi" w:cstheme="minorHAnsi"/>
                <w:strike/>
                <w:color w:val="000000"/>
                <w:kern w:val="0"/>
                <w:sz w:val="20"/>
                <w:szCs w:val="20"/>
              </w:rPr>
            </w:pPr>
            <w:r w:rsidRPr="00705846">
              <w:rPr>
                <w:rFonts w:eastAsia="Calibri" w:asciiTheme="minorHAnsi" w:hAnsiTheme="minorHAnsi" w:cstheme="minorHAnsi"/>
                <w:b/>
                <w:color w:val="000000"/>
                <w:kern w:val="0"/>
                <w:sz w:val="20"/>
                <w:szCs w:val="20"/>
              </w:rPr>
              <w:t>Total</w:t>
            </w:r>
          </w:p>
        </w:tc>
        <w:tc>
          <w:tcPr>
            <w:tcW w:w="1223" w:type="dxa"/>
            <w:tcBorders>
              <w:top w:val="single" w:color="auto" w:sz="4" w:space="0"/>
              <w:left w:val="single" w:color="auto" w:sz="4" w:space="0"/>
              <w:bottom w:val="single" w:color="auto" w:sz="4" w:space="0"/>
              <w:right w:val="single" w:color="auto" w:sz="8" w:space="0"/>
            </w:tcBorders>
            <w:shd w:val="clear" w:color="auto" w:fill="auto"/>
            <w:vAlign w:val="center"/>
          </w:tcPr>
          <w:p w:rsidRPr="00C67B49" w:rsidR="00895FFC" w:rsidP="00607828" w:rsidRDefault="00895FFC" w14:paraId="3468549D" w14:textId="7A4A7BD9">
            <w:pPr>
              <w:widowControl/>
              <w:suppressAutoHyphens w:val="0"/>
              <w:spacing w:line="259" w:lineRule="auto"/>
              <w:jc w:val="center"/>
              <w:rPr>
                <w:rFonts w:eastAsia="Calibri" w:asciiTheme="minorHAnsi" w:hAnsiTheme="minorHAnsi" w:cstheme="minorHAnsi"/>
                <w:strike/>
                <w:kern w:val="0"/>
                <w:sz w:val="20"/>
                <w:szCs w:val="20"/>
              </w:rPr>
            </w:pPr>
            <w:r>
              <w:rPr>
                <w:rFonts w:eastAsia="Calibri" w:asciiTheme="minorHAnsi" w:hAnsiTheme="minorHAnsi" w:cstheme="minorHAnsi"/>
                <w:kern w:val="0"/>
                <w:sz w:val="20"/>
                <w:szCs w:val="20"/>
              </w:rPr>
              <w:t>659</w:t>
            </w:r>
          </w:p>
        </w:tc>
      </w:tr>
    </w:tbl>
    <w:p w:rsidRPr="00705846" w:rsidR="00413579" w:rsidP="00413579" w:rsidRDefault="00413579" w14:paraId="2D5B68A5" w14:textId="77777777">
      <w:pPr>
        <w:widowControl/>
        <w:suppressAutoHyphens w:val="0"/>
        <w:contextualSpacing/>
        <w:rPr>
          <w:rFonts w:eastAsia="Calibri"/>
          <w:b/>
          <w:kern w:val="0"/>
        </w:rPr>
      </w:pPr>
    </w:p>
    <w:p w:rsidRPr="004475DA" w:rsidR="00413579" w:rsidP="00413579" w:rsidRDefault="00413579" w14:paraId="26CA46BA" w14:textId="77777777">
      <w:pPr>
        <w:widowControl/>
        <w:suppressAutoHyphens w:val="0"/>
        <w:contextualSpacing/>
        <w:rPr>
          <w:rFonts w:eastAsia="Calibri"/>
          <w:i/>
          <w:kern w:val="0"/>
        </w:rPr>
      </w:pPr>
      <w:r w:rsidRPr="004475DA">
        <w:rPr>
          <w:rFonts w:eastAsia="Calibri"/>
          <w:i/>
          <w:kern w:val="0"/>
        </w:rPr>
        <w:t>Changes to Estimate of Cost to the Federal Government:</w:t>
      </w:r>
    </w:p>
    <w:p w:rsidRPr="003D084C" w:rsidR="00413579" w:rsidP="00413579" w:rsidRDefault="00413579" w14:paraId="39081DAB" w14:textId="20009E1B">
      <w:pPr>
        <w:widowControl/>
        <w:numPr>
          <w:ilvl w:val="0"/>
          <w:numId w:val="6"/>
        </w:numPr>
        <w:suppressAutoHyphens w:val="0"/>
        <w:contextualSpacing/>
        <w:rPr>
          <w:rFonts w:eastAsia="Calibri"/>
          <w:kern w:val="0"/>
        </w:rPr>
      </w:pPr>
      <w:r w:rsidRPr="003D084C">
        <w:rPr>
          <w:rFonts w:eastAsia="Calibri"/>
          <w:kern w:val="0"/>
        </w:rPr>
        <w:t xml:space="preserve">The estimated </w:t>
      </w:r>
      <w:r w:rsidR="00BE46B0">
        <w:rPr>
          <w:rFonts w:eastAsia="Calibri"/>
          <w:kern w:val="0"/>
        </w:rPr>
        <w:t xml:space="preserve">annual </w:t>
      </w:r>
      <w:r w:rsidRPr="003D084C">
        <w:rPr>
          <w:rFonts w:eastAsia="Calibri"/>
          <w:kern w:val="0"/>
        </w:rPr>
        <w:t xml:space="preserve">cost </w:t>
      </w:r>
      <w:r w:rsidR="00BE46B0">
        <w:rPr>
          <w:rFonts w:eastAsia="Calibri"/>
          <w:kern w:val="0"/>
        </w:rPr>
        <w:t xml:space="preserve">has been updated to </w:t>
      </w:r>
      <w:r w:rsidRPr="003D084C">
        <w:rPr>
          <w:rFonts w:eastAsia="Calibri"/>
          <w:kern w:val="0"/>
        </w:rPr>
        <w:t>$</w:t>
      </w:r>
      <w:r w:rsidR="00846A2D">
        <w:rPr>
          <w:rFonts w:eastAsia="Calibri"/>
          <w:kern w:val="0"/>
        </w:rPr>
        <w:t>660,866</w:t>
      </w:r>
      <w:r w:rsidR="00BE46B0">
        <w:rPr>
          <w:rFonts w:eastAsia="Calibri"/>
          <w:kern w:val="0"/>
        </w:rPr>
        <w:t>, which includes the cost of the research – survey design, information collection, analysis, and reporting – through the end of data collection</w:t>
      </w:r>
      <w:r w:rsidRPr="003D084C">
        <w:rPr>
          <w:rFonts w:eastAsia="Calibri"/>
          <w:kern w:val="0"/>
        </w:rPr>
        <w:t>.</w:t>
      </w:r>
    </w:p>
    <w:p w:rsidRPr="003D084C" w:rsidR="00413579" w:rsidP="00413579" w:rsidRDefault="00413579" w14:paraId="33DCD32F" w14:textId="77777777">
      <w:pPr>
        <w:widowControl/>
        <w:suppressAutoHyphens w:val="0"/>
        <w:contextualSpacing/>
        <w:rPr>
          <w:rFonts w:eastAsia="Calibri"/>
          <w:b/>
          <w:kern w:val="0"/>
        </w:rPr>
      </w:pPr>
    </w:p>
    <w:p w:rsidRPr="003D084C" w:rsidR="00413579" w:rsidP="00413579" w:rsidRDefault="00413579" w14:paraId="076709A2" w14:textId="3C9B7B7A">
      <w:pPr>
        <w:widowControl/>
        <w:suppressAutoHyphens w:val="0"/>
        <w:contextualSpacing/>
        <w:rPr>
          <w:rFonts w:eastAsia="Calibri"/>
          <w:i/>
          <w:kern w:val="0"/>
        </w:rPr>
      </w:pPr>
      <w:r w:rsidRPr="004475DA">
        <w:rPr>
          <w:rFonts w:eastAsia="Calibri"/>
          <w:i/>
          <w:kern w:val="0"/>
        </w:rPr>
        <w:t>Changes to Time Schedule for Information Collection, Tabulation and Publication:</w:t>
      </w:r>
    </w:p>
    <w:p w:rsidRPr="000E0312" w:rsidR="00317F46" w:rsidP="000E0312" w:rsidRDefault="00413579" w14:paraId="3666D417" w14:textId="24309580">
      <w:pPr>
        <w:widowControl/>
        <w:numPr>
          <w:ilvl w:val="0"/>
          <w:numId w:val="6"/>
        </w:numPr>
        <w:suppressAutoHyphens w:val="0"/>
        <w:contextualSpacing/>
        <w:rPr>
          <w:rFonts w:eastAsia="Calibri"/>
          <w:kern w:val="0"/>
        </w:rPr>
      </w:pPr>
      <w:r w:rsidRPr="003D084C">
        <w:rPr>
          <w:rFonts w:eastAsia="Calibri"/>
          <w:kern w:val="0"/>
        </w:rPr>
        <w:t xml:space="preserve">Pending OMB approval, participant enrollment into the study and collection of the baseline data will be reduced from occurring over a 24-month period to a </w:t>
      </w:r>
      <w:r w:rsidR="00107992">
        <w:rPr>
          <w:rFonts w:eastAsia="Calibri"/>
          <w:kern w:val="0"/>
        </w:rPr>
        <w:t>4</w:t>
      </w:r>
      <w:r w:rsidRPr="003D084C">
        <w:rPr>
          <w:rFonts w:eastAsia="Calibri"/>
          <w:kern w:val="0"/>
        </w:rPr>
        <w:t>-month period. Follow-up administrative data collection is projected to occur over a</w:t>
      </w:r>
      <w:r w:rsidR="00691BBD">
        <w:rPr>
          <w:rFonts w:eastAsia="Calibri"/>
          <w:kern w:val="0"/>
        </w:rPr>
        <w:t>n</w:t>
      </w:r>
      <w:r w:rsidRPr="003D084C">
        <w:rPr>
          <w:rFonts w:eastAsia="Calibri"/>
          <w:kern w:val="0"/>
        </w:rPr>
        <w:t xml:space="preserve"> </w:t>
      </w:r>
      <w:r w:rsidR="00107992">
        <w:rPr>
          <w:rFonts w:eastAsia="Calibri"/>
          <w:kern w:val="0"/>
        </w:rPr>
        <w:t>8</w:t>
      </w:r>
      <w:r w:rsidRPr="003D084C">
        <w:rPr>
          <w:rFonts w:eastAsia="Calibri"/>
          <w:kern w:val="0"/>
        </w:rPr>
        <w:t>-month period</w:t>
      </w:r>
      <w:r w:rsidR="00D15FCD">
        <w:rPr>
          <w:rFonts w:eastAsia="Calibri"/>
          <w:kern w:val="0"/>
        </w:rPr>
        <w:t xml:space="preserve"> for program data and up to 10-months for NDNH and NSC data</w:t>
      </w:r>
      <w:r w:rsidRPr="003D084C">
        <w:rPr>
          <w:rFonts w:eastAsia="Calibri"/>
          <w:kern w:val="0"/>
        </w:rPr>
        <w:t>.</w:t>
      </w:r>
      <w:bookmarkStart w:name="_GoBack" w:id="0"/>
      <w:bookmarkEnd w:id="0"/>
    </w:p>
    <w:sectPr w:rsidRPr="000E0312" w:rsidR="00317F4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2E34" w14:textId="77777777" w:rsidR="008077EB" w:rsidRDefault="008077EB" w:rsidP="00440F1F">
      <w:r>
        <w:separator/>
      </w:r>
    </w:p>
  </w:endnote>
  <w:endnote w:type="continuationSeparator" w:id="0">
    <w:p w14:paraId="08476579" w14:textId="77777777" w:rsidR="008077EB" w:rsidRDefault="008077EB" w:rsidP="0044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10201"/>
      <w:docPartObj>
        <w:docPartGallery w:val="Page Numbers (Bottom of Page)"/>
        <w:docPartUnique/>
      </w:docPartObj>
    </w:sdtPr>
    <w:sdtEndPr>
      <w:rPr>
        <w:noProof/>
      </w:rPr>
    </w:sdtEndPr>
    <w:sdtContent>
      <w:p w14:paraId="0C409016" w14:textId="47C99B47" w:rsidR="00440F1F" w:rsidRDefault="00440F1F">
        <w:pPr>
          <w:pStyle w:val="Footer"/>
          <w:jc w:val="center"/>
        </w:pPr>
        <w:r>
          <w:fldChar w:fldCharType="begin"/>
        </w:r>
        <w:r>
          <w:instrText xml:space="preserve"> PAGE   \* MERGEFORMAT </w:instrText>
        </w:r>
        <w:r>
          <w:fldChar w:fldCharType="separate"/>
        </w:r>
        <w:r w:rsidR="000E0312">
          <w:rPr>
            <w:noProof/>
          </w:rPr>
          <w:t>4</w:t>
        </w:r>
        <w:r>
          <w:rPr>
            <w:noProof/>
          </w:rPr>
          <w:fldChar w:fldCharType="end"/>
        </w:r>
      </w:p>
    </w:sdtContent>
  </w:sdt>
  <w:p w14:paraId="231D2F8A" w14:textId="77777777" w:rsidR="00440F1F" w:rsidRDefault="00440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7963" w14:textId="77777777" w:rsidR="008077EB" w:rsidRDefault="008077EB" w:rsidP="00440F1F">
      <w:r>
        <w:separator/>
      </w:r>
    </w:p>
  </w:footnote>
  <w:footnote w:type="continuationSeparator" w:id="0">
    <w:p w14:paraId="74049237" w14:textId="77777777" w:rsidR="008077EB" w:rsidRDefault="008077EB" w:rsidP="0044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1710C"/>
    <w:multiLevelType w:val="hybridMultilevel"/>
    <w:tmpl w:val="4E8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C1A19"/>
    <w:multiLevelType w:val="hybridMultilevel"/>
    <w:tmpl w:val="D186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57C1E"/>
    <w:multiLevelType w:val="hybridMultilevel"/>
    <w:tmpl w:val="3FD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77D7A"/>
    <w:multiLevelType w:val="hybridMultilevel"/>
    <w:tmpl w:val="6964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44896"/>
    <w:multiLevelType w:val="hybridMultilevel"/>
    <w:tmpl w:val="C344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85D56"/>
    <w:multiLevelType w:val="hybridMultilevel"/>
    <w:tmpl w:val="A42A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C501E"/>
    <w:multiLevelType w:val="hybridMultilevel"/>
    <w:tmpl w:val="BDA2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794C"/>
    <w:rsid w:val="00027854"/>
    <w:rsid w:val="00034E97"/>
    <w:rsid w:val="0004196E"/>
    <w:rsid w:val="000560E6"/>
    <w:rsid w:val="0005680D"/>
    <w:rsid w:val="000632AE"/>
    <w:rsid w:val="000717B6"/>
    <w:rsid w:val="0009006A"/>
    <w:rsid w:val="000B6AA0"/>
    <w:rsid w:val="000E0312"/>
    <w:rsid w:val="000F14A1"/>
    <w:rsid w:val="00107992"/>
    <w:rsid w:val="00123EA2"/>
    <w:rsid w:val="001339EF"/>
    <w:rsid w:val="00151714"/>
    <w:rsid w:val="00153598"/>
    <w:rsid w:val="00164656"/>
    <w:rsid w:val="001A44A1"/>
    <w:rsid w:val="001B3342"/>
    <w:rsid w:val="001C3B7D"/>
    <w:rsid w:val="001E3CF9"/>
    <w:rsid w:val="001F1C18"/>
    <w:rsid w:val="001F700F"/>
    <w:rsid w:val="00201D4A"/>
    <w:rsid w:val="00202995"/>
    <w:rsid w:val="0023650B"/>
    <w:rsid w:val="00247544"/>
    <w:rsid w:val="002560A0"/>
    <w:rsid w:val="00280CEA"/>
    <w:rsid w:val="002B0574"/>
    <w:rsid w:val="002C06DB"/>
    <w:rsid w:val="002D5D01"/>
    <w:rsid w:val="003168CD"/>
    <w:rsid w:val="00317EC2"/>
    <w:rsid w:val="00317F46"/>
    <w:rsid w:val="003A455B"/>
    <w:rsid w:val="003C642F"/>
    <w:rsid w:val="003D084C"/>
    <w:rsid w:val="003E7682"/>
    <w:rsid w:val="00413579"/>
    <w:rsid w:val="00416B36"/>
    <w:rsid w:val="00416E1B"/>
    <w:rsid w:val="00440F1F"/>
    <w:rsid w:val="004475DA"/>
    <w:rsid w:val="00447E97"/>
    <w:rsid w:val="0048071E"/>
    <w:rsid w:val="00484854"/>
    <w:rsid w:val="004947F0"/>
    <w:rsid w:val="00496BEB"/>
    <w:rsid w:val="004E11EE"/>
    <w:rsid w:val="0057372C"/>
    <w:rsid w:val="00580993"/>
    <w:rsid w:val="00585102"/>
    <w:rsid w:val="005858DC"/>
    <w:rsid w:val="005A2442"/>
    <w:rsid w:val="005A5FAC"/>
    <w:rsid w:val="005B6BE7"/>
    <w:rsid w:val="005C072C"/>
    <w:rsid w:val="00607828"/>
    <w:rsid w:val="00625DC1"/>
    <w:rsid w:val="00631309"/>
    <w:rsid w:val="00650592"/>
    <w:rsid w:val="00691BBD"/>
    <w:rsid w:val="006A219A"/>
    <w:rsid w:val="006E25AC"/>
    <w:rsid w:val="006E33D3"/>
    <w:rsid w:val="006F2DEE"/>
    <w:rsid w:val="007050AC"/>
    <w:rsid w:val="00705846"/>
    <w:rsid w:val="00711EAA"/>
    <w:rsid w:val="0071655E"/>
    <w:rsid w:val="00736C85"/>
    <w:rsid w:val="007B3EE2"/>
    <w:rsid w:val="007B7EA1"/>
    <w:rsid w:val="007C00C5"/>
    <w:rsid w:val="007C10F7"/>
    <w:rsid w:val="007D577B"/>
    <w:rsid w:val="007E5C03"/>
    <w:rsid w:val="007E6CD9"/>
    <w:rsid w:val="008061B5"/>
    <w:rsid w:val="008077EB"/>
    <w:rsid w:val="00836560"/>
    <w:rsid w:val="00846A2D"/>
    <w:rsid w:val="00852780"/>
    <w:rsid w:val="00852CEC"/>
    <w:rsid w:val="00863951"/>
    <w:rsid w:val="008724E4"/>
    <w:rsid w:val="008760F7"/>
    <w:rsid w:val="00895FFC"/>
    <w:rsid w:val="008A4A56"/>
    <w:rsid w:val="00900380"/>
    <w:rsid w:val="00924155"/>
    <w:rsid w:val="009464E4"/>
    <w:rsid w:val="009507B2"/>
    <w:rsid w:val="009664CC"/>
    <w:rsid w:val="00981702"/>
    <w:rsid w:val="00995018"/>
    <w:rsid w:val="009E271D"/>
    <w:rsid w:val="009E7B29"/>
    <w:rsid w:val="00A0741D"/>
    <w:rsid w:val="00A21A78"/>
    <w:rsid w:val="00A44387"/>
    <w:rsid w:val="00A54D70"/>
    <w:rsid w:val="00A631A9"/>
    <w:rsid w:val="00A85AF1"/>
    <w:rsid w:val="00A92CE9"/>
    <w:rsid w:val="00AA592B"/>
    <w:rsid w:val="00B578EF"/>
    <w:rsid w:val="00B87B98"/>
    <w:rsid w:val="00B9214E"/>
    <w:rsid w:val="00BB10D3"/>
    <w:rsid w:val="00BB39AA"/>
    <w:rsid w:val="00BC394C"/>
    <w:rsid w:val="00BD3B73"/>
    <w:rsid w:val="00BD479B"/>
    <w:rsid w:val="00BE0DFF"/>
    <w:rsid w:val="00BE46B0"/>
    <w:rsid w:val="00C20921"/>
    <w:rsid w:val="00C41CF0"/>
    <w:rsid w:val="00C4768F"/>
    <w:rsid w:val="00C55C13"/>
    <w:rsid w:val="00C67B49"/>
    <w:rsid w:val="00C84724"/>
    <w:rsid w:val="00C95E95"/>
    <w:rsid w:val="00CC51F6"/>
    <w:rsid w:val="00CD4D90"/>
    <w:rsid w:val="00CE50D2"/>
    <w:rsid w:val="00CE5DA6"/>
    <w:rsid w:val="00CF5C4D"/>
    <w:rsid w:val="00D15FCD"/>
    <w:rsid w:val="00D40D68"/>
    <w:rsid w:val="00D57CF5"/>
    <w:rsid w:val="00D74A8A"/>
    <w:rsid w:val="00D82641"/>
    <w:rsid w:val="00D840A5"/>
    <w:rsid w:val="00D870C0"/>
    <w:rsid w:val="00DA5F16"/>
    <w:rsid w:val="00DF4FBB"/>
    <w:rsid w:val="00E33449"/>
    <w:rsid w:val="00E525D4"/>
    <w:rsid w:val="00E61DF0"/>
    <w:rsid w:val="00E940D5"/>
    <w:rsid w:val="00EA20A7"/>
    <w:rsid w:val="00EB1478"/>
    <w:rsid w:val="00ED726F"/>
    <w:rsid w:val="00F26226"/>
    <w:rsid w:val="00F36BBF"/>
    <w:rsid w:val="00F609A2"/>
    <w:rsid w:val="00F6687C"/>
    <w:rsid w:val="00F66F9A"/>
    <w:rsid w:val="00F83FCE"/>
    <w:rsid w:val="00FC672C"/>
    <w:rsid w:val="00FE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F66F9A"/>
    <w:pPr>
      <w:ind w:left="720"/>
      <w:contextualSpacing/>
    </w:pPr>
  </w:style>
  <w:style w:type="paragraph" w:styleId="FootnoteText">
    <w:name w:val="footnote text"/>
    <w:basedOn w:val="Normal"/>
    <w:link w:val="FootnoteTextChar"/>
    <w:uiPriority w:val="99"/>
    <w:semiHidden/>
    <w:unhideWhenUsed/>
    <w:rsid w:val="00440F1F"/>
    <w:rPr>
      <w:sz w:val="20"/>
      <w:szCs w:val="20"/>
    </w:rPr>
  </w:style>
  <w:style w:type="character" w:customStyle="1" w:styleId="FootnoteTextChar">
    <w:name w:val="Footnote Text Char"/>
    <w:basedOn w:val="DefaultParagraphFont"/>
    <w:link w:val="FootnoteText"/>
    <w:uiPriority w:val="99"/>
    <w:semiHidden/>
    <w:rsid w:val="00440F1F"/>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440F1F"/>
    <w:rPr>
      <w:vertAlign w:val="superscript"/>
    </w:rPr>
  </w:style>
  <w:style w:type="paragraph" w:styleId="Header">
    <w:name w:val="header"/>
    <w:basedOn w:val="Normal"/>
    <w:link w:val="HeaderChar"/>
    <w:uiPriority w:val="99"/>
    <w:unhideWhenUsed/>
    <w:rsid w:val="00440F1F"/>
    <w:pPr>
      <w:tabs>
        <w:tab w:val="center" w:pos="4680"/>
        <w:tab w:val="right" w:pos="9360"/>
      </w:tabs>
    </w:pPr>
  </w:style>
  <w:style w:type="character" w:customStyle="1" w:styleId="HeaderChar">
    <w:name w:val="Header Char"/>
    <w:basedOn w:val="DefaultParagraphFont"/>
    <w:link w:val="Header"/>
    <w:uiPriority w:val="99"/>
    <w:rsid w:val="00440F1F"/>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440F1F"/>
    <w:pPr>
      <w:tabs>
        <w:tab w:val="center" w:pos="4680"/>
        <w:tab w:val="right" w:pos="9360"/>
      </w:tabs>
    </w:pPr>
  </w:style>
  <w:style w:type="character" w:customStyle="1" w:styleId="FooterChar">
    <w:name w:val="Footer Char"/>
    <w:basedOn w:val="DefaultParagraphFont"/>
    <w:link w:val="Footer"/>
    <w:uiPriority w:val="99"/>
    <w:rsid w:val="00440F1F"/>
    <w:rPr>
      <w:rFonts w:ascii="Times New Roman" w:eastAsia="Tahoma" w:hAnsi="Times New Roman" w:cs="Times New Roman"/>
      <w:kern w:val="1"/>
      <w:sz w:val="24"/>
      <w:szCs w:val="24"/>
    </w:rPr>
  </w:style>
  <w:style w:type="paragraph" w:styleId="Revision">
    <w:name w:val="Revision"/>
    <w:hidden/>
    <w:uiPriority w:val="99"/>
    <w:semiHidden/>
    <w:rsid w:val="00317EC2"/>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2" ma:contentTypeDescription="Create a new document." ma:contentTypeScope="" ma:versionID="a1364e8fa7189ec2e1cb095fae696cef">
  <xsd:schema xmlns:xsd="http://www.w3.org/2001/XMLSchema" xmlns:xs="http://www.w3.org/2001/XMLSchema" xmlns:p="http://schemas.microsoft.com/office/2006/metadata/properties" xmlns:ns1="http://schemas.microsoft.com/sharepoint/v3" targetNamespace="http://schemas.microsoft.com/office/2006/metadata/properties" ma:root="true" ma:fieldsID="24e6d724c774946fc17fc931f3035ff6"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CBEF2F8E-EC0D-46EC-BEFE-ED924054C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BDB3C-1EFD-4A25-9D64-8EB66044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5</cp:revision>
  <dcterms:created xsi:type="dcterms:W3CDTF">2020-07-14T00:39:00Z</dcterms:created>
  <dcterms:modified xsi:type="dcterms:W3CDTF">2020-07-24T17:53:00Z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