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4F75" w:rsidR="000F5D39" w:rsidP="000F5D39" w:rsidRDefault="000F5D39" w14:paraId="06DB39CA" w14:textId="77777777">
      <w:pPr>
        <w:jc w:val="center"/>
        <w:rPr>
          <w:rFonts w:ascii="Arial" w:hAnsi="Arial" w:cs="Arial"/>
          <w:b/>
        </w:rPr>
      </w:pPr>
    </w:p>
    <w:p w:rsidRPr="002C4F75" w:rsidR="000F5D39" w:rsidP="000F5D39" w:rsidRDefault="000F5D39" w14:paraId="2344B7AD" w14:textId="77777777">
      <w:pPr>
        <w:jc w:val="center"/>
        <w:rPr>
          <w:rFonts w:ascii="Arial" w:hAnsi="Arial" w:cs="Arial"/>
          <w:b/>
        </w:rPr>
      </w:pPr>
    </w:p>
    <w:p w:rsidRPr="002C4F75" w:rsidR="000F5D39" w:rsidP="000F5D39" w:rsidRDefault="000F5D39" w14:paraId="1E4731A8" w14:textId="77777777">
      <w:pPr>
        <w:jc w:val="center"/>
        <w:rPr>
          <w:rFonts w:ascii="Arial" w:hAnsi="Arial" w:cs="Arial"/>
          <w:b/>
        </w:rPr>
      </w:pPr>
    </w:p>
    <w:p w:rsidRPr="002C4F75" w:rsidR="000F5D39" w:rsidP="000F5D39" w:rsidRDefault="000F5D39" w14:paraId="2C48AA49" w14:textId="77777777">
      <w:pPr>
        <w:pStyle w:val="ReportCover-Title"/>
        <w:rPr>
          <w:rFonts w:ascii="Arial" w:hAnsi="Arial" w:cs="Arial"/>
          <w:color w:val="auto"/>
        </w:rPr>
      </w:pPr>
    </w:p>
    <w:p w:rsidRPr="002C4F75" w:rsidR="001E66A2" w:rsidP="001E66A2" w:rsidRDefault="001E66A2" w14:paraId="7AB98B75" w14:textId="77777777">
      <w:pPr>
        <w:pStyle w:val="ReportCover-Title"/>
        <w:jc w:val="center"/>
        <w:rPr>
          <w:rFonts w:ascii="Arial" w:hAnsi="Arial" w:cs="Arial"/>
          <w:color w:val="auto"/>
        </w:rPr>
      </w:pPr>
      <w:r w:rsidRPr="00742161">
        <w:rPr>
          <w:rFonts w:ascii="Arial" w:hAnsi="Arial" w:eastAsia="Arial Unicode MS" w:cs="Arial"/>
          <w:noProof/>
          <w:color w:val="auto"/>
        </w:rPr>
        <w:t>Transitional Living Program Evaluation</w:t>
      </w:r>
    </w:p>
    <w:p w:rsidRPr="002C4F75" w:rsidR="000F5D39" w:rsidP="000F5D39" w:rsidRDefault="000F5D39" w14:paraId="3B27F8A5" w14:textId="77777777">
      <w:pPr>
        <w:pStyle w:val="ReportCover-Title"/>
        <w:rPr>
          <w:rFonts w:ascii="Arial" w:hAnsi="Arial" w:cs="Arial"/>
          <w:color w:val="auto"/>
        </w:rPr>
      </w:pPr>
    </w:p>
    <w:p w:rsidRPr="002C4F75" w:rsidR="000F5D39" w:rsidP="000F5D39" w:rsidRDefault="000F5D39" w14:paraId="077AB693" w14:textId="77777777">
      <w:pPr>
        <w:pStyle w:val="ReportCover-Title"/>
        <w:rPr>
          <w:rFonts w:ascii="Arial" w:hAnsi="Arial" w:cs="Arial"/>
          <w:color w:val="auto"/>
        </w:rPr>
      </w:pPr>
    </w:p>
    <w:p w:rsidRPr="002C4F75" w:rsidR="000F5D39" w:rsidP="000F5D39" w:rsidRDefault="000F5D39" w14:paraId="09BAD6B5"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1E66A2" w:rsidP="001E66A2" w:rsidRDefault="001E66A2" w14:paraId="5FCBA529" w14:textId="77777777">
      <w:pPr>
        <w:pStyle w:val="ReportCover-Title"/>
        <w:jc w:val="center"/>
        <w:rPr>
          <w:rFonts w:ascii="Arial" w:hAnsi="Arial" w:cs="Arial"/>
          <w:color w:val="auto"/>
          <w:sz w:val="32"/>
          <w:szCs w:val="32"/>
        </w:rPr>
      </w:pPr>
      <w:r w:rsidRPr="00FC2B1B">
        <w:rPr>
          <w:rFonts w:ascii="Arial" w:hAnsi="Arial" w:cs="Arial"/>
          <w:color w:val="auto"/>
          <w:sz w:val="32"/>
          <w:szCs w:val="32"/>
        </w:rPr>
        <w:t>0970 - 0383</w:t>
      </w:r>
    </w:p>
    <w:p w:rsidRPr="002C4F75" w:rsidR="000F5D39" w:rsidP="000F5D39" w:rsidRDefault="000F5D39" w14:paraId="228BF3B5" w14:textId="77777777">
      <w:pPr>
        <w:rPr>
          <w:rFonts w:ascii="Arial" w:hAnsi="Arial" w:cs="Arial"/>
          <w:szCs w:val="22"/>
        </w:rPr>
      </w:pPr>
    </w:p>
    <w:p w:rsidRPr="002C4F75" w:rsidR="000F5D39" w:rsidP="000F5D39" w:rsidRDefault="000F5D39" w14:paraId="6E112A1D" w14:textId="77777777">
      <w:pPr>
        <w:pStyle w:val="ReportCover-Date"/>
        <w:jc w:val="center"/>
        <w:rPr>
          <w:rFonts w:ascii="Arial" w:hAnsi="Arial" w:cs="Arial"/>
          <w:color w:val="auto"/>
        </w:rPr>
      </w:pPr>
    </w:p>
    <w:p w:rsidRPr="002C4F75" w:rsidR="000F5D39" w:rsidP="000F5D39" w:rsidRDefault="000F5D39" w14:paraId="23897FB1"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14:paraId="6CF4652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Pr="002C4F75" w:rsidR="000F5D39" w:rsidP="00F86601" w:rsidRDefault="003711C3" w14:paraId="76DA017A" w14:textId="5977F2A5">
      <w:pPr>
        <w:pStyle w:val="ReportCover-Date"/>
        <w:jc w:val="center"/>
        <w:rPr>
          <w:rFonts w:ascii="Arial" w:hAnsi="Arial" w:cs="Arial"/>
          <w:color w:val="auto"/>
        </w:rPr>
      </w:pPr>
      <w:r w:rsidRPr="003711C3">
        <w:rPr>
          <w:rFonts w:ascii="Arial" w:hAnsi="Arial" w:cs="Arial"/>
          <w:color w:val="auto"/>
        </w:rPr>
        <w:t xml:space="preserve"> </w:t>
      </w:r>
      <w:r>
        <w:rPr>
          <w:rFonts w:ascii="Arial" w:hAnsi="Arial" w:cs="Arial"/>
          <w:color w:val="auto"/>
        </w:rPr>
        <w:t>Updated Ju</w:t>
      </w:r>
      <w:r w:rsidR="00BB3D2C">
        <w:rPr>
          <w:rFonts w:ascii="Arial" w:hAnsi="Arial" w:cs="Arial"/>
          <w:color w:val="auto"/>
        </w:rPr>
        <w:t>ly</w:t>
      </w:r>
      <w:r>
        <w:rPr>
          <w:rFonts w:ascii="Arial" w:hAnsi="Arial" w:cs="Arial"/>
          <w:color w:val="auto"/>
        </w:rPr>
        <w:t xml:space="preserve"> 2020</w:t>
      </w:r>
    </w:p>
    <w:p w:rsidRPr="002C4F75" w:rsidR="000F5D39" w:rsidP="000F5D39" w:rsidRDefault="000F5D39" w14:paraId="2477A407" w14:textId="77777777">
      <w:pPr>
        <w:jc w:val="center"/>
        <w:rPr>
          <w:rFonts w:ascii="Arial" w:hAnsi="Arial" w:cs="Arial"/>
        </w:rPr>
      </w:pPr>
    </w:p>
    <w:p w:rsidRPr="002C4F75" w:rsidR="000F5D39" w:rsidP="000F5D39" w:rsidRDefault="000F5D39" w14:paraId="1CDC5A04" w14:textId="77777777">
      <w:pPr>
        <w:jc w:val="center"/>
        <w:rPr>
          <w:rFonts w:ascii="Arial" w:hAnsi="Arial" w:cs="Arial"/>
        </w:rPr>
      </w:pPr>
      <w:r w:rsidRPr="002C4F75">
        <w:rPr>
          <w:rFonts w:ascii="Arial" w:hAnsi="Arial" w:cs="Arial"/>
        </w:rPr>
        <w:t>Submitted By:</w:t>
      </w:r>
    </w:p>
    <w:p w:rsidRPr="002C4F75" w:rsidR="000F5D39" w:rsidP="000F5D39" w:rsidRDefault="000F5D39" w14:paraId="4C760B24" w14:textId="0C259D45">
      <w:pPr>
        <w:jc w:val="center"/>
        <w:rPr>
          <w:rFonts w:ascii="Arial" w:hAnsi="Arial" w:cs="Arial"/>
        </w:rPr>
      </w:pPr>
      <w:r w:rsidRPr="002C4F75">
        <w:rPr>
          <w:rFonts w:ascii="Arial" w:hAnsi="Arial" w:cs="Arial"/>
        </w:rPr>
        <w:t>Office of Planning, Research</w:t>
      </w:r>
      <w:r w:rsidR="006056F4">
        <w:rPr>
          <w:rFonts w:ascii="Arial" w:hAnsi="Arial" w:cs="Arial"/>
        </w:rPr>
        <w:t>,</w:t>
      </w:r>
      <w:r w:rsidRPr="002C4F75">
        <w:rPr>
          <w:rFonts w:ascii="Arial" w:hAnsi="Arial" w:cs="Arial"/>
        </w:rPr>
        <w:t xml:space="preserve"> and Evaluation</w:t>
      </w:r>
    </w:p>
    <w:p w:rsidRPr="002C4F75" w:rsidR="000F5D39" w:rsidP="000F5D39" w:rsidRDefault="000F5D39" w14:paraId="67964D0D" w14:textId="77777777">
      <w:pPr>
        <w:jc w:val="center"/>
        <w:rPr>
          <w:rFonts w:ascii="Arial" w:hAnsi="Arial" w:cs="Arial"/>
        </w:rPr>
      </w:pPr>
      <w:r w:rsidRPr="002C4F75">
        <w:rPr>
          <w:rFonts w:ascii="Arial" w:hAnsi="Arial" w:cs="Arial"/>
        </w:rPr>
        <w:t xml:space="preserve">Administration for Children and Families </w:t>
      </w:r>
    </w:p>
    <w:p w:rsidRPr="002C4F75" w:rsidR="000F5D39" w:rsidP="000F5D39" w:rsidRDefault="000F5D39" w14:paraId="0C16D7EC" w14:textId="77777777">
      <w:pPr>
        <w:jc w:val="center"/>
        <w:rPr>
          <w:rFonts w:ascii="Arial" w:hAnsi="Arial" w:cs="Arial"/>
        </w:rPr>
      </w:pPr>
      <w:r w:rsidRPr="002C4F75">
        <w:rPr>
          <w:rFonts w:ascii="Arial" w:hAnsi="Arial" w:cs="Arial"/>
        </w:rPr>
        <w:t>U.S. Department of Health and Human Services</w:t>
      </w:r>
    </w:p>
    <w:p w:rsidRPr="002C4F75" w:rsidR="000F5D39" w:rsidP="000F5D39" w:rsidRDefault="000F5D39" w14:paraId="6366374C" w14:textId="77777777">
      <w:pPr>
        <w:jc w:val="center"/>
        <w:rPr>
          <w:rFonts w:ascii="Arial" w:hAnsi="Arial" w:cs="Arial"/>
        </w:rPr>
      </w:pPr>
    </w:p>
    <w:p w:rsidR="007A6EEC" w:rsidP="007A6EEC" w:rsidRDefault="007A6EEC" w14:paraId="63645226"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7A6EEC" w:rsidRDefault="007A6EEC" w14:paraId="1AB05918" w14:textId="77777777">
      <w:pPr>
        <w:jc w:val="center"/>
        <w:rPr>
          <w:rFonts w:ascii="Arial" w:hAnsi="Arial" w:cs="Arial"/>
        </w:rPr>
      </w:pPr>
      <w:r>
        <w:rPr>
          <w:rFonts w:ascii="Arial" w:hAnsi="Arial" w:cs="Arial"/>
        </w:rPr>
        <w:t>330 C Street, SW</w:t>
      </w:r>
    </w:p>
    <w:p w:rsidR="007A6EEC" w:rsidP="007A6EEC" w:rsidRDefault="007A6EEC" w14:paraId="7A56A6A9" w14:textId="77777777">
      <w:pPr>
        <w:jc w:val="center"/>
        <w:rPr>
          <w:rFonts w:ascii="Arial" w:hAnsi="Arial" w:cs="Arial"/>
        </w:rPr>
      </w:pPr>
      <w:r>
        <w:rPr>
          <w:rFonts w:ascii="Arial" w:hAnsi="Arial" w:cs="Arial"/>
        </w:rPr>
        <w:t>Washington, D.C. 20201</w:t>
      </w:r>
    </w:p>
    <w:p w:rsidRPr="002C4F75" w:rsidR="000F5D39" w:rsidP="000F5D39" w:rsidRDefault="000F5D39" w14:paraId="6944A365" w14:textId="77777777">
      <w:pPr>
        <w:jc w:val="center"/>
        <w:rPr>
          <w:rFonts w:ascii="Arial" w:hAnsi="Arial" w:cs="Arial"/>
        </w:rPr>
      </w:pPr>
    </w:p>
    <w:p w:rsidR="001E66A2" w:rsidP="001E66A2" w:rsidRDefault="001E66A2" w14:paraId="093D393B" w14:textId="77777777">
      <w:pPr>
        <w:jc w:val="center"/>
        <w:rPr>
          <w:rFonts w:ascii="Arial" w:hAnsi="Arial" w:cs="Arial"/>
        </w:rPr>
      </w:pPr>
      <w:r w:rsidRPr="00BE7952">
        <w:rPr>
          <w:rFonts w:ascii="Arial" w:hAnsi="Arial" w:cs="Arial"/>
        </w:rPr>
        <w:t>Project Officers:</w:t>
      </w:r>
    </w:p>
    <w:p w:rsidRPr="00616D80" w:rsidR="001E66A2" w:rsidP="001E66A2" w:rsidRDefault="001E66A2" w14:paraId="0CC93041" w14:textId="6B2FF15C">
      <w:pPr>
        <w:jc w:val="center"/>
        <w:rPr>
          <w:rFonts w:ascii="Arial" w:hAnsi="Arial" w:cs="Arial"/>
        </w:rPr>
      </w:pPr>
      <w:r w:rsidRPr="00616D80">
        <w:rPr>
          <w:rFonts w:ascii="Arial" w:hAnsi="Arial" w:cs="Arial"/>
        </w:rPr>
        <w:t>Caryn Blitz, Office of Planning, Research</w:t>
      </w:r>
      <w:r w:rsidR="00CB1CBB">
        <w:rPr>
          <w:rFonts w:ascii="Arial" w:hAnsi="Arial" w:cs="Arial"/>
        </w:rPr>
        <w:t>,</w:t>
      </w:r>
      <w:r w:rsidRPr="00616D80">
        <w:rPr>
          <w:rFonts w:ascii="Arial" w:hAnsi="Arial" w:cs="Arial"/>
        </w:rPr>
        <w:t xml:space="preserve"> and Evaluation</w:t>
      </w:r>
    </w:p>
    <w:p w:rsidR="001E66A2" w:rsidP="001E66A2" w:rsidRDefault="00500BE1" w14:paraId="1D4CDA59" w14:textId="69A47E3A">
      <w:pPr>
        <w:spacing w:after="120"/>
        <w:jc w:val="center"/>
        <w:rPr>
          <w:rFonts w:ascii="Arial" w:hAnsi="Arial" w:cs="Arial"/>
        </w:rPr>
      </w:pPr>
      <w:r>
        <w:rPr>
          <w:rFonts w:ascii="Arial" w:hAnsi="Arial" w:cs="Arial"/>
        </w:rPr>
        <w:t>Christopher Holloway</w:t>
      </w:r>
      <w:r w:rsidRPr="00616D80" w:rsidR="001E66A2">
        <w:rPr>
          <w:rFonts w:ascii="Arial" w:hAnsi="Arial" w:cs="Arial"/>
        </w:rPr>
        <w:t>, Family Youth Services Bureau</w:t>
      </w:r>
    </w:p>
    <w:p w:rsidR="000F5D39" w:rsidP="000F5D39" w:rsidRDefault="000F5D39" w14:paraId="28614CAB" w14:textId="77777777">
      <w:pPr>
        <w:jc w:val="center"/>
        <w:rPr>
          <w:b/>
        </w:rPr>
      </w:pPr>
    </w:p>
    <w:p w:rsidRPr="00383A0C" w:rsidR="00383A0C" w:rsidP="00383A0C" w:rsidRDefault="000F5D39" w14:paraId="37C708C6" w14:textId="77777777">
      <w:pPr>
        <w:pStyle w:val="TOCHeader"/>
        <w:rPr>
          <w:rFonts w:ascii="Times New Roman" w:hAnsi="Times New Roman"/>
          <w:color w:val="auto"/>
        </w:rPr>
      </w:pPr>
      <w:r>
        <w:rPr>
          <w:b w:val="0"/>
        </w:rPr>
        <w:br w:type="page"/>
      </w:r>
      <w:r w:rsidRPr="00383A0C" w:rsidR="00383A0C">
        <w:rPr>
          <w:rFonts w:ascii="Times New Roman" w:hAnsi="Times New Roman"/>
          <w:color w:val="auto"/>
        </w:rPr>
        <w:lastRenderedPageBreak/>
        <w:t>Table of Contents</w:t>
      </w:r>
    </w:p>
    <w:p w:rsidRPr="00BD7656" w:rsidR="00BD7656" w:rsidRDefault="00383A0C" w14:paraId="746A3D79" w14:textId="77777777">
      <w:pPr>
        <w:pStyle w:val="TOC1"/>
        <w:rPr>
          <w:rFonts w:asciiTheme="minorHAnsi" w:hAnsiTheme="minorHAnsi" w:eastAsiaTheme="minorEastAsia" w:cstheme="minorBidi"/>
          <w:b w:val="0"/>
          <w:szCs w:val="22"/>
        </w:rPr>
      </w:pPr>
      <w:r w:rsidRPr="00BD7656">
        <w:fldChar w:fldCharType="begin"/>
      </w:r>
      <w:r w:rsidRPr="00BD7656">
        <w:instrText xml:space="preserve"> TOC \o "1-3" \h \z \u </w:instrText>
      </w:r>
      <w:r w:rsidRPr="00BD7656">
        <w:fldChar w:fldCharType="separate"/>
      </w:r>
      <w:hyperlink w:history="1" w:anchor="_Toc45548701">
        <w:r w:rsidRPr="00BD7656" w:rsidR="00BD7656">
          <w:rPr>
            <w:rStyle w:val="Hyperlink"/>
            <w:b w:val="0"/>
          </w:rPr>
          <w:t>Introduction</w:t>
        </w:r>
        <w:r w:rsidRPr="00BD7656" w:rsidR="00BD7656">
          <w:rPr>
            <w:b w:val="0"/>
            <w:webHidden/>
          </w:rPr>
          <w:tab/>
        </w:r>
        <w:r w:rsidRPr="00BD7656" w:rsidR="00BD7656">
          <w:rPr>
            <w:b w:val="0"/>
            <w:webHidden/>
          </w:rPr>
          <w:fldChar w:fldCharType="begin"/>
        </w:r>
        <w:r w:rsidRPr="00BD7656" w:rsidR="00BD7656">
          <w:rPr>
            <w:b w:val="0"/>
            <w:webHidden/>
          </w:rPr>
          <w:instrText xml:space="preserve"> PAGEREF _Toc45548701 \h </w:instrText>
        </w:r>
        <w:r w:rsidRPr="00BD7656" w:rsidR="00BD7656">
          <w:rPr>
            <w:b w:val="0"/>
            <w:webHidden/>
          </w:rPr>
        </w:r>
        <w:r w:rsidRPr="00BD7656" w:rsidR="00BD7656">
          <w:rPr>
            <w:b w:val="0"/>
            <w:webHidden/>
          </w:rPr>
          <w:fldChar w:fldCharType="separate"/>
        </w:r>
        <w:r w:rsidRPr="00BD7656" w:rsidR="00BD7656">
          <w:rPr>
            <w:b w:val="0"/>
            <w:webHidden/>
          </w:rPr>
          <w:t>3</w:t>
        </w:r>
        <w:r w:rsidRPr="00BD7656" w:rsidR="00BD7656">
          <w:rPr>
            <w:b w:val="0"/>
            <w:webHidden/>
          </w:rPr>
          <w:fldChar w:fldCharType="end"/>
        </w:r>
      </w:hyperlink>
    </w:p>
    <w:p w:rsidRPr="00BD7656" w:rsidR="00BD7656" w:rsidRDefault="00BD7656" w14:paraId="2AC52F10" w14:textId="77777777">
      <w:pPr>
        <w:pStyle w:val="TOC1"/>
        <w:rPr>
          <w:rFonts w:asciiTheme="minorHAnsi" w:hAnsiTheme="minorHAnsi" w:eastAsiaTheme="minorEastAsia" w:cstheme="minorBidi"/>
          <w:b w:val="0"/>
          <w:szCs w:val="22"/>
        </w:rPr>
      </w:pPr>
      <w:hyperlink w:history="1" w:anchor="_Toc45548702">
        <w:r w:rsidRPr="00BD7656">
          <w:rPr>
            <w:rStyle w:val="Hyperlink"/>
            <w:b w:val="0"/>
          </w:rPr>
          <w:t>B1. Respondent Universe and Sampling Methods</w:t>
        </w:r>
        <w:r w:rsidRPr="00BD7656">
          <w:rPr>
            <w:b w:val="0"/>
            <w:webHidden/>
          </w:rPr>
          <w:tab/>
        </w:r>
        <w:r w:rsidRPr="00BD7656">
          <w:rPr>
            <w:b w:val="0"/>
            <w:webHidden/>
          </w:rPr>
          <w:fldChar w:fldCharType="begin"/>
        </w:r>
        <w:r w:rsidRPr="00BD7656">
          <w:rPr>
            <w:b w:val="0"/>
            <w:webHidden/>
          </w:rPr>
          <w:instrText xml:space="preserve"> PAGEREF _Toc45548702 \h </w:instrText>
        </w:r>
        <w:r w:rsidRPr="00BD7656">
          <w:rPr>
            <w:b w:val="0"/>
            <w:webHidden/>
          </w:rPr>
        </w:r>
        <w:r w:rsidRPr="00BD7656">
          <w:rPr>
            <w:b w:val="0"/>
            <w:webHidden/>
          </w:rPr>
          <w:fldChar w:fldCharType="separate"/>
        </w:r>
        <w:r w:rsidRPr="00BD7656">
          <w:rPr>
            <w:b w:val="0"/>
            <w:webHidden/>
          </w:rPr>
          <w:t>3</w:t>
        </w:r>
        <w:r w:rsidRPr="00BD7656">
          <w:rPr>
            <w:b w:val="0"/>
            <w:webHidden/>
          </w:rPr>
          <w:fldChar w:fldCharType="end"/>
        </w:r>
      </w:hyperlink>
    </w:p>
    <w:p w:rsidRPr="00BD7656" w:rsidR="00BD7656" w:rsidRDefault="00BD7656" w14:paraId="69AB4610" w14:textId="77777777">
      <w:pPr>
        <w:pStyle w:val="TOC1"/>
        <w:rPr>
          <w:rFonts w:asciiTheme="minorHAnsi" w:hAnsiTheme="minorHAnsi" w:eastAsiaTheme="minorEastAsia" w:cstheme="minorBidi"/>
          <w:b w:val="0"/>
          <w:szCs w:val="22"/>
        </w:rPr>
      </w:pPr>
      <w:hyperlink w:history="1" w:anchor="_Toc45548703">
        <w:r w:rsidRPr="00BD7656">
          <w:rPr>
            <w:rStyle w:val="Hyperlink"/>
            <w:b w:val="0"/>
          </w:rPr>
          <w:t>B2. Procedures for Collection of Information</w:t>
        </w:r>
        <w:r w:rsidRPr="00BD7656">
          <w:rPr>
            <w:b w:val="0"/>
            <w:webHidden/>
          </w:rPr>
          <w:tab/>
        </w:r>
        <w:r w:rsidRPr="00BD7656">
          <w:rPr>
            <w:b w:val="0"/>
            <w:webHidden/>
          </w:rPr>
          <w:fldChar w:fldCharType="begin"/>
        </w:r>
        <w:r w:rsidRPr="00BD7656">
          <w:rPr>
            <w:b w:val="0"/>
            <w:webHidden/>
          </w:rPr>
          <w:instrText xml:space="preserve"> PAGEREF _Toc45548703 \h </w:instrText>
        </w:r>
        <w:r w:rsidRPr="00BD7656">
          <w:rPr>
            <w:b w:val="0"/>
            <w:webHidden/>
          </w:rPr>
        </w:r>
        <w:r w:rsidRPr="00BD7656">
          <w:rPr>
            <w:b w:val="0"/>
            <w:webHidden/>
          </w:rPr>
          <w:fldChar w:fldCharType="separate"/>
        </w:r>
        <w:r w:rsidRPr="00BD7656">
          <w:rPr>
            <w:b w:val="0"/>
            <w:webHidden/>
          </w:rPr>
          <w:t>3</w:t>
        </w:r>
        <w:r w:rsidRPr="00BD7656">
          <w:rPr>
            <w:b w:val="0"/>
            <w:webHidden/>
          </w:rPr>
          <w:fldChar w:fldCharType="end"/>
        </w:r>
      </w:hyperlink>
    </w:p>
    <w:p w:rsidRPr="00BD7656" w:rsidR="00BD7656" w:rsidRDefault="00BD7656" w14:paraId="6AABB810" w14:textId="77777777">
      <w:pPr>
        <w:pStyle w:val="TOC1"/>
        <w:rPr>
          <w:rFonts w:asciiTheme="minorHAnsi" w:hAnsiTheme="minorHAnsi" w:eastAsiaTheme="minorEastAsia" w:cstheme="minorBidi"/>
          <w:b w:val="0"/>
          <w:szCs w:val="22"/>
        </w:rPr>
      </w:pPr>
      <w:hyperlink w:history="1" w:anchor="_Toc45548704">
        <w:r w:rsidRPr="00BD7656">
          <w:rPr>
            <w:rStyle w:val="Hyperlink"/>
            <w:b w:val="0"/>
          </w:rPr>
          <w:t>B3. Methods to Maximize Response Rates and Deal with Nonresponse</w:t>
        </w:r>
        <w:r w:rsidRPr="00BD7656">
          <w:rPr>
            <w:b w:val="0"/>
            <w:webHidden/>
          </w:rPr>
          <w:tab/>
        </w:r>
        <w:r w:rsidRPr="00BD7656">
          <w:rPr>
            <w:b w:val="0"/>
            <w:webHidden/>
          </w:rPr>
          <w:fldChar w:fldCharType="begin"/>
        </w:r>
        <w:r w:rsidRPr="00BD7656">
          <w:rPr>
            <w:b w:val="0"/>
            <w:webHidden/>
          </w:rPr>
          <w:instrText xml:space="preserve"> PAGEREF _Toc45548704 \h </w:instrText>
        </w:r>
        <w:r w:rsidRPr="00BD7656">
          <w:rPr>
            <w:b w:val="0"/>
            <w:webHidden/>
          </w:rPr>
        </w:r>
        <w:r w:rsidRPr="00BD7656">
          <w:rPr>
            <w:b w:val="0"/>
            <w:webHidden/>
          </w:rPr>
          <w:fldChar w:fldCharType="separate"/>
        </w:r>
        <w:r w:rsidRPr="00BD7656">
          <w:rPr>
            <w:b w:val="0"/>
            <w:webHidden/>
          </w:rPr>
          <w:t>11</w:t>
        </w:r>
        <w:r w:rsidRPr="00BD7656">
          <w:rPr>
            <w:b w:val="0"/>
            <w:webHidden/>
          </w:rPr>
          <w:fldChar w:fldCharType="end"/>
        </w:r>
      </w:hyperlink>
    </w:p>
    <w:p w:rsidRPr="00BD7656" w:rsidR="00BD7656" w:rsidRDefault="00BD7656" w14:paraId="58C13F5D" w14:textId="77777777">
      <w:pPr>
        <w:pStyle w:val="TOC1"/>
        <w:rPr>
          <w:rFonts w:asciiTheme="minorHAnsi" w:hAnsiTheme="minorHAnsi" w:eastAsiaTheme="minorEastAsia" w:cstheme="minorBidi"/>
          <w:b w:val="0"/>
          <w:szCs w:val="22"/>
        </w:rPr>
      </w:pPr>
      <w:hyperlink w:history="1" w:anchor="_Toc45548705">
        <w:r w:rsidRPr="00BD7656">
          <w:rPr>
            <w:rStyle w:val="Hyperlink"/>
            <w:b w:val="0"/>
          </w:rPr>
          <w:t>B4. Tests of Procedures or Methods to be Undertaken</w:t>
        </w:r>
        <w:r w:rsidRPr="00BD7656">
          <w:rPr>
            <w:b w:val="0"/>
            <w:webHidden/>
          </w:rPr>
          <w:tab/>
        </w:r>
        <w:r w:rsidRPr="00BD7656">
          <w:rPr>
            <w:b w:val="0"/>
            <w:webHidden/>
          </w:rPr>
          <w:fldChar w:fldCharType="begin"/>
        </w:r>
        <w:r w:rsidRPr="00BD7656">
          <w:rPr>
            <w:b w:val="0"/>
            <w:webHidden/>
          </w:rPr>
          <w:instrText xml:space="preserve"> PAGEREF _Toc45548705 \h </w:instrText>
        </w:r>
        <w:r w:rsidRPr="00BD7656">
          <w:rPr>
            <w:b w:val="0"/>
            <w:webHidden/>
          </w:rPr>
        </w:r>
        <w:r w:rsidRPr="00BD7656">
          <w:rPr>
            <w:b w:val="0"/>
            <w:webHidden/>
          </w:rPr>
          <w:fldChar w:fldCharType="separate"/>
        </w:r>
        <w:r w:rsidRPr="00BD7656">
          <w:rPr>
            <w:b w:val="0"/>
            <w:webHidden/>
          </w:rPr>
          <w:t>11</w:t>
        </w:r>
        <w:r w:rsidRPr="00BD7656">
          <w:rPr>
            <w:b w:val="0"/>
            <w:webHidden/>
          </w:rPr>
          <w:fldChar w:fldCharType="end"/>
        </w:r>
      </w:hyperlink>
    </w:p>
    <w:p w:rsidRPr="00BD7656" w:rsidR="00BD7656" w:rsidRDefault="00BD7656" w14:paraId="08A8AECD" w14:textId="77777777">
      <w:pPr>
        <w:pStyle w:val="TOC1"/>
        <w:rPr>
          <w:rFonts w:asciiTheme="minorHAnsi" w:hAnsiTheme="minorHAnsi" w:eastAsiaTheme="minorEastAsia" w:cstheme="minorBidi"/>
          <w:b w:val="0"/>
          <w:szCs w:val="22"/>
        </w:rPr>
      </w:pPr>
      <w:hyperlink w:history="1" w:anchor="_Toc45548706">
        <w:r w:rsidRPr="00BD7656">
          <w:rPr>
            <w:rStyle w:val="Hyperlink"/>
            <w:b w:val="0"/>
          </w:rPr>
          <w:t>B5. Individual(s) Consulted on Statistical Aspects and Individuals Collecting and/or Analyzing Data</w:t>
        </w:r>
        <w:r w:rsidRPr="00BD7656">
          <w:rPr>
            <w:b w:val="0"/>
            <w:webHidden/>
          </w:rPr>
          <w:tab/>
        </w:r>
        <w:r w:rsidRPr="00BD7656">
          <w:rPr>
            <w:b w:val="0"/>
            <w:webHidden/>
          </w:rPr>
          <w:fldChar w:fldCharType="begin"/>
        </w:r>
        <w:r w:rsidRPr="00BD7656">
          <w:rPr>
            <w:b w:val="0"/>
            <w:webHidden/>
          </w:rPr>
          <w:instrText xml:space="preserve"> PAGEREF _Toc45548706 \h </w:instrText>
        </w:r>
        <w:r w:rsidRPr="00BD7656">
          <w:rPr>
            <w:b w:val="0"/>
            <w:webHidden/>
          </w:rPr>
        </w:r>
        <w:r w:rsidRPr="00BD7656">
          <w:rPr>
            <w:b w:val="0"/>
            <w:webHidden/>
          </w:rPr>
          <w:fldChar w:fldCharType="separate"/>
        </w:r>
        <w:r w:rsidRPr="00BD7656">
          <w:rPr>
            <w:b w:val="0"/>
            <w:webHidden/>
          </w:rPr>
          <w:t>12</w:t>
        </w:r>
        <w:r w:rsidRPr="00BD7656">
          <w:rPr>
            <w:b w:val="0"/>
            <w:webHidden/>
          </w:rPr>
          <w:fldChar w:fldCharType="end"/>
        </w:r>
      </w:hyperlink>
    </w:p>
    <w:p w:rsidRPr="00BD7656" w:rsidR="00BD7656" w:rsidRDefault="00BD7656" w14:paraId="4A46A40C" w14:textId="77777777">
      <w:pPr>
        <w:pStyle w:val="TOC1"/>
        <w:rPr>
          <w:rFonts w:asciiTheme="minorHAnsi" w:hAnsiTheme="minorHAnsi" w:eastAsiaTheme="minorEastAsia" w:cstheme="minorBidi"/>
          <w:b w:val="0"/>
          <w:szCs w:val="22"/>
        </w:rPr>
      </w:pPr>
      <w:hyperlink w:history="1" w:anchor="_Toc45548707">
        <w:r w:rsidRPr="00BD7656">
          <w:rPr>
            <w:rStyle w:val="Hyperlink"/>
            <w:b w:val="0"/>
          </w:rPr>
          <w:t>References</w:t>
        </w:r>
        <w:r w:rsidRPr="00BD7656">
          <w:rPr>
            <w:b w:val="0"/>
            <w:webHidden/>
          </w:rPr>
          <w:tab/>
        </w:r>
        <w:r w:rsidRPr="00BD7656">
          <w:rPr>
            <w:b w:val="0"/>
            <w:webHidden/>
          </w:rPr>
          <w:fldChar w:fldCharType="begin"/>
        </w:r>
        <w:r w:rsidRPr="00BD7656">
          <w:rPr>
            <w:b w:val="0"/>
            <w:webHidden/>
          </w:rPr>
          <w:instrText xml:space="preserve"> PAGEREF _Toc45548707 \h </w:instrText>
        </w:r>
        <w:r w:rsidRPr="00BD7656">
          <w:rPr>
            <w:b w:val="0"/>
            <w:webHidden/>
          </w:rPr>
        </w:r>
        <w:r w:rsidRPr="00BD7656">
          <w:rPr>
            <w:b w:val="0"/>
            <w:webHidden/>
          </w:rPr>
          <w:fldChar w:fldCharType="separate"/>
        </w:r>
        <w:r w:rsidRPr="00BD7656">
          <w:rPr>
            <w:b w:val="0"/>
            <w:webHidden/>
          </w:rPr>
          <w:t>13</w:t>
        </w:r>
        <w:r w:rsidRPr="00BD7656">
          <w:rPr>
            <w:b w:val="0"/>
            <w:webHidden/>
          </w:rPr>
          <w:fldChar w:fldCharType="end"/>
        </w:r>
      </w:hyperlink>
    </w:p>
    <w:p w:rsidRPr="00BD7656" w:rsidR="00383A0C" w:rsidRDefault="00383A0C" w14:paraId="234AC1DD" w14:textId="77777777">
      <w:pPr>
        <w:rPr>
          <w:b/>
        </w:rPr>
      </w:pPr>
      <w:r w:rsidRPr="00BD7656">
        <w:rPr>
          <w:b/>
          <w:bCs/>
          <w:noProof/>
        </w:rPr>
        <w:fldChar w:fldCharType="end"/>
      </w:r>
    </w:p>
    <w:p w:rsidRPr="00BD7656" w:rsidR="00383A0C" w:rsidP="006310A2" w:rsidRDefault="00383A0C" w14:paraId="05FBFB81" w14:textId="77777777">
      <w:pPr>
        <w:pStyle w:val="BodyTextNoSpaceAfter"/>
        <w:rPr>
          <w:b/>
        </w:rPr>
      </w:pPr>
      <w:r w:rsidRPr="00BD7656">
        <w:rPr>
          <w:b/>
        </w:rPr>
        <w:t xml:space="preserve"> </w:t>
      </w:r>
    </w:p>
    <w:p w:rsidRPr="00814068" w:rsidR="00CA4FE5" w:rsidP="00814068" w:rsidRDefault="00383A0C" w14:paraId="54AF2E08" w14:textId="77777777">
      <w:pPr>
        <w:pStyle w:val="Heading1"/>
        <w:rPr>
          <w:rFonts w:ascii="Times New Roman" w:hAnsi="Times New Roman"/>
          <w:sz w:val="24"/>
        </w:rPr>
      </w:pPr>
      <w:bookmarkStart w:name="_GoBack" w:id="0"/>
      <w:bookmarkEnd w:id="0"/>
      <w:r>
        <w:br w:type="page"/>
      </w:r>
      <w:bookmarkStart w:name="_Toc45548701" w:id="1"/>
      <w:r w:rsidRPr="00814068" w:rsidR="00CA4FE5">
        <w:rPr>
          <w:rFonts w:ascii="Times New Roman" w:hAnsi="Times New Roman"/>
          <w:sz w:val="24"/>
        </w:rPr>
        <w:lastRenderedPageBreak/>
        <w:t>Introduction</w:t>
      </w:r>
      <w:bookmarkEnd w:id="1"/>
    </w:p>
    <w:p w:rsidRPr="00383A0C" w:rsidR="00E05A0A" w:rsidP="006310A2" w:rsidRDefault="00E05A0A" w14:paraId="48C1B5A0" w14:textId="403877A7">
      <w:pPr>
        <w:pStyle w:val="Heading1"/>
        <w:spacing w:after="120"/>
        <w:rPr>
          <w:rFonts w:ascii="Times New Roman" w:hAnsi="Times New Roman"/>
          <w:sz w:val="24"/>
          <w:szCs w:val="24"/>
        </w:rPr>
      </w:pPr>
      <w:bookmarkStart w:name="_Toc45548702" w:id="2"/>
      <w:r w:rsidRPr="00383A0C">
        <w:rPr>
          <w:rFonts w:ascii="Times New Roman" w:hAnsi="Times New Roman"/>
          <w:sz w:val="24"/>
          <w:szCs w:val="24"/>
        </w:rPr>
        <w:t>B1. Respondent Universe and Sampling Methods</w:t>
      </w:r>
      <w:bookmarkEnd w:id="2"/>
    </w:p>
    <w:p w:rsidRPr="001F3620" w:rsidR="001E66A2" w:rsidP="001E66A2" w:rsidRDefault="001E66A2" w14:paraId="4A61A1A0" w14:textId="38E947E6">
      <w:r w:rsidRPr="001F3620">
        <w:t>The sampling frame includes all TLPs funded in September 2017</w:t>
      </w:r>
      <w:r w:rsidR="00500BE1">
        <w:t xml:space="preserve"> and September 2018</w:t>
      </w:r>
      <w:r w:rsidRPr="001F3620" w:rsidR="00E55906">
        <w:t>. From among these</w:t>
      </w:r>
      <w:r w:rsidR="006056F4">
        <w:t>,</w:t>
      </w:r>
      <w:r w:rsidRPr="001F3620" w:rsidR="00E55906">
        <w:t xml:space="preserve"> </w:t>
      </w:r>
      <w:r w:rsidR="00500BE1">
        <w:t>3</w:t>
      </w:r>
      <w:r w:rsidRPr="001F3620" w:rsidR="00500BE1">
        <w:t xml:space="preserve">0 </w:t>
      </w:r>
      <w:r w:rsidRPr="001F3620">
        <w:t xml:space="preserve">TLPs </w:t>
      </w:r>
      <w:proofErr w:type="gramStart"/>
      <w:r w:rsidR="00851C7A">
        <w:t>were</w:t>
      </w:r>
      <w:r w:rsidR="0041357D">
        <w:t xml:space="preserve"> recruited</w:t>
      </w:r>
      <w:proofErr w:type="gramEnd"/>
      <w:r w:rsidRPr="001F3620">
        <w:t xml:space="preserve"> to participate in the study. </w:t>
      </w:r>
      <w:proofErr w:type="gramStart"/>
      <w:r w:rsidRPr="001F3620">
        <w:t xml:space="preserve">The selection process </w:t>
      </w:r>
      <w:r w:rsidR="0041357D">
        <w:t xml:space="preserve">was </w:t>
      </w:r>
      <w:r w:rsidRPr="001F3620">
        <w:t xml:space="preserve">based on the </w:t>
      </w:r>
      <w:r w:rsidRPr="001F3620" w:rsidR="000C21E7">
        <w:t xml:space="preserve">following criteria: 1) </w:t>
      </w:r>
      <w:r w:rsidRPr="001F3620">
        <w:t>number of expected entries, which estimate</w:t>
      </w:r>
      <w:r w:rsidRPr="001F3620" w:rsidR="00BA6C64">
        <w:t>s the TLP service volume over a</w:t>
      </w:r>
      <w:r w:rsidRPr="001F3620">
        <w:t xml:space="preserve"> 12-month period</w:t>
      </w:r>
      <w:r w:rsidR="00851C7A">
        <w:t xml:space="preserve">; </w:t>
      </w:r>
      <w:r w:rsidRPr="001F3620" w:rsidR="00851C7A">
        <w:t xml:space="preserve">2) </w:t>
      </w:r>
      <w:r w:rsidR="00851C7A">
        <w:t>program</w:t>
      </w:r>
      <w:r w:rsidRPr="001F3620" w:rsidR="00851C7A">
        <w:t xml:space="preserve"> </w:t>
      </w:r>
      <w:r w:rsidR="00851C7A">
        <w:t>structure (excluded TLPs that operate in collaboration with sub-grantees or across several locations); 3</w:t>
      </w:r>
      <w:r w:rsidRPr="001F3620" w:rsidR="000C21E7">
        <w:t>) length of time providing TLP services (n</w:t>
      </w:r>
      <w:r w:rsidRPr="001F3620">
        <w:t xml:space="preserve">ew TLPs with little prior program experience </w:t>
      </w:r>
      <w:r w:rsidR="00851C7A">
        <w:t>were</w:t>
      </w:r>
      <w:r w:rsidRPr="001F3620">
        <w:t xml:space="preserve"> excluded</w:t>
      </w:r>
      <w:r w:rsidRPr="001F3620" w:rsidR="000C21E7">
        <w:t xml:space="preserve"> from the study)</w:t>
      </w:r>
      <w:r w:rsidR="00851C7A">
        <w:t xml:space="preserve"> and 4) program model</w:t>
      </w:r>
      <w:r w:rsidRPr="001F3620" w:rsidR="00851C7A">
        <w:t xml:space="preserve"> (</w:t>
      </w:r>
      <w:r w:rsidR="00851C7A">
        <w:t xml:space="preserve">excluded TLPs </w:t>
      </w:r>
      <w:r w:rsidR="002C4F94">
        <w:t xml:space="preserve">that did </w:t>
      </w:r>
      <w:r w:rsidR="00851C7A">
        <w:t>not provide youth with fully or nearly-fully subsidized transitional housing</w:t>
      </w:r>
      <w:r w:rsidRPr="001F3620" w:rsidR="00851C7A">
        <w:t>)</w:t>
      </w:r>
      <w:r w:rsidRPr="001F3620">
        <w:t>.</w:t>
      </w:r>
      <w:proofErr w:type="gramEnd"/>
      <w:r w:rsidRPr="001F3620">
        <w:t xml:space="preserve"> </w:t>
      </w:r>
    </w:p>
    <w:p w:rsidRPr="001F3620" w:rsidR="001E66A2" w:rsidP="001E66A2" w:rsidRDefault="001E66A2" w14:paraId="1E82638C" w14:textId="77777777"/>
    <w:p w:rsidRPr="001F3620" w:rsidR="001E66A2" w:rsidP="001E66A2" w:rsidRDefault="00464E04" w14:paraId="0B31C555" w14:textId="0990480D">
      <w:r w:rsidRPr="001F3620">
        <w:t>ACF provided the research team with a complete list of the 2017</w:t>
      </w:r>
      <w:r w:rsidR="00500BE1">
        <w:t xml:space="preserve"> and 2018</w:t>
      </w:r>
      <w:r w:rsidRPr="001F3620">
        <w:t xml:space="preserve"> TLP grantees along with </w:t>
      </w:r>
      <w:r w:rsidR="007F0C2F">
        <w:t xml:space="preserve">historical </w:t>
      </w:r>
      <w:r w:rsidRPr="001F3620">
        <w:t xml:space="preserve">information about their service volume. </w:t>
      </w:r>
      <w:r w:rsidRPr="001F3620" w:rsidR="001E66A2">
        <w:t>To identify an initial set of grantees</w:t>
      </w:r>
      <w:r w:rsidR="002C4F94">
        <w:t xml:space="preserve"> for recruitment</w:t>
      </w:r>
      <w:r w:rsidRPr="001F3620" w:rsidR="001E66A2">
        <w:t xml:space="preserve">, </w:t>
      </w:r>
      <w:r w:rsidRPr="001F3620">
        <w:t xml:space="preserve">the research team </w:t>
      </w:r>
      <w:r w:rsidRPr="001F3620" w:rsidR="001E66A2">
        <w:t xml:space="preserve">rank-ordered </w:t>
      </w:r>
      <w:r w:rsidRPr="001F3620">
        <w:t xml:space="preserve">TLPs </w:t>
      </w:r>
      <w:r w:rsidRPr="001F3620" w:rsidR="001E66A2">
        <w:t xml:space="preserve">according to their projected service volume to identify </w:t>
      </w:r>
      <w:r w:rsidRPr="001F3620">
        <w:t xml:space="preserve">those </w:t>
      </w:r>
      <w:r w:rsidRPr="001F3620" w:rsidR="001E66A2">
        <w:t xml:space="preserve">with a high service volume. The contractor </w:t>
      </w:r>
      <w:r w:rsidR="002C4F94">
        <w:t>screened</w:t>
      </w:r>
      <w:r w:rsidRPr="001F3620" w:rsidR="002C4F94">
        <w:t xml:space="preserve"> </w:t>
      </w:r>
      <w:r w:rsidRPr="001F3620" w:rsidR="001E66A2">
        <w:t xml:space="preserve">the candidate TLPs to identify those to include in the </w:t>
      </w:r>
      <w:r w:rsidRPr="001F3620" w:rsidR="003E3CE0">
        <w:t>Youth Outcomes S</w:t>
      </w:r>
      <w:r w:rsidRPr="001F3620" w:rsidR="001E66A2">
        <w:t xml:space="preserve">tudy. </w:t>
      </w:r>
    </w:p>
    <w:p w:rsidRPr="001F3620" w:rsidR="00814068" w:rsidP="001E66A2" w:rsidRDefault="00814068" w14:paraId="1DEB2773" w14:textId="77777777"/>
    <w:p w:rsidRPr="001F3620" w:rsidR="00814068" w:rsidP="001E66A2" w:rsidRDefault="00814068" w14:paraId="615529C3" w14:textId="295E85F3">
      <w:r w:rsidRPr="001F3620">
        <w:t xml:space="preserve">Across the </w:t>
      </w:r>
      <w:r w:rsidR="00500BE1">
        <w:t>3</w:t>
      </w:r>
      <w:r w:rsidRPr="001F3620" w:rsidR="00500BE1">
        <w:t xml:space="preserve">0 </w:t>
      </w:r>
      <w:r w:rsidRPr="001F3620">
        <w:t xml:space="preserve">grantees ultimately included in the study, the intent is to achieve a total sample size of </w:t>
      </w:r>
      <w:r w:rsidR="00037E5E">
        <w:t xml:space="preserve">up to </w:t>
      </w:r>
      <w:r w:rsidR="007F0C2F">
        <w:t>400</w:t>
      </w:r>
      <w:r w:rsidRPr="001F3620" w:rsidR="00500BE1">
        <w:t xml:space="preserve"> </w:t>
      </w:r>
      <w:r w:rsidRPr="001F3620">
        <w:t>youth.</w:t>
      </w:r>
      <w:r w:rsidRPr="001F3620">
        <w:rPr>
          <w:rStyle w:val="FootnoteReference"/>
        </w:rPr>
        <w:footnoteReference w:id="2"/>
      </w:r>
      <w:r w:rsidRPr="001F3620">
        <w:t xml:space="preserve"> Thus, the average agency will enroll </w:t>
      </w:r>
      <w:r w:rsidRPr="001F3620" w:rsidR="00276E0D">
        <w:t>1</w:t>
      </w:r>
      <w:r w:rsidR="00276E0D">
        <w:t>0-15</w:t>
      </w:r>
      <w:r w:rsidRPr="001F3620">
        <w:t xml:space="preserve"> youth in the study over an estimated </w:t>
      </w:r>
      <w:r w:rsidR="004C5F95">
        <w:t>4</w:t>
      </w:r>
      <w:r w:rsidRPr="001F3620">
        <w:t xml:space="preserve">-month period. </w:t>
      </w:r>
      <w:r w:rsidR="005948DC">
        <w:t xml:space="preserve">To be eligible for the study, youth may be entering the TLP </w:t>
      </w:r>
      <w:r w:rsidR="00C95726">
        <w:t xml:space="preserve">(prospective enrollment) </w:t>
      </w:r>
      <w:r w:rsidR="005948DC">
        <w:t xml:space="preserve">or may have already entered within the past 12 months and have at least 1 month of </w:t>
      </w:r>
      <w:r w:rsidR="00C95726">
        <w:t>program participation (retrospective enrollment)</w:t>
      </w:r>
      <w:r w:rsidR="005948DC">
        <w:t>.</w:t>
      </w:r>
      <w:r w:rsidR="00C95726">
        <w:t xml:space="preserve"> </w:t>
      </w:r>
      <w:r w:rsidR="005948DC">
        <w:t>Otherwise</w:t>
      </w:r>
      <w:r w:rsidRPr="001F3620">
        <w:t>, study eligibility requirements mirror program eligibility and enrollment requirements. Study participation is voluntary, and youth enroll</w:t>
      </w:r>
      <w:r w:rsidR="00C95726">
        <w:t>ed</w:t>
      </w:r>
      <w:r w:rsidRPr="001F3620">
        <w:t xml:space="preserve"> in the TLP will elect to participate in the study (or not) through an informed consent process. </w:t>
      </w:r>
    </w:p>
    <w:p w:rsidR="001E66A2" w:rsidP="001E66A2" w:rsidRDefault="001E66A2" w14:paraId="0F6C0EB2" w14:textId="77777777"/>
    <w:p w:rsidRPr="001F3620" w:rsidR="00E05A0A" w:rsidP="006310A2" w:rsidRDefault="00E05A0A" w14:paraId="00B79C8C" w14:textId="77777777">
      <w:pPr>
        <w:pStyle w:val="Heading1"/>
        <w:spacing w:after="120"/>
        <w:rPr>
          <w:rFonts w:ascii="Times New Roman" w:hAnsi="Times New Roman"/>
          <w:sz w:val="24"/>
          <w:szCs w:val="24"/>
        </w:rPr>
      </w:pPr>
      <w:bookmarkStart w:name="_Toc45548703" w:id="3"/>
      <w:r w:rsidRPr="001F3620">
        <w:rPr>
          <w:rFonts w:ascii="Times New Roman" w:hAnsi="Times New Roman"/>
          <w:sz w:val="24"/>
          <w:szCs w:val="24"/>
        </w:rPr>
        <w:t>B2. Procedures for Collection of Information</w:t>
      </w:r>
      <w:bookmarkEnd w:id="3"/>
    </w:p>
    <w:p w:rsidRPr="009A3D19" w:rsidR="00F64DCD" w:rsidP="00F64DCD" w:rsidRDefault="00F64DCD" w14:paraId="1EFD4C67" w14:textId="583B748B">
      <w:r w:rsidRPr="001F3620">
        <w:t xml:space="preserve">The </w:t>
      </w:r>
      <w:r w:rsidR="002C4F94">
        <w:t>study</w:t>
      </w:r>
      <w:r w:rsidRPr="001F3620" w:rsidR="002C4F94">
        <w:t xml:space="preserve"> </w:t>
      </w:r>
      <w:r w:rsidRPr="001F3620">
        <w:t xml:space="preserve">will collect information on youth characteristics and </w:t>
      </w:r>
      <w:r w:rsidR="007F0C2F">
        <w:t>experiences</w:t>
      </w:r>
      <w:r w:rsidRPr="001F3620" w:rsidR="007F0C2F">
        <w:t xml:space="preserve"> </w:t>
      </w:r>
      <w:r w:rsidRPr="001F3620">
        <w:t xml:space="preserve">from approximately </w:t>
      </w:r>
      <w:r w:rsidR="00276E0D">
        <w:t>400</w:t>
      </w:r>
      <w:r w:rsidRPr="001F3620" w:rsidR="00500BE1">
        <w:t xml:space="preserve"> </w:t>
      </w:r>
      <w:r w:rsidRPr="001F3620">
        <w:t xml:space="preserve">youth across </w:t>
      </w:r>
      <w:r w:rsidR="00500BE1">
        <w:t>3</w:t>
      </w:r>
      <w:r w:rsidRPr="001F3620" w:rsidR="00500BE1">
        <w:t xml:space="preserve">0 </w:t>
      </w:r>
      <w:r w:rsidRPr="001F3620">
        <w:t xml:space="preserve">grantees. The research approach uses a </w:t>
      </w:r>
      <w:r w:rsidR="00500BE1">
        <w:t>Background Information Form (BIF)</w:t>
      </w:r>
      <w:r w:rsidR="00276E0D">
        <w:t xml:space="preserve"> and a Youth Information Form (YIF)</w:t>
      </w:r>
      <w:r w:rsidRPr="001F3620" w:rsidR="00500BE1">
        <w:t xml:space="preserve"> </w:t>
      </w:r>
      <w:r w:rsidRPr="00722B71" w:rsidR="00FC31D2">
        <w:t>(Attachments C and D)</w:t>
      </w:r>
      <w:r w:rsidR="00FC31D2">
        <w:t xml:space="preserve"> </w:t>
      </w:r>
      <w:r w:rsidRPr="001F3620">
        <w:t>to collect data</w:t>
      </w:r>
      <w:r w:rsidR="00276E0D">
        <w:t xml:space="preserve"> directly</w:t>
      </w:r>
      <w:r w:rsidRPr="001F3620">
        <w:t xml:space="preserve"> from youth</w:t>
      </w:r>
      <w:r w:rsidR="00276E0D">
        <w:t xml:space="preserve"> (via the BIF) and from TLP program</w:t>
      </w:r>
      <w:r w:rsidR="002C4F94">
        <w:t>s</w:t>
      </w:r>
      <w:r w:rsidR="00276E0D">
        <w:t xml:space="preserve"> (via the YI</w:t>
      </w:r>
      <w:r w:rsidRPr="00FC31D2" w:rsidR="00276E0D">
        <w:t>F)</w:t>
      </w:r>
      <w:r w:rsidRPr="00FC31D2">
        <w:t>.</w:t>
      </w:r>
      <w:r w:rsidRPr="001F3620">
        <w:t xml:space="preserve"> </w:t>
      </w:r>
      <w:r w:rsidR="00345A92">
        <w:t xml:space="preserve">Both the BIF and the YIF </w:t>
      </w:r>
      <w:proofErr w:type="gramStart"/>
      <w:r w:rsidR="00345A92">
        <w:t>will be administered</w:t>
      </w:r>
      <w:proofErr w:type="gramEnd"/>
      <w:r w:rsidR="00345A92">
        <w:t xml:space="preserve"> via a </w:t>
      </w:r>
      <w:r w:rsidRPr="001F3620">
        <w:t xml:space="preserve">secure, encrypted, passcode protected website </w:t>
      </w:r>
      <w:r w:rsidR="00345A92">
        <w:t xml:space="preserve">that </w:t>
      </w:r>
      <w:r w:rsidR="00B85E05">
        <w:t xml:space="preserve">is built to </w:t>
      </w:r>
      <w:r w:rsidR="0074566A">
        <w:t>compl</w:t>
      </w:r>
      <w:r w:rsidR="00B85E05">
        <w:t>y</w:t>
      </w:r>
      <w:r w:rsidR="0074566A">
        <w:t xml:space="preserve"> with </w:t>
      </w:r>
      <w:r w:rsidR="00722B71">
        <w:t>FISMA moderate</w:t>
      </w:r>
      <w:r w:rsidR="002F1926">
        <w:t xml:space="preserve"> standards</w:t>
      </w:r>
      <w:r w:rsidR="0074566A">
        <w:t xml:space="preserve">. This website </w:t>
      </w:r>
      <w:r w:rsidRPr="001F3620">
        <w:t xml:space="preserve">will serve as the </w:t>
      </w:r>
      <w:r w:rsidR="00345A92">
        <w:t xml:space="preserve">study’s </w:t>
      </w:r>
      <w:r w:rsidRPr="001F3620">
        <w:t xml:space="preserve">data collection </w:t>
      </w:r>
      <w:r w:rsidR="00345A92">
        <w:t>portal</w:t>
      </w:r>
      <w:r w:rsidR="0074566A">
        <w:t xml:space="preserve"> (“study portal”), and it</w:t>
      </w:r>
      <w:r w:rsidR="00345A92">
        <w:t xml:space="preserve"> </w:t>
      </w:r>
      <w:r w:rsidRPr="001F3620">
        <w:t xml:space="preserve">will allow research staff to monitor </w:t>
      </w:r>
      <w:r w:rsidR="00345A92">
        <w:t xml:space="preserve">study </w:t>
      </w:r>
      <w:r w:rsidR="00500BE1">
        <w:t xml:space="preserve">enrollments and BIF </w:t>
      </w:r>
      <w:r w:rsidR="00276E0D">
        <w:t xml:space="preserve">and YIF </w:t>
      </w:r>
      <w:r w:rsidR="00500BE1">
        <w:t>completion rates</w:t>
      </w:r>
      <w:r w:rsidRPr="001F3620">
        <w:t xml:space="preserve">. </w:t>
      </w:r>
    </w:p>
    <w:p w:rsidRPr="009A3D19" w:rsidR="00F64DCD" w:rsidP="00F64DCD" w:rsidRDefault="00F64DCD" w14:paraId="7668BEF8" w14:textId="77777777"/>
    <w:p w:rsidRPr="000A00DF" w:rsidR="00F64DCD" w:rsidP="00F64DCD" w:rsidRDefault="00F64DCD" w14:paraId="2B73143D" w14:textId="7BD489AF">
      <w:proofErr w:type="gramStart"/>
      <w:r>
        <w:t>Before data collection begins</w:t>
      </w:r>
      <w:r w:rsidRPr="009A3D19">
        <w:t>, trained TLP staff will obtain youth consent</w:t>
      </w:r>
      <w:r w:rsidR="006056F4">
        <w:t xml:space="preserve"> </w:t>
      </w:r>
      <w:r w:rsidR="005A772B">
        <w:t>and, as needed</w:t>
      </w:r>
      <w:r w:rsidR="005C14BB">
        <w:t xml:space="preserve"> for minors</w:t>
      </w:r>
      <w:r w:rsidR="005A772B">
        <w:t xml:space="preserve">, </w:t>
      </w:r>
      <w:r w:rsidR="005C14BB">
        <w:t xml:space="preserve">assent with </w:t>
      </w:r>
      <w:r w:rsidR="005A772B">
        <w:t xml:space="preserve">parental </w:t>
      </w:r>
      <w:r w:rsidR="00037E5E">
        <w:t xml:space="preserve">permission </w:t>
      </w:r>
      <w:r w:rsidRPr="00722B71" w:rsidR="006056F4">
        <w:t>(Attachment</w:t>
      </w:r>
      <w:r w:rsidRPr="00722B71" w:rsidR="005C4346">
        <w:t>s</w:t>
      </w:r>
      <w:r w:rsidRPr="00722B71" w:rsidR="006056F4">
        <w:t xml:space="preserve"> A</w:t>
      </w:r>
      <w:r w:rsidRPr="00722B71" w:rsidR="005C4346">
        <w:t xml:space="preserve"> and B</w:t>
      </w:r>
      <w:r w:rsidRPr="00722B71" w:rsidR="006056F4">
        <w:t>)</w:t>
      </w:r>
      <w:r w:rsidRPr="00722B71">
        <w:t>.</w:t>
      </w:r>
      <w:proofErr w:type="gramEnd"/>
      <w:r>
        <w:t xml:space="preserve"> They will</w:t>
      </w:r>
      <w:r w:rsidRPr="009A3D19">
        <w:t xml:space="preserve"> </w:t>
      </w:r>
      <w:r w:rsidR="00687805">
        <w:t xml:space="preserve">then </w:t>
      </w:r>
      <w:r w:rsidRPr="009A3D19">
        <w:t xml:space="preserve">administer the </w:t>
      </w:r>
      <w:r w:rsidR="00B806F7">
        <w:t>BIF</w:t>
      </w:r>
      <w:r w:rsidRPr="009A3D19">
        <w:t xml:space="preserve">, which </w:t>
      </w:r>
      <w:r>
        <w:t xml:space="preserve">will </w:t>
      </w:r>
      <w:r w:rsidRPr="009A3D19">
        <w:t>involve</w:t>
      </w:r>
      <w:r>
        <w:t xml:space="preserve"> seating each youth respondent at a computer (in </w:t>
      </w:r>
      <w:r w:rsidR="00995776">
        <w:t xml:space="preserve">a </w:t>
      </w:r>
      <w:r>
        <w:t xml:space="preserve">designated private space) and assisting them in </w:t>
      </w:r>
      <w:r w:rsidR="00B806F7">
        <w:t xml:space="preserve">completing the BIF via the </w:t>
      </w:r>
      <w:r>
        <w:t xml:space="preserve">web portal. The </w:t>
      </w:r>
      <w:r w:rsidR="000A6C4A">
        <w:t xml:space="preserve">youth </w:t>
      </w:r>
      <w:r>
        <w:t xml:space="preserve">respondent </w:t>
      </w:r>
      <w:r w:rsidR="00B806F7">
        <w:t>can ask for assistance from the TLP staff to complete the BIF if they w</w:t>
      </w:r>
      <w:r w:rsidR="00687805">
        <w:t>ish</w:t>
      </w:r>
      <w:r w:rsidR="00B806F7">
        <w:t xml:space="preserve">. Once the youth completes </w:t>
      </w:r>
      <w:r w:rsidR="00B806F7">
        <w:lastRenderedPageBreak/>
        <w:t>and submits the BIF</w:t>
      </w:r>
      <w:r w:rsidR="00687805">
        <w:t>,</w:t>
      </w:r>
      <w:r w:rsidR="00B806F7">
        <w:t xml:space="preserve"> they </w:t>
      </w:r>
      <w:proofErr w:type="gramStart"/>
      <w:r w:rsidR="00B806F7">
        <w:t>will be automatically signed</w:t>
      </w:r>
      <w:proofErr w:type="gramEnd"/>
      <w:r w:rsidR="00B806F7">
        <w:t xml:space="preserve"> out of the study portal for added security.</w:t>
      </w:r>
      <w:r w:rsidDel="00BB3D2C" w:rsidR="00BB3D2C">
        <w:t xml:space="preserve"> </w:t>
      </w:r>
      <w:r w:rsidR="000B2C36">
        <w:t xml:space="preserve">BIF data </w:t>
      </w:r>
      <w:proofErr w:type="gramStart"/>
      <w:r w:rsidR="000B2C36">
        <w:t>will be collected</w:t>
      </w:r>
      <w:proofErr w:type="gramEnd"/>
      <w:r w:rsidR="000B2C36">
        <w:t xml:space="preserve"> prospectively as participants enroll in the study.</w:t>
      </w:r>
    </w:p>
    <w:p w:rsidR="00F64DCD" w:rsidP="00F64DCD" w:rsidRDefault="00F64DCD" w14:paraId="78DC25D3" w14:textId="77777777"/>
    <w:p w:rsidRPr="00D71EA9" w:rsidR="00276E0D" w:rsidP="00BB3D2C" w:rsidRDefault="00276E0D" w14:paraId="0FD3AD4C" w14:textId="067C5813">
      <w:pPr>
        <w:rPr>
          <w:rFonts w:cstheme="minorHAnsi"/>
        </w:rPr>
      </w:pPr>
      <w:r>
        <w:rPr>
          <w:rFonts w:cstheme="minorHAnsi"/>
        </w:rPr>
        <w:t xml:space="preserve">The YIF draws on existing </w:t>
      </w:r>
      <w:r w:rsidR="00B17C84">
        <w:rPr>
          <w:rFonts w:cstheme="minorHAnsi"/>
        </w:rPr>
        <w:t xml:space="preserve">program </w:t>
      </w:r>
      <w:r>
        <w:rPr>
          <w:rFonts w:cstheme="minorHAnsi"/>
        </w:rPr>
        <w:t xml:space="preserve">data collected by TLP grantees. TLP staff </w:t>
      </w:r>
      <w:proofErr w:type="gramStart"/>
      <w:r>
        <w:rPr>
          <w:rFonts w:cstheme="minorHAnsi"/>
        </w:rPr>
        <w:t>will be asked</w:t>
      </w:r>
      <w:proofErr w:type="gramEnd"/>
      <w:r>
        <w:rPr>
          <w:rFonts w:cstheme="minorHAnsi"/>
        </w:rPr>
        <w:t xml:space="preserve"> to transfer this </w:t>
      </w:r>
      <w:r w:rsidR="00B17C84">
        <w:rPr>
          <w:rFonts w:cstheme="minorHAnsi"/>
        </w:rPr>
        <w:t xml:space="preserve">program </w:t>
      </w:r>
      <w:r>
        <w:rPr>
          <w:rFonts w:cstheme="minorHAnsi"/>
        </w:rPr>
        <w:t>data to the evaluation team via the same secure web-based study portal used to enroll youth into the study and collect the BIF.</w:t>
      </w:r>
      <w:r w:rsidRPr="00D71EA9">
        <w:t xml:space="preserve"> </w:t>
      </w:r>
      <w:r w:rsidR="000B2C36">
        <w:t xml:space="preserve">YIF data </w:t>
      </w:r>
      <w:proofErr w:type="gramStart"/>
      <w:r w:rsidR="000B2C36">
        <w:t>may be entered</w:t>
      </w:r>
      <w:proofErr w:type="gramEnd"/>
      <w:r w:rsidR="000B2C36">
        <w:t xml:space="preserve"> into the study portal either retrospectively or prospectively, depending on the timing of a youth's enrollment into the TLP and the study (see B1). </w:t>
      </w:r>
    </w:p>
    <w:p w:rsidR="007A6278" w:rsidP="00FD1B70" w:rsidRDefault="007A6278" w14:paraId="278AA649" w14:textId="77777777"/>
    <w:p w:rsidRPr="00383A0C" w:rsidR="007A6278" w:rsidP="007A6278" w:rsidRDefault="007A6278" w14:paraId="3859EA51" w14:textId="77777777">
      <w:pPr>
        <w:pStyle w:val="TOC2"/>
        <w:ind w:left="0"/>
        <w:rPr>
          <w:b/>
          <w:i/>
          <w:sz w:val="24"/>
        </w:rPr>
      </w:pPr>
      <w:r w:rsidRPr="00383A0C">
        <w:rPr>
          <w:b/>
          <w:i/>
          <w:sz w:val="24"/>
        </w:rPr>
        <w:t xml:space="preserve">Analytic Methods </w:t>
      </w:r>
    </w:p>
    <w:p w:rsidR="00810832" w:rsidP="00810832" w:rsidRDefault="00810832" w14:paraId="424F5C09" w14:textId="07B92004"/>
    <w:p w:rsidR="00810832" w:rsidP="00BB3D2C" w:rsidRDefault="00810832" w14:paraId="0EE9D635" w14:textId="71CF786D">
      <w:pPr>
        <w:spacing w:after="120"/>
      </w:pPr>
      <w:r>
        <w:t xml:space="preserve">The </w:t>
      </w:r>
      <w:r w:rsidRPr="006E4A3D">
        <w:t xml:space="preserve">study analyses </w:t>
      </w:r>
      <w:proofErr w:type="gramStart"/>
      <w:r>
        <w:t>are aligned</w:t>
      </w:r>
      <w:proofErr w:type="gramEnd"/>
      <w:r>
        <w:t xml:space="preserve"> with </w:t>
      </w:r>
      <w:r w:rsidR="004C5F95">
        <w:t>five</w:t>
      </w:r>
      <w:r>
        <w:t xml:space="preserve"> overarching research questions: </w:t>
      </w:r>
    </w:p>
    <w:p w:rsidR="00335AE3" w:rsidP="002D4977" w:rsidRDefault="00335AE3" w14:paraId="63C22C59" w14:textId="3C7A3E06">
      <w:pPr>
        <w:numPr>
          <w:ilvl w:val="0"/>
          <w:numId w:val="20"/>
        </w:numPr>
        <w:spacing w:after="120"/>
        <w:rPr>
          <w:sz w:val="22"/>
          <w:szCs w:val="22"/>
          <w:lang w:val="en"/>
        </w:rPr>
      </w:pPr>
      <w:r>
        <w:rPr>
          <w:lang w:val="en"/>
        </w:rPr>
        <w:t xml:space="preserve">What are the prevalence and distribution of housing stability, </w:t>
      </w:r>
      <w:r w:rsidR="00B17C84">
        <w:rPr>
          <w:lang w:val="en"/>
        </w:rPr>
        <w:t>education</w:t>
      </w:r>
      <w:r>
        <w:rPr>
          <w:lang w:val="en"/>
        </w:rPr>
        <w:t xml:space="preserve">, and </w:t>
      </w:r>
      <w:r w:rsidR="00B17C84">
        <w:rPr>
          <w:lang w:val="en"/>
        </w:rPr>
        <w:t>employment</w:t>
      </w:r>
      <w:r>
        <w:rPr>
          <w:lang w:val="en"/>
        </w:rPr>
        <w:t xml:space="preserve"> outcomes among TLP youth before, during, and after program participation (as examined using means and frequencies)? </w:t>
      </w:r>
    </w:p>
    <w:p w:rsidR="00335AE3" w:rsidP="002D4977" w:rsidRDefault="00335AE3" w14:paraId="2B2C4AE5" w14:textId="77777777">
      <w:pPr>
        <w:numPr>
          <w:ilvl w:val="0"/>
          <w:numId w:val="20"/>
        </w:numPr>
        <w:spacing w:after="120"/>
        <w:rPr>
          <w:lang w:val="en"/>
        </w:rPr>
      </w:pPr>
      <w:r>
        <w:rPr>
          <w:lang w:val="en"/>
        </w:rPr>
        <w:t>What are the trajectories of employment and earnings among TLP youth before, during, and after program participation (as examined using latent growth curve analysis)?</w:t>
      </w:r>
    </w:p>
    <w:p w:rsidR="00335AE3" w:rsidP="002D4977" w:rsidRDefault="00335AE3" w14:paraId="5D41F0A2" w14:textId="77777777">
      <w:pPr>
        <w:numPr>
          <w:ilvl w:val="0"/>
          <w:numId w:val="20"/>
        </w:numPr>
        <w:spacing w:after="120"/>
        <w:rPr>
          <w:lang w:val="en"/>
        </w:rPr>
      </w:pPr>
      <w:r>
        <w:rPr>
          <w:lang w:val="en"/>
        </w:rPr>
        <w:t>What is the extent to which youth sustain employment (overall and with the same employer) and enrollment in post-secondary education (as examined using survival analysis)?</w:t>
      </w:r>
    </w:p>
    <w:p w:rsidR="00335AE3" w:rsidP="002D4977" w:rsidRDefault="00335AE3" w14:paraId="45B94E98" w14:textId="77777777">
      <w:pPr>
        <w:numPr>
          <w:ilvl w:val="0"/>
          <w:numId w:val="20"/>
        </w:numPr>
        <w:spacing w:after="120"/>
        <w:rPr>
          <w:lang w:val="en"/>
        </w:rPr>
      </w:pPr>
      <w:r>
        <w:rPr>
          <w:lang w:val="en"/>
        </w:rPr>
        <w:t xml:space="preserve">What are the differences in primary study outcomes for key subgroups of youth based on demographic and program characteristics (as examined using cross-tabs and graphical display of trends)? </w:t>
      </w:r>
    </w:p>
    <w:p w:rsidR="00B17C84" w:rsidP="002D4977" w:rsidRDefault="00B17C84" w14:paraId="1E4D1460" w14:textId="77777777">
      <w:pPr>
        <w:numPr>
          <w:ilvl w:val="0"/>
          <w:numId w:val="20"/>
        </w:numPr>
        <w:rPr>
          <w:lang w:val="en"/>
        </w:rPr>
      </w:pPr>
      <w:r>
        <w:rPr>
          <w:lang w:val="en"/>
        </w:rPr>
        <w:t xml:space="preserve">In what ways </w:t>
      </w:r>
      <w:proofErr w:type="gramStart"/>
      <w:r>
        <w:rPr>
          <w:lang w:val="en"/>
        </w:rPr>
        <w:t>are TLP youth's housing, education, and employment experiences affected</w:t>
      </w:r>
      <w:proofErr w:type="gramEnd"/>
      <w:r>
        <w:rPr>
          <w:lang w:val="en"/>
        </w:rPr>
        <w:t xml:space="preserve"> by the COVID-19 pandemic?</w:t>
      </w:r>
    </w:p>
    <w:p w:rsidR="002D4977" w:rsidP="002D4977" w:rsidRDefault="002D4977" w14:paraId="262A85FF" w14:textId="77777777">
      <w:pPr>
        <w:ind w:left="720"/>
        <w:rPr>
          <w:lang w:val="en"/>
        </w:rPr>
      </w:pPr>
    </w:p>
    <w:p w:rsidR="005D79D3" w:rsidP="007A6278" w:rsidRDefault="00CA3CFC" w14:paraId="2BFB951C" w14:textId="0CBB4CE8">
      <w:r>
        <w:t>The analys</w:t>
      </w:r>
      <w:r w:rsidR="00DB59EC">
        <w:t>e</w:t>
      </w:r>
      <w:r>
        <w:t xml:space="preserve">s will rely on data collected in the BIF and YIF as well as on administrative data obtained from the National Student Clearinghouse (NSC) and the National Directory of New Hires (NDNH). </w:t>
      </w:r>
      <w:r w:rsidR="00263DD7">
        <w:t xml:space="preserve">The </w:t>
      </w:r>
      <w:r w:rsidR="005D79D3">
        <w:t xml:space="preserve">data </w:t>
      </w:r>
      <w:r w:rsidR="00263DD7">
        <w:t xml:space="preserve">we will collect </w:t>
      </w:r>
      <w:r w:rsidR="005D79D3">
        <w:t>features repeated</w:t>
      </w:r>
      <w:r w:rsidR="002454B1">
        <w:t xml:space="preserve"> retrospective</w:t>
      </w:r>
      <w:r w:rsidR="005D79D3">
        <w:t xml:space="preserve"> observations of </w:t>
      </w:r>
      <w:r w:rsidR="00263DD7">
        <w:t xml:space="preserve">employment and earnings </w:t>
      </w:r>
      <w:r w:rsidR="002454B1">
        <w:t xml:space="preserve">that look back </w:t>
      </w:r>
      <w:r w:rsidR="00263DD7">
        <w:t xml:space="preserve">over a period of up </w:t>
      </w:r>
      <w:r w:rsidRPr="00DA5D5B" w:rsidR="00263DD7">
        <w:t xml:space="preserve">to </w:t>
      </w:r>
      <w:r w:rsidR="002454B1">
        <w:t xml:space="preserve">11 quarters (33 months) and repeated observations of education that look back over a period of up to </w:t>
      </w:r>
      <w:r w:rsidRPr="00DA5D5B" w:rsidR="005802B6">
        <w:t>4</w:t>
      </w:r>
      <w:r w:rsidRPr="00DA5D5B" w:rsidR="006C60A5">
        <w:t>8</w:t>
      </w:r>
      <w:r w:rsidRPr="00DA5D5B" w:rsidR="00263DD7">
        <w:t xml:space="preserve"> months. Our</w:t>
      </w:r>
      <w:r w:rsidR="00263DD7">
        <w:t xml:space="preserve"> analyses </w:t>
      </w:r>
      <w:proofErr w:type="gramStart"/>
      <w:r w:rsidR="00263DD7">
        <w:t>are designed</w:t>
      </w:r>
      <w:proofErr w:type="gramEnd"/>
      <w:r w:rsidR="00263DD7">
        <w:t xml:space="preserve"> to capitalize on </w:t>
      </w:r>
      <w:r w:rsidR="00D91041">
        <w:t>the data’s</w:t>
      </w:r>
      <w:r w:rsidR="00263DD7">
        <w:t xml:space="preserve"> longitudinal nature, as described below.  </w:t>
      </w:r>
    </w:p>
    <w:p w:rsidR="006310A2" w:rsidP="007A6278" w:rsidRDefault="006310A2" w14:paraId="4AE05DD0" w14:textId="77777777"/>
    <w:p w:rsidR="00B425AE" w:rsidP="007A6278" w:rsidRDefault="006310A2" w14:paraId="43AFE1F0" w14:textId="487851A1">
      <w:r>
        <w:t xml:space="preserve">In </w:t>
      </w:r>
      <w:r w:rsidRPr="00756A96" w:rsidR="00CA3CFC">
        <w:t xml:space="preserve">Exhibit </w:t>
      </w:r>
      <w:r w:rsidR="00CC23CD">
        <w:t>B.2.</w:t>
      </w:r>
      <w:r w:rsidRPr="00756A96" w:rsidR="00995767">
        <w:t>1</w:t>
      </w:r>
      <w:r w:rsidRPr="00756A96" w:rsidR="00CA3CFC">
        <w:t>, we</w:t>
      </w:r>
      <w:r w:rsidR="00CA3CFC">
        <w:t xml:space="preserve"> present the main outcomes examined, their sources, the analyses in which they will be used</w:t>
      </w:r>
      <w:r w:rsidR="00DA5D5B">
        <w:t xml:space="preserve"> </w:t>
      </w:r>
      <w:r w:rsidR="002E0AEA">
        <w:t>and the research question with which they are aligned. In addition, we will use demographic measures (</w:t>
      </w:r>
      <w:r w:rsidR="00687805">
        <w:t>youth</w:t>
      </w:r>
      <w:r w:rsidR="002E0AEA">
        <w:t xml:space="preserve"> age, gender, </w:t>
      </w:r>
      <w:proofErr w:type="gramStart"/>
      <w:r w:rsidR="002E0AEA">
        <w:t>race</w:t>
      </w:r>
      <w:proofErr w:type="gramEnd"/>
      <w:r w:rsidR="002E0AEA">
        <w:t xml:space="preserve">/ethnicity) and whether the </w:t>
      </w:r>
      <w:r w:rsidR="00687805">
        <w:t>youth</w:t>
      </w:r>
      <w:r w:rsidR="002E0AEA">
        <w:t xml:space="preserve"> was referred to the TLP from a Basic Center Program, obtained at study enrollment through the BIF for cross-tab</w:t>
      </w:r>
      <w:r w:rsidR="00F45398">
        <w:t>ulation</w:t>
      </w:r>
      <w:r w:rsidR="002E0AEA">
        <w:t>s in descriptive analyses and as covariates in survival and latent growth curve analyses.</w:t>
      </w:r>
    </w:p>
    <w:p w:rsidRPr="006310A2" w:rsidR="00B425AE" w:rsidP="006310A2" w:rsidRDefault="00B425AE" w14:paraId="4D7B8316" w14:textId="77777777"/>
    <w:p w:rsidR="001B7D40" w:rsidRDefault="001B7D40" w14:paraId="716BEAA8" w14:textId="77777777">
      <w:pPr>
        <w:rPr>
          <w:b/>
        </w:rPr>
      </w:pPr>
      <w:r>
        <w:rPr>
          <w:b/>
        </w:rPr>
        <w:br w:type="page"/>
      </w:r>
    </w:p>
    <w:p w:rsidRPr="00001A34" w:rsidR="00CC23CD" w:rsidP="00DB09AA" w:rsidRDefault="00CC23CD" w14:paraId="1EEE660B" w14:textId="31DB9D2C">
      <w:pPr>
        <w:keepNext/>
        <w:spacing w:after="120"/>
        <w:rPr>
          <w:b/>
        </w:rPr>
      </w:pPr>
      <w:r w:rsidRPr="006310A2">
        <w:rPr>
          <w:b/>
        </w:rPr>
        <w:lastRenderedPageBreak/>
        <w:t>Exhibit B</w:t>
      </w:r>
      <w:r w:rsidRPr="00C91394" w:rsidR="006310A2">
        <w:rPr>
          <w:b/>
        </w:rPr>
        <w:t>.</w:t>
      </w:r>
      <w:r w:rsidR="006310A2">
        <w:rPr>
          <w:b/>
        </w:rPr>
        <w:t xml:space="preserve">2.1. </w:t>
      </w:r>
      <w:r w:rsidRPr="00E8202D" w:rsidR="006310A2">
        <w:rPr>
          <w:b/>
        </w:rPr>
        <w:t>Description of primary</w:t>
      </w:r>
      <w:r w:rsidR="006310A2">
        <w:rPr>
          <w:b/>
        </w:rPr>
        <w:t xml:space="preserve"> study outcomes, data sources, and analyses</w:t>
      </w:r>
      <w:r w:rsidR="006310A2">
        <w:t xml:space="preserve"> </w:t>
      </w:r>
    </w:p>
    <w:tbl>
      <w:tblPr>
        <w:tblStyle w:val="TableGrid"/>
        <w:tblW w:w="9432" w:type="dxa"/>
        <w:tblLayout w:type="fixed"/>
        <w:tblLook w:val="04A0" w:firstRow="1" w:lastRow="0" w:firstColumn="1" w:lastColumn="0" w:noHBand="0" w:noVBand="1"/>
      </w:tblPr>
      <w:tblGrid>
        <w:gridCol w:w="2016"/>
        <w:gridCol w:w="1620"/>
        <w:gridCol w:w="2016"/>
        <w:gridCol w:w="1440"/>
        <w:gridCol w:w="1170"/>
        <w:gridCol w:w="1170"/>
      </w:tblGrid>
      <w:tr w:rsidRPr="001B7D40" w:rsidR="001C5E41" w:rsidTr="00DB09AA" w14:paraId="15B40F8E" w14:textId="77777777">
        <w:trPr>
          <w:tblHeader/>
        </w:trPr>
        <w:tc>
          <w:tcPr>
            <w:tcW w:w="2016" w:type="dxa"/>
            <w:shd w:val="clear" w:color="auto" w:fill="D9D9D9" w:themeFill="background1" w:themeFillShade="D9"/>
          </w:tcPr>
          <w:p w:rsidRPr="00A1275D" w:rsidR="002E0AEA" w:rsidP="006310A2" w:rsidRDefault="002E0AEA" w14:paraId="4D91CAB3" w14:textId="666E81EC">
            <w:pPr>
              <w:rPr>
                <w:b/>
                <w:sz w:val="20"/>
                <w:szCs w:val="20"/>
              </w:rPr>
            </w:pPr>
            <w:r w:rsidRPr="00A1275D">
              <w:rPr>
                <w:b/>
                <w:sz w:val="20"/>
                <w:szCs w:val="20"/>
              </w:rPr>
              <w:t>Outcome</w:t>
            </w:r>
          </w:p>
        </w:tc>
        <w:tc>
          <w:tcPr>
            <w:tcW w:w="1620" w:type="dxa"/>
            <w:shd w:val="clear" w:color="auto" w:fill="D9D9D9" w:themeFill="background1" w:themeFillShade="D9"/>
          </w:tcPr>
          <w:p w:rsidRPr="00A1275D" w:rsidR="002E0AEA" w:rsidP="006310A2" w:rsidRDefault="002E0AEA" w14:paraId="6D1A0CC4" w14:textId="197B4FA5">
            <w:pPr>
              <w:rPr>
                <w:b/>
                <w:sz w:val="20"/>
                <w:szCs w:val="20"/>
              </w:rPr>
            </w:pPr>
            <w:r w:rsidRPr="00A1275D">
              <w:rPr>
                <w:b/>
                <w:sz w:val="20"/>
                <w:szCs w:val="20"/>
              </w:rPr>
              <w:t>Source</w:t>
            </w:r>
          </w:p>
        </w:tc>
        <w:tc>
          <w:tcPr>
            <w:tcW w:w="2016" w:type="dxa"/>
            <w:shd w:val="clear" w:color="auto" w:fill="D9D9D9" w:themeFill="background1" w:themeFillShade="D9"/>
          </w:tcPr>
          <w:p w:rsidRPr="00A1275D" w:rsidR="002E0AEA" w:rsidP="006310A2" w:rsidRDefault="002E0AEA" w14:paraId="1B68AFF2" w14:textId="2AAB3B2B">
            <w:pPr>
              <w:rPr>
                <w:b/>
                <w:sz w:val="20"/>
                <w:szCs w:val="20"/>
              </w:rPr>
            </w:pPr>
            <w:r w:rsidRPr="00A1275D">
              <w:rPr>
                <w:b/>
                <w:sz w:val="20"/>
                <w:szCs w:val="20"/>
              </w:rPr>
              <w:t>Number of times assessed</w:t>
            </w:r>
            <w:r w:rsidRPr="00A1275D" w:rsidR="006C3379">
              <w:rPr>
                <w:b/>
                <w:sz w:val="20"/>
                <w:szCs w:val="20"/>
                <w:vertAlign w:val="superscript"/>
              </w:rPr>
              <w:t>†</w:t>
            </w:r>
            <w:r w:rsidRPr="00A1275D">
              <w:rPr>
                <w:b/>
                <w:sz w:val="20"/>
                <w:szCs w:val="20"/>
              </w:rPr>
              <w:t xml:space="preserve"> </w:t>
            </w:r>
          </w:p>
        </w:tc>
        <w:tc>
          <w:tcPr>
            <w:tcW w:w="1440" w:type="dxa"/>
            <w:shd w:val="clear" w:color="auto" w:fill="D9D9D9" w:themeFill="background1" w:themeFillShade="D9"/>
          </w:tcPr>
          <w:p w:rsidRPr="00A1275D" w:rsidR="002E0AEA" w:rsidP="00E00A5B" w:rsidRDefault="002E0AEA" w14:paraId="1A328A64" w14:textId="1F986729">
            <w:pPr>
              <w:rPr>
                <w:b/>
                <w:sz w:val="20"/>
                <w:szCs w:val="20"/>
              </w:rPr>
            </w:pPr>
            <w:r w:rsidRPr="00A1275D">
              <w:rPr>
                <w:b/>
                <w:sz w:val="20"/>
                <w:szCs w:val="20"/>
              </w:rPr>
              <w:t>Descriptive analysis</w:t>
            </w:r>
          </w:p>
        </w:tc>
        <w:tc>
          <w:tcPr>
            <w:tcW w:w="1170" w:type="dxa"/>
            <w:shd w:val="clear" w:color="auto" w:fill="D9D9D9" w:themeFill="background1" w:themeFillShade="D9"/>
          </w:tcPr>
          <w:p w:rsidRPr="00A1275D" w:rsidR="002E0AEA" w:rsidP="00AD1492" w:rsidRDefault="00AD1492" w14:paraId="1FF3F001" w14:textId="34BA5701">
            <w:pPr>
              <w:rPr>
                <w:b/>
                <w:sz w:val="20"/>
                <w:szCs w:val="20"/>
              </w:rPr>
            </w:pPr>
            <w:r w:rsidRPr="00A1275D">
              <w:rPr>
                <w:b/>
                <w:sz w:val="20"/>
                <w:szCs w:val="20"/>
              </w:rPr>
              <w:t xml:space="preserve">Growth curve analysis </w:t>
            </w:r>
          </w:p>
        </w:tc>
        <w:tc>
          <w:tcPr>
            <w:tcW w:w="1170" w:type="dxa"/>
            <w:shd w:val="clear" w:color="auto" w:fill="D9D9D9" w:themeFill="background1" w:themeFillShade="D9"/>
          </w:tcPr>
          <w:p w:rsidRPr="00A1275D" w:rsidR="002E0AEA" w:rsidP="00E00A5B" w:rsidRDefault="00AD1492" w14:paraId="6C4B0963" w14:textId="6BA8834C">
            <w:pPr>
              <w:rPr>
                <w:b/>
                <w:sz w:val="20"/>
                <w:szCs w:val="20"/>
              </w:rPr>
            </w:pPr>
            <w:r w:rsidRPr="00A1275D">
              <w:rPr>
                <w:b/>
                <w:sz w:val="20"/>
                <w:szCs w:val="20"/>
              </w:rPr>
              <w:t>Survival analysis</w:t>
            </w:r>
          </w:p>
        </w:tc>
      </w:tr>
      <w:tr w:rsidRPr="001B7D40" w:rsidR="00001A34" w:rsidTr="006310A2" w14:paraId="4812A76C" w14:textId="77777777">
        <w:tc>
          <w:tcPr>
            <w:tcW w:w="2016" w:type="dxa"/>
            <w:shd w:val="clear" w:color="auto" w:fill="auto"/>
          </w:tcPr>
          <w:p w:rsidRPr="00A1275D" w:rsidR="002E0AEA" w:rsidP="00DB09AA" w:rsidRDefault="002E0AEA" w14:paraId="7FDC1026" w14:textId="4739E1EF">
            <w:pPr>
              <w:rPr>
                <w:sz w:val="20"/>
                <w:szCs w:val="20"/>
              </w:rPr>
            </w:pPr>
            <w:r w:rsidRPr="00A1275D">
              <w:rPr>
                <w:i/>
                <w:sz w:val="20"/>
                <w:szCs w:val="20"/>
              </w:rPr>
              <w:t>Employment</w:t>
            </w:r>
            <w:r w:rsidRPr="00A1275D">
              <w:rPr>
                <w:sz w:val="20"/>
                <w:szCs w:val="20"/>
              </w:rPr>
              <w:t>: Formally employed</w:t>
            </w:r>
          </w:p>
        </w:tc>
        <w:tc>
          <w:tcPr>
            <w:tcW w:w="1620" w:type="dxa"/>
            <w:shd w:val="clear" w:color="auto" w:fill="auto"/>
          </w:tcPr>
          <w:p w:rsidRPr="00A1275D" w:rsidR="002E0AEA" w:rsidP="00DB09AA" w:rsidRDefault="002E0AEA" w14:paraId="38648202" w14:textId="129D790D">
            <w:pPr>
              <w:rPr>
                <w:sz w:val="20"/>
                <w:szCs w:val="20"/>
              </w:rPr>
            </w:pPr>
            <w:r w:rsidRPr="00A1275D">
              <w:rPr>
                <w:sz w:val="20"/>
                <w:szCs w:val="20"/>
              </w:rPr>
              <w:t xml:space="preserve">NDNH administrative data </w:t>
            </w:r>
          </w:p>
        </w:tc>
        <w:tc>
          <w:tcPr>
            <w:tcW w:w="2016" w:type="dxa"/>
          </w:tcPr>
          <w:p w:rsidRPr="00A1275D" w:rsidR="002E0AEA" w:rsidP="006310A2" w:rsidRDefault="002E0AEA" w14:paraId="02DC6404" w14:textId="0609AC61">
            <w:pPr>
              <w:rPr>
                <w:sz w:val="20"/>
                <w:szCs w:val="20"/>
              </w:rPr>
            </w:pPr>
            <w:r w:rsidRPr="00A1275D">
              <w:rPr>
                <w:sz w:val="20"/>
                <w:szCs w:val="20"/>
              </w:rPr>
              <w:t>Up to 11 quarters</w:t>
            </w:r>
            <w:r w:rsidRPr="00A1275D" w:rsidR="00F57CE4">
              <w:rPr>
                <w:sz w:val="20"/>
                <w:szCs w:val="20"/>
              </w:rPr>
              <w:t xml:space="preserve"> </w:t>
            </w:r>
            <w:r w:rsidRPr="00A1275D" w:rsidR="008861A9">
              <w:rPr>
                <w:sz w:val="20"/>
                <w:szCs w:val="20"/>
              </w:rPr>
              <w:t xml:space="preserve">(33 months) </w:t>
            </w:r>
            <w:r w:rsidRPr="00A1275D" w:rsidR="005751BA">
              <w:rPr>
                <w:sz w:val="20"/>
                <w:szCs w:val="20"/>
              </w:rPr>
              <w:t xml:space="preserve">of data collected retrospectively </w:t>
            </w:r>
            <w:r w:rsidRPr="00A1275D" w:rsidR="00B85E05">
              <w:rPr>
                <w:sz w:val="20"/>
                <w:szCs w:val="20"/>
              </w:rPr>
              <w:t xml:space="preserve">via up to 4 data pulls from NDNH </w:t>
            </w:r>
            <w:r w:rsidRPr="00A1275D" w:rsidR="005751BA">
              <w:rPr>
                <w:sz w:val="20"/>
                <w:szCs w:val="20"/>
              </w:rPr>
              <w:t xml:space="preserve">over </w:t>
            </w:r>
            <w:r w:rsidRPr="00A1275D" w:rsidR="00B85E05">
              <w:rPr>
                <w:sz w:val="20"/>
                <w:szCs w:val="20"/>
              </w:rPr>
              <w:t>the study</w:t>
            </w:r>
            <w:r w:rsidRPr="00A1275D" w:rsidR="005751BA">
              <w:rPr>
                <w:sz w:val="20"/>
                <w:szCs w:val="20"/>
              </w:rPr>
              <w:t xml:space="preserve"> period</w:t>
            </w:r>
          </w:p>
        </w:tc>
        <w:tc>
          <w:tcPr>
            <w:tcW w:w="1440" w:type="dxa"/>
          </w:tcPr>
          <w:p w:rsidRPr="00A1275D" w:rsidR="002E0AEA" w:rsidP="00001A34" w:rsidRDefault="002E0AEA" w14:paraId="22779CD6" w14:textId="3C26AADA">
            <w:pPr>
              <w:jc w:val="center"/>
              <w:rPr>
                <w:sz w:val="20"/>
                <w:szCs w:val="20"/>
              </w:rPr>
            </w:pPr>
            <w:r w:rsidRPr="00A1275D">
              <w:rPr>
                <w:sz w:val="20"/>
                <w:szCs w:val="20"/>
              </w:rPr>
              <w:t>RQ1</w:t>
            </w:r>
            <w:r w:rsidRPr="00A1275D" w:rsidR="00973242">
              <w:rPr>
                <w:sz w:val="20"/>
                <w:szCs w:val="20"/>
              </w:rPr>
              <w:t>,</w:t>
            </w:r>
          </w:p>
          <w:p w:rsidRPr="00A1275D" w:rsidR="00973242" w:rsidP="006310A2" w:rsidRDefault="00973242" w14:paraId="5BF5A666" w14:textId="48854BE4">
            <w:pPr>
              <w:jc w:val="center"/>
              <w:rPr>
                <w:sz w:val="20"/>
                <w:szCs w:val="20"/>
              </w:rPr>
            </w:pPr>
            <w:r w:rsidRPr="00A1275D">
              <w:rPr>
                <w:sz w:val="20"/>
                <w:szCs w:val="20"/>
              </w:rPr>
              <w:t>RQ4</w:t>
            </w:r>
            <w:r w:rsidRPr="00A1275D" w:rsidR="002144EF">
              <w:rPr>
                <w:sz w:val="20"/>
                <w:szCs w:val="20"/>
              </w:rPr>
              <w:t>, RQ5</w:t>
            </w:r>
          </w:p>
        </w:tc>
        <w:tc>
          <w:tcPr>
            <w:tcW w:w="1170" w:type="dxa"/>
          </w:tcPr>
          <w:p w:rsidRPr="00A1275D" w:rsidR="00AD1492" w:rsidP="00AD1492" w:rsidRDefault="00AD1492" w14:paraId="1325B256" w14:textId="32754E14">
            <w:pPr>
              <w:jc w:val="center"/>
              <w:rPr>
                <w:sz w:val="20"/>
                <w:szCs w:val="20"/>
              </w:rPr>
            </w:pPr>
            <w:r w:rsidRPr="00A1275D">
              <w:rPr>
                <w:sz w:val="20"/>
                <w:szCs w:val="20"/>
              </w:rPr>
              <w:t>RQ2,</w:t>
            </w:r>
          </w:p>
          <w:p w:rsidRPr="00A1275D" w:rsidR="002E0AEA" w:rsidP="006310A2" w:rsidRDefault="00AD1492" w14:paraId="79FD72B1" w14:textId="28373DCC">
            <w:pPr>
              <w:jc w:val="center"/>
              <w:rPr>
                <w:sz w:val="20"/>
                <w:szCs w:val="20"/>
              </w:rPr>
            </w:pPr>
            <w:r w:rsidRPr="00A1275D">
              <w:rPr>
                <w:sz w:val="20"/>
                <w:szCs w:val="20"/>
              </w:rPr>
              <w:t>RQ4, RQ5</w:t>
            </w:r>
          </w:p>
        </w:tc>
        <w:tc>
          <w:tcPr>
            <w:tcW w:w="1170" w:type="dxa"/>
          </w:tcPr>
          <w:p w:rsidRPr="00A1275D" w:rsidR="002E0AEA" w:rsidP="00973242" w:rsidRDefault="002E0AEA" w14:paraId="0B25E6C4" w14:textId="6487BD1B">
            <w:pPr>
              <w:jc w:val="center"/>
              <w:rPr>
                <w:sz w:val="20"/>
                <w:szCs w:val="20"/>
              </w:rPr>
            </w:pPr>
          </w:p>
        </w:tc>
      </w:tr>
      <w:tr w:rsidRPr="001B7D40" w:rsidR="00001A34" w:rsidTr="006310A2" w14:paraId="1B8FD8C3" w14:textId="77777777">
        <w:tc>
          <w:tcPr>
            <w:tcW w:w="2016" w:type="dxa"/>
            <w:shd w:val="clear" w:color="auto" w:fill="auto"/>
          </w:tcPr>
          <w:p w:rsidRPr="00A1275D" w:rsidR="002E0AEA" w:rsidDel="006C60A5" w:rsidP="006310A2" w:rsidRDefault="002E0AEA" w14:paraId="0EADB93F" w14:textId="33ECD9AA">
            <w:pPr>
              <w:rPr>
                <w:sz w:val="20"/>
                <w:szCs w:val="20"/>
              </w:rPr>
            </w:pPr>
            <w:r w:rsidRPr="00A1275D">
              <w:rPr>
                <w:i/>
                <w:sz w:val="20"/>
                <w:szCs w:val="20"/>
              </w:rPr>
              <w:t xml:space="preserve">Employment: </w:t>
            </w:r>
            <w:r w:rsidRPr="00A1275D">
              <w:rPr>
                <w:sz w:val="20"/>
                <w:szCs w:val="20"/>
              </w:rPr>
              <w:t>Maintained formal employment</w:t>
            </w:r>
          </w:p>
        </w:tc>
        <w:tc>
          <w:tcPr>
            <w:tcW w:w="1620" w:type="dxa"/>
            <w:shd w:val="clear" w:color="auto" w:fill="auto"/>
          </w:tcPr>
          <w:p w:rsidRPr="00A1275D" w:rsidR="002E0AEA" w:rsidP="006310A2" w:rsidRDefault="002E0AEA" w14:paraId="39A865A7" w14:textId="206719D7">
            <w:pPr>
              <w:rPr>
                <w:sz w:val="20"/>
                <w:szCs w:val="20"/>
              </w:rPr>
            </w:pPr>
            <w:r w:rsidRPr="00A1275D">
              <w:rPr>
                <w:sz w:val="20"/>
                <w:szCs w:val="20"/>
              </w:rPr>
              <w:t>NDNH administrative data</w:t>
            </w:r>
          </w:p>
        </w:tc>
        <w:tc>
          <w:tcPr>
            <w:tcW w:w="2016" w:type="dxa"/>
          </w:tcPr>
          <w:p w:rsidRPr="00A1275D" w:rsidR="002E0AEA" w:rsidP="006310A2" w:rsidRDefault="002E0AEA" w14:paraId="0C508140" w14:textId="2E5700BC">
            <w:pPr>
              <w:rPr>
                <w:sz w:val="20"/>
                <w:szCs w:val="20"/>
              </w:rPr>
            </w:pPr>
            <w:r w:rsidRPr="00A1275D">
              <w:rPr>
                <w:sz w:val="20"/>
                <w:szCs w:val="20"/>
              </w:rPr>
              <w:t>Up to 11 quarters</w:t>
            </w:r>
            <w:r w:rsidRPr="00A1275D" w:rsidR="00F57CE4">
              <w:rPr>
                <w:sz w:val="20"/>
                <w:szCs w:val="20"/>
              </w:rPr>
              <w:t xml:space="preserve"> </w:t>
            </w:r>
            <w:r w:rsidRPr="00A1275D" w:rsidR="008861A9">
              <w:rPr>
                <w:sz w:val="20"/>
                <w:szCs w:val="20"/>
              </w:rPr>
              <w:t xml:space="preserve">(33 months) </w:t>
            </w:r>
            <w:r w:rsidRPr="00A1275D" w:rsidR="005751BA">
              <w:rPr>
                <w:sz w:val="20"/>
                <w:szCs w:val="20"/>
              </w:rPr>
              <w:t xml:space="preserve">of data collected retrospectively </w:t>
            </w:r>
            <w:r w:rsidRPr="00A1275D" w:rsidR="00B85E05">
              <w:rPr>
                <w:sz w:val="20"/>
                <w:szCs w:val="20"/>
              </w:rPr>
              <w:t>via up to 4 data pulls from NDNH over the study period</w:t>
            </w:r>
          </w:p>
        </w:tc>
        <w:tc>
          <w:tcPr>
            <w:tcW w:w="1440" w:type="dxa"/>
          </w:tcPr>
          <w:p w:rsidRPr="00A1275D" w:rsidR="00973242" w:rsidP="00973242" w:rsidRDefault="002E0AEA" w14:paraId="12805F7E" w14:textId="77777777">
            <w:pPr>
              <w:jc w:val="center"/>
              <w:rPr>
                <w:sz w:val="20"/>
                <w:szCs w:val="20"/>
              </w:rPr>
            </w:pPr>
            <w:r w:rsidRPr="00A1275D">
              <w:rPr>
                <w:sz w:val="20"/>
                <w:szCs w:val="20"/>
              </w:rPr>
              <w:t>RQ1</w:t>
            </w:r>
            <w:r w:rsidRPr="00A1275D" w:rsidR="00973242">
              <w:rPr>
                <w:sz w:val="20"/>
                <w:szCs w:val="20"/>
              </w:rPr>
              <w:t>,</w:t>
            </w:r>
          </w:p>
          <w:p w:rsidRPr="00A1275D" w:rsidR="002E0AEA" w:rsidP="00973242" w:rsidRDefault="00973242" w14:paraId="077B35F7" w14:textId="3CBD3894">
            <w:pPr>
              <w:jc w:val="center"/>
              <w:rPr>
                <w:sz w:val="20"/>
                <w:szCs w:val="20"/>
              </w:rPr>
            </w:pPr>
            <w:r w:rsidRPr="00A1275D">
              <w:rPr>
                <w:sz w:val="20"/>
                <w:szCs w:val="20"/>
              </w:rPr>
              <w:t>RQ4</w:t>
            </w:r>
            <w:r w:rsidRPr="00A1275D" w:rsidR="002144EF">
              <w:rPr>
                <w:sz w:val="20"/>
                <w:szCs w:val="20"/>
              </w:rPr>
              <w:t>, RQ5</w:t>
            </w:r>
          </w:p>
        </w:tc>
        <w:tc>
          <w:tcPr>
            <w:tcW w:w="1170" w:type="dxa"/>
          </w:tcPr>
          <w:p w:rsidRPr="00A1275D" w:rsidR="002E0AEA" w:rsidRDefault="002E0AEA" w14:paraId="1CD203AC" w14:textId="58807598">
            <w:pPr>
              <w:jc w:val="center"/>
              <w:rPr>
                <w:sz w:val="20"/>
                <w:szCs w:val="20"/>
              </w:rPr>
            </w:pPr>
          </w:p>
        </w:tc>
        <w:tc>
          <w:tcPr>
            <w:tcW w:w="1170" w:type="dxa"/>
          </w:tcPr>
          <w:p w:rsidRPr="00A1275D" w:rsidR="00AD1492" w:rsidP="00AD1492" w:rsidRDefault="00AD1492" w14:paraId="020E5535" w14:textId="77777777">
            <w:pPr>
              <w:jc w:val="center"/>
              <w:rPr>
                <w:sz w:val="20"/>
                <w:szCs w:val="20"/>
              </w:rPr>
            </w:pPr>
            <w:r w:rsidRPr="00A1275D">
              <w:rPr>
                <w:sz w:val="20"/>
                <w:szCs w:val="20"/>
              </w:rPr>
              <w:t>RQ3,</w:t>
            </w:r>
          </w:p>
          <w:p w:rsidRPr="00A1275D" w:rsidR="002E0AEA" w:rsidP="00AD1492" w:rsidRDefault="00AD1492" w14:paraId="3FE3A724" w14:textId="7AE78355">
            <w:pPr>
              <w:jc w:val="center"/>
              <w:rPr>
                <w:sz w:val="20"/>
                <w:szCs w:val="20"/>
              </w:rPr>
            </w:pPr>
            <w:r w:rsidRPr="00A1275D">
              <w:rPr>
                <w:sz w:val="20"/>
                <w:szCs w:val="20"/>
              </w:rPr>
              <w:t>RQ4, RQ5</w:t>
            </w:r>
          </w:p>
        </w:tc>
      </w:tr>
      <w:tr w:rsidRPr="001B7D40" w:rsidR="00001A34" w:rsidTr="006310A2" w14:paraId="7968334A" w14:textId="77777777">
        <w:tc>
          <w:tcPr>
            <w:tcW w:w="2016" w:type="dxa"/>
            <w:shd w:val="clear" w:color="auto" w:fill="auto"/>
          </w:tcPr>
          <w:p w:rsidRPr="00A1275D" w:rsidR="002E0AEA" w:rsidP="006310A2" w:rsidRDefault="002E0AEA" w14:paraId="787B6BA8" w14:textId="2849D6A5">
            <w:pPr>
              <w:rPr>
                <w:sz w:val="20"/>
                <w:szCs w:val="20"/>
              </w:rPr>
            </w:pPr>
            <w:r w:rsidRPr="00A1275D">
              <w:rPr>
                <w:i/>
                <w:sz w:val="20"/>
                <w:szCs w:val="20"/>
              </w:rPr>
              <w:t>Earnings</w:t>
            </w:r>
            <w:r w:rsidRPr="00A1275D">
              <w:rPr>
                <w:sz w:val="20"/>
                <w:szCs w:val="20"/>
              </w:rPr>
              <w:t>: Average earnings from formal employment</w:t>
            </w:r>
          </w:p>
        </w:tc>
        <w:tc>
          <w:tcPr>
            <w:tcW w:w="1620" w:type="dxa"/>
          </w:tcPr>
          <w:p w:rsidRPr="00A1275D" w:rsidR="002E0AEA" w:rsidP="006310A2" w:rsidRDefault="002E0AEA" w14:paraId="31DDFC6D" w14:textId="2693D23A">
            <w:pPr>
              <w:rPr>
                <w:sz w:val="20"/>
                <w:szCs w:val="20"/>
              </w:rPr>
            </w:pPr>
            <w:r w:rsidRPr="00A1275D">
              <w:rPr>
                <w:sz w:val="20"/>
                <w:szCs w:val="20"/>
              </w:rPr>
              <w:t>NDNH administrative data</w:t>
            </w:r>
          </w:p>
        </w:tc>
        <w:tc>
          <w:tcPr>
            <w:tcW w:w="2016" w:type="dxa"/>
          </w:tcPr>
          <w:p w:rsidRPr="00A1275D" w:rsidR="002E0AEA" w:rsidRDefault="002E0AEA" w14:paraId="2C29A6C2" w14:textId="0FED4DBA">
            <w:pPr>
              <w:rPr>
                <w:sz w:val="20"/>
                <w:szCs w:val="20"/>
              </w:rPr>
            </w:pPr>
            <w:r w:rsidRPr="00A1275D">
              <w:rPr>
                <w:sz w:val="20"/>
                <w:szCs w:val="20"/>
              </w:rPr>
              <w:t>Up to 11 quarters</w:t>
            </w:r>
            <w:r w:rsidRPr="00A1275D" w:rsidR="008861A9">
              <w:rPr>
                <w:sz w:val="20"/>
                <w:szCs w:val="20"/>
              </w:rPr>
              <w:t xml:space="preserve"> (33 months) </w:t>
            </w:r>
            <w:r w:rsidRPr="00A1275D" w:rsidR="00AC642C">
              <w:rPr>
                <w:sz w:val="20"/>
                <w:szCs w:val="20"/>
              </w:rPr>
              <w:t xml:space="preserve">of data collected retrospectively </w:t>
            </w:r>
            <w:r w:rsidRPr="00A1275D" w:rsidR="00B85E05">
              <w:rPr>
                <w:sz w:val="20"/>
                <w:szCs w:val="20"/>
              </w:rPr>
              <w:t>via up to 4 data pulls from NDNH over the study period</w:t>
            </w:r>
          </w:p>
        </w:tc>
        <w:tc>
          <w:tcPr>
            <w:tcW w:w="1440" w:type="dxa"/>
          </w:tcPr>
          <w:p w:rsidRPr="00A1275D" w:rsidR="00973242" w:rsidP="00973242" w:rsidRDefault="002E0AEA" w14:paraId="13DDA797" w14:textId="77777777">
            <w:pPr>
              <w:jc w:val="center"/>
              <w:rPr>
                <w:sz w:val="20"/>
                <w:szCs w:val="20"/>
              </w:rPr>
            </w:pPr>
            <w:r w:rsidRPr="00A1275D">
              <w:rPr>
                <w:sz w:val="20"/>
                <w:szCs w:val="20"/>
              </w:rPr>
              <w:t>RQ1</w:t>
            </w:r>
            <w:r w:rsidRPr="00A1275D" w:rsidR="00973242">
              <w:rPr>
                <w:sz w:val="20"/>
                <w:szCs w:val="20"/>
              </w:rPr>
              <w:t>,</w:t>
            </w:r>
          </w:p>
          <w:p w:rsidRPr="00A1275D" w:rsidR="002E0AEA" w:rsidP="00973242" w:rsidRDefault="00973242" w14:paraId="54EF2D0D" w14:textId="42305BEF">
            <w:pPr>
              <w:jc w:val="center"/>
              <w:rPr>
                <w:sz w:val="20"/>
                <w:szCs w:val="20"/>
              </w:rPr>
            </w:pPr>
            <w:r w:rsidRPr="00A1275D">
              <w:rPr>
                <w:sz w:val="20"/>
                <w:szCs w:val="20"/>
              </w:rPr>
              <w:t>RQ4</w:t>
            </w:r>
            <w:r w:rsidRPr="00A1275D" w:rsidR="002144EF">
              <w:rPr>
                <w:sz w:val="20"/>
                <w:szCs w:val="20"/>
              </w:rPr>
              <w:t>, RQ5</w:t>
            </w:r>
          </w:p>
        </w:tc>
        <w:tc>
          <w:tcPr>
            <w:tcW w:w="1170" w:type="dxa"/>
          </w:tcPr>
          <w:p w:rsidRPr="00A1275D" w:rsidR="00AD1492" w:rsidP="00AD1492" w:rsidRDefault="00AD1492" w14:paraId="0F5CE40D" w14:textId="77777777">
            <w:pPr>
              <w:jc w:val="center"/>
              <w:rPr>
                <w:sz w:val="20"/>
                <w:szCs w:val="20"/>
              </w:rPr>
            </w:pPr>
            <w:r w:rsidRPr="00A1275D">
              <w:rPr>
                <w:sz w:val="20"/>
                <w:szCs w:val="20"/>
              </w:rPr>
              <w:t>RQ2,</w:t>
            </w:r>
          </w:p>
          <w:p w:rsidRPr="00A1275D" w:rsidR="002E0AEA" w:rsidP="00AD1492" w:rsidRDefault="00AD1492" w14:paraId="76A03DFC" w14:textId="79A58117">
            <w:pPr>
              <w:jc w:val="center"/>
              <w:rPr>
                <w:sz w:val="20"/>
                <w:szCs w:val="20"/>
              </w:rPr>
            </w:pPr>
            <w:r w:rsidRPr="00A1275D">
              <w:rPr>
                <w:sz w:val="20"/>
                <w:szCs w:val="20"/>
              </w:rPr>
              <w:t>RQ4, RQ5</w:t>
            </w:r>
          </w:p>
        </w:tc>
        <w:tc>
          <w:tcPr>
            <w:tcW w:w="1170" w:type="dxa"/>
          </w:tcPr>
          <w:p w:rsidRPr="00A1275D" w:rsidR="002E0AEA" w:rsidP="00973242" w:rsidRDefault="002E0AEA" w14:paraId="7C76ECD2" w14:textId="4430B517">
            <w:pPr>
              <w:jc w:val="center"/>
              <w:rPr>
                <w:sz w:val="20"/>
                <w:szCs w:val="20"/>
              </w:rPr>
            </w:pPr>
          </w:p>
        </w:tc>
      </w:tr>
      <w:tr w:rsidRPr="001B7D40" w:rsidR="002E0AEA" w:rsidTr="006310A2" w14:paraId="772F921B" w14:textId="77777777">
        <w:tc>
          <w:tcPr>
            <w:tcW w:w="2016" w:type="dxa"/>
            <w:shd w:val="clear" w:color="auto" w:fill="auto"/>
          </w:tcPr>
          <w:p w:rsidRPr="00A1275D" w:rsidR="002E0AEA" w:rsidP="00DB09AA" w:rsidRDefault="002E0AEA" w14:paraId="2D849997" w14:textId="26CD874F">
            <w:pPr>
              <w:rPr>
                <w:sz w:val="20"/>
                <w:szCs w:val="20"/>
              </w:rPr>
            </w:pPr>
            <w:r w:rsidRPr="00A1275D">
              <w:rPr>
                <w:i/>
                <w:sz w:val="20"/>
                <w:szCs w:val="20"/>
              </w:rPr>
              <w:t>Education</w:t>
            </w:r>
            <w:r w:rsidRPr="00A1275D">
              <w:rPr>
                <w:sz w:val="20"/>
                <w:szCs w:val="20"/>
              </w:rPr>
              <w:t>: Enrolled in post-secondary education</w:t>
            </w:r>
          </w:p>
        </w:tc>
        <w:tc>
          <w:tcPr>
            <w:tcW w:w="1620" w:type="dxa"/>
            <w:shd w:val="clear" w:color="auto" w:fill="auto"/>
          </w:tcPr>
          <w:p w:rsidRPr="00A1275D" w:rsidR="002E0AEA" w:rsidP="00DB09AA" w:rsidRDefault="002E0AEA" w14:paraId="53050B7F" w14:textId="055E2732">
            <w:pPr>
              <w:rPr>
                <w:sz w:val="20"/>
                <w:szCs w:val="20"/>
              </w:rPr>
            </w:pPr>
            <w:r w:rsidRPr="00A1275D">
              <w:rPr>
                <w:sz w:val="20"/>
                <w:szCs w:val="20"/>
              </w:rPr>
              <w:t xml:space="preserve">NSC administrative data </w:t>
            </w:r>
          </w:p>
        </w:tc>
        <w:tc>
          <w:tcPr>
            <w:tcW w:w="2016" w:type="dxa"/>
          </w:tcPr>
          <w:p w:rsidRPr="00A1275D" w:rsidR="002E0AEA" w:rsidP="006310A2" w:rsidRDefault="002E0AEA" w14:paraId="0396F895" w14:textId="33BC46EB">
            <w:pPr>
              <w:rPr>
                <w:sz w:val="20"/>
                <w:szCs w:val="20"/>
              </w:rPr>
            </w:pPr>
            <w:r w:rsidRPr="00A1275D">
              <w:rPr>
                <w:sz w:val="20"/>
                <w:szCs w:val="20"/>
              </w:rPr>
              <w:t>Up to 48 months</w:t>
            </w:r>
            <w:r w:rsidRPr="00A1275D" w:rsidR="00F57CE4">
              <w:rPr>
                <w:sz w:val="20"/>
                <w:szCs w:val="20"/>
              </w:rPr>
              <w:t xml:space="preserve"> </w:t>
            </w:r>
            <w:r w:rsidRPr="00A1275D" w:rsidR="005751BA">
              <w:rPr>
                <w:sz w:val="20"/>
                <w:szCs w:val="20"/>
              </w:rPr>
              <w:t xml:space="preserve">of data collected retrospectively </w:t>
            </w:r>
            <w:r w:rsidRPr="00A1275D" w:rsidR="00B85E05">
              <w:rPr>
                <w:sz w:val="20"/>
                <w:szCs w:val="20"/>
              </w:rPr>
              <w:t>via up to 2 data pulls from NSC over the study period</w:t>
            </w:r>
          </w:p>
        </w:tc>
        <w:tc>
          <w:tcPr>
            <w:tcW w:w="1440" w:type="dxa"/>
          </w:tcPr>
          <w:p w:rsidRPr="00A1275D" w:rsidR="00973242" w:rsidP="00973242" w:rsidRDefault="002E0AEA" w14:paraId="0A80DFA7" w14:textId="58F96A14">
            <w:pPr>
              <w:jc w:val="center"/>
              <w:rPr>
                <w:sz w:val="20"/>
                <w:szCs w:val="20"/>
              </w:rPr>
            </w:pPr>
            <w:r w:rsidRPr="00A1275D">
              <w:rPr>
                <w:sz w:val="20"/>
                <w:szCs w:val="20"/>
              </w:rPr>
              <w:t>RQ1</w:t>
            </w:r>
            <w:r w:rsidRPr="00A1275D" w:rsidR="00973242">
              <w:rPr>
                <w:sz w:val="20"/>
                <w:szCs w:val="20"/>
              </w:rPr>
              <w:t>,</w:t>
            </w:r>
          </w:p>
          <w:p w:rsidRPr="00A1275D" w:rsidR="002E0AEA" w:rsidP="006310A2" w:rsidRDefault="00973242" w14:paraId="51CB1FC1" w14:textId="5443B551">
            <w:pPr>
              <w:jc w:val="center"/>
              <w:rPr>
                <w:sz w:val="20"/>
                <w:szCs w:val="20"/>
              </w:rPr>
            </w:pPr>
            <w:r w:rsidRPr="00A1275D">
              <w:rPr>
                <w:sz w:val="20"/>
                <w:szCs w:val="20"/>
              </w:rPr>
              <w:t>RQ4</w:t>
            </w:r>
            <w:r w:rsidRPr="00A1275D" w:rsidR="002144EF">
              <w:rPr>
                <w:sz w:val="20"/>
                <w:szCs w:val="20"/>
              </w:rPr>
              <w:t>, RQ5</w:t>
            </w:r>
          </w:p>
        </w:tc>
        <w:tc>
          <w:tcPr>
            <w:tcW w:w="1170" w:type="dxa"/>
          </w:tcPr>
          <w:p w:rsidRPr="00A1275D" w:rsidR="00AD1492" w:rsidP="00AD1492" w:rsidRDefault="00AD1492" w14:paraId="4AEBDE7D" w14:textId="736770C2">
            <w:pPr>
              <w:jc w:val="center"/>
              <w:rPr>
                <w:sz w:val="20"/>
                <w:szCs w:val="20"/>
              </w:rPr>
            </w:pPr>
            <w:r w:rsidRPr="00A1275D">
              <w:rPr>
                <w:sz w:val="20"/>
                <w:szCs w:val="20"/>
              </w:rPr>
              <w:t>RQ2,</w:t>
            </w:r>
          </w:p>
          <w:p w:rsidRPr="00A1275D" w:rsidR="002E0AEA" w:rsidP="006310A2" w:rsidRDefault="00AD1492" w14:paraId="788E0EB8" w14:textId="55C344FD">
            <w:pPr>
              <w:jc w:val="center"/>
              <w:rPr>
                <w:sz w:val="20"/>
                <w:szCs w:val="20"/>
              </w:rPr>
            </w:pPr>
            <w:r w:rsidRPr="00A1275D">
              <w:rPr>
                <w:sz w:val="20"/>
                <w:szCs w:val="20"/>
              </w:rPr>
              <w:t>RQ4, RQ5</w:t>
            </w:r>
          </w:p>
        </w:tc>
        <w:tc>
          <w:tcPr>
            <w:tcW w:w="1170" w:type="dxa"/>
          </w:tcPr>
          <w:p w:rsidRPr="00A1275D" w:rsidR="002E0AEA" w:rsidP="00973242" w:rsidRDefault="002E0AEA" w14:paraId="7CD7A05A" w14:textId="08E802D0">
            <w:pPr>
              <w:jc w:val="center"/>
              <w:rPr>
                <w:sz w:val="20"/>
                <w:szCs w:val="20"/>
              </w:rPr>
            </w:pPr>
          </w:p>
        </w:tc>
      </w:tr>
      <w:tr w:rsidRPr="001B7D40" w:rsidR="00001A34" w:rsidTr="006310A2" w14:paraId="155CE692" w14:textId="77777777">
        <w:tc>
          <w:tcPr>
            <w:tcW w:w="2016" w:type="dxa"/>
            <w:shd w:val="clear" w:color="auto" w:fill="auto"/>
          </w:tcPr>
          <w:p w:rsidRPr="00A1275D" w:rsidR="002E0AEA" w:rsidP="00DB09AA" w:rsidRDefault="002E0AEA" w14:paraId="3DE737EE" w14:textId="42761CE4">
            <w:pPr>
              <w:rPr>
                <w:sz w:val="20"/>
                <w:szCs w:val="20"/>
              </w:rPr>
            </w:pPr>
            <w:r w:rsidRPr="00A1275D">
              <w:rPr>
                <w:i/>
                <w:sz w:val="20"/>
                <w:szCs w:val="20"/>
              </w:rPr>
              <w:t>Education:</w:t>
            </w:r>
            <w:r w:rsidRPr="00A1275D">
              <w:rPr>
                <w:sz w:val="20"/>
                <w:szCs w:val="20"/>
              </w:rPr>
              <w:t xml:space="preserve"> Maintained post-secondary enrollment</w:t>
            </w:r>
          </w:p>
        </w:tc>
        <w:tc>
          <w:tcPr>
            <w:tcW w:w="1620" w:type="dxa"/>
            <w:shd w:val="clear" w:color="auto" w:fill="auto"/>
          </w:tcPr>
          <w:p w:rsidRPr="00A1275D" w:rsidR="002E0AEA" w:rsidP="00DB09AA" w:rsidRDefault="002E0AEA" w14:paraId="6A59897D" w14:textId="483F237B">
            <w:pPr>
              <w:rPr>
                <w:sz w:val="20"/>
                <w:szCs w:val="20"/>
              </w:rPr>
            </w:pPr>
            <w:r w:rsidRPr="00A1275D">
              <w:rPr>
                <w:sz w:val="20"/>
                <w:szCs w:val="20"/>
              </w:rPr>
              <w:t>NSC administrative data</w:t>
            </w:r>
          </w:p>
        </w:tc>
        <w:tc>
          <w:tcPr>
            <w:tcW w:w="2016" w:type="dxa"/>
          </w:tcPr>
          <w:p w:rsidRPr="00A1275D" w:rsidR="002E0AEA" w:rsidP="006310A2" w:rsidRDefault="002E0AEA" w14:paraId="07FC6D0F" w14:textId="625DA71A">
            <w:pPr>
              <w:rPr>
                <w:sz w:val="20"/>
                <w:szCs w:val="20"/>
              </w:rPr>
            </w:pPr>
            <w:r w:rsidRPr="00A1275D">
              <w:rPr>
                <w:sz w:val="20"/>
                <w:szCs w:val="20"/>
              </w:rPr>
              <w:t>Up to 48 months</w:t>
            </w:r>
            <w:r w:rsidRPr="00A1275D" w:rsidR="00F57CE4">
              <w:rPr>
                <w:sz w:val="20"/>
                <w:szCs w:val="20"/>
              </w:rPr>
              <w:t xml:space="preserve"> </w:t>
            </w:r>
            <w:r w:rsidRPr="00A1275D" w:rsidR="005751BA">
              <w:rPr>
                <w:sz w:val="20"/>
                <w:szCs w:val="20"/>
              </w:rPr>
              <w:t xml:space="preserve">of data collected retrospectively </w:t>
            </w:r>
            <w:r w:rsidRPr="00A1275D" w:rsidR="00B85E05">
              <w:rPr>
                <w:sz w:val="20"/>
                <w:szCs w:val="20"/>
              </w:rPr>
              <w:t>via up to 2 data pulls from NSC over the study period</w:t>
            </w:r>
          </w:p>
        </w:tc>
        <w:tc>
          <w:tcPr>
            <w:tcW w:w="1440" w:type="dxa"/>
          </w:tcPr>
          <w:p w:rsidRPr="00A1275D" w:rsidR="00973242" w:rsidP="00973242" w:rsidRDefault="002E0AEA" w14:paraId="54777A28" w14:textId="3DE08E8D">
            <w:pPr>
              <w:jc w:val="center"/>
              <w:rPr>
                <w:sz w:val="20"/>
                <w:szCs w:val="20"/>
              </w:rPr>
            </w:pPr>
            <w:r w:rsidRPr="00A1275D">
              <w:rPr>
                <w:sz w:val="20"/>
                <w:szCs w:val="20"/>
              </w:rPr>
              <w:t>RQ1</w:t>
            </w:r>
            <w:r w:rsidRPr="00A1275D" w:rsidR="00973242">
              <w:rPr>
                <w:sz w:val="20"/>
                <w:szCs w:val="20"/>
              </w:rPr>
              <w:t>,</w:t>
            </w:r>
          </w:p>
          <w:p w:rsidRPr="00A1275D" w:rsidR="002E0AEA" w:rsidP="006310A2" w:rsidRDefault="00973242" w14:paraId="79F09A75" w14:textId="448FC7EE">
            <w:pPr>
              <w:jc w:val="center"/>
              <w:rPr>
                <w:sz w:val="20"/>
                <w:szCs w:val="20"/>
              </w:rPr>
            </w:pPr>
            <w:r w:rsidRPr="00A1275D">
              <w:rPr>
                <w:sz w:val="20"/>
                <w:szCs w:val="20"/>
              </w:rPr>
              <w:t>RQ4</w:t>
            </w:r>
            <w:r w:rsidRPr="00A1275D" w:rsidR="002144EF">
              <w:rPr>
                <w:sz w:val="20"/>
                <w:szCs w:val="20"/>
              </w:rPr>
              <w:t>, RQ5</w:t>
            </w:r>
          </w:p>
        </w:tc>
        <w:tc>
          <w:tcPr>
            <w:tcW w:w="1170" w:type="dxa"/>
          </w:tcPr>
          <w:p w:rsidRPr="00A1275D" w:rsidR="002E0AEA" w:rsidP="006310A2" w:rsidRDefault="002E0AEA" w14:paraId="1E627BAF" w14:textId="6AC98598">
            <w:pPr>
              <w:jc w:val="center"/>
              <w:rPr>
                <w:sz w:val="20"/>
                <w:szCs w:val="20"/>
              </w:rPr>
            </w:pPr>
          </w:p>
        </w:tc>
        <w:tc>
          <w:tcPr>
            <w:tcW w:w="1170" w:type="dxa"/>
          </w:tcPr>
          <w:p w:rsidRPr="00A1275D" w:rsidR="00AD1492" w:rsidP="00AD1492" w:rsidRDefault="00AD1492" w14:paraId="5FD65BDA" w14:textId="77777777">
            <w:pPr>
              <w:jc w:val="center"/>
              <w:rPr>
                <w:sz w:val="20"/>
                <w:szCs w:val="20"/>
              </w:rPr>
            </w:pPr>
            <w:r w:rsidRPr="00A1275D">
              <w:rPr>
                <w:sz w:val="20"/>
                <w:szCs w:val="20"/>
              </w:rPr>
              <w:t>RQ3,</w:t>
            </w:r>
          </w:p>
          <w:p w:rsidRPr="00A1275D" w:rsidR="002E0AEA" w:rsidP="00AD1492" w:rsidRDefault="00AD1492" w14:paraId="432FA1BF" w14:textId="3D8E9156">
            <w:pPr>
              <w:jc w:val="center"/>
              <w:rPr>
                <w:sz w:val="20"/>
                <w:szCs w:val="20"/>
              </w:rPr>
            </w:pPr>
            <w:r w:rsidRPr="00A1275D">
              <w:rPr>
                <w:sz w:val="20"/>
                <w:szCs w:val="20"/>
              </w:rPr>
              <w:t>RQ4, RQ5</w:t>
            </w:r>
          </w:p>
        </w:tc>
      </w:tr>
      <w:tr w:rsidRPr="001B7D40" w:rsidR="002E0AEA" w:rsidTr="006310A2" w14:paraId="69C0193C" w14:textId="77777777">
        <w:tc>
          <w:tcPr>
            <w:tcW w:w="2016" w:type="dxa"/>
            <w:shd w:val="clear" w:color="auto" w:fill="auto"/>
          </w:tcPr>
          <w:p w:rsidRPr="00A1275D" w:rsidR="002E0AEA" w:rsidP="00DB09AA" w:rsidRDefault="002E0AEA" w14:paraId="28061BC6" w14:textId="0C8C3562">
            <w:pPr>
              <w:rPr>
                <w:sz w:val="20"/>
                <w:szCs w:val="20"/>
              </w:rPr>
            </w:pPr>
            <w:r w:rsidRPr="00A1275D">
              <w:rPr>
                <w:i/>
                <w:sz w:val="20"/>
                <w:szCs w:val="20"/>
              </w:rPr>
              <w:t>Housing</w:t>
            </w:r>
            <w:r w:rsidRPr="00A1275D">
              <w:rPr>
                <w:sz w:val="20"/>
                <w:szCs w:val="20"/>
              </w:rPr>
              <w:t>: Homeless or unstable housing status</w:t>
            </w:r>
          </w:p>
        </w:tc>
        <w:tc>
          <w:tcPr>
            <w:tcW w:w="1620" w:type="dxa"/>
            <w:shd w:val="clear" w:color="auto" w:fill="auto"/>
          </w:tcPr>
          <w:p w:rsidRPr="00A1275D" w:rsidR="002E0AEA" w:rsidP="00DB09AA" w:rsidRDefault="002E0AEA" w14:paraId="0D643F45" w14:textId="79E8A340">
            <w:pPr>
              <w:rPr>
                <w:sz w:val="20"/>
                <w:szCs w:val="20"/>
              </w:rPr>
            </w:pPr>
            <w:r w:rsidRPr="00A1275D">
              <w:rPr>
                <w:sz w:val="20"/>
                <w:szCs w:val="20"/>
              </w:rPr>
              <w:t>YIF</w:t>
            </w:r>
          </w:p>
        </w:tc>
        <w:tc>
          <w:tcPr>
            <w:tcW w:w="2016" w:type="dxa"/>
          </w:tcPr>
          <w:p w:rsidRPr="00A1275D" w:rsidR="002E0AEA" w:rsidP="006310A2" w:rsidRDefault="002E0AEA" w14:paraId="59DBE05B" w14:textId="50171845">
            <w:pPr>
              <w:rPr>
                <w:sz w:val="20"/>
                <w:szCs w:val="20"/>
              </w:rPr>
            </w:pPr>
            <w:r w:rsidRPr="00A1275D">
              <w:rPr>
                <w:sz w:val="20"/>
                <w:szCs w:val="20"/>
              </w:rPr>
              <w:t xml:space="preserve">Program entry, </w:t>
            </w:r>
            <w:r w:rsidRPr="00A1275D" w:rsidR="00B85E05">
              <w:rPr>
                <w:sz w:val="20"/>
                <w:szCs w:val="20"/>
              </w:rPr>
              <w:t xml:space="preserve">program </w:t>
            </w:r>
            <w:r w:rsidRPr="00A1275D">
              <w:rPr>
                <w:sz w:val="20"/>
                <w:szCs w:val="20"/>
              </w:rPr>
              <w:t xml:space="preserve">exit, and up to 5 </w:t>
            </w:r>
            <w:r w:rsidRPr="00A1275D" w:rsidR="006C3379">
              <w:rPr>
                <w:sz w:val="20"/>
                <w:szCs w:val="20"/>
              </w:rPr>
              <w:t>encounters</w:t>
            </w:r>
            <w:r w:rsidRPr="00A1275D">
              <w:rPr>
                <w:sz w:val="20"/>
                <w:szCs w:val="20"/>
              </w:rPr>
              <w:t xml:space="preserve"> post-exit</w:t>
            </w:r>
            <w:r w:rsidRPr="00A1275D" w:rsidR="006C3379">
              <w:rPr>
                <w:sz w:val="20"/>
                <w:szCs w:val="20"/>
              </w:rPr>
              <w:t xml:space="preserve"> </w:t>
            </w:r>
            <w:r w:rsidRPr="00A1275D" w:rsidR="007A6722">
              <w:rPr>
                <w:sz w:val="20"/>
                <w:szCs w:val="20"/>
              </w:rPr>
              <w:t xml:space="preserve">(for a total of up to 7 encounters) </w:t>
            </w:r>
            <w:r w:rsidRPr="00A1275D" w:rsidR="005751BA">
              <w:rPr>
                <w:sz w:val="20"/>
                <w:szCs w:val="20"/>
              </w:rPr>
              <w:t xml:space="preserve">collected retrospectively </w:t>
            </w:r>
            <w:r w:rsidRPr="00A1275D" w:rsidR="007A6722">
              <w:rPr>
                <w:sz w:val="20"/>
                <w:szCs w:val="20"/>
              </w:rPr>
              <w:t>or</w:t>
            </w:r>
            <w:r w:rsidRPr="00A1275D" w:rsidR="005751BA">
              <w:rPr>
                <w:sz w:val="20"/>
                <w:szCs w:val="20"/>
              </w:rPr>
              <w:t xml:space="preserve"> prospectively </w:t>
            </w:r>
            <w:r w:rsidRPr="00A1275D" w:rsidR="00B85E05">
              <w:rPr>
                <w:sz w:val="20"/>
                <w:szCs w:val="20"/>
              </w:rPr>
              <w:t xml:space="preserve">from TLPs over </w:t>
            </w:r>
            <w:r w:rsidRPr="00A1275D" w:rsidR="007A6722">
              <w:rPr>
                <w:sz w:val="20"/>
                <w:szCs w:val="20"/>
              </w:rPr>
              <w:t>the study</w:t>
            </w:r>
            <w:r w:rsidRPr="00A1275D" w:rsidR="00B85E05">
              <w:rPr>
                <w:sz w:val="20"/>
                <w:szCs w:val="20"/>
              </w:rPr>
              <w:t xml:space="preserve"> period</w:t>
            </w:r>
          </w:p>
        </w:tc>
        <w:tc>
          <w:tcPr>
            <w:tcW w:w="1440" w:type="dxa"/>
          </w:tcPr>
          <w:p w:rsidRPr="00A1275D" w:rsidR="00973242" w:rsidP="00973242" w:rsidRDefault="002E0AEA" w14:paraId="4D9045E5" w14:textId="3D0881C3">
            <w:pPr>
              <w:jc w:val="center"/>
              <w:rPr>
                <w:sz w:val="20"/>
                <w:szCs w:val="20"/>
              </w:rPr>
            </w:pPr>
            <w:r w:rsidRPr="00A1275D">
              <w:rPr>
                <w:sz w:val="20"/>
                <w:szCs w:val="20"/>
              </w:rPr>
              <w:t>RQ1</w:t>
            </w:r>
            <w:r w:rsidRPr="00A1275D" w:rsidR="00973242">
              <w:rPr>
                <w:sz w:val="20"/>
                <w:szCs w:val="20"/>
              </w:rPr>
              <w:t>,</w:t>
            </w:r>
          </w:p>
          <w:p w:rsidRPr="00A1275D" w:rsidR="002E0AEA" w:rsidP="006310A2" w:rsidRDefault="00973242" w14:paraId="633AD5ED" w14:textId="5AF5D7B1">
            <w:pPr>
              <w:jc w:val="center"/>
              <w:rPr>
                <w:sz w:val="20"/>
                <w:szCs w:val="20"/>
              </w:rPr>
            </w:pPr>
            <w:r w:rsidRPr="00A1275D">
              <w:rPr>
                <w:sz w:val="20"/>
                <w:szCs w:val="20"/>
              </w:rPr>
              <w:t>RQ4</w:t>
            </w:r>
            <w:r w:rsidRPr="00A1275D" w:rsidR="002144EF">
              <w:rPr>
                <w:sz w:val="20"/>
                <w:szCs w:val="20"/>
              </w:rPr>
              <w:t>, RQ5</w:t>
            </w:r>
          </w:p>
        </w:tc>
        <w:tc>
          <w:tcPr>
            <w:tcW w:w="1170" w:type="dxa"/>
          </w:tcPr>
          <w:p w:rsidRPr="00A1275D" w:rsidR="002E0AEA" w:rsidP="006310A2" w:rsidRDefault="002E0AEA" w14:paraId="632DE141" w14:textId="0A66DF33">
            <w:pPr>
              <w:jc w:val="center"/>
              <w:rPr>
                <w:sz w:val="20"/>
                <w:szCs w:val="20"/>
              </w:rPr>
            </w:pPr>
          </w:p>
        </w:tc>
        <w:tc>
          <w:tcPr>
            <w:tcW w:w="1170" w:type="dxa"/>
          </w:tcPr>
          <w:p w:rsidRPr="00A1275D" w:rsidR="002E0AEA" w:rsidP="00001A34" w:rsidRDefault="002E0AEA" w14:paraId="722753A0" w14:textId="77777777">
            <w:pPr>
              <w:jc w:val="center"/>
              <w:rPr>
                <w:sz w:val="20"/>
                <w:szCs w:val="20"/>
              </w:rPr>
            </w:pPr>
          </w:p>
        </w:tc>
      </w:tr>
    </w:tbl>
    <w:p w:rsidR="002E0AEA" w:rsidP="002E0AEA" w:rsidRDefault="002E0AEA" w14:paraId="0994F33C" w14:textId="77777777">
      <w:pPr>
        <w:rPr>
          <w:sz w:val="20"/>
          <w:szCs w:val="20"/>
        </w:rPr>
      </w:pPr>
      <w:r w:rsidRPr="001A79C7">
        <w:rPr>
          <w:sz w:val="20"/>
          <w:szCs w:val="20"/>
        </w:rPr>
        <w:t>Notes: NDNH = National Directory of New Hires, NSC = National Student Clearinghouse, RQ = Research question, YIF = Youth Information Form.</w:t>
      </w:r>
    </w:p>
    <w:p w:rsidRPr="001A79C7" w:rsidR="00C91394" w:rsidP="00C91394" w:rsidRDefault="006C3379" w14:paraId="5BE6AA13" w14:textId="65FD995C">
      <w:pPr>
        <w:rPr>
          <w:sz w:val="20"/>
          <w:szCs w:val="20"/>
        </w:rPr>
      </w:pPr>
      <w:r w:rsidRPr="00497905">
        <w:rPr>
          <w:b/>
          <w:sz w:val="28"/>
          <w:szCs w:val="28"/>
          <w:vertAlign w:val="superscript"/>
        </w:rPr>
        <w:t>†</w:t>
      </w:r>
      <w:r w:rsidRPr="00DA5D5B">
        <w:rPr>
          <w:b/>
        </w:rPr>
        <w:t xml:space="preserve"> </w:t>
      </w:r>
      <w:r>
        <w:rPr>
          <w:sz w:val="20"/>
          <w:szCs w:val="20"/>
        </w:rPr>
        <w:t>F</w:t>
      </w:r>
      <w:r w:rsidRPr="00C91394" w:rsidR="00C91394">
        <w:rPr>
          <w:sz w:val="20"/>
          <w:szCs w:val="20"/>
        </w:rPr>
        <w:t xml:space="preserve">ollow-up administrative data collection </w:t>
      </w:r>
      <w:r>
        <w:rPr>
          <w:sz w:val="20"/>
          <w:szCs w:val="20"/>
        </w:rPr>
        <w:t>will</w:t>
      </w:r>
      <w:r w:rsidRPr="00C91394" w:rsidR="00C91394">
        <w:rPr>
          <w:sz w:val="20"/>
          <w:szCs w:val="20"/>
        </w:rPr>
        <w:t xml:space="preserve"> occur over </w:t>
      </w:r>
      <w:r w:rsidR="00A90912">
        <w:rPr>
          <w:sz w:val="20"/>
          <w:szCs w:val="20"/>
        </w:rPr>
        <w:t>a period of up to</w:t>
      </w:r>
      <w:r w:rsidRPr="00C91394" w:rsidR="00C91394">
        <w:rPr>
          <w:sz w:val="20"/>
          <w:szCs w:val="20"/>
        </w:rPr>
        <w:t xml:space="preserve"> 8</w:t>
      </w:r>
      <w:r w:rsidR="00A90912">
        <w:rPr>
          <w:sz w:val="20"/>
          <w:szCs w:val="20"/>
        </w:rPr>
        <w:t xml:space="preserve"> </w:t>
      </w:r>
      <w:r w:rsidRPr="00C91394" w:rsidR="00C91394">
        <w:rPr>
          <w:sz w:val="20"/>
          <w:szCs w:val="20"/>
        </w:rPr>
        <w:t>month</w:t>
      </w:r>
      <w:r w:rsidR="00A90912">
        <w:rPr>
          <w:sz w:val="20"/>
          <w:szCs w:val="20"/>
        </w:rPr>
        <w:t>s</w:t>
      </w:r>
      <w:r w:rsidRPr="00C91394" w:rsidR="00C91394">
        <w:rPr>
          <w:sz w:val="20"/>
          <w:szCs w:val="20"/>
        </w:rPr>
        <w:t xml:space="preserve"> for the YIF and 10</w:t>
      </w:r>
      <w:r w:rsidR="00A90912">
        <w:rPr>
          <w:sz w:val="20"/>
          <w:szCs w:val="20"/>
        </w:rPr>
        <w:t xml:space="preserve"> </w:t>
      </w:r>
      <w:r w:rsidRPr="00C91394" w:rsidR="00C91394">
        <w:rPr>
          <w:sz w:val="20"/>
          <w:szCs w:val="20"/>
        </w:rPr>
        <w:t>month</w:t>
      </w:r>
      <w:r w:rsidR="00A90912">
        <w:rPr>
          <w:sz w:val="20"/>
          <w:szCs w:val="20"/>
        </w:rPr>
        <w:t>s</w:t>
      </w:r>
      <w:r w:rsidRPr="00C91394" w:rsidR="00C91394">
        <w:rPr>
          <w:sz w:val="20"/>
          <w:szCs w:val="20"/>
        </w:rPr>
        <w:t xml:space="preserve"> for NDNH and NSC data</w:t>
      </w:r>
      <w:r w:rsidR="00C91394">
        <w:rPr>
          <w:sz w:val="20"/>
          <w:szCs w:val="20"/>
        </w:rPr>
        <w:t>. The “number of times assessed” differ</w:t>
      </w:r>
      <w:r w:rsidR="007A6722">
        <w:rPr>
          <w:sz w:val="20"/>
          <w:szCs w:val="20"/>
        </w:rPr>
        <w:t>s</w:t>
      </w:r>
      <w:r w:rsidR="00C91394">
        <w:rPr>
          <w:sz w:val="20"/>
          <w:szCs w:val="20"/>
        </w:rPr>
        <w:t xml:space="preserve"> from the length of time the contractor will be collecting this data due to the retrospective nature of </w:t>
      </w:r>
      <w:r w:rsidR="007A6722">
        <w:rPr>
          <w:sz w:val="20"/>
          <w:szCs w:val="20"/>
        </w:rPr>
        <w:t>this administrative</w:t>
      </w:r>
      <w:r w:rsidR="00C91394">
        <w:rPr>
          <w:sz w:val="20"/>
          <w:szCs w:val="20"/>
        </w:rPr>
        <w:t xml:space="preserve"> data</w:t>
      </w:r>
      <w:r w:rsidR="008861A9">
        <w:rPr>
          <w:sz w:val="20"/>
          <w:szCs w:val="20"/>
        </w:rPr>
        <w:t xml:space="preserve"> collection</w:t>
      </w:r>
      <w:r w:rsidR="00C91394">
        <w:rPr>
          <w:sz w:val="20"/>
          <w:szCs w:val="20"/>
        </w:rPr>
        <w:t xml:space="preserve">. </w:t>
      </w:r>
      <w:r w:rsidRPr="008D1A1E" w:rsidR="008D1A1E">
        <w:rPr>
          <w:sz w:val="20"/>
          <w:szCs w:val="20"/>
        </w:rPr>
        <w:t xml:space="preserve">NDNH data </w:t>
      </w:r>
      <w:proofErr w:type="gramStart"/>
      <w:r w:rsidRPr="008D1A1E" w:rsidR="008D1A1E">
        <w:rPr>
          <w:sz w:val="20"/>
          <w:szCs w:val="20"/>
        </w:rPr>
        <w:t>will be requested</w:t>
      </w:r>
      <w:proofErr w:type="gramEnd"/>
      <w:r w:rsidRPr="008D1A1E" w:rsidR="008D1A1E">
        <w:rPr>
          <w:sz w:val="20"/>
          <w:szCs w:val="20"/>
        </w:rPr>
        <w:t xml:space="preserve"> once per quarter up to 4 times. Each data request provides employment and wage data for the prior eight quarters. NSC data </w:t>
      </w:r>
      <w:proofErr w:type="gramStart"/>
      <w:r w:rsidRPr="008D1A1E" w:rsidR="008D1A1E">
        <w:rPr>
          <w:sz w:val="20"/>
          <w:szCs w:val="20"/>
        </w:rPr>
        <w:t>will be requested</w:t>
      </w:r>
      <w:proofErr w:type="gramEnd"/>
      <w:r w:rsidRPr="008D1A1E" w:rsidR="008D1A1E">
        <w:rPr>
          <w:sz w:val="20"/>
          <w:szCs w:val="20"/>
        </w:rPr>
        <w:t xml:space="preserve"> dating back to August 2017.</w:t>
      </w:r>
    </w:p>
    <w:p w:rsidR="00F45398" w:rsidP="007A6278" w:rsidRDefault="00F45398" w14:paraId="3F007AF0" w14:textId="77777777"/>
    <w:p w:rsidR="00B17C84" w:rsidP="00B17C84" w:rsidRDefault="00B17C84" w14:paraId="6AD20F02" w14:textId="4042FC25">
      <w:r w:rsidRPr="003A134E">
        <w:rPr>
          <w:b/>
        </w:rPr>
        <w:t>In the first set of analyses addressing research questions one, four and five,</w:t>
      </w:r>
      <w:r>
        <w:rPr>
          <w:b/>
        </w:rPr>
        <w:t xml:space="preserve"> </w:t>
      </w:r>
      <w:r w:rsidRPr="00001A34">
        <w:rPr>
          <w:b/>
        </w:rPr>
        <w:t>we will use descriptive statistics</w:t>
      </w:r>
      <w:r>
        <w:t xml:space="preserve"> to report o</w:t>
      </w:r>
      <w:r w:rsidRPr="006E4A3D">
        <w:t xml:space="preserve">verall rates of </w:t>
      </w:r>
      <w:r>
        <w:t xml:space="preserve">homelessness or unstable housing arrangements, education, </w:t>
      </w:r>
      <w:r w:rsidRPr="006E4A3D">
        <w:t>employment,</w:t>
      </w:r>
      <w:r>
        <w:t xml:space="preserve"> and </w:t>
      </w:r>
      <w:r w:rsidR="002A1323">
        <w:t>earnings</w:t>
      </w:r>
      <w:r w:rsidRPr="006E4A3D">
        <w:t xml:space="preserve"> at </w:t>
      </w:r>
      <w:r>
        <w:t xml:space="preserve">program entry, program </w:t>
      </w:r>
      <w:r w:rsidRPr="006E4A3D">
        <w:t>exit</w:t>
      </w:r>
      <w:r>
        <w:t>,</w:t>
      </w:r>
      <w:r w:rsidRPr="006E4A3D">
        <w:t xml:space="preserve"> and 3 months after exit.</w:t>
      </w:r>
      <w:r>
        <w:t xml:space="preserve"> To </w:t>
      </w:r>
      <w:r w:rsidRPr="003A134E">
        <w:t xml:space="preserve">address our </w:t>
      </w:r>
      <w:r w:rsidRPr="003A134E">
        <w:rPr>
          <w:b/>
        </w:rPr>
        <w:t>fourth</w:t>
      </w:r>
      <w:r>
        <w:t xml:space="preserve"> research question (about subgroup differences in outcomes), these results will be </w:t>
      </w:r>
      <w:r w:rsidRPr="00001A34">
        <w:rPr>
          <w:i/>
        </w:rPr>
        <w:t>cross-tabulated</w:t>
      </w:r>
      <w:r>
        <w:t xml:space="preserve"> by youth age (under 18 versus 18 and over), gender, race/ethnicity, and housing status prior to program entry for descriptive purposes.</w:t>
      </w:r>
    </w:p>
    <w:p w:rsidR="002E0AEA" w:rsidP="002E0AEA" w:rsidRDefault="002E0AEA" w14:paraId="23DDE4B4" w14:textId="77777777">
      <w:pPr>
        <w:pStyle w:val="BodyText"/>
      </w:pPr>
    </w:p>
    <w:p w:rsidR="003F6901" w:rsidP="003F6901" w:rsidRDefault="003F6901" w14:paraId="5EECF085" w14:textId="19CC5190">
      <w:pPr>
        <w:pStyle w:val="BodyText"/>
      </w:pPr>
      <w:r w:rsidRPr="00001A34">
        <w:rPr>
          <w:b/>
        </w:rPr>
        <w:t xml:space="preserve">In the </w:t>
      </w:r>
      <w:r w:rsidR="00AA2285">
        <w:rPr>
          <w:b/>
        </w:rPr>
        <w:t>second</w:t>
      </w:r>
      <w:r w:rsidRPr="00001A34">
        <w:rPr>
          <w:b/>
        </w:rPr>
        <w:t xml:space="preserve"> set of analyses, </w:t>
      </w:r>
      <w:r w:rsidRPr="008A11C1" w:rsidR="002A1323">
        <w:rPr>
          <w:b/>
        </w:rPr>
        <w:t xml:space="preserve">addressing research questions </w:t>
      </w:r>
      <w:r w:rsidR="00AD1492">
        <w:rPr>
          <w:b/>
        </w:rPr>
        <w:t>two</w:t>
      </w:r>
      <w:r w:rsidRPr="008A11C1" w:rsidR="002A1323">
        <w:rPr>
          <w:b/>
        </w:rPr>
        <w:t>, four and five</w:t>
      </w:r>
      <w:r w:rsidR="002A1323">
        <w:rPr>
          <w:b/>
        </w:rPr>
        <w:t xml:space="preserve">, </w:t>
      </w:r>
      <w:r w:rsidRPr="00001A34">
        <w:rPr>
          <w:b/>
        </w:rPr>
        <w:t xml:space="preserve">we will </w:t>
      </w:r>
      <w:r>
        <w:rPr>
          <w:b/>
        </w:rPr>
        <w:t>describe</w:t>
      </w:r>
      <w:r w:rsidRPr="00001A34">
        <w:rPr>
          <w:b/>
        </w:rPr>
        <w:t xml:space="preserve"> trajectories</w:t>
      </w:r>
      <w:r>
        <w:t xml:space="preserve"> in</w:t>
      </w:r>
      <w:r w:rsidRPr="006E4A3D">
        <w:t xml:space="preserve"> average</w:t>
      </w:r>
      <w:r>
        <w:t xml:space="preserve"> formal </w:t>
      </w:r>
      <w:r w:rsidRPr="006E4A3D">
        <w:t>employment</w:t>
      </w:r>
      <w:r>
        <w:t xml:space="preserve"> rates,</w:t>
      </w:r>
      <w:r w:rsidRPr="006E4A3D">
        <w:t xml:space="preserve"> earnings</w:t>
      </w:r>
      <w:r>
        <w:t xml:space="preserve"> from formal employment, and</w:t>
      </w:r>
      <w:r w:rsidRPr="008D6613">
        <w:t xml:space="preserve"> </w:t>
      </w:r>
      <w:r>
        <w:t>post-secondary enrollment</w:t>
      </w:r>
      <w:r w:rsidRPr="006E4A3D">
        <w:t xml:space="preserve"> </w:t>
      </w:r>
      <w:r>
        <w:t>rates for the study sample of TLP enrollees over the full study observation period using administrative data</w:t>
      </w:r>
      <w:r w:rsidRPr="006E4A3D">
        <w:t xml:space="preserve">. </w:t>
      </w:r>
      <w:r>
        <w:t>We will describe trajectories from repeated measures of these outcomes using l</w:t>
      </w:r>
      <w:r w:rsidRPr="006E4A3D">
        <w:t xml:space="preserve">atent </w:t>
      </w:r>
      <w:r>
        <w:t xml:space="preserve">growth </w:t>
      </w:r>
      <w:r w:rsidRPr="006E4A3D">
        <w:t xml:space="preserve">curve </w:t>
      </w:r>
      <w:r>
        <w:t xml:space="preserve">(LGC) analysis. We will explore what shape of trajectory (functional form of change) best fits the data and conduct statistical tests of whether the shape or rate of change differs in the periods prior to, during, and after participation in a TLP. </w:t>
      </w:r>
    </w:p>
    <w:p w:rsidR="00566A1B" w:rsidP="004E5155" w:rsidRDefault="00566A1B" w14:paraId="1D2C7809" w14:textId="77777777">
      <w:pPr>
        <w:pStyle w:val="BodyText"/>
      </w:pPr>
    </w:p>
    <w:p w:rsidR="00566A1B" w:rsidP="004E5155" w:rsidRDefault="00566A1B" w14:paraId="4E05AC16" w14:textId="569A33A3">
      <w:pPr>
        <w:pStyle w:val="BodyText"/>
      </w:pPr>
      <w:r>
        <w:t>The formal matrix expression of a latent curve model without predictors (unconditional model) is</w:t>
      </w:r>
    </w:p>
    <w:p w:rsidR="00566A1B" w:rsidP="00566A1B" w:rsidRDefault="00566A1B" w14:paraId="45A25F34" w14:textId="77777777">
      <w:pPr>
        <w:pStyle w:val="BodyText"/>
      </w:pPr>
    </w:p>
    <w:p w:rsidRPr="004B694A" w:rsidR="00566A1B" w:rsidP="00566A1B" w:rsidRDefault="00566A1B" w14:paraId="67AD48AB" w14:textId="77777777">
      <w:pPr>
        <w:pStyle w:val="BodyText"/>
        <w:rPr>
          <w:szCs w:val="24"/>
        </w:rPr>
      </w:pPr>
      <w:r w:rsidRPr="004B694A">
        <w:rPr>
          <w:szCs w:val="24"/>
        </w:rPr>
        <w:tab/>
      </w:r>
      <w:r w:rsidRPr="004B694A">
        <w:rPr>
          <w:b/>
          <w:szCs w:val="24"/>
        </w:rPr>
        <w:t>y</w:t>
      </w:r>
      <w:r w:rsidRPr="004B694A">
        <w:rPr>
          <w:szCs w:val="24"/>
        </w:rPr>
        <w:t xml:space="preserve"> = </w:t>
      </w:r>
      <w:proofErr w:type="spellStart"/>
      <w:r w:rsidRPr="004B694A">
        <w:rPr>
          <w:b/>
          <w:szCs w:val="24"/>
        </w:rPr>
        <w:t>Λ</w:t>
      </w:r>
      <w:r w:rsidRPr="004B694A">
        <w:rPr>
          <w:b/>
          <w:i/>
          <w:szCs w:val="24"/>
        </w:rPr>
        <w:t>η</w:t>
      </w:r>
      <w:proofErr w:type="spellEnd"/>
      <w:r w:rsidRPr="004B694A">
        <w:rPr>
          <w:b/>
          <w:i/>
          <w:szCs w:val="24"/>
        </w:rPr>
        <w:t xml:space="preserve"> </w:t>
      </w:r>
      <w:r w:rsidRPr="004B694A">
        <w:rPr>
          <w:b/>
          <w:szCs w:val="24"/>
        </w:rPr>
        <w:t>+ ε</w:t>
      </w:r>
    </w:p>
    <w:p w:rsidRPr="004B694A" w:rsidR="00566A1B" w:rsidP="00566A1B" w:rsidRDefault="00566A1B" w14:paraId="012B19CC" w14:textId="77777777">
      <w:pPr>
        <w:pStyle w:val="BodyText"/>
        <w:rPr>
          <w:szCs w:val="24"/>
        </w:rPr>
      </w:pPr>
    </w:p>
    <w:p w:rsidRPr="004B694A" w:rsidR="00566A1B" w:rsidP="00566A1B" w:rsidRDefault="00566A1B" w14:paraId="7DC9BA9C" w14:textId="2365FFEF">
      <w:pPr>
        <w:pStyle w:val="BodyText"/>
        <w:rPr>
          <w:szCs w:val="24"/>
        </w:rPr>
      </w:pPr>
      <w:proofErr w:type="gramStart"/>
      <w:r w:rsidRPr="004B694A">
        <w:rPr>
          <w:szCs w:val="24"/>
        </w:rPr>
        <w:t>where</w:t>
      </w:r>
      <w:proofErr w:type="gramEnd"/>
      <w:r w:rsidR="002144EF">
        <w:rPr>
          <w:szCs w:val="24"/>
        </w:rPr>
        <w:t>:</w:t>
      </w:r>
      <w:r w:rsidRPr="004B694A">
        <w:rPr>
          <w:szCs w:val="24"/>
        </w:rPr>
        <w:t xml:space="preserve"> </w:t>
      </w:r>
    </w:p>
    <w:p w:rsidRPr="004B694A" w:rsidR="00566A1B" w:rsidP="00566A1B" w:rsidRDefault="00566A1B" w14:paraId="3F08E17E" w14:textId="77777777">
      <w:pPr>
        <w:pStyle w:val="BulletsLast"/>
        <w:numPr>
          <w:ilvl w:val="0"/>
          <w:numId w:val="17"/>
        </w:numPr>
        <w:rPr>
          <w:sz w:val="24"/>
          <w:szCs w:val="24"/>
        </w:rPr>
      </w:pPr>
      <w:r w:rsidRPr="004B694A">
        <w:rPr>
          <w:b/>
          <w:sz w:val="24"/>
          <w:szCs w:val="24"/>
        </w:rPr>
        <w:t>y</w:t>
      </w:r>
      <w:r w:rsidRPr="004B694A">
        <w:rPr>
          <w:sz w:val="24"/>
          <w:szCs w:val="24"/>
        </w:rPr>
        <w:t xml:space="preserve"> is a </w:t>
      </w:r>
      <w:r w:rsidRPr="004B694A">
        <w:rPr>
          <w:i/>
          <w:sz w:val="24"/>
          <w:szCs w:val="24"/>
        </w:rPr>
        <w:t>T</w:t>
      </w:r>
      <w:r w:rsidRPr="004B694A">
        <w:rPr>
          <w:sz w:val="24"/>
          <w:szCs w:val="24"/>
        </w:rPr>
        <w:t xml:space="preserve"> x 1 vector of repeated measures for each individual </w:t>
      </w:r>
      <w:proofErr w:type="spellStart"/>
      <w:r w:rsidRPr="004B694A">
        <w:rPr>
          <w:i/>
          <w:sz w:val="24"/>
          <w:szCs w:val="24"/>
        </w:rPr>
        <w:t>i</w:t>
      </w:r>
      <w:proofErr w:type="spellEnd"/>
      <w:r w:rsidRPr="004B694A">
        <w:rPr>
          <w:sz w:val="24"/>
          <w:szCs w:val="24"/>
        </w:rPr>
        <w:t xml:space="preserve"> and </w:t>
      </w:r>
      <w:r w:rsidRPr="004B694A">
        <w:rPr>
          <w:i/>
          <w:sz w:val="24"/>
          <w:szCs w:val="24"/>
        </w:rPr>
        <w:t>T</w:t>
      </w:r>
      <w:r w:rsidRPr="004B694A">
        <w:rPr>
          <w:sz w:val="24"/>
          <w:szCs w:val="24"/>
        </w:rPr>
        <w:t xml:space="preserve"> is the number of time points;</w:t>
      </w:r>
    </w:p>
    <w:p w:rsidRPr="004B694A" w:rsidR="00566A1B" w:rsidP="00566A1B" w:rsidRDefault="00566A1B" w14:paraId="52BF6B20" w14:textId="77777777">
      <w:pPr>
        <w:pStyle w:val="BulletsLast"/>
        <w:numPr>
          <w:ilvl w:val="0"/>
          <w:numId w:val="17"/>
        </w:numPr>
        <w:rPr>
          <w:sz w:val="24"/>
          <w:szCs w:val="24"/>
        </w:rPr>
      </w:pPr>
      <w:r w:rsidRPr="004B694A">
        <w:rPr>
          <w:b/>
          <w:sz w:val="24"/>
          <w:szCs w:val="24"/>
        </w:rPr>
        <w:t>Λ</w:t>
      </w:r>
      <w:r w:rsidRPr="004B694A">
        <w:rPr>
          <w:sz w:val="24"/>
          <w:szCs w:val="24"/>
        </w:rPr>
        <w:t xml:space="preserve"> is a </w:t>
      </w:r>
      <w:r w:rsidRPr="004B694A">
        <w:rPr>
          <w:i/>
          <w:sz w:val="24"/>
          <w:szCs w:val="24"/>
        </w:rPr>
        <w:t>T</w:t>
      </w:r>
      <w:r w:rsidRPr="004B694A">
        <w:rPr>
          <w:sz w:val="24"/>
          <w:szCs w:val="24"/>
        </w:rPr>
        <w:t xml:space="preserve"> x </w:t>
      </w:r>
      <w:r w:rsidRPr="004B694A">
        <w:rPr>
          <w:i/>
          <w:sz w:val="24"/>
          <w:szCs w:val="24"/>
        </w:rPr>
        <w:t>m</w:t>
      </w:r>
      <w:r w:rsidRPr="004B694A">
        <w:rPr>
          <w:sz w:val="24"/>
          <w:szCs w:val="24"/>
        </w:rPr>
        <w:t xml:space="preserve"> matrix of factor loadings (that specify the functional form of time);</w:t>
      </w:r>
    </w:p>
    <w:p w:rsidRPr="004B694A" w:rsidR="00566A1B" w:rsidP="00566A1B" w:rsidRDefault="00566A1B" w14:paraId="147D87FD" w14:textId="70BC1AFA">
      <w:pPr>
        <w:pStyle w:val="BulletsLast"/>
        <w:numPr>
          <w:ilvl w:val="0"/>
          <w:numId w:val="17"/>
        </w:numPr>
        <w:rPr>
          <w:sz w:val="24"/>
          <w:szCs w:val="24"/>
        </w:rPr>
      </w:pPr>
      <w:r w:rsidRPr="004B694A">
        <w:rPr>
          <w:b/>
          <w:i/>
          <w:sz w:val="24"/>
          <w:szCs w:val="24"/>
        </w:rPr>
        <w:t>η</w:t>
      </w:r>
      <w:r w:rsidRPr="004B694A">
        <w:rPr>
          <w:sz w:val="24"/>
          <w:szCs w:val="24"/>
        </w:rPr>
        <w:t xml:space="preserve"> is a </w:t>
      </w:r>
      <w:r w:rsidRPr="004B694A">
        <w:rPr>
          <w:i/>
          <w:sz w:val="24"/>
          <w:szCs w:val="24"/>
        </w:rPr>
        <w:t xml:space="preserve">m </w:t>
      </w:r>
      <w:r w:rsidRPr="004B694A">
        <w:rPr>
          <w:sz w:val="24"/>
          <w:szCs w:val="24"/>
        </w:rPr>
        <w:t xml:space="preserve">x 1 vector of </w:t>
      </w:r>
      <w:r w:rsidRPr="004B694A">
        <w:rPr>
          <w:i/>
          <w:sz w:val="24"/>
          <w:szCs w:val="24"/>
        </w:rPr>
        <w:t>m</w:t>
      </w:r>
      <w:r w:rsidRPr="004B694A">
        <w:rPr>
          <w:sz w:val="24"/>
          <w:szCs w:val="24"/>
        </w:rPr>
        <w:t xml:space="preserve"> latent factors (representing the growth parameter estimates);</w:t>
      </w:r>
      <w:r w:rsidR="00C91394">
        <w:rPr>
          <w:sz w:val="24"/>
          <w:szCs w:val="24"/>
        </w:rPr>
        <w:t xml:space="preserve"> and</w:t>
      </w:r>
    </w:p>
    <w:p w:rsidRPr="004B694A" w:rsidR="00566A1B" w:rsidP="00001A34" w:rsidRDefault="00566A1B" w14:paraId="234D4DC5" w14:textId="59C9D3C1">
      <w:pPr>
        <w:pStyle w:val="BulletsLast"/>
        <w:numPr>
          <w:ilvl w:val="0"/>
          <w:numId w:val="17"/>
        </w:numPr>
        <w:rPr>
          <w:sz w:val="24"/>
          <w:szCs w:val="24"/>
        </w:rPr>
      </w:pPr>
      <w:proofErr w:type="gramStart"/>
      <w:r w:rsidRPr="004B694A">
        <w:rPr>
          <w:b/>
          <w:sz w:val="24"/>
          <w:szCs w:val="24"/>
        </w:rPr>
        <w:t>ε</w:t>
      </w:r>
      <w:proofErr w:type="gramEnd"/>
      <w:r w:rsidRPr="004B694A">
        <w:rPr>
          <w:b/>
          <w:i/>
          <w:sz w:val="24"/>
          <w:szCs w:val="24"/>
        </w:rPr>
        <w:t xml:space="preserve"> </w:t>
      </w:r>
      <w:r w:rsidRPr="004B694A">
        <w:rPr>
          <w:sz w:val="24"/>
          <w:szCs w:val="24"/>
        </w:rPr>
        <w:t xml:space="preserve">is a </w:t>
      </w:r>
      <w:r w:rsidRPr="004B694A">
        <w:rPr>
          <w:i/>
          <w:sz w:val="24"/>
          <w:szCs w:val="24"/>
        </w:rPr>
        <w:t>T</w:t>
      </w:r>
      <w:r w:rsidRPr="004B694A">
        <w:rPr>
          <w:sz w:val="24"/>
          <w:szCs w:val="24"/>
        </w:rPr>
        <w:t xml:space="preserve"> x 1 vector of residuals (difference between individual’s predicted and actual score).</w:t>
      </w:r>
    </w:p>
    <w:p w:rsidR="003F6901" w:rsidP="00001A34" w:rsidRDefault="00E00A5B" w14:paraId="314A6515" w14:textId="142BD7DE">
      <w:pPr>
        <w:pStyle w:val="BodyText"/>
      </w:pPr>
      <w:r>
        <w:t xml:space="preserve">To identify the best-fitting trajectory shape, we will use a base model specifying simple linear growth in each time period and then test alternative models specifying more complex trajectory shapes to see whether they fit the data better than the simpler base model. Our base model will be </w:t>
      </w:r>
      <w:r w:rsidRPr="00001A34">
        <w:t>a piecewise linear model</w:t>
      </w:r>
      <w:r>
        <w:t xml:space="preserve"> with separate linear growth parameters for observations before (pre), during, and after (post) program participation, assuming a constant rate of change in each of these three time periods</w:t>
      </w:r>
      <w:r w:rsidR="00B95B05">
        <w:t>,</w:t>
      </w:r>
      <w:r>
        <w:t xml:space="preserve"> but allowing this rate to differ in each period. We will then test</w:t>
      </w:r>
      <w:r w:rsidR="00725012">
        <w:t xml:space="preserve"> </w:t>
      </w:r>
      <w:r w:rsidR="003F6901">
        <w:t xml:space="preserve">whether assuming change is quadratic (where the rate of change varies, depicted by a curved line) in each period improves model fit. Maximum likelihood estimation </w:t>
      </w:r>
      <w:proofErr w:type="gramStart"/>
      <w:r w:rsidR="003F6901">
        <w:t>is used</w:t>
      </w:r>
      <w:proofErr w:type="gramEnd"/>
      <w:r w:rsidR="003F6901">
        <w:t xml:space="preserve"> to identify the parameter estimates that best fit the data.</w:t>
      </w:r>
    </w:p>
    <w:p w:rsidR="003F6901" w:rsidP="003F6901" w:rsidRDefault="003F6901" w14:paraId="0E14B258" w14:textId="77777777">
      <w:pPr>
        <w:pStyle w:val="BodyText"/>
      </w:pPr>
    </w:p>
    <w:p w:rsidR="003F6901" w:rsidP="003F6901" w:rsidRDefault="003F6901" w14:paraId="4B0A9A08" w14:textId="0879628E">
      <w:pPr>
        <w:pStyle w:val="BodyText"/>
      </w:pPr>
      <w:r>
        <w:t xml:space="preserve">After determining the best-fitting trajectory shape within each </w:t>
      </w:r>
      <w:proofErr w:type="gramStart"/>
      <w:r>
        <w:t>time period</w:t>
      </w:r>
      <w:proofErr w:type="gramEnd"/>
      <w:r>
        <w:t>, we will test whether assuming that the rate of change betwe</w:t>
      </w:r>
      <w:r w:rsidR="00C91394">
        <w:t xml:space="preserve">en each time period is the same </w:t>
      </w:r>
      <w:r>
        <w:t>results in worse model fit. For example, if there is little difference in the sample’s earnings trajectory during and after program participation, assuming that a single line fits best would not result in significantly worse model fit</w:t>
      </w:r>
      <w:r w:rsidR="003C395C">
        <w:t>. However,</w:t>
      </w:r>
      <w:r>
        <w:t xml:space="preserve"> if employment rates sharply decline after program exit, assuming the trajectory is the same in both </w:t>
      </w:r>
      <w:proofErr w:type="gramStart"/>
      <w:r>
        <w:t>time periods</w:t>
      </w:r>
      <w:proofErr w:type="gramEnd"/>
      <w:r>
        <w:t xml:space="preserve"> would result in model fit statistics indicating worse fit.</w:t>
      </w:r>
    </w:p>
    <w:p w:rsidR="003F6901" w:rsidP="003F6901" w:rsidRDefault="003F6901" w14:paraId="70C40A5B" w14:textId="77777777">
      <w:pPr>
        <w:pStyle w:val="BodyText"/>
      </w:pPr>
    </w:p>
    <w:p w:rsidR="003F6901" w:rsidP="003F6901" w:rsidRDefault="003F6901" w14:paraId="2BCE4304" w14:textId="345124DA">
      <w:pPr>
        <w:pStyle w:val="BodyText"/>
      </w:pPr>
      <w:r>
        <w:t xml:space="preserve">We will use an individually varying specification of time, where youth contribute all observations they have during each </w:t>
      </w:r>
      <w:proofErr w:type="gramStart"/>
      <w:r>
        <w:t>time period</w:t>
      </w:r>
      <w:proofErr w:type="gramEnd"/>
      <w:r>
        <w:t xml:space="preserve"> to estimating the trajectory for each time period. That is, a youth who remains in a TLP for </w:t>
      </w:r>
      <w:r w:rsidR="00A900A6">
        <w:t>two quarters and then has four</w:t>
      </w:r>
      <w:r>
        <w:t xml:space="preserve"> quarters of earnings data after program exit would contribute </w:t>
      </w:r>
      <w:r w:rsidR="00A900A6">
        <w:t>two</w:t>
      </w:r>
      <w:r>
        <w:t xml:space="preserve"> quarters of earnings data for estimating the trajectory of youth du</w:t>
      </w:r>
      <w:r w:rsidR="00A900A6">
        <w:t>ring program participation and four</w:t>
      </w:r>
      <w:r>
        <w:t xml:space="preserve"> quarters of earnings data for estimating the trajectory of youth after program exit. Under this specification of time, results would indicate the average change in the outcome per quarter prior to, during, and after program participation. Graphical depictions of these growth curves will be constructed based on the average program length of stay and average length of time youth were observed prior to and after program participation.</w:t>
      </w:r>
    </w:p>
    <w:p w:rsidR="00393823" w:rsidP="003F6901" w:rsidRDefault="00393823" w14:paraId="2035503B" w14:textId="4D8CE56D">
      <w:pPr>
        <w:pStyle w:val="BodyText"/>
      </w:pPr>
    </w:p>
    <w:p w:rsidR="003F6901" w:rsidP="00001A34" w:rsidRDefault="003F6901" w14:paraId="1A2FA79E" w14:textId="5F97E972">
      <w:pPr>
        <w:pStyle w:val="BodyText"/>
      </w:pPr>
      <w:r>
        <w:t xml:space="preserve">We will use statistical fit indices to assess how well each model fits the data in terms of both overall fit to the data and relative fit between competing models. The Root-mean Square Error of Approximation (RMSEA) </w:t>
      </w:r>
      <w:proofErr w:type="gramStart"/>
      <w:r>
        <w:t>will be used</w:t>
      </w:r>
      <w:proofErr w:type="gramEnd"/>
      <w:r>
        <w:t xml:space="preserve"> to assess both overall and relative model fit based on point estimates and confidence intervals. RMSEA values of less than .05 indicate a very good overall fit, .05 to less than .10 moderate fit, and greater than .10 a poor fit, based on simulation studies (Browne &amp; </w:t>
      </w:r>
      <w:proofErr w:type="spellStart"/>
      <w:r>
        <w:t>Cudeck</w:t>
      </w:r>
      <w:proofErr w:type="spellEnd"/>
      <w:r>
        <w:t xml:space="preserve">, 1993; </w:t>
      </w:r>
      <w:proofErr w:type="spellStart"/>
      <w:r>
        <w:t>Steiger</w:t>
      </w:r>
      <w:proofErr w:type="spellEnd"/>
      <w:r>
        <w:t xml:space="preserve">, 1989). RMSEA also </w:t>
      </w:r>
      <w:proofErr w:type="gramStart"/>
      <w:r>
        <w:t>can be used</w:t>
      </w:r>
      <w:proofErr w:type="gramEnd"/>
      <w:r>
        <w:t xml:space="preserve"> to assess whether an alternative model fits better or more poorly than a base model by examining whether the point estimate of the base model is contained within the 95% confidence interval of the alternative model. For example, if RMSEA is .05 for a model where change during program participation was linear, and RMSEA is .02 in an alternative model where change during program participation is quadratic with a 95% confidence interval of .01 to .03, we would conclude an assumption of quadratic change during program participation fits the data better than linear change.</w:t>
      </w:r>
    </w:p>
    <w:p w:rsidR="003F6901" w:rsidP="003F6901" w:rsidRDefault="003F6901" w14:paraId="313E1744" w14:textId="77777777">
      <w:pPr>
        <w:pStyle w:val="BodyText"/>
      </w:pPr>
    </w:p>
    <w:p w:rsidR="003F6901" w:rsidP="003F6901" w:rsidRDefault="003F6901" w14:paraId="360F4E64" w14:textId="2245D7BD">
      <w:pPr>
        <w:pStyle w:val="BodyText"/>
      </w:pPr>
      <w:r>
        <w:t xml:space="preserve">With a sample size of 400, we would be able to detect a difference between perfect overall model fit (RMSEA = 0) and close model fit (RMSEA = .05) 97.7% of the time for our base model. We would need a minimum sample size of 245 to be able to detect a difference in fit of this size 80% of the time (the conventional standard for adequate statistical power). We also expect to have high power to detect differences in relative model fit for our key tests of whether the rate of change across two </w:t>
      </w:r>
      <w:proofErr w:type="gramStart"/>
      <w:r>
        <w:t>time periods</w:t>
      </w:r>
      <w:proofErr w:type="gramEnd"/>
      <w:r>
        <w:t xml:space="preserve"> is significantly differen</w:t>
      </w:r>
      <w:r w:rsidR="003C395C">
        <w:t>t</w:t>
      </w:r>
      <w:r>
        <w:t>. We would be able to detect a difference in RMSEA of .01 or more (e.g., RMSEA = 0.04 vs. 0.05) 96% of the time between our base model where the rate of change differs in each time period and one where the rate of change is assumed to be the same in two time periods. We would need a minimum sample size of 228 to be able to detect a difference of this size 80% of the time.</w:t>
      </w:r>
    </w:p>
    <w:p w:rsidRPr="002B164A" w:rsidR="003F6901" w:rsidP="003F6901" w:rsidRDefault="003F6901" w14:paraId="043F1F22" w14:textId="77777777">
      <w:pPr>
        <w:pStyle w:val="BodyText"/>
      </w:pPr>
    </w:p>
    <w:p w:rsidR="003F6901" w:rsidP="003F6901" w:rsidRDefault="00466A18" w14:paraId="049A15CD" w14:textId="07A24E10">
      <w:pPr>
        <w:pStyle w:val="BodyText"/>
      </w:pPr>
      <w:r>
        <w:t>W</w:t>
      </w:r>
      <w:r w:rsidR="003F6901">
        <w:t>e will identify the best fitting model for describing the trajectory of youths</w:t>
      </w:r>
      <w:r>
        <w:t>’</w:t>
      </w:r>
      <w:r w:rsidR="003F6901">
        <w:t xml:space="preserve"> outcomes</w:t>
      </w:r>
      <w:r w:rsidR="003C395C">
        <w:t>,</w:t>
      </w:r>
      <w:r w:rsidR="003F6901">
        <w:t xml:space="preserve"> accounting for their experiences before, during, and after program participation, and evidence of whether youth trajectories during program participation appear to differ from those prior to </w:t>
      </w:r>
      <w:r w:rsidR="003C395C">
        <w:t xml:space="preserve">program entry </w:t>
      </w:r>
      <w:r w:rsidR="003F6901">
        <w:t>or after program exit.</w:t>
      </w:r>
    </w:p>
    <w:p w:rsidR="003F6901" w:rsidP="003F6901" w:rsidRDefault="003F6901" w14:paraId="264300A9" w14:textId="77777777">
      <w:pPr>
        <w:pStyle w:val="BodyText"/>
      </w:pPr>
    </w:p>
    <w:p w:rsidR="003F6901" w:rsidP="003F6901" w:rsidRDefault="00CC2018" w14:paraId="737D2D28" w14:textId="0F82AF47">
      <w:pPr>
        <w:pStyle w:val="BodyText"/>
      </w:pPr>
      <w:r>
        <w:t xml:space="preserve">As part of our </w:t>
      </w:r>
      <w:r w:rsidRPr="00CC2018">
        <w:rPr>
          <w:b/>
        </w:rPr>
        <w:t>fourth</w:t>
      </w:r>
      <w:r>
        <w:t xml:space="preserve"> research question, a</w:t>
      </w:r>
      <w:r w:rsidRPr="00CC2018" w:rsidR="003F6901">
        <w:t>fter</w:t>
      </w:r>
      <w:r w:rsidR="003F6901">
        <w:t xml:space="preserve"> fitting latent growth models without covariates, we will run </w:t>
      </w:r>
      <w:r>
        <w:t xml:space="preserve">and graphically depict </w:t>
      </w:r>
      <w:r w:rsidR="003F6901">
        <w:t xml:space="preserve">exploratory analyses with dummy variable covariates for youth age (18 and over), gender (female), minority race/ethnicity status (minority), and referral from a </w:t>
      </w:r>
      <w:r w:rsidR="00A900A6">
        <w:t>basic center program (</w:t>
      </w:r>
      <w:r w:rsidR="003F6901">
        <w:t>BCP</w:t>
      </w:r>
      <w:r w:rsidR="00A900A6">
        <w:t>)</w:t>
      </w:r>
      <w:r w:rsidR="003F6901">
        <w:t xml:space="preserve"> to examine whether growth trends appear to differ by these </w:t>
      </w:r>
      <w:r w:rsidR="003F6901">
        <w:lastRenderedPageBreak/>
        <w:t>characteristics. For example, a positive coefficient for a dummy variable for female youth in predicting intercept term would indicate females entered TLPs at a higher employment rate than males and a positive value in predicting the slope during TLP participation would indicate female employment rates rose faster than male employment rates during TLP participation.</w:t>
      </w:r>
    </w:p>
    <w:p w:rsidR="003F6901" w:rsidP="00001A34" w:rsidRDefault="003F6901" w14:paraId="243A489A" w14:textId="77777777">
      <w:pPr>
        <w:pStyle w:val="BodyText"/>
      </w:pPr>
    </w:p>
    <w:p w:rsidR="006E4A3D" w:rsidP="003F6901" w:rsidRDefault="00E93FC5" w14:paraId="67403191" w14:textId="7309BE66">
      <w:pPr>
        <w:pStyle w:val="BodyText"/>
      </w:pPr>
      <w:r>
        <w:t xml:space="preserve">We anticipate minimal missing data because we are collecting outcomes data from </w:t>
      </w:r>
      <w:r w:rsidR="003F6901">
        <w:t xml:space="preserve">administrative </w:t>
      </w:r>
      <w:r>
        <w:t xml:space="preserve">sources (i.e., national administrative data clearinghouses </w:t>
      </w:r>
      <w:r w:rsidR="003F6901">
        <w:t xml:space="preserve">for </w:t>
      </w:r>
      <w:r w:rsidR="002A1323">
        <w:t>education and employment</w:t>
      </w:r>
      <w:r w:rsidR="003F6901">
        <w:t xml:space="preserve"> and </w:t>
      </w:r>
      <w:r>
        <w:t xml:space="preserve">program </w:t>
      </w:r>
      <w:r w:rsidR="003F6901">
        <w:t xml:space="preserve">administrative </w:t>
      </w:r>
      <w:r>
        <w:t>records (required by funders)</w:t>
      </w:r>
      <w:r w:rsidR="003F6901">
        <w:t xml:space="preserve"> for housing outcomes</w:t>
      </w:r>
      <w:r>
        <w:t>)</w:t>
      </w:r>
      <w:r w:rsidR="003F6901">
        <w:t xml:space="preserve">. </w:t>
      </w:r>
      <w:r w:rsidR="007A74A9">
        <w:t>We will use d</w:t>
      </w:r>
      <w:r w:rsidR="006E4A3D">
        <w:t xml:space="preserve">irect maximum likelihood estimation </w:t>
      </w:r>
      <w:r w:rsidR="004331BE">
        <w:t xml:space="preserve">(also known as full information maximum likelihood estimation) </w:t>
      </w:r>
      <w:r w:rsidR="006E4A3D">
        <w:t>to address any missing data. This method assumes that missing data are unrelated to the outcome after accounting for any covariates included in the model. For example, it may be that child age is predictive of missing data on employment, but after accounting for children’s age, there are no unobserved variables that are predictive of whether an observation is missing or not</w:t>
      </w:r>
      <w:r w:rsidR="003D2293">
        <w:t>.</w:t>
      </w:r>
    </w:p>
    <w:p w:rsidR="00581A7B" w:rsidP="007A6278" w:rsidRDefault="00581A7B" w14:paraId="49EF50D7" w14:textId="77777777">
      <w:pPr>
        <w:spacing w:after="60"/>
      </w:pPr>
    </w:p>
    <w:p w:rsidR="003F6901" w:rsidP="003F6901" w:rsidRDefault="003F6901" w14:paraId="4C56F44D" w14:textId="25F53D45">
      <w:pPr>
        <w:pStyle w:val="BodyText"/>
      </w:pPr>
      <w:r>
        <w:t>We will also run supplementary analyses examining</w:t>
      </w:r>
      <w:r w:rsidRPr="00CC6766">
        <w:t xml:space="preserve"> whether </w:t>
      </w:r>
      <w:r>
        <w:t>average employment rates, earnings, and enrollment rates</w:t>
      </w:r>
      <w:r w:rsidRPr="00CC6766">
        <w:t xml:space="preserve"> prior to the program and after the program </w:t>
      </w:r>
      <w:r>
        <w:t>differ from those observed</w:t>
      </w:r>
      <w:r w:rsidRPr="00CC6766">
        <w:t xml:space="preserve"> during the program.</w:t>
      </w:r>
      <w:r>
        <w:t xml:space="preserve"> We will use a mean differences model specified as follows:</w:t>
      </w:r>
    </w:p>
    <w:p w:rsidRPr="004B694A" w:rsidR="003F6901" w:rsidP="003F6901" w:rsidRDefault="00BD7656" w14:paraId="3EE70869" w14:textId="77777777">
      <w:pPr>
        <w:pStyle w:val="BodyText"/>
        <w:rPr>
          <w:szCs w:val="24"/>
        </w:rPr>
      </w:pPr>
      <m:oMathPara>
        <m:oMathParaPr>
          <m:jc m:val="left"/>
        </m:oMathParaP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ij</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 xml:space="preserve">PRE </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POST</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j-1</m:t>
              </m:r>
            </m:sup>
            <m:e>
              <m:sSub>
                <m:sSubPr>
                  <m:ctrlPr>
                    <w:rPr>
                      <w:rFonts w:ascii="Cambria Math" w:hAnsi="Cambria Math"/>
                      <w:i/>
                      <w:szCs w:val="24"/>
                    </w:rPr>
                  </m:ctrlPr>
                </m:sSubPr>
                <m:e>
                  <m:r>
                    <w:rPr>
                      <w:rFonts w:ascii="Cambria Math" w:hAnsi="Cambria Math"/>
                      <w:szCs w:val="24"/>
                    </w:rPr>
                    <m:t>α</m:t>
                  </m:r>
                </m:e>
                <m:sub>
                  <m:r>
                    <w:rPr>
                      <w:rFonts w:ascii="Cambria Math" w:hAnsi="Cambria Math"/>
                      <w:szCs w:val="24"/>
                    </w:rPr>
                    <m:t>j</m:t>
                  </m:r>
                </m:sub>
              </m:sSub>
            </m:e>
          </m:nary>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m:t>
              </m:r>
            </m:sub>
          </m:sSub>
        </m:oMath>
      </m:oMathPara>
    </w:p>
    <w:p w:rsidRPr="004B694A" w:rsidR="003F6901" w:rsidP="003F6901" w:rsidRDefault="003F6901" w14:paraId="403A8733" w14:textId="77777777">
      <w:pPr>
        <w:pStyle w:val="BodyText"/>
        <w:rPr>
          <w:szCs w:val="24"/>
        </w:rPr>
      </w:pPr>
    </w:p>
    <w:p w:rsidRPr="004B694A" w:rsidR="003F6901" w:rsidP="003F6901" w:rsidRDefault="003F6901" w14:paraId="20618E50" w14:textId="77777777">
      <w:pPr>
        <w:pStyle w:val="BodyText"/>
        <w:rPr>
          <w:szCs w:val="24"/>
        </w:rPr>
      </w:pPr>
      <w:r w:rsidRPr="004B694A">
        <w:rPr>
          <w:szCs w:val="24"/>
        </w:rPr>
        <w:t xml:space="preserve">Where </w:t>
      </w:r>
    </w:p>
    <w:p w:rsidRPr="002144EF" w:rsidR="003F6901" w:rsidP="00CE4465" w:rsidRDefault="00BD7656" w14:paraId="599D6449"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m:t>
            </m:r>
          </m:sub>
        </m:sSub>
      </m:oMath>
      <w:r w:rsidRPr="002144EF" w:rsidR="003F6901">
        <w:rPr>
          <w:sz w:val="24"/>
          <w:szCs w:val="24"/>
        </w:rPr>
        <w:t xml:space="preserve"> is the observed outcome measure for youth </w:t>
      </w:r>
      <w:r w:rsidRPr="002144EF" w:rsidR="003F6901">
        <w:rPr>
          <w:i/>
          <w:sz w:val="24"/>
          <w:szCs w:val="24"/>
        </w:rPr>
        <w:t>j</w:t>
      </w:r>
      <w:r w:rsidRPr="002144EF" w:rsidR="003F6901">
        <w:rPr>
          <w:sz w:val="24"/>
          <w:szCs w:val="24"/>
        </w:rPr>
        <w:t xml:space="preserve"> at time </w:t>
      </w:r>
      <w:proofErr w:type="spellStart"/>
      <w:r w:rsidRPr="002144EF" w:rsidR="003F6901">
        <w:rPr>
          <w:i/>
          <w:sz w:val="24"/>
          <w:szCs w:val="24"/>
        </w:rPr>
        <w:t>i</w:t>
      </w:r>
      <w:proofErr w:type="spellEnd"/>
      <w:r w:rsidRPr="002144EF" w:rsidR="003F6901">
        <w:rPr>
          <w:sz w:val="24"/>
          <w:szCs w:val="24"/>
        </w:rPr>
        <w:t>;</w:t>
      </w:r>
      <w:r w:rsidRPr="002144EF" w:rsidR="003F6901">
        <w:rPr>
          <w:i/>
          <w:sz w:val="24"/>
          <w:szCs w:val="24"/>
        </w:rPr>
        <w:t xml:space="preserve"> </w:t>
      </w:r>
      <w:r w:rsidRPr="002144EF" w:rsidR="003F6901">
        <w:rPr>
          <w:sz w:val="24"/>
          <w:szCs w:val="24"/>
        </w:rPr>
        <w:t xml:space="preserve"> </w:t>
      </w:r>
    </w:p>
    <w:p w:rsidRPr="002144EF" w:rsidR="003F6901" w:rsidP="00CE4465" w:rsidRDefault="00BD7656" w14:paraId="061D1A77"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PRE </m:t>
            </m:r>
          </m:sub>
        </m:sSub>
      </m:oMath>
      <w:r w:rsidRPr="002144EF" w:rsidR="003F6901">
        <w:rPr>
          <w:sz w:val="24"/>
          <w:szCs w:val="24"/>
        </w:rPr>
        <w:t>is a dummy varia</w:t>
      </w:r>
      <w:proofErr w:type="spellStart"/>
      <w:r w:rsidRPr="002144EF" w:rsidR="003F6901">
        <w:rPr>
          <w:sz w:val="24"/>
          <w:szCs w:val="24"/>
        </w:rPr>
        <w:t>ble</w:t>
      </w:r>
      <w:proofErr w:type="spellEnd"/>
      <w:r w:rsidRPr="002144EF" w:rsidR="003F6901">
        <w:rPr>
          <w:sz w:val="24"/>
          <w:szCs w:val="24"/>
        </w:rPr>
        <w:t xml:space="preserve"> set to 1 when time </w:t>
      </w:r>
      <w:proofErr w:type="spellStart"/>
      <w:r w:rsidRPr="002144EF" w:rsidR="003F6901">
        <w:rPr>
          <w:i/>
          <w:sz w:val="24"/>
          <w:szCs w:val="24"/>
        </w:rPr>
        <w:t>i</w:t>
      </w:r>
      <w:proofErr w:type="spellEnd"/>
      <w:r w:rsidRPr="002144EF" w:rsidR="003F6901">
        <w:rPr>
          <w:sz w:val="24"/>
          <w:szCs w:val="24"/>
        </w:rPr>
        <w:t xml:space="preserve"> is prior to program entry and to 0 when time </w:t>
      </w:r>
      <w:proofErr w:type="spellStart"/>
      <w:r w:rsidRPr="002144EF" w:rsidR="003F6901">
        <w:rPr>
          <w:i/>
          <w:sz w:val="24"/>
          <w:szCs w:val="24"/>
        </w:rPr>
        <w:t>i</w:t>
      </w:r>
      <w:proofErr w:type="spellEnd"/>
      <w:r w:rsidRPr="002144EF" w:rsidR="003F6901">
        <w:rPr>
          <w:sz w:val="24"/>
          <w:szCs w:val="24"/>
        </w:rPr>
        <w:t xml:space="preserve"> is on or after program entry;</w:t>
      </w:r>
    </w:p>
    <w:p w:rsidRPr="002144EF" w:rsidR="003F6901" w:rsidP="00CE4465" w:rsidRDefault="00BD7656" w14:paraId="258D07D2"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POST </m:t>
            </m:r>
          </m:sub>
        </m:sSub>
      </m:oMath>
      <w:r w:rsidRPr="002144EF" w:rsidR="003F6901">
        <w:rPr>
          <w:sz w:val="24"/>
          <w:szCs w:val="24"/>
        </w:rPr>
        <w:t xml:space="preserve">is a dummy variable set to 1 when time </w:t>
      </w:r>
      <w:proofErr w:type="spellStart"/>
      <w:r w:rsidRPr="002144EF" w:rsidR="003F6901">
        <w:rPr>
          <w:i/>
          <w:sz w:val="24"/>
          <w:szCs w:val="24"/>
        </w:rPr>
        <w:t>i</w:t>
      </w:r>
      <w:proofErr w:type="spellEnd"/>
      <w:r w:rsidRPr="002144EF" w:rsidR="003F6901">
        <w:rPr>
          <w:sz w:val="24"/>
          <w:szCs w:val="24"/>
        </w:rPr>
        <w:t xml:space="preserve"> is on or after program exit and to 0 when time </w:t>
      </w:r>
      <w:proofErr w:type="spellStart"/>
      <w:r w:rsidRPr="002144EF" w:rsidR="003F6901">
        <w:rPr>
          <w:i/>
          <w:sz w:val="24"/>
          <w:szCs w:val="24"/>
        </w:rPr>
        <w:t>i</w:t>
      </w:r>
      <w:proofErr w:type="spellEnd"/>
      <w:r w:rsidRPr="002144EF" w:rsidR="003F6901">
        <w:rPr>
          <w:sz w:val="24"/>
          <w:szCs w:val="24"/>
        </w:rPr>
        <w:t xml:space="preserve"> is before program exit;</w:t>
      </w:r>
    </w:p>
    <w:p w:rsidRPr="002144EF" w:rsidR="003F6901" w:rsidP="00CE4465" w:rsidRDefault="00BD7656" w14:paraId="2E71CCCC"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oMath>
      <w:r w:rsidRPr="002144EF" w:rsidR="003F6901">
        <w:rPr>
          <w:sz w:val="24"/>
          <w:szCs w:val="24"/>
        </w:rPr>
        <w:t xml:space="preserve"> is the intercept term (representing the mean in the period during the program for the omitted person </w:t>
      </w:r>
      <w:r w:rsidRPr="002144EF" w:rsidR="003F6901">
        <w:rPr>
          <w:i/>
          <w:sz w:val="24"/>
          <w:szCs w:val="24"/>
        </w:rPr>
        <w:t>j</w:t>
      </w:r>
      <w:r w:rsidRPr="002144EF" w:rsidR="003F6901">
        <w:rPr>
          <w:sz w:val="24"/>
          <w:szCs w:val="24"/>
        </w:rPr>
        <w:t>;</w:t>
      </w:r>
    </w:p>
    <w:p w:rsidRPr="002144EF" w:rsidR="003F6901" w:rsidP="00CE4465" w:rsidRDefault="00BD7656" w14:paraId="5ECA68DA"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w:r w:rsidRPr="002144EF" w:rsidR="003F6901">
        <w:rPr>
          <w:sz w:val="24"/>
          <w:szCs w:val="24"/>
        </w:rPr>
        <w:t xml:space="preserve"> is the mean difference in the outcome for all observations prior to program entry (indicated by the dummy variable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PRE </m:t>
            </m:r>
          </m:sub>
        </m:sSub>
      </m:oMath>
      <w:r w:rsidRPr="002144EF" w:rsidR="003F6901">
        <w:rPr>
          <w:sz w:val="24"/>
          <w:szCs w:val="24"/>
        </w:rPr>
        <w:t xml:space="preserve">= 1) compared to the mean of observations during program participation (where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PRE </m:t>
            </m:r>
          </m:sub>
        </m:sSub>
      </m:oMath>
      <w:r w:rsidRPr="002144EF" w:rsidR="003F6901">
        <w:rPr>
          <w:sz w:val="24"/>
          <w:szCs w:val="24"/>
        </w:rPr>
        <w:t xml:space="preserve">= 0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POST </m:t>
            </m:r>
          </m:sub>
        </m:sSub>
      </m:oMath>
      <w:r w:rsidRPr="002144EF" w:rsidR="003F6901">
        <w:rPr>
          <w:sz w:val="24"/>
          <w:szCs w:val="24"/>
        </w:rPr>
        <w:t>= 0);</w:t>
      </w:r>
    </w:p>
    <w:p w:rsidRPr="002144EF" w:rsidR="003F6901" w:rsidP="00CE4465" w:rsidRDefault="00BD7656" w14:paraId="16255C9F"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2144EF" w:rsidR="003F6901">
        <w:rPr>
          <w:sz w:val="24"/>
          <w:szCs w:val="24"/>
        </w:rPr>
        <w:t xml:space="preserve"> is the mean difference in the outcome for all observations after program exit (indicated by the dummy variable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POST </m:t>
            </m:r>
          </m:sub>
        </m:sSub>
      </m:oMath>
      <w:r w:rsidRPr="002144EF" w:rsidR="003F6901">
        <w:rPr>
          <w:sz w:val="24"/>
          <w:szCs w:val="24"/>
        </w:rPr>
        <w:t xml:space="preserve">= 1) compared to observations during program participation (where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PRE </m:t>
            </m:r>
          </m:sub>
        </m:sSub>
      </m:oMath>
      <w:r w:rsidRPr="002144EF" w:rsidR="003F6901">
        <w:rPr>
          <w:sz w:val="24"/>
          <w:szCs w:val="24"/>
        </w:rPr>
        <w:t xml:space="preserve">= 0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POST </m:t>
            </m:r>
          </m:sub>
        </m:sSub>
      </m:oMath>
      <w:r w:rsidRPr="002144EF" w:rsidR="003F6901">
        <w:rPr>
          <w:sz w:val="24"/>
          <w:szCs w:val="24"/>
        </w:rPr>
        <w:t>= 0);</w:t>
      </w:r>
    </w:p>
    <w:p w:rsidRPr="002144EF" w:rsidR="003F6901" w:rsidP="00CE4465" w:rsidRDefault="00BD7656" w14:paraId="325F090B" w14:textId="77777777">
      <w:pPr>
        <w:pStyle w:val="BulletsLast"/>
        <w:numPr>
          <w:ilvl w:val="0"/>
          <w:numId w:val="24"/>
        </w:numPr>
        <w:rPr>
          <w:sz w:val="24"/>
          <w:szCs w:val="24"/>
        </w:rPr>
      </w:pPr>
      <m:oMath>
        <m:nary>
          <m:naryPr>
            <m:chr m:val="∑"/>
            <m:limLoc m:val="undOvr"/>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j-1</m:t>
            </m:r>
          </m:sup>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e>
        </m:nary>
      </m:oMath>
      <w:r w:rsidRPr="002144EF" w:rsidR="003F6901">
        <w:rPr>
          <w:sz w:val="24"/>
          <w:szCs w:val="24"/>
        </w:rPr>
        <w:t xml:space="preserve"> is a series of dummy variables for each youth up to the </w:t>
      </w:r>
      <w:r w:rsidRPr="002144EF" w:rsidR="003F6901">
        <w:rPr>
          <w:i/>
          <w:sz w:val="24"/>
          <w:szCs w:val="24"/>
        </w:rPr>
        <w:t>j</w:t>
      </w:r>
      <w:r w:rsidRPr="002144EF" w:rsidR="003F6901">
        <w:rPr>
          <w:sz w:val="24"/>
          <w:szCs w:val="24"/>
        </w:rPr>
        <w:t xml:space="preserve"> – 1 youth;</w:t>
      </w:r>
    </w:p>
    <w:p w:rsidRPr="002144EF" w:rsidR="003F6901" w:rsidP="00CE4465" w:rsidRDefault="00BD7656" w14:paraId="02EAB734" w14:textId="77777777">
      <w:pPr>
        <w:pStyle w:val="BulletsLast"/>
        <w:numPr>
          <w:ilvl w:val="0"/>
          <w:numId w:val="24"/>
        </w:numPr>
        <w:rPr>
          <w:sz w:val="24"/>
          <w:szCs w:val="24"/>
        </w:rPr>
      </w:pP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ij</m:t>
            </m:r>
          </m:sub>
        </m:sSub>
      </m:oMath>
      <w:r w:rsidRPr="002144EF" w:rsidR="003F6901">
        <w:rPr>
          <w:sz w:val="24"/>
          <w:szCs w:val="24"/>
        </w:rPr>
        <w:t xml:space="preserve"> </w:t>
      </w:r>
      <w:proofErr w:type="gramStart"/>
      <w:r w:rsidRPr="002144EF" w:rsidR="003F6901">
        <w:rPr>
          <w:sz w:val="24"/>
          <w:szCs w:val="24"/>
        </w:rPr>
        <w:t>is</w:t>
      </w:r>
      <w:proofErr w:type="gramEnd"/>
      <w:r w:rsidRPr="002144EF" w:rsidR="003F6901">
        <w:rPr>
          <w:sz w:val="24"/>
          <w:szCs w:val="24"/>
        </w:rPr>
        <w:t xml:space="preserve"> an error term for person </w:t>
      </w:r>
      <w:r w:rsidRPr="002144EF" w:rsidR="003F6901">
        <w:rPr>
          <w:i/>
          <w:sz w:val="24"/>
          <w:szCs w:val="24"/>
        </w:rPr>
        <w:t>j</w:t>
      </w:r>
      <w:r w:rsidRPr="002144EF" w:rsidR="003F6901">
        <w:rPr>
          <w:sz w:val="24"/>
          <w:szCs w:val="24"/>
        </w:rPr>
        <w:t xml:space="preserve"> at time </w:t>
      </w:r>
      <w:proofErr w:type="spellStart"/>
      <w:r w:rsidRPr="002144EF" w:rsidR="003F6901">
        <w:rPr>
          <w:i/>
          <w:sz w:val="24"/>
          <w:szCs w:val="24"/>
        </w:rPr>
        <w:t>i</w:t>
      </w:r>
      <w:proofErr w:type="spellEnd"/>
      <w:r w:rsidRPr="002144EF" w:rsidR="003F6901">
        <w:rPr>
          <w:sz w:val="24"/>
          <w:szCs w:val="24"/>
        </w:rPr>
        <w:t>.</w:t>
      </w:r>
    </w:p>
    <w:p w:rsidR="00CC6766" w:rsidP="001A79C7" w:rsidRDefault="00566A1B" w14:paraId="33992799" w14:textId="15125DB5">
      <w:pPr>
        <w:spacing w:before="240" w:after="60"/>
      </w:pPr>
      <w:r>
        <w:lastRenderedPageBreak/>
        <w:t xml:space="preserve">It is possible that observations </w:t>
      </w:r>
      <w:r w:rsidR="00466A18">
        <w:t>that are c</w:t>
      </w:r>
      <w:r>
        <w:t xml:space="preserve">loser together in time are more strongly correlated than observations </w:t>
      </w:r>
      <w:r w:rsidR="00466A18">
        <w:t xml:space="preserve">that are </w:t>
      </w:r>
      <w:r>
        <w:t>farther apart (i.e., autocorrelation), so we will compute robust standard error estimates (using Huber-White sandwich estimators), which will ensure correct estimation of standard errors even if auto-correlation or other sources of heteroscedasticity are present (Huber, 1967; White, 1980, 1984).</w:t>
      </w:r>
    </w:p>
    <w:p w:rsidR="00ED6FFC" w:rsidP="001A79C7" w:rsidRDefault="00566A1B" w14:paraId="150D29EF" w14:textId="0FC0A071">
      <w:pPr>
        <w:spacing w:before="240"/>
        <w:rPr>
          <w:lang w:val="en"/>
        </w:rPr>
      </w:pPr>
      <w:r>
        <w:rPr>
          <w:lang w:val="en"/>
        </w:rPr>
        <w:t xml:space="preserve">The focus of this analysis is </w:t>
      </w:r>
      <w:r w:rsidR="00466A18">
        <w:rPr>
          <w:lang w:val="en"/>
        </w:rPr>
        <w:t xml:space="preserve">to </w:t>
      </w:r>
      <w:r>
        <w:rPr>
          <w:lang w:val="en"/>
        </w:rPr>
        <w:t>provid</w:t>
      </w:r>
      <w:r w:rsidR="00466A18">
        <w:rPr>
          <w:lang w:val="en"/>
        </w:rPr>
        <w:t>e</w:t>
      </w:r>
      <w:r>
        <w:rPr>
          <w:lang w:val="en"/>
        </w:rPr>
        <w:t xml:space="preserve"> a supplementary analysis to the growth curve analysis</w:t>
      </w:r>
      <w:r w:rsidR="00466A18">
        <w:rPr>
          <w:lang w:val="en"/>
        </w:rPr>
        <w:t>,</w:t>
      </w:r>
      <w:r>
        <w:rPr>
          <w:lang w:val="en"/>
        </w:rPr>
        <w:t xml:space="preserve"> not on testing the statistical significance of mean differences. </w:t>
      </w:r>
      <w:proofErr w:type="gramStart"/>
      <w:r>
        <w:rPr>
          <w:lang w:val="en"/>
        </w:rPr>
        <w:t>Nonetheless, b</w:t>
      </w:r>
      <w:r w:rsidRPr="00001F5F">
        <w:rPr>
          <w:lang w:val="en"/>
        </w:rPr>
        <w:t xml:space="preserve">ased on a sample size of 400 and a critical value of .05, we would expect to be able to detect an effect size </w:t>
      </w:r>
      <w:r>
        <w:rPr>
          <w:lang w:val="en"/>
        </w:rPr>
        <w:t>between</w:t>
      </w:r>
      <w:r w:rsidRPr="00001F5F">
        <w:rPr>
          <w:lang w:val="en"/>
        </w:rPr>
        <w:t xml:space="preserve"> </w:t>
      </w:r>
      <w:r>
        <w:rPr>
          <w:lang w:val="en"/>
        </w:rPr>
        <w:t>.09 and .18</w:t>
      </w:r>
      <w:r w:rsidRPr="00001F5F">
        <w:rPr>
          <w:lang w:val="en"/>
        </w:rPr>
        <w:t xml:space="preserve"> for th</w:t>
      </w:r>
      <w:r>
        <w:rPr>
          <w:lang w:val="en"/>
        </w:rPr>
        <w:t>e difference between pre-TLP and during TLP outcomes with 80% power, depending on the correlation between the pre and during period (range based on estimated correlations of .80 and .20, respectively, with similar power for during versus post-TLP)</w:t>
      </w:r>
      <w:r w:rsidRPr="00001F5F">
        <w:rPr>
          <w:lang w:val="en"/>
        </w:rPr>
        <w:t>.</w:t>
      </w:r>
      <w:proofErr w:type="gramEnd"/>
      <w:r w:rsidRPr="00001F5F">
        <w:rPr>
          <w:lang w:val="en"/>
        </w:rPr>
        <w:t xml:space="preserve"> This translates to a minimum detectible difference of approximately </w:t>
      </w:r>
      <w:r>
        <w:rPr>
          <w:lang w:val="en"/>
        </w:rPr>
        <w:t>$450 to $900 in quarterly earnings, 4</w:t>
      </w:r>
      <w:r w:rsidRPr="00001F5F">
        <w:rPr>
          <w:lang w:val="en"/>
        </w:rPr>
        <w:t xml:space="preserve"> to </w:t>
      </w:r>
      <w:r>
        <w:rPr>
          <w:lang w:val="en"/>
        </w:rPr>
        <w:t>8</w:t>
      </w:r>
      <w:r w:rsidRPr="00001F5F">
        <w:rPr>
          <w:lang w:val="en"/>
        </w:rPr>
        <w:t xml:space="preserve"> percentage points for educational enrollment, and </w:t>
      </w:r>
      <w:r>
        <w:rPr>
          <w:lang w:val="en"/>
        </w:rPr>
        <w:t>3.</w:t>
      </w:r>
      <w:r w:rsidRPr="00001F5F">
        <w:rPr>
          <w:lang w:val="en"/>
        </w:rPr>
        <w:t xml:space="preserve">5 to </w:t>
      </w:r>
      <w:r>
        <w:rPr>
          <w:lang w:val="en"/>
        </w:rPr>
        <w:t>7</w:t>
      </w:r>
      <w:r w:rsidRPr="00001F5F">
        <w:rPr>
          <w:lang w:val="en"/>
        </w:rPr>
        <w:t xml:space="preserve"> pe</w:t>
      </w:r>
      <w:r>
        <w:rPr>
          <w:lang w:val="en"/>
        </w:rPr>
        <w:t>rcentage points for employment</w:t>
      </w:r>
      <w:r w:rsidRPr="00001F5F">
        <w:rPr>
          <w:lang w:val="en"/>
        </w:rPr>
        <w:t xml:space="preserve"> based on program exit findings from the Youth Villages Evaluation (Valentine, </w:t>
      </w:r>
      <w:proofErr w:type="spellStart"/>
      <w:r w:rsidRPr="00001F5F">
        <w:rPr>
          <w:lang w:val="en"/>
        </w:rPr>
        <w:t>Skemer</w:t>
      </w:r>
      <w:proofErr w:type="spellEnd"/>
      <w:r w:rsidRPr="00001F5F">
        <w:rPr>
          <w:lang w:val="en"/>
        </w:rPr>
        <w:t>, &amp; Courtney, 2015).</w:t>
      </w:r>
    </w:p>
    <w:p w:rsidR="00AA2285" w:rsidP="0022407E" w:rsidRDefault="00AA2285" w14:paraId="6EA432B8" w14:textId="77777777">
      <w:pPr>
        <w:rPr>
          <w:lang w:val="en"/>
        </w:rPr>
      </w:pPr>
    </w:p>
    <w:p w:rsidR="00AA2285" w:rsidP="00AA2285" w:rsidRDefault="00AA2285" w14:paraId="17B35F42" w14:textId="191D7D27">
      <w:pPr>
        <w:pStyle w:val="BodyText"/>
      </w:pPr>
      <w:r w:rsidRPr="00001A34">
        <w:rPr>
          <w:b/>
        </w:rPr>
        <w:t xml:space="preserve">In the </w:t>
      </w:r>
      <w:r>
        <w:rPr>
          <w:b/>
        </w:rPr>
        <w:t>third</w:t>
      </w:r>
      <w:r w:rsidRPr="00001A34">
        <w:rPr>
          <w:b/>
        </w:rPr>
        <w:t xml:space="preserve"> set of analyses, </w:t>
      </w:r>
      <w:r w:rsidRPr="00E103E9" w:rsidR="002A1323">
        <w:rPr>
          <w:b/>
        </w:rPr>
        <w:t xml:space="preserve">addressing research questions </w:t>
      </w:r>
      <w:r w:rsidR="00AD1492">
        <w:rPr>
          <w:b/>
        </w:rPr>
        <w:t>three</w:t>
      </w:r>
      <w:r w:rsidRPr="00E103E9" w:rsidR="002A1323">
        <w:rPr>
          <w:b/>
        </w:rPr>
        <w:t>, four and five</w:t>
      </w:r>
      <w:r w:rsidR="002A1323">
        <w:rPr>
          <w:b/>
        </w:rPr>
        <w:t xml:space="preserve">, </w:t>
      </w:r>
      <w:r w:rsidRPr="00001A34">
        <w:rPr>
          <w:b/>
        </w:rPr>
        <w:t xml:space="preserve">we will use </w:t>
      </w:r>
      <w:r>
        <w:rPr>
          <w:b/>
        </w:rPr>
        <w:t>s</w:t>
      </w:r>
      <w:r w:rsidRPr="00001A34">
        <w:rPr>
          <w:b/>
        </w:rPr>
        <w:t>urvival analyses</w:t>
      </w:r>
      <w:r>
        <w:t xml:space="preserve"> to describe the extent to which youth who </w:t>
      </w:r>
      <w:proofErr w:type="gramStart"/>
      <w:r>
        <w:t>are employed or enrolled in post-secondary education continuously</w:t>
      </w:r>
      <w:proofErr w:type="gramEnd"/>
      <w:r>
        <w:t xml:space="preserve"> maintain their employment or enrollment status. Survival analyses properly account for youth who experience</w:t>
      </w:r>
      <w:r w:rsidR="007A74A9">
        <w:t>d</w:t>
      </w:r>
      <w:r>
        <w:t xml:space="preserve"> an event (i.e., loss of initial employment after program enrollment) in an earlier </w:t>
      </w:r>
      <w:proofErr w:type="gramStart"/>
      <w:r>
        <w:t>time period</w:t>
      </w:r>
      <w:proofErr w:type="gramEnd"/>
      <w:r>
        <w:t xml:space="preserve"> no longer being at risk for experiencing this outcome. It also accounts for youth not having yet experienced the event by the end of the study observation period still being at risk for experiencing it in the future (termed </w:t>
      </w:r>
      <w:r w:rsidRPr="00530437">
        <w:rPr>
          <w:i/>
        </w:rPr>
        <w:t>right censoring</w:t>
      </w:r>
      <w:r>
        <w:t xml:space="preserve">). Results </w:t>
      </w:r>
      <w:proofErr w:type="gramStart"/>
      <w:r>
        <w:t>will be presented</w:t>
      </w:r>
      <w:proofErr w:type="gramEnd"/>
      <w:r>
        <w:t xml:space="preserve"> both numerically in terms of the expected number of events per unit of time (the event </w:t>
      </w:r>
      <w:r>
        <w:rPr>
          <w:i/>
        </w:rPr>
        <w:t>hazard</w:t>
      </w:r>
      <w:r>
        <w:t xml:space="preserve">) and graphically as survival curves.   </w:t>
      </w:r>
    </w:p>
    <w:p w:rsidR="00AA2285" w:rsidP="00AA2285" w:rsidRDefault="00AA2285" w14:paraId="575A228B" w14:textId="77777777">
      <w:pPr>
        <w:pStyle w:val="BodyText"/>
      </w:pPr>
    </w:p>
    <w:p w:rsidR="00AA2285" w:rsidP="00AA2285" w:rsidRDefault="00AA2285" w14:paraId="37EC17D9" w14:textId="6A0A16DE">
      <w:pPr>
        <w:pStyle w:val="BodyText"/>
      </w:pPr>
      <w:r>
        <w:t xml:space="preserve">With </w:t>
      </w:r>
      <w:r w:rsidR="002A1323">
        <w:t xml:space="preserve">educational and </w:t>
      </w:r>
      <w:r>
        <w:t xml:space="preserve">employment outcomes being measured in quarters and semesters, respectively (as this is how data is reported back from NSC and NDNH), it is likely that there will be a high proportion of events being recorded as occurring at the same time (termed </w:t>
      </w:r>
      <w:r>
        <w:rPr>
          <w:i/>
        </w:rPr>
        <w:t>ties</w:t>
      </w:r>
      <w:r>
        <w:t xml:space="preserve">). Standard Cox regression models assume time </w:t>
      </w:r>
      <w:proofErr w:type="gramStart"/>
      <w:r>
        <w:t>is continuously measured</w:t>
      </w:r>
      <w:proofErr w:type="gramEnd"/>
      <w:r>
        <w:t xml:space="preserve">, rather than being measured in quarters or semesters. When a survival analysis finds that outcomes frequently occur at the same time, statistical adjustments need to </w:t>
      </w:r>
      <w:proofErr w:type="gramStart"/>
      <w:r>
        <w:t>be made</w:t>
      </w:r>
      <w:proofErr w:type="gramEnd"/>
      <w:r>
        <w:t xml:space="preserve"> to account for ties. </w:t>
      </w:r>
    </w:p>
    <w:p w:rsidR="00AA2285" w:rsidP="00AA2285" w:rsidRDefault="00AA2285" w14:paraId="775BA224" w14:textId="77777777">
      <w:pPr>
        <w:pStyle w:val="BodyText"/>
      </w:pPr>
    </w:p>
    <w:p w:rsidR="00AA2285" w:rsidP="00AA2285" w:rsidRDefault="00AA2285" w14:paraId="116835C5" w14:textId="77777777">
      <w:pPr>
        <w:pStyle w:val="BodyText"/>
      </w:pPr>
      <w:r w:rsidRPr="00001A34">
        <w:rPr>
          <w:i/>
        </w:rPr>
        <w:t>E</w:t>
      </w:r>
      <w:r>
        <w:rPr>
          <w:i/>
        </w:rPr>
        <w:t>xact methods</w:t>
      </w:r>
      <w:r>
        <w:t xml:space="preserve"> for ties assume there is a true, but unknown ordering of events recorded as occurring at the same time. This assumption fits well</w:t>
      </w:r>
      <w:r>
        <w:rPr>
          <w:i/>
        </w:rPr>
        <w:t xml:space="preserve"> </w:t>
      </w:r>
      <w:r w:rsidRPr="007F6CA0">
        <w:t>f</w:t>
      </w:r>
      <w:r>
        <w:t xml:space="preserve">or employment outcomes, where there is an exact ordering of the time of a job loss and ties are largely a result of continuous employment time </w:t>
      </w:r>
      <w:proofErr w:type="gramStart"/>
      <w:r>
        <w:t>being aggregated</w:t>
      </w:r>
      <w:proofErr w:type="gramEnd"/>
      <w:r>
        <w:t xml:space="preserve"> into quarters in NDNH administrative data. </w:t>
      </w:r>
      <w:r w:rsidRPr="00001A34">
        <w:rPr>
          <w:i/>
        </w:rPr>
        <w:t>D</w:t>
      </w:r>
      <w:r>
        <w:rPr>
          <w:i/>
        </w:rPr>
        <w:t>iscrete methods</w:t>
      </w:r>
      <w:r>
        <w:t xml:space="preserve"> assume events are actually occurring at the same time. This assumption fits well for enrollment outcomes, where the outcome of interest is enrollment status for a whole semester as a discrete unit of time, even if non-enrollment or drop-out may occur at varying times. </w:t>
      </w:r>
    </w:p>
    <w:p w:rsidR="00AA2285" w:rsidP="00AA2285" w:rsidRDefault="00AA2285" w14:paraId="65E36F40" w14:textId="77777777">
      <w:pPr>
        <w:pStyle w:val="BodyText"/>
      </w:pPr>
    </w:p>
    <w:p w:rsidR="00AA2285" w:rsidP="00AA2285" w:rsidRDefault="00AA2285" w14:paraId="612FDC4A" w14:textId="77777777">
      <w:pPr>
        <w:pStyle w:val="BodyText"/>
      </w:pPr>
      <w:r>
        <w:t xml:space="preserve">For both employment and post-secondary enrollment outcomes, we will use a discrete time logistic regression model where each unit of time is an observation. For post-secondary enrollment outcomes, a </w:t>
      </w:r>
      <w:r w:rsidRPr="00E5168D">
        <w:rPr>
          <w:i/>
        </w:rPr>
        <w:t>logit link function</w:t>
      </w:r>
      <w:r>
        <w:t xml:space="preserve"> will be included to provide estimates of the discrete time proportional odds of maintaining enrollment in each semester. This model takes the form of</w:t>
      </w:r>
    </w:p>
    <w:p w:rsidR="00AA2285" w:rsidP="00AA2285" w:rsidRDefault="00AA2285" w14:paraId="0422EE42" w14:textId="77777777">
      <w:pPr>
        <w:pStyle w:val="BodyText"/>
      </w:pPr>
    </w:p>
    <w:p w:rsidRPr="004B694A" w:rsidR="00AA2285" w:rsidP="00AA2285" w:rsidRDefault="00AA2285" w14:paraId="4B1B189E" w14:textId="77777777">
      <w:pPr>
        <w:pStyle w:val="BodyText"/>
        <w:rPr>
          <w:szCs w:val="24"/>
        </w:rPr>
      </w:pPr>
      <m:oMathPara>
        <m:oMathParaPr>
          <m:jc m:val="left"/>
        </m:oMathParaPr>
        <m:oMath>
          <m:r>
            <m:rPr>
              <m:sty m:val="p"/>
            </m:rPr>
            <w:rPr>
              <w:rFonts w:ascii="Cambria Math" w:hAnsi="Cambria Math"/>
              <w:szCs w:val="24"/>
            </w:rPr>
            <w:lastRenderedPageBreak/>
            <m:t>log</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it</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it</m:t>
                      </m:r>
                    </m:sub>
                  </m:sSub>
                </m:den>
              </m:f>
            </m:e>
          </m:d>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t</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k</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itk</m:t>
              </m:r>
            </m:sub>
          </m:sSub>
        </m:oMath>
      </m:oMathPara>
    </w:p>
    <w:p w:rsidRPr="004B694A" w:rsidR="00AA2285" w:rsidP="00AA2285" w:rsidRDefault="00AA2285" w14:paraId="698C398A" w14:textId="77777777">
      <w:pPr>
        <w:pStyle w:val="BodyText"/>
        <w:rPr>
          <w:szCs w:val="24"/>
        </w:rPr>
      </w:pPr>
    </w:p>
    <w:p w:rsidRPr="004B694A" w:rsidR="00AA2285" w:rsidP="00AA2285" w:rsidRDefault="00AA2285" w14:paraId="438862A9" w14:textId="77777777">
      <w:pPr>
        <w:pStyle w:val="BodyText"/>
        <w:rPr>
          <w:szCs w:val="24"/>
        </w:rPr>
      </w:pPr>
      <w:proofErr w:type="gramStart"/>
      <w:r w:rsidRPr="004B694A">
        <w:rPr>
          <w:szCs w:val="24"/>
        </w:rPr>
        <w:t>where</w:t>
      </w:r>
      <w:proofErr w:type="gramEnd"/>
    </w:p>
    <w:p w:rsidRPr="004B694A" w:rsidR="00AA2285" w:rsidP="00CE4465" w:rsidRDefault="00AA2285" w14:paraId="623DCD14" w14:textId="77777777">
      <w:pPr>
        <w:pStyle w:val="BulletsLast"/>
        <w:numPr>
          <w:ilvl w:val="0"/>
          <w:numId w:val="25"/>
        </w:numPr>
        <w:rPr>
          <w:sz w:val="24"/>
          <w:szCs w:val="24"/>
        </w:rPr>
      </w:pPr>
      <w:r w:rsidRPr="004B694A">
        <w:rPr>
          <w:i/>
          <w:sz w:val="24"/>
          <w:szCs w:val="24"/>
        </w:rPr>
        <w:t>P</w:t>
      </w:r>
      <w:r w:rsidRPr="004B694A">
        <w:rPr>
          <w:i/>
          <w:sz w:val="24"/>
          <w:szCs w:val="24"/>
          <w:vertAlign w:val="subscript"/>
        </w:rPr>
        <w:t>it</w:t>
      </w:r>
      <w:r w:rsidRPr="004B694A">
        <w:rPr>
          <w:i/>
          <w:sz w:val="24"/>
          <w:szCs w:val="24"/>
        </w:rPr>
        <w:t xml:space="preserve"> </w:t>
      </w:r>
      <w:r w:rsidRPr="004B694A">
        <w:rPr>
          <w:sz w:val="24"/>
          <w:szCs w:val="24"/>
        </w:rPr>
        <w:t xml:space="preserve">is the conditional probability that youth </w:t>
      </w:r>
      <w:proofErr w:type="spellStart"/>
      <w:r w:rsidRPr="004B694A">
        <w:rPr>
          <w:i/>
          <w:sz w:val="24"/>
          <w:szCs w:val="24"/>
        </w:rPr>
        <w:t>i</w:t>
      </w:r>
      <w:proofErr w:type="spellEnd"/>
      <w:r w:rsidRPr="004B694A">
        <w:rPr>
          <w:sz w:val="24"/>
          <w:szCs w:val="24"/>
        </w:rPr>
        <w:t xml:space="preserve"> is no longer enrolled at time </w:t>
      </w:r>
      <w:r w:rsidRPr="004B694A">
        <w:rPr>
          <w:i/>
          <w:sz w:val="24"/>
          <w:szCs w:val="24"/>
        </w:rPr>
        <w:t>t</w:t>
      </w:r>
      <w:r w:rsidRPr="004B694A">
        <w:rPr>
          <w:sz w:val="24"/>
          <w:szCs w:val="24"/>
        </w:rPr>
        <w:t xml:space="preserve"> given that disenrollment has not already occurred to that youth as of time </w:t>
      </w:r>
      <w:r w:rsidRPr="004B694A">
        <w:rPr>
          <w:i/>
          <w:sz w:val="24"/>
          <w:szCs w:val="24"/>
        </w:rPr>
        <w:t>t</w:t>
      </w:r>
      <w:r w:rsidRPr="004B694A">
        <w:rPr>
          <w:sz w:val="24"/>
          <w:szCs w:val="24"/>
        </w:rPr>
        <w:t>.</w:t>
      </w:r>
    </w:p>
    <w:p w:rsidRPr="004B694A" w:rsidR="00AA2285" w:rsidP="00CE4465" w:rsidRDefault="00AA2285" w14:paraId="77F15061" w14:textId="77777777">
      <w:pPr>
        <w:pStyle w:val="BulletsLast"/>
        <w:numPr>
          <w:ilvl w:val="0"/>
          <w:numId w:val="25"/>
        </w:numPr>
        <w:rPr>
          <w:sz w:val="24"/>
          <w:szCs w:val="24"/>
        </w:rPr>
      </w:pPr>
      <w:proofErr w:type="gramStart"/>
      <w:r w:rsidRPr="004B694A">
        <w:rPr>
          <w:i/>
          <w:sz w:val="24"/>
          <w:szCs w:val="24"/>
        </w:rPr>
        <w:t>α</w:t>
      </w:r>
      <w:r w:rsidRPr="004B694A">
        <w:rPr>
          <w:i/>
          <w:sz w:val="24"/>
          <w:szCs w:val="24"/>
          <w:vertAlign w:val="subscript"/>
        </w:rPr>
        <w:t>t</w:t>
      </w:r>
      <w:proofErr w:type="gramEnd"/>
      <w:r w:rsidRPr="004B694A">
        <w:rPr>
          <w:sz w:val="24"/>
          <w:szCs w:val="24"/>
        </w:rPr>
        <w:t xml:space="preserve"> is a series of constants, one for each time point. </w:t>
      </w:r>
    </w:p>
    <w:p w:rsidRPr="004B694A" w:rsidR="00AA2285" w:rsidP="00CE4465" w:rsidRDefault="00BD7656" w14:paraId="7FA58A74" w14:textId="77777777">
      <w:pPr>
        <w:pStyle w:val="BulletsLast"/>
        <w:numPr>
          <w:ilvl w:val="0"/>
          <w:numId w:val="25"/>
        </w:numPr>
        <w:rPr>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itk</m:t>
            </m:r>
          </m:sub>
        </m:sSub>
      </m:oMath>
      <w:r w:rsidRPr="004B694A" w:rsidR="00AA2285">
        <w:rPr>
          <w:sz w:val="24"/>
          <w:szCs w:val="24"/>
        </w:rPr>
        <w:t xml:space="preserve"> </w:t>
      </w:r>
      <w:proofErr w:type="gramStart"/>
      <w:r w:rsidRPr="004B694A" w:rsidR="00AA2285">
        <w:rPr>
          <w:sz w:val="24"/>
          <w:szCs w:val="24"/>
        </w:rPr>
        <w:t>is</w:t>
      </w:r>
      <w:proofErr w:type="gramEnd"/>
      <w:r w:rsidRPr="004B694A" w:rsidR="00AA2285">
        <w:rPr>
          <w:sz w:val="24"/>
          <w:szCs w:val="24"/>
        </w:rPr>
        <w:t xml:space="preserve"> a covariate value of covariate </w:t>
      </w:r>
      <w:r w:rsidRPr="004B694A" w:rsidR="00AA2285">
        <w:rPr>
          <w:i/>
          <w:sz w:val="24"/>
          <w:szCs w:val="24"/>
        </w:rPr>
        <w:t>k</w:t>
      </w:r>
      <w:r w:rsidRPr="004B694A" w:rsidR="00AA2285">
        <w:rPr>
          <w:sz w:val="24"/>
          <w:szCs w:val="24"/>
        </w:rPr>
        <w:t xml:space="preserve"> for youth </w:t>
      </w:r>
      <w:proofErr w:type="spellStart"/>
      <w:r w:rsidRPr="004B694A" w:rsidR="00AA2285">
        <w:rPr>
          <w:i/>
          <w:sz w:val="24"/>
          <w:szCs w:val="24"/>
        </w:rPr>
        <w:t>i</w:t>
      </w:r>
      <w:proofErr w:type="spellEnd"/>
      <w:r w:rsidRPr="004B694A" w:rsidR="00AA2285">
        <w:rPr>
          <w:sz w:val="24"/>
          <w:szCs w:val="24"/>
        </w:rPr>
        <w:t xml:space="preserve"> at time </w:t>
      </w:r>
      <w:r w:rsidRPr="004B694A" w:rsidR="00AA2285">
        <w:rPr>
          <w:i/>
          <w:sz w:val="24"/>
          <w:szCs w:val="24"/>
        </w:rPr>
        <w:t>t</w:t>
      </w:r>
      <w:r w:rsidRPr="004B694A" w:rsidR="00AA2285">
        <w:rPr>
          <w:sz w:val="24"/>
          <w:szCs w:val="24"/>
        </w:rPr>
        <w:t>.</w:t>
      </w:r>
    </w:p>
    <w:p w:rsidRPr="004B694A" w:rsidR="00AA2285" w:rsidP="00CE4465" w:rsidRDefault="00BD7656" w14:paraId="0CBD6FAB" w14:textId="77777777">
      <w:pPr>
        <w:pStyle w:val="BulletsLast"/>
        <w:numPr>
          <w:ilvl w:val="0"/>
          <w:numId w:val="25"/>
        </w:numPr>
        <w:rPr>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oMath>
      <w:r w:rsidRPr="004B694A" w:rsidR="00AA2285">
        <w:rPr>
          <w:sz w:val="24"/>
          <w:szCs w:val="24"/>
        </w:rPr>
        <w:t xml:space="preserve"> </w:t>
      </w:r>
      <w:proofErr w:type="gramStart"/>
      <w:r w:rsidRPr="004B694A" w:rsidR="00AA2285">
        <w:rPr>
          <w:sz w:val="24"/>
          <w:szCs w:val="24"/>
        </w:rPr>
        <w:t>is</w:t>
      </w:r>
      <w:proofErr w:type="gramEnd"/>
      <w:r w:rsidRPr="004B694A" w:rsidR="00AA2285">
        <w:rPr>
          <w:sz w:val="24"/>
          <w:szCs w:val="24"/>
        </w:rPr>
        <w:t xml:space="preserve"> the coefficient estimate for the </w:t>
      </w:r>
      <w:r w:rsidRPr="004B694A" w:rsidR="00AA2285">
        <w:rPr>
          <w:i/>
          <w:sz w:val="24"/>
          <w:szCs w:val="24"/>
        </w:rPr>
        <w:t>k</w:t>
      </w:r>
      <w:r w:rsidRPr="004B694A" w:rsidR="00AA2285">
        <w:rPr>
          <w:sz w:val="24"/>
          <w:szCs w:val="24"/>
          <w:vertAlign w:val="superscript"/>
        </w:rPr>
        <w:t>th</w:t>
      </w:r>
      <w:r w:rsidRPr="004B694A" w:rsidR="00AA2285">
        <w:rPr>
          <w:sz w:val="24"/>
          <w:szCs w:val="24"/>
        </w:rPr>
        <w:t xml:space="preserve"> covariate.</w:t>
      </w:r>
    </w:p>
    <w:p w:rsidRPr="00001A34" w:rsidR="00AA2285" w:rsidP="00AA2285" w:rsidRDefault="00AA2285" w14:paraId="5A719968" w14:textId="77777777">
      <w:pPr>
        <w:pStyle w:val="BulletsLast"/>
        <w:numPr>
          <w:ilvl w:val="0"/>
          <w:numId w:val="0"/>
        </w:numPr>
        <w:rPr>
          <w:sz w:val="24"/>
          <w:szCs w:val="24"/>
        </w:rPr>
      </w:pPr>
      <w:r w:rsidRPr="00001A34">
        <w:rPr>
          <w:sz w:val="24"/>
          <w:szCs w:val="24"/>
        </w:rPr>
        <w:t xml:space="preserve">For employment outcomes, a complementary </w:t>
      </w:r>
      <w:r w:rsidRPr="00001A34">
        <w:rPr>
          <w:i/>
          <w:sz w:val="24"/>
          <w:szCs w:val="24"/>
        </w:rPr>
        <w:t xml:space="preserve">log-log link function </w:t>
      </w:r>
      <w:r w:rsidRPr="00001A34">
        <w:rPr>
          <w:sz w:val="24"/>
          <w:szCs w:val="24"/>
        </w:rPr>
        <w:t>will be included to provide estimates of the hazard of employment retention based on an assumption of continuous time. This model estimates the same parameters as described above and takes the form of</w:t>
      </w:r>
    </w:p>
    <w:p w:rsidRPr="001500D0" w:rsidR="00AA2285" w:rsidP="00AA2285" w:rsidRDefault="00AA2285" w14:paraId="53172404" w14:textId="77777777">
      <w:pPr>
        <w:pStyle w:val="BodyText"/>
      </w:pPr>
      <m:oMathPara>
        <m:oMathParaPr>
          <m:jc m:val="left"/>
        </m:oMathParaPr>
        <m:oMath>
          <m:r>
            <m:rPr>
              <m:sty m:val="p"/>
            </m:rPr>
            <w:rPr>
              <w:rFonts w:ascii="Cambria Math" w:hAnsi="Cambria Math"/>
            </w:rPr>
            <m:t>log</m:t>
          </m:r>
          <m:d>
            <m:dPr>
              <m:begChr m:val="["/>
              <m:endChr m:val="]"/>
              <m:ctrlPr>
                <w:rPr>
                  <w:rFonts w:ascii="Cambria Math" w:hAnsi="Cambria Math"/>
                </w:rPr>
              </m:ctrlPr>
            </m:dPr>
            <m:e>
              <m:r>
                <m:rPr>
                  <m:sty m:val="p"/>
                </m:rPr>
                <w:rPr>
                  <w:rFonts w:ascii="Cambria Math" w:hAnsi="Cambria Math"/>
                </w:rPr>
                <m:t>-log</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it</m:t>
                      </m:r>
                    </m:sub>
                  </m:sSub>
                </m:e>
              </m:d>
            </m:e>
          </m:d>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itk</m:t>
              </m:r>
            </m:sub>
          </m:sSub>
        </m:oMath>
      </m:oMathPara>
    </w:p>
    <w:p w:rsidR="00AA2285" w:rsidP="00AA2285" w:rsidRDefault="00AA2285" w14:paraId="39CD833F" w14:textId="77777777">
      <w:pPr>
        <w:pStyle w:val="BodyText"/>
      </w:pPr>
    </w:p>
    <w:p w:rsidRPr="00314B32" w:rsidR="00AA2285" w:rsidP="00AA2285" w:rsidRDefault="00CC2018" w14:paraId="1C30E0E7" w14:textId="3A9280C1">
      <w:pPr>
        <w:pStyle w:val="BodyText"/>
      </w:pPr>
      <w:r>
        <w:t xml:space="preserve">To answer our </w:t>
      </w:r>
      <w:r w:rsidRPr="00CE4465">
        <w:rPr>
          <w:b/>
        </w:rPr>
        <w:t>fourth</w:t>
      </w:r>
      <w:r>
        <w:t xml:space="preserve"> research question</w:t>
      </w:r>
      <w:r w:rsidR="002A1323">
        <w:t xml:space="preserve"> (about subgroup differences in outcomes)</w:t>
      </w:r>
      <w:r>
        <w:t>, f</w:t>
      </w:r>
      <w:r w:rsidR="00AA2285">
        <w:t>or both sets of outcomes, we will first run models without covariates to understand retention (of employment or post-secondary enrollment) in the overall sample and then run analyses including youth characteristics as covariates to understand associations between these characteristics and retention.</w:t>
      </w:r>
      <w:r>
        <w:t xml:space="preserve"> We will graphically depict survival curves for each subgroup.</w:t>
      </w:r>
    </w:p>
    <w:p w:rsidR="00AA2285" w:rsidP="0022407E" w:rsidRDefault="00AA2285" w14:paraId="2C3ABD0C" w14:textId="7ACD9398"/>
    <w:p w:rsidR="002A1323" w:rsidP="002A1323" w:rsidRDefault="002A1323" w14:paraId="76929845" w14:textId="3A508EB1">
      <w:pPr>
        <w:pStyle w:val="BodyText"/>
      </w:pPr>
      <w:r>
        <w:t xml:space="preserve">To answer our </w:t>
      </w:r>
      <w:r>
        <w:rPr>
          <w:b/>
        </w:rPr>
        <w:t>fifth</w:t>
      </w:r>
      <w:r>
        <w:t xml:space="preserve"> research question</w:t>
      </w:r>
      <w:r w:rsidR="002144EF">
        <w:t xml:space="preserve"> (about COVID-19 experiences)</w:t>
      </w:r>
      <w:r>
        <w:t xml:space="preserve">, we will use descriptive statistics, and we will add a time-varying covariate for the onset of COVID-19 to the models described above (second and third sets of analyses). </w:t>
      </w:r>
      <w:r w:rsidRPr="00233B8E">
        <w:t xml:space="preserve">We will </w:t>
      </w:r>
      <w:r>
        <w:t xml:space="preserve">first </w:t>
      </w:r>
      <w:r w:rsidRPr="00233B8E">
        <w:t>us</w:t>
      </w:r>
      <w:r>
        <w:t>e</w:t>
      </w:r>
      <w:r w:rsidRPr="00233B8E">
        <w:t xml:space="preserve"> frequenc</w:t>
      </w:r>
      <w:r>
        <w:t xml:space="preserve">ies to </w:t>
      </w:r>
      <w:r w:rsidRPr="00233B8E">
        <w:t xml:space="preserve">describe youth’s self-reported </w:t>
      </w:r>
      <w:r>
        <w:t>perceptions</w:t>
      </w:r>
      <w:r w:rsidRPr="00233B8E">
        <w:t xml:space="preserve"> of COVID-19</w:t>
      </w:r>
      <w:r>
        <w:t>'s influences</w:t>
      </w:r>
      <w:r w:rsidRPr="00233B8E">
        <w:t xml:space="preserve"> on their housing, education, and employment.</w:t>
      </w:r>
      <w:r>
        <w:t xml:space="preserve"> </w:t>
      </w:r>
    </w:p>
    <w:p w:rsidR="002A1323" w:rsidP="002A1323" w:rsidRDefault="002A1323" w14:paraId="70E87D5C" w14:textId="77777777">
      <w:pPr>
        <w:pStyle w:val="BodyText"/>
      </w:pPr>
    </w:p>
    <w:p w:rsidR="002A1323" w:rsidP="002A1323" w:rsidRDefault="002A1323" w14:paraId="221E1AA6" w14:textId="1491BE17">
      <w:pPr>
        <w:pStyle w:val="BodyText"/>
      </w:pPr>
      <w:r>
        <w:t xml:space="preserve">Second, </w:t>
      </w:r>
      <w:r w:rsidRPr="00233B8E">
        <w:t>we will us</w:t>
      </w:r>
      <w:r>
        <w:t>e</w:t>
      </w:r>
      <w:r w:rsidRPr="00233B8E">
        <w:t xml:space="preserve"> frequenc</w:t>
      </w:r>
      <w:r>
        <w:t xml:space="preserve">ies to describe </w:t>
      </w:r>
      <w:r w:rsidRPr="00233B8E">
        <w:t>TLP-</w:t>
      </w:r>
      <w:r>
        <w:t>staff-</w:t>
      </w:r>
      <w:r w:rsidRPr="00233B8E">
        <w:t>reported changes in youth</w:t>
      </w:r>
      <w:r>
        <w:t>'s</w:t>
      </w:r>
      <w:r w:rsidRPr="00233B8E">
        <w:t xml:space="preserve"> housing, education, and employment goals in their case plans. This will enable us to understand the </w:t>
      </w:r>
      <w:r>
        <w:t xml:space="preserve">ways </w:t>
      </w:r>
      <w:r w:rsidRPr="00233B8E">
        <w:t xml:space="preserve">programs may have </w:t>
      </w:r>
      <w:r>
        <w:t xml:space="preserve">adjusted (e.g., </w:t>
      </w:r>
      <w:r w:rsidRPr="00233B8E">
        <w:t>de-emphasized or more strongly emphasized</w:t>
      </w:r>
      <w:r>
        <w:t>)</w:t>
      </w:r>
      <w:r w:rsidRPr="00233B8E">
        <w:t xml:space="preserve"> </w:t>
      </w:r>
      <w:r>
        <w:t xml:space="preserve">education or employment expectations </w:t>
      </w:r>
      <w:r w:rsidRPr="00233B8E">
        <w:t xml:space="preserve">for youth who entered TLPs prior to and after the onset of COVID-19. </w:t>
      </w:r>
      <w:r>
        <w:t>Adjustments</w:t>
      </w:r>
      <w:r w:rsidRPr="00233B8E">
        <w:t xml:space="preserve"> in program expectations may </w:t>
      </w:r>
      <w:r>
        <w:t>influence education</w:t>
      </w:r>
      <w:r w:rsidRPr="00233B8E">
        <w:t xml:space="preserve"> and employment trajectories</w:t>
      </w:r>
      <w:r>
        <w:t>. Thus, t</w:t>
      </w:r>
      <w:r w:rsidRPr="00233B8E">
        <w:t xml:space="preserve">his information </w:t>
      </w:r>
      <w:r>
        <w:t xml:space="preserve">can help contextualize study findings about </w:t>
      </w:r>
      <w:r w:rsidRPr="00233B8E">
        <w:t xml:space="preserve">change in </w:t>
      </w:r>
      <w:r>
        <w:t>these</w:t>
      </w:r>
      <w:r w:rsidRPr="00233B8E">
        <w:t xml:space="preserve"> trajectories </w:t>
      </w:r>
      <w:r>
        <w:t>observed</w:t>
      </w:r>
      <w:r w:rsidRPr="00233B8E">
        <w:t xml:space="preserve"> after TLP entry.</w:t>
      </w:r>
      <w:r>
        <w:t xml:space="preserve"> </w:t>
      </w:r>
    </w:p>
    <w:p w:rsidR="002A1323" w:rsidP="002A1323" w:rsidRDefault="002A1323" w14:paraId="77F11F41" w14:textId="77777777">
      <w:pPr>
        <w:pStyle w:val="BodyText"/>
      </w:pPr>
    </w:p>
    <w:p w:rsidR="002A1323" w:rsidP="002A1323" w:rsidRDefault="002A1323" w14:paraId="7848EF5B" w14:textId="77777777">
      <w:r>
        <w:t xml:space="preserve">Third, we will assess the extent to which the onset of COVID-19 is associated with differences in youth educational and employment trajectories and retention by adding a time-varying covariate for the onset of COVID-19 to the models described above (second and third sets of analyses). The U.S. declared a state of emergency due to the COVID-19 pandemic on March 1, 2020, and nearly all programs (97 percent) are in states that implemented stay-at-home orders by April 1, 2020. Our minimum time units of analysis for trajectory outcomes are quarters for employment data and semesters for education data. We will code the time-varying variable as time-weighted exposure (meaning the COVID-19 pandemic is active in the U.S.), with a value of 0 for units of </w:t>
      </w:r>
      <w:r>
        <w:lastRenderedPageBreak/>
        <w:t xml:space="preserve">time prior to March 1, 2020 that do not contain March 1, 2020 (i.e., prior to Q1 2020), a value of 1 for time periods after March 1, 2020 that do not contain this month (i.e., Q3 2020), and the proportion of time in days on or after March 1, 2020 included in the unit of time for periods of time that include March 2020 (i.e., for Q1 2020, 31 ÷ 91 days = 0.34).  This covariate can be interpreted as the difference in the average rate of change (slope) or in the survival hazard during </w:t>
      </w:r>
      <w:proofErr w:type="gramStart"/>
      <w:r>
        <w:t>time periods</w:t>
      </w:r>
      <w:proofErr w:type="gramEnd"/>
      <w:r>
        <w:t xml:space="preserve"> of exposure to COVID-19 compared to time periods without exposure to COVID-19. (If the COVID-19 pandemic is deemed to have ended in the U.S. by the end of study data collection, the same approach could be used to weight </w:t>
      </w:r>
      <w:proofErr w:type="gramStart"/>
      <w:r>
        <w:t>time periods</w:t>
      </w:r>
      <w:proofErr w:type="gramEnd"/>
      <w:r>
        <w:t xml:space="preserve"> of partial or no exposure based on an established end date.)</w:t>
      </w:r>
    </w:p>
    <w:p w:rsidR="002A1323" w:rsidP="006310A2" w:rsidRDefault="002A1323" w14:paraId="0DA7B9E1" w14:textId="77777777"/>
    <w:p w:rsidRPr="00383A0C" w:rsidR="00E05A0A" w:rsidP="006310A2" w:rsidRDefault="00E05A0A" w14:paraId="1E12D823" w14:textId="77777777">
      <w:pPr>
        <w:pStyle w:val="Heading1"/>
        <w:spacing w:after="120"/>
        <w:rPr>
          <w:rFonts w:ascii="Times New Roman" w:hAnsi="Times New Roman"/>
          <w:sz w:val="24"/>
          <w:szCs w:val="24"/>
        </w:rPr>
      </w:pPr>
      <w:bookmarkStart w:name="_Toc45548704" w:id="4"/>
      <w:r w:rsidRPr="00383A0C">
        <w:rPr>
          <w:rFonts w:ascii="Times New Roman" w:hAnsi="Times New Roman"/>
          <w:sz w:val="24"/>
          <w:szCs w:val="24"/>
        </w:rPr>
        <w:t>B3. Methods to Maximize Response Rates and Deal with Nonresponse</w:t>
      </w:r>
      <w:bookmarkEnd w:id="4"/>
    </w:p>
    <w:p w:rsidRPr="00383A0C" w:rsidR="00EC6101" w:rsidP="00383A0C" w:rsidRDefault="00EC6101" w14:paraId="53FA791A" w14:textId="77777777">
      <w:pPr>
        <w:pStyle w:val="TOC2"/>
        <w:ind w:left="0"/>
        <w:rPr>
          <w:b/>
          <w:i/>
          <w:sz w:val="24"/>
        </w:rPr>
      </w:pPr>
      <w:r w:rsidRPr="00383A0C">
        <w:rPr>
          <w:b/>
          <w:i/>
          <w:sz w:val="24"/>
        </w:rPr>
        <w:t>Expected Response Rates</w:t>
      </w:r>
    </w:p>
    <w:p w:rsidR="00951AC2" w:rsidP="00CE4465" w:rsidRDefault="00B806F7" w14:paraId="473FE562" w14:textId="768782B7">
      <w:r w:rsidRPr="00B806F7">
        <w:t xml:space="preserve">All individuals who agree to participate in the evaluation </w:t>
      </w:r>
      <w:proofErr w:type="gramStart"/>
      <w:r w:rsidR="00D54C2C">
        <w:t>will be asked</w:t>
      </w:r>
      <w:proofErr w:type="gramEnd"/>
      <w:r w:rsidR="00D54C2C">
        <w:t xml:space="preserve"> to</w:t>
      </w:r>
      <w:r w:rsidRPr="00B806F7">
        <w:t xml:space="preserve"> complete the BIF to </w:t>
      </w:r>
      <w:r>
        <w:t>participate in the study</w:t>
      </w:r>
      <w:r w:rsidR="00FF3438">
        <w:t xml:space="preserve">. However, it is possible that some youth respondents will not fully complete the BIF. Because of the relatively short burden to complete the BIF, we </w:t>
      </w:r>
      <w:r w:rsidR="00F213EB">
        <w:t xml:space="preserve">anticipate </w:t>
      </w:r>
      <w:r w:rsidR="00FF3438">
        <w:t>these occurrences will be rare</w:t>
      </w:r>
      <w:r w:rsidR="00951AC2">
        <w:t xml:space="preserve">. Participants </w:t>
      </w:r>
      <w:proofErr w:type="gramStart"/>
      <w:r w:rsidR="00951AC2">
        <w:t>will also be provided</w:t>
      </w:r>
      <w:proofErr w:type="gramEnd"/>
      <w:r w:rsidR="00951AC2">
        <w:t xml:space="preserve"> with a $</w:t>
      </w:r>
      <w:r w:rsidR="00F1409D">
        <w:t>1</w:t>
      </w:r>
      <w:r w:rsidR="00F213EB">
        <w:t>0</w:t>
      </w:r>
      <w:r w:rsidR="00951AC2">
        <w:t xml:space="preserve"> gift card </w:t>
      </w:r>
      <w:r w:rsidR="00D5069D">
        <w:t>as a token of appreciation for</w:t>
      </w:r>
      <w:r w:rsidRPr="00951AC2" w:rsidR="00951AC2">
        <w:t xml:space="preserve"> completing the BIF and to acknowledge their essential contribution to the study. </w:t>
      </w:r>
      <w:r w:rsidR="00951AC2">
        <w:t>We therefore</w:t>
      </w:r>
      <w:r w:rsidR="00FF3438">
        <w:t xml:space="preserve"> </w:t>
      </w:r>
      <w:r>
        <w:t xml:space="preserve">anticipate a </w:t>
      </w:r>
      <w:r w:rsidR="00FF3438">
        <w:t>95</w:t>
      </w:r>
      <w:r w:rsidR="00363C51">
        <w:t xml:space="preserve"> </w:t>
      </w:r>
      <w:r w:rsidR="00F213EB">
        <w:t xml:space="preserve">percent response rate for </w:t>
      </w:r>
      <w:r w:rsidR="00FF3438">
        <w:t>youth who complete the consent form</w:t>
      </w:r>
      <w:r w:rsidRPr="00B806F7">
        <w:t xml:space="preserve">. </w:t>
      </w:r>
    </w:p>
    <w:p w:rsidR="00F213EB" w:rsidP="00F213EB" w:rsidRDefault="006310A2" w14:paraId="186013CD" w14:textId="4732AC06">
      <w:r>
        <w:t xml:space="preserve">The </w:t>
      </w:r>
      <w:r w:rsidR="00F213EB">
        <w:t xml:space="preserve">data collected via the YIF is standard program data that </w:t>
      </w:r>
      <w:r w:rsidR="00A97444">
        <w:t xml:space="preserve">TLP </w:t>
      </w:r>
      <w:r w:rsidR="00F213EB">
        <w:t xml:space="preserve">programs collect. We anticipate TLP staff will update the information in the YIF on a rolling basis as youth enter and exit the TLP and complete aftercare services. However, it is possible that some youth will fail to provide the TLPs with this program data. A 95 percent response rate </w:t>
      </w:r>
      <w:proofErr w:type="gramStart"/>
      <w:r w:rsidR="00F213EB">
        <w:t>is also expected</w:t>
      </w:r>
      <w:proofErr w:type="gramEnd"/>
      <w:r w:rsidR="00F213EB">
        <w:t xml:space="preserve"> for the YIF.  </w:t>
      </w:r>
    </w:p>
    <w:p w:rsidRPr="006310A2" w:rsidR="00F213EB" w:rsidP="006310A2" w:rsidRDefault="00F213EB" w14:paraId="17C85414" w14:textId="16698BE0"/>
    <w:p w:rsidRPr="00383A0C" w:rsidR="00EC6101" w:rsidP="006310A2" w:rsidRDefault="00EC6101" w14:paraId="7FBCEEE7" w14:textId="77777777">
      <w:pPr>
        <w:pStyle w:val="TOC2"/>
        <w:spacing w:after="120"/>
        <w:ind w:left="0"/>
        <w:rPr>
          <w:b/>
          <w:i/>
          <w:sz w:val="24"/>
        </w:rPr>
      </w:pPr>
      <w:r w:rsidRPr="00383A0C">
        <w:rPr>
          <w:b/>
          <w:i/>
          <w:sz w:val="24"/>
        </w:rPr>
        <w:t>Dealing with Nonresponse</w:t>
      </w:r>
    </w:p>
    <w:p w:rsidR="00951AC2" w:rsidP="00CE4465" w:rsidRDefault="00F64DCD" w14:paraId="2EF3795D" w14:textId="77777777">
      <w:r w:rsidRPr="00DD48AC">
        <w:t xml:space="preserve">The presence of non-response to </w:t>
      </w:r>
      <w:r w:rsidR="0038740A">
        <w:t xml:space="preserve">select questions in the BIF can threaten </w:t>
      </w:r>
      <w:r w:rsidR="00F03C5B">
        <w:t>the ability to conduct administrative data matching</w:t>
      </w:r>
      <w:r w:rsidR="0038740A">
        <w:t xml:space="preserve">. To minimize this risk, we </w:t>
      </w:r>
      <w:r w:rsidR="00995776">
        <w:t>will</w:t>
      </w:r>
      <w:r w:rsidR="0038740A">
        <w:t xml:space="preserve"> also ask </w:t>
      </w:r>
      <w:r w:rsidR="00251FE8">
        <w:t xml:space="preserve">TLP program staff to verify </w:t>
      </w:r>
      <w:r w:rsidR="00951AC2">
        <w:t xml:space="preserve">each </w:t>
      </w:r>
      <w:r w:rsidR="0038740A">
        <w:t>youth’s SSN as part of the administrative data collection effort built into the Youth Outcomes Study design.</w:t>
      </w:r>
    </w:p>
    <w:p w:rsidR="00B806F7" w:rsidP="00FD1B70" w:rsidRDefault="00B806F7" w14:paraId="272C5160" w14:textId="72E8969A"/>
    <w:p w:rsidRPr="00383A0C" w:rsidR="00EC6101" w:rsidP="006310A2" w:rsidRDefault="00EC6101" w14:paraId="3A2B5582" w14:textId="77777777">
      <w:pPr>
        <w:pStyle w:val="TOC2"/>
        <w:spacing w:after="120"/>
        <w:ind w:left="0"/>
        <w:rPr>
          <w:b/>
          <w:i/>
          <w:sz w:val="24"/>
        </w:rPr>
      </w:pPr>
      <w:r w:rsidRPr="00383A0C">
        <w:rPr>
          <w:b/>
          <w:i/>
          <w:sz w:val="24"/>
        </w:rPr>
        <w:t>Maximizing Response Rates</w:t>
      </w:r>
    </w:p>
    <w:p w:rsidR="00F64DCD" w:rsidP="00F64DCD" w:rsidRDefault="00F64DCD" w14:paraId="58F9276A" w14:textId="5555B5B2">
      <w:r w:rsidRPr="00206191">
        <w:t xml:space="preserve">Collecting </w:t>
      </w:r>
      <w:r w:rsidR="00882564">
        <w:t xml:space="preserve">longitudinal </w:t>
      </w:r>
      <w:r w:rsidRPr="00206191">
        <w:t xml:space="preserve">data from </w:t>
      </w:r>
      <w:r w:rsidR="00882564">
        <w:t xml:space="preserve">runaway and </w:t>
      </w:r>
      <w:r w:rsidRPr="00206191">
        <w:t xml:space="preserve">homeless youth </w:t>
      </w:r>
      <w:r w:rsidR="00882564">
        <w:t>is</w:t>
      </w:r>
      <w:r w:rsidRPr="00206191">
        <w:t xml:space="preserve"> </w:t>
      </w:r>
      <w:r w:rsidR="00882564">
        <w:t xml:space="preserve">a </w:t>
      </w:r>
      <w:r w:rsidRPr="00206191">
        <w:t xml:space="preserve">challenge because many are transitory and lack fixed addresses. To obtain adequate </w:t>
      </w:r>
      <w:r w:rsidR="0038740A">
        <w:t xml:space="preserve">data, the Youth Outcomes Study </w:t>
      </w:r>
      <w:r w:rsidR="00466A18">
        <w:t xml:space="preserve">will </w:t>
      </w:r>
      <w:r w:rsidR="0038740A">
        <w:t xml:space="preserve">shift to </w:t>
      </w:r>
      <w:r w:rsidR="008B2D76">
        <w:t xml:space="preserve">an approach that relies </w:t>
      </w:r>
      <w:r w:rsidR="0038740A">
        <w:t xml:space="preserve">largely </w:t>
      </w:r>
      <w:r w:rsidR="008B2D76">
        <w:t xml:space="preserve">on </w:t>
      </w:r>
      <w:r w:rsidR="0038740A">
        <w:t xml:space="preserve">administrative data. This shift means that the evaluation will no longer be dependent on follow-up survey responses from youth, thus minimizing the risk of non-response. </w:t>
      </w:r>
    </w:p>
    <w:p w:rsidRPr="00206191" w:rsidR="00A90912" w:rsidP="00F64DCD" w:rsidRDefault="00A90912" w14:paraId="425345EB" w14:textId="77777777"/>
    <w:p w:rsidRPr="00383A0C" w:rsidR="00E05A0A" w:rsidP="006310A2" w:rsidRDefault="00E05A0A" w14:paraId="7407C5D4" w14:textId="1B6632A9">
      <w:pPr>
        <w:pStyle w:val="Heading1"/>
        <w:spacing w:after="120"/>
        <w:rPr>
          <w:rFonts w:ascii="Times New Roman" w:hAnsi="Times New Roman"/>
          <w:sz w:val="24"/>
          <w:szCs w:val="24"/>
        </w:rPr>
      </w:pPr>
      <w:bookmarkStart w:name="_Toc45548705" w:id="5"/>
      <w:r w:rsidRPr="00383A0C">
        <w:rPr>
          <w:rFonts w:ascii="Times New Roman" w:hAnsi="Times New Roman"/>
          <w:sz w:val="24"/>
          <w:szCs w:val="24"/>
        </w:rPr>
        <w:t xml:space="preserve">B4. Tests of Procedures or Methods to be </w:t>
      </w:r>
      <w:proofErr w:type="gramStart"/>
      <w:r w:rsidRPr="00383A0C">
        <w:rPr>
          <w:rFonts w:ascii="Times New Roman" w:hAnsi="Times New Roman"/>
          <w:sz w:val="24"/>
          <w:szCs w:val="24"/>
        </w:rPr>
        <w:t>Undertaken</w:t>
      </w:r>
      <w:bookmarkEnd w:id="5"/>
      <w:proofErr w:type="gramEnd"/>
    </w:p>
    <w:p w:rsidR="00F20419" w:rsidP="00383A0C" w:rsidRDefault="000F047D" w14:paraId="693D5DB5" w14:textId="048D2243">
      <w:pPr>
        <w:tabs>
          <w:tab w:val="left" w:pos="6390"/>
        </w:tabs>
      </w:pPr>
      <w:r w:rsidRPr="000F047D">
        <w:t xml:space="preserve">ACF is not proposing any </w:t>
      </w:r>
      <w:r>
        <w:t xml:space="preserve">substantive </w:t>
      </w:r>
      <w:r w:rsidRPr="000F047D">
        <w:t xml:space="preserve">changes to the previously approved </w:t>
      </w:r>
      <w:r w:rsidR="0038740A">
        <w:t>questions</w:t>
      </w:r>
      <w:r w:rsidRPr="000F047D" w:rsidR="0038740A">
        <w:t xml:space="preserve"> </w:t>
      </w:r>
      <w:r w:rsidR="0038740A">
        <w:t xml:space="preserve">that remain in the BIF </w:t>
      </w:r>
      <w:r w:rsidRPr="000F047D">
        <w:t>as part of this request. ACF has not conducted any additional testing of the data collection procedures or methods since receiving initial OMB approval.</w:t>
      </w:r>
    </w:p>
    <w:p w:rsidRPr="00FD1B70" w:rsidR="00A90912" w:rsidP="00383A0C" w:rsidRDefault="00A90912" w14:paraId="0FAE2789" w14:textId="77777777">
      <w:pPr>
        <w:tabs>
          <w:tab w:val="left" w:pos="6390"/>
        </w:tabs>
      </w:pPr>
    </w:p>
    <w:p w:rsidRPr="00383A0C" w:rsidR="00E05A0A" w:rsidP="006310A2" w:rsidRDefault="00E05A0A" w14:paraId="7240E728" w14:textId="77777777">
      <w:pPr>
        <w:pStyle w:val="Heading1"/>
        <w:spacing w:after="120"/>
        <w:rPr>
          <w:rFonts w:ascii="Times New Roman" w:hAnsi="Times New Roman"/>
          <w:sz w:val="24"/>
          <w:szCs w:val="24"/>
        </w:rPr>
      </w:pPr>
      <w:bookmarkStart w:name="_Toc45548706" w:id="6"/>
      <w:r w:rsidRPr="00383A0C">
        <w:rPr>
          <w:rFonts w:ascii="Times New Roman" w:hAnsi="Times New Roman"/>
          <w:sz w:val="24"/>
          <w:szCs w:val="24"/>
        </w:rPr>
        <w:lastRenderedPageBreak/>
        <w:t xml:space="preserve">B5. </w:t>
      </w:r>
      <w:r w:rsidRPr="00383A0C" w:rsidR="0008315A">
        <w:rPr>
          <w:rFonts w:ascii="Times New Roman" w:hAnsi="Times New Roman"/>
          <w:sz w:val="24"/>
          <w:szCs w:val="24"/>
        </w:rPr>
        <w:t>Individual(s)</w:t>
      </w:r>
      <w:r w:rsidRPr="00383A0C">
        <w:rPr>
          <w:rFonts w:ascii="Times New Roman" w:hAnsi="Times New Roman"/>
          <w:sz w:val="24"/>
          <w:szCs w:val="24"/>
        </w:rPr>
        <w:t xml:space="preserve"> Consulted on Statistical Aspects and Individuals Collecting and/or Analyzing Data</w:t>
      </w:r>
      <w:bookmarkEnd w:id="6"/>
    </w:p>
    <w:p w:rsidR="00F64DCD" w:rsidP="00F64DCD" w:rsidRDefault="00F64DCD" w14:paraId="3EF0D3C8" w14:textId="77777777">
      <w:r w:rsidRPr="007875BB">
        <w:t xml:space="preserve">Consultations on the statistical methods used in this study </w:t>
      </w:r>
      <w:proofErr w:type="gramStart"/>
      <w:r w:rsidRPr="007875BB">
        <w:t>have been undertaken</w:t>
      </w:r>
      <w:proofErr w:type="gramEnd"/>
      <w:r w:rsidRPr="007875BB">
        <w:t xml:space="preserve"> to ensure the technical soundness of the research. </w:t>
      </w:r>
      <w:r>
        <w:t>Administration of the data collection will be overseen by</w:t>
      </w:r>
      <w:r w:rsidRPr="00381FE6">
        <w:t xml:space="preserve"> </w:t>
      </w:r>
      <w:r>
        <w:t xml:space="preserve">Abt Associates (statistical and research contractor). </w:t>
      </w:r>
      <w:r w:rsidRPr="00381FE6">
        <w:t>The same contractor will analyze data</w:t>
      </w:r>
      <w:r>
        <w:t xml:space="preserve">. Members of this research team include: </w:t>
      </w:r>
    </w:p>
    <w:p w:rsidR="00F64DCD" w:rsidP="00F64DCD" w:rsidRDefault="00F64DCD" w14:paraId="37F96903" w14:textId="77777777"/>
    <w:p w:rsidR="00060E42" w:rsidP="00F64DCD" w:rsidRDefault="0038740A" w14:paraId="460B6406" w14:textId="77777777">
      <w:r>
        <w:t>Ms. Alisa Santucci</w:t>
      </w:r>
    </w:p>
    <w:p w:rsidR="00F64DCD" w:rsidP="00F64DCD" w:rsidRDefault="00F64DCD" w14:paraId="53A5B4A4" w14:textId="77777777">
      <w:r>
        <w:t xml:space="preserve">Abt Associates </w:t>
      </w:r>
    </w:p>
    <w:p w:rsidR="00F64DCD" w:rsidP="00F64DCD" w:rsidRDefault="00F64DCD" w14:paraId="170FE68D" w14:textId="77777777">
      <w:r w:rsidRPr="00B62D13">
        <w:t xml:space="preserve">6130 Executive Boulevard </w:t>
      </w:r>
    </w:p>
    <w:p w:rsidR="00F64DCD" w:rsidP="00F64DCD" w:rsidRDefault="00F64DCD" w14:paraId="580C6312" w14:textId="77777777">
      <w:r w:rsidRPr="00B62D13">
        <w:t xml:space="preserve">Rockville, </w:t>
      </w:r>
      <w:r>
        <w:t>MD</w:t>
      </w:r>
      <w:r w:rsidRPr="00B62D13">
        <w:t xml:space="preserve"> 20852</w:t>
      </w:r>
    </w:p>
    <w:p w:rsidR="0038740A" w:rsidP="0038740A" w:rsidRDefault="0038740A" w14:paraId="7440A90F" w14:textId="20ED8066">
      <w:r w:rsidRPr="0011103A">
        <w:t xml:space="preserve">(301) </w:t>
      </w:r>
      <w:r>
        <w:t>347</w:t>
      </w:r>
      <w:r w:rsidRPr="0011103A">
        <w:t>-</w:t>
      </w:r>
      <w:r>
        <w:t>5376</w:t>
      </w:r>
    </w:p>
    <w:p w:rsidR="00F64DCD" w:rsidP="00F64DCD" w:rsidRDefault="0038740A" w14:paraId="665943DE" w14:textId="2F8CDCD4">
      <w:r w:rsidDel="0038740A">
        <w:t xml:space="preserve"> </w:t>
      </w:r>
    </w:p>
    <w:p w:rsidR="00F64DCD" w:rsidP="00F64DCD" w:rsidRDefault="00F64DCD" w14:paraId="098D9243" w14:textId="77777777">
      <w:r>
        <w:t>Dr. Jill Khadduri</w:t>
      </w:r>
    </w:p>
    <w:p w:rsidR="00F64DCD" w:rsidP="00F64DCD" w:rsidRDefault="00F64DCD" w14:paraId="1730DC6C" w14:textId="77777777">
      <w:r>
        <w:t xml:space="preserve">Abt Associates </w:t>
      </w:r>
    </w:p>
    <w:p w:rsidR="00F64DCD" w:rsidP="00F64DCD" w:rsidRDefault="00F64DCD" w14:paraId="4884EB08" w14:textId="77777777">
      <w:r w:rsidRPr="00B62D13">
        <w:t xml:space="preserve">6130 Executive Boulevard </w:t>
      </w:r>
    </w:p>
    <w:p w:rsidR="00F64DCD" w:rsidP="00F64DCD" w:rsidRDefault="00F64DCD" w14:paraId="2E397CE8" w14:textId="77777777">
      <w:r w:rsidRPr="00B62D13">
        <w:t xml:space="preserve">Rockville, </w:t>
      </w:r>
      <w:r>
        <w:t>MD</w:t>
      </w:r>
      <w:r w:rsidRPr="00B62D13">
        <w:t xml:space="preserve"> 20852</w:t>
      </w:r>
    </w:p>
    <w:p w:rsidR="00F64DCD" w:rsidP="00F64DCD" w:rsidRDefault="00F64DCD" w14:paraId="6E799271" w14:textId="77777777">
      <w:r w:rsidRPr="0011103A">
        <w:t>(301) 634-1745</w:t>
      </w:r>
    </w:p>
    <w:p w:rsidR="00F64DCD" w:rsidP="00F64DCD" w:rsidRDefault="00F64DCD" w14:paraId="48F3E1CD" w14:textId="77777777"/>
    <w:p w:rsidR="00F64DCD" w:rsidP="00F64DCD" w:rsidRDefault="00E64BC3" w14:paraId="4F2A4CEA" w14:textId="4674514B">
      <w:r>
        <w:t>M</w:t>
      </w:r>
      <w:r w:rsidR="00F64DCD">
        <w:t xml:space="preserve">r. </w:t>
      </w:r>
      <w:r w:rsidR="00E55906">
        <w:t>Cristofer Price</w:t>
      </w:r>
    </w:p>
    <w:p w:rsidR="00F64DCD" w:rsidP="00F64DCD" w:rsidRDefault="00F64DCD" w14:paraId="24D585E0" w14:textId="77777777">
      <w:r>
        <w:t xml:space="preserve">Abt Associates </w:t>
      </w:r>
    </w:p>
    <w:p w:rsidR="00F64DCD" w:rsidP="00F64DCD" w:rsidRDefault="00F64DCD" w14:paraId="2E7DA630" w14:textId="77777777">
      <w:r w:rsidRPr="00B62D13">
        <w:t xml:space="preserve">6130 Executive Boulevard </w:t>
      </w:r>
    </w:p>
    <w:p w:rsidR="00F64DCD" w:rsidP="00F64DCD" w:rsidRDefault="00F64DCD" w14:paraId="255D41AD" w14:textId="77777777">
      <w:r w:rsidRPr="00B62D13">
        <w:t xml:space="preserve">Rockville, </w:t>
      </w:r>
      <w:r>
        <w:t>MD</w:t>
      </w:r>
      <w:r w:rsidRPr="00B62D13">
        <w:t xml:space="preserve"> 20852</w:t>
      </w:r>
    </w:p>
    <w:p w:rsidR="00F64DCD" w:rsidP="00F64DCD" w:rsidRDefault="00F64DCD" w14:paraId="05AD5335" w14:textId="77777777">
      <w:r w:rsidRPr="0011103A">
        <w:t>(301) 634-1854</w:t>
      </w:r>
    </w:p>
    <w:p w:rsidR="00F64DCD" w:rsidP="00F64DCD" w:rsidRDefault="00F64DCD" w14:paraId="655DC50F" w14:textId="77777777"/>
    <w:p w:rsidR="00F64DCD" w:rsidP="00F64DCD" w:rsidRDefault="00F64DCD" w14:paraId="595DC21D" w14:textId="1B6C54A8">
      <w:r>
        <w:t>Dr. Jessica Thornton Walker</w:t>
      </w:r>
    </w:p>
    <w:p w:rsidR="00F64DCD" w:rsidP="00F64DCD" w:rsidRDefault="00F64DCD" w14:paraId="7CECC16D" w14:textId="77777777">
      <w:r>
        <w:t xml:space="preserve">Abt Associates </w:t>
      </w:r>
    </w:p>
    <w:p w:rsidR="00F64DCD" w:rsidP="00F64DCD" w:rsidRDefault="00F64DCD" w14:paraId="21C56C35" w14:textId="77777777">
      <w:r w:rsidRPr="00B62D13">
        <w:t xml:space="preserve">6130 Executive Boulevard </w:t>
      </w:r>
    </w:p>
    <w:p w:rsidR="00F64DCD" w:rsidP="00F64DCD" w:rsidRDefault="00F64DCD" w14:paraId="2DD4FF9A" w14:textId="77777777">
      <w:r w:rsidRPr="00B62D13">
        <w:t xml:space="preserve">Rockville, </w:t>
      </w:r>
      <w:r>
        <w:t>MD</w:t>
      </w:r>
      <w:r w:rsidRPr="00B62D13">
        <w:t xml:space="preserve"> 20852</w:t>
      </w:r>
    </w:p>
    <w:p w:rsidR="00F64DCD" w:rsidP="00F64DCD" w:rsidRDefault="00F64DCD" w14:paraId="5F5E8252" w14:textId="77777777">
      <w:r>
        <w:t xml:space="preserve">(301) </w:t>
      </w:r>
      <w:r w:rsidRPr="00D50392">
        <w:t>347</w:t>
      </w:r>
      <w:r>
        <w:t>-</w:t>
      </w:r>
      <w:r w:rsidRPr="00D50392">
        <w:t>5622</w:t>
      </w:r>
    </w:p>
    <w:p w:rsidR="0038740A" w:rsidP="00F64DCD" w:rsidRDefault="0038740A" w14:paraId="66734DD1" w14:textId="77777777"/>
    <w:p w:rsidR="0038740A" w:rsidP="00F64DCD" w:rsidRDefault="007879BE" w14:paraId="37EC047F" w14:textId="1B3B5C08">
      <w:r>
        <w:t>Dr</w:t>
      </w:r>
      <w:r w:rsidR="0038740A">
        <w:t xml:space="preserve">. Scott Brown </w:t>
      </w:r>
    </w:p>
    <w:p w:rsidR="0038740A" w:rsidP="0038740A" w:rsidRDefault="0038740A" w14:paraId="3A24E4D4" w14:textId="77777777">
      <w:r>
        <w:t xml:space="preserve">Abt Associates </w:t>
      </w:r>
    </w:p>
    <w:p w:rsidR="0038740A" w:rsidP="0038740A" w:rsidRDefault="0038740A" w14:paraId="346B5D47" w14:textId="77777777">
      <w:r w:rsidRPr="00B62D13">
        <w:t xml:space="preserve">6130 Executive Boulevard </w:t>
      </w:r>
    </w:p>
    <w:p w:rsidR="0038740A" w:rsidP="0038740A" w:rsidRDefault="0038740A" w14:paraId="15E6327B" w14:textId="77777777">
      <w:r w:rsidRPr="00B62D13">
        <w:t xml:space="preserve">Rockville, </w:t>
      </w:r>
      <w:r>
        <w:t>MD</w:t>
      </w:r>
      <w:r w:rsidRPr="00B62D13">
        <w:t xml:space="preserve"> 20852</w:t>
      </w:r>
    </w:p>
    <w:p w:rsidRPr="002A1323" w:rsidR="0038740A" w:rsidP="0038740A" w:rsidRDefault="0038740A" w14:paraId="3B2B4950" w14:textId="74264FEB">
      <w:r w:rsidRPr="002A1323">
        <w:t>(301) 347-5597</w:t>
      </w:r>
    </w:p>
    <w:p w:rsidRPr="002A1323" w:rsidR="00951AC2" w:rsidP="0038740A" w:rsidRDefault="00951AC2" w14:paraId="52DBCC39" w14:textId="77777777"/>
    <w:p w:rsidRPr="002A1323" w:rsidR="00951AC2" w:rsidP="0038740A" w:rsidRDefault="007879BE" w14:paraId="553686EA" w14:textId="60829089">
      <w:r w:rsidRPr="002A1323">
        <w:t xml:space="preserve">Ms. </w:t>
      </w:r>
      <w:r w:rsidRPr="002A1323" w:rsidR="00951AC2">
        <w:t>Tanya de Sousa</w:t>
      </w:r>
    </w:p>
    <w:p w:rsidRPr="002A1323" w:rsidR="00951AC2" w:rsidP="00951AC2" w:rsidRDefault="00951AC2" w14:paraId="3D4C095D" w14:textId="77777777">
      <w:r w:rsidRPr="002A1323">
        <w:t xml:space="preserve">Abt Associates </w:t>
      </w:r>
    </w:p>
    <w:p w:rsidR="00951AC2" w:rsidP="00951AC2" w:rsidRDefault="00951AC2" w14:paraId="290FFD51" w14:textId="77777777">
      <w:r w:rsidRPr="00B62D13">
        <w:t xml:space="preserve">6130 Executive Boulevard </w:t>
      </w:r>
    </w:p>
    <w:p w:rsidR="00951AC2" w:rsidP="00951AC2" w:rsidRDefault="00951AC2" w14:paraId="6575DFAB" w14:textId="77777777">
      <w:r w:rsidRPr="00B62D13">
        <w:t xml:space="preserve">Rockville, </w:t>
      </w:r>
      <w:r>
        <w:t>MD</w:t>
      </w:r>
      <w:r w:rsidRPr="00B62D13">
        <w:t xml:space="preserve"> 20852</w:t>
      </w:r>
    </w:p>
    <w:p w:rsidR="00951AC2" w:rsidP="00951AC2" w:rsidRDefault="00951AC2" w14:paraId="76129BC1" w14:textId="45304929">
      <w:r>
        <w:t xml:space="preserve">(301) </w:t>
      </w:r>
      <w:r w:rsidRPr="00D50392">
        <w:t>347</w:t>
      </w:r>
      <w:r>
        <w:t>-</w:t>
      </w:r>
      <w:r w:rsidRPr="00D50392">
        <w:t>5</w:t>
      </w:r>
      <w:r>
        <w:t>695</w:t>
      </w:r>
    </w:p>
    <w:p w:rsidR="00951AC2" w:rsidP="0038740A" w:rsidRDefault="00951AC2" w14:paraId="27E2A18A" w14:textId="77777777"/>
    <w:p w:rsidR="0038740A" w:rsidP="00F64DCD" w:rsidRDefault="0038740A" w14:paraId="167560DA" w14:textId="77777777"/>
    <w:p w:rsidRPr="004E1DED" w:rsidR="00FF0291" w:rsidP="00157926" w:rsidRDefault="00FF0291" w14:paraId="47BA79A7" w14:textId="77777777">
      <w:pPr>
        <w:pStyle w:val="Heading1"/>
        <w:rPr>
          <w:rFonts w:ascii="Times New Roman" w:hAnsi="Times New Roman"/>
        </w:rPr>
      </w:pPr>
      <w:r>
        <w:br w:type="page"/>
      </w:r>
      <w:bookmarkStart w:name="_Toc45548707" w:id="7"/>
      <w:r w:rsidRPr="004E1DED">
        <w:rPr>
          <w:rFonts w:ascii="Times New Roman" w:hAnsi="Times New Roman"/>
          <w:sz w:val="24"/>
        </w:rPr>
        <w:lastRenderedPageBreak/>
        <w:t>References</w:t>
      </w:r>
      <w:bookmarkEnd w:id="7"/>
    </w:p>
    <w:p w:rsidRPr="004E1DED" w:rsidR="00FF0291" w:rsidP="00FF0291" w:rsidRDefault="00FF0291" w14:paraId="57D9CACB" w14:textId="77777777">
      <w:pPr>
        <w:pStyle w:val="BodyText"/>
        <w:ind w:left="360" w:hanging="360"/>
        <w:rPr>
          <w:b/>
        </w:rPr>
      </w:pPr>
    </w:p>
    <w:p w:rsidRPr="00001A34" w:rsidR="00566A1B" w:rsidP="00566A1B" w:rsidRDefault="00566A1B" w14:paraId="04A7A588" w14:textId="77777777">
      <w:pPr>
        <w:pStyle w:val="BodyTextNoSpaceAfter"/>
        <w:ind w:left="360" w:hanging="360"/>
        <w:rPr>
          <w:sz w:val="24"/>
          <w:szCs w:val="24"/>
        </w:rPr>
      </w:pPr>
      <w:proofErr w:type="gramStart"/>
      <w:r w:rsidRPr="00001A34">
        <w:rPr>
          <w:sz w:val="24"/>
          <w:szCs w:val="24"/>
        </w:rPr>
        <w:t xml:space="preserve">Browne, M. W. &amp; </w:t>
      </w:r>
      <w:proofErr w:type="spellStart"/>
      <w:r w:rsidRPr="00001A34">
        <w:rPr>
          <w:sz w:val="24"/>
          <w:szCs w:val="24"/>
        </w:rPr>
        <w:t>Cudeck</w:t>
      </w:r>
      <w:proofErr w:type="spellEnd"/>
      <w:r w:rsidRPr="00001A34">
        <w:rPr>
          <w:sz w:val="24"/>
          <w:szCs w:val="24"/>
        </w:rPr>
        <w:t>, R. (1993).</w:t>
      </w:r>
      <w:proofErr w:type="gramEnd"/>
      <w:r w:rsidRPr="00001A34">
        <w:rPr>
          <w:sz w:val="24"/>
          <w:szCs w:val="24"/>
        </w:rPr>
        <w:t xml:space="preserve"> Alternative ways of assessing model fit. </w:t>
      </w:r>
      <w:proofErr w:type="gramStart"/>
      <w:r w:rsidRPr="00001A34">
        <w:rPr>
          <w:sz w:val="24"/>
          <w:szCs w:val="24"/>
        </w:rPr>
        <w:t xml:space="preserve">In </w:t>
      </w:r>
      <w:proofErr w:type="spellStart"/>
      <w:r w:rsidRPr="00001A34">
        <w:rPr>
          <w:sz w:val="24"/>
          <w:szCs w:val="24"/>
        </w:rPr>
        <w:t>Bollen</w:t>
      </w:r>
      <w:proofErr w:type="spellEnd"/>
      <w:r w:rsidRPr="00001A34">
        <w:rPr>
          <w:sz w:val="24"/>
          <w:szCs w:val="24"/>
        </w:rPr>
        <w:t>, K.A. &amp; Long, J.S. (Eds.) Testing structural equation models.</w:t>
      </w:r>
      <w:proofErr w:type="gramEnd"/>
      <w:r w:rsidRPr="00001A34">
        <w:rPr>
          <w:sz w:val="24"/>
          <w:szCs w:val="24"/>
        </w:rPr>
        <w:t xml:space="preserve"> Newbury Park, CA: Sage, 136–162.</w:t>
      </w:r>
    </w:p>
    <w:p w:rsidRPr="00F57CE4" w:rsidR="00566A1B" w:rsidP="006310A2" w:rsidRDefault="00566A1B" w14:paraId="2E860E80" w14:textId="77777777">
      <w:pPr>
        <w:pStyle w:val="BodyTextNoSpaceAfter"/>
        <w:ind w:left="360" w:hanging="360"/>
      </w:pPr>
    </w:p>
    <w:p w:rsidR="00566A1B" w:rsidP="00566A1B" w:rsidRDefault="00566A1B" w14:paraId="67E711E6" w14:textId="77777777">
      <w:pPr>
        <w:pStyle w:val="BodyText"/>
        <w:ind w:left="360" w:hanging="360"/>
        <w:rPr>
          <w:szCs w:val="24"/>
        </w:rPr>
      </w:pPr>
      <w:r w:rsidRPr="003F6901">
        <w:rPr>
          <w:szCs w:val="24"/>
        </w:rPr>
        <w:t xml:space="preserve">Huber, P. J. (1967). The behavior of maximum likelihood estimates under nonstandard conditions. </w:t>
      </w:r>
      <w:proofErr w:type="gramStart"/>
      <w:r w:rsidRPr="003F6901">
        <w:rPr>
          <w:szCs w:val="24"/>
        </w:rPr>
        <w:t xml:space="preserve">In </w:t>
      </w:r>
      <w:r w:rsidRPr="003F6901">
        <w:rPr>
          <w:i/>
          <w:iCs/>
          <w:szCs w:val="24"/>
        </w:rPr>
        <w:t>Proceedings of the Fifth Berkeley Symposium on Mathematical Statistics and Probability</w:t>
      </w:r>
      <w:r w:rsidRPr="003F6901">
        <w:rPr>
          <w:szCs w:val="24"/>
        </w:rPr>
        <w:t>.</w:t>
      </w:r>
      <w:proofErr w:type="gramEnd"/>
      <w:r w:rsidRPr="003F6901">
        <w:rPr>
          <w:szCs w:val="24"/>
        </w:rPr>
        <w:t xml:space="preserve"> Berkeley, CA: University of California Press, 1, 221–233. </w:t>
      </w:r>
    </w:p>
    <w:p w:rsidRPr="003F6901" w:rsidR="00566A1B" w:rsidP="006310A2" w:rsidRDefault="00566A1B" w14:paraId="61CA151A" w14:textId="77777777">
      <w:pPr>
        <w:pStyle w:val="BodyText"/>
        <w:ind w:left="360" w:hanging="360"/>
      </w:pPr>
    </w:p>
    <w:p w:rsidRPr="00001A34" w:rsidR="00566A1B" w:rsidP="00566A1B" w:rsidRDefault="00566A1B" w14:paraId="26A696BF" w14:textId="77777777">
      <w:pPr>
        <w:pStyle w:val="BodyTextNoSpaceAfter"/>
        <w:ind w:left="360" w:hanging="360"/>
        <w:rPr>
          <w:sz w:val="24"/>
          <w:szCs w:val="24"/>
        </w:rPr>
      </w:pPr>
      <w:proofErr w:type="spellStart"/>
      <w:r w:rsidRPr="00001A34">
        <w:rPr>
          <w:sz w:val="24"/>
          <w:szCs w:val="24"/>
        </w:rPr>
        <w:t>Steiger</w:t>
      </w:r>
      <w:proofErr w:type="spellEnd"/>
      <w:r w:rsidRPr="00001A34">
        <w:rPr>
          <w:sz w:val="24"/>
          <w:szCs w:val="24"/>
        </w:rPr>
        <w:t xml:space="preserve">, J. H. (1989). Causal modeling: a supplementary module for SYSTAT and SYGRAPH. </w:t>
      </w:r>
      <w:proofErr w:type="gramStart"/>
      <w:r w:rsidRPr="00001A34">
        <w:rPr>
          <w:sz w:val="24"/>
          <w:szCs w:val="24"/>
        </w:rPr>
        <w:t>SYSTAT; Evanston, IL.</w:t>
      </w:r>
      <w:proofErr w:type="gramEnd"/>
    </w:p>
    <w:p w:rsidR="00566A1B" w:rsidP="00566A1B" w:rsidRDefault="00566A1B" w14:paraId="5FF1F055" w14:textId="77777777">
      <w:pPr>
        <w:pStyle w:val="BodyTextNoSpaceAfter"/>
        <w:ind w:left="360" w:hanging="360"/>
        <w:rPr>
          <w:sz w:val="24"/>
          <w:szCs w:val="24"/>
        </w:rPr>
      </w:pPr>
    </w:p>
    <w:p w:rsidRPr="00001A34" w:rsidR="00566A1B" w:rsidP="00566A1B" w:rsidRDefault="00566A1B" w14:paraId="11003EB4" w14:textId="560D038B">
      <w:pPr>
        <w:pStyle w:val="BodyTextNoSpaceAfter"/>
        <w:ind w:left="360" w:hanging="360"/>
        <w:rPr>
          <w:sz w:val="24"/>
          <w:szCs w:val="24"/>
        </w:rPr>
      </w:pPr>
      <w:proofErr w:type="gramStart"/>
      <w:r>
        <w:rPr>
          <w:sz w:val="24"/>
          <w:szCs w:val="24"/>
        </w:rPr>
        <w:t xml:space="preserve">Valentine, E. J., </w:t>
      </w:r>
      <w:proofErr w:type="spellStart"/>
      <w:r>
        <w:rPr>
          <w:sz w:val="24"/>
          <w:szCs w:val="24"/>
        </w:rPr>
        <w:t>Skemer</w:t>
      </w:r>
      <w:proofErr w:type="spellEnd"/>
      <w:r>
        <w:rPr>
          <w:sz w:val="24"/>
          <w:szCs w:val="24"/>
        </w:rPr>
        <w:t>, M., &amp; Courtney, M. E. (2015).</w:t>
      </w:r>
      <w:proofErr w:type="gramEnd"/>
      <w:r>
        <w:rPr>
          <w:sz w:val="24"/>
          <w:szCs w:val="24"/>
        </w:rPr>
        <w:t xml:space="preserve"> </w:t>
      </w:r>
      <w:proofErr w:type="gramStart"/>
      <w:r>
        <w:rPr>
          <w:sz w:val="24"/>
          <w:szCs w:val="24"/>
        </w:rPr>
        <w:t>Becoming adults: One-year impact findings from the Youth Villages Transitional Living Evaluation.</w:t>
      </w:r>
      <w:proofErr w:type="gramEnd"/>
      <w:r>
        <w:rPr>
          <w:sz w:val="24"/>
          <w:szCs w:val="24"/>
        </w:rPr>
        <w:t xml:space="preserve"> New York: MDRC.</w:t>
      </w:r>
    </w:p>
    <w:p w:rsidR="00566A1B" w:rsidP="00566A1B" w:rsidRDefault="00566A1B" w14:paraId="2098624F" w14:textId="77777777">
      <w:pPr>
        <w:pStyle w:val="BodyTextNoSpaceAfter"/>
        <w:ind w:left="360" w:hanging="360"/>
        <w:rPr>
          <w:sz w:val="24"/>
          <w:szCs w:val="24"/>
        </w:rPr>
      </w:pPr>
    </w:p>
    <w:p w:rsidRPr="00F57CE4" w:rsidR="00566A1B" w:rsidP="006310A2" w:rsidRDefault="00566A1B" w14:paraId="5F9DC9A3" w14:textId="77777777">
      <w:pPr>
        <w:pStyle w:val="BodyTextNoSpaceAfter"/>
        <w:ind w:left="360" w:hanging="360"/>
      </w:pPr>
      <w:r w:rsidRPr="006310A2">
        <w:rPr>
          <w:sz w:val="24"/>
        </w:rPr>
        <w:t xml:space="preserve">White, H. (1980). </w:t>
      </w:r>
      <w:proofErr w:type="gramStart"/>
      <w:r w:rsidRPr="006310A2">
        <w:rPr>
          <w:sz w:val="24"/>
        </w:rPr>
        <w:t xml:space="preserve">A </w:t>
      </w:r>
      <w:proofErr w:type="spellStart"/>
      <w:r w:rsidRPr="006310A2">
        <w:rPr>
          <w:sz w:val="24"/>
        </w:rPr>
        <w:t>heteroskedasticity</w:t>
      </w:r>
      <w:proofErr w:type="spellEnd"/>
      <w:r w:rsidRPr="006310A2">
        <w:rPr>
          <w:sz w:val="24"/>
        </w:rPr>
        <w:t xml:space="preserve">-consistent covariance matrix estimator and a direct test for </w:t>
      </w:r>
      <w:proofErr w:type="spellStart"/>
      <w:r w:rsidRPr="006310A2">
        <w:rPr>
          <w:sz w:val="24"/>
        </w:rPr>
        <w:t>heteroskedasticity</w:t>
      </w:r>
      <w:proofErr w:type="spellEnd"/>
      <w:r w:rsidRPr="006310A2">
        <w:rPr>
          <w:sz w:val="24"/>
        </w:rPr>
        <w:t>.</w:t>
      </w:r>
      <w:proofErr w:type="gramEnd"/>
      <w:r w:rsidRPr="006310A2">
        <w:rPr>
          <w:sz w:val="24"/>
        </w:rPr>
        <w:t xml:space="preserve"> </w:t>
      </w:r>
      <w:proofErr w:type="spellStart"/>
      <w:r w:rsidRPr="006310A2">
        <w:rPr>
          <w:i/>
          <w:sz w:val="24"/>
        </w:rPr>
        <w:t>Econometrica</w:t>
      </w:r>
      <w:proofErr w:type="spellEnd"/>
      <w:r w:rsidRPr="006310A2">
        <w:rPr>
          <w:i/>
          <w:sz w:val="24"/>
        </w:rPr>
        <w:t>,</w:t>
      </w:r>
      <w:r w:rsidRPr="006310A2">
        <w:rPr>
          <w:sz w:val="24"/>
        </w:rPr>
        <w:t xml:space="preserve"> 48, 817–830.</w:t>
      </w:r>
    </w:p>
    <w:p w:rsidRPr="00E93FC5" w:rsidR="00566A1B" w:rsidP="006310A2" w:rsidRDefault="00566A1B" w14:paraId="434D6D79" w14:textId="77777777">
      <w:pPr>
        <w:pStyle w:val="BodyTextNoSpaceAfter"/>
        <w:ind w:left="360" w:hanging="360"/>
      </w:pPr>
    </w:p>
    <w:p w:rsidRPr="00F57CE4" w:rsidR="00566A1B" w:rsidP="006310A2" w:rsidRDefault="00566A1B" w14:paraId="0C6D8D15" w14:textId="77777777">
      <w:pPr>
        <w:pStyle w:val="BodyTextNoSpaceAfter"/>
        <w:ind w:left="360" w:hanging="360"/>
      </w:pPr>
      <w:r w:rsidRPr="006310A2">
        <w:rPr>
          <w:sz w:val="24"/>
        </w:rPr>
        <w:t xml:space="preserve">White, H. (1984). </w:t>
      </w:r>
      <w:proofErr w:type="gramStart"/>
      <w:r w:rsidRPr="006310A2">
        <w:rPr>
          <w:i/>
          <w:sz w:val="24"/>
        </w:rPr>
        <w:t>Asymptotic Theory for Econometricians</w:t>
      </w:r>
      <w:r w:rsidRPr="006310A2">
        <w:rPr>
          <w:sz w:val="24"/>
        </w:rPr>
        <w:t>.</w:t>
      </w:r>
      <w:proofErr w:type="gramEnd"/>
      <w:r w:rsidRPr="006310A2">
        <w:rPr>
          <w:sz w:val="24"/>
        </w:rPr>
        <w:t xml:space="preserve"> Orlando, FL: Academic Press.</w:t>
      </w:r>
    </w:p>
    <w:p w:rsidRPr="004E1DED" w:rsidR="00FF0291" w:rsidP="00FD1B70" w:rsidRDefault="00FF0291" w14:paraId="01852BEF" w14:textId="77777777"/>
    <w:p w:rsidR="00FF0291" w:rsidP="00FD1B70" w:rsidRDefault="00FF0291" w14:paraId="3E43A2FA" w14:textId="77777777"/>
    <w:sectPr w:rsidR="00FF0291" w:rsidSect="00DE67D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9C676" w14:textId="77777777" w:rsidR="001C5E41" w:rsidRDefault="001C5E41">
      <w:r>
        <w:separator/>
      </w:r>
    </w:p>
  </w:endnote>
  <w:endnote w:type="continuationSeparator" w:id="0">
    <w:p w14:paraId="3B418B16" w14:textId="77777777" w:rsidR="001C5E41" w:rsidRDefault="001C5E41">
      <w:r>
        <w:continuationSeparator/>
      </w:r>
    </w:p>
  </w:endnote>
  <w:endnote w:type="continuationNotice" w:id="1">
    <w:p w14:paraId="737AFE1C" w14:textId="77777777" w:rsidR="001C5E41" w:rsidRDefault="001C5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CC2F" w14:textId="61CC8DC1" w:rsidR="005948DC" w:rsidRDefault="005948DC">
    <w:pPr>
      <w:pStyle w:val="Footer"/>
      <w:jc w:val="center"/>
    </w:pPr>
    <w:r>
      <w:fldChar w:fldCharType="begin"/>
    </w:r>
    <w:r>
      <w:instrText xml:space="preserve"> PAGE   \* MERGEFORMAT </w:instrText>
    </w:r>
    <w:r>
      <w:fldChar w:fldCharType="separate"/>
    </w:r>
    <w:r w:rsidR="00BD7656">
      <w:rPr>
        <w:noProof/>
      </w:rPr>
      <w:t>13</w:t>
    </w:r>
    <w:r>
      <w:fldChar w:fldCharType="end"/>
    </w:r>
  </w:p>
  <w:p w14:paraId="41FE25C7" w14:textId="77777777" w:rsidR="005948DC" w:rsidRDefault="005948D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BAB2B" w14:textId="77777777" w:rsidR="001C5E41" w:rsidRDefault="001C5E41">
      <w:r>
        <w:separator/>
      </w:r>
    </w:p>
  </w:footnote>
  <w:footnote w:type="continuationSeparator" w:id="0">
    <w:p w14:paraId="3325A439" w14:textId="77777777" w:rsidR="001C5E41" w:rsidRDefault="001C5E41">
      <w:r>
        <w:continuationSeparator/>
      </w:r>
    </w:p>
  </w:footnote>
  <w:footnote w:type="continuationNotice" w:id="1">
    <w:p w14:paraId="69D76D44" w14:textId="77777777" w:rsidR="001C5E41" w:rsidRDefault="001C5E41"/>
  </w:footnote>
  <w:footnote w:id="2">
    <w:p w14:paraId="19287E31" w14:textId="0CCA6BE5" w:rsidR="005948DC" w:rsidRDefault="005948DC" w:rsidP="006310A2">
      <w:pPr>
        <w:pStyle w:val="FootnoteText"/>
        <w:ind w:left="0" w:firstLine="0"/>
      </w:pPr>
      <w:r>
        <w:rPr>
          <w:rStyle w:val="FootnoteReference"/>
        </w:rPr>
        <w:footnoteRef/>
      </w:r>
      <w:r>
        <w:t xml:space="preserve"> </w:t>
      </w:r>
      <w:r w:rsidRPr="001327FF">
        <w:t>Most TLPs serve a relatively small number of youth</w:t>
      </w:r>
      <w:r w:rsidRPr="00814068">
        <w:t xml:space="preserve">. </w:t>
      </w:r>
      <w:r w:rsidRPr="000F047D">
        <w:t xml:space="preserve">Among the </w:t>
      </w:r>
      <w:r>
        <w:t>TLPs funded in September 2017 alone</w:t>
      </w:r>
      <w:r w:rsidRPr="000F047D">
        <w:t>, the average number of youth served annually was about 10, ranging from 1 to 54 youth annually</w:t>
      </w:r>
      <w:r w:rsidRPr="00814068">
        <w:t xml:space="preserve">. </w:t>
      </w:r>
      <w:r w:rsidRPr="007A627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ED74" w14:textId="77777777" w:rsidR="005948DC" w:rsidRDefault="00594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5A42"/>
    <w:multiLevelType w:val="hybridMultilevel"/>
    <w:tmpl w:val="954A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844"/>
    <w:multiLevelType w:val="multilevel"/>
    <w:tmpl w:val="2B607F1A"/>
    <w:lvl w:ilvl="0">
      <w:start w:val="1"/>
      <w:numFmt w:val="decimal"/>
      <w:pStyle w:val="BulletsLa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331E2"/>
    <w:multiLevelType w:val="hybridMultilevel"/>
    <w:tmpl w:val="9A425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D42F0"/>
    <w:multiLevelType w:val="hybridMultilevel"/>
    <w:tmpl w:val="375C3614"/>
    <w:lvl w:ilvl="0" w:tplc="D0027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C15B6"/>
    <w:multiLevelType w:val="hybridMultilevel"/>
    <w:tmpl w:val="39FCF302"/>
    <w:lvl w:ilvl="0" w:tplc="2786B2F0">
      <w:start w:val="1"/>
      <w:numFmt w:val="decimal"/>
      <w:lvlText w:val="%1."/>
      <w:lvlJc w:val="left"/>
      <w:pPr>
        <w:ind w:left="720" w:hanging="360"/>
      </w:pPr>
    </w:lvl>
    <w:lvl w:ilvl="1" w:tplc="04090019">
      <w:start w:val="1"/>
      <w:numFmt w:val="lowerLetter"/>
      <w:lvlText w:val="%2."/>
      <w:lvlJc w:val="left"/>
      <w:pPr>
        <w:ind w:left="1440" w:hanging="360"/>
      </w:pPr>
    </w:lvl>
    <w:lvl w:ilvl="2" w:tplc="3B28C868">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825F5"/>
    <w:multiLevelType w:val="hybridMultilevel"/>
    <w:tmpl w:val="C9A43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892F48"/>
    <w:multiLevelType w:val="hybridMultilevel"/>
    <w:tmpl w:val="9788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36601"/>
    <w:multiLevelType w:val="hybridMultilevel"/>
    <w:tmpl w:val="2342D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864D8"/>
    <w:multiLevelType w:val="hybridMultilevel"/>
    <w:tmpl w:val="DFB0172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710666"/>
    <w:multiLevelType w:val="hybridMultilevel"/>
    <w:tmpl w:val="6B6C7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6"/>
  </w:num>
  <w:num w:numId="2">
    <w:abstractNumId w:val="1"/>
  </w:num>
  <w:num w:numId="3">
    <w:abstractNumId w:val="18"/>
  </w:num>
  <w:num w:numId="4">
    <w:abstractNumId w:val="9"/>
  </w:num>
  <w:num w:numId="5">
    <w:abstractNumId w:val="10"/>
  </w:num>
  <w:num w:numId="6">
    <w:abstractNumId w:val="21"/>
  </w:num>
  <w:num w:numId="7">
    <w:abstractNumId w:val="19"/>
  </w:num>
  <w:num w:numId="8">
    <w:abstractNumId w:val="12"/>
  </w:num>
  <w:num w:numId="9">
    <w:abstractNumId w:val="14"/>
  </w:num>
  <w:num w:numId="10">
    <w:abstractNumId w:val="2"/>
  </w:num>
  <w:num w:numId="11">
    <w:abstractNumId w:val="0"/>
  </w:num>
  <w:num w:numId="12">
    <w:abstractNumId w:val="5"/>
  </w:num>
  <w:num w:numId="13">
    <w:abstractNumId w:val="22"/>
  </w:num>
  <w:num w:numId="14">
    <w:abstractNumId w:val="7"/>
  </w:num>
  <w:num w:numId="15">
    <w:abstractNumId w:val="8"/>
  </w:num>
  <w:num w:numId="16">
    <w:abstractNumId w:val="15"/>
  </w:num>
  <w:num w:numId="17">
    <w:abstractNumId w:val="25"/>
  </w:num>
  <w:num w:numId="18">
    <w:abstractNumId w:val="3"/>
  </w:num>
  <w:num w:numId="19">
    <w:abstractNumId w:val="17"/>
  </w:num>
  <w:num w:numId="20">
    <w:abstractNumId w:val="20"/>
  </w:num>
  <w:num w:numId="21">
    <w:abstractNumId w:val="13"/>
  </w:num>
  <w:num w:numId="22">
    <w:abstractNumId w:val="4"/>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24"/>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A34"/>
    <w:rsid w:val="00005E54"/>
    <w:rsid w:val="0001076A"/>
    <w:rsid w:val="0002022F"/>
    <w:rsid w:val="00026360"/>
    <w:rsid w:val="000350CD"/>
    <w:rsid w:val="00035F57"/>
    <w:rsid w:val="00037E5E"/>
    <w:rsid w:val="000445C8"/>
    <w:rsid w:val="00044B60"/>
    <w:rsid w:val="00060E42"/>
    <w:rsid w:val="0006346A"/>
    <w:rsid w:val="0008276F"/>
    <w:rsid w:val="0008315A"/>
    <w:rsid w:val="00091C59"/>
    <w:rsid w:val="000A6C4A"/>
    <w:rsid w:val="000B2C36"/>
    <w:rsid w:val="000B5EA8"/>
    <w:rsid w:val="000B6ED3"/>
    <w:rsid w:val="000C04F0"/>
    <w:rsid w:val="000C071A"/>
    <w:rsid w:val="000C21E7"/>
    <w:rsid w:val="000D53DF"/>
    <w:rsid w:val="000E10CC"/>
    <w:rsid w:val="000F047D"/>
    <w:rsid w:val="000F3CC4"/>
    <w:rsid w:val="000F5D39"/>
    <w:rsid w:val="00103B1A"/>
    <w:rsid w:val="00112480"/>
    <w:rsid w:val="00115E3E"/>
    <w:rsid w:val="00116306"/>
    <w:rsid w:val="00125B9C"/>
    <w:rsid w:val="001365B5"/>
    <w:rsid w:val="00142025"/>
    <w:rsid w:val="00151C75"/>
    <w:rsid w:val="00157926"/>
    <w:rsid w:val="00157DD6"/>
    <w:rsid w:val="0016012E"/>
    <w:rsid w:val="001779C2"/>
    <w:rsid w:val="00183C0F"/>
    <w:rsid w:val="001A63A7"/>
    <w:rsid w:val="001A79C7"/>
    <w:rsid w:val="001B7D40"/>
    <w:rsid w:val="001C16A0"/>
    <w:rsid w:val="001C4D60"/>
    <w:rsid w:val="001C5E41"/>
    <w:rsid w:val="001C70A2"/>
    <w:rsid w:val="001D42F8"/>
    <w:rsid w:val="001E5DE9"/>
    <w:rsid w:val="001E66A2"/>
    <w:rsid w:val="001F3620"/>
    <w:rsid w:val="001F73D4"/>
    <w:rsid w:val="0020169A"/>
    <w:rsid w:val="0020382F"/>
    <w:rsid w:val="002045A3"/>
    <w:rsid w:val="002144EF"/>
    <w:rsid w:val="0021745D"/>
    <w:rsid w:val="00222344"/>
    <w:rsid w:val="002231FA"/>
    <w:rsid w:val="0022407E"/>
    <w:rsid w:val="00230DA0"/>
    <w:rsid w:val="00234E8D"/>
    <w:rsid w:val="002351FD"/>
    <w:rsid w:val="00235A6D"/>
    <w:rsid w:val="002362C4"/>
    <w:rsid w:val="002454B1"/>
    <w:rsid w:val="00251FE8"/>
    <w:rsid w:val="00253148"/>
    <w:rsid w:val="00263DD7"/>
    <w:rsid w:val="0027038A"/>
    <w:rsid w:val="00276E0D"/>
    <w:rsid w:val="00286D97"/>
    <w:rsid w:val="00292B70"/>
    <w:rsid w:val="002A1323"/>
    <w:rsid w:val="002A1F68"/>
    <w:rsid w:val="002A7DE3"/>
    <w:rsid w:val="002B164A"/>
    <w:rsid w:val="002B4DBE"/>
    <w:rsid w:val="002B7A4E"/>
    <w:rsid w:val="002C44BC"/>
    <w:rsid w:val="002C4F94"/>
    <w:rsid w:val="002D0FF3"/>
    <w:rsid w:val="002D4977"/>
    <w:rsid w:val="002E0AEA"/>
    <w:rsid w:val="002E4DC2"/>
    <w:rsid w:val="002E719A"/>
    <w:rsid w:val="002F0AD2"/>
    <w:rsid w:val="002F1926"/>
    <w:rsid w:val="002F443D"/>
    <w:rsid w:val="002F4767"/>
    <w:rsid w:val="003127E6"/>
    <w:rsid w:val="00317E02"/>
    <w:rsid w:val="00335AE3"/>
    <w:rsid w:val="003422A6"/>
    <w:rsid w:val="00342BD9"/>
    <w:rsid w:val="00345A92"/>
    <w:rsid w:val="00347A09"/>
    <w:rsid w:val="00347F64"/>
    <w:rsid w:val="00363C51"/>
    <w:rsid w:val="00366B5E"/>
    <w:rsid w:val="00367557"/>
    <w:rsid w:val="003711C3"/>
    <w:rsid w:val="0037156C"/>
    <w:rsid w:val="00374DAB"/>
    <w:rsid w:val="00383A0C"/>
    <w:rsid w:val="0038740A"/>
    <w:rsid w:val="00390327"/>
    <w:rsid w:val="00393823"/>
    <w:rsid w:val="00395B8B"/>
    <w:rsid w:val="003B0D90"/>
    <w:rsid w:val="003B519B"/>
    <w:rsid w:val="003C395C"/>
    <w:rsid w:val="003C5413"/>
    <w:rsid w:val="003C590B"/>
    <w:rsid w:val="003C697E"/>
    <w:rsid w:val="003D001C"/>
    <w:rsid w:val="003D2293"/>
    <w:rsid w:val="003D2496"/>
    <w:rsid w:val="003D2EB8"/>
    <w:rsid w:val="003D5231"/>
    <w:rsid w:val="003E3CE0"/>
    <w:rsid w:val="003F6901"/>
    <w:rsid w:val="004008AC"/>
    <w:rsid w:val="0041357D"/>
    <w:rsid w:val="004331BE"/>
    <w:rsid w:val="004554B1"/>
    <w:rsid w:val="00456E2F"/>
    <w:rsid w:val="00464E04"/>
    <w:rsid w:val="0046648B"/>
    <w:rsid w:val="00466A18"/>
    <w:rsid w:val="00482DDE"/>
    <w:rsid w:val="00485114"/>
    <w:rsid w:val="004855AE"/>
    <w:rsid w:val="004B40ED"/>
    <w:rsid w:val="004B587E"/>
    <w:rsid w:val="004B694A"/>
    <w:rsid w:val="004B6A51"/>
    <w:rsid w:val="004C23FE"/>
    <w:rsid w:val="004C5F95"/>
    <w:rsid w:val="004D2D7D"/>
    <w:rsid w:val="004D33E1"/>
    <w:rsid w:val="004D6CA9"/>
    <w:rsid w:val="004E0262"/>
    <w:rsid w:val="004E1DED"/>
    <w:rsid w:val="004E4B45"/>
    <w:rsid w:val="004E5155"/>
    <w:rsid w:val="004E64B2"/>
    <w:rsid w:val="004F4E1D"/>
    <w:rsid w:val="00500BE1"/>
    <w:rsid w:val="005046F0"/>
    <w:rsid w:val="005127D4"/>
    <w:rsid w:val="00520737"/>
    <w:rsid w:val="005353B7"/>
    <w:rsid w:val="00536259"/>
    <w:rsid w:val="00541024"/>
    <w:rsid w:val="00566A1B"/>
    <w:rsid w:val="005751BA"/>
    <w:rsid w:val="005802B6"/>
    <w:rsid w:val="00581A7B"/>
    <w:rsid w:val="00590687"/>
    <w:rsid w:val="00594564"/>
    <w:rsid w:val="005948DC"/>
    <w:rsid w:val="005A4C0B"/>
    <w:rsid w:val="005A64C5"/>
    <w:rsid w:val="005A772B"/>
    <w:rsid w:val="005B134D"/>
    <w:rsid w:val="005B415D"/>
    <w:rsid w:val="005C14BB"/>
    <w:rsid w:val="005C4346"/>
    <w:rsid w:val="005D6BEA"/>
    <w:rsid w:val="005D79D3"/>
    <w:rsid w:val="005E11D5"/>
    <w:rsid w:val="005E17E2"/>
    <w:rsid w:val="005E2FFF"/>
    <w:rsid w:val="005E392D"/>
    <w:rsid w:val="005F1045"/>
    <w:rsid w:val="005F2061"/>
    <w:rsid w:val="006056F4"/>
    <w:rsid w:val="00607351"/>
    <w:rsid w:val="00612C1A"/>
    <w:rsid w:val="00612E57"/>
    <w:rsid w:val="006178A8"/>
    <w:rsid w:val="006310A2"/>
    <w:rsid w:val="00644BFA"/>
    <w:rsid w:val="00651DBA"/>
    <w:rsid w:val="00651FD4"/>
    <w:rsid w:val="00657424"/>
    <w:rsid w:val="00673E5D"/>
    <w:rsid w:val="00682AB3"/>
    <w:rsid w:val="00687805"/>
    <w:rsid w:val="00691515"/>
    <w:rsid w:val="0069602F"/>
    <w:rsid w:val="006B41DD"/>
    <w:rsid w:val="006B6845"/>
    <w:rsid w:val="006C3379"/>
    <w:rsid w:val="006C60A5"/>
    <w:rsid w:val="006E4A3D"/>
    <w:rsid w:val="006F28E9"/>
    <w:rsid w:val="006F30E0"/>
    <w:rsid w:val="00701045"/>
    <w:rsid w:val="00704550"/>
    <w:rsid w:val="0072204D"/>
    <w:rsid w:val="00722B71"/>
    <w:rsid w:val="00725012"/>
    <w:rsid w:val="00730D4A"/>
    <w:rsid w:val="007359C5"/>
    <w:rsid w:val="00735EBE"/>
    <w:rsid w:val="00740A75"/>
    <w:rsid w:val="007423CD"/>
    <w:rsid w:val="0074566A"/>
    <w:rsid w:val="00756A96"/>
    <w:rsid w:val="007646F1"/>
    <w:rsid w:val="00771B20"/>
    <w:rsid w:val="00772457"/>
    <w:rsid w:val="00780DEC"/>
    <w:rsid w:val="00784137"/>
    <w:rsid w:val="00784526"/>
    <w:rsid w:val="007879BE"/>
    <w:rsid w:val="00787E3B"/>
    <w:rsid w:val="00793F3B"/>
    <w:rsid w:val="007A0D85"/>
    <w:rsid w:val="007A3485"/>
    <w:rsid w:val="007A6278"/>
    <w:rsid w:val="007A6722"/>
    <w:rsid w:val="007A6EEC"/>
    <w:rsid w:val="007A74A9"/>
    <w:rsid w:val="007B4894"/>
    <w:rsid w:val="007C5FEB"/>
    <w:rsid w:val="007D325C"/>
    <w:rsid w:val="007F0C2F"/>
    <w:rsid w:val="007F2BF7"/>
    <w:rsid w:val="007F6CA0"/>
    <w:rsid w:val="00810832"/>
    <w:rsid w:val="00814068"/>
    <w:rsid w:val="0081475F"/>
    <w:rsid w:val="008172E0"/>
    <w:rsid w:val="00831DD0"/>
    <w:rsid w:val="0084209B"/>
    <w:rsid w:val="008426D7"/>
    <w:rsid w:val="00851C7A"/>
    <w:rsid w:val="0087234E"/>
    <w:rsid w:val="00882564"/>
    <w:rsid w:val="00884C98"/>
    <w:rsid w:val="008861A9"/>
    <w:rsid w:val="00891B6A"/>
    <w:rsid w:val="008955D3"/>
    <w:rsid w:val="008A36DB"/>
    <w:rsid w:val="008B2D76"/>
    <w:rsid w:val="008B7F2C"/>
    <w:rsid w:val="008D1A1E"/>
    <w:rsid w:val="008D6613"/>
    <w:rsid w:val="008E0F79"/>
    <w:rsid w:val="008E157B"/>
    <w:rsid w:val="008F17E2"/>
    <w:rsid w:val="009015CF"/>
    <w:rsid w:val="00932D71"/>
    <w:rsid w:val="00933293"/>
    <w:rsid w:val="00934896"/>
    <w:rsid w:val="009448F2"/>
    <w:rsid w:val="009458AC"/>
    <w:rsid w:val="00945CD6"/>
    <w:rsid w:val="00951AC2"/>
    <w:rsid w:val="009648CE"/>
    <w:rsid w:val="0096570D"/>
    <w:rsid w:val="00973242"/>
    <w:rsid w:val="00986CC4"/>
    <w:rsid w:val="00991316"/>
    <w:rsid w:val="00995767"/>
    <w:rsid w:val="00995776"/>
    <w:rsid w:val="009A7740"/>
    <w:rsid w:val="009C3B62"/>
    <w:rsid w:val="009D47D2"/>
    <w:rsid w:val="009D72EE"/>
    <w:rsid w:val="009E0F41"/>
    <w:rsid w:val="009E2988"/>
    <w:rsid w:val="00A0710A"/>
    <w:rsid w:val="00A07607"/>
    <w:rsid w:val="00A10EA6"/>
    <w:rsid w:val="00A1275D"/>
    <w:rsid w:val="00A333A2"/>
    <w:rsid w:val="00A35E23"/>
    <w:rsid w:val="00A41B98"/>
    <w:rsid w:val="00A41E7A"/>
    <w:rsid w:val="00A559ED"/>
    <w:rsid w:val="00A57918"/>
    <w:rsid w:val="00A65CBA"/>
    <w:rsid w:val="00A74FAF"/>
    <w:rsid w:val="00A8059C"/>
    <w:rsid w:val="00A811C7"/>
    <w:rsid w:val="00A900A6"/>
    <w:rsid w:val="00A90912"/>
    <w:rsid w:val="00A91EA0"/>
    <w:rsid w:val="00A92170"/>
    <w:rsid w:val="00A97444"/>
    <w:rsid w:val="00AA2285"/>
    <w:rsid w:val="00AA29C0"/>
    <w:rsid w:val="00AA62BF"/>
    <w:rsid w:val="00AB65C1"/>
    <w:rsid w:val="00AC0EAA"/>
    <w:rsid w:val="00AC4338"/>
    <w:rsid w:val="00AC44C3"/>
    <w:rsid w:val="00AC470F"/>
    <w:rsid w:val="00AC642C"/>
    <w:rsid w:val="00AD1492"/>
    <w:rsid w:val="00B12CAC"/>
    <w:rsid w:val="00B14396"/>
    <w:rsid w:val="00B17C84"/>
    <w:rsid w:val="00B3129B"/>
    <w:rsid w:val="00B425AE"/>
    <w:rsid w:val="00B646D2"/>
    <w:rsid w:val="00B67F4C"/>
    <w:rsid w:val="00B806F7"/>
    <w:rsid w:val="00B85E05"/>
    <w:rsid w:val="00B95B05"/>
    <w:rsid w:val="00BA6C64"/>
    <w:rsid w:val="00BB1E78"/>
    <w:rsid w:val="00BB3D2C"/>
    <w:rsid w:val="00BB7A00"/>
    <w:rsid w:val="00BC4DD1"/>
    <w:rsid w:val="00BD4CFB"/>
    <w:rsid w:val="00BD7656"/>
    <w:rsid w:val="00BD7742"/>
    <w:rsid w:val="00BE17F5"/>
    <w:rsid w:val="00C1206F"/>
    <w:rsid w:val="00C12B95"/>
    <w:rsid w:val="00C204C8"/>
    <w:rsid w:val="00C25C71"/>
    <w:rsid w:val="00C26033"/>
    <w:rsid w:val="00C56EA9"/>
    <w:rsid w:val="00C70B1C"/>
    <w:rsid w:val="00C758C6"/>
    <w:rsid w:val="00C829EB"/>
    <w:rsid w:val="00C83639"/>
    <w:rsid w:val="00C91394"/>
    <w:rsid w:val="00C95726"/>
    <w:rsid w:val="00C960FB"/>
    <w:rsid w:val="00CA3CFC"/>
    <w:rsid w:val="00CA4FE5"/>
    <w:rsid w:val="00CB19BD"/>
    <w:rsid w:val="00CB1CBB"/>
    <w:rsid w:val="00CB7599"/>
    <w:rsid w:val="00CC2018"/>
    <w:rsid w:val="00CC23CD"/>
    <w:rsid w:val="00CC6766"/>
    <w:rsid w:val="00CD21A7"/>
    <w:rsid w:val="00CD284A"/>
    <w:rsid w:val="00CD3718"/>
    <w:rsid w:val="00CE4465"/>
    <w:rsid w:val="00CE59FB"/>
    <w:rsid w:val="00CE6EFF"/>
    <w:rsid w:val="00CF552B"/>
    <w:rsid w:val="00D012A6"/>
    <w:rsid w:val="00D01F59"/>
    <w:rsid w:val="00D062E7"/>
    <w:rsid w:val="00D06D5F"/>
    <w:rsid w:val="00D202F3"/>
    <w:rsid w:val="00D24580"/>
    <w:rsid w:val="00D359B1"/>
    <w:rsid w:val="00D370E5"/>
    <w:rsid w:val="00D41982"/>
    <w:rsid w:val="00D50131"/>
    <w:rsid w:val="00D5069D"/>
    <w:rsid w:val="00D519D9"/>
    <w:rsid w:val="00D54678"/>
    <w:rsid w:val="00D54C2C"/>
    <w:rsid w:val="00D67880"/>
    <w:rsid w:val="00D72088"/>
    <w:rsid w:val="00D72535"/>
    <w:rsid w:val="00D82D88"/>
    <w:rsid w:val="00D91041"/>
    <w:rsid w:val="00DA0C73"/>
    <w:rsid w:val="00DA5D5B"/>
    <w:rsid w:val="00DB09AA"/>
    <w:rsid w:val="00DB59EC"/>
    <w:rsid w:val="00DE67DA"/>
    <w:rsid w:val="00DF0F40"/>
    <w:rsid w:val="00DF1DE7"/>
    <w:rsid w:val="00E002CF"/>
    <w:rsid w:val="00E00A5B"/>
    <w:rsid w:val="00E04529"/>
    <w:rsid w:val="00E05A0A"/>
    <w:rsid w:val="00E32A69"/>
    <w:rsid w:val="00E36BBC"/>
    <w:rsid w:val="00E36C68"/>
    <w:rsid w:val="00E37F17"/>
    <w:rsid w:val="00E41D46"/>
    <w:rsid w:val="00E4534C"/>
    <w:rsid w:val="00E55906"/>
    <w:rsid w:val="00E6434B"/>
    <w:rsid w:val="00E64BC3"/>
    <w:rsid w:val="00E72E9A"/>
    <w:rsid w:val="00E8202D"/>
    <w:rsid w:val="00E82AC7"/>
    <w:rsid w:val="00E93FC5"/>
    <w:rsid w:val="00EA5A07"/>
    <w:rsid w:val="00EB3C25"/>
    <w:rsid w:val="00EB5B54"/>
    <w:rsid w:val="00EC0156"/>
    <w:rsid w:val="00EC0584"/>
    <w:rsid w:val="00EC1EB8"/>
    <w:rsid w:val="00EC329F"/>
    <w:rsid w:val="00EC6101"/>
    <w:rsid w:val="00ED6FFC"/>
    <w:rsid w:val="00ED7153"/>
    <w:rsid w:val="00EE3482"/>
    <w:rsid w:val="00F03C5B"/>
    <w:rsid w:val="00F10B9A"/>
    <w:rsid w:val="00F1409D"/>
    <w:rsid w:val="00F14C28"/>
    <w:rsid w:val="00F20419"/>
    <w:rsid w:val="00F20F99"/>
    <w:rsid w:val="00F213EB"/>
    <w:rsid w:val="00F2350C"/>
    <w:rsid w:val="00F45398"/>
    <w:rsid w:val="00F50154"/>
    <w:rsid w:val="00F56220"/>
    <w:rsid w:val="00F57CE4"/>
    <w:rsid w:val="00F64DCD"/>
    <w:rsid w:val="00F72652"/>
    <w:rsid w:val="00F73374"/>
    <w:rsid w:val="00F77C5C"/>
    <w:rsid w:val="00F86601"/>
    <w:rsid w:val="00F93449"/>
    <w:rsid w:val="00F9459D"/>
    <w:rsid w:val="00F95F02"/>
    <w:rsid w:val="00FB24E8"/>
    <w:rsid w:val="00FC04C5"/>
    <w:rsid w:val="00FC31D2"/>
    <w:rsid w:val="00FD08D9"/>
    <w:rsid w:val="00FD1B70"/>
    <w:rsid w:val="00FD7600"/>
    <w:rsid w:val="00FE00B4"/>
    <w:rsid w:val="00FE1C8E"/>
    <w:rsid w:val="00FE682B"/>
    <w:rsid w:val="00FF0291"/>
    <w:rsid w:val="00FF3048"/>
    <w:rsid w:val="00FF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3E6D7"/>
  <w15:docId w15:val="{3671DA12-B013-43F7-B681-0724F70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83A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Exhibit">
    <w:name w:val="Exhibit"/>
    <w:basedOn w:val="Normal"/>
    <w:rsid w:val="001E66A2"/>
    <w:pPr>
      <w:spacing w:line="264" w:lineRule="auto"/>
    </w:pPr>
    <w:rPr>
      <w:rFonts w:ascii="Arial" w:hAnsi="Arial"/>
      <w:sz w:val="18"/>
      <w:szCs w:val="20"/>
    </w:rPr>
  </w:style>
  <w:style w:type="paragraph" w:styleId="BodyText">
    <w:name w:val="Body Text"/>
    <w:basedOn w:val="Normal"/>
    <w:link w:val="BodyTextChar"/>
    <w:rsid w:val="00F64DCD"/>
    <w:rPr>
      <w:rFonts w:ascii="Times New (W1)" w:hAnsi="Times New (W1)"/>
      <w:szCs w:val="20"/>
    </w:rPr>
  </w:style>
  <w:style w:type="character" w:customStyle="1" w:styleId="BodyTextChar">
    <w:name w:val="Body Text Char"/>
    <w:link w:val="BodyText"/>
    <w:rsid w:val="00F64DCD"/>
    <w:rPr>
      <w:rFonts w:ascii="Times New (W1)" w:hAnsi="Times New (W1)"/>
      <w:sz w:val="24"/>
    </w:rPr>
  </w:style>
  <w:style w:type="character" w:styleId="FootnoteReference">
    <w:name w:val="footnote reference"/>
    <w:aliases w:val="*Footnote Reference"/>
    <w:uiPriority w:val="99"/>
    <w:rsid w:val="00F64DCD"/>
    <w:rPr>
      <w:vertAlign w:val="superscript"/>
    </w:rPr>
  </w:style>
  <w:style w:type="paragraph" w:styleId="FootnoteText">
    <w:name w:val="footnote text"/>
    <w:aliases w:val="F1"/>
    <w:basedOn w:val="Normal"/>
    <w:link w:val="FootnoteTextChar"/>
    <w:uiPriority w:val="99"/>
    <w:rsid w:val="00F64DCD"/>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F64DCD"/>
  </w:style>
  <w:style w:type="paragraph" w:styleId="ListParagraph">
    <w:name w:val="List Paragraph"/>
    <w:basedOn w:val="Normal"/>
    <w:uiPriority w:val="34"/>
    <w:qFormat/>
    <w:rsid w:val="00F64DCD"/>
    <w:pPr>
      <w:ind w:left="720"/>
    </w:pPr>
  </w:style>
  <w:style w:type="paragraph" w:styleId="TOC1">
    <w:name w:val="toc 1"/>
    <w:basedOn w:val="BodyText"/>
    <w:next w:val="BodyText"/>
    <w:uiPriority w:val="39"/>
    <w:qFormat/>
    <w:rsid w:val="00383A0C"/>
    <w:pPr>
      <w:tabs>
        <w:tab w:val="right" w:leader="dot" w:pos="9350"/>
      </w:tabs>
      <w:spacing w:before="240" w:line="264" w:lineRule="auto"/>
    </w:pPr>
    <w:rPr>
      <w:rFonts w:ascii="Times New Roman" w:hAnsi="Times New Roman"/>
      <w:b/>
      <w:noProof/>
      <w:sz w:val="22"/>
    </w:rPr>
  </w:style>
  <w:style w:type="paragraph" w:styleId="TOC2">
    <w:name w:val="toc 2"/>
    <w:basedOn w:val="BodyText"/>
    <w:next w:val="BodyText"/>
    <w:uiPriority w:val="39"/>
    <w:qFormat/>
    <w:rsid w:val="00383A0C"/>
    <w:pPr>
      <w:tabs>
        <w:tab w:val="left" w:pos="1152"/>
        <w:tab w:val="right" w:leader="dot" w:pos="9350"/>
      </w:tabs>
      <w:spacing w:line="264" w:lineRule="auto"/>
      <w:ind w:left="576"/>
    </w:pPr>
    <w:rPr>
      <w:rFonts w:ascii="Times New Roman" w:hAnsi="Times New Roman"/>
      <w:noProof/>
      <w:sz w:val="22"/>
    </w:rPr>
  </w:style>
  <w:style w:type="paragraph" w:customStyle="1" w:styleId="TOCHeader">
    <w:name w:val="TOC Header"/>
    <w:basedOn w:val="Normal"/>
    <w:next w:val="BodyText"/>
    <w:rsid w:val="00383A0C"/>
    <w:pPr>
      <w:spacing w:after="180" w:line="264" w:lineRule="auto"/>
    </w:pPr>
    <w:rPr>
      <w:rFonts w:ascii="Arial" w:hAnsi="Arial"/>
      <w:b/>
      <w:color w:val="898D8D"/>
      <w:szCs w:val="20"/>
    </w:rPr>
  </w:style>
  <w:style w:type="character" w:customStyle="1" w:styleId="Heading1Char">
    <w:name w:val="Heading 1 Char"/>
    <w:link w:val="Heading1"/>
    <w:rsid w:val="00383A0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383A0C"/>
    <w:pPr>
      <w:keepLines/>
      <w:spacing w:before="480" w:after="0" w:line="276" w:lineRule="auto"/>
      <w:outlineLvl w:val="9"/>
    </w:pPr>
    <w:rPr>
      <w:color w:val="365F91"/>
      <w:kern w:val="0"/>
      <w:sz w:val="28"/>
      <w:szCs w:val="28"/>
      <w:lang w:eastAsia="ja-JP"/>
    </w:rPr>
  </w:style>
  <w:style w:type="paragraph" w:styleId="TOC3">
    <w:name w:val="toc 3"/>
    <w:basedOn w:val="Normal"/>
    <w:next w:val="Normal"/>
    <w:autoRedefine/>
    <w:uiPriority w:val="39"/>
    <w:unhideWhenUsed/>
    <w:qFormat/>
    <w:rsid w:val="00383A0C"/>
    <w:pPr>
      <w:spacing w:after="100" w:line="276" w:lineRule="auto"/>
      <w:ind w:left="440"/>
    </w:pPr>
    <w:rPr>
      <w:rFonts w:ascii="Calibri" w:eastAsia="MS Mincho" w:hAnsi="Calibri" w:cs="Arial"/>
      <w:sz w:val="22"/>
      <w:szCs w:val="22"/>
      <w:lang w:eastAsia="ja-JP"/>
    </w:rPr>
  </w:style>
  <w:style w:type="paragraph" w:customStyle="1" w:styleId="Bullets">
    <w:name w:val="Bullets"/>
    <w:basedOn w:val="BodyText"/>
    <w:link w:val="BulletsChar"/>
    <w:qFormat/>
    <w:rsid w:val="00A74FAF"/>
    <w:pPr>
      <w:numPr>
        <w:numId w:val="17"/>
      </w:numPr>
      <w:spacing w:after="120" w:line="264" w:lineRule="auto"/>
    </w:pPr>
    <w:rPr>
      <w:rFonts w:ascii="Times New Roman" w:hAnsi="Times New Roman"/>
      <w:sz w:val="22"/>
    </w:rPr>
  </w:style>
  <w:style w:type="character" w:customStyle="1" w:styleId="BulletsChar">
    <w:name w:val="Bullets Char"/>
    <w:link w:val="Bullets"/>
    <w:locked/>
    <w:rsid w:val="00A74FAF"/>
    <w:rPr>
      <w:sz w:val="22"/>
    </w:rPr>
  </w:style>
  <w:style w:type="paragraph" w:styleId="Revision">
    <w:name w:val="Revision"/>
    <w:hidden/>
    <w:uiPriority w:val="99"/>
    <w:semiHidden/>
    <w:rsid w:val="00E55906"/>
    <w:rPr>
      <w:sz w:val="24"/>
      <w:szCs w:val="24"/>
    </w:rPr>
  </w:style>
  <w:style w:type="paragraph" w:customStyle="1" w:styleId="Style2">
    <w:name w:val="Style2"/>
    <w:basedOn w:val="Normal"/>
    <w:autoRedefine/>
    <w:qFormat/>
    <w:rsid w:val="00500BE1"/>
    <w:pPr>
      <w:spacing w:after="60" w:line="276" w:lineRule="auto"/>
    </w:pPr>
    <w:rPr>
      <w:b/>
      <w:i/>
    </w:rPr>
  </w:style>
  <w:style w:type="table" w:styleId="TableGrid">
    <w:name w:val="Table Grid"/>
    <w:basedOn w:val="TableNormal"/>
    <w:rsid w:val="00E32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ast">
    <w:name w:val="BulletsLast"/>
    <w:basedOn w:val="Bullets"/>
    <w:qFormat/>
    <w:rsid w:val="00CC6766"/>
    <w:pPr>
      <w:numPr>
        <w:numId w:val="22"/>
      </w:numPr>
      <w:tabs>
        <w:tab w:val="left" w:pos="360"/>
      </w:tabs>
      <w:spacing w:after="240" w:line="240" w:lineRule="auto"/>
    </w:pPr>
    <w:rPr>
      <w:lang w:val="en"/>
    </w:rPr>
  </w:style>
  <w:style w:type="paragraph" w:customStyle="1" w:styleId="BodyTextNoSpaceAfter">
    <w:name w:val="Body Text No Space After"/>
    <w:basedOn w:val="BodyText"/>
    <w:qFormat/>
    <w:rsid w:val="00566A1B"/>
    <w:rPr>
      <w:rFonts w:ascii="Times New Roman" w:hAnsi="Times New Roman"/>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12946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2" ma:contentTypeDescription="Create a new document." ma:contentTypeScope="" ma:versionID="a1364e8fa7189ec2e1cb095fae696cef">
  <xsd:schema xmlns:xsd="http://www.w3.org/2001/XMLSchema" xmlns:xs="http://www.w3.org/2001/XMLSchema" xmlns:p="http://schemas.microsoft.com/office/2006/metadata/properties" xmlns:ns1="http://schemas.microsoft.com/sharepoint/v3" targetNamespace="http://schemas.microsoft.com/office/2006/metadata/properties" ma:root="true" ma:fieldsID="24e6d724c774946fc17fc931f3035ff6"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452FBCB2-79C7-481B-9317-497333629EF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D190A-F701-4728-AC19-9B9DF5AF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4D56D2-B74E-4B26-B918-8769226F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4622</Words>
  <Characters>25125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29688</CharactersWithSpaces>
  <SharedDoc>false</SharedDoc>
  <HLinks>
    <vt:vector size="36" baseType="variant">
      <vt:variant>
        <vt:i4>1507376</vt:i4>
      </vt:variant>
      <vt:variant>
        <vt:i4>32</vt:i4>
      </vt:variant>
      <vt:variant>
        <vt:i4>0</vt:i4>
      </vt:variant>
      <vt:variant>
        <vt:i4>5</vt:i4>
      </vt:variant>
      <vt:variant>
        <vt:lpwstr/>
      </vt:variant>
      <vt:variant>
        <vt:lpwstr>_Toc513536526</vt:lpwstr>
      </vt:variant>
      <vt:variant>
        <vt:i4>1507376</vt:i4>
      </vt:variant>
      <vt:variant>
        <vt:i4>26</vt:i4>
      </vt:variant>
      <vt:variant>
        <vt:i4>0</vt:i4>
      </vt:variant>
      <vt:variant>
        <vt:i4>5</vt:i4>
      </vt:variant>
      <vt:variant>
        <vt:lpwstr/>
      </vt:variant>
      <vt:variant>
        <vt:lpwstr>_Toc513536525</vt:lpwstr>
      </vt:variant>
      <vt:variant>
        <vt:i4>1507376</vt:i4>
      </vt:variant>
      <vt:variant>
        <vt:i4>20</vt:i4>
      </vt:variant>
      <vt:variant>
        <vt:i4>0</vt:i4>
      </vt:variant>
      <vt:variant>
        <vt:i4>5</vt:i4>
      </vt:variant>
      <vt:variant>
        <vt:lpwstr/>
      </vt:variant>
      <vt:variant>
        <vt:lpwstr>_Toc513536524</vt:lpwstr>
      </vt:variant>
      <vt:variant>
        <vt:i4>1507376</vt:i4>
      </vt:variant>
      <vt:variant>
        <vt:i4>14</vt:i4>
      </vt:variant>
      <vt:variant>
        <vt:i4>0</vt:i4>
      </vt:variant>
      <vt:variant>
        <vt:i4>5</vt:i4>
      </vt:variant>
      <vt:variant>
        <vt:lpwstr/>
      </vt:variant>
      <vt:variant>
        <vt:lpwstr>_Toc513536523</vt:lpwstr>
      </vt:variant>
      <vt:variant>
        <vt:i4>1507376</vt:i4>
      </vt:variant>
      <vt:variant>
        <vt:i4>8</vt:i4>
      </vt:variant>
      <vt:variant>
        <vt:i4>0</vt:i4>
      </vt:variant>
      <vt:variant>
        <vt:i4>5</vt:i4>
      </vt:variant>
      <vt:variant>
        <vt:lpwstr/>
      </vt:variant>
      <vt:variant>
        <vt:lpwstr>_Toc513536522</vt:lpwstr>
      </vt:variant>
      <vt:variant>
        <vt:i4>1507376</vt:i4>
      </vt:variant>
      <vt:variant>
        <vt:i4>2</vt:i4>
      </vt:variant>
      <vt:variant>
        <vt:i4>0</vt:i4>
      </vt:variant>
      <vt:variant>
        <vt:i4>5</vt:i4>
      </vt:variant>
      <vt:variant>
        <vt:lpwstr/>
      </vt:variant>
      <vt:variant>
        <vt:lpwstr>_Toc513536521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Abt</cp:lastModifiedBy>
  <cp:revision>3</cp:revision>
  <cp:lastPrinted>2009-01-26T15:35:00Z</cp:lastPrinted>
  <dcterms:created xsi:type="dcterms:W3CDTF">2020-07-13T19:56:00Z</dcterms:created>
  <dcterms:modified xsi:type="dcterms:W3CDTF">2020-07-13T20:05:00Z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