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1632" w14:textId="77777777" w:rsidR="00595E8A" w:rsidRDefault="00595E8A" w:rsidP="00713D23">
      <w:pPr>
        <w:pStyle w:val="CoverTextRed16pt"/>
        <w:ind w:left="5760"/>
        <w:rPr>
          <w:noProof/>
        </w:rPr>
      </w:pPr>
      <w:bookmarkStart w:id="0" w:name="_Toc322083614"/>
    </w:p>
    <w:p w14:paraId="11213211" w14:textId="77312C03" w:rsidR="00713D23" w:rsidRPr="00C70E69" w:rsidRDefault="00C70E69" w:rsidP="00713D23">
      <w:pPr>
        <w:pStyle w:val="CoverTextRed16pt"/>
        <w:ind w:left="5760"/>
        <w:rPr>
          <w:noProof/>
        </w:rPr>
      </w:pPr>
      <w:r w:rsidRPr="00C70E69">
        <w:rPr>
          <w:noProof/>
        </w:rPr>
        <w:t>Health Profession Opportunity Grant (HPOG) program: Third Follow-Up Data Collection</w:t>
      </w:r>
    </w:p>
    <w:p w14:paraId="0346A7D6" w14:textId="77777777" w:rsidR="00713D23" w:rsidRDefault="00713D23" w:rsidP="00C21D50">
      <w:pPr>
        <w:pStyle w:val="CoverTextRed16pt"/>
        <w:ind w:left="6210"/>
        <w:rPr>
          <w:noProof/>
          <w:color w:val="000000" w:themeColor="text1"/>
        </w:rPr>
      </w:pPr>
    </w:p>
    <w:p w14:paraId="48A15FA9" w14:textId="77777777" w:rsidR="00713D23" w:rsidRPr="00713D23" w:rsidRDefault="00713D23" w:rsidP="00C21D50">
      <w:pPr>
        <w:pStyle w:val="CoverTextRed16pt"/>
        <w:ind w:left="6210"/>
        <w:rPr>
          <w:noProof/>
          <w:color w:val="000000" w:themeColor="text1"/>
        </w:rPr>
      </w:pPr>
    </w:p>
    <w:p w14:paraId="66480755" w14:textId="38C2E461" w:rsidR="00C21D50" w:rsidRPr="006806D2" w:rsidRDefault="00713D23" w:rsidP="00C21D50">
      <w:pPr>
        <w:pStyle w:val="CoverTextRed16pt"/>
        <w:ind w:left="6210"/>
        <w:rPr>
          <w:noProof/>
          <w:sz w:val="28"/>
          <w:szCs w:val="28"/>
        </w:rPr>
      </w:pPr>
      <w:r w:rsidRPr="006806D2">
        <w:rPr>
          <w:noProof/>
          <w:sz w:val="28"/>
          <w:szCs w:val="28"/>
        </w:rPr>
        <w:t>OMB Information Collection Request</w:t>
      </w:r>
    </w:p>
    <w:p w14:paraId="7E1CFA7F" w14:textId="27C03C06" w:rsidR="00713D23" w:rsidRPr="006806D2" w:rsidRDefault="00713D23" w:rsidP="00C21D50">
      <w:pPr>
        <w:pStyle w:val="CoverTextRed16pt"/>
        <w:ind w:left="6210"/>
        <w:rPr>
          <w:noProof/>
          <w:sz w:val="28"/>
          <w:szCs w:val="28"/>
        </w:rPr>
      </w:pPr>
      <w:r w:rsidRPr="006806D2">
        <w:rPr>
          <w:noProof/>
          <w:sz w:val="28"/>
          <w:szCs w:val="28"/>
        </w:rPr>
        <w:t>OMB No. 0970-0394</w:t>
      </w:r>
    </w:p>
    <w:p w14:paraId="744E283C" w14:textId="77777777" w:rsidR="00C21D50" w:rsidRDefault="00C21D50" w:rsidP="00C21D50">
      <w:pPr>
        <w:pStyle w:val="CoverTextRed16pt"/>
        <w:ind w:left="6210"/>
        <w:rPr>
          <w:noProof/>
        </w:rPr>
      </w:pPr>
    </w:p>
    <w:p w14:paraId="14CB8368" w14:textId="5F931A55" w:rsidR="00713D23" w:rsidRPr="006806D2" w:rsidRDefault="00C70E69" w:rsidP="00713D23">
      <w:pPr>
        <w:pStyle w:val="CoverTextRed16pt"/>
        <w:ind w:left="6030"/>
        <w:jc w:val="left"/>
        <w:rPr>
          <w:b w:val="0"/>
          <w:noProof/>
        </w:rPr>
      </w:pPr>
      <w:r>
        <w:rPr>
          <w:b w:val="0"/>
          <w:noProof/>
        </w:rPr>
        <w:t xml:space="preserve">   </w:t>
      </w:r>
      <w:r w:rsidR="00713D23" w:rsidRPr="006806D2">
        <w:rPr>
          <w:b w:val="0"/>
          <w:noProof/>
        </w:rPr>
        <w:t>Supporting Statement</w:t>
      </w:r>
    </w:p>
    <w:p w14:paraId="756A7643" w14:textId="2966189B" w:rsidR="00C21D50" w:rsidRPr="006806D2" w:rsidRDefault="00C70E69" w:rsidP="006806D2">
      <w:pPr>
        <w:pStyle w:val="CoverTextRed16pt"/>
        <w:ind w:left="6210"/>
        <w:jc w:val="center"/>
        <w:rPr>
          <w:b w:val="0"/>
          <w:noProof/>
        </w:rPr>
      </w:pPr>
      <w:r>
        <w:rPr>
          <w:b w:val="0"/>
          <w:noProof/>
        </w:rPr>
        <w:t xml:space="preserve">                  </w:t>
      </w:r>
      <w:r w:rsidR="00C21D50" w:rsidRPr="006806D2">
        <w:rPr>
          <w:b w:val="0"/>
          <w:noProof/>
        </w:rPr>
        <w:t>Part B</w:t>
      </w:r>
    </w:p>
    <w:p w14:paraId="1047DAE9" w14:textId="77777777" w:rsidR="00C21D50" w:rsidRDefault="00C21D50" w:rsidP="00C21D50">
      <w:pPr>
        <w:pStyle w:val="CoverTextRed16pt"/>
        <w:rPr>
          <w:noProof/>
        </w:rPr>
      </w:pPr>
    </w:p>
    <w:p w14:paraId="19D7C34E" w14:textId="77777777" w:rsidR="00C21D50" w:rsidRDefault="00C21D50" w:rsidP="006F2EE3">
      <w:pPr>
        <w:pStyle w:val="CoverText-Address"/>
        <w:ind w:hanging="640"/>
        <w:rPr>
          <w:noProof/>
        </w:rPr>
      </w:pPr>
    </w:p>
    <w:p w14:paraId="0708F5F6" w14:textId="77777777" w:rsidR="00C21D50" w:rsidRDefault="00C21D50" w:rsidP="00C21D50">
      <w:pPr>
        <w:pStyle w:val="CoverText-Address"/>
        <w:rPr>
          <w:b/>
        </w:rPr>
      </w:pPr>
    </w:p>
    <w:p w14:paraId="7DD0998F" w14:textId="77777777" w:rsidR="00C21D50" w:rsidRDefault="00C21D50" w:rsidP="00C21D50">
      <w:pPr>
        <w:pStyle w:val="CoverText-Address"/>
      </w:pPr>
    </w:p>
    <w:p w14:paraId="469FEFD2" w14:textId="77777777" w:rsidR="00C21D50" w:rsidRDefault="00C21D50" w:rsidP="00C21D50">
      <w:pPr>
        <w:pStyle w:val="CoverText-Address"/>
      </w:pPr>
    </w:p>
    <w:p w14:paraId="00C02249" w14:textId="45FE1922" w:rsidR="000173C7" w:rsidRPr="001E2CF1" w:rsidRDefault="001F7E31" w:rsidP="000173C7">
      <w:pPr>
        <w:pStyle w:val="CoverText-Address"/>
      </w:pPr>
      <w:r>
        <w:t>June</w:t>
      </w:r>
      <w:bookmarkStart w:id="1" w:name="_GoBack"/>
      <w:bookmarkEnd w:id="1"/>
      <w:r w:rsidR="00860339">
        <w:t xml:space="preserve"> </w:t>
      </w:r>
      <w:r w:rsidR="00D72E71">
        <w:t>2017</w:t>
      </w:r>
    </w:p>
    <w:p w14:paraId="65EFF993" w14:textId="77777777" w:rsidR="000173C7" w:rsidRPr="001E2CF1" w:rsidRDefault="000173C7" w:rsidP="00C21D50">
      <w:pPr>
        <w:pStyle w:val="CoverText-Address"/>
      </w:pPr>
    </w:p>
    <w:p w14:paraId="424658F1" w14:textId="77777777" w:rsidR="00C21D50" w:rsidRPr="001E2CF1" w:rsidRDefault="00C21D50" w:rsidP="00C21D50">
      <w:pPr>
        <w:pStyle w:val="CoverText-Address"/>
      </w:pPr>
    </w:p>
    <w:p w14:paraId="1FCEE102" w14:textId="77777777" w:rsidR="00C21D50" w:rsidRPr="001E2CF1" w:rsidRDefault="00C21D50" w:rsidP="00905E9C">
      <w:pPr>
        <w:tabs>
          <w:tab w:val="left" w:pos="720"/>
          <w:tab w:val="left" w:pos="1080"/>
          <w:tab w:val="left" w:pos="1440"/>
          <w:tab w:val="left" w:pos="1800"/>
          <w:tab w:val="left" w:pos="6660"/>
        </w:tabs>
        <w:spacing w:after="0"/>
        <w:ind w:left="5760" w:right="-540"/>
        <w:jc w:val="right"/>
        <w:rPr>
          <w:rFonts w:ascii="Arial" w:hAnsi="Arial"/>
        </w:rPr>
      </w:pPr>
    </w:p>
    <w:p w14:paraId="24AD6094" w14:textId="77777777" w:rsidR="00713D23" w:rsidRDefault="00C21D50" w:rsidP="00905E9C">
      <w:pPr>
        <w:pStyle w:val="CoverText11pt"/>
        <w:ind w:left="5760"/>
      </w:pPr>
      <w:r>
        <w:t>Submitted by:</w:t>
      </w:r>
    </w:p>
    <w:p w14:paraId="5E9AB9D4" w14:textId="123361A9" w:rsidR="00C21D50" w:rsidRDefault="00713D23" w:rsidP="00905E9C">
      <w:pPr>
        <w:pStyle w:val="CoverText11pt"/>
        <w:ind w:left="5760"/>
      </w:pPr>
      <w:r>
        <w:t xml:space="preserve">Nicole Constance </w:t>
      </w:r>
      <w:r w:rsidR="00C21D50">
        <w:t xml:space="preserve"> </w:t>
      </w:r>
    </w:p>
    <w:p w14:paraId="70D7EB61" w14:textId="06C5CA9C" w:rsidR="00C21D50" w:rsidRDefault="00C21D50" w:rsidP="00B45416">
      <w:pPr>
        <w:pStyle w:val="CoverText-Address"/>
        <w:tabs>
          <w:tab w:val="clear" w:pos="6660"/>
        </w:tabs>
        <w:ind w:left="5760"/>
      </w:pPr>
      <w:r>
        <w:t>Office of Planning,</w:t>
      </w:r>
      <w:r w:rsidR="00905E9C">
        <w:t xml:space="preserve"> </w:t>
      </w:r>
      <w:r>
        <w:br/>
        <w:t>Research &amp; Evaluation</w:t>
      </w:r>
    </w:p>
    <w:p w14:paraId="266DE1A0" w14:textId="77777777" w:rsidR="00C21D50" w:rsidRDefault="00C21D50" w:rsidP="00905E9C">
      <w:pPr>
        <w:pStyle w:val="CoverText-Address"/>
        <w:ind w:left="5760"/>
      </w:pPr>
      <w:r>
        <w:t>Administration for Children &amp; Families</w:t>
      </w:r>
    </w:p>
    <w:p w14:paraId="6075747D" w14:textId="77777777" w:rsidR="00C21D50" w:rsidRPr="006806D2" w:rsidRDefault="00C21D50" w:rsidP="00905E9C">
      <w:pPr>
        <w:pStyle w:val="CoverText-Address"/>
        <w:ind w:left="5760"/>
        <w:rPr>
          <w:color w:val="DA291C" w:themeColor="accent1"/>
        </w:rPr>
      </w:pPr>
      <w:r w:rsidRPr="006806D2">
        <w:rPr>
          <w:color w:val="DA291C" w:themeColor="accent1"/>
        </w:rPr>
        <w:t xml:space="preserve">U.S. Department of Health </w:t>
      </w:r>
      <w:r w:rsidRPr="006806D2">
        <w:rPr>
          <w:color w:val="DA291C" w:themeColor="accent1"/>
        </w:rPr>
        <w:br/>
        <w:t>and Human Services</w:t>
      </w:r>
    </w:p>
    <w:p w14:paraId="1502D68D" w14:textId="77777777" w:rsidR="00C21D50" w:rsidRDefault="00C21D50" w:rsidP="00905E9C">
      <w:pPr>
        <w:pStyle w:val="CoverText-Address"/>
        <w:ind w:left="5760"/>
      </w:pPr>
    </w:p>
    <w:p w14:paraId="28ED8B5B" w14:textId="77777777" w:rsidR="00C21D50" w:rsidRPr="001E2CF1" w:rsidRDefault="00C21D50" w:rsidP="00905E9C">
      <w:pPr>
        <w:pStyle w:val="CoverText-Address"/>
        <w:ind w:left="5760"/>
      </w:pPr>
    </w:p>
    <w:p w14:paraId="3C07FB60" w14:textId="77777777" w:rsidR="00C21D50" w:rsidRPr="001E2CF1" w:rsidRDefault="00C21D50" w:rsidP="00905E9C">
      <w:pPr>
        <w:pStyle w:val="CoverText-Address"/>
        <w:ind w:left="5760"/>
      </w:pPr>
    </w:p>
    <w:p w14:paraId="04765CFE" w14:textId="77777777" w:rsidR="00C70E69" w:rsidRPr="00382BE6" w:rsidRDefault="00C70E69" w:rsidP="00905E9C">
      <w:pPr>
        <w:pStyle w:val="CoverText-Address"/>
        <w:ind w:left="5760"/>
        <w:rPr>
          <w:sz w:val="24"/>
        </w:rPr>
      </w:pPr>
      <w:proofErr w:type="gramStart"/>
      <w:r w:rsidRPr="00382BE6">
        <w:rPr>
          <w:sz w:val="24"/>
        </w:rPr>
        <w:t>4</w:t>
      </w:r>
      <w:r w:rsidRPr="00382BE6">
        <w:rPr>
          <w:sz w:val="24"/>
          <w:vertAlign w:val="superscript"/>
        </w:rPr>
        <w:t>th</w:t>
      </w:r>
      <w:proofErr w:type="gramEnd"/>
      <w:r w:rsidRPr="00382BE6">
        <w:rPr>
          <w:sz w:val="24"/>
        </w:rPr>
        <w:t xml:space="preserve"> Floor, Mary E. Switzer Building</w:t>
      </w:r>
    </w:p>
    <w:p w14:paraId="4BDA3538" w14:textId="77777777" w:rsidR="00C70E69" w:rsidRPr="00382BE6" w:rsidRDefault="00C70E69" w:rsidP="00905E9C">
      <w:pPr>
        <w:pStyle w:val="CoverText-Address"/>
        <w:ind w:left="5760"/>
        <w:rPr>
          <w:sz w:val="24"/>
        </w:rPr>
      </w:pPr>
      <w:r w:rsidRPr="00382BE6">
        <w:rPr>
          <w:sz w:val="24"/>
        </w:rPr>
        <w:t>330 C Street, SW</w:t>
      </w:r>
    </w:p>
    <w:p w14:paraId="47BF3D3A" w14:textId="12C10928" w:rsidR="00C21D50" w:rsidRPr="009565D4" w:rsidRDefault="00C70E69" w:rsidP="00905E9C">
      <w:pPr>
        <w:pStyle w:val="CoverText-Address"/>
        <w:ind w:left="5760"/>
        <w:rPr>
          <w:b/>
          <w:color w:val="DA291C"/>
        </w:rPr>
      </w:pPr>
      <w:r w:rsidRPr="00382BE6">
        <w:rPr>
          <w:sz w:val="24"/>
        </w:rPr>
        <w:t>Washington, D.C. 20201</w:t>
      </w:r>
    </w:p>
    <w:p w14:paraId="0E9CA5AD" w14:textId="77777777" w:rsidR="00C21D50" w:rsidRDefault="00C21D50" w:rsidP="00C21D50">
      <w:pPr>
        <w:sectPr w:rsidR="00C21D50">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2A8C9BE4" w14:textId="77777777" w:rsidR="00C21D50" w:rsidRPr="00A178FC" w:rsidRDefault="00C21D50" w:rsidP="00C21D50">
      <w:pPr>
        <w:pStyle w:val="TOCHeader"/>
      </w:pPr>
      <w:r w:rsidRPr="00A178FC">
        <w:lastRenderedPageBreak/>
        <w:t>Table of Contents</w:t>
      </w:r>
    </w:p>
    <w:p w14:paraId="3D3143A2" w14:textId="77777777" w:rsidR="004655A4" w:rsidRDefault="003E332B">
      <w:pPr>
        <w:pStyle w:val="TOC1"/>
        <w:tabs>
          <w:tab w:val="right" w:leader="dot" w:pos="9350"/>
        </w:tabs>
        <w:rPr>
          <w:rFonts w:asciiTheme="minorHAnsi" w:eastAsiaTheme="minorEastAsia" w:hAnsiTheme="minorHAnsi" w:cstheme="minorBidi"/>
          <w:b w:val="0"/>
          <w:noProof/>
          <w:szCs w:val="22"/>
        </w:rPr>
      </w:pPr>
      <w:r>
        <w:fldChar w:fldCharType="begin"/>
      </w:r>
      <w:r w:rsidR="00C21D50">
        <w:instrText xml:space="preserve"> TOC \o "1-3" \h \z \u </w:instrText>
      </w:r>
      <w:r>
        <w:fldChar w:fldCharType="separate"/>
      </w:r>
      <w:hyperlink w:anchor="_Toc480903465" w:history="1">
        <w:r w:rsidR="004655A4" w:rsidRPr="007141FF">
          <w:rPr>
            <w:rStyle w:val="Hyperlink"/>
            <w:noProof/>
          </w:rPr>
          <w:t>Part B: Statistical Methods</w:t>
        </w:r>
        <w:r w:rsidR="004655A4">
          <w:rPr>
            <w:noProof/>
            <w:webHidden/>
          </w:rPr>
          <w:tab/>
        </w:r>
        <w:r w:rsidR="004655A4">
          <w:rPr>
            <w:noProof/>
            <w:webHidden/>
          </w:rPr>
          <w:fldChar w:fldCharType="begin"/>
        </w:r>
        <w:r w:rsidR="004655A4">
          <w:rPr>
            <w:noProof/>
            <w:webHidden/>
          </w:rPr>
          <w:instrText xml:space="preserve"> PAGEREF _Toc480903465 \h </w:instrText>
        </w:r>
        <w:r w:rsidR="004655A4">
          <w:rPr>
            <w:noProof/>
            <w:webHidden/>
          </w:rPr>
        </w:r>
        <w:r w:rsidR="004655A4">
          <w:rPr>
            <w:noProof/>
            <w:webHidden/>
          </w:rPr>
          <w:fldChar w:fldCharType="separate"/>
        </w:r>
        <w:r w:rsidR="009666D9">
          <w:rPr>
            <w:noProof/>
            <w:webHidden/>
          </w:rPr>
          <w:t>1</w:t>
        </w:r>
        <w:r w:rsidR="004655A4">
          <w:rPr>
            <w:noProof/>
            <w:webHidden/>
          </w:rPr>
          <w:fldChar w:fldCharType="end"/>
        </w:r>
      </w:hyperlink>
    </w:p>
    <w:p w14:paraId="25FC6EC7" w14:textId="77777777" w:rsidR="004655A4" w:rsidRDefault="001F7E31">
      <w:pPr>
        <w:pStyle w:val="TOC2"/>
        <w:rPr>
          <w:rFonts w:asciiTheme="minorHAnsi" w:eastAsiaTheme="minorEastAsia" w:hAnsiTheme="minorHAnsi" w:cstheme="minorBidi"/>
          <w:szCs w:val="22"/>
        </w:rPr>
      </w:pPr>
      <w:hyperlink w:anchor="_Toc480903466" w:history="1">
        <w:r w:rsidR="004655A4" w:rsidRPr="007141FF">
          <w:rPr>
            <w:rStyle w:val="Hyperlink"/>
          </w:rPr>
          <w:t xml:space="preserve">B.1 </w:t>
        </w:r>
        <w:r w:rsidR="004655A4">
          <w:rPr>
            <w:rFonts w:asciiTheme="minorHAnsi" w:eastAsiaTheme="minorEastAsia" w:hAnsiTheme="minorHAnsi" w:cstheme="minorBidi"/>
            <w:szCs w:val="22"/>
          </w:rPr>
          <w:tab/>
        </w:r>
        <w:r w:rsidR="004655A4" w:rsidRPr="007141FF">
          <w:rPr>
            <w:rStyle w:val="Hyperlink"/>
          </w:rPr>
          <w:t>Respondent Universe and Sampling Methods</w:t>
        </w:r>
        <w:r w:rsidR="004655A4">
          <w:rPr>
            <w:webHidden/>
          </w:rPr>
          <w:tab/>
        </w:r>
        <w:r w:rsidR="004655A4">
          <w:rPr>
            <w:webHidden/>
          </w:rPr>
          <w:fldChar w:fldCharType="begin"/>
        </w:r>
        <w:r w:rsidR="004655A4">
          <w:rPr>
            <w:webHidden/>
          </w:rPr>
          <w:instrText xml:space="preserve"> PAGEREF _Toc480903466 \h </w:instrText>
        </w:r>
        <w:r w:rsidR="004655A4">
          <w:rPr>
            <w:webHidden/>
          </w:rPr>
        </w:r>
        <w:r w:rsidR="004655A4">
          <w:rPr>
            <w:webHidden/>
          </w:rPr>
          <w:fldChar w:fldCharType="separate"/>
        </w:r>
        <w:r w:rsidR="009666D9">
          <w:rPr>
            <w:webHidden/>
          </w:rPr>
          <w:t>1</w:t>
        </w:r>
        <w:r w:rsidR="004655A4">
          <w:rPr>
            <w:webHidden/>
          </w:rPr>
          <w:fldChar w:fldCharType="end"/>
        </w:r>
      </w:hyperlink>
    </w:p>
    <w:p w14:paraId="6032825C" w14:textId="77777777" w:rsidR="004655A4" w:rsidRDefault="001F7E31">
      <w:pPr>
        <w:pStyle w:val="TOC3"/>
        <w:rPr>
          <w:rFonts w:asciiTheme="minorHAnsi" w:eastAsiaTheme="minorEastAsia" w:hAnsiTheme="minorHAnsi" w:cstheme="minorBidi"/>
          <w:szCs w:val="22"/>
        </w:rPr>
      </w:pPr>
      <w:hyperlink w:anchor="_Toc480903467" w:history="1">
        <w:r w:rsidR="004655A4" w:rsidRPr="007141FF">
          <w:rPr>
            <w:rStyle w:val="Hyperlink"/>
          </w:rPr>
          <w:t>B.1.1</w:t>
        </w:r>
        <w:r w:rsidR="004655A4">
          <w:rPr>
            <w:rFonts w:asciiTheme="minorHAnsi" w:eastAsiaTheme="minorEastAsia" w:hAnsiTheme="minorHAnsi" w:cstheme="minorBidi"/>
            <w:szCs w:val="22"/>
          </w:rPr>
          <w:tab/>
        </w:r>
        <w:r w:rsidR="004655A4" w:rsidRPr="007141FF">
          <w:rPr>
            <w:rStyle w:val="Hyperlink"/>
          </w:rPr>
          <w:t>HPOG Programs and Study Participants</w:t>
        </w:r>
        <w:r w:rsidR="004655A4">
          <w:rPr>
            <w:webHidden/>
          </w:rPr>
          <w:tab/>
        </w:r>
        <w:r w:rsidR="004655A4">
          <w:rPr>
            <w:webHidden/>
          </w:rPr>
          <w:fldChar w:fldCharType="begin"/>
        </w:r>
        <w:r w:rsidR="004655A4">
          <w:rPr>
            <w:webHidden/>
          </w:rPr>
          <w:instrText xml:space="preserve"> PAGEREF _Toc480903467 \h </w:instrText>
        </w:r>
        <w:r w:rsidR="004655A4">
          <w:rPr>
            <w:webHidden/>
          </w:rPr>
        </w:r>
        <w:r w:rsidR="004655A4">
          <w:rPr>
            <w:webHidden/>
          </w:rPr>
          <w:fldChar w:fldCharType="separate"/>
        </w:r>
        <w:r w:rsidR="009666D9">
          <w:rPr>
            <w:webHidden/>
          </w:rPr>
          <w:t>1</w:t>
        </w:r>
        <w:r w:rsidR="004655A4">
          <w:rPr>
            <w:webHidden/>
          </w:rPr>
          <w:fldChar w:fldCharType="end"/>
        </w:r>
      </w:hyperlink>
    </w:p>
    <w:p w14:paraId="0CBFFADC" w14:textId="77777777" w:rsidR="004655A4" w:rsidRDefault="001F7E31">
      <w:pPr>
        <w:pStyle w:val="TOC3"/>
        <w:rPr>
          <w:rFonts w:asciiTheme="minorHAnsi" w:eastAsiaTheme="minorEastAsia" w:hAnsiTheme="minorHAnsi" w:cstheme="minorBidi"/>
          <w:szCs w:val="22"/>
        </w:rPr>
      </w:pPr>
      <w:hyperlink w:anchor="_Toc480903468" w:history="1">
        <w:r w:rsidR="004655A4" w:rsidRPr="007141FF">
          <w:rPr>
            <w:rStyle w:val="Hyperlink"/>
          </w:rPr>
          <w:t xml:space="preserve">B.1.2 </w:t>
        </w:r>
        <w:r w:rsidR="004655A4">
          <w:rPr>
            <w:rFonts w:asciiTheme="minorHAnsi" w:eastAsiaTheme="minorEastAsia" w:hAnsiTheme="minorHAnsi" w:cstheme="minorBidi"/>
            <w:szCs w:val="22"/>
          </w:rPr>
          <w:tab/>
        </w:r>
        <w:r w:rsidR="004655A4" w:rsidRPr="007141FF">
          <w:rPr>
            <w:rStyle w:val="Hyperlink"/>
          </w:rPr>
          <w:t>Sample Design</w:t>
        </w:r>
        <w:r w:rsidR="004655A4">
          <w:rPr>
            <w:webHidden/>
          </w:rPr>
          <w:tab/>
        </w:r>
        <w:r w:rsidR="004655A4">
          <w:rPr>
            <w:webHidden/>
          </w:rPr>
          <w:fldChar w:fldCharType="begin"/>
        </w:r>
        <w:r w:rsidR="004655A4">
          <w:rPr>
            <w:webHidden/>
          </w:rPr>
          <w:instrText xml:space="preserve"> PAGEREF _Toc480903468 \h </w:instrText>
        </w:r>
        <w:r w:rsidR="004655A4">
          <w:rPr>
            <w:webHidden/>
          </w:rPr>
        </w:r>
        <w:r w:rsidR="004655A4">
          <w:rPr>
            <w:webHidden/>
          </w:rPr>
          <w:fldChar w:fldCharType="separate"/>
        </w:r>
        <w:r w:rsidR="009666D9">
          <w:rPr>
            <w:webHidden/>
          </w:rPr>
          <w:t>2</w:t>
        </w:r>
        <w:r w:rsidR="004655A4">
          <w:rPr>
            <w:webHidden/>
          </w:rPr>
          <w:fldChar w:fldCharType="end"/>
        </w:r>
      </w:hyperlink>
    </w:p>
    <w:p w14:paraId="3C0791EE" w14:textId="77777777" w:rsidR="004655A4" w:rsidRDefault="001F7E31">
      <w:pPr>
        <w:pStyle w:val="TOC3"/>
        <w:rPr>
          <w:rFonts w:asciiTheme="minorHAnsi" w:eastAsiaTheme="minorEastAsia" w:hAnsiTheme="minorHAnsi" w:cstheme="minorBidi"/>
          <w:szCs w:val="22"/>
        </w:rPr>
      </w:pPr>
      <w:hyperlink w:anchor="_Toc480903469" w:history="1">
        <w:r w:rsidR="004655A4" w:rsidRPr="007141FF">
          <w:rPr>
            <w:rStyle w:val="Hyperlink"/>
          </w:rPr>
          <w:t>B.1.3</w:t>
        </w:r>
        <w:r w:rsidR="004655A4">
          <w:rPr>
            <w:rFonts w:asciiTheme="minorHAnsi" w:eastAsiaTheme="minorEastAsia" w:hAnsiTheme="minorHAnsi" w:cstheme="minorBidi"/>
            <w:szCs w:val="22"/>
          </w:rPr>
          <w:tab/>
        </w:r>
        <w:r w:rsidR="004655A4" w:rsidRPr="007141FF">
          <w:rPr>
            <w:rStyle w:val="Hyperlink"/>
          </w:rPr>
          <w:t>Target Response Rates</w:t>
        </w:r>
        <w:r w:rsidR="004655A4">
          <w:rPr>
            <w:webHidden/>
          </w:rPr>
          <w:tab/>
        </w:r>
        <w:r w:rsidR="004655A4">
          <w:rPr>
            <w:webHidden/>
          </w:rPr>
          <w:fldChar w:fldCharType="begin"/>
        </w:r>
        <w:r w:rsidR="004655A4">
          <w:rPr>
            <w:webHidden/>
          </w:rPr>
          <w:instrText xml:space="preserve"> PAGEREF _Toc480903469 \h </w:instrText>
        </w:r>
        <w:r w:rsidR="004655A4">
          <w:rPr>
            <w:webHidden/>
          </w:rPr>
        </w:r>
        <w:r w:rsidR="004655A4">
          <w:rPr>
            <w:webHidden/>
          </w:rPr>
          <w:fldChar w:fldCharType="separate"/>
        </w:r>
        <w:r w:rsidR="009666D9">
          <w:rPr>
            <w:webHidden/>
          </w:rPr>
          <w:t>4</w:t>
        </w:r>
        <w:r w:rsidR="004655A4">
          <w:rPr>
            <w:webHidden/>
          </w:rPr>
          <w:fldChar w:fldCharType="end"/>
        </w:r>
      </w:hyperlink>
    </w:p>
    <w:p w14:paraId="0976204B" w14:textId="77777777" w:rsidR="004655A4" w:rsidRDefault="001F7E31">
      <w:pPr>
        <w:pStyle w:val="TOC3"/>
        <w:rPr>
          <w:rFonts w:asciiTheme="minorHAnsi" w:eastAsiaTheme="minorEastAsia" w:hAnsiTheme="minorHAnsi" w:cstheme="minorBidi"/>
          <w:szCs w:val="22"/>
        </w:rPr>
      </w:pPr>
      <w:hyperlink w:anchor="_Toc480903470" w:history="1">
        <w:r w:rsidR="004655A4" w:rsidRPr="007141FF">
          <w:rPr>
            <w:rStyle w:val="Hyperlink"/>
          </w:rPr>
          <w:t>B.1.4</w:t>
        </w:r>
        <w:r w:rsidR="004655A4">
          <w:rPr>
            <w:rFonts w:asciiTheme="minorHAnsi" w:eastAsiaTheme="minorEastAsia" w:hAnsiTheme="minorHAnsi" w:cstheme="minorBidi"/>
            <w:szCs w:val="22"/>
          </w:rPr>
          <w:tab/>
        </w:r>
        <w:r w:rsidR="004655A4" w:rsidRPr="007141FF">
          <w:rPr>
            <w:rStyle w:val="Hyperlink"/>
          </w:rPr>
          <w:t>Estimation Procedures for HPOG-Impact Analyses</w:t>
        </w:r>
        <w:r w:rsidR="004655A4">
          <w:rPr>
            <w:webHidden/>
          </w:rPr>
          <w:tab/>
        </w:r>
        <w:r w:rsidR="004655A4">
          <w:rPr>
            <w:webHidden/>
          </w:rPr>
          <w:fldChar w:fldCharType="begin"/>
        </w:r>
        <w:r w:rsidR="004655A4">
          <w:rPr>
            <w:webHidden/>
          </w:rPr>
          <w:instrText xml:space="preserve"> PAGEREF _Toc480903470 \h </w:instrText>
        </w:r>
        <w:r w:rsidR="004655A4">
          <w:rPr>
            <w:webHidden/>
          </w:rPr>
        </w:r>
        <w:r w:rsidR="004655A4">
          <w:rPr>
            <w:webHidden/>
          </w:rPr>
          <w:fldChar w:fldCharType="separate"/>
        </w:r>
        <w:r w:rsidR="009666D9">
          <w:rPr>
            <w:webHidden/>
          </w:rPr>
          <w:t>4</w:t>
        </w:r>
        <w:r w:rsidR="004655A4">
          <w:rPr>
            <w:webHidden/>
          </w:rPr>
          <w:fldChar w:fldCharType="end"/>
        </w:r>
      </w:hyperlink>
    </w:p>
    <w:p w14:paraId="13C1A601" w14:textId="77777777" w:rsidR="004655A4" w:rsidRDefault="001F7E31">
      <w:pPr>
        <w:pStyle w:val="TOC3"/>
        <w:rPr>
          <w:rFonts w:asciiTheme="minorHAnsi" w:eastAsiaTheme="minorEastAsia" w:hAnsiTheme="minorHAnsi" w:cstheme="minorBidi"/>
          <w:szCs w:val="22"/>
        </w:rPr>
      </w:pPr>
      <w:hyperlink w:anchor="_Toc480903471" w:history="1">
        <w:r w:rsidR="004655A4" w:rsidRPr="007141FF">
          <w:rPr>
            <w:rStyle w:val="Hyperlink"/>
          </w:rPr>
          <w:t>B.1.5</w:t>
        </w:r>
        <w:r w:rsidR="004655A4">
          <w:rPr>
            <w:rFonts w:asciiTheme="minorHAnsi" w:eastAsiaTheme="minorEastAsia" w:hAnsiTheme="minorHAnsi" w:cstheme="minorBidi"/>
            <w:szCs w:val="22"/>
          </w:rPr>
          <w:tab/>
        </w:r>
        <w:r w:rsidR="004655A4" w:rsidRPr="007141FF">
          <w:rPr>
            <w:rStyle w:val="Hyperlink"/>
          </w:rPr>
          <w:t>Degree of Accuracy Required</w:t>
        </w:r>
        <w:r w:rsidR="004655A4">
          <w:rPr>
            <w:webHidden/>
          </w:rPr>
          <w:tab/>
        </w:r>
        <w:r w:rsidR="004655A4">
          <w:rPr>
            <w:webHidden/>
          </w:rPr>
          <w:fldChar w:fldCharType="begin"/>
        </w:r>
        <w:r w:rsidR="004655A4">
          <w:rPr>
            <w:webHidden/>
          </w:rPr>
          <w:instrText xml:space="preserve"> PAGEREF _Toc480903471 \h </w:instrText>
        </w:r>
        <w:r w:rsidR="004655A4">
          <w:rPr>
            <w:webHidden/>
          </w:rPr>
        </w:r>
        <w:r w:rsidR="004655A4">
          <w:rPr>
            <w:webHidden/>
          </w:rPr>
          <w:fldChar w:fldCharType="separate"/>
        </w:r>
        <w:r w:rsidR="009666D9">
          <w:rPr>
            <w:webHidden/>
          </w:rPr>
          <w:t>5</w:t>
        </w:r>
        <w:r w:rsidR="004655A4">
          <w:rPr>
            <w:webHidden/>
          </w:rPr>
          <w:fldChar w:fldCharType="end"/>
        </w:r>
      </w:hyperlink>
    </w:p>
    <w:p w14:paraId="070A3627" w14:textId="77777777" w:rsidR="004655A4" w:rsidRDefault="001F7E31">
      <w:pPr>
        <w:pStyle w:val="TOC2"/>
        <w:rPr>
          <w:rFonts w:asciiTheme="minorHAnsi" w:eastAsiaTheme="minorEastAsia" w:hAnsiTheme="minorHAnsi" w:cstheme="minorBidi"/>
          <w:szCs w:val="22"/>
        </w:rPr>
      </w:pPr>
      <w:hyperlink w:anchor="_Toc480903472" w:history="1">
        <w:r w:rsidR="004655A4" w:rsidRPr="007141FF">
          <w:rPr>
            <w:rStyle w:val="Hyperlink"/>
          </w:rPr>
          <w:t>B.2</w:t>
        </w:r>
        <w:r w:rsidR="004655A4">
          <w:rPr>
            <w:rFonts w:asciiTheme="minorHAnsi" w:eastAsiaTheme="minorEastAsia" w:hAnsiTheme="minorHAnsi" w:cstheme="minorBidi"/>
            <w:szCs w:val="22"/>
          </w:rPr>
          <w:tab/>
        </w:r>
        <w:r w:rsidR="004655A4" w:rsidRPr="007141FF">
          <w:rPr>
            <w:rStyle w:val="Hyperlink"/>
          </w:rPr>
          <w:t>Procedures for Collection of Information</w:t>
        </w:r>
        <w:r w:rsidR="004655A4">
          <w:rPr>
            <w:webHidden/>
          </w:rPr>
          <w:tab/>
        </w:r>
        <w:r w:rsidR="004655A4">
          <w:rPr>
            <w:webHidden/>
          </w:rPr>
          <w:fldChar w:fldCharType="begin"/>
        </w:r>
        <w:r w:rsidR="004655A4">
          <w:rPr>
            <w:webHidden/>
          </w:rPr>
          <w:instrText xml:space="preserve"> PAGEREF _Toc480903472 \h </w:instrText>
        </w:r>
        <w:r w:rsidR="004655A4">
          <w:rPr>
            <w:webHidden/>
          </w:rPr>
        </w:r>
        <w:r w:rsidR="004655A4">
          <w:rPr>
            <w:webHidden/>
          </w:rPr>
          <w:fldChar w:fldCharType="separate"/>
        </w:r>
        <w:r w:rsidR="009666D9">
          <w:rPr>
            <w:webHidden/>
          </w:rPr>
          <w:t>6</w:t>
        </w:r>
        <w:r w:rsidR="004655A4">
          <w:rPr>
            <w:webHidden/>
          </w:rPr>
          <w:fldChar w:fldCharType="end"/>
        </w:r>
      </w:hyperlink>
    </w:p>
    <w:p w14:paraId="2DCC3C14" w14:textId="77777777" w:rsidR="004655A4" w:rsidRDefault="001F7E31">
      <w:pPr>
        <w:pStyle w:val="TOC3"/>
        <w:rPr>
          <w:rFonts w:asciiTheme="minorHAnsi" w:eastAsiaTheme="minorEastAsia" w:hAnsiTheme="minorHAnsi" w:cstheme="minorBidi"/>
          <w:szCs w:val="22"/>
        </w:rPr>
      </w:pPr>
      <w:hyperlink w:anchor="_Toc480903473" w:history="1">
        <w:r w:rsidR="004655A4" w:rsidRPr="007141FF">
          <w:rPr>
            <w:rStyle w:val="Hyperlink"/>
          </w:rPr>
          <w:t>B.2.1</w:t>
        </w:r>
        <w:r w:rsidR="004655A4">
          <w:rPr>
            <w:rFonts w:asciiTheme="minorHAnsi" w:eastAsiaTheme="minorEastAsia" w:hAnsiTheme="minorHAnsi" w:cstheme="minorBidi"/>
            <w:szCs w:val="22"/>
          </w:rPr>
          <w:tab/>
        </w:r>
        <w:r w:rsidR="004655A4" w:rsidRPr="007141FF">
          <w:rPr>
            <w:rStyle w:val="Hyperlink"/>
          </w:rPr>
          <w:t>Preparation for the Interviews</w:t>
        </w:r>
        <w:r w:rsidR="004655A4">
          <w:rPr>
            <w:webHidden/>
          </w:rPr>
          <w:tab/>
        </w:r>
        <w:r w:rsidR="004655A4">
          <w:rPr>
            <w:webHidden/>
          </w:rPr>
          <w:fldChar w:fldCharType="begin"/>
        </w:r>
        <w:r w:rsidR="004655A4">
          <w:rPr>
            <w:webHidden/>
          </w:rPr>
          <w:instrText xml:space="preserve"> PAGEREF _Toc480903473 \h </w:instrText>
        </w:r>
        <w:r w:rsidR="004655A4">
          <w:rPr>
            <w:webHidden/>
          </w:rPr>
        </w:r>
        <w:r w:rsidR="004655A4">
          <w:rPr>
            <w:webHidden/>
          </w:rPr>
          <w:fldChar w:fldCharType="separate"/>
        </w:r>
        <w:r w:rsidR="009666D9">
          <w:rPr>
            <w:webHidden/>
          </w:rPr>
          <w:t>6</w:t>
        </w:r>
        <w:r w:rsidR="004655A4">
          <w:rPr>
            <w:webHidden/>
          </w:rPr>
          <w:fldChar w:fldCharType="end"/>
        </w:r>
      </w:hyperlink>
    </w:p>
    <w:p w14:paraId="0F2990CD" w14:textId="77777777" w:rsidR="004655A4" w:rsidRDefault="001F7E31">
      <w:pPr>
        <w:pStyle w:val="TOC3"/>
        <w:rPr>
          <w:rFonts w:asciiTheme="minorHAnsi" w:eastAsiaTheme="minorEastAsia" w:hAnsiTheme="minorHAnsi" w:cstheme="minorBidi"/>
          <w:szCs w:val="22"/>
        </w:rPr>
      </w:pPr>
      <w:hyperlink w:anchor="_Toc480903474" w:history="1">
        <w:r w:rsidR="004655A4" w:rsidRPr="007141FF">
          <w:rPr>
            <w:rStyle w:val="Hyperlink"/>
          </w:rPr>
          <w:t xml:space="preserve">B.2.2 </w:t>
        </w:r>
        <w:r w:rsidR="004655A4">
          <w:rPr>
            <w:rFonts w:asciiTheme="minorHAnsi" w:eastAsiaTheme="minorEastAsia" w:hAnsiTheme="minorHAnsi" w:cstheme="minorBidi"/>
            <w:szCs w:val="22"/>
          </w:rPr>
          <w:tab/>
        </w:r>
        <w:r w:rsidR="004655A4" w:rsidRPr="007141FF">
          <w:rPr>
            <w:rStyle w:val="Hyperlink"/>
          </w:rPr>
          <w:t>In-Person Interviewing</w:t>
        </w:r>
        <w:r w:rsidR="004655A4">
          <w:rPr>
            <w:webHidden/>
          </w:rPr>
          <w:tab/>
        </w:r>
        <w:r w:rsidR="004655A4">
          <w:rPr>
            <w:webHidden/>
          </w:rPr>
          <w:fldChar w:fldCharType="begin"/>
        </w:r>
        <w:r w:rsidR="004655A4">
          <w:rPr>
            <w:webHidden/>
          </w:rPr>
          <w:instrText xml:space="preserve"> PAGEREF _Toc480903474 \h </w:instrText>
        </w:r>
        <w:r w:rsidR="004655A4">
          <w:rPr>
            <w:webHidden/>
          </w:rPr>
        </w:r>
        <w:r w:rsidR="004655A4">
          <w:rPr>
            <w:webHidden/>
          </w:rPr>
          <w:fldChar w:fldCharType="separate"/>
        </w:r>
        <w:r w:rsidR="009666D9">
          <w:rPr>
            <w:webHidden/>
          </w:rPr>
          <w:t>7</w:t>
        </w:r>
        <w:r w:rsidR="004655A4">
          <w:rPr>
            <w:webHidden/>
          </w:rPr>
          <w:fldChar w:fldCharType="end"/>
        </w:r>
      </w:hyperlink>
    </w:p>
    <w:p w14:paraId="48A4D187" w14:textId="77777777" w:rsidR="004655A4" w:rsidRDefault="001F7E31">
      <w:pPr>
        <w:pStyle w:val="TOC3"/>
        <w:rPr>
          <w:rFonts w:asciiTheme="minorHAnsi" w:eastAsiaTheme="minorEastAsia" w:hAnsiTheme="minorHAnsi" w:cstheme="minorBidi"/>
          <w:szCs w:val="22"/>
        </w:rPr>
      </w:pPr>
      <w:hyperlink w:anchor="_Toc480903475" w:history="1">
        <w:r w:rsidR="004655A4" w:rsidRPr="007141FF">
          <w:rPr>
            <w:rStyle w:val="Hyperlink"/>
          </w:rPr>
          <w:t>B.2.3</w:t>
        </w:r>
        <w:r w:rsidR="004655A4">
          <w:rPr>
            <w:rFonts w:asciiTheme="minorHAnsi" w:eastAsiaTheme="minorEastAsia" w:hAnsiTheme="minorHAnsi" w:cstheme="minorBidi"/>
            <w:szCs w:val="22"/>
          </w:rPr>
          <w:tab/>
        </w:r>
        <w:r w:rsidR="004655A4" w:rsidRPr="007141FF">
          <w:rPr>
            <w:rStyle w:val="Hyperlink"/>
          </w:rPr>
          <w:t>Procedures with Special Populations</w:t>
        </w:r>
        <w:r w:rsidR="004655A4">
          <w:rPr>
            <w:webHidden/>
          </w:rPr>
          <w:tab/>
        </w:r>
        <w:r w:rsidR="004655A4">
          <w:rPr>
            <w:webHidden/>
          </w:rPr>
          <w:fldChar w:fldCharType="begin"/>
        </w:r>
        <w:r w:rsidR="004655A4">
          <w:rPr>
            <w:webHidden/>
          </w:rPr>
          <w:instrText xml:space="preserve"> PAGEREF _Toc480903475 \h </w:instrText>
        </w:r>
        <w:r w:rsidR="004655A4">
          <w:rPr>
            <w:webHidden/>
          </w:rPr>
        </w:r>
        <w:r w:rsidR="004655A4">
          <w:rPr>
            <w:webHidden/>
          </w:rPr>
          <w:fldChar w:fldCharType="separate"/>
        </w:r>
        <w:r w:rsidR="009666D9">
          <w:rPr>
            <w:webHidden/>
          </w:rPr>
          <w:t>8</w:t>
        </w:r>
        <w:r w:rsidR="004655A4">
          <w:rPr>
            <w:webHidden/>
          </w:rPr>
          <w:fldChar w:fldCharType="end"/>
        </w:r>
      </w:hyperlink>
    </w:p>
    <w:p w14:paraId="760705B3" w14:textId="77777777" w:rsidR="004655A4" w:rsidRDefault="001F7E31">
      <w:pPr>
        <w:pStyle w:val="TOC2"/>
        <w:rPr>
          <w:rFonts w:asciiTheme="minorHAnsi" w:eastAsiaTheme="minorEastAsia" w:hAnsiTheme="minorHAnsi" w:cstheme="minorBidi"/>
          <w:szCs w:val="22"/>
        </w:rPr>
      </w:pPr>
      <w:hyperlink w:anchor="_Toc480903476" w:history="1">
        <w:r w:rsidR="004655A4" w:rsidRPr="007141FF">
          <w:rPr>
            <w:rStyle w:val="Hyperlink"/>
          </w:rPr>
          <w:t>B.3</w:t>
        </w:r>
        <w:r w:rsidR="004655A4">
          <w:rPr>
            <w:rFonts w:asciiTheme="minorHAnsi" w:eastAsiaTheme="minorEastAsia" w:hAnsiTheme="minorHAnsi" w:cstheme="minorBidi"/>
            <w:szCs w:val="22"/>
          </w:rPr>
          <w:tab/>
        </w:r>
        <w:r w:rsidR="004655A4" w:rsidRPr="007141FF">
          <w:rPr>
            <w:rStyle w:val="Hyperlink"/>
          </w:rPr>
          <w:t>Methods to Maximize Response Rates and Deal with Nonresponse</w:t>
        </w:r>
        <w:r w:rsidR="004655A4">
          <w:rPr>
            <w:webHidden/>
          </w:rPr>
          <w:tab/>
        </w:r>
        <w:r w:rsidR="004655A4">
          <w:rPr>
            <w:webHidden/>
          </w:rPr>
          <w:fldChar w:fldCharType="begin"/>
        </w:r>
        <w:r w:rsidR="004655A4">
          <w:rPr>
            <w:webHidden/>
          </w:rPr>
          <w:instrText xml:space="preserve"> PAGEREF _Toc480903476 \h </w:instrText>
        </w:r>
        <w:r w:rsidR="004655A4">
          <w:rPr>
            <w:webHidden/>
          </w:rPr>
        </w:r>
        <w:r w:rsidR="004655A4">
          <w:rPr>
            <w:webHidden/>
          </w:rPr>
          <w:fldChar w:fldCharType="separate"/>
        </w:r>
        <w:r w:rsidR="009666D9">
          <w:rPr>
            <w:webHidden/>
          </w:rPr>
          <w:t>8</w:t>
        </w:r>
        <w:r w:rsidR="004655A4">
          <w:rPr>
            <w:webHidden/>
          </w:rPr>
          <w:fldChar w:fldCharType="end"/>
        </w:r>
      </w:hyperlink>
    </w:p>
    <w:p w14:paraId="0672A62E" w14:textId="77777777" w:rsidR="004655A4" w:rsidRDefault="001F7E31">
      <w:pPr>
        <w:pStyle w:val="TOC3"/>
        <w:rPr>
          <w:rFonts w:asciiTheme="minorHAnsi" w:eastAsiaTheme="minorEastAsia" w:hAnsiTheme="minorHAnsi" w:cstheme="minorBidi"/>
          <w:szCs w:val="22"/>
        </w:rPr>
      </w:pPr>
      <w:hyperlink w:anchor="_Toc480903477" w:history="1">
        <w:r w:rsidR="004655A4" w:rsidRPr="007141FF">
          <w:rPr>
            <w:rStyle w:val="Hyperlink"/>
          </w:rPr>
          <w:t>B.3.1</w:t>
        </w:r>
        <w:r w:rsidR="004655A4">
          <w:rPr>
            <w:rFonts w:asciiTheme="minorHAnsi" w:eastAsiaTheme="minorEastAsia" w:hAnsiTheme="minorHAnsi" w:cstheme="minorBidi"/>
            <w:szCs w:val="22"/>
          </w:rPr>
          <w:tab/>
        </w:r>
        <w:r w:rsidR="004655A4" w:rsidRPr="007141FF">
          <w:rPr>
            <w:rStyle w:val="Hyperlink"/>
          </w:rPr>
          <w:t>Participant Contact Updates and Locating</w:t>
        </w:r>
        <w:r w:rsidR="004655A4">
          <w:rPr>
            <w:webHidden/>
          </w:rPr>
          <w:tab/>
        </w:r>
        <w:r w:rsidR="004655A4">
          <w:rPr>
            <w:webHidden/>
          </w:rPr>
          <w:fldChar w:fldCharType="begin"/>
        </w:r>
        <w:r w:rsidR="004655A4">
          <w:rPr>
            <w:webHidden/>
          </w:rPr>
          <w:instrText xml:space="preserve"> PAGEREF _Toc480903477 \h </w:instrText>
        </w:r>
        <w:r w:rsidR="004655A4">
          <w:rPr>
            <w:webHidden/>
          </w:rPr>
        </w:r>
        <w:r w:rsidR="004655A4">
          <w:rPr>
            <w:webHidden/>
          </w:rPr>
          <w:fldChar w:fldCharType="separate"/>
        </w:r>
        <w:r w:rsidR="009666D9">
          <w:rPr>
            <w:webHidden/>
          </w:rPr>
          <w:t>8</w:t>
        </w:r>
        <w:r w:rsidR="004655A4">
          <w:rPr>
            <w:webHidden/>
          </w:rPr>
          <w:fldChar w:fldCharType="end"/>
        </w:r>
      </w:hyperlink>
    </w:p>
    <w:p w14:paraId="775DF9D1" w14:textId="77777777" w:rsidR="004655A4" w:rsidRDefault="001F7E31">
      <w:pPr>
        <w:pStyle w:val="TOC3"/>
        <w:rPr>
          <w:rFonts w:asciiTheme="minorHAnsi" w:eastAsiaTheme="minorEastAsia" w:hAnsiTheme="minorHAnsi" w:cstheme="minorBidi"/>
          <w:szCs w:val="22"/>
        </w:rPr>
      </w:pPr>
      <w:hyperlink w:anchor="_Toc480903478" w:history="1">
        <w:r w:rsidR="004655A4" w:rsidRPr="007141FF">
          <w:rPr>
            <w:rStyle w:val="Hyperlink"/>
          </w:rPr>
          <w:t>B.3.2</w:t>
        </w:r>
        <w:r w:rsidR="004655A4">
          <w:rPr>
            <w:rFonts w:asciiTheme="minorHAnsi" w:eastAsiaTheme="minorEastAsia" w:hAnsiTheme="minorHAnsi" w:cstheme="minorBidi"/>
            <w:szCs w:val="22"/>
          </w:rPr>
          <w:tab/>
        </w:r>
        <w:r w:rsidR="004655A4" w:rsidRPr="007141FF">
          <w:rPr>
            <w:rStyle w:val="Hyperlink"/>
          </w:rPr>
          <w:t>Tokens of Appreciation</w:t>
        </w:r>
        <w:r w:rsidR="004655A4">
          <w:rPr>
            <w:webHidden/>
          </w:rPr>
          <w:tab/>
        </w:r>
        <w:r w:rsidR="004655A4">
          <w:rPr>
            <w:webHidden/>
          </w:rPr>
          <w:fldChar w:fldCharType="begin"/>
        </w:r>
        <w:r w:rsidR="004655A4">
          <w:rPr>
            <w:webHidden/>
          </w:rPr>
          <w:instrText xml:space="preserve"> PAGEREF _Toc480903478 \h </w:instrText>
        </w:r>
        <w:r w:rsidR="004655A4">
          <w:rPr>
            <w:webHidden/>
          </w:rPr>
        </w:r>
        <w:r w:rsidR="004655A4">
          <w:rPr>
            <w:webHidden/>
          </w:rPr>
          <w:fldChar w:fldCharType="separate"/>
        </w:r>
        <w:r w:rsidR="009666D9">
          <w:rPr>
            <w:webHidden/>
          </w:rPr>
          <w:t>10</w:t>
        </w:r>
        <w:r w:rsidR="004655A4">
          <w:rPr>
            <w:webHidden/>
          </w:rPr>
          <w:fldChar w:fldCharType="end"/>
        </w:r>
      </w:hyperlink>
    </w:p>
    <w:p w14:paraId="6B45AF39" w14:textId="77777777" w:rsidR="004655A4" w:rsidRDefault="001F7E31">
      <w:pPr>
        <w:pStyle w:val="TOC3"/>
        <w:rPr>
          <w:rFonts w:asciiTheme="minorHAnsi" w:eastAsiaTheme="minorEastAsia" w:hAnsiTheme="minorHAnsi" w:cstheme="minorBidi"/>
          <w:szCs w:val="22"/>
        </w:rPr>
      </w:pPr>
      <w:hyperlink w:anchor="_Toc480903479" w:history="1">
        <w:r w:rsidR="004655A4" w:rsidRPr="007141FF">
          <w:rPr>
            <w:rStyle w:val="Hyperlink"/>
          </w:rPr>
          <w:t>B.3.3</w:t>
        </w:r>
        <w:r w:rsidR="004655A4">
          <w:rPr>
            <w:rFonts w:asciiTheme="minorHAnsi" w:eastAsiaTheme="minorEastAsia" w:hAnsiTheme="minorHAnsi" w:cstheme="minorBidi"/>
            <w:szCs w:val="22"/>
          </w:rPr>
          <w:tab/>
        </w:r>
        <w:r w:rsidR="004655A4" w:rsidRPr="007141FF">
          <w:rPr>
            <w:rStyle w:val="Hyperlink"/>
          </w:rPr>
          <w:t>Sample Control to Maximize the Response Rate</w:t>
        </w:r>
        <w:r w:rsidR="004655A4">
          <w:rPr>
            <w:webHidden/>
          </w:rPr>
          <w:tab/>
        </w:r>
        <w:r w:rsidR="004655A4">
          <w:rPr>
            <w:webHidden/>
          </w:rPr>
          <w:fldChar w:fldCharType="begin"/>
        </w:r>
        <w:r w:rsidR="004655A4">
          <w:rPr>
            <w:webHidden/>
          </w:rPr>
          <w:instrText xml:space="preserve"> PAGEREF _Toc480903479 \h </w:instrText>
        </w:r>
        <w:r w:rsidR="004655A4">
          <w:rPr>
            <w:webHidden/>
          </w:rPr>
        </w:r>
        <w:r w:rsidR="004655A4">
          <w:rPr>
            <w:webHidden/>
          </w:rPr>
          <w:fldChar w:fldCharType="separate"/>
        </w:r>
        <w:r w:rsidR="009666D9">
          <w:rPr>
            <w:webHidden/>
          </w:rPr>
          <w:t>11</w:t>
        </w:r>
        <w:r w:rsidR="004655A4">
          <w:rPr>
            <w:webHidden/>
          </w:rPr>
          <w:fldChar w:fldCharType="end"/>
        </w:r>
      </w:hyperlink>
    </w:p>
    <w:p w14:paraId="6B6017EA" w14:textId="77777777" w:rsidR="004655A4" w:rsidRDefault="001F7E31">
      <w:pPr>
        <w:pStyle w:val="TOC3"/>
        <w:rPr>
          <w:rFonts w:asciiTheme="minorHAnsi" w:eastAsiaTheme="minorEastAsia" w:hAnsiTheme="minorHAnsi" w:cstheme="minorBidi"/>
          <w:szCs w:val="22"/>
        </w:rPr>
      </w:pPr>
      <w:hyperlink w:anchor="_Toc480903480" w:history="1">
        <w:r w:rsidR="004655A4" w:rsidRPr="007141FF">
          <w:rPr>
            <w:rStyle w:val="Hyperlink"/>
          </w:rPr>
          <w:t>B.3.4</w:t>
        </w:r>
        <w:r w:rsidR="004655A4">
          <w:rPr>
            <w:rFonts w:asciiTheme="minorHAnsi" w:eastAsiaTheme="minorEastAsia" w:hAnsiTheme="minorHAnsi" w:cstheme="minorBidi"/>
            <w:szCs w:val="22"/>
          </w:rPr>
          <w:tab/>
        </w:r>
        <w:r w:rsidR="004655A4" w:rsidRPr="007141FF">
          <w:rPr>
            <w:rStyle w:val="Hyperlink"/>
          </w:rPr>
          <w:t>Nonresponse Bias Analysis and Nonresponse Weighting Adjustment</w:t>
        </w:r>
        <w:r w:rsidR="004655A4">
          <w:rPr>
            <w:webHidden/>
          </w:rPr>
          <w:tab/>
        </w:r>
        <w:r w:rsidR="004655A4">
          <w:rPr>
            <w:webHidden/>
          </w:rPr>
          <w:fldChar w:fldCharType="begin"/>
        </w:r>
        <w:r w:rsidR="004655A4">
          <w:rPr>
            <w:webHidden/>
          </w:rPr>
          <w:instrText xml:space="preserve"> PAGEREF _Toc480903480 \h </w:instrText>
        </w:r>
        <w:r w:rsidR="004655A4">
          <w:rPr>
            <w:webHidden/>
          </w:rPr>
        </w:r>
        <w:r w:rsidR="004655A4">
          <w:rPr>
            <w:webHidden/>
          </w:rPr>
          <w:fldChar w:fldCharType="separate"/>
        </w:r>
        <w:r w:rsidR="009666D9">
          <w:rPr>
            <w:webHidden/>
          </w:rPr>
          <w:t>12</w:t>
        </w:r>
        <w:r w:rsidR="004655A4">
          <w:rPr>
            <w:webHidden/>
          </w:rPr>
          <w:fldChar w:fldCharType="end"/>
        </w:r>
      </w:hyperlink>
    </w:p>
    <w:p w14:paraId="60824FBC" w14:textId="77777777" w:rsidR="004655A4" w:rsidRDefault="001F7E31">
      <w:pPr>
        <w:pStyle w:val="TOC2"/>
        <w:rPr>
          <w:rFonts w:asciiTheme="minorHAnsi" w:eastAsiaTheme="minorEastAsia" w:hAnsiTheme="minorHAnsi" w:cstheme="minorBidi"/>
          <w:szCs w:val="22"/>
        </w:rPr>
      </w:pPr>
      <w:hyperlink w:anchor="_Toc480903481" w:history="1">
        <w:r w:rsidR="004655A4" w:rsidRPr="007141FF">
          <w:rPr>
            <w:rStyle w:val="Hyperlink"/>
          </w:rPr>
          <w:t>B.4</w:t>
        </w:r>
        <w:r w:rsidR="004655A4">
          <w:rPr>
            <w:rFonts w:asciiTheme="minorHAnsi" w:eastAsiaTheme="minorEastAsia" w:hAnsiTheme="minorHAnsi" w:cstheme="minorBidi"/>
            <w:szCs w:val="22"/>
          </w:rPr>
          <w:tab/>
        </w:r>
        <w:r w:rsidR="004655A4" w:rsidRPr="007141FF">
          <w:rPr>
            <w:rStyle w:val="Hyperlink"/>
          </w:rPr>
          <w:t>Tests of Procedures</w:t>
        </w:r>
        <w:r w:rsidR="004655A4">
          <w:rPr>
            <w:webHidden/>
          </w:rPr>
          <w:tab/>
        </w:r>
        <w:r w:rsidR="004655A4">
          <w:rPr>
            <w:webHidden/>
          </w:rPr>
          <w:fldChar w:fldCharType="begin"/>
        </w:r>
        <w:r w:rsidR="004655A4">
          <w:rPr>
            <w:webHidden/>
          </w:rPr>
          <w:instrText xml:space="preserve"> PAGEREF _Toc480903481 \h </w:instrText>
        </w:r>
        <w:r w:rsidR="004655A4">
          <w:rPr>
            <w:webHidden/>
          </w:rPr>
        </w:r>
        <w:r w:rsidR="004655A4">
          <w:rPr>
            <w:webHidden/>
          </w:rPr>
          <w:fldChar w:fldCharType="separate"/>
        </w:r>
        <w:r w:rsidR="009666D9">
          <w:rPr>
            <w:webHidden/>
          </w:rPr>
          <w:t>12</w:t>
        </w:r>
        <w:r w:rsidR="004655A4">
          <w:rPr>
            <w:webHidden/>
          </w:rPr>
          <w:fldChar w:fldCharType="end"/>
        </w:r>
      </w:hyperlink>
    </w:p>
    <w:p w14:paraId="0239D683" w14:textId="77777777" w:rsidR="004655A4" w:rsidRDefault="001F7E31">
      <w:pPr>
        <w:pStyle w:val="TOC2"/>
        <w:rPr>
          <w:rFonts w:asciiTheme="minorHAnsi" w:eastAsiaTheme="minorEastAsia" w:hAnsiTheme="minorHAnsi" w:cstheme="minorBidi"/>
          <w:szCs w:val="22"/>
        </w:rPr>
      </w:pPr>
      <w:hyperlink w:anchor="_Toc480903482" w:history="1">
        <w:r w:rsidR="004655A4" w:rsidRPr="007141FF">
          <w:rPr>
            <w:rStyle w:val="Hyperlink"/>
          </w:rPr>
          <w:t>B.5</w:t>
        </w:r>
        <w:r w:rsidR="004655A4">
          <w:rPr>
            <w:rFonts w:asciiTheme="minorHAnsi" w:eastAsiaTheme="minorEastAsia" w:hAnsiTheme="minorHAnsi" w:cstheme="minorBidi"/>
            <w:szCs w:val="22"/>
          </w:rPr>
          <w:tab/>
        </w:r>
        <w:r w:rsidR="004655A4" w:rsidRPr="007141FF">
          <w:rPr>
            <w:rStyle w:val="Hyperlink"/>
          </w:rPr>
          <w:t>Individuals Consulted on Statistical Aspects of the Design</w:t>
        </w:r>
        <w:r w:rsidR="004655A4">
          <w:rPr>
            <w:webHidden/>
          </w:rPr>
          <w:tab/>
        </w:r>
        <w:r w:rsidR="004655A4">
          <w:rPr>
            <w:webHidden/>
          </w:rPr>
          <w:fldChar w:fldCharType="begin"/>
        </w:r>
        <w:r w:rsidR="004655A4">
          <w:rPr>
            <w:webHidden/>
          </w:rPr>
          <w:instrText xml:space="preserve"> PAGEREF _Toc480903482 \h </w:instrText>
        </w:r>
        <w:r w:rsidR="004655A4">
          <w:rPr>
            <w:webHidden/>
          </w:rPr>
        </w:r>
        <w:r w:rsidR="004655A4">
          <w:rPr>
            <w:webHidden/>
          </w:rPr>
          <w:fldChar w:fldCharType="separate"/>
        </w:r>
        <w:r w:rsidR="009666D9">
          <w:rPr>
            <w:webHidden/>
          </w:rPr>
          <w:t>13</w:t>
        </w:r>
        <w:r w:rsidR="004655A4">
          <w:rPr>
            <w:webHidden/>
          </w:rPr>
          <w:fldChar w:fldCharType="end"/>
        </w:r>
      </w:hyperlink>
    </w:p>
    <w:p w14:paraId="7FE712B0" w14:textId="77777777" w:rsidR="004655A4" w:rsidRDefault="001F7E31">
      <w:pPr>
        <w:pStyle w:val="TOC2"/>
        <w:rPr>
          <w:rFonts w:asciiTheme="minorHAnsi" w:eastAsiaTheme="minorEastAsia" w:hAnsiTheme="minorHAnsi" w:cstheme="minorBidi"/>
          <w:szCs w:val="22"/>
        </w:rPr>
      </w:pPr>
      <w:hyperlink w:anchor="_Toc480903483" w:history="1">
        <w:r w:rsidR="004655A4" w:rsidRPr="007141FF">
          <w:rPr>
            <w:rStyle w:val="Hyperlink"/>
          </w:rPr>
          <w:t>References</w:t>
        </w:r>
        <w:r w:rsidR="004655A4">
          <w:rPr>
            <w:webHidden/>
          </w:rPr>
          <w:tab/>
        </w:r>
        <w:r w:rsidR="004655A4">
          <w:rPr>
            <w:webHidden/>
          </w:rPr>
          <w:fldChar w:fldCharType="begin"/>
        </w:r>
        <w:r w:rsidR="004655A4">
          <w:rPr>
            <w:webHidden/>
          </w:rPr>
          <w:instrText xml:space="preserve"> PAGEREF _Toc480903483 \h </w:instrText>
        </w:r>
        <w:r w:rsidR="004655A4">
          <w:rPr>
            <w:webHidden/>
          </w:rPr>
        </w:r>
        <w:r w:rsidR="004655A4">
          <w:rPr>
            <w:webHidden/>
          </w:rPr>
          <w:fldChar w:fldCharType="separate"/>
        </w:r>
        <w:r w:rsidR="009666D9">
          <w:rPr>
            <w:webHidden/>
          </w:rPr>
          <w:t>14</w:t>
        </w:r>
        <w:r w:rsidR="004655A4">
          <w:rPr>
            <w:webHidden/>
          </w:rPr>
          <w:fldChar w:fldCharType="end"/>
        </w:r>
      </w:hyperlink>
    </w:p>
    <w:p w14:paraId="3CAED4C8" w14:textId="77777777" w:rsidR="002A02DA" w:rsidRDefault="003E332B" w:rsidP="002A02DA">
      <w:pPr>
        <w:pStyle w:val="BodyText"/>
      </w:pPr>
      <w:r>
        <w:fldChar w:fldCharType="end"/>
      </w:r>
      <w:r w:rsidR="00136D95">
        <w:t xml:space="preserve"> </w:t>
      </w:r>
    </w:p>
    <w:p w14:paraId="06D53715" w14:textId="1A25C052" w:rsidR="002A02DA" w:rsidRPr="00B660E9" w:rsidRDefault="002A02DA" w:rsidP="002A02DA">
      <w:pPr>
        <w:pStyle w:val="BodyText"/>
        <w:rPr>
          <w:b/>
        </w:rPr>
      </w:pPr>
      <w:r w:rsidRPr="00B660E9">
        <w:rPr>
          <w:b/>
        </w:rPr>
        <w:t>Appendices:</w:t>
      </w:r>
    </w:p>
    <w:p w14:paraId="0249D519" w14:textId="77777777" w:rsidR="008D63A4" w:rsidRDefault="008D63A4" w:rsidP="0073281E">
      <w:pPr>
        <w:pStyle w:val="BodyText"/>
        <w:spacing w:after="0"/>
        <w:ind w:left="360" w:hanging="360"/>
      </w:pPr>
      <w:r>
        <w:t xml:space="preserve">Appendix A:  </w:t>
      </w:r>
      <w:r>
        <w:tab/>
        <w:t>HPOG Logic Model</w:t>
      </w:r>
    </w:p>
    <w:p w14:paraId="6580CCBD" w14:textId="77777777" w:rsidR="008D63A4" w:rsidRDefault="008D63A4" w:rsidP="0073281E">
      <w:pPr>
        <w:pStyle w:val="BodyText"/>
        <w:spacing w:after="0"/>
      </w:pPr>
      <w:r>
        <w:t xml:space="preserve">Appendix B:  </w:t>
      </w:r>
      <w:r>
        <w:tab/>
        <w:t xml:space="preserve">HPOG-Impact 72-month Follow-up Survey </w:t>
      </w:r>
    </w:p>
    <w:p w14:paraId="193B5265" w14:textId="0D28C909" w:rsidR="008D63A4" w:rsidRDefault="008D63A4" w:rsidP="0073281E">
      <w:pPr>
        <w:pStyle w:val="BodyText"/>
        <w:spacing w:after="0"/>
      </w:pPr>
      <w:r>
        <w:t xml:space="preserve">Appendix C: </w:t>
      </w:r>
      <w:r>
        <w:tab/>
        <w:t xml:space="preserve">HPOG-Impact 72-month Follow-up Survey – </w:t>
      </w:r>
      <w:r w:rsidR="00CC04C6">
        <w:t>Sources</w:t>
      </w:r>
    </w:p>
    <w:p w14:paraId="13D4AE1B" w14:textId="29BF6DC2" w:rsidR="008D63A4" w:rsidRDefault="008D63A4" w:rsidP="0073281E">
      <w:pPr>
        <w:pStyle w:val="BodyText"/>
        <w:spacing w:after="0"/>
      </w:pPr>
      <w:r>
        <w:t xml:space="preserve">Appendix D: </w:t>
      </w:r>
      <w:r>
        <w:tab/>
      </w:r>
      <w:r w:rsidR="00CC04C6">
        <w:t>HPOG-Impact</w:t>
      </w:r>
      <w:r w:rsidR="00F45B5A">
        <w:t xml:space="preserve"> Federal Register</w:t>
      </w:r>
      <w:r>
        <w:t xml:space="preserve"> Notice </w:t>
      </w:r>
    </w:p>
    <w:p w14:paraId="61280B3D" w14:textId="77777777" w:rsidR="008D63A4" w:rsidRDefault="008D63A4" w:rsidP="0073281E">
      <w:pPr>
        <w:pStyle w:val="BodyText"/>
        <w:spacing w:after="0"/>
        <w:ind w:left="360" w:hanging="360"/>
      </w:pPr>
      <w:r>
        <w:t xml:space="preserve">Appendix E:  </w:t>
      </w:r>
      <w:r>
        <w:tab/>
        <w:t xml:space="preserve">HPOG-Impact Previously Approved Contact Update Form </w:t>
      </w:r>
    </w:p>
    <w:p w14:paraId="5843FD4C" w14:textId="77777777" w:rsidR="008D63A4" w:rsidRDefault="008D63A4" w:rsidP="0073281E">
      <w:pPr>
        <w:pStyle w:val="BodyText"/>
        <w:spacing w:after="0"/>
        <w:ind w:left="360" w:hanging="360"/>
      </w:pPr>
      <w:r>
        <w:t xml:space="preserve">Appendix F:  </w:t>
      </w:r>
      <w:r>
        <w:tab/>
        <w:t>Contact Update Letters</w:t>
      </w:r>
    </w:p>
    <w:p w14:paraId="43593A28" w14:textId="6AA3E995" w:rsidR="008D63A4" w:rsidRDefault="008D63A4" w:rsidP="0073281E">
      <w:pPr>
        <w:pStyle w:val="BodyText"/>
        <w:spacing w:after="0"/>
        <w:ind w:left="360"/>
      </w:pPr>
      <w:r>
        <w:t xml:space="preserve">F1: HPOG-Impact Previously Approved Contact Update Letter </w:t>
      </w:r>
      <w:r w:rsidR="002D3EB3">
        <w:t>for 36-Month Survey</w:t>
      </w:r>
    </w:p>
    <w:p w14:paraId="5118D970" w14:textId="77777777" w:rsidR="008D63A4" w:rsidRDefault="008D63A4" w:rsidP="0073281E">
      <w:pPr>
        <w:pStyle w:val="BodyText"/>
        <w:spacing w:after="0"/>
        <w:ind w:left="360"/>
      </w:pPr>
      <w:r>
        <w:t xml:space="preserve">F2: HPOG-Impact 72-Month Contact Update Letter </w:t>
      </w:r>
    </w:p>
    <w:p w14:paraId="415A6D69" w14:textId="4841ABE1" w:rsidR="008D63A4" w:rsidRDefault="008D63A4" w:rsidP="0073281E">
      <w:pPr>
        <w:pStyle w:val="BodyText"/>
        <w:spacing w:after="0"/>
      </w:pPr>
      <w:r>
        <w:t>Appendix G:</w:t>
      </w:r>
      <w:r>
        <w:tab/>
        <w:t xml:space="preserve">HPOG-Impact </w:t>
      </w:r>
      <w:r w:rsidR="00433DFC">
        <w:t xml:space="preserve">Previously Approved </w:t>
      </w:r>
      <w:r>
        <w:t>Consent Form</w:t>
      </w:r>
    </w:p>
    <w:p w14:paraId="4524392C" w14:textId="77777777" w:rsidR="008D63A4" w:rsidRDefault="008D63A4" w:rsidP="0073281E">
      <w:pPr>
        <w:pStyle w:val="BodyText"/>
        <w:spacing w:after="0"/>
        <w:ind w:left="360" w:hanging="360"/>
      </w:pPr>
      <w:r>
        <w:t>Appendix H:</w:t>
      </w:r>
      <w:r>
        <w:tab/>
        <w:t>HPOG-Impact</w:t>
      </w:r>
      <w:r w:rsidRPr="00467D94">
        <w:t xml:space="preserve"> </w:t>
      </w:r>
      <w:r>
        <w:t xml:space="preserve">72-Month Participant Newsletter </w:t>
      </w:r>
    </w:p>
    <w:p w14:paraId="19B239A2" w14:textId="77777777" w:rsidR="008D63A4" w:rsidRDefault="008D63A4" w:rsidP="0073281E">
      <w:pPr>
        <w:pStyle w:val="BodyText"/>
        <w:spacing w:after="0"/>
      </w:pPr>
      <w:r>
        <w:t xml:space="preserve">Appendix I: </w:t>
      </w:r>
      <w:r>
        <w:tab/>
        <w:t>HPOG-Impact 72-Month Survey Flyer</w:t>
      </w:r>
    </w:p>
    <w:p w14:paraId="6559BDDD" w14:textId="77777777" w:rsidR="008D63A4" w:rsidRDefault="008D63A4" w:rsidP="0073281E">
      <w:pPr>
        <w:pStyle w:val="BodyText"/>
        <w:spacing w:after="0"/>
      </w:pPr>
      <w:r>
        <w:t xml:space="preserve">Appendix J: </w:t>
      </w:r>
      <w:r>
        <w:tab/>
        <w:t>HPOG-Impact 72-Month Email Text</w:t>
      </w:r>
    </w:p>
    <w:p w14:paraId="3ED5A219" w14:textId="77777777" w:rsidR="008D63A4" w:rsidRDefault="008D63A4" w:rsidP="0073281E">
      <w:pPr>
        <w:pStyle w:val="BodyText"/>
        <w:spacing w:after="0"/>
      </w:pPr>
      <w:r>
        <w:t>Appendix K:</w:t>
      </w:r>
      <w:r>
        <w:tab/>
        <w:t>Survey Advance Letters</w:t>
      </w:r>
    </w:p>
    <w:p w14:paraId="24B8789E" w14:textId="77777777" w:rsidR="008D63A4" w:rsidRDefault="008D63A4" w:rsidP="0073281E">
      <w:pPr>
        <w:pStyle w:val="BodyText"/>
        <w:spacing w:after="0"/>
        <w:ind w:firstLine="360"/>
      </w:pPr>
      <w:r>
        <w:t>K1.</w:t>
      </w:r>
      <w:r>
        <w:tab/>
        <w:t>HPOG-Impact Previously Approved 36-Month Survey Advance Letter</w:t>
      </w:r>
    </w:p>
    <w:p w14:paraId="53F80F94" w14:textId="77777777" w:rsidR="008D63A4" w:rsidRDefault="008D63A4" w:rsidP="0073281E">
      <w:pPr>
        <w:pStyle w:val="BodyText"/>
        <w:spacing w:after="0"/>
        <w:ind w:firstLine="360"/>
      </w:pPr>
      <w:proofErr w:type="gramStart"/>
      <w:r>
        <w:t>K2.</w:t>
      </w:r>
      <w:proofErr w:type="gramEnd"/>
      <w:r>
        <w:t xml:space="preserve"> HPOG-Impact 72-Month Survey Advance Letter</w:t>
      </w:r>
    </w:p>
    <w:p w14:paraId="6E7A73DC" w14:textId="77777777" w:rsidR="008D63A4" w:rsidRDefault="008D63A4" w:rsidP="0073281E">
      <w:pPr>
        <w:pStyle w:val="BodyText"/>
        <w:spacing w:after="0"/>
      </w:pPr>
      <w:r>
        <w:t>Appendix L:</w:t>
      </w:r>
      <w:r>
        <w:tab/>
        <w:t>Previously Approved Surveys</w:t>
      </w:r>
    </w:p>
    <w:p w14:paraId="6ABBA99E" w14:textId="77777777" w:rsidR="008D63A4" w:rsidRDefault="008D63A4" w:rsidP="0073281E">
      <w:pPr>
        <w:pStyle w:val="BodyText"/>
        <w:spacing w:after="0"/>
        <w:ind w:firstLine="360"/>
      </w:pPr>
      <w:r>
        <w:t>L1. HPOG-Impact 36-month Follow-up Survey – Control Group Version</w:t>
      </w:r>
    </w:p>
    <w:p w14:paraId="08214611" w14:textId="1950B022" w:rsidR="00C21D50" w:rsidRDefault="008D63A4" w:rsidP="0073281E">
      <w:pPr>
        <w:pStyle w:val="BodyText"/>
        <w:spacing w:after="0"/>
        <w:ind w:firstLine="360"/>
      </w:pPr>
      <w:r>
        <w:t>L2. HPOG-Impact 36-month Follow-Up Survey – Treatment Group Version</w:t>
      </w:r>
    </w:p>
    <w:p w14:paraId="795B57A5" w14:textId="7B0C1363" w:rsidR="008D63A4" w:rsidRPr="00DD3B1F" w:rsidRDefault="008D63A4" w:rsidP="0073281E">
      <w:pPr>
        <w:pStyle w:val="BodyText"/>
        <w:spacing w:after="0"/>
        <w:sectPr w:rsidR="008D63A4" w:rsidRPr="00DD3B1F">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r>
        <w:t>Appendix M:  Contact Update Call Script</w:t>
      </w:r>
    </w:p>
    <w:p w14:paraId="7F89A615" w14:textId="77777777" w:rsidR="00C21D50" w:rsidRPr="004F1FB4" w:rsidRDefault="00C21D50" w:rsidP="00C21D50">
      <w:pPr>
        <w:pStyle w:val="Heading1"/>
        <w:rPr>
          <w:rFonts w:ascii="Calibri" w:hAnsi="Calibri" w:cs="Calibri"/>
          <w:sz w:val="22"/>
        </w:rPr>
      </w:pPr>
      <w:bookmarkStart w:id="2" w:name="_Toc480903465"/>
      <w:r w:rsidRPr="001034D3">
        <w:lastRenderedPageBreak/>
        <w:t>Part</w:t>
      </w:r>
      <w:r>
        <w:t xml:space="preserve"> B: Statistical Methods</w:t>
      </w:r>
      <w:bookmarkEnd w:id="0"/>
      <w:bookmarkEnd w:id="2"/>
    </w:p>
    <w:p w14:paraId="5EB55E66" w14:textId="5F532793" w:rsidR="00C21D50" w:rsidRPr="00F64AE0" w:rsidRDefault="00202F0B" w:rsidP="008C5A3D">
      <w:pPr>
        <w:pStyle w:val="BodyText"/>
      </w:pPr>
      <w:bookmarkStart w:id="3" w:name="_Toc322083615"/>
      <w:r>
        <w:t>T</w:t>
      </w:r>
      <w:r w:rsidR="00301CA6">
        <w:t xml:space="preserve">his </w:t>
      </w:r>
      <w:r w:rsidR="00301CA6" w:rsidRPr="00E22589">
        <w:t>document</w:t>
      </w:r>
      <w:r w:rsidR="000D7570">
        <w:t xml:space="preserve"> presents Part B of the Supporting Statement for the 72-month follow-up data collection activities for t</w:t>
      </w:r>
      <w:r w:rsidR="00C21D50">
        <w:t xml:space="preserve">he </w:t>
      </w:r>
      <w:r w:rsidR="003D6378">
        <w:t xml:space="preserve">first round of </w:t>
      </w:r>
      <w:r w:rsidR="003D6378" w:rsidRPr="006E579A">
        <w:rPr>
          <w:i/>
        </w:rPr>
        <w:t xml:space="preserve">Health </w:t>
      </w:r>
      <w:r w:rsidR="003D6378">
        <w:rPr>
          <w:i/>
        </w:rPr>
        <w:t xml:space="preserve">Profession </w:t>
      </w:r>
      <w:r w:rsidR="003D6378" w:rsidRPr="006E579A">
        <w:rPr>
          <w:i/>
        </w:rPr>
        <w:t>Opportunit</w:t>
      </w:r>
      <w:r w:rsidR="003D6378">
        <w:rPr>
          <w:i/>
        </w:rPr>
        <w:t xml:space="preserve">y </w:t>
      </w:r>
      <w:r w:rsidR="003D6378" w:rsidRPr="006E579A">
        <w:rPr>
          <w:i/>
        </w:rPr>
        <w:t xml:space="preserve">Grants </w:t>
      </w:r>
      <w:r w:rsidR="003D6378">
        <w:rPr>
          <w:i/>
        </w:rPr>
        <w:t>(</w:t>
      </w:r>
      <w:r w:rsidR="00C21D50" w:rsidRPr="006E579A">
        <w:rPr>
          <w:i/>
        </w:rPr>
        <w:t>HPOG</w:t>
      </w:r>
      <w:r w:rsidR="003D6378">
        <w:rPr>
          <w:i/>
        </w:rPr>
        <w:t xml:space="preserve">) </w:t>
      </w:r>
      <w:r w:rsidR="00C21D50" w:rsidRPr="006E579A">
        <w:rPr>
          <w:i/>
        </w:rPr>
        <w:t>Impact Stud</w:t>
      </w:r>
      <w:r w:rsidR="00AE4857">
        <w:rPr>
          <w:i/>
        </w:rPr>
        <w:t>y</w:t>
      </w:r>
      <w:r w:rsidR="003D3C4E">
        <w:rPr>
          <w:i/>
        </w:rPr>
        <w:t xml:space="preserve"> (</w:t>
      </w:r>
      <w:r w:rsidR="003D3C4E" w:rsidRPr="00B62F68">
        <w:t>HPOG</w:t>
      </w:r>
      <w:r w:rsidR="00B62F68" w:rsidRPr="00B62F68">
        <w:t>-</w:t>
      </w:r>
      <w:r w:rsidR="003D3C4E" w:rsidRPr="00B62F68">
        <w:t>Impact</w:t>
      </w:r>
      <w:r w:rsidR="000C4648">
        <w:rPr>
          <w:i/>
        </w:rPr>
        <w:t>)</w:t>
      </w:r>
      <w:r w:rsidR="003D3C4E">
        <w:t>.</w:t>
      </w:r>
      <w:r w:rsidR="00305FDD">
        <w:rPr>
          <w:i/>
        </w:rPr>
        <w:t xml:space="preserve">  </w:t>
      </w:r>
      <w:r w:rsidR="00EA41C4">
        <w:t xml:space="preserve">The </w:t>
      </w:r>
      <w:proofErr w:type="gramStart"/>
      <w:r w:rsidR="00EA41C4">
        <w:t>study is</w:t>
      </w:r>
      <w:r w:rsidR="00305FDD">
        <w:rPr>
          <w:i/>
        </w:rPr>
        <w:t xml:space="preserve"> </w:t>
      </w:r>
      <w:r w:rsidR="00C21D50" w:rsidRPr="002337A5">
        <w:t xml:space="preserve">sponsored by </w:t>
      </w:r>
      <w:r w:rsidR="00C21D50">
        <w:t>t</w:t>
      </w:r>
      <w:r w:rsidR="00C21D50" w:rsidRPr="00E165C4">
        <w:t xml:space="preserve">he </w:t>
      </w:r>
      <w:r w:rsidR="00C21D50">
        <w:t xml:space="preserve">Office of Planning, Research and Evaluation (OPRE) in the </w:t>
      </w:r>
      <w:r w:rsidR="00C21D50" w:rsidRPr="00E165C4">
        <w:t xml:space="preserve">Administration for Children and Families (ACF) in the U.S. Department of </w:t>
      </w:r>
      <w:r w:rsidR="00C21D50" w:rsidRPr="00185072">
        <w:t>Health</w:t>
      </w:r>
      <w:r w:rsidR="00C21D50" w:rsidRPr="00E165C4">
        <w:t xml:space="preserve"> and Human Services (HHS)</w:t>
      </w:r>
      <w:proofErr w:type="gramEnd"/>
      <w:r w:rsidR="00C21D50">
        <w:t xml:space="preserve">.  </w:t>
      </w:r>
    </w:p>
    <w:p w14:paraId="6EF3691C" w14:textId="77777777" w:rsidR="00C21D50" w:rsidRPr="004F1FB4" w:rsidRDefault="00C21D50" w:rsidP="00C21D50">
      <w:pPr>
        <w:pStyle w:val="Heading2"/>
      </w:pPr>
      <w:bookmarkStart w:id="4" w:name="_Toc480903466"/>
      <w:r>
        <w:t xml:space="preserve">B.1 </w:t>
      </w:r>
      <w:r>
        <w:tab/>
      </w:r>
      <w:r w:rsidRPr="004F1FB4">
        <w:t>Respondent Universe and Sampl</w:t>
      </w:r>
      <w:bookmarkEnd w:id="3"/>
      <w:r>
        <w:t>ing Methods</w:t>
      </w:r>
      <w:bookmarkEnd w:id="4"/>
      <w:r w:rsidRPr="004F1FB4">
        <w:t xml:space="preserve"> </w:t>
      </w:r>
    </w:p>
    <w:p w14:paraId="554740EC" w14:textId="41CA3E68" w:rsidR="00412BC2" w:rsidRDefault="00412BC2" w:rsidP="00412BC2">
      <w:r>
        <w:t xml:space="preserve">For the 72-month follow-up data collection, the respondent universe for the HPOG evaluation includes a sample of HPOG study participants. </w:t>
      </w:r>
    </w:p>
    <w:p w14:paraId="25CAB6A9" w14:textId="52AE1C10" w:rsidR="00C21D50" w:rsidRDefault="00C21D50" w:rsidP="00C21D50">
      <w:pPr>
        <w:pStyle w:val="Heading3"/>
      </w:pPr>
      <w:bookmarkStart w:id="5" w:name="_Toc480903467"/>
      <w:r>
        <w:t>B.1.</w:t>
      </w:r>
      <w:r w:rsidR="003520FE">
        <w:t>1</w:t>
      </w:r>
      <w:r>
        <w:tab/>
        <w:t xml:space="preserve">HPOG </w:t>
      </w:r>
      <w:r w:rsidR="00412BC2">
        <w:t>Programs and Study Participants</w:t>
      </w:r>
      <w:bookmarkEnd w:id="5"/>
      <w:r w:rsidR="00412BC2">
        <w:t xml:space="preserve"> </w:t>
      </w:r>
    </w:p>
    <w:p w14:paraId="15511B3D" w14:textId="45F5D05A" w:rsidR="00412BC2" w:rsidRDefault="00412BC2" w:rsidP="00412BC2">
      <w:pPr>
        <w:pStyle w:val="BodyText"/>
        <w:rPr>
          <w:iCs/>
        </w:rPr>
      </w:pPr>
      <w:r>
        <w:rPr>
          <w:iCs/>
        </w:rPr>
        <w:t xml:space="preserve">Thirty-two grants </w:t>
      </w:r>
      <w:proofErr w:type="gramStart"/>
      <w:r>
        <w:rPr>
          <w:iCs/>
        </w:rPr>
        <w:t>were awarded</w:t>
      </w:r>
      <w:proofErr w:type="gramEnd"/>
      <w:r>
        <w:rPr>
          <w:iCs/>
        </w:rPr>
        <w:t xml:space="preserve"> to government agencies, community-based organizations, post-secondary educational institutions, and tribal-affiliated organizations to conduct the training and support service activities needed to implement the HPOG program.  Of these, 27 </w:t>
      </w:r>
      <w:proofErr w:type="gramStart"/>
      <w:r>
        <w:rPr>
          <w:iCs/>
        </w:rPr>
        <w:t>were awarded</w:t>
      </w:r>
      <w:proofErr w:type="gramEnd"/>
      <w:r>
        <w:rPr>
          <w:iCs/>
        </w:rPr>
        <w:t xml:space="preserve"> to agencies serving TANF recipients and other low-income individuals.  Twenty of those 27 grantees participate in </w:t>
      </w:r>
      <w:r w:rsidRPr="00B62F68">
        <w:rPr>
          <w:iCs/>
        </w:rPr>
        <w:t>HPOG-Impact</w:t>
      </w:r>
      <w:r>
        <w:rPr>
          <w:iCs/>
        </w:rPr>
        <w:t>.  T</w:t>
      </w:r>
      <w:r w:rsidRPr="0022533A">
        <w:rPr>
          <w:iCs/>
        </w:rPr>
        <w:t>hree</w:t>
      </w:r>
      <w:r>
        <w:rPr>
          <w:iCs/>
        </w:rPr>
        <w:t xml:space="preserve"> more participate in the </w:t>
      </w:r>
      <w:r w:rsidRPr="008356B9">
        <w:rPr>
          <w:iCs/>
        </w:rPr>
        <w:t>Pathways for Advancing Careers and Education</w:t>
      </w:r>
      <w:r w:rsidRPr="008E4D66">
        <w:rPr>
          <w:iCs/>
        </w:rPr>
        <w:t xml:space="preserve"> (</w:t>
      </w:r>
      <w:r>
        <w:rPr>
          <w:iCs/>
        </w:rPr>
        <w:t>PACE</w:t>
      </w:r>
      <w:r w:rsidRPr="008E4D66">
        <w:rPr>
          <w:iCs/>
        </w:rPr>
        <w:t>) project</w:t>
      </w:r>
      <w:r>
        <w:rPr>
          <w:iCs/>
        </w:rPr>
        <w:t>.</w:t>
      </w:r>
      <w:r w:rsidR="00C22B32">
        <w:rPr>
          <w:iCs/>
        </w:rPr>
        <w:t xml:space="preserve">  Together, these 23 grantees run 42 programs, which comprise the HPOG-Impact sample.</w:t>
      </w:r>
    </w:p>
    <w:p w14:paraId="6CCE4743" w14:textId="1A2502F0" w:rsidR="00C21D50" w:rsidRDefault="00D72E71" w:rsidP="00C21D50">
      <w:pPr>
        <w:pStyle w:val="BodyText"/>
      </w:pPr>
      <w:r>
        <w:t xml:space="preserve">For </w:t>
      </w:r>
      <w:r w:rsidRPr="00B62F68">
        <w:t>HPOG-Impact</w:t>
      </w:r>
      <w:r>
        <w:t>, the universe for the current proposed data collection includes all study participants—</w:t>
      </w:r>
      <w:r w:rsidR="00412BC2">
        <w:t>both treatment group members that had access to HPOG services</w:t>
      </w:r>
      <w:r>
        <w:t xml:space="preserve"> and control group members who did not receive HPOG services.  </w:t>
      </w:r>
      <w:r w:rsidR="00C21D50">
        <w:t>Program staff recruit</w:t>
      </w:r>
      <w:r w:rsidR="006C3DE3">
        <w:t>ed</w:t>
      </w:r>
      <w:r w:rsidR="00C21D50">
        <w:t xml:space="preserve"> these individuals</w:t>
      </w:r>
      <w:r w:rsidR="007C5F00">
        <w:t xml:space="preserve"> and</w:t>
      </w:r>
      <w:r w:rsidR="00C21D50">
        <w:t xml:space="preserve"> determine</w:t>
      </w:r>
      <w:r w:rsidR="006C3DE3">
        <w:t>d</w:t>
      </w:r>
      <w:r w:rsidR="00C21D50">
        <w:t xml:space="preserve"> eligibility</w:t>
      </w:r>
      <w:r w:rsidR="007C5F00">
        <w:t xml:space="preserve">. </w:t>
      </w:r>
      <w:r w:rsidR="008D2618">
        <w:t xml:space="preserve"> </w:t>
      </w:r>
      <w:r w:rsidR="007C5F00">
        <w:t xml:space="preserve">For those </w:t>
      </w:r>
      <w:r w:rsidR="00CC2645">
        <w:t xml:space="preserve">individuals </w:t>
      </w:r>
      <w:r w:rsidR="007C5F00">
        <w:t xml:space="preserve">deemed </w:t>
      </w:r>
      <w:r w:rsidR="00C21D50">
        <w:t>eligible</w:t>
      </w:r>
      <w:r w:rsidR="00CC2645" w:rsidRPr="00CC2645">
        <w:t xml:space="preserve"> </w:t>
      </w:r>
      <w:r w:rsidR="00CC2645">
        <w:t xml:space="preserve">for </w:t>
      </w:r>
      <w:proofErr w:type="gramStart"/>
      <w:r w:rsidR="00CC2645">
        <w:t>the program and who furthermore agree</w:t>
      </w:r>
      <w:r w:rsidR="006C3DE3">
        <w:t>d</w:t>
      </w:r>
      <w:r w:rsidR="00CC2645">
        <w:t xml:space="preserve"> to be in the study</w:t>
      </w:r>
      <w:r w:rsidR="00C21D50">
        <w:t>,</w:t>
      </w:r>
      <w:proofErr w:type="gramEnd"/>
      <w:r w:rsidR="00C21D50">
        <w:t xml:space="preserve"> </w:t>
      </w:r>
      <w:r w:rsidR="00CC2645">
        <w:t>program staff</w:t>
      </w:r>
      <w:r w:rsidR="007C5F00">
        <w:t xml:space="preserve"> </w:t>
      </w:r>
      <w:r w:rsidR="00C21D50">
        <w:t>obtain</w:t>
      </w:r>
      <w:r w:rsidR="006C3DE3">
        <w:t>ed</w:t>
      </w:r>
      <w:r w:rsidR="00C21D50">
        <w:t xml:space="preserve"> informed consent</w:t>
      </w:r>
      <w:r w:rsidR="007419DE">
        <w:t>.</w:t>
      </w:r>
      <w:r w:rsidR="00C21D50">
        <w:t xml:space="preserve"> </w:t>
      </w:r>
      <w:r w:rsidR="008D2618">
        <w:t xml:space="preserve"> </w:t>
      </w:r>
      <w:r w:rsidR="005F2E48">
        <w:t>(</w:t>
      </w:r>
      <w:r w:rsidR="00C21D50">
        <w:t xml:space="preserve">If </w:t>
      </w:r>
      <w:r w:rsidR="00B61C55">
        <w:t xml:space="preserve">individuals </w:t>
      </w:r>
      <w:r w:rsidR="000D7570">
        <w:t>did</w:t>
      </w:r>
      <w:r w:rsidR="00C21D50">
        <w:t xml:space="preserve"> not ag</w:t>
      </w:r>
      <w:r w:rsidR="000D7570">
        <w:t>ree to be in the study, they were not eligible for services under the first round of HPOG grants.</w:t>
      </w:r>
      <w:r w:rsidR="00F93202">
        <w:t>)</w:t>
      </w:r>
      <w:r w:rsidR="00C21D50">
        <w:t xml:space="preserve">  </w:t>
      </w:r>
    </w:p>
    <w:p w14:paraId="7DC22B0C" w14:textId="5D93007A" w:rsidR="002D0D52" w:rsidRDefault="00C21D50" w:rsidP="002D0D52">
      <w:pPr>
        <w:pStyle w:val="BodyText"/>
      </w:pPr>
      <w:r>
        <w:t xml:space="preserve">For </w:t>
      </w:r>
      <w:r w:rsidR="00B62F68" w:rsidRPr="00B62F68">
        <w:t>HPOG-Impact</w:t>
      </w:r>
      <w:r w:rsidR="00B62F68">
        <w:t>,</w:t>
      </w:r>
      <w:r>
        <w:t xml:space="preserve"> 10,</w:t>
      </w:r>
      <w:r w:rsidR="00503404">
        <w:t>617</w:t>
      </w:r>
      <w:r w:rsidR="00EA41C4">
        <w:t xml:space="preserve"> participants enrolled in </w:t>
      </w:r>
      <w:r w:rsidR="003C347B">
        <w:t xml:space="preserve">the </w:t>
      </w:r>
      <w:r w:rsidR="00EA41C4">
        <w:t>study</w:t>
      </w:r>
      <w:r w:rsidR="0072072E">
        <w:t xml:space="preserve"> </w:t>
      </w:r>
      <w:r w:rsidR="007B00E5">
        <w:t>across</w:t>
      </w:r>
      <w:r>
        <w:t xml:space="preserve"> the 20 participating grantees</w:t>
      </w:r>
      <w:r w:rsidR="0072072E">
        <w:t>, including two treatment groups and a control group</w:t>
      </w:r>
      <w:r>
        <w:t xml:space="preserve">.  </w:t>
      </w:r>
      <w:r w:rsidR="002D0D52">
        <w:rPr>
          <w:rFonts w:cs="Calibri"/>
        </w:rPr>
        <w:t xml:space="preserve">Ten of the 20 grantees </w:t>
      </w:r>
      <w:r w:rsidR="00C22B32">
        <w:rPr>
          <w:rFonts w:cs="Calibri"/>
        </w:rPr>
        <w:t xml:space="preserve">(including 19 of the 42 programs) </w:t>
      </w:r>
      <w:r w:rsidR="002D0D52">
        <w:rPr>
          <w:rFonts w:cs="Calibri"/>
        </w:rPr>
        <w:t xml:space="preserve">randomized into two treatment arms (a basic and an enhanced version of the intervention) and a control group. </w:t>
      </w:r>
      <w:r w:rsidR="008D2618">
        <w:rPr>
          <w:rFonts w:cs="Calibri"/>
        </w:rPr>
        <w:t xml:space="preserve"> </w:t>
      </w:r>
      <w:r w:rsidR="002D0D52">
        <w:t xml:space="preserve">Those in the </w:t>
      </w:r>
      <w:proofErr w:type="gramStart"/>
      <w:r w:rsidR="002D0D52">
        <w:t>treatment enhanced</w:t>
      </w:r>
      <w:proofErr w:type="gramEnd"/>
      <w:r w:rsidR="002D0D52">
        <w:t xml:space="preserve"> group are partic</w:t>
      </w:r>
      <w:r w:rsidR="002D3EB3">
        <w:t>ipating in one of three</w:t>
      </w:r>
      <w:r w:rsidR="002D0D52">
        <w:t xml:space="preserve"> enhanced HPOG services, in which the basic HPOG programs are augmented by an additional program component. </w:t>
      </w:r>
      <w:r w:rsidR="008D2618">
        <w:t xml:space="preserve"> </w:t>
      </w:r>
      <w:r w:rsidR="002D0D52">
        <w:t xml:space="preserve">In this subset of grantees, </w:t>
      </w:r>
      <w:r w:rsidR="002D0D52" w:rsidRPr="00220515">
        <w:t xml:space="preserve">program applicants </w:t>
      </w:r>
      <w:r w:rsidR="002D0D52">
        <w:t>were</w:t>
      </w:r>
      <w:r w:rsidR="002D0D52" w:rsidRPr="00220515">
        <w:t xml:space="preserve"> randomly assigned </w:t>
      </w:r>
      <w:r w:rsidR="002D0D52">
        <w:t xml:space="preserve">to (1) the “standard” HPOG program, (2) an “enhanced” HPOG program (i.e., the HPOG program plus an enhancement) or (3) </w:t>
      </w:r>
      <w:r w:rsidR="002D0D52" w:rsidRPr="00220515">
        <w:t>a control group</w:t>
      </w:r>
      <w:r w:rsidR="002D0D52">
        <w:t xml:space="preserve"> that is</w:t>
      </w:r>
      <w:r w:rsidR="002D0D52" w:rsidRPr="00220515">
        <w:t xml:space="preserve"> not offered the opportunity to enroll in HPOG</w:t>
      </w:r>
      <w:r w:rsidR="002D0D52">
        <w:t>.</w:t>
      </w:r>
      <w:r w:rsidR="002D0D52">
        <w:rPr>
          <w:rStyle w:val="FootnoteReference"/>
        </w:rPr>
        <w:footnoteReference w:id="1"/>
      </w:r>
      <w:r w:rsidR="002D0D52">
        <w:t xml:space="preserve"> </w:t>
      </w:r>
    </w:p>
    <w:p w14:paraId="17305DAF" w14:textId="77777777" w:rsidR="002D0D52" w:rsidRDefault="002D0D52" w:rsidP="002D0D52">
      <w:pPr>
        <w:pStyle w:val="BodyText"/>
      </w:pPr>
      <w:r>
        <w:t>Exhibit B-1 summarizes the study’s general randomization process.</w:t>
      </w:r>
    </w:p>
    <w:p w14:paraId="646FC2A9" w14:textId="77777777" w:rsidR="002D0D52" w:rsidRDefault="002D0D52" w:rsidP="003D77E5">
      <w:pPr>
        <w:pStyle w:val="BodyText"/>
        <w:keepNext/>
        <w:spacing w:after="0"/>
        <w:rPr>
          <w:b/>
        </w:rPr>
      </w:pPr>
      <w:r w:rsidRPr="000C4648">
        <w:rPr>
          <w:b/>
        </w:rPr>
        <w:lastRenderedPageBreak/>
        <w:t xml:space="preserve">Exhibit B-1: </w:t>
      </w:r>
      <w:r w:rsidRPr="000C4648">
        <w:rPr>
          <w:b/>
          <w:i/>
        </w:rPr>
        <w:t>HPOG</w:t>
      </w:r>
      <w:r>
        <w:rPr>
          <w:b/>
          <w:i/>
        </w:rPr>
        <w:t>-</w:t>
      </w:r>
      <w:r w:rsidRPr="000C4648">
        <w:rPr>
          <w:b/>
          <w:i/>
        </w:rPr>
        <w:t>Impact</w:t>
      </w:r>
      <w:r w:rsidRPr="000C4648">
        <w:rPr>
          <w:b/>
        </w:rPr>
        <w:t xml:space="preserve"> Study Participant Recruitment and Random Assignment Process</w:t>
      </w:r>
    </w:p>
    <w:p w14:paraId="453F61C2" w14:textId="77777777" w:rsidR="002D3EB3" w:rsidRPr="000C4648" w:rsidRDefault="002D3EB3" w:rsidP="003D77E5">
      <w:pPr>
        <w:pStyle w:val="BodyText"/>
        <w:keepNext/>
        <w:spacing w:after="0"/>
        <w:rPr>
          <w:b/>
        </w:rPr>
      </w:pPr>
    </w:p>
    <w:p w14:paraId="2E8BA9DC" w14:textId="77777777" w:rsidR="002D0D52" w:rsidRDefault="002D0D52" w:rsidP="002D0D52">
      <w:pPr>
        <w:pStyle w:val="BodyText"/>
      </w:pPr>
      <w:r>
        <w:rPr>
          <w:noProof/>
        </w:rPr>
        <w:drawing>
          <wp:inline distT="0" distB="0" distL="0" distR="0" wp14:anchorId="3F0015F1" wp14:editId="0156A129">
            <wp:extent cx="3462020" cy="4057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8759" cy="4065778"/>
                    </a:xfrm>
                    <a:prstGeom prst="rect">
                      <a:avLst/>
                    </a:prstGeom>
                    <a:noFill/>
                  </pic:spPr>
                </pic:pic>
              </a:graphicData>
            </a:graphic>
          </wp:inline>
        </w:drawing>
      </w:r>
    </w:p>
    <w:p w14:paraId="2B4EB78A" w14:textId="77777777" w:rsidR="002D0D52" w:rsidRDefault="002D0D52" w:rsidP="00C21D50">
      <w:pPr>
        <w:pStyle w:val="BodyText"/>
      </w:pPr>
    </w:p>
    <w:p w14:paraId="0A88FEDB" w14:textId="77777777" w:rsidR="00757264" w:rsidRPr="004F1FB4" w:rsidRDefault="00757264" w:rsidP="00757264">
      <w:pPr>
        <w:pStyle w:val="Heading3"/>
      </w:pPr>
      <w:bookmarkStart w:id="6" w:name="_Toc480903468"/>
      <w:r>
        <w:t xml:space="preserve">B.1.2 </w:t>
      </w:r>
      <w:r>
        <w:tab/>
      </w:r>
      <w:r w:rsidRPr="004F1FB4">
        <w:t>Sample Design</w:t>
      </w:r>
      <w:bookmarkEnd w:id="6"/>
    </w:p>
    <w:p w14:paraId="2B18FE8D" w14:textId="62707C17" w:rsidR="00AC4B50" w:rsidRDefault="00AC4B50" w:rsidP="00AC4B50">
      <w:pPr>
        <w:tabs>
          <w:tab w:val="left" w:pos="0"/>
          <w:tab w:val="left" w:pos="720"/>
          <w:tab w:val="left" w:pos="1094"/>
          <w:tab w:val="left" w:pos="1440"/>
          <w:tab w:val="left" w:pos="1800"/>
          <w:tab w:val="left" w:pos="8985"/>
        </w:tabs>
      </w:pPr>
      <w:r>
        <w:t xml:space="preserve">For the 15-month and 36-month surveys, all HPOG study participants </w:t>
      </w:r>
      <w:proofErr w:type="gramStart"/>
      <w:r>
        <w:t>were targeted</w:t>
      </w:r>
      <w:proofErr w:type="gramEnd"/>
      <w:r>
        <w:t xml:space="preserve"> for the survey.  Additionally, for every HPOG participant with minor children, a focal child </w:t>
      </w:r>
      <w:proofErr w:type="gramStart"/>
      <w:r>
        <w:t>was selected</w:t>
      </w:r>
      <w:proofErr w:type="gramEnd"/>
      <w:r>
        <w:t xml:space="preserve"> for a child outcome module at 36 months. </w:t>
      </w:r>
      <w:r w:rsidR="008D2618">
        <w:t xml:space="preserve"> </w:t>
      </w:r>
      <w:r w:rsidRPr="0038611B">
        <w:t xml:space="preserve">Given budget constraints, ACF has decided to sample at most </w:t>
      </w:r>
      <w:r w:rsidR="0038611B" w:rsidRPr="0038611B">
        <w:t>4,000</w:t>
      </w:r>
      <w:r w:rsidRPr="0038611B">
        <w:t xml:space="preserve"> HPOG study participants for the 72-month survey</w:t>
      </w:r>
      <w:r w:rsidR="00433DFC" w:rsidRPr="0038611B">
        <w:t>, with an expected response rate of 74 percent or 2,</w:t>
      </w:r>
      <w:r w:rsidR="0038611B" w:rsidRPr="0038611B">
        <w:t xml:space="preserve">960 </w:t>
      </w:r>
      <w:r w:rsidR="00433DFC" w:rsidRPr="0038611B">
        <w:t>completed interviews</w:t>
      </w:r>
      <w:r w:rsidRPr="0038611B">
        <w:t xml:space="preserve">. </w:t>
      </w:r>
      <w:r w:rsidR="008D2618" w:rsidRPr="0038611B">
        <w:t xml:space="preserve"> </w:t>
      </w:r>
      <w:r w:rsidRPr="0038611B">
        <w:t xml:space="preserve">The sample selection plan </w:t>
      </w:r>
      <w:proofErr w:type="gramStart"/>
      <w:r w:rsidRPr="0038611B">
        <w:t>is</w:t>
      </w:r>
      <w:r>
        <w:t xml:space="preserve"> described</w:t>
      </w:r>
      <w:proofErr w:type="gramEnd"/>
      <w:r>
        <w:t xml:space="preserve"> below, followed by a description of how the focal children were selected for the child outcome module. </w:t>
      </w:r>
      <w:r w:rsidR="008D2618">
        <w:t xml:space="preserve"> </w:t>
      </w:r>
      <w:r>
        <w:t xml:space="preserve">At 72 months, focal child sample selection </w:t>
      </w:r>
      <w:proofErr w:type="gramStart"/>
      <w:r>
        <w:t>will be based</w:t>
      </w:r>
      <w:proofErr w:type="gramEnd"/>
      <w:r>
        <w:t xml:space="preserve"> on whether or not a focal child was selected at the time of the 36-month follow-up.  That is, if a participant had a focal child selected for the child outcome module at 36-months, that same child </w:t>
      </w:r>
      <w:proofErr w:type="gramStart"/>
      <w:r>
        <w:t>will be selected</w:t>
      </w:r>
      <w:proofErr w:type="gramEnd"/>
      <w:r>
        <w:t xml:space="preserve"> for the child outcome module at 72-months. </w:t>
      </w:r>
    </w:p>
    <w:p w14:paraId="70DDB9CB" w14:textId="591454A4" w:rsidR="002D0D52" w:rsidRDefault="002D0D52" w:rsidP="002D3EB3">
      <w:pPr>
        <w:pStyle w:val="Heading4"/>
        <w:spacing w:before="0" w:after="180"/>
      </w:pPr>
      <w:r w:rsidRPr="00217E5F">
        <w:t xml:space="preserve">Selection of </w:t>
      </w:r>
      <w:r>
        <w:t>HPOG Program for 72-MonthSurvey</w:t>
      </w:r>
      <w:r w:rsidRPr="00217E5F">
        <w:t xml:space="preserve"> </w:t>
      </w:r>
    </w:p>
    <w:p w14:paraId="4B72A5F4" w14:textId="77777777" w:rsidR="002D3EB3" w:rsidRDefault="00AC4B50" w:rsidP="002D0D52">
      <w:pPr>
        <w:pStyle w:val="BodyText"/>
      </w:pPr>
      <w:r>
        <w:t>This section describes the</w:t>
      </w:r>
      <w:r w:rsidRPr="00217E5F">
        <w:t xml:space="preserve"> plan for decidi</w:t>
      </w:r>
      <w:r w:rsidR="00D3122E">
        <w:t>ng at which HPOG programs</w:t>
      </w:r>
      <w:r w:rsidRPr="00217E5F">
        <w:t xml:space="preserve"> to </w:t>
      </w:r>
      <w:r>
        <w:t xml:space="preserve">administer the 72-month </w:t>
      </w:r>
      <w:r w:rsidRPr="00217E5F">
        <w:t xml:space="preserve">survey </w:t>
      </w:r>
      <w:r>
        <w:t xml:space="preserve">to </w:t>
      </w:r>
      <w:r w:rsidRPr="00217E5F">
        <w:t>participants.</w:t>
      </w:r>
      <w:r>
        <w:t xml:space="preserve"> </w:t>
      </w:r>
    </w:p>
    <w:p w14:paraId="7B6E9956" w14:textId="77777777" w:rsidR="002D3EB3" w:rsidRDefault="002D3EB3">
      <w:pPr>
        <w:spacing w:after="0" w:line="240" w:lineRule="auto"/>
      </w:pPr>
      <w:r>
        <w:br w:type="page"/>
      </w:r>
    </w:p>
    <w:p w14:paraId="0F67D2CC" w14:textId="4DA62F3A" w:rsidR="00AC4B50" w:rsidRDefault="00D3122E" w:rsidP="002D0D52">
      <w:pPr>
        <w:pStyle w:val="BodyText"/>
      </w:pPr>
      <w:r>
        <w:lastRenderedPageBreak/>
        <w:t>The research team will focus on the following criteria when selecting programs for the follow-up survey:</w:t>
      </w:r>
    </w:p>
    <w:p w14:paraId="19B406D6" w14:textId="2E676DC5" w:rsidR="002D0D52" w:rsidRDefault="002D0D52" w:rsidP="002D0D52">
      <w:pPr>
        <w:pStyle w:val="BodyTextFlush"/>
        <w:numPr>
          <w:ilvl w:val="0"/>
          <w:numId w:val="15"/>
        </w:numPr>
        <w:spacing w:line="264" w:lineRule="auto"/>
        <w:rPr>
          <w:sz w:val="22"/>
          <w:szCs w:val="22"/>
        </w:rPr>
      </w:pPr>
      <w:r w:rsidRPr="007963EE">
        <w:rPr>
          <w:sz w:val="22"/>
          <w:szCs w:val="22"/>
        </w:rPr>
        <w:t>The likelihood of long</w:t>
      </w:r>
      <w:r w:rsidR="00C22B32">
        <w:rPr>
          <w:sz w:val="22"/>
          <w:szCs w:val="22"/>
        </w:rPr>
        <w:t>er</w:t>
      </w:r>
      <w:r w:rsidRPr="007963EE">
        <w:rPr>
          <w:sz w:val="22"/>
          <w:szCs w:val="22"/>
        </w:rPr>
        <w:t xml:space="preserve">-term impacts on the outcomes </w:t>
      </w:r>
      <w:r w:rsidR="00C22B32">
        <w:rPr>
          <w:sz w:val="22"/>
          <w:szCs w:val="22"/>
        </w:rPr>
        <w:t xml:space="preserve">(such as credential attainment, poverty, welfare dependence, economic self-sufficiency, health insurance, being employed with benefits, food security, mental health, debt, resilience to financial shocks, and child well-being) </w:t>
      </w:r>
      <w:r w:rsidRPr="007963EE">
        <w:rPr>
          <w:sz w:val="22"/>
          <w:szCs w:val="22"/>
        </w:rPr>
        <w:t xml:space="preserve">measured in the </w:t>
      </w:r>
      <w:r>
        <w:rPr>
          <w:sz w:val="22"/>
          <w:szCs w:val="22"/>
        </w:rPr>
        <w:t xml:space="preserve">72-month </w:t>
      </w:r>
      <w:r w:rsidRPr="007963EE">
        <w:rPr>
          <w:sz w:val="22"/>
          <w:szCs w:val="22"/>
        </w:rPr>
        <w:t>survey;</w:t>
      </w:r>
      <w:r>
        <w:rPr>
          <w:sz w:val="22"/>
          <w:szCs w:val="22"/>
        </w:rPr>
        <w:t xml:space="preserve">  and </w:t>
      </w:r>
    </w:p>
    <w:p w14:paraId="2F7C4445" w14:textId="576AF783" w:rsidR="00C22B32" w:rsidRDefault="00C22B32" w:rsidP="002D0D52">
      <w:pPr>
        <w:pStyle w:val="BodyTextFlush"/>
        <w:numPr>
          <w:ilvl w:val="0"/>
          <w:numId w:val="15"/>
        </w:numPr>
        <w:spacing w:line="264" w:lineRule="auto"/>
        <w:rPr>
          <w:sz w:val="22"/>
          <w:szCs w:val="22"/>
        </w:rPr>
      </w:pPr>
      <w:proofErr w:type="gramStart"/>
      <w:r>
        <w:rPr>
          <w:sz w:val="22"/>
          <w:szCs w:val="22"/>
        </w:rPr>
        <w:t>The likely practical and policy-relevant magnitude of those impacts.</w:t>
      </w:r>
      <w:proofErr w:type="gramEnd"/>
      <w:r>
        <w:rPr>
          <w:sz w:val="22"/>
          <w:szCs w:val="22"/>
        </w:rPr>
        <w:t xml:space="preserve"> </w:t>
      </w:r>
    </w:p>
    <w:p w14:paraId="6823C96A" w14:textId="77777777" w:rsidR="002D3EB3" w:rsidRDefault="002D3EB3" w:rsidP="002D3EB3">
      <w:pPr>
        <w:pStyle w:val="BodyTextFlush"/>
        <w:spacing w:line="264" w:lineRule="auto"/>
        <w:ind w:left="360"/>
        <w:rPr>
          <w:sz w:val="22"/>
          <w:szCs w:val="22"/>
        </w:rPr>
      </w:pPr>
    </w:p>
    <w:p w14:paraId="5402D660" w14:textId="0EFA0404" w:rsidR="002D0D52" w:rsidRDefault="002D0D52" w:rsidP="002D0D52">
      <w:pPr>
        <w:pStyle w:val="BodyText"/>
      </w:pPr>
      <w:r>
        <w:t>Based on its cumulative experience, the research team came to the judgment</w:t>
      </w:r>
      <w:r w:rsidRPr="00217E5F">
        <w:t xml:space="preserve"> that factors such as the plausibility of a program’s logic model or the quality of implementation by themselves are poor predictors of impacts in the l</w:t>
      </w:r>
      <w:r>
        <w:t>ong term.</w:t>
      </w:r>
      <w:r w:rsidR="008D2618">
        <w:t xml:space="preserve"> </w:t>
      </w:r>
      <w:r>
        <w:t xml:space="preserve"> Instead, the study team will primarily use </w:t>
      </w:r>
      <w:r w:rsidRPr="00217E5F">
        <w:t>an empirically</w:t>
      </w:r>
      <w:r>
        <w:t xml:space="preserve"> </w:t>
      </w:r>
      <w:r w:rsidRPr="00217E5F">
        <w:t xml:space="preserve">driven approach </w:t>
      </w:r>
      <w:r>
        <w:t>that looks for</w:t>
      </w:r>
      <w:r w:rsidRPr="00217E5F">
        <w:t xml:space="preserve"> shorter-term impacts </w:t>
      </w:r>
      <w:r>
        <w:t xml:space="preserve">on </w:t>
      </w:r>
      <w:r w:rsidR="00C22B32">
        <w:t xml:space="preserve">educational progress, employment and </w:t>
      </w:r>
      <w:r>
        <w:t>earnings to</w:t>
      </w:r>
      <w:r w:rsidRPr="00217E5F">
        <w:t xml:space="preserve"> suggest a program is likely to produce long-term impacts</w:t>
      </w:r>
      <w:r>
        <w:t xml:space="preserve"> on broad </w:t>
      </w:r>
      <w:r w:rsidR="00C22B32">
        <w:t xml:space="preserve">(survey-based) </w:t>
      </w:r>
      <w:r>
        <w:t xml:space="preserve">measures of economic independence and family well-being. </w:t>
      </w:r>
    </w:p>
    <w:p w14:paraId="0BE7062E" w14:textId="2878C92C" w:rsidR="002D0D52" w:rsidRPr="00217E5F" w:rsidRDefault="002D0D52" w:rsidP="002D0D52">
      <w:pPr>
        <w:pStyle w:val="BodyText"/>
      </w:pPr>
      <w:r>
        <w:t xml:space="preserve">The </w:t>
      </w:r>
      <w:r w:rsidR="00D3122E">
        <w:t xml:space="preserve">decision </w:t>
      </w:r>
      <w:proofErr w:type="gramStart"/>
      <w:r w:rsidR="00D3122E">
        <w:t>will primarily be based</w:t>
      </w:r>
      <w:proofErr w:type="gramEnd"/>
      <w:r w:rsidR="00D3122E">
        <w:t xml:space="preserve"> of </w:t>
      </w:r>
      <w:r>
        <w:t xml:space="preserve">shorter-term </w:t>
      </w:r>
      <w:r w:rsidRPr="00217E5F">
        <w:t xml:space="preserve">impacts </w:t>
      </w:r>
      <w:r>
        <w:t>on earnings from</w:t>
      </w:r>
      <w:r w:rsidRPr="00217E5F">
        <w:t xml:space="preserve"> the</w:t>
      </w:r>
      <w:r>
        <w:t xml:space="preserve"> </w:t>
      </w:r>
      <w:r w:rsidR="00C22B32">
        <w:t xml:space="preserve">15-month follow-up survey and from the </w:t>
      </w:r>
      <w:r>
        <w:t>National Directory of New Hires (</w:t>
      </w:r>
      <w:r w:rsidRPr="00217E5F">
        <w:t>NDNH</w:t>
      </w:r>
      <w:r>
        <w:t xml:space="preserve">).  NDNH data </w:t>
      </w:r>
      <w:r w:rsidR="00C22B32">
        <w:t>permits</w:t>
      </w:r>
      <w:r>
        <w:t xml:space="preserve"> estimation of impacts at a </w:t>
      </w:r>
      <w:r w:rsidR="00C22B32">
        <w:t xml:space="preserve">slightly </w:t>
      </w:r>
      <w:r>
        <w:t xml:space="preserve">longer follow-up period, 24 months.  (The 36-month survey </w:t>
      </w:r>
      <w:proofErr w:type="gramStart"/>
      <w:r>
        <w:t>can</w:t>
      </w:r>
      <w:r w:rsidR="00C22B32">
        <w:t>no</w:t>
      </w:r>
      <w:r>
        <w:t>t be used</w:t>
      </w:r>
      <w:proofErr w:type="gramEnd"/>
      <w:r>
        <w:t xml:space="preserve"> because it is still underway.) </w:t>
      </w:r>
      <w:r w:rsidR="008D2618">
        <w:t xml:space="preserve"> </w:t>
      </w:r>
      <w:r>
        <w:t xml:space="preserve">In addition to </w:t>
      </w:r>
      <w:r w:rsidR="00C22B32">
        <w:t>examining</w:t>
      </w:r>
      <w:r>
        <w:t xml:space="preserve"> impacts on </w:t>
      </w:r>
      <w:r w:rsidR="00C22B32">
        <w:t xml:space="preserve">employment and </w:t>
      </w:r>
      <w:r>
        <w:t xml:space="preserve">earnings </w:t>
      </w:r>
      <w:r w:rsidR="00C22B32">
        <w:t xml:space="preserve">at </w:t>
      </w:r>
      <w:r>
        <w:t xml:space="preserve">24 months with the NDNH, </w:t>
      </w:r>
      <w:r w:rsidR="00C22B32">
        <w:t>the study team</w:t>
      </w:r>
      <w:r>
        <w:t xml:space="preserve"> will also use 15-month survey results on educational outcomes </w:t>
      </w:r>
      <w:r w:rsidR="00C22B32">
        <w:t xml:space="preserve">and employment in the healthcare sector (a key outcome for HPOG) </w:t>
      </w:r>
      <w:r>
        <w:t xml:space="preserve">as predictors of future success.  </w:t>
      </w:r>
    </w:p>
    <w:p w14:paraId="2B57F588" w14:textId="0FB48AB3" w:rsidR="00412BC2" w:rsidRPr="007963EE" w:rsidRDefault="00412BC2" w:rsidP="00412BC2">
      <w:pPr>
        <w:pStyle w:val="BodyTextFlush"/>
        <w:spacing w:line="264" w:lineRule="auto"/>
        <w:rPr>
          <w:sz w:val="22"/>
          <w:szCs w:val="22"/>
        </w:rPr>
      </w:pPr>
      <w:r>
        <w:rPr>
          <w:sz w:val="22"/>
          <w:szCs w:val="22"/>
        </w:rPr>
        <w:t>The research team will</w:t>
      </w:r>
      <w:r w:rsidRPr="007963EE">
        <w:rPr>
          <w:sz w:val="22"/>
          <w:szCs w:val="22"/>
        </w:rPr>
        <w:t xml:space="preserve"> </w:t>
      </w:r>
      <w:r w:rsidR="00C22B32">
        <w:rPr>
          <w:sz w:val="22"/>
          <w:szCs w:val="22"/>
        </w:rPr>
        <w:t xml:space="preserve">examine these impacts at the program level </w:t>
      </w:r>
      <w:proofErr w:type="gramStart"/>
      <w:r w:rsidR="00C22B32">
        <w:rPr>
          <w:sz w:val="22"/>
          <w:szCs w:val="22"/>
        </w:rPr>
        <w:t>and also</w:t>
      </w:r>
      <w:proofErr w:type="gramEnd"/>
      <w:r w:rsidR="00C22B32">
        <w:rPr>
          <w:sz w:val="22"/>
          <w:szCs w:val="22"/>
        </w:rPr>
        <w:t xml:space="preserve"> consider the precision with which the impacts are estimated and the sample sizes available at the program level</w:t>
      </w:r>
      <w:r w:rsidRPr="007963EE">
        <w:rPr>
          <w:sz w:val="22"/>
          <w:szCs w:val="22"/>
        </w:rPr>
        <w:t xml:space="preserve">. </w:t>
      </w:r>
    </w:p>
    <w:p w14:paraId="6873362D" w14:textId="77777777" w:rsidR="00412BC2" w:rsidRPr="007963EE" w:rsidRDefault="00412BC2" w:rsidP="00412BC2">
      <w:pPr>
        <w:pStyle w:val="BodyTextFlush"/>
        <w:spacing w:line="264" w:lineRule="auto"/>
        <w:rPr>
          <w:b/>
          <w:i/>
          <w:sz w:val="22"/>
          <w:szCs w:val="22"/>
        </w:rPr>
      </w:pPr>
    </w:p>
    <w:p w14:paraId="22AEC34C" w14:textId="77777777" w:rsidR="00AD09A2" w:rsidRDefault="00AD09A2" w:rsidP="00AD09A2">
      <w:pPr>
        <w:rPr>
          <w:b/>
          <w:color w:val="FF0000"/>
        </w:rPr>
      </w:pPr>
      <w:r w:rsidRPr="00326A43">
        <w:rPr>
          <w:b/>
          <w:color w:val="FF0000"/>
        </w:rPr>
        <w:t>Sampling Plan for Study of Impacts on Child Outcomes</w:t>
      </w:r>
    </w:p>
    <w:p w14:paraId="1A9BA93E" w14:textId="77777777" w:rsidR="00AD09A2" w:rsidRDefault="00AD09A2" w:rsidP="00AD09A2">
      <w:pPr>
        <w:pStyle w:val="Bullets"/>
        <w:numPr>
          <w:ilvl w:val="0"/>
          <w:numId w:val="0"/>
        </w:numPr>
      </w:pPr>
      <w:r>
        <w:t xml:space="preserve">Like the 36-month survey, the 72-month survey will have a child module to assess program impacts on the participants’ children.  The 72-month survey will use the same focal child sample selected for the 36-month survey.  The child module in the 72-month survey </w:t>
      </w:r>
      <w:proofErr w:type="gramStart"/>
      <w:r>
        <w:t>will be asked</w:t>
      </w:r>
      <w:proofErr w:type="gramEnd"/>
      <w:r>
        <w:t xml:space="preserve"> of all respondents who had at least one focal child selected for the 36-month follow-up survey. </w:t>
      </w:r>
    </w:p>
    <w:p w14:paraId="34A973E0" w14:textId="3CE73DB7" w:rsidR="00AD09A2" w:rsidRDefault="00AD09A2" w:rsidP="00AD09A2">
      <w:r>
        <w:t xml:space="preserve">The focal child selection at 36-months </w:t>
      </w:r>
      <w:proofErr w:type="gramStart"/>
      <w:r>
        <w:t>was confined</w:t>
      </w:r>
      <w:proofErr w:type="gramEnd"/>
      <w:r>
        <w:t xml:space="preserve"> to participants who reported at least one child in these households at baseline that would be between the ages of 3 and 18 years at the time of the 36-month survey.  A given respondent </w:t>
      </w:r>
      <w:proofErr w:type="gramStart"/>
      <w:r>
        <w:t>was asked</w:t>
      </w:r>
      <w:proofErr w:type="gramEnd"/>
      <w:r>
        <w:t xml:space="preserve"> to confirm that the selected focal child resided with the respondent more than half time during the 12 months prior to the 36-month survey administration.</w:t>
      </w:r>
      <w:r w:rsidR="008D2618">
        <w:t xml:space="preserve"> </w:t>
      </w:r>
      <w:r>
        <w:t xml:space="preserve"> Each household </w:t>
      </w:r>
      <w:proofErr w:type="gramStart"/>
      <w:r>
        <w:t>was asked</w:t>
      </w:r>
      <w:proofErr w:type="gramEnd"/>
      <w:r>
        <w:t xml:space="preserve"> about a specific focal child in the household regardless of how many children were eligible. </w:t>
      </w:r>
      <w:r w:rsidR="008D2618">
        <w:t xml:space="preserve"> </w:t>
      </w:r>
      <w:r>
        <w:t xml:space="preserve">The 36-month sampling plan selected approximately equal numbers of children from each of three age categories at baseline:  preschool-age children aged </w:t>
      </w:r>
      <w:proofErr w:type="gramStart"/>
      <w:r>
        <w:t>3</w:t>
      </w:r>
      <w:proofErr w:type="gramEnd"/>
      <w:r>
        <w:t xml:space="preserve"> through 5 and not yet in kindergarten; children in kindergarten through grade 5; and children in grades 6 through 12.  The procedure for selecting a focal child from each household </w:t>
      </w:r>
      <w:r w:rsidRPr="008F715C">
        <w:t>depend</w:t>
      </w:r>
      <w:r>
        <w:t xml:space="preserve">ed on the configuration of children from each age category present in the household.  Specifically, there are seven possible household configurations of age groups in households with at least one child present: </w:t>
      </w:r>
    </w:p>
    <w:p w14:paraId="63CF2BEB" w14:textId="77777777" w:rsidR="00AD09A2" w:rsidRPr="003D77E5" w:rsidRDefault="00AD09A2" w:rsidP="00AD09A2">
      <w:pPr>
        <w:pStyle w:val="ListParagraph"/>
        <w:numPr>
          <w:ilvl w:val="0"/>
          <w:numId w:val="11"/>
        </w:numPr>
        <w:rPr>
          <w:rFonts w:ascii="Times New Roman" w:hAnsi="Times New Roman"/>
        </w:rPr>
      </w:pPr>
      <w:r w:rsidRPr="003D77E5">
        <w:rPr>
          <w:rFonts w:ascii="Times New Roman" w:hAnsi="Times New Roman"/>
        </w:rPr>
        <w:t xml:space="preserve">Preschool child(ren) only </w:t>
      </w:r>
    </w:p>
    <w:p w14:paraId="1DD4C485" w14:textId="77777777" w:rsidR="00AD09A2" w:rsidRPr="003D77E5" w:rsidRDefault="00AD09A2" w:rsidP="00AD09A2">
      <w:pPr>
        <w:pStyle w:val="ListParagraph"/>
        <w:numPr>
          <w:ilvl w:val="0"/>
          <w:numId w:val="11"/>
        </w:numPr>
        <w:rPr>
          <w:rFonts w:ascii="Times New Roman" w:hAnsi="Times New Roman"/>
        </w:rPr>
      </w:pPr>
      <w:r w:rsidRPr="003D77E5">
        <w:rPr>
          <w:rFonts w:ascii="Times New Roman" w:hAnsi="Times New Roman"/>
        </w:rPr>
        <w:t>Child(ren) in K – 5</w:t>
      </w:r>
      <w:r w:rsidRPr="003D77E5">
        <w:rPr>
          <w:rFonts w:ascii="Times New Roman" w:hAnsi="Times New Roman"/>
          <w:vertAlign w:val="superscript"/>
        </w:rPr>
        <w:t>th</w:t>
      </w:r>
      <w:r w:rsidRPr="003D77E5">
        <w:rPr>
          <w:rFonts w:ascii="Times New Roman" w:hAnsi="Times New Roman"/>
        </w:rPr>
        <w:t xml:space="preserve"> grade only </w:t>
      </w:r>
    </w:p>
    <w:p w14:paraId="0683D63F" w14:textId="77777777" w:rsidR="00AD09A2" w:rsidRPr="003D77E5" w:rsidRDefault="00AD09A2" w:rsidP="00AD09A2">
      <w:pPr>
        <w:pStyle w:val="ListParagraph"/>
        <w:numPr>
          <w:ilvl w:val="0"/>
          <w:numId w:val="11"/>
        </w:numPr>
        <w:rPr>
          <w:rFonts w:ascii="Times New Roman" w:hAnsi="Times New Roman"/>
        </w:rPr>
      </w:pPr>
      <w:r w:rsidRPr="003D77E5">
        <w:rPr>
          <w:rFonts w:ascii="Times New Roman" w:hAnsi="Times New Roman"/>
        </w:rPr>
        <w:t>Children in 6</w:t>
      </w:r>
      <w:r w:rsidRPr="003D77E5">
        <w:rPr>
          <w:rFonts w:ascii="Times New Roman" w:hAnsi="Times New Roman"/>
          <w:vertAlign w:val="superscript"/>
        </w:rPr>
        <w:t>th</w:t>
      </w:r>
      <w:r w:rsidRPr="003D77E5">
        <w:rPr>
          <w:rFonts w:ascii="Times New Roman" w:hAnsi="Times New Roman"/>
        </w:rPr>
        <w:t xml:space="preserve"> – 12</w:t>
      </w:r>
      <w:r w:rsidRPr="003D77E5">
        <w:rPr>
          <w:rFonts w:ascii="Times New Roman" w:hAnsi="Times New Roman"/>
          <w:vertAlign w:val="superscript"/>
        </w:rPr>
        <w:t>th</w:t>
      </w:r>
      <w:r w:rsidRPr="003D77E5">
        <w:rPr>
          <w:rFonts w:ascii="Times New Roman" w:hAnsi="Times New Roman"/>
        </w:rPr>
        <w:t xml:space="preserve"> grades only</w:t>
      </w:r>
    </w:p>
    <w:p w14:paraId="0ABEDDA5" w14:textId="77777777" w:rsidR="00AD09A2" w:rsidRPr="003D77E5" w:rsidRDefault="00AD09A2" w:rsidP="00AD09A2">
      <w:pPr>
        <w:pStyle w:val="ListParagraph"/>
        <w:numPr>
          <w:ilvl w:val="0"/>
          <w:numId w:val="11"/>
        </w:numPr>
        <w:rPr>
          <w:rFonts w:ascii="Times New Roman" w:hAnsi="Times New Roman"/>
        </w:rPr>
      </w:pPr>
      <w:r w:rsidRPr="003D77E5">
        <w:rPr>
          <w:rFonts w:ascii="Times New Roman" w:hAnsi="Times New Roman"/>
        </w:rPr>
        <w:t>Preschool and K -5</w:t>
      </w:r>
      <w:r w:rsidRPr="003D77E5">
        <w:rPr>
          <w:rFonts w:ascii="Times New Roman" w:hAnsi="Times New Roman"/>
          <w:vertAlign w:val="superscript"/>
        </w:rPr>
        <w:t>th</w:t>
      </w:r>
      <w:r w:rsidRPr="003D77E5">
        <w:rPr>
          <w:rFonts w:ascii="Times New Roman" w:hAnsi="Times New Roman"/>
        </w:rPr>
        <w:t xml:space="preserve"> grade children </w:t>
      </w:r>
    </w:p>
    <w:p w14:paraId="5749C39A" w14:textId="77777777" w:rsidR="00AD09A2" w:rsidRPr="003D77E5" w:rsidRDefault="00AD09A2" w:rsidP="00AD09A2">
      <w:pPr>
        <w:pStyle w:val="ListParagraph"/>
        <w:numPr>
          <w:ilvl w:val="0"/>
          <w:numId w:val="11"/>
        </w:numPr>
        <w:rPr>
          <w:rFonts w:ascii="Times New Roman" w:hAnsi="Times New Roman"/>
        </w:rPr>
      </w:pPr>
      <w:r w:rsidRPr="003D77E5">
        <w:rPr>
          <w:rFonts w:ascii="Times New Roman" w:hAnsi="Times New Roman"/>
        </w:rPr>
        <w:lastRenderedPageBreak/>
        <w:t>K – 5</w:t>
      </w:r>
      <w:r w:rsidRPr="003D77E5">
        <w:rPr>
          <w:rFonts w:ascii="Times New Roman" w:hAnsi="Times New Roman"/>
          <w:vertAlign w:val="superscript"/>
        </w:rPr>
        <w:t>th</w:t>
      </w:r>
      <w:r w:rsidRPr="003D77E5">
        <w:rPr>
          <w:rFonts w:ascii="Times New Roman" w:hAnsi="Times New Roman"/>
        </w:rPr>
        <w:t xml:space="preserve"> grade and 6</w:t>
      </w:r>
      <w:r w:rsidRPr="003D77E5">
        <w:rPr>
          <w:rFonts w:ascii="Times New Roman" w:hAnsi="Times New Roman"/>
          <w:vertAlign w:val="superscript"/>
        </w:rPr>
        <w:t>th</w:t>
      </w:r>
      <w:r w:rsidRPr="003D77E5">
        <w:rPr>
          <w:rFonts w:ascii="Times New Roman" w:hAnsi="Times New Roman"/>
        </w:rPr>
        <w:t xml:space="preserve"> – 12 grade children</w:t>
      </w:r>
    </w:p>
    <w:p w14:paraId="43E1E1C8" w14:textId="77777777" w:rsidR="00AD09A2" w:rsidRPr="003D77E5" w:rsidRDefault="00AD09A2" w:rsidP="00AD09A2">
      <w:pPr>
        <w:pStyle w:val="ListParagraph"/>
        <w:numPr>
          <w:ilvl w:val="0"/>
          <w:numId w:val="11"/>
        </w:numPr>
        <w:rPr>
          <w:rFonts w:ascii="Times New Roman" w:hAnsi="Times New Roman"/>
        </w:rPr>
      </w:pPr>
      <w:r w:rsidRPr="003D77E5">
        <w:rPr>
          <w:rFonts w:ascii="Times New Roman" w:hAnsi="Times New Roman"/>
        </w:rPr>
        <w:t>Preschool and children 6</w:t>
      </w:r>
      <w:r w:rsidRPr="003D77E5">
        <w:rPr>
          <w:rFonts w:ascii="Times New Roman" w:hAnsi="Times New Roman"/>
          <w:vertAlign w:val="superscript"/>
        </w:rPr>
        <w:t>th</w:t>
      </w:r>
      <w:r w:rsidRPr="003D77E5">
        <w:rPr>
          <w:rFonts w:ascii="Times New Roman" w:hAnsi="Times New Roman"/>
        </w:rPr>
        <w:t xml:space="preserve"> – 12 grade children</w:t>
      </w:r>
    </w:p>
    <w:p w14:paraId="4B9F92A4" w14:textId="77777777" w:rsidR="00AD09A2" w:rsidRPr="003D77E5" w:rsidRDefault="00AD09A2" w:rsidP="00AD09A2">
      <w:pPr>
        <w:pStyle w:val="ListParagraph"/>
        <w:numPr>
          <w:ilvl w:val="0"/>
          <w:numId w:val="11"/>
        </w:numPr>
        <w:rPr>
          <w:rFonts w:ascii="Times New Roman" w:hAnsi="Times New Roman"/>
        </w:rPr>
      </w:pPr>
      <w:proofErr w:type="gramStart"/>
      <w:r w:rsidRPr="003D77E5">
        <w:rPr>
          <w:rFonts w:ascii="Times New Roman" w:hAnsi="Times New Roman"/>
        </w:rPr>
        <w:t>Preschool-age, K – 5</w:t>
      </w:r>
      <w:r w:rsidRPr="003D77E5">
        <w:rPr>
          <w:rFonts w:ascii="Times New Roman" w:hAnsi="Times New Roman"/>
          <w:vertAlign w:val="superscript"/>
        </w:rPr>
        <w:t>th</w:t>
      </w:r>
      <w:r w:rsidRPr="003D77E5">
        <w:rPr>
          <w:rFonts w:ascii="Times New Roman" w:hAnsi="Times New Roman"/>
        </w:rPr>
        <w:t xml:space="preserve"> grade, and 6</w:t>
      </w:r>
      <w:r w:rsidRPr="003D77E5">
        <w:rPr>
          <w:rFonts w:ascii="Times New Roman" w:hAnsi="Times New Roman"/>
          <w:vertAlign w:val="superscript"/>
        </w:rPr>
        <w:t>th</w:t>
      </w:r>
      <w:r w:rsidRPr="003D77E5">
        <w:rPr>
          <w:rFonts w:ascii="Times New Roman" w:hAnsi="Times New Roman"/>
        </w:rPr>
        <w:t xml:space="preserve"> – 12 grade children.</w:t>
      </w:r>
      <w:proofErr w:type="gramEnd"/>
      <w:r w:rsidRPr="003D77E5">
        <w:rPr>
          <w:rFonts w:ascii="Times New Roman" w:hAnsi="Times New Roman"/>
        </w:rPr>
        <w:t xml:space="preserve"> </w:t>
      </w:r>
    </w:p>
    <w:p w14:paraId="43C98761" w14:textId="77777777" w:rsidR="00AD09A2" w:rsidRPr="00527D1D" w:rsidRDefault="00AD09A2" w:rsidP="00AD09A2">
      <w:pPr>
        <w:tabs>
          <w:tab w:val="left" w:pos="4188"/>
        </w:tabs>
      </w:pPr>
      <w:r>
        <w:t>The sampling plan was as follows:</w:t>
      </w:r>
    </w:p>
    <w:p w14:paraId="255B5A00" w14:textId="77777777" w:rsidR="00AD09A2" w:rsidRPr="003D77E5" w:rsidRDefault="00AD09A2" w:rsidP="00AD09A2">
      <w:pPr>
        <w:pStyle w:val="ListParagraph"/>
        <w:numPr>
          <w:ilvl w:val="0"/>
          <w:numId w:val="12"/>
        </w:numPr>
        <w:rPr>
          <w:rFonts w:ascii="Times New Roman" w:hAnsi="Times New Roman"/>
        </w:rPr>
      </w:pPr>
      <w:r w:rsidRPr="003D77E5">
        <w:rPr>
          <w:rFonts w:ascii="Times New Roman" w:hAnsi="Times New Roman"/>
        </w:rPr>
        <w:t xml:space="preserve">For household configurations 1, 2, and 3, only one age group was available for the sample, so the focal child </w:t>
      </w:r>
      <w:proofErr w:type="gramStart"/>
      <w:r w:rsidRPr="003D77E5">
        <w:rPr>
          <w:rFonts w:ascii="Times New Roman" w:hAnsi="Times New Roman"/>
        </w:rPr>
        <w:t>was selected</w:t>
      </w:r>
      <w:proofErr w:type="gramEnd"/>
      <w:r w:rsidRPr="003D77E5">
        <w:rPr>
          <w:rFonts w:ascii="Times New Roman" w:hAnsi="Times New Roman"/>
        </w:rPr>
        <w:t xml:space="preserve"> from that age group; if there were multiple children in that age group, one child was selected at random.</w:t>
      </w:r>
    </w:p>
    <w:p w14:paraId="3C986999" w14:textId="77777777" w:rsidR="00AD09A2" w:rsidRPr="003D77E5" w:rsidRDefault="00AD09A2" w:rsidP="00AD09A2">
      <w:pPr>
        <w:pStyle w:val="ListParagraph"/>
        <w:numPr>
          <w:ilvl w:val="0"/>
          <w:numId w:val="12"/>
        </w:numPr>
        <w:rPr>
          <w:rFonts w:ascii="Times New Roman" w:hAnsi="Times New Roman"/>
        </w:rPr>
      </w:pPr>
      <w:r w:rsidRPr="003D77E5">
        <w:rPr>
          <w:rFonts w:ascii="Times New Roman" w:hAnsi="Times New Roman"/>
        </w:rPr>
        <w:t>For household configurations 4 and 5, a K – 5</w:t>
      </w:r>
      <w:r w:rsidRPr="003D77E5">
        <w:rPr>
          <w:rFonts w:ascii="Times New Roman" w:hAnsi="Times New Roman"/>
          <w:vertAlign w:val="superscript"/>
        </w:rPr>
        <w:t>th</w:t>
      </w:r>
      <w:r w:rsidRPr="003D77E5">
        <w:rPr>
          <w:rFonts w:ascii="Times New Roman" w:hAnsi="Times New Roman"/>
        </w:rPr>
        <w:t xml:space="preserve"> grade child </w:t>
      </w:r>
      <w:proofErr w:type="gramStart"/>
      <w:r w:rsidRPr="003D77E5">
        <w:rPr>
          <w:rFonts w:ascii="Times New Roman" w:hAnsi="Times New Roman"/>
        </w:rPr>
        <w:t>was selected</w:t>
      </w:r>
      <w:proofErr w:type="gramEnd"/>
      <w:r w:rsidRPr="003D77E5">
        <w:rPr>
          <w:rFonts w:ascii="Times New Roman" w:hAnsi="Times New Roman"/>
        </w:rPr>
        <w:t xml:space="preserve"> from a random 30 percent of households and a child from the other age category in the household (preschool-age or 6</w:t>
      </w:r>
      <w:r w:rsidRPr="003D77E5">
        <w:rPr>
          <w:rFonts w:ascii="Times New Roman" w:hAnsi="Times New Roman"/>
          <w:vertAlign w:val="superscript"/>
        </w:rPr>
        <w:t>th</w:t>
      </w:r>
      <w:r w:rsidRPr="003D77E5">
        <w:rPr>
          <w:rFonts w:ascii="Times New Roman" w:hAnsi="Times New Roman"/>
        </w:rPr>
        <w:t xml:space="preserve"> – 12</w:t>
      </w:r>
      <w:r w:rsidRPr="003D77E5">
        <w:rPr>
          <w:rFonts w:ascii="Times New Roman" w:hAnsi="Times New Roman"/>
          <w:vertAlign w:val="superscript"/>
        </w:rPr>
        <w:t>th</w:t>
      </w:r>
      <w:r w:rsidRPr="003D77E5">
        <w:rPr>
          <w:rFonts w:ascii="Times New Roman" w:hAnsi="Times New Roman"/>
        </w:rPr>
        <w:t xml:space="preserve"> grade) was selected from 70 percent of households. </w:t>
      </w:r>
    </w:p>
    <w:p w14:paraId="3E17E3E1" w14:textId="77777777" w:rsidR="00AD09A2" w:rsidRPr="003D77E5" w:rsidRDefault="00AD09A2" w:rsidP="00AD09A2">
      <w:pPr>
        <w:pStyle w:val="ListParagraph"/>
        <w:numPr>
          <w:ilvl w:val="0"/>
          <w:numId w:val="12"/>
        </w:numPr>
        <w:rPr>
          <w:rFonts w:ascii="Times New Roman" w:hAnsi="Times New Roman"/>
        </w:rPr>
      </w:pPr>
      <w:r w:rsidRPr="003D77E5">
        <w:rPr>
          <w:rFonts w:ascii="Times New Roman" w:hAnsi="Times New Roman"/>
        </w:rPr>
        <w:t xml:space="preserve">For household configuration 6, a preschool child </w:t>
      </w:r>
      <w:proofErr w:type="gramStart"/>
      <w:r w:rsidRPr="003D77E5">
        <w:rPr>
          <w:rFonts w:ascii="Times New Roman" w:hAnsi="Times New Roman"/>
        </w:rPr>
        <w:t>was selected</w:t>
      </w:r>
      <w:proofErr w:type="gramEnd"/>
      <w:r w:rsidRPr="003D77E5">
        <w:rPr>
          <w:rFonts w:ascii="Times New Roman" w:hAnsi="Times New Roman"/>
        </w:rPr>
        <w:t xml:space="preserve"> from a random 50 percent of the households, and a child in 6</w:t>
      </w:r>
      <w:r w:rsidRPr="003D77E5">
        <w:rPr>
          <w:rFonts w:ascii="Times New Roman" w:hAnsi="Times New Roman"/>
          <w:vertAlign w:val="superscript"/>
        </w:rPr>
        <w:t>th</w:t>
      </w:r>
      <w:r w:rsidRPr="003D77E5">
        <w:rPr>
          <w:rFonts w:ascii="Times New Roman" w:hAnsi="Times New Roman"/>
        </w:rPr>
        <w:t xml:space="preserve"> – 12</w:t>
      </w:r>
      <w:r w:rsidRPr="003D77E5">
        <w:rPr>
          <w:rFonts w:ascii="Times New Roman" w:hAnsi="Times New Roman"/>
          <w:vertAlign w:val="superscript"/>
        </w:rPr>
        <w:t xml:space="preserve">th </w:t>
      </w:r>
      <w:r w:rsidRPr="003D77E5">
        <w:rPr>
          <w:rFonts w:ascii="Times New Roman" w:hAnsi="Times New Roman"/>
        </w:rPr>
        <w:t xml:space="preserve">grade was selected from the remaining 50 percent of the households. </w:t>
      </w:r>
    </w:p>
    <w:p w14:paraId="358E0BA6" w14:textId="77777777" w:rsidR="00AD09A2" w:rsidRPr="003D77E5" w:rsidRDefault="00AD09A2" w:rsidP="00AD09A2">
      <w:pPr>
        <w:pStyle w:val="ListParagraph"/>
        <w:numPr>
          <w:ilvl w:val="0"/>
          <w:numId w:val="12"/>
        </w:numPr>
        <w:rPr>
          <w:rFonts w:ascii="Times New Roman" w:hAnsi="Times New Roman"/>
        </w:rPr>
      </w:pPr>
      <w:r w:rsidRPr="003D77E5">
        <w:rPr>
          <w:rFonts w:ascii="Times New Roman" w:hAnsi="Times New Roman"/>
        </w:rPr>
        <w:t>For household configuration 7, a child in K – 5</w:t>
      </w:r>
      <w:r w:rsidRPr="003D77E5">
        <w:rPr>
          <w:rFonts w:ascii="Times New Roman" w:hAnsi="Times New Roman"/>
          <w:vertAlign w:val="superscript"/>
        </w:rPr>
        <w:t>th</w:t>
      </w:r>
      <w:r w:rsidRPr="003D77E5">
        <w:rPr>
          <w:rFonts w:ascii="Times New Roman" w:hAnsi="Times New Roman"/>
        </w:rPr>
        <w:t xml:space="preserve"> grade </w:t>
      </w:r>
      <w:proofErr w:type="gramStart"/>
      <w:r w:rsidRPr="003D77E5">
        <w:rPr>
          <w:rFonts w:ascii="Times New Roman" w:hAnsi="Times New Roman"/>
        </w:rPr>
        <w:t>was selected</w:t>
      </w:r>
      <w:proofErr w:type="gramEnd"/>
      <w:r w:rsidRPr="003D77E5">
        <w:rPr>
          <w:rFonts w:ascii="Times New Roman" w:hAnsi="Times New Roman"/>
        </w:rPr>
        <w:t xml:space="preserve"> from a random 20 percent of households, a preschool-age child was selected from a random 40 percent of households, and a child in 6</w:t>
      </w:r>
      <w:r w:rsidRPr="003D77E5">
        <w:rPr>
          <w:rFonts w:ascii="Times New Roman" w:hAnsi="Times New Roman"/>
          <w:vertAlign w:val="superscript"/>
        </w:rPr>
        <w:t>th</w:t>
      </w:r>
      <w:r w:rsidRPr="003D77E5">
        <w:rPr>
          <w:rFonts w:ascii="Times New Roman" w:hAnsi="Times New Roman"/>
        </w:rPr>
        <w:t xml:space="preserve"> – 12</w:t>
      </w:r>
      <w:r w:rsidRPr="003D77E5">
        <w:rPr>
          <w:rFonts w:ascii="Times New Roman" w:hAnsi="Times New Roman"/>
          <w:vertAlign w:val="superscript"/>
        </w:rPr>
        <w:t>th</w:t>
      </w:r>
      <w:r w:rsidRPr="003D77E5">
        <w:rPr>
          <w:rFonts w:ascii="Times New Roman" w:hAnsi="Times New Roman"/>
        </w:rPr>
        <w:t xml:space="preserve"> was selected from the remaining 40 percent of households. </w:t>
      </w:r>
    </w:p>
    <w:p w14:paraId="56DAF39C" w14:textId="0E37668E" w:rsidR="00412BC2" w:rsidRDefault="00757264" w:rsidP="00757264">
      <w:pPr>
        <w:pStyle w:val="Bullets"/>
        <w:numPr>
          <w:ilvl w:val="0"/>
          <w:numId w:val="0"/>
        </w:numPr>
      </w:pPr>
      <w:r>
        <w:t xml:space="preserve">Sampling weights </w:t>
      </w:r>
      <w:proofErr w:type="gramStart"/>
      <w:r>
        <w:t>will be used</w:t>
      </w:r>
      <w:proofErr w:type="gramEnd"/>
      <w:r>
        <w:t xml:space="preserve"> to account for the differential sampling ratios for some child age categories in some household configurations. </w:t>
      </w:r>
      <w:r w:rsidR="008D2618">
        <w:t xml:space="preserve"> </w:t>
      </w:r>
      <w:r>
        <w:t>By applying the sampling weights, the sample for estimating program impacts on children will represent the dis</w:t>
      </w:r>
      <w:r w:rsidR="000D7570">
        <w:t xml:space="preserve">tribution of children ages across </w:t>
      </w:r>
      <w:r>
        <w:t xml:space="preserve">study households. </w:t>
      </w:r>
    </w:p>
    <w:p w14:paraId="49693A62" w14:textId="77777777" w:rsidR="00C21D50" w:rsidRDefault="001252E5" w:rsidP="00C21D50">
      <w:pPr>
        <w:pStyle w:val="Heading3"/>
      </w:pPr>
      <w:bookmarkStart w:id="7" w:name="_Toc480903469"/>
      <w:r>
        <w:t>B.1.3</w:t>
      </w:r>
      <w:r>
        <w:tab/>
      </w:r>
      <w:r w:rsidR="00C21D50">
        <w:t>Target Response Rates</w:t>
      </w:r>
      <w:bookmarkEnd w:id="7"/>
    </w:p>
    <w:p w14:paraId="26C4EE9E" w14:textId="3A395A06" w:rsidR="00ED63DC" w:rsidRDefault="00C21D50" w:rsidP="00D50346">
      <w:pPr>
        <w:pStyle w:val="BodyText"/>
      </w:pPr>
      <w:r w:rsidRPr="00E22589">
        <w:t xml:space="preserve">Overall, </w:t>
      </w:r>
      <w:r w:rsidR="0000498E">
        <w:t xml:space="preserve">the </w:t>
      </w:r>
      <w:r w:rsidR="008238D2">
        <w:t>research team</w:t>
      </w:r>
      <w:r w:rsidR="0000498E" w:rsidRPr="00E22589">
        <w:t xml:space="preserve"> </w:t>
      </w:r>
      <w:r w:rsidRPr="00E22589">
        <w:t>expect</w:t>
      </w:r>
      <w:r w:rsidR="0000498E">
        <w:t>s</w:t>
      </w:r>
      <w:r w:rsidRPr="00E22589">
        <w:t xml:space="preserve"> response rates to be sufficiently high in this study to produce valid and reliable results that </w:t>
      </w:r>
      <w:proofErr w:type="gramStart"/>
      <w:r w:rsidRPr="00E22589">
        <w:t>can be generalized</w:t>
      </w:r>
      <w:proofErr w:type="gramEnd"/>
      <w:r w:rsidRPr="00E22589">
        <w:t xml:space="preserve"> to the study</w:t>
      </w:r>
      <w:r w:rsidR="00503404">
        <w:t>’s overall participant</w:t>
      </w:r>
      <w:r w:rsidR="005E4550">
        <w:t xml:space="preserve"> group</w:t>
      </w:r>
      <w:r w:rsidRPr="00E22589">
        <w:t xml:space="preserve">.  </w:t>
      </w:r>
      <w:r w:rsidR="002D3EB3">
        <w:t xml:space="preserve">The response rate for the </w:t>
      </w:r>
      <w:r w:rsidR="002D3EB3" w:rsidRPr="0033156E">
        <w:t>15-month</w:t>
      </w:r>
      <w:r w:rsidR="002D3EB3">
        <w:t xml:space="preserve"> follow-up survey is 76 percent and as of April 11, </w:t>
      </w:r>
      <w:proofErr w:type="gramStart"/>
      <w:r w:rsidR="002D3EB3">
        <w:t>2017</w:t>
      </w:r>
      <w:proofErr w:type="gramEnd"/>
      <w:r w:rsidR="002D3EB3">
        <w:t xml:space="preserve"> the response rate for the 36-month follow-up survey (ongoing) is currently 73 percent for the sample cohorts that have been completed.  </w:t>
      </w:r>
      <w:r w:rsidR="008C5642">
        <w:t>W</w:t>
      </w:r>
      <w:r w:rsidR="00DB175C">
        <w:t xml:space="preserve">e expect this to </w:t>
      </w:r>
      <w:proofErr w:type="gramStart"/>
      <w:r w:rsidR="00DB175C">
        <w:t>rise</w:t>
      </w:r>
      <w:proofErr w:type="gramEnd"/>
      <w:r w:rsidR="00DB175C">
        <w:t xml:space="preserve"> </w:t>
      </w:r>
      <w:r w:rsidR="001261B6">
        <w:t xml:space="preserve">slightly </w:t>
      </w:r>
      <w:r w:rsidR="00DB175C">
        <w:t xml:space="preserve">based on experience with the 15-month survey and our experience on </w:t>
      </w:r>
      <w:r w:rsidR="001261B6">
        <w:t xml:space="preserve">early cohorts on </w:t>
      </w:r>
      <w:r w:rsidR="00DB175C">
        <w:t>PACE</w:t>
      </w:r>
      <w:r w:rsidR="001261B6">
        <w:t xml:space="preserve"> 36-month</w:t>
      </w:r>
      <w:r w:rsidR="002D3EB3">
        <w:t xml:space="preserve"> survey</w:t>
      </w:r>
      <w:r w:rsidR="00DB175C">
        <w:t xml:space="preserve">.  Based on these prior </w:t>
      </w:r>
      <w:r w:rsidR="00B62F68">
        <w:t>experiences with the HPOG</w:t>
      </w:r>
      <w:r w:rsidR="007A2452">
        <w:t>-</w:t>
      </w:r>
      <w:r w:rsidR="00DB175C">
        <w:t xml:space="preserve">Impact survey and the PACE survey, </w:t>
      </w:r>
      <w:r w:rsidR="007A2452">
        <w:t xml:space="preserve">we expect to conclude </w:t>
      </w:r>
      <w:r w:rsidR="00D72E71">
        <w:t>the HPOG</w:t>
      </w:r>
      <w:r w:rsidR="001261B6">
        <w:t xml:space="preserve"> </w:t>
      </w:r>
      <w:r w:rsidR="007A2452">
        <w:t>72-Month Follow-up S</w:t>
      </w:r>
      <w:r w:rsidR="00262E3B">
        <w:t>u</w:t>
      </w:r>
      <w:r w:rsidR="007A2452">
        <w:t xml:space="preserve">rvey with a 74 percent overall response rate.  </w:t>
      </w:r>
    </w:p>
    <w:p w14:paraId="46C8C0B7" w14:textId="438B31CB" w:rsidR="00757264" w:rsidRDefault="00757264" w:rsidP="00757264">
      <w:pPr>
        <w:pStyle w:val="Heading3"/>
      </w:pPr>
      <w:bookmarkStart w:id="8" w:name="_Toc480903470"/>
      <w:r>
        <w:t>B.1.4</w:t>
      </w:r>
      <w:r>
        <w:tab/>
      </w:r>
      <w:r w:rsidRPr="004F1FB4">
        <w:t>Estimation Procedures</w:t>
      </w:r>
      <w:r w:rsidR="00485DEB">
        <w:t xml:space="preserve"> for HPOG-Impact Analyses</w:t>
      </w:r>
      <w:bookmarkEnd w:id="8"/>
    </w:p>
    <w:p w14:paraId="7D40C0AA" w14:textId="7DBD1A79" w:rsidR="00757264" w:rsidRPr="005965C2" w:rsidRDefault="00757264" w:rsidP="00AD09A2">
      <w:pPr>
        <w:rPr>
          <w:rFonts w:eastAsiaTheme="minorHAnsi"/>
        </w:rPr>
      </w:pPr>
      <w:r w:rsidRPr="008D2618">
        <w:t xml:space="preserve">For overall treatment impact estimation, the research team will use multivariate regression (specified as a multi-level model to account </w:t>
      </w:r>
      <w:r w:rsidR="008D2618" w:rsidRPr="008D2618">
        <w:t xml:space="preserve">for the multi-site clustering). </w:t>
      </w:r>
      <w:r w:rsidRPr="008D2618">
        <w:t xml:space="preserve"> The team will include individual baseline covariates to improve the power to detect impacts. </w:t>
      </w:r>
      <w:r w:rsidR="008D2618" w:rsidRPr="008D2618">
        <w:t xml:space="preserve"> </w:t>
      </w:r>
      <w:r w:rsidRPr="008D2618">
        <w:t xml:space="preserve">The research team </w:t>
      </w:r>
      <w:r w:rsidR="004B1833" w:rsidRPr="008D2618">
        <w:t xml:space="preserve">has already </w:t>
      </w:r>
      <w:r w:rsidRPr="008D2618">
        <w:t>pre-select</w:t>
      </w:r>
      <w:r w:rsidR="004B1833" w:rsidRPr="008D2618">
        <w:t>ed</w:t>
      </w:r>
      <w:r w:rsidRPr="008D2618">
        <w:t xml:space="preserve"> the covariates</w:t>
      </w:r>
      <w:r w:rsidR="004B1833" w:rsidRPr="008D2618">
        <w:t>, as documented in the study’s Analysis Plan (Harvill, Moulton &amp; Peck, 2015</w:t>
      </w:r>
      <w:r w:rsidR="00AD09A2" w:rsidRPr="008D2618">
        <w:t xml:space="preserve">; </w:t>
      </w:r>
      <w:hyperlink r:id="rId16" w:history="1">
        <w:r w:rsidR="00AD09A2" w:rsidRPr="008D2618">
          <w:rPr>
            <w:rStyle w:val="Hyperlink"/>
          </w:rPr>
          <w:t>http://www.career-pathways.org/acf-sponsored-studies/HPOG/</w:t>
        </w:r>
      </w:hyperlink>
      <w:r w:rsidR="004B1833" w:rsidRPr="008D2618">
        <w:t>)</w:t>
      </w:r>
      <w:r w:rsidR="008D2618">
        <w:t xml:space="preserve">. </w:t>
      </w:r>
      <w:r w:rsidRPr="008D2618">
        <w:t xml:space="preserve"> </w:t>
      </w:r>
      <w:r w:rsidRPr="005965C2">
        <w:t xml:space="preserve">The team will </w:t>
      </w:r>
      <w:r w:rsidR="009A4666">
        <w:t>estimate the</w:t>
      </w:r>
      <w:r>
        <w:t xml:space="preserve"> ITT (intention to treat) </w:t>
      </w:r>
      <w:r w:rsidR="009A4666">
        <w:t>impact for all sites pooled</w:t>
      </w:r>
      <w:r w:rsidR="00C22639">
        <w:t xml:space="preserve"> and</w:t>
      </w:r>
      <w:r>
        <w:t xml:space="preserve"> </w:t>
      </w:r>
      <w:r w:rsidR="009A4666">
        <w:t>will conduct pre-specific subgroup analyses</w:t>
      </w:r>
      <w:r w:rsidR="008D2618">
        <w:t xml:space="preserve">. </w:t>
      </w:r>
      <w:r w:rsidRPr="005965C2">
        <w:t xml:space="preserve"> In general, analyses </w:t>
      </w:r>
      <w:r w:rsidR="009A4666">
        <w:t xml:space="preserve">that use administrative data </w:t>
      </w:r>
      <w:r w:rsidRPr="005965C2">
        <w:t>will use everyone who g</w:t>
      </w:r>
      <w:r w:rsidR="009A4666">
        <w:t>ave</w:t>
      </w:r>
      <w:r w:rsidRPr="005965C2">
        <w:t xml:space="preserve"> informed consent during the randomization period for </w:t>
      </w:r>
      <w:r w:rsidR="00B62F68" w:rsidRPr="00B62F68">
        <w:t>HPOG-Impact</w:t>
      </w:r>
      <w:r w:rsidR="009A4666" w:rsidRPr="00B62F68">
        <w:t>.</w:t>
      </w:r>
      <w:r w:rsidR="00DB175C">
        <w:rPr>
          <w:i/>
        </w:rPr>
        <w:t xml:space="preserve"> </w:t>
      </w:r>
      <w:r w:rsidR="009A4666">
        <w:t xml:space="preserve"> Analyses that rely on survey data will use everyone who gave informed consent during the randomization period and </w:t>
      </w:r>
      <w:r w:rsidR="00DB175C" w:rsidRPr="00DB175C">
        <w:t xml:space="preserve">who </w:t>
      </w:r>
      <w:r w:rsidR="00B4614A">
        <w:t>responds</w:t>
      </w:r>
      <w:r w:rsidR="005E4550">
        <w:t xml:space="preserve"> to </w:t>
      </w:r>
      <w:r w:rsidR="00DB175C" w:rsidRPr="00DB175C">
        <w:t>the follow-up survey</w:t>
      </w:r>
      <w:r w:rsidR="008D2618">
        <w:t xml:space="preserve">. </w:t>
      </w:r>
      <w:r>
        <w:t xml:space="preserve"> Analyses based on </w:t>
      </w:r>
      <w:r w:rsidR="009A4666">
        <w:t>the</w:t>
      </w:r>
      <w:r>
        <w:t xml:space="preserve"> survey data will deal with nonresponse </w:t>
      </w:r>
      <w:r w:rsidR="009A4666">
        <w:t xml:space="preserve">by </w:t>
      </w:r>
      <w:r>
        <w:t xml:space="preserve">including covariates in the </w:t>
      </w:r>
      <w:r w:rsidR="009A4666">
        <w:t xml:space="preserve">impact estimation models as well as using </w:t>
      </w:r>
      <w:r>
        <w:t>nonresponse weights</w:t>
      </w:r>
      <w:r w:rsidR="009A4666">
        <w:t>, as described in the earlier study’s Analysis Plan</w:t>
      </w:r>
      <w:r w:rsidR="008D2618">
        <w:t xml:space="preserve">. </w:t>
      </w:r>
      <w:r>
        <w:t xml:space="preserve"> </w:t>
      </w:r>
    </w:p>
    <w:p w14:paraId="11E6B911" w14:textId="603F7825" w:rsidR="00757264" w:rsidRPr="005965C2" w:rsidRDefault="00757264" w:rsidP="00757264">
      <w:pPr>
        <w:pStyle w:val="BodyText"/>
      </w:pPr>
      <w:r>
        <w:lastRenderedPageBreak/>
        <w:t xml:space="preserve">In addition to the straightforward experimental impact analysis, </w:t>
      </w:r>
      <w:r w:rsidRPr="005965C2">
        <w:t>the</w:t>
      </w:r>
      <w:r w:rsidR="009A4666">
        <w:t xml:space="preserve"> study’s 15-month analysis undertakes a supplemental (non-experimental) analysis of </w:t>
      </w:r>
      <w:r>
        <w:t xml:space="preserve">which program components are </w:t>
      </w:r>
      <w:r w:rsidR="009A4666">
        <w:t xml:space="preserve">the </w:t>
      </w:r>
      <w:r>
        <w:t>more</w:t>
      </w:r>
      <w:r w:rsidR="002D3EB3">
        <w:t xml:space="preserve"> important</w:t>
      </w:r>
      <w:r w:rsidR="009A4666">
        <w:t xml:space="preserve"> contributors to program</w:t>
      </w:r>
      <w:r>
        <w:t xml:space="preserve"> </w:t>
      </w:r>
      <w:r w:rsidR="009A4666">
        <w:t>impact</w:t>
      </w:r>
      <w:r w:rsidR="008D2618">
        <w:t xml:space="preserve">. </w:t>
      </w:r>
      <w:r>
        <w:t xml:space="preserve"> </w:t>
      </w:r>
      <w:r w:rsidR="009A4666">
        <w:t>Future analyses may build on that earlier work</w:t>
      </w:r>
      <w:r w:rsidR="00B45416">
        <w:t>.</w:t>
      </w:r>
      <w:r w:rsidRPr="005965C2">
        <w:t xml:space="preserve"> </w:t>
      </w:r>
      <w:r w:rsidR="008D2618">
        <w:t xml:space="preserve"> </w:t>
      </w:r>
      <w:proofErr w:type="gramStart"/>
      <w:r w:rsidR="00563FF8">
        <w:t>All of the study’s design and analytic plans are publicly available in a series of documents that includes</w:t>
      </w:r>
      <w:r w:rsidR="00563FF8" w:rsidRPr="00563FF8">
        <w:rPr>
          <w:i/>
        </w:rPr>
        <w:t xml:space="preserve"> </w:t>
      </w:r>
      <w:r w:rsidR="00563FF8" w:rsidRPr="007C40B9">
        <w:rPr>
          <w:i/>
        </w:rPr>
        <w:t>Health Profession Opportunity Grants Impact Study Design Report</w:t>
      </w:r>
      <w:r w:rsidR="00563FF8">
        <w:t xml:space="preserve"> (Peck, et al., 2014); </w:t>
      </w:r>
      <w:r w:rsidR="00563FF8" w:rsidRPr="007C40B9">
        <w:rPr>
          <w:i/>
        </w:rPr>
        <w:t>Health Profession Opportunity Grants Impact Study Technical Supplement to the Evaluation Design Report: Impact Analysis Plan</w:t>
      </w:r>
      <w:r w:rsidR="00563FF8">
        <w:t xml:space="preserve"> (Harvill, Moulton &amp; Peck, 2015); and </w:t>
      </w:r>
      <w:r w:rsidR="00563FF8" w:rsidRPr="007C40B9">
        <w:rPr>
          <w:i/>
        </w:rPr>
        <w:t>Health Profession Opportunity Grants (HPOG) Impact Study: Amendment to the Technical Supplement to the Evaluation Design Report</w:t>
      </w:r>
      <w:r w:rsidR="00563FF8">
        <w:t xml:space="preserve"> (Harvill, Moulton &amp; Peck, 2017).</w:t>
      </w:r>
      <w:proofErr w:type="gramEnd"/>
      <w:r w:rsidR="00563FF8">
        <w:t xml:space="preserve"> </w:t>
      </w:r>
    </w:p>
    <w:p w14:paraId="5B568A9B" w14:textId="77777777" w:rsidR="00757264" w:rsidRPr="005965C2" w:rsidRDefault="00757264" w:rsidP="00757264">
      <w:pPr>
        <w:pStyle w:val="Heading3"/>
      </w:pPr>
      <w:bookmarkStart w:id="9" w:name="_Toc480903471"/>
      <w:r>
        <w:t>B.1.5</w:t>
      </w:r>
      <w:r>
        <w:tab/>
        <w:t>Degree of Accuracy Required</w:t>
      </w:r>
      <w:bookmarkEnd w:id="9"/>
    </w:p>
    <w:p w14:paraId="4ABF114E" w14:textId="7DF1066B" w:rsidR="002D3EB3" w:rsidRPr="00C0799F" w:rsidRDefault="002D3EB3" w:rsidP="002D3EB3">
      <w:r w:rsidRPr="00C0799F">
        <w:t xml:space="preserve">The research team has estimated the </w:t>
      </w:r>
      <w:r>
        <w:t>MDEs.</w:t>
      </w:r>
      <w:r w:rsidR="008D2618">
        <w:t xml:space="preserve"> </w:t>
      </w:r>
      <w:r>
        <w:t xml:space="preserve"> As shown in Exhibit B-2 below, the MDE</w:t>
      </w:r>
      <w:r w:rsidRPr="00C0799F">
        <w:t xml:space="preserve"> is the smallest true impact that the study will have an 80 percent probability of detecting when the test</w:t>
      </w:r>
      <w:r>
        <w:t xml:space="preserve"> is</w:t>
      </w:r>
      <w:r w:rsidRPr="00C0799F">
        <w:t xml:space="preserve"> for the hypothesis of “no impact”</w:t>
      </w:r>
      <w:r>
        <w:t xml:space="preserve"> and</w:t>
      </w:r>
      <w:r w:rsidRPr="00C0799F">
        <w:t xml:space="preserve"> has just a 10 percent chance of finding an impact if the true impact is zero.</w:t>
      </w:r>
    </w:p>
    <w:p w14:paraId="22103673" w14:textId="26679979" w:rsidR="00757264" w:rsidRPr="00325F35" w:rsidRDefault="00DB175C" w:rsidP="00757264">
      <w:r>
        <w:t xml:space="preserve">Three survey measures of particular importance </w:t>
      </w:r>
      <w:proofErr w:type="gramStart"/>
      <w:r>
        <w:t>are used</w:t>
      </w:r>
      <w:proofErr w:type="gramEnd"/>
      <w:r>
        <w:t xml:space="preserve"> </w:t>
      </w:r>
      <w:r w:rsidR="005E4550">
        <w:t xml:space="preserve">here </w:t>
      </w:r>
      <w:r>
        <w:t>for calculating minimum detectable effect sizes (MDEs):</w:t>
      </w:r>
      <w:r w:rsidR="00757264">
        <w:t xml:space="preserve"> employ</w:t>
      </w:r>
      <w:r>
        <w:t>ment in</w:t>
      </w:r>
      <w:r w:rsidR="005E4550">
        <w:t xml:space="preserve"> a</w:t>
      </w:r>
      <w:r>
        <w:t xml:space="preserve"> healthcare</w:t>
      </w:r>
      <w:r w:rsidR="005E4550">
        <w:t xml:space="preserve"> occupation</w:t>
      </w:r>
      <w:r>
        <w:t xml:space="preserve">, household </w:t>
      </w:r>
      <w:r w:rsidR="00757264">
        <w:t xml:space="preserve">income, and a measure of a parental report of child well-being.  Exhibit B-2 relies on </w:t>
      </w:r>
      <w:r w:rsidR="00563FF8">
        <w:t>findings from the current HPOG Imp</w:t>
      </w:r>
      <w:r>
        <w:t>act Study to inform the future MDEs</w:t>
      </w:r>
      <w:r w:rsidR="00563FF8">
        <w:t>.</w:t>
      </w:r>
    </w:p>
    <w:p w14:paraId="6305A0F5" w14:textId="2FFD6064" w:rsidR="00757264" w:rsidRDefault="002D3EB3" w:rsidP="00757264">
      <w:pPr>
        <w:pStyle w:val="Caption"/>
        <w:widowControl/>
        <w:spacing w:after="0" w:line="240" w:lineRule="auto"/>
        <w:ind w:left="0" w:firstLine="0"/>
      </w:pPr>
      <w:r>
        <w:t>Exhibit B-2:</w:t>
      </w:r>
      <w:r w:rsidR="00757264">
        <w:t xml:space="preserve"> Minimum Detectable Effects for Employment in </w:t>
      </w:r>
      <w:r w:rsidR="005E4550">
        <w:t xml:space="preserve">a </w:t>
      </w:r>
      <w:r w:rsidR="00757264">
        <w:t>Healthcare</w:t>
      </w:r>
      <w:r w:rsidR="005E4550">
        <w:t xml:space="preserve"> Occupation</w:t>
      </w:r>
      <w:r w:rsidR="00757264">
        <w:t xml:space="preserve">, </w:t>
      </w:r>
      <w:r w:rsidR="005E4550">
        <w:t>Household</w:t>
      </w:r>
      <w:r w:rsidR="00757264">
        <w:t xml:space="preserve"> Income, and Pare</w:t>
      </w:r>
      <w:r w:rsidR="00975E8A">
        <w:t>ntal Report of Child W</w:t>
      </w:r>
      <w:r w:rsidR="00757264">
        <w:t>ell</w:t>
      </w:r>
      <w:r w:rsidR="00975E8A">
        <w:t>-</w:t>
      </w:r>
      <w:r w:rsidR="00757264">
        <w:t>being</w:t>
      </w:r>
    </w:p>
    <w:tbl>
      <w:tblPr>
        <w:tblW w:w="95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13"/>
        <w:gridCol w:w="2380"/>
        <w:gridCol w:w="2380"/>
        <w:gridCol w:w="30"/>
      </w:tblGrid>
      <w:tr w:rsidR="00757264" w14:paraId="017832BA" w14:textId="77777777" w:rsidTr="00B45416">
        <w:trPr>
          <w:trHeight w:val="300"/>
        </w:trPr>
        <w:tc>
          <w:tcPr>
            <w:tcW w:w="4713" w:type="dxa"/>
            <w:vMerge w:val="restart"/>
            <w:shd w:val="clear" w:color="auto" w:fill="C3C6A8"/>
            <w:tcMar>
              <w:top w:w="0" w:type="dxa"/>
              <w:left w:w="108" w:type="dxa"/>
              <w:bottom w:w="0" w:type="dxa"/>
              <w:right w:w="108" w:type="dxa"/>
            </w:tcMar>
            <w:vAlign w:val="center"/>
            <w:hideMark/>
          </w:tcPr>
          <w:p w14:paraId="69FCC645" w14:textId="53D98F79" w:rsidR="00757264" w:rsidRPr="00051B15" w:rsidRDefault="00975E8A" w:rsidP="00051B15">
            <w:pPr>
              <w:keepNext/>
              <w:keepLines/>
              <w:spacing w:after="0"/>
              <w:rPr>
                <w:rFonts w:ascii="Arial Narrow" w:eastAsiaTheme="minorHAnsi" w:hAnsi="Arial Narrow"/>
                <w:b/>
                <w:bCs/>
                <w:color w:val="000000"/>
                <w:sz w:val="20"/>
              </w:rPr>
            </w:pPr>
            <w:r w:rsidRPr="00051B15">
              <w:rPr>
                <w:rFonts w:ascii="Arial Narrow" w:hAnsi="Arial Narrow"/>
                <w:b/>
                <w:bCs/>
                <w:color w:val="000000"/>
                <w:sz w:val="20"/>
              </w:rPr>
              <w:t>Outcome of interest (measure)</w:t>
            </w:r>
            <w:r w:rsidR="00757264" w:rsidRPr="00051B15">
              <w:rPr>
                <w:rFonts w:ascii="Arial Narrow" w:hAnsi="Arial Narrow"/>
                <w:b/>
                <w:bCs/>
                <w:color w:val="000000"/>
                <w:sz w:val="20"/>
              </w:rPr>
              <w:t xml:space="preserve">  </w:t>
            </w:r>
          </w:p>
        </w:tc>
        <w:tc>
          <w:tcPr>
            <w:tcW w:w="2380" w:type="dxa"/>
            <w:vMerge w:val="restart"/>
            <w:shd w:val="clear" w:color="auto" w:fill="C3C6A8"/>
            <w:tcMar>
              <w:top w:w="0" w:type="dxa"/>
              <w:left w:w="108" w:type="dxa"/>
              <w:bottom w:w="0" w:type="dxa"/>
              <w:right w:w="108" w:type="dxa"/>
            </w:tcMar>
            <w:vAlign w:val="center"/>
          </w:tcPr>
          <w:p w14:paraId="35162F32" w14:textId="77777777" w:rsidR="00DA77DF" w:rsidRPr="001242C5" w:rsidRDefault="00757264" w:rsidP="00975E8A">
            <w:pPr>
              <w:keepNext/>
              <w:keepLines/>
              <w:spacing w:after="0"/>
              <w:jc w:val="center"/>
              <w:rPr>
                <w:rFonts w:ascii="Arial Narrow" w:hAnsi="Arial Narrow"/>
                <w:b/>
                <w:color w:val="000000"/>
                <w:sz w:val="20"/>
              </w:rPr>
            </w:pPr>
            <w:r w:rsidRPr="00D8255F">
              <w:rPr>
                <w:rFonts w:ascii="Arial Narrow" w:hAnsi="Arial Narrow"/>
                <w:b/>
                <w:color w:val="000000"/>
                <w:sz w:val="20"/>
              </w:rPr>
              <w:t>Sample Size</w:t>
            </w:r>
            <w:r w:rsidR="00DA77DF" w:rsidRPr="001242C5">
              <w:rPr>
                <w:rFonts w:ascii="Arial Narrow" w:hAnsi="Arial Narrow"/>
                <w:b/>
                <w:color w:val="000000"/>
                <w:sz w:val="20"/>
              </w:rPr>
              <w:t xml:space="preserve"> </w:t>
            </w:r>
          </w:p>
          <w:p w14:paraId="214F3B28" w14:textId="651DB6C2" w:rsidR="00757264" w:rsidRPr="00F72CF1" w:rsidRDefault="00DA77DF" w:rsidP="00975E8A">
            <w:pPr>
              <w:keepNext/>
              <w:keepLines/>
              <w:spacing w:after="0"/>
              <w:jc w:val="center"/>
              <w:rPr>
                <w:rFonts w:ascii="Arial Narrow" w:eastAsiaTheme="minorHAnsi" w:hAnsi="Arial Narrow"/>
                <w:b/>
                <w:bCs/>
                <w:color w:val="000000"/>
                <w:sz w:val="20"/>
              </w:rPr>
            </w:pPr>
            <w:r w:rsidRPr="00F72CF1">
              <w:rPr>
                <w:rFonts w:ascii="Arial Narrow" w:hAnsi="Arial Narrow"/>
                <w:b/>
                <w:color w:val="000000"/>
                <w:sz w:val="20"/>
              </w:rPr>
              <w:t>(N=number of completed interview</w:t>
            </w:r>
            <w:r w:rsidR="00975E8A" w:rsidRPr="00F72CF1">
              <w:rPr>
                <w:rFonts w:ascii="Arial Narrow" w:hAnsi="Arial Narrow"/>
                <w:b/>
                <w:color w:val="000000"/>
                <w:sz w:val="20"/>
              </w:rPr>
              <w:t>s</w:t>
            </w:r>
            <w:r w:rsidR="000210A4" w:rsidRPr="00F72CF1">
              <w:rPr>
                <w:rFonts w:ascii="Arial Narrow" w:hAnsi="Arial Narrow"/>
                <w:b/>
                <w:color w:val="000000"/>
                <w:sz w:val="20"/>
              </w:rPr>
              <w:t>)</w:t>
            </w:r>
          </w:p>
        </w:tc>
        <w:tc>
          <w:tcPr>
            <w:tcW w:w="2380" w:type="dxa"/>
            <w:vMerge w:val="restart"/>
            <w:tcBorders>
              <w:right w:val="nil"/>
            </w:tcBorders>
            <w:shd w:val="clear" w:color="auto" w:fill="C3C6A8"/>
            <w:tcMar>
              <w:top w:w="0" w:type="dxa"/>
              <w:left w:w="108" w:type="dxa"/>
              <w:bottom w:w="0" w:type="dxa"/>
              <w:right w:w="108" w:type="dxa"/>
            </w:tcMar>
            <w:vAlign w:val="center"/>
          </w:tcPr>
          <w:p w14:paraId="779D2B32" w14:textId="77777777" w:rsidR="00757264" w:rsidRPr="00F72CF1" w:rsidRDefault="00975E8A" w:rsidP="00967B17">
            <w:pPr>
              <w:keepNext/>
              <w:keepLines/>
              <w:spacing w:after="0"/>
              <w:jc w:val="center"/>
              <w:rPr>
                <w:rFonts w:ascii="Arial Narrow" w:eastAsiaTheme="minorHAnsi" w:hAnsi="Arial Narrow"/>
                <w:b/>
                <w:bCs/>
                <w:color w:val="000000"/>
                <w:sz w:val="20"/>
              </w:rPr>
            </w:pPr>
            <w:r w:rsidRPr="00F72CF1">
              <w:rPr>
                <w:rFonts w:ascii="Arial Narrow" w:hAnsi="Arial Narrow"/>
                <w:b/>
                <w:color w:val="000000"/>
                <w:sz w:val="20"/>
              </w:rPr>
              <w:t xml:space="preserve">Associated </w:t>
            </w:r>
            <w:r w:rsidR="00757264" w:rsidRPr="00F72CF1">
              <w:rPr>
                <w:rFonts w:ascii="Arial Narrow" w:hAnsi="Arial Narrow"/>
                <w:b/>
                <w:color w:val="000000"/>
                <w:sz w:val="20"/>
              </w:rPr>
              <w:t>MDE</w:t>
            </w:r>
            <w:r w:rsidRPr="00F72CF1">
              <w:rPr>
                <w:rFonts w:ascii="Arial Narrow" w:hAnsi="Arial Narrow"/>
                <w:b/>
                <w:color w:val="000000"/>
                <w:sz w:val="20"/>
              </w:rPr>
              <w:t>s</w:t>
            </w:r>
          </w:p>
        </w:tc>
        <w:tc>
          <w:tcPr>
            <w:tcW w:w="30" w:type="dxa"/>
            <w:tcBorders>
              <w:left w:val="nil"/>
            </w:tcBorders>
            <w:vAlign w:val="center"/>
            <w:hideMark/>
          </w:tcPr>
          <w:p w14:paraId="638F09CF" w14:textId="77777777" w:rsidR="00757264" w:rsidRDefault="00757264" w:rsidP="00967B17">
            <w:pPr>
              <w:keepNext/>
              <w:keepLines/>
              <w:spacing w:after="0"/>
              <w:rPr>
                <w:sz w:val="20"/>
              </w:rPr>
            </w:pPr>
          </w:p>
        </w:tc>
      </w:tr>
      <w:tr w:rsidR="00757264" w14:paraId="2FC60121" w14:textId="77777777" w:rsidTr="00B45416">
        <w:trPr>
          <w:trHeight w:val="49"/>
        </w:trPr>
        <w:tc>
          <w:tcPr>
            <w:tcW w:w="4713" w:type="dxa"/>
            <w:vMerge/>
            <w:vAlign w:val="center"/>
            <w:hideMark/>
          </w:tcPr>
          <w:p w14:paraId="7B3ECBF4" w14:textId="77777777" w:rsidR="00757264" w:rsidRPr="00F72CF1" w:rsidRDefault="00757264" w:rsidP="00967B17">
            <w:pPr>
              <w:keepNext/>
              <w:keepLines/>
              <w:spacing w:after="0"/>
              <w:rPr>
                <w:rFonts w:ascii="Arial Narrow" w:eastAsiaTheme="minorHAnsi" w:hAnsi="Arial Narrow"/>
                <w:b/>
                <w:bCs/>
                <w:color w:val="000000"/>
                <w:sz w:val="20"/>
              </w:rPr>
            </w:pPr>
          </w:p>
        </w:tc>
        <w:tc>
          <w:tcPr>
            <w:tcW w:w="2380" w:type="dxa"/>
            <w:vMerge/>
            <w:vAlign w:val="center"/>
          </w:tcPr>
          <w:p w14:paraId="33234D4C" w14:textId="77777777" w:rsidR="00757264" w:rsidRPr="00F72CF1" w:rsidRDefault="00757264" w:rsidP="00967B17">
            <w:pPr>
              <w:keepNext/>
              <w:keepLines/>
              <w:spacing w:after="0"/>
              <w:rPr>
                <w:rFonts w:ascii="Arial Narrow" w:eastAsiaTheme="minorHAnsi" w:hAnsi="Arial Narrow"/>
                <w:b/>
                <w:bCs/>
                <w:color w:val="000000"/>
                <w:sz w:val="20"/>
              </w:rPr>
            </w:pPr>
          </w:p>
        </w:tc>
        <w:tc>
          <w:tcPr>
            <w:tcW w:w="2380" w:type="dxa"/>
            <w:vMerge/>
            <w:tcBorders>
              <w:right w:val="nil"/>
            </w:tcBorders>
            <w:vAlign w:val="center"/>
          </w:tcPr>
          <w:p w14:paraId="6C593326" w14:textId="77777777" w:rsidR="00757264" w:rsidRPr="00F72CF1" w:rsidRDefault="00757264" w:rsidP="00967B17">
            <w:pPr>
              <w:keepNext/>
              <w:keepLines/>
              <w:spacing w:after="0"/>
              <w:rPr>
                <w:rFonts w:ascii="Arial Narrow" w:eastAsiaTheme="minorHAnsi" w:hAnsi="Arial Narrow"/>
                <w:b/>
                <w:bCs/>
                <w:color w:val="000000"/>
                <w:sz w:val="20"/>
              </w:rPr>
            </w:pPr>
          </w:p>
        </w:tc>
        <w:tc>
          <w:tcPr>
            <w:tcW w:w="30" w:type="dxa"/>
            <w:tcBorders>
              <w:left w:val="nil"/>
            </w:tcBorders>
            <w:vAlign w:val="center"/>
            <w:hideMark/>
          </w:tcPr>
          <w:p w14:paraId="350C3124" w14:textId="77777777" w:rsidR="00757264" w:rsidRDefault="00757264" w:rsidP="00967B17">
            <w:pPr>
              <w:keepNext/>
              <w:keepLines/>
              <w:spacing w:after="0"/>
              <w:rPr>
                <w:sz w:val="20"/>
              </w:rPr>
            </w:pPr>
          </w:p>
        </w:tc>
      </w:tr>
      <w:tr w:rsidR="00757264" w14:paraId="7F70C531" w14:textId="77777777" w:rsidTr="00B45416">
        <w:trPr>
          <w:trHeight w:val="322"/>
        </w:trPr>
        <w:tc>
          <w:tcPr>
            <w:tcW w:w="4713" w:type="dxa"/>
            <w:tcMar>
              <w:top w:w="0" w:type="dxa"/>
              <w:left w:w="108" w:type="dxa"/>
              <w:bottom w:w="0" w:type="dxa"/>
              <w:right w:w="108" w:type="dxa"/>
            </w:tcMar>
            <w:vAlign w:val="center"/>
          </w:tcPr>
          <w:p w14:paraId="7CB6843F" w14:textId="5C61FDEE" w:rsidR="00757264" w:rsidRPr="00051B15" w:rsidRDefault="00757264" w:rsidP="00051B15">
            <w:pPr>
              <w:keepNext/>
              <w:keepLines/>
              <w:spacing w:after="0"/>
              <w:rPr>
                <w:rFonts w:ascii="Arial Narrow" w:eastAsiaTheme="minorHAnsi" w:hAnsi="Arial Narrow"/>
                <w:color w:val="000000"/>
                <w:sz w:val="20"/>
              </w:rPr>
            </w:pPr>
            <w:r w:rsidRPr="00051B15">
              <w:rPr>
                <w:rFonts w:ascii="Arial Narrow" w:eastAsiaTheme="minorHAnsi" w:hAnsi="Arial Narrow"/>
                <w:color w:val="000000"/>
                <w:sz w:val="20"/>
              </w:rPr>
              <w:t>Employment in healthcare (</w:t>
            </w:r>
            <w:r w:rsidR="00262E3B" w:rsidRPr="00051B15">
              <w:rPr>
                <w:rFonts w:ascii="Arial Narrow" w:eastAsiaTheme="minorHAnsi" w:hAnsi="Arial Narrow"/>
                <w:color w:val="000000"/>
                <w:sz w:val="20"/>
              </w:rPr>
              <w:t>rate</w:t>
            </w:r>
            <w:r w:rsidRPr="00051B15">
              <w:rPr>
                <w:rFonts w:ascii="Arial Narrow" w:eastAsiaTheme="minorHAnsi" w:hAnsi="Arial Narrow"/>
                <w:color w:val="000000"/>
                <w:sz w:val="20"/>
              </w:rPr>
              <w:t>)</w:t>
            </w:r>
          </w:p>
        </w:tc>
        <w:tc>
          <w:tcPr>
            <w:tcW w:w="2380" w:type="dxa"/>
            <w:tcMar>
              <w:top w:w="0" w:type="dxa"/>
              <w:left w:w="108" w:type="dxa"/>
              <w:bottom w:w="0" w:type="dxa"/>
              <w:right w:w="108" w:type="dxa"/>
            </w:tcMar>
            <w:vAlign w:val="center"/>
          </w:tcPr>
          <w:p w14:paraId="2680D01E" w14:textId="1E7148CA" w:rsidR="00757264" w:rsidRPr="00577CF3" w:rsidRDefault="00262E3B" w:rsidP="0038611B">
            <w:pPr>
              <w:keepNext/>
              <w:keepLines/>
              <w:spacing w:after="0"/>
              <w:jc w:val="center"/>
              <w:rPr>
                <w:rFonts w:ascii="Arial Narrow" w:eastAsiaTheme="minorHAnsi" w:hAnsi="Arial Narrow"/>
                <w:color w:val="000000"/>
                <w:sz w:val="20"/>
              </w:rPr>
            </w:pPr>
            <w:r w:rsidRPr="00577CF3">
              <w:rPr>
                <w:rFonts w:ascii="Arial Narrow" w:eastAsiaTheme="minorHAnsi" w:hAnsi="Arial Narrow"/>
                <w:color w:val="000000"/>
                <w:sz w:val="20"/>
              </w:rPr>
              <w:t>2,</w:t>
            </w:r>
            <w:r w:rsidR="0038611B" w:rsidRPr="00577CF3">
              <w:rPr>
                <w:rFonts w:ascii="Arial Narrow" w:eastAsiaTheme="minorHAnsi" w:hAnsi="Arial Narrow"/>
                <w:color w:val="000000"/>
                <w:sz w:val="20"/>
              </w:rPr>
              <w:t>960</w:t>
            </w:r>
          </w:p>
        </w:tc>
        <w:tc>
          <w:tcPr>
            <w:tcW w:w="2380" w:type="dxa"/>
            <w:tcBorders>
              <w:right w:val="nil"/>
            </w:tcBorders>
            <w:vAlign w:val="center"/>
          </w:tcPr>
          <w:p w14:paraId="2615D6F4" w14:textId="741F48D0" w:rsidR="00757264" w:rsidRPr="00F72CF1" w:rsidRDefault="00577CF3" w:rsidP="00051B15">
            <w:pPr>
              <w:keepNext/>
              <w:keepLines/>
              <w:spacing w:after="0"/>
              <w:jc w:val="center"/>
              <w:rPr>
                <w:rFonts w:ascii="Arial Narrow" w:eastAsiaTheme="minorHAnsi" w:hAnsi="Arial Narrow"/>
                <w:color w:val="000000"/>
                <w:sz w:val="20"/>
              </w:rPr>
            </w:pPr>
            <w:r>
              <w:rPr>
                <w:rFonts w:ascii="Arial Narrow" w:eastAsiaTheme="minorHAnsi" w:hAnsi="Arial Narrow"/>
                <w:color w:val="000000"/>
                <w:sz w:val="20"/>
              </w:rPr>
              <w:t>3.7</w:t>
            </w:r>
            <w:r w:rsidR="00DA7060">
              <w:rPr>
                <w:rFonts w:ascii="Arial Narrow" w:eastAsiaTheme="minorHAnsi" w:hAnsi="Arial Narrow"/>
                <w:color w:val="000000"/>
                <w:sz w:val="20"/>
              </w:rPr>
              <w:t xml:space="preserve"> percentage point</w:t>
            </w:r>
            <w:r>
              <w:rPr>
                <w:rFonts w:ascii="Arial Narrow" w:eastAsiaTheme="minorHAnsi" w:hAnsi="Arial Narrow"/>
                <w:color w:val="000000"/>
                <w:sz w:val="20"/>
              </w:rPr>
              <w:t>s</w:t>
            </w:r>
          </w:p>
        </w:tc>
        <w:tc>
          <w:tcPr>
            <w:tcW w:w="30" w:type="dxa"/>
            <w:tcBorders>
              <w:left w:val="nil"/>
            </w:tcBorders>
            <w:vAlign w:val="center"/>
          </w:tcPr>
          <w:p w14:paraId="2EE417C6" w14:textId="77777777" w:rsidR="00757264" w:rsidRDefault="00757264" w:rsidP="00967B17">
            <w:pPr>
              <w:keepNext/>
              <w:keepLines/>
              <w:spacing w:after="0"/>
              <w:rPr>
                <w:sz w:val="20"/>
              </w:rPr>
            </w:pPr>
          </w:p>
        </w:tc>
      </w:tr>
      <w:tr w:rsidR="00757264" w14:paraId="325713AC" w14:textId="77777777" w:rsidTr="00B45416">
        <w:trPr>
          <w:trHeight w:val="430"/>
        </w:trPr>
        <w:tc>
          <w:tcPr>
            <w:tcW w:w="4713" w:type="dxa"/>
            <w:tcMar>
              <w:top w:w="0" w:type="dxa"/>
              <w:left w:w="108" w:type="dxa"/>
              <w:bottom w:w="0" w:type="dxa"/>
              <w:right w:w="108" w:type="dxa"/>
            </w:tcMar>
            <w:vAlign w:val="center"/>
          </w:tcPr>
          <w:p w14:paraId="363F8162" w14:textId="23018E8C" w:rsidR="00757264" w:rsidRPr="00051B15" w:rsidRDefault="00262E3B" w:rsidP="00051B15">
            <w:pPr>
              <w:keepNext/>
              <w:keepLines/>
              <w:spacing w:after="0"/>
              <w:rPr>
                <w:rFonts w:ascii="Arial Narrow" w:eastAsiaTheme="minorHAnsi" w:hAnsi="Arial Narrow"/>
                <w:color w:val="000000"/>
                <w:sz w:val="20"/>
              </w:rPr>
            </w:pPr>
            <w:r w:rsidRPr="00051B15">
              <w:rPr>
                <w:rFonts w:ascii="Arial Narrow" w:eastAsiaTheme="minorHAnsi" w:hAnsi="Arial Narrow"/>
                <w:color w:val="000000"/>
                <w:sz w:val="20"/>
              </w:rPr>
              <w:t xml:space="preserve">Household </w:t>
            </w:r>
            <w:r w:rsidR="00757264" w:rsidRPr="00051B15">
              <w:rPr>
                <w:rFonts w:ascii="Arial Narrow" w:eastAsiaTheme="minorHAnsi" w:hAnsi="Arial Narrow"/>
                <w:color w:val="000000"/>
                <w:sz w:val="20"/>
              </w:rPr>
              <w:t>Income (</w:t>
            </w:r>
            <w:r w:rsidRPr="00051B15">
              <w:rPr>
                <w:rFonts w:ascii="Arial Narrow" w:eastAsiaTheme="minorHAnsi" w:hAnsi="Arial Narrow"/>
                <w:color w:val="000000"/>
                <w:sz w:val="20"/>
              </w:rPr>
              <w:t>monthly</w:t>
            </w:r>
            <w:r w:rsidR="00757264" w:rsidRPr="00051B15">
              <w:rPr>
                <w:rFonts w:ascii="Arial Narrow" w:eastAsiaTheme="minorHAnsi" w:hAnsi="Arial Narrow"/>
                <w:color w:val="000000"/>
                <w:sz w:val="20"/>
              </w:rPr>
              <w:t>)</w:t>
            </w:r>
          </w:p>
        </w:tc>
        <w:tc>
          <w:tcPr>
            <w:tcW w:w="2380" w:type="dxa"/>
            <w:vAlign w:val="center"/>
          </w:tcPr>
          <w:p w14:paraId="7F57E1A6" w14:textId="7B023FF3" w:rsidR="00757264" w:rsidRPr="00577CF3" w:rsidRDefault="00262E3B" w:rsidP="0038611B">
            <w:pPr>
              <w:keepNext/>
              <w:keepLines/>
              <w:spacing w:after="0"/>
              <w:jc w:val="center"/>
              <w:rPr>
                <w:rFonts w:ascii="Arial Narrow" w:eastAsiaTheme="minorHAnsi" w:hAnsi="Arial Narrow"/>
                <w:color w:val="000000"/>
                <w:sz w:val="20"/>
              </w:rPr>
            </w:pPr>
            <w:r w:rsidRPr="00577CF3">
              <w:rPr>
                <w:rFonts w:ascii="Arial Narrow" w:eastAsiaTheme="minorHAnsi" w:hAnsi="Arial Narrow"/>
                <w:color w:val="000000"/>
                <w:sz w:val="20"/>
              </w:rPr>
              <w:t>2,</w:t>
            </w:r>
            <w:r w:rsidR="0038611B" w:rsidRPr="00577CF3">
              <w:rPr>
                <w:rFonts w:ascii="Arial Narrow" w:eastAsiaTheme="minorHAnsi" w:hAnsi="Arial Narrow"/>
                <w:color w:val="000000"/>
                <w:sz w:val="20"/>
              </w:rPr>
              <w:t>960</w:t>
            </w:r>
          </w:p>
        </w:tc>
        <w:tc>
          <w:tcPr>
            <w:tcW w:w="2380" w:type="dxa"/>
            <w:tcBorders>
              <w:right w:val="nil"/>
            </w:tcBorders>
            <w:vAlign w:val="center"/>
          </w:tcPr>
          <w:p w14:paraId="164A0237" w14:textId="3028E97C" w:rsidR="00757264" w:rsidRPr="00F72CF1" w:rsidRDefault="00577CF3" w:rsidP="00051B15">
            <w:pPr>
              <w:keepNext/>
              <w:keepLines/>
              <w:spacing w:after="0"/>
              <w:jc w:val="center"/>
              <w:rPr>
                <w:rFonts w:ascii="Arial Narrow" w:eastAsiaTheme="minorHAnsi" w:hAnsi="Arial Narrow"/>
                <w:color w:val="000000"/>
                <w:sz w:val="20"/>
              </w:rPr>
            </w:pPr>
            <w:r>
              <w:rPr>
                <w:rFonts w:ascii="Arial Narrow" w:eastAsiaTheme="minorHAnsi" w:hAnsi="Arial Narrow"/>
                <w:color w:val="000000"/>
                <w:sz w:val="20"/>
              </w:rPr>
              <w:t>$133</w:t>
            </w:r>
          </w:p>
        </w:tc>
        <w:tc>
          <w:tcPr>
            <w:tcW w:w="30" w:type="dxa"/>
            <w:tcBorders>
              <w:left w:val="nil"/>
            </w:tcBorders>
            <w:vAlign w:val="center"/>
          </w:tcPr>
          <w:p w14:paraId="3043C130" w14:textId="77777777" w:rsidR="00757264" w:rsidRDefault="00757264" w:rsidP="00967B17">
            <w:pPr>
              <w:keepNext/>
              <w:keepLines/>
              <w:spacing w:after="0"/>
              <w:rPr>
                <w:sz w:val="20"/>
              </w:rPr>
            </w:pPr>
          </w:p>
        </w:tc>
      </w:tr>
      <w:tr w:rsidR="00757264" w14:paraId="7196EB9C" w14:textId="77777777" w:rsidTr="00B45416">
        <w:trPr>
          <w:trHeight w:val="484"/>
        </w:trPr>
        <w:tc>
          <w:tcPr>
            <w:tcW w:w="4713" w:type="dxa"/>
            <w:tcMar>
              <w:top w:w="0" w:type="dxa"/>
              <w:left w:w="108" w:type="dxa"/>
              <w:bottom w:w="0" w:type="dxa"/>
              <w:right w:w="108" w:type="dxa"/>
            </w:tcMar>
            <w:vAlign w:val="center"/>
          </w:tcPr>
          <w:p w14:paraId="519A8107" w14:textId="4A6A71B6" w:rsidR="00757264" w:rsidRPr="00B45416" w:rsidRDefault="00B4614A" w:rsidP="00051B15">
            <w:pPr>
              <w:keepNext/>
              <w:keepLines/>
              <w:spacing w:after="0"/>
              <w:rPr>
                <w:rFonts w:ascii="Arial Narrow" w:hAnsi="Arial Narrow"/>
                <w:color w:val="000000"/>
                <w:sz w:val="20"/>
              </w:rPr>
            </w:pPr>
            <w:r w:rsidRPr="00B45416">
              <w:rPr>
                <w:rFonts w:ascii="Arial Narrow" w:hAnsi="Arial Narrow"/>
                <w:color w:val="000000"/>
                <w:sz w:val="20"/>
              </w:rPr>
              <w:t>Parental report of children’s school compliance (z-score)</w:t>
            </w:r>
          </w:p>
        </w:tc>
        <w:tc>
          <w:tcPr>
            <w:tcW w:w="2380" w:type="dxa"/>
            <w:vAlign w:val="center"/>
          </w:tcPr>
          <w:p w14:paraId="00496731" w14:textId="205C53ED" w:rsidR="00757264" w:rsidRPr="00577CF3" w:rsidRDefault="00262E3B" w:rsidP="0038611B">
            <w:pPr>
              <w:keepNext/>
              <w:keepLines/>
              <w:spacing w:after="0"/>
              <w:jc w:val="center"/>
              <w:rPr>
                <w:rFonts w:ascii="Arial Narrow" w:eastAsiaTheme="minorHAnsi" w:hAnsi="Arial Narrow"/>
                <w:color w:val="000000"/>
                <w:sz w:val="20"/>
              </w:rPr>
            </w:pPr>
            <w:r w:rsidRPr="00577CF3">
              <w:rPr>
                <w:rFonts w:ascii="Arial Narrow" w:eastAsiaTheme="minorHAnsi" w:hAnsi="Arial Narrow"/>
                <w:color w:val="000000"/>
                <w:sz w:val="20"/>
              </w:rPr>
              <w:t>2,</w:t>
            </w:r>
            <w:r w:rsidR="0038611B" w:rsidRPr="00577CF3">
              <w:rPr>
                <w:rFonts w:ascii="Arial Narrow" w:eastAsiaTheme="minorHAnsi" w:hAnsi="Arial Narrow"/>
                <w:color w:val="000000"/>
                <w:sz w:val="20"/>
              </w:rPr>
              <w:t>960</w:t>
            </w:r>
          </w:p>
        </w:tc>
        <w:tc>
          <w:tcPr>
            <w:tcW w:w="2380" w:type="dxa"/>
            <w:tcBorders>
              <w:right w:val="nil"/>
            </w:tcBorders>
            <w:vAlign w:val="center"/>
          </w:tcPr>
          <w:p w14:paraId="412DB0C3" w14:textId="53C628C3" w:rsidR="00757264" w:rsidRPr="00B45416" w:rsidRDefault="00577CF3" w:rsidP="00051B15">
            <w:pPr>
              <w:keepNext/>
              <w:keepLines/>
              <w:spacing w:after="0"/>
              <w:jc w:val="center"/>
              <w:rPr>
                <w:rFonts w:ascii="Arial Narrow" w:eastAsiaTheme="minorHAnsi" w:hAnsi="Arial Narrow"/>
                <w:color w:val="000000"/>
                <w:sz w:val="20"/>
              </w:rPr>
            </w:pPr>
            <w:r>
              <w:rPr>
                <w:rFonts w:ascii="Arial Narrow" w:eastAsiaTheme="minorHAnsi" w:hAnsi="Arial Narrow"/>
                <w:color w:val="000000"/>
                <w:sz w:val="20"/>
              </w:rPr>
              <w:t>0.07</w:t>
            </w:r>
          </w:p>
        </w:tc>
        <w:tc>
          <w:tcPr>
            <w:tcW w:w="30" w:type="dxa"/>
            <w:tcBorders>
              <w:left w:val="nil"/>
            </w:tcBorders>
            <w:vAlign w:val="center"/>
          </w:tcPr>
          <w:p w14:paraId="10E30DD9" w14:textId="77777777" w:rsidR="00757264" w:rsidRDefault="00757264" w:rsidP="00975E8A">
            <w:pPr>
              <w:keepNext/>
              <w:keepLines/>
              <w:spacing w:after="0"/>
              <w:rPr>
                <w:sz w:val="20"/>
              </w:rPr>
            </w:pPr>
          </w:p>
        </w:tc>
      </w:tr>
    </w:tbl>
    <w:p w14:paraId="45D9BF33" w14:textId="76C71F28" w:rsidR="00757264" w:rsidRPr="003428B0" w:rsidRDefault="00757264" w:rsidP="00975E8A">
      <w:pPr>
        <w:pStyle w:val="Exhibitsourcelast"/>
        <w:keepNext/>
        <w:keepLines/>
        <w:spacing w:before="0"/>
      </w:pPr>
      <w:r w:rsidRPr="0043220E">
        <w:t>Note:</w:t>
      </w:r>
      <w:r>
        <w:t xml:space="preserve"> </w:t>
      </w:r>
      <w:r w:rsidRPr="0043220E">
        <w:t xml:space="preserve">MDEs </w:t>
      </w:r>
      <w:proofErr w:type="gramStart"/>
      <w:r>
        <w:t xml:space="preserve">are </w:t>
      </w:r>
      <w:r w:rsidRPr="0043220E">
        <w:t>ba</w:t>
      </w:r>
      <w:r w:rsidR="00DA7060">
        <w:t>sed</w:t>
      </w:r>
      <w:proofErr w:type="gramEnd"/>
      <w:r w:rsidR="00DA7060">
        <w:t xml:space="preserve"> on 80 percent power with a 10</w:t>
      </w:r>
      <w:r w:rsidRPr="0043220E">
        <w:t xml:space="preserve"> per</w:t>
      </w:r>
      <w:r>
        <w:t xml:space="preserve">cent significance level in a </w:t>
      </w:r>
      <w:r w:rsidR="00DA7060">
        <w:t>one</w:t>
      </w:r>
      <w:r w:rsidRPr="0043220E">
        <w:t>-tailed test, assuming estimated in model where baseline variables explain 20 percent of the variance in the outcome.</w:t>
      </w:r>
      <w:r>
        <w:t xml:space="preserve"> Mean and standard deviation values of each variable </w:t>
      </w:r>
      <w:r w:rsidR="00B0408E">
        <w:t xml:space="preserve">come from the </w:t>
      </w:r>
      <w:r w:rsidR="00051B15">
        <w:t xml:space="preserve">analyses of the </w:t>
      </w:r>
      <w:r w:rsidR="00B0408E">
        <w:t>HPOG Impact Studies</w:t>
      </w:r>
      <w:r w:rsidR="00051B15">
        <w:t>’ data</w:t>
      </w:r>
      <w:r w:rsidR="00B0408E">
        <w:t>:  the</w:t>
      </w:r>
      <w:r>
        <w:t xml:space="preserve"> 15-mo </w:t>
      </w:r>
      <w:r w:rsidR="00B0408E">
        <w:t xml:space="preserve">survey for </w:t>
      </w:r>
      <w:r w:rsidR="00262E3B">
        <w:t xml:space="preserve">employment in </w:t>
      </w:r>
      <w:r w:rsidR="005E4550">
        <w:t xml:space="preserve">a </w:t>
      </w:r>
      <w:r w:rsidR="00262E3B">
        <w:t>he</w:t>
      </w:r>
      <w:r w:rsidR="00B0408E">
        <w:t>althcare</w:t>
      </w:r>
      <w:r w:rsidR="005E4550">
        <w:t xml:space="preserve"> occupation</w:t>
      </w:r>
      <w:r w:rsidR="00B0408E">
        <w:t>, and household income and the</w:t>
      </w:r>
      <w:r>
        <w:t xml:space="preserve"> 36-mo survey</w:t>
      </w:r>
      <w:r w:rsidRPr="00975E8A">
        <w:rPr>
          <w:szCs w:val="18"/>
        </w:rPr>
        <w:t xml:space="preserve"> </w:t>
      </w:r>
      <w:r w:rsidR="00B0408E">
        <w:rPr>
          <w:szCs w:val="18"/>
        </w:rPr>
        <w:t xml:space="preserve">for </w:t>
      </w:r>
      <w:r w:rsidR="00975E8A" w:rsidRPr="00975E8A">
        <w:rPr>
          <w:szCs w:val="18"/>
        </w:rPr>
        <w:t>pare</w:t>
      </w:r>
      <w:r w:rsidR="00B0408E">
        <w:rPr>
          <w:szCs w:val="18"/>
        </w:rPr>
        <w:t>ntal report of child well-being</w:t>
      </w:r>
      <w:r w:rsidR="00975E8A" w:rsidRPr="00975E8A">
        <w:rPr>
          <w:szCs w:val="18"/>
        </w:rPr>
        <w:t xml:space="preserve"> </w:t>
      </w:r>
      <w:r w:rsidR="00B0408E">
        <w:rPr>
          <w:szCs w:val="18"/>
        </w:rPr>
        <w:t>data</w:t>
      </w:r>
      <w:r w:rsidR="00975E8A">
        <w:rPr>
          <w:szCs w:val="18"/>
        </w:rPr>
        <w:t>.</w:t>
      </w:r>
      <w:r w:rsidR="00865C71">
        <w:rPr>
          <w:szCs w:val="18"/>
        </w:rPr>
        <w:t xml:space="preserve"> </w:t>
      </w:r>
      <w:r w:rsidR="008D2618">
        <w:rPr>
          <w:szCs w:val="18"/>
        </w:rPr>
        <w:t xml:space="preserve"> </w:t>
      </w:r>
      <w:r w:rsidR="00865C71">
        <w:rPr>
          <w:szCs w:val="18"/>
        </w:rPr>
        <w:t>Sample sizes associated with the parental report MDE assume that the entire survey subsample is par</w:t>
      </w:r>
      <w:r w:rsidR="00577CF3">
        <w:rPr>
          <w:szCs w:val="18"/>
        </w:rPr>
        <w:t xml:space="preserve">ents:  if only two-thirds </w:t>
      </w:r>
      <w:r w:rsidR="00865C71">
        <w:rPr>
          <w:szCs w:val="18"/>
        </w:rPr>
        <w:t>of the survey subsample were par</w:t>
      </w:r>
      <w:r w:rsidR="00577CF3">
        <w:rPr>
          <w:szCs w:val="18"/>
        </w:rPr>
        <w:t>ents (as is their representation in the research sample), then the MDE would be 0.09</w:t>
      </w:r>
      <w:r w:rsidR="00865C71">
        <w:rPr>
          <w:szCs w:val="18"/>
        </w:rPr>
        <w:t>.</w:t>
      </w:r>
    </w:p>
    <w:p w14:paraId="18209A7A" w14:textId="206A62DE" w:rsidR="00E47A23" w:rsidRDefault="00675C22" w:rsidP="00DE26AE">
      <w:pPr>
        <w:pStyle w:val="ExhibitSource"/>
        <w:rPr>
          <w:rFonts w:ascii="Times New Roman" w:hAnsi="Times New Roman" w:cs="Times New Roman"/>
          <w:sz w:val="22"/>
          <w:szCs w:val="22"/>
        </w:rPr>
      </w:pPr>
      <w:r w:rsidRPr="00577CF3">
        <w:rPr>
          <w:rFonts w:ascii="Times New Roman" w:hAnsi="Times New Roman" w:cs="Times New Roman"/>
          <w:sz w:val="22"/>
          <w:szCs w:val="22"/>
        </w:rPr>
        <w:t xml:space="preserve">These MDEs are sufficient to detect likely impacts of policy relevance.  </w:t>
      </w:r>
      <w:r w:rsidR="005E4550" w:rsidRPr="00577CF3">
        <w:rPr>
          <w:rFonts w:ascii="Times New Roman" w:hAnsi="Times New Roman" w:cs="Times New Roman"/>
          <w:sz w:val="22"/>
          <w:szCs w:val="22"/>
        </w:rPr>
        <w:t xml:space="preserve">They reflect a </w:t>
      </w:r>
      <w:r w:rsidR="00577CF3">
        <w:rPr>
          <w:rFonts w:ascii="Times New Roman" w:hAnsi="Times New Roman" w:cs="Times New Roman"/>
          <w:sz w:val="22"/>
          <w:szCs w:val="22"/>
        </w:rPr>
        <w:t>survey sub</w:t>
      </w:r>
      <w:r w:rsidR="005E4550" w:rsidRPr="00577CF3">
        <w:rPr>
          <w:rFonts w:ascii="Times New Roman" w:hAnsi="Times New Roman" w:cs="Times New Roman"/>
          <w:sz w:val="22"/>
          <w:szCs w:val="22"/>
        </w:rPr>
        <w:t>sample of</w:t>
      </w:r>
      <w:r w:rsidR="00577CF3">
        <w:rPr>
          <w:rFonts w:ascii="Times New Roman" w:hAnsi="Times New Roman" w:cs="Times New Roman"/>
          <w:sz w:val="22"/>
          <w:szCs w:val="22"/>
        </w:rPr>
        <w:t xml:space="preserve"> about 40 percent</w:t>
      </w:r>
      <w:r w:rsidR="00051B15" w:rsidRPr="00577CF3">
        <w:rPr>
          <w:rFonts w:ascii="Times New Roman" w:hAnsi="Times New Roman" w:cs="Times New Roman"/>
          <w:sz w:val="22"/>
          <w:szCs w:val="22"/>
        </w:rPr>
        <w:t xml:space="preserve"> of the </w:t>
      </w:r>
      <w:r w:rsidR="00B62F68" w:rsidRPr="00577CF3">
        <w:rPr>
          <w:rFonts w:ascii="Times New Roman" w:hAnsi="Times New Roman" w:cs="Times New Roman"/>
          <w:sz w:val="22"/>
          <w:szCs w:val="22"/>
        </w:rPr>
        <w:t>HPOG-Impact</w:t>
      </w:r>
      <w:r w:rsidR="00051B15" w:rsidRPr="00577CF3">
        <w:rPr>
          <w:rFonts w:ascii="Times New Roman" w:hAnsi="Times New Roman" w:cs="Times New Roman"/>
          <w:sz w:val="22"/>
          <w:szCs w:val="22"/>
        </w:rPr>
        <w:t xml:space="preserve"> research participants, or about </w:t>
      </w:r>
      <w:r w:rsidR="0038611B" w:rsidRPr="00577CF3">
        <w:rPr>
          <w:rFonts w:ascii="Times New Roman" w:hAnsi="Times New Roman" w:cs="Times New Roman"/>
          <w:sz w:val="22"/>
          <w:szCs w:val="22"/>
        </w:rPr>
        <w:t>4,000</w:t>
      </w:r>
      <w:r w:rsidR="0035596F" w:rsidRPr="00577CF3">
        <w:rPr>
          <w:rFonts w:ascii="Times New Roman" w:hAnsi="Times New Roman" w:cs="Times New Roman"/>
          <w:sz w:val="22"/>
          <w:szCs w:val="22"/>
        </w:rPr>
        <w:t xml:space="preserve"> </w:t>
      </w:r>
      <w:r w:rsidR="00051B15" w:rsidRPr="00577CF3">
        <w:rPr>
          <w:rFonts w:ascii="Times New Roman" w:hAnsi="Times New Roman" w:cs="Times New Roman"/>
          <w:sz w:val="22"/>
          <w:szCs w:val="22"/>
        </w:rPr>
        <w:t>individuals in the survey sample.  G</w:t>
      </w:r>
      <w:r w:rsidR="0035596F" w:rsidRPr="00577CF3">
        <w:rPr>
          <w:rFonts w:ascii="Times New Roman" w:hAnsi="Times New Roman" w:cs="Times New Roman"/>
          <w:sz w:val="22"/>
          <w:szCs w:val="22"/>
        </w:rPr>
        <w:t>iven the anticipated 74 percent response rate</w:t>
      </w:r>
      <w:r w:rsidR="00E50447">
        <w:rPr>
          <w:rFonts w:ascii="Times New Roman" w:hAnsi="Times New Roman" w:cs="Times New Roman"/>
          <w:sz w:val="22"/>
          <w:szCs w:val="22"/>
        </w:rPr>
        <w:t xml:space="preserve">, </w:t>
      </w:r>
      <w:proofErr w:type="gramStart"/>
      <w:r w:rsidR="00E50447">
        <w:rPr>
          <w:rFonts w:ascii="Times New Roman" w:hAnsi="Times New Roman" w:cs="Times New Roman"/>
          <w:sz w:val="22"/>
          <w:szCs w:val="22"/>
        </w:rPr>
        <w:t xml:space="preserve">this </w:t>
      </w:r>
      <w:r w:rsidR="00051B15" w:rsidRPr="00577CF3">
        <w:rPr>
          <w:rFonts w:ascii="Times New Roman" w:hAnsi="Times New Roman" w:cs="Times New Roman"/>
          <w:sz w:val="22"/>
          <w:szCs w:val="22"/>
        </w:rPr>
        <w:t>results</w:t>
      </w:r>
      <w:proofErr w:type="gramEnd"/>
      <w:r w:rsidR="00051B15" w:rsidRPr="00577CF3">
        <w:rPr>
          <w:rFonts w:ascii="Times New Roman" w:hAnsi="Times New Roman" w:cs="Times New Roman"/>
          <w:sz w:val="22"/>
          <w:szCs w:val="22"/>
        </w:rPr>
        <w:t xml:space="preserve"> in an analysis sample of 2,</w:t>
      </w:r>
      <w:r w:rsidR="0038611B" w:rsidRPr="00577CF3">
        <w:rPr>
          <w:rFonts w:ascii="Times New Roman" w:hAnsi="Times New Roman" w:cs="Times New Roman"/>
          <w:sz w:val="22"/>
          <w:szCs w:val="22"/>
        </w:rPr>
        <w:t>960</w:t>
      </w:r>
      <w:r w:rsidR="0035596F" w:rsidRPr="00577CF3">
        <w:rPr>
          <w:rFonts w:ascii="Times New Roman" w:hAnsi="Times New Roman" w:cs="Times New Roman"/>
          <w:sz w:val="22"/>
          <w:szCs w:val="22"/>
        </w:rPr>
        <w:t>.</w:t>
      </w:r>
      <w:r w:rsidR="00051B15" w:rsidRPr="00577CF3">
        <w:rPr>
          <w:rFonts w:ascii="Times New Roman" w:hAnsi="Times New Roman" w:cs="Times New Roman"/>
          <w:sz w:val="22"/>
          <w:szCs w:val="22"/>
        </w:rPr>
        <w:t xml:space="preserve">  The MDE</w:t>
      </w:r>
      <w:r w:rsidR="00B62F68" w:rsidRPr="00577CF3">
        <w:rPr>
          <w:rFonts w:ascii="Times New Roman" w:hAnsi="Times New Roman" w:cs="Times New Roman"/>
          <w:sz w:val="22"/>
          <w:szCs w:val="22"/>
        </w:rPr>
        <w:t>s assume that the 2:1 treatment-</w:t>
      </w:r>
      <w:r w:rsidR="00051B15" w:rsidRPr="00577CF3">
        <w:rPr>
          <w:rFonts w:ascii="Times New Roman" w:hAnsi="Times New Roman" w:cs="Times New Roman"/>
          <w:sz w:val="22"/>
          <w:szCs w:val="22"/>
        </w:rPr>
        <w:t xml:space="preserve">control ratio </w:t>
      </w:r>
      <w:proofErr w:type="gramStart"/>
      <w:r w:rsidR="00051B15" w:rsidRPr="00577CF3">
        <w:rPr>
          <w:rFonts w:ascii="Times New Roman" w:hAnsi="Times New Roman" w:cs="Times New Roman"/>
          <w:sz w:val="22"/>
          <w:szCs w:val="22"/>
        </w:rPr>
        <w:t>is maintained</w:t>
      </w:r>
      <w:proofErr w:type="gramEnd"/>
      <w:r w:rsidR="00051B15" w:rsidRPr="00577CF3">
        <w:rPr>
          <w:rFonts w:ascii="Times New Roman" w:hAnsi="Times New Roman" w:cs="Times New Roman"/>
          <w:sz w:val="22"/>
          <w:szCs w:val="22"/>
        </w:rPr>
        <w:t xml:space="preserve"> in the sampling strategy; and, as such, the MDEs are a conservative estimate:  if the research team chooses to select a sur</w:t>
      </w:r>
      <w:r w:rsidR="00DA7060" w:rsidRPr="00577CF3">
        <w:rPr>
          <w:rFonts w:ascii="Times New Roman" w:hAnsi="Times New Roman" w:cs="Times New Roman"/>
          <w:sz w:val="22"/>
          <w:szCs w:val="22"/>
        </w:rPr>
        <w:t>vey sample with a 1:1 treatment-</w:t>
      </w:r>
      <w:r w:rsidR="00051B15" w:rsidRPr="00577CF3">
        <w:rPr>
          <w:rFonts w:ascii="Times New Roman" w:hAnsi="Times New Roman" w:cs="Times New Roman"/>
          <w:sz w:val="22"/>
          <w:szCs w:val="22"/>
        </w:rPr>
        <w:t>control ratio, then the MDEs would shrink slightly.</w:t>
      </w:r>
      <w:r w:rsidR="00577CF3">
        <w:rPr>
          <w:rFonts w:ascii="Times New Roman" w:hAnsi="Times New Roman" w:cs="Times New Roman"/>
          <w:sz w:val="22"/>
          <w:szCs w:val="22"/>
        </w:rPr>
        <w:t xml:space="preserve"> </w:t>
      </w:r>
    </w:p>
    <w:p w14:paraId="646B3159" w14:textId="4D0CB464" w:rsidR="00577CF3" w:rsidRPr="00577CF3" w:rsidRDefault="00577CF3" w:rsidP="00DE26AE">
      <w:pPr>
        <w:pStyle w:val="ExhibitSource"/>
        <w:rPr>
          <w:rFonts w:ascii="Times New Roman" w:hAnsi="Times New Roman" w:cs="Times New Roman"/>
          <w:sz w:val="22"/>
          <w:szCs w:val="22"/>
        </w:rPr>
      </w:pPr>
      <w:r w:rsidRPr="00C24592">
        <w:rPr>
          <w:rFonts w:ascii="Times New Roman" w:hAnsi="Times New Roman" w:cs="Times New Roman"/>
          <w:sz w:val="22"/>
          <w:szCs w:val="22"/>
        </w:rPr>
        <w:t>The MDE for employment in the healthcare sector is 3.7 percentage points.  This is smaller than the impacts that the study is currently observing, and so provides an opportunity for the impacts to wane over time and still be detectably non-zero.</w:t>
      </w:r>
    </w:p>
    <w:p w14:paraId="0DE649FB" w14:textId="565140E3" w:rsidR="00051B15" w:rsidRPr="00577CF3" w:rsidRDefault="00577CF3" w:rsidP="00DE26AE">
      <w:pPr>
        <w:pStyle w:val="ExhibitSource"/>
        <w:rPr>
          <w:rFonts w:ascii="Times New Roman" w:hAnsi="Times New Roman" w:cs="Times New Roman"/>
          <w:sz w:val="22"/>
          <w:szCs w:val="22"/>
        </w:rPr>
      </w:pPr>
      <w:r>
        <w:rPr>
          <w:rFonts w:ascii="Times New Roman" w:hAnsi="Times New Roman" w:cs="Times New Roman"/>
          <w:sz w:val="22"/>
          <w:szCs w:val="22"/>
        </w:rPr>
        <w:lastRenderedPageBreak/>
        <w:t>Next, the $133</w:t>
      </w:r>
      <w:r w:rsidR="00F72CF1" w:rsidRPr="00577CF3">
        <w:rPr>
          <w:rFonts w:ascii="Times New Roman" w:hAnsi="Times New Roman" w:cs="Times New Roman"/>
          <w:sz w:val="22"/>
          <w:szCs w:val="22"/>
        </w:rPr>
        <w:t xml:space="preserve"> effect on </w:t>
      </w:r>
      <w:r>
        <w:rPr>
          <w:rFonts w:ascii="Times New Roman" w:hAnsi="Times New Roman" w:cs="Times New Roman"/>
          <w:sz w:val="22"/>
          <w:szCs w:val="22"/>
        </w:rPr>
        <w:t xml:space="preserve">monthly </w:t>
      </w:r>
      <w:r w:rsidR="00F72CF1" w:rsidRPr="00577CF3">
        <w:rPr>
          <w:rFonts w:ascii="Times New Roman" w:hAnsi="Times New Roman" w:cs="Times New Roman"/>
          <w:sz w:val="22"/>
          <w:szCs w:val="22"/>
        </w:rPr>
        <w:t>income is sufficiently small</w:t>
      </w:r>
      <w:r w:rsidR="00DA7060" w:rsidRPr="00577CF3">
        <w:rPr>
          <w:rFonts w:ascii="Times New Roman" w:hAnsi="Times New Roman" w:cs="Times New Roman"/>
          <w:sz w:val="22"/>
          <w:szCs w:val="22"/>
        </w:rPr>
        <w:t xml:space="preserve"> (&lt;</w:t>
      </w:r>
      <w:r>
        <w:rPr>
          <w:rFonts w:ascii="Times New Roman" w:hAnsi="Times New Roman" w:cs="Times New Roman"/>
          <w:sz w:val="22"/>
          <w:szCs w:val="22"/>
        </w:rPr>
        <w:t xml:space="preserve"> $1,6</w:t>
      </w:r>
      <w:r w:rsidR="00DA7060" w:rsidRPr="00577CF3">
        <w:rPr>
          <w:rFonts w:ascii="Times New Roman" w:hAnsi="Times New Roman" w:cs="Times New Roman"/>
          <w:sz w:val="22"/>
          <w:szCs w:val="22"/>
        </w:rPr>
        <w:t>00 annually) that it is a non-trivial, but reasonable threshold to determine the program’s impact over the long term</w:t>
      </w:r>
      <w:r w:rsidR="00F72CF1" w:rsidRPr="00577CF3">
        <w:rPr>
          <w:rFonts w:ascii="Times New Roman" w:hAnsi="Times New Roman" w:cs="Times New Roman"/>
          <w:sz w:val="22"/>
          <w:szCs w:val="22"/>
        </w:rPr>
        <w:t xml:space="preserve">.  </w:t>
      </w:r>
      <w:r>
        <w:rPr>
          <w:rFonts w:ascii="Times New Roman" w:hAnsi="Times New Roman" w:cs="Times New Roman"/>
          <w:sz w:val="22"/>
          <w:szCs w:val="22"/>
        </w:rPr>
        <w:t>This impact magnitude is on par with what the study is currently observing for this outcome measure.</w:t>
      </w:r>
    </w:p>
    <w:p w14:paraId="35D2FCEF" w14:textId="46D45656" w:rsidR="00B6143F" w:rsidRPr="003A7FDB" w:rsidRDefault="00DE26AE" w:rsidP="00DE26AE">
      <w:pPr>
        <w:pStyle w:val="ExhibitSource"/>
      </w:pPr>
      <w:r w:rsidRPr="00577CF3">
        <w:rPr>
          <w:rFonts w:ascii="Times New Roman" w:hAnsi="Times New Roman" w:cs="Times New Roman"/>
          <w:sz w:val="22"/>
          <w:szCs w:val="22"/>
        </w:rPr>
        <w:t xml:space="preserve">Third, a new set of measures from the 36-month follow-up survey considers child well-being as reported by parents’ assessment of their development, academic performance, and school </w:t>
      </w:r>
      <w:r w:rsidR="00E47A23" w:rsidRPr="00577CF3">
        <w:rPr>
          <w:rFonts w:ascii="Times New Roman" w:hAnsi="Times New Roman" w:cs="Times New Roman"/>
          <w:sz w:val="22"/>
          <w:szCs w:val="22"/>
        </w:rPr>
        <w:t xml:space="preserve">compliance behavior.  </w:t>
      </w:r>
      <w:r w:rsidR="00E558C2" w:rsidRPr="00577CF3">
        <w:rPr>
          <w:rFonts w:ascii="Times New Roman" w:hAnsi="Times New Roman" w:cs="Times New Roman"/>
          <w:sz w:val="22"/>
          <w:szCs w:val="22"/>
        </w:rPr>
        <w:t>The measure used above to gauge future MDEs is a scale of children’s school attendance, tardiness, suspension and expulsion behavior:  the average control group measure is about 0.5 ab</w:t>
      </w:r>
      <w:r w:rsidR="00E558C2">
        <w:rPr>
          <w:rFonts w:ascii="Times New Roman" w:hAnsi="Times New Roman" w:cs="Times New Roman"/>
          <w:sz w:val="22"/>
          <w:szCs w:val="22"/>
        </w:rPr>
        <w:t>solute units (where zero</w:t>
      </w:r>
      <w:r w:rsidR="00E558C2" w:rsidRPr="00577CF3">
        <w:rPr>
          <w:rFonts w:ascii="Times New Roman" w:hAnsi="Times New Roman" w:cs="Times New Roman"/>
          <w:sz w:val="22"/>
          <w:szCs w:val="22"/>
        </w:rPr>
        <w:t xml:space="preserve"> is neutral and a positive value reflects favorable school compliance), and the scores are standardized to a mean of zero.  </w:t>
      </w:r>
      <w:r w:rsidR="00E47A23" w:rsidRPr="00577CF3">
        <w:rPr>
          <w:rFonts w:ascii="Times New Roman" w:hAnsi="Times New Roman" w:cs="Times New Roman"/>
          <w:sz w:val="22"/>
          <w:szCs w:val="22"/>
        </w:rPr>
        <w:t>As such, the forecast</w:t>
      </w:r>
      <w:r w:rsidR="00577CF3">
        <w:rPr>
          <w:rFonts w:ascii="Times New Roman" w:hAnsi="Times New Roman" w:cs="Times New Roman"/>
          <w:sz w:val="22"/>
          <w:szCs w:val="22"/>
        </w:rPr>
        <w:t>ed MDE on such a measure is 0.07</w:t>
      </w:r>
      <w:r w:rsidR="00E47A23" w:rsidRPr="00577CF3">
        <w:rPr>
          <w:rFonts w:ascii="Times New Roman" w:hAnsi="Times New Roman" w:cs="Times New Roman"/>
          <w:sz w:val="22"/>
          <w:szCs w:val="22"/>
        </w:rPr>
        <w:t xml:space="preserve"> standard deviations.  This is a modestly-sized impact for</w:t>
      </w:r>
      <w:r w:rsidR="00577CF3">
        <w:rPr>
          <w:rFonts w:ascii="Times New Roman" w:hAnsi="Times New Roman" w:cs="Times New Roman"/>
          <w:sz w:val="22"/>
          <w:szCs w:val="22"/>
        </w:rPr>
        <w:t xml:space="preserve"> this kind of measure and</w:t>
      </w:r>
      <w:r w:rsidR="00E47A23" w:rsidRPr="00577CF3">
        <w:rPr>
          <w:rFonts w:ascii="Times New Roman" w:hAnsi="Times New Roman" w:cs="Times New Roman"/>
          <w:sz w:val="22"/>
          <w:szCs w:val="22"/>
        </w:rPr>
        <w:t xml:space="preserve"> one that </w:t>
      </w:r>
      <w:r w:rsidR="00202F0B" w:rsidRPr="00577CF3">
        <w:rPr>
          <w:rFonts w:ascii="Times New Roman" w:hAnsi="Times New Roman" w:cs="Times New Roman"/>
          <w:sz w:val="22"/>
          <w:szCs w:val="22"/>
        </w:rPr>
        <w:t xml:space="preserve">is </w:t>
      </w:r>
      <w:r w:rsidR="00E47A23" w:rsidRPr="00577CF3">
        <w:rPr>
          <w:rFonts w:ascii="Times New Roman" w:hAnsi="Times New Roman" w:cs="Times New Roman"/>
          <w:sz w:val="22"/>
          <w:szCs w:val="22"/>
        </w:rPr>
        <w:t>expect</w:t>
      </w:r>
      <w:r w:rsidR="00202F0B" w:rsidRPr="00577CF3">
        <w:rPr>
          <w:rFonts w:ascii="Times New Roman" w:hAnsi="Times New Roman" w:cs="Times New Roman"/>
          <w:sz w:val="22"/>
          <w:szCs w:val="22"/>
        </w:rPr>
        <w:t>ed</w:t>
      </w:r>
      <w:r w:rsidR="0035596F" w:rsidRPr="00577CF3">
        <w:rPr>
          <w:rFonts w:ascii="Times New Roman" w:hAnsi="Times New Roman" w:cs="Times New Roman"/>
          <w:sz w:val="22"/>
          <w:szCs w:val="22"/>
        </w:rPr>
        <w:t xml:space="preserve"> to be achievable</w:t>
      </w:r>
      <w:r w:rsidR="00E47A23" w:rsidRPr="00577CF3">
        <w:rPr>
          <w:rFonts w:ascii="Times New Roman" w:hAnsi="Times New Roman" w:cs="Times New Roman"/>
          <w:sz w:val="22"/>
          <w:szCs w:val="22"/>
        </w:rPr>
        <w:t>—if the intervention has effects on children via their parents’ training, education and subsequent employment experiences—and therefore detectable.</w:t>
      </w:r>
      <w:r w:rsidR="00E47A23">
        <w:rPr>
          <w:rFonts w:ascii="Times New Roman" w:hAnsi="Times New Roman" w:cs="Times New Roman"/>
          <w:sz w:val="22"/>
          <w:szCs w:val="22"/>
        </w:rPr>
        <w:t xml:space="preserve"> </w:t>
      </w:r>
    </w:p>
    <w:p w14:paraId="7A3E22A7" w14:textId="77777777" w:rsidR="00C21D50" w:rsidRPr="004F1FB4" w:rsidRDefault="00C21D50" w:rsidP="00C21D50">
      <w:pPr>
        <w:pStyle w:val="Heading2"/>
      </w:pPr>
      <w:bookmarkStart w:id="10" w:name="_Toc322083616"/>
      <w:bookmarkStart w:id="11" w:name="_Toc480903472"/>
      <w:r w:rsidRPr="004F1FB4">
        <w:t>B.2</w:t>
      </w:r>
      <w:r>
        <w:tab/>
      </w:r>
      <w:r w:rsidRPr="004F1FB4">
        <w:t>Procedures for Collection of Information</w:t>
      </w:r>
      <w:bookmarkEnd w:id="10"/>
      <w:bookmarkEnd w:id="11"/>
    </w:p>
    <w:p w14:paraId="3CC46BF6" w14:textId="5F23333F" w:rsidR="00757264" w:rsidRDefault="00CC42DC" w:rsidP="00757264">
      <w:pPr>
        <w:pStyle w:val="BodyText"/>
      </w:pPr>
      <w:r>
        <w:t>E</w:t>
      </w:r>
      <w:r w:rsidR="00757264">
        <w:t>xperience with the 15- and 36-month survey</w:t>
      </w:r>
      <w:r>
        <w:t xml:space="preserve"> data collection effort</w:t>
      </w:r>
      <w:r w:rsidR="00757264">
        <w:t xml:space="preserve">s </w:t>
      </w:r>
      <w:r>
        <w:t>show</w:t>
      </w:r>
      <w:r w:rsidR="0035596F">
        <w:t>s</w:t>
      </w:r>
      <w:r>
        <w:t xml:space="preserve"> that th</w:t>
      </w:r>
      <w:r w:rsidR="0035596F">
        <w:t>e</w:t>
      </w:r>
      <w:r w:rsidR="008238D2">
        <w:t xml:space="preserve"> </w:t>
      </w:r>
      <w:r w:rsidR="00757264">
        <w:t xml:space="preserve">study population is more responsive to outreach attempts by local interviewers with local phone numbers than </w:t>
      </w:r>
      <w:r w:rsidR="0035596F">
        <w:t>it is</w:t>
      </w:r>
      <w:r w:rsidR="00757264">
        <w:t xml:space="preserve"> to calls from telephone research center. </w:t>
      </w:r>
      <w:r w:rsidR="008D2618">
        <w:t xml:space="preserve"> </w:t>
      </w:r>
      <w:r w:rsidR="00E47A23">
        <w:t>In response</w:t>
      </w:r>
      <w:r w:rsidR="00757264">
        <w:t xml:space="preserve">, for the 72-month follow-up survey, </w:t>
      </w:r>
      <w:r w:rsidR="00757264" w:rsidRPr="009C76A1">
        <w:rPr>
          <w:b/>
          <w:i/>
        </w:rPr>
        <w:t>local field interviewers will conduct all interviews</w:t>
      </w:r>
      <w:r w:rsidR="00757264">
        <w:t xml:space="preserve">. </w:t>
      </w:r>
      <w:r w:rsidR="008D2618">
        <w:t xml:space="preserve"> </w:t>
      </w:r>
      <w:r w:rsidR="00757264">
        <w:t xml:space="preserve">Interviewers will conduct the 72-month follow-up survey using encrypted devices equipped with computer-assisted personal interviewing (CAPI) technology. </w:t>
      </w:r>
      <w:r w:rsidR="008D2618">
        <w:t xml:space="preserve"> </w:t>
      </w:r>
      <w:r w:rsidR="00757264">
        <w:t>CAPI technology, by design, will not allow inadvertent missing responses and will reduce the number of outlying responses to questions—such as exceptionally high or low hours worked per week.</w:t>
      </w:r>
      <w:r w:rsidR="00757264" w:rsidRPr="00793D89">
        <w:t xml:space="preserve"> </w:t>
      </w:r>
      <w:r w:rsidR="008D2618">
        <w:t xml:space="preserve"> </w:t>
      </w:r>
      <w:r w:rsidR="00757264">
        <w:t>CAPI technology also houses the complete participant contact history, interviewer notes, and case disposition summaries, eradicating the need for paper records in the field.  Abt</w:t>
      </w:r>
      <w:r w:rsidR="00E47A23">
        <w:t>’s survey team</w:t>
      </w:r>
      <w:r w:rsidR="00364099">
        <w:t xml:space="preserve"> </w:t>
      </w:r>
      <w:r w:rsidR="00757264">
        <w:t>will conduct the survey.</w:t>
      </w:r>
    </w:p>
    <w:p w14:paraId="0D9AAD1D" w14:textId="77777777" w:rsidR="00EA78B1" w:rsidRDefault="00EA78B1" w:rsidP="00EA78B1">
      <w:pPr>
        <w:pStyle w:val="Heading3"/>
      </w:pPr>
      <w:bookmarkStart w:id="12" w:name="_Toc480267992"/>
      <w:bookmarkStart w:id="13" w:name="_Toc480903473"/>
      <w:r>
        <w:t>B.2.1</w:t>
      </w:r>
      <w:r>
        <w:tab/>
        <w:t>Preparation for the Interviews</w:t>
      </w:r>
      <w:bookmarkEnd w:id="12"/>
      <w:bookmarkEnd w:id="13"/>
    </w:p>
    <w:p w14:paraId="517F906D" w14:textId="7E5694ED" w:rsidR="00412DB5" w:rsidRPr="008D2618" w:rsidRDefault="00412DB5" w:rsidP="00EA78B1">
      <w:pPr>
        <w:pStyle w:val="BodyText"/>
      </w:pPr>
      <w:r>
        <w:t xml:space="preserve">Prior to the interview, interviewers will be hired and trained, an advance letter </w:t>
      </w:r>
      <w:proofErr w:type="gramStart"/>
      <w:r>
        <w:t>will be sent</w:t>
      </w:r>
      <w:proofErr w:type="gramEnd"/>
      <w:r>
        <w:t>, and the interviewer will send an email reminder</w:t>
      </w:r>
      <w:r w:rsidR="008D2618">
        <w:t xml:space="preserve">.  </w:t>
      </w:r>
    </w:p>
    <w:p w14:paraId="6E5CF7D0" w14:textId="5A9C520A" w:rsidR="00EA78B1" w:rsidRDefault="00EA78B1" w:rsidP="00EA78B1">
      <w:pPr>
        <w:pStyle w:val="BodyText"/>
      </w:pPr>
      <w:r>
        <w:rPr>
          <w:b/>
          <w:i/>
        </w:rPr>
        <w:t>Interviewer Staffing</w:t>
      </w:r>
      <w:r w:rsidRPr="001920AC">
        <w:rPr>
          <w:b/>
          <w:i/>
        </w:rPr>
        <w:t>:</w:t>
      </w:r>
      <w:r>
        <w:t xml:space="preserve">  An experienced, trained staff of interviewers will conduct the HPOG 72-Month Follow-Up Survey. </w:t>
      </w:r>
      <w:r w:rsidR="008D2618">
        <w:t xml:space="preserve"> </w:t>
      </w:r>
      <w:r>
        <w:t xml:space="preserve">The training includes didactic presentations, numerous hands-on practice exercises, and role-play interviews.  Special emphasis </w:t>
      </w:r>
      <w:proofErr w:type="gramStart"/>
      <w:r>
        <w:t>will be placed</w:t>
      </w:r>
      <w:proofErr w:type="gramEnd"/>
      <w:r>
        <w:t xml:space="preserve"> on project knowledge and sample complexity, gaining cooperation, refusal aversion, and refusal conversion.  </w:t>
      </w:r>
    </w:p>
    <w:p w14:paraId="7F9BDB39" w14:textId="3A0432E8" w:rsidR="00EA78B1" w:rsidRPr="00793D89" w:rsidRDefault="00EA78B1" w:rsidP="00EA78B1">
      <w:pPr>
        <w:pStyle w:val="BodyText"/>
      </w:pPr>
      <w:r w:rsidRPr="00793D89">
        <w:t xml:space="preserve">Abt maintains a roster of approximately 1,700 experienced </w:t>
      </w:r>
      <w:r>
        <w:t>in-person</w:t>
      </w:r>
      <w:r w:rsidRPr="00793D89">
        <w:t xml:space="preserve"> </w:t>
      </w:r>
      <w:r>
        <w:t>interviewers</w:t>
      </w:r>
      <w:r w:rsidRPr="00793D89">
        <w:t xml:space="preserve"> across the country.  </w:t>
      </w:r>
      <w:r>
        <w:t>T</w:t>
      </w:r>
      <w:r w:rsidRPr="0011475A">
        <w:t xml:space="preserve">o the extent possible, the new study will recruit in-person interviewers who worked successfully on the </w:t>
      </w:r>
      <w:r>
        <w:t>HPOG</w:t>
      </w:r>
      <w:r w:rsidRPr="0011475A">
        <w:t xml:space="preserve"> </w:t>
      </w:r>
      <w:r>
        <w:t xml:space="preserve">15-month and 36-month </w:t>
      </w:r>
      <w:r w:rsidRPr="0011475A">
        <w:t xml:space="preserve">surveys. </w:t>
      </w:r>
      <w:r w:rsidR="008D2618">
        <w:t xml:space="preserve"> </w:t>
      </w:r>
      <w:r>
        <w:t>T</w:t>
      </w:r>
      <w:r w:rsidRPr="00793D89">
        <w:t>hese interviewers</w:t>
      </w:r>
      <w:r>
        <w:t xml:space="preserve"> are familiar with the study</w:t>
      </w:r>
      <w:r w:rsidRPr="00793D89">
        <w:t xml:space="preserve"> and have already developed rapport with respondents</w:t>
      </w:r>
      <w:r>
        <w:t xml:space="preserve"> and </w:t>
      </w:r>
      <w:r w:rsidRPr="00793D89">
        <w:t xml:space="preserve">gained valuable experience locating difficult-to-reach respondents.  </w:t>
      </w:r>
    </w:p>
    <w:p w14:paraId="193612DE" w14:textId="4E21CFFD" w:rsidR="00EA78B1" w:rsidRPr="0011475A" w:rsidRDefault="00EA78B1" w:rsidP="00EA78B1">
      <w:pPr>
        <w:pStyle w:val="BodyText"/>
      </w:pPr>
      <w:r w:rsidRPr="00793D89">
        <w:t xml:space="preserve">All potential </w:t>
      </w:r>
      <w:r>
        <w:t>in-person</w:t>
      </w:r>
      <w:r w:rsidRPr="00793D89">
        <w:t xml:space="preserve"> </w:t>
      </w:r>
      <w:r>
        <w:t>interviewers</w:t>
      </w:r>
      <w:r w:rsidRPr="00793D89">
        <w:t xml:space="preserve"> will be carefully screened for their overall suitability and ability to work within the project’s schedule, as well as the specific skill sets and experience needed for the study</w:t>
      </w:r>
      <w:r>
        <w:t xml:space="preserve"> (e.g., </w:t>
      </w:r>
      <w:r w:rsidRPr="0011475A">
        <w:t>previous in-</w:t>
      </w:r>
      <w:r w:rsidRPr="009660DC">
        <w:t>person</w:t>
      </w:r>
      <w:r w:rsidRPr="0011475A">
        <w:t xml:space="preserve"> data collection experience, strong test scores for accurately recording information, attention to detail, reliability, and self-discipline).</w:t>
      </w:r>
      <w:r w:rsidR="008D2618">
        <w:t xml:space="preserve"> </w:t>
      </w:r>
      <w:r w:rsidRPr="0011475A">
        <w:t xml:space="preserve"> </w:t>
      </w:r>
    </w:p>
    <w:p w14:paraId="46026FC0" w14:textId="4D31E2E2" w:rsidR="00412DB5" w:rsidRPr="00C71FEC" w:rsidRDefault="00412DB5" w:rsidP="00412DB5">
      <w:pPr>
        <w:pStyle w:val="BodyText"/>
      </w:pPr>
      <w:bookmarkStart w:id="14" w:name="_Ref414435647"/>
      <w:bookmarkStart w:id="15" w:name="_Toc480878623"/>
      <w:bookmarkStart w:id="16" w:name="_Toc480903474"/>
      <w:r w:rsidRPr="00C71FEC">
        <w:rPr>
          <w:b/>
          <w:i/>
          <w:szCs w:val="22"/>
        </w:rPr>
        <w:t>Advance Letter:</w:t>
      </w:r>
      <w:r w:rsidRPr="001920AC">
        <w:rPr>
          <w:b/>
          <w:szCs w:val="22"/>
        </w:rPr>
        <w:t xml:space="preserve">  </w:t>
      </w:r>
      <w:r w:rsidRPr="00C71FEC">
        <w:rPr>
          <w:szCs w:val="22"/>
        </w:rPr>
        <w:t xml:space="preserve">To support the 72-month survey effort, an advance letter </w:t>
      </w:r>
      <w:proofErr w:type="gramStart"/>
      <w:r w:rsidRPr="00C71FEC">
        <w:rPr>
          <w:szCs w:val="22"/>
        </w:rPr>
        <w:t>will be mailed</w:t>
      </w:r>
      <w:proofErr w:type="gramEnd"/>
      <w:r w:rsidRPr="00C71FEC">
        <w:rPr>
          <w:szCs w:val="22"/>
        </w:rPr>
        <w:t xml:space="preserve"> to participants approximately one and a half weeks before we start to call </w:t>
      </w:r>
      <w:r>
        <w:rPr>
          <w:szCs w:val="22"/>
        </w:rPr>
        <w:t xml:space="preserve">them for </w:t>
      </w:r>
      <w:r w:rsidRPr="00C71FEC">
        <w:rPr>
          <w:szCs w:val="22"/>
        </w:rPr>
        <w:t>interview</w:t>
      </w:r>
      <w:r>
        <w:rPr>
          <w:szCs w:val="22"/>
        </w:rPr>
        <w:t>s</w:t>
      </w:r>
      <w:r w:rsidRPr="00C71FEC">
        <w:rPr>
          <w:szCs w:val="22"/>
        </w:rPr>
        <w:t xml:space="preserve">. </w:t>
      </w:r>
      <w:r w:rsidR="008D2618">
        <w:rPr>
          <w:szCs w:val="22"/>
        </w:rPr>
        <w:t xml:space="preserve"> </w:t>
      </w:r>
      <w:r w:rsidRPr="00C71FEC">
        <w:rPr>
          <w:rFonts w:eastAsiaTheme="minorHAnsi"/>
          <w:szCs w:val="22"/>
        </w:rPr>
        <w:t xml:space="preserve">The advance letter serves </w:t>
      </w:r>
      <w:r w:rsidRPr="00C71FEC">
        <w:rPr>
          <w:rFonts w:eastAsiaTheme="minorHAnsi"/>
          <w:szCs w:val="22"/>
        </w:rPr>
        <w:lastRenderedPageBreak/>
        <w:t xml:space="preserve">as a way to re-engage the participant in the study, alert them to the upcoming effort so that they are more prepared for the interviewer’s call.  </w:t>
      </w:r>
      <w:r w:rsidR="00E558C2">
        <w:rPr>
          <w:rFonts w:eastAsiaTheme="minorHAnsi"/>
          <w:szCs w:val="22"/>
        </w:rPr>
        <w:t xml:space="preserve">(Advance Letters are in Appendices K.)  </w:t>
      </w:r>
    </w:p>
    <w:p w14:paraId="6685F6C8" w14:textId="4EFEB835" w:rsidR="00412DB5" w:rsidRDefault="00412DB5" w:rsidP="00412DB5">
      <w:pPr>
        <w:pStyle w:val="BodyText"/>
        <w:rPr>
          <w:rFonts w:eastAsiaTheme="minorHAnsi"/>
          <w:szCs w:val="22"/>
        </w:rPr>
      </w:pPr>
      <w:r w:rsidRPr="001920AC">
        <w:rPr>
          <w:szCs w:val="22"/>
        </w:rPr>
        <w:t xml:space="preserve">The sample file </w:t>
      </w:r>
      <w:proofErr w:type="gramStart"/>
      <w:r w:rsidRPr="001920AC">
        <w:rPr>
          <w:szCs w:val="22"/>
        </w:rPr>
        <w:t>is updated</w:t>
      </w:r>
      <w:proofErr w:type="gramEnd"/>
      <w:r w:rsidRPr="001920AC">
        <w:rPr>
          <w:szCs w:val="22"/>
        </w:rPr>
        <w:t xml:space="preserve"> prior to mailing using Accurint to help ensure that the letter is mailed to the most up to date address. </w:t>
      </w:r>
      <w:r w:rsidR="008D2618">
        <w:rPr>
          <w:szCs w:val="22"/>
        </w:rPr>
        <w:t xml:space="preserve"> </w:t>
      </w:r>
      <w:proofErr w:type="gramStart"/>
      <w:r w:rsidRPr="001920AC">
        <w:rPr>
          <w:szCs w:val="22"/>
        </w:rPr>
        <w:t>This is a personalized letter that will remind participants of their agreement to participate in the study</w:t>
      </w:r>
      <w:proofErr w:type="gramEnd"/>
      <w:r w:rsidRPr="001920AC">
        <w:rPr>
          <w:szCs w:val="22"/>
        </w:rPr>
        <w:t xml:space="preserve"> and that interviewers will be calling them for the follow-up interview.  The letter also assures them that their answers </w:t>
      </w:r>
      <w:proofErr w:type="gramStart"/>
      <w:r w:rsidRPr="001920AC">
        <w:rPr>
          <w:szCs w:val="22"/>
        </w:rPr>
        <w:t xml:space="preserve">will be </w:t>
      </w:r>
      <w:r>
        <w:rPr>
          <w:szCs w:val="22"/>
        </w:rPr>
        <w:t>kept</w:t>
      </w:r>
      <w:proofErr w:type="gramEnd"/>
      <w:r>
        <w:rPr>
          <w:szCs w:val="22"/>
        </w:rPr>
        <w:t xml:space="preserve"> private</w:t>
      </w:r>
      <w:r w:rsidRPr="001920AC">
        <w:rPr>
          <w:szCs w:val="22"/>
        </w:rPr>
        <w:t xml:space="preserve"> and provides them with a toll-free number that they can call to set-up an interview.  </w:t>
      </w:r>
      <w:r w:rsidRPr="001920AC">
        <w:rPr>
          <w:rFonts w:eastAsiaTheme="minorHAnsi"/>
          <w:szCs w:val="22"/>
        </w:rPr>
        <w:t xml:space="preserve">We may also send an email version of the advance letter to participants </w:t>
      </w:r>
      <w:r>
        <w:rPr>
          <w:rFonts w:eastAsiaTheme="minorHAnsi"/>
          <w:szCs w:val="22"/>
        </w:rPr>
        <w:t>for whom we have</w:t>
      </w:r>
      <w:r w:rsidRPr="001920AC">
        <w:rPr>
          <w:rFonts w:eastAsiaTheme="minorHAnsi"/>
          <w:szCs w:val="22"/>
        </w:rPr>
        <w:t xml:space="preserve"> email addresses</w:t>
      </w:r>
      <w:r>
        <w:rPr>
          <w:rFonts w:eastAsiaTheme="minorHAnsi"/>
          <w:szCs w:val="22"/>
        </w:rPr>
        <w:t>.</w:t>
      </w:r>
    </w:p>
    <w:p w14:paraId="3C595549" w14:textId="5EC42A1F" w:rsidR="00412DB5" w:rsidRPr="001920AC" w:rsidRDefault="00412DB5" w:rsidP="00412DB5">
      <w:pPr>
        <w:pStyle w:val="BodyText"/>
        <w:rPr>
          <w:rFonts w:eastAsiaTheme="minorHAnsi"/>
          <w:szCs w:val="22"/>
        </w:rPr>
      </w:pPr>
      <w:r w:rsidRPr="001920AC">
        <w:rPr>
          <w:rFonts w:eastAsiaTheme="minorHAnsi"/>
          <w:b/>
          <w:i/>
          <w:szCs w:val="22"/>
        </w:rPr>
        <w:t xml:space="preserve">Email Reminder:  </w:t>
      </w:r>
      <w:r>
        <w:t>I</w:t>
      </w:r>
      <w:r w:rsidRPr="009F2413">
        <w:t xml:space="preserve">nterviewers </w:t>
      </w:r>
      <w:r>
        <w:t xml:space="preserve">attempt to contact participants by telephone first.  If initial phone attempts are unsuccessful, interviewers can </w:t>
      </w:r>
      <w:r w:rsidRPr="009F2413">
        <w:t>use their project-specific email accounts to</w:t>
      </w:r>
      <w:r w:rsidRPr="003640A0">
        <w:t xml:space="preserve"> introduce </w:t>
      </w:r>
      <w:r>
        <w:t xml:space="preserve">themselves </w:t>
      </w:r>
      <w:r w:rsidRPr="003640A0">
        <w:t>as the local staff</w:t>
      </w:r>
      <w:r>
        <w:t xml:space="preserve">, explain the study </w:t>
      </w:r>
      <w:r w:rsidRPr="003640A0">
        <w:t>and attempt to set up an interview.</w:t>
      </w:r>
      <w:r>
        <w:t xml:space="preserve"> </w:t>
      </w:r>
      <w:r w:rsidR="008D2618">
        <w:t xml:space="preserve"> </w:t>
      </w:r>
      <w:r>
        <w:t>They send this email, along with the advance letter, about halfway through the time during which they are working the cases.</w:t>
      </w:r>
      <w:r w:rsidR="008D2618">
        <w:t xml:space="preserve"> </w:t>
      </w:r>
      <w:r>
        <w:t xml:space="preserve"> (See Appendix J email reminder text.)</w:t>
      </w:r>
    </w:p>
    <w:p w14:paraId="76563F01" w14:textId="77777777" w:rsidR="008E29E7" w:rsidRDefault="008E29E7" w:rsidP="008E29E7">
      <w:pPr>
        <w:pStyle w:val="Heading3"/>
      </w:pPr>
      <w:r>
        <w:t xml:space="preserve">B.2.2 </w:t>
      </w:r>
      <w:r>
        <w:tab/>
      </w:r>
      <w:r w:rsidRPr="006B5241">
        <w:t>In-</w:t>
      </w:r>
      <w:r>
        <w:t>P</w:t>
      </w:r>
      <w:r w:rsidRPr="00055F5B">
        <w:t xml:space="preserve">erson </w:t>
      </w:r>
      <w:r>
        <w:t>I</w:t>
      </w:r>
      <w:r w:rsidRPr="00055F5B">
        <w:t>nterviewing</w:t>
      </w:r>
      <w:bookmarkEnd w:id="14"/>
      <w:bookmarkEnd w:id="15"/>
      <w:bookmarkEnd w:id="16"/>
    </w:p>
    <w:p w14:paraId="65BBF7CF" w14:textId="7D6CD14A" w:rsidR="008E29E7" w:rsidRDefault="008E29E7" w:rsidP="008E29E7">
      <w:pPr>
        <w:pStyle w:val="BodyText"/>
      </w:pPr>
      <w:r>
        <w:t>Data collection begins when local interviewers</w:t>
      </w:r>
      <w:r w:rsidRPr="005F4C25">
        <w:t xml:space="preserve"> </w:t>
      </w:r>
      <w:r>
        <w:t xml:space="preserve">attempt </w:t>
      </w:r>
      <w:r w:rsidRPr="005F4C25">
        <w:t>to reach the</w:t>
      </w:r>
      <w:r>
        <w:t xml:space="preserve"> study participants</w:t>
      </w:r>
      <w:r w:rsidRPr="005F4C25">
        <w:t xml:space="preserve"> by </w:t>
      </w:r>
      <w:r>
        <w:t>tele</w:t>
      </w:r>
      <w:r w:rsidRPr="005F4C25">
        <w:t>phone</w:t>
      </w:r>
      <w:r>
        <w:t xml:space="preserve">. </w:t>
      </w:r>
      <w:r w:rsidR="008D2618">
        <w:t xml:space="preserve"> </w:t>
      </w:r>
      <w:r>
        <w:t xml:space="preserve">The interviewers will </w:t>
      </w:r>
      <w:r w:rsidRPr="005F4C25">
        <w:t>call the numbers provided for the respondent</w:t>
      </w:r>
      <w:r>
        <w:t xml:space="preserve"> first </w:t>
      </w:r>
      <w:r w:rsidRPr="005F4C25">
        <w:t xml:space="preserve">and </w:t>
      </w:r>
      <w:r>
        <w:t xml:space="preserve">then attempt </w:t>
      </w:r>
      <w:r w:rsidRPr="005F4C25">
        <w:t>any alternate contacts.</w:t>
      </w:r>
      <w:r>
        <w:t xml:space="preserve"> </w:t>
      </w:r>
      <w:r w:rsidR="008D2618">
        <w:t xml:space="preserve"> </w:t>
      </w:r>
      <w:r>
        <w:t xml:space="preserve">Interviewers will have access to the full history of respondent telephone numbers collected at baseline and updated throughout the </w:t>
      </w:r>
      <w:r w:rsidR="00E558C2">
        <w:t>72-month</w:t>
      </w:r>
      <w:r>
        <w:t xml:space="preserve"> follow-up period. </w:t>
      </w:r>
    </w:p>
    <w:p w14:paraId="0FFEDE63" w14:textId="397AD8FE" w:rsidR="008E29E7" w:rsidRDefault="008E29E7" w:rsidP="006D2BE4">
      <w:pPr>
        <w:pStyle w:val="BodyText"/>
      </w:pPr>
      <w:r>
        <w:t>Interviewers will dial through the</w:t>
      </w:r>
      <w:r w:rsidR="00690C9F">
        <w:t xml:space="preserve"> complete</w:t>
      </w:r>
      <w:r>
        <w:t xml:space="preserve"> phone number history</w:t>
      </w:r>
      <w:r w:rsidR="00690C9F">
        <w:t xml:space="preserve"> for participants as well as any alternate contact information.  After they exhaust </w:t>
      </w:r>
      <w:r w:rsidR="006D2BE4">
        <w:t xml:space="preserve">phone </w:t>
      </w:r>
      <w:r w:rsidR="00E558C2">
        <w:t>efforts,</w:t>
      </w:r>
      <w:r w:rsidR="006D2BE4">
        <w:t xml:space="preserve"> </w:t>
      </w:r>
      <w:r w:rsidR="00BF3809">
        <w:t>they</w:t>
      </w:r>
      <w:r>
        <w:t xml:space="preserve"> will start to work non-completed cases in person.</w:t>
      </w:r>
      <w:r w:rsidR="008D2618">
        <w:t xml:space="preserve"> </w:t>
      </w:r>
      <w:r>
        <w:t xml:space="preserve"> Interviewers may leave s</w:t>
      </w:r>
      <w:r w:rsidRPr="005F4C25">
        <w:t>pecially designed project flyers and Sorry-I-Missed-You cards with family members or friends</w:t>
      </w:r>
      <w:r>
        <w:t xml:space="preserve"> (see Appendices J1 and J2 for the 36-month and 72-month surveys respectively). </w:t>
      </w:r>
      <w:r w:rsidR="008D2618">
        <w:t xml:space="preserve"> </w:t>
      </w:r>
    </w:p>
    <w:p w14:paraId="66935FAC" w14:textId="49502E0F" w:rsidR="00C21D50" w:rsidRPr="00173FC1" w:rsidRDefault="00C21D50" w:rsidP="006E16EC">
      <w:pPr>
        <w:pStyle w:val="Heading3"/>
      </w:pPr>
      <w:bookmarkStart w:id="17" w:name="_Toc480903475"/>
      <w:r w:rsidRPr="00173FC1">
        <w:t>B.2.</w:t>
      </w:r>
      <w:r w:rsidR="008E29E7">
        <w:t>3</w:t>
      </w:r>
      <w:r w:rsidRPr="00173FC1">
        <w:tab/>
        <w:t>Procedures with Special Populations</w:t>
      </w:r>
      <w:bookmarkEnd w:id="17"/>
    </w:p>
    <w:p w14:paraId="3ECA25B9" w14:textId="48CD1A9D" w:rsidR="00C21D50" w:rsidRPr="00842C2C" w:rsidRDefault="00C21D50" w:rsidP="00C21D50">
      <w:pPr>
        <w:pStyle w:val="BodyText"/>
      </w:pPr>
      <w:r w:rsidRPr="00173FC1">
        <w:t>All study materials designed for HPOG participants will be available in English and Spanish.</w:t>
      </w:r>
      <w:r w:rsidR="008D2618">
        <w:t xml:space="preserve"> </w:t>
      </w:r>
      <w:r w:rsidRPr="00173FC1">
        <w:t xml:space="preserve"> </w:t>
      </w:r>
      <w:r w:rsidR="00997B6B">
        <w:t>I</w:t>
      </w:r>
      <w:r w:rsidRPr="00173FC1">
        <w:t xml:space="preserve">nterviewers will be available to conduct the </w:t>
      </w:r>
      <w:r w:rsidR="00B225F9">
        <w:t>Participant Follow-Up</w:t>
      </w:r>
      <w:r w:rsidR="00997B6B">
        <w:t xml:space="preserve"> survey </w:t>
      </w:r>
      <w:r w:rsidRPr="00173FC1">
        <w:t>interview in either language.</w:t>
      </w:r>
      <w:r w:rsidR="008D2618">
        <w:t xml:space="preserve"> </w:t>
      </w:r>
      <w:r w:rsidRPr="00173FC1">
        <w:t xml:space="preserve"> Persons who speak neither English nor Spanish, deaf persons, and persons on extended overseas assignment or travel will be ineligible for follow-up, but </w:t>
      </w:r>
      <w:r w:rsidR="00202F0B">
        <w:t xml:space="preserve">interviewers </w:t>
      </w:r>
      <w:r w:rsidR="00BD143A">
        <w:t xml:space="preserve">will collect </w:t>
      </w:r>
      <w:r w:rsidRPr="00173FC1">
        <w:t xml:space="preserve">information on reasons for ineligibility. </w:t>
      </w:r>
      <w:r w:rsidR="008D2618">
        <w:t xml:space="preserve"> </w:t>
      </w:r>
      <w:r w:rsidRPr="00173FC1">
        <w:t xml:space="preserve">Persons who are incarcerated or institutionalized will </w:t>
      </w:r>
      <w:r w:rsidR="006E16EC">
        <w:t xml:space="preserve">also </w:t>
      </w:r>
      <w:r w:rsidRPr="00173FC1">
        <w:t xml:space="preserve">be </w:t>
      </w:r>
      <w:r w:rsidR="006E16EC">
        <w:t>in</w:t>
      </w:r>
      <w:r w:rsidRPr="00173FC1">
        <w:t>eligible for follow-up.</w:t>
      </w:r>
      <w:r>
        <w:t xml:space="preserve"> </w:t>
      </w:r>
    </w:p>
    <w:p w14:paraId="6C15F4AF" w14:textId="5C86CB9A" w:rsidR="00C21D50" w:rsidRPr="004F1FB4" w:rsidRDefault="00C21D50" w:rsidP="00C21D50">
      <w:pPr>
        <w:pStyle w:val="Heading2"/>
      </w:pPr>
      <w:bookmarkStart w:id="18" w:name="_Toc322083617"/>
      <w:bookmarkStart w:id="19" w:name="_Toc480903476"/>
      <w:r w:rsidRPr="004F1FB4">
        <w:t>B.3</w:t>
      </w:r>
      <w:r w:rsidRPr="004F1FB4">
        <w:tab/>
        <w:t>Methods to Maximize Response Rates</w:t>
      </w:r>
      <w:bookmarkEnd w:id="18"/>
      <w:r>
        <w:t xml:space="preserve"> and Deal with Non</w:t>
      </w:r>
      <w:r w:rsidR="00DD1474">
        <w:t>r</w:t>
      </w:r>
      <w:r>
        <w:t>esponse</w:t>
      </w:r>
      <w:bookmarkEnd w:id="19"/>
    </w:p>
    <w:p w14:paraId="2158CC8C" w14:textId="77777777" w:rsidR="00C21D50" w:rsidRDefault="00C21D50" w:rsidP="00C21D50">
      <w:pPr>
        <w:pStyle w:val="BodyText"/>
      </w:pPr>
      <w:r>
        <w:t xml:space="preserve">For the </w:t>
      </w:r>
      <w:r w:rsidR="00137566">
        <w:t>72</w:t>
      </w:r>
      <w:r w:rsidR="0065629C">
        <w:t>-month</w:t>
      </w:r>
      <w:r>
        <w:t xml:space="preserve"> follow-up, the following methods </w:t>
      </w:r>
      <w:proofErr w:type="gramStart"/>
      <w:r w:rsidR="0065629C">
        <w:t>will be used</w:t>
      </w:r>
      <w:proofErr w:type="gramEnd"/>
      <w:r w:rsidR="0065629C">
        <w:t xml:space="preserve"> to</w:t>
      </w:r>
      <w:r>
        <w:t xml:space="preserve"> maximize response: </w:t>
      </w:r>
    </w:p>
    <w:p w14:paraId="66ABCAC8" w14:textId="77777777" w:rsidR="00C21D50" w:rsidRDefault="00C21D50" w:rsidP="00C21D50">
      <w:pPr>
        <w:pStyle w:val="Bullets"/>
      </w:pPr>
      <w:r>
        <w:t xml:space="preserve">Participant </w:t>
      </w:r>
      <w:r w:rsidR="006148BA">
        <w:t xml:space="preserve">contact updates </w:t>
      </w:r>
      <w:r>
        <w:t>and locating;</w:t>
      </w:r>
    </w:p>
    <w:p w14:paraId="678F5623" w14:textId="77777777" w:rsidR="00C21D50" w:rsidRDefault="00C21D50" w:rsidP="00C21D50">
      <w:pPr>
        <w:pStyle w:val="Bullets"/>
      </w:pPr>
      <w:r>
        <w:t>Tokens of appreciation; and</w:t>
      </w:r>
    </w:p>
    <w:p w14:paraId="00E863BF" w14:textId="77777777" w:rsidR="00C21D50" w:rsidRDefault="00C21D50" w:rsidP="00F95C88">
      <w:pPr>
        <w:pStyle w:val="BulletsLast"/>
      </w:pPr>
      <w:r>
        <w:t>Sample control during the data collection period.</w:t>
      </w:r>
    </w:p>
    <w:p w14:paraId="6E47407E" w14:textId="77777777" w:rsidR="00C020CC" w:rsidRPr="002E48E4" w:rsidRDefault="00C020CC" w:rsidP="00C020CC">
      <w:pPr>
        <w:pStyle w:val="Heading3"/>
      </w:pPr>
      <w:bookmarkStart w:id="20" w:name="_Toc329063944"/>
      <w:bookmarkStart w:id="21" w:name="_Toc472859059"/>
      <w:bookmarkStart w:id="22" w:name="_Toc480903477"/>
      <w:r w:rsidRPr="002E48E4">
        <w:t>B.</w:t>
      </w:r>
      <w:r>
        <w:t>3</w:t>
      </w:r>
      <w:r w:rsidRPr="002E48E4">
        <w:t>.1</w:t>
      </w:r>
      <w:r w:rsidRPr="002E48E4">
        <w:tab/>
      </w:r>
      <w:r>
        <w:t>Participant Contact Updates and Locating</w:t>
      </w:r>
      <w:bookmarkEnd w:id="20"/>
      <w:bookmarkEnd w:id="21"/>
      <w:bookmarkEnd w:id="22"/>
    </w:p>
    <w:p w14:paraId="3E822520" w14:textId="692175B8" w:rsidR="00C21D50" w:rsidRDefault="00C21D50" w:rsidP="00C21D50">
      <w:r w:rsidRPr="005F6679">
        <w:t xml:space="preserve">The HPOG team </w:t>
      </w:r>
      <w:r w:rsidR="005201B8">
        <w:t>has</w:t>
      </w:r>
      <w:r w:rsidRPr="005F6679">
        <w:t xml:space="preserve"> develop</w:t>
      </w:r>
      <w:r w:rsidR="005201B8">
        <w:t>ed</w:t>
      </w:r>
      <w:r w:rsidRPr="005F6679">
        <w:t xml:space="preserve"> a comprehensive system to </w:t>
      </w:r>
      <w:r w:rsidR="001A7A6C">
        <w:t xml:space="preserve">maintain updated contact information and </w:t>
      </w:r>
      <w:r w:rsidRPr="005F6679">
        <w:t>maximize response</w:t>
      </w:r>
      <w:r w:rsidR="005201B8">
        <w:t xml:space="preserve"> to the 15-month </w:t>
      </w:r>
      <w:r w:rsidR="001A7A6C">
        <w:t xml:space="preserve">and 36-month </w:t>
      </w:r>
      <w:r w:rsidR="005201B8">
        <w:t>survey</w:t>
      </w:r>
      <w:r w:rsidR="001A7A6C">
        <w:t xml:space="preserve"> efforts</w:t>
      </w:r>
      <w:r w:rsidRPr="005F6679">
        <w:t>.</w:t>
      </w:r>
      <w:r w:rsidR="008D2618">
        <w:t xml:space="preserve"> </w:t>
      </w:r>
      <w:r w:rsidR="005201B8">
        <w:t xml:space="preserve"> </w:t>
      </w:r>
      <w:r w:rsidR="001A7A6C">
        <w:t>A similar</w:t>
      </w:r>
      <w:r w:rsidR="005201B8">
        <w:t xml:space="preserve"> strategy </w:t>
      </w:r>
      <w:proofErr w:type="gramStart"/>
      <w:r w:rsidR="005201B8">
        <w:t>will be followed</w:t>
      </w:r>
      <w:proofErr w:type="gramEnd"/>
      <w:r w:rsidR="005201B8">
        <w:t xml:space="preserve"> for the </w:t>
      </w:r>
      <w:r w:rsidR="001A7A6C">
        <w:t>72</w:t>
      </w:r>
      <w:r w:rsidR="005201B8">
        <w:t>-month survey.</w:t>
      </w:r>
      <w:r w:rsidR="008D2618">
        <w:t xml:space="preserve"> </w:t>
      </w:r>
      <w:r w:rsidRPr="005F6679">
        <w:t xml:space="preserve"> </w:t>
      </w:r>
      <w:r>
        <w:t xml:space="preserve">This multi-stage locating strategy blends active locating efforts (which involve </w:t>
      </w:r>
      <w:r>
        <w:lastRenderedPageBreak/>
        <w:t xml:space="preserve">direct participant contact) with passive locating efforts (which rely on various consumer database searches). </w:t>
      </w:r>
      <w:r w:rsidR="008D2618">
        <w:t xml:space="preserve"> </w:t>
      </w:r>
      <w:r>
        <w:t xml:space="preserve">At each point of contact with a participant (through </w:t>
      </w:r>
      <w:r w:rsidR="00A16DFE">
        <w:t xml:space="preserve">contact update </w:t>
      </w:r>
      <w:r>
        <w:t>lett</w:t>
      </w:r>
      <w:r w:rsidR="00984F18">
        <w:t>ers</w:t>
      </w:r>
      <w:r w:rsidRPr="006B0594">
        <w:t xml:space="preserve">), </w:t>
      </w:r>
      <w:r w:rsidRPr="00652000">
        <w:t xml:space="preserve">the research team will collect updated name, address, telephone and email information. </w:t>
      </w:r>
      <w:r w:rsidR="008D2618">
        <w:t xml:space="preserve"> </w:t>
      </w:r>
      <w:r w:rsidRPr="00652000">
        <w:t xml:space="preserve">In </w:t>
      </w:r>
      <w:r w:rsidRPr="00ED6F48">
        <w:t xml:space="preserve">addition, </w:t>
      </w:r>
      <w:r w:rsidR="00ED6F48" w:rsidRPr="00ED6F48">
        <w:t>t</w:t>
      </w:r>
      <w:r w:rsidR="008342B7" w:rsidRPr="008342B7">
        <w:t xml:space="preserve">he team will </w:t>
      </w:r>
      <w:r w:rsidR="00145008">
        <w:t>use i</w:t>
      </w:r>
      <w:r w:rsidR="00984F18">
        <w:t>nformation collected in earlier survey</w:t>
      </w:r>
      <w:r w:rsidR="0035596F">
        <w:t>s on</w:t>
      </w:r>
      <w:r w:rsidR="00145008">
        <w:t xml:space="preserve"> </w:t>
      </w:r>
      <w:r w:rsidR="008342B7" w:rsidRPr="008342B7">
        <w:t>contact data for up to three people who d</w:t>
      </w:r>
      <w:r w:rsidR="00145008">
        <w:t>id</w:t>
      </w:r>
      <w:r w:rsidR="008342B7" w:rsidRPr="008342B7">
        <w:t xml:space="preserve"> not live with the participant, but will likely know how to reach him or her. </w:t>
      </w:r>
      <w:r w:rsidR="008D2618">
        <w:t xml:space="preserve"> </w:t>
      </w:r>
      <w:r w:rsidR="008342B7" w:rsidRPr="008342B7">
        <w:t xml:space="preserve">Interviewers only use secondary contact data if the primary contact information proves to be invalid—for example, if they encounter a disconnected telephone number or a returned letter marked as undeliverable. </w:t>
      </w:r>
      <w:r w:rsidR="008D2618">
        <w:t xml:space="preserve"> </w:t>
      </w:r>
      <w:r w:rsidR="008342B7" w:rsidRPr="002E18BC">
        <w:t xml:space="preserve">Appendix </w:t>
      </w:r>
      <w:r w:rsidR="00855612">
        <w:t xml:space="preserve">F1 </w:t>
      </w:r>
      <w:r w:rsidR="008342B7" w:rsidRPr="008342B7">
        <w:t xml:space="preserve">shows a copy of the </w:t>
      </w:r>
      <w:r w:rsidR="00A16DFE">
        <w:t>contact update</w:t>
      </w:r>
      <w:r w:rsidR="00A16DFE" w:rsidRPr="008342B7">
        <w:t xml:space="preserve"> </w:t>
      </w:r>
      <w:r w:rsidR="008342B7" w:rsidRPr="008342B7">
        <w:t>letter</w:t>
      </w:r>
      <w:r w:rsidR="001A7A6C">
        <w:t xml:space="preserve"> currently in use for the 36-month survey and Appendix </w:t>
      </w:r>
      <w:r w:rsidR="00855612">
        <w:t xml:space="preserve">F2 </w:t>
      </w:r>
      <w:r w:rsidR="001A7A6C">
        <w:t>shows the contact update letter for use in t</w:t>
      </w:r>
      <w:r w:rsidR="00C020CC">
        <w:t>h</w:t>
      </w:r>
      <w:r w:rsidR="001A7A6C">
        <w:t>e 72-month survey efforts</w:t>
      </w:r>
      <w:r w:rsidR="008342B7" w:rsidRPr="008342B7">
        <w:t xml:space="preserve">.  </w:t>
      </w:r>
      <w:r w:rsidR="00ED6F48" w:rsidRPr="00ED6F48">
        <w:t xml:space="preserve">The research team </w:t>
      </w:r>
      <w:r w:rsidR="00C020CC">
        <w:t xml:space="preserve">will continue to send </w:t>
      </w:r>
      <w:r w:rsidR="00A16DFE">
        <w:t>contact update</w:t>
      </w:r>
      <w:r w:rsidR="00A16DFE" w:rsidRPr="008342B7">
        <w:t xml:space="preserve"> </w:t>
      </w:r>
      <w:r w:rsidR="008342B7" w:rsidRPr="008342B7">
        <w:t xml:space="preserve">letters </w:t>
      </w:r>
      <w:r w:rsidR="00C020CC">
        <w:t xml:space="preserve">periodically leading up to the </w:t>
      </w:r>
      <w:r w:rsidR="008D63A4">
        <w:t>36-month survey, for study participants that have not yet completed it, and for all participants selected for interviewing prior to  the72</w:t>
      </w:r>
      <w:r w:rsidR="00C020CC">
        <w:t>-month follow-up survey</w:t>
      </w:r>
      <w:r w:rsidR="005201B8">
        <w:t xml:space="preserve"> (pending OMB approval)</w:t>
      </w:r>
      <w:r w:rsidR="00984F18">
        <w:t>.</w:t>
      </w:r>
    </w:p>
    <w:p w14:paraId="21D70BAD" w14:textId="43AE0403" w:rsidR="001A7A6C" w:rsidRDefault="001A7A6C" w:rsidP="001A7A6C">
      <w:pPr>
        <w:pStyle w:val="BodyText"/>
        <w:rPr>
          <w:rFonts w:eastAsiaTheme="minorHAnsi"/>
        </w:rPr>
      </w:pPr>
      <w:r>
        <w:t xml:space="preserve">Given the time between the 15-month or 36-month follow-up surveys and the 72-month follow-up surveys, it is likely that many study participants will have changed telephone numbers (landlines as well as cell phones) and addresses, in some cases multiple times.  </w:t>
      </w:r>
      <w:r>
        <w:rPr>
          <w:rFonts w:eastAsiaTheme="minorHAnsi"/>
        </w:rPr>
        <w:t xml:space="preserve">Accurate locating information is crucial to achieving high survey response rates in any panel study; it is particularly relevant for a 72-month follow-up study. </w:t>
      </w:r>
      <w:r w:rsidR="008D2618">
        <w:rPr>
          <w:rFonts w:eastAsiaTheme="minorHAnsi"/>
        </w:rPr>
        <w:t xml:space="preserve"> </w:t>
      </w:r>
    </w:p>
    <w:p w14:paraId="51E7B786" w14:textId="0066A1B3" w:rsidR="001A7A6C" w:rsidRDefault="001A7A6C" w:rsidP="001A7A6C">
      <w:pPr>
        <w:pStyle w:val="BodyText"/>
        <w:rPr>
          <w:rFonts w:eastAsiaTheme="minorHAnsi"/>
        </w:rPr>
      </w:pPr>
      <w:r>
        <w:rPr>
          <w:rFonts w:eastAsiaTheme="minorHAnsi"/>
          <w:szCs w:val="24"/>
        </w:rPr>
        <w:t xml:space="preserve">The </w:t>
      </w:r>
      <w:r w:rsidR="008238D2">
        <w:rPr>
          <w:rFonts w:eastAsiaTheme="minorHAnsi"/>
          <w:szCs w:val="24"/>
        </w:rPr>
        <w:t>research team</w:t>
      </w:r>
      <w:r>
        <w:rPr>
          <w:rFonts w:eastAsiaTheme="minorHAnsi"/>
          <w:szCs w:val="24"/>
        </w:rPr>
        <w:t xml:space="preserve"> has developed a contact update approach that </w:t>
      </w:r>
      <w:r>
        <w:t xml:space="preserve">includes </w:t>
      </w:r>
      <w:r w:rsidRPr="005C5A7A">
        <w:t>innovative</w:t>
      </w:r>
      <w:r>
        <w:t xml:space="preserve"> and </w:t>
      </w:r>
      <w:r w:rsidRPr="005C5A7A">
        <w:t>creative</w:t>
      </w:r>
      <w:r>
        <w:t xml:space="preserve"> new ideas to supplement protocols used on the earlier survey surveys.  The team will still use a mix of activities that build in intensity over time.  We will use passive searches early on (batch Accurint processing) and  build up to more intensive active contact update efforts in the 12 months leading up to the release of the 72-month survey.  Abt Associates has used these approaches on other studies of </w:t>
      </w:r>
      <w:r w:rsidRPr="009342B0">
        <w:t>traditionally difficult</w:t>
      </w:r>
      <w:r>
        <w:t>-</w:t>
      </w:r>
      <w:r w:rsidRPr="005C5A7A">
        <w:t>to</w:t>
      </w:r>
      <w:r>
        <w:t>-</w:t>
      </w:r>
      <w:r w:rsidRPr="005C5A7A">
        <w:t xml:space="preserve">reach </w:t>
      </w:r>
      <w:r>
        <w:t xml:space="preserve">populations, such as homeless families and TANF recipients. </w:t>
      </w:r>
      <w:r w:rsidR="008D2618">
        <w:t xml:space="preserve"> </w:t>
      </w:r>
      <w:r>
        <w:rPr>
          <w:rFonts w:eastAsiaTheme="minorHAnsi"/>
        </w:rPr>
        <w:t xml:space="preserve">Exhibit B-3 shows our planned contact update activities and the schedule for conducting each one—in terms of the number of months prior to the 72-month survey data collection. </w:t>
      </w:r>
      <w:r w:rsidR="008D2618">
        <w:rPr>
          <w:rFonts w:eastAsiaTheme="minorHAnsi"/>
        </w:rPr>
        <w:t xml:space="preserve"> </w:t>
      </w:r>
    </w:p>
    <w:p w14:paraId="41787B0D" w14:textId="38B2F3C4" w:rsidR="001A7A6C" w:rsidRPr="000E54F9" w:rsidRDefault="001A7A6C" w:rsidP="001A7A6C">
      <w:pPr>
        <w:pStyle w:val="Caption"/>
        <w:rPr>
          <w:rFonts w:eastAsiaTheme="minorHAnsi"/>
        </w:rPr>
      </w:pPr>
      <w:bookmarkStart w:id="23" w:name="_Toc455757858"/>
      <w:r w:rsidRPr="000E54F9">
        <w:rPr>
          <w:rFonts w:eastAsiaTheme="minorHAnsi"/>
        </w:rPr>
        <w:t xml:space="preserve">Exhibit </w:t>
      </w:r>
      <w:r>
        <w:rPr>
          <w:rFonts w:eastAsiaTheme="minorHAnsi"/>
        </w:rPr>
        <w:t>B-3:</w:t>
      </w:r>
      <w:r w:rsidRPr="000E54F9">
        <w:rPr>
          <w:rFonts w:eastAsiaTheme="minorHAnsi"/>
        </w:rPr>
        <w:t xml:space="preserve"> </w:t>
      </w:r>
      <w:r>
        <w:rPr>
          <w:rFonts w:eastAsiaTheme="minorHAnsi"/>
        </w:rPr>
        <w:t xml:space="preserve">Participant </w:t>
      </w:r>
      <w:r w:rsidR="00433DFC">
        <w:rPr>
          <w:rFonts w:eastAsiaTheme="minorHAnsi"/>
        </w:rPr>
        <w:t>Contact Update</w:t>
      </w:r>
      <w:r w:rsidR="006D2BE4">
        <w:rPr>
          <w:rFonts w:eastAsiaTheme="minorHAnsi"/>
        </w:rPr>
        <w:t xml:space="preserve"> </w:t>
      </w:r>
      <w:r w:rsidRPr="000E54F9">
        <w:rPr>
          <w:rFonts w:eastAsiaTheme="minorHAnsi"/>
        </w:rPr>
        <w:t>and Data Collection Schedule</w:t>
      </w:r>
      <w:bookmarkEnd w:id="23"/>
    </w:p>
    <w:tbl>
      <w:tblPr>
        <w:tblStyle w:val="Abt-Lift"/>
        <w:tblW w:w="4855" w:type="pct"/>
        <w:tblInd w:w="-10" w:type="dxa"/>
        <w:tblLook w:val="04A0" w:firstRow="1" w:lastRow="0" w:firstColumn="1" w:lastColumn="0" w:noHBand="0" w:noVBand="1"/>
      </w:tblPr>
      <w:tblGrid>
        <w:gridCol w:w="4430"/>
        <w:gridCol w:w="4868"/>
      </w:tblGrid>
      <w:tr w:rsidR="001A7A6C" w:rsidRPr="00F77621" w14:paraId="685782A5" w14:textId="77777777" w:rsidTr="00412DB5">
        <w:trPr>
          <w:cnfStyle w:val="100000000000" w:firstRow="1" w:lastRow="0" w:firstColumn="0" w:lastColumn="0" w:oddVBand="0" w:evenVBand="0" w:oddHBand="0" w:evenHBand="0" w:firstRowFirstColumn="0" w:firstRowLastColumn="0" w:lastRowFirstColumn="0" w:lastRowLastColumn="0"/>
          <w:trHeight w:val="75"/>
          <w:tblHeader/>
        </w:trPr>
        <w:tc>
          <w:tcPr>
            <w:tcW w:w="2382" w:type="pct"/>
          </w:tcPr>
          <w:p w14:paraId="461586BA" w14:textId="69B0C7A7" w:rsidR="001A7A6C" w:rsidRPr="00F77621" w:rsidRDefault="001A7A6C" w:rsidP="000A723D">
            <w:pPr>
              <w:pStyle w:val="ExhibitColumnHeader"/>
              <w:keepNext/>
              <w:spacing w:after="0"/>
              <w:rPr>
                <w:b/>
              </w:rPr>
            </w:pPr>
            <w:r>
              <w:rPr>
                <w:b/>
              </w:rPr>
              <w:t>Contact Update</w:t>
            </w:r>
            <w:r w:rsidRPr="00F77621">
              <w:rPr>
                <w:b/>
              </w:rPr>
              <w:t xml:space="preserve"> Activity</w:t>
            </w:r>
          </w:p>
        </w:tc>
        <w:tc>
          <w:tcPr>
            <w:tcW w:w="2618" w:type="pct"/>
          </w:tcPr>
          <w:p w14:paraId="42DE61B7" w14:textId="77777777" w:rsidR="001A7A6C" w:rsidRPr="00F77621" w:rsidDel="003808F6" w:rsidRDefault="001A7A6C" w:rsidP="000A723D">
            <w:pPr>
              <w:pStyle w:val="ExhibitColumnHeader"/>
              <w:keepNext/>
              <w:spacing w:after="0"/>
              <w:rPr>
                <w:b/>
              </w:rPr>
            </w:pPr>
            <w:r w:rsidRPr="00F77621">
              <w:rPr>
                <w:b/>
              </w:rPr>
              <w:t>Timing (Months prior to 72-month survey)</w:t>
            </w:r>
          </w:p>
        </w:tc>
      </w:tr>
      <w:tr w:rsidR="001A7A6C" w:rsidRPr="00F77621" w14:paraId="35620A61" w14:textId="77777777" w:rsidTr="00412DB5">
        <w:tc>
          <w:tcPr>
            <w:tcW w:w="2382" w:type="pct"/>
          </w:tcPr>
          <w:p w14:paraId="003BD3A1" w14:textId="28F48383" w:rsidR="001A7A6C" w:rsidRPr="00F77621" w:rsidRDefault="00E00B1F" w:rsidP="00433DFC">
            <w:pPr>
              <w:pStyle w:val="ExhibitText"/>
              <w:keepNext/>
              <w:spacing w:after="0"/>
            </w:pPr>
            <w:r>
              <w:t xml:space="preserve">Accurint </w:t>
            </w:r>
            <w:r w:rsidR="001A7A6C" w:rsidRPr="00F77621">
              <w:t xml:space="preserve">(Passive) </w:t>
            </w:r>
            <w:r w:rsidR="00433DFC">
              <w:t>Look-up</w:t>
            </w:r>
          </w:p>
        </w:tc>
        <w:tc>
          <w:tcPr>
            <w:tcW w:w="2618" w:type="pct"/>
          </w:tcPr>
          <w:p w14:paraId="1232793E" w14:textId="77777777" w:rsidR="001A7A6C" w:rsidRPr="00F77621" w:rsidRDefault="001A7A6C" w:rsidP="000A723D">
            <w:pPr>
              <w:pStyle w:val="ExhibitText"/>
              <w:keepNext/>
              <w:spacing w:after="0"/>
            </w:pPr>
            <w:r w:rsidRPr="00F77621">
              <w:t xml:space="preserve">Every 6 </w:t>
            </w:r>
            <w:r>
              <w:t xml:space="preserve">months </w:t>
            </w:r>
            <w:r w:rsidR="00C020CC">
              <w:t>starting in mid-</w:t>
            </w:r>
            <w:r>
              <w:t>2017</w:t>
            </w:r>
          </w:p>
        </w:tc>
      </w:tr>
      <w:tr w:rsidR="001A7A6C" w:rsidRPr="00F77621" w14:paraId="4E2F425D" w14:textId="77777777" w:rsidTr="00412DB5">
        <w:trPr>
          <w:cnfStyle w:val="000000010000" w:firstRow="0" w:lastRow="0" w:firstColumn="0" w:lastColumn="0" w:oddVBand="0" w:evenVBand="0" w:oddHBand="0" w:evenHBand="1" w:firstRowFirstColumn="0" w:firstRowLastColumn="0" w:lastRowFirstColumn="0" w:lastRowLastColumn="0"/>
        </w:trPr>
        <w:tc>
          <w:tcPr>
            <w:tcW w:w="2382" w:type="pct"/>
          </w:tcPr>
          <w:p w14:paraId="0D34FEB1" w14:textId="4765FB93" w:rsidR="001A7A6C" w:rsidRPr="00F77621" w:rsidRDefault="001A7A6C" w:rsidP="000A723D">
            <w:pPr>
              <w:pStyle w:val="ExhibitText"/>
              <w:spacing w:after="0"/>
            </w:pPr>
            <w:r w:rsidRPr="00F77621">
              <w:t>Participant Contact Update</w:t>
            </w:r>
          </w:p>
        </w:tc>
        <w:tc>
          <w:tcPr>
            <w:tcW w:w="2618" w:type="pct"/>
          </w:tcPr>
          <w:p w14:paraId="451B94FB" w14:textId="77777777" w:rsidR="001A7A6C" w:rsidRPr="00F77621" w:rsidRDefault="001A7A6C" w:rsidP="000A723D">
            <w:pPr>
              <w:pStyle w:val="ExhibitText"/>
              <w:spacing w:after="0"/>
            </w:pPr>
            <w:r w:rsidRPr="00F77621">
              <w:t>12</w:t>
            </w:r>
          </w:p>
        </w:tc>
      </w:tr>
      <w:tr w:rsidR="001A7A6C" w:rsidRPr="00F77621" w14:paraId="745EC696" w14:textId="77777777" w:rsidTr="00412DB5">
        <w:tc>
          <w:tcPr>
            <w:tcW w:w="2382" w:type="pct"/>
          </w:tcPr>
          <w:p w14:paraId="0611DA2E" w14:textId="77777777" w:rsidR="001A7A6C" w:rsidRPr="00F77621" w:rsidRDefault="001A7A6C" w:rsidP="000A723D">
            <w:pPr>
              <w:pStyle w:val="ExhibitText"/>
              <w:spacing w:after="0"/>
            </w:pPr>
            <w:r>
              <w:t>Participant</w:t>
            </w:r>
            <w:r w:rsidRPr="00F77621">
              <w:t xml:space="preserve"> Newsletter</w:t>
            </w:r>
          </w:p>
        </w:tc>
        <w:tc>
          <w:tcPr>
            <w:tcW w:w="2618" w:type="pct"/>
          </w:tcPr>
          <w:p w14:paraId="75EBDBDE" w14:textId="77777777" w:rsidR="001A7A6C" w:rsidRPr="00F77621" w:rsidRDefault="001A7A6C" w:rsidP="000A723D">
            <w:pPr>
              <w:pStyle w:val="ExhibitText"/>
              <w:spacing w:after="0"/>
            </w:pPr>
            <w:r w:rsidRPr="00F77621">
              <w:t>8</w:t>
            </w:r>
          </w:p>
        </w:tc>
      </w:tr>
      <w:tr w:rsidR="001A7A6C" w:rsidRPr="00F77621" w14:paraId="1B03EEB3" w14:textId="77777777" w:rsidTr="00412DB5">
        <w:trPr>
          <w:cnfStyle w:val="000000010000" w:firstRow="0" w:lastRow="0" w:firstColumn="0" w:lastColumn="0" w:oddVBand="0" w:evenVBand="0" w:oddHBand="0" w:evenHBand="1" w:firstRowFirstColumn="0" w:firstRowLastColumn="0" w:lastRowFirstColumn="0" w:lastRowLastColumn="0"/>
        </w:trPr>
        <w:tc>
          <w:tcPr>
            <w:tcW w:w="2382" w:type="pct"/>
          </w:tcPr>
          <w:p w14:paraId="72F55AE8" w14:textId="77777777" w:rsidR="001A7A6C" w:rsidRPr="00F77621" w:rsidRDefault="001A7A6C" w:rsidP="000A723D">
            <w:pPr>
              <w:pStyle w:val="ExhibitText"/>
              <w:spacing w:after="0"/>
            </w:pPr>
            <w:r>
              <w:t>Contact Update Check-in</w:t>
            </w:r>
            <w:r w:rsidRPr="00F77621">
              <w:t xml:space="preserve"> Call</w:t>
            </w:r>
          </w:p>
        </w:tc>
        <w:tc>
          <w:tcPr>
            <w:tcW w:w="2618" w:type="pct"/>
          </w:tcPr>
          <w:p w14:paraId="49AD5E35" w14:textId="77777777" w:rsidR="001A7A6C" w:rsidRPr="00F77621" w:rsidRDefault="001A7A6C" w:rsidP="000A723D">
            <w:pPr>
              <w:pStyle w:val="ExhibitText"/>
              <w:spacing w:after="0"/>
            </w:pPr>
            <w:r w:rsidRPr="00F77621">
              <w:t>4</w:t>
            </w:r>
          </w:p>
        </w:tc>
      </w:tr>
      <w:tr w:rsidR="001A7A6C" w:rsidRPr="00F77621" w14:paraId="5ED9AA94" w14:textId="77777777" w:rsidTr="00412DB5">
        <w:tc>
          <w:tcPr>
            <w:tcW w:w="2382" w:type="pct"/>
          </w:tcPr>
          <w:p w14:paraId="00E8FB88" w14:textId="77777777" w:rsidR="001A7A6C" w:rsidRPr="00F77621" w:rsidRDefault="001A7A6C" w:rsidP="000A723D">
            <w:pPr>
              <w:pStyle w:val="ExhibitText"/>
              <w:spacing w:after="0"/>
            </w:pPr>
            <w:r w:rsidRPr="00F77621">
              <w:t>Long-Term Survey</w:t>
            </w:r>
          </w:p>
        </w:tc>
        <w:tc>
          <w:tcPr>
            <w:tcW w:w="2618" w:type="pct"/>
          </w:tcPr>
          <w:p w14:paraId="05065438" w14:textId="77777777" w:rsidR="001A7A6C" w:rsidRPr="00F77621" w:rsidRDefault="001A7A6C" w:rsidP="000A723D">
            <w:pPr>
              <w:pStyle w:val="ExhibitText"/>
              <w:spacing w:after="0"/>
            </w:pPr>
            <w:r w:rsidRPr="00F77621">
              <w:t>0</w:t>
            </w:r>
          </w:p>
        </w:tc>
      </w:tr>
      <w:tr w:rsidR="001A7A6C" w:rsidRPr="00F77621" w14:paraId="1A4E0C35" w14:textId="77777777" w:rsidTr="00412DB5">
        <w:trPr>
          <w:cnfStyle w:val="000000010000" w:firstRow="0" w:lastRow="0" w:firstColumn="0" w:lastColumn="0" w:oddVBand="0" w:evenVBand="0" w:oddHBand="0" w:evenHBand="1" w:firstRowFirstColumn="0" w:firstRowLastColumn="0" w:lastRowFirstColumn="0" w:lastRowLastColumn="0"/>
        </w:trPr>
        <w:tc>
          <w:tcPr>
            <w:tcW w:w="2382" w:type="pct"/>
          </w:tcPr>
          <w:p w14:paraId="5F71EAFB" w14:textId="77777777" w:rsidR="001A7A6C" w:rsidRPr="00F77621" w:rsidRDefault="001A7A6C" w:rsidP="000A723D">
            <w:pPr>
              <w:pStyle w:val="ExhibitText"/>
              <w:spacing w:after="0"/>
            </w:pPr>
            <w:r>
              <w:t>Participant locating</w:t>
            </w:r>
            <w:r w:rsidRPr="00F77621">
              <w:t xml:space="preserve"> in the Field</w:t>
            </w:r>
          </w:p>
        </w:tc>
        <w:tc>
          <w:tcPr>
            <w:tcW w:w="2618" w:type="pct"/>
          </w:tcPr>
          <w:p w14:paraId="30507966" w14:textId="4B87108D" w:rsidR="001A7A6C" w:rsidRPr="00F77621" w:rsidRDefault="001A7A6C" w:rsidP="000A723D">
            <w:pPr>
              <w:pStyle w:val="ExhibitText"/>
              <w:spacing w:after="0"/>
            </w:pPr>
            <w:r w:rsidRPr="00F77621">
              <w:t>From start of survey to survey completion or cohort clos</w:t>
            </w:r>
            <w:r w:rsidR="0035596F">
              <w:t>ure</w:t>
            </w:r>
          </w:p>
        </w:tc>
      </w:tr>
    </w:tbl>
    <w:p w14:paraId="3F37120A" w14:textId="77777777" w:rsidR="001A7A6C" w:rsidRDefault="001A7A6C" w:rsidP="001A7A6C">
      <w:pPr>
        <w:pStyle w:val="BodyTExtSingleFlush"/>
      </w:pPr>
    </w:p>
    <w:p w14:paraId="3EBBD9BB" w14:textId="7BCB881A" w:rsidR="001A7A6C" w:rsidRDefault="001A7A6C" w:rsidP="001A7A6C">
      <w:pPr>
        <w:pStyle w:val="BodyText"/>
        <w:rPr>
          <w:rFonts w:eastAsiaTheme="minorHAnsi"/>
        </w:rPr>
      </w:pPr>
      <w:r>
        <w:rPr>
          <w:rFonts w:eastAsiaTheme="minorHAnsi"/>
        </w:rPr>
        <w:t>Our first contact update activit</w:t>
      </w:r>
      <w:r w:rsidR="0035596F">
        <w:rPr>
          <w:rFonts w:eastAsiaTheme="minorHAnsi"/>
        </w:rPr>
        <w:t>y</w:t>
      </w:r>
      <w:r>
        <w:rPr>
          <w:rFonts w:eastAsiaTheme="minorHAnsi"/>
        </w:rPr>
        <w:t xml:space="preserve"> will be a </w:t>
      </w:r>
      <w:r w:rsidRPr="00B755DC">
        <w:rPr>
          <w:rFonts w:eastAsiaTheme="minorHAnsi"/>
          <w:b/>
          <w:i/>
        </w:rPr>
        <w:t xml:space="preserve">passive </w:t>
      </w:r>
      <w:r>
        <w:rPr>
          <w:rFonts w:eastAsiaTheme="minorHAnsi"/>
          <w:b/>
          <w:i/>
        </w:rPr>
        <w:t>database</w:t>
      </w:r>
      <w:r w:rsidRPr="00B755DC">
        <w:rPr>
          <w:rFonts w:eastAsiaTheme="minorHAnsi"/>
          <w:b/>
          <w:i/>
        </w:rPr>
        <w:t xml:space="preserve"> search</w:t>
      </w:r>
      <w:r>
        <w:rPr>
          <w:rFonts w:eastAsiaTheme="minorHAnsi"/>
        </w:rPr>
        <w:t xml:space="preserve"> followed by our </w:t>
      </w:r>
      <w:r w:rsidRPr="00B755DC">
        <w:rPr>
          <w:rFonts w:eastAsiaTheme="minorHAnsi"/>
          <w:b/>
          <w:i/>
        </w:rPr>
        <w:t>standard participant contact update mailing</w:t>
      </w:r>
      <w:r w:rsidR="00400084">
        <w:rPr>
          <w:rFonts w:eastAsiaTheme="minorHAnsi"/>
        </w:rPr>
        <w:t xml:space="preserve"> (See Appendices E and F.)</w:t>
      </w:r>
      <w:r>
        <w:rPr>
          <w:rFonts w:eastAsiaTheme="minorHAnsi"/>
        </w:rPr>
        <w:t xml:space="preserve">  Passive database searches allow us to gain updated respondent contact data using proprietary databases of vendors such as Accurint.  This way, </w:t>
      </w:r>
      <w:r w:rsidR="00202F0B">
        <w:rPr>
          <w:rFonts w:eastAsiaTheme="minorHAnsi"/>
        </w:rPr>
        <w:t xml:space="preserve">the </w:t>
      </w:r>
      <w:r w:rsidR="008238D2">
        <w:rPr>
          <w:rFonts w:eastAsiaTheme="minorHAnsi"/>
        </w:rPr>
        <w:t>research team</w:t>
      </w:r>
      <w:r w:rsidR="00202F0B">
        <w:rPr>
          <w:rFonts w:eastAsiaTheme="minorHAnsi"/>
        </w:rPr>
        <w:t xml:space="preserve"> can update </w:t>
      </w:r>
      <w:r>
        <w:rPr>
          <w:rFonts w:eastAsiaTheme="minorHAnsi"/>
        </w:rPr>
        <w:t xml:space="preserve">contact data quickly and efficiently, without any respondent burden.  Accurint lookups for the study sample </w:t>
      </w:r>
      <w:proofErr w:type="gramStart"/>
      <w:r w:rsidR="00202F0B">
        <w:rPr>
          <w:rFonts w:eastAsiaTheme="minorHAnsi"/>
        </w:rPr>
        <w:t xml:space="preserve">will be </w:t>
      </w:r>
      <w:r w:rsidR="00265B13">
        <w:rPr>
          <w:rFonts w:eastAsiaTheme="minorHAnsi"/>
        </w:rPr>
        <w:t>conducted</w:t>
      </w:r>
      <w:proofErr w:type="gramEnd"/>
      <w:r w:rsidR="00265B13">
        <w:rPr>
          <w:rFonts w:eastAsiaTheme="minorHAnsi"/>
        </w:rPr>
        <w:t xml:space="preserve"> every six months</w:t>
      </w:r>
      <w:r>
        <w:rPr>
          <w:rFonts w:eastAsiaTheme="minorHAnsi"/>
        </w:rPr>
        <w:t>.</w:t>
      </w:r>
    </w:p>
    <w:p w14:paraId="479CBB71" w14:textId="77777777" w:rsidR="001A7A6C" w:rsidRDefault="001A7A6C" w:rsidP="001A7A6C">
      <w:pPr>
        <w:pStyle w:val="BodyText"/>
        <w:rPr>
          <w:rFonts w:eastAsiaTheme="minorHAnsi"/>
        </w:rPr>
      </w:pPr>
      <w:r>
        <w:rPr>
          <w:rFonts w:eastAsiaTheme="minorHAnsi"/>
        </w:rPr>
        <w:t xml:space="preserve">Twelve months before a participant </w:t>
      </w:r>
      <w:proofErr w:type="gramStart"/>
      <w:r>
        <w:rPr>
          <w:rFonts w:eastAsiaTheme="minorHAnsi"/>
        </w:rPr>
        <w:t>is scheduled to be interviewed</w:t>
      </w:r>
      <w:proofErr w:type="gramEnd"/>
      <w:r>
        <w:rPr>
          <w:rFonts w:eastAsiaTheme="minorHAnsi"/>
        </w:rPr>
        <w:t xml:space="preserve">, participants will be mailed a standard </w:t>
      </w:r>
      <w:r w:rsidRPr="00B755DC">
        <w:rPr>
          <w:rFonts w:eastAsiaTheme="minorHAnsi"/>
        </w:rPr>
        <w:t>contact update mailing</w:t>
      </w:r>
      <w:r>
        <w:rPr>
          <w:rFonts w:eastAsiaTheme="minorHAnsi"/>
        </w:rPr>
        <w:t xml:space="preserve"> for all potential survey sample members.  The letter will invite them to update </w:t>
      </w:r>
      <w:r>
        <w:rPr>
          <w:rFonts w:eastAsiaTheme="minorHAnsi"/>
        </w:rPr>
        <w:lastRenderedPageBreak/>
        <w:t xml:space="preserve">their contact information as well as information for up to three alternative contacts.  This contact update will help reestablish communication with study participants who have not had any recent interaction with the study.  </w:t>
      </w:r>
    </w:p>
    <w:p w14:paraId="7D4E9F28" w14:textId="6ECFC859" w:rsidR="00E00B1F" w:rsidRDefault="001A7A6C" w:rsidP="00E00B1F">
      <w:pPr>
        <w:pStyle w:val="Heading5"/>
        <w:spacing w:before="0" w:after="0"/>
        <w:rPr>
          <w:rFonts w:eastAsiaTheme="minorHAnsi"/>
          <w:b w:val="0"/>
          <w:i w:val="0"/>
          <w:color w:val="auto"/>
        </w:rPr>
      </w:pPr>
      <w:r>
        <w:rPr>
          <w:rFonts w:eastAsiaTheme="minorHAnsi"/>
          <w:color w:val="auto"/>
        </w:rPr>
        <w:t>Participant</w:t>
      </w:r>
      <w:r w:rsidRPr="00454E02">
        <w:rPr>
          <w:rFonts w:eastAsiaTheme="minorHAnsi"/>
          <w:color w:val="auto"/>
        </w:rPr>
        <w:t xml:space="preserve"> </w:t>
      </w:r>
      <w:r w:rsidR="008D63A4">
        <w:rPr>
          <w:rFonts w:eastAsiaTheme="minorHAnsi"/>
          <w:color w:val="auto"/>
        </w:rPr>
        <w:t>newsletter (Appendix H)</w:t>
      </w:r>
      <w:r w:rsidRPr="00454E02">
        <w:rPr>
          <w:rFonts w:eastAsiaTheme="minorHAnsi"/>
          <w:color w:val="auto"/>
        </w:rPr>
        <w:t xml:space="preserve">:  </w:t>
      </w:r>
      <w:r w:rsidRPr="00454E02">
        <w:rPr>
          <w:rFonts w:eastAsiaTheme="minorHAnsi"/>
          <w:b w:val="0"/>
          <w:i w:val="0"/>
          <w:color w:val="auto"/>
        </w:rPr>
        <w:t>To reengage the study participants selected for the 72-month long-term survey sample, our team needs to catch their attention, draw them back in and help re-engage t</w:t>
      </w:r>
      <w:r>
        <w:rPr>
          <w:rFonts w:eastAsiaTheme="minorHAnsi"/>
          <w:b w:val="0"/>
          <w:i w:val="0"/>
          <w:color w:val="auto"/>
        </w:rPr>
        <w:t>hem in the study.  This participant</w:t>
      </w:r>
      <w:r w:rsidRPr="00454E02">
        <w:rPr>
          <w:rFonts w:eastAsiaTheme="minorHAnsi"/>
          <w:b w:val="0"/>
          <w:i w:val="0"/>
          <w:color w:val="auto"/>
        </w:rPr>
        <w:t xml:space="preserve"> newsletter will start by thanking participants for their continued cooperation and emphasize the importance of their participation—even if they were assigned to the control group and did not participate in the program.  It will include some study highligh</w:t>
      </w:r>
      <w:r>
        <w:rPr>
          <w:rFonts w:eastAsiaTheme="minorHAnsi"/>
          <w:b w:val="0"/>
          <w:i w:val="0"/>
          <w:color w:val="auto"/>
        </w:rPr>
        <w:t xml:space="preserve">ts from the </w:t>
      </w:r>
      <w:r w:rsidR="00B62F68">
        <w:rPr>
          <w:rFonts w:eastAsiaTheme="minorHAnsi"/>
          <w:b w:val="0"/>
          <w:i w:val="0"/>
          <w:color w:val="auto"/>
        </w:rPr>
        <w:t>HPOG</w:t>
      </w:r>
      <w:r w:rsidR="00C020CC">
        <w:rPr>
          <w:rFonts w:eastAsiaTheme="minorHAnsi"/>
          <w:b w:val="0"/>
          <w:i w:val="0"/>
          <w:color w:val="auto"/>
        </w:rPr>
        <w:t xml:space="preserve">-Impact </w:t>
      </w:r>
      <w:r>
        <w:rPr>
          <w:rFonts w:eastAsiaTheme="minorHAnsi"/>
          <w:b w:val="0"/>
          <w:i w:val="0"/>
          <w:color w:val="auto"/>
        </w:rPr>
        <w:t>study</w:t>
      </w:r>
      <w:r w:rsidRPr="00454E02">
        <w:rPr>
          <w:rFonts w:eastAsiaTheme="minorHAnsi"/>
          <w:b w:val="0"/>
          <w:i w:val="0"/>
          <w:color w:val="auto"/>
        </w:rPr>
        <w:t xml:space="preserve">.  Finally, it will explain the remaining data collection activities and offer participants an opportunity to update their contact information via the online system or on paper.  This newsletter </w:t>
      </w:r>
      <w:proofErr w:type="gramStart"/>
      <w:r w:rsidRPr="00454E02">
        <w:rPr>
          <w:rFonts w:eastAsiaTheme="minorHAnsi"/>
          <w:b w:val="0"/>
          <w:i w:val="0"/>
          <w:color w:val="auto"/>
        </w:rPr>
        <w:t>will be sent</w:t>
      </w:r>
      <w:proofErr w:type="gramEnd"/>
      <w:r w:rsidRPr="00454E02">
        <w:rPr>
          <w:rFonts w:eastAsiaTheme="minorHAnsi"/>
          <w:b w:val="0"/>
          <w:i w:val="0"/>
          <w:color w:val="auto"/>
        </w:rPr>
        <w:t xml:space="preserve"> eight months prior to the release of the 72-month survey,</w:t>
      </w:r>
      <w:r>
        <w:rPr>
          <w:rFonts w:eastAsiaTheme="minorHAnsi"/>
          <w:b w:val="0"/>
          <w:i w:val="0"/>
          <w:color w:val="auto"/>
        </w:rPr>
        <w:t xml:space="preserve"> replacing the standard contact update</w:t>
      </w:r>
      <w:r w:rsidRPr="00454E02">
        <w:rPr>
          <w:rFonts w:eastAsiaTheme="minorHAnsi"/>
          <w:b w:val="0"/>
          <w:i w:val="0"/>
          <w:color w:val="auto"/>
        </w:rPr>
        <w:t xml:space="preserve"> letter that would have gone out at that t</w:t>
      </w:r>
      <w:r>
        <w:rPr>
          <w:rFonts w:eastAsiaTheme="minorHAnsi"/>
          <w:b w:val="0"/>
          <w:i w:val="0"/>
          <w:color w:val="auto"/>
        </w:rPr>
        <w:t xml:space="preserve">ime. </w:t>
      </w:r>
      <w:r w:rsidR="00E00B1F">
        <w:rPr>
          <w:rFonts w:eastAsiaTheme="minorHAnsi"/>
          <w:b w:val="0"/>
          <w:i w:val="0"/>
          <w:color w:val="auto"/>
        </w:rPr>
        <w:t xml:space="preserve"> </w:t>
      </w:r>
    </w:p>
    <w:p w14:paraId="3445EEF3" w14:textId="77777777" w:rsidR="00E00B1F" w:rsidRPr="00E00B1F" w:rsidRDefault="00E00B1F" w:rsidP="00E00B1F">
      <w:pPr>
        <w:pStyle w:val="BodyText"/>
        <w:rPr>
          <w:rFonts w:eastAsiaTheme="minorHAnsi"/>
        </w:rPr>
      </w:pPr>
    </w:p>
    <w:p w14:paraId="7DAA6E2F" w14:textId="245A9500" w:rsidR="001A7A6C" w:rsidRDefault="001A7A6C" w:rsidP="00E00B1F">
      <w:pPr>
        <w:pStyle w:val="Heading5"/>
        <w:numPr>
          <w:ilvl w:val="0"/>
          <w:numId w:val="0"/>
        </w:numPr>
        <w:spacing w:before="0" w:after="0"/>
        <w:rPr>
          <w:rFonts w:eastAsiaTheme="minorHAnsi"/>
          <w:b w:val="0"/>
          <w:i w:val="0"/>
          <w:color w:val="auto"/>
        </w:rPr>
      </w:pPr>
      <w:r>
        <w:rPr>
          <w:rFonts w:eastAsiaTheme="minorHAnsi"/>
          <w:color w:val="auto"/>
        </w:rPr>
        <w:t>Contact Update Check-in</w:t>
      </w:r>
      <w:r w:rsidRPr="00C91ABD">
        <w:rPr>
          <w:rFonts w:eastAsiaTheme="minorHAnsi"/>
          <w:color w:val="auto"/>
        </w:rPr>
        <w:t xml:space="preserve"> Call</w:t>
      </w:r>
      <w:r w:rsidR="008D63A4">
        <w:rPr>
          <w:rFonts w:eastAsiaTheme="minorHAnsi"/>
          <w:color w:val="auto"/>
        </w:rPr>
        <w:t xml:space="preserve"> (Appendix M)</w:t>
      </w:r>
      <w:r w:rsidRPr="00C91ABD">
        <w:rPr>
          <w:rFonts w:eastAsiaTheme="minorHAnsi"/>
          <w:color w:val="auto"/>
        </w:rPr>
        <w:t>:</w:t>
      </w:r>
      <w:r w:rsidRPr="00C91ABD">
        <w:rPr>
          <w:rFonts w:eastAsiaTheme="minorHAnsi"/>
          <w:b w:val="0"/>
          <w:i w:val="0"/>
          <w:color w:val="auto"/>
        </w:rPr>
        <w:t xml:space="preserve">  The local interviewers will attempt to conduct a short </w:t>
      </w:r>
      <w:r>
        <w:rPr>
          <w:rFonts w:eastAsiaTheme="minorHAnsi"/>
          <w:b w:val="0"/>
          <w:i w:val="0"/>
          <w:color w:val="auto"/>
        </w:rPr>
        <w:t>check-in</w:t>
      </w:r>
      <w:r w:rsidRPr="00C91ABD">
        <w:rPr>
          <w:rFonts w:eastAsiaTheme="minorHAnsi"/>
          <w:b w:val="0"/>
          <w:i w:val="0"/>
          <w:color w:val="auto"/>
        </w:rPr>
        <w:t xml:space="preserve"> call with the study participants four months prior to the release of the 72-month survey.  This call allows the local interviewers to build upon their existing rapport with participants established during the 15-month and 36-month follow-up data collection efforts.  Interviewers will inform study participants about the next </w:t>
      </w:r>
      <w:proofErr w:type="gramStart"/>
      <w:r w:rsidRPr="00C91ABD">
        <w:rPr>
          <w:rFonts w:eastAsiaTheme="minorHAnsi"/>
          <w:b w:val="0"/>
          <w:i w:val="0"/>
          <w:color w:val="auto"/>
        </w:rPr>
        <w:t>survey data collection effort</w:t>
      </w:r>
      <w:proofErr w:type="gramEnd"/>
      <w:r w:rsidRPr="00C91ABD">
        <w:rPr>
          <w:rFonts w:eastAsiaTheme="minorHAnsi"/>
          <w:b w:val="0"/>
          <w:i w:val="0"/>
          <w:color w:val="auto"/>
        </w:rPr>
        <w:t xml:space="preserve"> and address any questions about the study such as “Why are you calling me again?” or “Why should I participate?”  Interviewers would conclude the call by collecting updated contact data.  All new contact information </w:t>
      </w:r>
      <w:proofErr w:type="gramStart"/>
      <w:r w:rsidRPr="00C91ABD">
        <w:rPr>
          <w:rFonts w:eastAsiaTheme="minorHAnsi"/>
          <w:b w:val="0"/>
          <w:i w:val="0"/>
          <w:color w:val="auto"/>
        </w:rPr>
        <w:t>will be appended</w:t>
      </w:r>
      <w:proofErr w:type="gramEnd"/>
      <w:r w:rsidRPr="00C91ABD">
        <w:rPr>
          <w:rFonts w:eastAsiaTheme="minorHAnsi"/>
          <w:b w:val="0"/>
          <w:i w:val="0"/>
          <w:color w:val="auto"/>
        </w:rPr>
        <w:t xml:space="preserve"> to the study database prior to the start of the 72-month follow-up survey.</w:t>
      </w:r>
    </w:p>
    <w:p w14:paraId="4A315178" w14:textId="77777777" w:rsidR="00400084" w:rsidRPr="00400084" w:rsidRDefault="00400084" w:rsidP="00400084">
      <w:pPr>
        <w:pStyle w:val="BodyText"/>
      </w:pPr>
    </w:p>
    <w:p w14:paraId="0E51FAFC" w14:textId="77777777" w:rsidR="00C21D50" w:rsidRPr="002E48E4" w:rsidRDefault="00E505C8" w:rsidP="00E505C8">
      <w:pPr>
        <w:pStyle w:val="Heading3"/>
      </w:pPr>
      <w:bookmarkStart w:id="24" w:name="_Toc480903478"/>
      <w:r>
        <w:t>B.3.2</w:t>
      </w:r>
      <w:r>
        <w:tab/>
      </w:r>
      <w:r w:rsidR="00C21D50">
        <w:t>Tokens of Appreciation</w:t>
      </w:r>
      <w:bookmarkEnd w:id="24"/>
    </w:p>
    <w:p w14:paraId="7A165D66" w14:textId="79ECBA6A" w:rsidR="00C7397F" w:rsidRDefault="00C7397F" w:rsidP="00C7397F">
      <w:pPr>
        <w:pStyle w:val="BodyText"/>
      </w:pPr>
      <w:r w:rsidRPr="00B14AC5">
        <w:t xml:space="preserve">Monetary incentives show study participants that the </w:t>
      </w:r>
      <w:r w:rsidR="008238D2">
        <w:t>research team</w:t>
      </w:r>
      <w:r w:rsidRPr="00B14AC5">
        <w:t xml:space="preserve"> </w:t>
      </w:r>
      <w:r w:rsidR="00D528AA">
        <w:t xml:space="preserve">respects and </w:t>
      </w:r>
      <w:r w:rsidRPr="00B14AC5">
        <w:t xml:space="preserve">appreciates the time they spend participating in </w:t>
      </w:r>
      <w:proofErr w:type="gramStart"/>
      <w:r w:rsidRPr="00B14AC5">
        <w:t xml:space="preserve">study </w:t>
      </w:r>
      <w:r>
        <w:t>information</w:t>
      </w:r>
      <w:r w:rsidRPr="00B14AC5">
        <w:t xml:space="preserve"> collection activities</w:t>
      </w:r>
      <w:proofErr w:type="gramEnd"/>
      <w:r w:rsidRPr="00B14AC5">
        <w:t xml:space="preserve">. </w:t>
      </w:r>
      <w:r w:rsidR="00E00B1F">
        <w:t xml:space="preserve"> </w:t>
      </w:r>
      <w:r>
        <w:t xml:space="preserve">Although evidence of the effectiveness of incentives in reducing nonresponse bias appears to be nearly nonexistent, it </w:t>
      </w:r>
      <w:proofErr w:type="gramStart"/>
      <w:r>
        <w:t>is well established</w:t>
      </w:r>
      <w:proofErr w:type="gramEnd"/>
      <w:r>
        <w:t xml:space="preserve"> that incentives strongly reduce attrition in panel studies.</w:t>
      </w:r>
      <w:r>
        <w:rPr>
          <w:rStyle w:val="FootnoteReference"/>
        </w:rPr>
        <w:footnoteReference w:id="2"/>
      </w:r>
      <w:r>
        <w:t xml:space="preserve">  </w:t>
      </w:r>
    </w:p>
    <w:p w14:paraId="470A19AD" w14:textId="034A8474" w:rsidR="00C7397F" w:rsidRDefault="00C7397F" w:rsidP="00C7397F">
      <w:pPr>
        <w:pStyle w:val="BodyText"/>
      </w:pPr>
      <w:r>
        <w:t xml:space="preserve">In longitudinal studies such as </w:t>
      </w:r>
      <w:r w:rsidR="00B62F68">
        <w:t>HPOG</w:t>
      </w:r>
      <w:r w:rsidR="00137566" w:rsidRPr="00B62F68">
        <w:t>-Impact</w:t>
      </w:r>
      <w:r>
        <w:t xml:space="preserve">, panel retention during the follow-up period is critical to minimizing the risk of nonresponse bias and to achieving sufficient sample for analysis. </w:t>
      </w:r>
      <w:r w:rsidR="00E00B1F">
        <w:t xml:space="preserve"> </w:t>
      </w:r>
      <w:proofErr w:type="gramStart"/>
      <w:r>
        <w:t xml:space="preserve">Although low response rates do not necessarily lead to nonresponse bias and it is at least theoretically possible to worsen nonresponse bias by employing some techniques to boost response rates (Groves, 2006), most statisticians and econometricians involved in the design and analysis of randomized field trials of social programs agree that it is generally desirable to obtain a response rate as close to 80 percent as possible in all arms of the trial (Deke </w:t>
      </w:r>
      <w:r w:rsidR="00892FB1">
        <w:t xml:space="preserve">&amp; </w:t>
      </w:r>
      <w:r>
        <w:t>Chiang, 2016).</w:t>
      </w:r>
      <w:proofErr w:type="gramEnd"/>
      <w:r>
        <w:t xml:space="preserve"> </w:t>
      </w:r>
      <w:r w:rsidR="00E00B1F">
        <w:t xml:space="preserve"> </w:t>
      </w:r>
      <w:r>
        <w:t>The work of Deke and Chiang underlies the influential guidelines of the What Works Clearinghouse (WWC).</w:t>
      </w:r>
      <w:r w:rsidR="00E00B1F">
        <w:t xml:space="preserve"> </w:t>
      </w:r>
      <w:r>
        <w:t xml:space="preserve"> Under those guidelines, the evidential quality rating of an evaluation </w:t>
      </w:r>
      <w:proofErr w:type="gramStart"/>
      <w:r>
        <w:t>is downgraded</w:t>
      </w:r>
      <w:proofErr w:type="gramEnd"/>
      <w:r>
        <w:t xml:space="preserve"> if the differential exceeds a certain tolerance (</w:t>
      </w:r>
      <w:r w:rsidR="00EC646B">
        <w:t xml:space="preserve">e.g., </w:t>
      </w:r>
      <w:r>
        <w:t xml:space="preserve">4 percentage points </w:t>
      </w:r>
      <w:r w:rsidR="0035596F">
        <w:t>when the</w:t>
      </w:r>
      <w:r>
        <w:t xml:space="preserve"> overall response rate </w:t>
      </w:r>
      <w:r w:rsidR="0035596F">
        <w:t>is</w:t>
      </w:r>
      <w:r>
        <w:t xml:space="preserve"> 80 percent). </w:t>
      </w:r>
      <w:r w:rsidR="00E00B1F">
        <w:t xml:space="preserve"> </w:t>
      </w:r>
    </w:p>
    <w:p w14:paraId="6987D2FE" w14:textId="5CC8024E" w:rsidR="00C7397F" w:rsidRDefault="00C7397F" w:rsidP="00C7397F">
      <w:pPr>
        <w:pStyle w:val="BodyText"/>
      </w:pPr>
      <w:r>
        <w:t xml:space="preserve">Mindful of these risks and the solid empirical base of research demonstrating that incentives do increase response rates, OPRE and OMB authorized incentives for the prior rounds of data collection at 15 and 36 </w:t>
      </w:r>
      <w:r>
        <w:lastRenderedPageBreak/>
        <w:t xml:space="preserve">months </w:t>
      </w:r>
      <w:r>
        <w:rPr>
          <w:szCs w:val="22"/>
        </w:rPr>
        <w:t xml:space="preserve">(OMB control number </w:t>
      </w:r>
      <w:r w:rsidRPr="00194577">
        <w:rPr>
          <w:szCs w:val="22"/>
        </w:rPr>
        <w:t>0970-0397</w:t>
      </w:r>
      <w:r>
        <w:rPr>
          <w:szCs w:val="22"/>
        </w:rPr>
        <w:t>)</w:t>
      </w:r>
      <w:r>
        <w:t xml:space="preserve">.  At 15 months, the incentive was $30 for completing the interview and $5 for updating their contact information in advance of the scheduled interview time.  With these incentives, </w:t>
      </w:r>
      <w:r w:rsidR="00B62F68">
        <w:t>HPOG-Impact</w:t>
      </w:r>
      <w:r>
        <w:t xml:space="preserve"> achieved response rates for the treatment group varying from 65.2 percent to 92.3 percent (treatment) across all sites</w:t>
      </w:r>
      <w:r w:rsidR="00F72CF1">
        <w:t>.</w:t>
      </w:r>
      <w:r>
        <w:t xml:space="preserve">  Response rates on the control groups were generally lower varying from 59.8 percent to </w:t>
      </w:r>
      <w:r w:rsidR="00B62F68">
        <w:t>80.5 percent.  Overall, HPOG</w:t>
      </w:r>
      <w:r>
        <w:t xml:space="preserve">-Impact experienced a differential response rate of 6.9 percentage points </w:t>
      </w:r>
      <w:r w:rsidR="0035596F">
        <w:t>between</w:t>
      </w:r>
      <w:r>
        <w:t xml:space="preserve"> the treatment and control </w:t>
      </w:r>
      <w:r w:rsidR="00C61454">
        <w:t xml:space="preserve">groups. </w:t>
      </w:r>
      <w:r w:rsidR="00E00B1F">
        <w:t xml:space="preserve"> </w:t>
      </w:r>
      <w:r>
        <w:t xml:space="preserve">Site-specific </w:t>
      </w:r>
      <w:r w:rsidR="00427C12">
        <w:t>differences ranged</w:t>
      </w:r>
      <w:r>
        <w:t xml:space="preserve"> from -3.4 to +17.7 percentage points.</w:t>
      </w:r>
    </w:p>
    <w:p w14:paraId="1AB64F9D" w14:textId="77777777" w:rsidR="00C7397F" w:rsidRDefault="00C7397F" w:rsidP="00C7397F">
      <w:pPr>
        <w:pStyle w:val="BodyText"/>
        <w:rPr>
          <w:sz w:val="24"/>
          <w:szCs w:val="24"/>
        </w:rPr>
      </w:pPr>
      <w:proofErr w:type="gramStart"/>
      <w:r>
        <w:t>Given these response rates and gaps, at 36 months, the conditional incentive for completing the main interview was increased to $40, the $5 incentive for updating contact information was changed to a $2 prepayment included in the request for a contact update, and a prepayment of $5 was added to the advance letter package to remind them of the study and take note that a legitimate interviewer would be calling them shortly to learn about their experiences since study enrollment.</w:t>
      </w:r>
      <w:proofErr w:type="gramEnd"/>
      <w:r>
        <w:rPr>
          <w:sz w:val="24"/>
          <w:szCs w:val="24"/>
        </w:rPr>
        <w:t xml:space="preserve"> </w:t>
      </w:r>
    </w:p>
    <w:p w14:paraId="5F18FEBE" w14:textId="22BB3706" w:rsidR="00C7397F" w:rsidRDefault="00C7397F" w:rsidP="00C7397F">
      <w:pPr>
        <w:pStyle w:val="BodyText"/>
      </w:pPr>
      <w:r>
        <w:t xml:space="preserve">In most longitudinal studies, response rates decline over follow-up rounds.  Abt Associates is currently about mid-way through data collection for the 36-month follow-up.  Perhaps due to the increased incentives, among other efforts, </w:t>
      </w:r>
      <w:r w:rsidR="00BD77A5">
        <w:t xml:space="preserve">as of April 11, 2017, </w:t>
      </w:r>
      <w:r>
        <w:t xml:space="preserve">the average response rate is only </w:t>
      </w:r>
      <w:r w:rsidR="008D63A4">
        <w:t>three</w:t>
      </w:r>
      <w:r>
        <w:t xml:space="preserve"> </w:t>
      </w:r>
      <w:r w:rsidR="008D63A4">
        <w:t>percentage points</w:t>
      </w:r>
      <w:r>
        <w:t xml:space="preserve"> lower than it was for the 15-month follow-up.  Of course, the </w:t>
      </w:r>
      <w:proofErr w:type="gramStart"/>
      <w:r>
        <w:t>72 month</w:t>
      </w:r>
      <w:proofErr w:type="gramEnd"/>
      <w:r>
        <w:t xml:space="preserve"> follow-up is three years later</w:t>
      </w:r>
      <w:r w:rsidR="00EC646B">
        <w:t xml:space="preserve"> and</w:t>
      </w:r>
      <w:r w:rsidR="00DD3B1F">
        <w:t xml:space="preserve"> locating</w:t>
      </w:r>
      <w:r>
        <w:t xml:space="preserve"> challenges will be even </w:t>
      </w:r>
      <w:r w:rsidR="00427C12">
        <w:t>greater</w:t>
      </w:r>
      <w:r>
        <w:t xml:space="preserve">.  Given a target of a 74 percent response rate for the 72-month follow-up, it would be wise to further increase incentives, as well as </w:t>
      </w:r>
      <w:proofErr w:type="gramStart"/>
      <w:r>
        <w:t>to slightly restructure</w:t>
      </w:r>
      <w:proofErr w:type="gramEnd"/>
      <w:r>
        <w:t xml:space="preserve"> them.  </w:t>
      </w:r>
    </w:p>
    <w:p w14:paraId="5CF1AE84" w14:textId="77777777" w:rsidR="00C7397F" w:rsidRPr="00FE10A0" w:rsidRDefault="00C7397F" w:rsidP="00C7397F">
      <w:pPr>
        <w:pStyle w:val="BodyText"/>
      </w:pPr>
      <w:r w:rsidRPr="00FE10A0">
        <w:t xml:space="preserve">The amounts </w:t>
      </w:r>
      <w:r>
        <w:t xml:space="preserve">proposed (subject to OMB approval) for the 72-month </w:t>
      </w:r>
      <w:r w:rsidRPr="00FE10A0">
        <w:t xml:space="preserve">survey and </w:t>
      </w:r>
      <w:r>
        <w:t>contact update</w:t>
      </w:r>
      <w:r w:rsidRPr="00FE10A0">
        <w:t xml:space="preserve"> responses are as follows:</w:t>
      </w:r>
    </w:p>
    <w:p w14:paraId="3EC0E295" w14:textId="77777777" w:rsidR="00C7397F" w:rsidRDefault="00C7397F" w:rsidP="00A52FDA">
      <w:pPr>
        <w:pStyle w:val="Bullets"/>
        <w:widowControl w:val="0"/>
        <w:spacing w:after="0"/>
        <w:contextualSpacing/>
      </w:pPr>
      <w:r>
        <w:t>$5 token of appreciation for responding to the first contact update letter;</w:t>
      </w:r>
    </w:p>
    <w:p w14:paraId="08C145CC" w14:textId="77777777" w:rsidR="00C7397F" w:rsidRDefault="00C7397F" w:rsidP="00A52FDA">
      <w:pPr>
        <w:pStyle w:val="Bullets"/>
        <w:widowControl w:val="0"/>
        <w:spacing w:after="0"/>
        <w:contextualSpacing/>
      </w:pPr>
      <w:r>
        <w:t>$10 token of appreciation for the completing the check-in call;</w:t>
      </w:r>
    </w:p>
    <w:p w14:paraId="799F6A83" w14:textId="000D52B2" w:rsidR="00C7397F" w:rsidRDefault="00C7397F" w:rsidP="00A52FDA">
      <w:pPr>
        <w:pStyle w:val="Bullets"/>
        <w:widowControl w:val="0"/>
        <w:spacing w:after="0"/>
        <w:contextualSpacing/>
      </w:pPr>
      <w:proofErr w:type="gramStart"/>
      <w:r>
        <w:t>$45 token of appreciation for completing the survey.</w:t>
      </w:r>
      <w:proofErr w:type="gramEnd"/>
      <w:r>
        <w:t xml:space="preserve"> </w:t>
      </w:r>
      <w:r w:rsidR="00E00B1F">
        <w:t xml:space="preserve"> </w:t>
      </w:r>
    </w:p>
    <w:p w14:paraId="3499A8AD" w14:textId="77777777" w:rsidR="00A52FDA" w:rsidRDefault="00A52FDA" w:rsidP="00A52FDA">
      <w:pPr>
        <w:pStyle w:val="Bullets"/>
        <w:widowControl w:val="0"/>
        <w:numPr>
          <w:ilvl w:val="0"/>
          <w:numId w:val="0"/>
        </w:numPr>
        <w:spacing w:after="0"/>
        <w:ind w:left="360"/>
        <w:contextualSpacing/>
      </w:pPr>
    </w:p>
    <w:p w14:paraId="13F04D91" w14:textId="77777777" w:rsidR="00C7397F" w:rsidRPr="00C71FEC" w:rsidRDefault="00C7397F" w:rsidP="00C7397F">
      <w:pPr>
        <w:pStyle w:val="BodyText"/>
        <w:rPr>
          <w:rFonts w:eastAsiaTheme="minorHAnsi"/>
        </w:rPr>
      </w:pPr>
      <w:r>
        <w:t>Finally, the team does not rely solely on the use of tokens of appreciation to maximize response rates—and therefore reduce nonresponse bias.  The next section summarizes other efforts to maximize response rates.</w:t>
      </w:r>
    </w:p>
    <w:p w14:paraId="04DC728B" w14:textId="6F33598D" w:rsidR="00C21D50" w:rsidRPr="002E48E4" w:rsidRDefault="00E505C8" w:rsidP="00E505C8">
      <w:pPr>
        <w:pStyle w:val="Heading3"/>
      </w:pPr>
      <w:bookmarkStart w:id="25" w:name="_Toc329063946"/>
      <w:bookmarkStart w:id="26" w:name="_Toc342216454"/>
      <w:bookmarkStart w:id="27" w:name="_Toc480903479"/>
      <w:r>
        <w:t>B</w:t>
      </w:r>
      <w:r w:rsidR="00DD1474">
        <w:t>.3.3</w:t>
      </w:r>
      <w:r>
        <w:tab/>
      </w:r>
      <w:r w:rsidR="00C21D50">
        <w:t xml:space="preserve">Sample Control </w:t>
      </w:r>
      <w:bookmarkEnd w:id="25"/>
      <w:bookmarkEnd w:id="26"/>
      <w:r w:rsidR="00CB2071">
        <w:t>to Maximize the Response Rate</w:t>
      </w:r>
      <w:bookmarkEnd w:id="27"/>
    </w:p>
    <w:p w14:paraId="1823012F" w14:textId="2E44F529" w:rsidR="00C21D50" w:rsidRDefault="00C21D50" w:rsidP="00C21D50">
      <w:r>
        <w:t xml:space="preserve">During the data collection period, the research team will </w:t>
      </w:r>
      <w:r w:rsidRPr="00185072">
        <w:t>minimize</w:t>
      </w:r>
      <w:r>
        <w:t xml:space="preserve"> nonresponse levels and the risk of nonresponse bias </w:t>
      </w:r>
      <w:r w:rsidR="00CB2071">
        <w:t>by</w:t>
      </w:r>
      <w:r>
        <w:t>:</w:t>
      </w:r>
    </w:p>
    <w:p w14:paraId="11F134E1" w14:textId="77777777" w:rsidR="00967B17" w:rsidRDefault="00967B17" w:rsidP="00967B17">
      <w:pPr>
        <w:pStyle w:val="Bullets"/>
      </w:pPr>
      <w:r w:rsidRPr="0069074F">
        <w:t xml:space="preserve">Using trained interviewers </w:t>
      </w:r>
      <w:r>
        <w:t>who</w:t>
      </w:r>
      <w:r w:rsidRPr="0069074F">
        <w:t xml:space="preserve"> are skilled at working with </w:t>
      </w:r>
      <w:r>
        <w:t>low-income adults</w:t>
      </w:r>
      <w:r w:rsidRPr="0069074F">
        <w:t xml:space="preserve"> and skilled in maintaining rapport with respondents, to minimize the number of </w:t>
      </w:r>
      <w:r>
        <w:t>break-offs and incidence of non</w:t>
      </w:r>
      <w:r w:rsidRPr="0069074F">
        <w:t>response bias</w:t>
      </w:r>
      <w:r>
        <w:t xml:space="preserve">. </w:t>
      </w:r>
    </w:p>
    <w:p w14:paraId="6D86562E" w14:textId="4BB478FF" w:rsidR="00967B17" w:rsidRDefault="00967B17" w:rsidP="00967B17">
      <w:pPr>
        <w:pStyle w:val="Bullets"/>
      </w:pPr>
      <w:proofErr w:type="gramStart"/>
      <w:r>
        <w:t>Providing a Spanish language version of the survey instrument.</w:t>
      </w:r>
      <w:proofErr w:type="gramEnd"/>
      <w:r>
        <w:t xml:space="preserve">  Interviewers will be available to conduct the interview in Spanish to help achieve a high response rate among study participants with Spanish as a first language.  Based on our experience on the earlier surveys, we know </w:t>
      </w:r>
      <w:proofErr w:type="gramStart"/>
      <w:r>
        <w:t>which sites need Spanish language interviewers and Abt will hire the most productive bilingual interviewers from these survey efforts</w:t>
      </w:r>
      <w:proofErr w:type="gramEnd"/>
      <w:r>
        <w:t>.</w:t>
      </w:r>
    </w:p>
    <w:p w14:paraId="55A516A0" w14:textId="1A2A1BFB" w:rsidR="00967B17" w:rsidRPr="0069074F" w:rsidRDefault="00967B17" w:rsidP="00967B17">
      <w:pPr>
        <w:pStyle w:val="Bullets"/>
      </w:pPr>
      <w:r>
        <w:t xml:space="preserve">Using a mixed-mode approach, a telephone interview with an in-person follow-up, but having local interviews do both the telephone and in-person interviews.  Our experience on the earlier surveys is that local interviewers are more likely than the phone center to get their calls answered. </w:t>
      </w:r>
      <w:r w:rsidR="00E00B1F">
        <w:t xml:space="preserve"> </w:t>
      </w:r>
      <w:r>
        <w:t xml:space="preserve">This will also </w:t>
      </w:r>
      <w:r>
        <w:lastRenderedPageBreak/>
        <w:t xml:space="preserve">allow the local interviewer working the sample earlier and they will have firsthand knowledge of the obstacle encountered if a phone interview </w:t>
      </w:r>
      <w:proofErr w:type="gramStart"/>
      <w:r>
        <w:t>cannot be completed</w:t>
      </w:r>
      <w:proofErr w:type="gramEnd"/>
      <w:r>
        <w:t>.</w:t>
      </w:r>
    </w:p>
    <w:p w14:paraId="3961D1F7" w14:textId="3CEC1776" w:rsidR="00967B17" w:rsidRDefault="00967B17" w:rsidP="00967B17">
      <w:pPr>
        <w:pStyle w:val="Bullets"/>
      </w:pPr>
      <w:r>
        <w:t xml:space="preserve">Using contact information updates, a participant newsletter, and check-in calls to keep the sample member engaged in the study and to enable the research team to locate them for the follow-up data collection activities. </w:t>
      </w:r>
      <w:r w:rsidR="00E00B1F">
        <w:t xml:space="preserve"> </w:t>
      </w:r>
      <w:r>
        <w:t>(See Appendix F</w:t>
      </w:r>
      <w:r w:rsidR="00855612">
        <w:t>2</w:t>
      </w:r>
      <w:r>
        <w:t xml:space="preserve"> for a copy of the </w:t>
      </w:r>
      <w:proofErr w:type="gramStart"/>
      <w:r>
        <w:t>contact information update letter</w:t>
      </w:r>
      <w:proofErr w:type="gramEnd"/>
      <w:r>
        <w:t>.)</w:t>
      </w:r>
    </w:p>
    <w:p w14:paraId="78C0C266" w14:textId="5C803131" w:rsidR="00967B17" w:rsidRDefault="00967B17" w:rsidP="00967B17">
      <w:pPr>
        <w:pStyle w:val="Bullets"/>
      </w:pPr>
      <w:r w:rsidRPr="0069074F">
        <w:t xml:space="preserve">Using </w:t>
      </w:r>
      <w:r>
        <w:t>the participant</w:t>
      </w:r>
      <w:r w:rsidRPr="0069074F">
        <w:t xml:space="preserve"> </w:t>
      </w:r>
      <w:r>
        <w:t>news</w:t>
      </w:r>
      <w:r w:rsidRPr="0069074F">
        <w:t xml:space="preserve">letter </w:t>
      </w:r>
      <w:proofErr w:type="gramStart"/>
      <w:r w:rsidRPr="0069074F">
        <w:t>t</w:t>
      </w:r>
      <w:r>
        <w:t>o</w:t>
      </w:r>
      <w:r w:rsidRPr="0069074F">
        <w:t xml:space="preserve"> clearly convey</w:t>
      </w:r>
      <w:proofErr w:type="gramEnd"/>
      <w:r w:rsidRPr="0069074F">
        <w:t xml:space="preserve"> the purpose of the survey to study participants and </w:t>
      </w:r>
      <w:r>
        <w:t xml:space="preserve">provide </w:t>
      </w:r>
      <w:r w:rsidRPr="0069074F">
        <w:t xml:space="preserve">reassurances about </w:t>
      </w:r>
      <w:r>
        <w:t>privacy</w:t>
      </w:r>
      <w:r w:rsidRPr="0069074F">
        <w:t>, so they will perceive that cooperating is worthwhile.</w:t>
      </w:r>
      <w:r w:rsidR="00E00B1F">
        <w:t xml:space="preserve"> </w:t>
      </w:r>
      <w:r>
        <w:t xml:space="preserve"> (See Appendix </w:t>
      </w:r>
      <w:r w:rsidR="00E42026">
        <w:t xml:space="preserve">H </w:t>
      </w:r>
      <w:r>
        <w:t xml:space="preserve">for a copy of the participant newsletter.) </w:t>
      </w:r>
    </w:p>
    <w:p w14:paraId="15EEC2CF" w14:textId="49F6CA69" w:rsidR="00967B17" w:rsidRPr="0069074F" w:rsidRDefault="00967B17" w:rsidP="00967B17">
      <w:pPr>
        <w:pStyle w:val="Bullets"/>
      </w:pPr>
      <w:r>
        <w:t>Sending email reminders to non-respondents (for whom we have an email address) informing them of the study and allowing them the opportunity to schedule an interview (</w:t>
      </w:r>
      <w:r w:rsidRPr="00E42026">
        <w:t xml:space="preserve">Appendix </w:t>
      </w:r>
      <w:r w:rsidR="00E42026">
        <w:t>J</w:t>
      </w:r>
      <w:r>
        <w:t>).</w:t>
      </w:r>
    </w:p>
    <w:p w14:paraId="03B44D81" w14:textId="77777777" w:rsidR="00967B17" w:rsidRPr="0069074F" w:rsidRDefault="00967B17" w:rsidP="00967B17">
      <w:pPr>
        <w:pStyle w:val="Bullets"/>
      </w:pPr>
      <w:r w:rsidRPr="0069074F">
        <w:t>Providing a toll-free study hotline number</w:t>
      </w:r>
      <w:proofErr w:type="gramStart"/>
      <w:r>
        <w:t>—which</w:t>
      </w:r>
      <w:proofErr w:type="gramEnd"/>
      <w:r w:rsidRPr="0069074F">
        <w:t xml:space="preserve"> will be included in all communications to study participants</w:t>
      </w:r>
      <w:r>
        <w:t xml:space="preserve">—for </w:t>
      </w:r>
      <w:r w:rsidRPr="0069074F">
        <w:t xml:space="preserve">them to use to ask questions about the survey, to update their contact information, </w:t>
      </w:r>
      <w:r>
        <w:t xml:space="preserve">and </w:t>
      </w:r>
      <w:r w:rsidRPr="0069074F">
        <w:t xml:space="preserve">to indicate a preferred time to be called </w:t>
      </w:r>
      <w:r>
        <w:t xml:space="preserve">for </w:t>
      </w:r>
      <w:r w:rsidRPr="0069074F">
        <w:t xml:space="preserve">the </w:t>
      </w:r>
      <w:r>
        <w:t>survey</w:t>
      </w:r>
      <w:r w:rsidRPr="0069074F">
        <w:t>.</w:t>
      </w:r>
    </w:p>
    <w:p w14:paraId="370DFA39" w14:textId="77777777" w:rsidR="00967B17" w:rsidRDefault="00967B17" w:rsidP="00967B17">
      <w:pPr>
        <w:pStyle w:val="Bullets"/>
      </w:pPr>
      <w:r w:rsidRPr="0069074F">
        <w:t>Taking additional locating steps</w:t>
      </w:r>
      <w:r>
        <w:t xml:space="preserve"> in the field</w:t>
      </w:r>
      <w:r w:rsidRPr="0069074F">
        <w:t xml:space="preserve">, as needed, when </w:t>
      </w:r>
      <w:r>
        <w:t>the research team</w:t>
      </w:r>
      <w:r w:rsidRPr="0069074F">
        <w:t xml:space="preserve"> do</w:t>
      </w:r>
      <w:r>
        <w:t>es</w:t>
      </w:r>
      <w:r w:rsidRPr="0069074F">
        <w:t xml:space="preserve"> not find sample members at the phone numbers or addresses previously collected.</w:t>
      </w:r>
    </w:p>
    <w:p w14:paraId="2E452491" w14:textId="1BBFF178" w:rsidR="00967B17" w:rsidRDefault="00967B17" w:rsidP="00967B17">
      <w:pPr>
        <w:pStyle w:val="Bullets"/>
      </w:pPr>
      <w:r>
        <w:t xml:space="preserve">Using customized materials in the field, such as “tried to reach you” flyers with study information and the toll-free number (Appendix </w:t>
      </w:r>
      <w:r w:rsidR="00E42026">
        <w:t>I</w:t>
      </w:r>
      <w:r>
        <w:t>).</w:t>
      </w:r>
    </w:p>
    <w:p w14:paraId="2D988992" w14:textId="288CDC4C" w:rsidR="00967B17" w:rsidRPr="0069074F" w:rsidRDefault="00967B17" w:rsidP="00967B17">
      <w:pPr>
        <w:pStyle w:val="BulletsLast"/>
      </w:pPr>
      <w:r w:rsidRPr="0069074F">
        <w:t xml:space="preserve">Requiring the survey supervisors to manage the sample to ensure that a relatively equal response rate for treatment and control groups </w:t>
      </w:r>
      <w:proofErr w:type="gramStart"/>
      <w:r w:rsidRPr="0069074F">
        <w:t>is achieved</w:t>
      </w:r>
      <w:proofErr w:type="gramEnd"/>
      <w:r w:rsidRPr="0069074F">
        <w:t>.</w:t>
      </w:r>
    </w:p>
    <w:p w14:paraId="4FE27709" w14:textId="77777777" w:rsidR="00967B17" w:rsidRDefault="00967B17" w:rsidP="00967B17">
      <w:r w:rsidRPr="0069074F">
        <w:rPr>
          <w:szCs w:val="22"/>
        </w:rPr>
        <w:t>Throug</w:t>
      </w:r>
      <w:r>
        <w:t xml:space="preserve">h these methods, the research team </w:t>
      </w:r>
      <w:r w:rsidRPr="00185072">
        <w:t>anticipates</w:t>
      </w:r>
      <w:r>
        <w:t xml:space="preserve"> being able to achieve the targeted 74 percent response rate for the follow-up survey.  As discussed in Section B.1, the targeted rate of 74 percent </w:t>
      </w:r>
      <w:proofErr w:type="gramStart"/>
      <w:r>
        <w:t>is based</w:t>
      </w:r>
      <w:proofErr w:type="gramEnd"/>
      <w:r>
        <w:t xml:space="preserve"> on our response rates from the 15-month survey and the early results from the 36-month survey.</w:t>
      </w:r>
    </w:p>
    <w:p w14:paraId="3DFD7BAC" w14:textId="1EF57FB4" w:rsidR="00967B17" w:rsidRDefault="00967B17" w:rsidP="00967B17">
      <w:pPr>
        <w:pStyle w:val="Heading3"/>
      </w:pPr>
      <w:bookmarkStart w:id="28" w:name="_Toc472859062"/>
      <w:bookmarkStart w:id="29" w:name="_Toc480903480"/>
      <w:r>
        <w:t>B</w:t>
      </w:r>
      <w:r w:rsidR="00DD1474">
        <w:t>.3.4</w:t>
      </w:r>
      <w:r w:rsidR="004655A4">
        <w:tab/>
      </w:r>
      <w:r>
        <w:t>Nonresponse Bias Analysis and Nonresponse Weighting Adjustment</w:t>
      </w:r>
      <w:bookmarkEnd w:id="28"/>
      <w:bookmarkEnd w:id="29"/>
    </w:p>
    <w:p w14:paraId="46C78B11" w14:textId="58DC5573" w:rsidR="00967B17" w:rsidRDefault="00967B17" w:rsidP="00967B17">
      <w:pPr>
        <w:pStyle w:val="BodyText"/>
      </w:pPr>
      <w:r>
        <w:t xml:space="preserve">If </w:t>
      </w:r>
      <w:r w:rsidR="00202F0B">
        <w:t xml:space="preserve">interviewers </w:t>
      </w:r>
      <w:r>
        <w:t xml:space="preserve">achieve a response rate </w:t>
      </w:r>
      <w:r w:rsidRPr="009D0287">
        <w:t>below 80 percent</w:t>
      </w:r>
      <w:r>
        <w:t xml:space="preserve"> as expect</w:t>
      </w:r>
      <w:r w:rsidR="00202F0B">
        <w:t>ed</w:t>
      </w:r>
      <w:r>
        <w:t xml:space="preserve">, </w:t>
      </w:r>
      <w:r w:rsidR="00202F0B">
        <w:t xml:space="preserve">the </w:t>
      </w:r>
      <w:r w:rsidR="008238D2">
        <w:t>research team</w:t>
      </w:r>
      <w:r w:rsidR="00202F0B">
        <w:t xml:space="preserve"> </w:t>
      </w:r>
      <w:r>
        <w:t>will condu</w:t>
      </w:r>
      <w:r w:rsidR="00E00B1F">
        <w:t xml:space="preserve">ct a nonresponse bias analysis. </w:t>
      </w:r>
      <w:r>
        <w:t xml:space="preserve"> Regardless of the final response rate, </w:t>
      </w:r>
      <w:r w:rsidR="00202F0B">
        <w:t xml:space="preserve">the team </w:t>
      </w:r>
      <w:r>
        <w:t>will construct</w:t>
      </w:r>
      <w:r w:rsidR="00427C12">
        <w:t xml:space="preserve"> and use</w:t>
      </w:r>
      <w:r>
        <w:t xml:space="preserve"> nonresponse weights</w:t>
      </w:r>
      <w:r w:rsidR="00427C12">
        <w:t>, using the same approach as currently undertaken with the study’s 15-month survey data analysis (details appear in Harvill, Moulton &amp; Peck, 2015)</w:t>
      </w:r>
      <w:r w:rsidR="00E00B1F">
        <w:t xml:space="preserve">. </w:t>
      </w:r>
      <w:r>
        <w:t xml:space="preserve"> Using both baseline </w:t>
      </w:r>
      <w:r w:rsidR="00427C12">
        <w:t xml:space="preserve">survey </w:t>
      </w:r>
      <w:r>
        <w:t xml:space="preserve">data </w:t>
      </w:r>
      <w:r w:rsidR="00427C12">
        <w:t xml:space="preserve">and </w:t>
      </w:r>
      <w:r>
        <w:t xml:space="preserve">administrative data from </w:t>
      </w:r>
      <w:r w:rsidR="00427C12">
        <w:t xml:space="preserve">the </w:t>
      </w:r>
      <w:r>
        <w:t xml:space="preserve">NDNH, </w:t>
      </w:r>
      <w:r w:rsidR="00202F0B">
        <w:t xml:space="preserve">the research team </w:t>
      </w:r>
      <w:r w:rsidR="0035596F">
        <w:t xml:space="preserve">will </w:t>
      </w:r>
      <w:r>
        <w:t>estimate response propensity</w:t>
      </w:r>
      <w:r w:rsidR="0035596F">
        <w:t>—separately for each random</w:t>
      </w:r>
      <w:r w:rsidR="00F72CF1">
        <w:t>ized</w:t>
      </w:r>
      <w:r w:rsidR="0035596F">
        <w:t xml:space="preserve"> arm—</w:t>
      </w:r>
      <w:r>
        <w:t>by a logistic regression model</w:t>
      </w:r>
      <w:r w:rsidR="00427C12">
        <w:t xml:space="preserve">, group study participants into </w:t>
      </w:r>
      <w:r>
        <w:t>intervals of response propensity</w:t>
      </w:r>
      <w:r w:rsidR="00427C12">
        <w:t xml:space="preserve">, and then assign </w:t>
      </w:r>
      <w:r>
        <w:t xml:space="preserve">weights equal to the inverse empirical response rate for </w:t>
      </w:r>
      <w:r w:rsidR="00427C12">
        <w:t>individuals within each interval bin</w:t>
      </w:r>
      <w:r w:rsidR="00E00B1F">
        <w:t xml:space="preserve">.  </w:t>
      </w:r>
    </w:p>
    <w:p w14:paraId="54C0BD58" w14:textId="77777777" w:rsidR="00C21D50" w:rsidRPr="004F1FB4" w:rsidRDefault="00C21D50" w:rsidP="00C21D50">
      <w:pPr>
        <w:pStyle w:val="Heading2"/>
      </w:pPr>
      <w:bookmarkStart w:id="30" w:name="_Toc322083618"/>
      <w:bookmarkStart w:id="31" w:name="_Toc480903481"/>
      <w:r w:rsidRPr="004F1FB4">
        <w:t>B.4</w:t>
      </w:r>
      <w:r w:rsidRPr="004F1FB4">
        <w:tab/>
        <w:t>Tests of Procedures</w:t>
      </w:r>
      <w:bookmarkEnd w:id="30"/>
      <w:bookmarkEnd w:id="31"/>
    </w:p>
    <w:p w14:paraId="012CC2FF" w14:textId="6AEE8FAC" w:rsidR="00C21D50" w:rsidRDefault="00C21D50" w:rsidP="00F95C88">
      <w:pPr>
        <w:pStyle w:val="BodyText"/>
      </w:pPr>
      <w:bookmarkStart w:id="32" w:name="_Toc322083619"/>
      <w:r>
        <w:t xml:space="preserve">In designing the </w:t>
      </w:r>
      <w:r w:rsidR="00967B17">
        <w:t>72</w:t>
      </w:r>
      <w:r w:rsidR="000E6C6E">
        <w:t xml:space="preserve">-month </w:t>
      </w:r>
      <w:r>
        <w:t xml:space="preserve">follow-up survey, the research team included items used successfully in previous </w:t>
      </w:r>
      <w:r w:rsidR="00967B17">
        <w:t>waves (15-month or 36-month follow-up surveys)</w:t>
      </w:r>
      <w:r w:rsidR="00427C12">
        <w:t xml:space="preserve"> </w:t>
      </w:r>
      <w:r>
        <w:t xml:space="preserve">or in </w:t>
      </w:r>
      <w:r w:rsidR="00967B17">
        <w:t xml:space="preserve">other </w:t>
      </w:r>
      <w:r>
        <w:t>national surveys.</w:t>
      </w:r>
      <w:r w:rsidR="00E00B1F">
        <w:t xml:space="preserve"> </w:t>
      </w:r>
      <w:r>
        <w:t xml:space="preserve"> Consequently, many of the survey questions </w:t>
      </w:r>
      <w:proofErr w:type="gramStart"/>
      <w:r>
        <w:t>have been thoroughly tested</w:t>
      </w:r>
      <w:proofErr w:type="gramEnd"/>
      <w:r>
        <w:t xml:space="preserve"> on large samples. </w:t>
      </w:r>
    </w:p>
    <w:p w14:paraId="60E0DF53" w14:textId="527EF9CA" w:rsidR="00984F18" w:rsidRPr="00D442ED" w:rsidRDefault="0030671F" w:rsidP="00984F18">
      <w:pPr>
        <w:rPr>
          <w:rFonts w:eastAsia="Calibri"/>
          <w:szCs w:val="22"/>
        </w:rPr>
      </w:pPr>
      <w:proofErr w:type="gramStart"/>
      <w:r>
        <w:rPr>
          <w:rFonts w:eastAsia="Calibri"/>
          <w:szCs w:val="22"/>
        </w:rPr>
        <w:t xml:space="preserve">To ensure the length of the instrument is within the burden estimate, we took efforts to pretest </w:t>
      </w:r>
      <w:r w:rsidR="007F798B">
        <w:rPr>
          <w:rFonts w:eastAsia="Calibri"/>
          <w:szCs w:val="22"/>
        </w:rPr>
        <w:t xml:space="preserve">with fewer than 10 people </w:t>
      </w:r>
      <w:r>
        <w:rPr>
          <w:rFonts w:eastAsia="Calibri"/>
          <w:szCs w:val="22"/>
        </w:rPr>
        <w:t>and edit the instruments to keep burden to a minimum.</w:t>
      </w:r>
      <w:proofErr w:type="gramEnd"/>
      <w:r>
        <w:rPr>
          <w:rFonts w:eastAsia="Calibri"/>
          <w:szCs w:val="22"/>
        </w:rPr>
        <w:t xml:space="preserve">  During internal pretesting, all instruments </w:t>
      </w:r>
      <w:proofErr w:type="gramStart"/>
      <w:r>
        <w:rPr>
          <w:rFonts w:eastAsia="Calibri"/>
          <w:szCs w:val="22"/>
        </w:rPr>
        <w:t>were closely examined</w:t>
      </w:r>
      <w:proofErr w:type="gramEnd"/>
      <w:r>
        <w:rPr>
          <w:rFonts w:eastAsia="Calibri"/>
          <w:szCs w:val="22"/>
        </w:rPr>
        <w:t xml:space="preserve"> to eliminate unnecessary respondent burden and questions deemed unnecessary were eliminated.</w:t>
      </w:r>
    </w:p>
    <w:p w14:paraId="54928682" w14:textId="77777777" w:rsidR="00C21D50" w:rsidRPr="004F1FB4" w:rsidRDefault="00C21D50" w:rsidP="00C21D50">
      <w:pPr>
        <w:pStyle w:val="Heading2"/>
      </w:pPr>
      <w:bookmarkStart w:id="33" w:name="_Toc480903482"/>
      <w:r w:rsidRPr="004F1FB4">
        <w:lastRenderedPageBreak/>
        <w:t>B.5</w:t>
      </w:r>
      <w:r w:rsidRPr="004F1FB4">
        <w:tab/>
        <w:t>Individuals Consulted on Statistical Aspects of the Design</w:t>
      </w:r>
      <w:bookmarkEnd w:id="32"/>
      <w:bookmarkEnd w:id="33"/>
    </w:p>
    <w:p w14:paraId="143F04B8" w14:textId="535D51A0" w:rsidR="00C21D50" w:rsidRPr="003F6E89" w:rsidRDefault="00984F18" w:rsidP="00C21D50">
      <w:pPr>
        <w:pStyle w:val="BodyText"/>
        <w:rPr>
          <w:color w:val="000000"/>
        </w:rPr>
      </w:pPr>
      <w:r>
        <w:t>T</w:t>
      </w:r>
      <w:r w:rsidR="00C21D50" w:rsidRPr="003F6E89">
        <w:rPr>
          <w:color w:val="000000"/>
        </w:rPr>
        <w:t xml:space="preserve">he individuals listed in Exhibit </w:t>
      </w:r>
      <w:r w:rsidR="00C21D50">
        <w:rPr>
          <w:color w:val="000000"/>
        </w:rPr>
        <w:t>B-4</w:t>
      </w:r>
      <w:r w:rsidR="00C21D50" w:rsidRPr="003F6E89">
        <w:rPr>
          <w:color w:val="000000"/>
        </w:rPr>
        <w:t xml:space="preserve"> below </w:t>
      </w:r>
      <w:proofErr w:type="gramStart"/>
      <w:r w:rsidR="00C21D50" w:rsidRPr="003F6E89">
        <w:rPr>
          <w:color w:val="000000"/>
        </w:rPr>
        <w:t>made a contribution</w:t>
      </w:r>
      <w:proofErr w:type="gramEnd"/>
      <w:r w:rsidR="00C21D50" w:rsidRPr="003F6E89">
        <w:rPr>
          <w:color w:val="000000"/>
        </w:rPr>
        <w:t xml:space="preserve"> to the design of the evaluation.</w:t>
      </w:r>
    </w:p>
    <w:p w14:paraId="50A4B200" w14:textId="77777777" w:rsidR="00C21D50" w:rsidRDefault="00C21D50" w:rsidP="00730446">
      <w:pPr>
        <w:pStyle w:val="Caption"/>
      </w:pPr>
      <w:r w:rsidRPr="003F6E89">
        <w:t xml:space="preserve">Exhibit </w:t>
      </w:r>
      <w:r>
        <w:t>B-4</w:t>
      </w:r>
      <w:r w:rsidR="00730446">
        <w:t>: Individual</w:t>
      </w:r>
      <w:r w:rsidR="00912B4A">
        <w:t>s</w:t>
      </w:r>
      <w:r w:rsidR="00730446">
        <w:t xml:space="preserve"> Consulted</w:t>
      </w:r>
    </w:p>
    <w:p w14:paraId="53C069B8" w14:textId="77777777" w:rsidR="00EF7033" w:rsidRDefault="00EF7033" w:rsidP="00EF7033">
      <w:r>
        <w:t xml:space="preserve">The individuals shown in Exhibit B-5 assisted ACF in the </w:t>
      </w:r>
      <w:r w:rsidRPr="00185072">
        <w:t>statistical</w:t>
      </w:r>
      <w:r>
        <w:t xml:space="preserve"> design of the evaluation.</w:t>
      </w:r>
    </w:p>
    <w:tbl>
      <w:tblPr>
        <w:tblW w:w="9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046"/>
        <w:gridCol w:w="5405"/>
      </w:tblGrid>
      <w:tr w:rsidR="00730446" w:rsidRPr="00730446" w14:paraId="167428B3" w14:textId="77777777" w:rsidTr="000D32CE">
        <w:trPr>
          <w:tblHeader/>
        </w:trPr>
        <w:tc>
          <w:tcPr>
            <w:tcW w:w="4046" w:type="dxa"/>
            <w:shd w:val="clear" w:color="auto" w:fill="898D8D" w:themeFill="text2"/>
          </w:tcPr>
          <w:p w14:paraId="594D9BD1" w14:textId="77777777" w:rsidR="00C21D50" w:rsidRPr="00730446" w:rsidRDefault="00C21D50" w:rsidP="00730446">
            <w:pPr>
              <w:pStyle w:val="ExhibitColumnHeader"/>
              <w:rPr>
                <w:color w:val="FFFFFF"/>
              </w:rPr>
            </w:pPr>
            <w:r w:rsidRPr="00730446">
              <w:rPr>
                <w:color w:val="FFFFFF"/>
              </w:rPr>
              <w:t xml:space="preserve">Name </w:t>
            </w:r>
          </w:p>
        </w:tc>
        <w:tc>
          <w:tcPr>
            <w:tcW w:w="5405" w:type="dxa"/>
            <w:shd w:val="clear" w:color="auto" w:fill="898D8D" w:themeFill="text2"/>
          </w:tcPr>
          <w:p w14:paraId="115F7765" w14:textId="77777777" w:rsidR="00C21D50" w:rsidRPr="00730446" w:rsidRDefault="00C21D50" w:rsidP="00730446">
            <w:pPr>
              <w:pStyle w:val="ExhibitColumnHeader"/>
              <w:rPr>
                <w:color w:val="FFFFFF"/>
              </w:rPr>
            </w:pPr>
            <w:r w:rsidRPr="00730446">
              <w:rPr>
                <w:color w:val="FFFFFF"/>
              </w:rPr>
              <w:t>Role in Study</w:t>
            </w:r>
          </w:p>
        </w:tc>
      </w:tr>
      <w:tr w:rsidR="00C21D50" w:rsidRPr="004F2550" w14:paraId="5B281EC6" w14:textId="77777777" w:rsidTr="00EF7033">
        <w:trPr>
          <w:cantSplit/>
          <w:trHeight w:val="269"/>
        </w:trPr>
        <w:tc>
          <w:tcPr>
            <w:tcW w:w="4046" w:type="dxa"/>
          </w:tcPr>
          <w:p w14:paraId="7F93F26B" w14:textId="77777777" w:rsidR="001242C5" w:rsidRPr="00F642DB" w:rsidRDefault="001242C5" w:rsidP="00730446">
            <w:pPr>
              <w:pStyle w:val="Exhibit"/>
              <w:rPr>
                <w:szCs w:val="18"/>
              </w:rPr>
            </w:pPr>
            <w:r w:rsidRPr="00F642DB">
              <w:rPr>
                <w:szCs w:val="18"/>
              </w:rPr>
              <w:t>Larry Buron</w:t>
            </w:r>
          </w:p>
          <w:p w14:paraId="46BE0BF3" w14:textId="3CD3AC1F" w:rsidR="00EF7033" w:rsidRPr="00F642DB" w:rsidRDefault="00EF7033" w:rsidP="00730446">
            <w:pPr>
              <w:pStyle w:val="Exhibit"/>
              <w:rPr>
                <w:szCs w:val="18"/>
              </w:rPr>
            </w:pPr>
            <w:r w:rsidRPr="00F642DB">
              <w:rPr>
                <w:szCs w:val="18"/>
              </w:rPr>
              <w:t>Abt Associates Inc.</w:t>
            </w:r>
          </w:p>
        </w:tc>
        <w:tc>
          <w:tcPr>
            <w:tcW w:w="5405" w:type="dxa"/>
          </w:tcPr>
          <w:p w14:paraId="03DD4837" w14:textId="41189ADF" w:rsidR="00C21D50" w:rsidRPr="00F642DB" w:rsidRDefault="001242C5" w:rsidP="00EF7033">
            <w:pPr>
              <w:pStyle w:val="Exhibit"/>
              <w:rPr>
                <w:szCs w:val="18"/>
              </w:rPr>
            </w:pPr>
            <w:r w:rsidRPr="00F642DB">
              <w:rPr>
                <w:szCs w:val="18"/>
              </w:rPr>
              <w:t xml:space="preserve">Project Director, </w:t>
            </w:r>
            <w:r w:rsidR="00EA7814" w:rsidRPr="00F642DB">
              <w:rPr>
                <w:szCs w:val="18"/>
              </w:rPr>
              <w:t>36-month and 72-month follow-up studies</w:t>
            </w:r>
          </w:p>
        </w:tc>
      </w:tr>
      <w:tr w:rsidR="00F642DB" w:rsidRPr="004F2550" w14:paraId="78B2B9A8" w14:textId="77777777" w:rsidTr="000D32CE">
        <w:trPr>
          <w:cantSplit/>
        </w:trPr>
        <w:tc>
          <w:tcPr>
            <w:tcW w:w="4046" w:type="dxa"/>
          </w:tcPr>
          <w:p w14:paraId="673FD16C" w14:textId="77777777" w:rsidR="00F642DB" w:rsidRPr="00F642DB" w:rsidRDefault="00F642DB" w:rsidP="001242C5">
            <w:pPr>
              <w:pStyle w:val="Exhibit"/>
              <w:rPr>
                <w:szCs w:val="18"/>
              </w:rPr>
            </w:pPr>
            <w:r w:rsidRPr="00F642DB">
              <w:rPr>
                <w:szCs w:val="18"/>
              </w:rPr>
              <w:t>Laura R. Peck</w:t>
            </w:r>
          </w:p>
          <w:p w14:paraId="4F22F928" w14:textId="165214CC" w:rsidR="00F642DB" w:rsidRPr="00F642DB" w:rsidRDefault="00F642DB" w:rsidP="001242C5">
            <w:pPr>
              <w:pStyle w:val="Exhibit"/>
              <w:rPr>
                <w:szCs w:val="18"/>
              </w:rPr>
            </w:pPr>
            <w:r w:rsidRPr="00F642DB">
              <w:rPr>
                <w:szCs w:val="18"/>
              </w:rPr>
              <w:t>Abt Associates Inc.</w:t>
            </w:r>
          </w:p>
        </w:tc>
        <w:tc>
          <w:tcPr>
            <w:tcW w:w="5405" w:type="dxa"/>
          </w:tcPr>
          <w:p w14:paraId="0BBD5000" w14:textId="5C561FCC" w:rsidR="00F642DB" w:rsidRPr="00F642DB" w:rsidRDefault="00F642DB" w:rsidP="001242C5">
            <w:pPr>
              <w:pStyle w:val="Exhibit"/>
              <w:rPr>
                <w:szCs w:val="18"/>
              </w:rPr>
            </w:pPr>
            <w:r w:rsidRPr="00F642DB">
              <w:rPr>
                <w:szCs w:val="18"/>
              </w:rPr>
              <w:t>Co-PI on HPOG-Impact15-month study  36-and 72-Month follow-up studies</w:t>
            </w:r>
          </w:p>
        </w:tc>
      </w:tr>
      <w:tr w:rsidR="00F642DB" w:rsidRPr="004F2550" w14:paraId="325C9BAD" w14:textId="77777777" w:rsidTr="00EF7033">
        <w:trPr>
          <w:cantSplit/>
          <w:trHeight w:val="260"/>
        </w:trPr>
        <w:tc>
          <w:tcPr>
            <w:tcW w:w="4046" w:type="dxa"/>
          </w:tcPr>
          <w:p w14:paraId="65F4938C" w14:textId="77777777" w:rsidR="00F642DB" w:rsidRPr="00F642DB" w:rsidRDefault="00F642DB" w:rsidP="001242C5">
            <w:pPr>
              <w:pStyle w:val="Exhibit"/>
              <w:rPr>
                <w:szCs w:val="18"/>
              </w:rPr>
            </w:pPr>
            <w:r w:rsidRPr="00F642DB">
              <w:rPr>
                <w:szCs w:val="18"/>
              </w:rPr>
              <w:t>Alan Werner</w:t>
            </w:r>
            <w:r w:rsidRPr="00F642DB">
              <w:rPr>
                <w:szCs w:val="18"/>
              </w:rPr>
              <w:tab/>
            </w:r>
          </w:p>
          <w:p w14:paraId="38E4D29B" w14:textId="72CD5FF6" w:rsidR="00F642DB" w:rsidRPr="00F642DB" w:rsidRDefault="00F642DB" w:rsidP="001242C5">
            <w:pPr>
              <w:pStyle w:val="Exhibit"/>
              <w:rPr>
                <w:szCs w:val="18"/>
              </w:rPr>
            </w:pPr>
            <w:r w:rsidRPr="00F642DB">
              <w:rPr>
                <w:szCs w:val="18"/>
              </w:rPr>
              <w:t>Abt Associates Inc.</w:t>
            </w:r>
          </w:p>
        </w:tc>
        <w:tc>
          <w:tcPr>
            <w:tcW w:w="5405" w:type="dxa"/>
          </w:tcPr>
          <w:p w14:paraId="19ECF415" w14:textId="3796470B" w:rsidR="00F642DB" w:rsidRPr="00F642DB" w:rsidRDefault="00F642DB" w:rsidP="001242C5">
            <w:pPr>
              <w:pStyle w:val="Exhibit"/>
              <w:rPr>
                <w:szCs w:val="18"/>
              </w:rPr>
            </w:pPr>
            <w:r w:rsidRPr="00F642DB">
              <w:rPr>
                <w:szCs w:val="18"/>
              </w:rPr>
              <w:t>Co-PI on HPOG-Impact</w:t>
            </w:r>
            <w:r>
              <w:rPr>
                <w:szCs w:val="18"/>
              </w:rPr>
              <w:t xml:space="preserve"> </w:t>
            </w:r>
            <w:r w:rsidRPr="00F642DB">
              <w:rPr>
                <w:szCs w:val="18"/>
              </w:rPr>
              <w:t>15-month study  36-and 72-Month follow-up studies</w:t>
            </w:r>
          </w:p>
        </w:tc>
      </w:tr>
      <w:tr w:rsidR="00EF7033" w:rsidRPr="004F2550" w14:paraId="6BF756CB" w14:textId="77777777" w:rsidTr="00EF7033">
        <w:trPr>
          <w:cantSplit/>
          <w:trHeight w:val="260"/>
        </w:trPr>
        <w:tc>
          <w:tcPr>
            <w:tcW w:w="4046" w:type="dxa"/>
          </w:tcPr>
          <w:p w14:paraId="4BE7551B" w14:textId="77777777" w:rsidR="00EF7033" w:rsidRPr="00F642DB" w:rsidRDefault="00EF7033" w:rsidP="001242C5">
            <w:pPr>
              <w:pStyle w:val="Exhibit"/>
              <w:rPr>
                <w:szCs w:val="18"/>
              </w:rPr>
            </w:pPr>
            <w:r w:rsidRPr="00F642DB">
              <w:rPr>
                <w:szCs w:val="18"/>
              </w:rPr>
              <w:t>David Fein</w:t>
            </w:r>
          </w:p>
          <w:p w14:paraId="1B56BFB6" w14:textId="04B8C680" w:rsidR="00EF7033" w:rsidRPr="00F642DB" w:rsidRDefault="00EF7033" w:rsidP="001242C5">
            <w:pPr>
              <w:pStyle w:val="Exhibit"/>
              <w:rPr>
                <w:szCs w:val="18"/>
              </w:rPr>
            </w:pPr>
            <w:r w:rsidRPr="00F642DB">
              <w:rPr>
                <w:szCs w:val="18"/>
              </w:rPr>
              <w:t>Abt Associates Inc.</w:t>
            </w:r>
          </w:p>
        </w:tc>
        <w:tc>
          <w:tcPr>
            <w:tcW w:w="5405" w:type="dxa"/>
          </w:tcPr>
          <w:p w14:paraId="6A0564C2" w14:textId="065BEC42" w:rsidR="00EF7033" w:rsidRPr="00F642DB" w:rsidRDefault="00EA7814" w:rsidP="001242C5">
            <w:pPr>
              <w:pStyle w:val="Exhibit"/>
              <w:rPr>
                <w:szCs w:val="18"/>
              </w:rPr>
            </w:pPr>
            <w:r w:rsidRPr="00F642DB">
              <w:rPr>
                <w:rFonts w:cs="Arial"/>
                <w:szCs w:val="18"/>
              </w:rPr>
              <w:t>Principal Investigator on PACE 15-month study and Co-PI of 36-and 72-month follow-up studies</w:t>
            </w:r>
          </w:p>
        </w:tc>
      </w:tr>
      <w:tr w:rsidR="00EF7033" w:rsidRPr="004F2550" w14:paraId="046263EE" w14:textId="77777777" w:rsidTr="00EF7033">
        <w:trPr>
          <w:cantSplit/>
          <w:trHeight w:val="260"/>
        </w:trPr>
        <w:tc>
          <w:tcPr>
            <w:tcW w:w="4046" w:type="dxa"/>
          </w:tcPr>
          <w:p w14:paraId="3FA3E03C" w14:textId="77777777" w:rsidR="00EF7033" w:rsidRPr="00F642DB" w:rsidRDefault="00EF7033" w:rsidP="001242C5">
            <w:pPr>
              <w:pStyle w:val="Exhibit"/>
              <w:rPr>
                <w:szCs w:val="18"/>
              </w:rPr>
            </w:pPr>
            <w:r w:rsidRPr="00F642DB">
              <w:rPr>
                <w:szCs w:val="18"/>
              </w:rPr>
              <w:t>David Judkins</w:t>
            </w:r>
          </w:p>
          <w:p w14:paraId="4871C203" w14:textId="0CDE3F6F" w:rsidR="00EF7033" w:rsidRPr="00F642DB" w:rsidRDefault="00EF7033" w:rsidP="001242C5">
            <w:pPr>
              <w:pStyle w:val="Exhibit"/>
              <w:rPr>
                <w:szCs w:val="18"/>
              </w:rPr>
            </w:pPr>
            <w:r w:rsidRPr="00F642DB">
              <w:rPr>
                <w:szCs w:val="18"/>
              </w:rPr>
              <w:t>Abt Associates Inc.</w:t>
            </w:r>
          </w:p>
        </w:tc>
        <w:tc>
          <w:tcPr>
            <w:tcW w:w="5405" w:type="dxa"/>
          </w:tcPr>
          <w:p w14:paraId="4F2CCA86" w14:textId="4722DB1A" w:rsidR="00EF7033" w:rsidRPr="00F642DB" w:rsidRDefault="00EF7033" w:rsidP="001242C5">
            <w:pPr>
              <w:pStyle w:val="Exhibit"/>
              <w:rPr>
                <w:szCs w:val="18"/>
              </w:rPr>
            </w:pPr>
            <w:r w:rsidRPr="00F642DB">
              <w:rPr>
                <w:szCs w:val="18"/>
              </w:rPr>
              <w:t>Sampling Statistician</w:t>
            </w:r>
          </w:p>
        </w:tc>
      </w:tr>
    </w:tbl>
    <w:p w14:paraId="5A5DD0C6" w14:textId="4D804C9C" w:rsidR="001242C5" w:rsidRPr="007C63A3" w:rsidRDefault="001242C5" w:rsidP="00C21D50">
      <w:pPr>
        <w:rPr>
          <w:rFonts w:cs="Calibri"/>
        </w:rPr>
      </w:pPr>
    </w:p>
    <w:p w14:paraId="2F303CD4" w14:textId="77777777" w:rsidR="00C21D50" w:rsidRPr="007C63A3" w:rsidRDefault="00C21D50" w:rsidP="008246FF">
      <w:pPr>
        <w:pStyle w:val="BodyText"/>
      </w:pPr>
      <w:r w:rsidRPr="007C63A3">
        <w:t xml:space="preserve">Inquiries regarding the statistical aspects of the study’s planned analysis </w:t>
      </w:r>
      <w:proofErr w:type="gramStart"/>
      <w:r w:rsidRPr="007C63A3">
        <w:t>should be directed</w:t>
      </w:r>
      <w:proofErr w:type="gramEnd"/>
      <w:r w:rsidRPr="007C63A3">
        <w:t xml:space="preserve"> to:</w:t>
      </w:r>
    </w:p>
    <w:p w14:paraId="689A6EE6" w14:textId="7CB5E5F2" w:rsidR="00D74F64" w:rsidRDefault="00967B17" w:rsidP="00C21D50">
      <w:pPr>
        <w:tabs>
          <w:tab w:val="left" w:pos="2070"/>
          <w:tab w:val="left" w:pos="4950"/>
        </w:tabs>
        <w:spacing w:after="0"/>
        <w:rPr>
          <w:rFonts w:cs="Calibri"/>
        </w:rPr>
      </w:pPr>
      <w:r>
        <w:rPr>
          <w:rFonts w:cs="Calibri"/>
        </w:rPr>
        <w:t>Larry Buron</w:t>
      </w:r>
      <w:r>
        <w:rPr>
          <w:rFonts w:cs="Calibri"/>
        </w:rPr>
        <w:tab/>
      </w:r>
      <w:r w:rsidR="00532A87" w:rsidRPr="002C6464">
        <w:rPr>
          <w:rFonts w:cs="Calibri"/>
        </w:rPr>
        <w:t>Project Director</w:t>
      </w:r>
      <w:r w:rsidR="00532A87">
        <w:rPr>
          <w:rFonts w:cs="Calibri"/>
        </w:rPr>
        <w:t xml:space="preserve"> </w:t>
      </w:r>
      <w:r>
        <w:rPr>
          <w:rFonts w:cs="Calibri"/>
          <w:i/>
        </w:rPr>
        <w:t xml:space="preserve"> </w:t>
      </w:r>
    </w:p>
    <w:p w14:paraId="079D5E40" w14:textId="30852ED6" w:rsidR="00C21D50" w:rsidRDefault="000357D8" w:rsidP="00C21D50">
      <w:pPr>
        <w:tabs>
          <w:tab w:val="left" w:pos="2070"/>
          <w:tab w:val="left" w:pos="4950"/>
        </w:tabs>
        <w:spacing w:after="0"/>
        <w:rPr>
          <w:rFonts w:cs="Calibri"/>
        </w:rPr>
      </w:pPr>
      <w:r>
        <w:rPr>
          <w:rFonts w:cs="Calibri"/>
        </w:rPr>
        <w:t>Laura Peck</w:t>
      </w:r>
      <w:r w:rsidR="00C61454">
        <w:rPr>
          <w:rFonts w:cs="Calibri"/>
        </w:rPr>
        <w:tab/>
      </w:r>
      <w:r w:rsidR="00E347C9">
        <w:rPr>
          <w:rFonts w:cs="Calibri"/>
        </w:rPr>
        <w:t>Co-</w:t>
      </w:r>
      <w:r w:rsidR="00C61454">
        <w:rPr>
          <w:rFonts w:cs="Calibri"/>
        </w:rPr>
        <w:t>Principal Investigator</w:t>
      </w:r>
    </w:p>
    <w:p w14:paraId="3B3577EB" w14:textId="5FCCE61B" w:rsidR="001C67B2" w:rsidRPr="002C6464" w:rsidRDefault="001C67B2" w:rsidP="00C21D50">
      <w:pPr>
        <w:tabs>
          <w:tab w:val="left" w:pos="2070"/>
          <w:tab w:val="left" w:pos="4950"/>
        </w:tabs>
        <w:spacing w:after="0"/>
        <w:rPr>
          <w:rFonts w:cs="Calibri"/>
        </w:rPr>
      </w:pPr>
      <w:r>
        <w:rPr>
          <w:rFonts w:cs="Calibri"/>
        </w:rPr>
        <w:t>Alan</w:t>
      </w:r>
      <w:r w:rsidR="00C61454">
        <w:rPr>
          <w:rFonts w:cs="Calibri"/>
        </w:rPr>
        <w:t xml:space="preserve"> Werner</w:t>
      </w:r>
      <w:r w:rsidR="00C61454">
        <w:rPr>
          <w:rFonts w:cs="Calibri"/>
        </w:rPr>
        <w:tab/>
      </w:r>
      <w:r w:rsidR="00E347C9">
        <w:rPr>
          <w:rFonts w:cs="Calibri"/>
        </w:rPr>
        <w:t>Co-</w:t>
      </w:r>
      <w:r w:rsidR="00C61454">
        <w:rPr>
          <w:rFonts w:cs="Calibri"/>
        </w:rPr>
        <w:t>Principal Investigator</w:t>
      </w:r>
    </w:p>
    <w:p w14:paraId="72F3BD3E" w14:textId="77777777" w:rsidR="000D32CE" w:rsidRDefault="000C4648" w:rsidP="00C21D50">
      <w:pPr>
        <w:tabs>
          <w:tab w:val="left" w:pos="2070"/>
          <w:tab w:val="left" w:pos="4950"/>
        </w:tabs>
        <w:spacing w:after="0"/>
        <w:rPr>
          <w:rFonts w:cs="Calibri"/>
          <w:i/>
        </w:rPr>
      </w:pPr>
      <w:r>
        <w:rPr>
          <w:rFonts w:cs="Calibri"/>
        </w:rPr>
        <w:t>Nicole Constance</w:t>
      </w:r>
      <w:r w:rsidR="00C21D50" w:rsidRPr="002C6464">
        <w:rPr>
          <w:rFonts w:cs="Calibri"/>
        </w:rPr>
        <w:tab/>
        <w:t>Federal Contracting Officer</w:t>
      </w:r>
      <w:r w:rsidR="00C21D50">
        <w:rPr>
          <w:rFonts w:cs="Calibri"/>
        </w:rPr>
        <w:t xml:space="preserve">’s Representative (COR), </w:t>
      </w:r>
      <w:r w:rsidR="009D7DB6">
        <w:rPr>
          <w:rFonts w:cs="Calibri"/>
          <w:i/>
        </w:rPr>
        <w:t xml:space="preserve"> </w:t>
      </w:r>
    </w:p>
    <w:p w14:paraId="5E31166A" w14:textId="7809399B" w:rsidR="00C21D50" w:rsidRPr="00AE7745" w:rsidRDefault="000D32CE" w:rsidP="00C21D50">
      <w:pPr>
        <w:tabs>
          <w:tab w:val="left" w:pos="2070"/>
          <w:tab w:val="left" w:pos="4950"/>
        </w:tabs>
        <w:spacing w:after="0"/>
        <w:rPr>
          <w:rFonts w:cs="Calibri"/>
        </w:rPr>
      </w:pPr>
      <w:r>
        <w:rPr>
          <w:rFonts w:cs="Calibri"/>
          <w:i/>
        </w:rPr>
        <w:tab/>
      </w:r>
      <w:r w:rsidR="00C21D50" w:rsidRPr="002C6464">
        <w:rPr>
          <w:rFonts w:cs="Calibri"/>
        </w:rPr>
        <w:t xml:space="preserve">Administration on Children and Families, </w:t>
      </w:r>
      <w:r w:rsidR="00C21D50">
        <w:rPr>
          <w:rFonts w:cs="Calibri"/>
        </w:rPr>
        <w:t>HHS</w:t>
      </w:r>
    </w:p>
    <w:p w14:paraId="3D40D68A" w14:textId="77777777" w:rsidR="0000498E" w:rsidRDefault="0000498E">
      <w:pPr>
        <w:spacing w:after="0" w:line="240" w:lineRule="auto"/>
        <w:rPr>
          <w:rFonts w:ascii="Arial" w:hAnsi="Arial" w:cs="Arial"/>
          <w:b/>
          <w:bCs/>
          <w:iCs/>
          <w:color w:val="000000" w:themeColor="text1"/>
          <w:sz w:val="24"/>
          <w:szCs w:val="28"/>
        </w:rPr>
      </w:pPr>
      <w:r>
        <w:br w:type="page"/>
      </w:r>
    </w:p>
    <w:p w14:paraId="1C35D2B3" w14:textId="40ACB8F8" w:rsidR="00476E80" w:rsidRDefault="00476E80" w:rsidP="00FA7110">
      <w:pPr>
        <w:pStyle w:val="Heading2"/>
        <w:rPr>
          <w:sz w:val="20"/>
        </w:rPr>
      </w:pPr>
      <w:bookmarkStart w:id="34" w:name="_Toc480903483"/>
      <w:r>
        <w:lastRenderedPageBreak/>
        <w:t>References</w:t>
      </w:r>
      <w:bookmarkEnd w:id="34"/>
    </w:p>
    <w:p w14:paraId="17953352" w14:textId="77777777" w:rsidR="0000498E" w:rsidRPr="00AB1504" w:rsidRDefault="0000498E" w:rsidP="00DD1474">
      <w:pPr>
        <w:pStyle w:val="BodyText"/>
        <w:ind w:left="360" w:hanging="360"/>
      </w:pPr>
      <w:r>
        <w:t xml:space="preserve">Deke, J. and Chiang, H. (2016). </w:t>
      </w:r>
      <w:proofErr w:type="gramStart"/>
      <w:r>
        <w:t>The WWC attritional standard: Sensitivity to assumptions and opportunities for refining and adapting to new contexts.</w:t>
      </w:r>
      <w:proofErr w:type="gramEnd"/>
      <w:r>
        <w:t xml:space="preserve">  </w:t>
      </w:r>
      <w:proofErr w:type="gramStart"/>
      <w:r>
        <w:rPr>
          <w:i/>
        </w:rPr>
        <w:t>Evaluation Review</w:t>
      </w:r>
      <w:r>
        <w:t>.</w:t>
      </w:r>
      <w:proofErr w:type="gramEnd"/>
      <w:r>
        <w:t xml:space="preserve"> [</w:t>
      </w:r>
      <w:proofErr w:type="gramStart"/>
      <w:r>
        <w:t>epub</w:t>
      </w:r>
      <w:proofErr w:type="gramEnd"/>
      <w:r>
        <w:t xml:space="preserve"> ahead of print]</w:t>
      </w:r>
    </w:p>
    <w:p w14:paraId="51DE8517" w14:textId="77777777" w:rsidR="0000498E" w:rsidRPr="00AB1504" w:rsidRDefault="0000498E" w:rsidP="00DD1474">
      <w:pPr>
        <w:pStyle w:val="BodyText"/>
        <w:ind w:left="360" w:hanging="360"/>
      </w:pPr>
      <w:r>
        <w:t xml:space="preserve">Groves, R. (2006). </w:t>
      </w:r>
      <w:proofErr w:type="gramStart"/>
      <w:r>
        <w:t>Nonresponse rates and nonresponse bias in household surveys.</w:t>
      </w:r>
      <w:proofErr w:type="gramEnd"/>
      <w:r>
        <w:t xml:space="preserve"> </w:t>
      </w:r>
      <w:r>
        <w:rPr>
          <w:i/>
        </w:rPr>
        <w:t>Public Opinion Quarterly</w:t>
      </w:r>
      <w:r>
        <w:t xml:space="preserve">, </w:t>
      </w:r>
      <w:r w:rsidRPr="000D32CE">
        <w:t>70</w:t>
      </w:r>
      <w:r>
        <w:t>, 646-675.</w:t>
      </w:r>
    </w:p>
    <w:p w14:paraId="4314BD57" w14:textId="77777777" w:rsidR="008751CB" w:rsidRPr="000A723D" w:rsidRDefault="008751CB" w:rsidP="00DD1474">
      <w:pPr>
        <w:pStyle w:val="CommentText"/>
        <w:ind w:left="360" w:hanging="360"/>
        <w:rPr>
          <w:sz w:val="22"/>
          <w:szCs w:val="22"/>
        </w:rPr>
      </w:pPr>
      <w:proofErr w:type="gramStart"/>
      <w:r w:rsidRPr="000A723D">
        <w:rPr>
          <w:sz w:val="22"/>
          <w:szCs w:val="22"/>
        </w:rPr>
        <w:t>Harvill, Eleanor L., Shawn Moulton, and Laura R. Peck.</w:t>
      </w:r>
      <w:proofErr w:type="gramEnd"/>
      <w:r w:rsidRPr="000A723D">
        <w:rPr>
          <w:sz w:val="22"/>
          <w:szCs w:val="22"/>
        </w:rPr>
        <w:t xml:space="preserve"> (2015). </w:t>
      </w:r>
      <w:r w:rsidRPr="00C40CC9">
        <w:rPr>
          <w:sz w:val="22"/>
          <w:szCs w:val="22"/>
        </w:rPr>
        <w:t>Health Profession Opportunity Grants Impact Study Technical Supplement to the Evaluation Design Report: Impact Analysis Plan.</w:t>
      </w:r>
      <w:r w:rsidRPr="000A723D">
        <w:rPr>
          <w:sz w:val="22"/>
          <w:szCs w:val="22"/>
        </w:rPr>
        <w:t xml:space="preserve"> </w:t>
      </w:r>
      <w:r w:rsidRPr="00C40CC9">
        <w:rPr>
          <w:i/>
          <w:sz w:val="22"/>
          <w:szCs w:val="22"/>
        </w:rPr>
        <w:t>OPRE Report No. 2015-80</w:t>
      </w:r>
      <w:r w:rsidRPr="000A723D">
        <w:rPr>
          <w:sz w:val="22"/>
          <w:szCs w:val="22"/>
        </w:rPr>
        <w:t xml:space="preserve">. </w:t>
      </w:r>
      <w:proofErr w:type="gramStart"/>
      <w:r w:rsidRPr="000A723D">
        <w:rPr>
          <w:sz w:val="22"/>
          <w:szCs w:val="22"/>
        </w:rPr>
        <w:t>Washington, DC: Office of Planning, Research and Evaluation, Administration for Children and Families, U.S. Department of Health and Human Services.</w:t>
      </w:r>
      <w:proofErr w:type="gramEnd"/>
    </w:p>
    <w:p w14:paraId="08273A7C" w14:textId="2A284C99" w:rsidR="008751CB" w:rsidRPr="000A723D" w:rsidRDefault="008751CB" w:rsidP="00DD1474">
      <w:pPr>
        <w:tabs>
          <w:tab w:val="left" w:pos="-1440"/>
          <w:tab w:val="left" w:pos="-720"/>
          <w:tab w:val="left" w:pos="0"/>
          <w:tab w:val="left" w:pos="360"/>
          <w:tab w:val="left" w:pos="720"/>
          <w:tab w:val="left" w:pos="1080"/>
        </w:tabs>
        <w:spacing w:after="120"/>
        <w:ind w:left="360" w:hanging="360"/>
        <w:rPr>
          <w:szCs w:val="22"/>
        </w:rPr>
      </w:pPr>
      <w:proofErr w:type="gramStart"/>
      <w:r w:rsidRPr="000A723D">
        <w:rPr>
          <w:szCs w:val="22"/>
        </w:rPr>
        <w:t>Eleanor L. Harvill, Shawn Moulton, and Laura R. Peck.</w:t>
      </w:r>
      <w:proofErr w:type="gramEnd"/>
      <w:r w:rsidRPr="000A723D">
        <w:rPr>
          <w:szCs w:val="22"/>
        </w:rPr>
        <w:t xml:space="preserve"> (2017). </w:t>
      </w:r>
      <w:r w:rsidRPr="00C40CC9">
        <w:rPr>
          <w:szCs w:val="22"/>
        </w:rPr>
        <w:t>Health Profession Opportunity Grants (HPOG) Impact Study: Amendment to the Technical Supplement to the Evaluation Design Report</w:t>
      </w:r>
      <w:r w:rsidR="00C40CC9">
        <w:rPr>
          <w:szCs w:val="22"/>
        </w:rPr>
        <w:t>.</w:t>
      </w:r>
      <w:r w:rsidRPr="000A723D">
        <w:rPr>
          <w:szCs w:val="22"/>
        </w:rPr>
        <w:t xml:space="preserve"> </w:t>
      </w:r>
      <w:proofErr w:type="gramStart"/>
      <w:r w:rsidRPr="00C40CC9">
        <w:rPr>
          <w:i/>
          <w:szCs w:val="22"/>
        </w:rPr>
        <w:t>OPRE Report #2016-07.</w:t>
      </w:r>
      <w:proofErr w:type="gramEnd"/>
      <w:r w:rsidRPr="00C40CC9">
        <w:rPr>
          <w:i/>
          <w:szCs w:val="22"/>
        </w:rPr>
        <w:t xml:space="preserve"> </w:t>
      </w:r>
      <w:proofErr w:type="gramStart"/>
      <w:r w:rsidRPr="000A723D">
        <w:rPr>
          <w:szCs w:val="22"/>
        </w:rPr>
        <w:t>Washington, DC: Office of Planning, Research and Evaluation, Administration for Children and Families, U.S. Department of Health and Human Services.</w:t>
      </w:r>
      <w:proofErr w:type="gramEnd"/>
    </w:p>
    <w:p w14:paraId="545970C5" w14:textId="77777777" w:rsidR="00C84CFA" w:rsidRDefault="00C84CFA" w:rsidP="00DD1474">
      <w:pPr>
        <w:pStyle w:val="R2-ResBullet"/>
        <w:spacing w:after="120" w:line="240" w:lineRule="auto"/>
        <w:ind w:left="360" w:hanging="360"/>
      </w:pPr>
      <w:r>
        <w:t xml:space="preserve">Judkins, D., Morganstein, D., Zador, P., Piesse, A., Barrett, B., Mukhopadhyay, P. (2007).  </w:t>
      </w:r>
      <w:proofErr w:type="gramStart"/>
      <w:r>
        <w:t>Variable Selection and Raking in Propensity Scoring.</w:t>
      </w:r>
      <w:proofErr w:type="gramEnd"/>
      <w:r>
        <w:t xml:space="preserve"> </w:t>
      </w:r>
      <w:r>
        <w:rPr>
          <w:i/>
          <w:iCs/>
        </w:rPr>
        <w:t>Statistics in Medicine</w:t>
      </w:r>
      <w:r>
        <w:t>, 26, 1022-1033</w:t>
      </w:r>
      <w:r>
        <w:rPr>
          <w:i/>
          <w:iCs/>
        </w:rPr>
        <w:t>.</w:t>
      </w:r>
      <w:r>
        <w:t xml:space="preserve">  </w:t>
      </w:r>
    </w:p>
    <w:p w14:paraId="57E0EFF9" w14:textId="14DBEBEC" w:rsidR="00A93DB0" w:rsidRPr="000A723D" w:rsidRDefault="00A93DB0" w:rsidP="00DD1474">
      <w:pPr>
        <w:ind w:left="360" w:hanging="360"/>
        <w:rPr>
          <w:szCs w:val="22"/>
        </w:rPr>
      </w:pPr>
      <w:r w:rsidRPr="000A723D">
        <w:rPr>
          <w:szCs w:val="22"/>
        </w:rPr>
        <w:t xml:space="preserve">Little, T.D., Jorgensen, M.S., Lang, K.M., and Moore, W. </w:t>
      </w:r>
      <w:proofErr w:type="gramStart"/>
      <w:r w:rsidRPr="000A723D">
        <w:rPr>
          <w:szCs w:val="22"/>
        </w:rPr>
        <w:t>(</w:t>
      </w:r>
      <w:r w:rsidR="00EF7033">
        <w:rPr>
          <w:szCs w:val="22"/>
        </w:rPr>
        <w:t xml:space="preserve"> </w:t>
      </w:r>
      <w:r w:rsidRPr="000A723D">
        <w:rPr>
          <w:szCs w:val="22"/>
        </w:rPr>
        <w:t>2014</w:t>
      </w:r>
      <w:proofErr w:type="gramEnd"/>
      <w:r w:rsidRPr="000A723D">
        <w:rPr>
          <w:szCs w:val="22"/>
        </w:rPr>
        <w:t xml:space="preserve">). </w:t>
      </w:r>
      <w:proofErr w:type="gramStart"/>
      <w:r w:rsidRPr="000A723D">
        <w:rPr>
          <w:szCs w:val="22"/>
        </w:rPr>
        <w:t>On the joys of missing data.</w:t>
      </w:r>
      <w:proofErr w:type="gramEnd"/>
      <w:r w:rsidRPr="000A723D">
        <w:rPr>
          <w:szCs w:val="22"/>
        </w:rPr>
        <w:t xml:space="preserve">  </w:t>
      </w:r>
      <w:r w:rsidRPr="000A723D">
        <w:rPr>
          <w:i/>
          <w:iCs/>
          <w:szCs w:val="22"/>
        </w:rPr>
        <w:t>Journal of Pediatric Psychology</w:t>
      </w:r>
      <w:r w:rsidRPr="000A723D">
        <w:rPr>
          <w:szCs w:val="22"/>
        </w:rPr>
        <w:t xml:space="preserve">, </w:t>
      </w:r>
      <w:r w:rsidRPr="000D32CE">
        <w:rPr>
          <w:bCs/>
          <w:szCs w:val="22"/>
        </w:rPr>
        <w:t>39</w:t>
      </w:r>
      <w:r w:rsidRPr="000A723D">
        <w:rPr>
          <w:szCs w:val="22"/>
        </w:rPr>
        <w:t>(2), 151-162.</w:t>
      </w:r>
    </w:p>
    <w:p w14:paraId="2AABCE8D" w14:textId="77777777" w:rsidR="00C84CFA" w:rsidRDefault="00C84CFA" w:rsidP="00DD1474">
      <w:pPr>
        <w:pStyle w:val="BodyText"/>
        <w:ind w:left="360" w:hanging="360"/>
      </w:pPr>
      <w:r>
        <w:t xml:space="preserve">Lynn, P. (ed.) (2009).  </w:t>
      </w:r>
      <w:proofErr w:type="gramStart"/>
      <w:r>
        <w:rPr>
          <w:i/>
        </w:rPr>
        <w:t>Methodology of Longitudinal Surveys</w:t>
      </w:r>
      <w:r>
        <w:t>.</w:t>
      </w:r>
      <w:proofErr w:type="gramEnd"/>
      <w:r>
        <w:t xml:space="preserve"> </w:t>
      </w:r>
      <w:proofErr w:type="gramStart"/>
      <w:r>
        <w:t>Chichester: John Wiley &amp; Sons.</w:t>
      </w:r>
      <w:proofErr w:type="gramEnd"/>
    </w:p>
    <w:p w14:paraId="73D440B1" w14:textId="5EF855BC" w:rsidR="008751CB" w:rsidRPr="000A723D" w:rsidRDefault="008751CB" w:rsidP="00DD1474">
      <w:pPr>
        <w:ind w:left="360" w:hanging="360"/>
        <w:rPr>
          <w:szCs w:val="22"/>
        </w:rPr>
      </w:pPr>
      <w:r w:rsidRPr="000A723D">
        <w:rPr>
          <w:szCs w:val="22"/>
        </w:rPr>
        <w:t xml:space="preserve">Peck, Laura R., Alan Werner, Alyssa Rulf Fountain, Jennifer Lewis Buell, Stephen H. Bell, Eleanor Harvill, Hiren Nisar, David Judkins and Gretchen Locke. (2014). </w:t>
      </w:r>
      <w:r w:rsidRPr="00C40CC9">
        <w:rPr>
          <w:szCs w:val="22"/>
        </w:rPr>
        <w:t xml:space="preserve">Health Profession Opportunity Grants Impact Study Design Report. </w:t>
      </w:r>
      <w:r w:rsidRPr="00C40CC9">
        <w:rPr>
          <w:i/>
          <w:szCs w:val="22"/>
        </w:rPr>
        <w:t>OPRE Report #2014-62</w:t>
      </w:r>
      <w:r w:rsidRPr="000A723D">
        <w:rPr>
          <w:szCs w:val="22"/>
        </w:rPr>
        <w:t xml:space="preserve">. </w:t>
      </w:r>
      <w:proofErr w:type="gramStart"/>
      <w:r w:rsidRPr="000A723D">
        <w:rPr>
          <w:szCs w:val="22"/>
        </w:rPr>
        <w:t>Washington, DC: Office of Planning, Research and Evaluation, Administration for Children and Families, U.S. Department of Health and Human Services.</w:t>
      </w:r>
      <w:proofErr w:type="gramEnd"/>
    </w:p>
    <w:p w14:paraId="1B46A5DE" w14:textId="77777777" w:rsidR="00B04F42" w:rsidRPr="00D74F64" w:rsidRDefault="00B04F42" w:rsidP="00101D3D"/>
    <w:sectPr w:rsidR="00B04F42" w:rsidRPr="00D74F64" w:rsidSect="00C21D50">
      <w:pgSz w:w="12240" w:h="15840" w:code="1"/>
      <w:pgMar w:top="1440" w:right="1440" w:bottom="1440" w:left="1440" w:header="1080" w:footer="720" w:gutter="0"/>
      <w:pgNumType w:start="1" w:chapStyle="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C7954" w15:done="0"/>
  <w15:commentEx w15:paraId="3DA63BD3" w15:done="0"/>
  <w15:commentEx w15:paraId="0A41C2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C401F" w14:textId="77777777" w:rsidR="001F2579" w:rsidRDefault="001F2579" w:rsidP="00D979EA">
      <w:r>
        <w:separator/>
      </w:r>
    </w:p>
  </w:endnote>
  <w:endnote w:type="continuationSeparator" w:id="0">
    <w:p w14:paraId="623A66CA" w14:textId="77777777" w:rsidR="001F2579" w:rsidRDefault="001F257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2D5E" w14:textId="77777777" w:rsidR="00397C47" w:rsidRDefault="00397C4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BF5C2" w14:textId="338B0167" w:rsidR="00397C47" w:rsidRPr="0066134E" w:rsidRDefault="00397C47" w:rsidP="00730446">
    <w:pPr>
      <w:pStyle w:val="Footer"/>
      <w:tabs>
        <w:tab w:val="clear" w:pos="4507"/>
        <w:tab w:val="clear" w:pos="9000"/>
        <w:tab w:val="right" w:pos="9360"/>
      </w:tabs>
    </w:pPr>
    <w:r w:rsidRPr="0066134E">
      <w:rPr>
        <w:rStyle w:val="PageNumber"/>
      </w:rPr>
      <w:tab/>
    </w:r>
    <w:r w:rsidR="0030671F">
      <w:rPr>
        <w:rStyle w:val="PageNumber"/>
        <w:b/>
      </w:rPr>
      <w:t xml:space="preserve">OMB Information Collection Request: </w:t>
    </w:r>
    <w:r w:rsidR="00036B68">
      <w:rPr>
        <w:rStyle w:val="PageNumber"/>
        <w:b/>
      </w:rPr>
      <w:t xml:space="preserve"> </w:t>
    </w:r>
    <w:r w:rsidR="0030671F">
      <w:rPr>
        <w:rStyle w:val="PageNumber"/>
        <w:b/>
      </w:rPr>
      <w:t>Part B</w:t>
    </w:r>
    <w:r w:rsidRPr="002F0C43">
      <w:rPr>
        <w:rStyle w:val="PageNumber"/>
        <w:b/>
      </w:rPr>
      <w:t> </w:t>
    </w:r>
    <w:r w:rsidRPr="002F0C43">
      <w:rPr>
        <w:rStyle w:val="PageNumber"/>
        <w:rFonts w:cs="Arial"/>
        <w:b/>
      </w:rPr>
      <w:t>▌</w:t>
    </w:r>
    <w:r w:rsidRPr="002F0C43">
      <w:rPr>
        <w:rStyle w:val="PageNumber"/>
        <w:b/>
      </w:rPr>
      <w:t>pg.</w:t>
    </w:r>
    <w:r>
      <w:rPr>
        <w:rStyle w:val="PageNumber"/>
      </w:rPr>
      <w:t xml:space="preserve"> </w:t>
    </w:r>
    <w:r>
      <w:rPr>
        <w:color w:val="595959"/>
      </w:rPr>
      <w:fldChar w:fldCharType="begin"/>
    </w:r>
    <w:r>
      <w:instrText xml:space="preserve"> PAGE   \* MERGEFORMAT </w:instrText>
    </w:r>
    <w:r>
      <w:rPr>
        <w:color w:val="595959"/>
      </w:rPr>
      <w:fldChar w:fldCharType="separate"/>
    </w:r>
    <w:r w:rsidR="001F7E31" w:rsidRPr="001F7E31">
      <w:rPr>
        <w:rStyle w:val="PageNumber"/>
        <w:b/>
        <w:noProof/>
        <w:color w:val="DA291C"/>
      </w:rPr>
      <w:t>13</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871F8" w14:textId="77777777" w:rsidR="001F2579" w:rsidRDefault="001F2579" w:rsidP="00D979EA">
      <w:r>
        <w:separator/>
      </w:r>
    </w:p>
  </w:footnote>
  <w:footnote w:type="continuationSeparator" w:id="0">
    <w:p w14:paraId="17524C1B" w14:textId="77777777" w:rsidR="001F2579" w:rsidRDefault="001F2579" w:rsidP="00D979EA">
      <w:r>
        <w:continuationSeparator/>
      </w:r>
    </w:p>
  </w:footnote>
  <w:footnote w:id="1">
    <w:p w14:paraId="1CFA6B0A" w14:textId="562A46DE" w:rsidR="002D0D52" w:rsidRDefault="002D0D52" w:rsidP="002D0D52">
      <w:pPr>
        <w:pStyle w:val="FootnoteText"/>
        <w:spacing w:after="0" w:line="240" w:lineRule="auto"/>
      </w:pPr>
      <w:r>
        <w:rPr>
          <w:rStyle w:val="FootnoteReference"/>
        </w:rPr>
        <w:footnoteRef/>
      </w:r>
      <w:r>
        <w:t xml:space="preserve"> </w:t>
      </w:r>
      <w:r>
        <w:tab/>
        <w:t>Participants assigned to the HPOG enhanced group receive regular HPOG program services and, depending on the program, one of the following enhancements:  emergency assistance, non-cash incentives</w:t>
      </w:r>
      <w:r w:rsidR="00C22B32">
        <w:t>, or facilitated peer support</w:t>
      </w:r>
      <w:r>
        <w:t>.</w:t>
      </w:r>
    </w:p>
  </w:footnote>
  <w:footnote w:id="2">
    <w:p w14:paraId="31CDFA3A" w14:textId="007ED529" w:rsidR="00397C47" w:rsidRDefault="00397C47" w:rsidP="00C7397F">
      <w:pPr>
        <w:pStyle w:val="FootnoteText"/>
      </w:pPr>
      <w:r>
        <w:rPr>
          <w:rStyle w:val="FootnoteReference"/>
        </w:rPr>
        <w:footnoteRef/>
      </w:r>
      <w:r>
        <w:t xml:space="preserve"> </w:t>
      </w:r>
      <w:r>
        <w:tab/>
        <w:t xml:space="preserve">See Chapter 12 of Lynn (2009), in particular, section 12.5 that reviews the effects of incentives in several prominent longitudinal studies.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021BA" w14:textId="77777777" w:rsidR="00397C47" w:rsidRPr="0005750B" w:rsidRDefault="00397C47"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D0F6" w14:textId="77777777" w:rsidR="00397C47" w:rsidRDefault="00397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76DBD" w14:textId="77777777" w:rsidR="00397C47" w:rsidRDefault="00397C47" w:rsidP="008C5A3D">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8217" w14:textId="77777777" w:rsidR="00397C47" w:rsidRDefault="00397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61F1"/>
    <w:multiLevelType w:val="hybridMultilevel"/>
    <w:tmpl w:val="9DD8E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8CC3B39"/>
    <w:multiLevelType w:val="multilevel"/>
    <w:tmpl w:val="515EF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AD33C4"/>
    <w:multiLevelType w:val="multilevel"/>
    <w:tmpl w:val="0B16B3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5387374D"/>
    <w:multiLevelType w:val="hybridMultilevel"/>
    <w:tmpl w:val="6A584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361045"/>
    <w:multiLevelType w:val="hybridMultilevel"/>
    <w:tmpl w:val="4CAC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8E3C46"/>
    <w:multiLevelType w:val="hybridMultilevel"/>
    <w:tmpl w:val="2F5A0A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
    <w:nsid w:val="7E376655"/>
    <w:multiLevelType w:val="hybridMultilevel"/>
    <w:tmpl w:val="43F4323E"/>
    <w:lvl w:ilvl="0" w:tplc="D792BE3A">
      <w:start w:val="1"/>
      <w:numFmt w:val="bullet"/>
      <w:lvlText w:val=""/>
      <w:lvlJc w:val="left"/>
      <w:pPr>
        <w:ind w:left="360" w:hanging="360"/>
      </w:pPr>
      <w:rPr>
        <w:rFonts w:ascii="Symbol" w:hAnsi="Symbol" w:hint="default"/>
        <w:color w:val="C00000"/>
        <w:u w:color="C00000"/>
      </w:rPr>
    </w:lvl>
    <w:lvl w:ilvl="1" w:tplc="B046EBB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1"/>
  </w:num>
  <w:num w:numId="6">
    <w:abstractNumId w:val="5"/>
  </w:num>
  <w:num w:numId="7">
    <w:abstractNumId w:val="2"/>
  </w:num>
  <w:num w:numId="8">
    <w:abstractNumId w:val="3"/>
  </w:num>
  <w:num w:numId="9">
    <w:abstractNumId w:val="6"/>
  </w:num>
  <w:num w:numId="10">
    <w:abstractNumId w:val="9"/>
  </w:num>
  <w:num w:numId="11">
    <w:abstractNumId w:val="7"/>
  </w:num>
  <w:num w:numId="12">
    <w:abstractNumId w:val="0"/>
  </w:num>
  <w:num w:numId="13">
    <w:abstractNumId w:val="9"/>
  </w:num>
  <w:num w:numId="14">
    <w:abstractNumId w:val="10"/>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activeWritingStyle w:appName="MSWord" w:lang="en-US" w:vendorID="64" w:dllVersion="131078" w:nlCheck="1" w:checkStyle="0"/>
  <w:activeWritingStyle w:appName="MSWord" w:lang="en-US" w:vendorID="8" w:dllVersion="513"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2A3A"/>
    <w:rsid w:val="00003269"/>
    <w:rsid w:val="00003333"/>
    <w:rsid w:val="00003A2C"/>
    <w:rsid w:val="0000498E"/>
    <w:rsid w:val="00005B4D"/>
    <w:rsid w:val="00006B3A"/>
    <w:rsid w:val="000136F3"/>
    <w:rsid w:val="00013908"/>
    <w:rsid w:val="00014077"/>
    <w:rsid w:val="00015AE0"/>
    <w:rsid w:val="00016E17"/>
    <w:rsid w:val="000173C7"/>
    <w:rsid w:val="0001743C"/>
    <w:rsid w:val="000210A4"/>
    <w:rsid w:val="000217B1"/>
    <w:rsid w:val="0002216E"/>
    <w:rsid w:val="00023F25"/>
    <w:rsid w:val="00026447"/>
    <w:rsid w:val="000311BC"/>
    <w:rsid w:val="000357D8"/>
    <w:rsid w:val="00036B68"/>
    <w:rsid w:val="000373DC"/>
    <w:rsid w:val="00040E00"/>
    <w:rsid w:val="000416E8"/>
    <w:rsid w:val="00046728"/>
    <w:rsid w:val="00051B15"/>
    <w:rsid w:val="000525E0"/>
    <w:rsid w:val="0005267D"/>
    <w:rsid w:val="00053EEF"/>
    <w:rsid w:val="00053F35"/>
    <w:rsid w:val="000543DC"/>
    <w:rsid w:val="00055022"/>
    <w:rsid w:val="0005750B"/>
    <w:rsid w:val="0006045E"/>
    <w:rsid w:val="0006058A"/>
    <w:rsid w:val="0006067C"/>
    <w:rsid w:val="00062C89"/>
    <w:rsid w:val="0006587B"/>
    <w:rsid w:val="00070322"/>
    <w:rsid w:val="00071433"/>
    <w:rsid w:val="00073331"/>
    <w:rsid w:val="00076B24"/>
    <w:rsid w:val="000800A5"/>
    <w:rsid w:val="000827DB"/>
    <w:rsid w:val="00082D01"/>
    <w:rsid w:val="00087856"/>
    <w:rsid w:val="000902AA"/>
    <w:rsid w:val="000930CB"/>
    <w:rsid w:val="00095D40"/>
    <w:rsid w:val="00097B7F"/>
    <w:rsid w:val="000A00A2"/>
    <w:rsid w:val="000A1C6D"/>
    <w:rsid w:val="000A2726"/>
    <w:rsid w:val="000A2A68"/>
    <w:rsid w:val="000A2BAB"/>
    <w:rsid w:val="000A4E7F"/>
    <w:rsid w:val="000A59FC"/>
    <w:rsid w:val="000A723D"/>
    <w:rsid w:val="000A7D69"/>
    <w:rsid w:val="000B3301"/>
    <w:rsid w:val="000B33D1"/>
    <w:rsid w:val="000C0A39"/>
    <w:rsid w:val="000C2BE5"/>
    <w:rsid w:val="000C3040"/>
    <w:rsid w:val="000C4648"/>
    <w:rsid w:val="000C5DB9"/>
    <w:rsid w:val="000D32CE"/>
    <w:rsid w:val="000D53F1"/>
    <w:rsid w:val="000D572F"/>
    <w:rsid w:val="000D5777"/>
    <w:rsid w:val="000D5C91"/>
    <w:rsid w:val="000D7570"/>
    <w:rsid w:val="000E1DD3"/>
    <w:rsid w:val="000E6147"/>
    <w:rsid w:val="000E6955"/>
    <w:rsid w:val="000E6B75"/>
    <w:rsid w:val="000E6C6E"/>
    <w:rsid w:val="000F3576"/>
    <w:rsid w:val="000F53F4"/>
    <w:rsid w:val="00101D3D"/>
    <w:rsid w:val="0010317E"/>
    <w:rsid w:val="001034D7"/>
    <w:rsid w:val="0010380D"/>
    <w:rsid w:val="00104F2A"/>
    <w:rsid w:val="00107A04"/>
    <w:rsid w:val="0011170B"/>
    <w:rsid w:val="001178CA"/>
    <w:rsid w:val="00120B40"/>
    <w:rsid w:val="00122475"/>
    <w:rsid w:val="001232D1"/>
    <w:rsid w:val="001242C5"/>
    <w:rsid w:val="001252E5"/>
    <w:rsid w:val="001261B6"/>
    <w:rsid w:val="001307A5"/>
    <w:rsid w:val="00130D5F"/>
    <w:rsid w:val="001341D1"/>
    <w:rsid w:val="00136D95"/>
    <w:rsid w:val="00137566"/>
    <w:rsid w:val="00145008"/>
    <w:rsid w:val="00146AFD"/>
    <w:rsid w:val="00152153"/>
    <w:rsid w:val="00156E92"/>
    <w:rsid w:val="00157E04"/>
    <w:rsid w:val="001601AE"/>
    <w:rsid w:val="00160657"/>
    <w:rsid w:val="00160B87"/>
    <w:rsid w:val="00164EA4"/>
    <w:rsid w:val="001677DC"/>
    <w:rsid w:val="001703F4"/>
    <w:rsid w:val="00172119"/>
    <w:rsid w:val="00173F99"/>
    <w:rsid w:val="00173FC1"/>
    <w:rsid w:val="0018462F"/>
    <w:rsid w:val="00186D27"/>
    <w:rsid w:val="00194F70"/>
    <w:rsid w:val="001A04CE"/>
    <w:rsid w:val="001A0E0A"/>
    <w:rsid w:val="001A23B5"/>
    <w:rsid w:val="001A403F"/>
    <w:rsid w:val="001A44D7"/>
    <w:rsid w:val="001A4633"/>
    <w:rsid w:val="001A507D"/>
    <w:rsid w:val="001A75CE"/>
    <w:rsid w:val="001A7A6C"/>
    <w:rsid w:val="001B2951"/>
    <w:rsid w:val="001B39D9"/>
    <w:rsid w:val="001B4509"/>
    <w:rsid w:val="001B774B"/>
    <w:rsid w:val="001C0891"/>
    <w:rsid w:val="001C10AF"/>
    <w:rsid w:val="001C2CB7"/>
    <w:rsid w:val="001C67B2"/>
    <w:rsid w:val="001C7399"/>
    <w:rsid w:val="001D1578"/>
    <w:rsid w:val="001D4FDD"/>
    <w:rsid w:val="001D7EA2"/>
    <w:rsid w:val="001E04ED"/>
    <w:rsid w:val="001E2CF1"/>
    <w:rsid w:val="001E31D9"/>
    <w:rsid w:val="001E51A2"/>
    <w:rsid w:val="001E68CD"/>
    <w:rsid w:val="001F0695"/>
    <w:rsid w:val="001F0C12"/>
    <w:rsid w:val="001F2579"/>
    <w:rsid w:val="001F3092"/>
    <w:rsid w:val="001F6013"/>
    <w:rsid w:val="001F6470"/>
    <w:rsid w:val="001F7E31"/>
    <w:rsid w:val="00200E58"/>
    <w:rsid w:val="00202F0B"/>
    <w:rsid w:val="00204AD6"/>
    <w:rsid w:val="002064D3"/>
    <w:rsid w:val="002106BF"/>
    <w:rsid w:val="0021714A"/>
    <w:rsid w:val="002176B8"/>
    <w:rsid w:val="002216AD"/>
    <w:rsid w:val="00221D99"/>
    <w:rsid w:val="00223574"/>
    <w:rsid w:val="00223A9F"/>
    <w:rsid w:val="0022533A"/>
    <w:rsid w:val="0022674D"/>
    <w:rsid w:val="00227977"/>
    <w:rsid w:val="0023449A"/>
    <w:rsid w:val="00235F88"/>
    <w:rsid w:val="00241EFE"/>
    <w:rsid w:val="00242777"/>
    <w:rsid w:val="00252615"/>
    <w:rsid w:val="00252BE7"/>
    <w:rsid w:val="00255975"/>
    <w:rsid w:val="002616E7"/>
    <w:rsid w:val="0026262A"/>
    <w:rsid w:val="00262E3B"/>
    <w:rsid w:val="0026567F"/>
    <w:rsid w:val="00265B13"/>
    <w:rsid w:val="002702F7"/>
    <w:rsid w:val="00271196"/>
    <w:rsid w:val="00273EAA"/>
    <w:rsid w:val="00276702"/>
    <w:rsid w:val="00277D01"/>
    <w:rsid w:val="0028328D"/>
    <w:rsid w:val="002838F5"/>
    <w:rsid w:val="00285BB6"/>
    <w:rsid w:val="0029491C"/>
    <w:rsid w:val="00297D3A"/>
    <w:rsid w:val="002A02DA"/>
    <w:rsid w:val="002A4078"/>
    <w:rsid w:val="002A5A13"/>
    <w:rsid w:val="002A5CE0"/>
    <w:rsid w:val="002B2F3C"/>
    <w:rsid w:val="002B344D"/>
    <w:rsid w:val="002C3095"/>
    <w:rsid w:val="002C32AB"/>
    <w:rsid w:val="002C41F9"/>
    <w:rsid w:val="002C4495"/>
    <w:rsid w:val="002C50B9"/>
    <w:rsid w:val="002C5AC8"/>
    <w:rsid w:val="002C76AB"/>
    <w:rsid w:val="002D0D52"/>
    <w:rsid w:val="002D195B"/>
    <w:rsid w:val="002D2CD9"/>
    <w:rsid w:val="002D3EB3"/>
    <w:rsid w:val="002D4536"/>
    <w:rsid w:val="002D61F4"/>
    <w:rsid w:val="002E04F5"/>
    <w:rsid w:val="002E18BC"/>
    <w:rsid w:val="002E5FC0"/>
    <w:rsid w:val="002F0C43"/>
    <w:rsid w:val="002F48C8"/>
    <w:rsid w:val="002F55CE"/>
    <w:rsid w:val="002F76F5"/>
    <w:rsid w:val="00301CA6"/>
    <w:rsid w:val="003044AF"/>
    <w:rsid w:val="00305FDD"/>
    <w:rsid w:val="0030671F"/>
    <w:rsid w:val="00310112"/>
    <w:rsid w:val="00314A8A"/>
    <w:rsid w:val="00316A12"/>
    <w:rsid w:val="00316BFB"/>
    <w:rsid w:val="00321439"/>
    <w:rsid w:val="00322A20"/>
    <w:rsid w:val="00324EC2"/>
    <w:rsid w:val="00324FA7"/>
    <w:rsid w:val="003279F2"/>
    <w:rsid w:val="00333285"/>
    <w:rsid w:val="00337318"/>
    <w:rsid w:val="003378CB"/>
    <w:rsid w:val="00340487"/>
    <w:rsid w:val="00342BA9"/>
    <w:rsid w:val="003455BC"/>
    <w:rsid w:val="00350748"/>
    <w:rsid w:val="003520FE"/>
    <w:rsid w:val="00353989"/>
    <w:rsid w:val="00354503"/>
    <w:rsid w:val="0035596F"/>
    <w:rsid w:val="003623F0"/>
    <w:rsid w:val="003636A7"/>
    <w:rsid w:val="00364099"/>
    <w:rsid w:val="00366A88"/>
    <w:rsid w:val="00367A5A"/>
    <w:rsid w:val="00370164"/>
    <w:rsid w:val="003711CD"/>
    <w:rsid w:val="00380DB1"/>
    <w:rsid w:val="00382335"/>
    <w:rsid w:val="003838BF"/>
    <w:rsid w:val="00383BFC"/>
    <w:rsid w:val="00384611"/>
    <w:rsid w:val="00384CA0"/>
    <w:rsid w:val="00385CB5"/>
    <w:rsid w:val="0038611B"/>
    <w:rsid w:val="003870BA"/>
    <w:rsid w:val="003870C0"/>
    <w:rsid w:val="00387E1A"/>
    <w:rsid w:val="00387E5F"/>
    <w:rsid w:val="00395A89"/>
    <w:rsid w:val="00397C47"/>
    <w:rsid w:val="003A0915"/>
    <w:rsid w:val="003A2FA8"/>
    <w:rsid w:val="003A3403"/>
    <w:rsid w:val="003B3915"/>
    <w:rsid w:val="003B4770"/>
    <w:rsid w:val="003B67D9"/>
    <w:rsid w:val="003C20BF"/>
    <w:rsid w:val="003C347B"/>
    <w:rsid w:val="003D3C4E"/>
    <w:rsid w:val="003D5616"/>
    <w:rsid w:val="003D618E"/>
    <w:rsid w:val="003D6378"/>
    <w:rsid w:val="003D77E5"/>
    <w:rsid w:val="003E332B"/>
    <w:rsid w:val="003E666B"/>
    <w:rsid w:val="003E7C54"/>
    <w:rsid w:val="003F3E19"/>
    <w:rsid w:val="003F5C61"/>
    <w:rsid w:val="003F6906"/>
    <w:rsid w:val="00400084"/>
    <w:rsid w:val="0040364E"/>
    <w:rsid w:val="0040453A"/>
    <w:rsid w:val="00412BC2"/>
    <w:rsid w:val="00412DB5"/>
    <w:rsid w:val="00414011"/>
    <w:rsid w:val="00415466"/>
    <w:rsid w:val="00423092"/>
    <w:rsid w:val="00423FFF"/>
    <w:rsid w:val="004253E8"/>
    <w:rsid w:val="00426BA7"/>
    <w:rsid w:val="004272F4"/>
    <w:rsid w:val="0042739F"/>
    <w:rsid w:val="00427C12"/>
    <w:rsid w:val="00427EA9"/>
    <w:rsid w:val="004319BC"/>
    <w:rsid w:val="00433DFC"/>
    <w:rsid w:val="004350B0"/>
    <w:rsid w:val="00436CE5"/>
    <w:rsid w:val="00460DAB"/>
    <w:rsid w:val="00463765"/>
    <w:rsid w:val="004655A4"/>
    <w:rsid w:val="00470AB4"/>
    <w:rsid w:val="00472E16"/>
    <w:rsid w:val="004734DF"/>
    <w:rsid w:val="00473C2E"/>
    <w:rsid w:val="00476E80"/>
    <w:rsid w:val="004827F7"/>
    <w:rsid w:val="00485947"/>
    <w:rsid w:val="00485DEB"/>
    <w:rsid w:val="00486943"/>
    <w:rsid w:val="00495B91"/>
    <w:rsid w:val="004A5408"/>
    <w:rsid w:val="004A565E"/>
    <w:rsid w:val="004A6769"/>
    <w:rsid w:val="004B1833"/>
    <w:rsid w:val="004B3C54"/>
    <w:rsid w:val="004C18DF"/>
    <w:rsid w:val="004C29E5"/>
    <w:rsid w:val="004C2B46"/>
    <w:rsid w:val="004D0963"/>
    <w:rsid w:val="004D4C6D"/>
    <w:rsid w:val="004D5505"/>
    <w:rsid w:val="004D620A"/>
    <w:rsid w:val="004D632B"/>
    <w:rsid w:val="004D6BFE"/>
    <w:rsid w:val="004E01A4"/>
    <w:rsid w:val="004F31C4"/>
    <w:rsid w:val="004F6742"/>
    <w:rsid w:val="004F709B"/>
    <w:rsid w:val="00500F55"/>
    <w:rsid w:val="00503049"/>
    <w:rsid w:val="00503404"/>
    <w:rsid w:val="00507C9B"/>
    <w:rsid w:val="005201B8"/>
    <w:rsid w:val="00523695"/>
    <w:rsid w:val="0052544B"/>
    <w:rsid w:val="00527D1D"/>
    <w:rsid w:val="00531F08"/>
    <w:rsid w:val="00532A87"/>
    <w:rsid w:val="00534B03"/>
    <w:rsid w:val="00534C33"/>
    <w:rsid w:val="00535B18"/>
    <w:rsid w:val="00536DB4"/>
    <w:rsid w:val="0054025D"/>
    <w:rsid w:val="00541DC3"/>
    <w:rsid w:val="005427A4"/>
    <w:rsid w:val="00547154"/>
    <w:rsid w:val="00550CD2"/>
    <w:rsid w:val="0055123E"/>
    <w:rsid w:val="00552A86"/>
    <w:rsid w:val="00555CF0"/>
    <w:rsid w:val="0055741F"/>
    <w:rsid w:val="005604D3"/>
    <w:rsid w:val="00563FF8"/>
    <w:rsid w:val="00566C71"/>
    <w:rsid w:val="00574572"/>
    <w:rsid w:val="00576051"/>
    <w:rsid w:val="00577587"/>
    <w:rsid w:val="00577CF3"/>
    <w:rsid w:val="00580D45"/>
    <w:rsid w:val="005820F2"/>
    <w:rsid w:val="005823D1"/>
    <w:rsid w:val="00585CA4"/>
    <w:rsid w:val="0059133A"/>
    <w:rsid w:val="005955C1"/>
    <w:rsid w:val="00595E8A"/>
    <w:rsid w:val="005965C2"/>
    <w:rsid w:val="00597948"/>
    <w:rsid w:val="005A422E"/>
    <w:rsid w:val="005B1AC5"/>
    <w:rsid w:val="005B3835"/>
    <w:rsid w:val="005B47F7"/>
    <w:rsid w:val="005B6A25"/>
    <w:rsid w:val="005C3EAB"/>
    <w:rsid w:val="005C418A"/>
    <w:rsid w:val="005C4647"/>
    <w:rsid w:val="005D0A21"/>
    <w:rsid w:val="005E0CF2"/>
    <w:rsid w:val="005E0F50"/>
    <w:rsid w:val="005E224A"/>
    <w:rsid w:val="005E2AEA"/>
    <w:rsid w:val="005E4550"/>
    <w:rsid w:val="005E6B70"/>
    <w:rsid w:val="005F1A97"/>
    <w:rsid w:val="005F2E48"/>
    <w:rsid w:val="005F76B0"/>
    <w:rsid w:val="006008B7"/>
    <w:rsid w:val="006033D0"/>
    <w:rsid w:val="006122D8"/>
    <w:rsid w:val="0061247A"/>
    <w:rsid w:val="006148BA"/>
    <w:rsid w:val="00615938"/>
    <w:rsid w:val="00617523"/>
    <w:rsid w:val="0062191F"/>
    <w:rsid w:val="006222C6"/>
    <w:rsid w:val="0062494B"/>
    <w:rsid w:val="00626871"/>
    <w:rsid w:val="00626F76"/>
    <w:rsid w:val="0063014E"/>
    <w:rsid w:val="00633082"/>
    <w:rsid w:val="00635B8D"/>
    <w:rsid w:val="00643ACB"/>
    <w:rsid w:val="0065112D"/>
    <w:rsid w:val="00652000"/>
    <w:rsid w:val="006557FF"/>
    <w:rsid w:val="0065629C"/>
    <w:rsid w:val="0066134E"/>
    <w:rsid w:val="0066729C"/>
    <w:rsid w:val="00672C8B"/>
    <w:rsid w:val="00672D37"/>
    <w:rsid w:val="00674F0B"/>
    <w:rsid w:val="00675445"/>
    <w:rsid w:val="00675C22"/>
    <w:rsid w:val="00675E58"/>
    <w:rsid w:val="006806D2"/>
    <w:rsid w:val="006814BB"/>
    <w:rsid w:val="006822B7"/>
    <w:rsid w:val="006840EB"/>
    <w:rsid w:val="00684FAC"/>
    <w:rsid w:val="00690C9F"/>
    <w:rsid w:val="00691269"/>
    <w:rsid w:val="0069342C"/>
    <w:rsid w:val="006A541C"/>
    <w:rsid w:val="006A5B3B"/>
    <w:rsid w:val="006B0594"/>
    <w:rsid w:val="006B0875"/>
    <w:rsid w:val="006B1DA6"/>
    <w:rsid w:val="006B63E8"/>
    <w:rsid w:val="006B7B55"/>
    <w:rsid w:val="006B7D74"/>
    <w:rsid w:val="006C11D2"/>
    <w:rsid w:val="006C3DE3"/>
    <w:rsid w:val="006C7A4C"/>
    <w:rsid w:val="006D0FF2"/>
    <w:rsid w:val="006D21F9"/>
    <w:rsid w:val="006D2BE4"/>
    <w:rsid w:val="006D406B"/>
    <w:rsid w:val="006D77E0"/>
    <w:rsid w:val="006E16EC"/>
    <w:rsid w:val="006E1C83"/>
    <w:rsid w:val="006E1E9C"/>
    <w:rsid w:val="006E2B32"/>
    <w:rsid w:val="006E4464"/>
    <w:rsid w:val="006F2B34"/>
    <w:rsid w:val="006F2EE3"/>
    <w:rsid w:val="00701194"/>
    <w:rsid w:val="00702D1A"/>
    <w:rsid w:val="007037C7"/>
    <w:rsid w:val="007057ED"/>
    <w:rsid w:val="0070672F"/>
    <w:rsid w:val="007072DE"/>
    <w:rsid w:val="007105A6"/>
    <w:rsid w:val="00713D23"/>
    <w:rsid w:val="00715417"/>
    <w:rsid w:val="00717301"/>
    <w:rsid w:val="0072072E"/>
    <w:rsid w:val="00726DD4"/>
    <w:rsid w:val="00730446"/>
    <w:rsid w:val="00730F56"/>
    <w:rsid w:val="007314A6"/>
    <w:rsid w:val="0073281E"/>
    <w:rsid w:val="007416CB"/>
    <w:rsid w:val="007419DE"/>
    <w:rsid w:val="00741B50"/>
    <w:rsid w:val="00743DBD"/>
    <w:rsid w:val="00744E2C"/>
    <w:rsid w:val="00752119"/>
    <w:rsid w:val="007530DF"/>
    <w:rsid w:val="00754408"/>
    <w:rsid w:val="00757264"/>
    <w:rsid w:val="00760555"/>
    <w:rsid w:val="00762282"/>
    <w:rsid w:val="007631C7"/>
    <w:rsid w:val="00763CCC"/>
    <w:rsid w:val="00764FCD"/>
    <w:rsid w:val="00773DF0"/>
    <w:rsid w:val="00776383"/>
    <w:rsid w:val="007767D2"/>
    <w:rsid w:val="00776C72"/>
    <w:rsid w:val="0078258F"/>
    <w:rsid w:val="00783B5E"/>
    <w:rsid w:val="007846BC"/>
    <w:rsid w:val="007859DE"/>
    <w:rsid w:val="00794B6E"/>
    <w:rsid w:val="0079681F"/>
    <w:rsid w:val="007969A4"/>
    <w:rsid w:val="007A0114"/>
    <w:rsid w:val="007A2452"/>
    <w:rsid w:val="007B00E5"/>
    <w:rsid w:val="007B0B5D"/>
    <w:rsid w:val="007B1321"/>
    <w:rsid w:val="007B1904"/>
    <w:rsid w:val="007C5F00"/>
    <w:rsid w:val="007C797F"/>
    <w:rsid w:val="007D40C4"/>
    <w:rsid w:val="007D4722"/>
    <w:rsid w:val="007D6370"/>
    <w:rsid w:val="007D694F"/>
    <w:rsid w:val="007E092F"/>
    <w:rsid w:val="007E5EC0"/>
    <w:rsid w:val="007F798B"/>
    <w:rsid w:val="0080098A"/>
    <w:rsid w:val="00801761"/>
    <w:rsid w:val="00804747"/>
    <w:rsid w:val="00805186"/>
    <w:rsid w:val="008111EB"/>
    <w:rsid w:val="008113A3"/>
    <w:rsid w:val="008130C9"/>
    <w:rsid w:val="00813CBE"/>
    <w:rsid w:val="00813D02"/>
    <w:rsid w:val="00814833"/>
    <w:rsid w:val="0082033D"/>
    <w:rsid w:val="00820E2B"/>
    <w:rsid w:val="008218EB"/>
    <w:rsid w:val="00822160"/>
    <w:rsid w:val="008222AD"/>
    <w:rsid w:val="008238D2"/>
    <w:rsid w:val="00823D32"/>
    <w:rsid w:val="008246FF"/>
    <w:rsid w:val="00826861"/>
    <w:rsid w:val="00830363"/>
    <w:rsid w:val="0083104D"/>
    <w:rsid w:val="008342B7"/>
    <w:rsid w:val="008349AE"/>
    <w:rsid w:val="008356B9"/>
    <w:rsid w:val="00841DA8"/>
    <w:rsid w:val="00846BA9"/>
    <w:rsid w:val="00846D77"/>
    <w:rsid w:val="00847137"/>
    <w:rsid w:val="00852480"/>
    <w:rsid w:val="00852729"/>
    <w:rsid w:val="0085274D"/>
    <w:rsid w:val="00852DDA"/>
    <w:rsid w:val="00855612"/>
    <w:rsid w:val="00856632"/>
    <w:rsid w:val="00860339"/>
    <w:rsid w:val="008647FD"/>
    <w:rsid w:val="00865C71"/>
    <w:rsid w:val="00867308"/>
    <w:rsid w:val="00871CED"/>
    <w:rsid w:val="0087448A"/>
    <w:rsid w:val="008750CD"/>
    <w:rsid w:val="008751CB"/>
    <w:rsid w:val="008837D0"/>
    <w:rsid w:val="00890F9F"/>
    <w:rsid w:val="00892FB1"/>
    <w:rsid w:val="00896443"/>
    <w:rsid w:val="008A182B"/>
    <w:rsid w:val="008A4A05"/>
    <w:rsid w:val="008A753F"/>
    <w:rsid w:val="008B0543"/>
    <w:rsid w:val="008B4837"/>
    <w:rsid w:val="008B6CCB"/>
    <w:rsid w:val="008C0888"/>
    <w:rsid w:val="008C0DA4"/>
    <w:rsid w:val="008C3505"/>
    <w:rsid w:val="008C5642"/>
    <w:rsid w:val="008C5A3D"/>
    <w:rsid w:val="008C7874"/>
    <w:rsid w:val="008D1F6B"/>
    <w:rsid w:val="008D2618"/>
    <w:rsid w:val="008D2686"/>
    <w:rsid w:val="008D30EA"/>
    <w:rsid w:val="008D342A"/>
    <w:rsid w:val="008D5059"/>
    <w:rsid w:val="008D55C8"/>
    <w:rsid w:val="008D63A4"/>
    <w:rsid w:val="008E20DE"/>
    <w:rsid w:val="008E29E7"/>
    <w:rsid w:val="008E380E"/>
    <w:rsid w:val="008E4D66"/>
    <w:rsid w:val="008E598C"/>
    <w:rsid w:val="008E6E20"/>
    <w:rsid w:val="008F01DA"/>
    <w:rsid w:val="008F13FB"/>
    <w:rsid w:val="008F1770"/>
    <w:rsid w:val="008F73F9"/>
    <w:rsid w:val="009013C5"/>
    <w:rsid w:val="00905E9C"/>
    <w:rsid w:val="009061A4"/>
    <w:rsid w:val="0090657F"/>
    <w:rsid w:val="00912B4A"/>
    <w:rsid w:val="00912E02"/>
    <w:rsid w:val="009154CD"/>
    <w:rsid w:val="0093056D"/>
    <w:rsid w:val="00937574"/>
    <w:rsid w:val="00942024"/>
    <w:rsid w:val="00943D14"/>
    <w:rsid w:val="00944550"/>
    <w:rsid w:val="00954557"/>
    <w:rsid w:val="009550AD"/>
    <w:rsid w:val="009565D4"/>
    <w:rsid w:val="00964F97"/>
    <w:rsid w:val="009666D9"/>
    <w:rsid w:val="00966825"/>
    <w:rsid w:val="00967B17"/>
    <w:rsid w:val="00967D7C"/>
    <w:rsid w:val="009706D4"/>
    <w:rsid w:val="00975E8A"/>
    <w:rsid w:val="00977D73"/>
    <w:rsid w:val="00983D3E"/>
    <w:rsid w:val="00984035"/>
    <w:rsid w:val="00984F18"/>
    <w:rsid w:val="00985180"/>
    <w:rsid w:val="009877E3"/>
    <w:rsid w:val="0099262A"/>
    <w:rsid w:val="00995981"/>
    <w:rsid w:val="00997B6B"/>
    <w:rsid w:val="009A05F3"/>
    <w:rsid w:val="009A3074"/>
    <w:rsid w:val="009A4666"/>
    <w:rsid w:val="009A5CA4"/>
    <w:rsid w:val="009B2FB1"/>
    <w:rsid w:val="009B56DA"/>
    <w:rsid w:val="009B61CA"/>
    <w:rsid w:val="009C357B"/>
    <w:rsid w:val="009D0287"/>
    <w:rsid w:val="009D13BB"/>
    <w:rsid w:val="009D31C6"/>
    <w:rsid w:val="009D50EB"/>
    <w:rsid w:val="009D7DB6"/>
    <w:rsid w:val="009E07F2"/>
    <w:rsid w:val="009E32F5"/>
    <w:rsid w:val="009E6279"/>
    <w:rsid w:val="009F1889"/>
    <w:rsid w:val="009F2649"/>
    <w:rsid w:val="009F4676"/>
    <w:rsid w:val="009F704C"/>
    <w:rsid w:val="00A0215D"/>
    <w:rsid w:val="00A06666"/>
    <w:rsid w:val="00A0752F"/>
    <w:rsid w:val="00A105E0"/>
    <w:rsid w:val="00A1148B"/>
    <w:rsid w:val="00A15A41"/>
    <w:rsid w:val="00A16DFE"/>
    <w:rsid w:val="00A23921"/>
    <w:rsid w:val="00A24B6A"/>
    <w:rsid w:val="00A3018B"/>
    <w:rsid w:val="00A3128D"/>
    <w:rsid w:val="00A324EA"/>
    <w:rsid w:val="00A32F7D"/>
    <w:rsid w:val="00A337B6"/>
    <w:rsid w:val="00A33A46"/>
    <w:rsid w:val="00A37293"/>
    <w:rsid w:val="00A37AC6"/>
    <w:rsid w:val="00A45B43"/>
    <w:rsid w:val="00A4794A"/>
    <w:rsid w:val="00A50740"/>
    <w:rsid w:val="00A51F98"/>
    <w:rsid w:val="00A52FDA"/>
    <w:rsid w:val="00A533DE"/>
    <w:rsid w:val="00A53E2B"/>
    <w:rsid w:val="00A55BDB"/>
    <w:rsid w:val="00A57EFD"/>
    <w:rsid w:val="00A76981"/>
    <w:rsid w:val="00A817CE"/>
    <w:rsid w:val="00A84CE7"/>
    <w:rsid w:val="00A928FA"/>
    <w:rsid w:val="00A93DB0"/>
    <w:rsid w:val="00A93FB2"/>
    <w:rsid w:val="00A976D6"/>
    <w:rsid w:val="00A97E92"/>
    <w:rsid w:val="00AA4ED4"/>
    <w:rsid w:val="00AA7B0B"/>
    <w:rsid w:val="00AB32CF"/>
    <w:rsid w:val="00AB4858"/>
    <w:rsid w:val="00AC13FF"/>
    <w:rsid w:val="00AC47DC"/>
    <w:rsid w:val="00AC4B50"/>
    <w:rsid w:val="00AC50EC"/>
    <w:rsid w:val="00AC59EB"/>
    <w:rsid w:val="00AD09A2"/>
    <w:rsid w:val="00AD170F"/>
    <w:rsid w:val="00AD1D8E"/>
    <w:rsid w:val="00AD1F13"/>
    <w:rsid w:val="00AD2235"/>
    <w:rsid w:val="00AD599A"/>
    <w:rsid w:val="00AD5CCC"/>
    <w:rsid w:val="00AD73D2"/>
    <w:rsid w:val="00AE4857"/>
    <w:rsid w:val="00AF565A"/>
    <w:rsid w:val="00AF7902"/>
    <w:rsid w:val="00B002B7"/>
    <w:rsid w:val="00B02599"/>
    <w:rsid w:val="00B03CA0"/>
    <w:rsid w:val="00B0408E"/>
    <w:rsid w:val="00B04F42"/>
    <w:rsid w:val="00B05D4B"/>
    <w:rsid w:val="00B10461"/>
    <w:rsid w:val="00B110EB"/>
    <w:rsid w:val="00B11E46"/>
    <w:rsid w:val="00B14060"/>
    <w:rsid w:val="00B158BD"/>
    <w:rsid w:val="00B16B3C"/>
    <w:rsid w:val="00B225F9"/>
    <w:rsid w:val="00B25EE3"/>
    <w:rsid w:val="00B269D4"/>
    <w:rsid w:val="00B3357C"/>
    <w:rsid w:val="00B33B17"/>
    <w:rsid w:val="00B34EAF"/>
    <w:rsid w:val="00B361D2"/>
    <w:rsid w:val="00B410A6"/>
    <w:rsid w:val="00B41268"/>
    <w:rsid w:val="00B45416"/>
    <w:rsid w:val="00B4614A"/>
    <w:rsid w:val="00B60DA8"/>
    <w:rsid w:val="00B6143F"/>
    <w:rsid w:val="00B61C4A"/>
    <w:rsid w:val="00B61C55"/>
    <w:rsid w:val="00B61C7B"/>
    <w:rsid w:val="00B61EC9"/>
    <w:rsid w:val="00B62F68"/>
    <w:rsid w:val="00B679AD"/>
    <w:rsid w:val="00B7463E"/>
    <w:rsid w:val="00B75ED2"/>
    <w:rsid w:val="00B7744A"/>
    <w:rsid w:val="00B77A28"/>
    <w:rsid w:val="00B8249F"/>
    <w:rsid w:val="00B82D4D"/>
    <w:rsid w:val="00B87EE6"/>
    <w:rsid w:val="00B911E7"/>
    <w:rsid w:val="00B9260A"/>
    <w:rsid w:val="00B94436"/>
    <w:rsid w:val="00B94F9D"/>
    <w:rsid w:val="00B96ABD"/>
    <w:rsid w:val="00BA3919"/>
    <w:rsid w:val="00BA3F20"/>
    <w:rsid w:val="00BA662F"/>
    <w:rsid w:val="00BA6BE0"/>
    <w:rsid w:val="00BB6D1B"/>
    <w:rsid w:val="00BC0CB9"/>
    <w:rsid w:val="00BC1F7B"/>
    <w:rsid w:val="00BC33F6"/>
    <w:rsid w:val="00BD143A"/>
    <w:rsid w:val="00BD707E"/>
    <w:rsid w:val="00BD77A5"/>
    <w:rsid w:val="00BF18DC"/>
    <w:rsid w:val="00BF1905"/>
    <w:rsid w:val="00BF1C48"/>
    <w:rsid w:val="00BF2557"/>
    <w:rsid w:val="00BF3629"/>
    <w:rsid w:val="00BF3809"/>
    <w:rsid w:val="00C020CC"/>
    <w:rsid w:val="00C027A6"/>
    <w:rsid w:val="00C04B4F"/>
    <w:rsid w:val="00C13DE2"/>
    <w:rsid w:val="00C14408"/>
    <w:rsid w:val="00C14776"/>
    <w:rsid w:val="00C17F58"/>
    <w:rsid w:val="00C20A56"/>
    <w:rsid w:val="00C21D50"/>
    <w:rsid w:val="00C22639"/>
    <w:rsid w:val="00C22B32"/>
    <w:rsid w:val="00C22C4F"/>
    <w:rsid w:val="00C307E7"/>
    <w:rsid w:val="00C32B3C"/>
    <w:rsid w:val="00C34A92"/>
    <w:rsid w:val="00C35829"/>
    <w:rsid w:val="00C370A7"/>
    <w:rsid w:val="00C40CC9"/>
    <w:rsid w:val="00C428A5"/>
    <w:rsid w:val="00C4304E"/>
    <w:rsid w:val="00C4367E"/>
    <w:rsid w:val="00C45F9F"/>
    <w:rsid w:val="00C52A4F"/>
    <w:rsid w:val="00C55EA1"/>
    <w:rsid w:val="00C56048"/>
    <w:rsid w:val="00C57E90"/>
    <w:rsid w:val="00C6114F"/>
    <w:rsid w:val="00C61454"/>
    <w:rsid w:val="00C62F1C"/>
    <w:rsid w:val="00C6380F"/>
    <w:rsid w:val="00C70E69"/>
    <w:rsid w:val="00C72059"/>
    <w:rsid w:val="00C7397F"/>
    <w:rsid w:val="00C740EA"/>
    <w:rsid w:val="00C744A3"/>
    <w:rsid w:val="00C74EE4"/>
    <w:rsid w:val="00C766F4"/>
    <w:rsid w:val="00C81DB5"/>
    <w:rsid w:val="00C84CFA"/>
    <w:rsid w:val="00C900FF"/>
    <w:rsid w:val="00C90B2A"/>
    <w:rsid w:val="00CA3917"/>
    <w:rsid w:val="00CA4605"/>
    <w:rsid w:val="00CB2071"/>
    <w:rsid w:val="00CB3FC8"/>
    <w:rsid w:val="00CB442A"/>
    <w:rsid w:val="00CB4C3D"/>
    <w:rsid w:val="00CB5BE7"/>
    <w:rsid w:val="00CC04C6"/>
    <w:rsid w:val="00CC2645"/>
    <w:rsid w:val="00CC42DC"/>
    <w:rsid w:val="00CC59D4"/>
    <w:rsid w:val="00CC6436"/>
    <w:rsid w:val="00CD4B2E"/>
    <w:rsid w:val="00CD4DE4"/>
    <w:rsid w:val="00CD6527"/>
    <w:rsid w:val="00CD6B3F"/>
    <w:rsid w:val="00CD741C"/>
    <w:rsid w:val="00CE7255"/>
    <w:rsid w:val="00CF33D4"/>
    <w:rsid w:val="00CF3E63"/>
    <w:rsid w:val="00CF561E"/>
    <w:rsid w:val="00D04A5C"/>
    <w:rsid w:val="00D079A7"/>
    <w:rsid w:val="00D11A14"/>
    <w:rsid w:val="00D143BA"/>
    <w:rsid w:val="00D17818"/>
    <w:rsid w:val="00D20DD2"/>
    <w:rsid w:val="00D21170"/>
    <w:rsid w:val="00D22128"/>
    <w:rsid w:val="00D23BE1"/>
    <w:rsid w:val="00D2729C"/>
    <w:rsid w:val="00D3122E"/>
    <w:rsid w:val="00D34EEE"/>
    <w:rsid w:val="00D37BAF"/>
    <w:rsid w:val="00D41B93"/>
    <w:rsid w:val="00D47614"/>
    <w:rsid w:val="00D501AC"/>
    <w:rsid w:val="00D50346"/>
    <w:rsid w:val="00D51B1E"/>
    <w:rsid w:val="00D523A8"/>
    <w:rsid w:val="00D528AA"/>
    <w:rsid w:val="00D530F5"/>
    <w:rsid w:val="00D53BAA"/>
    <w:rsid w:val="00D5526A"/>
    <w:rsid w:val="00D63048"/>
    <w:rsid w:val="00D6444F"/>
    <w:rsid w:val="00D67284"/>
    <w:rsid w:val="00D70566"/>
    <w:rsid w:val="00D7128A"/>
    <w:rsid w:val="00D72E71"/>
    <w:rsid w:val="00D74F64"/>
    <w:rsid w:val="00D7705B"/>
    <w:rsid w:val="00D8039E"/>
    <w:rsid w:val="00D8255F"/>
    <w:rsid w:val="00D96598"/>
    <w:rsid w:val="00D979EA"/>
    <w:rsid w:val="00DA02B9"/>
    <w:rsid w:val="00DA1121"/>
    <w:rsid w:val="00DA42EA"/>
    <w:rsid w:val="00DA5A6C"/>
    <w:rsid w:val="00DA7060"/>
    <w:rsid w:val="00DA77DF"/>
    <w:rsid w:val="00DA7FEA"/>
    <w:rsid w:val="00DB175C"/>
    <w:rsid w:val="00DB269B"/>
    <w:rsid w:val="00DB5E19"/>
    <w:rsid w:val="00DC02B5"/>
    <w:rsid w:val="00DD08C0"/>
    <w:rsid w:val="00DD0981"/>
    <w:rsid w:val="00DD1474"/>
    <w:rsid w:val="00DD27D1"/>
    <w:rsid w:val="00DD3B1F"/>
    <w:rsid w:val="00DD3E4E"/>
    <w:rsid w:val="00DD5377"/>
    <w:rsid w:val="00DD721E"/>
    <w:rsid w:val="00DE221A"/>
    <w:rsid w:val="00DE22DE"/>
    <w:rsid w:val="00DE2334"/>
    <w:rsid w:val="00DE26AE"/>
    <w:rsid w:val="00DE5C1E"/>
    <w:rsid w:val="00DF14B6"/>
    <w:rsid w:val="00DF68F0"/>
    <w:rsid w:val="00DF6CDE"/>
    <w:rsid w:val="00E00B1F"/>
    <w:rsid w:val="00E0113D"/>
    <w:rsid w:val="00E01AF9"/>
    <w:rsid w:val="00E039CB"/>
    <w:rsid w:val="00E1423B"/>
    <w:rsid w:val="00E14AF0"/>
    <w:rsid w:val="00E16650"/>
    <w:rsid w:val="00E22589"/>
    <w:rsid w:val="00E2736E"/>
    <w:rsid w:val="00E30859"/>
    <w:rsid w:val="00E317E1"/>
    <w:rsid w:val="00E317E7"/>
    <w:rsid w:val="00E33231"/>
    <w:rsid w:val="00E347C9"/>
    <w:rsid w:val="00E42026"/>
    <w:rsid w:val="00E47A23"/>
    <w:rsid w:val="00E50447"/>
    <w:rsid w:val="00E505C8"/>
    <w:rsid w:val="00E54314"/>
    <w:rsid w:val="00E558C2"/>
    <w:rsid w:val="00E560B8"/>
    <w:rsid w:val="00E6186E"/>
    <w:rsid w:val="00E630DF"/>
    <w:rsid w:val="00E67B66"/>
    <w:rsid w:val="00E71653"/>
    <w:rsid w:val="00E72F03"/>
    <w:rsid w:val="00E7429A"/>
    <w:rsid w:val="00E75D89"/>
    <w:rsid w:val="00E77992"/>
    <w:rsid w:val="00E81BDA"/>
    <w:rsid w:val="00E84434"/>
    <w:rsid w:val="00E86180"/>
    <w:rsid w:val="00E873FC"/>
    <w:rsid w:val="00E934C3"/>
    <w:rsid w:val="00E93CEB"/>
    <w:rsid w:val="00EA0512"/>
    <w:rsid w:val="00EA0AEC"/>
    <w:rsid w:val="00EA41C4"/>
    <w:rsid w:val="00EA52BA"/>
    <w:rsid w:val="00EA5BBD"/>
    <w:rsid w:val="00EA62A0"/>
    <w:rsid w:val="00EA65C5"/>
    <w:rsid w:val="00EA6891"/>
    <w:rsid w:val="00EA7814"/>
    <w:rsid w:val="00EA78B1"/>
    <w:rsid w:val="00EB30F5"/>
    <w:rsid w:val="00EB518F"/>
    <w:rsid w:val="00EB5A56"/>
    <w:rsid w:val="00EB5C8B"/>
    <w:rsid w:val="00EB6A67"/>
    <w:rsid w:val="00EC3CC1"/>
    <w:rsid w:val="00EC47CA"/>
    <w:rsid w:val="00EC592C"/>
    <w:rsid w:val="00EC646B"/>
    <w:rsid w:val="00ED02AD"/>
    <w:rsid w:val="00ED263C"/>
    <w:rsid w:val="00ED2A92"/>
    <w:rsid w:val="00ED4989"/>
    <w:rsid w:val="00ED503D"/>
    <w:rsid w:val="00ED63DC"/>
    <w:rsid w:val="00ED6F48"/>
    <w:rsid w:val="00EE0CEF"/>
    <w:rsid w:val="00EE11FD"/>
    <w:rsid w:val="00EE1D07"/>
    <w:rsid w:val="00EE5630"/>
    <w:rsid w:val="00EE73AA"/>
    <w:rsid w:val="00EF149E"/>
    <w:rsid w:val="00EF14D2"/>
    <w:rsid w:val="00EF33FA"/>
    <w:rsid w:val="00EF3566"/>
    <w:rsid w:val="00EF438C"/>
    <w:rsid w:val="00EF57B2"/>
    <w:rsid w:val="00EF7033"/>
    <w:rsid w:val="00F015C6"/>
    <w:rsid w:val="00F029C3"/>
    <w:rsid w:val="00F02CC0"/>
    <w:rsid w:val="00F05148"/>
    <w:rsid w:val="00F05E3C"/>
    <w:rsid w:val="00F118B0"/>
    <w:rsid w:val="00F13235"/>
    <w:rsid w:val="00F1332D"/>
    <w:rsid w:val="00F148C0"/>
    <w:rsid w:val="00F1494E"/>
    <w:rsid w:val="00F15C93"/>
    <w:rsid w:val="00F15D7E"/>
    <w:rsid w:val="00F23798"/>
    <w:rsid w:val="00F255DE"/>
    <w:rsid w:val="00F260AC"/>
    <w:rsid w:val="00F26DFB"/>
    <w:rsid w:val="00F27043"/>
    <w:rsid w:val="00F32C54"/>
    <w:rsid w:val="00F32E6E"/>
    <w:rsid w:val="00F41ACC"/>
    <w:rsid w:val="00F4263A"/>
    <w:rsid w:val="00F45B5A"/>
    <w:rsid w:val="00F47464"/>
    <w:rsid w:val="00F47E96"/>
    <w:rsid w:val="00F50A3A"/>
    <w:rsid w:val="00F55C6A"/>
    <w:rsid w:val="00F62A1E"/>
    <w:rsid w:val="00F642DB"/>
    <w:rsid w:val="00F64DB9"/>
    <w:rsid w:val="00F65513"/>
    <w:rsid w:val="00F6590E"/>
    <w:rsid w:val="00F72CF1"/>
    <w:rsid w:val="00F85399"/>
    <w:rsid w:val="00F85D65"/>
    <w:rsid w:val="00F86E7D"/>
    <w:rsid w:val="00F906A4"/>
    <w:rsid w:val="00F93183"/>
    <w:rsid w:val="00F93202"/>
    <w:rsid w:val="00F932D1"/>
    <w:rsid w:val="00F94C61"/>
    <w:rsid w:val="00F95C88"/>
    <w:rsid w:val="00F960EB"/>
    <w:rsid w:val="00FA035F"/>
    <w:rsid w:val="00FA08B1"/>
    <w:rsid w:val="00FA296A"/>
    <w:rsid w:val="00FA4CCF"/>
    <w:rsid w:val="00FA4E11"/>
    <w:rsid w:val="00FA633F"/>
    <w:rsid w:val="00FA686C"/>
    <w:rsid w:val="00FA6932"/>
    <w:rsid w:val="00FA7110"/>
    <w:rsid w:val="00FB1762"/>
    <w:rsid w:val="00FB3972"/>
    <w:rsid w:val="00FB70DE"/>
    <w:rsid w:val="00FC1615"/>
    <w:rsid w:val="00FC2BD1"/>
    <w:rsid w:val="00FC4767"/>
    <w:rsid w:val="00FC4829"/>
    <w:rsid w:val="00FC4E2D"/>
    <w:rsid w:val="00FC4F29"/>
    <w:rsid w:val="00FC6889"/>
    <w:rsid w:val="00FD17C2"/>
    <w:rsid w:val="00FD1B11"/>
    <w:rsid w:val="00FD634F"/>
    <w:rsid w:val="00FE0A7C"/>
    <w:rsid w:val="00FE2611"/>
    <w:rsid w:val="00FE5936"/>
    <w:rsid w:val="00FE5C1E"/>
    <w:rsid w:val="00FE67E2"/>
    <w:rsid w:val="00FE6CE5"/>
    <w:rsid w:val="00FE7926"/>
    <w:rsid w:val="00FF119D"/>
    <w:rsid w:val="00FF2067"/>
    <w:rsid w:val="00FF2247"/>
    <w:rsid w:val="00FF38B2"/>
    <w:rsid w:val="00FF39F2"/>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1e1ff,#069,#bad1e8,#afd787,#cde6b4,#d1e8ba,#0000ac"/>
    </o:shapedefaults>
    <o:shapelayout v:ext="edit">
      <o:idmap v:ext="edit" data="1"/>
    </o:shapelayout>
  </w:shapeDefaults>
  <w:decimalSymbol w:val="."/>
  <w:listSeparator w:val=","/>
  <w14:docId w14:val="664F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paragraph" w:customStyle="1" w:styleId="Exhibitsourcelast">
    <w:name w:val="Exhibit source last"/>
    <w:basedOn w:val="ExhibitSource"/>
    <w:qFormat/>
    <w:rsid w:val="000930CB"/>
  </w:style>
  <w:style w:type="table" w:customStyle="1" w:styleId="Abt-Lift">
    <w:name w:val="Abt-Lift"/>
    <w:basedOn w:val="TableNormal"/>
    <w:uiPriority w:val="99"/>
    <w:rsid w:val="001A7A6C"/>
    <w:rPr>
      <w:sz w:val="18"/>
    </w:rPr>
    <w:tblPr>
      <w:tblStyleRowBandSize w:val="1"/>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center"/>
      </w:pPr>
      <w:rPr>
        <w:b/>
        <w:i w:val="0"/>
      </w:rPr>
      <w:tblPr/>
      <w:tcPr>
        <w:shd w:val="clear" w:color="auto" w:fill="C3C6A8"/>
        <w:vAlign w:val="bottom"/>
      </w:tcPr>
    </w:tblStylePr>
    <w:tblStylePr w:type="band2Horz">
      <w:tblPr/>
      <w:tcPr>
        <w:shd w:val="clear" w:color="auto" w:fill="E7E8E8"/>
      </w:tcPr>
    </w:tblStylePr>
  </w:style>
  <w:style w:type="paragraph" w:customStyle="1" w:styleId="BodyTExtSingleFlush">
    <w:name w:val="Body TExt Single Flush"/>
    <w:basedOn w:val="BodyText"/>
    <w:qFormat/>
    <w:rsid w:val="001A7A6C"/>
    <w:pPr>
      <w:widowControl w:val="0"/>
      <w:spacing w:after="0" w:line="240" w:lineRule="auto"/>
    </w:pPr>
    <w:rPr>
      <w:sz w:val="24"/>
    </w:rPr>
  </w:style>
  <w:style w:type="paragraph" w:customStyle="1" w:styleId="R2-ResBullet">
    <w:name w:val="R2-Res Bullet"/>
    <w:basedOn w:val="Normal"/>
    <w:rsid w:val="0000498E"/>
    <w:pPr>
      <w:spacing w:after="0" w:line="240" w:lineRule="exact"/>
      <w:ind w:left="720" w:hanging="432"/>
      <w:jc w:val="both"/>
    </w:pPr>
    <w:rPr>
      <w:rFonts w:eastAsiaTheme="minorHAnsi"/>
      <w:szCs w:val="22"/>
    </w:rPr>
  </w:style>
  <w:style w:type="paragraph" w:customStyle="1" w:styleId="BodyTextFlush">
    <w:name w:val="Body Text Flush"/>
    <w:basedOn w:val="BodyText"/>
    <w:qFormat/>
    <w:rsid w:val="00412BC2"/>
    <w:pPr>
      <w:widowControl w:val="0"/>
      <w:spacing w:after="0" w:line="48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paragraph" w:customStyle="1" w:styleId="Exhibitsourcelast">
    <w:name w:val="Exhibit source last"/>
    <w:basedOn w:val="ExhibitSource"/>
    <w:qFormat/>
    <w:rsid w:val="000930CB"/>
  </w:style>
  <w:style w:type="table" w:customStyle="1" w:styleId="Abt-Lift">
    <w:name w:val="Abt-Lift"/>
    <w:basedOn w:val="TableNormal"/>
    <w:uiPriority w:val="99"/>
    <w:rsid w:val="001A7A6C"/>
    <w:rPr>
      <w:sz w:val="18"/>
    </w:rPr>
    <w:tblPr>
      <w:tblStyleRowBandSize w:val="1"/>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center"/>
      </w:pPr>
      <w:rPr>
        <w:b/>
        <w:i w:val="0"/>
      </w:rPr>
      <w:tblPr/>
      <w:tcPr>
        <w:shd w:val="clear" w:color="auto" w:fill="C3C6A8"/>
        <w:vAlign w:val="bottom"/>
      </w:tcPr>
    </w:tblStylePr>
    <w:tblStylePr w:type="band2Horz">
      <w:tblPr/>
      <w:tcPr>
        <w:shd w:val="clear" w:color="auto" w:fill="E7E8E8"/>
      </w:tcPr>
    </w:tblStylePr>
  </w:style>
  <w:style w:type="paragraph" w:customStyle="1" w:styleId="BodyTExtSingleFlush">
    <w:name w:val="Body TExt Single Flush"/>
    <w:basedOn w:val="BodyText"/>
    <w:qFormat/>
    <w:rsid w:val="001A7A6C"/>
    <w:pPr>
      <w:widowControl w:val="0"/>
      <w:spacing w:after="0" w:line="240" w:lineRule="auto"/>
    </w:pPr>
    <w:rPr>
      <w:sz w:val="24"/>
    </w:rPr>
  </w:style>
  <w:style w:type="paragraph" w:customStyle="1" w:styleId="R2-ResBullet">
    <w:name w:val="R2-Res Bullet"/>
    <w:basedOn w:val="Normal"/>
    <w:rsid w:val="0000498E"/>
    <w:pPr>
      <w:spacing w:after="0" w:line="240" w:lineRule="exact"/>
      <w:ind w:left="720" w:hanging="432"/>
      <w:jc w:val="both"/>
    </w:pPr>
    <w:rPr>
      <w:rFonts w:eastAsiaTheme="minorHAnsi"/>
      <w:szCs w:val="22"/>
    </w:rPr>
  </w:style>
  <w:style w:type="paragraph" w:customStyle="1" w:styleId="BodyTextFlush">
    <w:name w:val="Body Text Flush"/>
    <w:basedOn w:val="BodyText"/>
    <w:qFormat/>
    <w:rsid w:val="00412BC2"/>
    <w:pPr>
      <w:widowControl w:val="0"/>
      <w:spacing w:after="0" w:line="48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3919">
      <w:bodyDiv w:val="1"/>
      <w:marLeft w:val="0"/>
      <w:marRight w:val="0"/>
      <w:marTop w:val="0"/>
      <w:marBottom w:val="0"/>
      <w:divBdr>
        <w:top w:val="none" w:sz="0" w:space="0" w:color="auto"/>
        <w:left w:val="none" w:sz="0" w:space="0" w:color="auto"/>
        <w:bottom w:val="none" w:sz="0" w:space="0" w:color="auto"/>
        <w:right w:val="none" w:sz="0" w:space="0" w:color="auto"/>
      </w:divBdr>
    </w:div>
    <w:div w:id="109129901">
      <w:bodyDiv w:val="1"/>
      <w:marLeft w:val="0"/>
      <w:marRight w:val="0"/>
      <w:marTop w:val="0"/>
      <w:marBottom w:val="0"/>
      <w:divBdr>
        <w:top w:val="none" w:sz="0" w:space="0" w:color="auto"/>
        <w:left w:val="none" w:sz="0" w:space="0" w:color="auto"/>
        <w:bottom w:val="none" w:sz="0" w:space="0" w:color="auto"/>
        <w:right w:val="none" w:sz="0" w:space="0" w:color="auto"/>
      </w:divBdr>
    </w:div>
    <w:div w:id="410201006">
      <w:bodyDiv w:val="1"/>
      <w:marLeft w:val="0"/>
      <w:marRight w:val="0"/>
      <w:marTop w:val="0"/>
      <w:marBottom w:val="0"/>
      <w:divBdr>
        <w:top w:val="none" w:sz="0" w:space="0" w:color="auto"/>
        <w:left w:val="none" w:sz="0" w:space="0" w:color="auto"/>
        <w:bottom w:val="none" w:sz="0" w:space="0" w:color="auto"/>
        <w:right w:val="none" w:sz="0" w:space="0" w:color="auto"/>
      </w:divBdr>
    </w:div>
    <w:div w:id="432824825">
      <w:bodyDiv w:val="1"/>
      <w:marLeft w:val="0"/>
      <w:marRight w:val="0"/>
      <w:marTop w:val="0"/>
      <w:marBottom w:val="0"/>
      <w:divBdr>
        <w:top w:val="none" w:sz="0" w:space="0" w:color="auto"/>
        <w:left w:val="none" w:sz="0" w:space="0" w:color="auto"/>
        <w:bottom w:val="none" w:sz="0" w:space="0" w:color="auto"/>
        <w:right w:val="none" w:sz="0" w:space="0" w:color="auto"/>
      </w:divBdr>
    </w:div>
    <w:div w:id="1021127400">
      <w:bodyDiv w:val="1"/>
      <w:marLeft w:val="0"/>
      <w:marRight w:val="0"/>
      <w:marTop w:val="0"/>
      <w:marBottom w:val="0"/>
      <w:divBdr>
        <w:top w:val="none" w:sz="0" w:space="0" w:color="auto"/>
        <w:left w:val="none" w:sz="0" w:space="0" w:color="auto"/>
        <w:bottom w:val="none" w:sz="0" w:space="0" w:color="auto"/>
        <w:right w:val="none" w:sz="0" w:space="0" w:color="auto"/>
      </w:divBdr>
    </w:div>
    <w:div w:id="12081848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302">
      <w:bodyDiv w:val="1"/>
      <w:marLeft w:val="0"/>
      <w:marRight w:val="0"/>
      <w:marTop w:val="0"/>
      <w:marBottom w:val="0"/>
      <w:divBdr>
        <w:top w:val="none" w:sz="0" w:space="0" w:color="auto"/>
        <w:left w:val="none" w:sz="0" w:space="0" w:color="auto"/>
        <w:bottom w:val="none" w:sz="0" w:space="0" w:color="auto"/>
        <w:right w:val="none" w:sz="0" w:space="0" w:color="auto"/>
      </w:divBdr>
    </w:div>
    <w:div w:id="1718241942">
      <w:bodyDiv w:val="1"/>
      <w:marLeft w:val="0"/>
      <w:marRight w:val="0"/>
      <w:marTop w:val="0"/>
      <w:marBottom w:val="0"/>
      <w:divBdr>
        <w:top w:val="none" w:sz="0" w:space="0" w:color="auto"/>
        <w:left w:val="none" w:sz="0" w:space="0" w:color="auto"/>
        <w:bottom w:val="none" w:sz="0" w:space="0" w:color="auto"/>
        <w:right w:val="none" w:sz="0" w:space="0" w:color="auto"/>
      </w:divBdr>
    </w:div>
    <w:div w:id="1843163317">
      <w:bodyDiv w:val="1"/>
      <w:marLeft w:val="0"/>
      <w:marRight w:val="0"/>
      <w:marTop w:val="0"/>
      <w:marBottom w:val="0"/>
      <w:divBdr>
        <w:top w:val="none" w:sz="0" w:space="0" w:color="auto"/>
        <w:left w:val="none" w:sz="0" w:space="0" w:color="auto"/>
        <w:bottom w:val="none" w:sz="0" w:space="0" w:color="auto"/>
        <w:right w:val="none" w:sz="0" w:space="0" w:color="auto"/>
      </w:divBdr>
    </w:div>
    <w:div w:id="2133206072">
      <w:bodyDiv w:val="1"/>
      <w:marLeft w:val="0"/>
      <w:marRight w:val="0"/>
      <w:marTop w:val="0"/>
      <w:marBottom w:val="0"/>
      <w:divBdr>
        <w:top w:val="none" w:sz="0" w:space="0" w:color="auto"/>
        <w:left w:val="none" w:sz="0" w:space="0" w:color="auto"/>
        <w:bottom w:val="none" w:sz="0" w:space="0" w:color="auto"/>
        <w:right w:val="none" w:sz="0" w:space="0" w:color="auto"/>
      </w:divBdr>
    </w:div>
    <w:div w:id="2138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reer-pathways.org/acf-sponsored-studies/HPO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C67A-AAC7-48C1-9663-1E122EC7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6135</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41029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2017-06-06T16:14:00Z</dcterms:created>
  <dcterms:modified xsi:type="dcterms:W3CDTF">2017-06-06T18:09:00Z</dcterms:modified>
</cp:coreProperties>
</file>